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8DD873" w:themeColor="accent6" w:themeTint="99"/>
  <w:body>
    <w:p w14:paraId="22799A63" w14:textId="025E5E6B" w:rsidR="001A19DE" w:rsidRPr="00F27422" w:rsidRDefault="001A19DE"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001</w:t>
      </w:r>
    </w:p>
    <w:p w14:paraId="5C560DA3"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6C55FCC1"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39CE7073" w14:textId="77777777" w:rsidR="00AC563D" w:rsidRPr="00F27422" w:rsidRDefault="00AC563D"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465822B1"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(فصل في أحكام عقد الإجارة)</w:t>
      </w:r>
    </w:p>
    <w:p w14:paraId="3E37CBAC" w14:textId="77777777" w:rsidR="00AC563D" w:rsidRPr="00F27422" w:rsidRDefault="00AC563D" w:rsidP="00122B70">
      <w:pPr>
        <w:bidi/>
        <w:rPr>
          <w:rFonts w:asciiTheme="minorBidi" w:hAnsiTheme="minorBidi"/>
          <w:b/>
          <w:bCs/>
          <w:sz w:val="32"/>
          <w:szCs w:val="32"/>
          <w:rtl/>
        </w:rPr>
      </w:pPr>
      <w:r w:rsidRPr="00F27422">
        <w:rPr>
          <w:rFonts w:asciiTheme="minorBidi" w:hAnsiTheme="minorBidi"/>
          <w:sz w:val="32"/>
          <w:szCs w:val="32"/>
          <w:rtl/>
        </w:rPr>
        <w:t xml:space="preserve">قال سيد العروة (قدس سره الشريف): </w:t>
      </w:r>
      <w:r w:rsidRPr="00F27422">
        <w:rPr>
          <w:rFonts w:asciiTheme="minorBidi" w:hAnsiTheme="minorBidi"/>
          <w:b/>
          <w:bCs/>
          <w:sz w:val="32"/>
          <w:szCs w:val="32"/>
          <w:rtl/>
        </w:rPr>
        <w:t xml:space="preserve">(الإجارة من العقود اللازمة، لا تنفسخ إلّا </w:t>
      </w:r>
      <w:proofErr w:type="spellStart"/>
      <w:r w:rsidRPr="00F27422">
        <w:rPr>
          <w:rFonts w:asciiTheme="minorBidi" w:hAnsiTheme="minorBidi"/>
          <w:b/>
          <w:bCs/>
          <w:sz w:val="32"/>
          <w:szCs w:val="32"/>
          <w:rtl/>
        </w:rPr>
        <w:t>بالتقايل</w:t>
      </w:r>
      <w:proofErr w:type="spellEnd"/>
      <w:r w:rsidRPr="00F27422">
        <w:rPr>
          <w:rFonts w:asciiTheme="minorBidi" w:hAnsiTheme="minorBidi"/>
          <w:b/>
          <w:bCs/>
          <w:sz w:val="32"/>
          <w:szCs w:val="32"/>
          <w:rtl/>
        </w:rPr>
        <w:t xml:space="preserve"> أو شرط الخيار لأحدهما أو كليهما إذا اختار الفسخ. نعم، الإجارة المعاطاتيّة جائزة يجوز لكلّ منهما الفسخ ما لم تلزم بتصرّفهما أو تصرف أحدهما فيما انتقل إليه).</w:t>
      </w:r>
    </w:p>
    <w:p w14:paraId="7D8D6A7C" w14:textId="77777777" w:rsidR="00AC563D" w:rsidRPr="00F27422" w:rsidRDefault="00AC563D" w:rsidP="00122B70">
      <w:pPr>
        <w:bidi/>
        <w:rPr>
          <w:rFonts w:asciiTheme="minorBidi" w:hAnsiTheme="minorBidi"/>
          <w:b/>
          <w:bCs/>
          <w:sz w:val="32"/>
          <w:szCs w:val="32"/>
          <w:rtl/>
        </w:rPr>
      </w:pPr>
      <w:r w:rsidRPr="00F27422">
        <w:rPr>
          <w:rFonts w:asciiTheme="minorBidi" w:hAnsiTheme="minorBidi"/>
          <w:sz w:val="32"/>
          <w:szCs w:val="32"/>
          <w:rtl/>
        </w:rPr>
        <w:t xml:space="preserve">وأضاف سيدنا الخوئي (قدس سره الشريف) في موسوعته المباركة في [كتاب الإجارة، ج30، ص108] عند قول صاحب العروة: </w:t>
      </w:r>
      <w:r w:rsidRPr="00F27422">
        <w:rPr>
          <w:rFonts w:asciiTheme="minorBidi" w:hAnsiTheme="minorBidi"/>
          <w:b/>
          <w:bCs/>
          <w:sz w:val="32"/>
          <w:szCs w:val="32"/>
          <w:rtl/>
        </w:rPr>
        <w:t xml:space="preserve">(لا تنفسخ إلّا </w:t>
      </w:r>
      <w:proofErr w:type="spellStart"/>
      <w:r w:rsidRPr="00F27422">
        <w:rPr>
          <w:rFonts w:asciiTheme="minorBidi" w:hAnsiTheme="minorBidi"/>
          <w:b/>
          <w:bCs/>
          <w:sz w:val="32"/>
          <w:szCs w:val="32"/>
          <w:rtl/>
        </w:rPr>
        <w:t>بالتقايل</w:t>
      </w:r>
      <w:proofErr w:type="spellEnd"/>
      <w:r w:rsidRPr="00F27422">
        <w:rPr>
          <w:rFonts w:asciiTheme="minorBidi" w:hAnsiTheme="minorBidi"/>
          <w:b/>
          <w:bCs/>
          <w:sz w:val="32"/>
          <w:szCs w:val="32"/>
          <w:rtl/>
        </w:rPr>
        <w:t xml:space="preserve"> أو شرط الخيار لأحدهما أو كليهما)</w:t>
      </w:r>
      <w:r w:rsidRPr="00F27422">
        <w:rPr>
          <w:rFonts w:asciiTheme="minorBidi" w:hAnsiTheme="minorBidi"/>
          <w:sz w:val="32"/>
          <w:szCs w:val="32"/>
          <w:rtl/>
        </w:rPr>
        <w:t xml:space="preserve"> </w:t>
      </w:r>
      <w:r w:rsidRPr="00F27422">
        <w:rPr>
          <w:rFonts w:asciiTheme="minorBidi" w:hAnsiTheme="minorBidi"/>
          <w:b/>
          <w:bCs/>
          <w:sz w:val="32"/>
          <w:szCs w:val="32"/>
          <w:rtl/>
        </w:rPr>
        <w:t>(أو لثالث، أو بحصول سبب الخيار من الغبن، أو تخلف الشرط ونحوهما، حيث إنّ اللزوم في مثل الإجارة لزوم حقّي لا حكمي).</w:t>
      </w:r>
    </w:p>
    <w:p w14:paraId="353B118E" w14:textId="77777777" w:rsidR="00AC563D" w:rsidRPr="00F27422" w:rsidRDefault="00AC563D" w:rsidP="00122B70">
      <w:pPr>
        <w:bidi/>
        <w:rPr>
          <w:rFonts w:asciiTheme="minorBidi" w:hAnsiTheme="minorBidi"/>
          <w:b/>
          <w:bCs/>
          <w:sz w:val="32"/>
          <w:szCs w:val="32"/>
          <w:rtl/>
        </w:rPr>
      </w:pPr>
      <w:r w:rsidRPr="00F27422">
        <w:rPr>
          <w:rFonts w:asciiTheme="minorBidi" w:hAnsiTheme="minorBidi"/>
          <w:sz w:val="32"/>
          <w:szCs w:val="32"/>
          <w:rtl/>
        </w:rPr>
        <w:t>وهذه العبارة الشريفة في متن العروة تتضمن عدة مطالب يقع البحث فيها:</w:t>
      </w:r>
    </w:p>
    <w:p w14:paraId="361D4DD4" w14:textId="77777777" w:rsidR="00AC563D" w:rsidRPr="00F27422" w:rsidRDefault="00AC563D" w:rsidP="00122B70">
      <w:pPr>
        <w:bidi/>
        <w:rPr>
          <w:rFonts w:asciiTheme="minorBidi" w:hAnsiTheme="minorBidi"/>
          <w:sz w:val="32"/>
          <w:szCs w:val="32"/>
          <w:rtl/>
        </w:rPr>
      </w:pPr>
      <w:r w:rsidRPr="00F27422">
        <w:rPr>
          <w:rFonts w:asciiTheme="minorBidi" w:hAnsiTheme="minorBidi"/>
          <w:b/>
          <w:bCs/>
          <w:sz w:val="32"/>
          <w:szCs w:val="32"/>
          <w:rtl/>
        </w:rPr>
        <w:t>المطلبُ الأول:</w:t>
      </w:r>
      <w:r w:rsidRPr="00F27422">
        <w:rPr>
          <w:rFonts w:asciiTheme="minorBidi" w:hAnsiTheme="minorBidi"/>
          <w:sz w:val="32"/>
          <w:szCs w:val="32"/>
          <w:rtl/>
        </w:rPr>
        <w:t xml:space="preserve"> العمومات المستدل بها على لزوم عقد الإجارة.</w:t>
      </w:r>
    </w:p>
    <w:p w14:paraId="1D3F7E4E" w14:textId="77777777" w:rsidR="00AC563D" w:rsidRPr="00F27422" w:rsidRDefault="00AC563D" w:rsidP="00122B70">
      <w:pPr>
        <w:bidi/>
        <w:rPr>
          <w:rFonts w:asciiTheme="minorBidi" w:hAnsiTheme="minorBidi"/>
          <w:b/>
          <w:bCs/>
          <w:sz w:val="32"/>
          <w:szCs w:val="32"/>
          <w:rtl/>
        </w:rPr>
      </w:pPr>
      <w:r w:rsidRPr="00F27422">
        <w:rPr>
          <w:rFonts w:asciiTheme="minorBidi" w:hAnsiTheme="minorBidi"/>
          <w:sz w:val="32"/>
          <w:szCs w:val="32"/>
          <w:rtl/>
        </w:rPr>
        <w:t xml:space="preserve">لقد أُفيد في كلمات الأعلام أنّ من الأدلة على لزوم عقد الإجارة هو العمومات، كقول الله تبارك وتعالى: </w:t>
      </w:r>
      <w:r w:rsidRPr="00F27422">
        <w:rPr>
          <w:rFonts w:asciiTheme="minorBidi" w:hAnsiTheme="minorBidi"/>
          <w:b/>
          <w:bCs/>
          <w:sz w:val="32"/>
          <w:szCs w:val="32"/>
          <w:rtl/>
        </w:rPr>
        <w:t>(يَا أَيُّهَا الَّذِينَ آمَنُوا أَوْفُوا بِالْعُقُودِ)</w:t>
      </w:r>
      <w:r w:rsidRPr="00F27422">
        <w:rPr>
          <w:rFonts w:asciiTheme="minorBidi" w:hAnsiTheme="minorBidi"/>
          <w:sz w:val="32"/>
          <w:szCs w:val="32"/>
          <w:rtl/>
        </w:rPr>
        <w:t xml:space="preserve"> [المائدة، 1]؛ حيث إنّ مدلوله المطابقي لزوم الوفاء بالعقد تكليفاً، ومدلوله الالتزامي لزوم العقد وضعاً، فكما يجب ترتيب آثار العقد عليه فإنّ العقد لا ينفسخ بالفسخ؛ بل متى تحقق العقد فهو غير قابل للانفساخ، وهذا هو معنى </w:t>
      </w:r>
      <w:r w:rsidRPr="00F27422">
        <w:rPr>
          <w:rFonts w:asciiTheme="minorBidi" w:hAnsiTheme="minorBidi"/>
          <w:b/>
          <w:bCs/>
          <w:sz w:val="32"/>
          <w:szCs w:val="32"/>
          <w:rtl/>
        </w:rPr>
        <w:t>(أَوْفُوا بِالْعُقُودِ).</w:t>
      </w:r>
    </w:p>
    <w:p w14:paraId="27DD4A55" w14:textId="77777777" w:rsidR="00AC563D" w:rsidRPr="00F27422" w:rsidRDefault="00AC563D" w:rsidP="00122B70">
      <w:pPr>
        <w:bidi/>
        <w:rPr>
          <w:rFonts w:asciiTheme="minorBidi" w:hAnsiTheme="minorBidi"/>
          <w:sz w:val="32"/>
          <w:szCs w:val="32"/>
          <w:rtl/>
        </w:rPr>
      </w:pPr>
      <w:r w:rsidRPr="00F27422">
        <w:rPr>
          <w:rFonts w:asciiTheme="minorBidi" w:hAnsiTheme="minorBidi"/>
          <w:b/>
          <w:bCs/>
          <w:sz w:val="32"/>
          <w:szCs w:val="32"/>
          <w:rtl/>
        </w:rPr>
        <w:t>ولكن البحث:</w:t>
      </w:r>
      <w:r w:rsidRPr="00F27422">
        <w:rPr>
          <w:rFonts w:asciiTheme="minorBidi" w:hAnsiTheme="minorBidi"/>
          <w:sz w:val="32"/>
          <w:szCs w:val="32"/>
          <w:rtl/>
        </w:rPr>
        <w:t xml:space="preserve"> وقع في أنّه هل يمكن إثبات لزوم الإجارة بأدلة الصحة كقول الله سبحانه وتعالى: </w:t>
      </w:r>
      <w:r w:rsidRPr="00F27422">
        <w:rPr>
          <w:rFonts w:asciiTheme="minorBidi" w:hAnsiTheme="minorBidi"/>
          <w:b/>
          <w:bCs/>
          <w:sz w:val="32"/>
          <w:szCs w:val="32"/>
          <w:rtl/>
        </w:rPr>
        <w:t>(إِلَّا أَن تَكُونَ تِجَارَةً عَن تَرَاضٍ مِّنكُمْ)</w:t>
      </w:r>
      <w:r w:rsidRPr="00F27422">
        <w:rPr>
          <w:rFonts w:asciiTheme="minorBidi" w:hAnsiTheme="minorBidi"/>
          <w:sz w:val="32"/>
          <w:szCs w:val="32"/>
          <w:rtl/>
        </w:rPr>
        <w:t xml:space="preserve"> [النساء، 29]؟ حيث لا دلالة فيه على الأمر بترتيب الأثر؛ وإنّما مفاده حلية التصرفات عند تحقق التجارة عن تراض، والمراد بالتجارة مطلق الاسترباح الشامل للإجارة.</w:t>
      </w:r>
    </w:p>
    <w:p w14:paraId="6F796A1B"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وحيث إنّ تنقيح ذلك يبتني على بحثٍ آخر ألا وهو حقيقة الفرق بين الصحة واللزوم فيتعين بحثه:</w:t>
      </w:r>
    </w:p>
    <w:p w14:paraId="1FE875BD" w14:textId="18940461" w:rsidR="00AC563D" w:rsidRPr="00F27422" w:rsidRDefault="00AC563D" w:rsidP="00122B70">
      <w:pPr>
        <w:bidi/>
        <w:rPr>
          <w:rFonts w:asciiTheme="minorBidi" w:hAnsiTheme="minorBidi"/>
          <w:b/>
          <w:bCs/>
          <w:sz w:val="32"/>
          <w:szCs w:val="32"/>
          <w:rtl/>
        </w:rPr>
      </w:pPr>
      <w:r w:rsidRPr="00F27422">
        <w:rPr>
          <w:rFonts w:asciiTheme="minorBidi" w:hAnsiTheme="minorBidi"/>
          <w:sz w:val="32"/>
          <w:szCs w:val="32"/>
          <w:rtl/>
        </w:rPr>
        <w:lastRenderedPageBreak/>
        <w:t>لا إشكال أنّ هناك فرقاً بين الصحة واللزوم، فإنّ صحة العقد لا تعني لزومه؛ فهي بمعنى ترتب الأثر بينما اللزوم يعني عدم انفساخ العقد بفسخ أحدهما ما لم يتحقق أحد أسباب الفسخ، ولذا</w:t>
      </w:r>
      <w:r w:rsidR="00112222" w:rsidRPr="00F27422">
        <w:rPr>
          <w:rFonts w:asciiTheme="minorBidi" w:hAnsiTheme="minorBidi"/>
          <w:sz w:val="32"/>
          <w:szCs w:val="32"/>
          <w:rtl/>
        </w:rPr>
        <w:t xml:space="preserve"> </w:t>
      </w:r>
      <w:r w:rsidRPr="00F27422">
        <w:rPr>
          <w:rFonts w:asciiTheme="minorBidi" w:hAnsiTheme="minorBidi"/>
          <w:sz w:val="32"/>
          <w:szCs w:val="32"/>
          <w:rtl/>
        </w:rPr>
        <w:t>قد يكون العقد الصحيح عقداً جائزاً وقد يكون عقداً لازماً، وهذا واضح وإنّما الكلام في إضافة عنصر آخر للفارق بينهما وهو أنّ الصحة واللزوم هل هما أمران خارج المنشأ المعاملي؟ أم منتزعان من نفس المضمون المنشأ بالعقد؟</w:t>
      </w:r>
    </w:p>
    <w:p w14:paraId="33F984BD"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وفي ذلك مسلكان:</w:t>
      </w:r>
    </w:p>
    <w:p w14:paraId="06661F87"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المسلك الأول:</w:t>
      </w:r>
      <w:r w:rsidRPr="00F27422">
        <w:rPr>
          <w:rFonts w:asciiTheme="minorBidi" w:hAnsiTheme="minorBidi"/>
          <w:sz w:val="32"/>
          <w:szCs w:val="32"/>
          <w:rtl/>
        </w:rPr>
        <w:t xml:space="preserve"> ما ذهب إليه المحقق النائيني (قدس سره الشريف) كما في كتاب [منية الطالب، ج2، ص3] من أنّ الصحة واللزوم مُنشأٌ عقدي لا حكمٌ شرعي، أي أنّ الصحة منشأ للمتعاقدين واللزوم منشأ من المتعاقدين وليس دور الشارع إلا إمضاء ما تعلق به العقد من إنشاء الصحة فقط أو معها اللزوم، مما يعني أنّ اللزوم منتزع مما تعاقد عليه الطرفان لا أنّه حكمٌ شرعيٌّ خارجٌ عن إطار العقد ومدلوله.</w:t>
      </w:r>
    </w:p>
    <w:p w14:paraId="16D441DB" w14:textId="0F28A242" w:rsidR="00AC563D" w:rsidRPr="00F27422" w:rsidRDefault="00AC563D" w:rsidP="00122B70">
      <w:pPr>
        <w:bidi/>
        <w:rPr>
          <w:rFonts w:asciiTheme="minorBidi" w:hAnsiTheme="minorBidi"/>
          <w:b/>
          <w:bCs/>
          <w:sz w:val="32"/>
          <w:szCs w:val="32"/>
          <w:rtl/>
        </w:rPr>
      </w:pPr>
      <w:r w:rsidRPr="00F27422">
        <w:rPr>
          <w:rFonts w:asciiTheme="minorBidi" w:hAnsiTheme="minorBidi"/>
          <w:sz w:val="32"/>
          <w:szCs w:val="32"/>
          <w:rtl/>
        </w:rPr>
        <w:t xml:space="preserve">فقد أفاد (قدس سره) أنّ مضمون العقد إنْ كان مجرد الإذن والرضا فهو لا يقتضي عدم إمكان الرجوع والفسخ، وإمضاؤه يعني بقاء مضمونه - وهو الإذن والرضا - ما دام الموضوع باقياً، وهذا هو المعبر عنه بالعقود </w:t>
      </w:r>
      <w:proofErr w:type="spellStart"/>
      <w:r w:rsidRPr="00F27422">
        <w:rPr>
          <w:rFonts w:asciiTheme="minorBidi" w:hAnsiTheme="minorBidi"/>
          <w:sz w:val="32"/>
          <w:szCs w:val="32"/>
          <w:rtl/>
        </w:rPr>
        <w:t>الإذنية</w:t>
      </w:r>
      <w:proofErr w:type="spellEnd"/>
      <w:r w:rsidRPr="00F27422">
        <w:rPr>
          <w:rFonts w:asciiTheme="minorBidi" w:hAnsiTheme="minorBidi"/>
          <w:sz w:val="32"/>
          <w:szCs w:val="32"/>
          <w:rtl/>
        </w:rPr>
        <w:t xml:space="preserve"> كالوكالة والمضاربة والعارية فإنّها عقود </w:t>
      </w:r>
      <w:proofErr w:type="spellStart"/>
      <w:r w:rsidRPr="00F27422">
        <w:rPr>
          <w:rFonts w:asciiTheme="minorBidi" w:hAnsiTheme="minorBidi"/>
          <w:sz w:val="32"/>
          <w:szCs w:val="32"/>
          <w:rtl/>
        </w:rPr>
        <w:t>إذنية</w:t>
      </w:r>
      <w:proofErr w:type="spellEnd"/>
      <w:r w:rsidRPr="00F27422">
        <w:rPr>
          <w:rFonts w:asciiTheme="minorBidi" w:hAnsiTheme="minorBidi"/>
          <w:sz w:val="32"/>
          <w:szCs w:val="32"/>
          <w:rtl/>
        </w:rPr>
        <w:t xml:space="preserve"> ليس مضمونها الإلزام؛ وإنّما مجرد الإذن والرضا، والشارع أمضى العقد كما وقع عليه، وإنْ كان مضمون العقد هو الالتزام والتعهد بالعلقة الوضعية – كالملكية -، بحيث يكون عقد المعاوضة كالإجارة مثلاً إذا قال: "آجرتُكَ الدار شهراً بكذا" أو قال: "آجرتُكَ السيارة شهراً بكذا" متضمناً لمنشئين وهما: التمليك والالتزام بالتمليك، فهو كما أنشأ تمليك المنفعة - كمنفعة الدار أو السيارة بكذا - فقد أنشأ التزامه وثباته على هذا المضمون وهو المعبر عنه بالعقود العهدية؛ لما فيها من التعهد والالتزام، ودليل اللزوم نحو قوله تعالى: </w:t>
      </w:r>
      <w:r w:rsidRPr="00F27422">
        <w:rPr>
          <w:rFonts w:asciiTheme="minorBidi" w:hAnsiTheme="minorBidi"/>
          <w:b/>
          <w:bCs/>
          <w:sz w:val="32"/>
          <w:szCs w:val="32"/>
          <w:rtl/>
        </w:rPr>
        <w:t>(يَا أَيُّهَا الَّذِينَ آمَنُوا أَوْفُوا بِالْعُقُودِ)</w:t>
      </w:r>
      <w:r w:rsidRPr="00F27422">
        <w:rPr>
          <w:rFonts w:asciiTheme="minorBidi" w:hAnsiTheme="minorBidi"/>
          <w:sz w:val="32"/>
          <w:szCs w:val="32"/>
          <w:rtl/>
        </w:rPr>
        <w:t xml:space="preserve"> ناظر لهذا السنخ من العقود المتضمنة للتعهد بقرينة الأمر بالوفاء، فهو</w:t>
      </w:r>
      <w:r w:rsidR="00112222" w:rsidRPr="00F27422">
        <w:rPr>
          <w:rFonts w:asciiTheme="minorBidi" w:hAnsiTheme="minorBidi"/>
          <w:sz w:val="32"/>
          <w:szCs w:val="32"/>
          <w:rtl/>
        </w:rPr>
        <w:t xml:space="preserve"> </w:t>
      </w:r>
      <w:r w:rsidRPr="00F27422">
        <w:rPr>
          <w:rFonts w:asciiTheme="minorBidi" w:hAnsiTheme="minorBidi"/>
          <w:sz w:val="32"/>
          <w:szCs w:val="32"/>
          <w:rtl/>
        </w:rPr>
        <w:t>إمضاء لهذا التعهد والالتزام.</w:t>
      </w:r>
    </w:p>
    <w:p w14:paraId="67EF30CB" w14:textId="77777777" w:rsidR="00AC563D" w:rsidRPr="00F27422" w:rsidRDefault="00AC563D" w:rsidP="00122B70">
      <w:pPr>
        <w:bidi/>
        <w:rPr>
          <w:rFonts w:asciiTheme="minorBidi" w:hAnsiTheme="minorBidi"/>
          <w:sz w:val="32"/>
          <w:szCs w:val="32"/>
          <w:rtl/>
        </w:rPr>
      </w:pPr>
      <w:r w:rsidRPr="00F27422">
        <w:rPr>
          <w:rFonts w:asciiTheme="minorBidi" w:hAnsiTheme="minorBidi"/>
          <w:sz w:val="32"/>
          <w:szCs w:val="32"/>
          <w:rtl/>
        </w:rPr>
        <w:t>وعلى ضوء ذلك قسم المحقق النائيني (قدس سره الشريف) العقود من حيث اللزوم والجواز إلى لزوم حقّي ولزوم حكمي، وجواز حقّي وجواز حكمي.</w:t>
      </w:r>
    </w:p>
    <w:p w14:paraId="5E2FCB76" w14:textId="7C61129B" w:rsidR="00AC563D" w:rsidRPr="00F27422" w:rsidRDefault="00AC563D" w:rsidP="00122B70">
      <w:pPr>
        <w:bidi/>
        <w:rPr>
          <w:rFonts w:asciiTheme="minorBidi" w:hAnsiTheme="minorBidi"/>
          <w:sz w:val="32"/>
          <w:szCs w:val="32"/>
          <w:rtl/>
        </w:rPr>
      </w:pPr>
      <w:r w:rsidRPr="00F27422">
        <w:rPr>
          <w:rFonts w:asciiTheme="minorBidi" w:hAnsiTheme="minorBidi"/>
          <w:b/>
          <w:bCs/>
          <w:sz w:val="32"/>
          <w:szCs w:val="32"/>
          <w:rtl/>
        </w:rPr>
        <w:t>والوجه في ذلك:</w:t>
      </w:r>
      <w:r w:rsidRPr="00F27422">
        <w:rPr>
          <w:rFonts w:asciiTheme="minorBidi" w:hAnsiTheme="minorBidi"/>
          <w:sz w:val="32"/>
          <w:szCs w:val="32"/>
          <w:rtl/>
        </w:rPr>
        <w:t xml:space="preserve"> أنّ الشارع حكم تعبداً في بعض العقود بجوازها وإنْ اشترط الطرفان عدم الرجوع، ما لم تكن مشروطة بالعوض أو لذي رحم، نحو: عقد الهبة فهو جائز جوازاً حكمياً، وبعض العقود حكم تعبداً بلزومها وإنْ لم ينشئ الطرفان فيها التعهد والالتزام، نحو عقد النكاح </w:t>
      </w:r>
      <w:r w:rsidRPr="00F27422">
        <w:rPr>
          <w:rFonts w:asciiTheme="minorBidi" w:hAnsiTheme="minorBidi"/>
          <w:sz w:val="32"/>
          <w:szCs w:val="32"/>
          <w:rtl/>
        </w:rPr>
        <w:lastRenderedPageBreak/>
        <w:t xml:space="preserve">فهو عقدٌ </w:t>
      </w:r>
      <w:r w:rsidR="004B47A0" w:rsidRPr="00F27422">
        <w:rPr>
          <w:rFonts w:asciiTheme="minorBidi" w:hAnsiTheme="minorBidi"/>
          <w:sz w:val="32"/>
          <w:szCs w:val="32"/>
          <w:rtl/>
        </w:rPr>
        <w:t>لازم لزوماً</w:t>
      </w:r>
      <w:r w:rsidRPr="00F27422">
        <w:rPr>
          <w:rFonts w:asciiTheme="minorBidi" w:hAnsiTheme="minorBidi"/>
          <w:sz w:val="32"/>
          <w:szCs w:val="32"/>
          <w:rtl/>
        </w:rPr>
        <w:t xml:space="preserve"> حكمياً، وما سواها من العقود فإنّ كونه جائزاً أو لازماً فهو تابع للمنشأ العقدي فيه.</w:t>
      </w:r>
    </w:p>
    <w:p w14:paraId="6A9D6766"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مثلاً:</w:t>
      </w:r>
      <w:r w:rsidRPr="00F27422">
        <w:rPr>
          <w:rFonts w:asciiTheme="minorBidi" w:hAnsiTheme="minorBidi"/>
          <w:sz w:val="32"/>
          <w:szCs w:val="32"/>
          <w:rtl/>
        </w:rPr>
        <w:t xml:space="preserve"> عقد المضاربة وعقد الإجارة، فعقد المضاربة جائز، إذ بإمكان صاحب المال أنْ يفسخ المضاربة وهذا الجواز جواز حقّي، بمعنى أنّ مضمونه العقلائي هو المجرد عن إنشاء التعهد والالتزام، بينما لزوم الإجارة لزوم حقّي، بمعنى أنّ المنشأ المعاملي لدى المتعاقدين بحسب المرتكز العقلائي هو التعهد والالتزام بالتمليك.</w:t>
      </w:r>
    </w:p>
    <w:p w14:paraId="3394A5B9" w14:textId="11D98555" w:rsidR="00AC563D" w:rsidRPr="00F27422" w:rsidRDefault="00AC563D" w:rsidP="00122B70">
      <w:pPr>
        <w:bidi/>
        <w:rPr>
          <w:rFonts w:asciiTheme="minorBidi" w:hAnsiTheme="minorBidi"/>
          <w:b/>
          <w:bCs/>
          <w:sz w:val="32"/>
          <w:szCs w:val="32"/>
          <w:rtl/>
        </w:rPr>
      </w:pPr>
      <w:r w:rsidRPr="00F27422">
        <w:rPr>
          <w:rFonts w:asciiTheme="minorBidi" w:hAnsiTheme="minorBidi"/>
          <w:sz w:val="32"/>
          <w:szCs w:val="32"/>
          <w:rtl/>
        </w:rPr>
        <w:t xml:space="preserve">وبناءً على ذلك لا يمكن التمسك بأدلة الصحة لإثبات اللزوم كعنوان </w:t>
      </w:r>
      <w:r w:rsidRPr="00F27422">
        <w:rPr>
          <w:rFonts w:asciiTheme="minorBidi" w:hAnsiTheme="minorBidi"/>
          <w:b/>
          <w:bCs/>
          <w:sz w:val="32"/>
          <w:szCs w:val="32"/>
          <w:rtl/>
        </w:rPr>
        <w:t>(وَأَحَلَّ اللَّهُ الْبَيْعَ وَحَرَّمَ الرِّبَا)</w:t>
      </w:r>
      <w:r w:rsidRPr="00F27422">
        <w:rPr>
          <w:rFonts w:asciiTheme="minorBidi" w:hAnsiTheme="minorBidi"/>
          <w:sz w:val="32"/>
          <w:szCs w:val="32"/>
          <w:rtl/>
        </w:rPr>
        <w:t xml:space="preserve"> [البقرة، 275] أو كعنوان التجارة عن تراض في قوله تعالى: </w:t>
      </w:r>
      <w:r w:rsidRPr="00F27422">
        <w:rPr>
          <w:rFonts w:asciiTheme="minorBidi" w:hAnsiTheme="minorBidi"/>
          <w:b/>
          <w:bCs/>
          <w:sz w:val="32"/>
          <w:szCs w:val="32"/>
          <w:rtl/>
        </w:rPr>
        <w:t>(يَا أَيُّهَا الَّذِينَ آمَنُوا لَا تَأْكُلُوا أَمْوَالَكُم بَيْنَكُم بِالْبَاطِلِ إِلَّا أَن تَكُونَ تِجَارَةً عَن تَرَاضٍ مِّنكُمْ)</w:t>
      </w:r>
      <w:r w:rsidRPr="00F27422">
        <w:rPr>
          <w:rFonts w:asciiTheme="minorBidi" w:hAnsiTheme="minorBidi"/>
          <w:sz w:val="32"/>
          <w:szCs w:val="32"/>
          <w:rtl/>
        </w:rPr>
        <w:t xml:space="preserve"> [النساء، 29]؛ لأنّ مفاد هذا الدليل</w:t>
      </w:r>
      <w:r w:rsidR="00112222" w:rsidRPr="00F27422">
        <w:rPr>
          <w:rFonts w:asciiTheme="minorBidi" w:hAnsiTheme="minorBidi"/>
          <w:sz w:val="32"/>
          <w:szCs w:val="32"/>
          <w:rtl/>
        </w:rPr>
        <w:t xml:space="preserve"> </w:t>
      </w:r>
      <w:r w:rsidRPr="00F27422">
        <w:rPr>
          <w:rFonts w:asciiTheme="minorBidi" w:hAnsiTheme="minorBidi"/>
          <w:sz w:val="32"/>
          <w:szCs w:val="32"/>
          <w:rtl/>
        </w:rPr>
        <w:t xml:space="preserve">إمضاء أصل المعاملة وهي التمليك والتملك، أي أصل ترتب الأثر ولا دلالة فيه على الإطلاق </w:t>
      </w:r>
      <w:proofErr w:type="spellStart"/>
      <w:r w:rsidRPr="00F27422">
        <w:rPr>
          <w:rFonts w:asciiTheme="minorBidi" w:hAnsiTheme="minorBidi"/>
          <w:sz w:val="32"/>
          <w:szCs w:val="32"/>
          <w:rtl/>
        </w:rPr>
        <w:t>الأزماني</w:t>
      </w:r>
      <w:proofErr w:type="spellEnd"/>
      <w:r w:rsidRPr="00F27422">
        <w:rPr>
          <w:rFonts w:asciiTheme="minorBidi" w:hAnsiTheme="minorBidi"/>
          <w:sz w:val="32"/>
          <w:szCs w:val="32"/>
          <w:rtl/>
        </w:rPr>
        <w:t xml:space="preserve"> وهو بقاء هذا الأثر حتى بعد الفسخ من قبل أحدهما.</w:t>
      </w:r>
    </w:p>
    <w:p w14:paraId="68A672BC"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 xml:space="preserve">المسلك الثاني: </w:t>
      </w:r>
      <w:r w:rsidRPr="00F27422">
        <w:rPr>
          <w:rFonts w:asciiTheme="minorBidi" w:hAnsiTheme="minorBidi"/>
          <w:sz w:val="32"/>
          <w:szCs w:val="32"/>
          <w:rtl/>
        </w:rPr>
        <w:t xml:space="preserve">وهو المسلك المختار: إنّ الفارق بين الصحة واللزوم ليس </w:t>
      </w:r>
      <w:proofErr w:type="spellStart"/>
      <w:r w:rsidRPr="00F27422">
        <w:rPr>
          <w:rFonts w:asciiTheme="minorBidi" w:hAnsiTheme="minorBidi"/>
          <w:sz w:val="32"/>
          <w:szCs w:val="32"/>
          <w:rtl/>
        </w:rPr>
        <w:t>مقتنصاً</w:t>
      </w:r>
      <w:proofErr w:type="spellEnd"/>
      <w:r w:rsidRPr="00F27422">
        <w:rPr>
          <w:rFonts w:asciiTheme="minorBidi" w:hAnsiTheme="minorBidi"/>
          <w:sz w:val="32"/>
          <w:szCs w:val="32"/>
          <w:rtl/>
        </w:rPr>
        <w:t xml:space="preserve"> من مضمون العقد؛ وإنّما هو حكمٌ شرعي أو حكمٌ عقلائي لا أنّه مقتنصٌ من داخل العقد، فاللزوم حكم شرعي أو عقلائي لبعض العقود دون بعض، وإلا فالمعاوضة بيعاً أو إجارةً لا يوجد فيها </w:t>
      </w:r>
      <w:proofErr w:type="spellStart"/>
      <w:r w:rsidRPr="00F27422">
        <w:rPr>
          <w:rFonts w:asciiTheme="minorBidi" w:hAnsiTheme="minorBidi"/>
          <w:sz w:val="32"/>
          <w:szCs w:val="32"/>
          <w:rtl/>
        </w:rPr>
        <w:t>منشأآن</w:t>
      </w:r>
      <w:proofErr w:type="spellEnd"/>
      <w:r w:rsidRPr="00F27422">
        <w:rPr>
          <w:rFonts w:asciiTheme="minorBidi" w:hAnsiTheme="minorBidi"/>
          <w:sz w:val="32"/>
          <w:szCs w:val="32"/>
          <w:rtl/>
        </w:rPr>
        <w:t xml:space="preserve"> التمليك والالتزام والتعهد؛ بل ليس هناك إلّا منشأ واحد وهذا ما قام عليه الوجدان العقلائي، فالمالك عندما يقول للمستأجر: "آجرتُكَ الدار سنةً بكذا" لم ينشأ أكثر من تمليك المنفعة بإزاء الأُجرة في المدة المقررة، لا أنّه أنشأ أمرين وهما التمليك والالتزام، غاية ما في الباب أنّ العقلاء أو المشرع حكم بلزوم هذه المعاملة لمصلحةٍ نوعية، كما حكم بلزوم النكاح لمصلحةٍ نوعية، فكما أنّه في النكاح لم ينشئ الطرفان إلّا أصل العلقة الزوجية كذلك المتعاملان في باب الإجارة لم ينشأ كلاهما إلّا أصل علقة الملكية وقد حكم العقلاء والشارع في كليهما باللزوم لمصلحةٍ نوعية، لا أنّ اللزوم جزءٌ من المُنشأ ويكون دور الشارع هو مجرد الإمضاء لمضمون العقد.</w:t>
      </w:r>
    </w:p>
    <w:p w14:paraId="548C8FE8" w14:textId="77777777" w:rsidR="00AC563D" w:rsidRPr="00F27422" w:rsidRDefault="00AC563D" w:rsidP="00122B70">
      <w:pPr>
        <w:bidi/>
        <w:rPr>
          <w:rFonts w:asciiTheme="minorBidi" w:hAnsiTheme="minorBidi"/>
          <w:sz w:val="32"/>
          <w:szCs w:val="32"/>
          <w:rtl/>
        </w:rPr>
      </w:pPr>
      <w:r w:rsidRPr="00F27422">
        <w:rPr>
          <w:rFonts w:asciiTheme="minorBidi" w:hAnsiTheme="minorBidi"/>
          <w:sz w:val="32"/>
          <w:szCs w:val="32"/>
          <w:rtl/>
        </w:rPr>
        <w:t xml:space="preserve">وبناءً على ذلك يصح التمسك بدليل الصحة لإثبات اللزوم؛ لأنّ اللزوم مرجعه إلى بقاء الأثر حتى بعد الفسخ من قبل أحدهما، فإذا جرى عقد الإجارة بين طرفين ثم فسخ أحدهما فحكم الشارع ببقاء الملكية حتى بعد فسخ أحدهما هو عبارة عن اللزوم، فبما أنّ اللزوم لا معنى له إلّا حكم الشارع ببقاء الأثر حتى بعد الفسخ، يصح التمسك بإطلاق </w:t>
      </w:r>
      <w:r w:rsidRPr="00F27422">
        <w:rPr>
          <w:rFonts w:asciiTheme="minorBidi" w:hAnsiTheme="minorBidi"/>
          <w:b/>
          <w:bCs/>
          <w:sz w:val="32"/>
          <w:szCs w:val="32"/>
          <w:rtl/>
        </w:rPr>
        <w:t xml:space="preserve">(إِلَّا أَن تَكُونَ تِجَارَةً عَن تَرَاضٍ مِّنكُمْ) </w:t>
      </w:r>
      <w:r w:rsidRPr="00F27422">
        <w:rPr>
          <w:rFonts w:asciiTheme="minorBidi" w:hAnsiTheme="minorBidi"/>
          <w:sz w:val="32"/>
          <w:szCs w:val="32"/>
          <w:rtl/>
        </w:rPr>
        <w:t>[النساء، 29] حتى بعد الفسخ من أحدهما لإثبات اللزوم.</w:t>
      </w:r>
    </w:p>
    <w:p w14:paraId="2F79898E"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ويتضح بذلك أمران:</w:t>
      </w:r>
    </w:p>
    <w:p w14:paraId="649ED0FE"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lastRenderedPageBreak/>
        <w:t>أولاً:</w:t>
      </w:r>
      <w:r w:rsidRPr="00F27422">
        <w:rPr>
          <w:rFonts w:asciiTheme="minorBidi" w:hAnsiTheme="minorBidi"/>
          <w:sz w:val="32"/>
          <w:szCs w:val="32"/>
          <w:rtl/>
        </w:rPr>
        <w:t xml:space="preserve"> إن مقتضى إطلاق قوله تعالى: </w:t>
      </w:r>
      <w:r w:rsidRPr="00F27422">
        <w:rPr>
          <w:rFonts w:asciiTheme="minorBidi" w:hAnsiTheme="minorBidi"/>
          <w:b/>
          <w:bCs/>
          <w:sz w:val="32"/>
          <w:szCs w:val="32"/>
          <w:rtl/>
        </w:rPr>
        <w:t xml:space="preserve">(إِلَّا أَن تَكُونَ تِجَارَةً عَن تَرَاضٍ مِّنكُمْ) </w:t>
      </w:r>
      <w:r w:rsidRPr="00F27422">
        <w:rPr>
          <w:rFonts w:asciiTheme="minorBidi" w:hAnsiTheme="minorBidi"/>
          <w:sz w:val="32"/>
          <w:szCs w:val="32"/>
          <w:rtl/>
        </w:rPr>
        <w:t>هو بقاء أثر التجارة حتى بعد فسخ أحدهما، وهذا هو معنى اللزوم وليس شيئاً آخر، ولذلك لا موضوع للتقسيم الذي أسسه المحقق النائيني (قدس سره الشريف) وجرى عليه سيدنا الخوئي (قدس سره الشريف) من لزوم حقّي ولزوم حكمي وجواز حقّي وجواز حكمي؛ بل كلاهما حكمان من قبل المشرع.</w:t>
      </w:r>
    </w:p>
    <w:p w14:paraId="3BC49A42"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وثانياً:</w:t>
      </w:r>
      <w:r w:rsidRPr="00F27422">
        <w:rPr>
          <w:rFonts w:asciiTheme="minorBidi" w:hAnsiTheme="minorBidi"/>
          <w:sz w:val="32"/>
          <w:szCs w:val="32"/>
          <w:rtl/>
        </w:rPr>
        <w:t xml:space="preserve"> إنّ الإشكال الوارد على التمسك بقوله سبحانه وتعالى: </w:t>
      </w:r>
      <w:r w:rsidRPr="00F27422">
        <w:rPr>
          <w:rFonts w:asciiTheme="minorBidi" w:hAnsiTheme="minorBidi"/>
          <w:b/>
          <w:bCs/>
          <w:sz w:val="32"/>
          <w:szCs w:val="32"/>
          <w:rtl/>
        </w:rPr>
        <w:t>(إِلَّا أَن تَكُونَ تِجَارَةً عَن تَرَاضٍ مِّنكُمْ)</w:t>
      </w:r>
      <w:r w:rsidRPr="00F27422">
        <w:rPr>
          <w:rFonts w:asciiTheme="minorBidi" w:hAnsiTheme="minorBidi"/>
          <w:sz w:val="32"/>
          <w:szCs w:val="32"/>
          <w:rtl/>
        </w:rPr>
        <w:t xml:space="preserve"> بأنّه لا يدل على أكثر من النفوذ ما دام الموضوع باقياً.</w:t>
      </w:r>
    </w:p>
    <w:p w14:paraId="005EA4BB" w14:textId="77777777" w:rsidR="00AC563D" w:rsidRPr="00F27422" w:rsidRDefault="00AC563D" w:rsidP="00122B70">
      <w:pPr>
        <w:bidi/>
        <w:rPr>
          <w:rFonts w:asciiTheme="minorBidi" w:hAnsiTheme="minorBidi"/>
          <w:sz w:val="32"/>
          <w:szCs w:val="32"/>
          <w:rtl/>
        </w:rPr>
      </w:pPr>
      <w:r w:rsidRPr="00F27422">
        <w:rPr>
          <w:rFonts w:asciiTheme="minorBidi" w:hAnsiTheme="minorBidi"/>
          <w:sz w:val="32"/>
          <w:szCs w:val="32"/>
          <w:rtl/>
        </w:rPr>
        <w:t xml:space="preserve">واردٌ أيضاً على التمسك بقوله تبارك وتعالى: </w:t>
      </w:r>
      <w:r w:rsidRPr="00F27422">
        <w:rPr>
          <w:rFonts w:asciiTheme="minorBidi" w:hAnsiTheme="minorBidi"/>
          <w:b/>
          <w:bCs/>
          <w:sz w:val="32"/>
          <w:szCs w:val="32"/>
          <w:rtl/>
        </w:rPr>
        <w:t>(يَا أَيُّهَا الَّذِينَ آمَنُوا أَوْفُوا بِالْعُقُودِ)</w:t>
      </w:r>
      <w:r w:rsidRPr="00F27422">
        <w:rPr>
          <w:rFonts w:asciiTheme="minorBidi" w:hAnsiTheme="minorBidi"/>
          <w:sz w:val="32"/>
          <w:szCs w:val="32"/>
          <w:rtl/>
        </w:rPr>
        <w:t xml:space="preserve"> [المائدة، 1]؛ لإثبات اللزوم، إذ ليس معنى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اللزوم تكليفاً ووضعاً كما أُفيد، بل معناه أنْ يكون ترتيب الأثر على طبق ما وقع عليه العقد، فلو تعاقدا على أنّ لهما الإقالة أو التراجع أي على أنّ لهما السلطنة على هدم العقد فيشمله أيضاً </w:t>
      </w:r>
      <w:r w:rsidRPr="00F27422">
        <w:rPr>
          <w:rFonts w:asciiTheme="minorBidi" w:hAnsiTheme="minorBidi"/>
          <w:b/>
          <w:bCs/>
          <w:sz w:val="32"/>
          <w:szCs w:val="32"/>
          <w:rtl/>
        </w:rPr>
        <w:t xml:space="preserve">(أَوْفُوا بِالْعُقُودِ) </w:t>
      </w:r>
      <w:r w:rsidRPr="00F27422">
        <w:rPr>
          <w:rFonts w:asciiTheme="minorBidi" w:hAnsiTheme="minorBidi"/>
          <w:sz w:val="32"/>
          <w:szCs w:val="32"/>
          <w:rtl/>
        </w:rPr>
        <w:t>بحسب الوجدان العرفي، مع أنّه لو كان دالا على لزوم ترتيب الأثر تكليفاً الدال بالإلتزام على لزومه وضعاً لما شمله.</w:t>
      </w:r>
    </w:p>
    <w:p w14:paraId="49E249BD" w14:textId="13387C09" w:rsidR="00AC563D" w:rsidRPr="00F27422" w:rsidRDefault="00AC563D" w:rsidP="00122B70">
      <w:pPr>
        <w:bidi/>
        <w:rPr>
          <w:rFonts w:asciiTheme="minorBidi" w:hAnsiTheme="minorBidi"/>
          <w:sz w:val="32"/>
          <w:szCs w:val="32"/>
          <w:rtl/>
        </w:rPr>
      </w:pPr>
      <w:r w:rsidRPr="00F27422">
        <w:rPr>
          <w:rFonts w:asciiTheme="minorBidi" w:hAnsiTheme="minorBidi"/>
          <w:b/>
          <w:bCs/>
          <w:sz w:val="32"/>
          <w:szCs w:val="32"/>
          <w:rtl/>
        </w:rPr>
        <w:t>والنتيجة:</w:t>
      </w:r>
      <w:r w:rsidRPr="00F27422">
        <w:rPr>
          <w:rFonts w:asciiTheme="minorBidi" w:hAnsiTheme="minorBidi"/>
          <w:sz w:val="32"/>
          <w:szCs w:val="32"/>
          <w:rtl/>
        </w:rPr>
        <w:t xml:space="preserve"> أنّه لا يوجد فارق جوهري</w:t>
      </w:r>
      <w:r w:rsidR="00112222" w:rsidRPr="00F27422">
        <w:rPr>
          <w:rFonts w:asciiTheme="minorBidi" w:hAnsiTheme="minorBidi"/>
          <w:sz w:val="32"/>
          <w:szCs w:val="32"/>
          <w:rtl/>
        </w:rPr>
        <w:t xml:space="preserve"> </w:t>
      </w:r>
      <w:r w:rsidRPr="00F27422">
        <w:rPr>
          <w:rFonts w:asciiTheme="minorBidi" w:hAnsiTheme="minorBidi"/>
          <w:sz w:val="32"/>
          <w:szCs w:val="32"/>
          <w:rtl/>
        </w:rPr>
        <w:t xml:space="preserve">في التمسك بين قوله تعالى: </w:t>
      </w:r>
      <w:r w:rsidRPr="00F27422">
        <w:rPr>
          <w:rFonts w:asciiTheme="minorBidi" w:hAnsiTheme="minorBidi"/>
          <w:b/>
          <w:bCs/>
          <w:sz w:val="32"/>
          <w:szCs w:val="32"/>
          <w:rtl/>
        </w:rPr>
        <w:t>(إِلَّا أَن تَكُونَ تِجَارَةً عَن تَرَاضٍ مِّنكُمْ)</w:t>
      </w:r>
      <w:r w:rsidRPr="00F27422">
        <w:rPr>
          <w:rFonts w:asciiTheme="minorBidi" w:hAnsiTheme="minorBidi"/>
          <w:sz w:val="32"/>
          <w:szCs w:val="32"/>
          <w:rtl/>
        </w:rPr>
        <w:t xml:space="preserve"> وبين قوله سبحانه: </w:t>
      </w:r>
      <w:r w:rsidRPr="00F27422">
        <w:rPr>
          <w:rFonts w:asciiTheme="minorBidi" w:hAnsiTheme="minorBidi"/>
          <w:b/>
          <w:bCs/>
          <w:sz w:val="32"/>
          <w:szCs w:val="32"/>
          <w:rtl/>
        </w:rPr>
        <w:t>(يَا أَيُّهَا الَّذِينَ آمَنُوا أَوْفُوا بِالْعُقُودِ)</w:t>
      </w:r>
      <w:r w:rsidRPr="00F27422">
        <w:rPr>
          <w:rFonts w:asciiTheme="minorBidi" w:hAnsiTheme="minorBidi"/>
          <w:sz w:val="32"/>
          <w:szCs w:val="32"/>
          <w:rtl/>
        </w:rPr>
        <w:t xml:space="preserve"> لإثبات اللزوم، خلافاً للمحقق النائيني (قدس سره الشريف) الذي أفاد بأنّ معنى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أنّ ما صدق عليه عنوان العقد حدوثاً يجب الوفاء به بقاء، أو أنّ العقد بالمعنى المصدري وهو عملية التعاقد يجب الالتزام بها على كل حال فسخ أحدهما أم لم يفسخ.</w:t>
      </w:r>
    </w:p>
    <w:p w14:paraId="0933AD29" w14:textId="54F0FD8C" w:rsidR="00AC563D" w:rsidRPr="00F27422" w:rsidRDefault="00AC563D" w:rsidP="00122B70">
      <w:pPr>
        <w:bidi/>
        <w:rPr>
          <w:rFonts w:asciiTheme="minorBidi" w:hAnsiTheme="minorBidi"/>
          <w:b/>
          <w:bCs/>
          <w:sz w:val="32"/>
          <w:szCs w:val="32"/>
          <w:rtl/>
        </w:rPr>
      </w:pPr>
      <w:r w:rsidRPr="00F27422">
        <w:rPr>
          <w:rFonts w:asciiTheme="minorBidi" w:hAnsiTheme="minorBidi"/>
          <w:sz w:val="32"/>
          <w:szCs w:val="32"/>
          <w:rtl/>
        </w:rPr>
        <w:t xml:space="preserve">بل المقصود هو ترتيب الأثر على العقد على ما وقع عليه، ولذلك لا تخرج العقود </w:t>
      </w:r>
      <w:proofErr w:type="spellStart"/>
      <w:r w:rsidRPr="00F27422">
        <w:rPr>
          <w:rFonts w:asciiTheme="minorBidi" w:hAnsiTheme="minorBidi"/>
          <w:sz w:val="32"/>
          <w:szCs w:val="32"/>
          <w:rtl/>
        </w:rPr>
        <w:t>الإذنية</w:t>
      </w:r>
      <w:proofErr w:type="spellEnd"/>
      <w:r w:rsidRPr="00F27422">
        <w:rPr>
          <w:rFonts w:asciiTheme="minorBidi" w:hAnsiTheme="minorBidi"/>
          <w:sz w:val="32"/>
          <w:szCs w:val="32"/>
          <w:rtl/>
        </w:rPr>
        <w:t xml:space="preserve"> كالوكالة والمضاربة عن قوله تعالى: </w:t>
      </w:r>
      <w:r w:rsidRPr="00F27422">
        <w:rPr>
          <w:rFonts w:asciiTheme="minorBidi" w:hAnsiTheme="minorBidi"/>
          <w:b/>
          <w:bCs/>
          <w:sz w:val="32"/>
          <w:szCs w:val="32"/>
          <w:rtl/>
        </w:rPr>
        <w:t>(أَوْفُوا بِالْعُقُودِ)</w:t>
      </w:r>
      <w:r w:rsidRPr="00F27422">
        <w:rPr>
          <w:rFonts w:asciiTheme="minorBidi" w:hAnsiTheme="minorBidi"/>
          <w:sz w:val="32"/>
          <w:szCs w:val="32"/>
          <w:rtl/>
        </w:rPr>
        <w:t>،</w:t>
      </w:r>
      <w:r w:rsidR="00112222" w:rsidRPr="00F27422">
        <w:rPr>
          <w:rFonts w:asciiTheme="minorBidi" w:hAnsiTheme="minorBidi"/>
          <w:sz w:val="32"/>
          <w:szCs w:val="32"/>
          <w:rtl/>
        </w:rPr>
        <w:t xml:space="preserve"> </w:t>
      </w:r>
      <w:r w:rsidRPr="00F27422">
        <w:rPr>
          <w:rFonts w:asciiTheme="minorBidi" w:hAnsiTheme="minorBidi"/>
          <w:sz w:val="32"/>
          <w:szCs w:val="32"/>
          <w:rtl/>
        </w:rPr>
        <w:t xml:space="preserve">لأنّه لا معنى لقوله تعالى: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إلّا ترتيب على ما وقع عليه العقد، وما وقع عليه عقد الوكالة وعقد المضاربة أنّه قابل للتراجع، وهذا لا يتنافى مع قوله تعالى: </w:t>
      </w:r>
      <w:r w:rsidRPr="00F27422">
        <w:rPr>
          <w:rFonts w:asciiTheme="minorBidi" w:hAnsiTheme="minorBidi"/>
          <w:b/>
          <w:bCs/>
          <w:sz w:val="32"/>
          <w:szCs w:val="32"/>
          <w:rtl/>
        </w:rPr>
        <w:t>(أَوْفُوا بِالْعُقُودِ)</w:t>
      </w:r>
      <w:r w:rsidRPr="00F27422">
        <w:rPr>
          <w:rFonts w:asciiTheme="minorBidi" w:hAnsiTheme="minorBidi"/>
          <w:sz w:val="32"/>
          <w:szCs w:val="32"/>
          <w:rtl/>
        </w:rPr>
        <w:t>، فلا دلالة فيه على أكثر من ذلك.</w:t>
      </w:r>
    </w:p>
    <w:p w14:paraId="1E86A310" w14:textId="77777777" w:rsidR="00AC563D" w:rsidRPr="00F27422" w:rsidRDefault="00AC563D" w:rsidP="00122B70">
      <w:pPr>
        <w:bidi/>
        <w:rPr>
          <w:rFonts w:asciiTheme="minorBidi" w:hAnsiTheme="minorBidi"/>
          <w:b/>
          <w:bCs/>
          <w:sz w:val="32"/>
          <w:szCs w:val="32"/>
          <w:rtl/>
        </w:rPr>
      </w:pPr>
      <w:r w:rsidRPr="00F27422">
        <w:rPr>
          <w:rFonts w:asciiTheme="minorBidi" w:hAnsiTheme="minorBidi"/>
          <w:sz w:val="32"/>
          <w:szCs w:val="32"/>
          <w:rtl/>
        </w:rPr>
        <w:t>وهذا المضمون مضمونٌ مشتركٌ بين ما عبر عنه بـ "أدلة اللزوم وأدلة الجواز" بعد فسخ أحدهما.</w:t>
      </w:r>
    </w:p>
    <w:p w14:paraId="2E2A53E3"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المطلب الثاني:</w:t>
      </w:r>
      <w:r w:rsidRPr="00F27422">
        <w:rPr>
          <w:rFonts w:asciiTheme="minorBidi" w:hAnsiTheme="minorBidi"/>
          <w:sz w:val="32"/>
          <w:szCs w:val="32"/>
          <w:rtl/>
        </w:rPr>
        <w:t xml:space="preserve"> إنّ الدليل على اللزوم لا ينحصر بالعمومات القرآنية؛ بل إنّ مِن أدلة اللزوم السيرة العقلائية القائمة على ضرورة ترتيب الأثر على العقود على ما وقعت عليه، والنصوصُ الخاصة كذلك.</w:t>
      </w:r>
    </w:p>
    <w:p w14:paraId="28E0F259"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ومن النصوص الخاصة روايتان:</w:t>
      </w:r>
    </w:p>
    <w:p w14:paraId="58BE13BA"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lastRenderedPageBreak/>
        <w:t>الرواية الأُولى:</w:t>
      </w:r>
      <w:r w:rsidRPr="00F27422">
        <w:rPr>
          <w:rFonts w:asciiTheme="minorBidi" w:hAnsiTheme="minorBidi"/>
          <w:sz w:val="32"/>
          <w:szCs w:val="32"/>
          <w:rtl/>
        </w:rPr>
        <w:t xml:space="preserve"> صحيح محمد بن عيسى اليقطيني، كما في الوسائل: </w:t>
      </w:r>
      <w:r w:rsidRPr="00F27422">
        <w:rPr>
          <w:rFonts w:asciiTheme="minorBidi" w:hAnsiTheme="minorBidi"/>
          <w:b/>
          <w:bCs/>
          <w:sz w:val="32"/>
          <w:szCs w:val="32"/>
          <w:rtl/>
        </w:rPr>
        <w:t xml:space="preserve">(محمّد بن عليّ بن الحسين بإسناده عن محمّد بن عيسى اليقطيني أنّه كتب إلى أبي الحسن علي بن محمّد العسكري (عليهما السلام) في رجل دفع ابنه إلى رجل وسلّمه منه سنة </w:t>
      </w:r>
      <w:proofErr w:type="spellStart"/>
      <w:r w:rsidRPr="00F27422">
        <w:rPr>
          <w:rFonts w:asciiTheme="minorBidi" w:hAnsiTheme="minorBidi"/>
          <w:b/>
          <w:bCs/>
          <w:sz w:val="32"/>
          <w:szCs w:val="32"/>
          <w:rtl/>
        </w:rPr>
        <w:t>باُجرة</w:t>
      </w:r>
      <w:proofErr w:type="spellEnd"/>
      <w:r w:rsidRPr="00F27422">
        <w:rPr>
          <w:rFonts w:asciiTheme="minorBidi" w:hAnsiTheme="minorBidi"/>
          <w:b/>
          <w:bCs/>
          <w:sz w:val="32"/>
          <w:szCs w:val="32"/>
          <w:rtl/>
        </w:rPr>
        <w:t xml:space="preserve"> معلومة ليخيط له، ثمّ جاء رجل فقال: سلّم ابنك منّي سنة بزيادة، هل له الخيار في ذلك؟ وهل يجوز له أن يفسخ ما وافق عليه الأوّل أم لا؟ فكتب (عليه السلام): يجب عليه الوفاء للأول ما لم يعرض لابنه مرض أو ضعف).</w:t>
      </w:r>
      <w:r w:rsidRPr="00F27422">
        <w:rPr>
          <w:rFonts w:asciiTheme="minorBidi" w:hAnsiTheme="minorBidi"/>
          <w:sz w:val="32"/>
          <w:szCs w:val="32"/>
          <w:rtl/>
        </w:rPr>
        <w:t xml:space="preserve"> [وسائل الشيعة، الحر العاملي، طبعة مؤسسة آل البيت (عليهم السلام) لإحياء التراث، ج19، كتاب الإجارة، باب 15 باب حكم من آجر ولده مّدة، ح1].</w:t>
      </w:r>
    </w:p>
    <w:p w14:paraId="0F07A6C8"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ومفاد الرواية الشريفة</w:t>
      </w:r>
      <w:r w:rsidRPr="00F27422">
        <w:rPr>
          <w:rFonts w:asciiTheme="minorBidi" w:hAnsiTheme="minorBidi"/>
          <w:sz w:val="32"/>
          <w:szCs w:val="32"/>
          <w:rtl/>
        </w:rPr>
        <w:t>: أنّه يجب الوفاء بالعقد ما لم يفقد ابنه القدرة على الوفاء بالعقد، ولا يمكن له رفع اليد عن المعاملة الأُولى.</w:t>
      </w:r>
    </w:p>
    <w:p w14:paraId="339602D3"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t>الرواية الثانية:</w:t>
      </w:r>
      <w:r w:rsidRPr="00F27422">
        <w:rPr>
          <w:rFonts w:asciiTheme="minorBidi" w:hAnsiTheme="minorBidi"/>
          <w:sz w:val="32"/>
          <w:szCs w:val="32"/>
          <w:rtl/>
        </w:rPr>
        <w:t xml:space="preserve"> صحيحة علي بن يقطين، كما في الوسائل: </w:t>
      </w:r>
      <w:r w:rsidRPr="00F27422">
        <w:rPr>
          <w:rFonts w:asciiTheme="minorBidi" w:hAnsiTheme="minorBidi"/>
          <w:b/>
          <w:bCs/>
          <w:sz w:val="32"/>
          <w:szCs w:val="32"/>
          <w:rtl/>
        </w:rPr>
        <w:t xml:space="preserve">(محمّد بن الحسن بإسناده عن الحسين بن سعيد، عن صفوان، عن </w:t>
      </w:r>
      <w:proofErr w:type="gramStart"/>
      <w:r w:rsidRPr="00F27422">
        <w:rPr>
          <w:rFonts w:asciiTheme="minorBidi" w:hAnsiTheme="minorBidi"/>
          <w:b/>
          <w:bCs/>
          <w:sz w:val="32"/>
          <w:szCs w:val="32"/>
          <w:rtl/>
        </w:rPr>
        <w:t>عبدالرحمن</w:t>
      </w:r>
      <w:proofErr w:type="gramEnd"/>
      <w:r w:rsidRPr="00F27422">
        <w:rPr>
          <w:rFonts w:asciiTheme="minorBidi" w:hAnsiTheme="minorBidi"/>
          <w:b/>
          <w:bCs/>
          <w:sz w:val="32"/>
          <w:szCs w:val="32"/>
          <w:rtl/>
        </w:rPr>
        <w:t xml:space="preserve"> بن الحجاج، عن علي بن يقطين قال: سألت أبا الحسن (عليه السلام) عن الرجل يتكارى من الرجل البيت أو السفينة سنة أو أكثر من ذلك أو أقل؟ قال: الكراء لازم له إلى الوقت الذي يتكارى إليه، والخيار في أخذ الكراء إلى ربّها إن شاء أخذ وإن شاء ترك).</w:t>
      </w:r>
      <w:r w:rsidRPr="00F27422">
        <w:rPr>
          <w:rFonts w:asciiTheme="minorBidi" w:hAnsiTheme="minorBidi"/>
          <w:sz w:val="32"/>
          <w:szCs w:val="32"/>
          <w:rtl/>
        </w:rPr>
        <w:t xml:space="preserve"> [وسائل الشيعة، الحر العاملي، طبعة مؤسسة آل البيت (عليهم السلام) لإحياء التراث، ج19، كتاب الإجارة، باب 7 باب أن الإجارة عقد لازم لا ينفسخ إلّا </w:t>
      </w:r>
      <w:proofErr w:type="spellStart"/>
      <w:r w:rsidRPr="00F27422">
        <w:rPr>
          <w:rFonts w:asciiTheme="minorBidi" w:hAnsiTheme="minorBidi"/>
          <w:sz w:val="32"/>
          <w:szCs w:val="32"/>
          <w:rtl/>
        </w:rPr>
        <w:t>بالتقايل</w:t>
      </w:r>
      <w:proofErr w:type="spellEnd"/>
      <w:r w:rsidRPr="00F27422">
        <w:rPr>
          <w:rFonts w:asciiTheme="minorBidi" w:hAnsiTheme="minorBidi"/>
          <w:sz w:val="32"/>
          <w:szCs w:val="32"/>
          <w:rtl/>
        </w:rPr>
        <w:t xml:space="preserve"> أو التعذر، ح1].</w:t>
      </w:r>
    </w:p>
    <w:p w14:paraId="1CF72D06" w14:textId="77777777" w:rsidR="00AC563D" w:rsidRPr="00F27422" w:rsidRDefault="00AC563D" w:rsidP="00122B70">
      <w:pPr>
        <w:bidi/>
        <w:rPr>
          <w:rFonts w:asciiTheme="minorBidi" w:hAnsiTheme="minorBidi"/>
          <w:sz w:val="32"/>
          <w:szCs w:val="32"/>
          <w:rtl/>
        </w:rPr>
      </w:pPr>
      <w:r w:rsidRPr="00F27422">
        <w:rPr>
          <w:rFonts w:asciiTheme="minorBidi" w:hAnsiTheme="minorBidi"/>
          <w:b/>
          <w:bCs/>
          <w:sz w:val="32"/>
          <w:szCs w:val="32"/>
          <w:rtl/>
        </w:rPr>
        <w:t>ومفاد الرواية الشريفة:</w:t>
      </w:r>
      <w:r w:rsidRPr="00F27422">
        <w:rPr>
          <w:rFonts w:asciiTheme="minorBidi" w:hAnsiTheme="minorBidi"/>
          <w:sz w:val="32"/>
          <w:szCs w:val="32"/>
          <w:rtl/>
        </w:rPr>
        <w:t xml:space="preserve"> أنّ الكراء لازم للمُؤجِر إلى الوقت الذي تكارى عليه، والمراد من عبارة: </w:t>
      </w:r>
      <w:r w:rsidRPr="00F27422">
        <w:rPr>
          <w:rFonts w:asciiTheme="minorBidi" w:hAnsiTheme="minorBidi"/>
          <w:b/>
          <w:bCs/>
          <w:sz w:val="32"/>
          <w:szCs w:val="32"/>
          <w:rtl/>
        </w:rPr>
        <w:t>(والخيار في أخذ الكراء إلى ربّها)</w:t>
      </w:r>
      <w:r w:rsidRPr="00F27422">
        <w:rPr>
          <w:rFonts w:asciiTheme="minorBidi" w:hAnsiTheme="minorBidi"/>
          <w:sz w:val="32"/>
          <w:szCs w:val="32"/>
          <w:rtl/>
        </w:rPr>
        <w:t xml:space="preserve"> أنّ ربّ السفينة بالخيار أنْ يأخذ الكراء من المستأجر أو يتنازل عن ذلك.</w:t>
      </w:r>
    </w:p>
    <w:p w14:paraId="518706E3" w14:textId="77777777" w:rsidR="00AC563D" w:rsidRPr="00F27422" w:rsidRDefault="00AC563D" w:rsidP="00122B70">
      <w:pPr>
        <w:bidi/>
        <w:rPr>
          <w:rFonts w:asciiTheme="minorBidi" w:hAnsiTheme="minorBidi"/>
          <w:b/>
          <w:bCs/>
          <w:sz w:val="32"/>
          <w:szCs w:val="32"/>
          <w:rtl/>
        </w:rPr>
      </w:pPr>
      <w:r w:rsidRPr="00F27422">
        <w:rPr>
          <w:rFonts w:asciiTheme="minorBidi" w:hAnsiTheme="minorBidi"/>
          <w:sz w:val="32"/>
          <w:szCs w:val="32"/>
          <w:rtl/>
        </w:rPr>
        <w:t xml:space="preserve">وقد علق السيد الحكيم السبط (قدس سره الشريف) في [مصباح المنهاج، كتاب الإجارة، ص218] بقوله: </w:t>
      </w:r>
      <w:r w:rsidRPr="00F27422">
        <w:rPr>
          <w:rFonts w:asciiTheme="minorBidi" w:hAnsiTheme="minorBidi"/>
          <w:b/>
          <w:bCs/>
          <w:sz w:val="32"/>
          <w:szCs w:val="32"/>
          <w:rtl/>
        </w:rPr>
        <w:t>(وكأنه لأن لزوم الكراء فرع لزوم الإجارة. لكن لا يبعد كون المراد منه لزومه بلحاظ مقتضى الإجارة، من دون أن يكون له إطلاق يقتضي لزومه حتى في فرض فسخ الإجارة، ليرجع إلى لزومها. فالعمدة ما سبق).</w:t>
      </w:r>
    </w:p>
    <w:p w14:paraId="442005C9" w14:textId="77777777" w:rsidR="00AC563D" w:rsidRPr="00F27422" w:rsidRDefault="00AC563D" w:rsidP="00122B70">
      <w:pPr>
        <w:bidi/>
        <w:rPr>
          <w:rFonts w:asciiTheme="minorBidi" w:hAnsiTheme="minorBidi"/>
          <w:sz w:val="32"/>
          <w:szCs w:val="32"/>
          <w:rtl/>
        </w:rPr>
      </w:pPr>
      <w:r w:rsidRPr="00F27422">
        <w:rPr>
          <w:rFonts w:asciiTheme="minorBidi" w:hAnsiTheme="minorBidi"/>
          <w:b/>
          <w:bCs/>
          <w:sz w:val="32"/>
          <w:szCs w:val="32"/>
          <w:rtl/>
        </w:rPr>
        <w:t xml:space="preserve">ومفاد كلامه (قدس سره الشريف): </w:t>
      </w:r>
      <w:r w:rsidRPr="00F27422">
        <w:rPr>
          <w:rFonts w:asciiTheme="minorBidi" w:hAnsiTheme="minorBidi"/>
          <w:sz w:val="32"/>
          <w:szCs w:val="32"/>
          <w:rtl/>
        </w:rPr>
        <w:t>أنّ ظاهر الرواية أنّ الإجارة ليست لازمة في حدّ ذاتها بحيث لو فسخ أحدهما لم يكن لفسخه أثر؛ وإنّما ظاهرها أنّها تلزم بالمقدار الذي اتفقا عليه من الأجل سنة أو أقل أو أكثر وليست ناظرة لأصل اللزوم فتأمل.</w:t>
      </w:r>
    </w:p>
    <w:p w14:paraId="1B8AC943" w14:textId="77777777" w:rsidR="00AC563D" w:rsidRPr="00F27422" w:rsidRDefault="00AC563D" w:rsidP="00122B70">
      <w:pPr>
        <w:bidi/>
        <w:rPr>
          <w:rFonts w:asciiTheme="minorBidi" w:hAnsiTheme="minorBidi"/>
          <w:sz w:val="32"/>
          <w:szCs w:val="32"/>
          <w:rtl/>
        </w:rPr>
      </w:pPr>
    </w:p>
    <w:p w14:paraId="3657CFA1" w14:textId="77777777" w:rsidR="00AC563D" w:rsidRPr="00F27422" w:rsidRDefault="00AC563D" w:rsidP="00122B70">
      <w:pPr>
        <w:bidi/>
        <w:rPr>
          <w:rFonts w:asciiTheme="minorBidi" w:hAnsiTheme="minorBidi"/>
          <w:b/>
          <w:bCs/>
          <w:sz w:val="32"/>
          <w:szCs w:val="32"/>
          <w:rtl/>
        </w:rPr>
      </w:pPr>
      <w:r w:rsidRPr="00F27422">
        <w:rPr>
          <w:rFonts w:asciiTheme="minorBidi" w:hAnsiTheme="minorBidi"/>
          <w:b/>
          <w:bCs/>
          <w:sz w:val="32"/>
          <w:szCs w:val="32"/>
          <w:rtl/>
        </w:rPr>
        <w:lastRenderedPageBreak/>
        <w:t xml:space="preserve">والحمد لله رب العالمين </w:t>
      </w:r>
    </w:p>
    <w:p w14:paraId="2E41FA71" w14:textId="40061D97" w:rsidR="00782FCC" w:rsidRPr="00F27422" w:rsidRDefault="00F44103"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002</w:t>
      </w:r>
    </w:p>
    <w:p w14:paraId="0D23F403" w14:textId="77777777" w:rsidR="00011B02" w:rsidRPr="00F27422" w:rsidRDefault="00011B02" w:rsidP="00122B70">
      <w:pPr>
        <w:pStyle w:val="Heading3"/>
        <w:bidi/>
        <w:rPr>
          <w:rFonts w:asciiTheme="minorBidi" w:hAnsiTheme="minorBidi" w:cstheme="minorBidi"/>
          <w:sz w:val="32"/>
          <w:szCs w:val="32"/>
          <w:rtl/>
        </w:rPr>
      </w:pPr>
      <w:r w:rsidRPr="00F27422">
        <w:rPr>
          <w:rFonts w:asciiTheme="minorBidi" w:hAnsiTheme="minorBidi" w:cstheme="minorBidi"/>
          <w:b/>
          <w:bCs/>
          <w:sz w:val="32"/>
          <w:szCs w:val="32"/>
          <w:rtl/>
        </w:rPr>
        <w:t>المطلب الثالث:</w:t>
      </w:r>
      <w:r w:rsidRPr="00F27422">
        <w:rPr>
          <w:rFonts w:asciiTheme="minorBidi" w:hAnsiTheme="minorBidi" w:cstheme="minorBidi"/>
          <w:sz w:val="32"/>
          <w:szCs w:val="32"/>
          <w:rtl/>
        </w:rPr>
        <w:t xml:space="preserve"> في دفع الإشكال على التمسك بالعمومات كقوله تعالى: (</w:t>
      </w:r>
      <w:r w:rsidRPr="00F27422">
        <w:rPr>
          <w:rFonts w:asciiTheme="minorBidi" w:hAnsiTheme="minorBidi" w:cstheme="minorBidi"/>
          <w:b/>
          <w:bCs/>
          <w:sz w:val="32"/>
          <w:szCs w:val="32"/>
          <w:rtl/>
        </w:rPr>
        <w:t>يَا أَيُّهَا الَّذِينَ آمَنُوا أَوْفُوا بِالْعُقُودِ)</w:t>
      </w:r>
      <w:r w:rsidRPr="00F27422">
        <w:rPr>
          <w:rFonts w:asciiTheme="minorBidi" w:hAnsiTheme="minorBidi" w:cstheme="minorBidi"/>
          <w:sz w:val="32"/>
          <w:szCs w:val="32"/>
          <w:rtl/>
        </w:rPr>
        <w:t xml:space="preserve"> [المائدة، 1]، وقوله سبحانه: </w:t>
      </w:r>
      <w:r w:rsidRPr="00F27422">
        <w:rPr>
          <w:rFonts w:asciiTheme="minorBidi" w:hAnsiTheme="minorBidi" w:cstheme="minorBidi"/>
          <w:b/>
          <w:bCs/>
          <w:sz w:val="32"/>
          <w:szCs w:val="32"/>
          <w:rtl/>
        </w:rPr>
        <w:t>(إِلَّا أَن تَكُونَ تِجَارَةً عَن تَرَاضٍ مِّنكُمْ)</w:t>
      </w:r>
      <w:r w:rsidRPr="00F27422">
        <w:rPr>
          <w:rFonts w:asciiTheme="minorBidi" w:hAnsiTheme="minorBidi" w:cstheme="minorBidi"/>
          <w:sz w:val="32"/>
          <w:szCs w:val="32"/>
          <w:rtl/>
        </w:rPr>
        <w:t xml:space="preserve"> [النساء، 29] لإثبات اللزوم.</w:t>
      </w:r>
    </w:p>
    <w:p w14:paraId="3754C339" w14:textId="77777777" w:rsidR="00011B02" w:rsidRPr="00F27422" w:rsidRDefault="00011B02" w:rsidP="00122B70">
      <w:pPr>
        <w:bidi/>
        <w:rPr>
          <w:rFonts w:asciiTheme="minorBidi" w:hAnsiTheme="minorBidi"/>
          <w:sz w:val="32"/>
          <w:szCs w:val="32"/>
          <w:rtl/>
        </w:rPr>
      </w:pPr>
      <w:r w:rsidRPr="00F27422">
        <w:rPr>
          <w:rFonts w:asciiTheme="minorBidi" w:hAnsiTheme="minorBidi"/>
          <w:b/>
          <w:bCs/>
          <w:sz w:val="32"/>
          <w:szCs w:val="32"/>
          <w:rtl/>
        </w:rPr>
        <w:t>وحاصل الإشكال:</w:t>
      </w:r>
      <w:r w:rsidRPr="00F27422">
        <w:rPr>
          <w:rFonts w:asciiTheme="minorBidi" w:hAnsiTheme="minorBidi"/>
          <w:sz w:val="32"/>
          <w:szCs w:val="32"/>
          <w:rtl/>
        </w:rPr>
        <w:t xml:space="preserve"> أنّه عند فسخ أحد طرفي العقد يقع الشك في بقاء العقد، ومع الشك في بقاء العقد فالتمسك بـ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تمسكٌ بالعام في الشبهة مصداقية، والتمسك بالعام في الشبهة المصداقية ممنوع عرفاً.</w:t>
      </w:r>
    </w:p>
    <w:p w14:paraId="49D23B05" w14:textId="77777777" w:rsidR="00011B02" w:rsidRPr="00F27422" w:rsidRDefault="00011B02" w:rsidP="00122B70">
      <w:pPr>
        <w:bidi/>
        <w:rPr>
          <w:rFonts w:asciiTheme="minorBidi" w:hAnsiTheme="minorBidi"/>
          <w:sz w:val="32"/>
          <w:szCs w:val="32"/>
          <w:rtl/>
        </w:rPr>
      </w:pPr>
      <w:r w:rsidRPr="00F27422">
        <w:rPr>
          <w:rFonts w:asciiTheme="minorBidi" w:hAnsiTheme="minorBidi"/>
          <w:b/>
          <w:bCs/>
          <w:sz w:val="32"/>
          <w:szCs w:val="32"/>
          <w:rtl/>
        </w:rPr>
        <w:t>والسر في ذلك:</w:t>
      </w:r>
      <w:r w:rsidRPr="00F27422">
        <w:rPr>
          <w:rFonts w:asciiTheme="minorBidi" w:hAnsiTheme="minorBidi"/>
          <w:sz w:val="32"/>
          <w:szCs w:val="32"/>
          <w:rtl/>
        </w:rPr>
        <w:t xml:space="preserve"> أنّ العقد عبارة عن الالتزام من الطرفين؛ لأنّ العقد من المعاقدة وهي الالتزام من الطرفين على إبرام العلقة الوضعية كالملكية أو الزوجية، فإذا رفع أحدهما اليد عن التزامه وذلك بفسخ المعاملة لم يحرز صدق عنوان العقد، ومع عدم إحراز العقد فالتمسك بعموم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بعد فسخ أحدهما تمسك بالدليل في الشبهة المصداقية.</w:t>
      </w:r>
    </w:p>
    <w:p w14:paraId="212F1C70" w14:textId="77777777" w:rsidR="00011B02" w:rsidRPr="00F27422" w:rsidRDefault="00011B02" w:rsidP="00122B70">
      <w:pPr>
        <w:bidi/>
        <w:rPr>
          <w:rFonts w:asciiTheme="minorBidi" w:hAnsiTheme="minorBidi"/>
          <w:b/>
          <w:bCs/>
          <w:sz w:val="32"/>
          <w:szCs w:val="32"/>
          <w:rtl/>
        </w:rPr>
      </w:pPr>
      <w:r w:rsidRPr="00F27422">
        <w:rPr>
          <w:rFonts w:asciiTheme="minorBidi" w:hAnsiTheme="minorBidi"/>
          <w:sz w:val="32"/>
          <w:szCs w:val="32"/>
          <w:rtl/>
        </w:rPr>
        <w:t xml:space="preserve">وكذلك الإشكال في التمسك بقوله تعالى: </w:t>
      </w:r>
      <w:r w:rsidRPr="00F27422">
        <w:rPr>
          <w:rFonts w:asciiTheme="minorBidi" w:hAnsiTheme="minorBidi"/>
          <w:b/>
          <w:bCs/>
          <w:sz w:val="32"/>
          <w:szCs w:val="32"/>
          <w:rtl/>
        </w:rPr>
        <w:t>(يَا أَيُّهَا الَّذِينَ آمَنُوا لَا تَأْكُلُوا أَمْوَالَكُم بَيْنَكُم بِالْبَاطِلِ إِلَّا أَن تَكُونَ تِجَارَةً عَن تَرَاضٍ مِّنكُمْ)</w:t>
      </w:r>
      <w:r w:rsidRPr="00F27422">
        <w:rPr>
          <w:rFonts w:asciiTheme="minorBidi" w:hAnsiTheme="minorBidi"/>
          <w:sz w:val="32"/>
          <w:szCs w:val="32"/>
          <w:rtl/>
        </w:rPr>
        <w:t xml:space="preserve"> [النساء، 29]، فإنّ موضوع الحلية في الآية الشريفة هو كون التجارة عن تراضٍ، فإذا فسخ أحدهما لم يحرز عنوان التراضي كي يكون المورد مشمولاً بدليل </w:t>
      </w:r>
      <w:r w:rsidRPr="00F27422">
        <w:rPr>
          <w:rFonts w:asciiTheme="minorBidi" w:hAnsiTheme="minorBidi"/>
          <w:b/>
          <w:bCs/>
          <w:sz w:val="32"/>
          <w:szCs w:val="32"/>
          <w:rtl/>
        </w:rPr>
        <w:t>(إِلَّا أَن تَكُونَ تِجَارَةً عَن تَرَاضٍ مِّنكُمْ).</w:t>
      </w:r>
    </w:p>
    <w:p w14:paraId="2762C490" w14:textId="5D61B13F"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 xml:space="preserve">فإنْ قلتَ: </w:t>
      </w:r>
      <w:r w:rsidRPr="00F27422">
        <w:rPr>
          <w:rFonts w:asciiTheme="minorBidi" w:hAnsiTheme="minorBidi"/>
          <w:sz w:val="32"/>
          <w:szCs w:val="32"/>
          <w:rtl/>
        </w:rPr>
        <w:t>يمكن إثبات الموضوع بالاستصحاب، أي</w:t>
      </w:r>
      <w:r w:rsidR="00112222" w:rsidRPr="00F27422">
        <w:rPr>
          <w:rFonts w:asciiTheme="minorBidi" w:hAnsiTheme="minorBidi"/>
          <w:sz w:val="32"/>
          <w:szCs w:val="32"/>
          <w:rtl/>
        </w:rPr>
        <w:t xml:space="preserve"> </w:t>
      </w:r>
      <w:r w:rsidRPr="00F27422">
        <w:rPr>
          <w:rFonts w:asciiTheme="minorBidi" w:hAnsiTheme="minorBidi"/>
          <w:sz w:val="32"/>
          <w:szCs w:val="32"/>
          <w:rtl/>
        </w:rPr>
        <w:t>باستصحاب الملكية؛ إذ أنّ منفعة هذه الدار مثلاً قبل فسخ المؤجر كانت ملكاً للمستأجر وبعد فسخ المؤجر يشك المستأجر في بقاء ملكيته لمنفعة الدار، فمقتضى الاستصحاب بقاء الملكية.</w:t>
      </w:r>
    </w:p>
    <w:p w14:paraId="131B93EB"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قلتُ:</w:t>
      </w:r>
      <w:r w:rsidRPr="00F27422">
        <w:rPr>
          <w:rFonts w:asciiTheme="minorBidi" w:hAnsiTheme="minorBidi"/>
          <w:sz w:val="32"/>
          <w:szCs w:val="32"/>
          <w:rtl/>
        </w:rPr>
        <w:t xml:space="preserve"> إنّ استصحاب الملكية مِن قبيل الاستصحاب مع عدم إحراز الموضوع؛ لأنّ الملكية مترتبةٌ على العقد إذ لم تحصل له الملكية بالحيازة، وإنّما حصلت له الملكية ببركة العقد، فمع الشك في العقد أنّه موجود أم لا؟ فلا وجه لاستصحاب الملكية؛ إذ لا معنى لجريان الاستصحاب في المحمول مع عدم إحراز الموضوع - ألا وهو العقد -، فلا يجدي في المقام لا التمسك بـ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للشبهة المصداقية في موضوعه، ولا التشبث بالاستصحاب لعدم إحراز موضوع المستصحب.</w:t>
      </w:r>
    </w:p>
    <w:p w14:paraId="24065C6A"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والجواب عن ذلك:</w:t>
      </w:r>
    </w:p>
    <w:p w14:paraId="23141145"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أولاً: الرد على إشكال الشبهة المصداقية:</w:t>
      </w:r>
    </w:p>
    <w:p w14:paraId="53E757D6" w14:textId="77777777" w:rsidR="00011B02" w:rsidRPr="00F27422" w:rsidRDefault="00011B02" w:rsidP="00122B70">
      <w:pPr>
        <w:bidi/>
        <w:rPr>
          <w:rFonts w:asciiTheme="minorBidi" w:hAnsiTheme="minorBidi"/>
          <w:b/>
          <w:bCs/>
          <w:sz w:val="32"/>
          <w:szCs w:val="32"/>
          <w:rtl/>
        </w:rPr>
      </w:pPr>
      <w:r w:rsidRPr="00F27422">
        <w:rPr>
          <w:rFonts w:asciiTheme="minorBidi" w:hAnsiTheme="minorBidi"/>
          <w:sz w:val="32"/>
          <w:szCs w:val="32"/>
          <w:rtl/>
        </w:rPr>
        <w:lastRenderedPageBreak/>
        <w:t xml:space="preserve">أما بالنسبة لعموم </w:t>
      </w:r>
      <w:r w:rsidRPr="00F27422">
        <w:rPr>
          <w:rFonts w:asciiTheme="minorBidi" w:hAnsiTheme="minorBidi"/>
          <w:b/>
          <w:bCs/>
          <w:sz w:val="32"/>
          <w:szCs w:val="32"/>
          <w:rtl/>
        </w:rPr>
        <w:t xml:space="preserve">(أَوْفُوا بِالْعُقُودِ) </w:t>
      </w:r>
      <w:r w:rsidRPr="00F27422">
        <w:rPr>
          <w:rFonts w:asciiTheme="minorBidi" w:hAnsiTheme="minorBidi"/>
          <w:sz w:val="32"/>
          <w:szCs w:val="32"/>
          <w:rtl/>
        </w:rPr>
        <w:t>ونحوه، فلا ريب في صدق الموضوع عرفاً.</w:t>
      </w:r>
    </w:p>
    <w:p w14:paraId="6D21896D"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والسر في ذلك:</w:t>
      </w:r>
      <w:r w:rsidRPr="00F27422">
        <w:rPr>
          <w:rFonts w:asciiTheme="minorBidi" w:hAnsiTheme="minorBidi"/>
          <w:sz w:val="32"/>
          <w:szCs w:val="32"/>
          <w:rtl/>
        </w:rPr>
        <w:t xml:space="preserve"> أنّ مفاد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الإلزام بترتيب الأثر على ما تعلقت به المعاملة، وكأنّه قال: ما تعلقت به المعاملة بين الطرفين فعلى الطرفين الالتزام به، وهذا معنى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إذ ليس الأمر دائراً مدار كلمة "عين، قاف، دال"؛ بل الأمر دائرٌ مدار قضيةٍ شرطيةٍ وهي: </w:t>
      </w:r>
      <w:r w:rsidRPr="00F27422">
        <w:rPr>
          <w:rFonts w:asciiTheme="minorBidi" w:hAnsiTheme="minorBidi"/>
          <w:b/>
          <w:bCs/>
          <w:sz w:val="32"/>
          <w:szCs w:val="32"/>
          <w:rtl/>
        </w:rPr>
        <w:t>(ما تعلقت به المعاملة الإنشائية التي حدثت بين الطرفين فعلى الطرفين الالتزام به)</w:t>
      </w:r>
      <w:r w:rsidRPr="00F27422">
        <w:rPr>
          <w:rFonts w:asciiTheme="minorBidi" w:hAnsiTheme="minorBidi"/>
          <w:sz w:val="32"/>
          <w:szCs w:val="32"/>
          <w:rtl/>
        </w:rPr>
        <w:t>، ولا إشكال في صدقه عرفاً بعد فسخ أحدهما؛ إذ يصح أنْ يقال بعد فسخ أحدهما أنّ المعاملة التي جرت بينهما على الطرفين الالتزام بمضمونها.</w:t>
      </w:r>
    </w:p>
    <w:p w14:paraId="3AA20EE3" w14:textId="77777777" w:rsidR="00011B02" w:rsidRPr="00F27422" w:rsidRDefault="00011B02" w:rsidP="00122B70">
      <w:pPr>
        <w:bidi/>
        <w:rPr>
          <w:rFonts w:asciiTheme="minorBidi" w:hAnsiTheme="minorBidi"/>
          <w:b/>
          <w:bCs/>
          <w:sz w:val="32"/>
          <w:szCs w:val="32"/>
          <w:rtl/>
        </w:rPr>
      </w:pPr>
      <w:r w:rsidRPr="00F27422">
        <w:rPr>
          <w:rFonts w:asciiTheme="minorBidi" w:hAnsiTheme="minorBidi"/>
          <w:sz w:val="32"/>
          <w:szCs w:val="32"/>
          <w:rtl/>
        </w:rPr>
        <w:t xml:space="preserve">فإنْ كانت المعاملة الجارية بين الطرفين قد تضمنت الاتفاق على أنّ لكلٍّ منهما السلطنة على الفسخ فحينئذٍ الفسخ من أحدهما مؤثرٌ؛ لأنّ المعاملة جرت على ذلك، وأما إذا جرت المعاملة على ثبوت العلقة الوضعية - وهي الملكية - بمجرد الإيجاب والقبول من دون جعل سلطنةٍ لأحدهما على الفسخ، فلا محالة مقتضى عموم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الإلزام بمضمون المعاملة وهو حصول الملكية بالإيجاب والقبول.</w:t>
      </w:r>
    </w:p>
    <w:p w14:paraId="7621F0B4"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والنتيجة:</w:t>
      </w:r>
      <w:r w:rsidRPr="00F27422">
        <w:rPr>
          <w:rFonts w:asciiTheme="minorBidi" w:hAnsiTheme="minorBidi"/>
          <w:sz w:val="32"/>
          <w:szCs w:val="32"/>
          <w:rtl/>
        </w:rPr>
        <w:t xml:space="preserve"> أنّ موضوع قوله تعالى: </w:t>
      </w:r>
      <w:r w:rsidRPr="00F27422">
        <w:rPr>
          <w:rFonts w:asciiTheme="minorBidi" w:hAnsiTheme="minorBidi"/>
          <w:b/>
          <w:bCs/>
          <w:sz w:val="32"/>
          <w:szCs w:val="32"/>
          <w:rtl/>
        </w:rPr>
        <w:t>(يَا أَيُّهَا الَّذِينَ آمَنُوا أَوْفُوا بِالْعُقُودِ)</w:t>
      </w:r>
      <w:r w:rsidRPr="00F27422">
        <w:rPr>
          <w:rFonts w:asciiTheme="minorBidi" w:hAnsiTheme="minorBidi"/>
          <w:sz w:val="32"/>
          <w:szCs w:val="32"/>
          <w:rtl/>
        </w:rPr>
        <w:t xml:space="preserve"> [المائدة، 1]، متحققٌ عرفاً وليس هناك إشكالٌ فيه.</w:t>
      </w:r>
    </w:p>
    <w:p w14:paraId="0F1C2C38" w14:textId="77777777" w:rsidR="00011B02" w:rsidRPr="00F27422" w:rsidRDefault="00011B02" w:rsidP="00122B70">
      <w:pPr>
        <w:bidi/>
        <w:rPr>
          <w:rFonts w:asciiTheme="minorBidi" w:hAnsiTheme="minorBidi"/>
          <w:b/>
          <w:bCs/>
          <w:sz w:val="32"/>
          <w:szCs w:val="32"/>
          <w:rtl/>
        </w:rPr>
      </w:pPr>
      <w:r w:rsidRPr="00F27422">
        <w:rPr>
          <w:rFonts w:asciiTheme="minorBidi" w:hAnsiTheme="minorBidi"/>
          <w:sz w:val="32"/>
          <w:szCs w:val="32"/>
          <w:rtl/>
        </w:rPr>
        <w:t xml:space="preserve">وكذلك بالنسبة لقوله سبحانه وتعالى: </w:t>
      </w:r>
      <w:r w:rsidRPr="00F27422">
        <w:rPr>
          <w:rFonts w:asciiTheme="minorBidi" w:hAnsiTheme="minorBidi"/>
          <w:b/>
          <w:bCs/>
          <w:sz w:val="32"/>
          <w:szCs w:val="32"/>
          <w:rtl/>
        </w:rPr>
        <w:t>(يَا أَيُّهَا الَّذِينَ آمَنُوا لَا تَأْكُلُوا أَمْوَالَكُم بَيْنَكُم بِالْبَاطِلِ إِلَّا أَن تَكُونَ تِجَارَةً عَن تَرَاضٍ مِّنكُمْ)</w:t>
      </w:r>
      <w:r w:rsidRPr="00F27422">
        <w:rPr>
          <w:rFonts w:asciiTheme="minorBidi" w:hAnsiTheme="minorBidi"/>
          <w:sz w:val="32"/>
          <w:szCs w:val="32"/>
          <w:rtl/>
        </w:rPr>
        <w:t xml:space="preserve"> [النساء، 29] فإنّ </w:t>
      </w:r>
      <w:r w:rsidRPr="00F27422">
        <w:rPr>
          <w:rFonts w:asciiTheme="minorBidi" w:hAnsiTheme="minorBidi"/>
          <w:sz w:val="32"/>
          <w:szCs w:val="32"/>
          <w:highlight w:val="yellow"/>
          <w:rtl/>
        </w:rPr>
        <w:t>المقصود بالتراضي ليست التراضي النفسي والقلبي؛ بل المقصود بالتراضي هو التراضي المعاملي</w:t>
      </w:r>
      <w:r w:rsidRPr="00F27422">
        <w:rPr>
          <w:rFonts w:asciiTheme="minorBidi" w:hAnsiTheme="minorBidi"/>
          <w:sz w:val="32"/>
          <w:szCs w:val="32"/>
          <w:rtl/>
        </w:rPr>
        <w:t xml:space="preserve"> بمقتضى السياق، والتراضي المعاملي هو عبارة عن الإيجاب والقبول لا عن إكراهٍ، فمتى تحقق الإيجاب والقبول من الطرفين من دون إكراهٍ صدق على ما حصل أنّه </w:t>
      </w:r>
      <w:r w:rsidRPr="00F27422">
        <w:rPr>
          <w:rFonts w:asciiTheme="minorBidi" w:hAnsiTheme="minorBidi"/>
          <w:b/>
          <w:bCs/>
          <w:sz w:val="32"/>
          <w:szCs w:val="32"/>
          <w:rtl/>
        </w:rPr>
        <w:t>(تِجَارَةً عَن تَرَاضٍ مِّنكُمْ)،</w:t>
      </w:r>
      <w:r w:rsidRPr="00F27422">
        <w:rPr>
          <w:rFonts w:asciiTheme="minorBidi" w:hAnsiTheme="minorBidi"/>
          <w:sz w:val="32"/>
          <w:szCs w:val="32"/>
          <w:rtl/>
        </w:rPr>
        <w:t xml:space="preserve"> وبالتالي فإنّ مقتضى عموم قوله تعالى: (</w:t>
      </w:r>
      <w:r w:rsidRPr="00F27422">
        <w:rPr>
          <w:rFonts w:asciiTheme="minorBidi" w:hAnsiTheme="minorBidi"/>
          <w:b/>
          <w:bCs/>
          <w:sz w:val="32"/>
          <w:szCs w:val="32"/>
          <w:rtl/>
        </w:rPr>
        <w:t>إِلَّا أَن تَكُونَ تِجَارَةً عَن تَرَاضٍ مِّنكُمْ)</w:t>
      </w:r>
      <w:r w:rsidRPr="00F27422">
        <w:rPr>
          <w:rFonts w:asciiTheme="minorBidi" w:hAnsiTheme="minorBidi"/>
          <w:sz w:val="32"/>
          <w:szCs w:val="32"/>
          <w:rtl/>
        </w:rPr>
        <w:t xml:space="preserve"> هو جواز ترتيب الأثر على ما حصل وإنْ فسخ أحدهما؛ لأنّ الموضوع ما زال صادقاً وهو حصول التجارة عن تراضٍ، فالتمسك بعموم </w:t>
      </w:r>
      <w:r w:rsidRPr="00F27422">
        <w:rPr>
          <w:rFonts w:asciiTheme="minorBidi" w:hAnsiTheme="minorBidi"/>
          <w:b/>
          <w:bCs/>
          <w:sz w:val="32"/>
          <w:szCs w:val="32"/>
          <w:rtl/>
        </w:rPr>
        <w:t>(إِلَّا أَن تَكُونَ تِجَارَةً عَن تَرَاضٍ مِّنكُمْ)</w:t>
      </w:r>
      <w:r w:rsidRPr="00F27422">
        <w:rPr>
          <w:rFonts w:asciiTheme="minorBidi" w:hAnsiTheme="minorBidi"/>
          <w:sz w:val="32"/>
          <w:szCs w:val="32"/>
          <w:rtl/>
        </w:rPr>
        <w:t xml:space="preserve"> كالتمسك بعموم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بعد فسخ أحدهما ليس من التمسك بالعام في الشبهة المصداقية لموضوعه كي يقال بأنّه ممنوعٌ عرفاً.</w:t>
      </w:r>
    </w:p>
    <w:p w14:paraId="46D91984" w14:textId="77777777" w:rsidR="00011B02" w:rsidRPr="00F27422" w:rsidRDefault="00011B02" w:rsidP="00122B70">
      <w:pPr>
        <w:pStyle w:val="Heading3"/>
        <w:bidi/>
        <w:rPr>
          <w:rFonts w:asciiTheme="minorBidi" w:hAnsiTheme="minorBidi" w:cstheme="minorBidi"/>
          <w:b/>
          <w:bCs/>
          <w:sz w:val="32"/>
          <w:szCs w:val="32"/>
          <w:rtl/>
        </w:rPr>
      </w:pPr>
      <w:r w:rsidRPr="00F27422">
        <w:rPr>
          <w:rFonts w:asciiTheme="minorBidi" w:hAnsiTheme="minorBidi" w:cstheme="minorBidi"/>
          <w:b/>
          <w:bCs/>
          <w:sz w:val="32"/>
          <w:szCs w:val="32"/>
          <w:rtl/>
        </w:rPr>
        <w:t>وثانياً: الرد على إشكال الاستصحاب:</w:t>
      </w:r>
    </w:p>
    <w:p w14:paraId="11B4A723" w14:textId="1A858724" w:rsidR="00011B02" w:rsidRPr="00F27422" w:rsidRDefault="00011B02" w:rsidP="00122B70">
      <w:pPr>
        <w:bidi/>
        <w:rPr>
          <w:rFonts w:asciiTheme="minorBidi" w:hAnsiTheme="minorBidi"/>
          <w:sz w:val="32"/>
          <w:szCs w:val="32"/>
          <w:rtl/>
        </w:rPr>
      </w:pPr>
      <w:r w:rsidRPr="00F27422">
        <w:rPr>
          <w:rFonts w:asciiTheme="minorBidi" w:hAnsiTheme="minorBidi"/>
          <w:sz w:val="32"/>
          <w:szCs w:val="32"/>
          <w:rtl/>
        </w:rPr>
        <w:t xml:space="preserve">وأما بالنسبة للاستصحاب، فإنّه لا مانع من </w:t>
      </w:r>
      <w:r w:rsidRPr="00F27422">
        <w:rPr>
          <w:rFonts w:asciiTheme="minorBidi" w:hAnsiTheme="minorBidi"/>
          <w:sz w:val="32"/>
          <w:szCs w:val="32"/>
          <w:highlight w:val="yellow"/>
          <w:rtl/>
        </w:rPr>
        <w:t>استصحاب العقد نفسه</w:t>
      </w:r>
      <w:r w:rsidRPr="00F27422">
        <w:rPr>
          <w:rFonts w:asciiTheme="minorBidi" w:hAnsiTheme="minorBidi"/>
          <w:sz w:val="32"/>
          <w:szCs w:val="32"/>
          <w:rtl/>
        </w:rPr>
        <w:t xml:space="preserve">، وليس هناك داعٍ للذهاب إلى استصحاب الملكية، فإنّ مصب الإشكال أنّ استصحاب الملكية مع عدم إحراز بقاء العقد من استصحاب المحمول مع عدم إحراز الموضوع، ولكن لو كان مجرى الاستصحاب هو العقد نفسه فلا محذور فإنّ العقد أمرٌ اعتباري قابلٌ للبقاء والاستمرار في وعاء الاعتبار </w:t>
      </w:r>
      <w:r w:rsidRPr="00F27422">
        <w:rPr>
          <w:rFonts w:asciiTheme="minorBidi" w:hAnsiTheme="minorBidi"/>
          <w:sz w:val="32"/>
          <w:szCs w:val="32"/>
          <w:rtl/>
        </w:rPr>
        <w:lastRenderedPageBreak/>
        <w:t xml:space="preserve">العقلائي والشاهد على ذلك قابليته للفسخ بأحد أسبابه كالغبن والعيب وتخلف الشرط، وكذلك قول الإمام الصادق (عليه السلام) كما في الوسائل: </w:t>
      </w:r>
      <w:r w:rsidRPr="00F27422">
        <w:rPr>
          <w:rFonts w:asciiTheme="minorBidi" w:hAnsiTheme="minorBidi"/>
          <w:b/>
          <w:bCs/>
          <w:sz w:val="32"/>
          <w:szCs w:val="32"/>
          <w:rtl/>
        </w:rPr>
        <w:t>(وعن علي، عن أبيه، عن ابن أبي عمير، عن حماد، عن الحلبي، عن أبي عبدالله (عليه‌ السلام) قال: أيما رجل اشترى من رجل بيعا فهما بالخيار حتى يفترقا، فاذا افترقا وجب البيع).</w:t>
      </w:r>
      <w:r w:rsidRPr="00F27422">
        <w:rPr>
          <w:rFonts w:asciiTheme="minorBidi" w:hAnsiTheme="minorBidi"/>
          <w:sz w:val="32"/>
          <w:szCs w:val="32"/>
          <w:rtl/>
        </w:rPr>
        <w:t xml:space="preserve"> [وسائل الشيعة، الحر العاملي، تحقيق مؤسسة آل البيت (عليهم السلام) لإحياء التراث، كتاب التجارة، أبواب الخيار، الباب 1 باب ثبوت خيار المجلس للبائع والمشتري ما لم يتفرقا، ج18، ح4]. فإنّ قابلية العقد للوجوب والفسخ شاهدٌ على أنّ له </w:t>
      </w:r>
      <w:proofErr w:type="spellStart"/>
      <w:r w:rsidRPr="00F27422">
        <w:rPr>
          <w:rFonts w:asciiTheme="minorBidi" w:hAnsiTheme="minorBidi"/>
          <w:sz w:val="32"/>
          <w:szCs w:val="32"/>
          <w:rtl/>
        </w:rPr>
        <w:t>بقاءاً</w:t>
      </w:r>
      <w:proofErr w:type="spellEnd"/>
      <w:r w:rsidRPr="00F27422">
        <w:rPr>
          <w:rFonts w:asciiTheme="minorBidi" w:hAnsiTheme="minorBidi"/>
          <w:sz w:val="32"/>
          <w:szCs w:val="32"/>
          <w:rtl/>
        </w:rPr>
        <w:t xml:space="preserve"> واستمراراً في وعاء الاعتبار، وليس عملاً آنياً،</w:t>
      </w:r>
      <w:r w:rsidR="00112222" w:rsidRPr="00F27422">
        <w:rPr>
          <w:rFonts w:asciiTheme="minorBidi" w:hAnsiTheme="minorBidi"/>
          <w:sz w:val="32"/>
          <w:szCs w:val="32"/>
          <w:rtl/>
        </w:rPr>
        <w:t xml:space="preserve"> </w:t>
      </w:r>
      <w:r w:rsidRPr="00F27422">
        <w:rPr>
          <w:rFonts w:asciiTheme="minorBidi" w:hAnsiTheme="minorBidi"/>
          <w:sz w:val="32"/>
          <w:szCs w:val="32"/>
          <w:rtl/>
        </w:rPr>
        <w:t xml:space="preserve">نظيرُ الإحرام - كما ذهبنا إليه في بحث الحج - من أنّ الإحرام ليس هو عبارة عن التلبية؛ بل التلبية منشأٌ لحصول أمرٍ اعتباريٍّ ألّا وهو كون المكلف مُحْرِماً تحرم عليه عدة من المحظورات كالمخيط </w:t>
      </w:r>
      <w:proofErr w:type="spellStart"/>
      <w:r w:rsidRPr="00F27422">
        <w:rPr>
          <w:rFonts w:asciiTheme="minorBidi" w:hAnsiTheme="minorBidi"/>
          <w:sz w:val="32"/>
          <w:szCs w:val="32"/>
          <w:rtl/>
        </w:rPr>
        <w:t>والاستظلال</w:t>
      </w:r>
      <w:proofErr w:type="spellEnd"/>
      <w:r w:rsidRPr="00F27422">
        <w:rPr>
          <w:rFonts w:asciiTheme="minorBidi" w:hAnsiTheme="minorBidi"/>
          <w:sz w:val="32"/>
          <w:szCs w:val="32"/>
          <w:rtl/>
        </w:rPr>
        <w:t xml:space="preserve"> وقص الأظافر والتطيب ونحو ذلك، فمثلاً: لو أنّ المكلف قصر له</w:t>
      </w:r>
      <w:r w:rsidR="00112222" w:rsidRPr="00F27422">
        <w:rPr>
          <w:rFonts w:asciiTheme="minorBidi" w:hAnsiTheme="minorBidi"/>
          <w:sz w:val="32"/>
          <w:szCs w:val="32"/>
          <w:rtl/>
        </w:rPr>
        <w:t xml:space="preserve"> </w:t>
      </w:r>
      <w:r w:rsidRPr="00F27422">
        <w:rPr>
          <w:rFonts w:asciiTheme="minorBidi" w:hAnsiTheme="minorBidi"/>
          <w:sz w:val="32"/>
          <w:szCs w:val="32"/>
          <w:rtl/>
        </w:rPr>
        <w:t>غيره الذي لم يقصر، فشك المكلف بأنّه هل خرج من الإحرام بتقصير غيره أم لا؟ فإنّه يستطيع أنْ يستصحب بقاء الإحرام؛ لأنّ الإحرام أمرٌ اعتباريٌّ قابل للاستمرار في وعاء الاعتبار، فكذلك عنوان العقد قابلٌ للاستمرار في وعاء الاعتبار، فالمستصحب نفس الموضوع وهو العقد، وإذا ثبت العقد بالاستصحاب ترتبت عليه آثاره ومنها بقاء الملكية ووجوب التسليم.</w:t>
      </w:r>
    </w:p>
    <w:p w14:paraId="5A7C9672" w14:textId="77777777" w:rsidR="00011B02" w:rsidRPr="00F27422" w:rsidRDefault="00011B02" w:rsidP="00122B70">
      <w:pPr>
        <w:pStyle w:val="Heading3"/>
        <w:bidi/>
        <w:rPr>
          <w:rFonts w:asciiTheme="minorBidi" w:hAnsiTheme="minorBidi" w:cstheme="minorBidi"/>
          <w:b/>
          <w:bCs/>
          <w:sz w:val="32"/>
          <w:szCs w:val="32"/>
          <w:rtl/>
        </w:rPr>
      </w:pPr>
      <w:r w:rsidRPr="00F27422">
        <w:rPr>
          <w:rFonts w:asciiTheme="minorBidi" w:hAnsiTheme="minorBidi" w:cstheme="minorBidi"/>
          <w:b/>
          <w:bCs/>
          <w:sz w:val="32"/>
          <w:szCs w:val="32"/>
          <w:rtl/>
        </w:rPr>
        <w:t>المطلب الرابع:</w:t>
      </w:r>
      <w:r w:rsidRPr="00F27422">
        <w:rPr>
          <w:rFonts w:asciiTheme="minorBidi" w:hAnsiTheme="minorBidi" w:cstheme="minorBidi"/>
          <w:sz w:val="32"/>
          <w:szCs w:val="32"/>
          <w:rtl/>
        </w:rPr>
        <w:t xml:space="preserve"> قال سيد العروة (قدس سره الشريف): </w:t>
      </w:r>
      <w:r w:rsidRPr="00F27422">
        <w:rPr>
          <w:rFonts w:asciiTheme="minorBidi" w:hAnsiTheme="minorBidi" w:cstheme="minorBidi"/>
          <w:b/>
          <w:bCs/>
          <w:sz w:val="32"/>
          <w:szCs w:val="32"/>
          <w:rtl/>
        </w:rPr>
        <w:t xml:space="preserve">(الإجارة من العقود اللازمة، لا تنفسخ إلّا </w:t>
      </w:r>
      <w:proofErr w:type="spellStart"/>
      <w:r w:rsidRPr="00F27422">
        <w:rPr>
          <w:rFonts w:asciiTheme="minorBidi" w:hAnsiTheme="minorBidi" w:cstheme="minorBidi"/>
          <w:b/>
          <w:bCs/>
          <w:sz w:val="32"/>
          <w:szCs w:val="32"/>
          <w:rtl/>
        </w:rPr>
        <w:t>بالتقايل</w:t>
      </w:r>
      <w:proofErr w:type="spellEnd"/>
      <w:r w:rsidRPr="00F27422">
        <w:rPr>
          <w:rFonts w:asciiTheme="minorBidi" w:hAnsiTheme="minorBidi" w:cstheme="minorBidi"/>
          <w:b/>
          <w:bCs/>
          <w:sz w:val="32"/>
          <w:szCs w:val="32"/>
          <w:rtl/>
        </w:rPr>
        <w:t>).</w:t>
      </w:r>
    </w:p>
    <w:p w14:paraId="78A47E1C" w14:textId="77777777" w:rsidR="00011B02" w:rsidRPr="00F27422" w:rsidRDefault="00011B02" w:rsidP="00122B70">
      <w:pPr>
        <w:bidi/>
        <w:rPr>
          <w:rFonts w:asciiTheme="minorBidi" w:hAnsiTheme="minorBidi"/>
          <w:b/>
          <w:bCs/>
          <w:sz w:val="32"/>
          <w:szCs w:val="32"/>
          <w:rtl/>
        </w:rPr>
      </w:pPr>
      <w:r w:rsidRPr="00F27422">
        <w:rPr>
          <w:rFonts w:asciiTheme="minorBidi" w:hAnsiTheme="minorBidi"/>
          <w:sz w:val="32"/>
          <w:szCs w:val="32"/>
          <w:rtl/>
        </w:rPr>
        <w:t>وهذا ما أوقع الأعلام في البحث، فإنّه لا إشكال في مشروعية سائر أسباب الفسخ الأُخرى غير الإقالة كشرط الخيار في العقد لأحدهما أو لكليهما أو لثالثٍ، أو تحقق أحد أسباب الخيار من الغبن أو العيب فكلُّ هذه الأسباب لا إشكال في مشروعيتها، وإنّما الكلام في التقايل فإنّه بعد أن حصل العقد ولم يؤخذ فيه أنّ لأحدهما السلطنة على الفسخ، فكيف ينفسخ العقد بالإقالة بعد حصوله؟ فإنّ المفروض هو أنّ العقد الذي تحقق من دون جعلِ سلطنةٍ لا لكليهما ولا لأحدهما على هدمه سببٌ تامٌ لحصول الملكية ولبقائها، فانتفاء العقد بالإقالة مما يحتاج إلى دليل.</w:t>
      </w:r>
    </w:p>
    <w:p w14:paraId="5986EB30"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لذلك وقع البحث في انهدام العقد بالإقالة على ثلاثة أنظار:</w:t>
      </w:r>
    </w:p>
    <w:p w14:paraId="27F96363"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النظرُ الأول:</w:t>
      </w:r>
      <w:r w:rsidRPr="00F27422">
        <w:rPr>
          <w:rFonts w:asciiTheme="minorBidi" w:hAnsiTheme="minorBidi"/>
          <w:sz w:val="32"/>
          <w:szCs w:val="32"/>
          <w:rtl/>
        </w:rPr>
        <w:t xml:space="preserve"> اختصاص مشروعية الإقالة بباب البيع ولا تشمل جميع العقود.</w:t>
      </w:r>
    </w:p>
    <w:p w14:paraId="2566835D" w14:textId="77777777" w:rsidR="00011B02" w:rsidRPr="00F27422" w:rsidRDefault="00011B02" w:rsidP="00122B70">
      <w:pPr>
        <w:bidi/>
        <w:rPr>
          <w:rFonts w:asciiTheme="minorBidi" w:hAnsiTheme="minorBidi"/>
          <w:b/>
          <w:bCs/>
          <w:sz w:val="32"/>
          <w:szCs w:val="32"/>
          <w:rtl/>
        </w:rPr>
      </w:pPr>
      <w:r w:rsidRPr="00F27422">
        <w:rPr>
          <w:rFonts w:asciiTheme="minorBidi" w:hAnsiTheme="minorBidi"/>
          <w:sz w:val="32"/>
          <w:szCs w:val="32"/>
          <w:rtl/>
        </w:rPr>
        <w:t xml:space="preserve">وهذا ما أشار إليه المحقق الأصفهاني (أعلى الله مقامه) في كتاب [الإجارة، مؤسسة النشر الإسلامي التابعة لجماعة المدرسين بقم المشرفة، ص10] حيث قال: </w:t>
      </w:r>
      <w:r w:rsidRPr="00F27422">
        <w:rPr>
          <w:rFonts w:asciiTheme="minorBidi" w:hAnsiTheme="minorBidi"/>
          <w:b/>
          <w:bCs/>
          <w:sz w:val="32"/>
          <w:szCs w:val="32"/>
          <w:rtl/>
        </w:rPr>
        <w:t>(ينفسخ عقد الإجارة كالبيع بالإقالة بتراضي الطرفين على فسخ العقد، وهو مما لا خلاف فيه)</w:t>
      </w:r>
      <w:r w:rsidRPr="00F27422">
        <w:rPr>
          <w:rFonts w:asciiTheme="minorBidi" w:hAnsiTheme="minorBidi"/>
          <w:sz w:val="32"/>
          <w:szCs w:val="32"/>
          <w:rtl/>
        </w:rPr>
        <w:t xml:space="preserve"> أي لا خلاف فيه بين القوم </w:t>
      </w:r>
      <w:r w:rsidRPr="00F27422">
        <w:rPr>
          <w:rFonts w:asciiTheme="minorBidi" w:hAnsiTheme="minorBidi"/>
          <w:b/>
          <w:bCs/>
          <w:sz w:val="32"/>
          <w:szCs w:val="32"/>
          <w:rtl/>
        </w:rPr>
        <w:t>(إلا أن الأدلة اللفظية قاصرة عن شمولها لما عدا البيع)</w:t>
      </w:r>
      <w:r w:rsidRPr="00F27422">
        <w:rPr>
          <w:rFonts w:asciiTheme="minorBidi" w:hAnsiTheme="minorBidi"/>
          <w:sz w:val="32"/>
          <w:szCs w:val="32"/>
          <w:rtl/>
        </w:rPr>
        <w:t xml:space="preserve"> فكلُّ الأخبار الواردة في </w:t>
      </w:r>
      <w:r w:rsidRPr="00F27422">
        <w:rPr>
          <w:rFonts w:asciiTheme="minorBidi" w:hAnsiTheme="minorBidi"/>
          <w:sz w:val="32"/>
          <w:szCs w:val="32"/>
          <w:rtl/>
        </w:rPr>
        <w:lastRenderedPageBreak/>
        <w:t>الإقالة واردةٌ في البيع (</w:t>
      </w:r>
      <w:r w:rsidRPr="00F27422">
        <w:rPr>
          <w:rFonts w:asciiTheme="minorBidi" w:hAnsiTheme="minorBidi"/>
          <w:b/>
          <w:bCs/>
          <w:sz w:val="32"/>
          <w:szCs w:val="32"/>
          <w:rtl/>
        </w:rPr>
        <w:t xml:space="preserve">فإن خبر ابن حمزة هكذا: "أيما عبد أقال مسلما في بيع" الخبر، ومرسل الفقيه: "أيما مسلم أقال مسلما ندامة في البيع"، ومرسل الجعفري: "إن رسول الله (صلى الله عليه وآله) لم يأذن لحكيم بن حزام في التجارة حتى ضمن له) </w:t>
      </w:r>
      <w:r w:rsidRPr="00F27422">
        <w:rPr>
          <w:rFonts w:asciiTheme="minorBidi" w:hAnsiTheme="minorBidi"/>
          <w:sz w:val="32"/>
          <w:szCs w:val="32"/>
          <w:rtl/>
        </w:rPr>
        <w:t xml:space="preserve">أي حكيم </w:t>
      </w:r>
      <w:r w:rsidRPr="00F27422">
        <w:rPr>
          <w:rFonts w:asciiTheme="minorBidi" w:hAnsiTheme="minorBidi"/>
          <w:b/>
          <w:bCs/>
          <w:sz w:val="32"/>
          <w:szCs w:val="32"/>
          <w:rtl/>
        </w:rPr>
        <w:t>(إقالة النادم، والظاهر من التجارة هو البيع والشراء، وأما خبر سماعة بن مهران: "أربعة ينظر الله إليهم يوم القيامة أحدهم من أقال نادما" الخبر، فلا إطلاق له بل المراد إقالة النادم في مورد مشروعيتها)</w:t>
      </w:r>
      <w:r w:rsidRPr="00F27422">
        <w:rPr>
          <w:rFonts w:asciiTheme="minorBidi" w:hAnsiTheme="minorBidi"/>
          <w:sz w:val="32"/>
          <w:szCs w:val="32"/>
          <w:rtl/>
        </w:rPr>
        <w:t xml:space="preserve"> أي ليست الرواية في مقام بيان مشروعية الإقالة كي نتمسك بإطلاقها؛ وإنما هيّ في مقام بيان أنّ مَن أقال نادماً فله أجر، وهذا فرع أنْ تكون الإقالة مشروعةٌ وإلّا فالإقالة غير المشروعة ليس لها أجرٌ، فبما أنّه في مقام بيان أنّ مَن أقال نادماً فله أجرٌ فلا بُدّ في رتبةٍ سابقة من إثبات أنّ الإقالة في الإجارة مشروعة، وهذا هو أول الكلام </w:t>
      </w:r>
      <w:r w:rsidRPr="00F27422">
        <w:rPr>
          <w:rFonts w:asciiTheme="minorBidi" w:hAnsiTheme="minorBidi"/>
          <w:b/>
          <w:bCs/>
          <w:sz w:val="32"/>
          <w:szCs w:val="32"/>
          <w:rtl/>
        </w:rPr>
        <w:t xml:space="preserve">(فهو كما إذا قيل: إن من تزوج فله ثواب كذا أي بشرائطه، فلا يؤخذ بإطلاقه) </w:t>
      </w:r>
      <w:r w:rsidRPr="00F27422">
        <w:rPr>
          <w:rFonts w:asciiTheme="minorBidi" w:hAnsiTheme="minorBidi"/>
          <w:sz w:val="32"/>
          <w:szCs w:val="32"/>
          <w:rtl/>
        </w:rPr>
        <w:t>لإثبات مشروعية الزواج حتى بالكافرة غير الكتابية، فالأمرُ ليس كذلك؛ لأنّه في مقام بيان الأجر وهو فرع مشروعية الزواج في نفسه.</w:t>
      </w:r>
    </w:p>
    <w:p w14:paraId="68CA5BAD" w14:textId="77777777" w:rsidR="00011B02" w:rsidRPr="00F27422" w:rsidRDefault="00011B02" w:rsidP="00122B70">
      <w:pPr>
        <w:bidi/>
        <w:rPr>
          <w:rFonts w:asciiTheme="minorBidi" w:hAnsiTheme="minorBidi"/>
          <w:b/>
          <w:bCs/>
          <w:sz w:val="32"/>
          <w:szCs w:val="32"/>
          <w:rtl/>
        </w:rPr>
      </w:pPr>
      <w:r w:rsidRPr="00F27422">
        <w:rPr>
          <w:rFonts w:asciiTheme="minorBidi" w:hAnsiTheme="minorBidi"/>
          <w:sz w:val="32"/>
          <w:szCs w:val="32"/>
          <w:rtl/>
        </w:rPr>
        <w:t>هذا هو النظرُ الأول، ويأتي النقاشُ فيه.</w:t>
      </w:r>
    </w:p>
    <w:p w14:paraId="362BF455"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 xml:space="preserve">النظرُ الثاني: </w:t>
      </w:r>
      <w:r w:rsidRPr="00F27422">
        <w:rPr>
          <w:rFonts w:asciiTheme="minorBidi" w:hAnsiTheme="minorBidi"/>
          <w:sz w:val="32"/>
          <w:szCs w:val="32"/>
          <w:rtl/>
        </w:rPr>
        <w:t xml:space="preserve">أنّ الإقالة عقدٌ مستقلٌ، فالإقالة في حدّ ذاتها هيّ عقدٌ، وبما أنّها عقدٌ مستقلٌ متعارفٌ بين العقلاء شمله قوله تعالى: </w:t>
      </w:r>
      <w:r w:rsidRPr="00F27422">
        <w:rPr>
          <w:rFonts w:asciiTheme="minorBidi" w:hAnsiTheme="minorBidi"/>
          <w:b/>
          <w:bCs/>
          <w:sz w:val="32"/>
          <w:szCs w:val="32"/>
          <w:rtl/>
        </w:rPr>
        <w:t>(يَا أَيُّهَا الَّذِينَ آمَنُوا أَوْفُوا بِالْعُقُودِ)</w:t>
      </w:r>
      <w:r w:rsidRPr="00F27422">
        <w:rPr>
          <w:rFonts w:asciiTheme="minorBidi" w:hAnsiTheme="minorBidi"/>
          <w:sz w:val="32"/>
          <w:szCs w:val="32"/>
          <w:rtl/>
        </w:rPr>
        <w:t xml:space="preserve"> [المائدة، 1]، فكما أنّ الإجارة عقدٌ نتيجته الملكية كذلك الإقالة عقدٌ نتيجته رجوع مال كلّ شخصٍ إلى صاحبه، فبما أنّ الإقالة عقدٌ يشمله </w:t>
      </w:r>
      <w:r w:rsidRPr="00F27422">
        <w:rPr>
          <w:rFonts w:asciiTheme="minorBidi" w:hAnsiTheme="minorBidi"/>
          <w:b/>
          <w:bCs/>
          <w:sz w:val="32"/>
          <w:szCs w:val="32"/>
          <w:rtl/>
        </w:rPr>
        <w:t>(أَوْفُوا بِالْعُقُودِ)</w:t>
      </w:r>
      <w:r w:rsidRPr="00F27422">
        <w:rPr>
          <w:rFonts w:asciiTheme="minorBidi" w:hAnsiTheme="minorBidi"/>
          <w:sz w:val="32"/>
          <w:szCs w:val="32"/>
          <w:rtl/>
        </w:rPr>
        <w:t>، فما هي المشكلة في ذلك؟!</w:t>
      </w:r>
    </w:p>
    <w:p w14:paraId="4F493DB7" w14:textId="77777777" w:rsidR="00011B02" w:rsidRPr="00F27422" w:rsidRDefault="00011B02" w:rsidP="00122B70">
      <w:pPr>
        <w:bidi/>
        <w:rPr>
          <w:rFonts w:asciiTheme="minorBidi" w:hAnsiTheme="minorBidi"/>
          <w:b/>
          <w:bCs/>
          <w:sz w:val="32"/>
          <w:szCs w:val="32"/>
          <w:rtl/>
        </w:rPr>
      </w:pPr>
      <w:r w:rsidRPr="00F27422">
        <w:rPr>
          <w:rFonts w:asciiTheme="minorBidi" w:hAnsiTheme="minorBidi"/>
          <w:sz w:val="32"/>
          <w:szCs w:val="32"/>
          <w:rtl/>
        </w:rPr>
        <w:t xml:space="preserve">وهذا النظرُ الثاني قد أشار إليه المحقق الأصفهاني (قدس سره الشريف) في كتابه [الإجارة، مؤسسة النشر الإسلامي التابعة لجماعة المدرسين بقم المشرفة، ص10 - 11] حيث قال: </w:t>
      </w:r>
      <w:r w:rsidRPr="00F27422">
        <w:rPr>
          <w:rFonts w:asciiTheme="minorBidi" w:hAnsiTheme="minorBidi"/>
          <w:b/>
          <w:bCs/>
          <w:sz w:val="32"/>
          <w:szCs w:val="32"/>
          <w:rtl/>
        </w:rPr>
        <w:t>(نعم إذا قلنا بأن التقابل من العقود كما في بعض الكلمات، وهو قطعا من العقود المتعارفة، فهو كسائر العقود المتعارفة المشمولة للأدلة العامة صحة ولزوما، فلا يحتاج إلى دليل بالخصوص في كل باب).</w:t>
      </w:r>
    </w:p>
    <w:p w14:paraId="47D17158"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النظر الثالث:</w:t>
      </w:r>
      <w:r w:rsidRPr="00F27422">
        <w:rPr>
          <w:rFonts w:asciiTheme="minorBidi" w:hAnsiTheme="minorBidi"/>
          <w:sz w:val="32"/>
          <w:szCs w:val="32"/>
          <w:rtl/>
        </w:rPr>
        <w:t xml:space="preserve"> أنّ الإقالة على طبق القاعدة، وعلى ذلك فلا نحتاج إلى دليل </w:t>
      </w:r>
      <w:r w:rsidRPr="00F27422">
        <w:rPr>
          <w:rFonts w:asciiTheme="minorBidi" w:hAnsiTheme="minorBidi"/>
          <w:b/>
          <w:bCs/>
          <w:sz w:val="32"/>
          <w:szCs w:val="32"/>
          <w:rtl/>
        </w:rPr>
        <w:t>(يَا أَيُّهَا الَّذِينَ آمَنُوا أَوْفُوا بِالْعُقُودِ)</w:t>
      </w:r>
      <w:r w:rsidRPr="00F27422">
        <w:rPr>
          <w:rFonts w:asciiTheme="minorBidi" w:hAnsiTheme="minorBidi"/>
          <w:sz w:val="32"/>
          <w:szCs w:val="32"/>
          <w:rtl/>
        </w:rPr>
        <w:t xml:space="preserve"> ولا نحتاج إلى النصوص كي يقال: بأنّ النصوص واردةٌ في البيع، فإنّ الحاجة إلى التمسك بالنصوص هو فرعُ كون الإقالة مخالفة للقاعدة، فيقال: بما أنّ الإقالة مخالفةٌ للقاعدة فلا مخرج عن القاعدة إلّا بمقدار ما دلت عليه النصوص، وما دلت عليه النصوص الإقالة في البيع فيُقتصر على موردها، </w:t>
      </w:r>
      <w:proofErr w:type="gramStart"/>
      <w:r w:rsidRPr="00F27422">
        <w:rPr>
          <w:rFonts w:asciiTheme="minorBidi" w:hAnsiTheme="minorBidi"/>
          <w:sz w:val="32"/>
          <w:szCs w:val="32"/>
          <w:rtl/>
        </w:rPr>
        <w:t>وفي ما</w:t>
      </w:r>
      <w:proofErr w:type="gramEnd"/>
      <w:r w:rsidRPr="00F27422">
        <w:rPr>
          <w:rFonts w:asciiTheme="minorBidi" w:hAnsiTheme="minorBidi"/>
          <w:sz w:val="32"/>
          <w:szCs w:val="32"/>
          <w:rtl/>
        </w:rPr>
        <w:t xml:space="preserve"> عداها يرجع إلى مقتضى القاعدة ومقتضى القاعدة أنّ الإقالة غير نافذة.</w:t>
      </w:r>
    </w:p>
    <w:p w14:paraId="48F60AF8" w14:textId="4059952C"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lastRenderedPageBreak/>
        <w:t xml:space="preserve">لكن الصحيح: </w:t>
      </w:r>
      <w:r w:rsidRPr="00F27422">
        <w:rPr>
          <w:rFonts w:asciiTheme="minorBidi" w:hAnsiTheme="minorBidi"/>
          <w:sz w:val="32"/>
          <w:szCs w:val="32"/>
          <w:rtl/>
        </w:rPr>
        <w:t>أنّ الإقالة على طبق القاعدة، فحتى لو اختصت النصوص بالبيع فلا أثرَ لها، مضافاً لإلغاء العرف خصوصية البيع دون باقي المعاوضات،</w:t>
      </w:r>
      <w:r w:rsidR="00112222" w:rsidRPr="00F27422">
        <w:rPr>
          <w:rFonts w:asciiTheme="minorBidi" w:hAnsiTheme="minorBidi"/>
          <w:sz w:val="32"/>
          <w:szCs w:val="32"/>
          <w:rtl/>
        </w:rPr>
        <w:t xml:space="preserve"> </w:t>
      </w:r>
      <w:r w:rsidRPr="00F27422">
        <w:rPr>
          <w:rFonts w:asciiTheme="minorBidi" w:hAnsiTheme="minorBidi"/>
          <w:sz w:val="32"/>
          <w:szCs w:val="32"/>
          <w:rtl/>
        </w:rPr>
        <w:t xml:space="preserve">ولا حاجة في نفوذ الإقالة إلى التمسك بـ </w:t>
      </w:r>
      <w:r w:rsidRPr="00F27422">
        <w:rPr>
          <w:rFonts w:asciiTheme="minorBidi" w:hAnsiTheme="minorBidi"/>
          <w:b/>
          <w:bCs/>
          <w:sz w:val="32"/>
          <w:szCs w:val="32"/>
          <w:rtl/>
        </w:rPr>
        <w:t>(أَوْفُوا بِالْعُقُودِ).</w:t>
      </w:r>
    </w:p>
    <w:p w14:paraId="220FA94F"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والسر في ذلك أحد وجهين:</w:t>
      </w:r>
    </w:p>
    <w:p w14:paraId="4DDEEDAD"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 xml:space="preserve">الوجه الأول: </w:t>
      </w:r>
      <w:r w:rsidRPr="00F27422">
        <w:rPr>
          <w:rFonts w:asciiTheme="minorBidi" w:hAnsiTheme="minorBidi"/>
          <w:sz w:val="32"/>
          <w:szCs w:val="32"/>
          <w:rtl/>
        </w:rPr>
        <w:t xml:space="preserve">أنّ المعاقدة التي هي الموضوع لقوله تعالى: </w:t>
      </w:r>
      <w:r w:rsidRPr="00F27422">
        <w:rPr>
          <w:rFonts w:asciiTheme="minorBidi" w:hAnsiTheme="minorBidi"/>
          <w:b/>
          <w:bCs/>
          <w:sz w:val="32"/>
          <w:szCs w:val="32"/>
          <w:rtl/>
        </w:rPr>
        <w:t>(يَا أَيُّهَا الَّذِينَ آمَنُوا أَوْفُوا بِالْعُقُودِ)</w:t>
      </w:r>
      <w:r w:rsidRPr="00F27422">
        <w:rPr>
          <w:rFonts w:asciiTheme="minorBidi" w:hAnsiTheme="minorBidi"/>
          <w:sz w:val="32"/>
          <w:szCs w:val="32"/>
          <w:rtl/>
        </w:rPr>
        <w:t xml:space="preserve"> متقومةٌ بالالتزامين من الطرفين، فإذا اتفق الطرفان على رفع اليد عن التزامهما ارتفع عنوان المعاقدة فلا يشملهما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لتوافقهما على رفع اليد عن </w:t>
      </w:r>
      <w:proofErr w:type="spellStart"/>
      <w:r w:rsidRPr="00F27422">
        <w:rPr>
          <w:rFonts w:asciiTheme="minorBidi" w:hAnsiTheme="minorBidi"/>
          <w:sz w:val="32"/>
          <w:szCs w:val="32"/>
          <w:rtl/>
        </w:rPr>
        <w:t>الإلتزامين</w:t>
      </w:r>
      <w:proofErr w:type="spellEnd"/>
      <w:r w:rsidRPr="00F27422">
        <w:rPr>
          <w:rFonts w:asciiTheme="minorBidi" w:hAnsiTheme="minorBidi"/>
          <w:sz w:val="32"/>
          <w:szCs w:val="32"/>
          <w:rtl/>
        </w:rPr>
        <w:t xml:space="preserve">، فلا معاقدة كي يكون المورد مندرجاً تحت قوله سبحانه: </w:t>
      </w:r>
      <w:r w:rsidRPr="00F27422">
        <w:rPr>
          <w:rFonts w:asciiTheme="minorBidi" w:hAnsiTheme="minorBidi"/>
          <w:b/>
          <w:bCs/>
          <w:sz w:val="32"/>
          <w:szCs w:val="32"/>
          <w:rtl/>
        </w:rPr>
        <w:t>(يَا أَيُّهَا الَّذِينَ آمَنُوا أَوْفُوا بِالْعُقُودِ).</w:t>
      </w:r>
    </w:p>
    <w:p w14:paraId="7C50E59A" w14:textId="77777777" w:rsidR="00011B02" w:rsidRPr="00F27422" w:rsidRDefault="00011B02" w:rsidP="00122B70">
      <w:pPr>
        <w:bidi/>
        <w:rPr>
          <w:rFonts w:asciiTheme="minorBidi" w:hAnsiTheme="minorBidi"/>
          <w:b/>
          <w:bCs/>
          <w:sz w:val="32"/>
          <w:szCs w:val="32"/>
          <w:rtl/>
        </w:rPr>
      </w:pPr>
      <w:r w:rsidRPr="00F27422">
        <w:rPr>
          <w:rFonts w:asciiTheme="minorBidi" w:hAnsiTheme="minorBidi"/>
          <w:sz w:val="32"/>
          <w:szCs w:val="32"/>
          <w:rtl/>
        </w:rPr>
        <w:t>وبالتالي فالإقالة على طبق القاعدة.</w:t>
      </w:r>
    </w:p>
    <w:p w14:paraId="46854A64" w14:textId="77777777" w:rsidR="00011B02" w:rsidRPr="00F27422" w:rsidRDefault="00011B02" w:rsidP="00122B70">
      <w:pPr>
        <w:bidi/>
        <w:rPr>
          <w:rFonts w:asciiTheme="minorBidi" w:hAnsiTheme="minorBidi"/>
          <w:sz w:val="32"/>
          <w:szCs w:val="32"/>
          <w:rtl/>
        </w:rPr>
      </w:pPr>
      <w:r w:rsidRPr="00F27422">
        <w:rPr>
          <w:rFonts w:asciiTheme="minorBidi" w:hAnsiTheme="minorBidi"/>
          <w:b/>
          <w:bCs/>
          <w:sz w:val="32"/>
          <w:szCs w:val="32"/>
          <w:rtl/>
        </w:rPr>
        <w:t xml:space="preserve">ولكن يلاحظ على ذلك: </w:t>
      </w:r>
      <w:r w:rsidRPr="00F27422">
        <w:rPr>
          <w:rFonts w:asciiTheme="minorBidi" w:hAnsiTheme="minorBidi"/>
          <w:sz w:val="32"/>
          <w:szCs w:val="32"/>
          <w:rtl/>
        </w:rPr>
        <w:t xml:space="preserve">كما ذكر جملةٌ من الأعلام: أنّ العقد اعتبارٌ قانونيٌّ مستندٌ لأسبابٍ شرعيةٍ </w:t>
      </w:r>
      <w:proofErr w:type="spellStart"/>
      <w:r w:rsidRPr="00F27422">
        <w:rPr>
          <w:rFonts w:asciiTheme="minorBidi" w:hAnsiTheme="minorBidi"/>
          <w:sz w:val="32"/>
          <w:szCs w:val="32"/>
          <w:rtl/>
        </w:rPr>
        <w:t>وعقلائيةٍ</w:t>
      </w:r>
      <w:proofErr w:type="spellEnd"/>
      <w:r w:rsidRPr="00F27422">
        <w:rPr>
          <w:rFonts w:asciiTheme="minorBidi" w:hAnsiTheme="minorBidi"/>
          <w:sz w:val="32"/>
          <w:szCs w:val="32"/>
          <w:rtl/>
        </w:rPr>
        <w:t xml:space="preserve"> معينة، وبما أنّ العقد اعتبارٌ مستندٌ لأسبابٍ شرعيةٍ </w:t>
      </w:r>
      <w:proofErr w:type="spellStart"/>
      <w:r w:rsidRPr="00F27422">
        <w:rPr>
          <w:rFonts w:asciiTheme="minorBidi" w:hAnsiTheme="minorBidi"/>
          <w:sz w:val="32"/>
          <w:szCs w:val="32"/>
          <w:rtl/>
        </w:rPr>
        <w:t>أوعقلائيةٍ</w:t>
      </w:r>
      <w:proofErr w:type="spellEnd"/>
      <w:r w:rsidRPr="00F27422">
        <w:rPr>
          <w:rFonts w:asciiTheme="minorBidi" w:hAnsiTheme="minorBidi"/>
          <w:sz w:val="32"/>
          <w:szCs w:val="32"/>
          <w:rtl/>
        </w:rPr>
        <w:t xml:space="preserve"> معينة فلا ينهدم إلّا بسببٍ شرعيٍّ أو عقلائيٍّ ممضى شرعاً، فما دام العقد مستنداً لسببٍ شرعيٍّ فلا يرتفع إلّا بسببٍ شرعيٍّ نحو أسباب الخيار كالغبن والعيب وتخلف الشرط ونحو ذلك، مضافاً إلى أنّ العقد مضمونٌ إنشائيٌّ متقومٌ بالإيجاب والقبول فقط، وليس متقوماً </w:t>
      </w:r>
      <w:proofErr w:type="spellStart"/>
      <w:r w:rsidRPr="00F27422">
        <w:rPr>
          <w:rFonts w:asciiTheme="minorBidi" w:hAnsiTheme="minorBidi"/>
          <w:sz w:val="32"/>
          <w:szCs w:val="32"/>
          <w:rtl/>
        </w:rPr>
        <w:t>بالإلتزامين</w:t>
      </w:r>
      <w:proofErr w:type="spellEnd"/>
      <w:r w:rsidRPr="00F27422">
        <w:rPr>
          <w:rFonts w:asciiTheme="minorBidi" w:hAnsiTheme="minorBidi"/>
          <w:sz w:val="32"/>
          <w:szCs w:val="32"/>
          <w:rtl/>
        </w:rPr>
        <w:t xml:space="preserve"> أو التعهدين، كي يكفي في </w:t>
      </w:r>
      <w:proofErr w:type="gramStart"/>
      <w:r w:rsidRPr="00F27422">
        <w:rPr>
          <w:rFonts w:asciiTheme="minorBidi" w:hAnsiTheme="minorBidi"/>
          <w:sz w:val="32"/>
          <w:szCs w:val="32"/>
          <w:rtl/>
        </w:rPr>
        <w:t>انتفاءه</w:t>
      </w:r>
      <w:proofErr w:type="gramEnd"/>
      <w:r w:rsidRPr="00F27422">
        <w:rPr>
          <w:rFonts w:asciiTheme="minorBidi" w:hAnsiTheme="minorBidi"/>
          <w:sz w:val="32"/>
          <w:szCs w:val="32"/>
          <w:rtl/>
        </w:rPr>
        <w:t xml:space="preserve"> التقايل، كما سبق بيانه.</w:t>
      </w:r>
    </w:p>
    <w:p w14:paraId="0283CB81"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الوجه الثاني:</w:t>
      </w:r>
      <w:r w:rsidRPr="00F27422">
        <w:rPr>
          <w:rFonts w:asciiTheme="minorBidi" w:hAnsiTheme="minorBidi"/>
          <w:sz w:val="32"/>
          <w:szCs w:val="32"/>
          <w:rtl/>
        </w:rPr>
        <w:t xml:space="preserve"> أنْ يقال: إنّ نفوذ الإقالة يحتاج إلى سببٍ شرعيٍّ وهو موجود وهو إطلاق </w:t>
      </w:r>
      <w:r w:rsidRPr="00F27422">
        <w:rPr>
          <w:rFonts w:asciiTheme="minorBidi" w:hAnsiTheme="minorBidi"/>
          <w:b/>
          <w:bCs/>
          <w:sz w:val="32"/>
          <w:szCs w:val="32"/>
          <w:rtl/>
        </w:rPr>
        <w:t xml:space="preserve">قول النبي الأعظم (صلى الله عليه وآله): (الناس مسلطون على أموالهم) </w:t>
      </w:r>
      <w:r w:rsidRPr="00F27422">
        <w:rPr>
          <w:rFonts w:asciiTheme="minorBidi" w:hAnsiTheme="minorBidi"/>
          <w:sz w:val="32"/>
          <w:szCs w:val="32"/>
          <w:rtl/>
        </w:rPr>
        <w:t>[عوالي اللئالي، ابن أبي جمهور، ج1، ص457]، فإنّ مقتضى إطلاق دليل السلطنة أنّ لمالك المال السلطنة على نقله ببيعٍ أو هبةٍ أو السلطنة على إزالته إنْ لم يكن ذلك تبذيراً أو السلطنة على إخراجه عن ملكيته بالإقالة؛ لأنّ الإقالة عبارةٌ عن إخراج كلٍّ منهما المال عن ملكه ورده للطرف الآخر.</w:t>
      </w:r>
    </w:p>
    <w:p w14:paraId="1522B9EE" w14:textId="77777777" w:rsidR="00011B02" w:rsidRPr="00F27422" w:rsidRDefault="00011B02" w:rsidP="00122B70">
      <w:pPr>
        <w:bidi/>
        <w:rPr>
          <w:rFonts w:asciiTheme="minorBidi" w:hAnsiTheme="minorBidi"/>
          <w:sz w:val="32"/>
          <w:szCs w:val="32"/>
          <w:rtl/>
        </w:rPr>
      </w:pPr>
      <w:r w:rsidRPr="00F27422">
        <w:rPr>
          <w:rFonts w:asciiTheme="minorBidi" w:hAnsiTheme="minorBidi"/>
          <w:sz w:val="32"/>
          <w:szCs w:val="32"/>
          <w:rtl/>
        </w:rPr>
        <w:t>فهذا مقتضى إطلاق دليل السلطنة.</w:t>
      </w:r>
    </w:p>
    <w:p w14:paraId="70439D6D" w14:textId="77777777"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 xml:space="preserve">لكن هنا </w:t>
      </w:r>
      <w:proofErr w:type="gramStart"/>
      <w:r w:rsidRPr="00F27422">
        <w:rPr>
          <w:rFonts w:asciiTheme="minorBidi" w:hAnsiTheme="minorBidi"/>
          <w:b/>
          <w:bCs/>
          <w:sz w:val="32"/>
          <w:szCs w:val="32"/>
          <w:rtl/>
        </w:rPr>
        <w:t>ثلاثة</w:t>
      </w:r>
      <w:proofErr w:type="gramEnd"/>
      <w:r w:rsidRPr="00F27422">
        <w:rPr>
          <w:rFonts w:asciiTheme="minorBidi" w:hAnsiTheme="minorBidi"/>
          <w:b/>
          <w:bCs/>
          <w:sz w:val="32"/>
          <w:szCs w:val="32"/>
          <w:rtl/>
        </w:rPr>
        <w:t xml:space="preserve"> إشكالات على التمسك بدليل السلطنة:</w:t>
      </w:r>
    </w:p>
    <w:p w14:paraId="6CFB57C1" w14:textId="28C0F5AC" w:rsidR="00011B02" w:rsidRPr="00F27422" w:rsidRDefault="00011B02" w:rsidP="00122B70">
      <w:pPr>
        <w:bidi/>
        <w:rPr>
          <w:rFonts w:asciiTheme="minorBidi" w:hAnsiTheme="minorBidi"/>
          <w:b/>
          <w:bCs/>
          <w:sz w:val="32"/>
          <w:szCs w:val="32"/>
          <w:rtl/>
        </w:rPr>
      </w:pPr>
      <w:r w:rsidRPr="00F27422">
        <w:rPr>
          <w:rFonts w:asciiTheme="minorBidi" w:hAnsiTheme="minorBidi"/>
          <w:b/>
          <w:bCs/>
          <w:sz w:val="32"/>
          <w:szCs w:val="32"/>
          <w:rtl/>
        </w:rPr>
        <w:t>الإشكال الأول:</w:t>
      </w:r>
      <w:r w:rsidRPr="00F27422">
        <w:rPr>
          <w:rFonts w:asciiTheme="minorBidi" w:hAnsiTheme="minorBidi"/>
          <w:sz w:val="32"/>
          <w:szCs w:val="32"/>
          <w:rtl/>
        </w:rPr>
        <w:t xml:space="preserve"> أنّ ظاهر سياق </w:t>
      </w:r>
      <w:r w:rsidRPr="00F27422">
        <w:rPr>
          <w:rFonts w:asciiTheme="minorBidi" w:hAnsiTheme="minorBidi"/>
          <w:b/>
          <w:bCs/>
          <w:sz w:val="32"/>
          <w:szCs w:val="32"/>
          <w:rtl/>
        </w:rPr>
        <w:t>(الناس مسلطون على أموالهم)</w:t>
      </w:r>
      <w:r w:rsidRPr="00F27422">
        <w:rPr>
          <w:rFonts w:asciiTheme="minorBidi" w:hAnsiTheme="minorBidi"/>
          <w:sz w:val="32"/>
          <w:szCs w:val="32"/>
          <w:rtl/>
        </w:rPr>
        <w:t xml:space="preserve"> المعنى السلبي وهو عدم الحجر، فلا يستفاد من الحديث إلّا السلطنة الإضافية أي بلحاظ الحجر، فكأنّه قيل: هل الإنسان محجورٌ عن التصرف في أمواله؟ فيجاب: بأنه</w:t>
      </w:r>
      <w:r w:rsidR="00112222" w:rsidRPr="00F27422">
        <w:rPr>
          <w:rFonts w:asciiTheme="minorBidi" w:hAnsiTheme="minorBidi"/>
          <w:sz w:val="32"/>
          <w:szCs w:val="32"/>
          <w:rtl/>
        </w:rPr>
        <w:t xml:space="preserve"> </w:t>
      </w:r>
      <w:r w:rsidRPr="00F27422">
        <w:rPr>
          <w:rFonts w:asciiTheme="minorBidi" w:hAnsiTheme="minorBidi"/>
          <w:sz w:val="32"/>
          <w:szCs w:val="32"/>
          <w:rtl/>
        </w:rPr>
        <w:t>ليس بمحجورٍ.</w:t>
      </w:r>
    </w:p>
    <w:p w14:paraId="01627C61" w14:textId="77777777" w:rsidR="00011B02" w:rsidRPr="00F27422" w:rsidRDefault="00011B02" w:rsidP="00122B70">
      <w:pPr>
        <w:bidi/>
        <w:rPr>
          <w:rFonts w:asciiTheme="minorBidi" w:hAnsiTheme="minorBidi"/>
          <w:b/>
          <w:bCs/>
          <w:sz w:val="32"/>
          <w:szCs w:val="32"/>
          <w:rtl/>
        </w:rPr>
      </w:pPr>
      <w:r w:rsidRPr="00F27422">
        <w:rPr>
          <w:rFonts w:asciiTheme="minorBidi" w:hAnsiTheme="minorBidi"/>
          <w:sz w:val="32"/>
          <w:szCs w:val="32"/>
          <w:rtl/>
        </w:rPr>
        <w:t xml:space="preserve">فلا يستفاد من دليل السلطنة أكثر من رفع الحجر، وهذا ما ذكره المحقق الخراساني (قدس سره الشريف) في كتاب [حاشية كتاب المكاسب، ص12] حيث أفاد بأنّ السلطنة على المال ثابتةٌ </w:t>
      </w:r>
      <w:r w:rsidRPr="00F27422">
        <w:rPr>
          <w:rFonts w:asciiTheme="minorBidi" w:hAnsiTheme="minorBidi"/>
          <w:sz w:val="32"/>
          <w:szCs w:val="32"/>
          <w:rtl/>
        </w:rPr>
        <w:lastRenderedPageBreak/>
        <w:t>بالمرتكز العقلائي، وهذا الدليل النبوي لم يرد لتأسيس السلطنة كي نتمسك بإطلاقه؛ وإنّما ورد لرفع التوهم وهو توهم أنْ يكون الإنسان محجوراً عن أمواله فهو في مقام دفع توهم المانع وهو الحجر، فلا إطلاق له لجميع أنحاء السلطنة.</w:t>
      </w:r>
    </w:p>
    <w:p w14:paraId="3A4A530E" w14:textId="77777777" w:rsidR="00011B02" w:rsidRPr="00F27422" w:rsidRDefault="00011B02" w:rsidP="00122B70">
      <w:pPr>
        <w:bidi/>
        <w:rPr>
          <w:rFonts w:asciiTheme="minorBidi" w:hAnsiTheme="minorBidi"/>
          <w:sz w:val="32"/>
          <w:szCs w:val="32"/>
          <w:rtl/>
        </w:rPr>
      </w:pPr>
      <w:r w:rsidRPr="00F27422">
        <w:rPr>
          <w:rFonts w:asciiTheme="minorBidi" w:hAnsiTheme="minorBidi"/>
          <w:b/>
          <w:bCs/>
          <w:sz w:val="32"/>
          <w:szCs w:val="32"/>
          <w:rtl/>
        </w:rPr>
        <w:t>ولا جواب عن ذلك إلّا الاعتماد على الأصل المذكور في علم الأُصول وهو:</w:t>
      </w:r>
      <w:r w:rsidRPr="00F27422">
        <w:rPr>
          <w:rFonts w:asciiTheme="minorBidi" w:hAnsiTheme="minorBidi"/>
          <w:sz w:val="32"/>
          <w:szCs w:val="32"/>
          <w:rtl/>
        </w:rPr>
        <w:t xml:space="preserve"> أنّ الأصل في المولى أنْ يكون في مقام البيان من جهة الموضوع والمحمول، والنسبة بين الموضوع والمحمول فيتمسك بإطلاق كلامه لإثبات مشروعية سائر أنحاء السلطنة، ومنها السلطنة على إزالة الملكية. فتأمل.</w:t>
      </w:r>
    </w:p>
    <w:p w14:paraId="66D3962F" w14:textId="77777777" w:rsidR="00C75EF6" w:rsidRPr="00F27422" w:rsidRDefault="00C75EF6" w:rsidP="00122B70">
      <w:pPr>
        <w:bidi/>
        <w:rPr>
          <w:rFonts w:asciiTheme="minorBidi" w:hAnsiTheme="minorBidi"/>
          <w:sz w:val="32"/>
          <w:szCs w:val="32"/>
          <w:rtl/>
        </w:rPr>
      </w:pPr>
    </w:p>
    <w:p w14:paraId="4359A313" w14:textId="4D094F8D" w:rsidR="00C75EF6" w:rsidRPr="00F27422" w:rsidRDefault="00C75EF6"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003</w:t>
      </w:r>
    </w:p>
    <w:p w14:paraId="4D9375C3" w14:textId="77777777" w:rsidR="00C75EF6" w:rsidRPr="00F27422" w:rsidRDefault="00C75EF6" w:rsidP="00122B70">
      <w:pPr>
        <w:bidi/>
        <w:rPr>
          <w:rFonts w:asciiTheme="minorBidi" w:hAnsiTheme="minorBidi"/>
          <w:b/>
          <w:bCs/>
          <w:sz w:val="32"/>
          <w:szCs w:val="32"/>
          <w:rtl/>
        </w:rPr>
      </w:pPr>
    </w:p>
    <w:p w14:paraId="3331C036" w14:textId="77777777" w:rsidR="00C75EF6" w:rsidRPr="00F27422" w:rsidRDefault="00C75EF6" w:rsidP="00122B70">
      <w:pPr>
        <w:pStyle w:val="a"/>
        <w:bidi/>
        <w:spacing w:line="216" w:lineRule="auto"/>
        <w:jc w:val="left"/>
        <w:rPr>
          <w:rFonts w:asciiTheme="minorBidi" w:hAnsiTheme="minorBidi" w:cstheme="minorBidi"/>
          <w:sz w:val="32"/>
          <w:rtl/>
        </w:rPr>
      </w:pPr>
    </w:p>
    <w:p w14:paraId="16A7ACAA"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الإشكال الثاني:</w:t>
      </w:r>
      <w:r w:rsidRPr="00F27422">
        <w:rPr>
          <w:rFonts w:asciiTheme="minorBidi" w:hAnsiTheme="minorBidi" w:cstheme="minorBidi"/>
          <w:sz w:val="32"/>
          <w:rtl/>
        </w:rPr>
        <w:t xml:space="preserve"> قد يقال: إنّ موضوع السلطنة في حديث السلطنة وهو ما ورد مرسلاً في عوالي اللئالي </w:t>
      </w:r>
      <w:r w:rsidRPr="00F27422">
        <w:rPr>
          <w:rFonts w:asciiTheme="minorBidi" w:hAnsiTheme="minorBidi" w:cstheme="minorBidi"/>
          <w:b/>
          <w:bCs/>
          <w:sz w:val="32"/>
          <w:rtl/>
        </w:rPr>
        <w:t>عن النبي الأعظم (صلى الله عليه وآله): (الناس مسلطون على أموالهم)</w:t>
      </w:r>
      <w:r w:rsidRPr="00F27422">
        <w:rPr>
          <w:rFonts w:asciiTheme="minorBidi" w:hAnsiTheme="minorBidi" w:cstheme="minorBidi"/>
          <w:sz w:val="32"/>
          <w:rtl/>
        </w:rPr>
        <w:t xml:space="preserve"> [عوالي اللئالي، ابن أبي جمهور، ج1، ص457] كونُ المالِ مالَهُ؛ حيث إنّ هذا مقتضى الإضافة في قوله (صلى الله عليه وآله): </w:t>
      </w:r>
      <w:r w:rsidRPr="00F27422">
        <w:rPr>
          <w:rFonts w:asciiTheme="minorBidi" w:hAnsiTheme="minorBidi" w:cstheme="minorBidi"/>
          <w:b/>
          <w:bCs/>
          <w:sz w:val="32"/>
          <w:rtl/>
        </w:rPr>
        <w:t>(أموالهم)</w:t>
      </w:r>
      <w:r w:rsidRPr="00F27422">
        <w:rPr>
          <w:rFonts w:asciiTheme="minorBidi" w:hAnsiTheme="minorBidi" w:cstheme="minorBidi"/>
          <w:sz w:val="32"/>
          <w:rtl/>
        </w:rPr>
        <w:t xml:space="preserve"> ولم يقل على الأموال، وبما أنّ موضوع السلطنة كون المال مالَهُ فلو فسخ أحد الطرفين المعاملة وقصد بالفسخ استرداد المال إلى ملكه لم يحرز أنّ المال الذي بيد الآخر مالُهُ كي تثبت له السلطنة.</w:t>
      </w:r>
    </w:p>
    <w:p w14:paraId="3997AF74"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فمثلاً:</w:t>
      </w:r>
      <w:r w:rsidRPr="00F27422">
        <w:rPr>
          <w:rFonts w:asciiTheme="minorBidi" w:hAnsiTheme="minorBidi" w:cstheme="minorBidi"/>
          <w:sz w:val="32"/>
          <w:rtl/>
        </w:rPr>
        <w:t xml:space="preserve"> لو أنّ شخصاً آجر سيارته مِن شخصٍ آخر بمدةٍ معينةٍ وبأُجرةٍ محددة ففسخ المستأجر الإجارة، لم يحرز كون الأُجرة التي بحوزة المؤجر مال المؤجر، وحيث لا يحرز صدق كون الأُجرة مال المُؤجر لم تثبت له السلطنة؛ إذ موضوع السلطنة أنْ يكون ماله ولا يحرز أنّه مالُهُ بعد فسخ أحدهما كي تكون له السلطنة على إبقائه تحت ملكه وإنْ فسخ الآخر.</w:t>
      </w:r>
    </w:p>
    <w:p w14:paraId="0B32C9BD"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لكن الشيخ الأعظم (قدس سره الشريف) في كتابه [البيع، ص85] أفاد بأنّ مقتضى إطلاق السلطنة ثبوتها على سائر التصرفات ومن أنحاء السلطنة منع الغير من المزاحمة وتملك مال الغير بالفسخ منافٍ لسلطنته على ماله، حيث إنّ المنفعة مثلاً أصبحت ملكاً للمستأجر والأُجرة ملكٌ للمؤجر ويريد المستأجر أنْ يرجع الأُجرة إلى ملكه بالفسخ، وهذا من باب تملك مال الغير، فتملك مال الغير بالفسخ منافٍ لإطلاق سلطنته على ماله، فيدفع فسخُ الآخر مِن قبل المؤجر بسلطنته على ماله، فإنّ مقتضى سلطنته أنْ يدفع ما يزاحمه، ومما يزاحمه فسخُ الآخر للإجارة واسترداد المال، ويستكشف بذلك عدم نفوذ فسخه، بينما لو توافقا على التقايل – حيث إنّ الإقالة توافق - </w:t>
      </w:r>
      <w:proofErr w:type="spellStart"/>
      <w:r w:rsidRPr="00F27422">
        <w:rPr>
          <w:rFonts w:asciiTheme="minorBidi" w:hAnsiTheme="minorBidi" w:cstheme="minorBidi"/>
          <w:sz w:val="32"/>
          <w:rtl/>
        </w:rPr>
        <w:t>والتفاسخ</w:t>
      </w:r>
      <w:proofErr w:type="spellEnd"/>
      <w:r w:rsidRPr="00F27422">
        <w:rPr>
          <w:rFonts w:asciiTheme="minorBidi" w:hAnsiTheme="minorBidi" w:cstheme="minorBidi"/>
          <w:sz w:val="32"/>
          <w:rtl/>
        </w:rPr>
        <w:t xml:space="preserve"> لكانت الموافقة على الإقالة مقتضى سلطنة كلٍّ منهما على ماله، ومقتضى سلطنته على ماله أنْ يقبل فسخ الآخر ومقتضى سلطنة الآخر على ماله أنْ يقبل فسخ الأول، </w:t>
      </w:r>
      <w:proofErr w:type="spellStart"/>
      <w:r w:rsidRPr="00F27422">
        <w:rPr>
          <w:rFonts w:asciiTheme="minorBidi" w:hAnsiTheme="minorBidi" w:cstheme="minorBidi"/>
          <w:sz w:val="32"/>
          <w:rtl/>
        </w:rPr>
        <w:t>فالتقايل</w:t>
      </w:r>
      <w:proofErr w:type="spellEnd"/>
      <w:r w:rsidRPr="00F27422">
        <w:rPr>
          <w:rFonts w:asciiTheme="minorBidi" w:hAnsiTheme="minorBidi" w:cstheme="minorBidi"/>
          <w:sz w:val="32"/>
          <w:rtl/>
        </w:rPr>
        <w:t xml:space="preserve"> في إطار السلطنة وليس خارجاً عنها.</w:t>
      </w:r>
    </w:p>
    <w:p w14:paraId="36720DE9" w14:textId="6E353905"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لكن المحقق الايرواني (قدس سره الشريف) في كتابه [حاشية المكاسب، ج1، ص80] أفاد أنّ </w:t>
      </w:r>
      <w:r w:rsidRPr="00F27422">
        <w:rPr>
          <w:rFonts w:asciiTheme="minorBidi" w:hAnsiTheme="minorBidi" w:cstheme="minorBidi"/>
          <w:sz w:val="32"/>
          <w:highlight w:val="green"/>
          <w:rtl/>
        </w:rPr>
        <w:t>موضوع السلطنة هو المال بمعنى الملك كما هو ظاهر الإضافة، فمقتضى كون موضوع السلطنة الملك</w:t>
      </w:r>
      <w:r w:rsidR="00112222" w:rsidRPr="00F27422">
        <w:rPr>
          <w:rFonts w:asciiTheme="minorBidi" w:hAnsiTheme="minorBidi" w:cstheme="minorBidi"/>
          <w:sz w:val="32"/>
          <w:highlight w:val="green"/>
          <w:rtl/>
        </w:rPr>
        <w:t xml:space="preserve"> </w:t>
      </w:r>
      <w:r w:rsidRPr="00F27422">
        <w:rPr>
          <w:rFonts w:asciiTheme="minorBidi" w:hAnsiTheme="minorBidi" w:cstheme="minorBidi"/>
          <w:sz w:val="32"/>
          <w:highlight w:val="green"/>
          <w:rtl/>
        </w:rPr>
        <w:t>أنّ حفظ الملك أو نفيه خارج عن موضوع السلطنة</w:t>
      </w:r>
      <w:r w:rsidRPr="00F27422">
        <w:rPr>
          <w:rFonts w:asciiTheme="minorBidi" w:hAnsiTheme="minorBidi" w:cstheme="minorBidi"/>
          <w:sz w:val="32"/>
          <w:rtl/>
        </w:rPr>
        <w:t xml:space="preserve">؛ إذ لابُدّ من التحفظ على </w:t>
      </w:r>
      <w:r w:rsidRPr="00F27422">
        <w:rPr>
          <w:rFonts w:asciiTheme="minorBidi" w:hAnsiTheme="minorBidi" w:cstheme="minorBidi"/>
          <w:sz w:val="32"/>
          <w:rtl/>
        </w:rPr>
        <w:lastRenderedPageBreak/>
        <w:t>الموضوع في رتبةٍ سابقةٍ على نفوذ المحمول، فإذا قال: "المسلم مسؤولٌ عن جارِه" فإنّ هذه المسؤولية لا تشمل إبقاء الآخر على كونه جاراً له ولا إخراجه عن كونه جاراً له؛ بل هو مسؤولٌ مادامَ الآخرُ جارَه، فكذلك إذا قال: "إنّ الإنسان مسلطٌ على مالِه" فإنّ السلطنة ثابتةٌ له ما دام المال مالَهُ، فإخراج المال عن كونه مالَهُ أو إبقاؤه تحت كونه مالَهُ خارجٌ عن دائرة السلطنة؛ حيث لابُدَّ مِن حفظ الموضوع في رتبةٍ سابقةٍ من أجل تحقق السلطنة، فكيف يتمسك بالسلطنة لإثبات مشروعية إزالة موضوعها؟ وهل للمحمول إطلاقٌ حتى لفرض إزالة الموضوع؟</w:t>
      </w:r>
    </w:p>
    <w:p w14:paraId="508C6A9A"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والحاصل:</w:t>
      </w:r>
      <w:r w:rsidRPr="00F27422">
        <w:rPr>
          <w:rFonts w:asciiTheme="minorBidi" w:hAnsiTheme="minorBidi" w:cstheme="minorBidi"/>
          <w:sz w:val="32"/>
          <w:rtl/>
        </w:rPr>
        <w:t xml:space="preserve"> أنّ موضوع السلطنة ما هو ماله، مما يعني أنّ انحفاظ المالية - أي الملكية - في مرتبةٍ سابقةٍ على السلطنة، والموضوعُ لا يدخلُ ضمن دائرة المحمول فلا سلطنة للإنسان على إخراج المال عن ملكه، كما لا سلطنة له على إبقاء المال تحت ملكه؛ بل إخراج المال عن الملك يحتاج إلى سببٍ شرعيٍّ لا بالسلطنة نفسها، وكذا بقاء المال تحت الملك يحتاج إلى سببٍ شرعيٍّ وليس بالسلطنة نفسها؛ فإنّ السلطنة الثابتة للإنسان في إطارِ الأسباب الشرعية والعقلائية الممضاة، وليست السلطنة هي المشرع للسبب.</w:t>
      </w:r>
    </w:p>
    <w:p w14:paraId="35E2704F"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ويمكن أن يجاب عن ذلك:</w:t>
      </w:r>
      <w:r w:rsidRPr="00F27422">
        <w:rPr>
          <w:rFonts w:asciiTheme="minorBidi" w:hAnsiTheme="minorBidi" w:cstheme="minorBidi"/>
          <w:sz w:val="32"/>
          <w:rtl/>
        </w:rPr>
        <w:t xml:space="preserve"> بأنّ المال وإنْ كان موضوعاً إلّا أنّه لما كان المحمول هو السلطنة والسلطنة عبارة عن الصلاحية والولاية</w:t>
      </w:r>
      <w:r w:rsidRPr="00F27422">
        <w:rPr>
          <w:rFonts w:asciiTheme="minorBidi" w:hAnsiTheme="minorBidi" w:cstheme="minorBidi"/>
          <w:sz w:val="32"/>
          <w:highlight w:val="yellow"/>
          <w:rtl/>
        </w:rPr>
        <w:t>، كانت طبيعة المحمول بما تتضمن من سعةٍ واقتدارٍ شاملة عرفاً لحفظ الموضوع أو إزالته</w:t>
      </w:r>
      <w:r w:rsidRPr="00F27422">
        <w:rPr>
          <w:rFonts w:asciiTheme="minorBidi" w:hAnsiTheme="minorBidi" w:cstheme="minorBidi"/>
          <w:sz w:val="32"/>
          <w:rtl/>
        </w:rPr>
        <w:t xml:space="preserve">، فإنّ متعلق السلطنة كما يقتضيه السياق هو "التصرف في المال"، والتصرف في </w:t>
      </w:r>
      <w:r w:rsidRPr="00F27422">
        <w:rPr>
          <w:rFonts w:asciiTheme="minorBidi" w:hAnsiTheme="minorBidi" w:cstheme="minorBidi"/>
          <w:sz w:val="32"/>
          <w:highlight w:val="green"/>
          <w:rtl/>
        </w:rPr>
        <w:t>المال شاملٌ لحفظ ملكيته أو إزالتها</w:t>
      </w:r>
      <w:r w:rsidRPr="00F27422">
        <w:rPr>
          <w:rFonts w:asciiTheme="minorBidi" w:hAnsiTheme="minorBidi" w:cstheme="minorBidi"/>
          <w:sz w:val="32"/>
          <w:rtl/>
        </w:rPr>
        <w:t>، فهذا مقتضى إطلاق الاختيار والصلاحية، فكما أنّ للمالك السلطنة على إبقائه أو نقله بالهبة فله السلطنة على إخراجه عن ملكه وكلُّ ذلك مصداقٌ للسلطنة على المال.</w:t>
      </w:r>
    </w:p>
    <w:p w14:paraId="4AFB62C9" w14:textId="4F8E3F0D"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وبالجملة فإنّ إشكال المحقق الاير</w:t>
      </w:r>
      <w:r w:rsidR="00C54326" w:rsidRPr="00F27422">
        <w:rPr>
          <w:rFonts w:asciiTheme="minorBidi" w:hAnsiTheme="minorBidi" w:cstheme="minorBidi"/>
          <w:sz w:val="32"/>
          <w:rtl/>
        </w:rPr>
        <w:t>و</w:t>
      </w:r>
      <w:r w:rsidRPr="00F27422">
        <w:rPr>
          <w:rFonts w:asciiTheme="minorBidi" w:hAnsiTheme="minorBidi" w:cstheme="minorBidi"/>
          <w:sz w:val="32"/>
          <w:rtl/>
        </w:rPr>
        <w:t>اني (قدس سره) صناعي ومقتضى القاعدة في نسبة المحمول لموضوعه، فإنّه إذا كان موضوع السلطنة كون المال مال الشخص فلابُدّ من انحفاظ هذا الموضوع</w:t>
      </w:r>
      <w:r w:rsidR="00112222" w:rsidRPr="00F27422">
        <w:rPr>
          <w:rFonts w:asciiTheme="minorBidi" w:hAnsiTheme="minorBidi" w:cstheme="minorBidi"/>
          <w:sz w:val="32"/>
          <w:rtl/>
        </w:rPr>
        <w:t xml:space="preserve"> </w:t>
      </w:r>
      <w:r w:rsidRPr="00F27422">
        <w:rPr>
          <w:rFonts w:asciiTheme="minorBidi" w:hAnsiTheme="minorBidi" w:cstheme="minorBidi"/>
          <w:sz w:val="32"/>
          <w:rtl/>
        </w:rPr>
        <w:t xml:space="preserve">كي تثبت السلطنة، فلا إطلاق للمحمول لفرض تغيير الموضوع، ولكن مقتضى </w:t>
      </w:r>
      <w:r w:rsidR="00E01043" w:rsidRPr="00F27422">
        <w:rPr>
          <w:rFonts w:asciiTheme="minorBidi" w:hAnsiTheme="minorBidi" w:cstheme="minorBidi"/>
          <w:sz w:val="32"/>
          <w:rtl/>
        </w:rPr>
        <w:t>ما يفهمه</w:t>
      </w:r>
      <w:r w:rsidRPr="00F27422">
        <w:rPr>
          <w:rFonts w:asciiTheme="minorBidi" w:hAnsiTheme="minorBidi" w:cstheme="minorBidi"/>
          <w:sz w:val="32"/>
          <w:rtl/>
        </w:rPr>
        <w:t xml:space="preserve"> العرف من خلال سنخ المحمول وتقدير المتعلق المناسب له أنّ السلطنة على المال المملوك تعني أنّ للمالك إبقاءه تحت الملك كما له إخراجه عن الملك.</w:t>
      </w:r>
    </w:p>
    <w:p w14:paraId="29099BED" w14:textId="77777777" w:rsidR="00C75EF6" w:rsidRPr="00F27422" w:rsidRDefault="00C75EF6" w:rsidP="00122B70">
      <w:pPr>
        <w:pStyle w:val="a"/>
        <w:bidi/>
        <w:spacing w:line="216" w:lineRule="auto"/>
        <w:jc w:val="left"/>
        <w:rPr>
          <w:rFonts w:asciiTheme="minorBidi" w:hAnsiTheme="minorBidi" w:cstheme="minorBidi"/>
          <w:sz w:val="32"/>
          <w:rtl/>
        </w:rPr>
      </w:pPr>
      <w:proofErr w:type="spellStart"/>
      <w:r w:rsidRPr="00F27422">
        <w:rPr>
          <w:rFonts w:asciiTheme="minorBidi" w:hAnsiTheme="minorBidi" w:cstheme="minorBidi"/>
          <w:sz w:val="32"/>
          <w:rtl/>
        </w:rPr>
        <w:t>والإ</w:t>
      </w:r>
      <w:proofErr w:type="spellEnd"/>
      <w:r w:rsidRPr="00F27422">
        <w:rPr>
          <w:rFonts w:asciiTheme="minorBidi" w:hAnsiTheme="minorBidi" w:cstheme="minorBidi"/>
          <w:sz w:val="32"/>
          <w:rtl/>
        </w:rPr>
        <w:t xml:space="preserve"> فما هو الفرق بين الهبة والإعراض؟</w:t>
      </w:r>
    </w:p>
    <w:p w14:paraId="70AFA3F1"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بأنْ يقال:</w:t>
      </w:r>
      <w:r w:rsidRPr="00F27422">
        <w:rPr>
          <w:rFonts w:asciiTheme="minorBidi" w:hAnsiTheme="minorBidi" w:cstheme="minorBidi"/>
          <w:sz w:val="32"/>
          <w:rtl/>
        </w:rPr>
        <w:t xml:space="preserve"> إنّ الهبة نافذة وهي نقلٌ للمال وإخراجه عن الملك، بينما الإعراض - مثلاً - الذي هو عبارة عن إخراجٍ المال عن الملك بالإعراض غير نافذٍ.</w:t>
      </w:r>
    </w:p>
    <w:p w14:paraId="1D315462"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 xml:space="preserve">الإشكال الثالث: </w:t>
      </w:r>
      <w:r w:rsidRPr="00F27422">
        <w:rPr>
          <w:rFonts w:asciiTheme="minorBidi" w:hAnsiTheme="minorBidi" w:cstheme="minorBidi"/>
          <w:sz w:val="32"/>
          <w:rtl/>
        </w:rPr>
        <w:t>ما في كلام المحقق الاصفهاني (قدس سره الشريف) كما في كتابه [حاشية كتاب المكاسب، ج1، ص34]، وكتابه [الإجارة، ص11].</w:t>
      </w:r>
    </w:p>
    <w:p w14:paraId="087EE296"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وحاصله:</w:t>
      </w:r>
      <w:r w:rsidRPr="00F27422">
        <w:rPr>
          <w:rFonts w:asciiTheme="minorBidi" w:hAnsiTheme="minorBidi" w:cstheme="minorBidi"/>
          <w:sz w:val="32"/>
          <w:rtl/>
        </w:rPr>
        <w:t xml:space="preserve"> أنّ ما ذكره الشيخ الأعظم (قدس سره الشريف) من أنّ مقتضى سلطنة المالك على مالِه منعُ الغير من مزاحمته في ماله متينٌ، ولازمه اختصاص السلطنة بالعقد الإيجابي وهو نفوذ التصرفات في المال بسببٍ شرعيٍّ، والعقد السلبي بنفي ما يكون مزاحماً لها، كأنْ يشتري من شخصٍ بدون رضاه فهذا مزاحمٌ لسلطنته على مالِه فيمكنه دفعَهُ بالسلطنة، أو أنْ يُعْمِل الشريكُ الشفعة مِن دون علم شريكه فهذا منافٍ للسلطنة فله دفعه بالسلطنة، فكلُّ سلطنةٍ للغير مزاحمةٌ لسلطنة الآخر على ملكه يمكن دفعها بدليل السلطنة وهو </w:t>
      </w:r>
      <w:r w:rsidRPr="00F27422">
        <w:rPr>
          <w:rFonts w:asciiTheme="minorBidi" w:hAnsiTheme="minorBidi" w:cstheme="minorBidi"/>
          <w:b/>
          <w:bCs/>
          <w:sz w:val="32"/>
          <w:rtl/>
        </w:rPr>
        <w:t>قوله (صلى الله عليه وآله): (الناس مسلطون على أموالهم)</w:t>
      </w:r>
      <w:r w:rsidRPr="00F27422">
        <w:rPr>
          <w:rFonts w:asciiTheme="minorBidi" w:hAnsiTheme="minorBidi" w:cstheme="minorBidi"/>
          <w:sz w:val="32"/>
          <w:rtl/>
        </w:rPr>
        <w:t xml:space="preserve"> [عوالي اللئالي، ابن أبي جمهور، ج1، ص457].</w:t>
      </w:r>
    </w:p>
    <w:p w14:paraId="06C743B3"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highlight w:val="green"/>
          <w:rtl/>
        </w:rPr>
        <w:t>وأما استرداد الآخر لملكه بالفسخ فليس مزاحماً لسلطنة المالك على المال كي ينفى بدليل السلطنة.</w:t>
      </w:r>
    </w:p>
    <w:p w14:paraId="257CEE24" w14:textId="1EB210D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lastRenderedPageBreak/>
        <w:t>والسر في ذلك:</w:t>
      </w:r>
      <w:r w:rsidRPr="00F27422">
        <w:rPr>
          <w:rFonts w:asciiTheme="minorBidi" w:hAnsiTheme="minorBidi" w:cstheme="minorBidi"/>
          <w:sz w:val="32"/>
          <w:rtl/>
        </w:rPr>
        <w:t xml:space="preserve"> أنّ للمالك السلطنة على الملك لا الملكية - أي المال من حيث كونه ملكاً - على نحو الحيثية التعليلية لا التقييدية، فكما أنّه ليست له – أي المالك - السلطنة على إزالة الملكية </w:t>
      </w:r>
      <w:proofErr w:type="spellStart"/>
      <w:r w:rsidRPr="00F27422">
        <w:rPr>
          <w:rFonts w:asciiTheme="minorBidi" w:hAnsiTheme="minorBidi" w:cstheme="minorBidi"/>
          <w:sz w:val="32"/>
          <w:rtl/>
        </w:rPr>
        <w:t>ابتداءاً</w:t>
      </w:r>
      <w:proofErr w:type="spellEnd"/>
      <w:r w:rsidRPr="00F27422">
        <w:rPr>
          <w:rFonts w:asciiTheme="minorBidi" w:hAnsiTheme="minorBidi" w:cstheme="minorBidi"/>
          <w:sz w:val="32"/>
          <w:rtl/>
        </w:rPr>
        <w:t xml:space="preserve"> بدون سببٍ شرعيٍّ، كأنْ يقول: "هذا الكتاب مِلكٌ لي وبمقتضى سلطنتي أخرجته عن ملكي"، كذلك ليس له السلطنة على إبقائها، وإذا لم يكن له السلطنة على إبقائها فاسترداد </w:t>
      </w:r>
      <w:r w:rsidRPr="00F27422">
        <w:rPr>
          <w:rFonts w:asciiTheme="minorBidi" w:hAnsiTheme="minorBidi" w:cstheme="minorBidi"/>
          <w:sz w:val="32"/>
          <w:highlight w:val="yellow"/>
          <w:rtl/>
        </w:rPr>
        <w:t>الغير لملكه لا يكون مزاحماً لسلطنته؛ لأنّه ليس له السلطنة من الأساس على إزالة الملكية أو إبقائها</w:t>
      </w:r>
      <w:r w:rsidRPr="00F27422">
        <w:rPr>
          <w:rFonts w:asciiTheme="minorBidi" w:hAnsiTheme="minorBidi" w:cstheme="minorBidi"/>
          <w:sz w:val="32"/>
          <w:rtl/>
        </w:rPr>
        <w:t xml:space="preserve">، ومع قصور دليل السلطنة على التصرف في الملكية يتضح أنّ التقايل </w:t>
      </w:r>
      <w:proofErr w:type="spellStart"/>
      <w:r w:rsidRPr="00F27422">
        <w:rPr>
          <w:rFonts w:asciiTheme="minorBidi" w:hAnsiTheme="minorBidi" w:cstheme="minorBidi"/>
          <w:sz w:val="32"/>
          <w:rtl/>
        </w:rPr>
        <w:t>والتفاسخ</w:t>
      </w:r>
      <w:proofErr w:type="spellEnd"/>
      <w:r w:rsidRPr="00F27422">
        <w:rPr>
          <w:rFonts w:asciiTheme="minorBidi" w:hAnsiTheme="minorBidi" w:cstheme="minorBidi"/>
          <w:sz w:val="32"/>
          <w:rtl/>
        </w:rPr>
        <w:t xml:space="preserve"> خلاف القاعدة؛ إذ البيع أو الإجارة وقع بسببٍ شرعيٍّ فمقتضى وقوعه بسببٍ شرعيٍّ أنّ أثره وهو الملكية باقي، فالتوافق على الفسخ والإقالة مما لا يشمله دليل السلطنة، وحيث لا يشمله دليل السلطنة لاختصاصه بالسلطنة على الملك لا الملكية</w:t>
      </w:r>
      <w:r w:rsidR="00112222" w:rsidRPr="00F27422">
        <w:rPr>
          <w:rFonts w:asciiTheme="minorBidi" w:hAnsiTheme="minorBidi" w:cstheme="minorBidi"/>
          <w:sz w:val="32"/>
          <w:rtl/>
        </w:rPr>
        <w:t xml:space="preserve"> </w:t>
      </w:r>
      <w:r w:rsidRPr="00F27422">
        <w:rPr>
          <w:rFonts w:asciiTheme="minorBidi" w:hAnsiTheme="minorBidi" w:cstheme="minorBidi"/>
          <w:sz w:val="32"/>
          <w:rtl/>
        </w:rPr>
        <w:t>فالإقالة خلاف القاعدة وتحتاج إلى دليلٍ خاصٍ، والدليل الخاص ورد في باب البيع فيقتصر عليه.</w:t>
      </w:r>
    </w:p>
    <w:p w14:paraId="44C892D3"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ويلاحظ على ما أُفيد:</w:t>
      </w:r>
      <w:r w:rsidRPr="00F27422">
        <w:rPr>
          <w:rFonts w:asciiTheme="minorBidi" w:hAnsiTheme="minorBidi" w:cstheme="minorBidi"/>
          <w:sz w:val="32"/>
          <w:rtl/>
        </w:rPr>
        <w:t xml:space="preserve"> أنّ مقتضى الإضافة - </w:t>
      </w:r>
      <w:r w:rsidRPr="00F27422">
        <w:rPr>
          <w:rFonts w:asciiTheme="minorBidi" w:hAnsiTheme="minorBidi" w:cstheme="minorBidi"/>
          <w:b/>
          <w:bCs/>
          <w:sz w:val="32"/>
          <w:rtl/>
        </w:rPr>
        <w:t>حيث قال (صلى الله عليه وآله): (الناس مسلطون على أموالهم)</w:t>
      </w:r>
      <w:r w:rsidRPr="00F27422">
        <w:rPr>
          <w:rFonts w:asciiTheme="minorBidi" w:hAnsiTheme="minorBidi" w:cstheme="minorBidi"/>
          <w:sz w:val="32"/>
          <w:rtl/>
        </w:rPr>
        <w:t xml:space="preserve"> - أنّ السلطنة على المال لا من حيث </w:t>
      </w:r>
      <w:proofErr w:type="gramStart"/>
      <w:r w:rsidRPr="00F27422">
        <w:rPr>
          <w:rFonts w:asciiTheme="minorBidi" w:hAnsiTheme="minorBidi" w:cstheme="minorBidi"/>
          <w:sz w:val="32"/>
          <w:rtl/>
        </w:rPr>
        <w:t>أنّه</w:t>
      </w:r>
      <w:proofErr w:type="gramEnd"/>
      <w:r w:rsidRPr="00F27422">
        <w:rPr>
          <w:rFonts w:asciiTheme="minorBidi" w:hAnsiTheme="minorBidi" w:cstheme="minorBidi"/>
          <w:sz w:val="32"/>
          <w:rtl/>
        </w:rPr>
        <w:t xml:space="preserve"> </w:t>
      </w:r>
      <w:proofErr w:type="gramStart"/>
      <w:r w:rsidRPr="00F27422">
        <w:rPr>
          <w:rFonts w:asciiTheme="minorBidi" w:hAnsiTheme="minorBidi" w:cstheme="minorBidi"/>
          <w:sz w:val="32"/>
          <w:rtl/>
        </w:rPr>
        <w:t>مال</w:t>
      </w:r>
      <w:proofErr w:type="gramEnd"/>
      <w:r w:rsidRPr="00F27422">
        <w:rPr>
          <w:rFonts w:asciiTheme="minorBidi" w:hAnsiTheme="minorBidi" w:cstheme="minorBidi"/>
          <w:sz w:val="32"/>
          <w:rtl/>
        </w:rPr>
        <w:t xml:space="preserve"> بل من حيث </w:t>
      </w:r>
      <w:proofErr w:type="gramStart"/>
      <w:r w:rsidRPr="00F27422">
        <w:rPr>
          <w:rFonts w:asciiTheme="minorBidi" w:hAnsiTheme="minorBidi" w:cstheme="minorBidi"/>
          <w:sz w:val="32"/>
          <w:rtl/>
        </w:rPr>
        <w:t>أنّّه</w:t>
      </w:r>
      <w:proofErr w:type="gramEnd"/>
      <w:r w:rsidRPr="00F27422">
        <w:rPr>
          <w:rFonts w:asciiTheme="minorBidi" w:hAnsiTheme="minorBidi" w:cstheme="minorBidi"/>
          <w:sz w:val="32"/>
          <w:rtl/>
        </w:rPr>
        <w:t xml:space="preserve"> مِلكه، وحيث إنّ الإضافة ظاهرةٌ في أنّ السلطنة على المال من حيث </w:t>
      </w:r>
      <w:proofErr w:type="gramStart"/>
      <w:r w:rsidRPr="00F27422">
        <w:rPr>
          <w:rFonts w:asciiTheme="minorBidi" w:hAnsiTheme="minorBidi" w:cstheme="minorBidi"/>
          <w:sz w:val="32"/>
          <w:rtl/>
        </w:rPr>
        <w:t>أنّه</w:t>
      </w:r>
      <w:proofErr w:type="gramEnd"/>
      <w:r w:rsidRPr="00F27422">
        <w:rPr>
          <w:rFonts w:asciiTheme="minorBidi" w:hAnsiTheme="minorBidi" w:cstheme="minorBidi"/>
          <w:sz w:val="32"/>
          <w:rtl/>
        </w:rPr>
        <w:t xml:space="preserve"> مِلك دلت بالالتزام على السلطنة على الملكية نفسها بإبقائها أو بإزالتها، وإنْ كانت حيثية تعليلية، وإلا فما هو الفرق بين الهبة والإعراض؟</w:t>
      </w:r>
    </w:p>
    <w:p w14:paraId="5DB587E2" w14:textId="4FB2F12E"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والإنصاف:</w:t>
      </w:r>
      <w:r w:rsidRPr="00F27422">
        <w:rPr>
          <w:rFonts w:asciiTheme="minorBidi" w:hAnsiTheme="minorBidi" w:cstheme="minorBidi"/>
          <w:sz w:val="32"/>
          <w:rtl/>
        </w:rPr>
        <w:t xml:space="preserve"> أنّ ال</w:t>
      </w:r>
      <w:r w:rsidRPr="00F27422">
        <w:rPr>
          <w:rFonts w:asciiTheme="minorBidi" w:hAnsiTheme="minorBidi" w:cstheme="minorBidi"/>
          <w:sz w:val="32"/>
          <w:highlight w:val="green"/>
          <w:rtl/>
        </w:rPr>
        <w:t>سلطنة</w:t>
      </w:r>
      <w:r w:rsidRPr="00F27422">
        <w:rPr>
          <w:rFonts w:asciiTheme="minorBidi" w:hAnsiTheme="minorBidi" w:cstheme="minorBidi"/>
          <w:sz w:val="32"/>
          <w:rtl/>
        </w:rPr>
        <w:t xml:space="preserve"> - بغض النظر عن ضعف حديث السلطنة سنداً حيث إنّه مرسل، والنزاع في تماميته دلالةً - </w:t>
      </w:r>
      <w:r w:rsidRPr="00F27422">
        <w:rPr>
          <w:rFonts w:asciiTheme="minorBidi" w:hAnsiTheme="minorBidi" w:cstheme="minorBidi"/>
          <w:sz w:val="32"/>
          <w:highlight w:val="green"/>
          <w:rtl/>
        </w:rPr>
        <w:t>على المال من حيث</w:t>
      </w:r>
      <w:r w:rsidRPr="00F27422">
        <w:rPr>
          <w:rFonts w:asciiTheme="minorBidi" w:hAnsiTheme="minorBidi" w:cstheme="minorBidi"/>
          <w:sz w:val="32"/>
          <w:rtl/>
        </w:rPr>
        <w:t xml:space="preserve"> </w:t>
      </w:r>
      <w:proofErr w:type="gramStart"/>
      <w:r w:rsidRPr="00F27422">
        <w:rPr>
          <w:rFonts w:asciiTheme="minorBidi" w:hAnsiTheme="minorBidi" w:cstheme="minorBidi"/>
          <w:sz w:val="32"/>
          <w:rtl/>
        </w:rPr>
        <w:t>أنّه</w:t>
      </w:r>
      <w:proofErr w:type="gramEnd"/>
      <w:r w:rsidRPr="00F27422">
        <w:rPr>
          <w:rFonts w:asciiTheme="minorBidi" w:hAnsiTheme="minorBidi" w:cstheme="minorBidi"/>
          <w:sz w:val="32"/>
          <w:rtl/>
        </w:rPr>
        <w:t xml:space="preserve"> مِلك بإبقائه أو</w:t>
      </w:r>
      <w:r w:rsidR="00C6059C" w:rsidRPr="00F27422">
        <w:rPr>
          <w:rFonts w:asciiTheme="minorBidi" w:hAnsiTheme="minorBidi" w:cstheme="minorBidi"/>
          <w:sz w:val="32"/>
          <w:rtl/>
        </w:rPr>
        <w:t xml:space="preserve"> </w:t>
      </w:r>
      <w:r w:rsidRPr="00F27422">
        <w:rPr>
          <w:rFonts w:asciiTheme="minorBidi" w:hAnsiTheme="minorBidi" w:cstheme="minorBidi"/>
          <w:sz w:val="32"/>
          <w:rtl/>
        </w:rPr>
        <w:t xml:space="preserve">بإخراجه </w:t>
      </w:r>
      <w:r w:rsidRPr="00F27422">
        <w:rPr>
          <w:rFonts w:asciiTheme="minorBidi" w:hAnsiTheme="minorBidi" w:cstheme="minorBidi"/>
          <w:sz w:val="32"/>
          <w:highlight w:val="green"/>
          <w:rtl/>
        </w:rPr>
        <w:t>ثابتةٌ</w:t>
      </w:r>
      <w:r w:rsidRPr="00F27422">
        <w:rPr>
          <w:rFonts w:asciiTheme="minorBidi" w:hAnsiTheme="minorBidi" w:cstheme="minorBidi"/>
          <w:sz w:val="32"/>
          <w:rtl/>
        </w:rPr>
        <w:t xml:space="preserve"> لدى المرتكز العقلائي بلا حاجةٍ لدليلٍ خاصٍ، ومن ذلك خروج المال عن الملك بالإعراض.</w:t>
      </w:r>
    </w:p>
    <w:p w14:paraId="7FA0E8C3" w14:textId="77777777" w:rsidR="00D955E6" w:rsidRPr="00F27422" w:rsidRDefault="00D955E6" w:rsidP="00122B70">
      <w:pPr>
        <w:pStyle w:val="a"/>
        <w:bidi/>
        <w:spacing w:line="216" w:lineRule="auto"/>
        <w:jc w:val="left"/>
        <w:rPr>
          <w:rFonts w:asciiTheme="minorBidi" w:hAnsiTheme="minorBidi" w:cstheme="minorBidi"/>
          <w:sz w:val="32"/>
          <w:rtl/>
        </w:rPr>
      </w:pPr>
    </w:p>
    <w:p w14:paraId="182AE423"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لكن سيدنا الخوئي (قدس سره الشريف) متوقفٌ في ذلك تبعاً للمحقق الايرواني (قدس سره الشريف) إذ يرى أنّ المال لا يخرج عن المِلك بالإعراض، فلو أنّ شخصاً مثلاً وضع متاعه في مكانٍ قاصداً الإعراضَ عنه، فإنّه لا يخرج عن </w:t>
      </w:r>
      <w:proofErr w:type="gramStart"/>
      <w:r w:rsidRPr="00F27422">
        <w:rPr>
          <w:rFonts w:asciiTheme="minorBidi" w:hAnsiTheme="minorBidi" w:cstheme="minorBidi"/>
          <w:sz w:val="32"/>
          <w:rtl/>
        </w:rPr>
        <w:t>المِلك</w:t>
      </w:r>
      <w:proofErr w:type="gramEnd"/>
      <w:r w:rsidRPr="00F27422">
        <w:rPr>
          <w:rFonts w:asciiTheme="minorBidi" w:hAnsiTheme="minorBidi" w:cstheme="minorBidi"/>
          <w:sz w:val="32"/>
          <w:rtl/>
        </w:rPr>
        <w:t xml:space="preserve"> بل ما زال باقياً، فلو بدا له أنْ يأخذه فلا يسمى ذلك رجوعاً؛ لأنّه ما زال باقياً على الِملك. نعم، لو قبضه الغير بقصد التملك خرج عن ملك المالك، فالإعراضُ شرط في تملك الغير للمال إذا </w:t>
      </w:r>
      <w:proofErr w:type="spellStart"/>
      <w:r w:rsidRPr="00F27422">
        <w:rPr>
          <w:rFonts w:asciiTheme="minorBidi" w:hAnsiTheme="minorBidi" w:cstheme="minorBidi"/>
          <w:sz w:val="32"/>
          <w:rtl/>
        </w:rPr>
        <w:t>حازه</w:t>
      </w:r>
      <w:proofErr w:type="spellEnd"/>
      <w:r w:rsidRPr="00F27422">
        <w:rPr>
          <w:rFonts w:asciiTheme="minorBidi" w:hAnsiTheme="minorBidi" w:cstheme="minorBidi"/>
          <w:sz w:val="32"/>
          <w:rtl/>
        </w:rPr>
        <w:t xml:space="preserve"> بقصد التملك، وإلّا فمجرد الإعراض لا يوجب الخروج عن المِلك.</w:t>
      </w:r>
    </w:p>
    <w:p w14:paraId="407ECFEE"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وهذا خلافُ المشهور الذي يرى أنّ الإعراض مخرجٌ عن الِملك والرجوعُ حيازةٌ جديدةٌ، فإذا أعرض عنه كان الإعراض موجباً لخروجه عن المِلك فإذا بدا له أنْ يرجع كان الرجوع تملكاً جديداً لا أنّه ليس رجوعاً.</w:t>
      </w:r>
    </w:p>
    <w:p w14:paraId="5BFBC6A9" w14:textId="77777777" w:rsidR="00C75EF6" w:rsidRPr="00F27422" w:rsidRDefault="00C75EF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ولكن مقتضى ما ذكرناه من أنّ مقتضى السلطنة لدى المرتكز العقلائي أنّ للمالك السلطنة على المال </w:t>
      </w:r>
      <w:proofErr w:type="spellStart"/>
      <w:r w:rsidRPr="00F27422">
        <w:rPr>
          <w:rFonts w:asciiTheme="minorBidi" w:hAnsiTheme="minorBidi" w:cstheme="minorBidi"/>
          <w:sz w:val="32"/>
          <w:rtl/>
        </w:rPr>
        <w:t>إبقاءاً</w:t>
      </w:r>
      <w:proofErr w:type="spellEnd"/>
      <w:r w:rsidRPr="00F27422">
        <w:rPr>
          <w:rFonts w:asciiTheme="minorBidi" w:hAnsiTheme="minorBidi" w:cstheme="minorBidi"/>
          <w:sz w:val="32"/>
          <w:rtl/>
        </w:rPr>
        <w:t xml:space="preserve"> وإخراجاً أنّ الإقالة على طبق القاعدة ولا تحتاج إلى دليلٍ خاصٍ، وأنّ الإعراض موجبٌ للخروج عن الملك إذا قصد بالإعراض الإعراض عن المِلك لا عن الإستعمال، فالإعراضُ عن الاستعمال شيءٌ والإعراض عن المِلك شيءٌ آخر.</w:t>
      </w:r>
    </w:p>
    <w:p w14:paraId="65011C21" w14:textId="77777777" w:rsidR="00C75EF6" w:rsidRPr="00F27422" w:rsidRDefault="00C75EF6" w:rsidP="00122B70">
      <w:pPr>
        <w:pStyle w:val="a"/>
        <w:bidi/>
        <w:spacing w:line="216" w:lineRule="auto"/>
        <w:jc w:val="left"/>
        <w:rPr>
          <w:rFonts w:asciiTheme="minorBidi" w:hAnsiTheme="minorBidi" w:cstheme="minorBidi"/>
          <w:sz w:val="32"/>
          <w:rtl/>
        </w:rPr>
      </w:pPr>
    </w:p>
    <w:p w14:paraId="76A11CEA" w14:textId="77777777" w:rsidR="00C75EF6" w:rsidRPr="00F27422" w:rsidRDefault="00C75EF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والحمد لله رب العالمين</w:t>
      </w:r>
    </w:p>
    <w:p w14:paraId="2912B86C" w14:textId="50F48AB0" w:rsidR="002E5D8A" w:rsidRPr="00F27422" w:rsidRDefault="002E5D8A" w:rsidP="00122B70">
      <w:pPr>
        <w:pStyle w:val="a"/>
        <w:bidi/>
        <w:spacing w:line="216" w:lineRule="auto"/>
        <w:jc w:val="left"/>
        <w:outlineLvl w:val="2"/>
        <w:rPr>
          <w:rFonts w:asciiTheme="minorBidi" w:hAnsiTheme="minorBidi" w:cstheme="minorBidi"/>
          <w:b/>
          <w:bCs/>
          <w:sz w:val="32"/>
          <w:rtl/>
        </w:rPr>
      </w:pPr>
      <w:r w:rsidRPr="00F27422">
        <w:rPr>
          <w:rFonts w:asciiTheme="minorBidi" w:hAnsiTheme="minorBidi" w:cstheme="minorBidi"/>
          <w:b/>
          <w:bCs/>
          <w:sz w:val="32"/>
          <w:rtl/>
        </w:rPr>
        <w:t>004</w:t>
      </w:r>
    </w:p>
    <w:p w14:paraId="5C74BF6F" w14:textId="77777777" w:rsidR="002E5D8A" w:rsidRPr="00F27422" w:rsidRDefault="002E5D8A" w:rsidP="00122B70">
      <w:pPr>
        <w:pStyle w:val="a"/>
        <w:bidi/>
        <w:spacing w:line="216" w:lineRule="auto"/>
        <w:jc w:val="left"/>
        <w:rPr>
          <w:rFonts w:asciiTheme="minorBidi" w:hAnsiTheme="minorBidi" w:cstheme="minorBidi"/>
          <w:sz w:val="32"/>
          <w:rtl/>
        </w:rPr>
      </w:pPr>
    </w:p>
    <w:p w14:paraId="05E0FC9D"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بسم الله الرحمن الرحيم</w:t>
      </w:r>
    </w:p>
    <w:p w14:paraId="2347CD1B"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والصلاة والسلام على أشرف الأنبياء والمرسلين، محمد وآله الطيبين الطاهرين</w:t>
      </w:r>
    </w:p>
    <w:p w14:paraId="149455E2"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واللعن الدائم على أعدائهم أجمعين إلى قيام يوم الدين</w:t>
      </w:r>
    </w:p>
    <w:p w14:paraId="19AF871C" w14:textId="77777777" w:rsidR="002E5D8A" w:rsidRPr="00F27422" w:rsidRDefault="002E5D8A" w:rsidP="00122B70">
      <w:pPr>
        <w:pStyle w:val="a"/>
        <w:bidi/>
        <w:spacing w:line="216" w:lineRule="auto"/>
        <w:jc w:val="left"/>
        <w:rPr>
          <w:rFonts w:asciiTheme="minorBidi" w:hAnsiTheme="minorBidi" w:cstheme="minorBidi"/>
          <w:sz w:val="32"/>
          <w:rtl/>
        </w:rPr>
      </w:pPr>
    </w:p>
    <w:p w14:paraId="7DDF0600"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المطلب الرابع:</w:t>
      </w:r>
      <w:r w:rsidRPr="00F27422">
        <w:rPr>
          <w:rFonts w:asciiTheme="minorBidi" w:hAnsiTheme="minorBidi" w:cstheme="minorBidi"/>
          <w:sz w:val="32"/>
          <w:rtl/>
        </w:rPr>
        <w:t xml:space="preserve"> قال سيد العروة (قدس سره): </w:t>
      </w:r>
      <w:r w:rsidRPr="00F27422">
        <w:rPr>
          <w:rFonts w:asciiTheme="minorBidi" w:hAnsiTheme="minorBidi" w:cstheme="minorBidi"/>
          <w:b/>
          <w:bCs/>
          <w:sz w:val="32"/>
          <w:rtl/>
        </w:rPr>
        <w:t>(نعم، الإجارة المعاطاتيّة جائزة يجوز لكلّ منهما الفسخ ما لم تلزم بتصرّفهما أو تصرف أحدهما فيما انتقل إليه).</w:t>
      </w:r>
    </w:p>
    <w:p w14:paraId="6FF61D1E" w14:textId="2639E630"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وقد علق على ذلك سيدنا الخوئي (قدس سره) في موسوعته المباركة [كتاب الإجارة، ج30، ص108 - 111] بقوله: </w:t>
      </w:r>
      <w:r w:rsidRPr="00F27422">
        <w:rPr>
          <w:rFonts w:asciiTheme="minorBidi" w:hAnsiTheme="minorBidi" w:cstheme="minorBidi"/>
          <w:b/>
          <w:bCs/>
          <w:sz w:val="32"/>
          <w:rtl/>
        </w:rPr>
        <w:t>(وفاقاً لما هو المشهور)</w:t>
      </w:r>
      <w:r w:rsidRPr="00F27422">
        <w:rPr>
          <w:rFonts w:asciiTheme="minorBidi" w:hAnsiTheme="minorBidi" w:cstheme="minorBidi"/>
          <w:sz w:val="32"/>
          <w:rtl/>
        </w:rPr>
        <w:t xml:space="preserve"> أي أنّ الجواز هو المشهور </w:t>
      </w:r>
      <w:r w:rsidRPr="00F27422">
        <w:rPr>
          <w:rFonts w:asciiTheme="minorBidi" w:hAnsiTheme="minorBidi" w:cstheme="minorBidi"/>
          <w:b/>
          <w:bCs/>
          <w:sz w:val="32"/>
          <w:rtl/>
        </w:rPr>
        <w:t xml:space="preserve">(بين الفقهاء، بل ادّعي عليه الإجماع في كلمات بعضهم - كما هو الحال في البيع -) </w:t>
      </w:r>
      <w:r w:rsidRPr="00F27422">
        <w:rPr>
          <w:rFonts w:asciiTheme="minorBidi" w:hAnsiTheme="minorBidi" w:cstheme="minorBidi"/>
          <w:sz w:val="32"/>
          <w:rtl/>
        </w:rPr>
        <w:t>حيث ادّعي الإجماع على أنّ البيع المعاطاتي</w:t>
      </w:r>
      <w:r w:rsidR="00112222" w:rsidRPr="00F27422">
        <w:rPr>
          <w:rFonts w:asciiTheme="minorBidi" w:hAnsiTheme="minorBidi" w:cstheme="minorBidi"/>
          <w:sz w:val="32"/>
          <w:rtl/>
        </w:rPr>
        <w:t xml:space="preserve"> </w:t>
      </w:r>
      <w:r w:rsidRPr="00F27422">
        <w:rPr>
          <w:rFonts w:asciiTheme="minorBidi" w:hAnsiTheme="minorBidi" w:cstheme="minorBidi"/>
          <w:sz w:val="32"/>
          <w:rtl/>
        </w:rPr>
        <w:t xml:space="preserve">جائزٌ وليس بلازم </w:t>
      </w:r>
      <w:r w:rsidRPr="00F27422">
        <w:rPr>
          <w:rFonts w:asciiTheme="minorBidi" w:hAnsiTheme="minorBidi" w:cstheme="minorBidi"/>
          <w:b/>
          <w:bCs/>
          <w:sz w:val="32"/>
          <w:rtl/>
        </w:rPr>
        <w:t>(من اختصاص اللزوم بما إذا كان الإيجاب باللفظ، أمّا بغيره)</w:t>
      </w:r>
      <w:r w:rsidRPr="00F27422">
        <w:rPr>
          <w:rFonts w:asciiTheme="minorBidi" w:hAnsiTheme="minorBidi" w:cstheme="minorBidi"/>
          <w:sz w:val="32"/>
          <w:rtl/>
        </w:rPr>
        <w:t xml:space="preserve"> كأنْ يكون الإيجاب بالإشارة أو بالفعل </w:t>
      </w:r>
      <w:r w:rsidRPr="00F27422">
        <w:rPr>
          <w:rFonts w:asciiTheme="minorBidi" w:hAnsiTheme="minorBidi" w:cstheme="minorBidi"/>
          <w:b/>
          <w:bCs/>
          <w:sz w:val="32"/>
          <w:rtl/>
        </w:rPr>
        <w:t>(فهو محكوم بالجواز ما لم يطرأ عليه اللزوم).</w:t>
      </w:r>
    </w:p>
    <w:p w14:paraId="4FC7F020"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(والمشهور أنّ الملزم)</w:t>
      </w:r>
      <w:r w:rsidRPr="00F27422">
        <w:rPr>
          <w:rFonts w:asciiTheme="minorBidi" w:hAnsiTheme="minorBidi" w:cstheme="minorBidi"/>
          <w:sz w:val="32"/>
          <w:rtl/>
        </w:rPr>
        <w:t xml:space="preserve"> أي اللزوم الطارئ </w:t>
      </w:r>
      <w:r w:rsidRPr="00F27422">
        <w:rPr>
          <w:rFonts w:asciiTheme="minorBidi" w:hAnsiTheme="minorBidi" w:cstheme="minorBidi"/>
          <w:b/>
          <w:bCs/>
          <w:sz w:val="32"/>
          <w:rtl/>
        </w:rPr>
        <w:t>(إمّا بالتلف)</w:t>
      </w:r>
      <w:r w:rsidRPr="00F27422">
        <w:rPr>
          <w:rFonts w:asciiTheme="minorBidi" w:hAnsiTheme="minorBidi" w:cstheme="minorBidi"/>
          <w:sz w:val="32"/>
          <w:rtl/>
        </w:rPr>
        <w:t xml:space="preserve"> أي تلف أحد العوضين بعد استلامه </w:t>
      </w:r>
      <w:r w:rsidRPr="00F27422">
        <w:rPr>
          <w:rFonts w:asciiTheme="minorBidi" w:hAnsiTheme="minorBidi" w:cstheme="minorBidi"/>
          <w:b/>
          <w:bCs/>
          <w:sz w:val="32"/>
          <w:rtl/>
        </w:rPr>
        <w:t>(أو التصرّف المغيّر للعين لا مطلقاً كما يقتضيه إطلاق عبارة المتن)</w:t>
      </w:r>
      <w:r w:rsidRPr="00F27422">
        <w:rPr>
          <w:rFonts w:asciiTheme="minorBidi" w:hAnsiTheme="minorBidi" w:cstheme="minorBidi"/>
          <w:sz w:val="32"/>
          <w:rtl/>
        </w:rPr>
        <w:t xml:space="preserve"> في العروة، </w:t>
      </w:r>
      <w:r w:rsidRPr="00F27422">
        <w:rPr>
          <w:rFonts w:asciiTheme="minorBidi" w:hAnsiTheme="minorBidi" w:cstheme="minorBidi"/>
          <w:b/>
          <w:bCs/>
          <w:sz w:val="32"/>
          <w:rtl/>
        </w:rPr>
        <w:t>(بحيث لو سكن في الدار المستأجرة يوماً أو يومين من غير حدوث تغيير في العين لم يكن له الفسخ)</w:t>
      </w:r>
      <w:r w:rsidRPr="00F27422">
        <w:rPr>
          <w:rFonts w:asciiTheme="minorBidi" w:hAnsiTheme="minorBidi" w:cstheme="minorBidi"/>
          <w:sz w:val="32"/>
          <w:rtl/>
        </w:rPr>
        <w:t xml:space="preserve"> بل لا يكون ذلك موجباً للّزوم المعاطاة.</w:t>
      </w:r>
    </w:p>
    <w:p w14:paraId="4453C894" w14:textId="77777777" w:rsidR="002E5D8A" w:rsidRPr="00F27422" w:rsidRDefault="002E5D8A"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وقد ذهب جملة من الأعلام لعدم ترتب ثمرة على البحث في جواز الإجارة المعاطاتيّة للّزومها غالباً، ومن ذلك ما في تعليقة السيد البروجردي (قدس سره) على العروة في المقام وهي: </w:t>
      </w:r>
      <w:r w:rsidRPr="00F27422">
        <w:rPr>
          <w:rFonts w:asciiTheme="minorBidi" w:hAnsiTheme="minorBidi" w:cstheme="minorBidi"/>
          <w:b/>
          <w:bCs/>
          <w:sz w:val="32"/>
          <w:rtl/>
        </w:rPr>
        <w:t xml:space="preserve">(المعاطاة فيها مساوقة للزوم غالباً لما ذكرناه من أنّ إيجاب </w:t>
      </w:r>
      <w:proofErr w:type="spellStart"/>
      <w:r w:rsidRPr="00F27422">
        <w:rPr>
          <w:rFonts w:asciiTheme="minorBidi" w:hAnsiTheme="minorBidi" w:cstheme="minorBidi"/>
          <w:b/>
          <w:bCs/>
          <w:sz w:val="32"/>
          <w:rtl/>
        </w:rPr>
        <w:t>المتقدرة</w:t>
      </w:r>
      <w:proofErr w:type="spellEnd"/>
      <w:r w:rsidRPr="00F27422">
        <w:rPr>
          <w:rFonts w:asciiTheme="minorBidi" w:hAnsiTheme="minorBidi" w:cstheme="minorBidi"/>
          <w:b/>
          <w:bCs/>
          <w:sz w:val="32"/>
          <w:rtl/>
        </w:rPr>
        <w:t xml:space="preserve"> منها بالعمل يكون بالشروع فيه، وفي </w:t>
      </w:r>
      <w:proofErr w:type="spellStart"/>
      <w:r w:rsidRPr="00F27422">
        <w:rPr>
          <w:rFonts w:asciiTheme="minorBidi" w:hAnsiTheme="minorBidi" w:cstheme="minorBidi"/>
          <w:b/>
          <w:bCs/>
          <w:sz w:val="32"/>
          <w:rtl/>
        </w:rPr>
        <w:t>المتقدرة</w:t>
      </w:r>
      <w:proofErr w:type="spellEnd"/>
      <w:r w:rsidRPr="00F27422">
        <w:rPr>
          <w:rFonts w:asciiTheme="minorBidi" w:hAnsiTheme="minorBidi" w:cstheme="minorBidi"/>
          <w:b/>
          <w:bCs/>
          <w:sz w:val="32"/>
          <w:rtl/>
        </w:rPr>
        <w:t xml:space="preserve"> بالزمان بتسليم العين في جزء منه، وكلاهما مستلزمُ لتلف جزء من المعوض).</w:t>
      </w:r>
    </w:p>
    <w:p w14:paraId="5D429E25"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وحاصل ذلك:</w:t>
      </w:r>
      <w:r w:rsidRPr="00F27422">
        <w:rPr>
          <w:rFonts w:asciiTheme="minorBidi" w:hAnsiTheme="minorBidi" w:cstheme="minorBidi"/>
          <w:sz w:val="32"/>
          <w:rtl/>
        </w:rPr>
        <w:t xml:space="preserve"> أنّ التصرّف المتلف موجبٌ للّزوم الإجارة، وهو مما يتحقق غالباً؛ لأنّ الإجارة إمّا على الأعمال أو على الأعيان، والإجارة المعاطاتيّة على الأعمال إنّما تتحقق بالشروع في العمل؛ ومتى شرع في العمل فقد أتلف جزءاً من عمله والتلف موجبٌ للّزوم، والإجارة المعاطاتيّة على الأعيان باستلام العين في أول جزءٍ من المدّة الزمنية، ومتى استلم العين في أول المدّة ولو ثانيةً واحدةً فقد حصل التلف لجزءٍ من المنفعة والتلف موجبٌ للّزوم، والنتيجة: أنّه لا تنفك الإجارة غالباً عن تصرّفٍ متلفٍ لشيءٍ من العمل أو شيءٍ من المنفعة وهو الموجب للّزوم.</w:t>
      </w:r>
    </w:p>
    <w:p w14:paraId="5FB9DD1D"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وقد أشار لذلك سيدنا الخوئي (قدس سره) بقوله: </w:t>
      </w:r>
      <w:r w:rsidRPr="00F27422">
        <w:rPr>
          <w:rFonts w:asciiTheme="minorBidi" w:hAnsiTheme="minorBidi" w:cstheme="minorBidi"/>
          <w:b/>
          <w:bCs/>
          <w:sz w:val="32"/>
          <w:rtl/>
        </w:rPr>
        <w:t>(إلّا أن يقال: إن ذلك يستوجب إتلاف مقدار من المنفعة بطبيعة الحال، وقد عرفت أنّ الإتلاف بنفسه موجب للّزوم).</w:t>
      </w:r>
    </w:p>
    <w:p w14:paraId="78647C0C" w14:textId="77777777" w:rsidR="002E5D8A" w:rsidRPr="00F27422" w:rsidRDefault="002E5D8A"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ثم أورد عليه (قدس سره) بقوله: </w:t>
      </w:r>
      <w:r w:rsidRPr="00F27422">
        <w:rPr>
          <w:rFonts w:asciiTheme="minorBidi" w:hAnsiTheme="minorBidi" w:cstheme="minorBidi"/>
          <w:b/>
          <w:bCs/>
          <w:sz w:val="32"/>
          <w:rtl/>
        </w:rPr>
        <w:t xml:space="preserve">(ولكنّه لا يطّرد فيما لو حصل التصرّف المزبور في جانب الاُجرة، كما لو كانت ثوباً - مثلاً - فلبسه يوماً من غير أن يحدث في العين شيئاً، فإنّ مثل هذا التصرّف لأجل عدم كونه مغيّراً </w:t>
      </w:r>
      <w:proofErr w:type="spellStart"/>
      <w:r w:rsidRPr="00F27422">
        <w:rPr>
          <w:rFonts w:asciiTheme="minorBidi" w:hAnsiTheme="minorBidi" w:cstheme="minorBidi"/>
          <w:b/>
          <w:bCs/>
          <w:sz w:val="32"/>
          <w:rtl/>
        </w:rPr>
        <w:t>لايستوجب</w:t>
      </w:r>
      <w:proofErr w:type="spellEnd"/>
      <w:r w:rsidRPr="00F27422">
        <w:rPr>
          <w:rFonts w:asciiTheme="minorBidi" w:hAnsiTheme="minorBidi" w:cstheme="minorBidi"/>
          <w:b/>
          <w:bCs/>
          <w:sz w:val="32"/>
          <w:rtl/>
        </w:rPr>
        <w:t xml:space="preserve"> اللزوم عند المشهور، مع أنّّ مقتضى إطلاق كلام الماتن حصوله به).</w:t>
      </w:r>
    </w:p>
    <w:p w14:paraId="41F7C262"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ويمكن استبدال الفرض الذي أفاده بفرضٍ آخر: وهو ما لو كانت الإجارة على العين مقيدةً بالمدّة المستقبلية - لا بالفعل - وهو فرد شائعٌ لا نادر، كما لو آجره السيارة من الأُسبوع القادم، فإنّه إذا سلمه السيارة بالفعل على أنْ ينتفع بها من الأُسبوع القادم تحققت الإجارة المعاطاتيّة لكنها تقع جائزةً؛ لأنّه بعدُ لم يتصرف في العين تصرفاً متلفاً، مما يعني عدم غلبة التصرّف المتلف في الإجارة المعاطاتيّة كي لا يكون للبحث ثمرة.</w:t>
      </w:r>
    </w:p>
    <w:p w14:paraId="58E90457"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وكيفما كان، فالصحيح أنّ المعاطاة في المعاوضات بيعاً أو إجارةً عقدٌ لازمٌ وليس بجائز؛ وذلك لتمامية المقتضي وانتفاء المانع.</w:t>
      </w:r>
    </w:p>
    <w:p w14:paraId="7E58562B"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lastRenderedPageBreak/>
        <w:t>أمّا تمامية المقتضي: (فللسيرة العقلائيّة القائمة على نفوذ المعاوضة بعد تحقّق العقد العرفي بأيّ سبب كان)</w:t>
      </w:r>
      <w:r w:rsidRPr="00F27422">
        <w:rPr>
          <w:rFonts w:asciiTheme="minorBidi" w:hAnsiTheme="minorBidi" w:cstheme="minorBidi"/>
          <w:sz w:val="32"/>
          <w:rtl/>
        </w:rPr>
        <w:t xml:space="preserve"> سواء كان بسببٍ قولي أو بسببٍ فعلي </w:t>
      </w:r>
      <w:r w:rsidRPr="00F27422">
        <w:rPr>
          <w:rFonts w:asciiTheme="minorBidi" w:hAnsiTheme="minorBidi" w:cstheme="minorBidi"/>
          <w:b/>
          <w:bCs/>
          <w:sz w:val="32"/>
          <w:rtl/>
        </w:rPr>
        <w:t xml:space="preserve">(وأنّه ليس لأحد المتعاملين الرجوع بعد تماميّة </w:t>
      </w:r>
      <w:proofErr w:type="gramStart"/>
      <w:r w:rsidRPr="00F27422">
        <w:rPr>
          <w:rFonts w:asciiTheme="minorBidi" w:hAnsiTheme="minorBidi" w:cstheme="minorBidi"/>
          <w:b/>
          <w:bCs/>
          <w:sz w:val="32"/>
          <w:rtl/>
        </w:rPr>
        <w:t>العقد ،</w:t>
      </w:r>
      <w:proofErr w:type="gramEnd"/>
      <w:r w:rsidRPr="00F27422">
        <w:rPr>
          <w:rFonts w:asciiTheme="minorBidi" w:hAnsiTheme="minorBidi" w:cstheme="minorBidi"/>
          <w:b/>
          <w:bCs/>
          <w:sz w:val="32"/>
          <w:rtl/>
        </w:rPr>
        <w:t xml:space="preserve"> ولا شكّ أنّ السيرة المزبورة متّبعة ما لم يردع عنها الشارع، ولم يرد هنا أيّ رادع ومانع).</w:t>
      </w:r>
    </w:p>
    <w:p w14:paraId="1DEEA449"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ومع غض النظر عنها فإنّ مقتضى إطلاق </w:t>
      </w:r>
      <w:r w:rsidRPr="00F27422">
        <w:rPr>
          <w:rFonts w:asciiTheme="minorBidi" w:hAnsiTheme="minorBidi" w:cstheme="minorBidi"/>
          <w:b/>
          <w:bCs/>
          <w:sz w:val="32"/>
          <w:rtl/>
        </w:rPr>
        <w:t xml:space="preserve">(الأمر بالوفاء في قوله تعالى (أَوْفُوا بِالْعُقُودِ)) </w:t>
      </w:r>
      <w:r w:rsidRPr="00F27422">
        <w:rPr>
          <w:rFonts w:asciiTheme="minorBidi" w:hAnsiTheme="minorBidi" w:cstheme="minorBidi"/>
          <w:sz w:val="32"/>
          <w:rtl/>
        </w:rPr>
        <w:t xml:space="preserve">لزومها، إذ الإجارة المعاطاتيّة عقدٌ فيشملها </w:t>
      </w:r>
      <w:r w:rsidRPr="00F27422">
        <w:rPr>
          <w:rFonts w:asciiTheme="minorBidi" w:hAnsiTheme="minorBidi" w:cstheme="minorBidi"/>
          <w:b/>
          <w:bCs/>
          <w:sz w:val="32"/>
          <w:rtl/>
        </w:rPr>
        <w:t>(أَوْفُوا بِالْعُقُودِ)</w:t>
      </w:r>
      <w:r w:rsidRPr="00F27422">
        <w:rPr>
          <w:rFonts w:asciiTheme="minorBidi" w:hAnsiTheme="minorBidi" w:cstheme="minorBidi"/>
          <w:sz w:val="32"/>
          <w:rtl/>
        </w:rPr>
        <w:t xml:space="preserve"> والوفاءُ المأمور به إمّا الوفاء الإنشائي بمعنى عدم النقض فتدل الآية على اللّزوم بأصل الظهور، أو الوفاء العملي بمعنى ترتيب الأثر على المعاملة فمقتضى إطلاق الأمر بترتيب الأثر على المعاملة بمجرد تحقّقها وإنْ فسخ أحدهما هو لزوم المعاملة.</w:t>
      </w:r>
    </w:p>
    <w:p w14:paraId="67215750"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كما أن مقتضى إطلاق النصوص الخاصة شمولها للإجارة المعاطاتيّة، كصحيحةِ عليّ بن يقطين السابقة.</w:t>
      </w:r>
    </w:p>
    <w:p w14:paraId="051F8D41"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فالمقتضي وهو السيرة والعمومات تام.</w:t>
      </w:r>
    </w:p>
    <w:p w14:paraId="267AAD63"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وأمّا انتفاء المانع:</w:t>
      </w:r>
      <w:r w:rsidRPr="00F27422">
        <w:rPr>
          <w:rFonts w:asciiTheme="minorBidi" w:hAnsiTheme="minorBidi" w:cstheme="minorBidi"/>
          <w:sz w:val="32"/>
          <w:rtl/>
        </w:rPr>
        <w:t xml:space="preserve"> </w:t>
      </w:r>
      <w:r w:rsidRPr="00F27422">
        <w:rPr>
          <w:rFonts w:asciiTheme="minorBidi" w:hAnsiTheme="minorBidi" w:cstheme="minorBidi"/>
          <w:b/>
          <w:bCs/>
          <w:sz w:val="32"/>
          <w:rtl/>
        </w:rPr>
        <w:t>(وليس شيء بإزائها)</w:t>
      </w:r>
      <w:r w:rsidRPr="00F27422">
        <w:rPr>
          <w:rFonts w:asciiTheme="minorBidi" w:hAnsiTheme="minorBidi" w:cstheme="minorBidi"/>
          <w:sz w:val="32"/>
          <w:rtl/>
        </w:rPr>
        <w:t xml:space="preserve"> أي العمومات </w:t>
      </w:r>
      <w:r w:rsidRPr="00F27422">
        <w:rPr>
          <w:rFonts w:asciiTheme="minorBidi" w:hAnsiTheme="minorBidi" w:cstheme="minorBidi"/>
          <w:b/>
          <w:bCs/>
          <w:sz w:val="32"/>
          <w:rtl/>
        </w:rPr>
        <w:t>(ما عدا دعوى الإجماع المدّعى في كلمات غير واحد على عدم اللزوم، وأنّ في مورد المعاطاة لم يكن إلّا الملك المتزلزل، فإنْ تحقّق ذلك)</w:t>
      </w:r>
      <w:r w:rsidRPr="00F27422">
        <w:rPr>
          <w:rFonts w:asciiTheme="minorBidi" w:hAnsiTheme="minorBidi" w:cstheme="minorBidi"/>
          <w:sz w:val="32"/>
          <w:rtl/>
        </w:rPr>
        <w:t xml:space="preserve"> أي لو ثبت هذا الإجماع </w:t>
      </w:r>
      <w:r w:rsidRPr="00F27422">
        <w:rPr>
          <w:rFonts w:asciiTheme="minorBidi" w:hAnsiTheme="minorBidi" w:cstheme="minorBidi"/>
          <w:b/>
          <w:bCs/>
          <w:sz w:val="32"/>
          <w:rtl/>
        </w:rPr>
        <w:t>(لم يكن بدّ من رفع اليد عن مقتضى القاعدة بالمقدار المتيقّن خروجه منها، وإلّا فالمتّبع هو تلك الأدلة)</w:t>
      </w:r>
      <w:r w:rsidRPr="00F27422">
        <w:rPr>
          <w:rFonts w:asciiTheme="minorBidi" w:hAnsiTheme="minorBidi" w:cstheme="minorBidi"/>
          <w:sz w:val="32"/>
          <w:rtl/>
        </w:rPr>
        <w:t xml:space="preserve"> السيرة والعمومات.</w:t>
      </w:r>
    </w:p>
    <w:p w14:paraId="4B5A8056" w14:textId="77777777" w:rsidR="002E5D8A" w:rsidRPr="00F27422" w:rsidRDefault="002E5D8A"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 xml:space="preserve">(والظاهر عدم التحقّق) </w:t>
      </w:r>
      <w:r w:rsidRPr="00F27422">
        <w:rPr>
          <w:rFonts w:asciiTheme="minorBidi" w:hAnsiTheme="minorBidi" w:cstheme="minorBidi"/>
          <w:sz w:val="32"/>
          <w:rtl/>
        </w:rPr>
        <w:t>أي أنّ الظاهر هو منع الصغرى وعدم جدواها على فرض تحققها.</w:t>
      </w:r>
    </w:p>
    <w:p w14:paraId="69FA471F"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أمّا منع الصغرى:</w:t>
      </w:r>
      <w:r w:rsidRPr="00F27422">
        <w:rPr>
          <w:rFonts w:asciiTheme="minorBidi" w:hAnsiTheme="minorBidi" w:cstheme="minorBidi"/>
          <w:sz w:val="32"/>
          <w:rtl/>
        </w:rPr>
        <w:t xml:space="preserve"> فلأنّه لا يوجد إجماعٌ على أنّ المعاطاة ملك متزلزل.</w:t>
      </w:r>
    </w:p>
    <w:p w14:paraId="41874EF9"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(والوجه فيه: أنّ المنقول من كلمات المتقدّمين من الفقهاء وجملة من المتأخّرين وإن كان هو عدم اللزوم)</w:t>
      </w:r>
      <w:r w:rsidRPr="00F27422">
        <w:rPr>
          <w:rFonts w:asciiTheme="minorBidi" w:hAnsiTheme="minorBidi" w:cstheme="minorBidi"/>
          <w:sz w:val="32"/>
          <w:rtl/>
        </w:rPr>
        <w:t xml:space="preserve"> أي أنّ المعاطاة ليست لازمة </w:t>
      </w:r>
      <w:r w:rsidRPr="00F27422">
        <w:rPr>
          <w:rFonts w:asciiTheme="minorBidi" w:hAnsiTheme="minorBidi" w:cstheme="minorBidi"/>
          <w:b/>
          <w:bCs/>
          <w:sz w:val="32"/>
          <w:rtl/>
        </w:rPr>
        <w:t>(إلّا أنّ ذلك مبني على ما يرتؤونه من أنّ المعاطاة لا تفيد)</w:t>
      </w:r>
      <w:r w:rsidRPr="00F27422">
        <w:rPr>
          <w:rFonts w:asciiTheme="minorBidi" w:hAnsiTheme="minorBidi" w:cstheme="minorBidi"/>
          <w:sz w:val="32"/>
          <w:rtl/>
        </w:rPr>
        <w:t xml:space="preserve"> الملك أصلاً؛ بل لا تفيد </w:t>
      </w:r>
      <w:r w:rsidRPr="00F27422">
        <w:rPr>
          <w:rFonts w:asciiTheme="minorBidi" w:hAnsiTheme="minorBidi" w:cstheme="minorBidi"/>
          <w:b/>
          <w:bCs/>
          <w:sz w:val="32"/>
          <w:rtl/>
        </w:rPr>
        <w:t>(إلّا الإباحة، فلا ملكيّة حتى يقال: إنّها لازمة أو جائزة، فعدم اللزوم من باب السالبة بانتفاء الموضوع).</w:t>
      </w:r>
    </w:p>
    <w:p w14:paraId="7EED70B5"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وأمّا منع الجدوى:</w:t>
      </w:r>
      <w:r w:rsidRPr="00F27422">
        <w:rPr>
          <w:rFonts w:asciiTheme="minorBidi" w:hAnsiTheme="minorBidi" w:cstheme="minorBidi"/>
          <w:sz w:val="32"/>
          <w:rtl/>
        </w:rPr>
        <w:t xml:space="preserve"> فلأنّه لو كان في البين إجماعٌ على الملك المتزلزل فلم يثبت كونه إجماعاً محصلاً كي يكون حاكماً على عمومات.</w:t>
      </w:r>
    </w:p>
    <w:p w14:paraId="7609D02E"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ولذا قال سيدنا الخوئي (قدس سره الشريف): </w:t>
      </w:r>
      <w:r w:rsidRPr="00F27422">
        <w:rPr>
          <w:rFonts w:asciiTheme="minorBidi" w:hAnsiTheme="minorBidi" w:cstheme="minorBidi"/>
          <w:b/>
          <w:bCs/>
          <w:sz w:val="32"/>
          <w:rtl/>
        </w:rPr>
        <w:t>(فلا شهرة في كلمات الفقهاء على الجواز – أي الملك المتزلزل – فضلاً عن الإجماع.</w:t>
      </w:r>
    </w:p>
    <w:p w14:paraId="71845B6F"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نعم، المشهور من بعد المحقّق الكركي هو ذلك. إذن فلا يمكن دعوى الإجماع على عدم اللزوم ممّن يلتزم بالملكيّة في مورد المعاطاة لكي يرفع اليد بها عن مقتضى القاعدة).</w:t>
      </w:r>
    </w:p>
    <w:p w14:paraId="7DB4B2B9"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والنتيجة:</w:t>
      </w:r>
      <w:r w:rsidRPr="00F27422">
        <w:rPr>
          <w:rFonts w:asciiTheme="minorBidi" w:hAnsiTheme="minorBidi" w:cstheme="minorBidi"/>
          <w:sz w:val="32"/>
          <w:rtl/>
        </w:rPr>
        <w:t xml:space="preserve"> </w:t>
      </w:r>
      <w:r w:rsidRPr="00F27422">
        <w:rPr>
          <w:rFonts w:asciiTheme="minorBidi" w:hAnsiTheme="minorBidi" w:cstheme="minorBidi"/>
          <w:b/>
          <w:bCs/>
          <w:sz w:val="32"/>
          <w:rtl/>
        </w:rPr>
        <w:t>(فالظاهر أنّ الإجارة المعاطاتيّة لازمة كالبيع وإن كان الاحتياط – بترتيب كلّ منهما الأثر على فسخ الآخر – حذراً من مخالفة المشهور أولى وأحسن).</w:t>
      </w:r>
      <w:r w:rsidRPr="00F27422">
        <w:rPr>
          <w:rFonts w:asciiTheme="minorBidi" w:hAnsiTheme="minorBidi" w:cstheme="minorBidi"/>
          <w:sz w:val="32"/>
          <w:rtl/>
        </w:rPr>
        <w:t xml:space="preserve"> بشرط أنْ يكون المبرز لها فعلاً يدل على الإجارة بحسب النظر العرفي، فإنّه لو سلم شخصٌ السيارة لشخصٍ فهذا فعل أعم مِن أنْ يكون إجارةً، </w:t>
      </w:r>
      <w:proofErr w:type="spellStart"/>
      <w:r w:rsidRPr="00F27422">
        <w:rPr>
          <w:rFonts w:asciiTheme="minorBidi" w:hAnsiTheme="minorBidi" w:cstheme="minorBidi"/>
          <w:sz w:val="32"/>
          <w:rtl/>
        </w:rPr>
        <w:t>أوهبةً</w:t>
      </w:r>
      <w:proofErr w:type="spellEnd"/>
      <w:r w:rsidRPr="00F27422">
        <w:rPr>
          <w:rFonts w:asciiTheme="minorBidi" w:hAnsiTheme="minorBidi" w:cstheme="minorBidi"/>
          <w:sz w:val="32"/>
          <w:rtl/>
        </w:rPr>
        <w:t>، أو إباحةً، فلابُدّ أنْ يكون المبرز للإجارة المعاطاتيّة فعلاً ينسجم بالنظر العرفي مع التمليك كي يكون من باب الإجارة المعاطاتيّة.</w:t>
      </w:r>
    </w:p>
    <w:p w14:paraId="183957B9" w14:textId="4667B46C"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highlight w:val="yellow"/>
          <w:rtl/>
        </w:rPr>
        <w:t>تم الكلام في صدر عبارة الفصل من</w:t>
      </w:r>
      <w:r w:rsidR="00112222" w:rsidRPr="00F27422">
        <w:rPr>
          <w:rFonts w:asciiTheme="minorBidi" w:hAnsiTheme="minorBidi" w:cstheme="minorBidi"/>
          <w:sz w:val="32"/>
          <w:highlight w:val="yellow"/>
          <w:rtl/>
        </w:rPr>
        <w:t xml:space="preserve"> </w:t>
      </w:r>
      <w:r w:rsidRPr="00F27422">
        <w:rPr>
          <w:rFonts w:asciiTheme="minorBidi" w:hAnsiTheme="minorBidi" w:cstheme="minorBidi"/>
          <w:sz w:val="32"/>
          <w:highlight w:val="yellow"/>
          <w:rtl/>
        </w:rPr>
        <w:t>العروة.</w:t>
      </w:r>
    </w:p>
    <w:p w14:paraId="6AE71910"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المسألة الأُولى من فصل أحكام عقد الإجارة:</w:t>
      </w:r>
    </w:p>
    <w:p w14:paraId="3EB9783E"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قال سيد العروة (قدس سره الشريف): </w:t>
      </w:r>
      <w:r w:rsidRPr="00F27422">
        <w:rPr>
          <w:rFonts w:asciiTheme="minorBidi" w:hAnsiTheme="minorBidi" w:cstheme="minorBidi"/>
          <w:b/>
          <w:bCs/>
          <w:sz w:val="32"/>
          <w:rtl/>
        </w:rPr>
        <w:t>(مسألة 1: يجوز بيع العين المستأجرة قبل تمام مدّة الإجارة)</w:t>
      </w:r>
      <w:r w:rsidRPr="00F27422">
        <w:rPr>
          <w:rFonts w:asciiTheme="minorBidi" w:hAnsiTheme="minorBidi" w:cstheme="minorBidi"/>
          <w:sz w:val="32"/>
          <w:rtl/>
        </w:rPr>
        <w:t xml:space="preserve"> كأنْ آجر شخصٌ سيارته لزيد ثم باعها على عمرو </w:t>
      </w:r>
      <w:r w:rsidRPr="00F27422">
        <w:rPr>
          <w:rFonts w:asciiTheme="minorBidi" w:hAnsiTheme="minorBidi" w:cstheme="minorBidi"/>
          <w:b/>
          <w:bCs/>
          <w:sz w:val="32"/>
          <w:rtl/>
        </w:rPr>
        <w:t>(ولا تنفسخ الإجارة به فتنتقل إلى المشتري مسلوبة المنفعة مدّة الإجارة).</w:t>
      </w:r>
    </w:p>
    <w:p w14:paraId="6C46BF0F"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lastRenderedPageBreak/>
        <w:t>بل - وإنْ لم يذكر سيد العروة ذلك - ولو اقترن البيع والإجارة في آنٍ واحدٍ، بأنْ قال في عقدٍ واحد: "آجرتُ السيارة التي أبيعها لزيدٍ بكذا لمدة شهرين" فإنّ العين بمقتضى البيع الواقع مقترناً بالإجارة تقتضي أنْ تنتقل العينُ للمشتري مسلوبة المنفعة.</w:t>
      </w:r>
    </w:p>
    <w:p w14:paraId="711C88CC"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وفي هذه المسألة عدة أمور تحتاج إلى التنقيح:</w:t>
      </w:r>
    </w:p>
    <w:p w14:paraId="6EB8FF1B"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الأمرُ الأول: </w:t>
      </w:r>
      <w:r w:rsidRPr="00F27422">
        <w:rPr>
          <w:rFonts w:asciiTheme="minorBidi" w:hAnsiTheme="minorBidi" w:cstheme="minorBidi"/>
          <w:sz w:val="32"/>
          <w:rtl/>
        </w:rPr>
        <w:t>في صحة البيع وعدم انفساخ الإجارة، بل كلٌّ منهما يقع صحيحاً ولازماً، وذلك لأحد وجهين:</w:t>
      </w:r>
    </w:p>
    <w:p w14:paraId="4A1F9888" w14:textId="68C0925F"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الوجه الأول:</w:t>
      </w:r>
      <w:r w:rsidRPr="00F27422">
        <w:rPr>
          <w:rFonts w:asciiTheme="minorBidi" w:hAnsiTheme="minorBidi" w:cstheme="minorBidi"/>
          <w:sz w:val="32"/>
          <w:rtl/>
        </w:rPr>
        <w:t xml:space="preserve"> وجهٌ عامٌ تعرض له سيدنا الخوئي (قدس سره) في موسوعته المباركة [كتاب الإجارة، ج30، ص111] حيث قال: </w:t>
      </w:r>
      <w:r w:rsidRPr="00F27422">
        <w:rPr>
          <w:rFonts w:asciiTheme="minorBidi" w:hAnsiTheme="minorBidi" w:cstheme="minorBidi"/>
          <w:b/>
          <w:bCs/>
          <w:sz w:val="32"/>
          <w:rtl/>
        </w:rPr>
        <w:t xml:space="preserve">(فلا تمنع الإجارة عن صحّة البيع كما لا يستوجب البيع انفساخ الإجارة، وكلّ ذلك بمقتضى القاعدة) </w:t>
      </w:r>
      <w:r w:rsidRPr="00F27422">
        <w:rPr>
          <w:rFonts w:asciiTheme="minorBidi" w:hAnsiTheme="minorBidi" w:cstheme="minorBidi"/>
          <w:sz w:val="32"/>
          <w:rtl/>
        </w:rPr>
        <w:t xml:space="preserve">حيث إنّ المالك للعين له ملكيتان: ملكيةٌ للعين وملكيةٌ للمنفعة ويستطيع في آنٍ واحدٍ أنْ ينقل الملكيتين إلى شخصين بأنْ يبيع العين على شخصٍ ويملك المنفعة بالإجارة لشخصٍ آخرٍ </w:t>
      </w:r>
      <w:r w:rsidRPr="00F27422">
        <w:rPr>
          <w:rFonts w:asciiTheme="minorBidi" w:hAnsiTheme="minorBidi" w:cstheme="minorBidi"/>
          <w:b/>
          <w:bCs/>
          <w:sz w:val="32"/>
          <w:rtl/>
        </w:rPr>
        <w:t>(لما تقدّم سابقاً من أنْ ملكيّة العين وملكيّة المنفعة ملكيّتان مستقلّتان عرضيّتان لا ملازمة بينهما في الثبوت والسقوط)</w:t>
      </w:r>
      <w:r w:rsidRPr="00F27422">
        <w:rPr>
          <w:rFonts w:asciiTheme="minorBidi" w:hAnsiTheme="minorBidi" w:cstheme="minorBidi"/>
          <w:sz w:val="32"/>
          <w:rtl/>
        </w:rPr>
        <w:t xml:space="preserve"> من دون فرقٍ في ذلك باختلاف المباني في حقيقةِ الإجارة؛ حيث سبق في أول بحث الإجارة: أنّ الإجارة هل هي</w:t>
      </w:r>
      <w:r w:rsidR="00112222" w:rsidRPr="00F27422">
        <w:rPr>
          <w:rFonts w:asciiTheme="minorBidi" w:hAnsiTheme="minorBidi" w:cstheme="minorBidi"/>
          <w:sz w:val="32"/>
          <w:rtl/>
        </w:rPr>
        <w:t xml:space="preserve"> </w:t>
      </w:r>
      <w:r w:rsidRPr="00F27422">
        <w:rPr>
          <w:rFonts w:asciiTheme="minorBidi" w:hAnsiTheme="minorBidi" w:cstheme="minorBidi"/>
          <w:sz w:val="32"/>
          <w:rtl/>
        </w:rPr>
        <w:t>تمليك المنفعة؟ أم تمليك الانتفاع؟ أم من باب التسليط على العين أو العمل؟ وعلى جميع المباني متعلق البيع ومتعلق الإجارة أمران واعتباران في عرضٍ واحدٍ فلا ملازمة بينهما في الثبوت والسقوط.</w:t>
      </w:r>
    </w:p>
    <w:p w14:paraId="392B7EA3"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فإنْ قلتَ:</w:t>
      </w:r>
      <w:r w:rsidRPr="00F27422">
        <w:rPr>
          <w:rFonts w:asciiTheme="minorBidi" w:hAnsiTheme="minorBidi" w:cstheme="minorBidi"/>
          <w:sz w:val="32"/>
          <w:rtl/>
        </w:rPr>
        <w:t xml:space="preserve"> إنّ صحّة البيع تتوقف على القدرة على التسليم، ولا يقدر البائع على تسليم العين للمشتري؛ لأنّها تحت سلطنة المستأجر، فمقتضى فَقْدِ القدرة على التسليم عدمُ صحّة البيع.</w:t>
      </w:r>
    </w:p>
    <w:p w14:paraId="54A5F5E6"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قلتُ:</w:t>
      </w:r>
      <w:r w:rsidRPr="00F27422">
        <w:rPr>
          <w:rFonts w:asciiTheme="minorBidi" w:hAnsiTheme="minorBidi" w:cstheme="minorBidi"/>
          <w:sz w:val="32"/>
          <w:rtl/>
        </w:rPr>
        <w:t xml:space="preserve"> إنّ القدرة على التسليم - على فرض اعتبارها في صحّة المعاوضة، حيث سبق أنّ المناط إمكان تحصيل الغرض النوعي من التملك لا القدرة على التسليم - متحققةٌ للمشتري؛ لأنّ العين تحت سلطنته شرعاً، ولذلك يمكنه بيعها وهبتها، وتأجيرها بعد انقضاء الإجارة الأولى، وأنّ ما هو تحت سلطنة المستأجر هو المنفعة، فكما لو استأجر زيدٌ من بَكرٍ السيارة، ثمّ باعَ بكرٌ السيارة على عمروٍ، كانت السلطنة على السيارة شرعاً لعمرو المشتري، وإنْ كانت تبقى بيد زيدٍ المستأجر من باب الأمانة لا أنّ له السلطنة على العين كي يتنافى ذلك مع قدرة المشتري على تسلم العين.</w:t>
      </w:r>
    </w:p>
    <w:p w14:paraId="7DD76BB7"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فإنْ أبيتَ ذلك، فعلى الأقل:</w:t>
      </w:r>
      <w:r w:rsidRPr="00F27422">
        <w:rPr>
          <w:rFonts w:asciiTheme="minorBidi" w:hAnsiTheme="minorBidi" w:cstheme="minorBidi"/>
          <w:sz w:val="32"/>
          <w:rtl/>
        </w:rPr>
        <w:t xml:space="preserve"> أنّه يكفي في صحّة البيع قدرةُ المشتري على التسلم عند انتهاء مدّة الإجارة، إذ لم يقم دليلٌ على اعتبار أكثر من ذلك في صحّة البيع، فهو صحيحٌ مِن الآن مشروطاً بشرطٍ متأخرٍ وهو قدرةُ المشتري على الاستلام عند انتهاء مدّة الإجارة.</w:t>
      </w:r>
    </w:p>
    <w:p w14:paraId="4C4C52A7"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الوجه الثاني: </w:t>
      </w:r>
      <w:r w:rsidRPr="00F27422">
        <w:rPr>
          <w:rFonts w:asciiTheme="minorBidi" w:hAnsiTheme="minorBidi" w:cstheme="minorBidi"/>
          <w:sz w:val="32"/>
          <w:rtl/>
        </w:rPr>
        <w:t>أنّ هناك مجموعة من الروايات الخاصة - ولم يتعرض لها سيدنا الخوئي (قدس سره) - تدل على أنّ الإجارة لا تنفسخ بوقوع البيع:</w:t>
      </w:r>
    </w:p>
    <w:p w14:paraId="270B9E38"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منها:</w:t>
      </w:r>
      <w:r w:rsidRPr="00F27422">
        <w:rPr>
          <w:rFonts w:asciiTheme="minorBidi" w:hAnsiTheme="minorBidi" w:cstheme="minorBidi"/>
          <w:sz w:val="32"/>
          <w:rtl/>
        </w:rPr>
        <w:t xml:space="preserve"> صحيحة أبي همام، كما في الوسائل: </w:t>
      </w:r>
      <w:r w:rsidRPr="00F27422">
        <w:rPr>
          <w:rFonts w:asciiTheme="minorBidi" w:hAnsiTheme="minorBidi" w:cstheme="minorBidi"/>
          <w:b/>
          <w:bCs/>
          <w:sz w:val="32"/>
          <w:rtl/>
        </w:rPr>
        <w:t>(محمّد بن علي بن الحسين بإسناده عن أبي همام أنه كتب إلى أبي الحسن (عليه السلام) في رجل استأجر ضيعة من رجل فباع المؤاجر تلك الضيعة بحضرة المستأجر ولم ينكر المستأجر البيع، وكان حاضراً له شاهداً فمات المشتري وله ورثة، هل يرجع ذلك الشيء في ميراث الميّت، أو يثبت في يد المستأجر إلى أن تنقضي إجارته؟ فكتب (عليه السلام): يثبت في يد المستأجر إلى أن تنقضي إجارته).</w:t>
      </w:r>
      <w:r w:rsidRPr="00F27422">
        <w:rPr>
          <w:rFonts w:asciiTheme="minorBidi" w:hAnsiTheme="minorBidi" w:cstheme="minorBidi"/>
          <w:sz w:val="32"/>
          <w:rtl/>
        </w:rPr>
        <w:t xml:space="preserve"> [وسائل الشيعة، الحر العاملي، تحقيق مؤسسة آل البيت (عليهم السلام) لإحياء التراث، كتاب الإجارة، ج19، باب 24 باب أنّ بيع العين لا يبطل الإجارة، ويجب أن يبين للمشتري، ح1].</w:t>
      </w:r>
    </w:p>
    <w:p w14:paraId="03C1A41D"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وظاهر الرواية أنّ الإجارة لا تنفسخ بالبيع، وأنّ البيع وإنْ تم لكن لا تنتقل المنفعة إلى ملك الورثة إلّا بعد تمامية مدّة الإجارة.</w:t>
      </w:r>
    </w:p>
    <w:p w14:paraId="36C190E0"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lastRenderedPageBreak/>
        <w:t>ولكن قد يقال:</w:t>
      </w:r>
      <w:r w:rsidRPr="00F27422">
        <w:rPr>
          <w:rFonts w:asciiTheme="minorBidi" w:hAnsiTheme="minorBidi" w:cstheme="minorBidi"/>
          <w:sz w:val="32"/>
          <w:rtl/>
        </w:rPr>
        <w:t xml:space="preserve"> إن ظاهر بعض الروايات تضمن عقد البيع لأمرين:</w:t>
      </w:r>
    </w:p>
    <w:p w14:paraId="3ADFBEE3"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الأمرُ الأول:</w:t>
      </w:r>
      <w:r w:rsidRPr="00F27422">
        <w:rPr>
          <w:rFonts w:asciiTheme="minorBidi" w:hAnsiTheme="minorBidi" w:cstheme="minorBidi"/>
          <w:sz w:val="32"/>
          <w:rtl/>
        </w:rPr>
        <w:t xml:space="preserve"> الاشتراط، أي: أنْ يشترط البائع على المشتري عدم الملكية إلى حين انقضاء الإجارة.</w:t>
      </w:r>
    </w:p>
    <w:p w14:paraId="34AAD851" w14:textId="5639DFF0" w:rsidR="002E5D8A" w:rsidRPr="00F27422" w:rsidRDefault="002E5D8A"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الأمرُ الثاني:</w:t>
      </w:r>
      <w:r w:rsidRPr="00F27422">
        <w:rPr>
          <w:rFonts w:asciiTheme="minorBidi" w:hAnsiTheme="minorBidi" w:cstheme="minorBidi"/>
          <w:sz w:val="32"/>
          <w:rtl/>
        </w:rPr>
        <w:t xml:space="preserve"> أنّ هذا الشرط دخيلٌ</w:t>
      </w:r>
      <w:r w:rsidR="00112222" w:rsidRPr="00F27422">
        <w:rPr>
          <w:rFonts w:asciiTheme="minorBidi" w:hAnsiTheme="minorBidi" w:cstheme="minorBidi"/>
          <w:sz w:val="32"/>
          <w:rtl/>
        </w:rPr>
        <w:t xml:space="preserve"> </w:t>
      </w:r>
      <w:r w:rsidRPr="00F27422">
        <w:rPr>
          <w:rFonts w:asciiTheme="minorBidi" w:hAnsiTheme="minorBidi" w:cstheme="minorBidi"/>
          <w:sz w:val="32"/>
          <w:rtl/>
        </w:rPr>
        <w:t>في صحّة البيع، أي أنّه لا يقع البيع صحيحاً إلّا بهذا الشرط.</w:t>
      </w:r>
    </w:p>
    <w:p w14:paraId="19396AB4"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أمّا بالنسبة للأمر الأول:</w:t>
      </w:r>
      <w:r w:rsidRPr="00F27422">
        <w:rPr>
          <w:rFonts w:asciiTheme="minorBidi" w:hAnsiTheme="minorBidi" w:cstheme="minorBidi"/>
          <w:sz w:val="32"/>
          <w:rtl/>
        </w:rPr>
        <w:t xml:space="preserve"> وهو دعوى ظهور بعض الروايات الشريفة في اشتراط البائع على المشتري عدم الملكية إلى حين انقضاء الإجارة، فقد يستفاد ذلك من نحو: صحيحة حسين بن نعيم، كما في الوسائل: </w:t>
      </w:r>
      <w:r w:rsidRPr="00F27422">
        <w:rPr>
          <w:rFonts w:asciiTheme="minorBidi" w:hAnsiTheme="minorBidi" w:cstheme="minorBidi"/>
          <w:b/>
          <w:bCs/>
          <w:sz w:val="32"/>
          <w:rtl/>
        </w:rPr>
        <w:t>(وبإسناده عن علي بن إبراهيم، عن أبيه، عن ابن أبي عمير، عن حسين بن نعيم، عن أبي الحسن موسى (عليه ‌السلام) قال: سألته عن رجل جعل داراً سكنى لرجل أيّام حياته أو جعلها له ولعقبه من بعده هل هي له ولعقبه من بعده كما شرط؟ قال: نعم، قلت له: فإن احتاج يبيعها؟ قال: نعم، قلت: فينقض بيع الدار السكنى؟ قال: لا ينقض البيع السكنى كذلك سمعت أبي (عليه السلام) يقول: قال أبو جعفر (عليه السلام): لا ينقض البيع الإِجارة ولا السكنى، ولكن تبيعه على أن الذي اشتراه لا يملك ما اشترى حتّى تنقضي السكنى كما شرط، وكذا الإِجارة.</w:t>
      </w:r>
    </w:p>
    <w:p w14:paraId="4ABF359C"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قلت: فإن ردّ على المستأجر ماله وجميع ما لزمه من النفقة والعمارة فيما استأجر، قال: على طيبة النفس وبرضا المستأجر بذلك لا بأس).</w:t>
      </w:r>
      <w:r w:rsidRPr="00F27422">
        <w:rPr>
          <w:rFonts w:asciiTheme="minorBidi" w:hAnsiTheme="minorBidi" w:cstheme="minorBidi"/>
          <w:sz w:val="32"/>
          <w:rtl/>
        </w:rPr>
        <w:t xml:space="preserve"> [وسائل الشيعة، الحر العاملي، تحقيق مؤسسة آل البيت (عليهم السلام) لإحياء التراث، كتاب الإجارة، ج19، باب 24 باب أنّ بيع العين لا يبطل الإجارة، ويجب أن يبين للمشتري، ح3].</w:t>
      </w:r>
    </w:p>
    <w:p w14:paraId="247880AF"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والشاهد في الرواية قوله (عليه السلام): </w:t>
      </w:r>
      <w:r w:rsidRPr="00F27422">
        <w:rPr>
          <w:rFonts w:asciiTheme="minorBidi" w:hAnsiTheme="minorBidi" w:cstheme="minorBidi"/>
          <w:b/>
          <w:bCs/>
          <w:sz w:val="32"/>
          <w:rtl/>
        </w:rPr>
        <w:t>(ولكن تبيعه على أن الذي اشتراه لا يملك ما اشترى حتّى تنقضي السكنى كما شرط، وكذا الإِجارة).</w:t>
      </w:r>
    </w:p>
    <w:p w14:paraId="3DED7957"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ونحو: معتبرة يونس، كما في الوسائل: </w:t>
      </w:r>
      <w:r w:rsidRPr="00F27422">
        <w:rPr>
          <w:rFonts w:asciiTheme="minorBidi" w:hAnsiTheme="minorBidi" w:cstheme="minorBidi"/>
          <w:b/>
          <w:bCs/>
          <w:sz w:val="32"/>
          <w:rtl/>
        </w:rPr>
        <w:t>(وعن محمّد بن يحيى، عن أحمد بن محمّد، عن علي بن أحمد، عن يونس قال: كتبت إلى الرضا (عليه ‌السلام) أسأله عن رجل تقبل من رجل أرضاً أو غير ذلك سنين مسمّاة، ثمّ إن المقبل أراد بيع أرضه التي قبلها قبل انقضاء السنين المسمّاة هل للمتقبّل أن يمنعه من البيع قبل انقضاء أجله الذي تقبّلها منه إليه، وما يلزم المتقبّل له؟ قال: له أن يبيع إذا اشترط على المشتري أنّ للمتقبّل من السنين ماله).</w:t>
      </w:r>
      <w:r w:rsidRPr="00F27422">
        <w:rPr>
          <w:rFonts w:asciiTheme="minorBidi" w:hAnsiTheme="minorBidi" w:cstheme="minorBidi"/>
          <w:sz w:val="32"/>
          <w:rtl/>
        </w:rPr>
        <w:t xml:space="preserve"> [وسائل الشيعة، الحر العاملي، تحقيق مؤسسة آل البيت (عليهم السلام) لإحياء التراث، كتاب الإجارة، ج19، باب 24 باب أنّ بيع العين لا يبطل الإجارة، ويجب أن يبين للمشتري، ح4].</w:t>
      </w:r>
    </w:p>
    <w:p w14:paraId="5A54C82F"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والقبالة قد تشمل الإجارة، وظاهر العبارة في هذه المعتبرة غيرُ ظاهر العبارة في الرواية السابقة فإنّ العبارة في الرواية الأُولى قال (عليه السلام): </w:t>
      </w:r>
      <w:r w:rsidRPr="00F27422">
        <w:rPr>
          <w:rFonts w:asciiTheme="minorBidi" w:hAnsiTheme="minorBidi" w:cstheme="minorBidi"/>
          <w:b/>
          <w:bCs/>
          <w:sz w:val="32"/>
          <w:rtl/>
        </w:rPr>
        <w:t>(ولكن تبيعه على أن الذي اشتراه لا يملك ما اشترى)</w:t>
      </w:r>
      <w:r w:rsidRPr="00F27422">
        <w:rPr>
          <w:rFonts w:asciiTheme="minorBidi" w:hAnsiTheme="minorBidi" w:cstheme="minorBidi"/>
          <w:sz w:val="32"/>
          <w:rtl/>
        </w:rPr>
        <w:t xml:space="preserve">، بينما العبارة في الرواية الثانية قال (عليه السلام): </w:t>
      </w:r>
      <w:r w:rsidRPr="00F27422">
        <w:rPr>
          <w:rFonts w:asciiTheme="minorBidi" w:hAnsiTheme="minorBidi" w:cstheme="minorBidi"/>
          <w:b/>
          <w:bCs/>
          <w:sz w:val="32"/>
          <w:rtl/>
        </w:rPr>
        <w:t>(له أن يبيع إذا اشترط على المشتري أنّ للمتقبّل من السنين ماله)</w:t>
      </w:r>
      <w:r w:rsidRPr="00F27422">
        <w:rPr>
          <w:rFonts w:asciiTheme="minorBidi" w:hAnsiTheme="minorBidi" w:cstheme="minorBidi"/>
          <w:sz w:val="32"/>
          <w:rtl/>
        </w:rPr>
        <w:t xml:space="preserve"> ولم ينفِ الملكية.</w:t>
      </w:r>
    </w:p>
    <w:p w14:paraId="01909B27" w14:textId="0B52A628"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فما هو علاج ظاهر الصحيحة الأُولى - صحيحة حسين بن نعيم - في قوله (عليه السلام):</w:t>
      </w:r>
      <w:r w:rsidR="00112222" w:rsidRPr="00F27422">
        <w:rPr>
          <w:rFonts w:asciiTheme="minorBidi" w:hAnsiTheme="minorBidi" w:cstheme="minorBidi"/>
          <w:sz w:val="32"/>
          <w:rtl/>
        </w:rPr>
        <w:t xml:space="preserve"> </w:t>
      </w:r>
      <w:r w:rsidRPr="00F27422">
        <w:rPr>
          <w:rFonts w:asciiTheme="minorBidi" w:hAnsiTheme="minorBidi" w:cstheme="minorBidi"/>
          <w:b/>
          <w:bCs/>
          <w:sz w:val="32"/>
          <w:rtl/>
        </w:rPr>
        <w:t>(ولكن تبيعه على الذي اشتراه لا يملك ما اشترى)</w:t>
      </w:r>
      <w:r w:rsidRPr="00F27422">
        <w:rPr>
          <w:rFonts w:asciiTheme="minorBidi" w:hAnsiTheme="minorBidi" w:cstheme="minorBidi"/>
          <w:sz w:val="32"/>
          <w:rtl/>
        </w:rPr>
        <w:t>؟</w:t>
      </w:r>
    </w:p>
    <w:p w14:paraId="239CE61C"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وقد أُجيب عن ذلك بوجهين:</w:t>
      </w:r>
    </w:p>
    <w:p w14:paraId="553489D4" w14:textId="77777777"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الوجه الأول:</w:t>
      </w:r>
      <w:r w:rsidRPr="00F27422">
        <w:rPr>
          <w:rFonts w:asciiTheme="minorBidi" w:hAnsiTheme="minorBidi" w:cstheme="minorBidi"/>
          <w:sz w:val="32"/>
          <w:rtl/>
        </w:rPr>
        <w:t xml:space="preserve"> ما عن بعض الأجلة (رحمه الله) في كتابه [الإجارة، ج1، ص206] حيث أفاد أنّ المراد بشرط عدم المِلك هو عدم المِلك الخارجي بمعنى الاستيلاء والتصرّف لا المِلك الشرعي، فكأنّه قال: "إذا اشترط عليه أنْ لا يستولي على العين في الخارج"؛ لأنّ العين بيد المستأجر، لا الملك الشرعي بقرينة احتفاف الرواية بالمرتكزات العقلائية من أنّ البيع لا ينافي صحّة الإجارة، كما أنّ ظاهر صدرها نفوذ البيع وتملك العين.</w:t>
      </w:r>
    </w:p>
    <w:p w14:paraId="5B985E32" w14:textId="77DBD3BC" w:rsidR="002E5D8A" w:rsidRPr="00F27422" w:rsidRDefault="002E5D8A"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lastRenderedPageBreak/>
        <w:t>ولكن فيه:</w:t>
      </w:r>
      <w:r w:rsidRPr="00F27422">
        <w:rPr>
          <w:rFonts w:asciiTheme="minorBidi" w:hAnsiTheme="minorBidi" w:cstheme="minorBidi"/>
          <w:sz w:val="32"/>
          <w:rtl/>
        </w:rPr>
        <w:t xml:space="preserve"> بأنّ الحمل غير عرفي، فإنّه ليس من شأن الشارع أنْ يتحدث عن أمرٍ خارجٍ عن إطار عقد الإجارة، وإنّما من شأنه كشارعٍ أنْ يذكر</w:t>
      </w:r>
      <w:r w:rsidR="00112222" w:rsidRPr="00F27422">
        <w:rPr>
          <w:rFonts w:asciiTheme="minorBidi" w:hAnsiTheme="minorBidi" w:cstheme="minorBidi"/>
          <w:sz w:val="32"/>
          <w:rtl/>
        </w:rPr>
        <w:t xml:space="preserve"> </w:t>
      </w:r>
      <w:r w:rsidRPr="00F27422">
        <w:rPr>
          <w:rFonts w:asciiTheme="minorBidi" w:hAnsiTheme="minorBidi" w:cstheme="minorBidi"/>
          <w:sz w:val="32"/>
          <w:rtl/>
        </w:rPr>
        <w:t>ملك العين أو ملك المنفعة، لا الاستيلاء الخارجي الذي لا يرجع إلى اعتبارٍ شرعيٍّ.</w:t>
      </w:r>
    </w:p>
    <w:p w14:paraId="7F6293F4" w14:textId="77777777" w:rsidR="002E5D8A" w:rsidRPr="00F27422" w:rsidRDefault="002E5D8A"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الوجه الثاني:</w:t>
      </w:r>
      <w:r w:rsidRPr="00F27422">
        <w:rPr>
          <w:rFonts w:asciiTheme="minorBidi" w:hAnsiTheme="minorBidi" w:cstheme="minorBidi"/>
          <w:sz w:val="32"/>
          <w:rtl/>
        </w:rPr>
        <w:t xml:space="preserve"> ما ذكره السيد الحكيم السبط (قدس سره الشريف) في [مصباح المنهاج، كتاب الإجارة، ص220] حيث قال: </w:t>
      </w:r>
      <w:r w:rsidRPr="00F27422">
        <w:rPr>
          <w:rFonts w:asciiTheme="minorBidi" w:hAnsiTheme="minorBidi" w:cstheme="minorBidi"/>
          <w:b/>
          <w:bCs/>
          <w:sz w:val="32"/>
          <w:rtl/>
        </w:rPr>
        <w:t>(والظاهر أن المراد باشتراط عدم ملك المشتري لما اشترى في مدة الإجارة الذي تضمنه صحيح حسين بن نعيم هو اشتراط عدم ملكه الانتفاع به بسبب ملك المستأجر له، كما تضمنه معتبر يونس)</w:t>
      </w:r>
      <w:r w:rsidRPr="00F27422">
        <w:rPr>
          <w:rFonts w:asciiTheme="minorBidi" w:hAnsiTheme="minorBidi" w:cstheme="minorBidi"/>
          <w:sz w:val="32"/>
          <w:rtl/>
        </w:rPr>
        <w:t xml:space="preserve"> الوارد </w:t>
      </w:r>
      <w:r w:rsidRPr="00F27422">
        <w:rPr>
          <w:rFonts w:asciiTheme="minorBidi" w:hAnsiTheme="minorBidi" w:cstheme="minorBidi"/>
          <w:b/>
          <w:bCs/>
          <w:sz w:val="32"/>
          <w:rtl/>
        </w:rPr>
        <w:t>(في القبالة، لا عدم ملك العين، لابتناء البيع على ملك العين حين البيع، ولعدم منافاة ملكها لحق المستأجر، وحق من له السكنى، كما هو الظاهر)</w:t>
      </w:r>
      <w:r w:rsidRPr="00F27422">
        <w:rPr>
          <w:rFonts w:asciiTheme="minorBidi" w:hAnsiTheme="minorBidi" w:cstheme="minorBidi"/>
          <w:sz w:val="32"/>
          <w:rtl/>
        </w:rPr>
        <w:t>.</w:t>
      </w:r>
    </w:p>
    <w:p w14:paraId="03D2F826" w14:textId="77777777" w:rsidR="002E5D8A" w:rsidRPr="00F27422" w:rsidRDefault="002E5D8A"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وليس ببعيدٍ فإنّ مقتضى مناسبة الحكم للموضوع في قوله (عليه السلام): </w:t>
      </w:r>
      <w:r w:rsidRPr="00F27422">
        <w:rPr>
          <w:rFonts w:asciiTheme="minorBidi" w:hAnsiTheme="minorBidi" w:cstheme="minorBidi"/>
          <w:b/>
          <w:bCs/>
          <w:sz w:val="32"/>
          <w:rtl/>
        </w:rPr>
        <w:t>(ولكن تبيعه على الذي اشتراه لا يملك ما اشترى)</w:t>
      </w:r>
      <w:r w:rsidRPr="00F27422">
        <w:rPr>
          <w:rFonts w:asciiTheme="minorBidi" w:hAnsiTheme="minorBidi" w:cstheme="minorBidi"/>
          <w:sz w:val="32"/>
          <w:rtl/>
        </w:rPr>
        <w:t xml:space="preserve"> هو نفي ملك الانتفاع، إذ لا يجتمع نفي الملك للعين مع فرض كونه قد اشترى، فإنّ تحقّق الشراء مساوقٌ للمٍلك.</w:t>
      </w:r>
    </w:p>
    <w:p w14:paraId="4F866AB3" w14:textId="77777777" w:rsidR="002E5D8A" w:rsidRPr="00F27422" w:rsidRDefault="002E5D8A" w:rsidP="00122B70">
      <w:pPr>
        <w:pStyle w:val="a"/>
        <w:bidi/>
        <w:spacing w:line="216" w:lineRule="auto"/>
        <w:jc w:val="left"/>
        <w:rPr>
          <w:rFonts w:asciiTheme="minorBidi" w:hAnsiTheme="minorBidi" w:cstheme="minorBidi"/>
          <w:b/>
          <w:bCs/>
          <w:sz w:val="32"/>
          <w:rtl/>
        </w:rPr>
      </w:pPr>
    </w:p>
    <w:p w14:paraId="72B824E6" w14:textId="77777777" w:rsidR="002E5D8A" w:rsidRPr="00F27422" w:rsidRDefault="002E5D8A" w:rsidP="00122B70">
      <w:pPr>
        <w:pStyle w:val="a"/>
        <w:tabs>
          <w:tab w:val="left" w:pos="346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والحمد لله رب العالمين</w:t>
      </w:r>
    </w:p>
    <w:p w14:paraId="248AEA4A" w14:textId="26F8C430" w:rsidR="00F44103" w:rsidRPr="00F27422" w:rsidRDefault="00A5354C"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005</w:t>
      </w:r>
    </w:p>
    <w:p w14:paraId="5E813A7F" w14:textId="77777777" w:rsidR="00A5354C" w:rsidRPr="00F27422" w:rsidRDefault="00A5354C"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بسم الله الرحمن الرحيم</w:t>
      </w:r>
    </w:p>
    <w:p w14:paraId="1EADF254" w14:textId="77777777" w:rsidR="00A5354C" w:rsidRPr="00F27422" w:rsidRDefault="00A5354C"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والصلاة والسلام على أشرف الأنبياء والمرسلين، محمد وآله الطيبين الطاهرين</w:t>
      </w:r>
    </w:p>
    <w:p w14:paraId="12365257"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ab/>
        <w:t>واللعن الدائم على أعدائهم أجمعين إلى قيام يوم الدين</w:t>
      </w:r>
    </w:p>
    <w:p w14:paraId="49019491"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p>
    <w:p w14:paraId="5CAD6B05" w14:textId="6F5C0962"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الأمر الثاني:</w:t>
      </w:r>
      <w:r w:rsidRPr="00F27422">
        <w:rPr>
          <w:rFonts w:asciiTheme="minorBidi" w:hAnsiTheme="minorBidi" w:cstheme="minorBidi"/>
          <w:sz w:val="32"/>
          <w:rtl/>
        </w:rPr>
        <w:t xml:space="preserve"> قد يقال: إنّ ظاهر الروايتين الشريفتين المتقدمتين – وهما صحيحة الحسين بن نعيم، ومعتبرة يونس -</w:t>
      </w:r>
      <w:r w:rsidR="00112222" w:rsidRPr="00F27422">
        <w:rPr>
          <w:rFonts w:asciiTheme="minorBidi" w:hAnsiTheme="minorBidi" w:cstheme="minorBidi"/>
          <w:sz w:val="32"/>
          <w:rtl/>
        </w:rPr>
        <w:t xml:space="preserve"> </w:t>
      </w:r>
      <w:r w:rsidRPr="00F27422">
        <w:rPr>
          <w:rFonts w:asciiTheme="minorBidi" w:hAnsiTheme="minorBidi" w:cstheme="minorBidi"/>
          <w:sz w:val="32"/>
          <w:rtl/>
        </w:rPr>
        <w:t>أنّ للشرط دخالة في صحّة البيع، بغض النظر عن تحديد ما هو محتوى الشرط، أنْ يشترط البائع على المشتري عدم ملكية المنفعة؛ لأنّ العين مستأجرة، أو أنّ ما يشترطه البائع على المشتري أنْ لا سلطنة له على العين باعتبار أنّ العين تحت سلطنة المستأجر، فقوله (عليه السلام) في</w:t>
      </w:r>
      <w:r w:rsidR="00112222" w:rsidRPr="00F27422">
        <w:rPr>
          <w:rFonts w:asciiTheme="minorBidi" w:hAnsiTheme="minorBidi" w:cstheme="minorBidi"/>
          <w:sz w:val="32"/>
          <w:rtl/>
        </w:rPr>
        <w:t xml:space="preserve"> </w:t>
      </w:r>
      <w:r w:rsidRPr="00F27422">
        <w:rPr>
          <w:rFonts w:asciiTheme="minorBidi" w:hAnsiTheme="minorBidi" w:cstheme="minorBidi"/>
          <w:sz w:val="32"/>
          <w:rtl/>
        </w:rPr>
        <w:t xml:space="preserve">صحيح حسين بن نعيم: </w:t>
      </w:r>
      <w:r w:rsidRPr="00F27422">
        <w:rPr>
          <w:rFonts w:asciiTheme="minorBidi" w:hAnsiTheme="minorBidi" w:cstheme="minorBidi"/>
          <w:b/>
          <w:bCs/>
          <w:sz w:val="32"/>
          <w:rtl/>
        </w:rPr>
        <w:t>(ولكن تبيعه على أن الذي اشتراه لا يملك ما اشترى حتّى تنقضي السكنى كما شرط، وكذا الإِجارة)</w:t>
      </w:r>
      <w:r w:rsidRPr="00F27422">
        <w:rPr>
          <w:rFonts w:asciiTheme="minorBidi" w:hAnsiTheme="minorBidi" w:cstheme="minorBidi"/>
          <w:sz w:val="32"/>
          <w:rtl/>
        </w:rPr>
        <w:t xml:space="preserve">، ظاهر في إناطة البيع بذلك، فلو باعه دون الاشتراط لم يكن البيع نافذاً، كما أنّ ظاهر قوله (عليه السلام) في معتبرة يونس حيث سأل الإمام قائلاً: </w:t>
      </w:r>
      <w:r w:rsidRPr="00F27422">
        <w:rPr>
          <w:rFonts w:asciiTheme="minorBidi" w:hAnsiTheme="minorBidi" w:cstheme="minorBidi"/>
          <w:b/>
          <w:bCs/>
          <w:sz w:val="32"/>
          <w:rtl/>
        </w:rPr>
        <w:t>(وما يلزم المتقبّل له؟)</w:t>
      </w:r>
      <w:r w:rsidRPr="00F27422">
        <w:rPr>
          <w:rFonts w:asciiTheme="minorBidi" w:hAnsiTheme="minorBidi" w:cstheme="minorBidi"/>
          <w:sz w:val="32"/>
          <w:rtl/>
        </w:rPr>
        <w:t xml:space="preserve"> وهو مالك العين، قال (عليه السلام): </w:t>
      </w:r>
      <w:r w:rsidRPr="00F27422">
        <w:rPr>
          <w:rFonts w:asciiTheme="minorBidi" w:hAnsiTheme="minorBidi" w:cstheme="minorBidi"/>
          <w:b/>
          <w:bCs/>
          <w:sz w:val="32"/>
          <w:rtl/>
        </w:rPr>
        <w:t>(له أن يبيع إذا اشترط على المشتري أنّ للمتقبّل من السنين ماله)</w:t>
      </w:r>
      <w:r w:rsidRPr="00F27422">
        <w:rPr>
          <w:rFonts w:asciiTheme="minorBidi" w:hAnsiTheme="minorBidi" w:cstheme="minorBidi"/>
          <w:sz w:val="32"/>
          <w:rtl/>
        </w:rPr>
        <w:t xml:space="preserve"> أنّ الشرط دخيلٌ في صحّة البيع.</w:t>
      </w:r>
    </w:p>
    <w:p w14:paraId="03EF91AF" w14:textId="1D5D655B"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ولكن لم يُفْتِ بذلك أحدٌ من الأصحاب سوى أنّ الصدوق (عليه الرحمة) في ذيل صحيح أبي همام نقل عن شيخه محمد بن الحسن بن الوليد كما في كتاب الفقيه: </w:t>
      </w:r>
      <w:r w:rsidRPr="00F27422">
        <w:rPr>
          <w:rFonts w:asciiTheme="minorBidi" w:hAnsiTheme="minorBidi" w:cstheme="minorBidi"/>
          <w:b/>
          <w:bCs/>
          <w:sz w:val="32"/>
          <w:rtl/>
        </w:rPr>
        <w:t>(وسألتُ شيخنا محمّد بن الحسن (رضي الله عنه) عن رجلٍ آجر ضيعةً من رجلٍ هل له أن يبيعها؟ قال: ليس له أن يبيعها قبل انقضاء مدّة الإجارة إلا أنْ يشترط على المشتري الوفاء للمستأجر قبل انقضاء مدّة إجارته).</w:t>
      </w:r>
      <w:r w:rsidRPr="00F27422">
        <w:rPr>
          <w:rFonts w:asciiTheme="minorBidi" w:hAnsiTheme="minorBidi" w:cstheme="minorBidi"/>
          <w:sz w:val="32"/>
          <w:rtl/>
        </w:rPr>
        <w:t xml:space="preserve"> [من لا يحضره الفقيه، الشيخ الصدوق، مؤسسة النشر الإسلامي التابعة لجماعة المدرسين بقم المشرفة، ج3، ص253]، بل ظاهر كتاب [المبسوط في فقه الإمامية، المكتبة المرتضوية لإ</w:t>
      </w:r>
      <w:r w:rsidR="00674B3C" w:rsidRPr="00F27422">
        <w:rPr>
          <w:rFonts w:asciiTheme="minorBidi" w:hAnsiTheme="minorBidi" w:cstheme="minorBidi"/>
          <w:sz w:val="32"/>
          <w:rtl/>
        </w:rPr>
        <w:t>ح</w:t>
      </w:r>
      <w:r w:rsidRPr="00F27422">
        <w:rPr>
          <w:rFonts w:asciiTheme="minorBidi" w:hAnsiTheme="minorBidi" w:cstheme="minorBidi"/>
          <w:sz w:val="32"/>
          <w:rtl/>
        </w:rPr>
        <w:t xml:space="preserve">ياء الآثار الجعفرية، ج3، ص239]: </w:t>
      </w:r>
      <w:r w:rsidRPr="00F27422">
        <w:rPr>
          <w:rFonts w:asciiTheme="minorBidi" w:hAnsiTheme="minorBidi" w:cstheme="minorBidi"/>
          <w:b/>
          <w:bCs/>
          <w:sz w:val="32"/>
          <w:rtl/>
        </w:rPr>
        <w:t>(إذا باع الرقبة المستأجرة لم تبطل الإجارة لأن البيع لا</w:t>
      </w:r>
      <w:r w:rsidR="00AA4B15" w:rsidRPr="00F27422">
        <w:rPr>
          <w:rFonts w:asciiTheme="minorBidi" w:hAnsiTheme="minorBidi" w:cstheme="minorBidi"/>
          <w:b/>
          <w:bCs/>
          <w:sz w:val="32"/>
          <w:rtl/>
        </w:rPr>
        <w:t xml:space="preserve"> </w:t>
      </w:r>
      <w:r w:rsidRPr="00F27422">
        <w:rPr>
          <w:rFonts w:asciiTheme="minorBidi" w:hAnsiTheme="minorBidi" w:cstheme="minorBidi"/>
          <w:b/>
          <w:bCs/>
          <w:sz w:val="32"/>
          <w:rtl/>
        </w:rPr>
        <w:t>يبطل الإجارة عندنا، فإن كان قد علم المشتري بذلك أمضاه، وإن لم يعلم كان له ردها بالعيب)</w:t>
      </w:r>
      <w:r w:rsidRPr="00F27422">
        <w:rPr>
          <w:rFonts w:asciiTheme="minorBidi" w:hAnsiTheme="minorBidi" w:cstheme="minorBidi"/>
          <w:sz w:val="32"/>
          <w:rtl/>
        </w:rPr>
        <w:t xml:space="preserve"> أنّ بناء الأصحاب على عدم اعتبار الشرط في صحّة البيع، ولذلك أعقبه بثبوت الخيار في فرض الجهل.</w:t>
      </w:r>
    </w:p>
    <w:p w14:paraId="18B4AB83"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sz w:val="32"/>
          <w:rtl/>
        </w:rPr>
        <w:lastRenderedPageBreak/>
        <w:t xml:space="preserve">وهذا ما حدا بجمع من الأعلام على توجيه الشرط في متن الرواية، ومنهم السيد الحكيم السبط (قدس سره الشريف) في كتابه [مصباح المنهاج، كتاب الإجارة، ص220] حيث أفاد: </w:t>
      </w:r>
      <w:r w:rsidRPr="00F27422">
        <w:rPr>
          <w:rFonts w:asciiTheme="minorBidi" w:hAnsiTheme="minorBidi" w:cstheme="minorBidi"/>
          <w:b/>
          <w:bCs/>
          <w:sz w:val="32"/>
          <w:rtl/>
        </w:rPr>
        <w:t>(هذا ومن الظاهر أن الشرط المذكور لا يزيد على مقتضى العقد، على ما تقتضيه القاعدة وتضمنته جميع نصوص المقام. ولعله لذا لم يتعرض له بقية الأصحاب. كما لم تتضمنه بقية نصوص المسألة. حيث يقرب من أجل ذلك حمل ذكره في الحديثين على التأكيد على مفاد العقد، من دون أن يكون شرطاً تعبدياً في صحته. فإنه أقرب عرفاً من الجمود على لسان الحديثين وتقييد إطلاق بقية النصوص بصورة ذكر الشرط).</w:t>
      </w:r>
    </w:p>
    <w:p w14:paraId="66247842"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sz w:val="32"/>
          <w:rtl/>
        </w:rPr>
        <w:t>ثمّ أعقب ذلك بعرض مؤيدين لما فهمه من كون الشرط من باب التأكيد لمحتوى العقد وليس شرطاً تعبدياً دخيلاً في الصحّة.</w:t>
      </w:r>
    </w:p>
    <w:p w14:paraId="20267A9C"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الأول:</w:t>
      </w:r>
      <w:r w:rsidRPr="00F27422">
        <w:rPr>
          <w:rFonts w:asciiTheme="minorBidi" w:hAnsiTheme="minorBidi" w:cstheme="minorBidi"/>
          <w:sz w:val="32"/>
          <w:rtl/>
        </w:rPr>
        <w:t xml:space="preserve"> إنّ السؤال في صحيح أبي همام وهو أنّ المشتري إذا مات فانتقلت العين المستأجرة إلى ورثته بمقتضى المِلك، فهل المنفعة تنتقل إلى الورثة أم لا؟ ظاهرٌ في أنّ المرتكز في ذهن الراوي أنّ البيع صحيحٌ بلا شرطٍ؛ وإلّا لو كان البيع لا يصح إلّا مع الشرط فمع وجود الشرط لا وجه لهذا السؤال؛ حيث باعه العين واشترط عليه أنْ لا يملك المنفعة حتى تنقضي مدّة الإجارة فوقع البيع مشروطاً بعدم انتقال المنفعة.</w:t>
      </w:r>
    </w:p>
    <w:p w14:paraId="7F3A6518"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قال (قدس سره): </w:t>
      </w:r>
      <w:r w:rsidRPr="00F27422">
        <w:rPr>
          <w:rFonts w:asciiTheme="minorBidi" w:hAnsiTheme="minorBidi" w:cstheme="minorBidi"/>
          <w:b/>
          <w:bCs/>
          <w:sz w:val="32"/>
          <w:rtl/>
        </w:rPr>
        <w:t>(ولا سيما مع السؤال في صحيح أبي همام المتقدم وغيره عن انتقال المنفعة في مدة الإجارة لورثة المشتري حيث لا يناسب ذلك فرض أخذ الشرط المذكور في متن العقد، كما لعله ظاهر).</w:t>
      </w:r>
    </w:p>
    <w:p w14:paraId="7E455349" w14:textId="770D6276"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 xml:space="preserve">ولكن قد يقال: </w:t>
      </w:r>
      <w:r w:rsidRPr="00F27422">
        <w:rPr>
          <w:rFonts w:asciiTheme="minorBidi" w:hAnsiTheme="minorBidi" w:cstheme="minorBidi"/>
          <w:sz w:val="32"/>
          <w:rtl/>
        </w:rPr>
        <w:t xml:space="preserve">إنّ السؤال لازمٌ أعم، حيث يحتمل </w:t>
      </w:r>
      <w:r w:rsidR="00024A60" w:rsidRPr="00F27422">
        <w:rPr>
          <w:rFonts w:asciiTheme="minorBidi" w:hAnsiTheme="minorBidi" w:cstheme="minorBidi"/>
          <w:sz w:val="32"/>
          <w:rtl/>
        </w:rPr>
        <w:t>ورود السؤال</w:t>
      </w:r>
      <w:r w:rsidRPr="00F27422">
        <w:rPr>
          <w:rFonts w:asciiTheme="minorBidi" w:hAnsiTheme="minorBidi" w:cstheme="minorBidi"/>
          <w:sz w:val="32"/>
          <w:rtl/>
        </w:rPr>
        <w:t xml:space="preserve"> حتى مع الشرط: وهو أنّه إذا كانت العين مستأجرة وانتقلت إلى مِلك المشتري مسلوبة المنفعة بمقتضى الشرط في العقد، فلو مات المشتري وله ورثة هل يمكن أنْ تنفصم الإجارة وتنتقل المنفعة إلى مِلك الورثة باعتبار أنّ الشرط في البيع إنّما وقع بين البائع وبين الميت لا أكثر؟ فليس مجرد السؤال دالاً على كون المرتكز هو وقوع البيع صحيحاً بلا حاجةٍ إلى الشرط.</w:t>
      </w:r>
    </w:p>
    <w:p w14:paraId="4499043E" w14:textId="295E71AF"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sz w:val="32"/>
          <w:rtl/>
        </w:rPr>
        <w:t>ولو أغمض عن ذلك، وفرض</w:t>
      </w:r>
      <w:r w:rsidR="00112222" w:rsidRPr="00F27422">
        <w:rPr>
          <w:rFonts w:asciiTheme="minorBidi" w:hAnsiTheme="minorBidi" w:cstheme="minorBidi"/>
          <w:sz w:val="32"/>
          <w:rtl/>
        </w:rPr>
        <w:t xml:space="preserve"> </w:t>
      </w:r>
      <w:r w:rsidRPr="00F27422">
        <w:rPr>
          <w:rFonts w:asciiTheme="minorBidi" w:hAnsiTheme="minorBidi" w:cstheme="minorBidi"/>
          <w:sz w:val="32"/>
          <w:rtl/>
        </w:rPr>
        <w:t xml:space="preserve">أنّ السؤال يكشف عن وقوع البيع بلا شرطٍ، لكن هذا ليس بحدٍّ من الظهور يرفع اليد </w:t>
      </w:r>
      <w:proofErr w:type="gramStart"/>
      <w:r w:rsidRPr="00F27422">
        <w:rPr>
          <w:rFonts w:asciiTheme="minorBidi" w:hAnsiTheme="minorBidi" w:cstheme="minorBidi"/>
          <w:sz w:val="32"/>
          <w:rtl/>
        </w:rPr>
        <w:t>عن ما</w:t>
      </w:r>
      <w:proofErr w:type="gramEnd"/>
      <w:r w:rsidRPr="00F27422">
        <w:rPr>
          <w:rFonts w:asciiTheme="minorBidi" w:hAnsiTheme="minorBidi" w:cstheme="minorBidi"/>
          <w:sz w:val="32"/>
          <w:rtl/>
        </w:rPr>
        <w:t xml:space="preserve"> هو مقتضى الارتكاز العرفي من حمل المطلق على المقيد، بناء على المدّعى من وجود مطلقات في البين كما تشعر به عبارته </w:t>
      </w:r>
      <w:r w:rsidRPr="00F27422">
        <w:rPr>
          <w:rFonts w:asciiTheme="minorBidi" w:hAnsiTheme="minorBidi" w:cstheme="minorBidi"/>
          <w:b/>
          <w:bCs/>
          <w:sz w:val="32"/>
          <w:rtl/>
        </w:rPr>
        <w:t>(كما لم تتضمنه بقية نصوص المسألة)</w:t>
      </w:r>
      <w:r w:rsidRPr="00F27422">
        <w:rPr>
          <w:rFonts w:asciiTheme="minorBidi" w:hAnsiTheme="minorBidi" w:cstheme="minorBidi"/>
          <w:sz w:val="32"/>
          <w:rtl/>
        </w:rPr>
        <w:t xml:space="preserve"> لا رفع اليد عن ذلك </w:t>
      </w:r>
      <w:proofErr w:type="spellStart"/>
      <w:r w:rsidRPr="00F27422">
        <w:rPr>
          <w:rFonts w:asciiTheme="minorBidi" w:hAnsiTheme="minorBidi" w:cstheme="minorBidi"/>
          <w:sz w:val="32"/>
          <w:rtl/>
        </w:rPr>
        <w:t>باستشمام</w:t>
      </w:r>
      <w:proofErr w:type="spellEnd"/>
      <w:r w:rsidRPr="00F27422">
        <w:rPr>
          <w:rFonts w:asciiTheme="minorBidi" w:hAnsiTheme="minorBidi" w:cstheme="minorBidi"/>
          <w:sz w:val="32"/>
          <w:rtl/>
        </w:rPr>
        <w:t xml:space="preserve"> ظهور السؤال في صحّة البيع بلا شرطٍ.</w:t>
      </w:r>
    </w:p>
    <w:p w14:paraId="3D448794"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 xml:space="preserve">الثاني: </w:t>
      </w:r>
      <w:r w:rsidRPr="00F27422">
        <w:rPr>
          <w:rFonts w:asciiTheme="minorBidi" w:hAnsiTheme="minorBidi" w:cstheme="minorBidi"/>
          <w:sz w:val="32"/>
          <w:rtl/>
        </w:rPr>
        <w:t xml:space="preserve">إنّ نفس صحيح حسين بن نعيم الصحاف حيث قال فيه (عليه السلام): </w:t>
      </w:r>
      <w:r w:rsidRPr="00F27422">
        <w:rPr>
          <w:rFonts w:asciiTheme="minorBidi" w:hAnsiTheme="minorBidi" w:cstheme="minorBidi"/>
          <w:b/>
          <w:bCs/>
          <w:sz w:val="32"/>
          <w:rtl/>
        </w:rPr>
        <w:t>(لا ينقض البيع الإِجارة ولا السكنى)</w:t>
      </w:r>
      <w:r w:rsidRPr="00F27422">
        <w:rPr>
          <w:rFonts w:asciiTheme="minorBidi" w:hAnsiTheme="minorBidi" w:cstheme="minorBidi"/>
          <w:sz w:val="32"/>
          <w:rtl/>
        </w:rPr>
        <w:t xml:space="preserve"> الجاري مجرى القاعدة الكبروية شاهدٌ على صحّة البيع ونفوذه في العين مسلوبة المنفعة، وإلّا لو كان البيع لا يصح إلّا مع الشرط فلا حاجة لقوله (عليه السلام): </w:t>
      </w:r>
      <w:r w:rsidRPr="00F27422">
        <w:rPr>
          <w:rFonts w:asciiTheme="minorBidi" w:hAnsiTheme="minorBidi" w:cstheme="minorBidi"/>
          <w:b/>
          <w:bCs/>
          <w:sz w:val="32"/>
          <w:rtl/>
        </w:rPr>
        <w:t>(لا ينقض البيع الإِجارة ولا السكنى)</w:t>
      </w:r>
      <w:r w:rsidRPr="00F27422">
        <w:rPr>
          <w:rFonts w:asciiTheme="minorBidi" w:hAnsiTheme="minorBidi" w:cstheme="minorBidi"/>
          <w:sz w:val="32"/>
          <w:rtl/>
        </w:rPr>
        <w:t xml:space="preserve"> فإنّه لو كان البيع مشروطاً بعدم تملك المنفعة أو السلطنة عليها فمن الطبيعي أنْ لا ينقض الإجارة، قال (قدس سره): </w:t>
      </w:r>
      <w:r w:rsidRPr="00F27422">
        <w:rPr>
          <w:rFonts w:asciiTheme="minorBidi" w:hAnsiTheme="minorBidi" w:cstheme="minorBidi"/>
          <w:b/>
          <w:bCs/>
          <w:sz w:val="32"/>
          <w:rtl/>
        </w:rPr>
        <w:t xml:space="preserve">(وكذا التعبير في صحيح الصحاف نفسه بعدم نقض البيع للسكنى والإجارة، فإن الحاجة لبيان ذلك إنّما تكون مع إطلاق البيع، لا مع الشرط المذكور. ولعل فتوى محمد بن الحسن تبتني على طريقة القدماء من الفتوى بلسان النص، من دون بناء على بطلان البيع مع الإطلاق. فلاحظ). </w:t>
      </w:r>
      <w:r w:rsidRPr="00F27422">
        <w:rPr>
          <w:rFonts w:asciiTheme="minorBidi" w:hAnsiTheme="minorBidi" w:cstheme="minorBidi"/>
          <w:sz w:val="32"/>
          <w:rtl/>
        </w:rPr>
        <w:t xml:space="preserve">أي أنّ ما في ذهن محمّد بن الحسن بن الوليد أنّ البيع صحيحٌ وإنْ خلا من الشرط، وإنّما عبر بن الوليد بهذه العبارة بقوله: </w:t>
      </w:r>
      <w:r w:rsidRPr="00F27422">
        <w:rPr>
          <w:rFonts w:asciiTheme="minorBidi" w:hAnsiTheme="minorBidi" w:cstheme="minorBidi"/>
          <w:b/>
          <w:bCs/>
          <w:sz w:val="32"/>
          <w:rtl/>
        </w:rPr>
        <w:t>(ليس له أن يبيعها قبل انقضاء مدّة الإجارة إلا أنْ يشترط على المشتري الوفاء للمستأجر قبل انقضاء مدّة إجارته)</w:t>
      </w:r>
      <w:r w:rsidRPr="00F27422">
        <w:rPr>
          <w:rFonts w:asciiTheme="minorBidi" w:hAnsiTheme="minorBidi" w:cstheme="minorBidi"/>
          <w:sz w:val="32"/>
          <w:rtl/>
        </w:rPr>
        <w:t xml:space="preserve"> مِن باب الفتوى بعبارة النص لا أكثر، لا أنّ الشرط دخيلٌ في صحّة البيع.</w:t>
      </w:r>
    </w:p>
    <w:p w14:paraId="0912166E"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lastRenderedPageBreak/>
        <w:t>ولكن يلاحظ على ذلك:</w:t>
      </w:r>
      <w:r w:rsidRPr="00F27422">
        <w:rPr>
          <w:rFonts w:asciiTheme="minorBidi" w:hAnsiTheme="minorBidi" w:cstheme="minorBidi"/>
          <w:sz w:val="32"/>
          <w:rtl/>
        </w:rPr>
        <w:t xml:space="preserve"> أنّ مقتضى قرينية الذيل على الصدر حيث قال (عليه السلام): </w:t>
      </w:r>
      <w:r w:rsidRPr="00F27422">
        <w:rPr>
          <w:rFonts w:asciiTheme="minorBidi" w:hAnsiTheme="minorBidi" w:cstheme="minorBidi"/>
          <w:b/>
          <w:bCs/>
          <w:sz w:val="32"/>
          <w:rtl/>
        </w:rPr>
        <w:t xml:space="preserve">(لا ينقض البيع الإِجارة ولا السكنى، ولكن تبيعه على أن الذي اشتراه لا يملك ما اشترى) </w:t>
      </w:r>
      <w:r w:rsidRPr="00F27422">
        <w:rPr>
          <w:rFonts w:asciiTheme="minorBidi" w:hAnsiTheme="minorBidi" w:cstheme="minorBidi"/>
          <w:sz w:val="32"/>
          <w:rtl/>
        </w:rPr>
        <w:t>منع ظهوره في نفوذ البيع وإنْ كان خالياً من الشرط المذكور.</w:t>
      </w:r>
    </w:p>
    <w:p w14:paraId="15F32F63"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ولعل المقصود بالاستدراك دفع توهم تزاحم السببين </w:t>
      </w:r>
      <w:proofErr w:type="gramStart"/>
      <w:r w:rsidRPr="00F27422">
        <w:rPr>
          <w:rFonts w:asciiTheme="minorBidi" w:hAnsiTheme="minorBidi" w:cstheme="minorBidi"/>
          <w:sz w:val="32"/>
          <w:rtl/>
        </w:rPr>
        <w:t>في ما</w:t>
      </w:r>
      <w:proofErr w:type="gramEnd"/>
      <w:r w:rsidRPr="00F27422">
        <w:rPr>
          <w:rFonts w:asciiTheme="minorBidi" w:hAnsiTheme="minorBidi" w:cstheme="minorBidi"/>
          <w:sz w:val="32"/>
          <w:rtl/>
        </w:rPr>
        <w:t xml:space="preserve"> بقي من المدّة؛ حيث إنّ البيع نقلٌ للعين ومقتضى تبعية المنفعة للعين كون البيع سبباً لنقل المنفعةِ أيضاً، بينما الإجارة تقتضي نقل المنفعة للمستأجر، فيقع التزاحم بين السببين، فمفاد قوله (عليه السلام): </w:t>
      </w:r>
      <w:r w:rsidRPr="00F27422">
        <w:rPr>
          <w:rFonts w:asciiTheme="minorBidi" w:hAnsiTheme="minorBidi" w:cstheme="minorBidi"/>
          <w:b/>
          <w:bCs/>
          <w:sz w:val="32"/>
          <w:rtl/>
        </w:rPr>
        <w:t>(لا ينقض البيع الإِجارة ولا السكنى)</w:t>
      </w:r>
      <w:r w:rsidRPr="00F27422">
        <w:rPr>
          <w:rFonts w:asciiTheme="minorBidi" w:hAnsiTheme="minorBidi" w:cstheme="minorBidi"/>
          <w:sz w:val="32"/>
          <w:rtl/>
        </w:rPr>
        <w:t xml:space="preserve"> يعني عدم مزاحمة البيع للإجارة في المدّة الباقية من حيث السببيّة لنقل المنفعة إذا وقع مشروطاً.</w:t>
      </w:r>
    </w:p>
    <w:p w14:paraId="2D6DB000"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وقد يقال في المقام:</w:t>
      </w:r>
      <w:r w:rsidRPr="00F27422">
        <w:rPr>
          <w:rFonts w:asciiTheme="minorBidi" w:hAnsiTheme="minorBidi" w:cstheme="minorBidi"/>
          <w:sz w:val="32"/>
          <w:rtl/>
        </w:rPr>
        <w:t xml:space="preserve"> إنّ مقتضى الإطلاق المقامي للنصوص الخالية من الشرط كصحيحة أبي همام – لورودها في مقام الإفتاء وبيان الوظيفة الفعلية ومع ذلك لم تتضمن ذكر الشرط - المؤكد بدعم المرتكز العقلائي الذي لا يرى للشرط دخالةً في صحّة البيع رفع اليد عن ظهور القيد في الاحترازية، بلحاظ أنّ الإطلاق المقامي أقوى ظهوراً مِن دلالة القيد في الصحيحتين على الاحترازية الموجبة لحمل المطلق على المقيد.</w:t>
      </w:r>
    </w:p>
    <w:p w14:paraId="6405AAF7"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 xml:space="preserve">والإنصاف: </w:t>
      </w:r>
      <w:r w:rsidRPr="00F27422">
        <w:rPr>
          <w:rFonts w:asciiTheme="minorBidi" w:hAnsiTheme="minorBidi" w:cstheme="minorBidi"/>
          <w:sz w:val="32"/>
          <w:rtl/>
        </w:rPr>
        <w:t>أنّ ظهور القيد في الاستدراك مستحكم وليس في البين مطلقات - كما يظهر من مراجعة الباب في الوسائل - كي يرفع اليد عن ظهوره بإطلاقها المقامي، بل إنّ سياق صحيح أبي همام ونحوه كخبر إبراهيم بن محمد الهمداني متوافقٌ مع ظهور الصحيحتين، حيث إنّ ظاهره هو وقوع البيع بحضور المستأجر الموجب عادةً لعلم البائع بكون العين مسلوبة المنفعة، مما يشكل شرطاً ضمنياً في البيع، إلّا أنّ ظهوره في الاستدراك لا يعني دخله في صحّة البيع؛ بل لا يبعد كون المبرر لذكره هو دفع مادة التنازع بين المشتري والبائع في المدّة الباقية، لا لفساد البيع الخالي منه، ولكن على فرض ظهور القيد في الاحترازية وإناطة صحة البيع به، فحجيته في المقام محل منع بحسب المبنى المختار وهو: أنّ الظهور حجة ما لم يقم منشأٌ عقلائيٌّ على خلافه، وعدم فتوى الفقهاء (أعلى الله مقامهم) بالصحيحتين بل بناؤهم على عدمه - مع وضوح ظهور القيد فيهما في الاحتراز - منشأٌ عقلائيٌّ على خلاف الظاهر فهو مانعٌ من حجيته.</w:t>
      </w:r>
    </w:p>
    <w:p w14:paraId="487CC40F"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تعقيبٌ:</w:t>
      </w:r>
    </w:p>
    <w:p w14:paraId="757A56BA"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إنْ قلتَ:</w:t>
      </w:r>
      <w:r w:rsidRPr="00F27422">
        <w:rPr>
          <w:rFonts w:asciiTheme="minorBidi" w:hAnsiTheme="minorBidi" w:cstheme="minorBidi"/>
          <w:sz w:val="32"/>
          <w:rtl/>
        </w:rPr>
        <w:t xml:space="preserve"> إنّ مقتضى قانون تبعيّة المنافع للعين - وهو قانونٌ عقلائي </w:t>
      </w:r>
      <w:proofErr w:type="spellStart"/>
      <w:r w:rsidRPr="00F27422">
        <w:rPr>
          <w:rFonts w:asciiTheme="minorBidi" w:hAnsiTheme="minorBidi" w:cstheme="minorBidi"/>
          <w:sz w:val="32"/>
          <w:rtl/>
        </w:rPr>
        <w:t>إرتكازي</w:t>
      </w:r>
      <w:proofErr w:type="spellEnd"/>
      <w:r w:rsidRPr="00F27422">
        <w:rPr>
          <w:rFonts w:asciiTheme="minorBidi" w:hAnsiTheme="minorBidi" w:cstheme="minorBidi"/>
          <w:sz w:val="32"/>
          <w:rtl/>
        </w:rPr>
        <w:t xml:space="preserve"> - أنْ يقع التدافع والتنافي بين سببيّة البيع وسببيّة الإجارة في المدّة الباقية، خصوصاً وأنّ ملكية المنافع ملكيةٌ انحلالية، وحيث لا مرجح لأحدهما على الآخر يبطل كلا السببين.</w:t>
      </w:r>
    </w:p>
    <w:p w14:paraId="715E1142"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قلتُ:</w:t>
      </w:r>
      <w:r w:rsidRPr="00F27422">
        <w:rPr>
          <w:rFonts w:asciiTheme="minorBidi" w:hAnsiTheme="minorBidi" w:cstheme="minorBidi"/>
          <w:sz w:val="32"/>
          <w:rtl/>
        </w:rPr>
        <w:t xml:space="preserve"> إنّ قانون التبعية إنّما يقتضي سببيّة البيع لنقل المنافع للمشتري في فرض كون المنافع مِلكاً للبائع حين البيع، فإنّ حقيقة البيع نقلُ ما كان للبائع للمشتري، والمفروض أنّ المنافع حين البيع لم تكن مِلكاً للبائع؛ بل كانت مِلكاً للمستأجر؛ لأنّ الإجارة نقلت المنافع بأسرها في تمام المدّة، سواء كانت الملكية للمنافع على نحو المجموع </w:t>
      </w:r>
      <w:proofErr w:type="spellStart"/>
      <w:r w:rsidRPr="00F27422">
        <w:rPr>
          <w:rFonts w:asciiTheme="minorBidi" w:hAnsiTheme="minorBidi" w:cstheme="minorBidi"/>
          <w:sz w:val="32"/>
          <w:rtl/>
        </w:rPr>
        <w:t>أوعلى</w:t>
      </w:r>
      <w:proofErr w:type="spellEnd"/>
      <w:r w:rsidRPr="00F27422">
        <w:rPr>
          <w:rFonts w:asciiTheme="minorBidi" w:hAnsiTheme="minorBidi" w:cstheme="minorBidi"/>
          <w:sz w:val="32"/>
          <w:rtl/>
        </w:rPr>
        <w:t xml:space="preserve"> نحو الانحلال.</w:t>
      </w:r>
    </w:p>
    <w:p w14:paraId="40C8FC33"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والنتيجة:</w:t>
      </w:r>
      <w:r w:rsidRPr="00F27422">
        <w:rPr>
          <w:rFonts w:asciiTheme="minorBidi" w:hAnsiTheme="minorBidi" w:cstheme="minorBidi"/>
          <w:sz w:val="32"/>
          <w:rtl/>
        </w:rPr>
        <w:t xml:space="preserve"> أنّه لا أثر للبيع في المدافعة والمزاحمة لسببيّة الإجارة في نقل المنفعة للمستأجر في المدّة الباقية.</w:t>
      </w:r>
    </w:p>
    <w:p w14:paraId="798007AA"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p>
    <w:p w14:paraId="3FB30E7A" w14:textId="77777777" w:rsidR="00A5354C" w:rsidRPr="00F27422" w:rsidRDefault="00A5354C" w:rsidP="00122B70">
      <w:pPr>
        <w:pStyle w:val="a"/>
        <w:tabs>
          <w:tab w:val="center" w:pos="5074"/>
          <w:tab w:val="left" w:pos="8272"/>
        </w:tabs>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والحمد لله رب العالمين</w:t>
      </w:r>
    </w:p>
    <w:p w14:paraId="64BA69FF" w14:textId="41E3C10E" w:rsidR="00A5354C" w:rsidRPr="00F27422" w:rsidRDefault="00A5354C"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006</w:t>
      </w:r>
    </w:p>
    <w:p w14:paraId="7733B030"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14FB0F6F"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lastRenderedPageBreak/>
        <w:t>والصلاة والسلام على أشرف الأنبياء والمرسلين، محمد وآله الطيبين الطاهرين</w:t>
      </w:r>
    </w:p>
    <w:p w14:paraId="7E8BE1AC" w14:textId="77777777" w:rsidR="00EA29F7" w:rsidRPr="00F27422" w:rsidRDefault="00EA29F7"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575D8735" w14:textId="77777777" w:rsidR="00EA29F7" w:rsidRPr="00F27422" w:rsidRDefault="00EA29F7" w:rsidP="00122B70">
      <w:pPr>
        <w:bidi/>
        <w:rPr>
          <w:rFonts w:asciiTheme="minorBidi" w:hAnsiTheme="minorBidi"/>
          <w:sz w:val="32"/>
          <w:szCs w:val="32"/>
          <w:rtl/>
        </w:rPr>
      </w:pPr>
    </w:p>
    <w:p w14:paraId="3A18E2AE" w14:textId="77777777" w:rsidR="00EA29F7" w:rsidRPr="00F27422" w:rsidRDefault="00EA29F7" w:rsidP="00122B70">
      <w:pPr>
        <w:pStyle w:val="Heading3"/>
        <w:bidi/>
        <w:rPr>
          <w:rFonts w:asciiTheme="minorBidi" w:hAnsiTheme="minorBidi" w:cstheme="minorBidi"/>
          <w:b/>
          <w:bCs/>
          <w:sz w:val="32"/>
          <w:szCs w:val="32"/>
          <w:rtl/>
        </w:rPr>
      </w:pPr>
      <w:r w:rsidRPr="00F27422">
        <w:rPr>
          <w:rFonts w:asciiTheme="minorBidi" w:hAnsiTheme="minorBidi" w:cstheme="minorBidi"/>
          <w:b/>
          <w:bCs/>
          <w:sz w:val="32"/>
          <w:szCs w:val="32"/>
          <w:rtl/>
        </w:rPr>
        <w:t>الأمر الثالث: في وجه ثبوت الخيار للمشتري:</w:t>
      </w:r>
    </w:p>
    <w:p w14:paraId="67BD12A9" w14:textId="77777777" w:rsidR="00EA29F7" w:rsidRPr="00F27422" w:rsidRDefault="00EA29F7" w:rsidP="00122B70">
      <w:pPr>
        <w:bidi/>
        <w:rPr>
          <w:rFonts w:asciiTheme="minorBidi" w:hAnsiTheme="minorBidi"/>
          <w:sz w:val="32"/>
          <w:szCs w:val="32"/>
          <w:rtl/>
        </w:rPr>
      </w:pPr>
      <w:r w:rsidRPr="00F27422">
        <w:rPr>
          <w:rFonts w:asciiTheme="minorBidi" w:hAnsiTheme="minorBidi"/>
          <w:sz w:val="32"/>
          <w:szCs w:val="32"/>
          <w:rtl/>
        </w:rPr>
        <w:t xml:space="preserve">إذا اشترى المشتري العين فتبين أنّها مسلوبة المنفعة ولم يكن عالماً بذلك حين البيع، أو تبيّن أنّ مدّة الإجارة أكثر مما كان يعتقد كما لو كان ملتفتاً إلى أنّ العين </w:t>
      </w:r>
      <w:proofErr w:type="gramStart"/>
      <w:r w:rsidRPr="00F27422">
        <w:rPr>
          <w:rFonts w:asciiTheme="minorBidi" w:hAnsiTheme="minorBidi"/>
          <w:sz w:val="32"/>
          <w:szCs w:val="32"/>
          <w:rtl/>
        </w:rPr>
        <w:t>مستأجرة</w:t>
      </w:r>
      <w:proofErr w:type="gramEnd"/>
      <w:r w:rsidRPr="00F27422">
        <w:rPr>
          <w:rFonts w:asciiTheme="minorBidi" w:hAnsiTheme="minorBidi"/>
          <w:sz w:val="32"/>
          <w:szCs w:val="32"/>
          <w:rtl/>
        </w:rPr>
        <w:t xml:space="preserve"> ولكنه كان معتقداً بأنّ مدّة الإجارة سنة واحدة فتبيّن أنّ مدّتها أكثر من ذلك بنحوٍ فاحشٍ كالاختلاف بشهرٍ أو شهرين الموجب لاختلاف المالية - لا الزيادة بنحو ساعةٍ أو ساعتين مما لا يعتد به في استئجار الدور مثلاً -.</w:t>
      </w:r>
    </w:p>
    <w:p w14:paraId="5B81DB59" w14:textId="77777777" w:rsidR="00EA29F7" w:rsidRPr="00F27422" w:rsidRDefault="00EA29F7" w:rsidP="00122B70">
      <w:pPr>
        <w:bidi/>
        <w:rPr>
          <w:rFonts w:asciiTheme="minorBidi" w:hAnsiTheme="minorBidi"/>
          <w:sz w:val="32"/>
          <w:szCs w:val="32"/>
          <w:rtl/>
        </w:rPr>
      </w:pPr>
      <w:r w:rsidRPr="00F27422">
        <w:rPr>
          <w:rFonts w:asciiTheme="minorBidi" w:hAnsiTheme="minorBidi"/>
          <w:sz w:val="32"/>
          <w:szCs w:val="32"/>
          <w:rtl/>
        </w:rPr>
        <w:t>فلا إشكال عندهم في ثبوت الخيار، وإنّما اختلفوا في وجه ثبوت الخيار.</w:t>
      </w:r>
    </w:p>
    <w:p w14:paraId="1FC8CC23"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وهنا عدة وجوه ذكرت في كلماتهم:</w:t>
      </w:r>
    </w:p>
    <w:p w14:paraId="754C1648" w14:textId="77777777" w:rsidR="00EA29F7" w:rsidRPr="00F27422" w:rsidRDefault="00EA29F7" w:rsidP="00122B70">
      <w:pPr>
        <w:bidi/>
        <w:rPr>
          <w:rFonts w:asciiTheme="minorBidi" w:hAnsiTheme="minorBidi"/>
          <w:sz w:val="32"/>
          <w:szCs w:val="32"/>
          <w:rtl/>
        </w:rPr>
      </w:pPr>
      <w:r w:rsidRPr="00F27422">
        <w:rPr>
          <w:rFonts w:asciiTheme="minorBidi" w:hAnsiTheme="minorBidi"/>
          <w:b/>
          <w:bCs/>
          <w:sz w:val="32"/>
          <w:szCs w:val="32"/>
          <w:rtl/>
        </w:rPr>
        <w:t>الوجه الأول:</w:t>
      </w:r>
      <w:r w:rsidRPr="00F27422">
        <w:rPr>
          <w:rFonts w:asciiTheme="minorBidi" w:hAnsiTheme="minorBidi"/>
          <w:sz w:val="32"/>
          <w:szCs w:val="32"/>
          <w:rtl/>
        </w:rPr>
        <w:t xml:space="preserve"> ما ذكره سيد العروة (قدس سره الشريف) في المتن حيث قال: </w:t>
      </w:r>
      <w:r w:rsidRPr="00F27422">
        <w:rPr>
          <w:rFonts w:asciiTheme="minorBidi" w:hAnsiTheme="minorBidi"/>
          <w:b/>
          <w:bCs/>
          <w:sz w:val="32"/>
          <w:szCs w:val="32"/>
          <w:rtl/>
        </w:rPr>
        <w:t xml:space="preserve">(نعم للمشتري مع جهله بالإجارة خيار فسخ البيع، لأن نقص المنفعة عيب) </w:t>
      </w:r>
      <w:r w:rsidRPr="00F27422">
        <w:rPr>
          <w:rFonts w:asciiTheme="minorBidi" w:hAnsiTheme="minorBidi"/>
          <w:sz w:val="32"/>
          <w:szCs w:val="32"/>
          <w:rtl/>
        </w:rPr>
        <w:t xml:space="preserve">فأدخله في خيار العيب </w:t>
      </w:r>
      <w:r w:rsidRPr="00F27422">
        <w:rPr>
          <w:rFonts w:asciiTheme="minorBidi" w:hAnsiTheme="minorBidi"/>
          <w:b/>
          <w:bCs/>
          <w:sz w:val="32"/>
          <w:szCs w:val="32"/>
          <w:rtl/>
        </w:rPr>
        <w:t xml:space="preserve">(ولكن ليس كسائر العيوب مما يكون المشتري معه مخيرا بين الرد والأرش، فليس له </w:t>
      </w:r>
      <w:proofErr w:type="gramStart"/>
      <w:r w:rsidRPr="00F27422">
        <w:rPr>
          <w:rFonts w:asciiTheme="minorBidi" w:hAnsiTheme="minorBidi"/>
          <w:b/>
          <w:bCs/>
          <w:sz w:val="32"/>
          <w:szCs w:val="32"/>
          <w:rtl/>
        </w:rPr>
        <w:t>أن لا</w:t>
      </w:r>
      <w:proofErr w:type="gramEnd"/>
      <w:r w:rsidRPr="00F27422">
        <w:rPr>
          <w:rFonts w:asciiTheme="minorBidi" w:hAnsiTheme="minorBidi"/>
          <w:b/>
          <w:bCs/>
          <w:sz w:val="32"/>
          <w:szCs w:val="32"/>
          <w:rtl/>
        </w:rPr>
        <w:t xml:space="preserve"> يفسخ ويطالب بالأرش فإن العيب الموجب للأرش ما كان نقصا في </w:t>
      </w:r>
      <w:proofErr w:type="spellStart"/>
      <w:r w:rsidRPr="00F27422">
        <w:rPr>
          <w:rFonts w:asciiTheme="minorBidi" w:hAnsiTheme="minorBidi"/>
          <w:b/>
          <w:bCs/>
          <w:sz w:val="32"/>
          <w:szCs w:val="32"/>
          <w:rtl/>
        </w:rPr>
        <w:t>الشئ</w:t>
      </w:r>
      <w:proofErr w:type="spellEnd"/>
      <w:r w:rsidRPr="00F27422">
        <w:rPr>
          <w:rFonts w:asciiTheme="minorBidi" w:hAnsiTheme="minorBidi"/>
          <w:b/>
          <w:bCs/>
          <w:sz w:val="32"/>
          <w:szCs w:val="32"/>
          <w:rtl/>
        </w:rPr>
        <w:t xml:space="preserve"> في حد نفسه)</w:t>
      </w:r>
      <w:r w:rsidRPr="00F27422">
        <w:rPr>
          <w:rFonts w:asciiTheme="minorBidi" w:hAnsiTheme="minorBidi"/>
          <w:sz w:val="32"/>
          <w:szCs w:val="32"/>
          <w:rtl/>
        </w:rPr>
        <w:t xml:space="preserve"> يعني أنّ النقص في العين </w:t>
      </w:r>
      <w:r w:rsidRPr="00F27422">
        <w:rPr>
          <w:rFonts w:asciiTheme="minorBidi" w:hAnsiTheme="minorBidi"/>
          <w:b/>
          <w:bCs/>
          <w:sz w:val="32"/>
          <w:szCs w:val="32"/>
          <w:rtl/>
        </w:rPr>
        <w:t>(مثل العمى والعرج، وكونه مقطوع اليد، أو نحو ذلك)</w:t>
      </w:r>
      <w:r w:rsidRPr="00F27422">
        <w:rPr>
          <w:rFonts w:asciiTheme="minorBidi" w:hAnsiTheme="minorBidi"/>
          <w:sz w:val="32"/>
          <w:szCs w:val="32"/>
          <w:rtl/>
        </w:rPr>
        <w:t xml:space="preserve"> في العبد المُشترى </w:t>
      </w:r>
      <w:r w:rsidRPr="00F27422">
        <w:rPr>
          <w:rFonts w:asciiTheme="minorBidi" w:hAnsiTheme="minorBidi"/>
          <w:b/>
          <w:bCs/>
          <w:sz w:val="32"/>
          <w:szCs w:val="32"/>
          <w:rtl/>
        </w:rPr>
        <w:t>(لا مثل المقام الذي العين في حد نفسها لا عيب فيها).</w:t>
      </w:r>
      <w:r w:rsidRPr="00F27422">
        <w:rPr>
          <w:rFonts w:asciiTheme="minorBidi" w:hAnsiTheme="minorBidi"/>
          <w:sz w:val="32"/>
          <w:szCs w:val="32"/>
          <w:rtl/>
        </w:rPr>
        <w:t xml:space="preserve"> غاية ما في الأمر اكتشف أنّها مستأجرةٌ وإلّا فالعين - كالسيارة أو الدار - لا نقص فيها.</w:t>
      </w:r>
    </w:p>
    <w:p w14:paraId="02FFB182"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 xml:space="preserve">فالمدرك بنظر سيد العروة (قدس سره الشريف) أنّ المقام من صغريات العيب، لا العيب الحقيقي وهو نقص الخِلقة؛ بل العيب الحكمي وهو عبارة عن نقص المِلكية بمعنى أنّ المِلكية ليست منبسطة على العين </w:t>
      </w:r>
      <w:proofErr w:type="gramStart"/>
      <w:r w:rsidRPr="00F27422">
        <w:rPr>
          <w:rFonts w:asciiTheme="minorBidi" w:hAnsiTheme="minorBidi"/>
          <w:sz w:val="32"/>
          <w:szCs w:val="32"/>
          <w:rtl/>
        </w:rPr>
        <w:t>والمنفعة</w:t>
      </w:r>
      <w:proofErr w:type="gramEnd"/>
      <w:r w:rsidRPr="00F27422">
        <w:rPr>
          <w:rFonts w:asciiTheme="minorBidi" w:hAnsiTheme="minorBidi"/>
          <w:sz w:val="32"/>
          <w:szCs w:val="32"/>
          <w:rtl/>
        </w:rPr>
        <w:t xml:space="preserve"> بل هي منحصرةٌ في العين.</w:t>
      </w:r>
    </w:p>
    <w:p w14:paraId="26498AB1" w14:textId="3C5A1674"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 xml:space="preserve">وقد ناقش سيدنا الخوئي (قدس سره الشريف) في هذا الوجه كما في موسوعته المباركة [كتاب الإجارة، ج30، ص113] بقوله: </w:t>
      </w:r>
      <w:r w:rsidRPr="00F27422">
        <w:rPr>
          <w:rFonts w:asciiTheme="minorBidi" w:hAnsiTheme="minorBidi"/>
          <w:b/>
          <w:bCs/>
          <w:sz w:val="32"/>
          <w:szCs w:val="32"/>
          <w:rtl/>
        </w:rPr>
        <w:t>(فإنّ كان عدم المنفعة عيباً)</w:t>
      </w:r>
      <w:r w:rsidRPr="00F27422">
        <w:rPr>
          <w:rFonts w:asciiTheme="minorBidi" w:hAnsiTheme="minorBidi"/>
          <w:sz w:val="32"/>
          <w:szCs w:val="32"/>
          <w:rtl/>
        </w:rPr>
        <w:t xml:space="preserve"> أي أنّ نقص المِلكية إما أنْ يكون عيباً أو ليس بعيبٍ، فإنْ كان عيباً </w:t>
      </w:r>
      <w:r w:rsidRPr="00F27422">
        <w:rPr>
          <w:rFonts w:asciiTheme="minorBidi" w:hAnsiTheme="minorBidi"/>
          <w:b/>
          <w:bCs/>
          <w:sz w:val="32"/>
          <w:szCs w:val="32"/>
          <w:rtl/>
        </w:rPr>
        <w:t>(ونقصاً في الخلقة فلابدّ وأن يثبت معه الأرش)</w:t>
      </w:r>
      <w:r w:rsidRPr="00F27422">
        <w:rPr>
          <w:rFonts w:asciiTheme="minorBidi" w:hAnsiTheme="minorBidi"/>
          <w:sz w:val="32"/>
          <w:szCs w:val="32"/>
          <w:rtl/>
        </w:rPr>
        <w:t xml:space="preserve"> لأنّ وجود العيب يعني الخيار بين الردّ والأرش </w:t>
      </w:r>
      <w:r w:rsidRPr="00F27422">
        <w:rPr>
          <w:rFonts w:asciiTheme="minorBidi" w:hAnsiTheme="minorBidi"/>
          <w:b/>
          <w:bCs/>
          <w:sz w:val="32"/>
          <w:szCs w:val="32"/>
          <w:rtl/>
        </w:rPr>
        <w:t>(وإلّا)</w:t>
      </w:r>
      <w:r w:rsidRPr="00F27422">
        <w:rPr>
          <w:rFonts w:asciiTheme="minorBidi" w:hAnsiTheme="minorBidi"/>
          <w:sz w:val="32"/>
          <w:szCs w:val="32"/>
          <w:rtl/>
        </w:rPr>
        <w:t xml:space="preserve"> لو لم يكن عيباً </w:t>
      </w:r>
      <w:r w:rsidRPr="00F27422">
        <w:rPr>
          <w:rFonts w:asciiTheme="minorBidi" w:hAnsiTheme="minorBidi"/>
          <w:b/>
          <w:bCs/>
          <w:sz w:val="32"/>
          <w:szCs w:val="32"/>
          <w:rtl/>
        </w:rPr>
        <w:t>(فما هو الموجب للخيار من أصله؟!)</w:t>
      </w:r>
      <w:r w:rsidRPr="00F27422">
        <w:rPr>
          <w:rFonts w:asciiTheme="minorBidi" w:hAnsiTheme="minorBidi"/>
          <w:sz w:val="32"/>
          <w:szCs w:val="32"/>
          <w:rtl/>
        </w:rPr>
        <w:t xml:space="preserve"> وأمّا دعوى أنّه </w:t>
      </w:r>
      <w:proofErr w:type="gramStart"/>
      <w:r w:rsidRPr="00F27422">
        <w:rPr>
          <w:rFonts w:asciiTheme="minorBidi" w:hAnsiTheme="minorBidi"/>
          <w:sz w:val="32"/>
          <w:szCs w:val="32"/>
          <w:rtl/>
        </w:rPr>
        <w:t>عيبٌ</w:t>
      </w:r>
      <w:proofErr w:type="gramEnd"/>
      <w:r w:rsidRPr="00F27422">
        <w:rPr>
          <w:rFonts w:asciiTheme="minorBidi" w:hAnsiTheme="minorBidi"/>
          <w:sz w:val="32"/>
          <w:szCs w:val="32"/>
          <w:rtl/>
        </w:rPr>
        <w:t xml:space="preserve"> ولكن لا يوجب الخيار بين الردّ والأرش فغير واضح. </w:t>
      </w:r>
      <w:r w:rsidRPr="00F27422">
        <w:rPr>
          <w:rFonts w:asciiTheme="minorBidi" w:hAnsiTheme="minorBidi"/>
          <w:b/>
          <w:bCs/>
          <w:sz w:val="32"/>
          <w:szCs w:val="32"/>
          <w:rtl/>
        </w:rPr>
        <w:t>(وبعبارة اُخرى: العيب بوصفه العنواني)</w:t>
      </w:r>
      <w:r w:rsidRPr="00F27422">
        <w:rPr>
          <w:rFonts w:asciiTheme="minorBidi" w:hAnsiTheme="minorBidi"/>
          <w:sz w:val="32"/>
          <w:szCs w:val="32"/>
          <w:rtl/>
        </w:rPr>
        <w:t xml:space="preserve"> أي بعنوان العيب </w:t>
      </w:r>
      <w:r w:rsidRPr="00F27422">
        <w:rPr>
          <w:rFonts w:asciiTheme="minorBidi" w:hAnsiTheme="minorBidi"/>
          <w:b/>
          <w:bCs/>
          <w:sz w:val="32"/>
          <w:szCs w:val="32"/>
          <w:rtl/>
        </w:rPr>
        <w:t xml:space="preserve">(قد ثبت فيه الخيار بين الردّ والأرش، </w:t>
      </w:r>
      <w:r w:rsidRPr="00F27422">
        <w:rPr>
          <w:rFonts w:asciiTheme="minorBidi" w:hAnsiTheme="minorBidi"/>
          <w:b/>
          <w:bCs/>
          <w:sz w:val="32"/>
          <w:szCs w:val="32"/>
          <w:rtl/>
        </w:rPr>
        <w:lastRenderedPageBreak/>
        <w:t>وبمعنى آخر - المعبر عنه في بعض الكلمات بالعيب الحكمي - أي غير النقص في العين لم يقع موضوعاً لأيّ حكم)</w:t>
      </w:r>
      <w:r w:rsidRPr="00F27422">
        <w:rPr>
          <w:rFonts w:asciiTheme="minorBidi" w:hAnsiTheme="minorBidi"/>
          <w:sz w:val="32"/>
          <w:szCs w:val="32"/>
          <w:rtl/>
        </w:rPr>
        <w:t xml:space="preserve"> شرعي </w:t>
      </w:r>
      <w:r w:rsidRPr="00F27422">
        <w:rPr>
          <w:rFonts w:asciiTheme="minorBidi" w:hAnsiTheme="minorBidi"/>
          <w:b/>
          <w:bCs/>
          <w:sz w:val="32"/>
          <w:szCs w:val="32"/>
          <w:rtl/>
        </w:rPr>
        <w:t>(في شيء من الأدلّة، فتعليل)</w:t>
      </w:r>
      <w:r w:rsidRPr="00F27422">
        <w:rPr>
          <w:rFonts w:asciiTheme="minorBidi" w:hAnsiTheme="minorBidi"/>
          <w:sz w:val="32"/>
          <w:szCs w:val="32"/>
          <w:rtl/>
        </w:rPr>
        <w:t xml:space="preserve"> ثبوت </w:t>
      </w:r>
      <w:r w:rsidRPr="00F27422">
        <w:rPr>
          <w:rFonts w:asciiTheme="minorBidi" w:hAnsiTheme="minorBidi"/>
          <w:b/>
          <w:bCs/>
          <w:sz w:val="32"/>
          <w:szCs w:val="32"/>
          <w:rtl/>
        </w:rPr>
        <w:t>(الخيار بالعيب في غير محله).</w:t>
      </w:r>
      <w:r w:rsidR="002F2A0E" w:rsidRPr="00F27422">
        <w:rPr>
          <w:rStyle w:val="FootnoteReference"/>
          <w:rFonts w:asciiTheme="minorBidi" w:hAnsiTheme="minorBidi"/>
          <w:b/>
          <w:bCs/>
          <w:sz w:val="32"/>
          <w:szCs w:val="32"/>
          <w:rtl/>
        </w:rPr>
        <w:footnoteReference w:id="1"/>
      </w:r>
    </w:p>
    <w:p w14:paraId="6E5A6032" w14:textId="4804FC12"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lastRenderedPageBreak/>
        <w:t>ولكن لا يبعُد أنْ يقال:</w:t>
      </w:r>
      <w:r w:rsidRPr="00F27422">
        <w:rPr>
          <w:rFonts w:asciiTheme="minorBidi" w:hAnsiTheme="minorBidi"/>
          <w:sz w:val="32"/>
          <w:szCs w:val="32"/>
          <w:rtl/>
        </w:rPr>
        <w:t xml:space="preserve"> إنّه لو كان مستند سيد العروة (قدس سره الشريف) في ثبوت خيار العيب هو الرواية لقلنا بأنّ نقص المِلكية</w:t>
      </w:r>
      <w:r w:rsidR="00112222" w:rsidRPr="00F27422">
        <w:rPr>
          <w:rFonts w:asciiTheme="minorBidi" w:hAnsiTheme="minorBidi"/>
          <w:sz w:val="32"/>
          <w:szCs w:val="32"/>
          <w:rtl/>
        </w:rPr>
        <w:t xml:space="preserve"> </w:t>
      </w:r>
      <w:r w:rsidRPr="00F27422">
        <w:rPr>
          <w:rFonts w:asciiTheme="minorBidi" w:hAnsiTheme="minorBidi"/>
          <w:sz w:val="32"/>
          <w:szCs w:val="32"/>
          <w:rtl/>
        </w:rPr>
        <w:t>إمّا هو عيب فيقتضي الخيار بين الردّ والأرش أو ليس عيباً فلا خيار من أصله، لكن لعل مستند سيد العروة (قدس سره) هو الارتكاز العقلائي على ثبوت الخيار، وموضوع الارتكاز العقلائي ليس خصوص العيب الحقيقي الذي هو بمعنى نقص الخلقة؛ بل العيبُ بالمعنى الأعم - من الحقيقي أو الحكمي - وهو نقص المِلكية، وأمّا العيب الموجب للخيار بين الردّ والأرش فهو مستند للدليل الشرعي أي الرواية المنصرِفة للعيب الحقيقي.</w:t>
      </w:r>
    </w:p>
    <w:p w14:paraId="1C296257"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الوجه الثاني:</w:t>
      </w:r>
      <w:r w:rsidRPr="00F27422">
        <w:rPr>
          <w:rFonts w:asciiTheme="minorBidi" w:hAnsiTheme="minorBidi"/>
          <w:sz w:val="32"/>
          <w:szCs w:val="32"/>
          <w:rtl/>
        </w:rPr>
        <w:t xml:space="preserve"> ما بنى عليه بعضهم من أنّ مدرك الخيار في المقام هو "قاعدة لا ضرر" لا الرواية الواردة في خيار العيب ولا المرتكز العقلائي، فإنّ مقتضى "قاعدة لا ضرر" نفي لزوم البيع؛ حيث إنّ حكم الشارع بلزوم البيع حكمٌ ضرري؛ باعتبار أنّ المبيع ناقص المِلكية، فبما أنّ حكم الشارع باللزوم حكم ضرري فمقتضى ارتفاع اللزوم بـ "قاعدة لا ضرر" ثبوت الجواز بالنسبة للمشتري.</w:t>
      </w:r>
    </w:p>
    <w:p w14:paraId="7AAE66F6"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 xml:space="preserve">وبعبارة بعض الأجلة (رحمه الله) في كتابه [الإجارة، ج1، ص206] حيث قال: </w:t>
      </w:r>
      <w:r w:rsidRPr="00F27422">
        <w:rPr>
          <w:rFonts w:asciiTheme="minorBidi" w:hAnsiTheme="minorBidi"/>
          <w:b/>
          <w:bCs/>
          <w:sz w:val="32"/>
          <w:szCs w:val="32"/>
          <w:rtl/>
        </w:rPr>
        <w:t xml:space="preserve">(بأنّ خيار العيب عند السيد الماتن (قدس سره) إنّما يثبت بقاعدة لا ضرر أو بالارتكاز والسيرة </w:t>
      </w:r>
      <w:r w:rsidRPr="00F27422">
        <w:rPr>
          <w:rFonts w:asciiTheme="minorBidi" w:hAnsiTheme="minorBidi"/>
          <w:b/>
          <w:bCs/>
          <w:sz w:val="32"/>
          <w:szCs w:val="32"/>
          <w:rtl/>
        </w:rPr>
        <w:lastRenderedPageBreak/>
        <w:t>العقلائية، وكلاهما يعمان مطلق النقص في المال ولو من ناحية ملك الغير له، فإنه ضرر على المشتري لا محالة ونقص في المبيع الذي أقدم عليه).</w:t>
      </w:r>
    </w:p>
    <w:p w14:paraId="0FB0F6E3"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نعم، قد ذكر في بحث الخيارات أنّ ارتفاع اللزوم بـ "قاعدة لا ضرر" لا يثبتُ الخيار بالمعنى الأخص؛ بل يثبتُ طبيعيّ الجواز وطبيعي الجواز أعم من ثبوت الخيار؛ لأنّ الخيار بالمعنى الأخص حقٌّ وهذا الحق قابلٌ للنقل إلى الغير أو الإسقاط مقابل مبلغٍ مِن المال، بينما طبيعيّ الجواز حكمٌ شرعي وليس حقاً كي يكون قابلاً للنقل أو المبادلة عليه بالمال.</w:t>
      </w:r>
    </w:p>
    <w:p w14:paraId="12FC1E56"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الوجه الثالث:</w:t>
      </w:r>
      <w:r w:rsidRPr="00F27422">
        <w:rPr>
          <w:rFonts w:asciiTheme="minorBidi" w:hAnsiTheme="minorBidi"/>
          <w:sz w:val="32"/>
          <w:szCs w:val="32"/>
          <w:rtl/>
        </w:rPr>
        <w:t xml:space="preserve"> ما بنى عليه سيدنا الخوئي (قدس سره الشريف) في موسوعته المباركة [كتاب الإجارة، ج30، ص113].</w:t>
      </w:r>
    </w:p>
    <w:p w14:paraId="6D2481BC" w14:textId="79DB914C"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وحاصله:</w:t>
      </w:r>
      <w:r w:rsidRPr="00F27422">
        <w:rPr>
          <w:rFonts w:asciiTheme="minorBidi" w:hAnsiTheme="minorBidi"/>
          <w:sz w:val="32"/>
          <w:szCs w:val="32"/>
          <w:rtl/>
        </w:rPr>
        <w:t xml:space="preserve"> استقرارُ البناء العقلائي على </w:t>
      </w:r>
      <w:r w:rsidRPr="00F27422">
        <w:rPr>
          <w:rFonts w:asciiTheme="minorBidi" w:hAnsiTheme="minorBidi"/>
          <w:sz w:val="32"/>
          <w:szCs w:val="32"/>
          <w:highlight w:val="yellow"/>
          <w:rtl/>
        </w:rPr>
        <w:t>شرطٍ ارتكازي وهو كون المبيع سليماً - أي غير معيب -، مساوياً للعوض في المالية - أي لا غبن في البين -، مع اكتمال الصفقة – أي بدون تبعضٍ في الصفقة</w:t>
      </w:r>
      <w:r w:rsidRPr="00F27422">
        <w:rPr>
          <w:rFonts w:asciiTheme="minorBidi" w:hAnsiTheme="minorBidi"/>
          <w:sz w:val="32"/>
          <w:szCs w:val="32"/>
          <w:rtl/>
        </w:rPr>
        <w:t xml:space="preserve"> -، قابلاً للسلطنة التامة، فإذا انكشف أنّ المبيع غير سليم وناقصٌ تكويناً ثبت خيار العيب، أو انكشف أنّ الصفقة </w:t>
      </w:r>
      <w:proofErr w:type="spellStart"/>
      <w:r w:rsidRPr="00F27422">
        <w:rPr>
          <w:rFonts w:asciiTheme="minorBidi" w:hAnsiTheme="minorBidi"/>
          <w:sz w:val="32"/>
          <w:szCs w:val="32"/>
          <w:rtl/>
        </w:rPr>
        <w:t>مبعضة</w:t>
      </w:r>
      <w:proofErr w:type="spellEnd"/>
      <w:r w:rsidRPr="00F27422">
        <w:rPr>
          <w:rFonts w:asciiTheme="minorBidi" w:hAnsiTheme="minorBidi"/>
          <w:sz w:val="32"/>
          <w:szCs w:val="32"/>
          <w:rtl/>
        </w:rPr>
        <w:t xml:space="preserve"> ثبت خيار تبعض الصفقة، أو انكشف أنّ المبيع أقل ماليةً مِن العوض ثبت خيار الغبن، أو انكشف أنّ المبيع مسلوب المنفعة - أي انكشف عدم</w:t>
      </w:r>
      <w:r w:rsidR="00112222" w:rsidRPr="00F27422">
        <w:rPr>
          <w:rFonts w:asciiTheme="minorBidi" w:hAnsiTheme="minorBidi"/>
          <w:sz w:val="32"/>
          <w:szCs w:val="32"/>
          <w:rtl/>
        </w:rPr>
        <w:t xml:space="preserve"> </w:t>
      </w:r>
      <w:r w:rsidRPr="00F27422">
        <w:rPr>
          <w:rFonts w:asciiTheme="minorBidi" w:hAnsiTheme="minorBidi"/>
          <w:sz w:val="32"/>
          <w:szCs w:val="32"/>
          <w:rtl/>
        </w:rPr>
        <w:t>السلطنة التامة على الانتفاع - ثبت الخيار، فكلُّ هذه الخيارات بنظر سيدنا الخوئي (قدس سره) لا تحتاج إلى دليلٍ خاصٍّ؛ بل هي داخلة ضمن الشرط الارتكازي، أي أنّ معاملة البيع إذا تمت بين طرفين فهي متضمنة ارتكازاً لشرطٍ واحدٍ وهو كون المبيع سليماً غير متبعض الصفقة مساوياً في المالية للعوض تام السلطنة، فإذا انكشف تخلف أحد هذه الأوصاف ثبت الخيار لا بعنوانه بل بعنوان تخلف الشرط الارتكازي.</w:t>
      </w:r>
    </w:p>
    <w:p w14:paraId="2C9207DA"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 xml:space="preserve">قال (قدس سره الشريف): </w:t>
      </w:r>
      <w:r w:rsidRPr="00F27422">
        <w:rPr>
          <w:rFonts w:asciiTheme="minorBidi" w:hAnsiTheme="minorBidi"/>
          <w:b/>
          <w:bCs/>
          <w:sz w:val="32"/>
          <w:szCs w:val="32"/>
          <w:rtl/>
        </w:rPr>
        <w:t>(فالأولى: تعليله)</w:t>
      </w:r>
      <w:r w:rsidRPr="00F27422">
        <w:rPr>
          <w:rFonts w:asciiTheme="minorBidi" w:hAnsiTheme="minorBidi"/>
          <w:sz w:val="32"/>
          <w:szCs w:val="32"/>
          <w:rtl/>
        </w:rPr>
        <w:t xml:space="preserve"> يعني مقابل كلام سيد العروة </w:t>
      </w:r>
      <w:r w:rsidRPr="00F27422">
        <w:rPr>
          <w:rFonts w:asciiTheme="minorBidi" w:hAnsiTheme="minorBidi"/>
          <w:b/>
          <w:bCs/>
          <w:sz w:val="32"/>
          <w:szCs w:val="32"/>
          <w:rtl/>
        </w:rPr>
        <w:t>(بتخلّف الشرط الارتكازي، نظراً إلى استقرار بناء العقلاء في مقام البيع على اتّصاف المبيع بكونه مرسلاً ومطلقاً)</w:t>
      </w:r>
      <w:r w:rsidRPr="00F27422">
        <w:rPr>
          <w:rFonts w:asciiTheme="minorBidi" w:hAnsiTheme="minorBidi"/>
          <w:sz w:val="32"/>
          <w:szCs w:val="32"/>
          <w:rtl/>
        </w:rPr>
        <w:t xml:space="preserve"> يعني تام السلطنة </w:t>
      </w:r>
      <w:r w:rsidRPr="00F27422">
        <w:rPr>
          <w:rFonts w:asciiTheme="minorBidi" w:hAnsiTheme="minorBidi"/>
          <w:b/>
          <w:bCs/>
          <w:sz w:val="32"/>
          <w:szCs w:val="32"/>
          <w:rtl/>
        </w:rPr>
        <w:t>(بحيث يتمكّن المشتري من التصرّف فيه والانتفاع منه كيفما شاء وأيّ وقت شاء من دون أيّ مانع ورادع. وهذا يعدّ لديهم من الشرط الضمني المبني عليه العقد الذي أغنى وضوحه عن التصريح به في متنه).</w:t>
      </w:r>
      <w:r w:rsidRPr="00F27422">
        <w:rPr>
          <w:rFonts w:asciiTheme="minorBidi" w:hAnsiTheme="minorBidi"/>
          <w:sz w:val="32"/>
          <w:szCs w:val="32"/>
          <w:rtl/>
        </w:rPr>
        <w:t xml:space="preserve"> أي متن العقد </w:t>
      </w:r>
      <w:r w:rsidRPr="00F27422">
        <w:rPr>
          <w:rFonts w:asciiTheme="minorBidi" w:hAnsiTheme="minorBidi"/>
          <w:b/>
          <w:bCs/>
          <w:sz w:val="32"/>
          <w:szCs w:val="32"/>
          <w:rtl/>
        </w:rPr>
        <w:t>(ومن ثمّ استوجب تخلّفه الخيار، كما كان هذا هو المناط في ثبوته لدى تخلّف وصف الصحّة، وظهور كون المبيع معيباً، من غير حاجة إلى قيام نصّ خاصّ، فإنّ نفس السيرة العقلائيّة الراجعة إلى البناء على الشرط الارتكازي كافٍ في ثبوت خيار العيب. نعم، المطالبة بالأرش أمر زائد على البناء المزبور قد أثبته الدليل.</w:t>
      </w:r>
    </w:p>
    <w:p w14:paraId="79440817"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lastRenderedPageBreak/>
        <w:t>كما أنّ هذا هو الأساس أيضاً في ثبوت خيار الغبن، لاستقرار بنائهم بمقتضى الارتكاز على المساواة بين العوضين في الماليّة، فكان كشرط مبني عليه العقد، ولأجله اقتضى تخلّفه الخيار من دون أرش، بعدم كونه من مقتضيات الخيار المزبور الناشئ من تخلّف الشرط، ولم يقم عليه دليل خاصّ كما قام في خيار العيب على ثبوته زائداً على أصل الخيار حسبما عرفت).</w:t>
      </w:r>
    </w:p>
    <w:p w14:paraId="41F748A6" w14:textId="18DD9DFD"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 xml:space="preserve">وأورد عليه بعض الأجلة (رحمه الله) في كتابه [الإجارة، ج1، ص207] بقوله: </w:t>
      </w:r>
      <w:r w:rsidRPr="00F27422">
        <w:rPr>
          <w:rFonts w:asciiTheme="minorBidi" w:hAnsiTheme="minorBidi"/>
          <w:b/>
          <w:bCs/>
          <w:sz w:val="32"/>
          <w:szCs w:val="32"/>
          <w:rtl/>
        </w:rPr>
        <w:t xml:space="preserve">(وأما ما ذكره بعض أساتذتنا العظام (قدس سره) من أنّ الشرط الضمني في المقام هو بناء العقلاء على اتصاف المبيع بكونه مرسلاً ومطلقاً بحيث يتمكن المشتري من التصرف فيه والانتفاع منه كيفما شاء وأي وقت شاء من دون أي مانع ورادع، فإن أريد به شرط آخر غير ما تقدم) </w:t>
      </w:r>
      <w:r w:rsidRPr="00F27422">
        <w:rPr>
          <w:rFonts w:asciiTheme="minorBidi" w:hAnsiTheme="minorBidi"/>
          <w:sz w:val="32"/>
          <w:szCs w:val="32"/>
          <w:rtl/>
        </w:rPr>
        <w:t xml:space="preserve">يعني فإنْ أُريد به ما هو ظاهر عبارة سيدنا الخوئي من كونه تام السلطنة فكما هو مسلط على العين بهبتها وببيعها وبتأجيرها في المدّة الأُخرى، </w:t>
      </w:r>
      <w:r w:rsidRPr="00F27422">
        <w:rPr>
          <w:rFonts w:asciiTheme="minorBidi" w:hAnsiTheme="minorBidi"/>
          <w:color w:val="215E99" w:themeColor="text2" w:themeTint="BF"/>
          <w:sz w:val="32"/>
          <w:szCs w:val="32"/>
          <w:rtl/>
        </w:rPr>
        <w:t xml:space="preserve">كذلك هو مسلط على الانتفاع بالعين بالتقلب فيها وقد انكشف أنّ المبيع ليس تام السلطنة </w:t>
      </w:r>
      <w:r w:rsidRPr="00F27422">
        <w:rPr>
          <w:rFonts w:asciiTheme="minorBidi" w:hAnsiTheme="minorBidi"/>
          <w:b/>
          <w:bCs/>
          <w:sz w:val="32"/>
          <w:szCs w:val="32"/>
          <w:rtl/>
        </w:rPr>
        <w:t>(فهو ممنوع، فإنّ التصرف والانتفاع بالعين ممكن بحسب الفرض)</w:t>
      </w:r>
      <w:r w:rsidRPr="00F27422">
        <w:rPr>
          <w:rFonts w:asciiTheme="minorBidi" w:hAnsiTheme="minorBidi"/>
          <w:sz w:val="32"/>
          <w:szCs w:val="32"/>
          <w:rtl/>
        </w:rPr>
        <w:t xml:space="preserve"> فلا نقص في السلطنة ويمكنه أن يتصرف في العين ببيعها وبهبتها وتأجيرها في مدّةٍ أُخرى، فكلّ هذه التصرفات ممكنة </w:t>
      </w:r>
      <w:r w:rsidRPr="00F27422">
        <w:rPr>
          <w:rFonts w:asciiTheme="minorBidi" w:hAnsiTheme="minorBidi"/>
          <w:b/>
          <w:bCs/>
          <w:sz w:val="32"/>
          <w:szCs w:val="32"/>
          <w:rtl/>
        </w:rPr>
        <w:t>(وإلّا بطل البيع، ولا يكون هناك قصد للانتفاع إلّا بمقدار ما يكون للمال من إمكان الانتفاع لا أكثر)</w:t>
      </w:r>
      <w:r w:rsidRPr="00F27422">
        <w:rPr>
          <w:rFonts w:asciiTheme="minorBidi" w:hAnsiTheme="minorBidi"/>
          <w:sz w:val="32"/>
          <w:szCs w:val="32"/>
          <w:rtl/>
        </w:rPr>
        <w:t xml:space="preserve"> والمفروض أنّ الانتفاع بهذا المقدار ممكنٌ </w:t>
      </w:r>
      <w:r w:rsidRPr="00F27422">
        <w:rPr>
          <w:rFonts w:asciiTheme="minorBidi" w:hAnsiTheme="minorBidi"/>
          <w:b/>
          <w:bCs/>
          <w:sz w:val="32"/>
          <w:szCs w:val="32"/>
          <w:rtl/>
        </w:rPr>
        <w:t>(وإنّما الشرط)</w:t>
      </w:r>
      <w:r w:rsidRPr="00F27422">
        <w:rPr>
          <w:rFonts w:asciiTheme="minorBidi" w:hAnsiTheme="minorBidi"/>
          <w:sz w:val="32"/>
          <w:szCs w:val="32"/>
          <w:rtl/>
        </w:rPr>
        <w:t xml:space="preserve"> الارتكازي </w:t>
      </w:r>
      <w:r w:rsidRPr="00F27422">
        <w:rPr>
          <w:rFonts w:asciiTheme="minorBidi" w:hAnsiTheme="minorBidi"/>
          <w:b/>
          <w:bCs/>
          <w:sz w:val="32"/>
          <w:szCs w:val="32"/>
          <w:rtl/>
        </w:rPr>
        <w:t xml:space="preserve">(لابدَّ وأن يرجع إلى عدم نقص في المال ذاتاً) </w:t>
      </w:r>
      <w:r w:rsidRPr="00F27422">
        <w:rPr>
          <w:rFonts w:asciiTheme="minorBidi" w:hAnsiTheme="minorBidi"/>
          <w:sz w:val="32"/>
          <w:szCs w:val="32"/>
          <w:rtl/>
        </w:rPr>
        <w:t xml:space="preserve">وهو المعبر عنه بالعيب التكويني </w:t>
      </w:r>
      <w:r w:rsidRPr="00F27422">
        <w:rPr>
          <w:rFonts w:asciiTheme="minorBidi" w:hAnsiTheme="minorBidi"/>
          <w:b/>
          <w:bCs/>
          <w:sz w:val="32"/>
          <w:szCs w:val="32"/>
          <w:rtl/>
        </w:rPr>
        <w:t>(أو</w:t>
      </w:r>
      <w:r w:rsidR="00112222" w:rsidRPr="00F27422">
        <w:rPr>
          <w:rFonts w:asciiTheme="minorBidi" w:hAnsiTheme="minorBidi"/>
          <w:b/>
          <w:bCs/>
          <w:sz w:val="32"/>
          <w:szCs w:val="32"/>
          <w:rtl/>
        </w:rPr>
        <w:t xml:space="preserve"> </w:t>
      </w:r>
      <w:r w:rsidRPr="00F27422">
        <w:rPr>
          <w:rFonts w:asciiTheme="minorBidi" w:hAnsiTheme="minorBidi"/>
          <w:b/>
          <w:bCs/>
          <w:sz w:val="32"/>
          <w:szCs w:val="32"/>
          <w:rtl/>
        </w:rPr>
        <w:t>ملكية كما ذكرنا).</w:t>
      </w:r>
      <w:r w:rsidRPr="00F27422">
        <w:rPr>
          <w:rFonts w:asciiTheme="minorBidi" w:hAnsiTheme="minorBidi"/>
          <w:sz w:val="32"/>
          <w:szCs w:val="32"/>
          <w:rtl/>
        </w:rPr>
        <w:t xml:space="preserve"> وهو ما عبر عنه</w:t>
      </w:r>
      <w:r w:rsidR="00112222" w:rsidRPr="00F27422">
        <w:rPr>
          <w:rFonts w:asciiTheme="minorBidi" w:hAnsiTheme="minorBidi"/>
          <w:sz w:val="32"/>
          <w:szCs w:val="32"/>
          <w:rtl/>
        </w:rPr>
        <w:t xml:space="preserve"> </w:t>
      </w:r>
      <w:r w:rsidRPr="00F27422">
        <w:rPr>
          <w:rFonts w:asciiTheme="minorBidi" w:hAnsiTheme="minorBidi"/>
          <w:sz w:val="32"/>
          <w:szCs w:val="32"/>
          <w:rtl/>
        </w:rPr>
        <w:t>بالعيب الحكمي.</w:t>
      </w:r>
    </w:p>
    <w:p w14:paraId="46AAF088"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فمصب الشرط الارتكازي ليس هو كون المبيع تام السلطنة، فإنّ للمشتري سلطنة بالنتيجة؛ بل مصب الشرط الارتكازي كون المبيع ليس بمعيبٍ لا عيباً تكوينياً ولا عيباً حكمياً.</w:t>
      </w:r>
    </w:p>
    <w:p w14:paraId="26DA5E49"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فهو (رحمه الله) وإنْ وافق سيدنا الخوئي (قدس سره الشريف) في النكتة - وهي الشرط الارتكازي - لكنه اختلف معه في مصب الشرط الارتكازي.</w:t>
      </w:r>
    </w:p>
    <w:p w14:paraId="225FD7EF"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ولكن:</w:t>
      </w:r>
      <w:r w:rsidRPr="00F27422">
        <w:rPr>
          <w:rFonts w:asciiTheme="minorBidi" w:hAnsiTheme="minorBidi"/>
          <w:sz w:val="32"/>
          <w:szCs w:val="32"/>
          <w:rtl/>
        </w:rPr>
        <w:t xml:space="preserve"> هذا الكلام كما ترى، فإنّه لا إشكال أنّ الغرض النوعي من المعاوضة - كما في البيع مثلاً - هو السلطنة على الانتفاع بالعين تكويناً واعتباراً، فاكتشاف أنّ السلطنة ناقصةٌ - وإنْ كان بحسب الاعتبار يمكنه أنْ يبيع وأنْ يهب وأنْ يؤجر لكنه لا يقدر شرعا أنْ ينتفع بالعين -؛ لأنّ السلطنة مِلكٌ للمستأجر فلا إشكال في تخلف الغرض النوعي.</w:t>
      </w:r>
    </w:p>
    <w:p w14:paraId="51EBB541"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والإنصاف:</w:t>
      </w:r>
      <w:r w:rsidRPr="00F27422">
        <w:rPr>
          <w:rFonts w:asciiTheme="minorBidi" w:hAnsiTheme="minorBidi"/>
          <w:sz w:val="32"/>
          <w:szCs w:val="32"/>
          <w:rtl/>
        </w:rPr>
        <w:t xml:space="preserve"> أنّ ما ذكره السيد الحكيم السبط (قدس سره الشريف) في [مصباح المنهاج، كتاب الإجارة، ص221] هو الموافق للمرتكزات العقلائية في المقام.</w:t>
      </w:r>
    </w:p>
    <w:p w14:paraId="5A9558C0"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lastRenderedPageBreak/>
        <w:t xml:space="preserve">حيث قال (قدس سره): </w:t>
      </w:r>
      <w:r w:rsidRPr="00F27422">
        <w:rPr>
          <w:rFonts w:asciiTheme="minorBidi" w:hAnsiTheme="minorBidi"/>
          <w:b/>
          <w:bCs/>
          <w:sz w:val="32"/>
          <w:szCs w:val="32"/>
          <w:rtl/>
        </w:rPr>
        <w:t>(فالأولى في تعليله بانكشاف خروج المبيع عن وضعه الطبيعي الذي هو مورد الرغبة نوعاً، فإن ذلك يوجب الخيار عرفاً، كما تقدم عند الكلام في وجه خيار الغبن. وربما قيل برجوعه إلى تخلف الشرط الضمني، وهو شرط الانتفاع بالمبيع. ولا يخلو عن إشكال، كما يتضح مما ذكرناه هناك. فراجع).</w:t>
      </w:r>
    </w:p>
    <w:p w14:paraId="2E7AAB4C"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وتحليل كلامه (قدس سره):</w:t>
      </w:r>
      <w:r w:rsidRPr="00F27422">
        <w:rPr>
          <w:rFonts w:asciiTheme="minorBidi" w:hAnsiTheme="minorBidi"/>
          <w:sz w:val="32"/>
          <w:szCs w:val="32"/>
          <w:rtl/>
        </w:rPr>
        <w:t xml:space="preserve"> هو أنّ الغرض </w:t>
      </w:r>
      <w:r w:rsidRPr="00F27422">
        <w:rPr>
          <w:rFonts w:asciiTheme="minorBidi" w:hAnsiTheme="minorBidi"/>
          <w:sz w:val="32"/>
          <w:szCs w:val="32"/>
          <w:highlight w:val="yellow"/>
          <w:rtl/>
        </w:rPr>
        <w:t>النوعي من المعاوضة على العين ثبوت السلطنة على الانتفاع بها تكويناً</w:t>
      </w:r>
      <w:r w:rsidRPr="00F27422">
        <w:rPr>
          <w:rFonts w:asciiTheme="minorBidi" w:hAnsiTheme="minorBidi"/>
          <w:sz w:val="32"/>
          <w:szCs w:val="32"/>
          <w:rtl/>
        </w:rPr>
        <w:t xml:space="preserve"> واعتباراً، واكتشاف عدم القدرة على ذلك لكون العين مستأجرة تخلفٌ للغرض النوعي المقوم للإقدام على المعاوضة، وإنْ لم يكن مقوماً لنفس العلقة الوضعية، فإنّه لو كان الغرض النوعي مقوماً للعلقة الوضعية لبطل البيع بتخلفه، لكنه ليس مقوماً لأصل العلقة الوضعية المنشأة بالبيع؛ وإنّما هو مقومٌ للإقدام والالتزام بالمعاملة، ولازم تخلفه ثبوت الخيار.</w:t>
      </w:r>
    </w:p>
    <w:p w14:paraId="330A4B84"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 xml:space="preserve">فثبوت الخيار لا لأجل تخلف الشرط الارتكازي كما ذهب إليه سيدنا الخوئي (قدس سره الشريف)؛ </w:t>
      </w:r>
      <w:r w:rsidRPr="00F27422">
        <w:rPr>
          <w:rFonts w:asciiTheme="minorBidi" w:hAnsiTheme="minorBidi"/>
          <w:sz w:val="32"/>
          <w:szCs w:val="32"/>
          <w:highlight w:val="yellow"/>
          <w:rtl/>
        </w:rPr>
        <w:t>بل لتخلف الغرض النوعي المقوم للإقدام على المعاملة وترتيب الأثر عليها</w:t>
      </w:r>
      <w:r w:rsidRPr="00F27422">
        <w:rPr>
          <w:rFonts w:asciiTheme="minorBidi" w:hAnsiTheme="minorBidi"/>
          <w:sz w:val="32"/>
          <w:szCs w:val="32"/>
          <w:rtl/>
        </w:rPr>
        <w:t>، والفارق بين قيام الارتكاز العقلائي على شرط السلطنة التامة وكون الغرض النوعي هو القدرة على الانتفاع أنّ مرجع الشرط الارتكازي إلى اشتراط الخيار بتخلف أحد الأوصاف. ومرجع الغرض النوعي لتعلقه بالسلطنة على الانتفاع وعند تخلفه يثبت الخيار بنكتة أنّه حكمٌ عقلائي في هذا الفرض، لا لأجل اشتراط الخيار ضمن العقد بنحوٍ ارتكازي.</w:t>
      </w:r>
    </w:p>
    <w:p w14:paraId="2CFFD6AE" w14:textId="77777777" w:rsidR="00EA29F7" w:rsidRPr="00F27422" w:rsidRDefault="00EA29F7" w:rsidP="00122B70">
      <w:pPr>
        <w:pStyle w:val="Heading3"/>
        <w:bidi/>
        <w:rPr>
          <w:rFonts w:asciiTheme="minorBidi" w:hAnsiTheme="minorBidi" w:cstheme="minorBidi"/>
          <w:b/>
          <w:bCs/>
          <w:sz w:val="32"/>
          <w:szCs w:val="32"/>
          <w:rtl/>
        </w:rPr>
      </w:pPr>
      <w:r w:rsidRPr="00F27422">
        <w:rPr>
          <w:rFonts w:asciiTheme="minorBidi" w:hAnsiTheme="minorBidi" w:cstheme="minorBidi"/>
          <w:b/>
          <w:bCs/>
          <w:sz w:val="32"/>
          <w:szCs w:val="32"/>
          <w:rtl/>
        </w:rPr>
        <w:t>الأمر الرابع: لو فسخ المستأجر الإجارة في الأثناء، فهل ترجع المنفعة إلى البائع أم إلى المشتري؟</w:t>
      </w:r>
    </w:p>
    <w:p w14:paraId="6DDB8EE0"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فإنّ العين أصبحت ملكاً للمشتري وبعد مدّة من شرائها فسخ المستأجر الإجارة فالمنفعة في بقية المدّة تعود للبائع أم للمشتري؟</w:t>
      </w:r>
    </w:p>
    <w:p w14:paraId="1B051406"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إنّ رأي سيد العروة (قدس سره الشريف):</w:t>
      </w:r>
    </w:p>
    <w:p w14:paraId="2CDDEC58"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 xml:space="preserve">في هذه النسخة وهي: [العروة الوثقى، لفقيه أهل البيت (عليهم السلام) المرجع الديني الكبير السيد محمد كاظم اليزدي، وبهامشه المعالم الفقهية فتاوى فقيه أهل البيت (عليهم السلام) المرجع الديني المجاهد السيد إبراهيم الحسيني </w:t>
      </w:r>
      <w:proofErr w:type="spellStart"/>
      <w:r w:rsidRPr="00F27422">
        <w:rPr>
          <w:rFonts w:asciiTheme="minorBidi" w:hAnsiTheme="minorBidi"/>
          <w:sz w:val="32"/>
          <w:szCs w:val="32"/>
          <w:rtl/>
        </w:rPr>
        <w:t>الإصطهباناتي</w:t>
      </w:r>
      <w:proofErr w:type="spellEnd"/>
      <w:r w:rsidRPr="00F27422">
        <w:rPr>
          <w:rFonts w:asciiTheme="minorBidi" w:hAnsiTheme="minorBidi"/>
          <w:sz w:val="32"/>
          <w:szCs w:val="32"/>
          <w:rtl/>
        </w:rPr>
        <w:t xml:space="preserve">، الإعداد وتخريج المصادر: الشيخ إحسان المظفر، الطبعة الأولى، ج3، ص207] قال: </w:t>
      </w:r>
      <w:r w:rsidRPr="00F27422">
        <w:rPr>
          <w:rFonts w:asciiTheme="minorBidi" w:hAnsiTheme="minorBidi"/>
          <w:b/>
          <w:bCs/>
          <w:sz w:val="32"/>
          <w:szCs w:val="32"/>
          <w:rtl/>
        </w:rPr>
        <w:t>(ولو فسخ المستأجر الإجارة رجعت المنفعة في بقيّة المدَّة إلى المشتري).</w:t>
      </w:r>
    </w:p>
    <w:p w14:paraId="58C0AE5B"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 xml:space="preserve">وأما في النسخة المعروفة وهي: [العروة الوثقى، السيد اليزدي، الطبعة الأولى، تحقيق مؤسسة النشر الإسلامي التابعة لجماعة المدرسين بقم المشرفة، ج5، ص26] قال: </w:t>
      </w:r>
      <w:r w:rsidRPr="00F27422">
        <w:rPr>
          <w:rFonts w:asciiTheme="minorBidi" w:hAnsiTheme="minorBidi"/>
          <w:b/>
          <w:bCs/>
          <w:sz w:val="32"/>
          <w:szCs w:val="32"/>
          <w:rtl/>
        </w:rPr>
        <w:t xml:space="preserve">(ولو فسخ المستأجر الإجارة رجعت المنفعة في بقية المدة إلى </w:t>
      </w:r>
      <w:proofErr w:type="spellStart"/>
      <w:r w:rsidRPr="00F27422">
        <w:rPr>
          <w:rFonts w:asciiTheme="minorBidi" w:hAnsiTheme="minorBidi"/>
          <w:b/>
          <w:bCs/>
          <w:sz w:val="32"/>
          <w:szCs w:val="32"/>
          <w:rtl/>
        </w:rPr>
        <w:t>البايع</w:t>
      </w:r>
      <w:proofErr w:type="spellEnd"/>
      <w:r w:rsidRPr="00F27422">
        <w:rPr>
          <w:rFonts w:asciiTheme="minorBidi" w:hAnsiTheme="minorBidi"/>
          <w:b/>
          <w:bCs/>
          <w:sz w:val="32"/>
          <w:szCs w:val="32"/>
          <w:rtl/>
        </w:rPr>
        <w:t xml:space="preserve"> لا إلى المشتري).</w:t>
      </w:r>
    </w:p>
    <w:p w14:paraId="72EDB059"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lastRenderedPageBreak/>
        <w:t>فإنّ البائع وإنْ كان لا يملك العين الآن وقد رجعت المنفعة إليه، فبإمكانه أنْ يهبها للمشتري، أو يملكها إياه بعوضٍ، أو يملكها لغيره بعوضٍ.</w:t>
      </w:r>
    </w:p>
    <w:p w14:paraId="239337A0"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ولكن قيل:</w:t>
      </w:r>
      <w:r w:rsidRPr="00F27422">
        <w:rPr>
          <w:rFonts w:asciiTheme="minorBidi" w:hAnsiTheme="minorBidi"/>
          <w:sz w:val="32"/>
          <w:szCs w:val="32"/>
          <w:rtl/>
        </w:rPr>
        <w:t xml:space="preserve"> برجوعها للمشتري لا إلى البائع، ومن القائلين بهذا القول الفقيه النبيه سيد المستمسك (قدس سره الشريف).</w:t>
      </w:r>
    </w:p>
    <w:p w14:paraId="61C9C12D"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وقد استدل على رجوع المنفعة للمشتري لا للبائع بأحد وجهين:</w:t>
      </w:r>
    </w:p>
    <w:p w14:paraId="1404C334"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الوجه الأول:</w:t>
      </w:r>
      <w:r w:rsidRPr="00F27422">
        <w:rPr>
          <w:rFonts w:asciiTheme="minorBidi" w:hAnsiTheme="minorBidi"/>
          <w:sz w:val="32"/>
          <w:szCs w:val="32"/>
          <w:rtl/>
        </w:rPr>
        <w:t xml:space="preserve"> ما ذكره سيد المستمسك (قدس سره) في [مستمسك العروة الوثقى، السيد محسن الطباطبائي الحكيم، الناشر: دار إحياء التراث العربي، الطبعة الرابعة، ج12، ص30].</w:t>
      </w:r>
    </w:p>
    <w:p w14:paraId="15C14BEE"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وحاصله:</w:t>
      </w:r>
      <w:r w:rsidRPr="00F27422">
        <w:rPr>
          <w:rFonts w:asciiTheme="minorBidi" w:hAnsiTheme="minorBidi"/>
          <w:sz w:val="32"/>
          <w:szCs w:val="32"/>
          <w:rtl/>
        </w:rPr>
        <w:t xml:space="preserve"> أنّ الفسخ عبارةٌ عن رفع العقد وحلّه، فإذا ارتفع العقد فملكيّة المفسوخ يرجع فيها إلى السبب السابق على العقد؛ لأنّ الفسخ لا يعين رجوع المِلكية لأيّ جهة، إذ ليس الفسخ إلّا الحل، وأمّا بعد الفسخ فملكية المفسوخ أين ترجع؟ فهذا مما لا يعينه الفسخ، فلا محالة ترجع مِلكية المفسوخ إلى السبب السابق على العقد، وإذا رجع إلى السبب السابق فإنّ </w:t>
      </w:r>
      <w:r w:rsidRPr="00F27422">
        <w:rPr>
          <w:rFonts w:asciiTheme="minorBidi" w:hAnsiTheme="minorBidi"/>
          <w:sz w:val="32"/>
          <w:szCs w:val="32"/>
          <w:highlight w:val="yellow"/>
          <w:rtl/>
        </w:rPr>
        <w:t>البائع قد مَلَكَ المنفعة لا بالعقد؛ وإنّما ملك المنفعة حين الإجارة بقانون التبعية</w:t>
      </w:r>
      <w:r w:rsidRPr="00F27422">
        <w:rPr>
          <w:rFonts w:asciiTheme="minorBidi" w:hAnsiTheme="minorBidi"/>
          <w:sz w:val="32"/>
          <w:szCs w:val="32"/>
          <w:rtl/>
        </w:rPr>
        <w:t>، يعني أنّه كان مالكاً للعين حين الإجارة فملك منفعتها وملكها للمستأجر، فإذا فسخ المستأجرُ الإجارةَ رجعت المنفعة إلى السبب السابق، والسبب السابق أنّ البائع إنّما مَلَكَ المنفعة بقانون التبعية لا بسببٍ مباشرٍ، فبما أنّه مَلَكَ المنفعة بقانون التبعية والعين الآن مِلكٌ للمشتري فيملك المشتري المنفعة بقانون التبعية، وهذا السبب يقتضي رجوعها إلى مالك العين بالفعل وهو المشتري بعد أن انحل عقد الإيجار بالفسخ.</w:t>
      </w:r>
    </w:p>
    <w:p w14:paraId="338A991E" w14:textId="77777777" w:rsidR="00EA29F7" w:rsidRPr="00F27422" w:rsidRDefault="00EA29F7" w:rsidP="00122B70">
      <w:pPr>
        <w:bidi/>
        <w:rPr>
          <w:rFonts w:asciiTheme="minorBidi" w:hAnsiTheme="minorBidi"/>
          <w:b/>
          <w:bCs/>
          <w:sz w:val="32"/>
          <w:szCs w:val="32"/>
          <w:rtl/>
        </w:rPr>
      </w:pPr>
      <w:r w:rsidRPr="00F27422">
        <w:rPr>
          <w:rFonts w:asciiTheme="minorBidi" w:hAnsiTheme="minorBidi"/>
          <w:sz w:val="32"/>
          <w:szCs w:val="32"/>
          <w:rtl/>
        </w:rPr>
        <w:t xml:space="preserve">قال سيد المستمسك (قدس سره الشريف): </w:t>
      </w:r>
      <w:r w:rsidRPr="00F27422">
        <w:rPr>
          <w:rFonts w:asciiTheme="minorBidi" w:hAnsiTheme="minorBidi"/>
          <w:b/>
          <w:bCs/>
          <w:sz w:val="32"/>
          <w:szCs w:val="32"/>
          <w:rtl/>
        </w:rPr>
        <w:t>(وهذا لا يخلو من نظر)</w:t>
      </w:r>
      <w:r w:rsidRPr="00F27422">
        <w:rPr>
          <w:rFonts w:asciiTheme="minorBidi" w:hAnsiTheme="minorBidi"/>
          <w:sz w:val="32"/>
          <w:szCs w:val="32"/>
          <w:rtl/>
        </w:rPr>
        <w:t xml:space="preserve"> أي كلام سيد العروة حيث قال برجوع المنفعة في بقية المدّة للبائع لا إلى المشتري </w:t>
      </w:r>
      <w:r w:rsidRPr="00F27422">
        <w:rPr>
          <w:rFonts w:asciiTheme="minorBidi" w:hAnsiTheme="minorBidi"/>
          <w:b/>
          <w:bCs/>
          <w:sz w:val="32"/>
          <w:szCs w:val="32"/>
          <w:rtl/>
        </w:rPr>
        <w:t>(لأنه خلاف مقتضى تبعية المنفعة للعين).</w:t>
      </w:r>
      <w:r w:rsidRPr="00F27422">
        <w:rPr>
          <w:rFonts w:asciiTheme="minorBidi" w:hAnsiTheme="minorBidi"/>
          <w:sz w:val="32"/>
          <w:szCs w:val="32"/>
          <w:rtl/>
        </w:rPr>
        <w:t xml:space="preserve"> فإن </w:t>
      </w:r>
      <w:r w:rsidRPr="00F27422">
        <w:rPr>
          <w:rFonts w:asciiTheme="minorBidi" w:hAnsiTheme="minorBidi"/>
          <w:b/>
          <w:bCs/>
          <w:sz w:val="32"/>
          <w:szCs w:val="32"/>
          <w:rtl/>
        </w:rPr>
        <w:t>(مجرد كون مقتضى الفسخ رجوع كل من العوضين إلى حاله قبل العقد غير كاف في ذلك، لأن المنفعة إنما كانت ملكاً للبائع قبل العقد)</w:t>
      </w:r>
      <w:r w:rsidRPr="00F27422">
        <w:rPr>
          <w:rFonts w:asciiTheme="minorBidi" w:hAnsiTheme="minorBidi"/>
          <w:sz w:val="32"/>
          <w:szCs w:val="32"/>
          <w:rtl/>
        </w:rPr>
        <w:t xml:space="preserve"> لا بالعقد </w:t>
      </w:r>
      <w:r w:rsidRPr="00F27422">
        <w:rPr>
          <w:rFonts w:asciiTheme="minorBidi" w:hAnsiTheme="minorBidi"/>
          <w:b/>
          <w:bCs/>
          <w:sz w:val="32"/>
          <w:szCs w:val="32"/>
          <w:rtl/>
        </w:rPr>
        <w:t>(لأنها تابعة للعين فيملكها مالك العين، فإذا تبدل المالك للعين)</w:t>
      </w:r>
      <w:r w:rsidRPr="00F27422">
        <w:rPr>
          <w:rFonts w:asciiTheme="minorBidi" w:hAnsiTheme="minorBidi"/>
          <w:sz w:val="32"/>
          <w:szCs w:val="32"/>
          <w:rtl/>
        </w:rPr>
        <w:t xml:space="preserve"> وأصبح هو المشتري </w:t>
      </w:r>
      <w:r w:rsidRPr="00F27422">
        <w:rPr>
          <w:rFonts w:asciiTheme="minorBidi" w:hAnsiTheme="minorBidi"/>
          <w:b/>
          <w:bCs/>
          <w:sz w:val="32"/>
          <w:szCs w:val="32"/>
          <w:rtl/>
        </w:rPr>
        <w:t>(كان مقتضى التبعية رجوعها إلى المشتري)</w:t>
      </w:r>
      <w:r w:rsidRPr="00F27422">
        <w:rPr>
          <w:rFonts w:asciiTheme="minorBidi" w:hAnsiTheme="minorBidi"/>
          <w:sz w:val="32"/>
          <w:szCs w:val="32"/>
          <w:rtl/>
        </w:rPr>
        <w:t xml:space="preserve"> فيكون المشتري هو المالك للمنفعة بعد الفسخ.</w:t>
      </w:r>
    </w:p>
    <w:p w14:paraId="6720DB74"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ولكن هذا الوجه الذي ذكره الفقيه النبيه سيد الطائفة (قدس سره الشريف) محل نظرٍ واضح، والسر في ذلك:</w:t>
      </w:r>
      <w:r w:rsidRPr="00F27422">
        <w:rPr>
          <w:rFonts w:asciiTheme="minorBidi" w:hAnsiTheme="minorBidi"/>
          <w:sz w:val="32"/>
          <w:szCs w:val="32"/>
          <w:rtl/>
        </w:rPr>
        <w:t xml:space="preserve"> أنّ المشتري لم يملك المنفعة مِن حين الشراء؛ لأنّه اشترى العين مسلوبة المنفعة فلم تدخل المنفعة في مِلكه مِن الأصل؛ وإنّما انتقلت المنفعة بالإجارة مِن البائع إلى المستأجر، فإذا تحقّق الفسخ والفسخ هو عبارة عن حلّ العقد ورجوع كلٍّ مِن المالين إلى المِلك الذي كان قبل العقد، والمفروض أنّ المنفعة كانت ملكاً للبائع حين الإجارة، فمقتضى ذلك أنْ </w:t>
      </w:r>
      <w:r w:rsidRPr="00F27422">
        <w:rPr>
          <w:rFonts w:asciiTheme="minorBidi" w:hAnsiTheme="minorBidi"/>
          <w:sz w:val="32"/>
          <w:szCs w:val="32"/>
          <w:rtl/>
        </w:rPr>
        <w:lastRenderedPageBreak/>
        <w:t>تعود المنفعة لمِلك البائع، وقانون التبعية إنّما يقتضي مِلكيّة المنفعة لمن كان مالكاً للعين حين الإجارة، ومَن كان مالكاً للعين حين الإجارة هو البائع لا المشتري.</w:t>
      </w:r>
    </w:p>
    <w:p w14:paraId="728FDCE2" w14:textId="77777777" w:rsidR="00EA29F7" w:rsidRPr="00F27422" w:rsidRDefault="00EA29F7" w:rsidP="00122B70">
      <w:pPr>
        <w:bidi/>
        <w:rPr>
          <w:rFonts w:asciiTheme="minorBidi" w:hAnsiTheme="minorBidi"/>
          <w:b/>
          <w:bCs/>
          <w:sz w:val="32"/>
          <w:szCs w:val="32"/>
          <w:rtl/>
        </w:rPr>
      </w:pPr>
      <w:r w:rsidRPr="00F27422">
        <w:rPr>
          <w:rFonts w:asciiTheme="minorBidi" w:hAnsiTheme="minorBidi"/>
          <w:b/>
          <w:bCs/>
          <w:sz w:val="32"/>
          <w:szCs w:val="32"/>
          <w:rtl/>
        </w:rPr>
        <w:t>والحمد لله رب العالمين</w:t>
      </w:r>
    </w:p>
    <w:p w14:paraId="1AB9C0D1" w14:textId="77777777" w:rsidR="00EA29F7" w:rsidRPr="00F27422" w:rsidRDefault="00EA29F7" w:rsidP="00122B70">
      <w:pPr>
        <w:bidi/>
        <w:rPr>
          <w:rFonts w:asciiTheme="minorBidi" w:hAnsiTheme="minorBidi"/>
          <w:sz w:val="32"/>
          <w:szCs w:val="32"/>
          <w:rtl/>
        </w:rPr>
      </w:pPr>
    </w:p>
    <w:p w14:paraId="65AE6134" w14:textId="7E45EA6A" w:rsidR="00EA29F7" w:rsidRPr="00F27422" w:rsidRDefault="00EA29F7"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007</w:t>
      </w:r>
    </w:p>
    <w:p w14:paraId="01F51036"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بسم الله الرحمن الرحيم</w:t>
      </w:r>
    </w:p>
    <w:p w14:paraId="317B8969"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والصلاة والسلام على أشرف الأنبياء والمرسلين، محمد وآله الطيبين الطاهرين</w:t>
      </w:r>
    </w:p>
    <w:p w14:paraId="6B5357E9"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واللعن الدائم على أعدائهم أجمعين إلى قيام يوم الدين</w:t>
      </w:r>
    </w:p>
    <w:p w14:paraId="77608385" w14:textId="77777777" w:rsidR="00D66668" w:rsidRPr="00F27422" w:rsidRDefault="00D66668" w:rsidP="00122B70">
      <w:pPr>
        <w:pStyle w:val="a"/>
        <w:bidi/>
        <w:spacing w:line="216" w:lineRule="auto"/>
        <w:jc w:val="left"/>
        <w:rPr>
          <w:rFonts w:asciiTheme="minorBidi" w:hAnsiTheme="minorBidi" w:cstheme="minorBidi"/>
          <w:b/>
          <w:bCs/>
          <w:sz w:val="32"/>
          <w:rtl/>
        </w:rPr>
      </w:pPr>
    </w:p>
    <w:p w14:paraId="4CA28B83"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الوجه الثاني:</w:t>
      </w:r>
      <w:r w:rsidRPr="00F27422">
        <w:rPr>
          <w:rFonts w:asciiTheme="minorBidi" w:hAnsiTheme="minorBidi" w:cstheme="minorBidi"/>
          <w:sz w:val="32"/>
          <w:rtl/>
        </w:rPr>
        <w:t xml:space="preserve"> مبني على أنّ الفسخ هل هو حلٌّ للعقد مِن أصله؟ أم هو حلٌّ للعقد مِن حينه؟</w:t>
      </w:r>
    </w:p>
    <w:p w14:paraId="12CF06B8"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فبناء على أنّ الفسخ حلٌّ للعقد مِن حينه فستكون النتيجة عود المنفعة للبائع، وبناء أنّ الفسخ حلٌّ للعقد مِن أصله فستكون النتيجة عود المنفعة للمشتري.</w:t>
      </w:r>
    </w:p>
    <w:p w14:paraId="2B418A6D"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ومن أجل تنقيح النتيجة نتعرض لمطلبين:</w:t>
      </w:r>
    </w:p>
    <w:p w14:paraId="0C683950" w14:textId="4936CD49"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المطلب الأول:</w:t>
      </w:r>
      <w:r w:rsidRPr="00F27422">
        <w:rPr>
          <w:rFonts w:asciiTheme="minorBidi" w:hAnsiTheme="minorBidi" w:cstheme="minorBidi"/>
          <w:sz w:val="32"/>
          <w:rtl/>
        </w:rPr>
        <w:t xml:space="preserve"> أنّ سيدنا الخوئي (قدس سره الشريف) قد بحث المسألة نفسها في مسألة أُخرى</w:t>
      </w:r>
      <w:r w:rsidR="00112222" w:rsidRPr="00F27422">
        <w:rPr>
          <w:rFonts w:asciiTheme="minorBidi" w:hAnsiTheme="minorBidi" w:cstheme="minorBidi"/>
          <w:sz w:val="32"/>
          <w:rtl/>
        </w:rPr>
        <w:t xml:space="preserve"> </w:t>
      </w:r>
      <w:r w:rsidRPr="00F27422">
        <w:rPr>
          <w:rFonts w:asciiTheme="minorBidi" w:hAnsiTheme="minorBidi" w:cstheme="minorBidi"/>
          <w:sz w:val="32"/>
          <w:rtl/>
        </w:rPr>
        <w:t xml:space="preserve">[كتاب الإجارة، ج30، ص175] في (فصل في أحكام العوضين، المسألة الخامسة) وهي كما في متن العروة: </w:t>
      </w:r>
      <w:r w:rsidRPr="00F27422">
        <w:rPr>
          <w:rFonts w:asciiTheme="minorBidi" w:hAnsiTheme="minorBidi" w:cstheme="minorBidi"/>
          <w:b/>
          <w:bCs/>
          <w:sz w:val="32"/>
          <w:rtl/>
        </w:rPr>
        <w:t>(المسألة 5: إذا حصل الفسخ في أثناء المدّة بأحد أسبابه)</w:t>
      </w:r>
      <w:r w:rsidRPr="00F27422">
        <w:rPr>
          <w:rFonts w:asciiTheme="minorBidi" w:hAnsiTheme="minorBidi" w:cstheme="minorBidi"/>
          <w:sz w:val="32"/>
          <w:rtl/>
        </w:rPr>
        <w:t xml:space="preserve"> أي أسباب الخيار كالغبن والعيب </w:t>
      </w:r>
      <w:r w:rsidRPr="00F27422">
        <w:rPr>
          <w:rFonts w:asciiTheme="minorBidi" w:hAnsiTheme="minorBidi" w:cstheme="minorBidi"/>
          <w:b/>
          <w:bCs/>
          <w:sz w:val="32"/>
          <w:rtl/>
        </w:rPr>
        <w:t>(تثبت الاُجرة المسمّاة بالنسبة إلى ما مضى)</w:t>
      </w:r>
      <w:r w:rsidRPr="00F27422">
        <w:rPr>
          <w:rFonts w:asciiTheme="minorBidi" w:hAnsiTheme="minorBidi" w:cstheme="minorBidi"/>
          <w:sz w:val="32"/>
          <w:rtl/>
        </w:rPr>
        <w:t xml:space="preserve"> بأنْ يقع انحلال في عقد الإجارة، فتصح فيما مضى وتبطل فيما بقي </w:t>
      </w:r>
      <w:r w:rsidRPr="00F27422">
        <w:rPr>
          <w:rFonts w:asciiTheme="minorBidi" w:hAnsiTheme="minorBidi" w:cstheme="minorBidi"/>
          <w:b/>
          <w:bCs/>
          <w:sz w:val="32"/>
          <w:rtl/>
        </w:rPr>
        <w:t>(ويرجع منها بالنسبة إلى ما بقي – كما ذكرنا في البطلان – على المشهور)</w:t>
      </w:r>
      <w:r w:rsidRPr="00F27422">
        <w:rPr>
          <w:rFonts w:asciiTheme="minorBidi" w:hAnsiTheme="minorBidi" w:cstheme="minorBidi"/>
          <w:sz w:val="32"/>
          <w:rtl/>
        </w:rPr>
        <w:t xml:space="preserve"> بأنْ توزع الأُجرة </w:t>
      </w:r>
      <w:r w:rsidRPr="00F27422">
        <w:rPr>
          <w:rFonts w:asciiTheme="minorBidi" w:hAnsiTheme="minorBidi" w:cstheme="minorBidi"/>
          <w:b/>
          <w:bCs/>
          <w:sz w:val="32"/>
          <w:rtl/>
        </w:rPr>
        <w:t>(ويحتمل قريباً أن يرجع تمام المسمّى)</w:t>
      </w:r>
      <w:r w:rsidRPr="00F27422">
        <w:rPr>
          <w:rFonts w:asciiTheme="minorBidi" w:hAnsiTheme="minorBidi" w:cstheme="minorBidi"/>
          <w:sz w:val="32"/>
          <w:rtl/>
        </w:rPr>
        <w:t xml:space="preserve"> أي تمام الأُجرة </w:t>
      </w:r>
      <w:r w:rsidRPr="00F27422">
        <w:rPr>
          <w:rFonts w:asciiTheme="minorBidi" w:hAnsiTheme="minorBidi" w:cstheme="minorBidi"/>
          <w:b/>
          <w:bCs/>
          <w:sz w:val="32"/>
          <w:rtl/>
        </w:rPr>
        <w:t>(ويكون للمؤجّر اُجرة المثل بالنسبة إلى ما مضى)</w:t>
      </w:r>
      <w:r w:rsidRPr="00F27422">
        <w:rPr>
          <w:rFonts w:asciiTheme="minorBidi" w:hAnsiTheme="minorBidi" w:cstheme="minorBidi"/>
          <w:sz w:val="32"/>
          <w:rtl/>
        </w:rPr>
        <w:t xml:space="preserve"> من المنافع الماضية التي استوفاها المستأجر. </w:t>
      </w:r>
      <w:r w:rsidRPr="00F27422">
        <w:rPr>
          <w:rFonts w:asciiTheme="minorBidi" w:hAnsiTheme="minorBidi" w:cstheme="minorBidi"/>
          <w:b/>
          <w:bCs/>
          <w:sz w:val="32"/>
          <w:rtl/>
        </w:rPr>
        <w:t>(لأنّ المفروض أنّه يفسخ العقد الواقع أوّلاً، ومقتضى الفسخ عود كلّ عوض إلى مالكه، بل يحتمل أن يكون الأمر كذلك في صورة البطلان أيضاً، لكنّه بعيد).</w:t>
      </w:r>
    </w:p>
    <w:p w14:paraId="156B7101"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وقد ذكر سيدنا الخوئي (قدس سره) في شرح هذه المسألة بقوله: </w:t>
      </w:r>
      <w:r w:rsidRPr="00F27422">
        <w:rPr>
          <w:rFonts w:asciiTheme="minorBidi" w:hAnsiTheme="minorBidi" w:cstheme="minorBidi"/>
          <w:b/>
          <w:bCs/>
          <w:sz w:val="32"/>
          <w:rtl/>
        </w:rPr>
        <w:t>(هذا الحكم المنسوب إلى المشهور)</w:t>
      </w:r>
      <w:r w:rsidRPr="00F27422">
        <w:rPr>
          <w:rFonts w:asciiTheme="minorBidi" w:hAnsiTheme="minorBidi" w:cstheme="minorBidi"/>
          <w:sz w:val="32"/>
          <w:rtl/>
        </w:rPr>
        <w:t xml:space="preserve"> من تبعض الإجارة </w:t>
      </w:r>
      <w:proofErr w:type="gramStart"/>
      <w:r w:rsidRPr="00F27422">
        <w:rPr>
          <w:rFonts w:asciiTheme="minorBidi" w:hAnsiTheme="minorBidi" w:cstheme="minorBidi"/>
          <w:b/>
          <w:bCs/>
          <w:sz w:val="32"/>
          <w:rtl/>
        </w:rPr>
        <w:t>( –</w:t>
      </w:r>
      <w:proofErr w:type="gramEnd"/>
      <w:r w:rsidRPr="00F27422">
        <w:rPr>
          <w:rFonts w:asciiTheme="minorBidi" w:hAnsiTheme="minorBidi" w:cstheme="minorBidi"/>
          <w:b/>
          <w:bCs/>
          <w:sz w:val="32"/>
          <w:rtl/>
        </w:rPr>
        <w:t xml:space="preserve"> أعني: الصحّة فيما مضى المستتبعة لاستحقاق المسمّى واختصاص الفسخ بما بقي – مبني على القول بأنّ الفسخ إنّما يؤثّر من حينه)</w:t>
      </w:r>
      <w:r w:rsidRPr="00F27422">
        <w:rPr>
          <w:rFonts w:asciiTheme="minorBidi" w:hAnsiTheme="minorBidi" w:cstheme="minorBidi"/>
          <w:sz w:val="32"/>
          <w:rtl/>
        </w:rPr>
        <w:t xml:space="preserve"> لا مِن أصل العقد.</w:t>
      </w:r>
    </w:p>
    <w:p w14:paraId="55DAFD04"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(وهذا وإن كان صحيحاً في الجملة، بمعنى: أنّ الانفساخ إنما يحكم به من حين تحقّق الفسخ وإنشائه خارجاً)</w:t>
      </w:r>
      <w:r w:rsidRPr="00F27422">
        <w:rPr>
          <w:rFonts w:asciiTheme="minorBidi" w:hAnsiTheme="minorBidi" w:cstheme="minorBidi"/>
          <w:sz w:val="32"/>
          <w:rtl/>
        </w:rPr>
        <w:t xml:space="preserve"> إذ لا يعقل الانفساخ قبل حصول سببه - وهو الفسخ -</w:t>
      </w:r>
      <w:r w:rsidRPr="00F27422">
        <w:rPr>
          <w:rFonts w:asciiTheme="minorBidi" w:hAnsiTheme="minorBidi" w:cstheme="minorBidi"/>
          <w:b/>
          <w:bCs/>
          <w:sz w:val="32"/>
          <w:rtl/>
        </w:rPr>
        <w:t xml:space="preserve"> (فلا أثر قبل حدوثه، فإنّه سالبة بانتفاء الموضوع.</w:t>
      </w:r>
    </w:p>
    <w:p w14:paraId="4D29717F"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إلّا أنّ الكلام) </w:t>
      </w:r>
      <w:r w:rsidRPr="00F27422">
        <w:rPr>
          <w:rFonts w:asciiTheme="minorBidi" w:hAnsiTheme="minorBidi" w:cstheme="minorBidi"/>
          <w:sz w:val="32"/>
          <w:rtl/>
        </w:rPr>
        <w:t xml:space="preserve">ليس في تحقق الانفساخ وإنّما في المنفسخ أي </w:t>
      </w:r>
      <w:r w:rsidRPr="00F27422">
        <w:rPr>
          <w:rFonts w:asciiTheme="minorBidi" w:hAnsiTheme="minorBidi" w:cstheme="minorBidi"/>
          <w:b/>
          <w:bCs/>
          <w:sz w:val="32"/>
          <w:rtl/>
        </w:rPr>
        <w:t>(في أنّ تأثيره هل هو من الآن فيترتّب عليه انحلال العقد من حين صدور الفسخ)</w:t>
      </w:r>
      <w:r w:rsidRPr="00F27422">
        <w:rPr>
          <w:rFonts w:asciiTheme="minorBidi" w:hAnsiTheme="minorBidi" w:cstheme="minorBidi"/>
          <w:sz w:val="32"/>
          <w:rtl/>
        </w:rPr>
        <w:t xml:space="preserve"> فكأنّ هناك إجارتين إجارةٌ قد انقضت وإجارةٌ قد بطلت </w:t>
      </w:r>
      <w:r w:rsidRPr="00F27422">
        <w:rPr>
          <w:rFonts w:asciiTheme="minorBidi" w:hAnsiTheme="minorBidi" w:cstheme="minorBidi"/>
          <w:b/>
          <w:bCs/>
          <w:sz w:val="32"/>
          <w:rtl/>
        </w:rPr>
        <w:t>(أو أنّه من الأصل وبدء انعقاد العقد، بحيث يفرض العقد الواقع كأنّه لم يكن ونتيجته استرجاع تمام الاُجرة المسمّاة؟)</w:t>
      </w:r>
      <w:r w:rsidRPr="00F27422">
        <w:rPr>
          <w:rFonts w:asciiTheme="minorBidi" w:hAnsiTheme="minorBidi" w:cstheme="minorBidi"/>
          <w:sz w:val="32"/>
          <w:rtl/>
        </w:rPr>
        <w:t xml:space="preserve"> ويضمن للمؤجر أُجرة المثل للمنافع المستوفاة.</w:t>
      </w:r>
    </w:p>
    <w:p w14:paraId="49F3F652" w14:textId="61D292CC"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(وهذا هو الأظهر)</w:t>
      </w:r>
      <w:r w:rsidRPr="00F27422">
        <w:rPr>
          <w:rFonts w:asciiTheme="minorBidi" w:hAnsiTheme="minorBidi" w:cstheme="minorBidi"/>
          <w:sz w:val="32"/>
          <w:rtl/>
        </w:rPr>
        <w:t xml:space="preserve"> أي أنّ الفسخ حلٌّ للعقد مِن أصله لا مِن حين وقوعه </w:t>
      </w:r>
      <w:r w:rsidRPr="00F27422">
        <w:rPr>
          <w:rFonts w:asciiTheme="minorBidi" w:hAnsiTheme="minorBidi" w:cstheme="minorBidi"/>
          <w:b/>
          <w:bCs/>
          <w:sz w:val="32"/>
          <w:rtl/>
        </w:rPr>
        <w:t xml:space="preserve">(لما عرفت فيما مرّ من أن مرجع جعل الخيار) </w:t>
      </w:r>
      <w:r w:rsidRPr="00F27422">
        <w:rPr>
          <w:rFonts w:asciiTheme="minorBidi" w:hAnsiTheme="minorBidi" w:cstheme="minorBidi"/>
          <w:sz w:val="32"/>
          <w:rtl/>
        </w:rPr>
        <w:t xml:space="preserve">سواء كان </w:t>
      </w:r>
      <w:r w:rsidRPr="00F27422">
        <w:rPr>
          <w:rFonts w:asciiTheme="minorBidi" w:hAnsiTheme="minorBidi" w:cstheme="minorBidi"/>
          <w:b/>
          <w:bCs/>
          <w:sz w:val="32"/>
          <w:rtl/>
        </w:rPr>
        <w:t xml:space="preserve">(إمّا مطلقاً أو مشروطاً بحصول شيء إلى أنّ </w:t>
      </w:r>
      <w:r w:rsidRPr="00F27422">
        <w:rPr>
          <w:rFonts w:asciiTheme="minorBidi" w:hAnsiTheme="minorBidi" w:cstheme="minorBidi"/>
          <w:b/>
          <w:bCs/>
          <w:sz w:val="32"/>
          <w:rtl/>
        </w:rPr>
        <w:lastRenderedPageBreak/>
        <w:t xml:space="preserve">التزامه) </w:t>
      </w:r>
      <w:r w:rsidRPr="00F27422">
        <w:rPr>
          <w:rFonts w:asciiTheme="minorBidi" w:hAnsiTheme="minorBidi" w:cstheme="minorBidi"/>
          <w:sz w:val="32"/>
          <w:rtl/>
        </w:rPr>
        <w:t xml:space="preserve">أي أحد الطرفين وهو صاحب الخيار </w:t>
      </w:r>
      <w:r w:rsidRPr="00F27422">
        <w:rPr>
          <w:rFonts w:asciiTheme="minorBidi" w:hAnsiTheme="minorBidi" w:cstheme="minorBidi"/>
          <w:b/>
          <w:bCs/>
          <w:sz w:val="32"/>
          <w:rtl/>
        </w:rPr>
        <w:t>(بأصل العقد منوط ومعلّق على عدم الفسخ)</w:t>
      </w:r>
      <w:r w:rsidRPr="00F27422">
        <w:rPr>
          <w:rFonts w:asciiTheme="minorBidi" w:hAnsiTheme="minorBidi" w:cstheme="minorBidi"/>
          <w:sz w:val="32"/>
          <w:rtl/>
        </w:rPr>
        <w:t xml:space="preserve"> وهو ما عبر عنه بالجواز الحقي</w:t>
      </w:r>
      <w:r w:rsidR="00112222" w:rsidRPr="00F27422">
        <w:rPr>
          <w:rFonts w:asciiTheme="minorBidi" w:hAnsiTheme="minorBidi" w:cstheme="minorBidi"/>
          <w:sz w:val="32"/>
          <w:rtl/>
        </w:rPr>
        <w:t xml:space="preserve"> </w:t>
      </w:r>
      <w:r w:rsidRPr="00F27422">
        <w:rPr>
          <w:rFonts w:asciiTheme="minorBidi" w:hAnsiTheme="minorBidi" w:cstheme="minorBidi"/>
          <w:b/>
          <w:bCs/>
          <w:sz w:val="32"/>
          <w:rtl/>
        </w:rPr>
        <w:t>(وأمّا معه)</w:t>
      </w:r>
      <w:r w:rsidRPr="00F27422">
        <w:rPr>
          <w:rFonts w:asciiTheme="minorBidi" w:hAnsiTheme="minorBidi" w:cstheme="minorBidi"/>
          <w:sz w:val="32"/>
          <w:rtl/>
        </w:rPr>
        <w:t xml:space="preserve"> أي مع جعل الخيار </w:t>
      </w:r>
      <w:r w:rsidRPr="00F27422">
        <w:rPr>
          <w:rFonts w:asciiTheme="minorBidi" w:hAnsiTheme="minorBidi" w:cstheme="minorBidi"/>
          <w:b/>
          <w:bCs/>
          <w:sz w:val="32"/>
          <w:rtl/>
        </w:rPr>
        <w:t>(فلا يلتزم به)</w:t>
      </w:r>
      <w:r w:rsidRPr="00F27422">
        <w:rPr>
          <w:rFonts w:asciiTheme="minorBidi" w:hAnsiTheme="minorBidi" w:cstheme="minorBidi"/>
          <w:sz w:val="32"/>
          <w:rtl/>
        </w:rPr>
        <w:t xml:space="preserve"> أي بالعقد </w:t>
      </w:r>
      <w:r w:rsidRPr="00F27422">
        <w:rPr>
          <w:rFonts w:asciiTheme="minorBidi" w:hAnsiTheme="minorBidi" w:cstheme="minorBidi"/>
          <w:b/>
          <w:bCs/>
          <w:sz w:val="32"/>
          <w:rtl/>
        </w:rPr>
        <w:t>(من الأول).</w:t>
      </w:r>
    </w:p>
    <w:p w14:paraId="2F3D71D2"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إلى أنْ ذكر (قدس سره) مثالاً فقال: </w:t>
      </w:r>
      <w:r w:rsidRPr="00F27422">
        <w:rPr>
          <w:rFonts w:asciiTheme="minorBidi" w:hAnsiTheme="minorBidi" w:cstheme="minorBidi"/>
          <w:b/>
          <w:bCs/>
          <w:sz w:val="32"/>
          <w:rtl/>
        </w:rPr>
        <w:t>(فمثلاً: لو كان المستأجر مغبوناً ففسخ من أجل تخلّف الشرط الضمني الارتكازي)</w:t>
      </w:r>
      <w:r w:rsidRPr="00F27422">
        <w:rPr>
          <w:rFonts w:asciiTheme="minorBidi" w:hAnsiTheme="minorBidi" w:cstheme="minorBidi"/>
          <w:sz w:val="32"/>
          <w:rtl/>
        </w:rPr>
        <w:t xml:space="preserve"> ألّا وهو المساواة بين العوضين في المالية </w:t>
      </w:r>
      <w:r w:rsidRPr="00F27422">
        <w:rPr>
          <w:rFonts w:asciiTheme="minorBidi" w:hAnsiTheme="minorBidi" w:cstheme="minorBidi"/>
          <w:b/>
          <w:bCs/>
          <w:sz w:val="32"/>
          <w:rtl/>
        </w:rPr>
        <w:t>(الذي هو المستند الصحيح في ثبوت الخيار، لا قاعدة نفي الضرر وغيرها ممّا هي مخدوشة برمّتها حسبما ذكر في محلّه، فالفسخ المزبور)</w:t>
      </w:r>
      <w:r w:rsidRPr="00F27422">
        <w:rPr>
          <w:rFonts w:asciiTheme="minorBidi" w:hAnsiTheme="minorBidi" w:cstheme="minorBidi"/>
          <w:sz w:val="32"/>
          <w:rtl/>
        </w:rPr>
        <w:t xml:space="preserve"> مِن قبل المستأجر </w:t>
      </w:r>
      <w:r w:rsidRPr="00F27422">
        <w:rPr>
          <w:rFonts w:asciiTheme="minorBidi" w:hAnsiTheme="minorBidi" w:cstheme="minorBidi"/>
          <w:b/>
          <w:bCs/>
          <w:sz w:val="32"/>
          <w:rtl/>
        </w:rPr>
        <w:t>(على القول المشهور إنّما يؤثر في استرجاع الاُجرة في المدّة الباقية. فلو استأجر الدار سنة كلّ شهر بمائة، فتبيّن بعد ستّة أشهر أنّ قيمتها العادلة كلّ شهر بخمسين)</w:t>
      </w:r>
      <w:r w:rsidRPr="00F27422">
        <w:rPr>
          <w:rFonts w:asciiTheme="minorBidi" w:hAnsiTheme="minorBidi" w:cstheme="minorBidi"/>
          <w:sz w:val="32"/>
          <w:rtl/>
        </w:rPr>
        <w:t xml:space="preserve"> ففسخ </w:t>
      </w:r>
      <w:r w:rsidRPr="00F27422">
        <w:rPr>
          <w:rFonts w:asciiTheme="minorBidi" w:hAnsiTheme="minorBidi" w:cstheme="minorBidi"/>
          <w:b/>
          <w:bCs/>
          <w:sz w:val="32"/>
          <w:rtl/>
        </w:rPr>
        <w:t>(يسترجع بعد فسخه اُجرة الستّة أشهر الباقية).</w:t>
      </w:r>
      <w:r w:rsidRPr="00F27422">
        <w:rPr>
          <w:rFonts w:asciiTheme="minorBidi" w:hAnsiTheme="minorBidi" w:cstheme="minorBidi"/>
          <w:sz w:val="32"/>
          <w:rtl/>
        </w:rPr>
        <w:t xml:space="preserve"> وهذا عند المشهور.</w:t>
      </w:r>
    </w:p>
    <w:p w14:paraId="63444A72" w14:textId="1032A1A0"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(وأمّا على المختار فينفسخ العقد من أصله ويسترجع تمام الاُجرة المسمّاة بكاملها ويردّ إلى المؤجّر اُجرة المثل للستّة أشهر الماضية)</w:t>
      </w:r>
      <w:r w:rsidRPr="00F27422">
        <w:rPr>
          <w:rFonts w:asciiTheme="minorBidi" w:hAnsiTheme="minorBidi" w:cstheme="minorBidi"/>
          <w:sz w:val="32"/>
          <w:rtl/>
        </w:rPr>
        <w:t xml:space="preserve"> والمفروض أنّ كلّ شهر بخمسين فيردّ إليه ثلاث </w:t>
      </w:r>
      <w:r w:rsidR="007F2672" w:rsidRPr="00F27422">
        <w:rPr>
          <w:rFonts w:asciiTheme="minorBidi" w:hAnsiTheme="minorBidi" w:cstheme="minorBidi"/>
          <w:sz w:val="32"/>
          <w:rtl/>
        </w:rPr>
        <w:t>مئة</w:t>
      </w:r>
      <w:r w:rsidRPr="00F27422">
        <w:rPr>
          <w:rFonts w:asciiTheme="minorBidi" w:hAnsiTheme="minorBidi" w:cstheme="minorBidi"/>
          <w:sz w:val="32"/>
          <w:rtl/>
        </w:rPr>
        <w:t xml:space="preserve"> مقابل الستّة أشهر الماضية وليس ستة </w:t>
      </w:r>
      <w:proofErr w:type="gramStart"/>
      <w:r w:rsidRPr="00F27422">
        <w:rPr>
          <w:rFonts w:asciiTheme="minorBidi" w:hAnsiTheme="minorBidi" w:cstheme="minorBidi"/>
          <w:sz w:val="32"/>
          <w:rtl/>
        </w:rPr>
        <w:t>مائة</w:t>
      </w:r>
      <w:proofErr w:type="gramEnd"/>
      <w:r w:rsidRPr="00F27422">
        <w:rPr>
          <w:rFonts w:asciiTheme="minorBidi" w:hAnsiTheme="minorBidi" w:cstheme="minorBidi"/>
          <w:sz w:val="32"/>
          <w:rtl/>
        </w:rPr>
        <w:t xml:space="preserve"> </w:t>
      </w:r>
      <w:r w:rsidRPr="00F27422">
        <w:rPr>
          <w:rFonts w:asciiTheme="minorBidi" w:hAnsiTheme="minorBidi" w:cstheme="minorBidi"/>
          <w:b/>
          <w:bCs/>
          <w:sz w:val="32"/>
          <w:rtl/>
        </w:rPr>
        <w:t>(فإنّ هذا هو مقتضى)</w:t>
      </w:r>
      <w:r w:rsidRPr="00F27422">
        <w:rPr>
          <w:rFonts w:asciiTheme="minorBidi" w:hAnsiTheme="minorBidi" w:cstheme="minorBidi"/>
          <w:sz w:val="32"/>
          <w:rtl/>
        </w:rPr>
        <w:t xml:space="preserve"> كون الفسخ للعقد من أصله، أي (</w:t>
      </w:r>
      <w:r w:rsidRPr="00F27422">
        <w:rPr>
          <w:rFonts w:asciiTheme="minorBidi" w:hAnsiTheme="minorBidi" w:cstheme="minorBidi"/>
          <w:b/>
          <w:bCs/>
          <w:sz w:val="32"/>
          <w:rtl/>
        </w:rPr>
        <w:t>فرض العقد المزبور في عالم الاعتبار كأنّه لم يقع بينهما).</w:t>
      </w:r>
    </w:p>
    <w:p w14:paraId="4DE8EA5B"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وقد ذكر (قدس سره) في نفس المصدر: </w:t>
      </w:r>
      <w:r w:rsidRPr="00F27422">
        <w:rPr>
          <w:rFonts w:asciiTheme="minorBidi" w:hAnsiTheme="minorBidi" w:cstheme="minorBidi"/>
          <w:b/>
          <w:bCs/>
          <w:sz w:val="32"/>
          <w:rtl/>
        </w:rPr>
        <w:t xml:space="preserve">(وهذا نظير الإجازة في العقد الفضولي) </w:t>
      </w:r>
      <w:r w:rsidRPr="00F27422">
        <w:rPr>
          <w:rFonts w:asciiTheme="minorBidi" w:hAnsiTheme="minorBidi" w:cstheme="minorBidi"/>
          <w:sz w:val="32"/>
          <w:rtl/>
        </w:rPr>
        <w:t xml:space="preserve">كما لو باع بستان الغير وبعد سنة أجازَ مالكُ البستان البيع الواقع قبل سنة </w:t>
      </w:r>
      <w:r w:rsidRPr="00F27422">
        <w:rPr>
          <w:rFonts w:asciiTheme="minorBidi" w:hAnsiTheme="minorBidi" w:cstheme="minorBidi"/>
          <w:b/>
          <w:bCs/>
          <w:sz w:val="32"/>
          <w:rtl/>
        </w:rPr>
        <w:t>(فإنّ الإمضاء وإن كان متأخراً إلّا أنّ متعلّقه)</w:t>
      </w:r>
      <w:r w:rsidRPr="00F27422">
        <w:rPr>
          <w:rFonts w:asciiTheme="minorBidi" w:hAnsiTheme="minorBidi" w:cstheme="minorBidi"/>
          <w:sz w:val="32"/>
          <w:rtl/>
        </w:rPr>
        <w:t xml:space="preserve"> أي الممضى وهو البيع من حين صدوره </w:t>
      </w:r>
      <w:r w:rsidRPr="00F27422">
        <w:rPr>
          <w:rFonts w:asciiTheme="minorBidi" w:hAnsiTheme="minorBidi" w:cstheme="minorBidi"/>
          <w:b/>
          <w:bCs/>
          <w:sz w:val="32"/>
          <w:rtl/>
        </w:rPr>
        <w:t>(فمن الآن يحكم بصحّة ما وقع في ظرفه، فلا جرم)</w:t>
      </w:r>
      <w:r w:rsidRPr="00F27422">
        <w:rPr>
          <w:rFonts w:asciiTheme="minorBidi" w:hAnsiTheme="minorBidi" w:cstheme="minorBidi"/>
          <w:sz w:val="32"/>
          <w:rtl/>
        </w:rPr>
        <w:t xml:space="preserve"> أي لا محالة </w:t>
      </w:r>
      <w:r w:rsidRPr="00F27422">
        <w:rPr>
          <w:rFonts w:asciiTheme="minorBidi" w:hAnsiTheme="minorBidi" w:cstheme="minorBidi"/>
          <w:b/>
          <w:bCs/>
          <w:sz w:val="32"/>
          <w:rtl/>
        </w:rPr>
        <w:t>(يترتّب الأثر عليه من الأوّل).</w:t>
      </w:r>
      <w:r w:rsidRPr="00F27422">
        <w:rPr>
          <w:rFonts w:asciiTheme="minorBidi" w:hAnsiTheme="minorBidi" w:cstheme="minorBidi"/>
          <w:sz w:val="32"/>
          <w:rtl/>
        </w:rPr>
        <w:t xml:space="preserve"> بمعنى أنّ </w:t>
      </w:r>
      <w:proofErr w:type="spellStart"/>
      <w:r w:rsidRPr="00F27422">
        <w:rPr>
          <w:rFonts w:asciiTheme="minorBidi" w:hAnsiTheme="minorBidi" w:cstheme="minorBidi"/>
          <w:sz w:val="32"/>
          <w:rtl/>
        </w:rPr>
        <w:t>النماءات</w:t>
      </w:r>
      <w:proofErr w:type="spellEnd"/>
      <w:r w:rsidRPr="00F27422">
        <w:rPr>
          <w:rFonts w:asciiTheme="minorBidi" w:hAnsiTheme="minorBidi" w:cstheme="minorBidi"/>
          <w:sz w:val="32"/>
          <w:rtl/>
        </w:rPr>
        <w:t xml:space="preserve"> في الفترة الماضية على قسمين: قسمٌ تصرم وقسمٌ ما زال باقياً والقسم الثاني ملكٌ للمشتري لا للبائع.</w:t>
      </w:r>
    </w:p>
    <w:p w14:paraId="7B7370F5" w14:textId="77777777" w:rsidR="00D66668" w:rsidRPr="00F27422" w:rsidRDefault="00D66668"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نعم، ما تصرف فيه البائع أثناء المدّة الماضية من </w:t>
      </w:r>
      <w:proofErr w:type="spellStart"/>
      <w:r w:rsidRPr="00F27422">
        <w:rPr>
          <w:rFonts w:asciiTheme="minorBidi" w:hAnsiTheme="minorBidi" w:cstheme="minorBidi"/>
          <w:sz w:val="32"/>
          <w:rtl/>
        </w:rPr>
        <w:t>نماءات</w:t>
      </w:r>
      <w:proofErr w:type="spellEnd"/>
      <w:r w:rsidRPr="00F27422">
        <w:rPr>
          <w:rFonts w:asciiTheme="minorBidi" w:hAnsiTheme="minorBidi" w:cstheme="minorBidi"/>
          <w:sz w:val="32"/>
          <w:rtl/>
        </w:rPr>
        <w:t xml:space="preserve"> وما أشبه ذلك فهي للبائع، وهذا ما عبر عنه سيدنا الخوئي (قدس سره الشريف) في بحثه في كتاب البيع في مصباح الفقاهة بـ "الكشف الانقلابي"، وبنى عليه السيد الأُستاذ (مد ظله).</w:t>
      </w:r>
    </w:p>
    <w:p w14:paraId="16C16749" w14:textId="1DEC3D78"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ومعنى "الكشف الانقلابي" هو: حصول الانقلاب في وعاء الاعتبار، فإنّ الانقلاب المستحيل إنّما هو في عالم التكوين وهو أنْ ينقلب الشيء عما وقع عليه، وأمّا في عالم الاعتبار فأيّ مانعٍ مِن ذلك؟ مِن أنّ يكون مِلك البستان - كما في المثال - في السنة المتخللة بين البيع والإجازة، للبائع وبحصول الإجازة من المالك بعد سنة يكون البستان مِلكاً للمشتري مِن حين البيع، وكون البستان في فترةٍ واحدةٍ ملكاً لشخصين على نحو الاستقلال مما لا محذور فيه مع اختلاف الاعتبار، أي أنّ المجيز اعتبر مِلكيةً تمتد لما قبل إجازته وهي المِلكية مِن حين البيع، ولا مانع من ذلك في عالم الاعتبار، فكما يمكن اعتبار ملكية لشخص بعد سنة يمكن أنْ يعتبر له مِلكية لما قبل سنة إذا ترتب أثرٌ عقلائي على ذلك؛ إذ يكفي في صحّة الاعتبار أنْ يترتب عليه أثرٌ عقلائي، وأيّ مانعٍ مِن أنْ يكون ما صدر مِن المُجيز هو تمليك المشتري هذا البستان مِلكيةً تمتدُ لما سبق من السنة، وأثر ذلك أنّ </w:t>
      </w:r>
      <w:proofErr w:type="spellStart"/>
      <w:r w:rsidRPr="00F27422">
        <w:rPr>
          <w:rFonts w:asciiTheme="minorBidi" w:hAnsiTheme="minorBidi" w:cstheme="minorBidi"/>
          <w:sz w:val="32"/>
          <w:rtl/>
        </w:rPr>
        <w:t>النماءات</w:t>
      </w:r>
      <w:proofErr w:type="spellEnd"/>
      <w:r w:rsidRPr="00F27422">
        <w:rPr>
          <w:rFonts w:asciiTheme="minorBidi" w:hAnsiTheme="minorBidi" w:cstheme="minorBidi"/>
          <w:sz w:val="32"/>
          <w:rtl/>
        </w:rPr>
        <w:t xml:space="preserve"> الباقية في تلك المدّة</w:t>
      </w:r>
      <w:r w:rsidR="00112222" w:rsidRPr="00F27422">
        <w:rPr>
          <w:rFonts w:asciiTheme="minorBidi" w:hAnsiTheme="minorBidi" w:cstheme="minorBidi"/>
          <w:sz w:val="32"/>
          <w:rtl/>
        </w:rPr>
        <w:t xml:space="preserve"> </w:t>
      </w:r>
      <w:r w:rsidRPr="00F27422">
        <w:rPr>
          <w:rFonts w:asciiTheme="minorBidi" w:hAnsiTheme="minorBidi" w:cstheme="minorBidi"/>
          <w:sz w:val="32"/>
          <w:rtl/>
        </w:rPr>
        <w:t>من مِلك المشتري دون البائع.</w:t>
      </w:r>
    </w:p>
    <w:p w14:paraId="14A40DCD"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وهذا هو "الكشف الانقلابي" بمعنى الحكم بملكية البائع للبستان إلى أنْ تحصل الإجازة، لا ملكية </w:t>
      </w:r>
      <w:proofErr w:type="gramStart"/>
      <w:r w:rsidRPr="00F27422">
        <w:rPr>
          <w:rFonts w:asciiTheme="minorBidi" w:hAnsiTheme="minorBidi" w:cstheme="minorBidi"/>
          <w:sz w:val="32"/>
          <w:rtl/>
        </w:rPr>
        <w:t>ظاهرية</w:t>
      </w:r>
      <w:proofErr w:type="gramEnd"/>
      <w:r w:rsidRPr="00F27422">
        <w:rPr>
          <w:rFonts w:asciiTheme="minorBidi" w:hAnsiTheme="minorBidi" w:cstheme="minorBidi"/>
          <w:sz w:val="32"/>
          <w:rtl/>
        </w:rPr>
        <w:t xml:space="preserve"> بل ملكية واقعية، ولذلك لو تصرّف في </w:t>
      </w:r>
      <w:proofErr w:type="spellStart"/>
      <w:r w:rsidRPr="00F27422">
        <w:rPr>
          <w:rFonts w:asciiTheme="minorBidi" w:hAnsiTheme="minorBidi" w:cstheme="minorBidi"/>
          <w:sz w:val="32"/>
          <w:rtl/>
        </w:rPr>
        <w:t>النماءات</w:t>
      </w:r>
      <w:proofErr w:type="spellEnd"/>
      <w:r w:rsidRPr="00F27422">
        <w:rPr>
          <w:rFonts w:asciiTheme="minorBidi" w:hAnsiTheme="minorBidi" w:cstheme="minorBidi"/>
          <w:sz w:val="32"/>
          <w:rtl/>
        </w:rPr>
        <w:t xml:space="preserve"> في هذه الفترة فهو تصرف مِن المالك في ملكه، فإذا حصلت الإجازة فقد حصلت مِلكيةٌ ممتدةٌ للسنة الماضية، وهذا هو مقتضى الجمع بين الأدلة.</w:t>
      </w:r>
    </w:p>
    <w:p w14:paraId="74B22060"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فكذلك الكلام في الفسخ، فإنّه بعد الفسخ يُفرض العقد كأنْ لم يكن.</w:t>
      </w:r>
    </w:p>
    <w:p w14:paraId="7090F7D6"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lastRenderedPageBreak/>
        <w:t>ولكن ما هو الحكم في هذه المدّة التي استخدم المستأجر فيها المنفعة، وربما يكون قد وهبها لغيره في هذه المدّة، كما إذا استأجر الدارَ سنةً أو استأجر السيارةَ سنةً ووهب منفعتها لولده أو لصديقه؟</w:t>
      </w:r>
    </w:p>
    <w:p w14:paraId="0480BB6A"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قال سيدنا الخوئي (قدس سره) في نفس المصدر [ص175]: </w:t>
      </w:r>
      <w:r w:rsidRPr="00F27422">
        <w:rPr>
          <w:rFonts w:asciiTheme="minorBidi" w:hAnsiTheme="minorBidi" w:cstheme="minorBidi"/>
          <w:b/>
          <w:bCs/>
          <w:sz w:val="32"/>
          <w:rtl/>
        </w:rPr>
        <w:t>(فله حينئذٍ فسخ العقد من أصله وفرضه كأن لم يكن)</w:t>
      </w:r>
      <w:r w:rsidRPr="00F27422">
        <w:rPr>
          <w:rFonts w:asciiTheme="minorBidi" w:hAnsiTheme="minorBidi" w:cstheme="minorBidi"/>
          <w:sz w:val="32"/>
          <w:rtl/>
        </w:rPr>
        <w:t xml:space="preserve"> ونتيجته: </w:t>
      </w:r>
      <w:r w:rsidRPr="00F27422">
        <w:rPr>
          <w:rFonts w:asciiTheme="minorBidi" w:hAnsiTheme="minorBidi" w:cstheme="minorBidi"/>
          <w:b/>
          <w:bCs/>
          <w:sz w:val="32"/>
          <w:rtl/>
        </w:rPr>
        <w:t>(فيرجع بتمام الاُجرة المسمّاة، ويدفع للمؤجّر اُجرة المثل لما مضى، كي لا يذهب المال المحترم هدراً بعد امتناع استرداده، كما أنّ له الإمضاء والتقسيط حسبما عرفت).</w:t>
      </w:r>
    </w:p>
    <w:p w14:paraId="59A28FEC" w14:textId="701B2088"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وبناء على </w:t>
      </w:r>
      <w:r w:rsidR="00397B3E" w:rsidRPr="00F27422">
        <w:rPr>
          <w:rFonts w:asciiTheme="minorBidi" w:hAnsiTheme="minorBidi" w:cstheme="minorBidi"/>
          <w:b/>
          <w:bCs/>
          <w:sz w:val="32"/>
          <w:rtl/>
        </w:rPr>
        <w:t>ما ذكر</w:t>
      </w:r>
      <w:r w:rsidR="00112222" w:rsidRPr="00F27422">
        <w:rPr>
          <w:rFonts w:asciiTheme="minorBidi" w:hAnsiTheme="minorBidi" w:cstheme="minorBidi"/>
          <w:b/>
          <w:bCs/>
          <w:sz w:val="32"/>
          <w:rtl/>
        </w:rPr>
        <w:t xml:space="preserve"> </w:t>
      </w:r>
      <w:r w:rsidRPr="00F27422">
        <w:rPr>
          <w:rFonts w:asciiTheme="minorBidi" w:hAnsiTheme="minorBidi" w:cstheme="minorBidi"/>
          <w:b/>
          <w:bCs/>
          <w:sz w:val="32"/>
          <w:rtl/>
        </w:rPr>
        <w:t>في المسألة الخامسة من الفصل الآتي أنْ يقال في المقام:</w:t>
      </w:r>
      <w:r w:rsidRPr="00F27422">
        <w:rPr>
          <w:rFonts w:asciiTheme="minorBidi" w:hAnsiTheme="minorBidi" w:cstheme="minorBidi"/>
          <w:sz w:val="32"/>
          <w:rtl/>
        </w:rPr>
        <w:t xml:space="preserve"> وهو ما إذا آجرَ مالكُ الدارِ </w:t>
      </w:r>
      <w:proofErr w:type="spellStart"/>
      <w:r w:rsidRPr="00F27422">
        <w:rPr>
          <w:rFonts w:asciiTheme="minorBidi" w:hAnsiTheme="minorBidi" w:cstheme="minorBidi"/>
          <w:sz w:val="32"/>
          <w:rtl/>
        </w:rPr>
        <w:t>الدارَ</w:t>
      </w:r>
      <w:proofErr w:type="spellEnd"/>
      <w:r w:rsidRPr="00F27422">
        <w:rPr>
          <w:rFonts w:asciiTheme="minorBidi" w:hAnsiTheme="minorBidi" w:cstheme="minorBidi"/>
          <w:sz w:val="32"/>
          <w:rtl/>
        </w:rPr>
        <w:t xml:space="preserve"> سنةً لزيدٍ ثم باعها لعمروٍ، وقام زيدٌ - الذي استأجر الدارَ سنة - بفسخ الإجارة بعد ستّة أشهر منها، أنّه هل تعود المنفعة الباقية للبائع مع أنّه حينئذٍ ليس مالكاً للدار أم تعود للمشتري؟</w:t>
      </w:r>
    </w:p>
    <w:p w14:paraId="4C783656"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فهل الفسخ حلٌّ للعقد مِن حينه أو حلٌّ للعقد مِن أصله؟</w:t>
      </w:r>
    </w:p>
    <w:p w14:paraId="3AC966C5" w14:textId="77777777" w:rsidR="00D66668" w:rsidRPr="00F27422" w:rsidRDefault="00D66668"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فإنْ قيل:</w:t>
      </w:r>
      <w:r w:rsidRPr="00F27422">
        <w:rPr>
          <w:rFonts w:asciiTheme="minorBidi" w:hAnsiTheme="minorBidi" w:cstheme="minorBidi"/>
          <w:sz w:val="32"/>
          <w:rtl/>
        </w:rPr>
        <w:t xml:space="preserve"> بأنّ الفسخ حلٌّ للعقد مِن حينه فهل هذا يعني أنّ الإجارة تبعضت إلى </w:t>
      </w:r>
      <w:proofErr w:type="spellStart"/>
      <w:r w:rsidRPr="00F27422">
        <w:rPr>
          <w:rFonts w:asciiTheme="minorBidi" w:hAnsiTheme="minorBidi" w:cstheme="minorBidi"/>
          <w:sz w:val="32"/>
          <w:rtl/>
        </w:rPr>
        <w:t>إجاراتٍ</w:t>
      </w:r>
      <w:proofErr w:type="spellEnd"/>
      <w:r w:rsidRPr="00F27422">
        <w:rPr>
          <w:rFonts w:asciiTheme="minorBidi" w:hAnsiTheme="minorBidi" w:cstheme="minorBidi"/>
          <w:sz w:val="32"/>
          <w:rtl/>
        </w:rPr>
        <w:t xml:space="preserve"> بعدد الشهور والأزمنة، فمقتضى تبعض الإجارة وانحلالها إلى </w:t>
      </w:r>
      <w:proofErr w:type="spellStart"/>
      <w:r w:rsidRPr="00F27422">
        <w:rPr>
          <w:rFonts w:asciiTheme="minorBidi" w:hAnsiTheme="minorBidi" w:cstheme="minorBidi"/>
          <w:sz w:val="32"/>
          <w:rtl/>
        </w:rPr>
        <w:t>إجاراتٍ</w:t>
      </w:r>
      <w:proofErr w:type="spellEnd"/>
      <w:r w:rsidRPr="00F27422">
        <w:rPr>
          <w:rFonts w:asciiTheme="minorBidi" w:hAnsiTheme="minorBidi" w:cstheme="minorBidi"/>
          <w:sz w:val="32"/>
          <w:rtl/>
        </w:rPr>
        <w:t xml:space="preserve"> بعدد الشهور والأزمنة أنّ هذه المنفعة الباقية ترجعُ لمن كان مالكٌا للعين عند إيقاع الإجارة وهو البائع لا المشتري.</w:t>
      </w:r>
    </w:p>
    <w:p w14:paraId="5B787220" w14:textId="77777777" w:rsidR="00D66668" w:rsidRPr="00F27422" w:rsidRDefault="00D66668"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وإنْ قلنا:</w:t>
      </w:r>
      <w:r w:rsidRPr="00F27422">
        <w:rPr>
          <w:rFonts w:asciiTheme="minorBidi" w:hAnsiTheme="minorBidi" w:cstheme="minorBidi"/>
          <w:sz w:val="32"/>
          <w:rtl/>
        </w:rPr>
        <w:t xml:space="preserve"> بأنّ الفسخ حلٌّ للعقد مِن أصله فكأنّ العقد لم يكن، ومقتضى ذلك رجوع المنفعة للمشتري بمقتضى قانون تبعية المنفعة للعين في الملك.</w:t>
      </w:r>
    </w:p>
    <w:p w14:paraId="36BF184E" w14:textId="77777777" w:rsidR="00D66668" w:rsidRPr="00F27422" w:rsidRDefault="00D66668"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لكن هذا الكلام كلّه محل تأملٍ:</w:t>
      </w:r>
      <w:r w:rsidRPr="00F27422">
        <w:rPr>
          <w:rFonts w:asciiTheme="minorBidi" w:hAnsiTheme="minorBidi" w:cstheme="minorBidi"/>
          <w:sz w:val="32"/>
          <w:rtl/>
        </w:rPr>
        <w:t xml:space="preserve"> فلا صحّة للكبرى التي ذكرها سيدنا الخوئي (قدس سره) من أنّ الفسخ حلٌّ للعقد مِن أصله؛ بل هناك فرقٌ واضحٌ بين الإجازة وبين الفسخ، ولا تمامية للصغرى.</w:t>
      </w:r>
    </w:p>
    <w:p w14:paraId="5C144AA4" w14:textId="77777777" w:rsidR="00D66668" w:rsidRPr="00F27422" w:rsidRDefault="00D66668" w:rsidP="00122B70">
      <w:pPr>
        <w:pStyle w:val="a"/>
        <w:bidi/>
        <w:spacing w:line="216" w:lineRule="auto"/>
        <w:jc w:val="left"/>
        <w:rPr>
          <w:rFonts w:asciiTheme="minorBidi" w:hAnsiTheme="minorBidi" w:cstheme="minorBidi"/>
          <w:b/>
          <w:bCs/>
          <w:sz w:val="32"/>
          <w:rtl/>
        </w:rPr>
      </w:pPr>
      <w:proofErr w:type="gramStart"/>
      <w:r w:rsidRPr="00F27422">
        <w:rPr>
          <w:rFonts w:asciiTheme="minorBidi" w:hAnsiTheme="minorBidi" w:cstheme="minorBidi"/>
          <w:sz w:val="32"/>
          <w:rtl/>
        </w:rPr>
        <w:t>بل</w:t>
      </w:r>
      <w:proofErr w:type="gramEnd"/>
      <w:r w:rsidRPr="00F27422">
        <w:rPr>
          <w:rFonts w:asciiTheme="minorBidi" w:hAnsiTheme="minorBidi" w:cstheme="minorBidi"/>
          <w:sz w:val="32"/>
          <w:rtl/>
        </w:rPr>
        <w:t xml:space="preserve"> حتى لو قلنا بأنّ الفسخ حلّ للعقد مِن حينه لا مِن أصله فإنّ النتيجة لا تختلف.</w:t>
      </w:r>
    </w:p>
    <w:p w14:paraId="11805B69" w14:textId="77777777" w:rsidR="00D66668" w:rsidRPr="00F27422" w:rsidRDefault="00D66668" w:rsidP="00122B70">
      <w:pPr>
        <w:pStyle w:val="a"/>
        <w:bidi/>
        <w:spacing w:line="216" w:lineRule="auto"/>
        <w:jc w:val="left"/>
        <w:rPr>
          <w:rFonts w:asciiTheme="minorBidi" w:hAnsiTheme="minorBidi" w:cstheme="minorBidi"/>
          <w:sz w:val="32"/>
          <w:rtl/>
        </w:rPr>
      </w:pPr>
    </w:p>
    <w:p w14:paraId="043F78DB" w14:textId="77777777" w:rsidR="00D66668" w:rsidRPr="00F27422" w:rsidRDefault="00D66668"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والحمد لله رب العالمين</w:t>
      </w:r>
    </w:p>
    <w:p w14:paraId="16B66D6B" w14:textId="77777777" w:rsidR="00EA29F7" w:rsidRPr="00F27422" w:rsidRDefault="00EA29F7" w:rsidP="00122B70">
      <w:pPr>
        <w:bidi/>
        <w:rPr>
          <w:rFonts w:asciiTheme="minorBidi" w:hAnsiTheme="minorBidi"/>
          <w:sz w:val="32"/>
          <w:szCs w:val="32"/>
          <w:rtl/>
        </w:rPr>
      </w:pPr>
    </w:p>
    <w:p w14:paraId="2EAFC8EA" w14:textId="2080C1AC" w:rsidR="00D66668" w:rsidRPr="00F27422" w:rsidRDefault="00D66668"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008</w:t>
      </w:r>
    </w:p>
    <w:p w14:paraId="15041DE9" w14:textId="77777777" w:rsidR="00A53231" w:rsidRPr="00F27422" w:rsidRDefault="00A53231"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59FC1D74" w14:textId="77777777" w:rsidR="00A53231" w:rsidRPr="00F27422" w:rsidRDefault="00A53231"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3802D29E" w14:textId="77777777" w:rsidR="00A53231" w:rsidRPr="00F27422" w:rsidRDefault="00A53231" w:rsidP="00122B70">
      <w:pPr>
        <w:bidi/>
        <w:rPr>
          <w:rFonts w:asciiTheme="minorBidi" w:hAnsiTheme="minorBidi"/>
          <w:sz w:val="32"/>
          <w:szCs w:val="32"/>
          <w:rtl/>
          <w:lang w:bidi="ar-BH"/>
        </w:rPr>
      </w:pPr>
      <w:r w:rsidRPr="00F27422">
        <w:rPr>
          <w:rFonts w:asciiTheme="minorBidi" w:hAnsiTheme="minorBidi"/>
          <w:b/>
          <w:bCs/>
          <w:sz w:val="32"/>
          <w:szCs w:val="32"/>
          <w:rtl/>
        </w:rPr>
        <w:t>واللعن الدائم على أعدائهم أجمعين إلى قيام يوم الدين</w:t>
      </w:r>
    </w:p>
    <w:p w14:paraId="5F56CB51" w14:textId="77777777" w:rsidR="00A53231" w:rsidRPr="00F27422" w:rsidRDefault="00A53231" w:rsidP="00122B70">
      <w:pPr>
        <w:bidi/>
        <w:rPr>
          <w:rFonts w:asciiTheme="minorBidi" w:hAnsiTheme="minorBidi"/>
          <w:sz w:val="32"/>
          <w:szCs w:val="32"/>
          <w:rtl/>
          <w:lang w:bidi="ar-BH"/>
        </w:rPr>
      </w:pPr>
    </w:p>
    <w:p w14:paraId="1FC2CD0D"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المطلب الثاني: في تحقيق الكبرى وتنقيح الصغرى:</w:t>
      </w:r>
    </w:p>
    <w:p w14:paraId="0F413169" w14:textId="77777777" w:rsidR="00A53231" w:rsidRPr="00F27422" w:rsidRDefault="00A53231" w:rsidP="00122B70">
      <w:pPr>
        <w:bidi/>
        <w:rPr>
          <w:rFonts w:asciiTheme="minorBidi" w:hAnsiTheme="minorBidi"/>
          <w:sz w:val="32"/>
          <w:szCs w:val="32"/>
          <w:rtl/>
          <w:lang w:bidi="ar-BH"/>
        </w:rPr>
      </w:pPr>
      <w:r w:rsidRPr="00F27422">
        <w:rPr>
          <w:rFonts w:asciiTheme="minorBidi" w:hAnsiTheme="minorBidi"/>
          <w:b/>
          <w:bCs/>
          <w:sz w:val="32"/>
          <w:szCs w:val="32"/>
          <w:rtl/>
        </w:rPr>
        <w:t>أمّا الكبرى:</w:t>
      </w:r>
      <w:r w:rsidRPr="00F27422">
        <w:rPr>
          <w:rFonts w:asciiTheme="minorBidi" w:hAnsiTheme="minorBidi"/>
          <w:sz w:val="32"/>
          <w:szCs w:val="32"/>
          <w:rtl/>
        </w:rPr>
        <w:t xml:space="preserve"> وهي حقيقة الفسخ، فقد وقع البحث فيها في جهاتٍ ثلاث:</w:t>
      </w:r>
    </w:p>
    <w:p w14:paraId="531139C6" w14:textId="77777777" w:rsidR="00A53231" w:rsidRPr="00F27422" w:rsidRDefault="00A53231" w:rsidP="00122B70">
      <w:pPr>
        <w:bidi/>
        <w:rPr>
          <w:rFonts w:asciiTheme="minorBidi" w:hAnsiTheme="minorBidi"/>
          <w:sz w:val="32"/>
          <w:szCs w:val="32"/>
          <w:rtl/>
          <w:lang w:bidi="ar-BH"/>
        </w:rPr>
      </w:pPr>
      <w:r w:rsidRPr="00F27422">
        <w:rPr>
          <w:rFonts w:asciiTheme="minorBidi" w:hAnsiTheme="minorBidi"/>
          <w:b/>
          <w:bCs/>
          <w:sz w:val="32"/>
          <w:szCs w:val="32"/>
          <w:rtl/>
        </w:rPr>
        <w:t>الجهة الأولى:</w:t>
      </w:r>
      <w:r w:rsidRPr="00F27422">
        <w:rPr>
          <w:rFonts w:asciiTheme="minorBidi" w:hAnsiTheme="minorBidi"/>
          <w:sz w:val="32"/>
          <w:szCs w:val="32"/>
          <w:rtl/>
        </w:rPr>
        <w:t xml:space="preserve"> أنّ الفسخ لا يحدث مِلكيةً جديدةً؛ بل المِلكية تعود أثراً للسبب السابق على العقد.</w:t>
      </w:r>
    </w:p>
    <w:p w14:paraId="56E23659" w14:textId="77777777" w:rsidR="00A53231" w:rsidRPr="00F27422" w:rsidRDefault="00A53231" w:rsidP="00122B70">
      <w:pPr>
        <w:bidi/>
        <w:rPr>
          <w:rFonts w:asciiTheme="minorBidi" w:hAnsiTheme="minorBidi"/>
          <w:sz w:val="32"/>
          <w:szCs w:val="32"/>
          <w:rtl/>
          <w:lang w:bidi="ar-BH"/>
        </w:rPr>
      </w:pPr>
      <w:r w:rsidRPr="00F27422">
        <w:rPr>
          <w:rFonts w:asciiTheme="minorBidi" w:hAnsiTheme="minorBidi"/>
          <w:sz w:val="32"/>
          <w:szCs w:val="32"/>
          <w:rtl/>
        </w:rPr>
        <w:lastRenderedPageBreak/>
        <w:t xml:space="preserve">فلو فرض أنّ مالك العين آجرها لشخصٍ مدّة سنةٍ واحدة، وهو قد مَلَكَ منفعة الدار إمّا </w:t>
      </w:r>
      <w:proofErr w:type="gramStart"/>
      <w:r w:rsidRPr="00F27422">
        <w:rPr>
          <w:rFonts w:asciiTheme="minorBidi" w:hAnsiTheme="minorBidi"/>
          <w:sz w:val="32"/>
          <w:szCs w:val="32"/>
          <w:rtl/>
        </w:rPr>
        <w:t>بالشراء</w:t>
      </w:r>
      <w:proofErr w:type="gramEnd"/>
      <w:r w:rsidRPr="00F27422">
        <w:rPr>
          <w:rFonts w:asciiTheme="minorBidi" w:hAnsiTheme="minorBidi"/>
          <w:sz w:val="32"/>
          <w:szCs w:val="32"/>
          <w:rtl/>
        </w:rPr>
        <w:t xml:space="preserve"> أو بالإرث أو بالهبة، فإذا فسخ المُستأجرُ الإجارةَ تعودُ المنفعة أثراً للسبب السابق على الإجارة وهو ملك المُؤجر للمنفعة قبل الإجارة </w:t>
      </w:r>
      <w:proofErr w:type="gramStart"/>
      <w:r w:rsidRPr="00F27422">
        <w:rPr>
          <w:rFonts w:asciiTheme="minorBidi" w:hAnsiTheme="minorBidi"/>
          <w:sz w:val="32"/>
          <w:szCs w:val="32"/>
          <w:rtl/>
        </w:rPr>
        <w:t>بالبيع</w:t>
      </w:r>
      <w:proofErr w:type="gramEnd"/>
      <w:r w:rsidRPr="00F27422">
        <w:rPr>
          <w:rFonts w:asciiTheme="minorBidi" w:hAnsiTheme="minorBidi"/>
          <w:sz w:val="32"/>
          <w:szCs w:val="32"/>
          <w:rtl/>
        </w:rPr>
        <w:t xml:space="preserve"> أو بالشراء أو بالإرث أو بالهبة، فالفسخ لا يحدث مِلكيةً جديدة؛ بل هو حلٌّ للعقد فتعود نفس المِلكية بسببها السابق على عقد الإجارة.</w:t>
      </w:r>
    </w:p>
    <w:p w14:paraId="3F4BD0DE" w14:textId="77777777" w:rsidR="00A53231" w:rsidRPr="00F27422" w:rsidRDefault="00A53231" w:rsidP="00122B70">
      <w:pPr>
        <w:bidi/>
        <w:rPr>
          <w:rFonts w:asciiTheme="minorBidi" w:hAnsiTheme="minorBidi"/>
          <w:sz w:val="32"/>
          <w:szCs w:val="32"/>
          <w:rtl/>
          <w:lang w:bidi="ar-BH"/>
        </w:rPr>
      </w:pPr>
      <w:r w:rsidRPr="00F27422">
        <w:rPr>
          <w:rFonts w:asciiTheme="minorBidi" w:hAnsiTheme="minorBidi"/>
          <w:b/>
          <w:bCs/>
          <w:sz w:val="32"/>
          <w:szCs w:val="32"/>
          <w:rtl/>
        </w:rPr>
        <w:t>الجهة الثانية:</w:t>
      </w:r>
      <w:r w:rsidRPr="00F27422">
        <w:rPr>
          <w:rFonts w:asciiTheme="minorBidi" w:hAnsiTheme="minorBidi"/>
          <w:sz w:val="32"/>
          <w:szCs w:val="32"/>
          <w:rtl/>
        </w:rPr>
        <w:t xml:space="preserve"> إنّ الفسخ هل هو حلٌّ للعقد مِن حينه أم مِن أصل العقد؟</w:t>
      </w:r>
    </w:p>
    <w:p w14:paraId="5A98BB00"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قد يقال:</w:t>
      </w:r>
      <w:r w:rsidRPr="00F27422">
        <w:rPr>
          <w:rFonts w:asciiTheme="minorBidi" w:hAnsiTheme="minorBidi"/>
          <w:sz w:val="32"/>
          <w:szCs w:val="32"/>
          <w:rtl/>
        </w:rPr>
        <w:t xml:space="preserve"> إنّ الفسخ حلٌّ للعقد مِن حينه، وقد علل ذلك العلامة (قدس سره) في كتابه [التذكرة، تحقيق مؤسسة آل البيت (عليهم السلام) لإحياء التراث، ج11، ص338] حيث قال: </w:t>
      </w:r>
      <w:r w:rsidRPr="00F27422">
        <w:rPr>
          <w:rFonts w:asciiTheme="minorBidi" w:hAnsiTheme="minorBidi"/>
          <w:b/>
          <w:bCs/>
          <w:sz w:val="32"/>
          <w:szCs w:val="32"/>
          <w:rtl/>
        </w:rPr>
        <w:t>(مسألة 312: الفسخ يرفع العقد من حين وقوعه لا من أصله؛ لأن العقد لا ينعطف حكمه على ما مضى، فكذا الفسخ)</w:t>
      </w:r>
      <w:r w:rsidRPr="00F27422">
        <w:rPr>
          <w:rFonts w:asciiTheme="minorBidi" w:hAnsiTheme="minorBidi"/>
          <w:sz w:val="32"/>
          <w:szCs w:val="32"/>
          <w:rtl/>
        </w:rPr>
        <w:t xml:space="preserve">، وقال صاحب الجواهر (قدس سره) في كتابه [جواهر الكلام، دار إحياء التراث العربي، الطبعة السابعة، ج23، ص160]: </w:t>
      </w:r>
      <w:r w:rsidRPr="00F27422">
        <w:rPr>
          <w:rFonts w:asciiTheme="minorBidi" w:hAnsiTheme="minorBidi"/>
          <w:b/>
          <w:bCs/>
          <w:sz w:val="32"/>
          <w:szCs w:val="32"/>
          <w:rtl/>
        </w:rPr>
        <w:t>(لأن التحقيق كون الفسخ من حينه، لا من أصله).</w:t>
      </w:r>
    </w:p>
    <w:p w14:paraId="304ACD7C"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sz w:val="32"/>
          <w:szCs w:val="32"/>
          <w:rtl/>
        </w:rPr>
        <w:t>لكن التعليل المذكور في التذكرة تعليلٌ عليلٌ؛ للفرق العقلائي بين العقد وبين الفسخ، فالعقد إحداث مِلكٍ لذلك لا ينعطف على ما مضى لأنّه إحداث، بخلاف الفسخ فإنّه رفعٌ وحلٌّ، ولأجل ذلك يحتمل فيه أنْ يكون انعطافاً على ما مضى ويكون حلّاً للعقد مِن أصله، فقياس الفسخ على العقد كما في التذكرة قياسٌ غير صناعي.</w:t>
      </w:r>
    </w:p>
    <w:p w14:paraId="40B9E9C2"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والصحيح:</w:t>
      </w:r>
      <w:r w:rsidRPr="00F27422">
        <w:rPr>
          <w:rFonts w:asciiTheme="minorBidi" w:hAnsiTheme="minorBidi"/>
          <w:sz w:val="32"/>
          <w:szCs w:val="32"/>
          <w:rtl/>
        </w:rPr>
        <w:t xml:space="preserve"> أنّ المرتكز العقلائي قائمٌ على أنّ حقيقة الفسخ كالنسخ، فكما أنّ النسخ ليس إزالةً للحكم المنسوخ مِن أصله؛ وإنّما هو دفعٌ لاستمراره في وعاء الاعتبار، فكذلك الفسخ حلٌّ للعقد بوجوده البقائي - لا بوجوده الحدوثي - مع ترتيب تمام آثار المِلكية في الأزمنة السابقة </w:t>
      </w:r>
      <w:proofErr w:type="spellStart"/>
      <w:r w:rsidRPr="00F27422">
        <w:rPr>
          <w:rFonts w:asciiTheme="minorBidi" w:hAnsiTheme="minorBidi"/>
          <w:sz w:val="32"/>
          <w:szCs w:val="32"/>
          <w:rtl/>
        </w:rPr>
        <w:t>كالنماءات</w:t>
      </w:r>
      <w:proofErr w:type="spellEnd"/>
      <w:r w:rsidRPr="00F27422">
        <w:rPr>
          <w:rFonts w:asciiTheme="minorBidi" w:hAnsiTheme="minorBidi"/>
          <w:sz w:val="32"/>
          <w:szCs w:val="32"/>
          <w:rtl/>
        </w:rPr>
        <w:t xml:space="preserve"> المنفصلة، فإنّ الإنسان إذا اشترى عيناً وكانت لها </w:t>
      </w:r>
      <w:proofErr w:type="spellStart"/>
      <w:r w:rsidRPr="00F27422">
        <w:rPr>
          <w:rFonts w:asciiTheme="minorBidi" w:hAnsiTheme="minorBidi"/>
          <w:sz w:val="32"/>
          <w:szCs w:val="32"/>
          <w:rtl/>
        </w:rPr>
        <w:t>نماءات</w:t>
      </w:r>
      <w:proofErr w:type="spellEnd"/>
      <w:r w:rsidRPr="00F27422">
        <w:rPr>
          <w:rFonts w:asciiTheme="minorBidi" w:hAnsiTheme="minorBidi"/>
          <w:sz w:val="32"/>
          <w:szCs w:val="32"/>
          <w:rtl/>
        </w:rPr>
        <w:t xml:space="preserve"> منفصلة كثمرة البستان وحليب الشاة وصوفها وأمثال ذلك فإنّ هذه </w:t>
      </w:r>
      <w:proofErr w:type="spellStart"/>
      <w:r w:rsidRPr="00F27422">
        <w:rPr>
          <w:rFonts w:asciiTheme="minorBidi" w:hAnsiTheme="minorBidi"/>
          <w:sz w:val="32"/>
          <w:szCs w:val="32"/>
          <w:rtl/>
        </w:rPr>
        <w:t>النماءات</w:t>
      </w:r>
      <w:proofErr w:type="spellEnd"/>
      <w:r w:rsidRPr="00F27422">
        <w:rPr>
          <w:rFonts w:asciiTheme="minorBidi" w:hAnsiTheme="minorBidi"/>
          <w:sz w:val="32"/>
          <w:szCs w:val="32"/>
          <w:rtl/>
        </w:rPr>
        <w:t xml:space="preserve"> مِلكٌ له وتصرّفه فيها تصرّف المِلاك، فإذا فسخ البائع بعد ذلك لم يقدح في حصول الِملكية في الأزمنة السابقة.</w:t>
      </w:r>
    </w:p>
    <w:p w14:paraId="37499DE8"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sz w:val="32"/>
          <w:szCs w:val="32"/>
          <w:rtl/>
        </w:rPr>
        <w:t>ولا يقاس ذلك - كما في كلمات سيدنا الخوئي (قدس سره الشريف) – بالإجازة؛ فإنّ حقيقة الفسخ عند العقلاء غير الإجازة، فإنّ الإجازة إمضاءٌ لنفس البيع الذي وقع قبل شهر أو قبل سنة على ما وقع عليه، وحيث إنّها إمضاء جاء احتمال كون الإجازة كاشفةً كشفاً حكمياً أو انقلابياً عن تأثير العقد مِن حين وقوعه، بخلاف الفسخ فإنّه حلٌّ وبما أنّه حلٌّ فقد افترض فيه وجودُ عقدٍ والعقدُ له حدوثٌ وبقاءٌ في وعاء الاعتبار، فلذلك كان الفسخ هدماً لوجوده البقائي - أي لاستمراره -، مما يعني أنّ الفسخ حلٌّ للعقد مِن حينه لا مِن أصل العقد.</w:t>
      </w:r>
    </w:p>
    <w:p w14:paraId="1E3B8C60" w14:textId="77777777" w:rsidR="00A53231" w:rsidRPr="00F27422" w:rsidRDefault="00A53231" w:rsidP="00122B70">
      <w:pPr>
        <w:bidi/>
        <w:rPr>
          <w:rFonts w:asciiTheme="minorBidi" w:hAnsiTheme="minorBidi"/>
          <w:sz w:val="32"/>
          <w:szCs w:val="32"/>
          <w:rtl/>
        </w:rPr>
      </w:pPr>
      <w:r w:rsidRPr="00F27422">
        <w:rPr>
          <w:rFonts w:asciiTheme="minorBidi" w:hAnsiTheme="minorBidi"/>
          <w:b/>
          <w:bCs/>
          <w:sz w:val="32"/>
          <w:szCs w:val="32"/>
          <w:rtl/>
        </w:rPr>
        <w:lastRenderedPageBreak/>
        <w:t>الجهة الثالثة:</w:t>
      </w:r>
      <w:r w:rsidRPr="00F27422">
        <w:rPr>
          <w:rFonts w:asciiTheme="minorBidi" w:hAnsiTheme="minorBidi"/>
          <w:sz w:val="32"/>
          <w:szCs w:val="32"/>
          <w:rtl/>
        </w:rPr>
        <w:t xml:space="preserve"> على فرض أنّ الفسخ حلٌّ للعقد مِن أصله، فهل هو انحلّالٌ حقيقي أو انحلّالٌ حكمي؟ وبعبارةٍ أُخرى: هل أنّ العقد كأنْ لم يكن أو هو انحلال حكمي بلحاظ الآثار؟</w:t>
      </w:r>
    </w:p>
    <w:p w14:paraId="6D84F01A"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وهنا محتملان:</w:t>
      </w:r>
    </w:p>
    <w:p w14:paraId="1FFBFC40"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المحتمل الأول:</w:t>
      </w:r>
      <w:r w:rsidRPr="00F27422">
        <w:rPr>
          <w:rFonts w:asciiTheme="minorBidi" w:hAnsiTheme="minorBidi"/>
          <w:sz w:val="32"/>
          <w:szCs w:val="32"/>
          <w:rtl/>
        </w:rPr>
        <w:t xml:space="preserve"> أنْ يقال: بأنّ الفسخ حلٌّ للعقد مِن أصله حقيقةً؛ وذلك لأنّ العقد وجودٌ اعتباري فمن المحتمل أنْ يكون أصل حدوثه في وعاء الاعتبار مشروطاً بشرطٍ متأخرٍ وهو عدم الفسخ من أحد المتعاملين، فمتى أوقع أحد المتعاملين الفسخ انكشف أنّ العقد لم يتحقّق مِن أصله.</w:t>
      </w:r>
    </w:p>
    <w:p w14:paraId="2108DED2"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sz w:val="32"/>
          <w:szCs w:val="32"/>
          <w:rtl/>
        </w:rPr>
        <w:t>وقد ذكر في بعض الكلمات: أنّ المنبه لكون الفسخ حلّاً للعقد مِن أصله: أنّه لا يوجد في الشريعة مِلكٌ مؤقتٌ، إذ لو قلنا بأنّ الفسخ حلٌّ للعقد مِن حينه - لا مِن أصله - لزم من ذلك أنْ تكون المِلكية الحادثة مِلكيةٌ مؤقتةٌ ولا يوجد في الشريعة مِلكٌ مؤقتٌ كما يوجد زوجية مؤقتة؛ بل المِلك الحادث لا بشرط ولا يرتفع إلّا برافعٍ، مما يؤكد أنّ الفسخ حلٌّ للعقد مِن أصله حقيقةً لا حكماً.</w:t>
      </w:r>
    </w:p>
    <w:p w14:paraId="6C58E146" w14:textId="77777777" w:rsidR="00A53231" w:rsidRPr="00F27422" w:rsidRDefault="00A53231" w:rsidP="00122B70">
      <w:pPr>
        <w:bidi/>
        <w:rPr>
          <w:rFonts w:asciiTheme="minorBidi" w:hAnsiTheme="minorBidi"/>
          <w:sz w:val="32"/>
          <w:szCs w:val="32"/>
          <w:rtl/>
        </w:rPr>
      </w:pPr>
      <w:r w:rsidRPr="00F27422">
        <w:rPr>
          <w:rFonts w:asciiTheme="minorBidi" w:hAnsiTheme="minorBidi"/>
          <w:b/>
          <w:bCs/>
          <w:sz w:val="32"/>
          <w:szCs w:val="32"/>
          <w:rtl/>
        </w:rPr>
        <w:t>المحتمل الثاني:</w:t>
      </w:r>
      <w:r w:rsidRPr="00F27422">
        <w:rPr>
          <w:rFonts w:asciiTheme="minorBidi" w:hAnsiTheme="minorBidi"/>
          <w:sz w:val="32"/>
          <w:szCs w:val="32"/>
          <w:rtl/>
        </w:rPr>
        <w:t xml:space="preserve"> أنّ الفسخ حلٌّ للعقد مِن أصله حكماً - لا حقيقةً -، والشاهد عليه: هو المرتكز العقلائي القائم على ترتيب آثار المِلكية قبل حصول الفسخ، ومنها مِلكية المُستأجر للمنفعة وتصرّفه فيها بهبةٍ أو نقل، وإنْ علم بحصول الفسخ مستقبلاً، مما يعني أنّ الفسخ دفعٌ للاستمرار لا رفعٌ للعقد مِن أصله. غاية ما في الأمر هو التفصيل بين الآثار فالآثار الباقية </w:t>
      </w:r>
      <w:proofErr w:type="spellStart"/>
      <w:r w:rsidRPr="00F27422">
        <w:rPr>
          <w:rFonts w:asciiTheme="minorBidi" w:hAnsiTheme="minorBidi"/>
          <w:sz w:val="32"/>
          <w:szCs w:val="32"/>
          <w:rtl/>
        </w:rPr>
        <w:t>كالنماءات</w:t>
      </w:r>
      <w:proofErr w:type="spellEnd"/>
      <w:r w:rsidRPr="00F27422">
        <w:rPr>
          <w:rFonts w:asciiTheme="minorBidi" w:hAnsiTheme="minorBidi"/>
          <w:sz w:val="32"/>
          <w:szCs w:val="32"/>
          <w:rtl/>
        </w:rPr>
        <w:t xml:space="preserve"> المنفصلة الباقية أو </w:t>
      </w:r>
      <w:proofErr w:type="spellStart"/>
      <w:r w:rsidRPr="00F27422">
        <w:rPr>
          <w:rFonts w:asciiTheme="minorBidi" w:hAnsiTheme="minorBidi"/>
          <w:sz w:val="32"/>
          <w:szCs w:val="32"/>
          <w:rtl/>
        </w:rPr>
        <w:t>النماءات</w:t>
      </w:r>
      <w:proofErr w:type="spellEnd"/>
      <w:r w:rsidRPr="00F27422">
        <w:rPr>
          <w:rFonts w:asciiTheme="minorBidi" w:hAnsiTheme="minorBidi"/>
          <w:sz w:val="32"/>
          <w:szCs w:val="32"/>
          <w:rtl/>
        </w:rPr>
        <w:t xml:space="preserve"> المتصلة كوجود حمل للدابة أو بقاء الثمرة على الشجرة تكون للمشتري، بخلاف </w:t>
      </w:r>
      <w:proofErr w:type="spellStart"/>
      <w:r w:rsidRPr="00F27422">
        <w:rPr>
          <w:rFonts w:asciiTheme="minorBidi" w:hAnsiTheme="minorBidi"/>
          <w:sz w:val="32"/>
          <w:szCs w:val="32"/>
          <w:rtl/>
        </w:rPr>
        <w:t>النماءات</w:t>
      </w:r>
      <w:proofErr w:type="spellEnd"/>
      <w:r w:rsidRPr="00F27422">
        <w:rPr>
          <w:rFonts w:asciiTheme="minorBidi" w:hAnsiTheme="minorBidi"/>
          <w:sz w:val="32"/>
          <w:szCs w:val="32"/>
          <w:rtl/>
        </w:rPr>
        <w:t xml:space="preserve"> التي تصرّف فيها مَن كان مالكاً قبل الفسخ فقد تصرّف في مِلكه.</w:t>
      </w:r>
    </w:p>
    <w:p w14:paraId="28C7231B"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sz w:val="32"/>
          <w:szCs w:val="32"/>
          <w:rtl/>
        </w:rPr>
        <w:t>وأمّا دعوى أنْ لا يوجد في الشريعة مِلكٌ مؤقتٌ فلا ربط لها بمحل الكلام، فإنّ المقصود بالمِلك المؤقت الذي لم يعهد في الشريعة أنْ يوجد المِلك من الأول محدوداً بوقتٍ، كما في الزواج المؤقت فإنّه من الأول توجد زوجية محدودة، وأمّا وجود المِلك على نحو الـ "لا بشرط" غاية ما في الأمر أنّه إنْ حصل الفسخ قَطَعَ استمراره فهذا ليس من المِلك المؤقت؛ بل هو مِلكٌ قابلٌ في نفسه للبقاء والاستمرار لولا عروض الفسخ.</w:t>
      </w:r>
    </w:p>
    <w:p w14:paraId="7A9A9334"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sz w:val="32"/>
          <w:szCs w:val="32"/>
          <w:rtl/>
        </w:rPr>
        <w:t>على أنّ سيدنا الخوئي (قدس سره الشريف) بنى على أنّ مرجع شرط الخيار إلى ذلك، أي إلى إنشاء مِلكيةٍ محدودةٍ من الأول، فكأنّ البائع عندما قال: "بعتُكَ هذه الدارَ بكذا وشرطتُ لنفسي الخيار" قد قصد: "ملكتُكَ الدارَ مِلكيةً محدودةً بعدم فسخي" وهذا هو المِلكُ المؤقت.</w:t>
      </w:r>
    </w:p>
    <w:p w14:paraId="170E2E46"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sz w:val="32"/>
          <w:szCs w:val="32"/>
          <w:rtl/>
        </w:rPr>
        <w:lastRenderedPageBreak/>
        <w:t>وبالتالي فالمِلكية كسائر المنشآت الراجعة إلى قصد المنشأ وأنّه هل أنشأها مطلقةً، أو محدودةً، أو على نحو "لا بشرط".</w:t>
      </w:r>
    </w:p>
    <w:p w14:paraId="1611FAFD"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وأمّا تنقيح الصغرى:</w:t>
      </w:r>
      <w:r w:rsidRPr="00F27422">
        <w:rPr>
          <w:rFonts w:asciiTheme="minorBidi" w:hAnsiTheme="minorBidi"/>
          <w:sz w:val="32"/>
          <w:szCs w:val="32"/>
          <w:rtl/>
        </w:rPr>
        <w:t xml:space="preserve"> </w:t>
      </w:r>
      <w:r w:rsidRPr="00F27422">
        <w:rPr>
          <w:rFonts w:asciiTheme="minorBidi" w:hAnsiTheme="minorBidi"/>
          <w:b/>
          <w:bCs/>
          <w:sz w:val="32"/>
          <w:szCs w:val="32"/>
          <w:rtl/>
        </w:rPr>
        <w:t>فهنا تطبيقان:</w:t>
      </w:r>
    </w:p>
    <w:p w14:paraId="4AD6814B"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التطبيق الأول:</w:t>
      </w:r>
      <w:r w:rsidRPr="00F27422">
        <w:rPr>
          <w:rFonts w:asciiTheme="minorBidi" w:hAnsiTheme="minorBidi"/>
          <w:sz w:val="32"/>
          <w:szCs w:val="32"/>
          <w:rtl/>
        </w:rPr>
        <w:t xml:space="preserve"> ما ذكره سيدنا الخوئي (قدس سره الشريف) في المسألة الخامسة من مسائل الفصل القادم – فصل في العوضين – وهي: أنّه لو آجرَ مالكُ الدارِ </w:t>
      </w:r>
      <w:proofErr w:type="spellStart"/>
      <w:r w:rsidRPr="00F27422">
        <w:rPr>
          <w:rFonts w:asciiTheme="minorBidi" w:hAnsiTheme="minorBidi"/>
          <w:sz w:val="32"/>
          <w:szCs w:val="32"/>
          <w:rtl/>
        </w:rPr>
        <w:t>الدارَ</w:t>
      </w:r>
      <w:proofErr w:type="spellEnd"/>
      <w:r w:rsidRPr="00F27422">
        <w:rPr>
          <w:rFonts w:asciiTheme="minorBidi" w:hAnsiTheme="minorBidi"/>
          <w:sz w:val="32"/>
          <w:szCs w:val="32"/>
          <w:rtl/>
        </w:rPr>
        <w:t xml:space="preserve"> سنةً كلّ شهر بخمسين ففسخ المُستأجر العقد لغبنٍ أو عيبٍ أو نحو ذلك مِن أسباب الفسخ، من أنّ حكم المسألة يبتني على أنّ الفسخ حلٌّ للعقد مِن حينه أو مِن أصله.</w:t>
      </w:r>
    </w:p>
    <w:p w14:paraId="222AFBBB"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sz w:val="32"/>
          <w:szCs w:val="32"/>
          <w:rtl/>
        </w:rPr>
        <w:t>فإنْ قلنا: بأنّه حلٌّ للعقد مِن حينه فقد مَلَكَ المُستأجر المنفعة في المدّة السابقة ورجعت المنفعة المدّة الباقية للمُؤجر، وأمّا إذا قلنا: بأنّ الفسخ حلٌّ للعقد مِن أصله رجعت تمام المنفعة - حتى في الفترة الماضية - للمُؤجر ويضمن المُستأجرُ للمُؤجر قيمة المثل للمنافع التي استوفاها في المدّة السابقة.</w:t>
      </w:r>
    </w:p>
    <w:p w14:paraId="6607F479"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ولكن الصحيح:</w:t>
      </w:r>
      <w:r w:rsidRPr="00F27422">
        <w:rPr>
          <w:rFonts w:asciiTheme="minorBidi" w:hAnsiTheme="minorBidi"/>
          <w:sz w:val="32"/>
          <w:szCs w:val="32"/>
          <w:rtl/>
        </w:rPr>
        <w:t xml:space="preserve"> أنّ المسألة لا تبتني على نتيجة البحث في الفسخ أنّه حلٌّ للعقد مِن أصله أو مِن حينه فقط؛ بل لابُدّ مِن ضميمة.</w:t>
      </w:r>
    </w:p>
    <w:p w14:paraId="5A3AA0FE" w14:textId="0BFC46C1"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وبيان ذلك:</w:t>
      </w:r>
      <w:r w:rsidRPr="00F27422">
        <w:rPr>
          <w:rFonts w:asciiTheme="minorBidi" w:hAnsiTheme="minorBidi"/>
          <w:sz w:val="32"/>
          <w:szCs w:val="32"/>
          <w:rtl/>
        </w:rPr>
        <w:t xml:space="preserve"> أنّه هل المنشأ في قول مالك الدار للمُستأجر: "آجرتُكَ الدارَ سنةً كلّ شهرٍ بكذا"</w:t>
      </w:r>
      <w:r w:rsidR="005F4BA7" w:rsidRPr="00F27422">
        <w:rPr>
          <w:rFonts w:asciiTheme="minorBidi" w:hAnsiTheme="minorBidi"/>
          <w:sz w:val="32"/>
          <w:szCs w:val="32"/>
          <w:rtl/>
        </w:rPr>
        <w:t xml:space="preserve"> </w:t>
      </w:r>
      <w:r w:rsidRPr="00F27422">
        <w:rPr>
          <w:rFonts w:asciiTheme="minorBidi" w:hAnsiTheme="minorBidi"/>
          <w:sz w:val="32"/>
          <w:szCs w:val="32"/>
          <w:rtl/>
        </w:rPr>
        <w:t>هو التمليك على نحو العموم المجموعي أم على نحو العموم الاستغراقي؟</w:t>
      </w:r>
    </w:p>
    <w:p w14:paraId="163F24B7"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sz w:val="32"/>
          <w:szCs w:val="32"/>
          <w:rtl/>
        </w:rPr>
        <w:t>أي هل أنّ ما صدر من المُؤجر تمليكُ المجموع بإزاء المجموع، أي تمام المنافع بإزاء تمام الأُجرة، فهذا ليس قابلاً للتبعيض؟ أو أنّ ما قام به المُؤجر التمليك على نحو العموم الاستغراقي فكأنّه قد صدر منه مِلكياتٍ عديدةٍ بعدد الشهور ولكلّ منفعةٍ جزءٌ مِن الأُجرة؟</w:t>
      </w:r>
    </w:p>
    <w:p w14:paraId="0F703E4D" w14:textId="385E9CE1"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فإذا قلنا بالأول</w:t>
      </w:r>
      <w:r w:rsidRPr="00F27422">
        <w:rPr>
          <w:rFonts w:asciiTheme="minorBidi" w:hAnsiTheme="minorBidi"/>
          <w:sz w:val="32"/>
          <w:szCs w:val="32"/>
          <w:rtl/>
        </w:rPr>
        <w:t xml:space="preserve"> – أي على أنّ متعلق الإجارة تمليكُ المجموع بإزاء المجموع -، ولا يبعد أنّه هو الظاهر في المرتكزات العقلائية، لا ملكياتٍ عديدةٍ بعدد الأيام أو الشهور مقابل أجورٍ عديدةٍ بعددها، ومقتضى ذلك أنّه لو فسخ المُستأجر أنْ تعود تمام المنافع إلى مِلك المُؤجر وتعود تمام الأُجرة إلى مِلك المُستأجر – من </w:t>
      </w:r>
      <w:r w:rsidR="00E47A1A" w:rsidRPr="00F27422">
        <w:rPr>
          <w:rFonts w:asciiTheme="minorBidi" w:hAnsiTheme="minorBidi"/>
          <w:sz w:val="32"/>
          <w:szCs w:val="32"/>
          <w:rtl/>
        </w:rPr>
        <w:t>دون تبعيض</w:t>
      </w:r>
      <w:r w:rsidRPr="00F27422">
        <w:rPr>
          <w:rFonts w:asciiTheme="minorBidi" w:hAnsiTheme="minorBidi"/>
          <w:sz w:val="32"/>
          <w:szCs w:val="32"/>
          <w:rtl/>
        </w:rPr>
        <w:t xml:space="preserve"> - وما استوفاه مِن المنافع في الفترة الماضية فهو مضمونٌ بأُجرة المثل، سواءً قيل بأنّ الفسخ مِن حينه أو مِن أصله، وذلك لأنّ الزمن ظرفٌ للمملوك وليس مقوماً له.</w:t>
      </w:r>
    </w:p>
    <w:p w14:paraId="6012BDD4" w14:textId="56968F6B"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وإذا قلنا بالثاني</w:t>
      </w:r>
      <w:r w:rsidRPr="00F27422">
        <w:rPr>
          <w:rFonts w:asciiTheme="minorBidi" w:hAnsiTheme="minorBidi"/>
          <w:sz w:val="32"/>
          <w:szCs w:val="32"/>
          <w:rtl/>
        </w:rPr>
        <w:t xml:space="preserve"> – أي أنّ متعلق الإجارة التمليكُ </w:t>
      </w:r>
      <w:r w:rsidRPr="00F27422">
        <w:rPr>
          <w:rFonts w:asciiTheme="minorBidi" w:hAnsiTheme="minorBidi"/>
          <w:sz w:val="32"/>
          <w:szCs w:val="32"/>
          <w:highlight w:val="yellow"/>
          <w:rtl/>
        </w:rPr>
        <w:t>على نحو العمومي الاستغراقي -</w:t>
      </w:r>
      <w:r w:rsidRPr="00F27422">
        <w:rPr>
          <w:rFonts w:asciiTheme="minorBidi" w:hAnsiTheme="minorBidi"/>
          <w:sz w:val="32"/>
          <w:szCs w:val="32"/>
          <w:rtl/>
        </w:rPr>
        <w:t xml:space="preserve"> فحينئذٍ يأتي البحث في أنّ الفسخ حلٌّ للعقد مِن حينه أم مِن أصله، وإنْْ كان الأوفق بحسب المرتكزات هو</w:t>
      </w:r>
      <w:r w:rsidR="00112222" w:rsidRPr="00F27422">
        <w:rPr>
          <w:rFonts w:asciiTheme="minorBidi" w:hAnsiTheme="minorBidi"/>
          <w:sz w:val="32"/>
          <w:szCs w:val="32"/>
          <w:rtl/>
        </w:rPr>
        <w:t xml:space="preserve"> </w:t>
      </w:r>
      <w:r w:rsidRPr="00F27422">
        <w:rPr>
          <w:rFonts w:asciiTheme="minorBidi" w:hAnsiTheme="minorBidi"/>
          <w:sz w:val="32"/>
          <w:szCs w:val="32"/>
          <w:rtl/>
        </w:rPr>
        <w:lastRenderedPageBreak/>
        <w:t>التبعيض؛ حيث إنّ الإجارة قد حدثت صحيحةً، وأثر حدوثها صحيحةً نفوذها في الأشهر السابقة وتعود منفعتها في الأشهر الباقية للمُؤجر.</w:t>
      </w:r>
    </w:p>
    <w:p w14:paraId="4A094E26"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التطبيق الثاني:</w:t>
      </w:r>
      <w:r w:rsidRPr="00F27422">
        <w:rPr>
          <w:rFonts w:asciiTheme="minorBidi" w:hAnsiTheme="minorBidi"/>
          <w:sz w:val="32"/>
          <w:szCs w:val="32"/>
          <w:rtl/>
        </w:rPr>
        <w:t xml:space="preserve"> هو: أنّ مالك السيارة لو آجر السيارة شهراً بكذا، وبعد المفروغية عن الإجارة قام ببيعها على شخصٍ آخر، ثمّ فسخ المُستأجر الإجارة، فهل تعود المنفعة للمشتري أم تعود المنفعة للبائع الذي كان مالكاً حين إبرام عقد الإجارة؟</w:t>
      </w:r>
    </w:p>
    <w:p w14:paraId="6207E35E"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sz w:val="32"/>
          <w:szCs w:val="32"/>
          <w:rtl/>
        </w:rPr>
        <w:t>فهنا قيل: بأنّ المسألة تبتني على حقيقة الفسخ.</w:t>
      </w:r>
    </w:p>
    <w:p w14:paraId="63AA65A3"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فإنْ قلنا:</w:t>
      </w:r>
      <w:r w:rsidRPr="00F27422">
        <w:rPr>
          <w:rFonts w:asciiTheme="minorBidi" w:hAnsiTheme="minorBidi"/>
          <w:sz w:val="32"/>
          <w:szCs w:val="32"/>
          <w:rtl/>
        </w:rPr>
        <w:t xml:space="preserve"> بأنّ الفسخ حلٌّ للعقد مِن حينه، فقد خرجت المنفعةُ عن مِلك البائع بعقدٍ تامٍ نافذٍ إلى مِلك المُستأجر، فإذا فسخ المُستأجر رجعت المنفعةُ للبائع - لا للمشتري - إذ المفروض أنّ الإجارة قد وقعت صحيحةً نافذةً ومقتضى وقوعها صحيحةً نافذة أنّ بيع العين كان بيعاً لعينٍ مسلوبة المنفعة، فلا مجال لعود المنفعة إلى مِلكه؛ لأنّه اشتراها مسلوبة المنفعة.</w:t>
      </w:r>
    </w:p>
    <w:p w14:paraId="1B0A0BEA" w14:textId="77777777" w:rsidR="00A53231" w:rsidRPr="00F27422" w:rsidRDefault="00A53231" w:rsidP="00122B70">
      <w:pPr>
        <w:bidi/>
        <w:rPr>
          <w:rFonts w:asciiTheme="minorBidi" w:hAnsiTheme="minorBidi"/>
          <w:sz w:val="32"/>
          <w:szCs w:val="32"/>
          <w:rtl/>
        </w:rPr>
      </w:pPr>
      <w:r w:rsidRPr="00F27422">
        <w:rPr>
          <w:rFonts w:asciiTheme="minorBidi" w:hAnsiTheme="minorBidi"/>
          <w:b/>
          <w:bCs/>
          <w:sz w:val="32"/>
          <w:szCs w:val="32"/>
          <w:rtl/>
        </w:rPr>
        <w:t xml:space="preserve">وأمّا إنْ قلنا: </w:t>
      </w:r>
      <w:r w:rsidRPr="00F27422">
        <w:rPr>
          <w:rFonts w:asciiTheme="minorBidi" w:hAnsiTheme="minorBidi"/>
          <w:sz w:val="32"/>
          <w:szCs w:val="32"/>
          <w:rtl/>
        </w:rPr>
        <w:t>بأنّ الفسخ حلٌّ للعقد مِن أصله وكأنّ الإجارة لم تكن، فلازم ذلك أنْ يكون المنتقل للمشتري عينٌ مع المنفعة، فإذا فسخ المُستأجر دخلت المنفعةُ في المدّة الباقية في مِلك المشتري - لا في ملك البائع -.</w:t>
      </w:r>
    </w:p>
    <w:p w14:paraId="6B77C07C"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ولكن الصحيح:</w:t>
      </w:r>
      <w:r w:rsidRPr="00F27422">
        <w:rPr>
          <w:rFonts w:asciiTheme="minorBidi" w:hAnsiTheme="minorBidi"/>
          <w:sz w:val="32"/>
          <w:szCs w:val="32"/>
          <w:rtl/>
        </w:rPr>
        <w:t xml:space="preserve"> أنّه لا ربط لهذا البحث - وهو البحث في حقيقة الفسخ - بمحل الكلام، فسواء قلنا بأنّ الفسخ حلٌّ للعقد مِن حينه أو حلٌّ للعقد مِن أصله فإنّه لا ثمرة له في المقام؛ لأنّ محور البحث هو: هل أنّ قانون تبعية المنفعة للعين في المِلكية مطلقٌ أو إنّه قانونٌ قاصر؟</w:t>
      </w:r>
    </w:p>
    <w:p w14:paraId="6C2042E4" w14:textId="77777777" w:rsidR="00A53231" w:rsidRPr="00F27422" w:rsidRDefault="00A53231" w:rsidP="00122B70">
      <w:pPr>
        <w:bidi/>
        <w:rPr>
          <w:rFonts w:asciiTheme="minorBidi" w:hAnsiTheme="minorBidi"/>
          <w:b/>
          <w:bCs/>
          <w:sz w:val="32"/>
          <w:szCs w:val="32"/>
          <w:rtl/>
          <w:lang w:bidi="ar-BH"/>
        </w:rPr>
      </w:pPr>
      <w:r w:rsidRPr="00F27422">
        <w:rPr>
          <w:rFonts w:asciiTheme="minorBidi" w:hAnsiTheme="minorBidi"/>
          <w:b/>
          <w:bCs/>
          <w:sz w:val="32"/>
          <w:szCs w:val="32"/>
          <w:rtl/>
        </w:rPr>
        <w:t>فإنْ قلنا:</w:t>
      </w:r>
      <w:r w:rsidRPr="00F27422">
        <w:rPr>
          <w:rFonts w:asciiTheme="minorBidi" w:hAnsiTheme="minorBidi"/>
          <w:sz w:val="32"/>
          <w:szCs w:val="32"/>
          <w:rtl/>
        </w:rPr>
        <w:t xml:space="preserve"> بأنّ قانون التبعية لدى المرتكز العقلائي مطلقٌ، أي أنّ المنفعة تابعةٌ لمِلك العين بالفعل، فسواء قيل: إنّ الفسخ حلٌّ للعقد مِن حينه أو حلٌّ للعقد مِن أصله فإنّ المنفعة تبع مَن يملك العين بالفعل، ومَن يملك العين بالفعل هو المشتري – لا البائع - فتدخل المنفعة في ملكه.</w:t>
      </w:r>
    </w:p>
    <w:p w14:paraId="2CB309C2" w14:textId="13F58D8A" w:rsidR="00A53231" w:rsidRPr="00F27422" w:rsidRDefault="00A53231" w:rsidP="00122B70">
      <w:pPr>
        <w:bidi/>
        <w:rPr>
          <w:rFonts w:asciiTheme="minorBidi" w:hAnsiTheme="minorBidi"/>
          <w:b/>
          <w:bCs/>
          <w:sz w:val="32"/>
          <w:szCs w:val="32"/>
          <w:rtl/>
        </w:rPr>
      </w:pPr>
      <w:r w:rsidRPr="00F27422">
        <w:rPr>
          <w:rFonts w:asciiTheme="minorBidi" w:hAnsiTheme="minorBidi"/>
          <w:b/>
          <w:bCs/>
          <w:sz w:val="32"/>
          <w:szCs w:val="32"/>
          <w:rtl/>
        </w:rPr>
        <w:t>وأمّا إذا قلنا:</w:t>
      </w:r>
      <w:r w:rsidRPr="00F27422">
        <w:rPr>
          <w:rFonts w:asciiTheme="minorBidi" w:hAnsiTheme="minorBidi"/>
          <w:sz w:val="32"/>
          <w:szCs w:val="32"/>
          <w:rtl/>
        </w:rPr>
        <w:t xml:space="preserve"> كما هو الصحيح، بأنّ قانون التبعية لولائي، أي أنّ المنفعة تابعةٌ للعين في المِلكية ما لم يتصرّف مالكُ العين باستثناء المنفعة، سواء استثناها لنفسه أو للمُستأجر أو لشخصٍ آخر، فإنّه عندما أنشأ البيع أنشأهُ بـ "شرط لا" - أي بشرط عدم المنفعة -، وحيث أنّه أنشأ البيع بـ "شرط لا" فقانونُ التبعية قاصرٌ عن الشمول للمقام؛ لأنّ المِلكية للعين انعقدت مع عدم المنفعة – أي انعقدت بـ</w:t>
      </w:r>
      <w:r w:rsidR="00112222" w:rsidRPr="00F27422">
        <w:rPr>
          <w:rFonts w:asciiTheme="minorBidi" w:hAnsiTheme="minorBidi"/>
          <w:sz w:val="32"/>
          <w:szCs w:val="32"/>
          <w:rtl/>
        </w:rPr>
        <w:t xml:space="preserve"> </w:t>
      </w:r>
      <w:r w:rsidRPr="00F27422">
        <w:rPr>
          <w:rFonts w:asciiTheme="minorBidi" w:hAnsiTheme="minorBidi"/>
          <w:sz w:val="32"/>
          <w:szCs w:val="32"/>
          <w:rtl/>
        </w:rPr>
        <w:t>"شرط لا" -، ومع دخول العين في مِلك المشتري مسلوبة المنفعة فلا تعودُ المنفعة للمشتري حتى لو تبين أنّ الإجارة فاسدة – لا مفسوخة -، بل حتى لو توهم البائع وجود إجارةٍ في البين ولم تكن فكذلك لا تعود المنفعة للمشتري؛ لأنّ البيع وقع تمليكاً للعين بـ "شرط لا" - أي بشرط عدم المنفعة -.</w:t>
      </w:r>
    </w:p>
    <w:p w14:paraId="6B8A24BA" w14:textId="29F0335C" w:rsidR="00A53231" w:rsidRPr="00F27422" w:rsidRDefault="00A53231" w:rsidP="00122B70">
      <w:pPr>
        <w:bidi/>
        <w:rPr>
          <w:rFonts w:asciiTheme="minorBidi" w:hAnsiTheme="minorBidi"/>
          <w:b/>
          <w:bCs/>
          <w:sz w:val="32"/>
          <w:szCs w:val="32"/>
          <w:rtl/>
        </w:rPr>
      </w:pPr>
      <w:r w:rsidRPr="00F27422">
        <w:rPr>
          <w:rFonts w:asciiTheme="minorBidi" w:hAnsiTheme="minorBidi"/>
          <w:sz w:val="32"/>
          <w:szCs w:val="32"/>
          <w:rtl/>
        </w:rPr>
        <w:lastRenderedPageBreak/>
        <w:t>نعم، لو أوقع التمليك بنحو "لا بشرط" لجهله بالإجارة، كما لو قام وكيله بالإجارة ولا يعلم ما قام به وكيله فأوقع البيع للمشتري على نحو الـ "لا بشرط" - لا على نحو بـ "شرط لا" -، فهنا قد يتوهم رجوع المنفعة للمشتري، ولكن الصحيح عدمه؛ حيث</w:t>
      </w:r>
      <w:r w:rsidR="00112222" w:rsidRPr="00F27422">
        <w:rPr>
          <w:rFonts w:asciiTheme="minorBidi" w:hAnsiTheme="minorBidi"/>
          <w:sz w:val="32"/>
          <w:szCs w:val="32"/>
          <w:rtl/>
        </w:rPr>
        <w:t xml:space="preserve"> </w:t>
      </w:r>
      <w:r w:rsidRPr="00F27422">
        <w:rPr>
          <w:rFonts w:asciiTheme="minorBidi" w:hAnsiTheme="minorBidi"/>
          <w:sz w:val="32"/>
          <w:szCs w:val="32"/>
          <w:rtl/>
        </w:rPr>
        <w:t>إنّ البيع لم يقع من الأول إلّا للعين؛ إذ لا صلاحية للبائع لتمليك المنفعة بعد أنْ كانت الوكالةُ وكالةً نافذة؛ فإنّ مقتضى نفوذ الوكالة أنّ ما فعله الوكيل نافذٌ فلا صلاحية للموكل في تمليك العين على نحو الـ "لا بشرط"، بل وقع البيع على نحو كون العين مسلوبة المنفعة، نعم لو قلنا بلزوم تضمن المعاوضة</w:t>
      </w:r>
      <w:r w:rsidR="00112222" w:rsidRPr="00F27422">
        <w:rPr>
          <w:rFonts w:asciiTheme="minorBidi" w:hAnsiTheme="minorBidi"/>
          <w:sz w:val="32"/>
          <w:szCs w:val="32"/>
          <w:rtl/>
        </w:rPr>
        <w:t xml:space="preserve"> </w:t>
      </w:r>
      <w:r w:rsidRPr="00F27422">
        <w:rPr>
          <w:rFonts w:asciiTheme="minorBidi" w:hAnsiTheme="minorBidi"/>
          <w:sz w:val="32"/>
          <w:szCs w:val="32"/>
          <w:rtl/>
        </w:rPr>
        <w:t>للشرط، أي اشتراط أنْ لا يملك المشتري المنفعة حتى تنقضي مدّة الإجارة كما هو ظاهر صحيح حسين بن نعيم في قوله (عليه السلام): (</w:t>
      </w:r>
      <w:r w:rsidRPr="00F27422">
        <w:rPr>
          <w:rFonts w:asciiTheme="minorBidi" w:hAnsiTheme="minorBidi"/>
          <w:b/>
          <w:bCs/>
          <w:sz w:val="32"/>
          <w:szCs w:val="32"/>
          <w:rtl/>
        </w:rPr>
        <w:t xml:space="preserve">ولكن تبيعه على أن الذي اشتراه لا يملك ما اشترى حتّى تنقضي السكنى كما شرط، وكذا الإِجارة) </w:t>
      </w:r>
      <w:r w:rsidRPr="00F27422">
        <w:rPr>
          <w:rFonts w:asciiTheme="minorBidi" w:hAnsiTheme="minorBidi"/>
          <w:sz w:val="32"/>
          <w:szCs w:val="32"/>
          <w:rtl/>
        </w:rPr>
        <w:t>فمقتضى الشرط عود المنفعة للمشتري عند فسخ الإجارة.</w:t>
      </w:r>
    </w:p>
    <w:p w14:paraId="2DAFD7D3" w14:textId="77777777" w:rsidR="00A53231" w:rsidRPr="00F27422" w:rsidRDefault="00A53231" w:rsidP="00122B70">
      <w:pPr>
        <w:bidi/>
        <w:rPr>
          <w:rFonts w:asciiTheme="minorBidi" w:hAnsiTheme="minorBidi"/>
          <w:b/>
          <w:bCs/>
          <w:sz w:val="32"/>
          <w:szCs w:val="32"/>
          <w:rtl/>
        </w:rPr>
      </w:pPr>
    </w:p>
    <w:p w14:paraId="4DF794FD" w14:textId="77777777" w:rsidR="00A53231" w:rsidRPr="00F27422" w:rsidRDefault="00A53231"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43FAA768" w14:textId="7A5B42ED" w:rsidR="00D66668" w:rsidRPr="00F27422" w:rsidRDefault="00A53231"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009</w:t>
      </w:r>
    </w:p>
    <w:p w14:paraId="1DFE0981"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35BF5B0D"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0914DC9D" w14:textId="77777777" w:rsidR="00185B01" w:rsidRPr="00F27422" w:rsidRDefault="00185B01"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0060332E" w14:textId="77777777" w:rsidR="00185B01" w:rsidRPr="00F27422" w:rsidRDefault="00185B01" w:rsidP="00122B70">
      <w:pPr>
        <w:bidi/>
        <w:rPr>
          <w:rFonts w:asciiTheme="minorBidi" w:hAnsiTheme="minorBidi"/>
          <w:sz w:val="32"/>
          <w:szCs w:val="32"/>
          <w:rtl/>
        </w:rPr>
      </w:pPr>
    </w:p>
    <w:p w14:paraId="2C0A695F" w14:textId="77777777" w:rsidR="00185B01" w:rsidRPr="00F27422" w:rsidRDefault="00185B01" w:rsidP="00122B70">
      <w:pPr>
        <w:pStyle w:val="Heading3"/>
        <w:bidi/>
        <w:rPr>
          <w:rFonts w:asciiTheme="minorBidi" w:hAnsiTheme="minorBidi" w:cstheme="minorBidi"/>
          <w:b/>
          <w:bCs/>
          <w:sz w:val="32"/>
          <w:szCs w:val="32"/>
          <w:rtl/>
        </w:rPr>
      </w:pPr>
      <w:r w:rsidRPr="00F27422">
        <w:rPr>
          <w:rFonts w:asciiTheme="minorBidi" w:hAnsiTheme="minorBidi" w:cstheme="minorBidi"/>
          <w:b/>
          <w:bCs/>
          <w:sz w:val="32"/>
          <w:szCs w:val="32"/>
          <w:rtl/>
        </w:rPr>
        <w:t>المطلب الخامس:</w:t>
      </w:r>
      <w:r w:rsidRPr="00F27422">
        <w:rPr>
          <w:rFonts w:asciiTheme="minorBidi" w:hAnsiTheme="minorBidi" w:cstheme="minorBidi"/>
          <w:sz w:val="32"/>
          <w:szCs w:val="32"/>
          <w:rtl/>
        </w:rPr>
        <w:t xml:space="preserve"> قال سيد العروة (قدس سره الشريف): </w:t>
      </w:r>
      <w:r w:rsidRPr="00F27422">
        <w:rPr>
          <w:rFonts w:asciiTheme="minorBidi" w:hAnsiTheme="minorBidi" w:cstheme="minorBidi"/>
          <w:b/>
          <w:bCs/>
          <w:sz w:val="32"/>
          <w:szCs w:val="32"/>
          <w:rtl/>
        </w:rPr>
        <w:t>(نعم، لو اعتقد البائع والمشتري بقاء مدّة الإجارة وأنّ العين مسلوبة المنفعة إلى زمان كذا وتبيّن أنّ المدّة منقضية)</w:t>
      </w:r>
    </w:p>
    <w:p w14:paraId="05980B69" w14:textId="3D84D5CA" w:rsidR="00185B01" w:rsidRPr="00F27422" w:rsidRDefault="00185B01" w:rsidP="00122B70">
      <w:pPr>
        <w:bidi/>
        <w:rPr>
          <w:rFonts w:asciiTheme="minorBidi" w:hAnsiTheme="minorBidi"/>
          <w:sz w:val="32"/>
          <w:szCs w:val="32"/>
          <w:rtl/>
          <w:lang w:bidi="ar-BH"/>
        </w:rPr>
      </w:pPr>
      <w:r w:rsidRPr="00F27422">
        <w:rPr>
          <w:rFonts w:asciiTheme="minorBidi" w:hAnsiTheme="minorBidi"/>
          <w:sz w:val="32"/>
          <w:szCs w:val="32"/>
          <w:rtl/>
        </w:rPr>
        <w:t xml:space="preserve"> بمعنى أنّ معتقدهما كان خيالاً </w:t>
      </w:r>
      <w:r w:rsidRPr="00F27422">
        <w:rPr>
          <w:rFonts w:asciiTheme="minorBidi" w:hAnsiTheme="minorBidi"/>
          <w:b/>
          <w:bCs/>
          <w:sz w:val="32"/>
          <w:szCs w:val="32"/>
          <w:rtl/>
        </w:rPr>
        <w:t>(فهل منفعة تلك المدّة للبائع حيث إنّه كأنّه شرط كونها مسلوبة المنفعة إلى زمان كذا)</w:t>
      </w:r>
      <w:r w:rsidRPr="00F27422">
        <w:rPr>
          <w:rFonts w:asciiTheme="minorBidi" w:hAnsiTheme="minorBidi"/>
          <w:sz w:val="32"/>
          <w:szCs w:val="32"/>
          <w:rtl/>
        </w:rPr>
        <w:t xml:space="preserve"> فهو في الحقيقة لم يشترط وإنّما جرى البيع على طبق معتقدهما وهو أنّ العين </w:t>
      </w:r>
      <w:proofErr w:type="gramStart"/>
      <w:r w:rsidRPr="00F27422">
        <w:rPr>
          <w:rFonts w:asciiTheme="minorBidi" w:hAnsiTheme="minorBidi"/>
          <w:sz w:val="32"/>
          <w:szCs w:val="32"/>
          <w:rtl/>
        </w:rPr>
        <w:t>مستأجرة</w:t>
      </w:r>
      <w:proofErr w:type="gramEnd"/>
      <w:r w:rsidRPr="00F27422">
        <w:rPr>
          <w:rFonts w:asciiTheme="minorBidi" w:hAnsiTheme="minorBidi"/>
          <w:sz w:val="32"/>
          <w:szCs w:val="32"/>
          <w:rtl/>
        </w:rPr>
        <w:t xml:space="preserve"> ولكنها في الواقع ليست كذلك </w:t>
      </w:r>
      <w:r w:rsidRPr="00F27422">
        <w:rPr>
          <w:rFonts w:asciiTheme="minorBidi" w:hAnsiTheme="minorBidi"/>
          <w:b/>
          <w:bCs/>
          <w:sz w:val="32"/>
          <w:szCs w:val="32"/>
          <w:rtl/>
        </w:rPr>
        <w:t>(أو للمشتري لأنّها)</w:t>
      </w:r>
      <w:r w:rsidRPr="00F27422">
        <w:rPr>
          <w:rFonts w:asciiTheme="minorBidi" w:hAnsiTheme="minorBidi"/>
          <w:sz w:val="32"/>
          <w:szCs w:val="32"/>
          <w:rtl/>
        </w:rPr>
        <w:t xml:space="preserve"> أي المنفعة </w:t>
      </w:r>
      <w:r w:rsidRPr="00F27422">
        <w:rPr>
          <w:rFonts w:asciiTheme="minorBidi" w:hAnsiTheme="minorBidi"/>
          <w:b/>
          <w:bCs/>
          <w:sz w:val="32"/>
          <w:szCs w:val="32"/>
          <w:rtl/>
        </w:rPr>
        <w:t xml:space="preserve">(تابعة للعين ما لم تفرز بالنقل إلى الغير أو بالاستثناء) </w:t>
      </w:r>
      <w:r w:rsidRPr="00F27422">
        <w:rPr>
          <w:rFonts w:asciiTheme="minorBidi" w:hAnsiTheme="minorBidi"/>
          <w:sz w:val="32"/>
          <w:szCs w:val="32"/>
          <w:rtl/>
        </w:rPr>
        <w:t xml:space="preserve">للنفس </w:t>
      </w:r>
      <w:r w:rsidRPr="00F27422">
        <w:rPr>
          <w:rFonts w:asciiTheme="minorBidi" w:hAnsiTheme="minorBidi"/>
          <w:b/>
          <w:bCs/>
          <w:sz w:val="32"/>
          <w:szCs w:val="32"/>
          <w:rtl/>
        </w:rPr>
        <w:t>(والمفروض عدمها؟)</w:t>
      </w:r>
      <w:r w:rsidRPr="00F27422">
        <w:rPr>
          <w:rFonts w:asciiTheme="minorBidi" w:hAnsiTheme="minorBidi"/>
          <w:sz w:val="32"/>
          <w:szCs w:val="32"/>
          <w:rtl/>
        </w:rPr>
        <w:t xml:space="preserve"> إذ لم يقم البائع بفرز المنفعة لا بنقلها للمستأجر ولا باستثنائها لنفسه، وبناءً على عدم تصرّف البائع في المنفعة بنقلٍ أو استثناء فقانون تبعية المنفعة للعين في المِلكية جارٍ، </w:t>
      </w:r>
      <w:r w:rsidRPr="00F27422">
        <w:rPr>
          <w:rFonts w:asciiTheme="minorBidi" w:hAnsiTheme="minorBidi"/>
          <w:b/>
          <w:bCs/>
          <w:sz w:val="32"/>
          <w:szCs w:val="32"/>
          <w:rtl/>
        </w:rPr>
        <w:t xml:space="preserve">(وجهان، والأقوى الثاني). </w:t>
      </w:r>
      <w:r w:rsidRPr="00F27422">
        <w:rPr>
          <w:rFonts w:asciiTheme="minorBidi" w:hAnsiTheme="minorBidi"/>
          <w:sz w:val="32"/>
          <w:szCs w:val="32"/>
          <w:rtl/>
        </w:rPr>
        <w:t xml:space="preserve">أي عود المنفعة للمشتري </w:t>
      </w:r>
      <w:r w:rsidRPr="00F27422">
        <w:rPr>
          <w:rFonts w:asciiTheme="minorBidi" w:hAnsiTheme="minorBidi"/>
          <w:b/>
          <w:bCs/>
          <w:sz w:val="32"/>
          <w:szCs w:val="32"/>
          <w:rtl/>
        </w:rPr>
        <w:t>(نعم، لو شرطا)</w:t>
      </w:r>
      <w:r w:rsidRPr="00F27422">
        <w:rPr>
          <w:rFonts w:asciiTheme="minorBidi" w:hAnsiTheme="minorBidi"/>
          <w:sz w:val="32"/>
          <w:szCs w:val="32"/>
          <w:rtl/>
        </w:rPr>
        <w:t xml:space="preserve"> شرطاً صريحاً، كأنْ باع على المشتري مشترطاً </w:t>
      </w:r>
      <w:r w:rsidRPr="00F27422">
        <w:rPr>
          <w:rFonts w:asciiTheme="minorBidi" w:hAnsiTheme="minorBidi"/>
          <w:b/>
          <w:bCs/>
          <w:sz w:val="32"/>
          <w:szCs w:val="32"/>
          <w:rtl/>
        </w:rPr>
        <w:lastRenderedPageBreak/>
        <w:t>(كونها مسلوبة المنفعة إلى زمان كذا بعد اعتقاد بقاء المدّة كان لما ذكر وجه).</w:t>
      </w:r>
      <w:r w:rsidRPr="00F27422">
        <w:rPr>
          <w:rFonts w:asciiTheme="minorBidi" w:hAnsiTheme="minorBidi"/>
          <w:sz w:val="32"/>
          <w:szCs w:val="32"/>
          <w:rtl/>
        </w:rPr>
        <w:t xml:space="preserve"> أي كان لعودها للبائع وجهٌ.</w:t>
      </w:r>
    </w:p>
    <w:p w14:paraId="34FA6841" w14:textId="77777777" w:rsidR="00185B01" w:rsidRPr="00F27422" w:rsidRDefault="00185B01" w:rsidP="00122B70">
      <w:pPr>
        <w:bidi/>
        <w:rPr>
          <w:rFonts w:asciiTheme="minorBidi" w:hAnsiTheme="minorBidi"/>
          <w:sz w:val="32"/>
          <w:szCs w:val="32"/>
          <w:rtl/>
          <w:lang w:bidi="ar-BH"/>
        </w:rPr>
      </w:pPr>
      <w:r w:rsidRPr="00F27422">
        <w:rPr>
          <w:rFonts w:asciiTheme="minorBidi" w:hAnsiTheme="minorBidi"/>
          <w:b/>
          <w:bCs/>
          <w:sz w:val="32"/>
          <w:szCs w:val="32"/>
          <w:rtl/>
        </w:rPr>
        <w:t>وتحرير المسألة:</w:t>
      </w:r>
      <w:r w:rsidRPr="00F27422">
        <w:rPr>
          <w:rFonts w:asciiTheme="minorBidi" w:hAnsiTheme="minorBidi"/>
          <w:sz w:val="32"/>
          <w:szCs w:val="32"/>
          <w:rtl/>
        </w:rPr>
        <w:t xml:space="preserve"> هو أنّه لا إشكال أنّ البائع لو اشترط على المشتري عدم انتقال المنفعة إلى مِلكه، فإنّ شرط البائع نافذٌ وتنتقل العين إلى المشتري مسلوبة المنفعة.</w:t>
      </w:r>
    </w:p>
    <w:p w14:paraId="057E54CD" w14:textId="77777777" w:rsidR="00185B01" w:rsidRPr="00F27422" w:rsidRDefault="00185B01" w:rsidP="00122B70">
      <w:pPr>
        <w:bidi/>
        <w:rPr>
          <w:rFonts w:asciiTheme="minorBidi" w:hAnsiTheme="minorBidi"/>
          <w:b/>
          <w:bCs/>
          <w:sz w:val="32"/>
          <w:szCs w:val="32"/>
          <w:rtl/>
          <w:lang w:bidi="ar-BH"/>
        </w:rPr>
      </w:pPr>
      <w:r w:rsidRPr="00F27422">
        <w:rPr>
          <w:rFonts w:asciiTheme="minorBidi" w:hAnsiTheme="minorBidi"/>
          <w:b/>
          <w:bCs/>
          <w:sz w:val="32"/>
          <w:szCs w:val="32"/>
          <w:rtl/>
        </w:rPr>
        <w:t>وإنّما البحث في فرضين آخرين:</w:t>
      </w:r>
    </w:p>
    <w:p w14:paraId="5A87FF32" w14:textId="77777777" w:rsidR="00185B01" w:rsidRPr="00F27422" w:rsidRDefault="00185B01" w:rsidP="00122B70">
      <w:pPr>
        <w:bidi/>
        <w:rPr>
          <w:rFonts w:asciiTheme="minorBidi" w:hAnsiTheme="minorBidi"/>
          <w:sz w:val="32"/>
          <w:szCs w:val="32"/>
          <w:rtl/>
        </w:rPr>
      </w:pPr>
      <w:r w:rsidRPr="00F27422">
        <w:rPr>
          <w:rFonts w:asciiTheme="minorBidi" w:hAnsiTheme="minorBidi"/>
          <w:b/>
          <w:bCs/>
          <w:sz w:val="32"/>
          <w:szCs w:val="32"/>
          <w:rtl/>
        </w:rPr>
        <w:t>الفرض الأول:</w:t>
      </w:r>
      <w:r w:rsidRPr="00F27422">
        <w:rPr>
          <w:rFonts w:asciiTheme="minorBidi" w:hAnsiTheme="minorBidi"/>
          <w:sz w:val="32"/>
          <w:szCs w:val="32"/>
          <w:rtl/>
        </w:rPr>
        <w:t xml:space="preserve"> أنْ يشترط البائع عدم انتقال المنفعة إلى المشتري لا لأنّه يريد </w:t>
      </w:r>
      <w:proofErr w:type="gramStart"/>
      <w:r w:rsidRPr="00F27422">
        <w:rPr>
          <w:rFonts w:asciiTheme="minorBidi" w:hAnsiTheme="minorBidi"/>
          <w:sz w:val="32"/>
          <w:szCs w:val="32"/>
          <w:rtl/>
        </w:rPr>
        <w:t>الاشتراط</w:t>
      </w:r>
      <w:proofErr w:type="gramEnd"/>
      <w:r w:rsidRPr="00F27422">
        <w:rPr>
          <w:rFonts w:asciiTheme="minorBidi" w:hAnsiTheme="minorBidi"/>
          <w:sz w:val="32"/>
          <w:szCs w:val="32"/>
          <w:rtl/>
        </w:rPr>
        <w:t xml:space="preserve"> بل لأنّه يعتقد أنّ العين مستأجرة، بحيث لولا اعتقاده لما اشترط، فاشتراطه عدم انتقال المنفعة للمشتري ناشئ عن اعتقاده بكون العين مستأجرة.</w:t>
      </w:r>
    </w:p>
    <w:p w14:paraId="2E5604A2" w14:textId="77777777" w:rsidR="00185B01" w:rsidRPr="00F27422" w:rsidRDefault="00185B01" w:rsidP="00122B70">
      <w:pPr>
        <w:bidi/>
        <w:rPr>
          <w:rFonts w:asciiTheme="minorBidi" w:hAnsiTheme="minorBidi"/>
          <w:b/>
          <w:bCs/>
          <w:sz w:val="32"/>
          <w:szCs w:val="32"/>
          <w:rtl/>
          <w:lang w:bidi="ar-BH"/>
        </w:rPr>
      </w:pPr>
      <w:r w:rsidRPr="00F27422">
        <w:rPr>
          <w:rFonts w:asciiTheme="minorBidi" w:hAnsiTheme="minorBidi"/>
          <w:sz w:val="32"/>
          <w:szCs w:val="32"/>
          <w:rtl/>
        </w:rPr>
        <w:t>فهل هنا يكون الشرط نافذاً وتنتقل العين للمشتري مسلوبة المنفعة أم لا؟</w:t>
      </w:r>
    </w:p>
    <w:p w14:paraId="34FC8661" w14:textId="77777777" w:rsidR="00185B01" w:rsidRPr="00F27422" w:rsidRDefault="00185B01" w:rsidP="00122B70">
      <w:pPr>
        <w:bidi/>
        <w:rPr>
          <w:rFonts w:asciiTheme="minorBidi" w:hAnsiTheme="minorBidi"/>
          <w:b/>
          <w:bCs/>
          <w:sz w:val="32"/>
          <w:szCs w:val="32"/>
          <w:rtl/>
          <w:lang w:bidi="ar-BH"/>
        </w:rPr>
      </w:pPr>
      <w:r w:rsidRPr="00F27422">
        <w:rPr>
          <w:rFonts w:asciiTheme="minorBidi" w:hAnsiTheme="minorBidi"/>
          <w:b/>
          <w:bCs/>
          <w:sz w:val="32"/>
          <w:szCs w:val="32"/>
          <w:rtl/>
        </w:rPr>
        <w:t>الفرض الثاني:</w:t>
      </w:r>
      <w:r w:rsidRPr="00F27422">
        <w:rPr>
          <w:rFonts w:asciiTheme="minorBidi" w:hAnsiTheme="minorBidi"/>
          <w:sz w:val="32"/>
          <w:szCs w:val="32"/>
          <w:rtl/>
        </w:rPr>
        <w:t xml:space="preserve"> أنْ لا يكون هناك اشتراطٌ أصلاً؛ وإنّما اعتقد البائع والمشتري أنّ العين مستأجرة لفلان، وأجريا البيع على طبق اعتقادهما من دون أنْ يكون هناك شرطٌ في العقد، ثمّ انكشف أنّ العين ليست مستأجرة أو أنّ الإجارة قد انقضت.</w:t>
      </w:r>
    </w:p>
    <w:p w14:paraId="56BC14AC" w14:textId="77777777" w:rsidR="00185B01" w:rsidRPr="00F27422" w:rsidRDefault="00185B01" w:rsidP="00122B70">
      <w:pPr>
        <w:bidi/>
        <w:rPr>
          <w:rFonts w:asciiTheme="minorBidi" w:hAnsiTheme="minorBidi"/>
          <w:b/>
          <w:bCs/>
          <w:sz w:val="32"/>
          <w:szCs w:val="32"/>
          <w:rtl/>
          <w:lang w:bidi="ar-BH"/>
        </w:rPr>
      </w:pPr>
      <w:r w:rsidRPr="00F27422">
        <w:rPr>
          <w:rFonts w:asciiTheme="minorBidi" w:hAnsiTheme="minorBidi"/>
          <w:sz w:val="32"/>
          <w:szCs w:val="32"/>
          <w:rtl/>
        </w:rPr>
        <w:t>فهنا – في الفرض الثاني - هل تعود المنفعة للبائع أم تدخل في مِلك المشتري؟</w:t>
      </w:r>
    </w:p>
    <w:p w14:paraId="0871F7BC" w14:textId="77777777" w:rsidR="00185B01" w:rsidRPr="00F27422" w:rsidRDefault="00185B01" w:rsidP="00122B70">
      <w:pPr>
        <w:bidi/>
        <w:rPr>
          <w:rFonts w:asciiTheme="minorBidi" w:hAnsiTheme="minorBidi"/>
          <w:sz w:val="32"/>
          <w:szCs w:val="32"/>
          <w:rtl/>
        </w:rPr>
      </w:pPr>
      <w:r w:rsidRPr="00F27422">
        <w:rPr>
          <w:rFonts w:asciiTheme="minorBidi" w:hAnsiTheme="minorBidi"/>
          <w:b/>
          <w:bCs/>
          <w:sz w:val="32"/>
          <w:szCs w:val="32"/>
          <w:rtl/>
        </w:rPr>
        <w:t>وتحقيق المطلب في الفرضين أنّ في المقام ثلاثة أقوال:</w:t>
      </w:r>
    </w:p>
    <w:p w14:paraId="17399455" w14:textId="77777777" w:rsidR="00185B01" w:rsidRPr="00F27422" w:rsidRDefault="00185B01" w:rsidP="00122B70">
      <w:pPr>
        <w:bidi/>
        <w:rPr>
          <w:rFonts w:asciiTheme="minorBidi" w:hAnsiTheme="minorBidi"/>
          <w:sz w:val="32"/>
          <w:szCs w:val="32"/>
          <w:rtl/>
        </w:rPr>
      </w:pPr>
      <w:r w:rsidRPr="00F27422">
        <w:rPr>
          <w:rFonts w:asciiTheme="minorBidi" w:hAnsiTheme="minorBidi"/>
          <w:b/>
          <w:bCs/>
          <w:sz w:val="32"/>
          <w:szCs w:val="32"/>
          <w:rtl/>
        </w:rPr>
        <w:t>الأول:</w:t>
      </w:r>
      <w:r w:rsidRPr="00F27422">
        <w:rPr>
          <w:rFonts w:asciiTheme="minorBidi" w:hAnsiTheme="minorBidi"/>
          <w:sz w:val="32"/>
          <w:szCs w:val="32"/>
          <w:rtl/>
        </w:rPr>
        <w:t xml:space="preserve"> القول بالتفصيل بين الفرضين وهو ما في متن العروة الوثقى.</w:t>
      </w:r>
    </w:p>
    <w:p w14:paraId="16FC3ABA" w14:textId="77777777" w:rsidR="00185B01" w:rsidRPr="00F27422" w:rsidRDefault="00185B01" w:rsidP="00122B70">
      <w:pPr>
        <w:bidi/>
        <w:rPr>
          <w:rFonts w:asciiTheme="minorBidi" w:hAnsiTheme="minorBidi"/>
          <w:sz w:val="32"/>
          <w:szCs w:val="32"/>
          <w:rtl/>
        </w:rPr>
      </w:pPr>
      <w:r w:rsidRPr="00F27422">
        <w:rPr>
          <w:rFonts w:asciiTheme="minorBidi" w:hAnsiTheme="minorBidi"/>
          <w:b/>
          <w:bCs/>
          <w:sz w:val="32"/>
          <w:szCs w:val="32"/>
          <w:rtl/>
        </w:rPr>
        <w:t>الثاني:</w:t>
      </w:r>
      <w:r w:rsidRPr="00F27422">
        <w:rPr>
          <w:rFonts w:asciiTheme="minorBidi" w:hAnsiTheme="minorBidi"/>
          <w:sz w:val="32"/>
          <w:szCs w:val="32"/>
          <w:rtl/>
        </w:rPr>
        <w:t xml:space="preserve"> القول بكون المنفعة للمشتري في كلا الفرضين وهو ما في المستمسك.</w:t>
      </w:r>
    </w:p>
    <w:p w14:paraId="6565ADBC" w14:textId="77777777" w:rsidR="00185B01" w:rsidRPr="00F27422" w:rsidRDefault="00185B01" w:rsidP="00122B70">
      <w:pPr>
        <w:bidi/>
        <w:rPr>
          <w:rFonts w:asciiTheme="minorBidi" w:hAnsiTheme="minorBidi"/>
          <w:sz w:val="32"/>
          <w:szCs w:val="32"/>
          <w:rtl/>
        </w:rPr>
      </w:pPr>
      <w:r w:rsidRPr="00F27422">
        <w:rPr>
          <w:rFonts w:asciiTheme="minorBidi" w:hAnsiTheme="minorBidi"/>
          <w:b/>
          <w:bCs/>
          <w:sz w:val="32"/>
          <w:szCs w:val="32"/>
          <w:rtl/>
        </w:rPr>
        <w:t>الثالث:</w:t>
      </w:r>
      <w:r w:rsidRPr="00F27422">
        <w:rPr>
          <w:rFonts w:asciiTheme="minorBidi" w:hAnsiTheme="minorBidi"/>
          <w:sz w:val="32"/>
          <w:szCs w:val="32"/>
          <w:rtl/>
        </w:rPr>
        <w:t xml:space="preserve"> بكون المنفعة للبائع في كلا الفرضين وهو مبنى سيدنا الخوئي (قدس سره الشريف).</w:t>
      </w:r>
    </w:p>
    <w:p w14:paraId="08C70008"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وتفصيل ذلك:</w:t>
      </w:r>
    </w:p>
    <w:p w14:paraId="5558FA9D" w14:textId="77777777" w:rsidR="00185B01" w:rsidRPr="00F27422" w:rsidRDefault="00185B01" w:rsidP="00122B70">
      <w:pPr>
        <w:bidi/>
        <w:rPr>
          <w:rFonts w:asciiTheme="minorBidi" w:hAnsiTheme="minorBidi"/>
          <w:sz w:val="32"/>
          <w:szCs w:val="32"/>
          <w:rtl/>
        </w:rPr>
      </w:pPr>
      <w:r w:rsidRPr="00F27422">
        <w:rPr>
          <w:rFonts w:asciiTheme="minorBidi" w:hAnsiTheme="minorBidi"/>
          <w:b/>
          <w:bCs/>
          <w:sz w:val="32"/>
          <w:szCs w:val="32"/>
          <w:rtl/>
        </w:rPr>
        <w:t>الفرض الأول:</w:t>
      </w:r>
      <w:r w:rsidRPr="00F27422">
        <w:rPr>
          <w:rFonts w:asciiTheme="minorBidi" w:hAnsiTheme="minorBidi"/>
          <w:sz w:val="32"/>
          <w:szCs w:val="32"/>
          <w:rtl/>
        </w:rPr>
        <w:t xml:space="preserve"> إذا اشترط البائع أنْ لا تكون المنفعةُ للمشتري استنادا لاعتقاده بأنّ العين مستأجرة ولم يكن ذلك واقعاً.</w:t>
      </w:r>
    </w:p>
    <w:p w14:paraId="51932C5B" w14:textId="77777777" w:rsidR="00185B01" w:rsidRPr="00F27422" w:rsidRDefault="00185B01" w:rsidP="00122B70">
      <w:pPr>
        <w:bidi/>
        <w:rPr>
          <w:rFonts w:asciiTheme="minorBidi" w:hAnsiTheme="minorBidi"/>
          <w:sz w:val="32"/>
          <w:szCs w:val="32"/>
          <w:rtl/>
        </w:rPr>
      </w:pPr>
      <w:r w:rsidRPr="00F27422">
        <w:rPr>
          <w:rFonts w:asciiTheme="minorBidi" w:hAnsiTheme="minorBidi"/>
          <w:sz w:val="32"/>
          <w:szCs w:val="32"/>
          <w:rtl/>
        </w:rPr>
        <w:t xml:space="preserve">وقد ذكر سيد العروة (قدس سره الشريف) بأنّ المنفعة في هذه المدّة تكون للبائع، إذ أنّ البائع قد اشترط أنْ لا تنتقل المنفعةُ للمشتري وإنْ كان الشرطُ ناشئاً عن اعتقاده بأنّ العين مستأجرة، إلّا أنّ تخلف المعتقد وتبين عدم صحته من قبيل تخلف الداعي، وتخلف الداعي الشخصي غير ضائرٍ بنفوذ المنشأ العقدي، كما لو اشترى شخصٌ اللحمَ بداعي إكرام الضيوف لكن الضيوف لم يأتوا، فإنّ تخلف الداعي لا يضر بنفوذ المعاملة، وهنا أيضاً قد اشترط البائع على المشتري </w:t>
      </w:r>
      <w:r w:rsidRPr="00F27422">
        <w:rPr>
          <w:rFonts w:asciiTheme="minorBidi" w:hAnsiTheme="minorBidi"/>
          <w:sz w:val="32"/>
          <w:szCs w:val="32"/>
          <w:rtl/>
        </w:rPr>
        <w:lastRenderedPageBreak/>
        <w:t>أنْ لا تنتقل المنفعة إليه باعتقاده أنّ العين مستأجرة ثمّ تخلف المعتقد وتخلف المعتقد لا يعني تخلف الشرط؛ بل الشرط أوجب التقييد في مِلكية العين بعدم المنفعة.</w:t>
      </w:r>
    </w:p>
    <w:p w14:paraId="1619784D" w14:textId="77777777" w:rsidR="00185B01" w:rsidRPr="00F27422" w:rsidRDefault="00185B01" w:rsidP="00122B70">
      <w:pPr>
        <w:bidi/>
        <w:rPr>
          <w:rFonts w:asciiTheme="minorBidi" w:hAnsiTheme="minorBidi"/>
          <w:sz w:val="32"/>
          <w:szCs w:val="32"/>
          <w:rtl/>
        </w:rPr>
      </w:pPr>
      <w:r w:rsidRPr="00F27422">
        <w:rPr>
          <w:rFonts w:asciiTheme="minorBidi" w:hAnsiTheme="minorBidi"/>
          <w:b/>
          <w:bCs/>
          <w:sz w:val="32"/>
          <w:szCs w:val="32"/>
          <w:rtl/>
        </w:rPr>
        <w:t>الفرض الثاني:</w:t>
      </w:r>
      <w:r w:rsidRPr="00F27422">
        <w:rPr>
          <w:rFonts w:asciiTheme="minorBidi" w:hAnsiTheme="minorBidi"/>
          <w:sz w:val="32"/>
          <w:szCs w:val="32"/>
          <w:rtl/>
        </w:rPr>
        <w:t xml:space="preserve"> وهو ما إذا لم يكن بينهما أيّ اشتراط؛ وإنّما كلّ منهما يعتقد أنّ العين مستأجرة، فقال البائع: "بعتُك هذه العين بكذا" وقال المشتري: "قبلتُ البيع"، ثمّ انكشف عدم الإجارة.</w:t>
      </w:r>
    </w:p>
    <w:p w14:paraId="6A28E242" w14:textId="77777777" w:rsidR="00185B01" w:rsidRPr="00F27422" w:rsidRDefault="00185B01" w:rsidP="00122B70">
      <w:pPr>
        <w:bidi/>
        <w:rPr>
          <w:rFonts w:asciiTheme="minorBidi" w:hAnsiTheme="minorBidi"/>
          <w:sz w:val="32"/>
          <w:szCs w:val="32"/>
          <w:rtl/>
        </w:rPr>
      </w:pPr>
      <w:r w:rsidRPr="00F27422">
        <w:rPr>
          <w:rFonts w:asciiTheme="minorBidi" w:hAnsiTheme="minorBidi"/>
          <w:sz w:val="32"/>
          <w:szCs w:val="32"/>
          <w:rtl/>
        </w:rPr>
        <w:t>فهنا بنى سيد العروة (قدس سره الشريف) على كون المنفعة للمشتري بمقتضى قانون تبعية العين للمنفعة؛ إذ لا مخرج عن هذا القانون إلّا بشرطٍ، وهو أنْ يشترط المنفعة لأحدٍ أو لنفسه وكلاهما لم يحصل، فحيث لم يحصل واقعاً إخراجٌ للمنفعة - لا باستثنائها لنفسه ولا بنقلها لغيره - فالبيعُ الحاصل ضمن القانون العقلائي وهو تبعية المنفعة للعين في الِملكية، ومقتضى ذلك أنْ تكون المنفعة مِلكاً للمشتري.</w:t>
      </w:r>
    </w:p>
    <w:p w14:paraId="3D7CF856" w14:textId="77777777" w:rsidR="00185B01" w:rsidRPr="00F27422" w:rsidRDefault="00185B01" w:rsidP="00122B70">
      <w:pPr>
        <w:bidi/>
        <w:rPr>
          <w:rFonts w:asciiTheme="minorBidi" w:hAnsiTheme="minorBidi"/>
          <w:sz w:val="32"/>
          <w:szCs w:val="32"/>
          <w:rtl/>
        </w:rPr>
      </w:pPr>
      <w:r w:rsidRPr="00F27422">
        <w:rPr>
          <w:rFonts w:asciiTheme="minorBidi" w:hAnsiTheme="minorBidi"/>
          <w:b/>
          <w:bCs/>
          <w:sz w:val="32"/>
          <w:szCs w:val="32"/>
          <w:rtl/>
        </w:rPr>
        <w:t>والخلاصة:</w:t>
      </w:r>
      <w:r w:rsidRPr="00F27422">
        <w:rPr>
          <w:rFonts w:asciiTheme="minorBidi" w:hAnsiTheme="minorBidi"/>
          <w:sz w:val="32"/>
          <w:szCs w:val="32"/>
          <w:rtl/>
        </w:rPr>
        <w:t xml:space="preserve"> أنّ سيد العروة (قدس سره الشريف) قد فصل بين الفرضين، ففي فرض الاشتراط تكون المنفعة للبائع؛ لأنّ الاشتراط موجودٌ وإنْ تخلف المعتقد، وفي فرض عدم الاشتراط تكون المنفعة للمشتري بمقتضى قانون التبعية. وفي مقابل التفصيل القول بعدمه على رأيين.</w:t>
      </w:r>
    </w:p>
    <w:p w14:paraId="7E4FC677" w14:textId="77777777" w:rsidR="00185B01" w:rsidRPr="00F27422" w:rsidRDefault="00185B01" w:rsidP="00122B70">
      <w:pPr>
        <w:bidi/>
        <w:rPr>
          <w:rFonts w:asciiTheme="minorBidi" w:hAnsiTheme="minorBidi"/>
          <w:sz w:val="32"/>
          <w:szCs w:val="32"/>
          <w:rtl/>
        </w:rPr>
      </w:pPr>
      <w:r w:rsidRPr="00F27422">
        <w:rPr>
          <w:rFonts w:asciiTheme="minorBidi" w:hAnsiTheme="minorBidi"/>
          <w:b/>
          <w:bCs/>
          <w:sz w:val="32"/>
          <w:szCs w:val="32"/>
          <w:rtl/>
        </w:rPr>
        <w:t>القول الثاني:</w:t>
      </w:r>
      <w:r w:rsidRPr="00F27422">
        <w:rPr>
          <w:rFonts w:asciiTheme="minorBidi" w:hAnsiTheme="minorBidi"/>
          <w:sz w:val="32"/>
          <w:szCs w:val="32"/>
          <w:rtl/>
        </w:rPr>
        <w:t xml:space="preserve"> ما ذهب إليه جملةٌ من المعلقين على العروة الوثقى، ومنهم الفقيه النبيه سيد المستمسك (قدس سره الشريف) حيث ذهب إلى أنّ المنفعة </w:t>
      </w:r>
      <w:proofErr w:type="gramStart"/>
      <w:r w:rsidRPr="00F27422">
        <w:rPr>
          <w:rFonts w:asciiTheme="minorBidi" w:hAnsiTheme="minorBidi"/>
          <w:sz w:val="32"/>
          <w:szCs w:val="32"/>
          <w:rtl/>
        </w:rPr>
        <w:t>للمشتري</w:t>
      </w:r>
      <w:proofErr w:type="gramEnd"/>
      <w:r w:rsidRPr="00F27422">
        <w:rPr>
          <w:rFonts w:asciiTheme="minorBidi" w:hAnsiTheme="minorBidi"/>
          <w:sz w:val="32"/>
          <w:szCs w:val="32"/>
          <w:rtl/>
        </w:rPr>
        <w:t xml:space="preserve"> حتى لو اشترط البائع أنْ لا تنتقل المنفعة للمشتري.</w:t>
      </w:r>
    </w:p>
    <w:p w14:paraId="557DD185" w14:textId="77777777" w:rsidR="00185B01" w:rsidRPr="00F27422" w:rsidRDefault="00185B01" w:rsidP="00122B70">
      <w:pPr>
        <w:bidi/>
        <w:rPr>
          <w:rFonts w:asciiTheme="minorBidi" w:hAnsiTheme="minorBidi"/>
          <w:sz w:val="32"/>
          <w:szCs w:val="32"/>
          <w:rtl/>
        </w:rPr>
      </w:pPr>
      <w:r w:rsidRPr="00F27422">
        <w:rPr>
          <w:rFonts w:asciiTheme="minorBidi" w:hAnsiTheme="minorBidi"/>
          <w:b/>
          <w:bCs/>
          <w:sz w:val="32"/>
          <w:szCs w:val="32"/>
          <w:rtl/>
        </w:rPr>
        <w:t>وهنا تعليقتان:</w:t>
      </w:r>
    </w:p>
    <w:p w14:paraId="56DBB2C2"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الأولى:</w:t>
      </w:r>
      <w:r w:rsidRPr="00F27422">
        <w:rPr>
          <w:rFonts w:asciiTheme="minorBidi" w:hAnsiTheme="minorBidi"/>
          <w:sz w:val="32"/>
          <w:szCs w:val="32"/>
          <w:rtl/>
        </w:rPr>
        <w:t xml:space="preserve"> </w:t>
      </w:r>
      <w:r w:rsidRPr="00F27422">
        <w:rPr>
          <w:rFonts w:asciiTheme="minorBidi" w:hAnsiTheme="minorBidi"/>
          <w:b/>
          <w:bCs/>
          <w:sz w:val="32"/>
          <w:szCs w:val="32"/>
          <w:rtl/>
        </w:rPr>
        <w:t>تعليقة المحقق النائيني (قدس سره الشريف):</w:t>
      </w:r>
    </w:p>
    <w:p w14:paraId="45659557" w14:textId="77777777" w:rsidR="00185B01" w:rsidRPr="00F27422" w:rsidRDefault="00185B01" w:rsidP="00122B70">
      <w:pPr>
        <w:bidi/>
        <w:rPr>
          <w:rFonts w:asciiTheme="minorBidi" w:hAnsiTheme="minorBidi"/>
          <w:b/>
          <w:bCs/>
          <w:sz w:val="32"/>
          <w:szCs w:val="32"/>
          <w:rtl/>
        </w:rPr>
      </w:pPr>
      <w:r w:rsidRPr="00F27422">
        <w:rPr>
          <w:rFonts w:asciiTheme="minorBidi" w:hAnsiTheme="minorBidi"/>
          <w:sz w:val="32"/>
          <w:szCs w:val="32"/>
          <w:rtl/>
        </w:rPr>
        <w:t xml:space="preserve">على قول سيد العروة (قدس سره الشريف): </w:t>
      </w:r>
      <w:r w:rsidRPr="00F27422">
        <w:rPr>
          <w:rFonts w:asciiTheme="minorBidi" w:hAnsiTheme="minorBidi"/>
          <w:b/>
          <w:bCs/>
          <w:sz w:val="32"/>
          <w:szCs w:val="32"/>
          <w:rtl/>
        </w:rPr>
        <w:t>(نعم، لو شرطا كونها)</w:t>
      </w:r>
      <w:r w:rsidRPr="00F27422">
        <w:rPr>
          <w:rFonts w:asciiTheme="minorBidi" w:hAnsiTheme="minorBidi"/>
          <w:sz w:val="32"/>
          <w:szCs w:val="32"/>
          <w:rtl/>
        </w:rPr>
        <w:t xml:space="preserve"> أي العين </w:t>
      </w:r>
      <w:r w:rsidRPr="00F27422">
        <w:rPr>
          <w:rFonts w:asciiTheme="minorBidi" w:hAnsiTheme="minorBidi"/>
          <w:b/>
          <w:bCs/>
          <w:sz w:val="32"/>
          <w:szCs w:val="32"/>
          <w:rtl/>
        </w:rPr>
        <w:t>(مسلوبة المنفعة إلى زمان كذا بعد اعتقاد بقاء المدة كان لما ذكر)</w:t>
      </w:r>
      <w:r w:rsidRPr="00F27422">
        <w:rPr>
          <w:rFonts w:asciiTheme="minorBidi" w:hAnsiTheme="minorBidi"/>
          <w:sz w:val="32"/>
          <w:szCs w:val="32"/>
          <w:rtl/>
        </w:rPr>
        <w:t xml:space="preserve"> من رجوع المنفعة للبائع </w:t>
      </w:r>
      <w:r w:rsidRPr="00F27422">
        <w:rPr>
          <w:rFonts w:asciiTheme="minorBidi" w:hAnsiTheme="minorBidi"/>
          <w:b/>
          <w:bCs/>
          <w:sz w:val="32"/>
          <w:szCs w:val="32"/>
          <w:rtl/>
        </w:rPr>
        <w:t>(وجه).</w:t>
      </w:r>
    </w:p>
    <w:p w14:paraId="651F14C7" w14:textId="77777777" w:rsidR="00185B01" w:rsidRPr="00F27422" w:rsidRDefault="00185B01" w:rsidP="00122B70">
      <w:pPr>
        <w:bidi/>
        <w:rPr>
          <w:rFonts w:asciiTheme="minorBidi" w:hAnsiTheme="minorBidi"/>
          <w:b/>
          <w:bCs/>
          <w:sz w:val="32"/>
          <w:szCs w:val="32"/>
          <w:rtl/>
        </w:rPr>
      </w:pPr>
      <w:r w:rsidRPr="00F27422">
        <w:rPr>
          <w:rFonts w:asciiTheme="minorBidi" w:hAnsiTheme="minorBidi"/>
          <w:sz w:val="32"/>
          <w:szCs w:val="32"/>
          <w:rtl/>
        </w:rPr>
        <w:t xml:space="preserve">حيث قال المحقق النائيني (قدس سره): </w:t>
      </w:r>
      <w:r w:rsidRPr="00F27422">
        <w:rPr>
          <w:rFonts w:asciiTheme="minorBidi" w:hAnsiTheme="minorBidi"/>
          <w:b/>
          <w:bCs/>
          <w:sz w:val="32"/>
          <w:szCs w:val="32"/>
          <w:rtl/>
        </w:rPr>
        <w:t>(</w:t>
      </w:r>
      <w:proofErr w:type="spellStart"/>
      <w:r w:rsidRPr="00F27422">
        <w:rPr>
          <w:rFonts w:asciiTheme="minorBidi" w:hAnsiTheme="minorBidi"/>
          <w:b/>
          <w:bCs/>
          <w:sz w:val="32"/>
          <w:szCs w:val="32"/>
          <w:rtl/>
        </w:rPr>
        <w:t>لکنّه</w:t>
      </w:r>
      <w:proofErr w:type="spellEnd"/>
      <w:r w:rsidRPr="00F27422">
        <w:rPr>
          <w:rFonts w:asciiTheme="minorBidi" w:hAnsiTheme="minorBidi"/>
          <w:b/>
          <w:bCs/>
          <w:sz w:val="32"/>
          <w:szCs w:val="32"/>
          <w:rtl/>
        </w:rPr>
        <w:t xml:space="preserve"> غیر موجّه؛ إذ الشرط </w:t>
      </w:r>
      <w:proofErr w:type="spellStart"/>
      <w:r w:rsidRPr="00F27422">
        <w:rPr>
          <w:rFonts w:asciiTheme="minorBidi" w:hAnsiTheme="minorBidi"/>
          <w:b/>
          <w:bCs/>
          <w:sz w:val="32"/>
          <w:szCs w:val="32"/>
          <w:rtl/>
        </w:rPr>
        <w:t>فی</w:t>
      </w:r>
      <w:proofErr w:type="spellEnd"/>
      <w:r w:rsidRPr="00F27422">
        <w:rPr>
          <w:rFonts w:asciiTheme="minorBidi" w:hAnsiTheme="minorBidi"/>
          <w:b/>
          <w:bCs/>
          <w:sz w:val="32"/>
          <w:szCs w:val="32"/>
          <w:rtl/>
        </w:rPr>
        <w:t xml:space="preserve"> المقام بمنزلة </w:t>
      </w:r>
      <w:proofErr w:type="spellStart"/>
      <w:r w:rsidRPr="00F27422">
        <w:rPr>
          <w:rFonts w:asciiTheme="minorBidi" w:hAnsiTheme="minorBidi"/>
          <w:b/>
          <w:bCs/>
          <w:sz w:val="32"/>
          <w:szCs w:val="32"/>
          <w:rtl/>
        </w:rPr>
        <w:t>التوصیف</w:t>
      </w:r>
      <w:proofErr w:type="spellEnd"/>
      <w:r w:rsidRPr="00F27422">
        <w:rPr>
          <w:rFonts w:asciiTheme="minorBidi" w:hAnsiTheme="minorBidi"/>
          <w:b/>
          <w:bCs/>
          <w:sz w:val="32"/>
          <w:szCs w:val="32"/>
          <w:rtl/>
        </w:rPr>
        <w:t>، لا الاستثناء، فلا أثر له).</w:t>
      </w:r>
      <w:r w:rsidRPr="00F27422">
        <w:rPr>
          <w:rFonts w:asciiTheme="minorBidi" w:hAnsiTheme="minorBidi"/>
          <w:sz w:val="32"/>
          <w:szCs w:val="32"/>
          <w:rtl/>
        </w:rPr>
        <w:t xml:space="preserve"> [العروة الوثقى والتعليقات عليها، إعداد وتحقيق مؤسسة السبطين (عليهما السلام) العالمية، كتاب الإجارة، ج13، ص409].</w:t>
      </w:r>
    </w:p>
    <w:p w14:paraId="746CFEE4"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ومحصل تعليقته (قدس سره الشريف):</w:t>
      </w:r>
      <w:r w:rsidRPr="00F27422">
        <w:rPr>
          <w:rFonts w:asciiTheme="minorBidi" w:hAnsiTheme="minorBidi"/>
          <w:sz w:val="32"/>
          <w:szCs w:val="32"/>
          <w:rtl/>
        </w:rPr>
        <w:t xml:space="preserve"> أنّ الشرط نوعان: شرطٌ بمنزلة التوصيف، وشرطٌ بمنزلة الاستثناء.</w:t>
      </w:r>
    </w:p>
    <w:p w14:paraId="147B608D" w14:textId="77777777" w:rsidR="00185B01" w:rsidRPr="00F27422" w:rsidRDefault="00185B01" w:rsidP="00122B70">
      <w:pPr>
        <w:bidi/>
        <w:rPr>
          <w:rFonts w:asciiTheme="minorBidi" w:hAnsiTheme="minorBidi"/>
          <w:b/>
          <w:bCs/>
          <w:sz w:val="32"/>
          <w:szCs w:val="32"/>
          <w:rtl/>
        </w:rPr>
      </w:pPr>
      <w:r w:rsidRPr="00F27422">
        <w:rPr>
          <w:rFonts w:asciiTheme="minorBidi" w:hAnsiTheme="minorBidi"/>
          <w:sz w:val="32"/>
          <w:szCs w:val="32"/>
          <w:rtl/>
        </w:rPr>
        <w:lastRenderedPageBreak/>
        <w:t xml:space="preserve">فتارةً يكون الاشتراط بمنزلة التوصيف، كما لو قال البائع: "بعتُكَ هذا الكتاب الذي هو أمامي" ومن الواضح أنّ هذا مجرد توصيف لا أثر له في البيع، فالكتاب سينتقل إلى مِلك المشتري بغض النظر عن مكان الكتاب، </w:t>
      </w:r>
      <w:proofErr w:type="gramStart"/>
      <w:r w:rsidRPr="00F27422">
        <w:rPr>
          <w:rFonts w:asciiTheme="minorBidi" w:hAnsiTheme="minorBidi"/>
          <w:sz w:val="32"/>
          <w:szCs w:val="32"/>
          <w:rtl/>
        </w:rPr>
        <w:t>ولذا</w:t>
      </w:r>
      <w:proofErr w:type="gramEnd"/>
      <w:r w:rsidRPr="00F27422">
        <w:rPr>
          <w:rFonts w:asciiTheme="minorBidi" w:hAnsiTheme="minorBidi"/>
          <w:sz w:val="32"/>
          <w:szCs w:val="32"/>
          <w:rtl/>
        </w:rPr>
        <w:t xml:space="preserve"> حتى لو عبر بصيغة الاشتراط فقال: "أبيعُكَ هذا الكتاب على شرط أنّه أمامي" فإنّ المرتكز العقلائي يرى أنّ هذا مجردُ توصيف، والتوصيف ليس قيداً في المُنشأ كي لا يتم المنشأ إلّا به في عالم الفعلية.</w:t>
      </w:r>
    </w:p>
    <w:p w14:paraId="5C33AE1A" w14:textId="77777777" w:rsidR="00185B01" w:rsidRPr="00F27422" w:rsidRDefault="00185B01" w:rsidP="00122B70">
      <w:pPr>
        <w:bidi/>
        <w:rPr>
          <w:rFonts w:asciiTheme="minorBidi" w:hAnsiTheme="minorBidi"/>
          <w:sz w:val="32"/>
          <w:szCs w:val="32"/>
          <w:rtl/>
        </w:rPr>
      </w:pPr>
      <w:r w:rsidRPr="00F27422">
        <w:rPr>
          <w:rFonts w:asciiTheme="minorBidi" w:hAnsiTheme="minorBidi"/>
          <w:sz w:val="32"/>
          <w:szCs w:val="32"/>
          <w:rtl/>
        </w:rPr>
        <w:t>وتارةً أُخرى يكون الاشتراط بمنزلة الاستثناء، كما لو قال البائع: "بعتُكَ كتاب المكاسب بشرط كونه من طبعة المؤسسة الكذائية" حيث إنّ الطبعة الأُخرى ليست بميزة هذه الطبعة، فإنّ الشرط هنا بمنزلة الاستثناء الموجب لتقيد المنشأ.</w:t>
      </w:r>
    </w:p>
    <w:p w14:paraId="45AB1414" w14:textId="77777777" w:rsidR="00185B01" w:rsidRPr="00F27422" w:rsidRDefault="00185B01" w:rsidP="00122B70">
      <w:pPr>
        <w:bidi/>
        <w:rPr>
          <w:rFonts w:asciiTheme="minorBidi" w:hAnsiTheme="minorBidi"/>
          <w:b/>
          <w:bCs/>
          <w:sz w:val="32"/>
          <w:szCs w:val="32"/>
          <w:rtl/>
        </w:rPr>
      </w:pPr>
      <w:r w:rsidRPr="00F27422">
        <w:rPr>
          <w:rFonts w:asciiTheme="minorBidi" w:hAnsiTheme="minorBidi"/>
          <w:sz w:val="32"/>
          <w:szCs w:val="32"/>
          <w:rtl/>
        </w:rPr>
        <w:t>والمقام من هذا القبيل، فإنّ البائع إذا قال للمشتري: "بعتُكّ هذه العين التي استأجرها مني فلان بكذا" فإنّ قوله "التي استأجرها فلان" مجرد توصيف وليس استثناء، فإذا تبيّن أنّها ليست مستأجرة أثر قانون التبعية أثره فتكون المنفعة حينئذٍ للمشتري.</w:t>
      </w:r>
    </w:p>
    <w:p w14:paraId="4F2E2E0A" w14:textId="77777777" w:rsidR="00185B01" w:rsidRPr="00F27422" w:rsidRDefault="00185B01" w:rsidP="00122B70">
      <w:pPr>
        <w:bidi/>
        <w:rPr>
          <w:rFonts w:asciiTheme="minorBidi" w:hAnsiTheme="minorBidi"/>
          <w:b/>
          <w:bCs/>
          <w:sz w:val="32"/>
          <w:szCs w:val="32"/>
          <w:rtl/>
        </w:rPr>
      </w:pPr>
      <w:r w:rsidRPr="00F27422">
        <w:rPr>
          <w:rFonts w:asciiTheme="minorBidi" w:hAnsiTheme="minorBidi"/>
          <w:sz w:val="32"/>
          <w:szCs w:val="32"/>
          <w:rtl/>
        </w:rPr>
        <w:t xml:space="preserve">وقد أفاض سيدنا الخوئي (قدس سره الشريف) في توضيح كلام شيخه المحقق النائيني (قدس سره الشريف) كما في موسوعته المباركة [كتاب الإجارة، ج30، ص118] </w:t>
      </w:r>
      <w:proofErr w:type="gramStart"/>
      <w:r w:rsidRPr="00F27422">
        <w:rPr>
          <w:rFonts w:asciiTheme="minorBidi" w:hAnsiTheme="minorBidi"/>
          <w:sz w:val="32"/>
          <w:szCs w:val="32"/>
          <w:rtl/>
        </w:rPr>
        <w:t>بقوله :</w:t>
      </w:r>
      <w:proofErr w:type="gramEnd"/>
      <w:r w:rsidRPr="00F27422">
        <w:rPr>
          <w:rFonts w:asciiTheme="minorBidi" w:hAnsiTheme="minorBidi"/>
          <w:sz w:val="32"/>
          <w:szCs w:val="32"/>
          <w:rtl/>
        </w:rPr>
        <w:t xml:space="preserve"> </w:t>
      </w:r>
      <w:r w:rsidRPr="00F27422">
        <w:rPr>
          <w:rFonts w:asciiTheme="minorBidi" w:hAnsiTheme="minorBidi"/>
          <w:b/>
          <w:bCs/>
          <w:sz w:val="32"/>
          <w:szCs w:val="32"/>
          <w:rtl/>
        </w:rPr>
        <w:t>(وتوضيحه: أنّ الاستثناء إمّا أن يراد به الإبقاء في الملك، أو يراد به كون المنفعة مفروزة)</w:t>
      </w:r>
      <w:r w:rsidRPr="00F27422">
        <w:rPr>
          <w:rFonts w:asciiTheme="minorBidi" w:hAnsiTheme="minorBidi"/>
          <w:sz w:val="32"/>
          <w:szCs w:val="32"/>
          <w:rtl/>
        </w:rPr>
        <w:t xml:space="preserve"> واقعاً </w:t>
      </w:r>
      <w:r w:rsidRPr="00F27422">
        <w:rPr>
          <w:rFonts w:asciiTheme="minorBidi" w:hAnsiTheme="minorBidi"/>
          <w:b/>
          <w:bCs/>
          <w:sz w:val="32"/>
          <w:szCs w:val="32"/>
          <w:rtl/>
        </w:rPr>
        <w:t>(وأنّها من شخص آخر)</w:t>
      </w:r>
      <w:r w:rsidRPr="00F27422">
        <w:rPr>
          <w:rFonts w:asciiTheme="minorBidi" w:hAnsiTheme="minorBidi"/>
          <w:sz w:val="32"/>
          <w:szCs w:val="32"/>
          <w:rtl/>
        </w:rPr>
        <w:t xml:space="preserve"> واقعاً </w:t>
      </w:r>
      <w:r w:rsidRPr="00F27422">
        <w:rPr>
          <w:rFonts w:asciiTheme="minorBidi" w:hAnsiTheme="minorBidi"/>
          <w:b/>
          <w:bCs/>
          <w:sz w:val="32"/>
          <w:szCs w:val="32"/>
          <w:rtl/>
        </w:rPr>
        <w:t>(لإجارة ونحوها)</w:t>
      </w:r>
      <w:r w:rsidRPr="00F27422">
        <w:rPr>
          <w:rFonts w:asciiTheme="minorBidi" w:hAnsiTheme="minorBidi"/>
          <w:sz w:val="32"/>
          <w:szCs w:val="32"/>
          <w:rtl/>
        </w:rPr>
        <w:t xml:space="preserve"> كالهبة </w:t>
      </w:r>
      <w:r w:rsidRPr="00F27422">
        <w:rPr>
          <w:rFonts w:asciiTheme="minorBidi" w:hAnsiTheme="minorBidi"/>
          <w:b/>
          <w:bCs/>
          <w:sz w:val="32"/>
          <w:szCs w:val="32"/>
          <w:rtl/>
        </w:rPr>
        <w:t>(وشيء منهما لا يتمّ في المقام)</w:t>
      </w:r>
      <w:r w:rsidRPr="00F27422">
        <w:rPr>
          <w:rFonts w:asciiTheme="minorBidi" w:hAnsiTheme="minorBidi"/>
          <w:sz w:val="32"/>
          <w:szCs w:val="32"/>
          <w:rtl/>
        </w:rPr>
        <w:t xml:space="preserve"> فلا هو استثناها لنفسه ولا كانت مفروزةً واقعاً.</w:t>
      </w:r>
    </w:p>
    <w:p w14:paraId="39A90941"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(أمّا الأوّل: فظاهر، إذ كيف يستثني لنفسه ويبقي المنفعة في ملكه مع اعتقاد كونها</w:t>
      </w:r>
      <w:r w:rsidRPr="00F27422">
        <w:rPr>
          <w:rFonts w:asciiTheme="minorBidi" w:hAnsiTheme="minorBidi"/>
          <w:sz w:val="32"/>
          <w:szCs w:val="32"/>
          <w:rtl/>
        </w:rPr>
        <w:t xml:space="preserve">) أي المنفعة مِلكٌ </w:t>
      </w:r>
      <w:r w:rsidRPr="00F27422">
        <w:rPr>
          <w:rFonts w:asciiTheme="minorBidi" w:hAnsiTheme="minorBidi"/>
          <w:b/>
          <w:bCs/>
          <w:sz w:val="32"/>
          <w:szCs w:val="32"/>
          <w:rtl/>
        </w:rPr>
        <w:t>(للغير)</w:t>
      </w:r>
      <w:r w:rsidRPr="00F27422">
        <w:rPr>
          <w:rFonts w:asciiTheme="minorBidi" w:hAnsiTheme="minorBidi"/>
          <w:sz w:val="32"/>
          <w:szCs w:val="32"/>
          <w:rtl/>
        </w:rPr>
        <w:t xml:space="preserve"> وهو المستأجر (</w:t>
      </w:r>
      <w:r w:rsidRPr="00F27422">
        <w:rPr>
          <w:rFonts w:asciiTheme="minorBidi" w:hAnsiTheme="minorBidi"/>
          <w:b/>
          <w:bCs/>
          <w:sz w:val="32"/>
          <w:szCs w:val="32"/>
          <w:rtl/>
        </w:rPr>
        <w:t>وتخيّل أنّ العين مستأجرة كما هو المفروض؟!</w:t>
      </w:r>
    </w:p>
    <w:p w14:paraId="24D4D15D"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وكذا الثاني)</w:t>
      </w:r>
      <w:r w:rsidRPr="00F27422">
        <w:rPr>
          <w:rFonts w:asciiTheme="minorBidi" w:hAnsiTheme="minorBidi"/>
          <w:sz w:val="32"/>
          <w:szCs w:val="32"/>
          <w:rtl/>
        </w:rPr>
        <w:t xml:space="preserve"> منتف أيضاً </w:t>
      </w:r>
      <w:r w:rsidRPr="00F27422">
        <w:rPr>
          <w:rFonts w:asciiTheme="minorBidi" w:hAnsiTheme="minorBidi"/>
          <w:b/>
          <w:bCs/>
          <w:sz w:val="32"/>
          <w:szCs w:val="32"/>
          <w:rtl/>
        </w:rPr>
        <w:t>(إذ لا إفراز بعد انكشاف عدم الإجارة أو كون المدّة منقضية.</w:t>
      </w:r>
    </w:p>
    <w:p w14:paraId="1370B2F5"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وعليه، فليس الاشتراط في المقام من قبيل الاستثناء في شيء، فلا أثر له، وبمقتضى تبعيّة المنفعة للعين ترجع إلى المشتري في هذه الصورة أيضاً).</w:t>
      </w:r>
    </w:p>
    <w:p w14:paraId="658E1022"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الثانية: تعليقة الفقيه النبيه سيد المستمسك (قدس سره الشريف):</w:t>
      </w:r>
    </w:p>
    <w:p w14:paraId="160DCBDC" w14:textId="77777777" w:rsidR="00185B01" w:rsidRPr="00F27422" w:rsidRDefault="00185B01" w:rsidP="00122B70">
      <w:pPr>
        <w:bidi/>
        <w:rPr>
          <w:rFonts w:asciiTheme="minorBidi" w:hAnsiTheme="minorBidi"/>
          <w:b/>
          <w:bCs/>
          <w:sz w:val="32"/>
          <w:szCs w:val="32"/>
          <w:rtl/>
        </w:rPr>
      </w:pPr>
      <w:r w:rsidRPr="00F27422">
        <w:rPr>
          <w:rFonts w:asciiTheme="minorBidi" w:hAnsiTheme="minorBidi"/>
          <w:sz w:val="32"/>
          <w:szCs w:val="32"/>
          <w:rtl/>
        </w:rPr>
        <w:t xml:space="preserve">فقد جاء في كتابه [مستمسك العروة الوثقى، إحياء التراث العربي، ج12، ص31] حيث قال: </w:t>
      </w:r>
      <w:r w:rsidRPr="00F27422">
        <w:rPr>
          <w:rFonts w:asciiTheme="minorBidi" w:hAnsiTheme="minorBidi"/>
          <w:b/>
          <w:bCs/>
          <w:sz w:val="32"/>
          <w:szCs w:val="32"/>
          <w:rtl/>
        </w:rPr>
        <w:t xml:space="preserve">(في بعض الحواشي: «لكنه غير موجه إذ الشرط في المقام بمنزلة التوصيف لا الاستثناء فلا أثر </w:t>
      </w:r>
      <w:proofErr w:type="gramStart"/>
      <w:r w:rsidRPr="00F27422">
        <w:rPr>
          <w:rFonts w:asciiTheme="minorBidi" w:hAnsiTheme="minorBidi"/>
          <w:b/>
          <w:bCs/>
          <w:sz w:val="32"/>
          <w:szCs w:val="32"/>
          <w:rtl/>
        </w:rPr>
        <w:t>له »</w:t>
      </w:r>
      <w:proofErr w:type="gramEnd"/>
      <w:r w:rsidRPr="00F27422">
        <w:rPr>
          <w:rFonts w:asciiTheme="minorBidi" w:hAnsiTheme="minorBidi"/>
          <w:b/>
          <w:bCs/>
          <w:sz w:val="32"/>
          <w:szCs w:val="32"/>
          <w:rtl/>
        </w:rPr>
        <w:t xml:space="preserve">) </w:t>
      </w:r>
      <w:r w:rsidRPr="00F27422">
        <w:rPr>
          <w:rFonts w:asciiTheme="minorBidi" w:hAnsiTheme="minorBidi"/>
          <w:sz w:val="32"/>
          <w:szCs w:val="32"/>
          <w:rtl/>
        </w:rPr>
        <w:t xml:space="preserve">إشارة لتعليقة الميرزا النائيني </w:t>
      </w:r>
      <w:r w:rsidRPr="00F27422">
        <w:rPr>
          <w:rFonts w:asciiTheme="minorBidi" w:hAnsiTheme="minorBidi"/>
          <w:b/>
          <w:bCs/>
          <w:sz w:val="32"/>
          <w:szCs w:val="32"/>
          <w:rtl/>
        </w:rPr>
        <w:t xml:space="preserve">(يعني: في جعل المنفعة للبائع. بل محض الاستثناء أيضاً بمنزلة التوصيف) </w:t>
      </w:r>
      <w:proofErr w:type="gramStart"/>
      <w:r w:rsidRPr="00F27422">
        <w:rPr>
          <w:rFonts w:asciiTheme="minorBidi" w:hAnsiTheme="minorBidi"/>
          <w:sz w:val="32"/>
          <w:szCs w:val="32"/>
          <w:rtl/>
        </w:rPr>
        <w:t>أي</w:t>
      </w:r>
      <w:proofErr w:type="gramEnd"/>
      <w:r w:rsidRPr="00F27422">
        <w:rPr>
          <w:rFonts w:asciiTheme="minorBidi" w:hAnsiTheme="minorBidi"/>
          <w:sz w:val="32"/>
          <w:szCs w:val="32"/>
          <w:rtl/>
        </w:rPr>
        <w:t xml:space="preserve"> حتى لو استثنى، فقال البائع للمشتري: "بعتُكَ هذه العين ما سوى منفعتها" </w:t>
      </w:r>
      <w:r w:rsidRPr="00F27422">
        <w:rPr>
          <w:rFonts w:asciiTheme="minorBidi" w:hAnsiTheme="minorBidi"/>
          <w:b/>
          <w:bCs/>
          <w:sz w:val="32"/>
          <w:szCs w:val="32"/>
          <w:rtl/>
        </w:rPr>
        <w:t xml:space="preserve">(لا يقتضي ثبوت المنفعة للبائع وإنما الذي يقتضي ذلك) </w:t>
      </w:r>
      <w:r w:rsidRPr="00F27422">
        <w:rPr>
          <w:rFonts w:asciiTheme="minorBidi" w:hAnsiTheme="minorBidi"/>
          <w:sz w:val="32"/>
          <w:szCs w:val="32"/>
          <w:rtl/>
        </w:rPr>
        <w:t xml:space="preserve">أي أن تكون </w:t>
      </w:r>
      <w:r w:rsidRPr="00F27422">
        <w:rPr>
          <w:rFonts w:asciiTheme="minorBidi" w:hAnsiTheme="minorBidi"/>
          <w:sz w:val="32"/>
          <w:szCs w:val="32"/>
          <w:rtl/>
        </w:rPr>
        <w:lastRenderedPageBreak/>
        <w:t xml:space="preserve">المنفعة للبائع </w:t>
      </w:r>
      <w:r w:rsidRPr="00F27422">
        <w:rPr>
          <w:rFonts w:asciiTheme="minorBidi" w:hAnsiTheme="minorBidi"/>
          <w:b/>
          <w:bCs/>
          <w:sz w:val="32"/>
          <w:szCs w:val="32"/>
          <w:rtl/>
        </w:rPr>
        <w:t>(إنشاء كونها للبائع)</w:t>
      </w:r>
      <w:r w:rsidRPr="00F27422">
        <w:rPr>
          <w:rFonts w:asciiTheme="minorBidi" w:hAnsiTheme="minorBidi"/>
          <w:sz w:val="32"/>
          <w:szCs w:val="32"/>
          <w:rtl/>
        </w:rPr>
        <w:t xml:space="preserve"> فلا يكفي مجرد الاستثناء، بخلاف ما ذكره المحقق النائيني (قدس سره الشريف) من أنّه لو كان الشرط </w:t>
      </w:r>
      <w:proofErr w:type="spellStart"/>
      <w:r w:rsidRPr="00F27422">
        <w:rPr>
          <w:rFonts w:asciiTheme="minorBidi" w:hAnsiTheme="minorBidi"/>
          <w:sz w:val="32"/>
          <w:szCs w:val="32"/>
          <w:rtl/>
        </w:rPr>
        <w:t>استثناءاً</w:t>
      </w:r>
      <w:proofErr w:type="spellEnd"/>
      <w:r w:rsidRPr="00F27422">
        <w:rPr>
          <w:rFonts w:asciiTheme="minorBidi" w:hAnsiTheme="minorBidi"/>
          <w:sz w:val="32"/>
          <w:szCs w:val="32"/>
          <w:rtl/>
        </w:rPr>
        <w:t xml:space="preserve"> لكفى، وقد بنى السيد الحكيم (قدس سره الشريف) على أنّ الاستثناء غير </w:t>
      </w:r>
      <w:proofErr w:type="gramStart"/>
      <w:r w:rsidRPr="00F27422">
        <w:rPr>
          <w:rFonts w:asciiTheme="minorBidi" w:hAnsiTheme="minorBidi"/>
          <w:sz w:val="32"/>
          <w:szCs w:val="32"/>
          <w:rtl/>
        </w:rPr>
        <w:t>كافٍ</w:t>
      </w:r>
      <w:proofErr w:type="gramEnd"/>
      <w:r w:rsidRPr="00F27422">
        <w:rPr>
          <w:rFonts w:asciiTheme="minorBidi" w:hAnsiTheme="minorBidi"/>
          <w:sz w:val="32"/>
          <w:szCs w:val="32"/>
          <w:rtl/>
        </w:rPr>
        <w:t xml:space="preserve"> بل هو بمنزلة التوصيف؛ لأنّ انتقال المنفعة إلى البائع يحتاج إلى سبب والبائع لم ينشئ انتقال المنفعة إليه.</w:t>
      </w:r>
    </w:p>
    <w:p w14:paraId="2A5272CB" w14:textId="77777777" w:rsidR="00185B01" w:rsidRPr="00F27422" w:rsidRDefault="00185B01" w:rsidP="00122B70">
      <w:pPr>
        <w:bidi/>
        <w:rPr>
          <w:rFonts w:asciiTheme="minorBidi" w:hAnsiTheme="minorBidi"/>
          <w:b/>
          <w:bCs/>
          <w:sz w:val="32"/>
          <w:szCs w:val="32"/>
          <w:rtl/>
        </w:rPr>
      </w:pPr>
      <w:r w:rsidRPr="00F27422">
        <w:rPr>
          <w:rFonts w:asciiTheme="minorBidi" w:hAnsiTheme="minorBidi"/>
          <w:sz w:val="32"/>
          <w:szCs w:val="32"/>
          <w:rtl/>
        </w:rPr>
        <w:t>فإنْ قلتَ: قد أنشأ البائع كونها له عندما قال: "بعتُكَ هذه العين ما سوى منفعتها".</w:t>
      </w:r>
    </w:p>
    <w:p w14:paraId="380A8E3E" w14:textId="77777777" w:rsidR="00185B01" w:rsidRPr="00F27422" w:rsidRDefault="00185B01" w:rsidP="00122B70">
      <w:pPr>
        <w:bidi/>
        <w:rPr>
          <w:rFonts w:asciiTheme="minorBidi" w:hAnsiTheme="minorBidi"/>
          <w:b/>
          <w:bCs/>
          <w:sz w:val="32"/>
          <w:szCs w:val="32"/>
          <w:rtl/>
        </w:rPr>
      </w:pPr>
      <w:r w:rsidRPr="00F27422">
        <w:rPr>
          <w:rFonts w:asciiTheme="minorBidi" w:hAnsiTheme="minorBidi"/>
          <w:sz w:val="32"/>
          <w:szCs w:val="32"/>
          <w:rtl/>
        </w:rPr>
        <w:t>قلت:</w:t>
      </w:r>
      <w:r w:rsidRPr="00F27422">
        <w:rPr>
          <w:rFonts w:asciiTheme="minorBidi" w:hAnsiTheme="minorBidi"/>
          <w:b/>
          <w:bCs/>
          <w:sz w:val="32"/>
          <w:szCs w:val="32"/>
          <w:rtl/>
        </w:rPr>
        <w:t xml:space="preserve"> (لكنه لا يتيسر ذلك مع اعتقاد أنها للمستأجر)، </w:t>
      </w:r>
      <w:r w:rsidRPr="00F27422">
        <w:rPr>
          <w:rFonts w:asciiTheme="minorBidi" w:hAnsiTheme="minorBidi"/>
          <w:sz w:val="32"/>
          <w:szCs w:val="32"/>
          <w:rtl/>
        </w:rPr>
        <w:t>فإنّه إذا اعتقد أنّ المنفعة ليست له فكيف ينشئ نقلها لنفسه مع اعتقاده أنّها للمستأجر، فحيث لم ينشئ نقلها إليه كان مقتضى قانون التبعية كون المنفعة للمشتري؛ لأنّه هو المالك للعين فعلاً.</w:t>
      </w:r>
    </w:p>
    <w:p w14:paraId="07FFB8B8"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ولكن كلا التعليقتين محلُ نظرٍ واضح:</w:t>
      </w:r>
    </w:p>
    <w:p w14:paraId="785E164D"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 xml:space="preserve">أمّا تعليقة المحقق النائيني (قدس سره الشريف) ففيها: </w:t>
      </w:r>
      <w:r w:rsidRPr="00F27422">
        <w:rPr>
          <w:rFonts w:asciiTheme="minorBidi" w:hAnsiTheme="minorBidi"/>
          <w:sz w:val="32"/>
          <w:szCs w:val="32"/>
          <w:rtl/>
        </w:rPr>
        <w:t>أنّ البائع حيث اشترط في عقد البيع أنْ لا تنتقل المنفعة للمشتري فشرطه أوجب ضيق المنشأ، لأنّ النتيجة أنّه أوقع المُنشأ - وهو ملكية المشتري للعين - بشرط لا، وحيث أوقع المُنشأ بشرط لا لم تنتقل العين إلى المشتري إلّا مسلوبة المنفعة، وإنْ كان هذا الاشتراط ناشئاً عن فساد اعتقاده، فليس المهم ما هو منشأ الاشتراط، وإنّما المهم كيفية المُنشأ في عقد البيع؟ والمفروضُ أنّ المُنشأ في عقد البيع قد وقع على نحر بـ "شرط لا" وتخلف الاعتقاد كتخلف الداعي، وتخلف الداعي غير مؤثرٍ في تحقّق المنشأ.</w:t>
      </w:r>
    </w:p>
    <w:p w14:paraId="4C8A6F4C"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وأمّا تعليقة سيد المستمسك (قدس سره الشريف) ففيها:</w:t>
      </w:r>
      <w:r w:rsidRPr="00F27422">
        <w:rPr>
          <w:rFonts w:asciiTheme="minorBidi" w:hAnsiTheme="minorBidi"/>
          <w:sz w:val="32"/>
          <w:szCs w:val="32"/>
          <w:rtl/>
        </w:rPr>
        <w:t xml:space="preserve"> أنّ كون المنفعة للبائع لا يحتاج إلى إنشاء وإنّما كون المنفعة للمشتري هو الذي يحتاج إلى إنشاء، فالبائع من الأول مالك العين والمنفعة، أي أنّ البائع عندما ملك العين قبل حصول البيع منه ملك المنفعة معها، فالسبب الذي اقتضى أنْ يمتلك البائعُ العين كالهبة أو الشراء أو الإرث هو السبب الذي اقتضى تملك البائع للمنفعة، فبقاء المنفعة في ملك البائع لا يحتاج إلى إنشاء وإنّما انتقال المنفعة إلى المشتري هو الذي يحتاج إلى ناقلٍ، فإنّ أوقع البيع "لا بشرط" كان مقتضى قانون التبعية أنْ تكون المنفعة للمشتري تبعاً لملكيته، وأمّا إذا أوقع البيع بـ "شرط لا" فمعناه قد أبقى المنفعة على ملكه أو تحت سلطنته، والنتيجة: أنّه لم ينقل المنفعة للمشتري فلم تنتقل العين إلّا مسلوبة المنفعة.</w:t>
      </w:r>
    </w:p>
    <w:p w14:paraId="75DCA307" w14:textId="77777777" w:rsidR="00185B01" w:rsidRPr="00F27422" w:rsidRDefault="00185B01" w:rsidP="00122B70">
      <w:pPr>
        <w:bidi/>
        <w:rPr>
          <w:rFonts w:asciiTheme="minorBidi" w:hAnsiTheme="minorBidi"/>
          <w:sz w:val="32"/>
          <w:szCs w:val="32"/>
          <w:rtl/>
        </w:rPr>
      </w:pPr>
    </w:p>
    <w:p w14:paraId="2C673D61" w14:textId="77777777" w:rsidR="00185B01" w:rsidRPr="00F27422" w:rsidRDefault="00185B01"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200D1D52" w14:textId="77777777" w:rsidR="00185B01" w:rsidRPr="00F27422" w:rsidRDefault="00185B01" w:rsidP="00122B70">
      <w:pPr>
        <w:bidi/>
        <w:rPr>
          <w:rFonts w:asciiTheme="minorBidi" w:hAnsiTheme="minorBidi"/>
          <w:sz w:val="32"/>
          <w:szCs w:val="32"/>
          <w:rtl/>
        </w:rPr>
      </w:pPr>
    </w:p>
    <w:p w14:paraId="5D35B2CA" w14:textId="39CEE566" w:rsidR="00A53231" w:rsidRPr="00F27422" w:rsidRDefault="00185B01"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lastRenderedPageBreak/>
        <w:t>010</w:t>
      </w:r>
    </w:p>
    <w:p w14:paraId="15024167" w14:textId="77777777" w:rsidR="00D10434" w:rsidRPr="00F27422" w:rsidRDefault="00D10434"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1293C571" w14:textId="77777777" w:rsidR="00D10434" w:rsidRPr="00F27422" w:rsidRDefault="00D10434"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4A0A3C4B" w14:textId="77777777" w:rsidR="00D10434" w:rsidRPr="00F27422" w:rsidRDefault="00D10434" w:rsidP="00122B70">
      <w:pPr>
        <w:bidi/>
        <w:rPr>
          <w:rFonts w:asciiTheme="minorBidi" w:hAnsiTheme="minorBidi"/>
          <w:sz w:val="32"/>
          <w:szCs w:val="32"/>
          <w:rtl/>
          <w:lang w:bidi="ar-BH"/>
        </w:rPr>
      </w:pPr>
      <w:r w:rsidRPr="00F27422">
        <w:rPr>
          <w:rFonts w:asciiTheme="minorBidi" w:hAnsiTheme="minorBidi"/>
          <w:b/>
          <w:bCs/>
          <w:sz w:val="32"/>
          <w:szCs w:val="32"/>
          <w:rtl/>
        </w:rPr>
        <w:t>واللعن الدائم على أعدائهم أجمعين إلى قيام يوم الدين</w:t>
      </w:r>
    </w:p>
    <w:p w14:paraId="05B7E496" w14:textId="77777777" w:rsidR="00D10434" w:rsidRPr="00F27422" w:rsidRDefault="00D10434" w:rsidP="00122B70">
      <w:pPr>
        <w:bidi/>
        <w:rPr>
          <w:rFonts w:asciiTheme="minorBidi" w:hAnsiTheme="minorBidi"/>
          <w:sz w:val="32"/>
          <w:szCs w:val="32"/>
          <w:rtl/>
          <w:lang w:bidi="ar-BH"/>
        </w:rPr>
      </w:pPr>
    </w:p>
    <w:p w14:paraId="7AC91213"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المطلب السادس:</w:t>
      </w:r>
      <w:r w:rsidRPr="00F27422">
        <w:rPr>
          <w:rFonts w:asciiTheme="minorBidi" w:hAnsiTheme="minorBidi"/>
          <w:sz w:val="32"/>
          <w:szCs w:val="32"/>
          <w:rtl/>
        </w:rPr>
        <w:t xml:space="preserve"> قال سيد العروة (قدس سره الشريف): </w:t>
      </w:r>
      <w:r w:rsidRPr="00F27422">
        <w:rPr>
          <w:rFonts w:asciiTheme="minorBidi" w:hAnsiTheme="minorBidi"/>
          <w:b/>
          <w:bCs/>
          <w:sz w:val="32"/>
          <w:szCs w:val="32"/>
          <w:rtl/>
        </w:rPr>
        <w:t>(ثمّ بناءً على ما هو الأقوى من رجوع المنفعة في الصورة السابقة إلى المشتري فهل للبائع الخيار أو لا؟ وجهان، لا يخلو أوّلهما من قوّة، خصوصاً إذا أوجب ذلك له الغبن).</w:t>
      </w:r>
    </w:p>
    <w:p w14:paraId="0EC75CF7" w14:textId="34F0A3A6" w:rsidR="00D10434" w:rsidRPr="00F27422" w:rsidRDefault="00D10434" w:rsidP="00122B70">
      <w:pPr>
        <w:bidi/>
        <w:rPr>
          <w:rFonts w:asciiTheme="minorBidi" w:hAnsiTheme="minorBidi"/>
          <w:sz w:val="32"/>
          <w:szCs w:val="32"/>
          <w:rtl/>
          <w:lang w:bidi="ar-BH"/>
        </w:rPr>
      </w:pPr>
      <w:r w:rsidRPr="00F27422">
        <w:rPr>
          <w:rFonts w:asciiTheme="minorBidi" w:hAnsiTheme="minorBidi"/>
          <w:b/>
          <w:bCs/>
          <w:sz w:val="32"/>
          <w:szCs w:val="32"/>
          <w:rtl/>
        </w:rPr>
        <w:t>وتوضيحه:</w:t>
      </w:r>
      <w:r w:rsidRPr="00F27422">
        <w:rPr>
          <w:rFonts w:asciiTheme="minorBidi" w:hAnsiTheme="minorBidi"/>
          <w:sz w:val="32"/>
          <w:szCs w:val="32"/>
          <w:rtl/>
        </w:rPr>
        <w:t xml:space="preserve"> أنّه لو باع شخصٌ العين لآخرٍ معتقداً أنّ العين مسلوبة المنفعة لأنّها مستأجرة، ثمّ انكشف أنّ العين حين البيع لم تكن مسلوبة المنفعة لانقضاء مدّة الإجارة أو لعدم وجودها من الأساس، وقد سبق البحث في</w:t>
      </w:r>
      <w:r w:rsidR="00112222" w:rsidRPr="00F27422">
        <w:rPr>
          <w:rFonts w:asciiTheme="minorBidi" w:hAnsiTheme="minorBidi"/>
          <w:sz w:val="32"/>
          <w:szCs w:val="32"/>
          <w:rtl/>
        </w:rPr>
        <w:t xml:space="preserve"> </w:t>
      </w:r>
      <w:r w:rsidRPr="00F27422">
        <w:rPr>
          <w:rFonts w:asciiTheme="minorBidi" w:hAnsiTheme="minorBidi"/>
          <w:sz w:val="32"/>
          <w:szCs w:val="32"/>
          <w:rtl/>
        </w:rPr>
        <w:t>أنّ المنفعة حينئذٍ هل تكون للمشتري أم للبائع؟ وحيث إنّ سيد العروة (قدس سره الشريف) اختار أنّ المنفعة للمشتري بمقتضى تبعية المنفعة للعين في المِلكيّة، فمن كان مالكاً للعين بالبيع كان مالكاً للمنفعة، وحيث إنّ المشتري هو المالك للعين بالبيع فهو المالك للمنفعة.</w:t>
      </w:r>
    </w:p>
    <w:p w14:paraId="11461F2A" w14:textId="77777777" w:rsidR="00D10434" w:rsidRPr="00F27422" w:rsidRDefault="00D10434" w:rsidP="00122B70">
      <w:pPr>
        <w:bidi/>
        <w:rPr>
          <w:rFonts w:asciiTheme="minorBidi" w:hAnsiTheme="minorBidi"/>
          <w:sz w:val="32"/>
          <w:szCs w:val="32"/>
          <w:rtl/>
          <w:lang w:bidi="ar-BH"/>
        </w:rPr>
      </w:pPr>
      <w:r w:rsidRPr="00F27422">
        <w:rPr>
          <w:rFonts w:asciiTheme="minorBidi" w:hAnsiTheme="minorBidi"/>
          <w:sz w:val="32"/>
          <w:szCs w:val="32"/>
          <w:rtl/>
        </w:rPr>
        <w:t>فبناءً على رأي سيد العروة (قدس سره الشريف) هل يثبت الخيار للبائع؟ حيث إنّه باع العين معتقداً أنّ العين بلا منفعةٍ ولعله لأجل ذلك باعها، ولكن تبين أنّ العين ذو منفعة وأنّ المنفعة تعود للمشتري وليست له.</w:t>
      </w:r>
    </w:p>
    <w:p w14:paraId="4A2640E9" w14:textId="77777777" w:rsidR="00D10434" w:rsidRPr="00F27422" w:rsidRDefault="00D10434" w:rsidP="00122B70">
      <w:pPr>
        <w:bidi/>
        <w:rPr>
          <w:rFonts w:asciiTheme="minorBidi" w:hAnsiTheme="minorBidi"/>
          <w:sz w:val="32"/>
          <w:szCs w:val="32"/>
          <w:rtl/>
          <w:lang w:bidi="ar-BH"/>
        </w:rPr>
      </w:pPr>
      <w:r w:rsidRPr="00F27422">
        <w:rPr>
          <w:rFonts w:asciiTheme="minorBidi" w:hAnsiTheme="minorBidi"/>
          <w:sz w:val="32"/>
          <w:szCs w:val="32"/>
          <w:rtl/>
        </w:rPr>
        <w:t xml:space="preserve">ولذا قال (قدس سره الشريف): </w:t>
      </w:r>
      <w:r w:rsidRPr="00F27422">
        <w:rPr>
          <w:rFonts w:asciiTheme="minorBidi" w:hAnsiTheme="minorBidi"/>
          <w:b/>
          <w:bCs/>
          <w:sz w:val="32"/>
          <w:szCs w:val="32"/>
          <w:rtl/>
        </w:rPr>
        <w:t>(ثمّ بناءً على ما هو الأقوى من رجوع المنفعة في الصورة السابقة إلى المشتري فهل للبائع الخيار أو لا؟ وجهان، لا يخلو أوّلهما)</w:t>
      </w:r>
      <w:r w:rsidRPr="00F27422">
        <w:rPr>
          <w:rFonts w:asciiTheme="minorBidi" w:hAnsiTheme="minorBidi"/>
          <w:sz w:val="32"/>
          <w:szCs w:val="32"/>
          <w:rtl/>
        </w:rPr>
        <w:t xml:space="preserve"> وهو ثبوت الخيار </w:t>
      </w:r>
      <w:r w:rsidRPr="00F27422">
        <w:rPr>
          <w:rFonts w:asciiTheme="minorBidi" w:hAnsiTheme="minorBidi"/>
          <w:b/>
          <w:bCs/>
          <w:sz w:val="32"/>
          <w:szCs w:val="32"/>
          <w:rtl/>
        </w:rPr>
        <w:t xml:space="preserve">(من قوّة، خصوصاً إذا أوجب ذلك له الغبن). </w:t>
      </w:r>
      <w:r w:rsidRPr="00F27422">
        <w:rPr>
          <w:rFonts w:asciiTheme="minorBidi" w:hAnsiTheme="minorBidi"/>
          <w:sz w:val="32"/>
          <w:szCs w:val="32"/>
          <w:rtl/>
        </w:rPr>
        <w:t>وهذا التعبير دالٌ على ثبوت الخيار مطلقاً سواء أوجب تخلّف الوصف الغبن أم لا، بمعنى أنّ الخيار في المقام ليس من باب خيار الغبن.</w:t>
      </w:r>
    </w:p>
    <w:p w14:paraId="3894FC64"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sz w:val="32"/>
          <w:szCs w:val="32"/>
          <w:rtl/>
        </w:rPr>
        <w:t xml:space="preserve">وقد أفاد سيدنا الخوئي (قدس سره) في موسوعته في [كتاب الإجارة، ج30، ص119] في تعليقته على العروة حيث قال: </w:t>
      </w:r>
      <w:r w:rsidRPr="00F27422">
        <w:rPr>
          <w:rFonts w:asciiTheme="minorBidi" w:hAnsiTheme="minorBidi"/>
          <w:b/>
          <w:bCs/>
          <w:sz w:val="32"/>
          <w:szCs w:val="32"/>
          <w:rtl/>
        </w:rPr>
        <w:t>(بل الأقوى هو الثاني)</w:t>
      </w:r>
      <w:r w:rsidRPr="00F27422">
        <w:rPr>
          <w:rFonts w:asciiTheme="minorBidi" w:hAnsiTheme="minorBidi"/>
          <w:sz w:val="32"/>
          <w:szCs w:val="32"/>
          <w:rtl/>
        </w:rPr>
        <w:t xml:space="preserve"> وهو عدم الخيار </w:t>
      </w:r>
      <w:r w:rsidRPr="00F27422">
        <w:rPr>
          <w:rFonts w:asciiTheme="minorBidi" w:hAnsiTheme="minorBidi"/>
          <w:b/>
          <w:bCs/>
          <w:sz w:val="32"/>
          <w:szCs w:val="32"/>
          <w:rtl/>
        </w:rPr>
        <w:t>(إلّا إذا كان ذلك موجباً للغبن).</w:t>
      </w:r>
    </w:p>
    <w:p w14:paraId="46A368B0"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sz w:val="32"/>
          <w:szCs w:val="32"/>
          <w:rtl/>
        </w:rPr>
        <w:t>لكنه (قدس سره) في شرحه على العروة أفاد بأنّه لا يبعد ثبوت الخيار مطلقاً سواء كان هناك غبنٌ أم لا.</w:t>
      </w:r>
    </w:p>
    <w:p w14:paraId="05F3F20C"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sz w:val="32"/>
          <w:szCs w:val="32"/>
          <w:rtl/>
        </w:rPr>
        <w:lastRenderedPageBreak/>
        <w:t xml:space="preserve">حيث قال في المصدر السابق [ص119 - 220]: </w:t>
      </w:r>
      <w:r w:rsidRPr="00F27422">
        <w:rPr>
          <w:rFonts w:asciiTheme="minorBidi" w:hAnsiTheme="minorBidi"/>
          <w:b/>
          <w:bCs/>
          <w:sz w:val="32"/>
          <w:szCs w:val="32"/>
          <w:rtl/>
        </w:rPr>
        <w:t>(أمّا مع في فرض الغبن فلا إشكال في ثبوت خيار الغبن كما هو الواضح)</w:t>
      </w:r>
      <w:r w:rsidRPr="00F27422">
        <w:rPr>
          <w:rFonts w:asciiTheme="minorBidi" w:hAnsiTheme="minorBidi"/>
          <w:sz w:val="32"/>
          <w:szCs w:val="32"/>
          <w:rtl/>
        </w:rPr>
        <w:t xml:space="preserve"> أيّ أنّ البائع عندما باع العين مسلوبة المنفعة فقد باعها بأقل مِن ثمنها السوقي؛ لأنّه يعتقد بأنّها مسلوبة المنفعة والعين التي لا منفعة لها أقل ثمناً من العين ذات المنفعة، فلاعتقاد البائع أنّ العين مستأجرة وأنّ المنفعة ليست ثابتةً له لذلك باعها بأقل مِن ثمنها، ثمّ انكشف أنّ العين غير مستأجرة وأنّ المنفعة أصلاً انتقلت إلى المشتري فأصبح البائع مغبوناً فثبت له خيار الغبن.</w:t>
      </w:r>
    </w:p>
    <w:p w14:paraId="7A995C1F"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(وأمّا مع فرض عدمه)</w:t>
      </w:r>
      <w:r w:rsidRPr="00F27422">
        <w:rPr>
          <w:rFonts w:asciiTheme="minorBidi" w:hAnsiTheme="minorBidi"/>
          <w:sz w:val="32"/>
          <w:szCs w:val="32"/>
          <w:rtl/>
        </w:rPr>
        <w:t xml:space="preserve"> أي عدم الغبن، وأنّه قد </w:t>
      </w:r>
      <w:proofErr w:type="gramStart"/>
      <w:r w:rsidRPr="00F27422">
        <w:rPr>
          <w:rFonts w:asciiTheme="minorBidi" w:hAnsiTheme="minorBidi"/>
          <w:sz w:val="32"/>
          <w:szCs w:val="32"/>
          <w:rtl/>
        </w:rPr>
        <w:t>استلم</w:t>
      </w:r>
      <w:proofErr w:type="gramEnd"/>
      <w:r w:rsidRPr="00F27422">
        <w:rPr>
          <w:rFonts w:asciiTheme="minorBidi" w:hAnsiTheme="minorBidi"/>
          <w:sz w:val="32"/>
          <w:szCs w:val="32"/>
          <w:rtl/>
        </w:rPr>
        <w:t xml:space="preserve"> القيمة السوقية كما هي، كما لو افترضنا أنّ البائع باع العين معتقداً بأنّها مسلوبة المنفعة لمدّة شهرٍ فقط فلأجل ذلك باع العين بقيمتها السوقية - وهي قيمة عينٍ ذات منفعة - فليس هناك غبنٌ في البين فهل يثبت له الخيار؟ مع أنّه قد استلم عوض المنفعة </w:t>
      </w:r>
      <w:r w:rsidRPr="00F27422">
        <w:rPr>
          <w:rFonts w:asciiTheme="minorBidi" w:hAnsiTheme="minorBidi"/>
          <w:b/>
          <w:bCs/>
          <w:sz w:val="32"/>
          <w:szCs w:val="32"/>
          <w:rtl/>
        </w:rPr>
        <w:t>(فالظاهر ثبوت الخيار أيضاً كما قوّاه في المتن - بناءً على مبناه من رجوع المنفعة إلى المشتري - والوجه فيه: أنّ المتبايعين بعد أن كانا معتقدين بقاء مدّة الإجارة وأنّ العين مسلوبة المنفعة - كما هو المفروض - فهما بطبيعة الحال قد أوقعا العقد مبنياً على هذا الوصف)</w:t>
      </w:r>
      <w:r w:rsidRPr="00F27422">
        <w:rPr>
          <w:rFonts w:asciiTheme="minorBidi" w:hAnsiTheme="minorBidi"/>
          <w:sz w:val="32"/>
          <w:szCs w:val="32"/>
          <w:rtl/>
        </w:rPr>
        <w:t xml:space="preserve"> وهو كون العين مسلوبة المنفعة </w:t>
      </w:r>
      <w:r w:rsidRPr="00F27422">
        <w:rPr>
          <w:rFonts w:asciiTheme="minorBidi" w:hAnsiTheme="minorBidi"/>
          <w:b/>
          <w:bCs/>
          <w:sz w:val="32"/>
          <w:szCs w:val="32"/>
          <w:rtl/>
        </w:rPr>
        <w:t>(فكان ذلك في قوة الاشتراط من ناحية البائع بكون المنتقل إلى المشتري هي العين المجرّدة الموصوفة بكونها مسلوبة المنفعة، وقد تخلّف الشرط وانكشف أنّها)</w:t>
      </w:r>
      <w:r w:rsidRPr="00F27422">
        <w:rPr>
          <w:rFonts w:asciiTheme="minorBidi" w:hAnsiTheme="minorBidi"/>
          <w:sz w:val="32"/>
          <w:szCs w:val="32"/>
          <w:rtl/>
        </w:rPr>
        <w:t xml:space="preserve"> أي العين </w:t>
      </w:r>
      <w:r w:rsidRPr="00F27422">
        <w:rPr>
          <w:rFonts w:asciiTheme="minorBidi" w:hAnsiTheme="minorBidi"/>
          <w:b/>
          <w:bCs/>
          <w:sz w:val="32"/>
          <w:szCs w:val="32"/>
          <w:rtl/>
        </w:rPr>
        <w:t xml:space="preserve">(ذات منفعة فعليّة، فلا جرم يثبت للبائع خيار تخلّف الوصف بعين المناط الذي كان يثبت للمشتري فيما لو كان الشرط من ناحيته، فكما أنّ المشتري لو اشترى العبد المقيّد بكونه كاتباً يثبت له الخيار لو تخلّف الشرط، فكذا لو باع مقيّداً بعدم كونه كاتباً فإنّه يثبت له أيضاً خيار تخلف الشرط لو انكشف كونه كاتباً). </w:t>
      </w:r>
      <w:r w:rsidRPr="00F27422">
        <w:rPr>
          <w:rFonts w:asciiTheme="minorBidi" w:hAnsiTheme="minorBidi"/>
          <w:sz w:val="32"/>
          <w:szCs w:val="32"/>
          <w:rtl/>
        </w:rPr>
        <w:t xml:space="preserve">وبمثالٍ آخر: كما أنّ المشتري لو اشترى السيارة بوصف كونها مِن شركة كذا، ثمّ تخلّف الوصف فيثبت للمشتري خيار التخلّف، كذلك لو أنّ مالك السيارة باعها على المشتري مشترطاً ارتكازاً وضمناً – لا لفظاً - عدم كونها من شركة كذا، ثمّ تبين تخلّف ذلك فإنّه يثبت للبائع أيضاً خيار تخلّف الشرط </w:t>
      </w:r>
      <w:r w:rsidRPr="00F27422">
        <w:rPr>
          <w:rFonts w:asciiTheme="minorBidi" w:hAnsiTheme="minorBidi"/>
          <w:b/>
          <w:bCs/>
          <w:sz w:val="32"/>
          <w:szCs w:val="32"/>
          <w:rtl/>
        </w:rPr>
        <w:t>(لوحدة المناط من الجانبين)</w:t>
      </w:r>
      <w:r w:rsidRPr="00F27422">
        <w:rPr>
          <w:rFonts w:asciiTheme="minorBidi" w:hAnsiTheme="minorBidi"/>
          <w:sz w:val="32"/>
          <w:szCs w:val="32"/>
          <w:rtl/>
        </w:rPr>
        <w:t xml:space="preserve"> وهو تخلّف الشرط </w:t>
      </w:r>
      <w:r w:rsidRPr="00F27422">
        <w:rPr>
          <w:rFonts w:asciiTheme="minorBidi" w:hAnsiTheme="minorBidi"/>
          <w:b/>
          <w:bCs/>
          <w:sz w:val="32"/>
          <w:szCs w:val="32"/>
          <w:rtl/>
        </w:rPr>
        <w:t>(وكونهما بملاك واحد، فعين ما كان يوجب الخيار للمشتري عند تخلّف الوصف)</w:t>
      </w:r>
      <w:r w:rsidRPr="00F27422">
        <w:rPr>
          <w:rFonts w:asciiTheme="minorBidi" w:hAnsiTheme="minorBidi"/>
          <w:sz w:val="32"/>
          <w:szCs w:val="32"/>
          <w:rtl/>
        </w:rPr>
        <w:t xml:space="preserve"> والشرط</w:t>
      </w:r>
      <w:r w:rsidRPr="00F27422">
        <w:rPr>
          <w:rFonts w:asciiTheme="minorBidi" w:hAnsiTheme="minorBidi"/>
          <w:b/>
          <w:bCs/>
          <w:sz w:val="32"/>
          <w:szCs w:val="32"/>
          <w:rtl/>
        </w:rPr>
        <w:t xml:space="preserve"> (يجري من ناحية البائع أيضاً.</w:t>
      </w:r>
    </w:p>
    <w:p w14:paraId="68700014"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وبالجملة: فما ذكره الماتن (قدس سره) من ثبوت الخيار على التقديرين وجيه على مبناه من رجوع المنفعة إلى المشتري، لكن المبنى غير تام حسبما عرفت).</w:t>
      </w:r>
    </w:p>
    <w:p w14:paraId="2BBFF1FB"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ولكن لا يبعد أنْ يقال في مقابل ما ذكره (قدس سره الشريف):</w:t>
      </w:r>
      <w:r w:rsidRPr="00F27422">
        <w:rPr>
          <w:rFonts w:asciiTheme="minorBidi" w:hAnsiTheme="minorBidi"/>
          <w:sz w:val="32"/>
          <w:szCs w:val="32"/>
          <w:rtl/>
        </w:rPr>
        <w:t xml:space="preserve"> أنّ الشرط الضمني إنّما يكون موضوعاً للخيار بالبناء العقلائي؛ إذ لا مدرك لكون الشرط الضمني موضوعاً للخيار إلّا البناء </w:t>
      </w:r>
      <w:r w:rsidRPr="00F27422">
        <w:rPr>
          <w:rFonts w:asciiTheme="minorBidi" w:hAnsiTheme="minorBidi"/>
          <w:sz w:val="32"/>
          <w:szCs w:val="32"/>
          <w:rtl/>
        </w:rPr>
        <w:lastRenderedPageBreak/>
        <w:t>العقلائي، وثبوت البناء العقلائي في المقام بأنْ يرى العقلاء أنّ له خياراً يبتني على تحليل نكتة الشرط الذي أجرى البائع البيعَ مبنياً عليه.</w:t>
      </w:r>
    </w:p>
    <w:p w14:paraId="7DB3078A"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فإنْ كان الشرط شرطاً مالياً،</w:t>
      </w:r>
      <w:r w:rsidRPr="00F27422">
        <w:rPr>
          <w:rFonts w:asciiTheme="minorBidi" w:hAnsiTheme="minorBidi"/>
          <w:sz w:val="32"/>
          <w:szCs w:val="32"/>
          <w:rtl/>
        </w:rPr>
        <w:t xml:space="preserve"> كأنْ تكون للمنفعة قيمةٌ ماليةٌ معتدٌ بها ونقصت قيمة العين بسبب اعتقاد عدمها ثبت خيار الغبن، لكن المفروض في المقام أنّ البائع قد </w:t>
      </w:r>
      <w:proofErr w:type="gramStart"/>
      <w:r w:rsidRPr="00F27422">
        <w:rPr>
          <w:rFonts w:asciiTheme="minorBidi" w:hAnsiTheme="minorBidi"/>
          <w:sz w:val="32"/>
          <w:szCs w:val="32"/>
          <w:rtl/>
        </w:rPr>
        <w:t>استلم</w:t>
      </w:r>
      <w:proofErr w:type="gramEnd"/>
      <w:r w:rsidRPr="00F27422">
        <w:rPr>
          <w:rFonts w:asciiTheme="minorBidi" w:hAnsiTheme="minorBidi"/>
          <w:sz w:val="32"/>
          <w:szCs w:val="32"/>
          <w:rtl/>
        </w:rPr>
        <w:t xml:space="preserve"> ما يقابلها بحسب القيمة السوقية، فلا معنى لثبوت الخيار؛ لأنّ نكتة ثبوت الخيار كون الشرط شرطاً مالياً والمفروض أنّه </w:t>
      </w:r>
      <w:proofErr w:type="gramStart"/>
      <w:r w:rsidRPr="00F27422">
        <w:rPr>
          <w:rFonts w:asciiTheme="minorBidi" w:hAnsiTheme="minorBidi"/>
          <w:sz w:val="32"/>
          <w:szCs w:val="32"/>
          <w:rtl/>
        </w:rPr>
        <w:t>استلم</w:t>
      </w:r>
      <w:proofErr w:type="gramEnd"/>
      <w:r w:rsidRPr="00F27422">
        <w:rPr>
          <w:rFonts w:asciiTheme="minorBidi" w:hAnsiTheme="minorBidi"/>
          <w:sz w:val="32"/>
          <w:szCs w:val="32"/>
          <w:rtl/>
        </w:rPr>
        <w:t xml:space="preserve"> عوضه.</w:t>
      </w:r>
    </w:p>
    <w:p w14:paraId="583545C6" w14:textId="77777777" w:rsidR="00D10434" w:rsidRPr="00F27422" w:rsidRDefault="00D10434" w:rsidP="00122B70">
      <w:pPr>
        <w:bidi/>
        <w:rPr>
          <w:rFonts w:asciiTheme="minorBidi" w:hAnsiTheme="minorBidi"/>
          <w:sz w:val="32"/>
          <w:szCs w:val="32"/>
          <w:rtl/>
        </w:rPr>
      </w:pPr>
      <w:r w:rsidRPr="00F27422">
        <w:rPr>
          <w:rFonts w:asciiTheme="minorBidi" w:hAnsiTheme="minorBidi"/>
          <w:b/>
          <w:bCs/>
          <w:sz w:val="32"/>
          <w:szCs w:val="32"/>
          <w:rtl/>
        </w:rPr>
        <w:t>وأمّا إنْ كان الشرط شرطاً شخصياً،</w:t>
      </w:r>
      <w:r w:rsidRPr="00F27422">
        <w:rPr>
          <w:rFonts w:asciiTheme="minorBidi" w:hAnsiTheme="minorBidi"/>
          <w:sz w:val="32"/>
          <w:szCs w:val="32"/>
          <w:rtl/>
        </w:rPr>
        <w:t xml:space="preserve"> كأنْ لا تكون للمنفعة – فرضاً – أيّ قيمة وأنّ البائع باع العين للمشتري مسلوبة المنفعة لاعتقاده أنّ العين مستأجرة لا لأجل احتفاظه بالمنفعة، فالشرط حينئذٍ ليس شرطاً مالياً؛ وإنّما هو مجرّد شرطٍ شخصيٍّ ناشئ عن خيال، فلا يُرى لدى المرتكز العقلائي كون هذا الشرط موضوعاً للخيار.</w:t>
      </w:r>
    </w:p>
    <w:p w14:paraId="0EC29486"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sz w:val="32"/>
          <w:szCs w:val="32"/>
          <w:rtl/>
        </w:rPr>
        <w:t>نعم، لو كان للشرط منشأٌ عقلائي كما في غير محل البحث، كما لو كان للمنفعة التي اشتُرط عدمُها أهمية إمّا من خلال أنّ الصفة نفيسة لا يُتبادل عليها المال نظير بعض الأعيان التي وإنْ لم تكن لها قيمة سوقية لكن لأنّها إرث الأجداد أو تذكر بتاريخٍ معينٍ أو ترتبط بحدثٍ معينٍ فلا يرضى المالك بانتقالها إلى غيره بل يهمه الاحتفاظ بها، فهذه وإنْ لم يكن لها قيمةٌ سوقية لكن لا يقع التبادل عليها لنفاستها والرغبة في بقائها في الِملك، أو كون نقلها للغير ضرراً قانونياً على البائع، كما لو كان يتضرر قانوناً إذا باع السيارة بهذه الصناعة المعينة وإنْ كان قد استلم عوضها، فهو لأجل تجنب الضرر القانوني باعها بانياً على أنّها مسلوبة المنفعة، بل بالنتيجة إذا ترتب ضررٌ قانوني على نقل المنفعة كان الشرط شرطاً مالياً؛ لأنّ الضرر القانوني له عوضٌ مالي لا محالة.</w:t>
      </w:r>
    </w:p>
    <w:p w14:paraId="59C8991E"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وبناءً عليه فينبغي أنْ يقال:</w:t>
      </w:r>
      <w:r w:rsidRPr="00F27422">
        <w:rPr>
          <w:rFonts w:asciiTheme="minorBidi" w:hAnsiTheme="minorBidi"/>
          <w:sz w:val="32"/>
          <w:szCs w:val="32"/>
          <w:rtl/>
        </w:rPr>
        <w:t xml:space="preserve"> الغبن نوعان: غبنٌ حقيقي، وغبنٌ حكمي.</w:t>
      </w:r>
    </w:p>
    <w:p w14:paraId="7FA6F5D3"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أمّا الغبن الحقيقي:</w:t>
      </w:r>
      <w:r w:rsidRPr="00F27422">
        <w:rPr>
          <w:rFonts w:asciiTheme="minorBidi" w:hAnsiTheme="minorBidi"/>
          <w:sz w:val="32"/>
          <w:szCs w:val="32"/>
          <w:rtl/>
        </w:rPr>
        <w:t xml:space="preserve"> فهو الغبن المالي، بأنّ يخسر صفةً ذات قيمةٍ ماليةٍ.</w:t>
      </w:r>
    </w:p>
    <w:p w14:paraId="4331AF5D"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وأمّا الغبن الحكمي:</w:t>
      </w:r>
      <w:r w:rsidRPr="00F27422">
        <w:rPr>
          <w:rFonts w:asciiTheme="minorBidi" w:hAnsiTheme="minorBidi"/>
          <w:sz w:val="32"/>
          <w:szCs w:val="32"/>
          <w:rtl/>
        </w:rPr>
        <w:t xml:space="preserve"> فهو عبارة عن كون المنفعة المنظورة ذات أهمية تستوجب التنافس عليها، وإنْ لم يكن البائع مغبوناً لاستلامه القيمة السوقية بوصف كون المبيع دون المنفعة بشرطٍ لفظي أو ارتكازي فيثبت له الخيار في المقام، لكن لا من باب خيار الرؤية - كما في بعض الكلمات - لأنّه لا مدرك له أصلاً إلّا تخلّف الشرط الارتكازي، ولا من باب خيار تخلّف الشرط - كما في كلمات سيدنا الخوئي (قدس سره الشريف) -؛ بل هو من باب خيار الغبن.</w:t>
      </w:r>
    </w:p>
    <w:p w14:paraId="64216B9C" w14:textId="77777777" w:rsidR="00D10434" w:rsidRPr="00F27422" w:rsidRDefault="00D10434" w:rsidP="00122B70">
      <w:pPr>
        <w:bidi/>
        <w:rPr>
          <w:rFonts w:asciiTheme="minorBidi" w:hAnsiTheme="minorBidi"/>
          <w:sz w:val="32"/>
          <w:szCs w:val="32"/>
          <w:rtl/>
        </w:rPr>
      </w:pPr>
      <w:r w:rsidRPr="00F27422">
        <w:rPr>
          <w:rFonts w:asciiTheme="minorBidi" w:hAnsiTheme="minorBidi"/>
          <w:sz w:val="32"/>
          <w:szCs w:val="32"/>
          <w:rtl/>
        </w:rPr>
        <w:lastRenderedPageBreak/>
        <w:t>فإنّ لخيار الغبن دليلاً ومدركاً مستقلاً وهو بناءُ العقلاء عليه بغض النظر عن الشرط الارتكازي، وبناءً عليه يثبت في المقام خيار الغبن، فإنّ الغبن وإنْ لم يكن غبناً حقيقياً مالياً إلّا أنّه غبنٌ حكمي بمعنى خسارة المنفعة التي يحرص البائع على عدم انتقالها للمشتري ولو في مدّةٍ معينة، ولا فرق بينهما بحسب المرتكزات.</w:t>
      </w:r>
    </w:p>
    <w:p w14:paraId="712A1DEE" w14:textId="77777777" w:rsidR="00D10434" w:rsidRPr="00F27422" w:rsidRDefault="00D10434" w:rsidP="00122B70">
      <w:pPr>
        <w:bidi/>
        <w:rPr>
          <w:rFonts w:asciiTheme="minorBidi" w:hAnsiTheme="minorBidi"/>
          <w:sz w:val="32"/>
          <w:szCs w:val="32"/>
          <w:rtl/>
        </w:rPr>
      </w:pPr>
      <w:r w:rsidRPr="00F27422">
        <w:rPr>
          <w:rFonts w:asciiTheme="minorBidi" w:hAnsiTheme="minorBidi"/>
          <w:sz w:val="32"/>
          <w:szCs w:val="32"/>
          <w:rtl/>
        </w:rPr>
        <w:t>فالنتيجة: أنّ ما ذكره سيد العروة ووافقه سيدنا الخوئي (قدس سرهما) مِن ثبوت الخيار هنا مطلقاً محل منعٍ.</w:t>
      </w:r>
    </w:p>
    <w:p w14:paraId="77CB20A1" w14:textId="77777777" w:rsidR="00D10434" w:rsidRPr="00F27422" w:rsidRDefault="00D10434" w:rsidP="00122B70">
      <w:pPr>
        <w:pStyle w:val="Heading3"/>
        <w:bidi/>
        <w:rPr>
          <w:rFonts w:asciiTheme="minorBidi" w:hAnsiTheme="minorBidi" w:cstheme="minorBidi"/>
          <w:b/>
          <w:bCs/>
          <w:sz w:val="32"/>
          <w:szCs w:val="32"/>
          <w:rtl/>
          <w:lang w:bidi="ar-BH"/>
        </w:rPr>
      </w:pPr>
      <w:r w:rsidRPr="00F27422">
        <w:rPr>
          <w:rFonts w:asciiTheme="minorBidi" w:hAnsiTheme="minorBidi" w:cstheme="minorBidi"/>
          <w:b/>
          <w:bCs/>
          <w:sz w:val="32"/>
          <w:szCs w:val="32"/>
          <w:rtl/>
        </w:rPr>
        <w:t>المطلب السابع:</w:t>
      </w:r>
      <w:r w:rsidRPr="00F27422">
        <w:rPr>
          <w:rFonts w:asciiTheme="minorBidi" w:hAnsiTheme="minorBidi" w:cstheme="minorBidi"/>
          <w:sz w:val="32"/>
          <w:szCs w:val="32"/>
          <w:rtl/>
        </w:rPr>
        <w:t xml:space="preserve"> قال سيد العروة (قدس سره الشريف): </w:t>
      </w:r>
      <w:r w:rsidRPr="00F27422">
        <w:rPr>
          <w:rFonts w:asciiTheme="minorBidi" w:hAnsiTheme="minorBidi" w:cstheme="minorBidi"/>
          <w:b/>
          <w:bCs/>
          <w:sz w:val="32"/>
          <w:szCs w:val="32"/>
          <w:rtl/>
        </w:rPr>
        <w:t>(أمّا لو بيعت عليه ففي انفساخ الإجارة وجهان، أقواهما العدم).</w:t>
      </w:r>
    </w:p>
    <w:p w14:paraId="46AFB35A"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وتوضيح المسألة بالمثال:</w:t>
      </w:r>
      <w:r w:rsidRPr="00F27422">
        <w:rPr>
          <w:rFonts w:asciiTheme="minorBidi" w:hAnsiTheme="minorBidi"/>
          <w:sz w:val="32"/>
          <w:szCs w:val="32"/>
          <w:rtl/>
        </w:rPr>
        <w:t xml:space="preserve"> لو أنّ زيداً آجر الدارَ لعمروٍ لمدّة سنةٍ، فمَلَكَ عمروٌ منفعة الدار لمدّة سنةٍ، وبعد أسبوع باع البائعُ العينَ المُستأجرة على نفس المُستأجر.</w:t>
      </w:r>
    </w:p>
    <w:p w14:paraId="5D806F11"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sz w:val="32"/>
          <w:szCs w:val="32"/>
          <w:rtl/>
        </w:rPr>
        <w:t>فهل البيعُ يُبطِل الإجارة أم يبقى السببان على تأثيرهما؟</w:t>
      </w:r>
    </w:p>
    <w:p w14:paraId="2331C42E"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sz w:val="32"/>
          <w:szCs w:val="32"/>
          <w:rtl/>
        </w:rPr>
        <w:t>وقد أفاد سيد العروة (قدس سره الشريف) بأنّ الأقوى عدم انفساخ الإجارة.</w:t>
      </w:r>
    </w:p>
    <w:p w14:paraId="473FECDB"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ومعنى ذلك:</w:t>
      </w:r>
      <w:r w:rsidRPr="00F27422">
        <w:rPr>
          <w:rFonts w:asciiTheme="minorBidi" w:hAnsiTheme="minorBidi"/>
          <w:sz w:val="32"/>
          <w:szCs w:val="32"/>
          <w:rtl/>
        </w:rPr>
        <w:t xml:space="preserve"> أنّ المشتري يملك العين بسببٍ ويملك المنفعة بسببٍ آخر.</w:t>
      </w:r>
    </w:p>
    <w:p w14:paraId="7A6E66B8"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sz w:val="32"/>
          <w:szCs w:val="32"/>
          <w:rtl/>
        </w:rPr>
        <w:t>وقد طرحت هذه المسألة وبحثت بحثاً مفصلاً كما نقل في الجواهر.</w:t>
      </w:r>
    </w:p>
    <w:p w14:paraId="7867A6E3"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حيث إنّ ظاهر جملةٍ من الفقهاء القول بالانفساخ وهو أنّ البيعَ يبطلُ الإجارة، وقد استدل له بوجوهٍ:</w:t>
      </w:r>
    </w:p>
    <w:p w14:paraId="3B7A5105"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b/>
          <w:bCs/>
          <w:sz w:val="32"/>
          <w:szCs w:val="32"/>
          <w:rtl/>
        </w:rPr>
        <w:t>الوجه الأوّل:</w:t>
      </w:r>
      <w:r w:rsidRPr="00F27422">
        <w:rPr>
          <w:rFonts w:asciiTheme="minorBidi" w:hAnsiTheme="minorBidi"/>
          <w:sz w:val="32"/>
          <w:szCs w:val="32"/>
          <w:rtl/>
        </w:rPr>
        <w:t xml:space="preserve"> ما أشار إليه في جامع المقاصد مِن قياس المقام على نكاح المِلك، حيث إنّ النكاح لا يجتمع مع المِلك لا حدوثاً ولا بقاءً، فلذلك لو عقد الزواج على أمةٍ ثّم اشتراها، فإنّ مِلكها يبطل النكاح؛ بل يكون وطؤه لها مِن باب المِلك لا مِن باب النكاح، ولو كانت مملوكة له من الأوّل لم يصح العقد عليها؛ فإنّ المِلك يبطلُ النكاحَ حدوثاً وبقاءً. فقاس جامع المقاصد المقام على ذلك الباب بناءً على أنّ مَن مَلَكَ العين فقد مَلَكَ معها منفعتها، فمِلكيّة المنفعة بسببٍ سابق - وهو الإجارة - باطلٌ؛ لأنّه بمِلكه العين بالبيع مَلَكَ المنفعة تبعاً للعين بنفس السبب وهو البيع، فلا يبقى معه تأثيرٌ للسبب السابق وهو ملكية المنفعة بالإجارة.</w:t>
      </w:r>
    </w:p>
    <w:p w14:paraId="5E82FEB6" w14:textId="77777777" w:rsidR="00D10434" w:rsidRPr="00F27422" w:rsidRDefault="00D10434" w:rsidP="00122B70">
      <w:pPr>
        <w:bidi/>
        <w:rPr>
          <w:rFonts w:asciiTheme="minorBidi" w:hAnsiTheme="minorBidi"/>
          <w:b/>
          <w:bCs/>
          <w:sz w:val="32"/>
          <w:szCs w:val="32"/>
          <w:rtl/>
          <w:lang w:bidi="ar-BH"/>
        </w:rPr>
      </w:pPr>
      <w:r w:rsidRPr="00F27422">
        <w:rPr>
          <w:rFonts w:asciiTheme="minorBidi" w:hAnsiTheme="minorBidi"/>
          <w:sz w:val="32"/>
          <w:szCs w:val="32"/>
          <w:rtl/>
        </w:rPr>
        <w:t xml:space="preserve">ونص عبارته كما في [جامع المقاصد في شرح القواعد، المحقق الكركي، مؤسسة آل البيت (عليهم السلام)، ج7، ص90]: </w:t>
      </w:r>
      <w:r w:rsidRPr="00F27422">
        <w:rPr>
          <w:rFonts w:asciiTheme="minorBidi" w:hAnsiTheme="minorBidi"/>
          <w:b/>
          <w:bCs/>
          <w:sz w:val="32"/>
          <w:szCs w:val="32"/>
          <w:rtl/>
        </w:rPr>
        <w:t xml:space="preserve">(ووجه الانفساخ: أن ملك العين يستدعي ملك المنافع، لأنها نماء الملك، وتمتنع المعاوضة على المنافع من مالكها. وفيه نظر، لأن ملك العين يقتضي </w:t>
      </w:r>
      <w:r w:rsidRPr="00F27422">
        <w:rPr>
          <w:rFonts w:asciiTheme="minorBidi" w:hAnsiTheme="minorBidi"/>
          <w:b/>
          <w:bCs/>
          <w:sz w:val="32"/>
          <w:szCs w:val="32"/>
          <w:rtl/>
        </w:rPr>
        <w:lastRenderedPageBreak/>
        <w:t xml:space="preserve">ملك المنافع تبعاً، إذا لم يسبق ملكها بسبب آخر لا مطلقاً، ولأن المنافع إذا امتنعت المعاوضة عليها بعد تملكها امتنعت المعاوضة عليها بعد التملك، إذا حدث التملك فإنها تتجدد كالأمة، فإنها لما امتنع نكاحها من مالكها حكم بانفساخ النكاح إذا طرأ عليه الملك. وليس بشي‌ء، فإنّ تجدد المنافع لا ينافي ملكها بالعقد السابق وانفساخ النكاح، لأن جواز الانتفاع بالبضع إنما يكون مع الملك أو العقد </w:t>
      </w:r>
      <w:proofErr w:type="gramStart"/>
      <w:r w:rsidRPr="00F27422">
        <w:rPr>
          <w:rFonts w:asciiTheme="minorBidi" w:hAnsiTheme="minorBidi"/>
          <w:b/>
          <w:bCs/>
          <w:sz w:val="32"/>
          <w:szCs w:val="32"/>
          <w:rtl/>
        </w:rPr>
        <w:t>و يمتنع</w:t>
      </w:r>
      <w:proofErr w:type="gramEnd"/>
      <w:r w:rsidRPr="00F27422">
        <w:rPr>
          <w:rFonts w:asciiTheme="minorBidi" w:hAnsiTheme="minorBidi"/>
          <w:b/>
          <w:bCs/>
          <w:sz w:val="32"/>
          <w:szCs w:val="32"/>
          <w:rtl/>
        </w:rPr>
        <w:t xml:space="preserve"> اجتماعهما لظاهر قوله تعالى: (إِلّٰا عَلىٰ أَزْوٰاجِهِمْ أَوْ مٰا مَلَكَتْ أَيْمٰانُهُمْ) [المؤمنون،6]، والتفصيل قاطع للشركة، والنكاح لا يقتضي ملك </w:t>
      </w:r>
      <w:proofErr w:type="gramStart"/>
      <w:r w:rsidRPr="00F27422">
        <w:rPr>
          <w:rFonts w:asciiTheme="minorBidi" w:hAnsiTheme="minorBidi"/>
          <w:b/>
          <w:bCs/>
          <w:sz w:val="32"/>
          <w:szCs w:val="32"/>
          <w:rtl/>
        </w:rPr>
        <w:t>المنافع</w:t>
      </w:r>
      <w:proofErr w:type="gramEnd"/>
      <w:r w:rsidRPr="00F27422">
        <w:rPr>
          <w:rFonts w:asciiTheme="minorBidi" w:hAnsiTheme="minorBidi"/>
          <w:b/>
          <w:bCs/>
          <w:sz w:val="32"/>
          <w:szCs w:val="32"/>
          <w:rtl/>
        </w:rPr>
        <w:t xml:space="preserve"> بل جواز الانتفاع، وللإجماع على حكم النكاح بخلاف ما نحن فيه).</w:t>
      </w:r>
    </w:p>
    <w:p w14:paraId="62727A69" w14:textId="77777777" w:rsidR="00D10434" w:rsidRPr="00F27422" w:rsidRDefault="00D10434" w:rsidP="00122B70">
      <w:pPr>
        <w:bidi/>
        <w:rPr>
          <w:rFonts w:asciiTheme="minorBidi" w:hAnsiTheme="minorBidi"/>
          <w:sz w:val="32"/>
          <w:szCs w:val="32"/>
          <w:rtl/>
        </w:rPr>
      </w:pPr>
      <w:r w:rsidRPr="00F27422">
        <w:rPr>
          <w:rFonts w:asciiTheme="minorBidi" w:hAnsiTheme="minorBidi"/>
          <w:b/>
          <w:bCs/>
          <w:sz w:val="32"/>
          <w:szCs w:val="32"/>
          <w:rtl/>
        </w:rPr>
        <w:t>والجواب عن ذلك واضحٌ:</w:t>
      </w:r>
      <w:r w:rsidRPr="00F27422">
        <w:rPr>
          <w:rFonts w:asciiTheme="minorBidi" w:hAnsiTheme="minorBidi"/>
          <w:sz w:val="32"/>
          <w:szCs w:val="32"/>
          <w:rtl/>
        </w:rPr>
        <w:t xml:space="preserve"> - كما أشار إليه (قدس سره) - من أنّ القياس في غير محله؛ فالزوجية اعتبار والمِلك اعتبار ولكلٍّ من الاعتبارين آثار عقلائية وشرعية تختلف عن الآخر فلا مجال لقياس أحدهما على الآخر، فإذا كان المِلك لا يجتمع مع النكاح بدليلٍ لفظي أو إجماع فلا يسري هذا الأثر لمِلك الأموال.</w:t>
      </w:r>
    </w:p>
    <w:p w14:paraId="5CCEF65E" w14:textId="77777777" w:rsidR="00D10434" w:rsidRPr="00F27422" w:rsidRDefault="00D10434" w:rsidP="00122B70">
      <w:pPr>
        <w:bidi/>
        <w:rPr>
          <w:rFonts w:asciiTheme="minorBidi" w:hAnsiTheme="minorBidi"/>
          <w:b/>
          <w:bCs/>
          <w:sz w:val="32"/>
          <w:szCs w:val="32"/>
          <w:rtl/>
        </w:rPr>
      </w:pPr>
    </w:p>
    <w:p w14:paraId="0ACE6764" w14:textId="77777777" w:rsidR="00D10434" w:rsidRPr="00F27422" w:rsidRDefault="00D10434"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6C24046E" w14:textId="77777777" w:rsidR="00D10434" w:rsidRPr="00F27422" w:rsidRDefault="00D10434" w:rsidP="00122B70">
      <w:pPr>
        <w:bidi/>
        <w:rPr>
          <w:rFonts w:asciiTheme="minorBidi" w:hAnsiTheme="minorBidi"/>
          <w:sz w:val="32"/>
          <w:szCs w:val="32"/>
          <w:rtl/>
        </w:rPr>
      </w:pPr>
    </w:p>
    <w:p w14:paraId="50E50792" w14:textId="0C92ECC4" w:rsidR="00D10434" w:rsidRPr="00F27422" w:rsidRDefault="00D10434"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011</w:t>
      </w:r>
    </w:p>
    <w:p w14:paraId="7F44333A"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بسم الله الرحمن الرحيم</w:t>
      </w:r>
    </w:p>
    <w:p w14:paraId="766E417C"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والصلاة والسلام على أشرف الأنبياء والمرسلين، محمد وآله الطيبين الطاهرين</w:t>
      </w:r>
    </w:p>
    <w:p w14:paraId="7ED33757" w14:textId="77777777" w:rsidR="006F41C1" w:rsidRPr="00F27422" w:rsidRDefault="006F41C1"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واللعن الدائم على أعدائهم أجمعين إلى قيام يوم الدين</w:t>
      </w:r>
    </w:p>
    <w:p w14:paraId="07FF0A35" w14:textId="77777777" w:rsidR="006F41C1" w:rsidRPr="00F27422" w:rsidRDefault="006F41C1" w:rsidP="00122B70">
      <w:pPr>
        <w:pStyle w:val="a"/>
        <w:bidi/>
        <w:spacing w:line="216" w:lineRule="auto"/>
        <w:jc w:val="left"/>
        <w:rPr>
          <w:rFonts w:asciiTheme="minorBidi" w:hAnsiTheme="minorBidi" w:cstheme="minorBidi"/>
          <w:sz w:val="32"/>
          <w:rtl/>
        </w:rPr>
      </w:pPr>
    </w:p>
    <w:p w14:paraId="5E3741A2" w14:textId="77777777" w:rsidR="006F41C1" w:rsidRPr="00F27422" w:rsidRDefault="006F41C1"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الوجه الثاني:</w:t>
      </w:r>
      <w:r w:rsidRPr="00F27422">
        <w:rPr>
          <w:rFonts w:asciiTheme="minorBidi" w:hAnsiTheme="minorBidi" w:cstheme="minorBidi"/>
          <w:sz w:val="32"/>
          <w:rtl/>
        </w:rPr>
        <w:t xml:space="preserve"> - للقول بانفساخ الإجارة السابقة بالبيع اللاحق - ما ذكره المحقق الأردبيلي (قدس سره الشريف) في كتابه [مجمع الفائدة والبرهان في شرح إرشاد الأذهان، مؤسسة النشر الإسلامي </w:t>
      </w:r>
      <w:proofErr w:type="spellStart"/>
      <w:r w:rsidRPr="00F27422">
        <w:rPr>
          <w:rFonts w:asciiTheme="minorBidi" w:hAnsiTheme="minorBidi" w:cstheme="minorBidi"/>
          <w:sz w:val="32"/>
          <w:rtl/>
        </w:rPr>
        <w:t>التابعو</w:t>
      </w:r>
      <w:proofErr w:type="spellEnd"/>
      <w:r w:rsidRPr="00F27422">
        <w:rPr>
          <w:rFonts w:asciiTheme="minorBidi" w:hAnsiTheme="minorBidi" w:cstheme="minorBidi"/>
          <w:sz w:val="32"/>
          <w:rtl/>
        </w:rPr>
        <w:t xml:space="preserve"> لجماعة المدرسين بقم المشرفة، ج10، ص91] بأنّ </w:t>
      </w:r>
      <w:r w:rsidRPr="00F27422">
        <w:rPr>
          <w:rFonts w:asciiTheme="minorBidi" w:hAnsiTheme="minorBidi" w:cstheme="minorBidi"/>
          <w:sz w:val="32"/>
          <w:highlight w:val="yellow"/>
          <w:rtl/>
        </w:rPr>
        <w:t>لازم بقاء الإجارة</w:t>
      </w:r>
      <w:r w:rsidRPr="00F27422">
        <w:rPr>
          <w:rFonts w:asciiTheme="minorBidi" w:hAnsiTheme="minorBidi" w:cstheme="minorBidi"/>
          <w:sz w:val="32"/>
          <w:rtl/>
        </w:rPr>
        <w:t xml:space="preserve"> بعد حصول البيع مع كون البيع مستلزماً لتملك المنفعة قهراً وتبعاً </w:t>
      </w:r>
      <w:r w:rsidRPr="00F27422">
        <w:rPr>
          <w:rFonts w:asciiTheme="minorBidi" w:hAnsiTheme="minorBidi" w:cstheme="minorBidi"/>
          <w:sz w:val="32"/>
          <w:highlight w:val="yellow"/>
          <w:rtl/>
        </w:rPr>
        <w:t>كون المنفعة مملوكةً بالإجارة والبيع معاً،</w:t>
      </w:r>
      <w:r w:rsidRPr="00F27422">
        <w:rPr>
          <w:rFonts w:asciiTheme="minorBidi" w:hAnsiTheme="minorBidi" w:cstheme="minorBidi"/>
          <w:sz w:val="32"/>
          <w:rtl/>
        </w:rPr>
        <w:t xml:space="preserve"> وهو تحصيلٌ للحاصل وجمع العلتين على معلولٍ واحدٍ.</w:t>
      </w:r>
    </w:p>
    <w:p w14:paraId="08DDCE67" w14:textId="77777777" w:rsidR="006F41C1" w:rsidRPr="00F27422" w:rsidRDefault="006F41C1"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ويمكن صياغة كلامه (قدس سره) بصياغةٍ أُخرى، بأنْ يقال:</w:t>
      </w:r>
      <w:r w:rsidRPr="00F27422">
        <w:rPr>
          <w:rFonts w:asciiTheme="minorBidi" w:hAnsiTheme="minorBidi" w:cstheme="minorBidi"/>
          <w:sz w:val="32"/>
          <w:rtl/>
        </w:rPr>
        <w:t xml:space="preserve"> إنّ تأثير البيع والإجارة في مِلكيّة المنفعة من اجتماع علتين على معلولٍ واحدٍ، وترجيح أحدهما على الآخر في المدّة الباقية للإجارة ترجيحٌ بلا مرجحٍ، ورجوع المنفعة للبائع قطعي البطلان؛ فإنّها خرجت عن ملكه جزماً إمّا بالبيع أو بالإجارة، وبقاءُ المنفعة بلا مالكٍ - إذ لا يمكن رجوعها للبائع، ولا كونها مِلكاً للمشتري - منافٍ للضرورة؛ إذ لا يتصور كون العين مملوكةً دون منفعتها.</w:t>
      </w:r>
    </w:p>
    <w:p w14:paraId="40440422" w14:textId="77777777" w:rsidR="006F41C1" w:rsidRPr="00F27422" w:rsidRDefault="006F41C1"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 xml:space="preserve">فتحصل من ذلك: </w:t>
      </w:r>
      <w:r w:rsidRPr="00F27422">
        <w:rPr>
          <w:rFonts w:asciiTheme="minorBidi" w:hAnsiTheme="minorBidi" w:cstheme="minorBidi"/>
          <w:sz w:val="32"/>
          <w:rtl/>
        </w:rPr>
        <w:t xml:space="preserve">أنّه لا يعقل أنْ تكون المنفعة مملوكةً لمالك العين لا بسبب مِلكيّة </w:t>
      </w:r>
      <w:proofErr w:type="gramStart"/>
      <w:r w:rsidRPr="00F27422">
        <w:rPr>
          <w:rFonts w:asciiTheme="minorBidi" w:hAnsiTheme="minorBidi" w:cstheme="minorBidi"/>
          <w:sz w:val="32"/>
          <w:rtl/>
        </w:rPr>
        <w:t>العين</w:t>
      </w:r>
      <w:proofErr w:type="gramEnd"/>
      <w:r w:rsidRPr="00F27422">
        <w:rPr>
          <w:rFonts w:asciiTheme="minorBidi" w:hAnsiTheme="minorBidi" w:cstheme="minorBidi"/>
          <w:sz w:val="32"/>
          <w:rtl/>
        </w:rPr>
        <w:t xml:space="preserve"> بل بسببٍ آخر وهو الإجارة.</w:t>
      </w:r>
    </w:p>
    <w:p w14:paraId="0C5F6778"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والجواب عن ذلك:</w:t>
      </w:r>
    </w:p>
    <w:p w14:paraId="43111546" w14:textId="77777777" w:rsidR="006F41C1" w:rsidRPr="00F27422" w:rsidRDefault="006F41C1"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lastRenderedPageBreak/>
        <w:t>أولاً:</w:t>
      </w:r>
      <w:r w:rsidRPr="00F27422">
        <w:rPr>
          <w:rFonts w:asciiTheme="minorBidi" w:hAnsiTheme="minorBidi" w:cstheme="minorBidi"/>
          <w:sz w:val="32"/>
          <w:rtl/>
        </w:rPr>
        <w:t xml:space="preserve"> يمكن اختيار المحتمل الأوّل، وهو كون </w:t>
      </w:r>
      <w:r w:rsidRPr="00F27422">
        <w:rPr>
          <w:rFonts w:asciiTheme="minorBidi" w:hAnsiTheme="minorBidi" w:cstheme="minorBidi"/>
          <w:sz w:val="32"/>
          <w:highlight w:val="yellow"/>
          <w:rtl/>
        </w:rPr>
        <w:t>المنفعة مملوكةً بسببين - البيع والإجارة - في</w:t>
      </w:r>
      <w:r w:rsidRPr="00F27422">
        <w:rPr>
          <w:rFonts w:asciiTheme="minorBidi" w:hAnsiTheme="minorBidi" w:cstheme="minorBidi"/>
          <w:sz w:val="32"/>
          <w:rtl/>
        </w:rPr>
        <w:t xml:space="preserve"> آنٍ واحدٍ، وأنّه لا مانع من اجتماع سببين في الأحكام الشرعية على مسبب واحدٍ نوعاً، كما لو أنّ الولدَ قد استأجرَ مِن والده داراً ثمّ مات والدُهُ، فمَلَكَ منفعتها بالإرث وبالإجارة، أو مَن استأجر داراً مِن شخصٍ ثمّ وهبهُ صاحبُ الدارِ العينَ فمَلَكَ منفعتها بالهبة وبالإجارة، فهذا مما لا مانع منه عقلاً ولا عقلاءً؛ لأنّ المِلكيّة مِن الأمور الاعتبارية، ونسبة الأمور الاعتبارية لأسبابها ليست نسبة المعلول لعلته بمعنى نسبة الترشح والتولد كي يقال: لا يعقل اجتماع سببين اعتباريين على مسبب واحدٍ؛ بل نسبة الحكم لموضوعه، فبما أنّ نسبة الأمور الاعتبارية لأسبابها نسبة الحكم لموضوعه فلا مانع من تعدد الموضوع المساوق لتعدد الحكم وإنْ كان متعلق الحكمين واحداً.</w:t>
      </w:r>
    </w:p>
    <w:p w14:paraId="0169FE7E" w14:textId="77777777" w:rsidR="006F41C1" w:rsidRPr="00F27422" w:rsidRDefault="006F41C1"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فيقال:</w:t>
      </w:r>
      <w:r w:rsidRPr="00F27422">
        <w:rPr>
          <w:rFonts w:asciiTheme="minorBidi" w:hAnsiTheme="minorBidi" w:cstheme="minorBidi"/>
          <w:sz w:val="32"/>
          <w:rtl/>
        </w:rPr>
        <w:t xml:space="preserve"> إذا تحقّق بيعٌ وإجارةٌ في زمانٍ واحدٍ كانت المِلكيّة مستندةٌ لهذين الموضوعين، نظير ملكيّة الإمام (عليه السلام) للأرض بإحيائها كما لو قام الإمام المعصوم (عليه السلام) بإحياء الأرض، فهو (عليه السلام) يملكها بالأصالة - حيث إنّ الأرض كلها للإمام (عليها السلام) كما جاء في الروايات </w:t>
      </w:r>
      <w:proofErr w:type="gramStart"/>
      <w:r w:rsidRPr="00F27422">
        <w:rPr>
          <w:rFonts w:asciiTheme="minorBidi" w:hAnsiTheme="minorBidi" w:cstheme="minorBidi"/>
          <w:sz w:val="32"/>
          <w:rtl/>
        </w:rPr>
        <w:t>الشريفة )</w:t>
      </w:r>
      <w:proofErr w:type="gramEnd"/>
      <w:r w:rsidRPr="00F27422">
        <w:rPr>
          <w:rFonts w:asciiTheme="minorBidi" w:hAnsiTheme="minorBidi" w:cstheme="minorBidi"/>
          <w:sz w:val="32"/>
          <w:rtl/>
        </w:rPr>
        <w:t xml:space="preserve"> كما في [أصول الكافي، دار الكتب الإسلامية، ج1، باب أن الأرض كلها للإمام (عليه السلام)، ص407] -، ويملكها </w:t>
      </w:r>
      <w:proofErr w:type="spellStart"/>
      <w:r w:rsidRPr="00F27422">
        <w:rPr>
          <w:rFonts w:asciiTheme="minorBidi" w:hAnsiTheme="minorBidi" w:cstheme="minorBidi"/>
          <w:sz w:val="32"/>
          <w:rtl/>
        </w:rPr>
        <w:t>بإلاحياء</w:t>
      </w:r>
      <w:proofErr w:type="spellEnd"/>
      <w:r w:rsidRPr="00F27422">
        <w:rPr>
          <w:rFonts w:asciiTheme="minorBidi" w:hAnsiTheme="minorBidi" w:cstheme="minorBidi"/>
          <w:sz w:val="32"/>
          <w:rtl/>
        </w:rPr>
        <w:t>، ولا مانع من اجتماع موضوعين لمسبب واحدٍ نوعاً ألّا وهو المِلكيّة وإنْ كان متعدداً شخصاً.</w:t>
      </w:r>
    </w:p>
    <w:p w14:paraId="5A54D601"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وبذلك يظهر وجه المناقشة فيما ذكره بعض الأجلة (رحمه الله) في كتابه [الإجارة، ج1، ص216] حيث قال: </w:t>
      </w:r>
      <w:r w:rsidRPr="00F27422">
        <w:rPr>
          <w:rFonts w:asciiTheme="minorBidi" w:hAnsiTheme="minorBidi" w:cstheme="minorBidi"/>
          <w:b/>
          <w:bCs/>
          <w:sz w:val="32"/>
          <w:rtl/>
        </w:rPr>
        <w:t xml:space="preserve">(أنّه لا مانع من اجتماع علتين على معلول واحد، فإنّه عندئذٍ يكون مجموعهما علّة في إيجاد ذلك المعلول الواحد). </w:t>
      </w:r>
      <w:r w:rsidRPr="00F27422">
        <w:rPr>
          <w:rFonts w:asciiTheme="minorBidi" w:hAnsiTheme="minorBidi" w:cstheme="minorBidi"/>
          <w:sz w:val="32"/>
          <w:rtl/>
        </w:rPr>
        <w:t xml:space="preserve">فإنّ هذا خلف مفروض الكلام، فإنّ مفروض الكلام ومورد الإشكال هو استنادُ المِلكيّة لكلٍّ منهما مستقلاً عن الآخر، وأمّا إذا قلنا بأنّ مجموعهما علّة واحدة فهذا خروج عما هو مصب الإشكال؛ فإنّ مصب الإشكال استنادُ الملكيّة لكلٍّ من السببين في حدّ نفسه وعلى نحو الاستقلال، وهذا ما نقول عنه بأنّه لا مانع منه في الأمور الاعتبارية، بمعنى حدوث ملكيتين لمملوكٍ واحدٍ بسببين أي موضوعين لا مِلكيّةً واحدةً لمجموع السببين، ويكفي في صحته كون أحدهما محدوداً والآخر لا </w:t>
      </w:r>
      <w:proofErr w:type="gramStart"/>
      <w:r w:rsidRPr="00F27422">
        <w:rPr>
          <w:rFonts w:asciiTheme="minorBidi" w:hAnsiTheme="minorBidi" w:cstheme="minorBidi"/>
          <w:sz w:val="32"/>
          <w:rtl/>
        </w:rPr>
        <w:t>بشرط .</w:t>
      </w:r>
      <w:proofErr w:type="gramEnd"/>
    </w:p>
    <w:p w14:paraId="03A2C0FB" w14:textId="635A1BC6" w:rsidR="006F41C1" w:rsidRPr="00F27422" w:rsidRDefault="006F41C1"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وثانياً:</w:t>
      </w:r>
      <w:r w:rsidRPr="00F27422">
        <w:rPr>
          <w:rFonts w:asciiTheme="minorBidi" w:hAnsiTheme="minorBidi" w:cstheme="minorBidi"/>
          <w:sz w:val="32"/>
          <w:rtl/>
        </w:rPr>
        <w:t xml:space="preserve"> يمكن اختيار المحتمل الثاني، وهو تقديم الإجارة على البيع، لا من باب الترجيح كي يقال إنّه ترجيحٌ بلا مرجحٍ؛ بل من باب عدم المزاحمة أصلاً، إذ لا منافاة بين الـ "لا </w:t>
      </w:r>
      <w:proofErr w:type="spellStart"/>
      <w:r w:rsidRPr="00F27422">
        <w:rPr>
          <w:rFonts w:asciiTheme="minorBidi" w:hAnsiTheme="minorBidi" w:cstheme="minorBidi"/>
          <w:sz w:val="32"/>
          <w:rtl/>
        </w:rPr>
        <w:t>قتضاء</w:t>
      </w:r>
      <w:proofErr w:type="spellEnd"/>
      <w:r w:rsidRPr="00F27422">
        <w:rPr>
          <w:rFonts w:asciiTheme="minorBidi" w:hAnsiTheme="minorBidi" w:cstheme="minorBidi"/>
          <w:sz w:val="32"/>
          <w:rtl/>
        </w:rPr>
        <w:t xml:space="preserve">" و "الاقتضاء" فإنّ الإجارة بالنسبة للمنفعة مِن قبيل "الاقتضاء" وأمّا البيع بالنسبة </w:t>
      </w:r>
      <w:proofErr w:type="spellStart"/>
      <w:r w:rsidRPr="00F27422">
        <w:rPr>
          <w:rFonts w:asciiTheme="minorBidi" w:hAnsiTheme="minorBidi" w:cstheme="minorBidi"/>
          <w:sz w:val="32"/>
          <w:rtl/>
        </w:rPr>
        <w:t>للمنفعه</w:t>
      </w:r>
      <w:proofErr w:type="spellEnd"/>
      <w:r w:rsidRPr="00F27422">
        <w:rPr>
          <w:rFonts w:asciiTheme="minorBidi" w:hAnsiTheme="minorBidi" w:cstheme="minorBidi"/>
          <w:sz w:val="32"/>
          <w:rtl/>
        </w:rPr>
        <w:t xml:space="preserve"> في المقام</w:t>
      </w:r>
      <w:r w:rsidR="00112222" w:rsidRPr="00F27422">
        <w:rPr>
          <w:rFonts w:asciiTheme="minorBidi" w:hAnsiTheme="minorBidi" w:cstheme="minorBidi"/>
          <w:sz w:val="32"/>
          <w:rtl/>
        </w:rPr>
        <w:t xml:space="preserve"> </w:t>
      </w:r>
      <w:r w:rsidRPr="00F27422">
        <w:rPr>
          <w:rFonts w:asciiTheme="minorBidi" w:hAnsiTheme="minorBidi" w:cstheme="minorBidi"/>
          <w:sz w:val="32"/>
          <w:rtl/>
        </w:rPr>
        <w:t xml:space="preserve">فهو من باب الـ "لا </w:t>
      </w:r>
      <w:proofErr w:type="spellStart"/>
      <w:r w:rsidRPr="00F27422">
        <w:rPr>
          <w:rFonts w:asciiTheme="minorBidi" w:hAnsiTheme="minorBidi" w:cstheme="minorBidi"/>
          <w:sz w:val="32"/>
          <w:rtl/>
        </w:rPr>
        <w:t>قتضاء</w:t>
      </w:r>
      <w:proofErr w:type="spellEnd"/>
      <w:r w:rsidRPr="00F27422">
        <w:rPr>
          <w:rFonts w:asciiTheme="minorBidi" w:hAnsiTheme="minorBidi" w:cstheme="minorBidi"/>
          <w:sz w:val="32"/>
          <w:rtl/>
        </w:rPr>
        <w:t>".</w:t>
      </w:r>
    </w:p>
    <w:p w14:paraId="15D2093F"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وبيان ذلك:</w:t>
      </w:r>
      <w:r w:rsidRPr="00F27422">
        <w:rPr>
          <w:rFonts w:asciiTheme="minorBidi" w:hAnsiTheme="minorBidi" w:cstheme="minorBidi"/>
          <w:sz w:val="32"/>
          <w:rtl/>
        </w:rPr>
        <w:t xml:space="preserve"> أنّ تبعية المنفعة للعين في المِلكيّة إمّا أمرٌ حكمي أو أمرٌ إنشائي – وقد سبق بحثه -، أي: أنّ هناك اتجاهين:</w:t>
      </w:r>
    </w:p>
    <w:p w14:paraId="35B961DF"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الاتجاه الأوّل:</w:t>
      </w:r>
      <w:r w:rsidRPr="00F27422">
        <w:rPr>
          <w:rFonts w:asciiTheme="minorBidi" w:hAnsiTheme="minorBidi" w:cstheme="minorBidi"/>
          <w:sz w:val="32"/>
          <w:rtl/>
        </w:rPr>
        <w:t xml:space="preserve"> أنّ تبعية المنفعة للعين أمرٌ حكمي، فالبيع لا يقتضي تملك المنفعة، لكن إذا تحقّق حكم العقلاء بأنّ مَن مَلَكَ العين مَلَكَ المنفعة فالتبعية مجردُ حكمٍ عقلائي موضوعه مِلك العين.</w:t>
      </w:r>
    </w:p>
    <w:p w14:paraId="23EC7364"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الاتجاه الآخر:</w:t>
      </w:r>
      <w:r w:rsidRPr="00F27422">
        <w:rPr>
          <w:rFonts w:asciiTheme="minorBidi" w:hAnsiTheme="minorBidi" w:cstheme="minorBidi"/>
          <w:sz w:val="32"/>
          <w:rtl/>
        </w:rPr>
        <w:t xml:space="preserve"> أنّ تبعية المنفعة للعين أمرٌ إنشائي - لا حكمي - بمعنى أنّ مَن أنشأ تمليك العين فقد قصد تمليكها بما لها مِن حيثياتٍ، ومِن حيثياتها منافعها، فدور العقلاء مجرد الإمضاء لما أُنشأ، لا أنّ هناك حكماً عقلائياً بتبعية المنفعة للعين في المِلكيّة.</w:t>
      </w:r>
    </w:p>
    <w:p w14:paraId="411392D4"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وبناءً على كلٍّ منهما:</w:t>
      </w:r>
      <w:r w:rsidRPr="00F27422">
        <w:rPr>
          <w:rFonts w:asciiTheme="minorBidi" w:hAnsiTheme="minorBidi" w:cstheme="minorBidi"/>
          <w:sz w:val="32"/>
          <w:rtl/>
        </w:rPr>
        <w:t xml:space="preserve"> لا يرد أيّ إشكالٍ في تقدم الإجارة على البيع.</w:t>
      </w:r>
    </w:p>
    <w:p w14:paraId="26F49E24"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أمّا إذا قلنا بالاتجاه الأوّل،</w:t>
      </w:r>
      <w:r w:rsidRPr="00F27422">
        <w:rPr>
          <w:rFonts w:asciiTheme="minorBidi" w:hAnsiTheme="minorBidi" w:cstheme="minorBidi"/>
          <w:sz w:val="32"/>
          <w:rtl/>
        </w:rPr>
        <w:t xml:space="preserve"> وهو أنّ التبعية أمرٌ حكمي عقلائي مِن دون اقتضاءٍ في إنشاء البيع لذلك</w:t>
      </w:r>
      <w:r w:rsidRPr="00F27422">
        <w:rPr>
          <w:rFonts w:asciiTheme="minorBidi" w:hAnsiTheme="minorBidi" w:cstheme="minorBidi"/>
          <w:color w:val="156082" w:themeColor="accent1"/>
          <w:sz w:val="32"/>
          <w:rtl/>
        </w:rPr>
        <w:t>، فمن الواضح حينئذٍ أنّ البيع الموضوع عند العقلاء للحكم بالتبعية إنّما هو</w:t>
      </w:r>
      <w:r w:rsidRPr="00F27422">
        <w:rPr>
          <w:rFonts w:asciiTheme="minorBidi" w:hAnsiTheme="minorBidi" w:cstheme="minorBidi"/>
          <w:sz w:val="32"/>
          <w:rtl/>
        </w:rPr>
        <w:t xml:space="preserve"> في فرض كون المنفعة مملوكةً للبائع حين البيع، فإذا باع شخصٌ العينَ وكانت منفعتها مملوكةً له </w:t>
      </w:r>
      <w:r w:rsidRPr="00F27422">
        <w:rPr>
          <w:rFonts w:asciiTheme="minorBidi" w:hAnsiTheme="minorBidi" w:cstheme="minorBidi"/>
          <w:sz w:val="32"/>
          <w:rtl/>
        </w:rPr>
        <w:lastRenderedPageBreak/>
        <w:t xml:space="preserve">حين البيع حكم العقلاء بأنّ المنفعة تتبع العين في المِلكيّة الجديدة، وأمّا إذا كان </w:t>
      </w:r>
      <w:r w:rsidRPr="00F27422">
        <w:rPr>
          <w:rFonts w:asciiTheme="minorBidi" w:hAnsiTheme="minorBidi" w:cstheme="minorBidi"/>
          <w:sz w:val="32"/>
          <w:highlight w:val="yellow"/>
          <w:rtl/>
        </w:rPr>
        <w:t>البائع لا يملك المنفعة حين البيع</w:t>
      </w:r>
      <w:r w:rsidRPr="00F27422">
        <w:rPr>
          <w:rFonts w:asciiTheme="minorBidi" w:hAnsiTheme="minorBidi" w:cstheme="minorBidi"/>
          <w:sz w:val="32"/>
          <w:rtl/>
        </w:rPr>
        <w:t xml:space="preserve"> - لأنّ المنفعة حين البيع مملوكةٌ للمُستأجر بمقتضى سبق الإجارة على البيع - فلا موضوع حينئذٍ للحكم العقلائي بتبعية المنفعة للعين في المِلكيّة، مع فرض أنّ العين مسلوبة المنفعة حين البيع، فانتفاء التبعية بانتفاء موضوعها.</w:t>
      </w:r>
    </w:p>
    <w:p w14:paraId="11639DBA" w14:textId="77777777" w:rsidR="006F41C1" w:rsidRPr="00F27422" w:rsidRDefault="006F41C1"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وأمّا إذا قلنا بالاتجاه الثاني،</w:t>
      </w:r>
      <w:r w:rsidRPr="00F27422">
        <w:rPr>
          <w:rFonts w:asciiTheme="minorBidi" w:hAnsiTheme="minorBidi" w:cstheme="minorBidi"/>
          <w:sz w:val="32"/>
          <w:rtl/>
        </w:rPr>
        <w:t xml:space="preserve"> وهو أنّ التبعية أمرٌ إنشائي، بحيث يكون دور المرتكز العقلائي دور الإمضاء للمُنشأ العقدي، فإنّ تعلق القصد مِن قبل البائع بنقل العين للمشتري بما لها مِن منافع مع التفاته إلى أنّ المنفعة مملوكة في رتبةٍ سابقةٍ للمستأجر مِن قبيل تمليك المالك وهو أشبه بتحصيل الحاصل؛ إذ المفروض أنّ المشتري يملك المنفعة قبل البيع فقصد تمليكه العين بما لها مِن منفعةٍ مع أنّه مالكٌ للمنفعة بإجارةٍ سابقةٍ مِن قبيل تحصيل الحاصل المبتلى بمحذور اللغوية لدى المرتكز العقلائي.</w:t>
      </w:r>
    </w:p>
    <w:p w14:paraId="35A6A976"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أو فقل:</w:t>
      </w:r>
      <w:r w:rsidRPr="00F27422">
        <w:rPr>
          <w:rFonts w:asciiTheme="minorBidi" w:hAnsiTheme="minorBidi" w:cstheme="minorBidi"/>
          <w:sz w:val="32"/>
          <w:rtl/>
        </w:rPr>
        <w:t xml:space="preserve"> قد سبقت الإجارة واستحكم أثرها وكانت المنفعة ملكاً للمشتري فلا يتأتى مِن مالك العين أنْ يملكه المنفعة مع كونها مملوكةً له.</w:t>
      </w:r>
    </w:p>
    <w:p w14:paraId="55BFD2E2"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فتبين بذلك:</w:t>
      </w:r>
      <w:r w:rsidRPr="00F27422">
        <w:rPr>
          <w:rFonts w:asciiTheme="minorBidi" w:hAnsiTheme="minorBidi" w:cstheme="minorBidi"/>
          <w:sz w:val="32"/>
          <w:rtl/>
        </w:rPr>
        <w:t xml:space="preserve"> أنّ البيع بالنسبة للمنفعة على كلا الاتجاهين على نحو الـ "لا </w:t>
      </w:r>
      <w:proofErr w:type="spellStart"/>
      <w:r w:rsidRPr="00F27422">
        <w:rPr>
          <w:rFonts w:asciiTheme="minorBidi" w:hAnsiTheme="minorBidi" w:cstheme="minorBidi"/>
          <w:sz w:val="32"/>
          <w:rtl/>
        </w:rPr>
        <w:t>قتضاء</w:t>
      </w:r>
      <w:proofErr w:type="spellEnd"/>
      <w:r w:rsidRPr="00F27422">
        <w:rPr>
          <w:rFonts w:asciiTheme="minorBidi" w:hAnsiTheme="minorBidi" w:cstheme="minorBidi"/>
          <w:sz w:val="32"/>
          <w:rtl/>
        </w:rPr>
        <w:t>" فلا يزاحم ما فيه "الاقتضاء" في المدّة الباقية ألّا وهو الإجارة.</w:t>
      </w:r>
    </w:p>
    <w:p w14:paraId="3B09F8BA"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ثالثاً:</w:t>
      </w:r>
      <w:r w:rsidRPr="00F27422">
        <w:rPr>
          <w:rFonts w:asciiTheme="minorBidi" w:hAnsiTheme="minorBidi" w:cstheme="minorBidi"/>
          <w:sz w:val="32"/>
          <w:rtl/>
        </w:rPr>
        <w:t xml:space="preserve"> مقتضى سبق الإجارة على البيع وكون المملوك بالإجارة مجموع المنافع على نحو العموم المجموعي - لا على نحو العموم الاستغراقي - بمعنى أنّ ما صدر من المُؤجر ليس ملكياتٍ عديدةٍ بعدد منافع الأيام إلى سنةٍ كي يقال: إنّه بمجرد أنْ يبيعه العين ففي المدّة الباقية سوف يقع التنافي بين مِلكيّة المنفعة بالبيع تبعاً لمِلكيّة العين ومِلكيّة المنفعة بالإجارة، فإنّ هذا يبتني على أنّ هناك ملكياتٍ بعدد المنافع، وأمّا إذا قلنا بأنّ ما صدر بالإجارة تمليك مجموع بما هو مجموع مقابل الأُجرة، فقد مَلَكَ المشتري هذا المجموع بما هو مجموع بسببٍ سابقٍ ألّا وهو الإجارة، فلا يقبل الانحلال، ومقتضى عدم قابليته للانحلال - وقد وقع في ظرفه صحيحاً - عدم تأثير البيع لاستلزام تأثيره تحصيل الحاصل، لا بطلان الإجارة ولا رجوع المنفعة للبائع ولا بقاؤها بلا مالكٍ.</w:t>
      </w:r>
    </w:p>
    <w:p w14:paraId="0897BC22"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الوجه الثالث:</w:t>
      </w:r>
      <w:r w:rsidRPr="00F27422">
        <w:rPr>
          <w:rFonts w:asciiTheme="minorBidi" w:hAnsiTheme="minorBidi" w:cstheme="minorBidi"/>
          <w:sz w:val="32"/>
          <w:rtl/>
        </w:rPr>
        <w:t xml:space="preserve"> ما ذكره الفقيه الكبير السيد </w:t>
      </w:r>
      <w:proofErr w:type="spellStart"/>
      <w:r w:rsidRPr="00F27422">
        <w:rPr>
          <w:rFonts w:asciiTheme="minorBidi" w:hAnsiTheme="minorBidi" w:cstheme="minorBidi"/>
          <w:sz w:val="32"/>
          <w:rtl/>
        </w:rPr>
        <w:t>الگلپایگاني</w:t>
      </w:r>
      <w:proofErr w:type="spellEnd"/>
      <w:r w:rsidRPr="00F27422">
        <w:rPr>
          <w:rFonts w:asciiTheme="minorBidi" w:hAnsiTheme="minorBidi" w:cstheme="minorBidi"/>
          <w:sz w:val="32"/>
          <w:rtl/>
        </w:rPr>
        <w:t xml:space="preserve"> (قدس سره الشريف) في تعليقته على العروة حيث قال: </w:t>
      </w:r>
      <w:r w:rsidRPr="00F27422">
        <w:rPr>
          <w:rFonts w:asciiTheme="minorBidi" w:hAnsiTheme="minorBidi" w:cstheme="minorBidi"/>
          <w:b/>
          <w:bCs/>
          <w:sz w:val="32"/>
          <w:rtl/>
        </w:rPr>
        <w:t xml:space="preserve">(اعتبار الإضافة المعتبرة </w:t>
      </w:r>
      <w:proofErr w:type="spellStart"/>
      <w:r w:rsidRPr="00F27422">
        <w:rPr>
          <w:rFonts w:asciiTheme="minorBidi" w:hAnsiTheme="minorBidi" w:cstheme="minorBidi"/>
          <w:b/>
          <w:bCs/>
          <w:sz w:val="32"/>
          <w:rtl/>
        </w:rPr>
        <w:t>بین</w:t>
      </w:r>
      <w:proofErr w:type="spellEnd"/>
      <w:r w:rsidRPr="00F27422">
        <w:rPr>
          <w:rFonts w:asciiTheme="minorBidi" w:hAnsiTheme="minorBidi" w:cstheme="minorBidi"/>
          <w:b/>
          <w:bCs/>
          <w:sz w:val="32"/>
          <w:rtl/>
        </w:rPr>
        <w:t xml:space="preserve"> </w:t>
      </w:r>
      <w:proofErr w:type="spellStart"/>
      <w:r w:rsidRPr="00F27422">
        <w:rPr>
          <w:rFonts w:asciiTheme="minorBidi" w:hAnsiTheme="minorBidi" w:cstheme="minorBidi"/>
          <w:b/>
          <w:bCs/>
          <w:sz w:val="32"/>
          <w:rtl/>
        </w:rPr>
        <w:t>العین</w:t>
      </w:r>
      <w:proofErr w:type="spellEnd"/>
      <w:r w:rsidRPr="00F27422">
        <w:rPr>
          <w:rFonts w:asciiTheme="minorBidi" w:hAnsiTheme="minorBidi" w:cstheme="minorBidi"/>
          <w:b/>
          <w:bCs/>
          <w:sz w:val="32"/>
          <w:rtl/>
        </w:rPr>
        <w:t xml:space="preserve"> والمستأجِر </w:t>
      </w:r>
      <w:proofErr w:type="spellStart"/>
      <w:r w:rsidRPr="00F27422">
        <w:rPr>
          <w:rFonts w:asciiTheme="minorBidi" w:hAnsiTheme="minorBidi" w:cstheme="minorBidi"/>
          <w:b/>
          <w:bCs/>
          <w:sz w:val="32"/>
          <w:rtl/>
        </w:rPr>
        <w:t>بینها</w:t>
      </w:r>
      <w:proofErr w:type="spellEnd"/>
      <w:r w:rsidRPr="00F27422">
        <w:rPr>
          <w:rFonts w:asciiTheme="minorBidi" w:hAnsiTheme="minorBidi" w:cstheme="minorBidi"/>
          <w:b/>
          <w:bCs/>
          <w:sz w:val="32"/>
          <w:rtl/>
        </w:rPr>
        <w:t xml:space="preserve"> </w:t>
      </w:r>
      <w:proofErr w:type="spellStart"/>
      <w:r w:rsidRPr="00F27422">
        <w:rPr>
          <w:rFonts w:asciiTheme="minorBidi" w:hAnsiTheme="minorBidi" w:cstheme="minorBidi"/>
          <w:b/>
          <w:bCs/>
          <w:sz w:val="32"/>
          <w:rtl/>
        </w:rPr>
        <w:t>وبین</w:t>
      </w:r>
      <w:proofErr w:type="spellEnd"/>
      <w:r w:rsidRPr="00F27422">
        <w:rPr>
          <w:rFonts w:asciiTheme="minorBidi" w:hAnsiTheme="minorBidi" w:cstheme="minorBidi"/>
          <w:b/>
          <w:bCs/>
          <w:sz w:val="32"/>
          <w:rtl/>
        </w:rPr>
        <w:t xml:space="preserve"> المالك في </w:t>
      </w:r>
      <w:proofErr w:type="spellStart"/>
      <w:r w:rsidRPr="00F27422">
        <w:rPr>
          <w:rFonts w:asciiTheme="minorBidi" w:hAnsiTheme="minorBidi" w:cstheme="minorBidi"/>
          <w:b/>
          <w:bCs/>
          <w:sz w:val="32"/>
          <w:rtl/>
        </w:rPr>
        <w:t>غایة</w:t>
      </w:r>
      <w:proofErr w:type="spellEnd"/>
      <w:r w:rsidRPr="00F27422">
        <w:rPr>
          <w:rFonts w:asciiTheme="minorBidi" w:hAnsiTheme="minorBidi" w:cstheme="minorBidi"/>
          <w:b/>
          <w:bCs/>
          <w:sz w:val="32"/>
          <w:rtl/>
        </w:rPr>
        <w:t xml:space="preserve"> </w:t>
      </w:r>
      <w:proofErr w:type="spellStart"/>
      <w:r w:rsidRPr="00F27422">
        <w:rPr>
          <w:rFonts w:asciiTheme="minorBidi" w:hAnsiTheme="minorBidi" w:cstheme="minorBidi"/>
          <w:b/>
          <w:bCs/>
          <w:sz w:val="32"/>
          <w:rtl/>
        </w:rPr>
        <w:t>الإشکال</w:t>
      </w:r>
      <w:proofErr w:type="spellEnd"/>
      <w:r w:rsidRPr="00F27422">
        <w:rPr>
          <w:rFonts w:asciiTheme="minorBidi" w:hAnsiTheme="minorBidi" w:cstheme="minorBidi"/>
          <w:b/>
          <w:bCs/>
          <w:sz w:val="32"/>
          <w:rtl/>
        </w:rPr>
        <w:t xml:space="preserve">، </w:t>
      </w:r>
      <w:proofErr w:type="spellStart"/>
      <w:r w:rsidRPr="00F27422">
        <w:rPr>
          <w:rFonts w:asciiTheme="minorBidi" w:hAnsiTheme="minorBidi" w:cstheme="minorBidi"/>
          <w:b/>
          <w:bCs/>
          <w:sz w:val="32"/>
          <w:rtl/>
        </w:rPr>
        <w:t>وکذا</w:t>
      </w:r>
      <w:proofErr w:type="spellEnd"/>
      <w:r w:rsidRPr="00F27422">
        <w:rPr>
          <w:rFonts w:asciiTheme="minorBidi" w:hAnsiTheme="minorBidi" w:cstheme="minorBidi"/>
          <w:b/>
          <w:bCs/>
          <w:sz w:val="32"/>
          <w:rtl/>
        </w:rPr>
        <w:t xml:space="preserve"> اعتبار ملك المنفعة استقلالاً لمالك </w:t>
      </w:r>
      <w:proofErr w:type="spellStart"/>
      <w:r w:rsidRPr="00F27422">
        <w:rPr>
          <w:rFonts w:asciiTheme="minorBidi" w:hAnsiTheme="minorBidi" w:cstheme="minorBidi"/>
          <w:b/>
          <w:bCs/>
          <w:sz w:val="32"/>
          <w:rtl/>
        </w:rPr>
        <w:t>العین</w:t>
      </w:r>
      <w:proofErr w:type="spellEnd"/>
      <w:r w:rsidRPr="00F27422">
        <w:rPr>
          <w:rFonts w:asciiTheme="minorBidi" w:hAnsiTheme="minorBidi" w:cstheme="minorBidi"/>
          <w:b/>
          <w:bCs/>
          <w:sz w:val="32"/>
          <w:rtl/>
        </w:rPr>
        <w:t xml:space="preserve">، </w:t>
      </w:r>
      <w:proofErr w:type="spellStart"/>
      <w:r w:rsidRPr="00F27422">
        <w:rPr>
          <w:rFonts w:asciiTheme="minorBidi" w:hAnsiTheme="minorBidi" w:cstheme="minorBidi"/>
          <w:b/>
          <w:bCs/>
          <w:sz w:val="32"/>
          <w:rtl/>
        </w:rPr>
        <w:t>کما</w:t>
      </w:r>
      <w:proofErr w:type="spellEnd"/>
      <w:r w:rsidRPr="00F27422">
        <w:rPr>
          <w:rFonts w:asciiTheme="minorBidi" w:hAnsiTheme="minorBidi" w:cstheme="minorBidi"/>
          <w:b/>
          <w:bCs/>
          <w:sz w:val="32"/>
          <w:rtl/>
        </w:rPr>
        <w:t xml:space="preserve"> نبّه علیه غیر واحدٍ من </w:t>
      </w:r>
      <w:proofErr w:type="spellStart"/>
      <w:r w:rsidRPr="00F27422">
        <w:rPr>
          <w:rFonts w:asciiTheme="minorBidi" w:hAnsiTheme="minorBidi" w:cstheme="minorBidi"/>
          <w:b/>
          <w:bCs/>
          <w:sz w:val="32"/>
          <w:rtl/>
        </w:rPr>
        <w:t>أساطین</w:t>
      </w:r>
      <w:proofErr w:type="spellEnd"/>
      <w:r w:rsidRPr="00F27422">
        <w:rPr>
          <w:rFonts w:asciiTheme="minorBidi" w:hAnsiTheme="minorBidi" w:cstheme="minorBidi"/>
          <w:b/>
          <w:bCs/>
          <w:sz w:val="32"/>
          <w:rtl/>
        </w:rPr>
        <w:t xml:space="preserve"> الفنّ، فالأحوط التصالح في منفعة تلك المدّة).</w:t>
      </w:r>
      <w:r w:rsidRPr="00F27422">
        <w:rPr>
          <w:rFonts w:asciiTheme="minorBidi" w:hAnsiTheme="minorBidi" w:cstheme="minorBidi"/>
          <w:sz w:val="32"/>
          <w:rtl/>
        </w:rPr>
        <w:t xml:space="preserve"> [العروة الوثقى والتعليقات عليها، إعداد وتحقيق مؤسسة السبطين (عليهما السلام) العالمية، كتاب الإجارة، ج13، ص412].</w:t>
      </w:r>
    </w:p>
    <w:p w14:paraId="40191F8C"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وحاصل كلامه (قدس سره):</w:t>
      </w:r>
      <w:r w:rsidRPr="00F27422">
        <w:rPr>
          <w:rFonts w:asciiTheme="minorBidi" w:hAnsiTheme="minorBidi" w:cstheme="minorBidi"/>
          <w:sz w:val="32"/>
          <w:rtl/>
        </w:rPr>
        <w:t xml:space="preserve"> أنّ المُنشأ بعقد الإجارة أحد أمرين:</w:t>
      </w:r>
    </w:p>
    <w:p w14:paraId="1EDC045F"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الأمر الأوّل:</w:t>
      </w:r>
      <w:r w:rsidRPr="00F27422">
        <w:rPr>
          <w:rFonts w:asciiTheme="minorBidi" w:hAnsiTheme="minorBidi" w:cstheme="minorBidi"/>
          <w:sz w:val="32"/>
          <w:rtl/>
        </w:rPr>
        <w:t xml:space="preserve"> اعتبار الإضافة بين العين والمستأجر بغرض تسليطه على الانتفاع بالعين في مدّةٍ معينةٍ.</w:t>
      </w:r>
    </w:p>
    <w:p w14:paraId="79A06110"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وهذا مبني على أحد تعريفات حقيقة الإجارة، حيث إنّ لمعنى الإجارة احتمالين:</w:t>
      </w:r>
    </w:p>
    <w:p w14:paraId="18B897A1"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أحدهما:</w:t>
      </w:r>
      <w:r w:rsidRPr="00F27422">
        <w:rPr>
          <w:rFonts w:asciiTheme="minorBidi" w:hAnsiTheme="minorBidi" w:cstheme="minorBidi"/>
          <w:sz w:val="32"/>
          <w:rtl/>
        </w:rPr>
        <w:t xml:space="preserve"> أنّ الإجارة ليست تمليك المنفعة؛ وإنّما معناها اعتبار علقةٍ بين المُستأجر وبين العين بغرض تسليطه على الانتفاع بالعين. </w:t>
      </w:r>
      <w:r w:rsidRPr="00F27422">
        <w:rPr>
          <w:rFonts w:asciiTheme="minorBidi" w:hAnsiTheme="minorBidi" w:cstheme="minorBidi"/>
          <w:b/>
          <w:bCs/>
          <w:sz w:val="32"/>
          <w:rtl/>
        </w:rPr>
        <w:t>والآخر:</w:t>
      </w:r>
      <w:r w:rsidRPr="00F27422">
        <w:rPr>
          <w:rFonts w:asciiTheme="minorBidi" w:hAnsiTheme="minorBidi" w:cstheme="minorBidi"/>
          <w:sz w:val="32"/>
          <w:rtl/>
        </w:rPr>
        <w:t xml:space="preserve"> أنْ يكون المُنشأ بعقد الإجارة تمليك المنفعة استقلالاً، ومعناه بـ "شرط لا" عن مِلكيّة العين.</w:t>
      </w:r>
    </w:p>
    <w:p w14:paraId="7C9DB5DB"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فإنْ كان المُنشأ هو الأوّل،</w:t>
      </w:r>
      <w:r w:rsidRPr="00F27422">
        <w:rPr>
          <w:rFonts w:asciiTheme="minorBidi" w:hAnsiTheme="minorBidi" w:cstheme="minorBidi"/>
          <w:sz w:val="32"/>
          <w:rtl/>
        </w:rPr>
        <w:t xml:space="preserve"> أي اعتبار إضافة بين العين وبين المُستأجر، فهذه الإضافة قد حصلت بالشراء، فإنّ المشتري بمجرد تمامية البيع تحقّقت له الإضافة بينه وبين العين، فاعتبار هذه الإضافة له في المدّة الباقية تحصيلٌ للحاصل.</w:t>
      </w:r>
    </w:p>
    <w:p w14:paraId="49567F81"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lastRenderedPageBreak/>
        <w:t>وأمّا إنْ كان المُنشأ هو الثاني،</w:t>
      </w:r>
      <w:r w:rsidRPr="00F27422">
        <w:rPr>
          <w:rFonts w:asciiTheme="minorBidi" w:hAnsiTheme="minorBidi" w:cstheme="minorBidi"/>
          <w:sz w:val="32"/>
          <w:rtl/>
        </w:rPr>
        <w:t xml:space="preserve"> أي تمليك المنفعة استقلالاً - أي بـ "شرط لا" عن مِلكيّة العين - فهو مما لا يتأتى ثبوته لمن هو مالكٌ للعين، إذ كيف يكون مالك العين في المدّة الباقية ممن يملك المنفعة بشرط عدم مِلكيّة العين؟ فإنّ هذا جمعٌ بين النقيضين، بأنْ يقال: مَلَكَ العين وفي نفس الوقت مَلَكَ المنفعة بشرط عدم ملكية العين.</w:t>
      </w:r>
    </w:p>
    <w:p w14:paraId="166655E7"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وقد أُجيب عن ما ذكر في تعليقة السيد </w:t>
      </w:r>
      <w:proofErr w:type="spellStart"/>
      <w:r w:rsidRPr="00F27422">
        <w:rPr>
          <w:rFonts w:asciiTheme="minorBidi" w:hAnsiTheme="minorBidi" w:cstheme="minorBidi"/>
          <w:b/>
          <w:bCs/>
          <w:sz w:val="32"/>
          <w:rtl/>
        </w:rPr>
        <w:t>الگلپایگاني</w:t>
      </w:r>
      <w:proofErr w:type="spellEnd"/>
      <w:r w:rsidRPr="00F27422">
        <w:rPr>
          <w:rFonts w:asciiTheme="minorBidi" w:hAnsiTheme="minorBidi" w:cstheme="minorBidi"/>
          <w:b/>
          <w:bCs/>
          <w:sz w:val="32"/>
          <w:rtl/>
        </w:rPr>
        <w:t xml:space="preserve"> (قدس سره الشريف)</w:t>
      </w:r>
      <w:r w:rsidRPr="00F27422">
        <w:rPr>
          <w:rFonts w:asciiTheme="minorBidi" w:hAnsiTheme="minorBidi" w:cstheme="minorBidi"/>
          <w:sz w:val="32"/>
          <w:rtl/>
        </w:rPr>
        <w:t xml:space="preserve"> من قبل بعض الأجلة (رحمه الله) في كتابه [الإجارة، ج1، ص217] حيث قال: </w:t>
      </w:r>
      <w:r w:rsidRPr="00F27422">
        <w:rPr>
          <w:rFonts w:asciiTheme="minorBidi" w:hAnsiTheme="minorBidi" w:cstheme="minorBidi"/>
          <w:b/>
          <w:bCs/>
          <w:sz w:val="32"/>
          <w:rtl/>
        </w:rPr>
        <w:t xml:space="preserve">(لو قلنا بأنّ حقيقة عقد الإجارة هو التسليط على العين للانتفاع بها) </w:t>
      </w:r>
      <w:r w:rsidRPr="00F27422">
        <w:rPr>
          <w:rFonts w:asciiTheme="minorBidi" w:hAnsiTheme="minorBidi" w:cstheme="minorBidi"/>
          <w:sz w:val="32"/>
          <w:rtl/>
        </w:rPr>
        <w:t xml:space="preserve">كما هو أحد التعريفات </w:t>
      </w:r>
      <w:r w:rsidRPr="00F27422">
        <w:rPr>
          <w:rFonts w:asciiTheme="minorBidi" w:hAnsiTheme="minorBidi" w:cstheme="minorBidi"/>
          <w:b/>
          <w:bCs/>
          <w:sz w:val="32"/>
          <w:rtl/>
        </w:rPr>
        <w:t>(في قبال العوض)</w:t>
      </w:r>
      <w:r w:rsidRPr="00F27422">
        <w:rPr>
          <w:rFonts w:asciiTheme="minorBidi" w:hAnsiTheme="minorBidi" w:cstheme="minorBidi"/>
          <w:sz w:val="32"/>
          <w:rtl/>
        </w:rPr>
        <w:t xml:space="preserve"> فالإشكال مستحكم </w:t>
      </w:r>
      <w:r w:rsidRPr="00F27422">
        <w:rPr>
          <w:rFonts w:asciiTheme="minorBidi" w:hAnsiTheme="minorBidi" w:cstheme="minorBidi"/>
          <w:b/>
          <w:bCs/>
          <w:sz w:val="32"/>
          <w:rtl/>
        </w:rPr>
        <w:t>(فهذا المعنى يرتفع ولا يعقل بقاؤه لمن تملك العين)</w:t>
      </w:r>
      <w:r w:rsidRPr="00F27422">
        <w:rPr>
          <w:rFonts w:asciiTheme="minorBidi" w:hAnsiTheme="minorBidi" w:cstheme="minorBidi"/>
          <w:sz w:val="32"/>
          <w:rtl/>
        </w:rPr>
        <w:t xml:space="preserve"> بالشراء </w:t>
      </w:r>
      <w:r w:rsidRPr="00F27422">
        <w:rPr>
          <w:rFonts w:asciiTheme="minorBidi" w:hAnsiTheme="minorBidi" w:cstheme="minorBidi"/>
          <w:b/>
          <w:bCs/>
          <w:sz w:val="32"/>
          <w:rtl/>
        </w:rPr>
        <w:t xml:space="preserve">(لأنّ التسليط فرع أن لا يكون بنفسه مالكاً ومسلطاً عليها) </w:t>
      </w:r>
      <w:r w:rsidRPr="00F27422">
        <w:rPr>
          <w:rFonts w:asciiTheme="minorBidi" w:hAnsiTheme="minorBidi" w:cstheme="minorBidi"/>
          <w:sz w:val="32"/>
          <w:rtl/>
        </w:rPr>
        <w:t xml:space="preserve">وأمّا مع كونه مالكاً ومسلطاً عليها فلا معنى لتسليطه على العين بالانتفاع بها </w:t>
      </w:r>
      <w:r w:rsidRPr="00F27422">
        <w:rPr>
          <w:rFonts w:asciiTheme="minorBidi" w:hAnsiTheme="minorBidi" w:cstheme="minorBidi"/>
          <w:b/>
          <w:bCs/>
          <w:sz w:val="32"/>
          <w:rtl/>
        </w:rPr>
        <w:t xml:space="preserve">(نظير العارية التي تنفسخ بالبيع على المستعير وترتفع موضوعاً) </w:t>
      </w:r>
      <w:r w:rsidRPr="00F27422">
        <w:rPr>
          <w:rFonts w:asciiTheme="minorBidi" w:hAnsiTheme="minorBidi" w:cstheme="minorBidi"/>
          <w:sz w:val="32"/>
          <w:rtl/>
        </w:rPr>
        <w:t>فإنّ العارية تسليطٌ للمستعير على العين للانتفاع بها وبمجرد بيع العين عليه ترتفع تلك السلطنة إذ ثبتت له السلطنة بالبيع.</w:t>
      </w:r>
    </w:p>
    <w:p w14:paraId="6EFA30D1"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فإذا قلنا بهذا التعريف فكأنّ الإشكال الذي ذكره السيد </w:t>
      </w:r>
      <w:proofErr w:type="spellStart"/>
      <w:r w:rsidRPr="00F27422">
        <w:rPr>
          <w:rFonts w:asciiTheme="minorBidi" w:hAnsiTheme="minorBidi" w:cstheme="minorBidi"/>
          <w:sz w:val="32"/>
          <w:rtl/>
        </w:rPr>
        <w:t>الگلپایگاني</w:t>
      </w:r>
      <w:proofErr w:type="spellEnd"/>
      <w:r w:rsidRPr="00F27422">
        <w:rPr>
          <w:rFonts w:asciiTheme="minorBidi" w:hAnsiTheme="minorBidi" w:cstheme="minorBidi"/>
          <w:sz w:val="32"/>
          <w:rtl/>
        </w:rPr>
        <w:t xml:space="preserve"> (قدس سره الشريف) واردٌ.</w:t>
      </w:r>
    </w:p>
    <w:p w14:paraId="0F2FC115"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ولكن يلاحظ عليه: </w:t>
      </w:r>
      <w:r w:rsidRPr="00F27422">
        <w:rPr>
          <w:rFonts w:asciiTheme="minorBidi" w:hAnsiTheme="minorBidi" w:cstheme="minorBidi"/>
          <w:sz w:val="32"/>
          <w:rtl/>
        </w:rPr>
        <w:t xml:space="preserve">عدم ورود ما أفاده السيد </w:t>
      </w:r>
      <w:proofErr w:type="spellStart"/>
      <w:r w:rsidRPr="00F27422">
        <w:rPr>
          <w:rFonts w:asciiTheme="minorBidi" w:hAnsiTheme="minorBidi" w:cstheme="minorBidi"/>
          <w:sz w:val="32"/>
          <w:rtl/>
        </w:rPr>
        <w:t>الگلپایگاني</w:t>
      </w:r>
      <w:proofErr w:type="spellEnd"/>
      <w:r w:rsidRPr="00F27422">
        <w:rPr>
          <w:rFonts w:asciiTheme="minorBidi" w:hAnsiTheme="minorBidi" w:cstheme="minorBidi"/>
          <w:sz w:val="32"/>
          <w:rtl/>
        </w:rPr>
        <w:t xml:space="preserve"> (قدس سره الشريف) حتى بناءً على هذا التعريف، وذلك أنّ نقل السلطنة على العين مِن قبل مالكها إلى غيره يختلف باختلاف موضوع السلطنة؛ فإنّ السلطنة متعددة بتعدد حيثياتها، فقد تكون هناك سلطنة على الانتفاع، وقد تكون سلطنة على التمليك، وقد تكون سلطنة على الإشراف والنظر كسلطنة الولي على ما هو مولى عليه، فالسلطنة لها أنحاء بتعدد حيثياتها.</w:t>
      </w:r>
    </w:p>
    <w:p w14:paraId="360EFF8C" w14:textId="77678B75"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وبناءً على ذلك:</w:t>
      </w:r>
      <w:r w:rsidRPr="00F27422">
        <w:rPr>
          <w:rFonts w:asciiTheme="minorBidi" w:hAnsiTheme="minorBidi" w:cstheme="minorBidi"/>
          <w:sz w:val="32"/>
          <w:rtl/>
        </w:rPr>
        <w:t xml:space="preserve"> فالإجارة على هذا التعريف لا تعني السلطنة التامة على العين؛ وإنّما هي سلطنة على الانتفاع لا أكثر، ولذلك لو أمكن انتفاع المُستأجر بالعين من دون أنْ تكون له سلطنةٌ على العين لصحت الإجارة، كما لو آجر المُؤجرُ السيارةَ لقطع مسافةٍ معينةٍ على شخصٍ على أنْ تكون سلطنتها بيده لا بيد المُستأجر، فالمُؤجر هو السائق والمشرف، ويستفيد المُستأجر مِن منفعة السيارة في تحقّق مقاصده لا أكثر من ذلك، فهذا لا ينافي سلطنة المالك على العين في باقي الحيثيات التكوينية والاعتبارية، فلا منافاة بين بقاء السلطنة على الانتفاع بالإجارة وثبوت السلطنة على العين في باقي الحيثيات بالبيع، على أنّ حيثية السلطنة على الانتفاع يمكن أنْ تتعدد بتعدد سببها وهو البيع والإجارة كما سبق بيانه إمكانه في الأمور الإعتبارية</w:t>
      </w:r>
      <w:r w:rsidR="00112222" w:rsidRPr="00F27422">
        <w:rPr>
          <w:rFonts w:asciiTheme="minorBidi" w:hAnsiTheme="minorBidi" w:cstheme="minorBidi"/>
          <w:sz w:val="32"/>
          <w:rtl/>
        </w:rPr>
        <w:t xml:space="preserve"> </w:t>
      </w:r>
      <w:r w:rsidRPr="00F27422">
        <w:rPr>
          <w:rFonts w:asciiTheme="minorBidi" w:hAnsiTheme="minorBidi" w:cstheme="minorBidi"/>
          <w:sz w:val="32"/>
          <w:rtl/>
        </w:rPr>
        <w:t>.</w:t>
      </w:r>
    </w:p>
    <w:p w14:paraId="786E6B2F" w14:textId="77777777" w:rsidR="006F41C1" w:rsidRPr="00F27422" w:rsidRDefault="006F41C1"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مضافاً إلى</w:t>
      </w:r>
      <w:r w:rsidRPr="00F27422">
        <w:rPr>
          <w:rFonts w:asciiTheme="minorBidi" w:hAnsiTheme="minorBidi" w:cstheme="minorBidi"/>
          <w:sz w:val="32"/>
          <w:rtl/>
        </w:rPr>
        <w:t>: أنّ هذا لو سلِّم فإنّما ينفي صحّة الإجارة ممن هو مالكٌ للعين بالبيع في رتبةٍ سابقةٍ على الإجارة أو مقارناً لها، وأمّا لو كانت الإجارة هي السابق على البيع فكانت السلطنة ثابتة على العين من الأوّل بلحاظ المجموع، فغاية ذلك وقوع البيع على العين مسلوبة السلطنة، لا عدم وقوع البيع ولا انفساخ الإجارة بحيث يضطر إلى التصالح بين الطرفين.</w:t>
      </w:r>
    </w:p>
    <w:p w14:paraId="3F12D54C" w14:textId="77777777" w:rsidR="006F41C1" w:rsidRPr="00F27422" w:rsidRDefault="006F41C1" w:rsidP="00122B70">
      <w:pPr>
        <w:pStyle w:val="a"/>
        <w:bidi/>
        <w:spacing w:line="216" w:lineRule="auto"/>
        <w:jc w:val="left"/>
        <w:rPr>
          <w:rFonts w:asciiTheme="minorBidi" w:hAnsiTheme="minorBidi" w:cstheme="minorBidi"/>
          <w:sz w:val="32"/>
          <w:rtl/>
        </w:rPr>
      </w:pPr>
    </w:p>
    <w:p w14:paraId="508D9BC0" w14:textId="77777777" w:rsidR="006F41C1" w:rsidRPr="00F27422" w:rsidRDefault="006F41C1"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والحمد لله رب العالمين </w:t>
      </w:r>
    </w:p>
    <w:p w14:paraId="05699D2B" w14:textId="77777777" w:rsidR="006F41C1" w:rsidRPr="00F27422" w:rsidRDefault="006F41C1" w:rsidP="00122B70">
      <w:pPr>
        <w:bidi/>
        <w:rPr>
          <w:rFonts w:asciiTheme="minorBidi" w:hAnsiTheme="minorBidi"/>
          <w:sz w:val="32"/>
          <w:szCs w:val="32"/>
          <w:rtl/>
        </w:rPr>
      </w:pPr>
    </w:p>
    <w:p w14:paraId="26B6CB78" w14:textId="352682F8" w:rsidR="006F41C1" w:rsidRPr="00F27422" w:rsidRDefault="006F41C1"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012</w:t>
      </w:r>
    </w:p>
    <w:p w14:paraId="71D8C6FA" w14:textId="77777777"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24565B22" w14:textId="77777777"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lastRenderedPageBreak/>
        <w:t>والصلاة والسلام على أشرف الأنبياء والمرسلين، محمد وآله الطيبين الطاهرين</w:t>
      </w:r>
    </w:p>
    <w:p w14:paraId="1FF2FA00"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476D92E3" w14:textId="77777777" w:rsidR="002F71EA" w:rsidRPr="00F27422" w:rsidRDefault="002F71EA" w:rsidP="00122B70">
      <w:pPr>
        <w:bidi/>
        <w:rPr>
          <w:rFonts w:asciiTheme="minorBidi" w:hAnsiTheme="minorBidi"/>
          <w:sz w:val="32"/>
          <w:szCs w:val="32"/>
          <w:rtl/>
        </w:rPr>
      </w:pPr>
    </w:p>
    <w:p w14:paraId="51A8F3D8"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 xml:space="preserve">وأمّا بالنسبة للتعريف الثاني: </w:t>
      </w:r>
      <w:r w:rsidRPr="00F27422">
        <w:rPr>
          <w:rFonts w:asciiTheme="minorBidi" w:hAnsiTheme="minorBidi"/>
          <w:sz w:val="32"/>
          <w:szCs w:val="32"/>
          <w:rtl/>
        </w:rPr>
        <w:t xml:space="preserve">وهو أنّ الإجارة تمليك المنفعة استقلالاً، فقد أُفيد: أنّ الاستقلال يعني تقوم الإجارة بـ "شرط لا" أي بشرط عدم ملكيّة العين، فلو آجرَ زيدٌ الدارَ على بكرٍ فقد ملكه المنفعة بشرط عدم مِلكيّة العين، فلو باعه العين بعد أنْ آجره لم </w:t>
      </w:r>
      <w:r w:rsidRPr="00F27422">
        <w:rPr>
          <w:rFonts w:asciiTheme="minorBidi" w:hAnsiTheme="minorBidi"/>
          <w:sz w:val="32"/>
          <w:szCs w:val="32"/>
          <w:highlight w:val="yellow"/>
          <w:rtl/>
        </w:rPr>
        <w:t>يمكن اجتماع البيع والإجارة؛ لأنّ مقتضى البيع أنْ يكون المشتري مالكاً للعين ومقتضى الإجارة أنْ يمتلك المنفعة</w:t>
      </w:r>
      <w:r w:rsidRPr="00F27422">
        <w:rPr>
          <w:rFonts w:asciiTheme="minorBidi" w:hAnsiTheme="minorBidi"/>
          <w:sz w:val="32"/>
          <w:szCs w:val="32"/>
          <w:rtl/>
        </w:rPr>
        <w:t xml:space="preserve"> دون العين فيقع التهافت بينهما فيكون البيعُ مبطلاً للإجارة في المدة الباقية.</w:t>
      </w:r>
    </w:p>
    <w:p w14:paraId="599F7617" w14:textId="77777777" w:rsidR="002F71EA" w:rsidRPr="00F27422" w:rsidRDefault="002F71EA" w:rsidP="00122B70">
      <w:pPr>
        <w:bidi/>
        <w:rPr>
          <w:rFonts w:asciiTheme="minorBidi" w:hAnsiTheme="minorBidi"/>
          <w:sz w:val="32"/>
          <w:szCs w:val="32"/>
          <w:rtl/>
        </w:rPr>
      </w:pPr>
      <w:r w:rsidRPr="00F27422">
        <w:rPr>
          <w:rFonts w:asciiTheme="minorBidi" w:hAnsiTheme="minorBidi"/>
          <w:sz w:val="32"/>
          <w:szCs w:val="32"/>
          <w:rtl/>
        </w:rPr>
        <w:t xml:space="preserve">وقد أجاب عن ذلك بعض الأجلة (رحمه الله) في كتابه [الإجارة، ج1، ص217] حيث قال: </w:t>
      </w:r>
      <w:r w:rsidRPr="00F27422">
        <w:rPr>
          <w:rFonts w:asciiTheme="minorBidi" w:hAnsiTheme="minorBidi"/>
          <w:b/>
          <w:bCs/>
          <w:sz w:val="32"/>
          <w:szCs w:val="32"/>
          <w:rtl/>
        </w:rPr>
        <w:t xml:space="preserve">(وفيه: إنَّ هذا لو سلِّم) </w:t>
      </w:r>
      <w:r w:rsidRPr="00F27422">
        <w:rPr>
          <w:rFonts w:asciiTheme="minorBidi" w:hAnsiTheme="minorBidi"/>
          <w:sz w:val="32"/>
          <w:szCs w:val="32"/>
          <w:rtl/>
        </w:rPr>
        <w:t xml:space="preserve">تعريف الإجارة بذلك </w:t>
      </w:r>
      <w:r w:rsidRPr="00F27422">
        <w:rPr>
          <w:rFonts w:asciiTheme="minorBidi" w:hAnsiTheme="minorBidi"/>
          <w:b/>
          <w:bCs/>
          <w:sz w:val="32"/>
          <w:szCs w:val="32"/>
          <w:rtl/>
        </w:rPr>
        <w:t>(ولم نكتف في صدق الإجارة بالاستقلالية حدوثاً وحين إنشاء العقد)</w:t>
      </w:r>
      <w:r w:rsidRPr="00F27422">
        <w:rPr>
          <w:rFonts w:asciiTheme="minorBidi" w:hAnsiTheme="minorBidi"/>
          <w:sz w:val="32"/>
          <w:szCs w:val="32"/>
          <w:rtl/>
        </w:rPr>
        <w:t xml:space="preserve"> بأنْ قلنا يكفي في صدق الإجارة أنّها حين حدوثها وقعت على سبيل الاستقلال، وإنْ لم تكن في مرحلة البقاء مستقلةً عن العين (</w:t>
      </w:r>
      <w:r w:rsidRPr="00F27422">
        <w:rPr>
          <w:rFonts w:asciiTheme="minorBidi" w:hAnsiTheme="minorBidi"/>
          <w:b/>
          <w:bCs/>
          <w:sz w:val="32"/>
          <w:szCs w:val="32"/>
          <w:rtl/>
        </w:rPr>
        <w:t>فغايته المنع عن صدق عنوان الإجارة ومفهومها في المقام بقاءً)</w:t>
      </w:r>
      <w:r w:rsidRPr="00F27422">
        <w:rPr>
          <w:rFonts w:asciiTheme="minorBidi" w:hAnsiTheme="minorBidi"/>
          <w:sz w:val="32"/>
          <w:szCs w:val="32"/>
          <w:rtl/>
        </w:rPr>
        <w:t xml:space="preserve"> أي: أنّ غاية الإشكال أنّ المعاملة لا تصح بقاءً بعنوان الإجارة، </w:t>
      </w:r>
      <w:r w:rsidRPr="00F27422">
        <w:rPr>
          <w:rFonts w:asciiTheme="minorBidi" w:hAnsiTheme="minorBidi"/>
          <w:sz w:val="32"/>
          <w:szCs w:val="32"/>
          <w:highlight w:val="yellow"/>
          <w:rtl/>
        </w:rPr>
        <w:t>لا أنّها لا تصح معاوضة</w:t>
      </w:r>
      <w:r w:rsidRPr="00F27422">
        <w:rPr>
          <w:rFonts w:asciiTheme="minorBidi" w:hAnsiTheme="minorBidi"/>
          <w:sz w:val="32"/>
          <w:szCs w:val="32"/>
          <w:rtl/>
        </w:rPr>
        <w:t xml:space="preserve">، فالمعاوضة تبقى وإنْ زال صدق الإجارة؛ لأنّ عنوان الإجارة لا يجتمع مع عنوان البيع </w:t>
      </w:r>
      <w:r w:rsidRPr="00F27422">
        <w:rPr>
          <w:rFonts w:asciiTheme="minorBidi" w:hAnsiTheme="minorBidi"/>
          <w:b/>
          <w:bCs/>
          <w:sz w:val="32"/>
          <w:szCs w:val="32"/>
          <w:rtl/>
        </w:rPr>
        <w:t xml:space="preserve">(لا انفساخ المعاوضة العقدية والتي حقيقتها المبادلة بين المنفعة والأجرة) </w:t>
      </w:r>
      <w:r w:rsidRPr="00F27422">
        <w:rPr>
          <w:rFonts w:asciiTheme="minorBidi" w:hAnsiTheme="minorBidi"/>
          <w:sz w:val="32"/>
          <w:szCs w:val="32"/>
          <w:rtl/>
        </w:rPr>
        <w:t>فإنّ المبادلة بين المنفعة والأُجرة باقية وإنْ لم تكن من باب الإجارة.</w:t>
      </w:r>
    </w:p>
    <w:p w14:paraId="55823B47"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ولكن هذا الجواب ليس تاماً، والسر في ذلك:</w:t>
      </w:r>
      <w:r w:rsidRPr="00F27422">
        <w:rPr>
          <w:rFonts w:asciiTheme="minorBidi" w:hAnsiTheme="minorBidi"/>
          <w:sz w:val="32"/>
          <w:szCs w:val="32"/>
          <w:rtl/>
        </w:rPr>
        <w:t xml:space="preserve"> أنّ مفروض المسألة أنّ سبب مِلكيّة المشتري للمنفعة في رتبةٍ سابقةٍ على البيع </w:t>
      </w:r>
      <w:r w:rsidRPr="00F27422">
        <w:rPr>
          <w:rFonts w:asciiTheme="minorBidi" w:hAnsiTheme="minorBidi"/>
          <w:sz w:val="32"/>
          <w:szCs w:val="32"/>
          <w:highlight w:val="yellow"/>
          <w:rtl/>
        </w:rPr>
        <w:t>هو السبب الخاص المتقوم بكونه إجارةً</w:t>
      </w:r>
      <w:r w:rsidRPr="00F27422">
        <w:rPr>
          <w:rFonts w:asciiTheme="minorBidi" w:hAnsiTheme="minorBidi"/>
          <w:sz w:val="32"/>
          <w:szCs w:val="32"/>
          <w:rtl/>
        </w:rPr>
        <w:t xml:space="preserve">، ومن الواضح أنّ الأسباب تختلف في آثارها ونتائجها بحسب المرتكزات، ففرقٌ بين تمليك المنفعة بعنوان الهبة، وتمليكها بعنوان الإجارة، وتمليكها بعنوان الوقف وأمثال ذلك، فلكلّ مِلكيّةٍ سببٌ خاص والمفروضُ في المسألة أنّ المشتري إنّما تملك المنفعة قبل البيع بهذا السبب الخاص المتقوم بكونه إجارة جنساً وفصلاً، فبقاء أثره في </w:t>
      </w:r>
      <w:r w:rsidRPr="00F27422">
        <w:rPr>
          <w:rFonts w:asciiTheme="minorBidi" w:hAnsiTheme="minorBidi"/>
          <w:sz w:val="32"/>
          <w:szCs w:val="32"/>
          <w:highlight w:val="yellow"/>
          <w:rtl/>
        </w:rPr>
        <w:t>وعاء الاعتبار العقلائي متقومٌ ببقاء حقيقته</w:t>
      </w:r>
      <w:r w:rsidRPr="00F27422">
        <w:rPr>
          <w:rFonts w:asciiTheme="minorBidi" w:hAnsiTheme="minorBidi"/>
          <w:sz w:val="32"/>
          <w:szCs w:val="32"/>
          <w:rtl/>
        </w:rPr>
        <w:t xml:space="preserve">، فإنْ لم يمكن ذلك نتيجة تملك المشتري للعين بالبيع فمقتضاه بطلان أحدهما لا بقائها بعنوان المبادلة العقدية بين المنفعة والأُجرة، على أنّ مقتضى تملك المنفعة بهذا السبب الخاص - وهو الإجارة - أنْ لا يكفي في بقاء أثرها صدقها حدوثاً؛ بل </w:t>
      </w:r>
      <w:r w:rsidRPr="00F27422">
        <w:rPr>
          <w:rFonts w:asciiTheme="minorBidi" w:hAnsiTheme="minorBidi"/>
          <w:color w:val="7030A0"/>
          <w:sz w:val="32"/>
          <w:szCs w:val="32"/>
          <w:rtl/>
        </w:rPr>
        <w:t>لابُدّ من صدقها حدوثاً وبقاءً كي يبقى أثرها</w:t>
      </w:r>
      <w:r w:rsidRPr="00F27422">
        <w:rPr>
          <w:rFonts w:asciiTheme="minorBidi" w:hAnsiTheme="minorBidi"/>
          <w:sz w:val="32"/>
          <w:szCs w:val="32"/>
          <w:rtl/>
        </w:rPr>
        <w:t>.</w:t>
      </w:r>
    </w:p>
    <w:p w14:paraId="0028F45B"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 xml:space="preserve">فالصحيح في الجواب عما ذكر في تعليقة الفقيه الكبير السيد </w:t>
      </w:r>
      <w:proofErr w:type="spellStart"/>
      <w:r w:rsidRPr="00F27422">
        <w:rPr>
          <w:rFonts w:asciiTheme="minorBidi" w:hAnsiTheme="minorBidi"/>
          <w:b/>
          <w:bCs/>
          <w:sz w:val="32"/>
          <w:szCs w:val="32"/>
          <w:rtl/>
        </w:rPr>
        <w:t>الگلپایگاني</w:t>
      </w:r>
      <w:proofErr w:type="spellEnd"/>
      <w:r w:rsidRPr="00F27422">
        <w:rPr>
          <w:rFonts w:asciiTheme="minorBidi" w:hAnsiTheme="minorBidi"/>
          <w:b/>
          <w:bCs/>
          <w:sz w:val="32"/>
          <w:szCs w:val="32"/>
          <w:rtl/>
        </w:rPr>
        <w:t xml:space="preserve"> (قدس سره الشريف) أنْ يقال:</w:t>
      </w:r>
      <w:r w:rsidRPr="00F27422">
        <w:rPr>
          <w:rFonts w:asciiTheme="minorBidi" w:hAnsiTheme="minorBidi"/>
          <w:sz w:val="32"/>
          <w:szCs w:val="32"/>
          <w:rtl/>
        </w:rPr>
        <w:t xml:space="preserve"> إنّ المضمون الاعتباري العقلائي لمفهوم الإجارة لدى العقلاء - بناءً على تقومه بالاستقلال في المِلكيّة - كون المقصود بتمليكها استقلالاً هو عدم دخل العين في مِلكيّة </w:t>
      </w:r>
      <w:r w:rsidRPr="00F27422">
        <w:rPr>
          <w:rFonts w:asciiTheme="minorBidi" w:hAnsiTheme="minorBidi"/>
          <w:sz w:val="32"/>
          <w:szCs w:val="32"/>
          <w:rtl/>
        </w:rPr>
        <w:lastRenderedPageBreak/>
        <w:t xml:space="preserve">المنفعة وإنْ </w:t>
      </w:r>
      <w:r w:rsidRPr="00F27422">
        <w:rPr>
          <w:rFonts w:asciiTheme="minorBidi" w:hAnsiTheme="minorBidi"/>
          <w:sz w:val="32"/>
          <w:szCs w:val="32"/>
          <w:highlight w:val="yellow"/>
          <w:rtl/>
        </w:rPr>
        <w:t>كانت تابعة لها وجوداً،</w:t>
      </w:r>
      <w:r w:rsidRPr="00F27422">
        <w:rPr>
          <w:rFonts w:asciiTheme="minorBidi" w:hAnsiTheme="minorBidi"/>
          <w:sz w:val="32"/>
          <w:szCs w:val="32"/>
          <w:rtl/>
        </w:rPr>
        <w:t xml:space="preserve"> لا </w:t>
      </w:r>
      <w:r w:rsidRPr="00F27422">
        <w:rPr>
          <w:rFonts w:asciiTheme="minorBidi" w:hAnsiTheme="minorBidi"/>
          <w:color w:val="7030A0"/>
          <w:sz w:val="32"/>
          <w:szCs w:val="32"/>
          <w:rtl/>
        </w:rPr>
        <w:t>دخل عدمها في المحتوى المُنشأ بالعقد</w:t>
      </w:r>
      <w:r w:rsidRPr="00F27422">
        <w:rPr>
          <w:rFonts w:asciiTheme="minorBidi" w:hAnsiTheme="minorBidi"/>
          <w:sz w:val="32"/>
          <w:szCs w:val="32"/>
          <w:rtl/>
        </w:rPr>
        <w:t>، أي عدم سراية المِلكيّة المُنشأة للمنفعة إلى العين، فعقد الإجارة قاصرٌ في نفسه عن امتداد المِلكيّة من المنفعة إلى العين، بلحاظ قصر التمليك على المنفعة، لا أنّ المُنشأ بعقد الإجارة متقومٌ بأنْ لا يكون المُستأجر مالكاً للعين كي يرى أنّ هناك تدافعاً وتهافتاً بين الإجارة وبين مِلكيّة العين.</w:t>
      </w:r>
    </w:p>
    <w:p w14:paraId="3E32E734" w14:textId="77777777" w:rsidR="002F71EA" w:rsidRPr="00F27422" w:rsidRDefault="002F71EA" w:rsidP="00122B70">
      <w:pPr>
        <w:bidi/>
        <w:rPr>
          <w:rFonts w:asciiTheme="minorBidi" w:hAnsiTheme="minorBidi"/>
          <w:sz w:val="32"/>
          <w:szCs w:val="32"/>
          <w:rtl/>
        </w:rPr>
      </w:pPr>
      <w:r w:rsidRPr="00F27422">
        <w:rPr>
          <w:rFonts w:asciiTheme="minorBidi" w:hAnsiTheme="minorBidi"/>
          <w:sz w:val="32"/>
          <w:szCs w:val="32"/>
          <w:rtl/>
        </w:rPr>
        <w:t>وأمّا عدم صحّة إجارة العين على نفس المالك، فلأنّ تمليك المنفعة له من تحصيل الحاصل، لا من جهة أنّ مفهوم الإجارة أُخذ فيه عدم مِلكيّة العين على نحو الـ "بشرط لا".</w:t>
      </w:r>
    </w:p>
    <w:p w14:paraId="41DC8CCF"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فتحصل من ذلك:</w:t>
      </w:r>
      <w:r w:rsidRPr="00F27422">
        <w:rPr>
          <w:rFonts w:asciiTheme="minorBidi" w:hAnsiTheme="minorBidi"/>
          <w:sz w:val="32"/>
          <w:szCs w:val="32"/>
          <w:rtl/>
        </w:rPr>
        <w:t xml:space="preserve"> أنّه لا تدافع بين صحّة البيع وبقاء الإجارة؛ فإنّ المشتري في مدّة الإجارة يمتلك المنفعة بسبب البيع والإجارة وهو مما لا مانع منه.</w:t>
      </w:r>
    </w:p>
    <w:p w14:paraId="4512BE09" w14:textId="77777777"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t>وهنا تعليقتان في المقام:</w:t>
      </w:r>
    </w:p>
    <w:p w14:paraId="7B113B21" w14:textId="77777777"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t xml:space="preserve">التعليقة الأولى: </w:t>
      </w:r>
      <w:r w:rsidRPr="00F27422">
        <w:rPr>
          <w:rFonts w:asciiTheme="minorBidi" w:hAnsiTheme="minorBidi"/>
          <w:sz w:val="32"/>
          <w:szCs w:val="32"/>
          <w:rtl/>
        </w:rPr>
        <w:t xml:space="preserve">قد يتمسك لإثبات بقاء الإجارة حتى بعد تحقّق البيع صحيحاً بإطلاق صحيح حسين بن نعيم، كما في الوسائل: </w:t>
      </w:r>
      <w:r w:rsidRPr="00F27422">
        <w:rPr>
          <w:rFonts w:asciiTheme="minorBidi" w:hAnsiTheme="minorBidi"/>
          <w:b/>
          <w:bCs/>
          <w:sz w:val="32"/>
          <w:szCs w:val="32"/>
          <w:rtl/>
        </w:rPr>
        <w:t>(وبإسناده عن علي بن إبراهيم، عن أبيه، عن ابن أبي عمير، عن حسين بن نعيم، عن أبي الحسن موسى (عليه ‌السلام) قال: سألته عن رجل جعل داراً سكنى لرجل أيّام حياته أو جعلها له ولعقبه من بعده هل هي له ولعقبه من بعده كما شرط؟ قال: نعم، قلت له: فإن احتاج يبيعها؟ قال: نعم، قلت: فينقض بيع الدار السكنى؟ قال: لا ينقض البيع السكنى كذلك سمعت أبي (عليه السلام) يقول: قال أبو جعفر (عليه السلام): لا ينقض البيع الإِجارة ولا السكنى، ولكن تبيعه على أن الذي اشتراه لا يملك ما اشترى حتّى تنقضي السكنى كما شرط، وكذا الإِجارة.</w:t>
      </w:r>
    </w:p>
    <w:p w14:paraId="5F16555A"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قلت: فإن ردّ على المستأجر ماله وجميع ما لزمه من النفقة والعمارة فيما استأجر، قال: على طيبة النفس وبرضا المستأجر بذلك لا بأس).</w:t>
      </w:r>
      <w:r w:rsidRPr="00F27422">
        <w:rPr>
          <w:rFonts w:asciiTheme="minorBidi" w:hAnsiTheme="minorBidi"/>
          <w:sz w:val="32"/>
          <w:szCs w:val="32"/>
          <w:rtl/>
        </w:rPr>
        <w:t xml:space="preserve"> [وسائل الشيعة، الحر العاملي، تحقيق مؤسسة آل البيت (عليهم السلام) لإحياء التراث، كتاب الإجارة، ج19، باب 24 باب أنّ بيع العين لا يبطل الإجارة، ويجب أن يبين للمشتري، ح3].</w:t>
      </w:r>
    </w:p>
    <w:p w14:paraId="76D53AFA"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بأنْ يقال:</w:t>
      </w:r>
      <w:r w:rsidRPr="00F27422">
        <w:rPr>
          <w:rFonts w:asciiTheme="minorBidi" w:hAnsiTheme="minorBidi"/>
          <w:sz w:val="32"/>
          <w:szCs w:val="32"/>
          <w:rtl/>
        </w:rPr>
        <w:t xml:space="preserve"> إنّ مقتضى إطلاق الصحيحة في هذه العبارة </w:t>
      </w:r>
      <w:r w:rsidRPr="00F27422">
        <w:rPr>
          <w:rFonts w:asciiTheme="minorBidi" w:hAnsiTheme="minorBidi"/>
          <w:b/>
          <w:bCs/>
          <w:sz w:val="32"/>
          <w:szCs w:val="32"/>
          <w:rtl/>
        </w:rPr>
        <w:t>(لا ينقض البيع الإِجارة ولا السكنى)</w:t>
      </w:r>
      <w:r w:rsidRPr="00F27422">
        <w:rPr>
          <w:rFonts w:asciiTheme="minorBidi" w:hAnsiTheme="minorBidi"/>
          <w:sz w:val="32"/>
          <w:szCs w:val="32"/>
          <w:rtl/>
        </w:rPr>
        <w:t xml:space="preserve"> أنّ البيع اللاحق لا ينقض الإجارة السابقة ولو كان البيعُ على نفس المُستأجر.</w:t>
      </w:r>
    </w:p>
    <w:p w14:paraId="6D448E7D" w14:textId="77777777" w:rsidR="002F71EA" w:rsidRPr="00F27422" w:rsidRDefault="002F71EA" w:rsidP="00122B70">
      <w:pPr>
        <w:bidi/>
        <w:rPr>
          <w:rFonts w:asciiTheme="minorBidi" w:hAnsiTheme="minorBidi"/>
          <w:sz w:val="32"/>
          <w:szCs w:val="32"/>
          <w:rtl/>
        </w:rPr>
      </w:pPr>
      <w:r w:rsidRPr="00F27422">
        <w:rPr>
          <w:rFonts w:asciiTheme="minorBidi" w:hAnsiTheme="minorBidi"/>
          <w:sz w:val="32"/>
          <w:szCs w:val="32"/>
          <w:rtl/>
        </w:rPr>
        <w:t xml:space="preserve">ورواية يونس كما في الوسائل: </w:t>
      </w:r>
      <w:r w:rsidRPr="00F27422">
        <w:rPr>
          <w:rFonts w:asciiTheme="minorBidi" w:hAnsiTheme="minorBidi"/>
          <w:b/>
          <w:bCs/>
          <w:sz w:val="32"/>
          <w:szCs w:val="32"/>
          <w:rtl/>
        </w:rPr>
        <w:t xml:space="preserve">(وعن محمّد بن يحيى، عن أحمد بن محمّد، عن علي بن أحمد، عن يونس قال: كتبت إلى الرضا (عليه ‌السلام) أسأله عن رجل تقبل من رجل أرضاً أو غير ذلك سنين مسمّاة، ثمّ إن المقبل أراد بيع أرضه التي قبلها قبل انقضاء السنين المسمّاة هل للمتقبّل أن يمنعه من البيع قبل انقضاء أجله الذي تقبّلها منه إليه، وما يلزم </w:t>
      </w:r>
      <w:r w:rsidRPr="00F27422">
        <w:rPr>
          <w:rFonts w:asciiTheme="minorBidi" w:hAnsiTheme="minorBidi"/>
          <w:b/>
          <w:bCs/>
          <w:sz w:val="32"/>
          <w:szCs w:val="32"/>
          <w:rtl/>
        </w:rPr>
        <w:lastRenderedPageBreak/>
        <w:t>المتقبّل له؟ قال: له أن يبيع إذا اشترط على المشتري أنّ للمتقبّل من السنين ماله).</w:t>
      </w:r>
      <w:r w:rsidRPr="00F27422">
        <w:rPr>
          <w:rFonts w:asciiTheme="minorBidi" w:hAnsiTheme="minorBidi"/>
          <w:sz w:val="32"/>
          <w:szCs w:val="32"/>
          <w:rtl/>
        </w:rPr>
        <w:t xml:space="preserve"> [وسائل الشيعة، الحر العاملي، تحقيق مؤسسة آل البيت (عليهم السلام) لإحياء التراث، كتاب الإجارة، ج19، باب 24 باب أنّ بيع العين لا يبطل الإجارة، ويجب أن يبين للمشتري، ح4].</w:t>
      </w:r>
    </w:p>
    <w:p w14:paraId="7A1B5368" w14:textId="77777777" w:rsidR="002F71EA" w:rsidRPr="00F27422" w:rsidRDefault="002F71EA" w:rsidP="00122B70">
      <w:pPr>
        <w:bidi/>
        <w:rPr>
          <w:rFonts w:asciiTheme="minorBidi" w:hAnsiTheme="minorBidi"/>
          <w:sz w:val="32"/>
          <w:szCs w:val="32"/>
          <w:rtl/>
        </w:rPr>
      </w:pPr>
      <w:r w:rsidRPr="00F27422">
        <w:rPr>
          <w:rFonts w:asciiTheme="minorBidi" w:hAnsiTheme="minorBidi"/>
          <w:sz w:val="32"/>
          <w:szCs w:val="32"/>
          <w:rtl/>
        </w:rPr>
        <w:t xml:space="preserve">حيث إنّ مقتضى قوله (عليه السلام): </w:t>
      </w:r>
      <w:r w:rsidRPr="00F27422">
        <w:rPr>
          <w:rFonts w:asciiTheme="minorBidi" w:hAnsiTheme="minorBidi"/>
          <w:b/>
          <w:bCs/>
          <w:sz w:val="32"/>
          <w:szCs w:val="32"/>
          <w:rtl/>
        </w:rPr>
        <w:t>(له أن يبيع)</w:t>
      </w:r>
      <w:r w:rsidRPr="00F27422">
        <w:rPr>
          <w:rFonts w:asciiTheme="minorBidi" w:hAnsiTheme="minorBidi"/>
          <w:sz w:val="32"/>
          <w:szCs w:val="32"/>
          <w:rtl/>
        </w:rPr>
        <w:t xml:space="preserve"> أنّ للمالك أنْ يبيع العين بما هي متعلق </w:t>
      </w:r>
      <w:proofErr w:type="gramStart"/>
      <w:r w:rsidRPr="00F27422">
        <w:rPr>
          <w:rFonts w:asciiTheme="minorBidi" w:hAnsiTheme="minorBidi"/>
          <w:sz w:val="32"/>
          <w:szCs w:val="32"/>
          <w:rtl/>
        </w:rPr>
        <w:t>للقبالة .</w:t>
      </w:r>
      <w:proofErr w:type="gramEnd"/>
    </w:p>
    <w:p w14:paraId="055BC2AF"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ولكن:</w:t>
      </w:r>
      <w:r w:rsidRPr="00F27422">
        <w:rPr>
          <w:rFonts w:asciiTheme="minorBidi" w:hAnsiTheme="minorBidi"/>
          <w:sz w:val="32"/>
          <w:szCs w:val="32"/>
          <w:rtl/>
        </w:rPr>
        <w:t xml:space="preserve"> لا يبعد انصراف الروايتين بقرينة الذيل لفرض اختلاف المشتري والمُستأجر، حيث قال في صحيحة الحسين بن نعيم: </w:t>
      </w:r>
      <w:r w:rsidRPr="00F27422">
        <w:rPr>
          <w:rFonts w:asciiTheme="minorBidi" w:hAnsiTheme="minorBidi"/>
          <w:b/>
          <w:bCs/>
          <w:sz w:val="32"/>
          <w:szCs w:val="32"/>
          <w:rtl/>
        </w:rPr>
        <w:t>(لا ينقض البيع الإِجارة ولا السكنى، ولكن تبيعه على أن الذي اشتراه لا يملك ما اشترى حتّى تنقضي السكنى كما شرط، وكذا الإِجارة).</w:t>
      </w:r>
    </w:p>
    <w:p w14:paraId="2C485777" w14:textId="77777777" w:rsidR="002F71EA" w:rsidRPr="00F27422" w:rsidRDefault="002F71EA" w:rsidP="00122B70">
      <w:pPr>
        <w:bidi/>
        <w:rPr>
          <w:rFonts w:asciiTheme="minorBidi" w:hAnsiTheme="minorBidi"/>
          <w:sz w:val="32"/>
          <w:szCs w:val="32"/>
          <w:rtl/>
        </w:rPr>
      </w:pPr>
      <w:r w:rsidRPr="00F27422">
        <w:rPr>
          <w:rFonts w:asciiTheme="minorBidi" w:hAnsiTheme="minorBidi"/>
          <w:sz w:val="32"/>
          <w:szCs w:val="32"/>
          <w:rtl/>
        </w:rPr>
        <w:t>ومن الواضح أنّ هذا الشرط إنّما يصدق في فرض أنّ المشتري غير المُستأجر.</w:t>
      </w:r>
    </w:p>
    <w:p w14:paraId="6E504A4B" w14:textId="63AE0442" w:rsidR="002F71EA" w:rsidRPr="00F27422" w:rsidRDefault="002F71EA" w:rsidP="00122B70">
      <w:pPr>
        <w:bidi/>
        <w:rPr>
          <w:rFonts w:asciiTheme="minorBidi" w:hAnsiTheme="minorBidi"/>
          <w:sz w:val="32"/>
          <w:szCs w:val="32"/>
          <w:rtl/>
        </w:rPr>
      </w:pPr>
      <w:r w:rsidRPr="00F27422">
        <w:rPr>
          <w:rFonts w:asciiTheme="minorBidi" w:hAnsiTheme="minorBidi"/>
          <w:sz w:val="32"/>
          <w:szCs w:val="32"/>
          <w:rtl/>
        </w:rPr>
        <w:t>وكذلك في</w:t>
      </w:r>
      <w:r w:rsidR="00112222" w:rsidRPr="00F27422">
        <w:rPr>
          <w:rFonts w:asciiTheme="minorBidi" w:hAnsiTheme="minorBidi"/>
          <w:sz w:val="32"/>
          <w:szCs w:val="32"/>
          <w:rtl/>
        </w:rPr>
        <w:t xml:space="preserve"> </w:t>
      </w:r>
      <w:r w:rsidRPr="00F27422">
        <w:rPr>
          <w:rFonts w:asciiTheme="minorBidi" w:hAnsiTheme="minorBidi"/>
          <w:sz w:val="32"/>
          <w:szCs w:val="32"/>
          <w:rtl/>
        </w:rPr>
        <w:t xml:space="preserve">رواية يونس عن الإمام الرضا (عليه السلام) قال: </w:t>
      </w:r>
      <w:r w:rsidRPr="00F27422">
        <w:rPr>
          <w:rFonts w:asciiTheme="minorBidi" w:hAnsiTheme="minorBidi"/>
          <w:b/>
          <w:bCs/>
          <w:sz w:val="32"/>
          <w:szCs w:val="32"/>
          <w:rtl/>
        </w:rPr>
        <w:t>(له أن يبيع إذا اشترط على المشتري أنّ للمتقبّل من السنين ماله)</w:t>
      </w:r>
      <w:r w:rsidRPr="00F27422">
        <w:rPr>
          <w:rFonts w:asciiTheme="minorBidi" w:hAnsiTheme="minorBidi"/>
          <w:sz w:val="32"/>
          <w:szCs w:val="32"/>
          <w:rtl/>
        </w:rPr>
        <w:t>، أو أنّ احتفاف الرواية بهذا الشرط من باب احتفاف الكلام بما يصلح للقرينية، فهو مانعٌ من إطلاق الرواية لفرض كون المشتري هو نفس المُستأجر.</w:t>
      </w:r>
    </w:p>
    <w:p w14:paraId="193F05D3"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التعليقة الثانية:</w:t>
      </w:r>
      <w:r w:rsidRPr="00F27422">
        <w:rPr>
          <w:rFonts w:asciiTheme="minorBidi" w:hAnsiTheme="minorBidi"/>
          <w:sz w:val="32"/>
          <w:szCs w:val="32"/>
          <w:rtl/>
        </w:rPr>
        <w:t xml:space="preserve"> </w:t>
      </w:r>
      <w:r w:rsidRPr="00F27422">
        <w:rPr>
          <w:rFonts w:asciiTheme="minorBidi" w:hAnsiTheme="minorBidi"/>
          <w:b/>
          <w:bCs/>
          <w:sz w:val="32"/>
          <w:szCs w:val="32"/>
          <w:rtl/>
        </w:rPr>
        <w:t>قد يقال:</w:t>
      </w:r>
      <w:r w:rsidRPr="00F27422">
        <w:rPr>
          <w:rFonts w:asciiTheme="minorBidi" w:hAnsiTheme="minorBidi"/>
          <w:sz w:val="32"/>
          <w:szCs w:val="32"/>
          <w:rtl/>
        </w:rPr>
        <w:t xml:space="preserve"> إنّ اجتماع الإجارة والبيع في التأثير وإنْ كان ممكناً عقلاً إلّا أنّه لغوٌ بحسب المرتكزات العقلائية إذ لا تترتب على ذلك ثمرة فهو بالنتيجة سيملك المنفعة على كلّ حالٍ وله السلطنة عليها على كلّ حال كان مالكاً لها بالبيع أو بالإجارة، فالجمع بينهما لغوٌ بحسب المرتكزات العقلائية.</w:t>
      </w:r>
    </w:p>
    <w:p w14:paraId="21CF3CC1"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قلتُ:</w:t>
      </w:r>
      <w:r w:rsidRPr="00F27422">
        <w:rPr>
          <w:rFonts w:asciiTheme="minorBidi" w:hAnsiTheme="minorBidi"/>
          <w:sz w:val="32"/>
          <w:szCs w:val="32"/>
          <w:rtl/>
        </w:rPr>
        <w:t xml:space="preserve"> قد ذكر سيد العروة (قدس سره الشريف) أربع ثمراتٍ في المقام:</w:t>
      </w:r>
    </w:p>
    <w:p w14:paraId="265A8E6F" w14:textId="77777777" w:rsidR="002F71EA" w:rsidRPr="00F27422" w:rsidRDefault="002F71EA" w:rsidP="00122B70">
      <w:pPr>
        <w:bidi/>
        <w:rPr>
          <w:rFonts w:asciiTheme="minorBidi" w:hAnsiTheme="minorBidi"/>
          <w:b/>
          <w:bCs/>
          <w:sz w:val="32"/>
          <w:szCs w:val="32"/>
          <w:rtl/>
        </w:rPr>
      </w:pPr>
      <w:r w:rsidRPr="00F27422">
        <w:rPr>
          <w:rFonts w:asciiTheme="minorBidi" w:hAnsiTheme="minorBidi"/>
          <w:sz w:val="32"/>
          <w:szCs w:val="32"/>
          <w:rtl/>
        </w:rPr>
        <w:t xml:space="preserve">قال (قدس سره الشريف): </w:t>
      </w:r>
      <w:r w:rsidRPr="00F27422">
        <w:rPr>
          <w:rFonts w:asciiTheme="minorBidi" w:hAnsiTheme="minorBidi"/>
          <w:b/>
          <w:bCs/>
          <w:sz w:val="32"/>
          <w:szCs w:val="32"/>
          <w:rtl/>
        </w:rPr>
        <w:t>(ويتفرّع على ذلك اُمور:</w:t>
      </w:r>
    </w:p>
    <w:p w14:paraId="7B16F563" w14:textId="77777777"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t>منها: اجتماع الثمن والاُجرة عليه حينئذٍ.</w:t>
      </w:r>
    </w:p>
    <w:p w14:paraId="3AD0D897" w14:textId="77777777"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t>ومنها: بقاء ملكه للمنفعة في مدّة تلك الإجارة لو فسخ البيع بأحد أسبابه، بخلاف ما لو قيل بانفساخ الإجارة.</w:t>
      </w:r>
    </w:p>
    <w:p w14:paraId="7911FBFC" w14:textId="77777777"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t>ومنها: إرث الزوجة من المنفعة في تلك المدّة لو مات الزوج المستأجر بعد شرائه لتلك العين وإن كانت ممّا لا ترث الزوجة منه، بخلاف ما لو قيل بالانفساخ بمجرّد البيع.</w:t>
      </w:r>
    </w:p>
    <w:p w14:paraId="41FCD84D" w14:textId="77777777"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lastRenderedPageBreak/>
        <w:t xml:space="preserve">ومنها: رجوع المشتري </w:t>
      </w:r>
      <w:proofErr w:type="spellStart"/>
      <w:r w:rsidRPr="00F27422">
        <w:rPr>
          <w:rFonts w:asciiTheme="minorBidi" w:hAnsiTheme="minorBidi"/>
          <w:b/>
          <w:bCs/>
          <w:sz w:val="32"/>
          <w:szCs w:val="32"/>
          <w:rtl/>
        </w:rPr>
        <w:t>بالاُجرة</w:t>
      </w:r>
      <w:proofErr w:type="spellEnd"/>
      <w:r w:rsidRPr="00F27422">
        <w:rPr>
          <w:rFonts w:asciiTheme="minorBidi" w:hAnsiTheme="minorBidi"/>
          <w:b/>
          <w:bCs/>
          <w:sz w:val="32"/>
          <w:szCs w:val="32"/>
          <w:rtl/>
        </w:rPr>
        <w:t xml:space="preserve"> لو تلفت العين بعد قبضها وقبل انقضاء مدّة الإجارة، فإنّ تعذّر استيفاء المنفعة يكشف عن بطلان الإجارة ويوجب الرجوع بالعوض وإن كان تلف العين عليه).</w:t>
      </w:r>
    </w:p>
    <w:p w14:paraId="1C02CF3A"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أمّا الثمرة الأولى</w:t>
      </w:r>
      <w:r w:rsidRPr="00F27422">
        <w:rPr>
          <w:rFonts w:asciiTheme="minorBidi" w:hAnsiTheme="minorBidi"/>
          <w:sz w:val="32"/>
          <w:szCs w:val="32"/>
          <w:rtl/>
        </w:rPr>
        <w:t xml:space="preserve"> وهي قوله: </w:t>
      </w:r>
      <w:r w:rsidRPr="00F27422">
        <w:rPr>
          <w:rFonts w:asciiTheme="minorBidi" w:hAnsiTheme="minorBidi"/>
          <w:b/>
          <w:bCs/>
          <w:sz w:val="32"/>
          <w:szCs w:val="32"/>
          <w:rtl/>
        </w:rPr>
        <w:t>(اجتماع الثمن والاُجرة عليه حينئذٍ)</w:t>
      </w:r>
      <w:r w:rsidRPr="00F27422">
        <w:rPr>
          <w:rFonts w:asciiTheme="minorBidi" w:hAnsiTheme="minorBidi"/>
          <w:sz w:val="32"/>
          <w:szCs w:val="32"/>
          <w:rtl/>
        </w:rPr>
        <w:t xml:space="preserve"> أي اشتغال ذمته بثمن للعين وأُجرة في مقابل المنفعة، بخلاف ما لو قالنا بانفساخ الإجارة فليس عليه إلّا الثمن.</w:t>
      </w:r>
    </w:p>
    <w:p w14:paraId="32D4A1F6"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وأمّا الثمرة الثانية</w:t>
      </w:r>
      <w:r w:rsidRPr="00F27422">
        <w:rPr>
          <w:rFonts w:asciiTheme="minorBidi" w:hAnsiTheme="minorBidi"/>
          <w:sz w:val="32"/>
          <w:szCs w:val="32"/>
          <w:rtl/>
        </w:rPr>
        <w:t xml:space="preserve"> وهي قوله: </w:t>
      </w:r>
      <w:r w:rsidRPr="00F27422">
        <w:rPr>
          <w:rFonts w:asciiTheme="minorBidi" w:hAnsiTheme="minorBidi"/>
          <w:b/>
          <w:bCs/>
          <w:sz w:val="32"/>
          <w:szCs w:val="32"/>
          <w:rtl/>
        </w:rPr>
        <w:t>(بقاء ملكه للمنفعة في مدّة تلك الإجارة لو فسخ البيع بأحد أسبابه)</w:t>
      </w:r>
      <w:r w:rsidRPr="00F27422">
        <w:rPr>
          <w:rFonts w:asciiTheme="minorBidi" w:hAnsiTheme="minorBidi"/>
          <w:sz w:val="32"/>
          <w:szCs w:val="32"/>
          <w:rtl/>
        </w:rPr>
        <w:t xml:space="preserve"> فلو فرض أنّ أحدهما فسخ البيع بأحد أسباب الفسخ إمّا الغبن، أو العيب أو نحوهما، فإنّ المشتري ما زال مالكاً للمنفعة حيث ملكها بالإجارة </w:t>
      </w:r>
      <w:r w:rsidRPr="00F27422">
        <w:rPr>
          <w:rFonts w:asciiTheme="minorBidi" w:hAnsiTheme="minorBidi"/>
          <w:b/>
          <w:bCs/>
          <w:sz w:val="32"/>
          <w:szCs w:val="32"/>
          <w:rtl/>
        </w:rPr>
        <w:t>(بخلاف ما لو قيل بانفساخ الإجارة)</w:t>
      </w:r>
      <w:r w:rsidRPr="00F27422">
        <w:rPr>
          <w:rFonts w:asciiTheme="minorBidi" w:hAnsiTheme="minorBidi"/>
          <w:sz w:val="32"/>
          <w:szCs w:val="32"/>
          <w:rtl/>
        </w:rPr>
        <w:t xml:space="preserve"> بالبيع، فإنّ فسخ البيع يعني ملكيته للمنفعة بالبيع لا بالإجارة.</w:t>
      </w:r>
    </w:p>
    <w:p w14:paraId="2256358F"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وينبغي هنا أنْ يُضم لعبارة سيد العروة (قدس سره الشريف):</w:t>
      </w:r>
      <w:r w:rsidRPr="00F27422">
        <w:rPr>
          <w:rFonts w:asciiTheme="minorBidi" w:hAnsiTheme="minorBidi"/>
          <w:sz w:val="32"/>
          <w:szCs w:val="32"/>
          <w:rtl/>
        </w:rPr>
        <w:t xml:space="preserve"> أنّه لو فسخ المُستأجرُ - وهو نفس المشتري - الإجارةَ لبعض أسباب الفسخ فإنّ مقتضى عدم مبطلية البيع للإجارة رجوع المنفعة للبائع - بناءً على قصور تأثير البيع في تملك المنفعة - فإنّ مقتضى الفسخ عود المنفعة لمِلك مَن كان مالكاً للعين حين الإجارة، وقد كان المالك للعين حين الإجارة هو البائع.</w:t>
      </w:r>
    </w:p>
    <w:p w14:paraId="60516499"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نعم، لو قيل:</w:t>
      </w:r>
      <w:r w:rsidRPr="00F27422">
        <w:rPr>
          <w:rFonts w:asciiTheme="minorBidi" w:hAnsiTheme="minorBidi"/>
          <w:sz w:val="32"/>
          <w:szCs w:val="32"/>
          <w:rtl/>
        </w:rPr>
        <w:t xml:space="preserve"> إنّ المنفعة في مدّة الإجارة مملوكةٌ بسببين، أي أنّ المشتري مَلَكَ المنفعة ملكيتين لا ملكيّة واحدة فملكيّةٌ مستندةٌ للبيع وملكيّةٌ مستندةٌ للإجارة، ففسخه للإجارة لا يترتب عليه ثمرة؛ لأنّ المنفعة ستبقى مملوكة له بالبيع.</w:t>
      </w:r>
    </w:p>
    <w:p w14:paraId="2D8D1D85" w14:textId="77777777"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t>وأمّا الثمرة الثالثة</w:t>
      </w:r>
      <w:r w:rsidRPr="00F27422">
        <w:rPr>
          <w:rFonts w:asciiTheme="minorBidi" w:hAnsiTheme="minorBidi"/>
          <w:sz w:val="32"/>
          <w:szCs w:val="32"/>
          <w:rtl/>
        </w:rPr>
        <w:t xml:space="preserve"> وهي قوله: </w:t>
      </w:r>
      <w:r w:rsidRPr="00F27422">
        <w:rPr>
          <w:rFonts w:asciiTheme="minorBidi" w:hAnsiTheme="minorBidi"/>
          <w:b/>
          <w:bCs/>
          <w:sz w:val="32"/>
          <w:szCs w:val="32"/>
          <w:rtl/>
        </w:rPr>
        <w:t>(إرث الزوجة من المنفعة في تلك المدّة لو مات الزوج المستأجر بعد شرائه لتلك العين وإن كانت ممّا لا ترث الزوجة منه، بخلاف ما لو قيل بالانفساخ بمجرّد البيع).</w:t>
      </w:r>
    </w:p>
    <w:p w14:paraId="19B24C4A" w14:textId="77777777" w:rsidR="002F71EA" w:rsidRPr="00F27422" w:rsidRDefault="002F71EA" w:rsidP="00122B70">
      <w:pPr>
        <w:bidi/>
        <w:rPr>
          <w:rFonts w:asciiTheme="minorBidi" w:hAnsiTheme="minorBidi"/>
          <w:b/>
          <w:bCs/>
          <w:sz w:val="32"/>
          <w:szCs w:val="32"/>
          <w:rtl/>
        </w:rPr>
      </w:pPr>
      <w:r w:rsidRPr="00F27422">
        <w:rPr>
          <w:rFonts w:asciiTheme="minorBidi" w:hAnsiTheme="minorBidi"/>
          <w:sz w:val="32"/>
          <w:szCs w:val="32"/>
          <w:rtl/>
        </w:rPr>
        <w:t xml:space="preserve">لإطلاق النصوص الشريفة الواردة، منها: الحديث المعتبر، كما في الوسائل: </w:t>
      </w:r>
      <w:r w:rsidRPr="00F27422">
        <w:rPr>
          <w:rFonts w:asciiTheme="minorBidi" w:hAnsiTheme="minorBidi"/>
          <w:b/>
          <w:bCs/>
          <w:sz w:val="32"/>
          <w:szCs w:val="32"/>
          <w:rtl/>
        </w:rPr>
        <w:t>(وعن عليِّ بن إبراهيم، عن محمد بن عيسى، عن يونس، عن محمد بن حمران، عن زرارة، عن محمد بن مسلم، عن أبي جعفر (عليه السلام) قال: النساء لا يرثن من الأرض، ولا من العقار شيئاً).</w:t>
      </w:r>
      <w:r w:rsidRPr="00F27422">
        <w:rPr>
          <w:rFonts w:asciiTheme="minorBidi" w:hAnsiTheme="minorBidi"/>
          <w:sz w:val="32"/>
          <w:szCs w:val="32"/>
          <w:rtl/>
        </w:rPr>
        <w:t xml:space="preserve"> [وسائل الشيعة، الحر العاملي، تحقيق مؤسسة آل البيت (عليهم السلام) لإحياء التراث، كتاب الإرث، ج26 أبواب ميراث الأزواج، باب 6، ح4].</w:t>
      </w:r>
    </w:p>
    <w:p w14:paraId="6825659B" w14:textId="77777777" w:rsidR="002F71EA" w:rsidRPr="00F27422" w:rsidRDefault="002F71EA" w:rsidP="00122B70">
      <w:pPr>
        <w:bidi/>
        <w:rPr>
          <w:rFonts w:asciiTheme="minorBidi" w:hAnsiTheme="minorBidi"/>
          <w:b/>
          <w:bCs/>
          <w:sz w:val="32"/>
          <w:szCs w:val="32"/>
          <w:rtl/>
        </w:rPr>
      </w:pPr>
      <w:r w:rsidRPr="00F27422">
        <w:rPr>
          <w:rFonts w:asciiTheme="minorBidi" w:hAnsiTheme="minorBidi"/>
          <w:sz w:val="32"/>
          <w:szCs w:val="32"/>
          <w:rtl/>
        </w:rPr>
        <w:t xml:space="preserve">فإنّ مقتضى إطلاق الرواية الشريفة أنّ المرأة لا ترث من العقار لا عيناً ولا منفعةً، فإنْ كانت المنفعة مِلكاً لزوجها المتوفى بالإجارة فسوف ترث منها؛ لأنّها مالٌ مستقلٌ غير العقار، بخلاف </w:t>
      </w:r>
      <w:r w:rsidRPr="00F27422">
        <w:rPr>
          <w:rFonts w:asciiTheme="minorBidi" w:hAnsiTheme="minorBidi"/>
          <w:sz w:val="32"/>
          <w:szCs w:val="32"/>
          <w:rtl/>
        </w:rPr>
        <w:lastRenderedPageBreak/>
        <w:t>ما لو قلنا بأنّ الإجارة قد انفسخت بالبيع فإنّ الزوجة لن ترث مِن منفعة العقار؛ لإطلاق النص الشريف.</w:t>
      </w:r>
    </w:p>
    <w:p w14:paraId="7DB7EA62" w14:textId="77777777" w:rsidR="002F71EA" w:rsidRPr="00F27422" w:rsidRDefault="002F71EA" w:rsidP="00122B70">
      <w:pPr>
        <w:bidi/>
        <w:rPr>
          <w:rFonts w:asciiTheme="minorBidi" w:hAnsiTheme="minorBidi"/>
          <w:b/>
          <w:bCs/>
          <w:sz w:val="32"/>
          <w:szCs w:val="32"/>
          <w:rtl/>
        </w:rPr>
      </w:pPr>
      <w:r w:rsidRPr="00F27422">
        <w:rPr>
          <w:rFonts w:asciiTheme="minorBidi" w:hAnsiTheme="minorBidi"/>
          <w:sz w:val="32"/>
          <w:szCs w:val="32"/>
          <w:rtl/>
        </w:rPr>
        <w:t xml:space="preserve">ولكن بعض الأجلة (رحمه الله) في كتابه [الإجارة، ج1، ص218] قال: </w:t>
      </w:r>
      <w:r w:rsidRPr="00F27422">
        <w:rPr>
          <w:rFonts w:asciiTheme="minorBidi" w:hAnsiTheme="minorBidi"/>
          <w:b/>
          <w:bCs/>
          <w:sz w:val="32"/>
          <w:szCs w:val="32"/>
          <w:rtl/>
        </w:rPr>
        <w:t>(ثمّ إنَّ الثمرة الثالثة من الثمرات التي ذكرها الماتن (قدس سره) قابلة للمنع، فإنّ ظاهر دليل عدم إرث الزوجة من العقار صادق في المقام)</w:t>
      </w:r>
      <w:r w:rsidRPr="00F27422">
        <w:rPr>
          <w:rFonts w:asciiTheme="minorBidi" w:hAnsiTheme="minorBidi"/>
          <w:sz w:val="32"/>
          <w:szCs w:val="32"/>
          <w:rtl/>
        </w:rPr>
        <w:t xml:space="preserve"> حتى وإنْ بقيت الإجارة ولم تنفسخ </w:t>
      </w:r>
      <w:r w:rsidRPr="00F27422">
        <w:rPr>
          <w:rFonts w:asciiTheme="minorBidi" w:hAnsiTheme="minorBidi"/>
          <w:b/>
          <w:bCs/>
          <w:sz w:val="32"/>
          <w:szCs w:val="32"/>
          <w:rtl/>
        </w:rPr>
        <w:t>(ولو كان سبب تملك)</w:t>
      </w:r>
      <w:r w:rsidRPr="00F27422">
        <w:rPr>
          <w:rFonts w:asciiTheme="minorBidi" w:hAnsiTheme="minorBidi"/>
          <w:sz w:val="32"/>
          <w:szCs w:val="32"/>
          <w:rtl/>
        </w:rPr>
        <w:t xml:space="preserve"> المتوفى </w:t>
      </w:r>
      <w:r w:rsidRPr="00F27422">
        <w:rPr>
          <w:rFonts w:asciiTheme="minorBidi" w:hAnsiTheme="minorBidi"/>
          <w:b/>
          <w:bCs/>
          <w:sz w:val="32"/>
          <w:szCs w:val="32"/>
          <w:rtl/>
        </w:rPr>
        <w:t>(منفعتها غير سبب تملك رقبتها)</w:t>
      </w:r>
      <w:r w:rsidRPr="00F27422">
        <w:rPr>
          <w:rFonts w:asciiTheme="minorBidi" w:hAnsiTheme="minorBidi"/>
          <w:sz w:val="32"/>
          <w:szCs w:val="32"/>
          <w:rtl/>
        </w:rPr>
        <w:t xml:space="preserve"> حيث مَلَكَ الرقبة بالبيع وملك المنفعة بالإجارة </w:t>
      </w:r>
      <w:r w:rsidRPr="00F27422">
        <w:rPr>
          <w:rFonts w:asciiTheme="minorBidi" w:hAnsiTheme="minorBidi"/>
          <w:b/>
          <w:bCs/>
          <w:sz w:val="32"/>
          <w:szCs w:val="32"/>
          <w:rtl/>
        </w:rPr>
        <w:t>(فإنّ تعدد السبب لا يجعل منفعتها في تلك المدة مالاً آخر)</w:t>
      </w:r>
      <w:r w:rsidRPr="00F27422">
        <w:rPr>
          <w:rFonts w:asciiTheme="minorBidi" w:hAnsiTheme="minorBidi"/>
          <w:sz w:val="32"/>
          <w:szCs w:val="32"/>
          <w:rtl/>
        </w:rPr>
        <w:t xml:space="preserve"> مقابل العقار </w:t>
      </w:r>
      <w:r w:rsidRPr="00F27422">
        <w:rPr>
          <w:rFonts w:asciiTheme="minorBidi" w:hAnsiTheme="minorBidi"/>
          <w:b/>
          <w:bCs/>
          <w:sz w:val="32"/>
          <w:szCs w:val="32"/>
          <w:rtl/>
        </w:rPr>
        <w:t>(وإن كان في مقام الانتقال المعاوضي)</w:t>
      </w:r>
      <w:r w:rsidRPr="00F27422">
        <w:rPr>
          <w:rFonts w:asciiTheme="minorBidi" w:hAnsiTheme="minorBidi"/>
          <w:sz w:val="32"/>
          <w:szCs w:val="32"/>
          <w:rtl/>
        </w:rPr>
        <w:t xml:space="preserve"> وهو عقد الإجارة </w:t>
      </w:r>
      <w:r w:rsidRPr="00F27422">
        <w:rPr>
          <w:rFonts w:asciiTheme="minorBidi" w:hAnsiTheme="minorBidi"/>
          <w:b/>
          <w:bCs/>
          <w:sz w:val="32"/>
          <w:szCs w:val="32"/>
          <w:rtl/>
        </w:rPr>
        <w:t>(لوحظ كمال مستقل عن الرقبة)</w:t>
      </w:r>
      <w:r w:rsidRPr="00F27422">
        <w:rPr>
          <w:rFonts w:asciiTheme="minorBidi" w:hAnsiTheme="minorBidi"/>
          <w:sz w:val="32"/>
          <w:szCs w:val="32"/>
          <w:rtl/>
        </w:rPr>
        <w:t xml:space="preserve"> لكنه الآن لا يصدق عليه مالٌ مستقل </w:t>
      </w:r>
      <w:r w:rsidRPr="00F27422">
        <w:rPr>
          <w:rFonts w:asciiTheme="minorBidi" w:hAnsiTheme="minorBidi"/>
          <w:b/>
          <w:bCs/>
          <w:sz w:val="32"/>
          <w:szCs w:val="32"/>
          <w:rtl/>
        </w:rPr>
        <w:t>(وهذا بخلاف ما إذا كان الميت مالكاً لمنفعة الأرض فقط)</w:t>
      </w:r>
      <w:r w:rsidRPr="00F27422">
        <w:rPr>
          <w:rFonts w:asciiTheme="minorBidi" w:hAnsiTheme="minorBidi"/>
          <w:sz w:val="32"/>
          <w:szCs w:val="32"/>
          <w:rtl/>
        </w:rPr>
        <w:t xml:space="preserve"> لأنّه كان مُستأجراً وليس مالكاً للعين </w:t>
      </w:r>
      <w:r w:rsidRPr="00F27422">
        <w:rPr>
          <w:rFonts w:asciiTheme="minorBidi" w:hAnsiTheme="minorBidi"/>
          <w:b/>
          <w:bCs/>
          <w:sz w:val="32"/>
          <w:szCs w:val="32"/>
          <w:rtl/>
        </w:rPr>
        <w:t xml:space="preserve">(دون رقبتها، فإنه يصدق عليها) </w:t>
      </w:r>
      <w:r w:rsidRPr="00F27422">
        <w:rPr>
          <w:rFonts w:asciiTheme="minorBidi" w:hAnsiTheme="minorBidi"/>
          <w:sz w:val="32"/>
          <w:szCs w:val="32"/>
          <w:rtl/>
        </w:rPr>
        <w:t xml:space="preserve">أي على المنفعة التي تركها أنّها مما تركه الميت وما تركه الميت ترث منه الزوجة، إذ المنفعة لمن لم يكن مالكاً للعين مالٌ مستقل قابل لأنْ ترث منه الزوجة </w:t>
      </w:r>
      <w:r w:rsidRPr="00F27422">
        <w:rPr>
          <w:rFonts w:asciiTheme="minorBidi" w:hAnsiTheme="minorBidi"/>
          <w:b/>
          <w:bCs/>
          <w:sz w:val="32"/>
          <w:szCs w:val="32"/>
          <w:rtl/>
        </w:rPr>
        <w:t xml:space="preserve">(التركة وليست أرضاً، فالمعيار بالصدق بلحاظ دليل التركة والإرث لا بلحاظ دليل الإيجار والعقد، فتأمل جيداً). </w:t>
      </w:r>
    </w:p>
    <w:p w14:paraId="13A7B434" w14:textId="0E9B67DD"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t xml:space="preserve">وحاصله: </w:t>
      </w:r>
      <w:r w:rsidRPr="00F27422">
        <w:rPr>
          <w:rFonts w:asciiTheme="minorBidi" w:hAnsiTheme="minorBidi"/>
          <w:sz w:val="32"/>
          <w:szCs w:val="32"/>
          <w:rtl/>
        </w:rPr>
        <w:t>أنّه إذا نظرنا لدليل نفوذ الإجارة - حيث إنّه متضمنٌ لتمليك المنفعة دون العين - فمقتضى ذلك أنْ تكون المنفعة مالاً مستقلاً، فإذا كانت كذلك لم يشملها ما دلّ على أنّ النساء لا ترث من العقار شيئاً، إلّا أنّ الصحيح في المقام النظر في</w:t>
      </w:r>
      <w:r w:rsidR="00112222" w:rsidRPr="00F27422">
        <w:rPr>
          <w:rFonts w:asciiTheme="minorBidi" w:hAnsiTheme="minorBidi"/>
          <w:sz w:val="32"/>
          <w:szCs w:val="32"/>
          <w:rtl/>
        </w:rPr>
        <w:t xml:space="preserve"> </w:t>
      </w:r>
      <w:r w:rsidRPr="00F27422">
        <w:rPr>
          <w:rFonts w:asciiTheme="minorBidi" w:hAnsiTheme="minorBidi"/>
          <w:sz w:val="32"/>
          <w:szCs w:val="32"/>
          <w:rtl/>
        </w:rPr>
        <w:t xml:space="preserve">دليل الإرث، نحو قوله (عليه السلام): </w:t>
      </w:r>
      <w:r w:rsidRPr="00F27422">
        <w:rPr>
          <w:rFonts w:asciiTheme="minorBidi" w:hAnsiTheme="minorBidi"/>
          <w:b/>
          <w:bCs/>
          <w:sz w:val="32"/>
          <w:szCs w:val="32"/>
          <w:rtl/>
        </w:rPr>
        <w:t>(النساء لا يرثن من الأرض، ولا من العقار شيئاً)</w:t>
      </w:r>
      <w:r w:rsidRPr="00F27422">
        <w:rPr>
          <w:rFonts w:asciiTheme="minorBidi" w:hAnsiTheme="minorBidi"/>
          <w:sz w:val="32"/>
          <w:szCs w:val="32"/>
          <w:rtl/>
        </w:rPr>
        <w:t xml:space="preserve"> فإنّه صادقٌ عرفاً على هذه المنفعة؛ لأنّ هذه المنفعة حال موت الميت من العقار والمرأة لا ترث منه شيئا.</w:t>
      </w:r>
    </w:p>
    <w:p w14:paraId="23B8F972" w14:textId="77777777"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t>ولكن ما ذكر محل تأمل:</w:t>
      </w:r>
      <w:r w:rsidRPr="00F27422">
        <w:rPr>
          <w:rFonts w:asciiTheme="minorBidi" w:hAnsiTheme="minorBidi"/>
          <w:sz w:val="32"/>
          <w:szCs w:val="32"/>
          <w:rtl/>
        </w:rPr>
        <w:t xml:space="preserve"> حيث إنّ المنفعة ليست من العقار باعتبار انصرّاف العقار للعين شخصاً وقيمةً، وإنْ لم تملك المنفعة بسببٍ مستقلٍ، وإنّما ترث الزوجة مِن مالية العقار بناءً أو زرعاً، فلو كان الميت مالكاً لمالٍ آخر وهو المنفعة بسببٍ </w:t>
      </w:r>
      <w:proofErr w:type="gramStart"/>
      <w:r w:rsidRPr="00F27422">
        <w:rPr>
          <w:rFonts w:asciiTheme="minorBidi" w:hAnsiTheme="minorBidi"/>
          <w:sz w:val="32"/>
          <w:szCs w:val="32"/>
          <w:rtl/>
        </w:rPr>
        <w:t>آخرٍ ،</w:t>
      </w:r>
      <w:proofErr w:type="gramEnd"/>
      <w:r w:rsidRPr="00F27422">
        <w:rPr>
          <w:rFonts w:asciiTheme="minorBidi" w:hAnsiTheme="minorBidi"/>
          <w:sz w:val="32"/>
          <w:szCs w:val="32"/>
          <w:rtl/>
        </w:rPr>
        <w:t xml:space="preserve"> فقوله (عليه السلام): </w:t>
      </w:r>
      <w:r w:rsidRPr="00F27422">
        <w:rPr>
          <w:rFonts w:asciiTheme="minorBidi" w:hAnsiTheme="minorBidi"/>
          <w:b/>
          <w:bCs/>
          <w:sz w:val="32"/>
          <w:szCs w:val="32"/>
          <w:rtl/>
        </w:rPr>
        <w:t>"لا ترث مِن العقار شيئاً"</w:t>
      </w:r>
      <w:r w:rsidRPr="00F27422">
        <w:rPr>
          <w:rFonts w:asciiTheme="minorBidi" w:hAnsiTheme="minorBidi"/>
          <w:sz w:val="32"/>
          <w:szCs w:val="32"/>
          <w:rtl/>
        </w:rPr>
        <w:t xml:space="preserve"> منصرّف عن المنفعة، مع الالتفات إلى أنّها مما مُلِكَ بسببٍ مستقلٍ.</w:t>
      </w:r>
    </w:p>
    <w:p w14:paraId="0A4659FE" w14:textId="77777777" w:rsidR="002F71EA" w:rsidRPr="00F27422" w:rsidRDefault="002F71EA" w:rsidP="00122B70">
      <w:pPr>
        <w:bidi/>
        <w:rPr>
          <w:rFonts w:asciiTheme="minorBidi" w:hAnsiTheme="minorBidi"/>
          <w:b/>
          <w:bCs/>
          <w:sz w:val="32"/>
          <w:szCs w:val="32"/>
          <w:rtl/>
        </w:rPr>
      </w:pPr>
      <w:r w:rsidRPr="00F27422">
        <w:rPr>
          <w:rFonts w:asciiTheme="minorBidi" w:hAnsiTheme="minorBidi"/>
          <w:b/>
          <w:bCs/>
          <w:sz w:val="32"/>
          <w:szCs w:val="32"/>
          <w:rtl/>
        </w:rPr>
        <w:t>وأمّا الثمرة الرابعة</w:t>
      </w:r>
      <w:r w:rsidRPr="00F27422">
        <w:rPr>
          <w:rFonts w:asciiTheme="minorBidi" w:hAnsiTheme="minorBidi"/>
          <w:sz w:val="32"/>
          <w:szCs w:val="32"/>
          <w:rtl/>
        </w:rPr>
        <w:t xml:space="preserve"> وهي قوله: </w:t>
      </w:r>
      <w:r w:rsidRPr="00F27422">
        <w:rPr>
          <w:rFonts w:asciiTheme="minorBidi" w:hAnsiTheme="minorBidi"/>
          <w:b/>
          <w:bCs/>
          <w:sz w:val="32"/>
          <w:szCs w:val="32"/>
          <w:rtl/>
        </w:rPr>
        <w:t xml:space="preserve">(رجوع المشتري </w:t>
      </w:r>
      <w:proofErr w:type="spellStart"/>
      <w:r w:rsidRPr="00F27422">
        <w:rPr>
          <w:rFonts w:asciiTheme="minorBidi" w:hAnsiTheme="minorBidi"/>
          <w:b/>
          <w:bCs/>
          <w:sz w:val="32"/>
          <w:szCs w:val="32"/>
          <w:rtl/>
        </w:rPr>
        <w:t>بالاُجرة</w:t>
      </w:r>
      <w:proofErr w:type="spellEnd"/>
      <w:r w:rsidRPr="00F27422">
        <w:rPr>
          <w:rFonts w:asciiTheme="minorBidi" w:hAnsiTheme="minorBidi"/>
          <w:b/>
          <w:bCs/>
          <w:sz w:val="32"/>
          <w:szCs w:val="32"/>
          <w:rtl/>
        </w:rPr>
        <w:t xml:space="preserve"> لو تلفت العين بعد قبضها وقبل انقضاء مدّة الإجارة)</w:t>
      </w:r>
      <w:r w:rsidRPr="00F27422">
        <w:rPr>
          <w:rFonts w:asciiTheme="minorBidi" w:hAnsiTheme="minorBidi"/>
          <w:sz w:val="32"/>
          <w:szCs w:val="32"/>
          <w:rtl/>
        </w:rPr>
        <w:t xml:space="preserve"> كما لو استلم المُشتري العينَ وبعد ذلك تلفت العين بتلفٍ سماوي، فمقتضى القاعدة أنّ التلف وقع في مِلك المشتري </w:t>
      </w:r>
      <w:r w:rsidRPr="00F27422">
        <w:rPr>
          <w:rFonts w:asciiTheme="minorBidi" w:hAnsiTheme="minorBidi"/>
          <w:b/>
          <w:bCs/>
          <w:sz w:val="32"/>
          <w:szCs w:val="32"/>
          <w:rtl/>
        </w:rPr>
        <w:t>(فإنّ تعذّر استيفاء المنفعة يكشف عن بطلان الإجارة)</w:t>
      </w:r>
      <w:r w:rsidRPr="00F27422">
        <w:rPr>
          <w:rFonts w:asciiTheme="minorBidi" w:hAnsiTheme="minorBidi"/>
          <w:sz w:val="32"/>
          <w:szCs w:val="32"/>
          <w:rtl/>
        </w:rPr>
        <w:t xml:space="preserve"> في المدّة الباقية فللمُشتري أنْ يعود على البائع الذي كان مُؤجراً بالعوض </w:t>
      </w:r>
      <w:r w:rsidRPr="00F27422">
        <w:rPr>
          <w:rFonts w:asciiTheme="minorBidi" w:hAnsiTheme="minorBidi"/>
          <w:b/>
          <w:bCs/>
          <w:sz w:val="32"/>
          <w:szCs w:val="32"/>
          <w:rtl/>
        </w:rPr>
        <w:t>(ويوجب الرجوع بالعوض وإن كان تلف العين عليه)</w:t>
      </w:r>
      <w:r w:rsidRPr="00F27422">
        <w:rPr>
          <w:rFonts w:asciiTheme="minorBidi" w:hAnsiTheme="minorBidi"/>
          <w:sz w:val="32"/>
          <w:szCs w:val="32"/>
          <w:rtl/>
        </w:rPr>
        <w:t xml:space="preserve"> فإنّ مقتضى بطلانها في المدّة الباقية لتعذر استيفاء المنفعة أنْ يعود المشتري على البائع ويطالبه بقسمٍ مِن الأُجرة المسماة مقابل </w:t>
      </w:r>
      <w:r w:rsidRPr="00F27422">
        <w:rPr>
          <w:rFonts w:asciiTheme="minorBidi" w:hAnsiTheme="minorBidi"/>
          <w:sz w:val="32"/>
          <w:szCs w:val="32"/>
          <w:rtl/>
        </w:rPr>
        <w:lastRenderedPageBreak/>
        <w:t>أُجرة المدّة الباقية، وله أنْ يفسخ عقد الإجارة لبعض الصفقة، فإذا فسخها رجع على المُؤجر بتمامِ الأُجرة المسماة وبذل له أُجرة المثل مقابل المنافع التي استوفاها في المدّة السابقة.</w:t>
      </w:r>
    </w:p>
    <w:p w14:paraId="47F71501" w14:textId="77777777" w:rsidR="002F71EA" w:rsidRPr="00F27422" w:rsidRDefault="002F71EA" w:rsidP="00122B70">
      <w:pPr>
        <w:bidi/>
        <w:rPr>
          <w:rFonts w:asciiTheme="minorBidi" w:hAnsiTheme="minorBidi"/>
          <w:sz w:val="32"/>
          <w:szCs w:val="32"/>
          <w:rtl/>
        </w:rPr>
      </w:pPr>
    </w:p>
    <w:p w14:paraId="6CED95E3" w14:textId="77777777" w:rsidR="002F71EA" w:rsidRPr="00F27422" w:rsidRDefault="002F71EA" w:rsidP="00122B70">
      <w:pPr>
        <w:bidi/>
        <w:rPr>
          <w:rFonts w:asciiTheme="minorBidi" w:hAnsiTheme="minorBidi"/>
          <w:sz w:val="32"/>
          <w:szCs w:val="32"/>
          <w:rtl/>
        </w:rPr>
      </w:pPr>
      <w:r w:rsidRPr="00F27422">
        <w:rPr>
          <w:rFonts w:asciiTheme="minorBidi" w:hAnsiTheme="minorBidi"/>
          <w:b/>
          <w:bCs/>
          <w:sz w:val="32"/>
          <w:szCs w:val="32"/>
          <w:rtl/>
        </w:rPr>
        <w:t>والحمد لله رب العالمين</w:t>
      </w:r>
    </w:p>
    <w:p w14:paraId="0C0A3948" w14:textId="3DE0C9A7" w:rsidR="006F41C1" w:rsidRPr="00F27422" w:rsidRDefault="002F71EA"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013</w:t>
      </w:r>
    </w:p>
    <w:p w14:paraId="3EB32B6B"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بسم الله الرحمن الرحيم</w:t>
      </w:r>
    </w:p>
    <w:p w14:paraId="7A956C5A"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والصلاة والسلام على أشرف الأنبياء والمرسلين، محمد وآله الطيبين الطاهرين</w:t>
      </w:r>
    </w:p>
    <w:p w14:paraId="516AB9A5" w14:textId="77777777" w:rsidR="00E67AA3" w:rsidRPr="00F27422" w:rsidRDefault="00E67AA3"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واللعن الدائم على أعدائهم أجمعين إلى قيام يوم الدين</w:t>
      </w:r>
    </w:p>
    <w:p w14:paraId="0660E003" w14:textId="77777777" w:rsidR="00E67AA3" w:rsidRPr="00F27422" w:rsidRDefault="00E67AA3" w:rsidP="00122B70">
      <w:pPr>
        <w:pStyle w:val="a"/>
        <w:bidi/>
        <w:spacing w:line="216" w:lineRule="auto"/>
        <w:jc w:val="left"/>
        <w:rPr>
          <w:rFonts w:asciiTheme="minorBidi" w:hAnsiTheme="minorBidi" w:cstheme="minorBidi"/>
          <w:sz w:val="32"/>
          <w:rtl/>
        </w:rPr>
      </w:pPr>
    </w:p>
    <w:p w14:paraId="4D7E8A3D" w14:textId="77777777" w:rsidR="00E67AA3" w:rsidRPr="00F27422" w:rsidRDefault="00E67AA3" w:rsidP="00122B70">
      <w:pPr>
        <w:pStyle w:val="a"/>
        <w:bidi/>
        <w:spacing w:line="216" w:lineRule="auto"/>
        <w:jc w:val="left"/>
        <w:outlineLvl w:val="2"/>
        <w:rPr>
          <w:rFonts w:asciiTheme="minorBidi" w:hAnsiTheme="minorBidi" w:cstheme="minorBidi"/>
          <w:b/>
          <w:bCs/>
          <w:sz w:val="32"/>
          <w:rtl/>
        </w:rPr>
      </w:pPr>
      <w:r w:rsidRPr="00F27422">
        <w:rPr>
          <w:rFonts w:asciiTheme="minorBidi" w:hAnsiTheme="minorBidi" w:cstheme="minorBidi"/>
          <w:b/>
          <w:bCs/>
          <w:sz w:val="32"/>
          <w:rtl/>
        </w:rPr>
        <w:t>المسألة الثانية "فصل أحكام الإجارة":</w:t>
      </w:r>
    </w:p>
    <w:p w14:paraId="0A8A1404"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قال سيد العروة (قدس سره الشريف): </w:t>
      </w:r>
      <w:r w:rsidRPr="00F27422">
        <w:rPr>
          <w:rFonts w:asciiTheme="minorBidi" w:hAnsiTheme="minorBidi" w:cstheme="minorBidi"/>
          <w:b/>
          <w:bCs/>
          <w:sz w:val="32"/>
          <w:rtl/>
        </w:rPr>
        <w:t>(مسألة 2: لو وقع البيع والإجارة في زمان واحد كما لو باع العين مالكها على شخص وآجرها وكيله على شخص آخر واتّفق وقوعهما في زمان واحد)</w:t>
      </w:r>
      <w:r w:rsidRPr="00F27422">
        <w:rPr>
          <w:rFonts w:asciiTheme="minorBidi" w:hAnsiTheme="minorBidi" w:cstheme="minorBidi"/>
          <w:sz w:val="32"/>
          <w:rtl/>
        </w:rPr>
        <w:t xml:space="preserve"> بيع الأصيل وإجارة الوكيل </w:t>
      </w:r>
      <w:r w:rsidRPr="00F27422">
        <w:rPr>
          <w:rFonts w:asciiTheme="minorBidi" w:hAnsiTheme="minorBidi" w:cstheme="minorBidi"/>
          <w:b/>
          <w:bCs/>
          <w:sz w:val="32"/>
          <w:rtl/>
        </w:rPr>
        <w:t>(فهل يصحّان معاً ويملكها)</w:t>
      </w:r>
      <w:r w:rsidRPr="00F27422">
        <w:rPr>
          <w:rFonts w:asciiTheme="minorBidi" w:hAnsiTheme="minorBidi" w:cstheme="minorBidi"/>
          <w:sz w:val="32"/>
          <w:rtl/>
        </w:rPr>
        <w:t xml:space="preserve"> أي العين (</w:t>
      </w:r>
      <w:r w:rsidRPr="00F27422">
        <w:rPr>
          <w:rFonts w:asciiTheme="minorBidi" w:hAnsiTheme="minorBidi" w:cstheme="minorBidi"/>
          <w:b/>
          <w:bCs/>
          <w:sz w:val="32"/>
          <w:rtl/>
        </w:rPr>
        <w:t>المشتري مسلوبة المنفعة كما لو سبقت الإجارة)</w:t>
      </w:r>
      <w:r w:rsidRPr="00F27422">
        <w:rPr>
          <w:rFonts w:asciiTheme="minorBidi" w:hAnsiTheme="minorBidi" w:cstheme="minorBidi"/>
          <w:sz w:val="32"/>
          <w:rtl/>
        </w:rPr>
        <w:t xml:space="preserve"> حيث مضى أنّه في فرض كون الإجارة سابقةً زماناً على البيع فإنّ البيع يصح لكن العين تنتقل للمُشتري مسلوبة المنفعة، فيقال في المقام أيضاً: إذا وقع البيع والإجارة في زمانٍ واحد صحا معاً، ومعنى صحتهما معاً انتقال العين للمُشتري مسلوبة المنفعة وانتقال مِلكيّة المنفعة للمُستأجر </w:t>
      </w:r>
      <w:r w:rsidRPr="00F27422">
        <w:rPr>
          <w:rFonts w:asciiTheme="minorBidi" w:hAnsiTheme="minorBidi" w:cstheme="minorBidi"/>
          <w:b/>
          <w:bCs/>
          <w:sz w:val="32"/>
          <w:rtl/>
        </w:rPr>
        <w:t>(أو يبطلان معاً للتزاحم في ملكيّة المنفعة)</w:t>
      </w:r>
      <w:r w:rsidRPr="00F27422">
        <w:rPr>
          <w:rFonts w:asciiTheme="minorBidi" w:hAnsiTheme="minorBidi" w:cstheme="minorBidi"/>
          <w:sz w:val="32"/>
          <w:rtl/>
        </w:rPr>
        <w:t xml:space="preserve"> بينهما لا </w:t>
      </w:r>
      <w:proofErr w:type="spellStart"/>
      <w:r w:rsidRPr="00F27422">
        <w:rPr>
          <w:rFonts w:asciiTheme="minorBidi" w:hAnsiTheme="minorBidi" w:cstheme="minorBidi"/>
          <w:sz w:val="32"/>
          <w:rtl/>
        </w:rPr>
        <w:t>بالذت</w:t>
      </w:r>
      <w:proofErr w:type="spellEnd"/>
      <w:r w:rsidRPr="00F27422">
        <w:rPr>
          <w:rFonts w:asciiTheme="minorBidi" w:hAnsiTheme="minorBidi" w:cstheme="minorBidi"/>
          <w:sz w:val="32"/>
          <w:rtl/>
        </w:rPr>
        <w:t xml:space="preserve">؛ إذ البيع والإجارة ليسا متنافيين بالذات، بل بالعرض، فإنّ البيع يستتبع تمليك المنفعة للمُشتري، والإجارة تستتبع مِلكيّة المنفعة لغيره فيقع التنافي بينهما، وحيث لا مرجّح فيبطلان معاً </w:t>
      </w:r>
      <w:r w:rsidRPr="00F27422">
        <w:rPr>
          <w:rFonts w:asciiTheme="minorBidi" w:hAnsiTheme="minorBidi" w:cstheme="minorBidi"/>
          <w:b/>
          <w:bCs/>
          <w:sz w:val="32"/>
          <w:rtl/>
        </w:rPr>
        <w:t>(أو يبطلان معاً بالنسبة إلى تمليك المنفعة)</w:t>
      </w:r>
      <w:r w:rsidRPr="00F27422">
        <w:rPr>
          <w:rFonts w:asciiTheme="minorBidi" w:hAnsiTheme="minorBidi" w:cstheme="minorBidi"/>
          <w:sz w:val="32"/>
          <w:rtl/>
        </w:rPr>
        <w:t xml:space="preserve"> لا أنّهما يبطلان معاً حتى بالنسبة للعين </w:t>
      </w:r>
      <w:r w:rsidRPr="00F27422">
        <w:rPr>
          <w:rFonts w:asciiTheme="minorBidi" w:hAnsiTheme="minorBidi" w:cstheme="minorBidi"/>
          <w:b/>
          <w:bCs/>
          <w:sz w:val="32"/>
          <w:rtl/>
        </w:rPr>
        <w:t>(فيصحّ البيع)</w:t>
      </w:r>
      <w:r w:rsidRPr="00F27422">
        <w:rPr>
          <w:rFonts w:asciiTheme="minorBidi" w:hAnsiTheme="minorBidi" w:cstheme="minorBidi"/>
          <w:sz w:val="32"/>
          <w:rtl/>
        </w:rPr>
        <w:t xml:space="preserve"> وتنتقل العين إلى المُشتري </w:t>
      </w:r>
      <w:r w:rsidRPr="00F27422">
        <w:rPr>
          <w:rFonts w:asciiTheme="minorBidi" w:hAnsiTheme="minorBidi" w:cstheme="minorBidi"/>
          <w:b/>
          <w:bCs/>
          <w:sz w:val="32"/>
          <w:rtl/>
        </w:rPr>
        <w:t xml:space="preserve">(على أنّها مسلوبة المنفعة تلك المدّة فتبقى المنفعة على ملك البائع؟) </w:t>
      </w:r>
      <w:r w:rsidRPr="00F27422">
        <w:rPr>
          <w:rFonts w:asciiTheme="minorBidi" w:hAnsiTheme="minorBidi" w:cstheme="minorBidi"/>
          <w:sz w:val="32"/>
          <w:rtl/>
        </w:rPr>
        <w:t xml:space="preserve">لعدم صحّة الإجارة </w:t>
      </w:r>
      <w:r w:rsidRPr="00F27422">
        <w:rPr>
          <w:rFonts w:asciiTheme="minorBidi" w:hAnsiTheme="minorBidi" w:cstheme="minorBidi"/>
          <w:b/>
          <w:bCs/>
          <w:sz w:val="32"/>
          <w:rtl/>
        </w:rPr>
        <w:t xml:space="preserve">(وجوه، أقواها الأوّل) </w:t>
      </w:r>
      <w:r w:rsidRPr="00F27422">
        <w:rPr>
          <w:rFonts w:asciiTheme="minorBidi" w:hAnsiTheme="minorBidi" w:cstheme="minorBidi"/>
          <w:sz w:val="32"/>
          <w:rtl/>
        </w:rPr>
        <w:t xml:space="preserve">وهو صحّتها معاً </w:t>
      </w:r>
      <w:r w:rsidRPr="00F27422">
        <w:rPr>
          <w:rFonts w:asciiTheme="minorBidi" w:hAnsiTheme="minorBidi" w:cstheme="minorBidi"/>
          <w:b/>
          <w:bCs/>
          <w:sz w:val="32"/>
          <w:rtl/>
        </w:rPr>
        <w:t>(لعدم التزاحم، فإنّ البائع لا يملك المنفعة، وإنّما يملك العين، وملكيّة العين توجب ملكيّة المنفعة، للتبعيّة، وهي متأخّرة عن الإجارة).</w:t>
      </w:r>
    </w:p>
    <w:p w14:paraId="6E2E865D"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وقد اختار القول الأوّل المحققان الأصفهاني والعراقي (قدس سرهما)، واختاره السيد الحكيم (قدس سره) في مستمسك العروة الوثقى، وكذا السيد الحكيم السبط (قدس سره) في [مصباح المنهاج، كتاب الإجارة، ص224]، وكاشف الغطاء (رحمه الله) في تعليقته على العروة، والسيد الأُستاذ السيستاني (مد ظله) في المنهاج.</w:t>
      </w:r>
    </w:p>
    <w:p w14:paraId="09E57E5F"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وفي المقابل مَن ذهب لبطلان الإجارة كسيدنا الخوئي (قدس سره الشريف) كما في المستند في شرح العورة الوثقى وفي منهاجه أيضاً.</w:t>
      </w:r>
    </w:p>
    <w:p w14:paraId="442DBB3C"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وقد أفاد في موسوعته المباركة [كتاب الإجارة، ج30، ص122 – 123] فقال: </w:t>
      </w:r>
      <w:r w:rsidRPr="00F27422">
        <w:rPr>
          <w:rFonts w:asciiTheme="minorBidi" w:hAnsiTheme="minorBidi" w:cstheme="minorBidi"/>
          <w:b/>
          <w:bCs/>
          <w:sz w:val="32"/>
          <w:rtl/>
        </w:rPr>
        <w:t>(مفروض الكلام بيع العين على ما هي عليه، أي بمنافعها)</w:t>
      </w:r>
      <w:r w:rsidRPr="00F27422">
        <w:rPr>
          <w:rFonts w:asciiTheme="minorBidi" w:hAnsiTheme="minorBidi" w:cstheme="minorBidi"/>
          <w:sz w:val="32"/>
          <w:rtl/>
        </w:rPr>
        <w:t xml:space="preserve"> كي يقع التزاحم مع الإجارة </w:t>
      </w:r>
      <w:r w:rsidRPr="00F27422">
        <w:rPr>
          <w:rFonts w:asciiTheme="minorBidi" w:hAnsiTheme="minorBidi" w:cstheme="minorBidi"/>
          <w:b/>
          <w:bCs/>
          <w:sz w:val="32"/>
          <w:rtl/>
        </w:rPr>
        <w:t>(أمّا بيعها مسلوبة المنفعة)</w:t>
      </w:r>
      <w:r w:rsidRPr="00F27422">
        <w:rPr>
          <w:rFonts w:asciiTheme="minorBidi" w:hAnsiTheme="minorBidi" w:cstheme="minorBidi"/>
          <w:sz w:val="32"/>
          <w:rtl/>
        </w:rPr>
        <w:t xml:space="preserve"> من الأوّل بشرطٍ أو بإجارةٍ سابقة أو بهبةٍ </w:t>
      </w:r>
      <w:r w:rsidRPr="00F27422">
        <w:rPr>
          <w:rFonts w:asciiTheme="minorBidi" w:hAnsiTheme="minorBidi" w:cstheme="minorBidi"/>
          <w:b/>
          <w:bCs/>
          <w:sz w:val="32"/>
          <w:rtl/>
        </w:rPr>
        <w:t>(فلا إشكال فيه وهو خارج عن محلّ الكلام)</w:t>
      </w:r>
      <w:r w:rsidRPr="00F27422">
        <w:rPr>
          <w:rFonts w:asciiTheme="minorBidi" w:hAnsiTheme="minorBidi" w:cstheme="minorBidi"/>
          <w:sz w:val="32"/>
          <w:rtl/>
        </w:rPr>
        <w:t xml:space="preserve"> وإنّما محلّ البحث أنّ الأصيل باعها بما لها من منفعة وآجرها الوكيل في نفس الوقت على غير المُشتري.</w:t>
      </w:r>
    </w:p>
    <w:p w14:paraId="2974B388"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(والمحتملات في المسألة ثلاثة حسبما أشار إليها في المتن):</w:t>
      </w:r>
    </w:p>
    <w:p w14:paraId="7D182DDD"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lastRenderedPageBreak/>
        <w:t xml:space="preserve">المحتمل الأول: </w:t>
      </w:r>
      <w:r w:rsidRPr="00F27422">
        <w:rPr>
          <w:rFonts w:asciiTheme="minorBidi" w:hAnsiTheme="minorBidi" w:cstheme="minorBidi"/>
          <w:b/>
          <w:bCs/>
          <w:sz w:val="32"/>
          <w:rtl/>
        </w:rPr>
        <w:t>(صحّتهما معاً، فينتقل المبيع إلى المشتري مسلوب المنفعة، غايته ثبوت الخيار للمشتري)</w:t>
      </w:r>
      <w:r w:rsidRPr="00F27422">
        <w:rPr>
          <w:rFonts w:asciiTheme="minorBidi" w:hAnsiTheme="minorBidi" w:cstheme="minorBidi"/>
          <w:sz w:val="32"/>
          <w:rtl/>
        </w:rPr>
        <w:t xml:space="preserve"> إذا لم يكن عالماً، حيث إنّه إذا التفت إلى أنّ العين مستأجرةٌ فقد تخلّف الوصف وهو موضوع لاستحقاق الخيار </w:t>
      </w:r>
      <w:r w:rsidRPr="00F27422">
        <w:rPr>
          <w:rFonts w:asciiTheme="minorBidi" w:hAnsiTheme="minorBidi" w:cstheme="minorBidi"/>
          <w:b/>
          <w:bCs/>
          <w:sz w:val="32"/>
          <w:rtl/>
        </w:rPr>
        <w:t>(لمكان تخلّف الوصف، كما إذا كانت الإجارة سابقة).</w:t>
      </w:r>
    </w:p>
    <w:p w14:paraId="23A45FBD"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المحتمل الثاني: </w:t>
      </w:r>
      <w:r w:rsidRPr="00F27422">
        <w:rPr>
          <w:rFonts w:asciiTheme="minorBidi" w:hAnsiTheme="minorBidi" w:cstheme="minorBidi"/>
          <w:b/>
          <w:bCs/>
          <w:sz w:val="32"/>
          <w:rtl/>
        </w:rPr>
        <w:t>(وبطلانهما معاً)</w:t>
      </w:r>
      <w:r w:rsidRPr="00F27422">
        <w:rPr>
          <w:rFonts w:asciiTheme="minorBidi" w:hAnsiTheme="minorBidi" w:cstheme="minorBidi"/>
          <w:sz w:val="32"/>
          <w:rtl/>
        </w:rPr>
        <w:t xml:space="preserve"> فلا مِلكيّة للعين </w:t>
      </w:r>
      <w:r w:rsidRPr="00F27422">
        <w:rPr>
          <w:rFonts w:asciiTheme="minorBidi" w:hAnsiTheme="minorBidi" w:cstheme="minorBidi"/>
          <w:b/>
          <w:bCs/>
          <w:sz w:val="32"/>
          <w:rtl/>
        </w:rPr>
        <w:t>(نظراً إلى التزاحم)</w:t>
      </w:r>
      <w:r w:rsidRPr="00F27422">
        <w:rPr>
          <w:rFonts w:asciiTheme="minorBidi" w:hAnsiTheme="minorBidi" w:cstheme="minorBidi"/>
          <w:sz w:val="32"/>
          <w:rtl/>
        </w:rPr>
        <w:t xml:space="preserve"> والتنافي في مقام السببية والتأثير وإنْ لم يكن تنافياً بالذات، إلّا أنّه تنافٍ بالعرض </w:t>
      </w:r>
      <w:r w:rsidRPr="00F27422">
        <w:rPr>
          <w:rFonts w:asciiTheme="minorBidi" w:hAnsiTheme="minorBidi" w:cstheme="minorBidi"/>
          <w:b/>
          <w:bCs/>
          <w:sz w:val="32"/>
          <w:rtl/>
        </w:rPr>
        <w:t>(المانع من صحّتهما معاً، وترجيح أحدهما بلا مرجّح، كما هو الحال فيما لو باعه)</w:t>
      </w:r>
      <w:r w:rsidRPr="00F27422">
        <w:rPr>
          <w:rFonts w:asciiTheme="minorBidi" w:hAnsiTheme="minorBidi" w:cstheme="minorBidi"/>
          <w:sz w:val="32"/>
          <w:rtl/>
        </w:rPr>
        <w:t xml:space="preserve"> الأصيلُ </w:t>
      </w:r>
      <w:r w:rsidRPr="00F27422">
        <w:rPr>
          <w:rFonts w:asciiTheme="minorBidi" w:hAnsiTheme="minorBidi" w:cstheme="minorBidi"/>
          <w:b/>
          <w:bCs/>
          <w:sz w:val="32"/>
          <w:rtl/>
        </w:rPr>
        <w:t>(من شخص وباعه وكيله من شخص آخر في نفس الوقت)</w:t>
      </w:r>
      <w:r w:rsidRPr="00F27422">
        <w:rPr>
          <w:rFonts w:asciiTheme="minorBidi" w:hAnsiTheme="minorBidi" w:cstheme="minorBidi"/>
          <w:sz w:val="32"/>
          <w:rtl/>
        </w:rPr>
        <w:t xml:space="preserve"> فإنّ مقتضى ذلك بطلان البيعين معاً لعدم المرجّح.</w:t>
      </w:r>
    </w:p>
    <w:p w14:paraId="73F9913A"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المحتمل الثالث: </w:t>
      </w:r>
      <w:r w:rsidRPr="00F27422">
        <w:rPr>
          <w:rFonts w:asciiTheme="minorBidi" w:hAnsiTheme="minorBidi" w:cstheme="minorBidi"/>
          <w:b/>
          <w:bCs/>
          <w:sz w:val="32"/>
          <w:rtl/>
        </w:rPr>
        <w:t>(وبطلانهما في خصوص تمليك المنفعة، باعتبار أنّ هذا هو مورد المزاحمة)</w:t>
      </w:r>
      <w:r w:rsidRPr="00F27422">
        <w:rPr>
          <w:rFonts w:asciiTheme="minorBidi" w:hAnsiTheme="minorBidi" w:cstheme="minorBidi"/>
          <w:sz w:val="32"/>
          <w:rtl/>
        </w:rPr>
        <w:t xml:space="preserve"> والتنافي بينهما </w:t>
      </w:r>
      <w:r w:rsidRPr="00F27422">
        <w:rPr>
          <w:rFonts w:asciiTheme="minorBidi" w:hAnsiTheme="minorBidi" w:cstheme="minorBidi"/>
          <w:b/>
          <w:bCs/>
          <w:sz w:val="32"/>
          <w:rtl/>
        </w:rPr>
        <w:t>(فتعود المنفعة إلى البائع ويصحّ البيع مسلوب المنفعة في تلك المدّة).</w:t>
      </w:r>
    </w:p>
    <w:p w14:paraId="4845476B"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ثم أفاد سيدنا الخوئي (قدس سره الشريف): </w:t>
      </w:r>
      <w:r w:rsidRPr="00F27422">
        <w:rPr>
          <w:rFonts w:asciiTheme="minorBidi" w:hAnsiTheme="minorBidi" w:cstheme="minorBidi"/>
          <w:b/>
          <w:bCs/>
          <w:sz w:val="32"/>
          <w:rtl/>
        </w:rPr>
        <w:t>(أقول: أمّا القول ببطلانهما معاً فهو المتعيّن لو لم يتمّ أحد القولين الآخرين)</w:t>
      </w:r>
      <w:r w:rsidRPr="00F27422">
        <w:rPr>
          <w:rFonts w:asciiTheme="minorBidi" w:hAnsiTheme="minorBidi" w:cstheme="minorBidi"/>
          <w:sz w:val="32"/>
          <w:rtl/>
        </w:rPr>
        <w:t xml:space="preserve"> أي: صحّتهما معاً أو بطلان الإجارة (</w:t>
      </w:r>
      <w:r w:rsidRPr="00F27422">
        <w:rPr>
          <w:rFonts w:asciiTheme="minorBidi" w:hAnsiTheme="minorBidi" w:cstheme="minorBidi"/>
          <w:b/>
          <w:bCs/>
          <w:sz w:val="32"/>
          <w:rtl/>
        </w:rPr>
        <w:t>بحيث استقرّت المزاحمة بين العقدين، وإلّا فلا تصل النوبة إلى التزاحم ليلتزم بالبطلان فيهما).</w:t>
      </w:r>
    </w:p>
    <w:p w14:paraId="24D1BCB3" w14:textId="77777777" w:rsidR="00E67AA3" w:rsidRPr="00F27422" w:rsidRDefault="00E67AA3"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وهذا محل نظرٍ واضح:</w:t>
      </w:r>
      <w:r w:rsidRPr="00F27422">
        <w:rPr>
          <w:rFonts w:asciiTheme="minorBidi" w:hAnsiTheme="minorBidi" w:cstheme="minorBidi"/>
          <w:sz w:val="32"/>
          <w:rtl/>
        </w:rPr>
        <w:t xml:space="preserve"> فإنّ البيع لا منافي له في مِلكيّة العين، وإنّما التنافي بينهما في مِلكيّة المنفعة من حيث </w:t>
      </w:r>
      <w:r w:rsidRPr="00F27422">
        <w:rPr>
          <w:rFonts w:asciiTheme="minorBidi" w:hAnsiTheme="minorBidi" w:cstheme="minorBidi"/>
          <w:sz w:val="32"/>
          <w:highlight w:val="yellow"/>
          <w:rtl/>
        </w:rPr>
        <w:t>كونها للمستأجر أم للبائع، فإنْ لم يتمّ أي من القولين رجعت</w:t>
      </w:r>
      <w:r w:rsidRPr="00F27422">
        <w:rPr>
          <w:rFonts w:asciiTheme="minorBidi" w:hAnsiTheme="minorBidi" w:cstheme="minorBidi"/>
          <w:sz w:val="32"/>
          <w:rtl/>
        </w:rPr>
        <w:t xml:space="preserve"> المنفعة للبائع من باب التمسك بإطلاق دليل السبب الذي اقتضى تملك البائع للعين والمنفعة، وأمّا مِلكيّة العين فلا مزاحم لها، ولا منشأ لاحتمال البطلان إلّا دعوى التبعيّة اللزومية الفعلية، </w:t>
      </w:r>
      <w:r w:rsidRPr="00F27422">
        <w:rPr>
          <w:rFonts w:asciiTheme="minorBidi" w:hAnsiTheme="minorBidi" w:cstheme="minorBidi"/>
          <w:b/>
          <w:bCs/>
          <w:sz w:val="32"/>
          <w:rtl/>
        </w:rPr>
        <w:t>بتقريب:</w:t>
      </w:r>
      <w:r w:rsidRPr="00F27422">
        <w:rPr>
          <w:rFonts w:asciiTheme="minorBidi" w:hAnsiTheme="minorBidi" w:cstheme="minorBidi"/>
          <w:sz w:val="32"/>
          <w:rtl/>
        </w:rPr>
        <w:t xml:space="preserve"> كون مِلكيّة العين علة تامة لمِلكيّة المنفعة بحيث لا تتخلف عنها، ولازمه وقوع التنافي بين البيع والإجارة، وحيث لا مرجّح فالنتيجة بطلانهما معاً، إلّا أنّه لا شاهد على ذلك لا مِن نقلٍ ولا مرتكزات، إذ من الواضح انفكاك مِلك المنفعة عن العين وانفكاك مِلك العين عن المنفعة، ولذلك أمثلةٌ كثيرةٌ سبق ذكرها، فهذا القول متعين البطلان لا أنّه المتعين عند عدم تمامية أحد القولين الآخرين.</w:t>
      </w:r>
    </w:p>
    <w:p w14:paraId="1D40D6ED"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ولذلك يقع البحث في القولين الآخرين:</w:t>
      </w:r>
    </w:p>
    <w:p w14:paraId="5B8208E7"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القول الأوّل:</w:t>
      </w:r>
      <w:r w:rsidRPr="00F27422">
        <w:rPr>
          <w:rFonts w:asciiTheme="minorBidi" w:hAnsiTheme="minorBidi" w:cstheme="minorBidi"/>
          <w:sz w:val="32"/>
          <w:rtl/>
        </w:rPr>
        <w:t xml:space="preserve"> وهو القول بصحّتهما معاً فتنتقل العين للمُشتري مسلوبة المنفعة، وهو الذي اختاره الماتن (قدس سره الشريف) ويمكن أنْ يذكر في إثباته وجوه:</w:t>
      </w:r>
    </w:p>
    <w:p w14:paraId="269C78B6" w14:textId="54C12C8D"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الوجه الأوّل:</w:t>
      </w:r>
      <w:r w:rsidRPr="00F27422">
        <w:rPr>
          <w:rFonts w:asciiTheme="minorBidi" w:hAnsiTheme="minorBidi" w:cstheme="minorBidi"/>
          <w:sz w:val="32"/>
          <w:rtl/>
        </w:rPr>
        <w:t xml:space="preserve"> - وجهٌ ثبوتي - أنّ مقتضى دليل السلطنة كون العقدين ممن صدرا من أهله ووقعا في محله، فإنّ مقتضى سلطنة البائع الأصيل نفوذُ بيعه ومقتضى سلطنته نفوذ ما قام به الوكيل من الإجارة؛ حيث إنّ سلطنة الوكيل على الإجارة متفرعةٌ على سلطنة الأصيل، فإنّ ثبوت السلطنة للوكيل إنّما هي مِن قبل الأصيل، ونفوذ فعل الوكيل نفوذٌ لسلطنة الأصيل نفسه، فلذلك كان مقتضى دليل السلطنة - سواءً كان لفظياً أو ارتكازاً عقلائياً - نفوذ</w:t>
      </w:r>
      <w:r w:rsidR="00112222" w:rsidRPr="00F27422">
        <w:rPr>
          <w:rFonts w:asciiTheme="minorBidi" w:hAnsiTheme="minorBidi" w:cstheme="minorBidi"/>
          <w:sz w:val="32"/>
          <w:rtl/>
        </w:rPr>
        <w:t xml:space="preserve"> </w:t>
      </w:r>
      <w:r w:rsidRPr="00F27422">
        <w:rPr>
          <w:rFonts w:asciiTheme="minorBidi" w:hAnsiTheme="minorBidi" w:cstheme="minorBidi"/>
          <w:sz w:val="32"/>
          <w:rtl/>
        </w:rPr>
        <w:t>العقدين الصادرين من الأصيل، غاية ما في الأمر أحدهما بالأصالة والآخر بالتبع؛ لأنّ العين والمنفعة مالان له ولكلٍّ مِن المالين سنخٌ مِن المِلكيّة فيصح تصرّفه فيهما، فيتم البيع وتنتقل العين للمُشتري وتصح الإجارة وتنتقل المنفعة للمُستأجر، كما في الشرط والهبة، فكما لو أنّه باعه الدار وشرط عليه أنْ لا تكون المنفعة له، أو باعه الدار وقد وهب المنفعة لولده في آنٍ واحد فقال: "بعتُكَ هذه العين التي أهب منفعتها لولدك" أو "بعتُكَ هذه العين التي اشترط عليك عدم منفعتها" فإنّه لا إشكال في نفوذ سلطنته، فكذلك لا ريب في نفوذ سلطنته في محلّ الكلام.</w:t>
      </w:r>
    </w:p>
    <w:p w14:paraId="5BCF9C15" w14:textId="77777777" w:rsidR="00E67AA3" w:rsidRPr="00F27422" w:rsidRDefault="00E67AA3"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الوجه الثاني:</w:t>
      </w:r>
      <w:r w:rsidRPr="00F27422">
        <w:rPr>
          <w:rFonts w:asciiTheme="minorBidi" w:hAnsiTheme="minorBidi" w:cstheme="minorBidi"/>
          <w:sz w:val="32"/>
          <w:rtl/>
        </w:rPr>
        <w:t xml:space="preserve"> - وجهٌ إثباتي - </w:t>
      </w:r>
      <w:r w:rsidRPr="00F27422">
        <w:rPr>
          <w:rFonts w:asciiTheme="minorBidi" w:hAnsiTheme="minorBidi" w:cstheme="minorBidi"/>
          <w:b/>
          <w:bCs/>
          <w:sz w:val="32"/>
          <w:rtl/>
        </w:rPr>
        <w:t>وحاصله:</w:t>
      </w:r>
      <w:r w:rsidRPr="00F27422">
        <w:rPr>
          <w:rFonts w:asciiTheme="minorBidi" w:hAnsiTheme="minorBidi" w:cstheme="minorBidi"/>
          <w:sz w:val="32"/>
          <w:rtl/>
        </w:rPr>
        <w:t xml:space="preserve"> أنّ ظاهر حال البائع الذي أقدم على البيع وهو ملتفتٌ إلى الوكالة - وأنّ الوكيل قد يصدر منه تصرّفٌ في العين باعتباره مفوضاً في التصرّف </w:t>
      </w:r>
      <w:r w:rsidRPr="00F27422">
        <w:rPr>
          <w:rFonts w:asciiTheme="minorBidi" w:hAnsiTheme="minorBidi" w:cstheme="minorBidi"/>
          <w:sz w:val="32"/>
          <w:rtl/>
        </w:rPr>
        <w:lastRenderedPageBreak/>
        <w:t>فيها بالنقل للعين أو المنفعة - عدم صدور إنشاءٍ منه للتمليك إلّا في حدود ما لم يقم به الوكيل، فهو تمليكٌ قاصرٌ في نفسه عن السعة لما تصرّف به الوكيل.</w:t>
      </w:r>
    </w:p>
    <w:p w14:paraId="46A3B3C9"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نعم، هذا الوجه ليس مطرداً فربما يصدر البيع من الأصيل وقد غفل عن وكالته فلا يكون ظاهر حاله أنّ ما أنشأه هو ما لم يقم الوكيل بتصرّف خلافه.</w:t>
      </w:r>
    </w:p>
    <w:p w14:paraId="1134FDEA" w14:textId="77777777" w:rsidR="00E67AA3" w:rsidRPr="00F27422" w:rsidRDefault="00E67AA3"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الوجه الثالث:</w:t>
      </w:r>
      <w:r w:rsidRPr="00F27422">
        <w:rPr>
          <w:rFonts w:asciiTheme="minorBidi" w:hAnsiTheme="minorBidi" w:cstheme="minorBidi"/>
          <w:sz w:val="32"/>
          <w:rtl/>
        </w:rPr>
        <w:t xml:space="preserve"> في قول سيد العروة (قدس سره الشريف): </w:t>
      </w:r>
      <w:r w:rsidRPr="00F27422">
        <w:rPr>
          <w:rFonts w:asciiTheme="minorBidi" w:hAnsiTheme="minorBidi" w:cstheme="minorBidi"/>
          <w:b/>
          <w:bCs/>
          <w:sz w:val="32"/>
          <w:rtl/>
        </w:rPr>
        <w:t xml:space="preserve">(وجوه، أقواها الأوّل) </w:t>
      </w:r>
      <w:r w:rsidRPr="00F27422">
        <w:rPr>
          <w:rFonts w:asciiTheme="minorBidi" w:hAnsiTheme="minorBidi" w:cstheme="minorBidi"/>
          <w:sz w:val="32"/>
          <w:rtl/>
        </w:rPr>
        <w:t xml:space="preserve">وهو صحّتها معاً </w:t>
      </w:r>
      <w:r w:rsidRPr="00F27422">
        <w:rPr>
          <w:rFonts w:asciiTheme="minorBidi" w:hAnsiTheme="minorBidi" w:cstheme="minorBidi"/>
          <w:b/>
          <w:bCs/>
          <w:sz w:val="32"/>
          <w:rtl/>
        </w:rPr>
        <w:t xml:space="preserve">(لعدم التزاحم، فإنّ البائع لا يملك المنفعة، وإنّما يملك العين، وملكيّة العين توجب ملكيّة المنفعة، </w:t>
      </w:r>
      <w:proofErr w:type="gramStart"/>
      <w:r w:rsidRPr="00F27422">
        <w:rPr>
          <w:rFonts w:asciiTheme="minorBidi" w:hAnsiTheme="minorBidi" w:cstheme="minorBidi"/>
          <w:b/>
          <w:bCs/>
          <w:sz w:val="32"/>
          <w:rtl/>
        </w:rPr>
        <w:t>للتبعيّة ،</w:t>
      </w:r>
      <w:proofErr w:type="gramEnd"/>
      <w:r w:rsidRPr="00F27422">
        <w:rPr>
          <w:rFonts w:asciiTheme="minorBidi" w:hAnsiTheme="minorBidi" w:cstheme="minorBidi"/>
          <w:b/>
          <w:bCs/>
          <w:sz w:val="32"/>
          <w:rtl/>
        </w:rPr>
        <w:t xml:space="preserve"> وهي متأخّرة عن الإجارة)</w:t>
      </w:r>
      <w:r w:rsidRPr="00F27422">
        <w:rPr>
          <w:rFonts w:asciiTheme="minorBidi" w:hAnsiTheme="minorBidi" w:cstheme="minorBidi"/>
          <w:sz w:val="32"/>
          <w:rtl/>
        </w:rPr>
        <w:t xml:space="preserve"> فإذا كان تمليك المنفعة متأخراً عن الإجارة لم يقع التزاحم بين تملك المنفعة </w:t>
      </w:r>
      <w:proofErr w:type="gramStart"/>
      <w:r w:rsidRPr="00F27422">
        <w:rPr>
          <w:rFonts w:asciiTheme="minorBidi" w:hAnsiTheme="minorBidi" w:cstheme="minorBidi"/>
          <w:sz w:val="32"/>
          <w:rtl/>
        </w:rPr>
        <w:t>بالتبع</w:t>
      </w:r>
      <w:proofErr w:type="gramEnd"/>
      <w:r w:rsidRPr="00F27422">
        <w:rPr>
          <w:rFonts w:asciiTheme="minorBidi" w:hAnsiTheme="minorBidi" w:cstheme="minorBidi"/>
          <w:sz w:val="32"/>
          <w:rtl/>
        </w:rPr>
        <w:t xml:space="preserve"> وتمليك الإجارة للمنفعة بالمباشرة.</w:t>
      </w:r>
    </w:p>
    <w:p w14:paraId="38FDAFF5"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وهذا هو الظاهر من عبارة سيد العروة (قدس سره الشريف).</w:t>
      </w:r>
    </w:p>
    <w:p w14:paraId="77541B73"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ولكن سيدنا الخوئي (قدس سره الشريف) تبعاً لشيخه المحقق الأصفهاني (قدس سره الشريف) ذكر في تحليل كلام سيد العروة (قدس سره الشريف) في موسوعته [كتاب الإجارة، ج30، ص123] ما أفاده بقوله: </w:t>
      </w:r>
      <w:r w:rsidRPr="00F27422">
        <w:rPr>
          <w:rFonts w:asciiTheme="minorBidi" w:hAnsiTheme="minorBidi" w:cstheme="minorBidi"/>
          <w:b/>
          <w:bCs/>
          <w:sz w:val="32"/>
          <w:rtl/>
        </w:rPr>
        <w:t>(إنّ شأن البيع تمليك العين، كما أنّ شأن الإجارة تمليك المنفعة، فهما في عرض واحد ولا تزاحم بينهما بما هما كذلك)</w:t>
      </w:r>
      <w:r w:rsidRPr="00F27422">
        <w:rPr>
          <w:rFonts w:asciiTheme="minorBidi" w:hAnsiTheme="minorBidi" w:cstheme="minorBidi"/>
          <w:sz w:val="32"/>
          <w:rtl/>
        </w:rPr>
        <w:t xml:space="preserve"> أي أنّ هذا متعلقٌ بالعين وهذا متعلقٌ بالمنفعة </w:t>
      </w:r>
      <w:r w:rsidRPr="00F27422">
        <w:rPr>
          <w:rFonts w:asciiTheme="minorBidi" w:hAnsiTheme="minorBidi" w:cstheme="minorBidi"/>
          <w:b/>
          <w:bCs/>
          <w:sz w:val="32"/>
          <w:rtl/>
        </w:rPr>
        <w:t>(وإنّما تنشأ المزاحمة من تمليك المنفعة المتحقّق في مورد البيع أيضاً، وحيث إنّه بمناط التبعيّة فلا جرم كان)</w:t>
      </w:r>
      <w:r w:rsidRPr="00F27422">
        <w:rPr>
          <w:rFonts w:asciiTheme="minorBidi" w:hAnsiTheme="minorBidi" w:cstheme="minorBidi"/>
          <w:sz w:val="32"/>
          <w:rtl/>
        </w:rPr>
        <w:t xml:space="preserve"> تمليك المنفعة بالتبعيّة </w:t>
      </w:r>
      <w:r w:rsidRPr="00F27422">
        <w:rPr>
          <w:rFonts w:asciiTheme="minorBidi" w:hAnsiTheme="minorBidi" w:cstheme="minorBidi"/>
          <w:b/>
          <w:bCs/>
          <w:sz w:val="32"/>
          <w:rtl/>
        </w:rPr>
        <w:t>(في مرتبة متأخّرة من تمليك العين، فإذا كان كذلك)</w:t>
      </w:r>
      <w:r w:rsidRPr="00F27422">
        <w:rPr>
          <w:rFonts w:asciiTheme="minorBidi" w:hAnsiTheme="minorBidi" w:cstheme="minorBidi"/>
          <w:sz w:val="32"/>
          <w:rtl/>
        </w:rPr>
        <w:t xml:space="preserve"> أي: متأخراً رتبةً عن تمليك العين </w:t>
      </w:r>
      <w:r w:rsidRPr="00F27422">
        <w:rPr>
          <w:rFonts w:asciiTheme="minorBidi" w:hAnsiTheme="minorBidi" w:cstheme="minorBidi"/>
          <w:b/>
          <w:bCs/>
          <w:sz w:val="32"/>
          <w:rtl/>
        </w:rPr>
        <w:t>(فبطبيعة الحال تؤثّر الإجارة الواقعة في مرتبة تمليك العين وفي عرض البيع أثرها)</w:t>
      </w:r>
      <w:r w:rsidRPr="00F27422">
        <w:rPr>
          <w:rFonts w:asciiTheme="minorBidi" w:hAnsiTheme="minorBidi" w:cstheme="minorBidi"/>
          <w:sz w:val="32"/>
          <w:rtl/>
        </w:rPr>
        <w:t xml:space="preserve"> ولا تقع المنافاة بين مِلكيّة المنفعة بالتبعيّة ومِلكيّة الإجارة بالأصالة؛ لأنّ الإجارة والبيع في عرضٍ واحدٍ ومرتبةٍ واحدةٍ، وتملك المنفعة بالبيع متأخرٌ رتبةً عن البيع، وما مع المتقدم متقدمٌ، فإنّ الإجارة مع البيع في عرضٍ واحدٍ، والبيع متقدمٌ رتبةً على تمليك المنفعة فتكون الإجارة متقدمةً رتبةً على تمليك المنفعة بالتبعيّة، فلا يقع تنافٍ بين تمليك المنفعة بالتبعيّة وتمليك المنفعة بالإجارة </w:t>
      </w:r>
      <w:r w:rsidRPr="00F27422">
        <w:rPr>
          <w:rFonts w:asciiTheme="minorBidi" w:hAnsiTheme="minorBidi" w:cstheme="minorBidi"/>
          <w:b/>
          <w:bCs/>
          <w:sz w:val="32"/>
          <w:rtl/>
        </w:rPr>
        <w:t>(ولا تبقي)</w:t>
      </w:r>
      <w:r w:rsidRPr="00F27422">
        <w:rPr>
          <w:rFonts w:asciiTheme="minorBidi" w:hAnsiTheme="minorBidi" w:cstheme="minorBidi"/>
          <w:sz w:val="32"/>
          <w:rtl/>
        </w:rPr>
        <w:t xml:space="preserve"> أي الإجارة </w:t>
      </w:r>
      <w:r w:rsidRPr="00F27422">
        <w:rPr>
          <w:rFonts w:asciiTheme="minorBidi" w:hAnsiTheme="minorBidi" w:cstheme="minorBidi"/>
          <w:b/>
          <w:bCs/>
          <w:sz w:val="32"/>
          <w:rtl/>
        </w:rPr>
        <w:t>(مجالاً للملكيّة التبعيّة الواقعة في مرتبة متأخّرة، فإنّها إنّما تؤثّر فيها إذا كان البائع مالكاً للمنفعة، والمفروض خروجها)</w:t>
      </w:r>
      <w:r w:rsidRPr="00F27422">
        <w:rPr>
          <w:rFonts w:asciiTheme="minorBidi" w:hAnsiTheme="minorBidi" w:cstheme="minorBidi"/>
          <w:sz w:val="32"/>
          <w:rtl/>
        </w:rPr>
        <w:t xml:space="preserve"> عن مِلكه (</w:t>
      </w:r>
      <w:r w:rsidRPr="00F27422">
        <w:rPr>
          <w:rFonts w:asciiTheme="minorBidi" w:hAnsiTheme="minorBidi" w:cstheme="minorBidi"/>
          <w:b/>
          <w:bCs/>
          <w:sz w:val="32"/>
          <w:rtl/>
        </w:rPr>
        <w:t>بالإجارة الواقعة في مرتبة سابقة، المعدمة لموضوع التبعيّة.</w:t>
      </w:r>
    </w:p>
    <w:p w14:paraId="70ADF59F"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وبعبارة اُخرى: المنافع إنّما تكون تابعة للعين فيما إذا لم تكن)</w:t>
      </w:r>
      <w:r w:rsidRPr="00F27422">
        <w:rPr>
          <w:rFonts w:asciiTheme="minorBidi" w:hAnsiTheme="minorBidi" w:cstheme="minorBidi"/>
          <w:sz w:val="32"/>
          <w:rtl/>
        </w:rPr>
        <w:t xml:space="preserve"> المنافع </w:t>
      </w:r>
      <w:r w:rsidRPr="00F27422">
        <w:rPr>
          <w:rFonts w:asciiTheme="minorBidi" w:hAnsiTheme="minorBidi" w:cstheme="minorBidi"/>
          <w:b/>
          <w:bCs/>
          <w:sz w:val="32"/>
          <w:rtl/>
        </w:rPr>
        <w:t>(منتقلة إلى الغير قبل ذلك، وقد انتقلت في رتبة سابقة بسبب سليم وقتئذٍ عن المزاحم، وهو الإجارة)</w:t>
      </w:r>
      <w:r w:rsidRPr="00F27422">
        <w:rPr>
          <w:rFonts w:asciiTheme="minorBidi" w:hAnsiTheme="minorBidi" w:cstheme="minorBidi"/>
          <w:sz w:val="32"/>
          <w:rtl/>
        </w:rPr>
        <w:t xml:space="preserve"> فعند وقوع الإجارة لم يكن معه مزاحم وإنّما المزاحم مِلكيّة المنفعة </w:t>
      </w:r>
      <w:proofErr w:type="gramStart"/>
      <w:r w:rsidRPr="00F27422">
        <w:rPr>
          <w:rFonts w:asciiTheme="minorBidi" w:hAnsiTheme="minorBidi" w:cstheme="minorBidi"/>
          <w:sz w:val="32"/>
          <w:rtl/>
        </w:rPr>
        <w:t>بالتبع</w:t>
      </w:r>
      <w:proofErr w:type="gramEnd"/>
      <w:r w:rsidRPr="00F27422">
        <w:rPr>
          <w:rFonts w:asciiTheme="minorBidi" w:hAnsiTheme="minorBidi" w:cstheme="minorBidi"/>
          <w:sz w:val="32"/>
          <w:rtl/>
        </w:rPr>
        <w:t xml:space="preserve"> التي هي متأخرة رتبةً عن العقدين </w:t>
      </w:r>
      <w:r w:rsidRPr="00F27422">
        <w:rPr>
          <w:rFonts w:asciiTheme="minorBidi" w:hAnsiTheme="minorBidi" w:cstheme="minorBidi"/>
          <w:b/>
          <w:bCs/>
          <w:sz w:val="32"/>
          <w:rtl/>
        </w:rPr>
        <w:t>(فلا يبقى بعد هذا مجال للانتقال إلى المشتري، لانتفاء الموضوع وانعدامه.</w:t>
      </w:r>
    </w:p>
    <w:p w14:paraId="5CB4D5DD"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هذا محصّل كلامه وتوضيح مرامه زيد في علوّ مقامه. ولكنّه لا يمكن المساعدة عليه بوجه).</w:t>
      </w:r>
    </w:p>
    <w:p w14:paraId="207D57ED"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وما ذكره (قدس سره الشريف) محتملٌ لنكتتين:</w:t>
      </w:r>
    </w:p>
    <w:p w14:paraId="03A2F45F"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المحتمل الأوّل:</w:t>
      </w:r>
      <w:r w:rsidRPr="00F27422">
        <w:rPr>
          <w:rFonts w:asciiTheme="minorBidi" w:hAnsiTheme="minorBidi" w:cstheme="minorBidi"/>
          <w:sz w:val="32"/>
          <w:rtl/>
        </w:rPr>
        <w:t xml:space="preserve"> أنّ تقدم الإجارة على البيع في حيثية تمليك المنفعة بلحاظ أنّ الإجارة متقدمةٌ رتبةً على التبعيّة، أي أنّ سببية الإجارة لتمليك المنفعة متقدمةٌ رتبةً على سببية التبعيّة لتمليك المنفعة.</w:t>
      </w:r>
    </w:p>
    <w:p w14:paraId="1D8588C0"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المحتمل الثاني:</w:t>
      </w:r>
      <w:r w:rsidRPr="00F27422">
        <w:rPr>
          <w:rFonts w:asciiTheme="minorBidi" w:hAnsiTheme="minorBidi" w:cstheme="minorBidi"/>
          <w:sz w:val="32"/>
          <w:rtl/>
        </w:rPr>
        <w:t xml:space="preserve"> أنّه مِن باب الورود وانتفاء الموضوع، أي أنّ نفوذ الإجارة أعْدَمَ موضوع التبعيّة.</w:t>
      </w:r>
    </w:p>
    <w:p w14:paraId="26DBF5FC" w14:textId="02F2C2E5"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وقد وقع تداخلٌ في عبارات التقرير بين النكتتين حيث قال: </w:t>
      </w:r>
      <w:r w:rsidRPr="00F27422">
        <w:rPr>
          <w:rFonts w:asciiTheme="minorBidi" w:hAnsiTheme="minorBidi" w:cstheme="minorBidi"/>
          <w:b/>
          <w:bCs/>
          <w:sz w:val="32"/>
          <w:rtl/>
        </w:rPr>
        <w:t>(فلا جرم كان في مرتبة متأخّرة من تمليك العين، فإذا كان كذلك فبطبيعة الحال تؤثّر الإجارة الواقعة في مرتبة تمليك العين وفي عرض البيع أثرها)</w:t>
      </w:r>
      <w:r w:rsidRPr="00F27422">
        <w:rPr>
          <w:rFonts w:asciiTheme="minorBidi" w:hAnsiTheme="minorBidi" w:cstheme="minorBidi"/>
          <w:sz w:val="32"/>
          <w:rtl/>
        </w:rPr>
        <w:t xml:space="preserve"> وظاهر هذه العبارة</w:t>
      </w:r>
      <w:r w:rsidR="00112222" w:rsidRPr="00F27422">
        <w:rPr>
          <w:rFonts w:asciiTheme="minorBidi" w:hAnsiTheme="minorBidi" w:cstheme="minorBidi"/>
          <w:sz w:val="32"/>
          <w:rtl/>
        </w:rPr>
        <w:t xml:space="preserve"> </w:t>
      </w:r>
      <w:r w:rsidRPr="00F27422">
        <w:rPr>
          <w:rFonts w:asciiTheme="minorBidi" w:hAnsiTheme="minorBidi" w:cstheme="minorBidi"/>
          <w:sz w:val="32"/>
          <w:rtl/>
        </w:rPr>
        <w:t xml:space="preserve">أنّ مقصوده (قدس سره) هو النظر إلى أنّ </w:t>
      </w:r>
      <w:r w:rsidRPr="00F27422">
        <w:rPr>
          <w:rFonts w:asciiTheme="minorBidi" w:hAnsiTheme="minorBidi" w:cstheme="minorBidi"/>
          <w:sz w:val="32"/>
          <w:rtl/>
        </w:rPr>
        <w:lastRenderedPageBreak/>
        <w:t xml:space="preserve">ما مع المتقدم متقدمٌ، إلّا أنّه قال: </w:t>
      </w:r>
      <w:r w:rsidRPr="00F27422">
        <w:rPr>
          <w:rFonts w:asciiTheme="minorBidi" w:hAnsiTheme="minorBidi" w:cstheme="minorBidi"/>
          <w:b/>
          <w:bCs/>
          <w:sz w:val="32"/>
          <w:rtl/>
        </w:rPr>
        <w:t>(ولا تبقي)</w:t>
      </w:r>
      <w:r w:rsidRPr="00F27422">
        <w:rPr>
          <w:rFonts w:asciiTheme="minorBidi" w:hAnsiTheme="minorBidi" w:cstheme="minorBidi"/>
          <w:sz w:val="32"/>
          <w:rtl/>
        </w:rPr>
        <w:t xml:space="preserve"> أي: الإجارة </w:t>
      </w:r>
      <w:r w:rsidRPr="00F27422">
        <w:rPr>
          <w:rFonts w:asciiTheme="minorBidi" w:hAnsiTheme="minorBidi" w:cstheme="minorBidi"/>
          <w:b/>
          <w:bCs/>
          <w:sz w:val="32"/>
          <w:rtl/>
        </w:rPr>
        <w:t>(مجالاً للملكيّة التبعيّة الواقعة في مرتبة متأخّرة، فإنّها إنّما توثّر فيها إذا كان البائع مالكاً للمنفعة، والمفروض خروجها بالإجارة الواقعة في مرتبة سابقة، المعدمة لموضوع التبعيّة).</w:t>
      </w:r>
    </w:p>
    <w:p w14:paraId="5F787BEB"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وقال أيضاً في [ص124]: </w:t>
      </w:r>
      <w:r w:rsidRPr="00F27422">
        <w:rPr>
          <w:rFonts w:asciiTheme="minorBidi" w:hAnsiTheme="minorBidi" w:cstheme="minorBidi"/>
          <w:b/>
          <w:bCs/>
          <w:sz w:val="32"/>
          <w:rtl/>
        </w:rPr>
        <w:t>(فلا يبقى بعد هذا مجال للانتقال إلى المشتري، لانتفاء الموضوع وانعدامه).</w:t>
      </w:r>
    </w:p>
    <w:p w14:paraId="2C36C921" w14:textId="77777777" w:rsidR="00E67AA3" w:rsidRPr="00F27422" w:rsidRDefault="00E67AA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والحمد لله رب العالمين </w:t>
      </w:r>
    </w:p>
    <w:p w14:paraId="2B70664A" w14:textId="77777777" w:rsidR="00E67AA3" w:rsidRPr="00F27422" w:rsidRDefault="00E67AA3" w:rsidP="00122B70">
      <w:pPr>
        <w:bidi/>
        <w:rPr>
          <w:rFonts w:asciiTheme="minorBidi" w:hAnsiTheme="minorBidi"/>
          <w:sz w:val="32"/>
          <w:szCs w:val="32"/>
          <w:rtl/>
        </w:rPr>
      </w:pPr>
    </w:p>
    <w:p w14:paraId="2BF2AB77" w14:textId="07B39895" w:rsidR="00E67AA3" w:rsidRPr="00F27422" w:rsidRDefault="00E67AA3"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014</w:t>
      </w:r>
    </w:p>
    <w:p w14:paraId="3F658F31" w14:textId="77777777" w:rsidR="002D2958" w:rsidRPr="00F27422" w:rsidRDefault="002D2958"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363330DB" w14:textId="77777777" w:rsidR="002D2958" w:rsidRPr="00F27422" w:rsidRDefault="002D2958"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64E6042B" w14:textId="77777777" w:rsidR="002D2958" w:rsidRPr="00F27422" w:rsidRDefault="002D2958"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673AD1D1" w14:textId="77777777" w:rsidR="002D2958" w:rsidRPr="00F27422" w:rsidRDefault="002D2958" w:rsidP="00122B70">
      <w:pPr>
        <w:bidi/>
        <w:rPr>
          <w:rFonts w:asciiTheme="minorBidi" w:hAnsiTheme="minorBidi"/>
          <w:sz w:val="32"/>
          <w:szCs w:val="32"/>
          <w:rtl/>
        </w:rPr>
      </w:pPr>
    </w:p>
    <w:p w14:paraId="569023DA" w14:textId="77777777" w:rsidR="002D2958" w:rsidRPr="00F27422" w:rsidRDefault="002D2958" w:rsidP="00122B70">
      <w:pPr>
        <w:bidi/>
        <w:rPr>
          <w:rFonts w:asciiTheme="minorBidi" w:hAnsiTheme="minorBidi"/>
          <w:sz w:val="32"/>
          <w:szCs w:val="32"/>
          <w:rtl/>
        </w:rPr>
      </w:pPr>
      <w:r w:rsidRPr="00F27422">
        <w:rPr>
          <w:rFonts w:asciiTheme="minorBidi" w:hAnsiTheme="minorBidi"/>
          <w:b/>
          <w:bCs/>
          <w:sz w:val="32"/>
          <w:szCs w:val="32"/>
          <w:rtl/>
        </w:rPr>
        <w:t>المحتمل الأول:</w:t>
      </w:r>
      <w:r w:rsidRPr="00F27422">
        <w:rPr>
          <w:rFonts w:asciiTheme="minorBidi" w:hAnsiTheme="minorBidi"/>
          <w:sz w:val="32"/>
          <w:szCs w:val="32"/>
          <w:rtl/>
        </w:rPr>
        <w:t xml:space="preserve"> الورود وهو ما أفاده المحقق الرشتي (رحمه الله) في [كتاب الإجارة، ص39]، وذكره السيد البجنوردي (قدس سره) في كتابه [القواعد الفقهية، ج7، ص68].</w:t>
      </w:r>
    </w:p>
    <w:p w14:paraId="72BC55BB" w14:textId="77777777" w:rsidR="002D2958" w:rsidRPr="00F27422" w:rsidRDefault="002D2958" w:rsidP="00122B70">
      <w:pPr>
        <w:bidi/>
        <w:rPr>
          <w:rFonts w:asciiTheme="minorBidi" w:hAnsiTheme="minorBidi"/>
          <w:sz w:val="32"/>
          <w:szCs w:val="32"/>
          <w:rtl/>
        </w:rPr>
      </w:pPr>
      <w:r w:rsidRPr="00F27422">
        <w:rPr>
          <w:rFonts w:asciiTheme="minorBidi" w:hAnsiTheme="minorBidi"/>
          <w:sz w:val="32"/>
          <w:szCs w:val="32"/>
          <w:rtl/>
        </w:rPr>
        <w:t>من أنّ الإجارة واردةٌ على قانون التبعية وهو تبعية المنفعة للعين في المِلكيّة.</w:t>
      </w:r>
    </w:p>
    <w:p w14:paraId="3E31EA95" w14:textId="77777777" w:rsidR="002D2958" w:rsidRPr="00F27422" w:rsidRDefault="002D2958" w:rsidP="00122B70">
      <w:pPr>
        <w:bidi/>
        <w:rPr>
          <w:rFonts w:asciiTheme="minorBidi" w:hAnsiTheme="minorBidi"/>
          <w:sz w:val="32"/>
          <w:szCs w:val="32"/>
          <w:rtl/>
        </w:rPr>
      </w:pPr>
      <w:r w:rsidRPr="00F27422">
        <w:rPr>
          <w:rFonts w:asciiTheme="minorBidi" w:hAnsiTheme="minorBidi"/>
          <w:b/>
          <w:bCs/>
          <w:sz w:val="32"/>
          <w:szCs w:val="32"/>
          <w:rtl/>
        </w:rPr>
        <w:t>وبيانه بتقريبٍ منا:</w:t>
      </w:r>
      <w:r w:rsidRPr="00F27422">
        <w:rPr>
          <w:rFonts w:asciiTheme="minorBidi" w:hAnsiTheme="minorBidi"/>
          <w:sz w:val="32"/>
          <w:szCs w:val="32"/>
          <w:rtl/>
        </w:rPr>
        <w:t xml:space="preserve"> إنّ الإجارة مساوقةٌ لإخراج المنفعة عن مِلك البائع للمُستأجر على نحو التنجيز، أي أنّ سببية الإجارة لخروج المنفعة إلى مِلك المُستأجر سببيةٌ غير معلقة على شيءٍ، بينما تبعيّة المنفعة للعين في المِلكيّة ليست تبعيّة تنجيزية؛ بل تعليقية، بمعنى أنّها متفرعةٌ على انتقال العين للمُشتري "لا بشرط" من حيث المنفعة، فإنّه إذا انتقلت العين للمُشتري "لا بشرط" تم قانون التبعيّة وهو أنّ مقتضى مِلكيّة العين مِلكيّة المنفعة. ولكن المفروض أنّ العين قد انتقلت للمُشتري بـ "شرط لا" فإنّ اقتران البيع بالإجارة مع كون الإجارة سبباً لتملك المنفعة تنجيزاً أوجب أنْ تنتقل العين مِن البائع إلى المُشتري على نحو بـ "شرط لا" - أي بشرط عدم المنفعة - مما يعني انتفاء التبعيّة بانتفاء موضوعها، فالورود من لوازم كون سببية الإجارة سببية تنجيزية، وسببية قانون التبعيّة سببية تعليقية، وإنْ كانا متقارنين زماناً.</w:t>
      </w:r>
    </w:p>
    <w:p w14:paraId="1C013584" w14:textId="77777777" w:rsidR="002D2958" w:rsidRPr="00F27422" w:rsidRDefault="002D2958" w:rsidP="00122B70">
      <w:pPr>
        <w:bidi/>
        <w:rPr>
          <w:rFonts w:asciiTheme="minorBidi" w:hAnsiTheme="minorBidi"/>
          <w:sz w:val="32"/>
          <w:szCs w:val="32"/>
          <w:rtl/>
        </w:rPr>
      </w:pPr>
      <w:r w:rsidRPr="00F27422">
        <w:rPr>
          <w:rFonts w:asciiTheme="minorBidi" w:hAnsiTheme="minorBidi"/>
          <w:b/>
          <w:bCs/>
          <w:sz w:val="32"/>
          <w:szCs w:val="32"/>
          <w:rtl/>
        </w:rPr>
        <w:t>ويمكن بيان الورود بصياغة المحقق الرشتي</w:t>
      </w:r>
      <w:r w:rsidRPr="00F27422">
        <w:rPr>
          <w:rFonts w:asciiTheme="minorBidi" w:hAnsiTheme="minorBidi"/>
          <w:sz w:val="32"/>
          <w:szCs w:val="32"/>
          <w:rtl/>
        </w:rPr>
        <w:t xml:space="preserve"> في [كتاب الإجارة، الميرزا حبيب الله الرشتي، ص39] حيث قال: </w:t>
      </w:r>
      <w:r w:rsidRPr="00F27422">
        <w:rPr>
          <w:rFonts w:asciiTheme="minorBidi" w:hAnsiTheme="minorBidi"/>
          <w:b/>
          <w:bCs/>
          <w:sz w:val="32"/>
          <w:szCs w:val="32"/>
          <w:rtl/>
        </w:rPr>
        <w:t>(لأنّ المقتضي لصحّة الإجارة موجود والمانع مفقود إذ المانع)</w:t>
      </w:r>
      <w:r w:rsidRPr="00F27422">
        <w:rPr>
          <w:rFonts w:asciiTheme="minorBidi" w:hAnsiTheme="minorBidi"/>
          <w:sz w:val="32"/>
          <w:szCs w:val="32"/>
          <w:rtl/>
        </w:rPr>
        <w:t xml:space="preserve"> المتصور من الإجارة </w:t>
      </w:r>
      <w:r w:rsidRPr="00F27422">
        <w:rPr>
          <w:rFonts w:asciiTheme="minorBidi" w:hAnsiTheme="minorBidi"/>
          <w:b/>
          <w:bCs/>
          <w:sz w:val="32"/>
          <w:szCs w:val="32"/>
          <w:rtl/>
        </w:rPr>
        <w:t>(ليس إلّا البيع وهو ليس بمانع لأنّ سببيّته)</w:t>
      </w:r>
      <w:r w:rsidRPr="00F27422">
        <w:rPr>
          <w:rFonts w:asciiTheme="minorBidi" w:hAnsiTheme="minorBidi"/>
          <w:sz w:val="32"/>
          <w:szCs w:val="32"/>
          <w:rtl/>
        </w:rPr>
        <w:t xml:space="preserve"> أي البيع </w:t>
      </w:r>
      <w:r w:rsidRPr="00F27422">
        <w:rPr>
          <w:rFonts w:asciiTheme="minorBidi" w:hAnsiTheme="minorBidi"/>
          <w:b/>
          <w:bCs/>
          <w:sz w:val="32"/>
          <w:szCs w:val="32"/>
          <w:rtl/>
        </w:rPr>
        <w:t>(لانتقال المنفعة تبعا)</w:t>
      </w:r>
      <w:r w:rsidRPr="00F27422">
        <w:rPr>
          <w:rFonts w:asciiTheme="minorBidi" w:hAnsiTheme="minorBidi"/>
          <w:sz w:val="32"/>
          <w:szCs w:val="32"/>
          <w:rtl/>
        </w:rPr>
        <w:t xml:space="preserve"> أي أنّ سببية البيع لانتقال المنفعة إنّما هو ببركة قانون التبعيّة، وموضوع قانون التبعيّة </w:t>
      </w:r>
      <w:r w:rsidRPr="00F27422">
        <w:rPr>
          <w:rFonts w:asciiTheme="minorBidi" w:hAnsiTheme="minorBidi"/>
          <w:b/>
          <w:bCs/>
          <w:sz w:val="32"/>
          <w:szCs w:val="32"/>
          <w:rtl/>
        </w:rPr>
        <w:t xml:space="preserve">(يتوقّف </w:t>
      </w:r>
      <w:r w:rsidRPr="00F27422">
        <w:rPr>
          <w:rFonts w:asciiTheme="minorBidi" w:hAnsiTheme="minorBidi"/>
          <w:b/>
          <w:bCs/>
          <w:sz w:val="32"/>
          <w:szCs w:val="32"/>
          <w:rtl/>
        </w:rPr>
        <w:lastRenderedPageBreak/>
        <w:t xml:space="preserve">على </w:t>
      </w:r>
      <w:proofErr w:type="gramStart"/>
      <w:r w:rsidRPr="00F27422">
        <w:rPr>
          <w:rFonts w:asciiTheme="minorBidi" w:hAnsiTheme="minorBidi"/>
          <w:b/>
          <w:bCs/>
          <w:sz w:val="32"/>
          <w:szCs w:val="32"/>
          <w:rtl/>
        </w:rPr>
        <w:t>أن لا</w:t>
      </w:r>
      <w:proofErr w:type="gramEnd"/>
      <w:r w:rsidRPr="00F27422">
        <w:rPr>
          <w:rFonts w:asciiTheme="minorBidi" w:hAnsiTheme="minorBidi"/>
          <w:b/>
          <w:bCs/>
          <w:sz w:val="32"/>
          <w:szCs w:val="32"/>
          <w:rtl/>
        </w:rPr>
        <w:t xml:space="preserve"> يكون المبيع مسلوب المنفعة)</w:t>
      </w:r>
      <w:r w:rsidRPr="00F27422">
        <w:rPr>
          <w:rFonts w:asciiTheme="minorBidi" w:hAnsiTheme="minorBidi"/>
          <w:sz w:val="32"/>
          <w:szCs w:val="32"/>
          <w:rtl/>
        </w:rPr>
        <w:t xml:space="preserve"> واقتران البيع بالإجارة أوجب أنْ تكون العين المنتقلة إلى المُشتري مسلوبة المنفعة.</w:t>
      </w:r>
    </w:p>
    <w:p w14:paraId="756EC531" w14:textId="77777777" w:rsidR="002D2958" w:rsidRPr="00F27422" w:rsidRDefault="002D2958" w:rsidP="00122B70">
      <w:pPr>
        <w:bidi/>
        <w:rPr>
          <w:rFonts w:asciiTheme="minorBidi" w:hAnsiTheme="minorBidi"/>
          <w:sz w:val="32"/>
          <w:szCs w:val="32"/>
          <w:rtl/>
        </w:rPr>
      </w:pPr>
      <w:r w:rsidRPr="00F27422">
        <w:rPr>
          <w:rFonts w:asciiTheme="minorBidi" w:hAnsiTheme="minorBidi"/>
          <w:b/>
          <w:bCs/>
          <w:sz w:val="32"/>
          <w:szCs w:val="32"/>
          <w:rtl/>
        </w:rPr>
        <w:t>ولكن مدعى الورود مخدوشٌ:</w:t>
      </w:r>
      <w:r w:rsidRPr="00F27422">
        <w:rPr>
          <w:rFonts w:asciiTheme="minorBidi" w:hAnsiTheme="minorBidi"/>
          <w:sz w:val="32"/>
          <w:szCs w:val="32"/>
          <w:rtl/>
        </w:rPr>
        <w:t xml:space="preserve"> وذلك بأنّه كما يتصور الورود مِن طرف الإجارة يتصور الورود مِن طرف البيع، أي كما يقال بأنّ الإجارة واردةٌ على تبعيّة المنفعة للعين في المِلكيّة فإنّ قانون التبعيّة واردٌ على الإجارة موجبٌ لبطلانها.</w:t>
      </w:r>
    </w:p>
    <w:p w14:paraId="358FEA81" w14:textId="4047D989" w:rsidR="002D2958" w:rsidRPr="00F27422" w:rsidRDefault="002D2958" w:rsidP="00122B70">
      <w:pPr>
        <w:bidi/>
        <w:rPr>
          <w:rFonts w:asciiTheme="minorBidi" w:hAnsiTheme="minorBidi"/>
          <w:sz w:val="32"/>
          <w:szCs w:val="32"/>
          <w:rtl/>
        </w:rPr>
      </w:pPr>
      <w:r w:rsidRPr="00F27422">
        <w:rPr>
          <w:rFonts w:asciiTheme="minorBidi" w:hAnsiTheme="minorBidi"/>
          <w:b/>
          <w:bCs/>
          <w:sz w:val="32"/>
          <w:szCs w:val="32"/>
          <w:rtl/>
        </w:rPr>
        <w:t>بيان ذلك:</w:t>
      </w:r>
      <w:r w:rsidRPr="00F27422">
        <w:rPr>
          <w:rFonts w:asciiTheme="minorBidi" w:hAnsiTheme="minorBidi"/>
          <w:sz w:val="32"/>
          <w:szCs w:val="32"/>
          <w:rtl/>
        </w:rPr>
        <w:t xml:space="preserve"> أنّه يمكن القول بأنّ تأثير الإجارة في تمليك المنفعة للمُستأجر معلقٌ على كون المنفعة حين الإجارة مِلكاً للمُؤجر؛ إذ لا يمكن انتقال المنفعة إلى المُستأجر إلّا إذا كانت حين الإجارة مِلكاً للمُؤجر، والمفروض أنّ الإجارة اقترنت بالبيع، والبيع بمقتضى قانون التبعيّة - الذي هو مساوقٌ له</w:t>
      </w:r>
      <w:r w:rsidR="00112222" w:rsidRPr="00F27422">
        <w:rPr>
          <w:rFonts w:asciiTheme="minorBidi" w:hAnsiTheme="minorBidi"/>
          <w:sz w:val="32"/>
          <w:szCs w:val="32"/>
          <w:rtl/>
        </w:rPr>
        <w:t xml:space="preserve"> </w:t>
      </w:r>
      <w:r w:rsidRPr="00F27422">
        <w:rPr>
          <w:rFonts w:asciiTheme="minorBidi" w:hAnsiTheme="minorBidi"/>
          <w:sz w:val="32"/>
          <w:szCs w:val="32"/>
          <w:rtl/>
        </w:rPr>
        <w:t>- رافعٌ لموضوع الإجارة؛ حيث إنّ البيع بضميمة قانون التبعيّة يقتضي انتقال المنفعة لمِلك المُشتري، ومع انتقال المنفعة إلى مِلك المُشتري فقد خرجت عن ملك المُؤجر، ومع خروجها عن ملك المُؤجر لا يبقى للإجارة تأثيرٌ لانتفاء موضوعها. وكون الأول - وهو الإجارة - مقتضياً لنقل المنفعة بالمباشرة، والثاني - وهو البيع - مقتضياً لنقل المنفعة بالتبعيّة لا يوجب تقدّم الأول رتبةً عليه كي يكون هو الوارد دون الآخر، فكما يتصور ورود الإجارة على البيع يتصور العكس.</w:t>
      </w:r>
    </w:p>
    <w:p w14:paraId="6D241A85" w14:textId="77777777" w:rsidR="002D2958" w:rsidRPr="00F27422" w:rsidRDefault="002D2958" w:rsidP="00122B70">
      <w:pPr>
        <w:bidi/>
        <w:rPr>
          <w:rFonts w:asciiTheme="minorBidi" w:hAnsiTheme="minorBidi"/>
          <w:sz w:val="32"/>
          <w:szCs w:val="32"/>
          <w:rtl/>
        </w:rPr>
      </w:pPr>
      <w:r w:rsidRPr="00F27422">
        <w:rPr>
          <w:rFonts w:asciiTheme="minorBidi" w:hAnsiTheme="minorBidi"/>
          <w:b/>
          <w:bCs/>
          <w:sz w:val="32"/>
          <w:szCs w:val="32"/>
          <w:rtl/>
        </w:rPr>
        <w:t>وبذلك يتضح الإشكال في تقريب المحقق الرشتي (قدس سره) الذي أفاد بأنّ المقتضي في الإجارة تامٌ والمانع مفقود بخلاف البيع، فإنّه يرد عليه:</w:t>
      </w:r>
      <w:r w:rsidRPr="00F27422">
        <w:rPr>
          <w:rFonts w:asciiTheme="minorBidi" w:hAnsiTheme="minorBidi"/>
          <w:sz w:val="32"/>
          <w:szCs w:val="32"/>
          <w:rtl/>
        </w:rPr>
        <w:t xml:space="preserve"> أنّه يتصور العكس بأنْ يقال: إنّ المقتضي في البيع تامٌ والمانع مفقود؛ لأنّ اقتضاء البيع لتمليك المنفعة للمُشتري بضم التبعيّة تامٌ، والمانع المتصور ليس إلّا فرز البائع المنفعة حين البيع عن العين، والمفروض أنّ الفرز لم يحصل من البائع في رتبةٍ سابقةٍ على البيع، وحيث لم يحصل ذلك فقد أثر البيعُ أثره وهو انتقال المنفعة للمُشتري، فلا يبقى للإجارة موضوعٌ.</w:t>
      </w:r>
    </w:p>
    <w:p w14:paraId="1D1A6158" w14:textId="77777777" w:rsidR="002D2958" w:rsidRPr="00F27422" w:rsidRDefault="002D2958" w:rsidP="00122B70">
      <w:pPr>
        <w:bidi/>
        <w:rPr>
          <w:rFonts w:asciiTheme="minorBidi" w:hAnsiTheme="minorBidi"/>
          <w:sz w:val="32"/>
          <w:szCs w:val="32"/>
          <w:rtl/>
        </w:rPr>
      </w:pPr>
      <w:r w:rsidRPr="00F27422">
        <w:rPr>
          <w:rFonts w:asciiTheme="minorBidi" w:hAnsiTheme="minorBidi"/>
          <w:sz w:val="32"/>
          <w:szCs w:val="32"/>
          <w:rtl/>
        </w:rPr>
        <w:t>هذا كلّه بناءً على أنّ التبعيّة حكمٌ بنى عليه المرتكز العقلائي عند حصول البيع.</w:t>
      </w:r>
    </w:p>
    <w:p w14:paraId="18153EB8" w14:textId="77777777" w:rsidR="002D2958" w:rsidRPr="00F27422" w:rsidRDefault="002D2958" w:rsidP="00122B70">
      <w:pPr>
        <w:bidi/>
        <w:rPr>
          <w:rFonts w:asciiTheme="minorBidi" w:hAnsiTheme="minorBidi"/>
          <w:sz w:val="32"/>
          <w:szCs w:val="32"/>
          <w:rtl/>
        </w:rPr>
      </w:pPr>
      <w:r w:rsidRPr="00F27422">
        <w:rPr>
          <w:rFonts w:asciiTheme="minorBidi" w:hAnsiTheme="minorBidi"/>
          <w:sz w:val="32"/>
          <w:szCs w:val="32"/>
          <w:rtl/>
        </w:rPr>
        <w:t>وأمّا بناءً على أنّ التبعيّة أمرٌ إنشائي - يكون دور البناء العقلائي بالنسبة له دور الإمضاء والتنفيذ - فالأمر أوضح؛ باعتبار أنّ البائع حينما باع العين لم يلحظ العين مسلوبة المنفعة؛ لأنّ الإجارة وقعت مع البيع في آنٍ واحدٍ، فما صدر من البائع تمليك العين بما لها مِن حيثيات ومنها المنافع، مما يعني وقوع التنافي بين ما يقتضيه البيع والإجارة في رتبةٍ واحدةٍ وزمانٍ واحدٍ؛ حيث إنّ الإجارة تمليك المنفعة للمُستأجر والبيع تمليك العين بما لها مِن منفعةٍ للمُشتري فيقع التنافي بينهما في عرضٍ واحدٍ مِن دون ورود أحدهما على الآخر.</w:t>
      </w:r>
    </w:p>
    <w:p w14:paraId="0213D2D8" w14:textId="522114AF" w:rsidR="002D2958" w:rsidRPr="00F27422" w:rsidRDefault="002D2958" w:rsidP="00122B70">
      <w:pPr>
        <w:bidi/>
        <w:rPr>
          <w:rFonts w:asciiTheme="minorBidi" w:hAnsiTheme="minorBidi"/>
          <w:sz w:val="32"/>
          <w:szCs w:val="32"/>
          <w:rtl/>
        </w:rPr>
      </w:pPr>
      <w:r w:rsidRPr="00F27422">
        <w:rPr>
          <w:rFonts w:asciiTheme="minorBidi" w:hAnsiTheme="minorBidi"/>
          <w:b/>
          <w:bCs/>
          <w:sz w:val="32"/>
          <w:szCs w:val="32"/>
          <w:rtl/>
        </w:rPr>
        <w:t>والنتيجة:</w:t>
      </w:r>
      <w:r w:rsidRPr="00F27422">
        <w:rPr>
          <w:rFonts w:asciiTheme="minorBidi" w:hAnsiTheme="minorBidi"/>
          <w:sz w:val="32"/>
          <w:szCs w:val="32"/>
          <w:rtl/>
        </w:rPr>
        <w:t xml:space="preserve"> بطلان</w:t>
      </w:r>
      <w:r w:rsidR="00112222" w:rsidRPr="00F27422">
        <w:rPr>
          <w:rFonts w:asciiTheme="minorBidi" w:hAnsiTheme="minorBidi"/>
          <w:sz w:val="32"/>
          <w:szCs w:val="32"/>
          <w:rtl/>
        </w:rPr>
        <w:t xml:space="preserve"> </w:t>
      </w:r>
      <w:r w:rsidRPr="00F27422">
        <w:rPr>
          <w:rFonts w:asciiTheme="minorBidi" w:hAnsiTheme="minorBidi"/>
          <w:sz w:val="32"/>
          <w:szCs w:val="32"/>
          <w:rtl/>
        </w:rPr>
        <w:t>دعوى الورود.</w:t>
      </w:r>
    </w:p>
    <w:p w14:paraId="4D8C4C36" w14:textId="77777777" w:rsidR="002D2958" w:rsidRPr="00F27422" w:rsidRDefault="002D2958" w:rsidP="00122B70">
      <w:pPr>
        <w:bidi/>
        <w:rPr>
          <w:rFonts w:asciiTheme="minorBidi" w:hAnsiTheme="minorBidi"/>
          <w:sz w:val="32"/>
          <w:szCs w:val="32"/>
          <w:rtl/>
        </w:rPr>
      </w:pPr>
      <w:r w:rsidRPr="00F27422">
        <w:rPr>
          <w:rFonts w:asciiTheme="minorBidi" w:hAnsiTheme="minorBidi"/>
          <w:b/>
          <w:bCs/>
          <w:sz w:val="32"/>
          <w:szCs w:val="32"/>
          <w:rtl/>
        </w:rPr>
        <w:lastRenderedPageBreak/>
        <w:t>المحتمل الثاني:</w:t>
      </w:r>
      <w:r w:rsidRPr="00F27422">
        <w:rPr>
          <w:rFonts w:asciiTheme="minorBidi" w:hAnsiTheme="minorBidi"/>
          <w:sz w:val="32"/>
          <w:szCs w:val="32"/>
          <w:rtl/>
        </w:rPr>
        <w:t xml:space="preserve"> - في عبارة العروة - ما ذكره سيدنا الخوئي (قدس سره الشريف) تبعاً لشيخه المحقق الأصفهاني (قدس سره) في [كتاب الإجارة، تأليف الشيخ الأصفهاني، مؤسسة النشر الإسلامي، ص18] مِن أنّ البيع والإجارة في مرتبةٍ واحدةٍ؛ لكونهما قد صدرا ممن له الولاية عليهما؛ حيث إنّ مالك العين له الولاية والسلطنة على تمليك العين أو تمليك المنفعة أو تمليكهما معاً، فبما أنّ لمالك العين الولاية على كليهما وقد صدر منه العقدان أحدهما بالأصالة - وهو البيع - والثاني بالوكالة عن طريق وكيله، فبالنتيجة يكون البيع والإجارة في مرتبةٍ واحدةٍ لصدورهما ممن له الولاية عليهما، ومِلكيّة المنفعة بالتبعيّة متأخرةٌ رتبةً عن البيع؛ إذ لولا نفوذ البيع لما جاء قانون التبعيّة، فقانون التبعيّة فرعُ نفوذ البيع وصحّته في تمليك العين كي يكون موضوعاً لبناء العقلاء على التبعيّة.</w:t>
      </w:r>
    </w:p>
    <w:p w14:paraId="1A547FC0" w14:textId="77777777" w:rsidR="002D2958" w:rsidRPr="00F27422" w:rsidRDefault="002D2958" w:rsidP="00122B70">
      <w:pPr>
        <w:bidi/>
        <w:rPr>
          <w:rFonts w:asciiTheme="minorBidi" w:hAnsiTheme="minorBidi"/>
          <w:sz w:val="32"/>
          <w:szCs w:val="32"/>
          <w:rtl/>
        </w:rPr>
      </w:pPr>
      <w:r w:rsidRPr="00F27422">
        <w:rPr>
          <w:rFonts w:asciiTheme="minorBidi" w:hAnsiTheme="minorBidi"/>
          <w:sz w:val="32"/>
          <w:szCs w:val="32"/>
          <w:rtl/>
        </w:rPr>
        <w:t>فإذا كان تملك المنفعة متأخرا رتبةً عن البيع والبيع مساوٍ رتبةً للإجارة، فالإجارة متقدمةٌ رتبةً على مِلكيّة المنفعة بالتبعيّة فإنّ ما مع المتقدم رتبة على شيءٍ متقدم على ذلك الشيء، والإجارة مع البيع في رتبةٍ واحدةٍ، والبيع متقدمٌ رتبةً على مِلكيّة المنفعة فالإجارة متقدمةٌ رتبةً على مِلكيّة المنفعة بالتبعيّة. ومع تأخر مِلكيّة المنفعة بالتبعيّة عن الإجارة فكيف تعاند الإجارة وتزاحمها وهي متأخرة عنها بحسب الرتبة؟ فمقتضى ذلك تأثير الإجارة دون قانون التبعيّة.</w:t>
      </w:r>
    </w:p>
    <w:p w14:paraId="36B5A1D9" w14:textId="77777777" w:rsidR="002D2958" w:rsidRPr="00F27422" w:rsidRDefault="002D2958" w:rsidP="00122B70">
      <w:pPr>
        <w:bidi/>
        <w:rPr>
          <w:rFonts w:asciiTheme="minorBidi" w:hAnsiTheme="minorBidi"/>
          <w:b/>
          <w:bCs/>
          <w:sz w:val="32"/>
          <w:szCs w:val="32"/>
          <w:rtl/>
        </w:rPr>
      </w:pPr>
      <w:r w:rsidRPr="00F27422">
        <w:rPr>
          <w:rFonts w:asciiTheme="minorBidi" w:hAnsiTheme="minorBidi"/>
          <w:b/>
          <w:bCs/>
          <w:sz w:val="32"/>
          <w:szCs w:val="32"/>
          <w:rtl/>
        </w:rPr>
        <w:t xml:space="preserve">وقد أورد المحقق الأصفهاني (أعلى الله مقامه) </w:t>
      </w:r>
      <w:proofErr w:type="gramStart"/>
      <w:r w:rsidRPr="00F27422">
        <w:rPr>
          <w:rFonts w:asciiTheme="minorBidi" w:hAnsiTheme="minorBidi"/>
          <w:b/>
          <w:bCs/>
          <w:sz w:val="32"/>
          <w:szCs w:val="32"/>
          <w:rtl/>
        </w:rPr>
        <w:t>ثلاثة</w:t>
      </w:r>
      <w:proofErr w:type="gramEnd"/>
      <w:r w:rsidRPr="00F27422">
        <w:rPr>
          <w:rFonts w:asciiTheme="minorBidi" w:hAnsiTheme="minorBidi"/>
          <w:b/>
          <w:bCs/>
          <w:sz w:val="32"/>
          <w:szCs w:val="32"/>
          <w:rtl/>
        </w:rPr>
        <w:t xml:space="preserve"> إيرادات على هذا المحتمل:</w:t>
      </w:r>
    </w:p>
    <w:p w14:paraId="710EC50A" w14:textId="77777777" w:rsidR="002D2958" w:rsidRPr="00F27422" w:rsidRDefault="002D2958" w:rsidP="00122B70">
      <w:pPr>
        <w:bidi/>
        <w:rPr>
          <w:rFonts w:asciiTheme="minorBidi" w:hAnsiTheme="minorBidi"/>
          <w:b/>
          <w:bCs/>
          <w:sz w:val="32"/>
          <w:szCs w:val="32"/>
          <w:rtl/>
        </w:rPr>
      </w:pPr>
      <w:r w:rsidRPr="00F27422">
        <w:rPr>
          <w:rFonts w:asciiTheme="minorBidi" w:hAnsiTheme="minorBidi"/>
          <w:b/>
          <w:bCs/>
          <w:sz w:val="32"/>
          <w:szCs w:val="32"/>
          <w:rtl/>
        </w:rPr>
        <w:t>الإيراد الأوّل:</w:t>
      </w:r>
      <w:r w:rsidRPr="00F27422">
        <w:rPr>
          <w:rFonts w:asciiTheme="minorBidi" w:hAnsiTheme="minorBidi"/>
          <w:sz w:val="32"/>
          <w:szCs w:val="32"/>
          <w:rtl/>
        </w:rPr>
        <w:t xml:space="preserve"> أنّ المدعى في المقام تقدم مِلكيّة العين بالبيع على مِلكيّة المنفعة بالطبع؛ حيث لا يمكن وجود مِلكيّة المنفعة في البيع إلّا مع وجود مِلكيّة العين ولا عكس، وبقياس "ما مع المتقدم متقدم" يكون تقدّم الإجارة على مِلكيّة المنفعة تبعاً لمِلكيّة العين بالطبع، إلّا أنّ تقدّم أحد الشيئين على الآخر بالطبع لا ينافي أنّهما متقارنا زماناً، كالواحد والكثير - مثلاً - فإنّ الواحد متقدمٌ بالطبع على الكثير إذ متى وجد الكثير وجد معه الواحد زماناً، إلّا أنّ كون أحدهما متقدماً بالطبع على الآخر لا ينافي أنّهما متقارنان زماناً، فلأجل ذلك كون الإجارة متقدمة على مِلكيّة المنفعة </w:t>
      </w:r>
      <w:r w:rsidRPr="00F27422">
        <w:rPr>
          <w:rFonts w:asciiTheme="minorBidi" w:hAnsiTheme="minorBidi"/>
          <w:sz w:val="32"/>
          <w:szCs w:val="32"/>
          <w:highlight w:val="magenta"/>
          <w:rtl/>
        </w:rPr>
        <w:t>بالطبع لا ينافي أنّهما اقترنا زماناً، وحيث إنّ البيع والإجارة أيضاً</w:t>
      </w:r>
      <w:r w:rsidRPr="00F27422">
        <w:rPr>
          <w:rFonts w:asciiTheme="minorBidi" w:hAnsiTheme="minorBidi"/>
          <w:sz w:val="32"/>
          <w:szCs w:val="32"/>
          <w:rtl/>
        </w:rPr>
        <w:t xml:space="preserve"> مقترنان زماناً فتقديم أحدهما على الآخر بلا مبرر؛ وهو ما أشار إليه المحقق (قدس سره) بقوله: </w:t>
      </w:r>
      <w:r w:rsidRPr="00F27422">
        <w:rPr>
          <w:rFonts w:asciiTheme="minorBidi" w:hAnsiTheme="minorBidi"/>
          <w:b/>
          <w:bCs/>
          <w:sz w:val="32"/>
          <w:szCs w:val="32"/>
          <w:rtl/>
        </w:rPr>
        <w:t>(فما فيه التنافي لا تقدم ولا تأخر فيه، وما فيه التقدم والتأخر لا تنافي فيه. فتدبره فإنه حقيق به)</w:t>
      </w:r>
      <w:r w:rsidRPr="00F27422">
        <w:rPr>
          <w:rFonts w:asciiTheme="minorBidi" w:hAnsiTheme="minorBidi"/>
          <w:sz w:val="32"/>
          <w:szCs w:val="32"/>
          <w:rtl/>
        </w:rPr>
        <w:t>، فما هو وعاء التنافي - وهو الزمن - لا تقدّم فيه لأحدهما على الآخر فهما متقارنان، وما هو وعاء التقدم - وهو الرتبة والطبع - مما لا تنافي فيه، فلا معنى لأنْ يقال: إنّ الإجارة أثرت أثرها فامتنع تأثير قانون التبعيّة.</w:t>
      </w:r>
    </w:p>
    <w:p w14:paraId="5EAA0E36" w14:textId="77777777" w:rsidR="002D2958" w:rsidRPr="00F27422" w:rsidRDefault="002D2958" w:rsidP="00122B70">
      <w:pPr>
        <w:bidi/>
        <w:rPr>
          <w:rFonts w:asciiTheme="minorBidi" w:hAnsiTheme="minorBidi"/>
          <w:b/>
          <w:bCs/>
          <w:sz w:val="32"/>
          <w:szCs w:val="32"/>
          <w:rtl/>
        </w:rPr>
      </w:pPr>
      <w:r w:rsidRPr="00F27422">
        <w:rPr>
          <w:rFonts w:asciiTheme="minorBidi" w:hAnsiTheme="minorBidi"/>
          <w:b/>
          <w:bCs/>
          <w:sz w:val="32"/>
          <w:szCs w:val="32"/>
          <w:rtl/>
        </w:rPr>
        <w:t>الإيراد الثاني:</w:t>
      </w:r>
      <w:r w:rsidRPr="00F27422">
        <w:rPr>
          <w:rFonts w:asciiTheme="minorBidi" w:hAnsiTheme="minorBidi"/>
          <w:sz w:val="32"/>
          <w:szCs w:val="32"/>
          <w:rtl/>
        </w:rPr>
        <w:t xml:space="preserve"> وقد أوضحه سيدنا الخوئي (قدس سره الشريف) في موسوعته المباركة [كتاب الإجارة، ج30، ص124] حيث قال: </w:t>
      </w:r>
      <w:r w:rsidRPr="00F27422">
        <w:rPr>
          <w:rFonts w:asciiTheme="minorBidi" w:hAnsiTheme="minorBidi"/>
          <w:b/>
          <w:bCs/>
          <w:sz w:val="32"/>
          <w:szCs w:val="32"/>
          <w:rtl/>
        </w:rPr>
        <w:t xml:space="preserve">(فلما هو المحقّق في محلّه من أنّ التقدّم والتأخّر </w:t>
      </w:r>
      <w:r w:rsidRPr="00F27422">
        <w:rPr>
          <w:rFonts w:asciiTheme="minorBidi" w:hAnsiTheme="minorBidi"/>
          <w:b/>
          <w:bCs/>
          <w:sz w:val="32"/>
          <w:szCs w:val="32"/>
          <w:rtl/>
        </w:rPr>
        <w:lastRenderedPageBreak/>
        <w:t>بأقسامهما من الزماني والرتبي ونحوهما)</w:t>
      </w:r>
      <w:r w:rsidRPr="00F27422">
        <w:rPr>
          <w:rFonts w:asciiTheme="minorBidi" w:hAnsiTheme="minorBidi"/>
          <w:sz w:val="32"/>
          <w:szCs w:val="32"/>
          <w:rtl/>
        </w:rPr>
        <w:t xml:space="preserve"> حيث إنّ أنواع التقدّم ثلاثة: زمان ورتبة وطبع </w:t>
      </w:r>
      <w:r w:rsidRPr="00F27422">
        <w:rPr>
          <w:rFonts w:asciiTheme="minorBidi" w:hAnsiTheme="minorBidi"/>
          <w:b/>
          <w:bCs/>
          <w:sz w:val="32"/>
          <w:szCs w:val="32"/>
          <w:rtl/>
        </w:rPr>
        <w:t xml:space="preserve">(لا بدّ وأن يكون بملاك، ولا يكون) </w:t>
      </w:r>
      <w:r w:rsidRPr="00F27422">
        <w:rPr>
          <w:rFonts w:asciiTheme="minorBidi" w:hAnsiTheme="minorBidi"/>
          <w:sz w:val="32"/>
          <w:szCs w:val="32"/>
          <w:rtl/>
        </w:rPr>
        <w:t xml:space="preserve">تقدّم أحد الشيئين على الآخر </w:t>
      </w:r>
      <w:r w:rsidRPr="00F27422">
        <w:rPr>
          <w:rFonts w:asciiTheme="minorBidi" w:hAnsiTheme="minorBidi"/>
          <w:b/>
          <w:bCs/>
          <w:sz w:val="32"/>
          <w:szCs w:val="32"/>
          <w:rtl/>
        </w:rPr>
        <w:t>(جزافاً، فأحد البديلين)</w:t>
      </w:r>
      <w:r w:rsidRPr="00F27422">
        <w:rPr>
          <w:rFonts w:asciiTheme="minorBidi" w:hAnsiTheme="minorBidi"/>
          <w:sz w:val="32"/>
          <w:szCs w:val="32"/>
          <w:rtl/>
        </w:rPr>
        <w:t xml:space="preserve"> حيث إنّ العدم بديل الوجود والوجود بديل العدم </w:t>
      </w:r>
      <w:r w:rsidRPr="00F27422">
        <w:rPr>
          <w:rFonts w:asciiTheme="minorBidi" w:hAnsiTheme="minorBidi"/>
          <w:b/>
          <w:bCs/>
          <w:sz w:val="32"/>
          <w:szCs w:val="32"/>
          <w:rtl/>
        </w:rPr>
        <w:t>(إذا كان مقدّماً على ثالث بمناطٍ كالعلّيّة – مثلاً – لا يلزمه تقدّم البديل الآخر أيضاً عليه بعد كونه فاقداً لذاك المناط).</w:t>
      </w:r>
    </w:p>
    <w:p w14:paraId="3CF017F1" w14:textId="77777777" w:rsidR="002D2958" w:rsidRPr="00F27422" w:rsidRDefault="002D2958" w:rsidP="00122B70">
      <w:pPr>
        <w:bidi/>
        <w:rPr>
          <w:rFonts w:asciiTheme="minorBidi" w:hAnsiTheme="minorBidi"/>
          <w:b/>
          <w:bCs/>
          <w:sz w:val="32"/>
          <w:szCs w:val="32"/>
          <w:rtl/>
        </w:rPr>
      </w:pPr>
      <w:r w:rsidRPr="00F27422">
        <w:rPr>
          <w:rFonts w:asciiTheme="minorBidi" w:hAnsiTheme="minorBidi"/>
          <w:b/>
          <w:bCs/>
          <w:sz w:val="32"/>
          <w:szCs w:val="32"/>
          <w:rtl/>
        </w:rPr>
        <w:t>وتوضيحه بالمثال:</w:t>
      </w:r>
      <w:r w:rsidRPr="00F27422">
        <w:rPr>
          <w:rFonts w:asciiTheme="minorBidi" w:hAnsiTheme="minorBidi"/>
          <w:sz w:val="32"/>
          <w:szCs w:val="32"/>
          <w:rtl/>
        </w:rPr>
        <w:t xml:space="preserve"> إنّ النار متقدمةٌ على الإحراق بالعلّيّة، لكن البديل للنار - وهو عدمها - ليس متقدماً على الإحراق؛ لأنّ ملاك العلّيّة ليس موجوداً بين عدم العلّة ووجود المعلول، كما أنّ عدم المعلول ليس متأخراً رتبةً عن العلّة؛ بل المعلول نفسه هو المتأخر رتبةً لا عدمه، إذن فالتقدم بالعلّيّة يحتاج إلى ملاك، كذلك التقدم الزماني يحتاج إلى ملاك، فإنْ اقترنا بالزمن صارا متقارنين وإنْ سبق أحدهما صار متقدماً بحسب عمود الزمان.</w:t>
      </w:r>
    </w:p>
    <w:p w14:paraId="61D348B9" w14:textId="77777777" w:rsidR="002D2958" w:rsidRPr="00F27422" w:rsidRDefault="002D2958" w:rsidP="00122B70">
      <w:pPr>
        <w:bidi/>
        <w:rPr>
          <w:rFonts w:asciiTheme="minorBidi" w:hAnsiTheme="minorBidi"/>
          <w:b/>
          <w:bCs/>
          <w:sz w:val="32"/>
          <w:szCs w:val="32"/>
          <w:rtl/>
        </w:rPr>
      </w:pPr>
      <w:r w:rsidRPr="00F27422">
        <w:rPr>
          <w:rFonts w:asciiTheme="minorBidi" w:hAnsiTheme="minorBidi"/>
          <w:sz w:val="32"/>
          <w:szCs w:val="32"/>
          <w:rtl/>
        </w:rPr>
        <w:t xml:space="preserve">ثمّ قال (قدس سره الشريف): </w:t>
      </w:r>
      <w:r w:rsidRPr="00F27422">
        <w:rPr>
          <w:rFonts w:asciiTheme="minorBidi" w:hAnsiTheme="minorBidi"/>
          <w:b/>
          <w:bCs/>
          <w:sz w:val="32"/>
          <w:szCs w:val="32"/>
          <w:rtl/>
        </w:rPr>
        <w:t>(نعم، في التقدّم الزماني يشترك البديلان في المناط بطبيعة الحال، فكما أنّ الجدّ مقدّم على الولد بحسب عمود الزمان، فكذا كلّ من قارن الجد في الزمان كأخيه – مثلاً – فإنّه أيضاً مقدّم على الولد زماناً، للاشتراك مع الجدّ في ملاك التقدّم)</w:t>
      </w:r>
      <w:r w:rsidRPr="00F27422">
        <w:rPr>
          <w:rFonts w:asciiTheme="minorBidi" w:hAnsiTheme="minorBidi"/>
          <w:sz w:val="32"/>
          <w:szCs w:val="32"/>
          <w:rtl/>
        </w:rPr>
        <w:t xml:space="preserve"> وهو الزمن </w:t>
      </w:r>
      <w:r w:rsidRPr="00F27422">
        <w:rPr>
          <w:rFonts w:asciiTheme="minorBidi" w:hAnsiTheme="minorBidi"/>
          <w:b/>
          <w:bCs/>
          <w:sz w:val="32"/>
          <w:szCs w:val="32"/>
          <w:rtl/>
        </w:rPr>
        <w:t>(كما هو الواضح.</w:t>
      </w:r>
    </w:p>
    <w:p w14:paraId="0199C8B0" w14:textId="77777777" w:rsidR="002D2958" w:rsidRPr="00F27422" w:rsidRDefault="002D2958" w:rsidP="00122B70">
      <w:pPr>
        <w:bidi/>
        <w:rPr>
          <w:rFonts w:asciiTheme="minorBidi" w:hAnsiTheme="minorBidi"/>
          <w:b/>
          <w:bCs/>
          <w:sz w:val="32"/>
          <w:szCs w:val="32"/>
          <w:rtl/>
        </w:rPr>
      </w:pPr>
      <w:r w:rsidRPr="00F27422">
        <w:rPr>
          <w:rFonts w:asciiTheme="minorBidi" w:hAnsiTheme="minorBidi"/>
          <w:b/>
          <w:bCs/>
          <w:sz w:val="32"/>
          <w:szCs w:val="32"/>
          <w:rtl/>
        </w:rPr>
        <w:t xml:space="preserve">وأمّا إذا لم يكونا) </w:t>
      </w:r>
      <w:r w:rsidRPr="00F27422">
        <w:rPr>
          <w:rFonts w:asciiTheme="minorBidi" w:hAnsiTheme="minorBidi"/>
          <w:sz w:val="32"/>
          <w:szCs w:val="32"/>
          <w:rtl/>
        </w:rPr>
        <w:t xml:space="preserve">الشيئان </w:t>
      </w:r>
      <w:r w:rsidRPr="00F27422">
        <w:rPr>
          <w:rFonts w:asciiTheme="minorBidi" w:hAnsiTheme="minorBidi"/>
          <w:b/>
          <w:bCs/>
          <w:sz w:val="32"/>
          <w:szCs w:val="32"/>
          <w:rtl/>
        </w:rPr>
        <w:t>(مشتركين في الملاك فمجرّد كونهما بديلين وفي عرض واحد – لأجل عدم وجود سبب لتقدّم أحدهما على الآخر فكانا طبعاً في مرتبة واحدة -)</w:t>
      </w:r>
      <w:r w:rsidRPr="00F27422">
        <w:rPr>
          <w:rFonts w:asciiTheme="minorBidi" w:hAnsiTheme="minorBidi"/>
          <w:sz w:val="32"/>
          <w:szCs w:val="32"/>
          <w:rtl/>
        </w:rPr>
        <w:t xml:space="preserve"> بالمعنى السلبي، أي: لا يوجد ملاك يقتضي تقدّم أحدهما على الآخر؛ لا المعنى الإيجابي وهو المعيّة في الرتبة؛ لأنّ المعيّة في الرتبة تحتاج إلى ملاك كما أنّ التقدّم في الرتبة يحتاج إلى ملاك، إذ لا معيّة في الرتبة إلّا بنشؤ الشيئين عن منشأ واحد، كنشؤ المعلولين عن علّةٍ واحدة، وهذا ليس حاصلاً بين الإجارة والبيع </w:t>
      </w:r>
      <w:r w:rsidRPr="00F27422">
        <w:rPr>
          <w:rFonts w:asciiTheme="minorBidi" w:hAnsiTheme="minorBidi"/>
          <w:b/>
          <w:bCs/>
          <w:sz w:val="32"/>
          <w:szCs w:val="32"/>
          <w:rtl/>
        </w:rPr>
        <w:t xml:space="preserve">(لا يستوجب الاشتراك في التقدّم على ثالث فيما إذا كان أحدهما واجداً لملاك التقدّم دون الآخر، فتقدّم النار – مثلاً – على الحرارة في المرتبة بمناط العلّيّة لا يستدعي تقدّم ما في مرتبة العلّة كالتراب – حيث إنّ التراب والنار في عرض واحد ومرتبة واحدة بعد أن لم يكن مقتضٍ لتقدّم أحدهما على الآخر – على الحرارة أيضاً بعد أن كان فاقداً لمناط التقدّم) </w:t>
      </w:r>
      <w:r w:rsidRPr="00F27422">
        <w:rPr>
          <w:rFonts w:asciiTheme="minorBidi" w:hAnsiTheme="minorBidi"/>
          <w:sz w:val="32"/>
          <w:szCs w:val="32"/>
          <w:rtl/>
        </w:rPr>
        <w:t xml:space="preserve">لأنّ ملاك العلّيّة ليس موجوداً فيه </w:t>
      </w:r>
      <w:r w:rsidRPr="00F27422">
        <w:rPr>
          <w:rFonts w:asciiTheme="minorBidi" w:hAnsiTheme="minorBidi"/>
          <w:b/>
          <w:bCs/>
          <w:sz w:val="32"/>
          <w:szCs w:val="32"/>
          <w:rtl/>
        </w:rPr>
        <w:t>(بل التراب كما أنّه في عرض النار كذلك هو في عرض الحرارة وفي مرتبة واحدة)</w:t>
      </w:r>
      <w:r w:rsidRPr="00F27422">
        <w:rPr>
          <w:rFonts w:asciiTheme="minorBidi" w:hAnsiTheme="minorBidi"/>
          <w:sz w:val="32"/>
          <w:szCs w:val="32"/>
          <w:rtl/>
        </w:rPr>
        <w:t xml:space="preserve"> وليس متقدّماً عليها.</w:t>
      </w:r>
    </w:p>
    <w:p w14:paraId="03B4B57F" w14:textId="77777777" w:rsidR="002D2958" w:rsidRPr="00F27422" w:rsidRDefault="002D2958" w:rsidP="00122B70">
      <w:pPr>
        <w:bidi/>
        <w:rPr>
          <w:rFonts w:asciiTheme="minorBidi" w:hAnsiTheme="minorBidi"/>
          <w:sz w:val="32"/>
          <w:szCs w:val="32"/>
          <w:rtl/>
        </w:rPr>
      </w:pPr>
      <w:r w:rsidRPr="00F27422">
        <w:rPr>
          <w:rFonts w:asciiTheme="minorBidi" w:hAnsiTheme="minorBidi"/>
          <w:b/>
          <w:bCs/>
          <w:sz w:val="32"/>
          <w:szCs w:val="32"/>
          <w:rtl/>
        </w:rPr>
        <w:t xml:space="preserve">(وعلى الجملة: يحتاج الحكم بالتقدّم والتأخّر إلى مناط وملاك، فليس كلّ شيئين قد تقدّم أحدهما على ثالث لجهةٍ من الجهات يحكم بتقدّم الآخر عليه أيضاً بعد أن كان فاقداً لتلك الجهة والعلّة كما هو الظاهر إجمالاً وموضح في محلّه تفصيلاً) </w:t>
      </w:r>
      <w:r w:rsidRPr="00F27422">
        <w:rPr>
          <w:rFonts w:asciiTheme="minorBidi" w:hAnsiTheme="minorBidi"/>
          <w:sz w:val="32"/>
          <w:szCs w:val="32"/>
          <w:rtl/>
        </w:rPr>
        <w:t xml:space="preserve">والنتيجة: </w:t>
      </w:r>
      <w:r w:rsidRPr="00F27422">
        <w:rPr>
          <w:rFonts w:asciiTheme="minorBidi" w:hAnsiTheme="minorBidi"/>
          <w:b/>
          <w:bCs/>
          <w:sz w:val="32"/>
          <w:szCs w:val="32"/>
          <w:rtl/>
        </w:rPr>
        <w:t>(إذن فدعوى أنّ تأخر تمليك المنفعة على تمليك العين – لأجل التبعيّة – يستلزم تأخّره)</w:t>
      </w:r>
      <w:r w:rsidRPr="00F27422">
        <w:rPr>
          <w:rFonts w:asciiTheme="minorBidi" w:hAnsiTheme="minorBidi"/>
          <w:sz w:val="32"/>
          <w:szCs w:val="32"/>
          <w:rtl/>
        </w:rPr>
        <w:t xml:space="preserve"> أي تأخر تمليك المنفعة بالتبعيّة </w:t>
      </w:r>
      <w:r w:rsidRPr="00F27422">
        <w:rPr>
          <w:rFonts w:asciiTheme="minorBidi" w:hAnsiTheme="minorBidi"/>
          <w:b/>
          <w:bCs/>
          <w:sz w:val="32"/>
          <w:szCs w:val="32"/>
          <w:rtl/>
        </w:rPr>
        <w:t xml:space="preserve">(عن الإجارة الواقعة في مرتبة البيع) </w:t>
      </w:r>
      <w:r w:rsidRPr="00F27422">
        <w:rPr>
          <w:rFonts w:asciiTheme="minorBidi" w:hAnsiTheme="minorBidi"/>
          <w:sz w:val="32"/>
          <w:szCs w:val="32"/>
          <w:rtl/>
        </w:rPr>
        <w:t xml:space="preserve">وفي عرضه </w:t>
      </w:r>
      <w:r w:rsidRPr="00F27422">
        <w:rPr>
          <w:rFonts w:asciiTheme="minorBidi" w:hAnsiTheme="minorBidi"/>
          <w:b/>
          <w:bCs/>
          <w:sz w:val="32"/>
          <w:szCs w:val="32"/>
          <w:rtl/>
        </w:rPr>
        <w:t>(ساقطة، بل هما)</w:t>
      </w:r>
      <w:r w:rsidRPr="00F27422">
        <w:rPr>
          <w:rFonts w:asciiTheme="minorBidi" w:hAnsiTheme="minorBidi"/>
          <w:sz w:val="32"/>
          <w:szCs w:val="32"/>
          <w:rtl/>
        </w:rPr>
        <w:t xml:space="preserve"> أي: </w:t>
      </w:r>
      <w:r w:rsidRPr="00F27422">
        <w:rPr>
          <w:rFonts w:asciiTheme="minorBidi" w:hAnsiTheme="minorBidi"/>
          <w:sz w:val="32"/>
          <w:szCs w:val="32"/>
          <w:rtl/>
        </w:rPr>
        <w:lastRenderedPageBreak/>
        <w:t xml:space="preserve">قانون التبعيّة والإجارة </w:t>
      </w:r>
      <w:r w:rsidRPr="00F27422">
        <w:rPr>
          <w:rFonts w:asciiTheme="minorBidi" w:hAnsiTheme="minorBidi"/>
          <w:b/>
          <w:bCs/>
          <w:sz w:val="32"/>
          <w:szCs w:val="32"/>
          <w:rtl/>
        </w:rPr>
        <w:t>(في مرتبة واحدة)</w:t>
      </w:r>
      <w:r w:rsidRPr="00F27422">
        <w:rPr>
          <w:rFonts w:asciiTheme="minorBidi" w:hAnsiTheme="minorBidi"/>
          <w:sz w:val="32"/>
          <w:szCs w:val="32"/>
          <w:rtl/>
        </w:rPr>
        <w:t xml:space="preserve"> أي: لا طوليّة بينهما </w:t>
      </w:r>
      <w:r w:rsidRPr="00F27422">
        <w:rPr>
          <w:rFonts w:asciiTheme="minorBidi" w:hAnsiTheme="minorBidi"/>
          <w:b/>
          <w:bCs/>
          <w:sz w:val="32"/>
          <w:szCs w:val="32"/>
          <w:rtl/>
        </w:rPr>
        <w:t>(بعد وضوح اختصاص مناط التأخّر بالأوّل وعدم سريانه في الثاني).</w:t>
      </w:r>
    </w:p>
    <w:p w14:paraId="46A38D66" w14:textId="77777777" w:rsidR="002D2958" w:rsidRPr="00F27422" w:rsidRDefault="002D2958" w:rsidP="00122B70">
      <w:pPr>
        <w:bidi/>
        <w:rPr>
          <w:rFonts w:asciiTheme="minorBidi" w:hAnsiTheme="minorBidi"/>
          <w:sz w:val="32"/>
          <w:szCs w:val="32"/>
          <w:rtl/>
        </w:rPr>
      </w:pPr>
      <w:r w:rsidRPr="00F27422">
        <w:rPr>
          <w:rFonts w:asciiTheme="minorBidi" w:hAnsiTheme="minorBidi"/>
          <w:b/>
          <w:bCs/>
          <w:sz w:val="32"/>
          <w:szCs w:val="32"/>
          <w:rtl/>
        </w:rPr>
        <w:t xml:space="preserve">الإيراد الثالث: </w:t>
      </w:r>
      <w:r w:rsidRPr="00F27422">
        <w:rPr>
          <w:rFonts w:asciiTheme="minorBidi" w:hAnsiTheme="minorBidi"/>
          <w:sz w:val="32"/>
          <w:szCs w:val="32"/>
          <w:rtl/>
        </w:rPr>
        <w:t xml:space="preserve">لو سلمنا بكلّ تلك المقدمات مِن أنّ الإجارة مساوية في الرتبة للبيع، وأنّ البيع متقدم رتبة على تملك المنفعة بالتبعيّة، وأنّ ما مع المتقدم متقدم، فالإجارة متقدمةٌ رتبةً على تملك المنفعة بقانون التبعيّة </w:t>
      </w:r>
      <w:r w:rsidRPr="00F27422">
        <w:rPr>
          <w:rFonts w:asciiTheme="minorBidi" w:hAnsiTheme="minorBidi"/>
          <w:b/>
          <w:bCs/>
          <w:sz w:val="32"/>
          <w:szCs w:val="32"/>
          <w:rtl/>
        </w:rPr>
        <w:t>(فلأنّا لو سلّمنا تأخّره عن الإجارة في المرتبة لا يكاد ينفع في دفع المزاحمة، حيث إنّها منوطة بتقارن العقدين زماناً واجتماعهما خارجاً في آن واحد، سواء أكان بينهما سبق ولحوق رتبي أم لا، فإنّ ذلك إنّما ينفع ويترتّب عليه الأثر في الفلسفة والاُمور العقليّة، وأمّا)</w:t>
      </w:r>
      <w:r w:rsidRPr="00F27422">
        <w:rPr>
          <w:rFonts w:asciiTheme="minorBidi" w:hAnsiTheme="minorBidi"/>
          <w:sz w:val="32"/>
          <w:szCs w:val="32"/>
          <w:rtl/>
        </w:rPr>
        <w:t xml:space="preserve"> في الأمور الاعتبارية ومنها </w:t>
      </w:r>
      <w:r w:rsidRPr="00F27422">
        <w:rPr>
          <w:rFonts w:asciiTheme="minorBidi" w:hAnsiTheme="minorBidi"/>
          <w:b/>
          <w:bCs/>
          <w:sz w:val="32"/>
          <w:szCs w:val="32"/>
          <w:rtl/>
        </w:rPr>
        <w:t xml:space="preserve">(الأحكام الشرعيّة) </w:t>
      </w:r>
      <w:r w:rsidRPr="00F27422">
        <w:rPr>
          <w:rFonts w:asciiTheme="minorBidi" w:hAnsiTheme="minorBidi"/>
          <w:sz w:val="32"/>
          <w:szCs w:val="32"/>
          <w:rtl/>
        </w:rPr>
        <w:t xml:space="preserve">ومنها الأحكام الوضعيّة كالمِلكيّة </w:t>
      </w:r>
      <w:r w:rsidRPr="00F27422">
        <w:rPr>
          <w:rFonts w:asciiTheme="minorBidi" w:hAnsiTheme="minorBidi"/>
          <w:b/>
          <w:bCs/>
          <w:sz w:val="32"/>
          <w:szCs w:val="32"/>
          <w:rtl/>
        </w:rPr>
        <w:t>(فهي متوقّفة على وجود موضوعاتها خارجاً)</w:t>
      </w:r>
      <w:r w:rsidRPr="00F27422">
        <w:rPr>
          <w:rFonts w:asciiTheme="minorBidi" w:hAnsiTheme="minorBidi"/>
          <w:sz w:val="32"/>
          <w:szCs w:val="32"/>
          <w:rtl/>
        </w:rPr>
        <w:t xml:space="preserve"> وهي منوطة بالبناء العقلائي الممضى شرعاً، والبناء العقلائي قائمٌ على ثبوت الحكم عند تحقّق موضوعه زمناً </w:t>
      </w:r>
      <w:r w:rsidRPr="00F27422">
        <w:rPr>
          <w:rFonts w:asciiTheme="minorBidi" w:hAnsiTheme="minorBidi"/>
          <w:b/>
          <w:bCs/>
          <w:sz w:val="32"/>
          <w:szCs w:val="32"/>
          <w:rtl/>
        </w:rPr>
        <w:t>(والمفروض وقوع البيع والإجارة في آنٍ واحد، ففي الزمان الذي يحكم فيه بملكيّة المنفعة للمستأجر بمقتضى الإجارة يحكم فيه أيضاً بملكيّتها للمشتري بتبع ملكيّته للعين بمقتضى البيع، وحيث يمتنع الجمع)</w:t>
      </w:r>
      <w:r w:rsidRPr="00F27422">
        <w:rPr>
          <w:rFonts w:asciiTheme="minorBidi" w:hAnsiTheme="minorBidi"/>
          <w:sz w:val="32"/>
          <w:szCs w:val="32"/>
          <w:rtl/>
        </w:rPr>
        <w:t xml:space="preserve"> بين السببين المتزاحمين </w:t>
      </w:r>
      <w:r w:rsidRPr="00F27422">
        <w:rPr>
          <w:rFonts w:asciiTheme="minorBidi" w:hAnsiTheme="minorBidi"/>
          <w:b/>
          <w:bCs/>
          <w:sz w:val="32"/>
          <w:szCs w:val="32"/>
          <w:rtl/>
        </w:rPr>
        <w:t>(فلا جرم يتزاحمان، وحديث التقدّم الرتبي لا يكاد يجدي في حلّ هذه المشكلة ورفع المعضلة شيئاً).</w:t>
      </w:r>
    </w:p>
    <w:p w14:paraId="0B74533D" w14:textId="77777777" w:rsidR="002D2958" w:rsidRPr="00F27422" w:rsidRDefault="002D2958" w:rsidP="00122B70">
      <w:pPr>
        <w:bidi/>
        <w:rPr>
          <w:rFonts w:asciiTheme="minorBidi" w:hAnsiTheme="minorBidi"/>
          <w:sz w:val="32"/>
          <w:szCs w:val="32"/>
          <w:rtl/>
        </w:rPr>
      </w:pPr>
    </w:p>
    <w:p w14:paraId="08AA02D6" w14:textId="77777777" w:rsidR="002D2958" w:rsidRPr="00F27422" w:rsidRDefault="002D2958"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34D73258" w14:textId="012ED229" w:rsidR="00E67AA3" w:rsidRPr="00F27422" w:rsidRDefault="002D2958"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015</w:t>
      </w:r>
    </w:p>
    <w:p w14:paraId="7302FEDD" w14:textId="77777777" w:rsidR="00197B13" w:rsidRPr="00F27422" w:rsidRDefault="00197B13"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54F8666F" w14:textId="77777777" w:rsidR="00197B13" w:rsidRPr="00F27422" w:rsidRDefault="00197B13"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587E9DCB"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b/>
          <w:bCs/>
          <w:sz w:val="32"/>
          <w:szCs w:val="32"/>
          <w:rtl/>
        </w:rPr>
        <w:t>واللعن الدائم على أعدائهم أجمعين إلى قيام يوم الدين</w:t>
      </w:r>
    </w:p>
    <w:p w14:paraId="0C785D0D" w14:textId="77777777" w:rsidR="00197B13" w:rsidRPr="00F27422" w:rsidRDefault="00197B13" w:rsidP="00122B70">
      <w:pPr>
        <w:bidi/>
        <w:rPr>
          <w:rFonts w:asciiTheme="minorBidi" w:hAnsiTheme="minorBidi"/>
          <w:sz w:val="32"/>
          <w:szCs w:val="32"/>
          <w:rtl/>
          <w:lang w:bidi="ar-BH"/>
        </w:rPr>
      </w:pPr>
    </w:p>
    <w:p w14:paraId="00966935"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b/>
          <w:bCs/>
          <w:sz w:val="32"/>
          <w:szCs w:val="32"/>
          <w:rtl/>
        </w:rPr>
        <w:t>الوجه الرابع:</w:t>
      </w:r>
      <w:r w:rsidRPr="00F27422">
        <w:rPr>
          <w:rFonts w:asciiTheme="minorBidi" w:hAnsiTheme="minorBidi"/>
          <w:sz w:val="32"/>
          <w:szCs w:val="32"/>
          <w:rtl/>
        </w:rPr>
        <w:t xml:space="preserve"> - من وجوه الاستدلال على القول الأوّل وهو صحتهما معاً - هو ما يقتنص مِن عبارة المحقق العراقي (قدس سره) في تعليقته على العروة حيث قال: </w:t>
      </w:r>
      <w:r w:rsidRPr="00F27422">
        <w:rPr>
          <w:rFonts w:asciiTheme="minorBidi" w:hAnsiTheme="minorBidi"/>
          <w:b/>
          <w:bCs/>
          <w:sz w:val="32"/>
          <w:szCs w:val="32"/>
          <w:rtl/>
        </w:rPr>
        <w:t>(</w:t>
      </w:r>
      <w:proofErr w:type="spellStart"/>
      <w:r w:rsidRPr="00F27422">
        <w:rPr>
          <w:rFonts w:asciiTheme="minorBidi" w:hAnsiTheme="minorBidi"/>
          <w:b/>
          <w:bCs/>
          <w:sz w:val="32"/>
          <w:szCs w:val="32"/>
          <w:rtl/>
        </w:rPr>
        <w:t>والأولی</w:t>
      </w:r>
      <w:proofErr w:type="spellEnd"/>
      <w:r w:rsidRPr="00F27422">
        <w:rPr>
          <w:rFonts w:asciiTheme="minorBidi" w:hAnsiTheme="minorBidi"/>
          <w:b/>
          <w:bCs/>
          <w:sz w:val="32"/>
          <w:szCs w:val="32"/>
          <w:rtl/>
        </w:rPr>
        <w:t xml:space="preserve"> أن </w:t>
      </w:r>
      <w:proofErr w:type="spellStart"/>
      <w:r w:rsidRPr="00F27422">
        <w:rPr>
          <w:rFonts w:asciiTheme="minorBidi" w:hAnsiTheme="minorBidi"/>
          <w:b/>
          <w:bCs/>
          <w:sz w:val="32"/>
          <w:szCs w:val="32"/>
          <w:rtl/>
        </w:rPr>
        <w:t>یقال</w:t>
      </w:r>
      <w:proofErr w:type="spellEnd"/>
      <w:r w:rsidRPr="00F27422">
        <w:rPr>
          <w:rFonts w:asciiTheme="minorBidi" w:hAnsiTheme="minorBidi"/>
          <w:b/>
          <w:bCs/>
          <w:sz w:val="32"/>
          <w:szCs w:val="32"/>
          <w:rtl/>
        </w:rPr>
        <w:t xml:space="preserve">: إنّ قاعدة </w:t>
      </w:r>
      <w:proofErr w:type="spellStart"/>
      <w:r w:rsidRPr="00F27422">
        <w:rPr>
          <w:rFonts w:asciiTheme="minorBidi" w:hAnsiTheme="minorBidi"/>
          <w:b/>
          <w:bCs/>
          <w:sz w:val="32"/>
          <w:szCs w:val="32"/>
          <w:rtl/>
        </w:rPr>
        <w:t>التبعیّة</w:t>
      </w:r>
      <w:proofErr w:type="spellEnd"/>
      <w:r w:rsidRPr="00F27422">
        <w:rPr>
          <w:rFonts w:asciiTheme="minorBidi" w:hAnsiTheme="minorBidi"/>
          <w:b/>
          <w:bCs/>
          <w:sz w:val="32"/>
          <w:szCs w:val="32"/>
          <w:rtl/>
        </w:rPr>
        <w:t xml:space="preserve"> </w:t>
      </w:r>
      <w:proofErr w:type="spellStart"/>
      <w:r w:rsidRPr="00F27422">
        <w:rPr>
          <w:rFonts w:asciiTheme="minorBidi" w:hAnsiTheme="minorBidi"/>
          <w:b/>
          <w:bCs/>
          <w:sz w:val="32"/>
          <w:szCs w:val="32"/>
          <w:rtl/>
        </w:rPr>
        <w:t>مقتضیة</w:t>
      </w:r>
      <w:proofErr w:type="spellEnd"/>
      <w:r w:rsidRPr="00F27422">
        <w:rPr>
          <w:rFonts w:asciiTheme="minorBidi" w:hAnsiTheme="minorBidi"/>
          <w:b/>
          <w:bCs/>
          <w:sz w:val="32"/>
          <w:szCs w:val="32"/>
          <w:rtl/>
        </w:rPr>
        <w:t xml:space="preserve"> قابلة لمنع المانع ولو مقارناً).</w:t>
      </w:r>
      <w:r w:rsidRPr="00F27422">
        <w:rPr>
          <w:rFonts w:asciiTheme="minorBidi" w:hAnsiTheme="minorBidi"/>
          <w:sz w:val="32"/>
          <w:szCs w:val="32"/>
          <w:rtl/>
        </w:rPr>
        <w:t xml:space="preserve"> [العروة الوثقى والتعليقات عليها، ج13، إعداد وتحقيق مؤسسة السبطين (عليهما السلام) العالمية، ص415].</w:t>
      </w:r>
    </w:p>
    <w:p w14:paraId="254ED38C"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b/>
          <w:bCs/>
          <w:sz w:val="32"/>
          <w:szCs w:val="32"/>
          <w:rtl/>
        </w:rPr>
        <w:lastRenderedPageBreak/>
        <w:t>وبيان ذلك:</w:t>
      </w:r>
      <w:r w:rsidRPr="00F27422">
        <w:rPr>
          <w:rFonts w:asciiTheme="minorBidi" w:hAnsiTheme="minorBidi"/>
          <w:sz w:val="32"/>
          <w:szCs w:val="32"/>
          <w:rtl/>
        </w:rPr>
        <w:t xml:space="preserve"> أنّ سببية البيع لنقل المنفعة - بواسطة قاعدة التبعيّة - إلى المُشتري اقتضائية وليست </w:t>
      </w:r>
      <w:r w:rsidRPr="00F27422">
        <w:rPr>
          <w:rFonts w:asciiTheme="minorBidi" w:hAnsiTheme="minorBidi"/>
          <w:sz w:val="32"/>
          <w:szCs w:val="32"/>
          <w:highlight w:val="yellow"/>
          <w:rtl/>
        </w:rPr>
        <w:t>على نحو العلّيّة التامة، بينما الإجارة علّة تامة لمِلكيّة</w:t>
      </w:r>
      <w:r w:rsidRPr="00F27422">
        <w:rPr>
          <w:rFonts w:asciiTheme="minorBidi" w:hAnsiTheme="minorBidi"/>
          <w:sz w:val="32"/>
          <w:szCs w:val="32"/>
          <w:rtl/>
        </w:rPr>
        <w:t xml:space="preserve"> المُستأجر للمنفعة حيث لا تتوقف على شيء، وحيث إنّ الاقتضاء في البيع إنّما يؤثر في الفعلية مع عدم المانع، فلا تأثير له مع اقترانه بالإجارة، فإنّ اقترانه بالإجارة مانعٌ مِن فعلية تأثيره في مِلكيّة المنفعة للمُشتري.</w:t>
      </w:r>
    </w:p>
    <w:p w14:paraId="5C166BAA" w14:textId="5F0EA2B7" w:rsidR="00197B13" w:rsidRPr="00F27422" w:rsidRDefault="00197B13" w:rsidP="00122B70">
      <w:pPr>
        <w:bidi/>
        <w:rPr>
          <w:rFonts w:asciiTheme="minorBidi" w:hAnsiTheme="minorBidi"/>
          <w:sz w:val="32"/>
          <w:szCs w:val="32"/>
          <w:rtl/>
          <w:lang w:bidi="ar-BH"/>
        </w:rPr>
      </w:pPr>
      <w:r w:rsidRPr="00F27422">
        <w:rPr>
          <w:rFonts w:asciiTheme="minorBidi" w:hAnsiTheme="minorBidi"/>
          <w:b/>
          <w:bCs/>
          <w:sz w:val="32"/>
          <w:szCs w:val="32"/>
          <w:rtl/>
        </w:rPr>
        <w:t>ويمكن صياغة هذا الوجه بنحوٍ آخرٍ:</w:t>
      </w:r>
      <w:r w:rsidRPr="00F27422">
        <w:rPr>
          <w:rFonts w:asciiTheme="minorBidi" w:hAnsiTheme="minorBidi"/>
          <w:sz w:val="32"/>
          <w:szCs w:val="32"/>
          <w:rtl/>
        </w:rPr>
        <w:t xml:space="preserve"> وهو أنّه لا ريب في اختلاف أسباب المِلكيّة اختلافاً نوعياً ككون السبب في نقل العين للآخر بيعاً أو هبةً أو صلحاً، وهذا الاختلاف قائمٌ على تحديد المرتكزات العقلائية للآثار، فإنّ مقتضى اختلاف الآثار لدى المرتكزات اختلاف الأسباب الموصلة لهذه الآثار بالنوع، وكما أنّ اختلاف الأسباب بالنوع - مع أنّ كلّها اعتبارات عقلائية محضة وليست أموراً تكوينية - مرجعه لتحديد المرتكز العقلائي للآثار، كذلك اختلاف </w:t>
      </w:r>
      <w:r w:rsidRPr="00F27422">
        <w:rPr>
          <w:rFonts w:asciiTheme="minorBidi" w:hAnsiTheme="minorBidi"/>
          <w:sz w:val="32"/>
          <w:szCs w:val="32"/>
          <w:highlight w:val="yellow"/>
          <w:rtl/>
        </w:rPr>
        <w:t>الأسباب في كيفية التأثير</w:t>
      </w:r>
      <w:r w:rsidRPr="00F27422">
        <w:rPr>
          <w:rFonts w:asciiTheme="minorBidi" w:hAnsiTheme="minorBidi"/>
          <w:sz w:val="32"/>
          <w:szCs w:val="32"/>
          <w:rtl/>
        </w:rPr>
        <w:t xml:space="preserve"> مرجعه إلى ما يبني عليه المرتكز العقلائي مِن أغراضٍ نوعيةٍ، فالغرض النوعي - أي </w:t>
      </w:r>
      <w:r w:rsidRPr="00F27422">
        <w:rPr>
          <w:rFonts w:asciiTheme="minorBidi" w:hAnsiTheme="minorBidi"/>
          <w:sz w:val="32"/>
          <w:szCs w:val="32"/>
          <w:highlight w:val="yellow"/>
          <w:rtl/>
        </w:rPr>
        <w:t>الغرض المطلوب لنوع العقلاء - هو المعيار في اختلاف الأسباب</w:t>
      </w:r>
      <w:r w:rsidRPr="00F27422">
        <w:rPr>
          <w:rFonts w:asciiTheme="minorBidi" w:hAnsiTheme="minorBidi"/>
          <w:sz w:val="32"/>
          <w:szCs w:val="32"/>
          <w:rtl/>
        </w:rPr>
        <w:t xml:space="preserve"> مِن حيث كيفية التأثير، ومقتضى ذلك في المقام اختلاف</w:t>
      </w:r>
      <w:r w:rsidR="00112222" w:rsidRPr="00F27422">
        <w:rPr>
          <w:rFonts w:asciiTheme="minorBidi" w:hAnsiTheme="minorBidi"/>
          <w:sz w:val="32"/>
          <w:szCs w:val="32"/>
          <w:rtl/>
        </w:rPr>
        <w:t xml:space="preserve"> </w:t>
      </w:r>
      <w:r w:rsidRPr="00F27422">
        <w:rPr>
          <w:rFonts w:asciiTheme="minorBidi" w:hAnsiTheme="minorBidi"/>
          <w:sz w:val="32"/>
          <w:szCs w:val="32"/>
          <w:rtl/>
        </w:rPr>
        <w:t xml:space="preserve">تأثير الإجارة في نقل المنفعة للمُستأجر عن تأثير البيع في نقلها للمُشتري، </w:t>
      </w:r>
      <w:r w:rsidRPr="00F27422">
        <w:rPr>
          <w:rFonts w:asciiTheme="minorBidi" w:hAnsiTheme="minorBidi"/>
          <w:color w:val="EE0000"/>
          <w:sz w:val="32"/>
          <w:szCs w:val="32"/>
          <w:rtl/>
        </w:rPr>
        <w:t xml:space="preserve">فسببية الإجارة في النقل على نحو السببية التنجيزية </w:t>
      </w:r>
      <w:r w:rsidRPr="00F27422">
        <w:rPr>
          <w:rFonts w:asciiTheme="minorBidi" w:hAnsiTheme="minorBidi"/>
          <w:sz w:val="32"/>
          <w:szCs w:val="32"/>
          <w:rtl/>
        </w:rPr>
        <w:t>غير المنوطة بشيء، بينما تأثير البيع في انتقال المنفعة للمُشتري ليست على نحو السببية التنجيزية وإنْ كانت تبعيّة المنفعة للعين في المِلكيّة إنشائية وليست بحكم عقلائي، بمعنى أنّ مَن ينقل العين إلى غيره ببيعٍ أو هبةٍ فهو قاصدٌ أنْ ينقل العين بما لها مِن حيثياتٍ ومنها المنافع، إلّا أنّ الأثر في المقام ليس مترتباً على حقيقة</w:t>
      </w:r>
      <w:r w:rsidR="00112222" w:rsidRPr="00F27422">
        <w:rPr>
          <w:rFonts w:asciiTheme="minorBidi" w:hAnsiTheme="minorBidi"/>
          <w:sz w:val="32"/>
          <w:szCs w:val="32"/>
          <w:rtl/>
        </w:rPr>
        <w:t xml:space="preserve"> </w:t>
      </w:r>
      <w:r w:rsidRPr="00F27422">
        <w:rPr>
          <w:rFonts w:asciiTheme="minorBidi" w:hAnsiTheme="minorBidi"/>
          <w:sz w:val="32"/>
          <w:szCs w:val="32"/>
          <w:rtl/>
        </w:rPr>
        <w:t>المنشأين - أي المنشأ بالبيع والمنشأ بالإجارة - وإنّما الأثر مترتب على كيفية النفوذ وفعلية التأثير، فإذا كان المرتكز العقلائي نتيجة اختلاف الأغراض النوعية يرى أنّ نفوذ الإجارة في نقل المنفعة تنجيزي ونفوذ البيع في نقل المنفعة إلى المُشتري تعليقي أو اقتضائي حسب تعبير المحقق العراقي (قدس سره)، فلا يبعد حينئذٍ أنْ يكون اقتران البيع بالإجارة مانعاً مِن نفوذ البيع في نقل المنفعة وإنْ كان المنشأ هو نقل العين بما لها مِن المنفعة، فإنْ صيرورة المنشأ فعلياً منوطٌ بحسب المرتكزات بتوفر الشرط وعدم المانع، واقترانه بالإجارة مانعٌ.</w:t>
      </w:r>
    </w:p>
    <w:p w14:paraId="632D3AE0" w14:textId="43DEFCD0" w:rsidR="00197B13" w:rsidRPr="00F27422" w:rsidRDefault="00197B13" w:rsidP="00122B70">
      <w:pPr>
        <w:bidi/>
        <w:rPr>
          <w:rFonts w:asciiTheme="minorBidi" w:hAnsiTheme="minorBidi"/>
          <w:sz w:val="32"/>
          <w:szCs w:val="32"/>
          <w:rtl/>
          <w:lang w:bidi="ar-BH"/>
        </w:rPr>
      </w:pPr>
      <w:r w:rsidRPr="00F27422">
        <w:rPr>
          <w:rFonts w:asciiTheme="minorBidi" w:hAnsiTheme="minorBidi"/>
          <w:b/>
          <w:bCs/>
          <w:sz w:val="32"/>
          <w:szCs w:val="32"/>
          <w:rtl/>
        </w:rPr>
        <w:t>ولذا:</w:t>
      </w:r>
      <w:r w:rsidRPr="00F27422">
        <w:rPr>
          <w:rFonts w:asciiTheme="minorBidi" w:hAnsiTheme="minorBidi"/>
          <w:sz w:val="32"/>
          <w:szCs w:val="32"/>
          <w:rtl/>
        </w:rPr>
        <w:t xml:space="preserve"> لو كان البائع بنفسه غافلاً عن كون العين مُستأجرةً فباعها، فإنّه وإنْ قصد نقل العين بما لها مِن المنافع إلّا أنّ الإجارة الصادرة منه مانعٌ مِن فعلية نقل البيع للمنفعة، بل تنتقل العين للمُشتري مسلوبة المنفعة؛ وما ذلك إلّا أنّ سلطنة البائع على الإجارة حاكمٌ على سلطنته على البيع؛ حيث إنّ للبائع سلطنة على كلا المالين - العين والمنفعة - والبائعُ نقل المنفعة بالإجارة عن طريق وكيله - التي هي صورةٌ مِن صور سلطنته - كما نقل المنفعة أيضاً ببيعه المباشر - الذي هو صورةٌ مِن صور سلطنته -، إلّا أنّ سلطنته على الإجارة حاكمٌ على سلطنته على البيع </w:t>
      </w:r>
      <w:r w:rsidRPr="00F27422">
        <w:rPr>
          <w:rFonts w:asciiTheme="minorBidi" w:hAnsiTheme="minorBidi"/>
          <w:sz w:val="32"/>
          <w:szCs w:val="32"/>
          <w:rtl/>
        </w:rPr>
        <w:lastRenderedPageBreak/>
        <w:t>- لا بالنسبة للعين بل بالنسبة للمنفعة -؛ باعتبار أنّ نفوذ سلطنته بالنسبة للمنفعة إنّما هو على نحو الاقتضاء - لا على نحو العلّيّة التامة</w:t>
      </w:r>
      <w:r w:rsidR="00112222" w:rsidRPr="00F27422">
        <w:rPr>
          <w:rFonts w:asciiTheme="minorBidi" w:hAnsiTheme="minorBidi"/>
          <w:sz w:val="32"/>
          <w:szCs w:val="32"/>
          <w:rtl/>
        </w:rPr>
        <w:t xml:space="preserve"> </w:t>
      </w:r>
      <w:r w:rsidRPr="00F27422">
        <w:rPr>
          <w:rFonts w:asciiTheme="minorBidi" w:hAnsiTheme="minorBidi"/>
          <w:sz w:val="32"/>
          <w:szCs w:val="32"/>
          <w:rtl/>
        </w:rPr>
        <w:t>-.</w:t>
      </w:r>
    </w:p>
    <w:p w14:paraId="59388AED"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sz w:val="32"/>
          <w:szCs w:val="32"/>
          <w:rtl/>
        </w:rPr>
        <w:t>فتبين بذلك صحّة ما ذهب إليه سيد العروة (قدس سره الشريف) وتبعه جمعٌ مِن الأعاظم والأكابر.</w:t>
      </w:r>
    </w:p>
    <w:p w14:paraId="693680FC" w14:textId="77777777" w:rsidR="00197B13" w:rsidRPr="00F27422" w:rsidRDefault="00197B13" w:rsidP="00122B70">
      <w:pPr>
        <w:pStyle w:val="Heading3"/>
        <w:bidi/>
        <w:rPr>
          <w:rFonts w:asciiTheme="minorBidi" w:hAnsiTheme="minorBidi" w:cstheme="minorBidi"/>
          <w:b/>
          <w:bCs/>
          <w:sz w:val="32"/>
          <w:szCs w:val="32"/>
          <w:rtl/>
        </w:rPr>
      </w:pPr>
      <w:r w:rsidRPr="00F27422">
        <w:rPr>
          <w:rFonts w:asciiTheme="minorBidi" w:hAnsiTheme="minorBidi" w:cstheme="minorBidi"/>
          <w:b/>
          <w:bCs/>
          <w:sz w:val="32"/>
          <w:szCs w:val="32"/>
          <w:rtl/>
        </w:rPr>
        <w:t>القول الثاني: بطلان البيع والإجارة من جهة المنفعة:</w:t>
      </w:r>
    </w:p>
    <w:p w14:paraId="6AFF2A0C" w14:textId="405CBDEF" w:rsidR="00197B13" w:rsidRPr="00F27422" w:rsidRDefault="00197B13" w:rsidP="00122B70">
      <w:pPr>
        <w:bidi/>
        <w:rPr>
          <w:rFonts w:asciiTheme="minorBidi" w:hAnsiTheme="minorBidi"/>
          <w:sz w:val="32"/>
          <w:szCs w:val="32"/>
          <w:rtl/>
          <w:lang w:bidi="ar-BH"/>
        </w:rPr>
      </w:pPr>
      <w:r w:rsidRPr="00F27422">
        <w:rPr>
          <w:rFonts w:asciiTheme="minorBidi" w:hAnsiTheme="minorBidi"/>
          <w:sz w:val="32"/>
          <w:szCs w:val="32"/>
          <w:rtl/>
        </w:rPr>
        <w:t>وهو ما ذهب إليه سيدنا الخوئي (قدس سره الشريف) كما يظهر من تعليقته ومن شرحه الاستدلالي على العروة في موسوعته المباركة [كتاب الإجارة، ج30، ص125]، وبعض الأجلة (رحمه الله) في [كتاب الإجارة، ج1، ص220].</w:t>
      </w:r>
    </w:p>
    <w:p w14:paraId="59FCFAC8"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b/>
          <w:bCs/>
          <w:sz w:val="32"/>
          <w:szCs w:val="32"/>
          <w:rtl/>
        </w:rPr>
        <w:t>وحاصله:</w:t>
      </w:r>
      <w:r w:rsidRPr="00F27422">
        <w:rPr>
          <w:rFonts w:asciiTheme="minorBidi" w:hAnsiTheme="minorBidi"/>
          <w:sz w:val="32"/>
          <w:szCs w:val="32"/>
          <w:rtl/>
        </w:rPr>
        <w:t xml:space="preserve"> عدم تأثير كليهما من ناحية المنفعة، فالبيع أثر أثره في نقل العين وأمّا المنفعة فقد تَعارضَ فيها السببان - وهما البيع والإجارة - فتساقطا، فكانت المنفعة ثبوتاً للبائع.</w:t>
      </w:r>
    </w:p>
    <w:p w14:paraId="592D9E33" w14:textId="10232BF3" w:rsidR="00197B13" w:rsidRPr="00F27422" w:rsidRDefault="00197B13" w:rsidP="00122B70">
      <w:pPr>
        <w:bidi/>
        <w:rPr>
          <w:rFonts w:asciiTheme="minorBidi" w:hAnsiTheme="minorBidi"/>
          <w:sz w:val="32"/>
          <w:szCs w:val="32"/>
          <w:rtl/>
          <w:lang w:bidi="ar-BH"/>
        </w:rPr>
      </w:pPr>
      <w:r w:rsidRPr="00F27422">
        <w:rPr>
          <w:rFonts w:asciiTheme="minorBidi" w:hAnsiTheme="minorBidi"/>
          <w:sz w:val="32"/>
          <w:szCs w:val="32"/>
          <w:rtl/>
        </w:rPr>
        <w:t xml:space="preserve">وقد أفاد سيدنا الخوئي (قدس سره الشريف) في وجه ذلك بقوله: </w:t>
      </w:r>
      <w:r w:rsidRPr="00F27422">
        <w:rPr>
          <w:rFonts w:asciiTheme="minorBidi" w:hAnsiTheme="minorBidi"/>
          <w:b/>
          <w:bCs/>
          <w:sz w:val="32"/>
          <w:szCs w:val="32"/>
          <w:rtl/>
        </w:rPr>
        <w:t>(ومن جميع ما ذكرناه يظهر لك: أنّ المتعيّن إنّما هو اختيار الوجه الثالث، لتزاحم العقدين في تمليك المنفعة، فيتساقطان بالإضافة إلى هذا الأثر)</w:t>
      </w:r>
      <w:r w:rsidRPr="00F27422">
        <w:rPr>
          <w:rFonts w:asciiTheme="minorBidi" w:hAnsiTheme="minorBidi"/>
          <w:sz w:val="32"/>
          <w:szCs w:val="32"/>
          <w:rtl/>
        </w:rPr>
        <w:t xml:space="preserve"> وهو المنفعة </w:t>
      </w:r>
      <w:r w:rsidRPr="00F27422">
        <w:rPr>
          <w:rFonts w:asciiTheme="minorBidi" w:hAnsiTheme="minorBidi"/>
          <w:b/>
          <w:bCs/>
          <w:sz w:val="32"/>
          <w:szCs w:val="32"/>
          <w:rtl/>
        </w:rPr>
        <w:t>(بعد امتناع الجمع)</w:t>
      </w:r>
      <w:r w:rsidRPr="00F27422">
        <w:rPr>
          <w:rFonts w:asciiTheme="minorBidi" w:hAnsiTheme="minorBidi"/>
          <w:sz w:val="32"/>
          <w:szCs w:val="32"/>
          <w:rtl/>
        </w:rPr>
        <w:t xml:space="preserve"> بينهما إذ لا يعقل أنْ تكون المنفعة مِلكاً لشخصين في آنٍ واحدٍ على سبيل الاستقلال، ولا</w:t>
      </w:r>
      <w:r w:rsidR="00B35E83" w:rsidRPr="00F27422">
        <w:rPr>
          <w:rFonts w:asciiTheme="minorBidi" w:hAnsiTheme="minorBidi"/>
          <w:sz w:val="32"/>
          <w:szCs w:val="32"/>
          <w:rtl/>
        </w:rPr>
        <w:t xml:space="preserve"> </w:t>
      </w:r>
      <w:r w:rsidRPr="00F27422">
        <w:rPr>
          <w:rFonts w:asciiTheme="minorBidi" w:hAnsiTheme="minorBidi"/>
          <w:sz w:val="32"/>
          <w:szCs w:val="32"/>
          <w:rtl/>
        </w:rPr>
        <w:t xml:space="preserve">على نحو الترتب لعدم معقوليته في الأحكام الوضعية، إذ التنافي المقام ليس مِن حيث الأثر التكليفي وهو وجوب التسليم، وإنّما في أصل الملكية </w:t>
      </w:r>
      <w:r w:rsidRPr="00F27422">
        <w:rPr>
          <w:rFonts w:asciiTheme="minorBidi" w:hAnsiTheme="minorBidi"/>
          <w:b/>
          <w:bCs/>
          <w:sz w:val="32"/>
          <w:szCs w:val="32"/>
          <w:rtl/>
        </w:rPr>
        <w:t>(وبطلان الترجيح من غير مرجّح)</w:t>
      </w:r>
      <w:r w:rsidRPr="00F27422">
        <w:rPr>
          <w:rFonts w:asciiTheme="minorBidi" w:hAnsiTheme="minorBidi"/>
          <w:sz w:val="32"/>
          <w:szCs w:val="32"/>
          <w:rtl/>
        </w:rPr>
        <w:t xml:space="preserve"> حيث لا مرجّح لأحدهما على الآخر </w:t>
      </w:r>
      <w:r w:rsidRPr="00F27422">
        <w:rPr>
          <w:rFonts w:asciiTheme="minorBidi" w:hAnsiTheme="minorBidi"/>
          <w:b/>
          <w:bCs/>
          <w:sz w:val="32"/>
          <w:szCs w:val="32"/>
          <w:rtl/>
        </w:rPr>
        <w:t>(فبطبيعة الحال تكون المنفعة في مدّة الإجارة باقية في ملك البائع، لعدم المخرج)</w:t>
      </w:r>
      <w:r w:rsidRPr="00F27422">
        <w:rPr>
          <w:rFonts w:asciiTheme="minorBidi" w:hAnsiTheme="minorBidi"/>
          <w:sz w:val="32"/>
          <w:szCs w:val="32"/>
          <w:rtl/>
        </w:rPr>
        <w:t xml:space="preserve"> لها عن مِلك البائع </w:t>
      </w:r>
      <w:r w:rsidRPr="00F27422">
        <w:rPr>
          <w:rFonts w:asciiTheme="minorBidi" w:hAnsiTheme="minorBidi"/>
          <w:b/>
          <w:bCs/>
          <w:sz w:val="32"/>
          <w:szCs w:val="32"/>
          <w:rtl/>
        </w:rPr>
        <w:t>(بعد الابتلاء)</w:t>
      </w:r>
      <w:r w:rsidRPr="00F27422">
        <w:rPr>
          <w:rFonts w:asciiTheme="minorBidi" w:hAnsiTheme="minorBidi"/>
          <w:sz w:val="32"/>
          <w:szCs w:val="32"/>
          <w:rtl/>
        </w:rPr>
        <w:t xml:space="preserve"> لكلٍّ من السببين </w:t>
      </w:r>
      <w:r w:rsidRPr="00F27422">
        <w:rPr>
          <w:rFonts w:asciiTheme="minorBidi" w:hAnsiTheme="minorBidi"/>
          <w:b/>
          <w:bCs/>
          <w:sz w:val="32"/>
          <w:szCs w:val="32"/>
          <w:rtl/>
        </w:rPr>
        <w:t>(بالتزاحم، وأمّا تمليك العين المجردّة عن المنفعة)</w:t>
      </w:r>
      <w:r w:rsidRPr="00F27422">
        <w:rPr>
          <w:rFonts w:asciiTheme="minorBidi" w:hAnsiTheme="minorBidi"/>
          <w:sz w:val="32"/>
          <w:szCs w:val="32"/>
          <w:rtl/>
        </w:rPr>
        <w:t xml:space="preserve"> بالبيع </w:t>
      </w:r>
      <w:r w:rsidRPr="00F27422">
        <w:rPr>
          <w:rFonts w:asciiTheme="minorBidi" w:hAnsiTheme="minorBidi"/>
          <w:b/>
          <w:bCs/>
          <w:sz w:val="32"/>
          <w:szCs w:val="32"/>
          <w:rtl/>
        </w:rPr>
        <w:t>(فلا مزاحم له، ومن ثمّ يحكم بصحّة بيعها وانتقالها إلى المشتري مسلوبة المنفعة، غايته ثبوت الخيار للمشتري لأجل هذا النقص)</w:t>
      </w:r>
      <w:r w:rsidRPr="00F27422">
        <w:rPr>
          <w:rFonts w:asciiTheme="minorBidi" w:hAnsiTheme="minorBidi"/>
          <w:sz w:val="32"/>
          <w:szCs w:val="32"/>
          <w:rtl/>
        </w:rPr>
        <w:t xml:space="preserve"> وهو نقص المنفعة </w:t>
      </w:r>
      <w:r w:rsidRPr="00F27422">
        <w:rPr>
          <w:rFonts w:asciiTheme="minorBidi" w:hAnsiTheme="minorBidi"/>
          <w:b/>
          <w:bCs/>
          <w:sz w:val="32"/>
          <w:szCs w:val="32"/>
          <w:rtl/>
        </w:rPr>
        <w:t>(فلا تصل النوبة إلى مزاحمة الإجارة للبيع)</w:t>
      </w:r>
      <w:r w:rsidRPr="00F27422">
        <w:rPr>
          <w:rFonts w:asciiTheme="minorBidi" w:hAnsiTheme="minorBidi"/>
          <w:sz w:val="32"/>
          <w:szCs w:val="32"/>
          <w:rtl/>
        </w:rPr>
        <w:t xml:space="preserve"> في تمليك العين </w:t>
      </w:r>
      <w:r w:rsidRPr="00F27422">
        <w:rPr>
          <w:rFonts w:asciiTheme="minorBidi" w:hAnsiTheme="minorBidi"/>
          <w:b/>
          <w:bCs/>
          <w:sz w:val="32"/>
          <w:szCs w:val="32"/>
          <w:rtl/>
        </w:rPr>
        <w:t>(كي يحكم بفسادهما، وإنّما التزاحم في تمليك المنفعة دون العين، ونتيجته ما عرفت من صحّة البيع بالنسبة إلى العين فقط، وبطلان الإجارة).</w:t>
      </w:r>
    </w:p>
    <w:p w14:paraId="461AF8AC"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b/>
          <w:bCs/>
          <w:sz w:val="32"/>
          <w:szCs w:val="32"/>
          <w:rtl/>
        </w:rPr>
        <w:t>ولكن يلاحظ عليه:</w:t>
      </w:r>
      <w:r w:rsidRPr="00F27422">
        <w:rPr>
          <w:rFonts w:asciiTheme="minorBidi" w:hAnsiTheme="minorBidi"/>
          <w:sz w:val="32"/>
          <w:szCs w:val="32"/>
          <w:rtl/>
        </w:rPr>
        <w:t xml:space="preserve"> مضافاً لما مضى - مِن أنّ سببية البيع لنقل المنفعة غير صالحٍ للمزاحمة مع سببية الإجارة لنقلها؛ باعتبار أنّ سببية البيع بحسب المرتكزات العقلائية اقتضائية، لا على نحو العلّيّة التامة - أنّ خروج المنفعة عن مِلك البائع حاصلٌ على كلّ حال إمّا بالإجارة وإمّا بالبيع؛ لأنّه باع العين وآجرها وكيله، فلا وجه لرجوعها إلى البائع في المقام، وامتناع كون المال - عيناً أو منفعةً - مملوكاً لشخصين في آنٍ واحدٍ على سبيل الاستقلال غاية ما يقتضي بطلان أحدهما لا بطلان كليهما.</w:t>
      </w:r>
    </w:p>
    <w:p w14:paraId="13C2B8C7"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b/>
          <w:bCs/>
          <w:sz w:val="32"/>
          <w:szCs w:val="32"/>
          <w:rtl/>
        </w:rPr>
        <w:lastRenderedPageBreak/>
        <w:t>وبعبارةٍ أُخرى:</w:t>
      </w:r>
      <w:r w:rsidRPr="00F27422">
        <w:rPr>
          <w:rFonts w:asciiTheme="minorBidi" w:hAnsiTheme="minorBidi"/>
          <w:sz w:val="32"/>
          <w:szCs w:val="32"/>
          <w:rtl/>
        </w:rPr>
        <w:t xml:space="preserve"> إنّ دليل</w:t>
      </w:r>
      <w:r w:rsidRPr="00F27422">
        <w:rPr>
          <w:rFonts w:asciiTheme="minorBidi" w:hAnsiTheme="minorBidi"/>
          <w:b/>
          <w:bCs/>
          <w:sz w:val="32"/>
          <w:szCs w:val="32"/>
          <w:rtl/>
        </w:rPr>
        <w:t xml:space="preserve"> (يَا أَيُّهَا الَّذِينَ آمَنُوا أَوْفُوا بِالْعُقُودِ) </w:t>
      </w:r>
      <w:r w:rsidRPr="00F27422">
        <w:rPr>
          <w:rFonts w:asciiTheme="minorBidi" w:hAnsiTheme="minorBidi"/>
          <w:sz w:val="32"/>
          <w:szCs w:val="32"/>
          <w:rtl/>
        </w:rPr>
        <w:t>[المائدة، 1] لا يشملهما معاً لتعارضهما، وشموله لأحدهما المعين ترجيحٌ بلا مرجّح، لكن لا يلزم مِن ذلك بطلانهما معاً وتكون المنفعة للبائع.</w:t>
      </w:r>
    </w:p>
    <w:p w14:paraId="3037590D"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sz w:val="32"/>
          <w:szCs w:val="32"/>
          <w:rtl/>
        </w:rPr>
        <w:t xml:space="preserve">فإنّ لدليل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إطلاقين: إطلاقاً أفرادياً وإطلاقاً أحوالياً، ونقطة الاستحالة في الإطلاق الأحوالي - لا في الإطلاق الأفرادي -.</w:t>
      </w:r>
    </w:p>
    <w:p w14:paraId="56600862"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b/>
          <w:bCs/>
          <w:sz w:val="32"/>
          <w:szCs w:val="32"/>
          <w:rtl/>
        </w:rPr>
        <w:t>بمعنى:</w:t>
      </w:r>
      <w:r w:rsidRPr="00F27422">
        <w:rPr>
          <w:rFonts w:asciiTheme="minorBidi" w:hAnsiTheme="minorBidi"/>
          <w:sz w:val="32"/>
          <w:szCs w:val="32"/>
          <w:rtl/>
        </w:rPr>
        <w:t xml:space="preserve"> أنّ شمول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للبيع في نفسه ممكنٌ، وشموله للإجارة في نفسها ممكنٌ، وإنّما غير الممكن شمول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للبيع عند شموله للإجارة، وشموله للإجارة غير ممكنٍ عند شموله للبيع، فالمتعذر هو الإطلاق الأحوالي أي شموله لكلٍّ منهما حين شموله للآخر؛ لأنّ لازم ذلك أنْ يكون الشيء مملوكاً لشخصين في آنٍ واحدٍ على سبيل الاستقلال، وأمّا شموله لكلٍّ منهما في نفسه فلا محذور فيه، ومقتضى ذلك سقوط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مِن حيث إطلاقه الأحوالي؛ ويبقى إطلاقه الأفرادي، ومقتضى بقائه شموله لأحدهما، فهو لا يشمل هذا بعينه لأنّه ترجيح بلا مرجّح، ولا يشملهما معاً للزوم محذور اجتماع المِلكيتين، فيتعين شموله لأحدهما وهو مفاد "أو"، كما لو عقد شخصٌ على خمس نساءٍ في عقدٍ واحدٍ، أو كانت عنده ثلاث فعقد على اثنتين في عقدٍ واحدٍ فإنّه يصح العقد في إحداهما لا بعينها، وله الخيار في تعيينها، كذلك في المقام فإنّ ناقل المنفعة أثر في أحدهما، غاية الأمر تعيين ما هو موضوع الآثار كي يترتب عليه وجوب التسليم والاستفادة بقاعدة القرعة بناءً على شمول القرعة لما هو غير متعينٍ ثبوتاً كما في المقام.</w:t>
      </w:r>
    </w:p>
    <w:p w14:paraId="3D2E8E70"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sz w:val="32"/>
          <w:szCs w:val="32"/>
          <w:rtl/>
        </w:rPr>
        <w:t xml:space="preserve">ونظير المقام تعارض البيعين، فلو أنّ الأصيل باع العين لزيدٍ وباعها الوكيل لعمروٍ، فاقترن البيعان، فإنّه يرد نفس التخريج وهو أنّ العين قد خرجت عن مِلك البائع إمّا لزيدٍ أو لعمروٍ، وذلك لأنّ شمول </w:t>
      </w:r>
      <w:r w:rsidRPr="00F27422">
        <w:rPr>
          <w:rFonts w:asciiTheme="minorBidi" w:hAnsiTheme="minorBidi"/>
          <w:b/>
          <w:bCs/>
          <w:sz w:val="32"/>
          <w:szCs w:val="32"/>
          <w:rtl/>
        </w:rPr>
        <w:t>(أَوْفُوا بِالْعُقُودِ)</w:t>
      </w:r>
      <w:r w:rsidRPr="00F27422">
        <w:rPr>
          <w:rFonts w:asciiTheme="minorBidi" w:hAnsiTheme="minorBidi"/>
          <w:sz w:val="32"/>
          <w:szCs w:val="32"/>
          <w:rtl/>
        </w:rPr>
        <w:t xml:space="preserve"> لكلٍّ منهما حين شموله للآخر مشكلٌ، وشموله لأحدهما المعين دون الآخر بلا مرجّح، فالمتعين شموله لأحدهما.</w:t>
      </w:r>
    </w:p>
    <w:p w14:paraId="3E1B3BAD"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sz w:val="32"/>
          <w:szCs w:val="32"/>
          <w:rtl/>
        </w:rPr>
        <w:t>وقد أورد عليه بعض الأجلة (رحمه الله) في [كتاب الإجارة، ج1، ص220] مع أنّه يوافقه في النتيجة، بأنّ رجوع مِلكيّة المنفعة للبائع إنّما هو ببركة الاستصحاب.</w:t>
      </w:r>
    </w:p>
    <w:p w14:paraId="35CD1F49"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b/>
          <w:bCs/>
          <w:sz w:val="32"/>
          <w:szCs w:val="32"/>
          <w:rtl/>
        </w:rPr>
        <w:t>بأنْ يقال:</w:t>
      </w:r>
      <w:r w:rsidRPr="00F27422">
        <w:rPr>
          <w:rFonts w:asciiTheme="minorBidi" w:hAnsiTheme="minorBidi"/>
          <w:sz w:val="32"/>
          <w:szCs w:val="32"/>
          <w:rtl/>
        </w:rPr>
        <w:t xml:space="preserve"> إذا تعارض السببان - البيع والمنفعة - فيحتمل بقاء المنفعة على مِلك البائع ويحتمل خروجها فيتمسك باستصحاب المِلكيّة.</w:t>
      </w:r>
    </w:p>
    <w:p w14:paraId="1935F948"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sz w:val="32"/>
          <w:szCs w:val="32"/>
          <w:rtl/>
        </w:rPr>
        <w:t xml:space="preserve">قال (رحمه الله): </w:t>
      </w:r>
      <w:r w:rsidRPr="00F27422">
        <w:rPr>
          <w:rFonts w:asciiTheme="minorBidi" w:hAnsiTheme="minorBidi"/>
          <w:b/>
          <w:bCs/>
          <w:sz w:val="32"/>
          <w:szCs w:val="32"/>
          <w:rtl/>
        </w:rPr>
        <w:t xml:space="preserve">(وبعد التساقط يرجع إلى استصحاب بقاء المنفعة على ملك </w:t>
      </w:r>
      <w:proofErr w:type="spellStart"/>
      <w:r w:rsidRPr="00F27422">
        <w:rPr>
          <w:rFonts w:asciiTheme="minorBidi" w:hAnsiTheme="minorBidi"/>
          <w:b/>
          <w:bCs/>
          <w:sz w:val="32"/>
          <w:szCs w:val="32"/>
          <w:rtl/>
        </w:rPr>
        <w:t>البايع</w:t>
      </w:r>
      <w:proofErr w:type="spellEnd"/>
      <w:r w:rsidRPr="00F27422">
        <w:rPr>
          <w:rFonts w:asciiTheme="minorBidi" w:hAnsiTheme="minorBidi"/>
          <w:b/>
          <w:bCs/>
          <w:sz w:val="32"/>
          <w:szCs w:val="32"/>
          <w:rtl/>
        </w:rPr>
        <w:t xml:space="preserve">، وهذا من الاستصحاب في الشبهة الحكمية فمن لا يقول بجريانها فيها في أمثال المقام كالسيد الاُستاذ </w:t>
      </w:r>
      <w:r w:rsidRPr="00F27422">
        <w:rPr>
          <w:rFonts w:asciiTheme="minorBidi" w:hAnsiTheme="minorBidi"/>
          <w:b/>
          <w:bCs/>
          <w:sz w:val="32"/>
          <w:szCs w:val="32"/>
          <w:rtl/>
        </w:rPr>
        <w:lastRenderedPageBreak/>
        <w:t>(قدس سره))</w:t>
      </w:r>
      <w:r w:rsidRPr="00F27422">
        <w:rPr>
          <w:rFonts w:asciiTheme="minorBidi" w:hAnsiTheme="minorBidi"/>
          <w:sz w:val="32"/>
          <w:szCs w:val="32"/>
          <w:rtl/>
        </w:rPr>
        <w:t xml:space="preserve"> أي السيد الخوئي </w:t>
      </w:r>
      <w:r w:rsidRPr="00F27422">
        <w:rPr>
          <w:rFonts w:asciiTheme="minorBidi" w:hAnsiTheme="minorBidi"/>
          <w:b/>
          <w:bCs/>
          <w:sz w:val="32"/>
          <w:szCs w:val="32"/>
          <w:rtl/>
        </w:rPr>
        <w:t>(لا يمكنه المصير إليه فتدبر)</w:t>
      </w:r>
      <w:r w:rsidRPr="00F27422">
        <w:rPr>
          <w:rFonts w:asciiTheme="minorBidi" w:hAnsiTheme="minorBidi"/>
          <w:sz w:val="32"/>
          <w:szCs w:val="32"/>
          <w:rtl/>
        </w:rPr>
        <w:t xml:space="preserve"> فدعوى الرجوع للبائع مبتلاة على مبناه بعدم قوله بجريان الاستصحاب في الشبهة الحكمية.</w:t>
      </w:r>
    </w:p>
    <w:p w14:paraId="46A8F6C1" w14:textId="77777777" w:rsidR="00197B13" w:rsidRPr="00F27422" w:rsidRDefault="00197B13" w:rsidP="00122B70">
      <w:pPr>
        <w:bidi/>
        <w:rPr>
          <w:rFonts w:asciiTheme="minorBidi" w:hAnsiTheme="minorBidi"/>
          <w:sz w:val="32"/>
          <w:szCs w:val="32"/>
          <w:rtl/>
          <w:lang w:bidi="ar-BH"/>
        </w:rPr>
      </w:pPr>
      <w:r w:rsidRPr="00F27422">
        <w:rPr>
          <w:rFonts w:asciiTheme="minorBidi" w:hAnsiTheme="minorBidi"/>
          <w:b/>
          <w:bCs/>
          <w:sz w:val="32"/>
          <w:szCs w:val="32"/>
          <w:rtl/>
        </w:rPr>
        <w:t xml:space="preserve">لكن هذا الإيراد غير واردٍ عليه، </w:t>
      </w:r>
      <w:r w:rsidRPr="00F27422">
        <w:rPr>
          <w:rFonts w:asciiTheme="minorBidi" w:hAnsiTheme="minorBidi"/>
          <w:sz w:val="32"/>
          <w:szCs w:val="32"/>
          <w:rtl/>
        </w:rPr>
        <w:t>فإنّ منظور سيدنا الخوئي (قدس سره الشريف) أنّ رجوع المنفعة للبائع بنفس السبب الأوّل الذي اقتضى تملك البائع للعين، فإنّ البائع قد تملك العين بسببٍ إمّا الشراء أو الهبة أو الإحياء أو الحيازة أو الإرث، ومقتضى إطلاق ذلك السبب - الذي أوجب دخول العين في مِلك البائع - بقاءُ المنفعة على مِلكه حتى لهذا الفرض - وهو فرض تعارض السببين -، فعود المنفعة للبائع لا من باب الاستصحاب في الشبهة الحكمية؛ بل هو من باب التمسك بإطلاق سبب تملك البائع للعين لمثل هذا الحال وهو فرض ورود الإجارة والبيع على العين.</w:t>
      </w:r>
    </w:p>
    <w:p w14:paraId="5B0F1B69" w14:textId="77777777" w:rsidR="00197B13" w:rsidRPr="00F27422" w:rsidRDefault="00197B13" w:rsidP="00122B70">
      <w:pPr>
        <w:bidi/>
        <w:rPr>
          <w:rFonts w:asciiTheme="minorBidi" w:hAnsiTheme="minorBidi"/>
          <w:b/>
          <w:bCs/>
          <w:sz w:val="32"/>
          <w:szCs w:val="32"/>
          <w:rtl/>
        </w:rPr>
      </w:pPr>
    </w:p>
    <w:p w14:paraId="6D9B680E" w14:textId="77777777" w:rsidR="00197B13" w:rsidRPr="00F27422" w:rsidRDefault="00197B13"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6A37E387" w14:textId="77777777" w:rsidR="002D2958" w:rsidRPr="00F27422" w:rsidRDefault="002D2958" w:rsidP="00122B70">
      <w:pPr>
        <w:bidi/>
        <w:rPr>
          <w:rFonts w:asciiTheme="minorBidi" w:hAnsiTheme="minorBidi"/>
          <w:sz w:val="32"/>
          <w:szCs w:val="32"/>
          <w:rtl/>
        </w:rPr>
      </w:pPr>
    </w:p>
    <w:p w14:paraId="6F2E103C" w14:textId="25609826" w:rsidR="0009661E" w:rsidRPr="00F27422" w:rsidRDefault="0009661E"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016</w:t>
      </w:r>
    </w:p>
    <w:p w14:paraId="5E2ED574" w14:textId="77777777" w:rsidR="00742C30" w:rsidRPr="00F27422" w:rsidRDefault="00742C30"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بسم الله الرحمن الرحيم</w:t>
      </w:r>
    </w:p>
    <w:p w14:paraId="45BFA1A0" w14:textId="77777777" w:rsidR="00742C30" w:rsidRPr="00F27422" w:rsidRDefault="00742C30"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والصلاة والسلام على أشرف الأنبياء والمرسلين، محمد وآله الطيبين الطاهرين</w:t>
      </w:r>
    </w:p>
    <w:p w14:paraId="63A852D6"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واللعن الدائم على أعدائهم أجمعين إلى قيام يوم الدين</w:t>
      </w:r>
    </w:p>
    <w:p w14:paraId="4B7EC22B" w14:textId="77777777" w:rsidR="00742C30" w:rsidRPr="00F27422" w:rsidRDefault="00742C30" w:rsidP="00122B70">
      <w:pPr>
        <w:pStyle w:val="a"/>
        <w:bidi/>
        <w:spacing w:line="216" w:lineRule="auto"/>
        <w:jc w:val="left"/>
        <w:rPr>
          <w:rFonts w:asciiTheme="minorBidi" w:hAnsiTheme="minorBidi" w:cstheme="minorBidi"/>
          <w:sz w:val="32"/>
          <w:rtl/>
        </w:rPr>
      </w:pPr>
    </w:p>
    <w:p w14:paraId="58EBD113"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تعقيب:</w:t>
      </w:r>
      <w:r w:rsidRPr="00F27422">
        <w:rPr>
          <w:rFonts w:asciiTheme="minorBidi" w:hAnsiTheme="minorBidi" w:cstheme="minorBidi"/>
          <w:sz w:val="32"/>
          <w:rtl/>
        </w:rPr>
        <w:t xml:space="preserve"> حيث بنى المحقق الأصفهاني (قدس سره الشريف) على صحة العقدين - البيع والإجارة - كما أشرنا لذلك في صدر البحث.</w:t>
      </w:r>
    </w:p>
    <w:p w14:paraId="69C09D7E" w14:textId="4C32C00D"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فقد أفاد (قدس سره الشريف) في [كتاب الإجارة، تأليف المحقق الأصفهاني، مؤسسة النشر الإسلامي، ص18 - 19] في توجيه نفوذ الإجارة وتقديمها </w:t>
      </w:r>
      <w:r w:rsidR="00183597" w:rsidRPr="00F27422">
        <w:rPr>
          <w:rFonts w:asciiTheme="minorBidi" w:hAnsiTheme="minorBidi" w:cstheme="minorBidi"/>
          <w:sz w:val="32"/>
          <w:rtl/>
        </w:rPr>
        <w:t>على تبعيّة</w:t>
      </w:r>
      <w:r w:rsidRPr="00F27422">
        <w:rPr>
          <w:rFonts w:asciiTheme="minorBidi" w:hAnsiTheme="minorBidi" w:cstheme="minorBidi"/>
          <w:sz w:val="32"/>
          <w:rtl/>
        </w:rPr>
        <w:t xml:space="preserve"> المنفعة للعين في الملكية: أنّ هناك فرقاً بين تقديم الإجارة على اقتضاء البيع لنقل المنفعة من باب التقدم بالرتبة أو بالطبع وبين تقديم الإجارة على اقتضاء البيع بالورود.</w:t>
      </w:r>
    </w:p>
    <w:p w14:paraId="1D66D194"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فالأوّل:</w:t>
      </w:r>
      <w:r w:rsidRPr="00F27422">
        <w:rPr>
          <w:rFonts w:asciiTheme="minorBidi" w:hAnsiTheme="minorBidi" w:cstheme="minorBidi"/>
          <w:sz w:val="32"/>
          <w:rtl/>
        </w:rPr>
        <w:t xml:space="preserve"> وهو أنّ تقدم الإجارة على اقتضاء البيع بالرتبة، بمعنى أنّ قانون التبعيّة متأخّرٌ رتبةً عن البيع - إذ لابُدّ من المفروغية عن صحّة البيع في رتبةٍ سابقةٍ كي يكون لقانون التبعيّة موردٌ وهو أنّ مَن مَلَكَ العين مَلَكَ المنفعة - وبما أنّ الإجارة في عرض البيع - حيث صدرت الإجارة والبيع من مالكٍ واحدٍ، غاية الأمر أنّ البيع صدر منه بالمباشرة والإجارة صدرت مِن وكيله المفوض - والبيع متقدمٌ رتبةً على تبعيّة مِلكيّة المنفعة لمِلكيّة العين فالإجارة بالنتيجة متقدمةٌ رتبةً على التبعيّة.</w:t>
      </w:r>
    </w:p>
    <w:p w14:paraId="0C82D656"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وإذا كان الوجه في تقدم الإجارة على التبعيّة هو التقدم بالرتبة فهذا لا يلغي التزاحم بين التبعيّة والإجارة؛ غاية الأمر أنّه تقدمت الإجارة على قانون التبعيّة - وهو تبعيّة مِلكيّة المنفعة </w:t>
      </w:r>
      <w:r w:rsidRPr="00F27422">
        <w:rPr>
          <w:rFonts w:asciiTheme="minorBidi" w:hAnsiTheme="minorBidi" w:cstheme="minorBidi"/>
          <w:sz w:val="32"/>
          <w:rtl/>
        </w:rPr>
        <w:lastRenderedPageBreak/>
        <w:t xml:space="preserve">لملكيّة العين - بالرتبة لا أكثر، وإلّا فهما في زمانٍ واحدٍ، </w:t>
      </w:r>
      <w:r w:rsidRPr="00F27422">
        <w:rPr>
          <w:rFonts w:asciiTheme="minorBidi" w:hAnsiTheme="minorBidi" w:cstheme="minorBidi"/>
          <w:sz w:val="32"/>
          <w:highlight w:val="yellow"/>
          <w:rtl/>
        </w:rPr>
        <w:t>ومقتضى كونهما في زمانٍ واحدٍ وقوع التزاحم بينهما.</w:t>
      </w:r>
    </w:p>
    <w:p w14:paraId="1265643B"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وبما أنّ التقدم بالرتبة لا يلغي التزاحم فيلزم من يرى هذا الوجه في تقديم الإجارة على البيع أنْ يقول به في </w:t>
      </w:r>
      <w:r w:rsidRPr="00F27422">
        <w:rPr>
          <w:rFonts w:asciiTheme="minorBidi" w:hAnsiTheme="minorBidi" w:cstheme="minorBidi"/>
          <w:sz w:val="32"/>
          <w:highlight w:val="yellow"/>
          <w:rtl/>
        </w:rPr>
        <w:t>عقد البيع المشروط بفرز المنفعة إمّا لنفسه أو لغيره</w:t>
      </w:r>
      <w:r w:rsidRPr="00F27422">
        <w:rPr>
          <w:rFonts w:asciiTheme="minorBidi" w:hAnsiTheme="minorBidi" w:cstheme="minorBidi"/>
          <w:sz w:val="32"/>
          <w:rtl/>
        </w:rPr>
        <w:t xml:space="preserve"> كما لو قال: "بعتُكَ الدار بشرط أنْ لا تكون المنفعة في ملكك لمدّة سنة" إمّا ببقائها على مِلكه أو بنقلها إلى شخصٍ آخرٍ.</w:t>
      </w:r>
    </w:p>
    <w:p w14:paraId="56C2EDBE" w14:textId="1F6C880B"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والوجه في ذلك:</w:t>
      </w:r>
      <w:r w:rsidRPr="00F27422">
        <w:rPr>
          <w:rFonts w:asciiTheme="minorBidi" w:hAnsiTheme="minorBidi" w:cstheme="minorBidi"/>
          <w:sz w:val="32"/>
          <w:rtl/>
        </w:rPr>
        <w:t xml:space="preserve"> أنّ النقل بالشرط تابعٌ للبيع - لأنّه شرطٌ في البيع وقيدٌ فيه - فهو متأخّرٌ رتبةً عن البيع - لأنّ تأثير الشرط متأخّرٌ رتبةً عن تأثير المشروط -، وبما أنّ الشرط متأخّرٌ رتبةً عن المشروط فتأثير الشرط</w:t>
      </w:r>
      <w:r w:rsidR="00112222" w:rsidRPr="00F27422">
        <w:rPr>
          <w:rFonts w:asciiTheme="minorBidi" w:hAnsiTheme="minorBidi" w:cstheme="minorBidi"/>
          <w:sz w:val="32"/>
          <w:rtl/>
        </w:rPr>
        <w:t xml:space="preserve"> </w:t>
      </w:r>
      <w:r w:rsidRPr="00F27422">
        <w:rPr>
          <w:rFonts w:asciiTheme="minorBidi" w:hAnsiTheme="minorBidi" w:cstheme="minorBidi"/>
          <w:sz w:val="32"/>
          <w:rtl/>
        </w:rPr>
        <w:t>متأخّرٌ رتبةً عن البيع، فمقتضى هذا أنْ يقع التزاحم بين تأثير البيع وتأثير الشرط، إذ أنّ مقتضى البيع أنْ تنتقل المنفعة للمُشتري؛ لأنّ مَن مَلَكَ العين مَلَكَ المنفعة، ومقتضى الشرط أنْ لا تنتقل المنفعة له فوقع التزاحم بينهما.</w:t>
      </w:r>
    </w:p>
    <w:p w14:paraId="0F2788B7"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والقول بالتزاحم في البيع المشروط بين البيع والشرط مما لا يقول به أحد، مما يكشف عن خلل في برهان تقديم الإجارة بملاك التقدم بالرتبة.</w:t>
      </w:r>
    </w:p>
    <w:p w14:paraId="7AB47D2A"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وأمّا الثاني:</w:t>
      </w:r>
      <w:r w:rsidRPr="00F27422">
        <w:rPr>
          <w:rFonts w:asciiTheme="minorBidi" w:hAnsiTheme="minorBidi" w:cstheme="minorBidi"/>
          <w:sz w:val="32"/>
          <w:rtl/>
        </w:rPr>
        <w:t xml:space="preserve"> وهو أنّ الإجارة متقدمةٌ على البيع بالورود - لا بالرتبة -، أي أنّ البيع من أساسه لا يستتبع نقل المنفعة مع اقترانه بالإجارة في زمنٍ واحدٍ، لا أنّ الاقتضاء </w:t>
      </w:r>
      <w:proofErr w:type="gramStart"/>
      <w:r w:rsidRPr="00F27422">
        <w:rPr>
          <w:rFonts w:asciiTheme="minorBidi" w:hAnsiTheme="minorBidi" w:cstheme="minorBidi"/>
          <w:sz w:val="32"/>
          <w:rtl/>
        </w:rPr>
        <w:t>حصل</w:t>
      </w:r>
      <w:proofErr w:type="gramEnd"/>
      <w:r w:rsidRPr="00F27422">
        <w:rPr>
          <w:rFonts w:asciiTheme="minorBidi" w:hAnsiTheme="minorBidi" w:cstheme="minorBidi"/>
          <w:sz w:val="32"/>
          <w:rtl/>
        </w:rPr>
        <w:t xml:space="preserve"> ثمّ وقع التزاحم ثمّ قدم أحدهما على الآخر، بل أنّ وقوع البيع والإجارة في زمانٍ واحدٍ منع أصل استتباع البيع لنقل المنفعة، فلا استتباع له كي يقع التزاحم بين الناقلين - الإجارة والبيع - بضميمة قانون التبعيّة.</w:t>
      </w:r>
    </w:p>
    <w:p w14:paraId="7932A64C"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وهذا ما أفاده (قدس سره الشريف) بقوله : </w:t>
      </w:r>
      <w:r w:rsidRPr="00F27422">
        <w:rPr>
          <w:rFonts w:asciiTheme="minorBidi" w:hAnsiTheme="minorBidi" w:cstheme="minorBidi"/>
          <w:b/>
          <w:bCs/>
          <w:sz w:val="32"/>
          <w:rtl/>
        </w:rPr>
        <w:t>(فالاستتباع)</w:t>
      </w:r>
      <w:r w:rsidRPr="00F27422">
        <w:rPr>
          <w:rFonts w:asciiTheme="minorBidi" w:hAnsiTheme="minorBidi" w:cstheme="minorBidi"/>
          <w:sz w:val="32"/>
          <w:rtl/>
        </w:rPr>
        <w:t xml:space="preserve"> أي استتباع البيع لنقل المنفعة </w:t>
      </w:r>
      <w:r w:rsidRPr="00F27422">
        <w:rPr>
          <w:rFonts w:asciiTheme="minorBidi" w:hAnsiTheme="minorBidi" w:cstheme="minorBidi"/>
          <w:b/>
          <w:bCs/>
          <w:sz w:val="32"/>
          <w:rtl/>
        </w:rPr>
        <w:t>(إنما هو في فرض عدم إعمال)</w:t>
      </w:r>
      <w:r w:rsidRPr="00F27422">
        <w:rPr>
          <w:rFonts w:asciiTheme="minorBidi" w:hAnsiTheme="minorBidi" w:cstheme="minorBidi"/>
          <w:sz w:val="32"/>
          <w:rtl/>
        </w:rPr>
        <w:t xml:space="preserve"> المالك </w:t>
      </w:r>
      <w:r w:rsidRPr="00F27422">
        <w:rPr>
          <w:rFonts w:asciiTheme="minorBidi" w:hAnsiTheme="minorBidi" w:cstheme="minorBidi"/>
          <w:b/>
          <w:bCs/>
          <w:sz w:val="32"/>
          <w:rtl/>
        </w:rPr>
        <w:t xml:space="preserve">(السلطنة في نقل المنفعة، فليس البيع والإجارة من باب </w:t>
      </w:r>
      <w:proofErr w:type="spellStart"/>
      <w:r w:rsidRPr="00F27422">
        <w:rPr>
          <w:rFonts w:asciiTheme="minorBidi" w:hAnsiTheme="minorBidi" w:cstheme="minorBidi"/>
          <w:b/>
          <w:bCs/>
          <w:sz w:val="32"/>
          <w:rtl/>
        </w:rPr>
        <w:t>المتمانعين</w:t>
      </w:r>
      <w:proofErr w:type="spellEnd"/>
      <w:r w:rsidRPr="00F27422">
        <w:rPr>
          <w:rFonts w:asciiTheme="minorBidi" w:hAnsiTheme="minorBidi" w:cstheme="minorBidi"/>
          <w:b/>
          <w:bCs/>
          <w:sz w:val="32"/>
          <w:rtl/>
        </w:rPr>
        <w:t xml:space="preserve"> حتى يتوهم أن مانعية الإجارة عن اقتضاء تمليك العين على حد مانعية تمليك العين عن اقتضاء الإجارة، بل لا استتباع رأسا مع سلب المنفعة إما حقيقة) </w:t>
      </w:r>
      <w:r w:rsidRPr="00F27422">
        <w:rPr>
          <w:rFonts w:asciiTheme="minorBidi" w:hAnsiTheme="minorBidi" w:cstheme="minorBidi"/>
          <w:sz w:val="32"/>
          <w:rtl/>
        </w:rPr>
        <w:t xml:space="preserve">كما لو أحدث في السيارة عطباً </w:t>
      </w:r>
      <w:proofErr w:type="spellStart"/>
      <w:r w:rsidRPr="00F27422">
        <w:rPr>
          <w:rFonts w:asciiTheme="minorBidi" w:hAnsiTheme="minorBidi" w:cstheme="minorBidi"/>
          <w:sz w:val="32"/>
          <w:rtl/>
        </w:rPr>
        <w:t>أوخللاً</w:t>
      </w:r>
      <w:proofErr w:type="spellEnd"/>
      <w:r w:rsidRPr="00F27422">
        <w:rPr>
          <w:rFonts w:asciiTheme="minorBidi" w:hAnsiTheme="minorBidi" w:cstheme="minorBidi"/>
          <w:sz w:val="32"/>
          <w:rtl/>
        </w:rPr>
        <w:t xml:space="preserve"> بحيث </w:t>
      </w:r>
      <w:proofErr w:type="spellStart"/>
      <w:r w:rsidRPr="00F27422">
        <w:rPr>
          <w:rFonts w:asciiTheme="minorBidi" w:hAnsiTheme="minorBidi" w:cstheme="minorBidi"/>
          <w:sz w:val="32"/>
          <w:rtl/>
        </w:rPr>
        <w:t>لاينتفع</w:t>
      </w:r>
      <w:proofErr w:type="spellEnd"/>
      <w:r w:rsidRPr="00F27422">
        <w:rPr>
          <w:rFonts w:asciiTheme="minorBidi" w:hAnsiTheme="minorBidi" w:cstheme="minorBidi"/>
          <w:sz w:val="32"/>
          <w:rtl/>
        </w:rPr>
        <w:t xml:space="preserve"> بها </w:t>
      </w:r>
      <w:r w:rsidRPr="00F27422">
        <w:rPr>
          <w:rFonts w:asciiTheme="minorBidi" w:hAnsiTheme="minorBidi" w:cstheme="minorBidi"/>
          <w:b/>
          <w:bCs/>
          <w:sz w:val="32"/>
          <w:rtl/>
        </w:rPr>
        <w:t>(أو استيفاء اعتباريا)</w:t>
      </w:r>
      <w:r w:rsidRPr="00F27422">
        <w:rPr>
          <w:rFonts w:asciiTheme="minorBidi" w:hAnsiTheme="minorBidi" w:cstheme="minorBidi"/>
          <w:sz w:val="32"/>
          <w:rtl/>
        </w:rPr>
        <w:t xml:space="preserve"> كما لو وهب المنفعة لغير المشتري </w:t>
      </w:r>
      <w:r w:rsidRPr="00F27422">
        <w:rPr>
          <w:rFonts w:asciiTheme="minorBidi" w:hAnsiTheme="minorBidi" w:cstheme="minorBidi"/>
          <w:b/>
          <w:bCs/>
          <w:sz w:val="32"/>
          <w:rtl/>
        </w:rPr>
        <w:t>(فكما أن الإجارة السابقة لا تبقي مجالا لأصل الاستتباع)</w:t>
      </w:r>
      <w:r w:rsidRPr="00F27422">
        <w:rPr>
          <w:rFonts w:asciiTheme="minorBidi" w:hAnsiTheme="minorBidi" w:cstheme="minorBidi"/>
          <w:sz w:val="32"/>
          <w:rtl/>
        </w:rPr>
        <w:t xml:space="preserve"> في البيع </w:t>
      </w:r>
      <w:r w:rsidRPr="00F27422">
        <w:rPr>
          <w:rFonts w:asciiTheme="minorBidi" w:hAnsiTheme="minorBidi" w:cstheme="minorBidi"/>
          <w:b/>
          <w:bCs/>
          <w:sz w:val="32"/>
          <w:rtl/>
        </w:rPr>
        <w:t>(كذلك الإجارة المقارنة، كما أن عدم المنفعة حقيقة)</w:t>
      </w:r>
      <w:r w:rsidRPr="00F27422">
        <w:rPr>
          <w:rFonts w:asciiTheme="minorBidi" w:hAnsiTheme="minorBidi" w:cstheme="minorBidi"/>
          <w:sz w:val="32"/>
          <w:rtl/>
        </w:rPr>
        <w:t xml:space="preserve"> كأنْ لم يكن للسيارة – مثلاً – منفعة </w:t>
      </w:r>
      <w:r w:rsidRPr="00F27422">
        <w:rPr>
          <w:rFonts w:asciiTheme="minorBidi" w:hAnsiTheme="minorBidi" w:cstheme="minorBidi"/>
          <w:b/>
          <w:bCs/>
          <w:sz w:val="32"/>
          <w:rtl/>
        </w:rPr>
        <w:t>(ليس مانعا عن اقتضاء ملك العين بل لا اقتضاء له لملك المعدوم كذلك عدمها وسلبها الاعتباري)</w:t>
      </w:r>
      <w:r w:rsidRPr="00F27422">
        <w:rPr>
          <w:rFonts w:asciiTheme="minorBidi" w:hAnsiTheme="minorBidi" w:cstheme="minorBidi"/>
          <w:sz w:val="32"/>
          <w:rtl/>
        </w:rPr>
        <w:t xml:space="preserve"> يعني بنقل المنفعة إلى غيره.</w:t>
      </w:r>
    </w:p>
    <w:p w14:paraId="27229D22"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ثم قال (قدس سره الشريف): </w:t>
      </w:r>
      <w:r w:rsidRPr="00F27422">
        <w:rPr>
          <w:rFonts w:asciiTheme="minorBidi" w:hAnsiTheme="minorBidi" w:cstheme="minorBidi"/>
          <w:b/>
          <w:bCs/>
          <w:sz w:val="32"/>
          <w:rtl/>
        </w:rPr>
        <w:t xml:space="preserve">(ومما يؤكد ما ذكرنا أن من يستشكل في البيع والإجارة المتقارنين زمانا بتوهم التزاحم، لا أظنه يستشكل في البيع المشروط بملك المنفعة لزيد في مدة خاصة أو المشروط ببقائها على ملك </w:t>
      </w:r>
      <w:proofErr w:type="spellStart"/>
      <w:r w:rsidRPr="00F27422">
        <w:rPr>
          <w:rFonts w:asciiTheme="minorBidi" w:hAnsiTheme="minorBidi" w:cstheme="minorBidi"/>
          <w:b/>
          <w:bCs/>
          <w:sz w:val="32"/>
          <w:rtl/>
        </w:rPr>
        <w:t>البايع</w:t>
      </w:r>
      <w:proofErr w:type="spellEnd"/>
      <w:r w:rsidRPr="00F27422">
        <w:rPr>
          <w:rFonts w:asciiTheme="minorBidi" w:hAnsiTheme="minorBidi" w:cstheme="minorBidi"/>
          <w:b/>
          <w:bCs/>
          <w:sz w:val="32"/>
          <w:rtl/>
        </w:rPr>
        <w:t>، إذ ليس)</w:t>
      </w:r>
      <w:r w:rsidRPr="00F27422">
        <w:rPr>
          <w:rFonts w:asciiTheme="minorBidi" w:hAnsiTheme="minorBidi" w:cstheme="minorBidi"/>
          <w:sz w:val="32"/>
          <w:rtl/>
        </w:rPr>
        <w:t xml:space="preserve"> الشرط </w:t>
      </w:r>
      <w:r w:rsidRPr="00F27422">
        <w:rPr>
          <w:rFonts w:asciiTheme="minorBidi" w:hAnsiTheme="minorBidi" w:cstheme="minorBidi"/>
          <w:b/>
          <w:bCs/>
          <w:sz w:val="32"/>
          <w:rtl/>
        </w:rPr>
        <w:t>(مخالفا للكتاب ولا منافيا لمقتضى العقد، لأن اللازم مفارق لا غير مفارق، مع أن نقل المنفعة وسلبها عن العين بالإجارة كنقلها وسلبها بالشرط، وعدم الاستتباع مع تصرف الوكيل كعدمه مع تصرف المالك.</w:t>
      </w:r>
      <w:r w:rsidRPr="00F27422">
        <w:rPr>
          <w:rFonts w:asciiTheme="minorBidi" w:hAnsiTheme="minorBidi" w:cstheme="minorBidi"/>
          <w:sz w:val="32"/>
          <w:rtl/>
        </w:rPr>
        <w:t xml:space="preserve"> </w:t>
      </w:r>
      <w:r w:rsidRPr="00F27422">
        <w:rPr>
          <w:rFonts w:asciiTheme="minorBidi" w:hAnsiTheme="minorBidi" w:cstheme="minorBidi"/>
          <w:b/>
          <w:bCs/>
          <w:sz w:val="32"/>
          <w:rtl/>
        </w:rPr>
        <w:t>نعم من يرى صحة الإجارة لتقدمها رتبة على ملك المنفعة التابع لملك العين ينبغي أن يقول في النقل)</w:t>
      </w:r>
      <w:r w:rsidRPr="00F27422">
        <w:rPr>
          <w:rFonts w:asciiTheme="minorBidi" w:hAnsiTheme="minorBidi" w:cstheme="minorBidi"/>
          <w:sz w:val="32"/>
          <w:rtl/>
        </w:rPr>
        <w:t xml:space="preserve"> أي النقل للمنفعة </w:t>
      </w:r>
      <w:r w:rsidRPr="00F27422">
        <w:rPr>
          <w:rFonts w:asciiTheme="minorBidi" w:hAnsiTheme="minorBidi" w:cstheme="minorBidi"/>
          <w:b/>
          <w:bCs/>
          <w:sz w:val="32"/>
          <w:rtl/>
        </w:rPr>
        <w:t>(على وجه الاشتراط بالتزاحم)</w:t>
      </w:r>
      <w:r w:rsidRPr="00F27422">
        <w:rPr>
          <w:rFonts w:asciiTheme="minorBidi" w:hAnsiTheme="minorBidi" w:cstheme="minorBidi"/>
          <w:sz w:val="32"/>
          <w:rtl/>
        </w:rPr>
        <w:t xml:space="preserve"> أيضاً بين البيع والاشتراط </w:t>
      </w:r>
      <w:r w:rsidRPr="00F27422">
        <w:rPr>
          <w:rFonts w:asciiTheme="minorBidi" w:hAnsiTheme="minorBidi" w:cstheme="minorBidi"/>
          <w:b/>
          <w:bCs/>
          <w:sz w:val="32"/>
          <w:rtl/>
        </w:rPr>
        <w:t>(لأن النقل بالشرط تابع للبيع وقيد فيه وهو متأخر طبعا عن البيع كتأخر ملك المنفعة بالبيع فهما لازمان في عرض واحد فتدبر جيدا)،</w:t>
      </w:r>
      <w:r w:rsidRPr="00F27422">
        <w:rPr>
          <w:rFonts w:asciiTheme="minorBidi" w:hAnsiTheme="minorBidi" w:cstheme="minorBidi"/>
          <w:sz w:val="32"/>
          <w:rtl/>
        </w:rPr>
        <w:t xml:space="preserve"> ولا أظنه يقول بالتزاحم بين الشرط وبين البيع، مع أنّ لازم كلامه - وهو أنّ الإجارة تتقدم على البيع بالرتبة - أن يقول في المثال بأنّ البيع متقدمٌ على الشرط بالرتبة فهما متزاحمان.</w:t>
      </w:r>
    </w:p>
    <w:p w14:paraId="75F2EE00" w14:textId="77777777" w:rsidR="00742C30" w:rsidRPr="00F27422" w:rsidRDefault="00742C30"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ولكن يلاحظ على كلامه (قدس سره الشريف):</w:t>
      </w:r>
    </w:p>
    <w:p w14:paraId="03A16F3D"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lastRenderedPageBreak/>
        <w:t>أولاً:</w:t>
      </w:r>
      <w:r w:rsidRPr="00F27422">
        <w:rPr>
          <w:rFonts w:asciiTheme="minorBidi" w:hAnsiTheme="minorBidi" w:cstheme="minorBidi"/>
          <w:sz w:val="32"/>
          <w:rtl/>
        </w:rPr>
        <w:t xml:space="preserve"> أنّه لا فارق بين الورود والتقدم بالرتبة مِن جهة عدم المزاحمة؛ فإنّ مدعى مَن يقول بتقديم الإجارة على سببية التبعيّة بملاك التقدم بالرتبة: أنّ قانون التبعيّة لا يصلح أصلاً للمزاحمة مع الإجارة لتفاوتهما في الرتبة، فكما لو تفاوت السببان في الزمن لم يكن للمتأخّر زمناً أنْ يزاحم المتقدم، فكذلك إذا تفاوتا في الرتبة لم يكن للمتأخّر رتبةً أنْ يزاحم المتقدم، لا أنّ التزاحم قد وقع، ولكن الإجارة تقدم مِن باب أنّها متقدمةٌ في الرتبة؛ بل التقدم بالرتبة منع أصل المزاحمة بينهما.</w:t>
      </w:r>
    </w:p>
    <w:p w14:paraId="633526BD" w14:textId="57F8B04C"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فلا فرق بين الورود وبين التقدم بالرتبة مِن هذه الجهة وهي انتفاء</w:t>
      </w:r>
      <w:r w:rsidR="00112222" w:rsidRPr="00F27422">
        <w:rPr>
          <w:rFonts w:asciiTheme="minorBidi" w:hAnsiTheme="minorBidi" w:cstheme="minorBidi"/>
          <w:sz w:val="32"/>
          <w:rtl/>
        </w:rPr>
        <w:t xml:space="preserve"> </w:t>
      </w:r>
      <w:r w:rsidRPr="00F27422">
        <w:rPr>
          <w:rFonts w:asciiTheme="minorBidi" w:hAnsiTheme="minorBidi" w:cstheme="minorBidi"/>
          <w:sz w:val="32"/>
          <w:rtl/>
        </w:rPr>
        <w:t>المزاحمة؛ نعم يرد عليه كما سبق أنّ المناط في تأثير الأسباب الاعتبارية وتزاحمها وتلائمها هو الزمن لا الرتبة، ومقتضى اجتماعهما في الزمان تزاحمهما، إلّا أنّ مدعاه هو أنّ التقدم بالرتبة رفع التزاحم بين قانون التبعيّة وبين البيع، وإنّما الفارق بين الورود والتقدم بالرتبة أنّ الورود يمنع أصل الاقتضاء بينما التقدم بالرتبة يمنع الفعلية لا أصل الاقتضاء.</w:t>
      </w:r>
    </w:p>
    <w:p w14:paraId="091C079E"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فيقال:</w:t>
      </w:r>
      <w:r w:rsidRPr="00F27422">
        <w:rPr>
          <w:rFonts w:asciiTheme="minorBidi" w:hAnsiTheme="minorBidi" w:cstheme="minorBidi"/>
          <w:sz w:val="32"/>
          <w:rtl/>
        </w:rPr>
        <w:t xml:space="preserve"> بما أنّ البيع في نفسه لا اقتضاء فيه لنقل المنفعة، وإنّما يقتضي نقل العين، واقتضاؤه لنقل المنفعة بقانون التبعيّة لا بذاته، فإذا لم يقم المالك بفرز المنفعة جاء قانون التبعيّة - وهو أنّ مَن مَلَكَ العين مَلَكَ المنفعة - وأمّا إذا اقترن البيع بالإجارة كانت الإجارة واردةٌ على البيع، أي رافعة لاقتضائه برفع موضوع قانون التبعيّة؛ لأنّ موضوع قانون التبعيّة أنْ لا يكون هناك فرزٌ، والفرزُ قد حصل ببركة الإجارة، فلا اقتضاء في البيع لنقل المنفعة لارتفاع موضوعه.</w:t>
      </w:r>
    </w:p>
    <w:p w14:paraId="135CDB8B"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وأمّا على مبنى التقدم في الرتبة، فالبيع يستتبع - بنحو الاقتضاء لا بنحو العلّة التامة - نقل المنفعة للمُشتري، غاية ما في الأمر أنّ اقتران البيع بالإجارة مع كون الإجارة متقدمةٌ بالرتبة على قانون التبعيّة منع تحول الاقتضاء إلى الفعلية، لا أنّه منع أصل الاقتضاء.</w:t>
      </w:r>
    </w:p>
    <w:p w14:paraId="6C5F1E3D"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فهذا هو الفارق بين دعوى الورود ودعوى التقدم بالرتبة، وإلّا فلا فرق بينهما مِن جهة عدم المزاحمة.</w:t>
      </w:r>
    </w:p>
    <w:p w14:paraId="1817F396"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ثانياً:</w:t>
      </w:r>
      <w:r w:rsidRPr="00F27422">
        <w:rPr>
          <w:rFonts w:asciiTheme="minorBidi" w:hAnsiTheme="minorBidi" w:cstheme="minorBidi"/>
          <w:sz w:val="32"/>
          <w:rtl/>
        </w:rPr>
        <w:t xml:space="preserve"> إنّ قياس المقام وهو اقتران البيع بالإجارة باقتران البيع بالشرط قياسٌ مع الفارق الواضح؛ فإنّ الشرط موجبٌ لتضييق المُنشأ، أي أنّ البائع عندما يبيع السيارة مشروطةً - على نحو شرط النتيجة لا شرط الفعل – بأنْ لا تملك للمنفعة؛ لأنّ المنفعة أبقاها على ملكه أو نقلها لغيره، فالشرط أوجب تضييق المنشأ بالبيع بحيث وقع ملك للعين مشروطاً بـ "شرط لا" أي مشروطاً بعدم المنفعة، فالشرط وإنْ كان تابعاً للبيع وقيداً فيه إلّا أنّ اقتران البيع به أوجب تضييق المُنشأ، بخلاف البيع مع الإجارة؛ إذ المفروض أنّ البيع وقع من الأصيل والإجارة وقعت من الوكيل، فلم يقع المُنشأ متضيقاً كما هو في فرض اقتران البيع بالشرط، وتأخّر الشرط بالطبع عن البيع لا يجدي في تحقّق اقتضاء البيع لنقل المنفعة مع عدم وقوع المُنشأ إلّا ضيقاً، بخلاف المقام فإنّ الاقتضاء حاصلٌ غاية ما في الأمر أنّ الإجارة منعت من تحول الاقتضاء إلى الفعلية.</w:t>
      </w:r>
    </w:p>
    <w:p w14:paraId="69E88AD8"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وثالثاً:</w:t>
      </w:r>
      <w:r w:rsidRPr="00F27422">
        <w:rPr>
          <w:rFonts w:asciiTheme="minorBidi" w:hAnsiTheme="minorBidi" w:cstheme="minorBidi"/>
          <w:sz w:val="32"/>
          <w:rtl/>
        </w:rPr>
        <w:t xml:space="preserve"> </w:t>
      </w:r>
      <w:r w:rsidRPr="00F27422">
        <w:rPr>
          <w:rFonts w:asciiTheme="minorBidi" w:hAnsiTheme="minorBidi" w:cstheme="minorBidi"/>
          <w:b/>
          <w:bCs/>
          <w:sz w:val="32"/>
          <w:rtl/>
        </w:rPr>
        <w:t xml:space="preserve">إنْ قلنا كما هو الصحيح: </w:t>
      </w:r>
      <w:r w:rsidRPr="00F27422">
        <w:rPr>
          <w:rFonts w:asciiTheme="minorBidi" w:hAnsiTheme="minorBidi" w:cstheme="minorBidi"/>
          <w:sz w:val="32"/>
          <w:rtl/>
        </w:rPr>
        <w:t>بأنّ تبعيّة المنفعة للعين في المِلكيّة أمرٌ إنشائي - لا حكمي -، بمعنى أنّ البائع عندما باع العين باعها بما لها مِن حيثياتٍ ومنها المنفعة، فالتبعيّة ناشئة عن نفس الإنشاء لا بقانونٍ عقلائي.</w:t>
      </w:r>
    </w:p>
    <w:p w14:paraId="19237A01"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فبناءً على ذلك، لا وجه أيضاً لقياس المقام بالبيع المسبوق بالإجارة، ولا البيع المشروط بنقل المنفعة؛ لأنّ المُنشأ في هذين الفرضين وقع على نحو بـ "شرط لا"، بخلاف محلّ الكلام حيث إنّ المُنشأ وقع على نحو الـ "لا بشرط" أو بشرط شيءٍ.</w:t>
      </w:r>
    </w:p>
    <w:p w14:paraId="010C43AC"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lastRenderedPageBreak/>
        <w:t>هذا تمام الكلام فيما أفاده المحقق الأصفهاني (قدس سره الشريف) تعليقاً على القول ببطلانهما معاً مِن حيث المنفعة.</w:t>
      </w:r>
    </w:p>
    <w:p w14:paraId="4E8CBFA7"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القول الثالث:</w:t>
      </w:r>
      <w:r w:rsidRPr="00F27422">
        <w:rPr>
          <w:rFonts w:asciiTheme="minorBidi" w:hAnsiTheme="minorBidi" w:cstheme="minorBidi"/>
          <w:sz w:val="32"/>
          <w:rtl/>
        </w:rPr>
        <w:t xml:space="preserve"> ما نقل عن الفقيه الكبير السيد البروجردي (قدس سره الشريف) كما في [كتاب تفصيل الشريعة، كتاب الإجارة، مركز فقه الأئمة الأطهار (عليهم السلام)، ص179] حيث أُفيد هناك أنّه: إذا تزاحم السببان - وهما البيع والإجارة - في نقل المنفعة وتساقطا لعدم المرجّح لا تعود المنفعة للبائع - كما ذهب إليه سيدنا الخوئي (قدس سره) - بل تعود المنفعة للمُشتري؛ وذلك لأنّه إذا بطل البيع والإجارة في تمليك المنفعة وصلت النوبة لقانون التبعيّة وهو: "مَن مَلَكَ العين مَلَكَ المنفعة"، والمفروض أنّ المُشتري مَلَكَ العين فيملك المنفعة.</w:t>
      </w:r>
    </w:p>
    <w:p w14:paraId="08A13CEB"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والوجه في ذلك:</w:t>
      </w:r>
      <w:r w:rsidRPr="00F27422">
        <w:rPr>
          <w:rFonts w:asciiTheme="minorBidi" w:hAnsiTheme="minorBidi" w:cstheme="minorBidi"/>
          <w:sz w:val="32"/>
          <w:rtl/>
        </w:rPr>
        <w:t xml:space="preserve"> أنّ البيع له اقتضاءان: اقتضاءٌ لنقل العين واقتضاءٌ لنقل المنفعة، والإجارة لها اقتضاءٌ واحدٌ وهو نقل المنفعة، ومع تمانع الإجارة والبيع في الاقتضاء الثاني للبيع يتساقط السببان - اقتضاء الإجارة لنقل المنفعة والاقتضاء الثاني للبيع -، فإذا تساقط السببان فمقتضى قاعدة التبعيّة دخول المنفعة في مِلك المُشتري.</w:t>
      </w:r>
    </w:p>
    <w:p w14:paraId="2CAABABF"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 xml:space="preserve">فإنْ قلتَ: </w:t>
      </w:r>
      <w:r w:rsidRPr="00F27422">
        <w:rPr>
          <w:rFonts w:asciiTheme="minorBidi" w:hAnsiTheme="minorBidi" w:cstheme="minorBidi"/>
          <w:sz w:val="32"/>
          <w:rtl/>
        </w:rPr>
        <w:t>لا اقتضاء للبيع لنقل المنفعة إلّا ببركة قاعدة التبعيّة، فمقتضى ذلك أنْ يقع التنافي بين قاعدة التبعيّة والإجارة، فإذا وقع التنافي بينهما وتساقطا فلا مجال لعود المنفعة للمُشتري؛ لأنّ المنفعة إنّما تعود له ببركة قاعدة التبعيّة وقد تعارضت قاعدة التبعيّة مع الإجارة وتساقطا.</w:t>
      </w:r>
    </w:p>
    <w:p w14:paraId="2CCAEDC8"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 xml:space="preserve">قلتُ: </w:t>
      </w:r>
      <w:r w:rsidRPr="00F27422">
        <w:rPr>
          <w:rFonts w:asciiTheme="minorBidi" w:hAnsiTheme="minorBidi" w:cstheme="minorBidi"/>
          <w:sz w:val="32"/>
          <w:rtl/>
        </w:rPr>
        <w:t>لا مانع مِن ثبوت فردٍ آخرٍ لها بعد سقوط الفرد الأوّل بالمعارضة، نظير الاستصحاب الجاري في موارد العلم الإجمالي، فإنّه إذا سقط فردٌ منه بالمعارضة تجدّد فردٌ آخر فرع سقوط الأوّل بالمعارضة.</w:t>
      </w:r>
    </w:p>
    <w:p w14:paraId="0010D492" w14:textId="77777777" w:rsidR="00742C30" w:rsidRPr="00F27422" w:rsidRDefault="00742C30"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وبيان ذلك بذكر بعض الأمثلة وإنْ لم يتعرض لها (قدس سره الشريف):</w:t>
      </w:r>
    </w:p>
    <w:p w14:paraId="20B7A062" w14:textId="08EFDDA9"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مثلاً:</w:t>
      </w:r>
      <w:r w:rsidRPr="00F27422">
        <w:rPr>
          <w:rFonts w:asciiTheme="minorBidi" w:hAnsiTheme="minorBidi" w:cstheme="minorBidi"/>
          <w:sz w:val="32"/>
          <w:rtl/>
        </w:rPr>
        <w:t xml:space="preserve"> لو حصل علمٌ إجمالي إمّا بنجاسة الماء أو نجاسة التراب، فاستصحاب الطهارة في الماء معارضٌ باستصحاب الطهارة في التراب، فيتساقطان بالمعارضة، ويتجدّد استصحابٌ في خصوص</w:t>
      </w:r>
      <w:r w:rsidR="00112222" w:rsidRPr="00F27422">
        <w:rPr>
          <w:rFonts w:asciiTheme="minorBidi" w:hAnsiTheme="minorBidi" w:cstheme="minorBidi"/>
          <w:sz w:val="32"/>
          <w:rtl/>
        </w:rPr>
        <w:t xml:space="preserve"> </w:t>
      </w:r>
      <w:r w:rsidRPr="00F27422">
        <w:rPr>
          <w:rFonts w:asciiTheme="minorBidi" w:hAnsiTheme="minorBidi" w:cstheme="minorBidi"/>
          <w:sz w:val="32"/>
          <w:rtl/>
        </w:rPr>
        <w:t>الماء وهو استصحاب الحلية؛ لأنّه لا معنى لاستصحاب الحلية في التراب للعلم بحرمته، واستصحاب الحلية في الماء موجب لانحلال العلم الإجمالي حكماً بلحاظ هذا الأثر، إذ بعد تساقط استصحاب الطهارة في الماء مع استصحاب الطهارة في التراب لا يمكنه تحصيل الطهور للصلاة - لا بالماء ولا بالتراب -.</w:t>
      </w:r>
    </w:p>
    <w:p w14:paraId="3F90A40C" w14:textId="77777777" w:rsidR="00742C30" w:rsidRPr="00F27422" w:rsidRDefault="00742C30"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ولكن لو أراد شرب الماء فإنّه يستصحب الحلية؛ لأنّ الماء كان حلالاً قبل حصول العلم الإجمالي فهو الآن حلال، فسقوط الفرد الأوّل من الاستصحاب - وهو استصحاب الطهارة - بالمعارضة لا يلغي الفرد الثاني؛ بل يتجدّد الفرد الثاني بمقتضى إطلاق دليل الاستصحاب.</w:t>
      </w:r>
    </w:p>
    <w:p w14:paraId="2AF23CAC" w14:textId="77777777" w:rsidR="00742C30" w:rsidRPr="00F27422" w:rsidRDefault="00742C30"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ومثالٌ آخر:</w:t>
      </w:r>
      <w:r w:rsidRPr="00F27422">
        <w:rPr>
          <w:rFonts w:asciiTheme="minorBidi" w:hAnsiTheme="minorBidi" w:cstheme="minorBidi"/>
          <w:sz w:val="32"/>
          <w:rtl/>
        </w:rPr>
        <w:t xml:space="preserve"> لو علم المكلف إمّا بنجاسة الماء أو نجاسة اللبن.</w:t>
      </w:r>
    </w:p>
    <w:p w14:paraId="2A0E63EF" w14:textId="77777777" w:rsidR="00742C30" w:rsidRPr="00F27422" w:rsidRDefault="00742C30"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فإنّ استصحاب الطهارة في الماء معارضٌ باستصحاب الطهارة في اللبن؛ بلحاظ الأثر المشترك بينهما وهو جواز الشرب، مما يعني أنّ العلم الإجمالي متنجز مِن حيث جواز الشرب، فإذا تساقطا بالمعارضة جرى استصحاب الطهارة في الماء بلحاظ الأثر المختص به وهو الوضوء للصلاة، حيث لا وضوء باللبن، فسقوط استصحاب الطهارة في الماء مع استصحاب الطهارة في اللبن بلحاظ الأثر المشترك - وهو جواز الشرب - لا يلغي استصحاب الطهارة في الماء بلحاظ أثرٍ آخرٍ وهو الأثر المختص بالماء - ألّا وهو جواز الوضوء -.</w:t>
      </w:r>
    </w:p>
    <w:p w14:paraId="051C8C50" w14:textId="77777777" w:rsidR="00742C30" w:rsidRPr="00F27422" w:rsidRDefault="00742C30"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فكما قيل هناك:</w:t>
      </w:r>
      <w:r w:rsidRPr="00F27422">
        <w:rPr>
          <w:rFonts w:asciiTheme="minorBidi" w:hAnsiTheme="minorBidi" w:cstheme="minorBidi"/>
          <w:sz w:val="32"/>
          <w:rtl/>
        </w:rPr>
        <w:t xml:space="preserve"> بأنّ سقوط فردٍ من الاستصحاب بالمعارضة لا يمنع تجدّد فردٍ آخر منه، كذلك في المقام فإنّ سقوط فردٍ من قاعدة التبعيّة نتيجة المعارضة بالإجارة لا يمنع تجدّد فردٍ آخر من قاعدة التبعيّة بعد تساقط الأوّلين، فيقال: مقتضى مَن تملك العين تملك المنفعة أنْ تعود المنفعة للمُشتري.</w:t>
      </w:r>
    </w:p>
    <w:p w14:paraId="333F8D4A" w14:textId="77777777" w:rsidR="00742C30" w:rsidRPr="00F27422" w:rsidRDefault="00742C30" w:rsidP="00122B70">
      <w:pPr>
        <w:pStyle w:val="a"/>
        <w:bidi/>
        <w:spacing w:line="216" w:lineRule="auto"/>
        <w:jc w:val="left"/>
        <w:rPr>
          <w:rFonts w:asciiTheme="minorBidi" w:hAnsiTheme="minorBidi" w:cstheme="minorBidi"/>
          <w:b/>
          <w:bCs/>
          <w:sz w:val="32"/>
          <w:rtl/>
        </w:rPr>
      </w:pPr>
    </w:p>
    <w:p w14:paraId="281C1A83" w14:textId="77777777" w:rsidR="00742C30" w:rsidRPr="00F27422" w:rsidRDefault="00742C30"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والحمد لله رب العالمين</w:t>
      </w:r>
    </w:p>
    <w:p w14:paraId="4123732B" w14:textId="77777777" w:rsidR="0009661E" w:rsidRPr="00F27422" w:rsidRDefault="0009661E" w:rsidP="00122B70">
      <w:pPr>
        <w:bidi/>
        <w:rPr>
          <w:rFonts w:asciiTheme="minorBidi" w:hAnsiTheme="minorBidi"/>
          <w:sz w:val="32"/>
          <w:szCs w:val="32"/>
          <w:rtl/>
        </w:rPr>
      </w:pPr>
    </w:p>
    <w:p w14:paraId="00357B13" w14:textId="5CF79E60" w:rsidR="002807B5" w:rsidRPr="00F27422" w:rsidRDefault="002807B5"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017</w:t>
      </w:r>
    </w:p>
    <w:p w14:paraId="534A7FF1"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بسم الله الرحمن الرحيم</w:t>
      </w:r>
    </w:p>
    <w:p w14:paraId="6C1B2BC5"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والصلاة والسلام على أشرف الأنبياء والمرسلين، محمد وآله الطيبين الطاهرين</w:t>
      </w:r>
    </w:p>
    <w:p w14:paraId="696B21FF" w14:textId="77777777" w:rsidR="004426C5" w:rsidRPr="00F27422" w:rsidRDefault="004426C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واللعن الدائم على أعدائهم أجمعين إلى قيام يوم الدين</w:t>
      </w:r>
    </w:p>
    <w:p w14:paraId="4E04102C" w14:textId="77777777" w:rsidR="004426C5" w:rsidRPr="00F27422" w:rsidRDefault="004426C5" w:rsidP="00122B70">
      <w:pPr>
        <w:pStyle w:val="a"/>
        <w:bidi/>
        <w:spacing w:line="216" w:lineRule="auto"/>
        <w:jc w:val="left"/>
        <w:rPr>
          <w:rFonts w:asciiTheme="minorBidi" w:hAnsiTheme="minorBidi" w:cstheme="minorBidi"/>
          <w:sz w:val="32"/>
          <w:rtl/>
        </w:rPr>
      </w:pPr>
    </w:p>
    <w:p w14:paraId="0CED4E57" w14:textId="77777777" w:rsidR="004426C5" w:rsidRPr="00F27422" w:rsidRDefault="004426C5" w:rsidP="00122B70">
      <w:pPr>
        <w:pStyle w:val="a"/>
        <w:bidi/>
        <w:spacing w:line="216" w:lineRule="auto"/>
        <w:jc w:val="left"/>
        <w:outlineLvl w:val="2"/>
        <w:rPr>
          <w:rFonts w:asciiTheme="minorBidi" w:hAnsiTheme="minorBidi" w:cstheme="minorBidi"/>
          <w:b/>
          <w:bCs/>
          <w:sz w:val="32"/>
          <w:rtl/>
        </w:rPr>
      </w:pPr>
      <w:r w:rsidRPr="00F27422">
        <w:rPr>
          <w:rFonts w:asciiTheme="minorBidi" w:hAnsiTheme="minorBidi" w:cstheme="minorBidi"/>
          <w:b/>
          <w:bCs/>
          <w:sz w:val="32"/>
          <w:rtl/>
        </w:rPr>
        <w:t>المسألة الثالثة "من فصل أحكام الإجارة":</w:t>
      </w:r>
    </w:p>
    <w:p w14:paraId="06E317BB"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قال سيد العروة (قدس سره الشريف): </w:t>
      </w:r>
      <w:r w:rsidRPr="00F27422">
        <w:rPr>
          <w:rFonts w:asciiTheme="minorBidi" w:hAnsiTheme="minorBidi" w:cstheme="minorBidi"/>
          <w:b/>
          <w:bCs/>
          <w:sz w:val="32"/>
          <w:rtl/>
        </w:rPr>
        <w:t>(مسألة 3: لا تبطل الإجارة بموت المؤجّر ولا بموت المستأجر على الأقوى).</w:t>
      </w:r>
    </w:p>
    <w:p w14:paraId="51121648"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وفي هذه المسألة مطالب عدّة:</w:t>
      </w:r>
    </w:p>
    <w:p w14:paraId="3DEDAE95"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وبيانها إجمالاً:</w:t>
      </w:r>
    </w:p>
    <w:p w14:paraId="624F6F94"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المطلب الأوّل:</w:t>
      </w:r>
      <w:r w:rsidRPr="00F27422">
        <w:rPr>
          <w:rFonts w:asciiTheme="minorBidi" w:hAnsiTheme="minorBidi" w:cstheme="minorBidi"/>
          <w:sz w:val="32"/>
          <w:rtl/>
        </w:rPr>
        <w:t xml:space="preserve"> بيان الكبرى: وهي عدم انفساخ الإجارة لا بموت المالك ولا بموت المُستأجر، خلافاً لما نسب للمشهور من القدماء من دعوى البطلان، كما سيأتي تحقيقه.</w:t>
      </w:r>
    </w:p>
    <w:p w14:paraId="1C787EB9"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المطلب الثاني:</w:t>
      </w:r>
      <w:r w:rsidRPr="00F27422">
        <w:rPr>
          <w:rFonts w:asciiTheme="minorBidi" w:hAnsiTheme="minorBidi" w:cstheme="minorBidi"/>
          <w:sz w:val="32"/>
          <w:rtl/>
        </w:rPr>
        <w:t xml:space="preserve"> في إجارة الأعيان كالوقف، حيث يوجد تفصيل بين صدور الإجارة من وليِّ الوقف أو صدور الإجارة من المالك لمنفعة الوقف.</w:t>
      </w:r>
    </w:p>
    <w:p w14:paraId="55A23FA5"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فإنْ كانت الإجارة صادرة من وليّ الوقف، كما لو قام المتولي الشرعي مثلاً بإيجار عمارة معينة أو دكاكين معينة ومات المتولي الشرعي، فإنّ الإجارة باقية ولا تبطل بموته، كما أنّها لا تبطل بموت </w:t>
      </w:r>
      <w:proofErr w:type="gramStart"/>
      <w:r w:rsidRPr="00F27422">
        <w:rPr>
          <w:rFonts w:asciiTheme="minorBidi" w:hAnsiTheme="minorBidi" w:cstheme="minorBidi"/>
          <w:sz w:val="32"/>
          <w:rtl/>
        </w:rPr>
        <w:t>المُستأجر</w:t>
      </w:r>
      <w:proofErr w:type="gramEnd"/>
      <w:r w:rsidRPr="00F27422">
        <w:rPr>
          <w:rFonts w:asciiTheme="minorBidi" w:hAnsiTheme="minorBidi" w:cstheme="minorBidi"/>
          <w:sz w:val="32"/>
          <w:rtl/>
        </w:rPr>
        <w:t xml:space="preserve"> بل تنتقل المنفعة إلى ورثته.</w:t>
      </w:r>
    </w:p>
    <w:p w14:paraId="4C707EDF"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وأمّا إذا صدرت الإجارة من المالك لمنفعة الوقف - لا من الوليّ -، كما إذا كان الوقف وقف ذرية، ووقف الذرية عبارة عن تمليك المنفعة للبطون فكلّ بطنٍ مِن الذرية يملك المنفعة المعاصرة له، فإذا فرض أنّ أحد البطون - أي هذا الجيل - من الذرية ملك منفعة الوقف لمدّة عشرين سنة، وقام هذا الجيل بإيجار الوقف - من باب أنّه مالك للمنفعة - للاستفادة من ريع المنفعة التي يملكها، ثمّ مات الجيل المؤجّر فإنّ الإجارة تبطل بموته؛ لأنّ ما ملكه من المنفعة هو المنفعة المعاصرة لحياته لا مطلق المنفعة، فإيجاره مما لا أثر له بعد موته، وسيأتي بيانه.</w:t>
      </w:r>
    </w:p>
    <w:p w14:paraId="12C01A5D"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المطلب الثالث:</w:t>
      </w:r>
      <w:r w:rsidRPr="00F27422">
        <w:rPr>
          <w:rFonts w:asciiTheme="minorBidi" w:hAnsiTheme="minorBidi" w:cstheme="minorBidi"/>
          <w:sz w:val="32"/>
          <w:rtl/>
        </w:rPr>
        <w:t xml:space="preserve"> في إجارة الأعمال: تبطل الإجارة بموت الأجير إذا كانت الإجارة بقيد المباشرة.</w:t>
      </w:r>
    </w:p>
    <w:p w14:paraId="6EC02418"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كما لو استأجرَ شخصٌ زيداً لصلاة النيابة سنة واحدة عن والده، ولزيدٍ خصوصيةٌ فاستأجرَهُ على نحو المباشرة، فلو مات زيدٌ أثناء السنة قبل أنْ يكمل صلاة النيابة المستأجر عليها لسنة، بطلت الإجارة.</w:t>
      </w:r>
    </w:p>
    <w:p w14:paraId="5C35A367"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كما تبطل الإجارة بموت المُستأجر إذا كان محلاً للعمل، كما لو استأجر المستشفى الطبيبَ لإجراءِ عمليةٍ جراحيةٍ للمريض فموتُ أحدهما يبطل الاجارة، أي كما تبطل الإجارة بموت الطبيب أثناء العملية؛ لأنّه لوحظ على نحو المباشرة، كذلك تبطل الإجارة بموت المريض؛ لأنّ مورد الإجارة </w:t>
      </w:r>
      <w:proofErr w:type="gramStart"/>
      <w:r w:rsidRPr="00F27422">
        <w:rPr>
          <w:rFonts w:asciiTheme="minorBidi" w:hAnsiTheme="minorBidi" w:cstheme="minorBidi"/>
          <w:sz w:val="32"/>
          <w:rtl/>
        </w:rPr>
        <w:t>إجراءُ  العملية</w:t>
      </w:r>
      <w:proofErr w:type="gramEnd"/>
      <w:r w:rsidRPr="00F27422">
        <w:rPr>
          <w:rFonts w:asciiTheme="minorBidi" w:hAnsiTheme="minorBidi" w:cstheme="minorBidi"/>
          <w:sz w:val="32"/>
          <w:rtl/>
        </w:rPr>
        <w:t xml:space="preserve"> في حق هذا المريض، فإذا مات انتفى محلّ الإجارة وبانتفاء محلّ الإجارة تبطل الإجارة.</w:t>
      </w:r>
    </w:p>
    <w:p w14:paraId="10CA9BD5"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lastRenderedPageBreak/>
        <w:t>وقد مثل سيدنا الخوئي (قدس سره الشريف) بالحلاقة، كما في موسوعته المباركة في [كتاب الإجارة، ج30، ص130] حيث قال: (</w:t>
      </w:r>
      <w:r w:rsidRPr="00F27422">
        <w:rPr>
          <w:rFonts w:asciiTheme="minorBidi" w:hAnsiTheme="minorBidi" w:cstheme="minorBidi"/>
          <w:b/>
          <w:bCs/>
          <w:sz w:val="32"/>
          <w:rtl/>
        </w:rPr>
        <w:t>كما لو آجره لحلق الرأس الصادر من خصوص الأجير أو الواقع على خصوص المستأجر فمات الأوّل في الأوّل أو الثاني في الفرض الثاني، فإنّ طروّ الموت المانع عن تحقّق العمل في الخارج كاشف عن عدم القدرة وعدم بقاء محلّ للإجارة، الملازم لبطلانها وانفساخها بطبيعة الحال).</w:t>
      </w:r>
    </w:p>
    <w:p w14:paraId="47C9060E"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المطلب الرابع:</w:t>
      </w:r>
      <w:r w:rsidRPr="00F27422">
        <w:rPr>
          <w:rFonts w:asciiTheme="minorBidi" w:hAnsiTheme="minorBidi" w:cstheme="minorBidi"/>
          <w:sz w:val="32"/>
          <w:rtl/>
        </w:rPr>
        <w:t xml:space="preserve"> لا تبطل الإجارة بموت الأجير إذا جعل العمل في ذمّته، ولا بموت المُستأجر إذا لم يقيد المتعلق بخصوص المحل.</w:t>
      </w:r>
    </w:p>
    <w:p w14:paraId="05FA3276"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كما إذا استُأجر الطبيب لإجراءِ عمليةٍ جراحيةٍ معينةٍ، لكن كانت الإجارة على نحو مِلكيّة العمل في الذمّة، بأنْ كان مؤدى الإجارة أنّ الجهة المعينة ملكتْ على ذمّة الطبيب - لا على عهدته - العملية الجراحية المحددة، فلو مات الطبيب تؤخذ قيمة العمل من تركته ولا تبطل الإجارة؛ بل يطالب بالعمل وحيث لا يمكنه العمل لموته يؤخذ قيمة العمل من تركته؛ وذلك لأنّه بعد أنْ جُعل العمل في ذمّته أصبح كسائر الديون، والدَين يثبت في أصل التركة.</w:t>
      </w:r>
    </w:p>
    <w:p w14:paraId="6A6E9781"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كما لا تبطل لو لم يقيد المحل بخصوصه، فلو فرض أنّه استُؤجر الطبيب لإجراءِ عمليةٍ جراحيةٍ في هذا المكان وفي هذا الوقت لمن يحتاج لهذه العملية، فمات المريض أثناء العملية، فحيث لم يقيد العمل المستأجر عليه بخصوص هذا المحلّ فحينئذٍ لا تبطل الإجارة بموت المُستأجر.</w:t>
      </w:r>
    </w:p>
    <w:p w14:paraId="2FB72A5F"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المطلب الخامس:</w:t>
      </w:r>
      <w:r w:rsidRPr="00F27422">
        <w:rPr>
          <w:rFonts w:asciiTheme="minorBidi" w:hAnsiTheme="minorBidi" w:cstheme="minorBidi"/>
          <w:sz w:val="32"/>
          <w:rtl/>
        </w:rPr>
        <w:t xml:space="preserve"> إذا استأجر شخصٌ العين - كالدار أو السيارة - على أنْ يستوفيّ منفعتها بنفسه فمات.</w:t>
      </w:r>
    </w:p>
    <w:p w14:paraId="20E157AE"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فإنْ كان هذا - أي على أنْ يستوفيها بنفسه - على نحو </w:t>
      </w:r>
      <w:proofErr w:type="spellStart"/>
      <w:r w:rsidRPr="00F27422">
        <w:rPr>
          <w:rFonts w:asciiTheme="minorBidi" w:hAnsiTheme="minorBidi" w:cstheme="minorBidi"/>
          <w:sz w:val="32"/>
          <w:rtl/>
        </w:rPr>
        <w:t>القيدية</w:t>
      </w:r>
      <w:proofErr w:type="spellEnd"/>
      <w:r w:rsidRPr="00F27422">
        <w:rPr>
          <w:rFonts w:asciiTheme="minorBidi" w:hAnsiTheme="minorBidi" w:cstheme="minorBidi"/>
          <w:sz w:val="32"/>
          <w:rtl/>
        </w:rPr>
        <w:t xml:space="preserve"> بمعنى أنّ متعلق الإجارة هو استيفاء المنفعة من قبل هذا الشخص فلا إشكال أنّ الإجارة تبطل بموته؛ لأنّه أُخذ فيها قيد المباشرة.</w:t>
      </w:r>
    </w:p>
    <w:p w14:paraId="7FED6787"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وأما إذا كان استيفاء المنفعة على نحو الشرط - لا على نحو القيد - فقد آجره السيارة واشترط عليه أنْ يقودها بنفسه - ولكن كان شرطاً لا قيداً - فلو مات فموته من باب تخلف الشرط وتخلف الشرط لا يوجب بطلان الإجارة؛ بل غايته أنّ للمؤجّر - وهو مالك السيارة – الخيار، فإذا أمضى أَخذَ الأُجرة من ورثته؛ لأنّه ملك المنفعة، وإذا لم يمضِ أَرجعَ الأُجرة المسماة إليه.</w:t>
      </w:r>
    </w:p>
    <w:p w14:paraId="51A9A485"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هذه هي المطالب في المسألة إجمالاً.</w:t>
      </w:r>
    </w:p>
    <w:p w14:paraId="74197388"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وبيان المطالب تفصيلاً:</w:t>
      </w:r>
    </w:p>
    <w:p w14:paraId="0F7213DB"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المطلب الأول:</w:t>
      </w:r>
      <w:r w:rsidRPr="00F27422">
        <w:rPr>
          <w:rFonts w:asciiTheme="minorBidi" w:hAnsiTheme="minorBidi" w:cstheme="minorBidi"/>
          <w:sz w:val="32"/>
          <w:rtl/>
        </w:rPr>
        <w:t xml:space="preserve"> تحديد الكبرى، وهي: </w:t>
      </w:r>
      <w:r w:rsidRPr="00F27422">
        <w:rPr>
          <w:rFonts w:asciiTheme="minorBidi" w:hAnsiTheme="minorBidi" w:cstheme="minorBidi"/>
          <w:b/>
          <w:bCs/>
          <w:sz w:val="32"/>
          <w:rtl/>
        </w:rPr>
        <w:t>(لا تبطل الإجارة بموت المؤجّر ولا بموت المستأجر).</w:t>
      </w:r>
    </w:p>
    <w:p w14:paraId="26707E52"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وقد نسب إلى المشهور بين القدماء بطلان الإجارة بالموت مطلقاً، كما نسب إلى الشيخ الطوسي (عليه الرحمة).</w:t>
      </w:r>
    </w:p>
    <w:p w14:paraId="44AAC763" w14:textId="77777777" w:rsidR="004426C5" w:rsidRPr="00F27422" w:rsidRDefault="004426C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ونسب إلى جماعة بطلانها بموت المستأجر دون المؤجّر.</w:t>
      </w:r>
      <w:r w:rsidRPr="00F27422">
        <w:rPr>
          <w:rFonts w:asciiTheme="minorBidi" w:hAnsiTheme="minorBidi" w:cstheme="minorBidi"/>
          <w:b/>
          <w:bCs/>
          <w:sz w:val="32"/>
          <w:rtl/>
        </w:rPr>
        <w:t xml:space="preserve"> </w:t>
      </w:r>
      <w:r w:rsidRPr="00F27422">
        <w:rPr>
          <w:rFonts w:asciiTheme="minorBidi" w:hAnsiTheme="minorBidi" w:cstheme="minorBidi"/>
          <w:sz w:val="32"/>
          <w:rtl/>
        </w:rPr>
        <w:t>وسيأتي تحقيق ذلك.</w:t>
      </w:r>
    </w:p>
    <w:p w14:paraId="66AFF243" w14:textId="24FBECF0"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والكلام فعلاً يقع تارةً </w:t>
      </w:r>
      <w:r w:rsidR="00E67A4B" w:rsidRPr="00F27422">
        <w:rPr>
          <w:rFonts w:asciiTheme="minorBidi" w:hAnsiTheme="minorBidi" w:cstheme="minorBidi"/>
          <w:b/>
          <w:bCs/>
          <w:sz w:val="32"/>
          <w:rtl/>
        </w:rPr>
        <w:t>فيما</w:t>
      </w:r>
      <w:r w:rsidRPr="00F27422">
        <w:rPr>
          <w:rFonts w:asciiTheme="minorBidi" w:hAnsiTheme="minorBidi" w:cstheme="minorBidi"/>
          <w:b/>
          <w:bCs/>
          <w:sz w:val="32"/>
          <w:rtl/>
        </w:rPr>
        <w:t xml:space="preserve"> هو مقتضى القاعدة؟ وأُخرى في مفاد النصوص الخاصة.</w:t>
      </w:r>
    </w:p>
    <w:p w14:paraId="06EDD141"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فهنا مقامان للبحث:</w:t>
      </w:r>
    </w:p>
    <w:p w14:paraId="6C816714"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المقام الأول:</w:t>
      </w:r>
      <w:r w:rsidRPr="00F27422">
        <w:rPr>
          <w:rFonts w:asciiTheme="minorBidi" w:hAnsiTheme="minorBidi" w:cstheme="minorBidi"/>
          <w:sz w:val="32"/>
          <w:rtl/>
        </w:rPr>
        <w:t xml:space="preserve"> </w:t>
      </w:r>
      <w:r w:rsidRPr="00F27422">
        <w:rPr>
          <w:rFonts w:asciiTheme="minorBidi" w:hAnsiTheme="minorBidi" w:cstheme="minorBidi"/>
          <w:b/>
          <w:bCs/>
          <w:sz w:val="32"/>
          <w:rtl/>
        </w:rPr>
        <w:t>ما هو مقتضى القاعدة عند موت المؤجّر أو موت المُستأجر؟</w:t>
      </w:r>
    </w:p>
    <w:p w14:paraId="3B5C5A82"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قد استدل على البطلان بموت المؤجّر دون موت المُستأجر بوجوهٍ:</w:t>
      </w:r>
    </w:p>
    <w:p w14:paraId="61090AF6"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الأول:</w:t>
      </w:r>
      <w:r w:rsidRPr="00F27422">
        <w:rPr>
          <w:rFonts w:asciiTheme="minorBidi" w:hAnsiTheme="minorBidi" w:cstheme="minorBidi"/>
          <w:sz w:val="32"/>
          <w:rtl/>
        </w:rPr>
        <w:t xml:space="preserve"> ما أشار إليه صاحب الحدائق (قدس سره الشريف) في كتابه [الحدائق الناضرة في أحكام العترة الطاهرة، الشيخ يوسف البحراني، مؤسسة النشر الإسلامي التابعة لجماعة </w:t>
      </w:r>
      <w:r w:rsidRPr="00F27422">
        <w:rPr>
          <w:rFonts w:asciiTheme="minorBidi" w:hAnsiTheme="minorBidi" w:cstheme="minorBidi"/>
          <w:sz w:val="32"/>
          <w:rtl/>
        </w:rPr>
        <w:lastRenderedPageBreak/>
        <w:t xml:space="preserve">المدرسين بقم المشرفة، ج21، ص539 - 540] بقوله (قدس سره الشريف): </w:t>
      </w:r>
      <w:r w:rsidRPr="00F27422">
        <w:rPr>
          <w:rFonts w:asciiTheme="minorBidi" w:hAnsiTheme="minorBidi" w:cstheme="minorBidi"/>
          <w:b/>
          <w:bCs/>
          <w:sz w:val="32"/>
          <w:rtl/>
        </w:rPr>
        <w:t>(احتج القائلون بالأول)</w:t>
      </w:r>
      <w:r w:rsidRPr="00F27422">
        <w:rPr>
          <w:rFonts w:asciiTheme="minorBidi" w:hAnsiTheme="minorBidi" w:cstheme="minorBidi"/>
          <w:sz w:val="32"/>
          <w:rtl/>
        </w:rPr>
        <w:t xml:space="preserve"> وهو بطلان الإجارة بموت المؤجّر </w:t>
      </w:r>
      <w:r w:rsidRPr="00F27422">
        <w:rPr>
          <w:rFonts w:asciiTheme="minorBidi" w:hAnsiTheme="minorBidi" w:cstheme="minorBidi"/>
          <w:b/>
          <w:bCs/>
          <w:sz w:val="32"/>
          <w:rtl/>
        </w:rPr>
        <w:t xml:space="preserve">(على ما نقله في المختلف بأن استيفاء المنفعة يتعذر بالموت، لأنه استحق بالعقد استيفائها على ملك المؤجر، فإذا مات) </w:t>
      </w:r>
      <w:r w:rsidRPr="00F27422">
        <w:rPr>
          <w:rFonts w:asciiTheme="minorBidi" w:hAnsiTheme="minorBidi" w:cstheme="minorBidi"/>
          <w:sz w:val="32"/>
          <w:rtl/>
        </w:rPr>
        <w:t xml:space="preserve">المؤجر </w:t>
      </w:r>
      <w:r w:rsidRPr="00F27422">
        <w:rPr>
          <w:rFonts w:asciiTheme="minorBidi" w:hAnsiTheme="minorBidi" w:cstheme="minorBidi"/>
          <w:b/>
          <w:bCs/>
          <w:sz w:val="32"/>
          <w:rtl/>
        </w:rPr>
        <w:t>(زال ملكه عن العين)</w:t>
      </w:r>
      <w:r w:rsidRPr="00F27422">
        <w:rPr>
          <w:rFonts w:asciiTheme="minorBidi" w:hAnsiTheme="minorBidi" w:cstheme="minorBidi"/>
          <w:sz w:val="32"/>
          <w:rtl/>
        </w:rPr>
        <w:t xml:space="preserve"> فإن لم يملك العين بعد موته فكيف يملك منفعتها؟ لأنّه استحق بالعقد استيفائها على ملك المؤجّر فإذا مات المؤجّر زال ملكه عن العين </w:t>
      </w:r>
      <w:r w:rsidRPr="00F27422">
        <w:rPr>
          <w:rFonts w:asciiTheme="minorBidi" w:hAnsiTheme="minorBidi" w:cstheme="minorBidi"/>
          <w:b/>
          <w:bCs/>
          <w:sz w:val="32"/>
          <w:rtl/>
        </w:rPr>
        <w:t>(وانتقلت)</w:t>
      </w:r>
      <w:r w:rsidRPr="00F27422">
        <w:rPr>
          <w:rFonts w:asciiTheme="minorBidi" w:hAnsiTheme="minorBidi" w:cstheme="minorBidi"/>
          <w:sz w:val="32"/>
          <w:rtl/>
        </w:rPr>
        <w:t xml:space="preserve"> العين </w:t>
      </w:r>
      <w:r w:rsidRPr="00F27422">
        <w:rPr>
          <w:rFonts w:asciiTheme="minorBidi" w:hAnsiTheme="minorBidi" w:cstheme="minorBidi"/>
          <w:b/>
          <w:bCs/>
          <w:sz w:val="32"/>
          <w:rtl/>
        </w:rPr>
        <w:t>(إلى الورثة فالمنافع تحدث على ملك الوارث)</w:t>
      </w:r>
      <w:r w:rsidRPr="00F27422">
        <w:rPr>
          <w:rFonts w:asciiTheme="minorBidi" w:hAnsiTheme="minorBidi" w:cstheme="minorBidi"/>
          <w:sz w:val="32"/>
          <w:rtl/>
        </w:rPr>
        <w:t xml:space="preserve"> لا ملك المؤجّر </w:t>
      </w:r>
      <w:r w:rsidRPr="00F27422">
        <w:rPr>
          <w:rFonts w:asciiTheme="minorBidi" w:hAnsiTheme="minorBidi" w:cstheme="minorBidi"/>
          <w:b/>
          <w:bCs/>
          <w:sz w:val="32"/>
          <w:rtl/>
        </w:rPr>
        <w:t>(فلا يستحق المستأجر استيفائها)</w:t>
      </w:r>
      <w:r w:rsidRPr="00F27422">
        <w:rPr>
          <w:rFonts w:asciiTheme="minorBidi" w:hAnsiTheme="minorBidi" w:cstheme="minorBidi"/>
          <w:sz w:val="32"/>
          <w:rtl/>
        </w:rPr>
        <w:t xml:space="preserve"> لأنّ المُستأجر إنّما يستحق استيفاء المنافع مما يملكه المؤجّر والمفروض أنّ المؤجر لا يملك العين بالفعل، فلا يملك المنافع </w:t>
      </w:r>
      <w:r w:rsidRPr="00F27422">
        <w:rPr>
          <w:rFonts w:asciiTheme="minorBidi" w:hAnsiTheme="minorBidi" w:cstheme="minorBidi"/>
          <w:b/>
          <w:bCs/>
          <w:sz w:val="32"/>
          <w:rtl/>
        </w:rPr>
        <w:t xml:space="preserve">(لأنه ما عقد على ملك الوارث) </w:t>
      </w:r>
      <w:r w:rsidRPr="00F27422">
        <w:rPr>
          <w:rFonts w:asciiTheme="minorBidi" w:hAnsiTheme="minorBidi" w:cstheme="minorBidi"/>
          <w:sz w:val="32"/>
          <w:rtl/>
        </w:rPr>
        <w:t xml:space="preserve">وإنّما عقد على ملك المورث حال حياته </w:t>
      </w:r>
      <w:r w:rsidRPr="00F27422">
        <w:rPr>
          <w:rFonts w:asciiTheme="minorBidi" w:hAnsiTheme="minorBidi" w:cstheme="minorBidi"/>
          <w:b/>
          <w:bCs/>
          <w:sz w:val="32"/>
          <w:rtl/>
        </w:rPr>
        <w:t>(وإذا مات المستأجر لم يكن إيجاب الأجرة في تركته.</w:t>
      </w:r>
    </w:p>
    <w:p w14:paraId="32F66220"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ثم أجاب عن ذلك بأن المستأجر قد ملك المنافع، وملكت عليه الأجرة كاملة وقت العقد، قال: وينتقض ما ذكره بما لو زوج أمته ثم مات).</w:t>
      </w:r>
      <w:r w:rsidRPr="00F27422">
        <w:rPr>
          <w:rFonts w:asciiTheme="minorBidi" w:hAnsiTheme="minorBidi" w:cstheme="minorBidi"/>
          <w:sz w:val="32"/>
          <w:rtl/>
        </w:rPr>
        <w:t xml:space="preserve"> فإنّه لا يبطل نكاح أمته بموته لأنّه لا يملك منفعة الأمة بعد موته لعدم ملكه للأمة.</w:t>
      </w:r>
    </w:p>
    <w:p w14:paraId="311F288A"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وبيان هذا الوجه من الاستدلال على بطلان الإجارة بموت المؤجّر يعتمد على مقدمات:</w:t>
      </w:r>
    </w:p>
    <w:p w14:paraId="1362F17B"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المقدمة الأُوّلى:</w:t>
      </w:r>
      <w:r w:rsidRPr="00F27422">
        <w:rPr>
          <w:rFonts w:asciiTheme="minorBidi" w:hAnsiTheme="minorBidi" w:cstheme="minorBidi"/>
          <w:sz w:val="32"/>
          <w:rtl/>
        </w:rPr>
        <w:t xml:space="preserve"> أنّ الإجارة من باب التمليك؛ ولذلك عرفت بأنّها تمليك المنفعة، والتمليك فرع الملك؛ إذ لا يعقل أنْ يقوم المؤجّر بتمليك ما لا يملكه، والملك فرع الوجود في زمان المالك؛ حيث إنّ وجوده في زمان المالك وبحوزته يقتضي أنْ يكون مالكاً له فيمكنه تمليكه.</w:t>
      </w:r>
    </w:p>
    <w:p w14:paraId="55D6A9C3"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المقدمة الثانية: </w:t>
      </w:r>
      <w:r w:rsidRPr="00F27422">
        <w:rPr>
          <w:rFonts w:asciiTheme="minorBidi" w:hAnsiTheme="minorBidi" w:cstheme="minorBidi"/>
          <w:sz w:val="32"/>
          <w:rtl/>
        </w:rPr>
        <w:t xml:space="preserve">إنّ المنافع متكثرة بالزمان، </w:t>
      </w:r>
      <w:proofErr w:type="spellStart"/>
      <w:r w:rsidRPr="00F27422">
        <w:rPr>
          <w:rFonts w:asciiTheme="minorBidi" w:hAnsiTheme="minorBidi" w:cstheme="minorBidi"/>
          <w:sz w:val="32"/>
          <w:rtl/>
        </w:rPr>
        <w:t>ومتحصصّة</w:t>
      </w:r>
      <w:proofErr w:type="spellEnd"/>
      <w:r w:rsidRPr="00F27422">
        <w:rPr>
          <w:rFonts w:asciiTheme="minorBidi" w:hAnsiTheme="minorBidi" w:cstheme="minorBidi"/>
          <w:sz w:val="32"/>
          <w:rtl/>
        </w:rPr>
        <w:t xml:space="preserve"> به على نحو الوجود التدريجي، فمقتضى ذلك أنّ مِلكيّة المنافع لمالك العين منوطٌ بوجود المنافع لدى مالك العين كي يتمكن من تمليكها بالإجارة أو الهبة.</w:t>
      </w:r>
    </w:p>
    <w:p w14:paraId="273B92E1"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ولذلك لو أنّ شخصاً أراد أن يملك المنافع التي ستأتيه بعد موته، فقال: "إنّ منافع هذه الدار التي ستتحقق بعد </w:t>
      </w:r>
      <w:proofErr w:type="gramStart"/>
      <w:r w:rsidRPr="00F27422">
        <w:rPr>
          <w:rFonts w:asciiTheme="minorBidi" w:hAnsiTheme="minorBidi" w:cstheme="minorBidi"/>
          <w:sz w:val="32"/>
          <w:rtl/>
        </w:rPr>
        <w:t>مائة</w:t>
      </w:r>
      <w:proofErr w:type="gramEnd"/>
      <w:r w:rsidRPr="00F27422">
        <w:rPr>
          <w:rFonts w:asciiTheme="minorBidi" w:hAnsiTheme="minorBidi" w:cstheme="minorBidi"/>
          <w:sz w:val="32"/>
          <w:rtl/>
        </w:rPr>
        <w:t xml:space="preserve"> سنة أهبها الآن لفلان"، فيقال: بأنّ الهبة باطلة؛ إذ لا وجود للمنافع لديه حتى يقوم بتمليكها لغيره.</w:t>
      </w:r>
    </w:p>
    <w:p w14:paraId="337E90F0"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وكذلك لو تلفت العين المستأجرة قبل انقضاء مدّة الإجارة، كما لو آجره السيارة سنةً، فتلفت السيارة قبل انقضاء السنة انفسخت الإجارة؛ لأنّ منفعة السيارة ما بعد التلف لم تكن لدى المؤجّر حال الإجارة كي يقوم بتمليكها.</w:t>
      </w:r>
    </w:p>
    <w:p w14:paraId="198B20CE"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فكما أنّ تلف المنفعة أثناء مدّة الإجارة يكشف عن انفساخ الإجارة في المدّة الباقية؛ إذ لا وجود للمنفعة كي تكون قابلة للتمليك، وكما أنّ المنافع التي ستتحقق بعد موت المؤجّر مما لا يملكها مالك العين كي يقوم بتمليكها، فكذلك الأمر في المقام.</w:t>
      </w:r>
    </w:p>
    <w:p w14:paraId="09763B9B"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المقدمة الثالثة:</w:t>
      </w:r>
      <w:r w:rsidRPr="00F27422">
        <w:rPr>
          <w:rFonts w:asciiTheme="minorBidi" w:hAnsiTheme="minorBidi" w:cstheme="minorBidi"/>
          <w:sz w:val="32"/>
          <w:rtl/>
        </w:rPr>
        <w:t xml:space="preserve"> إنّ دليل الإرث الذي تضمن أنْ لا سلطنة ولا مِلكيّة للميت لسائر أمواله بعد موته إلّا في حدود </w:t>
      </w:r>
      <w:r w:rsidRPr="00F27422">
        <w:rPr>
          <w:rFonts w:asciiTheme="minorBidi" w:hAnsiTheme="minorBidi" w:cstheme="minorBidi"/>
          <w:sz w:val="32"/>
          <w:highlight w:val="cyan"/>
          <w:rtl/>
        </w:rPr>
        <w:t>الثلث من تركته حاكمٌ على دليل صحّة الإجارة</w:t>
      </w:r>
      <w:r w:rsidRPr="00F27422">
        <w:rPr>
          <w:rFonts w:asciiTheme="minorBidi" w:hAnsiTheme="minorBidi" w:cstheme="minorBidi"/>
          <w:sz w:val="32"/>
          <w:rtl/>
        </w:rPr>
        <w:t>.</w:t>
      </w:r>
    </w:p>
    <w:p w14:paraId="17D968B3"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فلو آجر الدارَ عشرين سنةٍ، فمات بعد سنةٍ، فيقال: إنّ دليل الإرث حاكمٌ على دليل صحّة الإجارة؛ لأنّ دليل الإرث متضمنٌ بأنْ لا سلطنة للمؤجّر على جميع أمواله بعد موته - سواء كانت أمواله أعيان أو منافع - إلّا في حدود الثلث من تركته، وهذا موجبٌ لقصر صحّة الإجارة على ما كان في حياته، وأمّا المنافع المتجددة بعد موته فالإجارة التي قام بها إجارة فضولية منوطة بإذن الورثة.</w:t>
      </w:r>
    </w:p>
    <w:p w14:paraId="0A926822"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وهذا هو الوجه الأوّل في بيان أنّ مقتضى القاعدة بطلان الإجارة بموت المؤجّر.</w:t>
      </w:r>
    </w:p>
    <w:p w14:paraId="2DB1904F"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والجواب عن ذلك بأحد نحوين:</w:t>
      </w:r>
    </w:p>
    <w:p w14:paraId="0FF9E3C5"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النحو الأوّل:</w:t>
      </w:r>
      <w:r w:rsidRPr="00F27422">
        <w:rPr>
          <w:rFonts w:asciiTheme="minorBidi" w:hAnsiTheme="minorBidi" w:cstheme="minorBidi"/>
          <w:sz w:val="32"/>
          <w:rtl/>
        </w:rPr>
        <w:t xml:space="preserve"> أنْ يقال: هناك فرقٌ بين استقبالية المملوك </w:t>
      </w:r>
      <w:proofErr w:type="spellStart"/>
      <w:r w:rsidRPr="00F27422">
        <w:rPr>
          <w:rFonts w:asciiTheme="minorBidi" w:hAnsiTheme="minorBidi" w:cstheme="minorBidi"/>
          <w:sz w:val="32"/>
          <w:rtl/>
        </w:rPr>
        <w:t>واستقبالية</w:t>
      </w:r>
      <w:proofErr w:type="spellEnd"/>
      <w:r w:rsidRPr="00F27422">
        <w:rPr>
          <w:rFonts w:asciiTheme="minorBidi" w:hAnsiTheme="minorBidi" w:cstheme="minorBidi"/>
          <w:sz w:val="32"/>
          <w:rtl/>
        </w:rPr>
        <w:t xml:space="preserve"> المِلكيّة.</w:t>
      </w:r>
    </w:p>
    <w:p w14:paraId="00A3B178"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lastRenderedPageBreak/>
        <w:t xml:space="preserve">فإنّ الإنسان إذا ملك العين ملك سائر منافعها العرضية والطولية ولو إلى ألف سنة، فالمِلكيّة فعلية وإنْ كان المملوك استقبالياً. ولذلك يصح له وقف العين لألف سنة؛ لأنّ الوقف هو عبارة عن تحبيس العين وتسبيل المنفعة، فلو لم تكن المنافع مملوكةً له بالفعل لما صحّ له تمليكها لـ "آلِ فلانٍ" كما في وقف الذرية، فإنّ مرجع وقف الذرية إلى التمليك، أي تمليك منافع هذه الدار على "آلِ فلانٍ" عقباً بعد عقبٍ إلى ألف سنة، مما يكشف عن أنّ الاستقبالية قيدٌ في المملوك وليست قيداً في المِلكيّة، فبما أنّ المؤجّر ممن ملك سائر منافع العين التدريجية بمِلكيّةٍ فعليةٍ فما تصرّف فيه حال حياته تصرّفٌ فيما هو ملكه، ومقتضى تصرّفه في ملكه وشمول دليل </w:t>
      </w:r>
      <w:r w:rsidRPr="00F27422">
        <w:rPr>
          <w:rFonts w:asciiTheme="minorBidi" w:hAnsiTheme="minorBidi" w:cstheme="minorBidi"/>
          <w:b/>
          <w:bCs/>
          <w:sz w:val="32"/>
          <w:rtl/>
        </w:rPr>
        <w:t>(يَا أَيُّهَا الَّذِينَ آمَنُوا أَوْفُوا بِالْعُقُودِ)</w:t>
      </w:r>
      <w:r w:rsidRPr="00F27422">
        <w:rPr>
          <w:rFonts w:asciiTheme="minorBidi" w:hAnsiTheme="minorBidi" w:cstheme="minorBidi"/>
          <w:sz w:val="32"/>
          <w:rtl/>
        </w:rPr>
        <w:t xml:space="preserve"> [المائدة، 1] لتصرّفه أنْ يكون دليل صحّة الإجارة وارداً على دليل الإرث، لأنّ دليل الإرث هو عبارة عن أنّ ما تركه الميت فهو لوارثه، والمنافع مما لم يتركه الميت؛ لأنّه نقله إلى المستأجر حال حياته.</w:t>
      </w:r>
    </w:p>
    <w:p w14:paraId="22DC0536" w14:textId="77777777" w:rsidR="004426C5" w:rsidRPr="00F27422" w:rsidRDefault="004426C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فدليل صحّة الإجارة واردٌ على دليل الإرث وليس العكس.</w:t>
      </w:r>
    </w:p>
    <w:p w14:paraId="6DC0C06F" w14:textId="77777777" w:rsidR="004426C5" w:rsidRPr="00F27422" w:rsidRDefault="004426C5" w:rsidP="00122B70">
      <w:pPr>
        <w:pStyle w:val="a"/>
        <w:bidi/>
        <w:spacing w:line="216" w:lineRule="auto"/>
        <w:jc w:val="left"/>
        <w:rPr>
          <w:rFonts w:asciiTheme="minorBidi" w:hAnsiTheme="minorBidi" w:cstheme="minorBidi"/>
          <w:sz w:val="32"/>
          <w:rtl/>
        </w:rPr>
      </w:pPr>
    </w:p>
    <w:p w14:paraId="16A3432C" w14:textId="77777777" w:rsidR="004426C5" w:rsidRPr="00F27422" w:rsidRDefault="004426C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والحمد لله رب العالمين </w:t>
      </w:r>
    </w:p>
    <w:p w14:paraId="323C332B" w14:textId="77777777" w:rsidR="002807B5" w:rsidRPr="00F27422" w:rsidRDefault="002807B5" w:rsidP="00122B70">
      <w:pPr>
        <w:bidi/>
        <w:rPr>
          <w:rFonts w:asciiTheme="minorBidi" w:hAnsiTheme="minorBidi"/>
          <w:sz w:val="32"/>
          <w:szCs w:val="32"/>
          <w:rtl/>
        </w:rPr>
      </w:pPr>
    </w:p>
    <w:p w14:paraId="7646060E" w14:textId="5187491B" w:rsidR="004426C5" w:rsidRPr="00F27422" w:rsidRDefault="004426C5"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018</w:t>
      </w:r>
    </w:p>
    <w:p w14:paraId="53684EFF"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بسم الله الرحمن الرحيم</w:t>
      </w:r>
    </w:p>
    <w:p w14:paraId="63AB7456"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والصلاة والسلام على أشرف الأنبياء والمرسلين، محمد وآله الطيبين الطاهرين</w:t>
      </w:r>
    </w:p>
    <w:p w14:paraId="439AF011"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واللعن الدائم على أعدائهم أجمعين إلى قيام يوم الدين</w:t>
      </w:r>
    </w:p>
    <w:p w14:paraId="29F89A70" w14:textId="77777777" w:rsidR="00F629B6" w:rsidRPr="00F27422" w:rsidRDefault="00F629B6" w:rsidP="00122B70">
      <w:pPr>
        <w:pStyle w:val="a"/>
        <w:bidi/>
        <w:spacing w:line="216" w:lineRule="auto"/>
        <w:jc w:val="left"/>
        <w:rPr>
          <w:rFonts w:asciiTheme="minorBidi" w:hAnsiTheme="minorBidi" w:cstheme="minorBidi"/>
          <w:b/>
          <w:bCs/>
          <w:sz w:val="32"/>
          <w:rtl/>
        </w:rPr>
      </w:pPr>
    </w:p>
    <w:p w14:paraId="4149817F"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والجواب عن الوجه الأوّل بأحد نحوين:</w:t>
      </w:r>
    </w:p>
    <w:p w14:paraId="3BF9B190"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النحو الأوّل: أنْ يقال:</w:t>
      </w:r>
      <w:r w:rsidRPr="00F27422">
        <w:rPr>
          <w:rFonts w:asciiTheme="minorBidi" w:hAnsiTheme="minorBidi" w:cstheme="minorBidi"/>
          <w:sz w:val="32"/>
          <w:rtl/>
        </w:rPr>
        <w:t xml:space="preserve"> هناك فرقٌ بين استقبالية المملوك </w:t>
      </w:r>
      <w:proofErr w:type="spellStart"/>
      <w:r w:rsidRPr="00F27422">
        <w:rPr>
          <w:rFonts w:asciiTheme="minorBidi" w:hAnsiTheme="minorBidi" w:cstheme="minorBidi"/>
          <w:sz w:val="32"/>
          <w:rtl/>
        </w:rPr>
        <w:t>واستقبالية</w:t>
      </w:r>
      <w:proofErr w:type="spellEnd"/>
      <w:r w:rsidRPr="00F27422">
        <w:rPr>
          <w:rFonts w:asciiTheme="minorBidi" w:hAnsiTheme="minorBidi" w:cstheme="minorBidi"/>
          <w:sz w:val="32"/>
          <w:rtl/>
        </w:rPr>
        <w:t xml:space="preserve"> المِلكيّة.</w:t>
      </w:r>
    </w:p>
    <w:p w14:paraId="751DC5A3"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فإنّ الإنسان إذا ملك العين ملك سائر منافعها العرضية والطولية ولو إلى ألف سنة، فالمِلكيّة فعلية وإنْ كان المملوك استقبالياً. ولذلك يصح له وقف العين بنحو وقف الذرية لألف سنة؛ لأنّ الوقف على الذرية - بحسب بعض المباني - هو عبارة عن تحبيس العين وتسبيل المنفعة أي إبقاء العين على ملكه وتمليك المنفعة لكل جيل، فلو لم تكن المنافع مملوكةً له بالفعل لما صحّ له تمليكها لـ "آلِ فلانٍ" في وقف الذرية، فإنّ مرجع وقف الذرية إلى التمليك، أي تمليك منافع هذه الدار على "آلِ فلانٍ" عقباً بعد عقبٍ إلى ألف سنة، مما يكشف عن أنّ الاستقبالية قيدٌ في المملوك وليست قيداً في المِلكيّة، فبما أنّ المؤجّر ممن ملك سائر منافع العين التدريجية بمِلكيّةٍ فعليةٍ فما تصرّف فيه حال حياته تصرّفٌ فيما هو ملكه، ومقتضى تصرّفه في ملكه وشمول دليل </w:t>
      </w:r>
      <w:r w:rsidRPr="00F27422">
        <w:rPr>
          <w:rFonts w:asciiTheme="minorBidi" w:hAnsiTheme="minorBidi" w:cstheme="minorBidi"/>
          <w:b/>
          <w:bCs/>
          <w:sz w:val="32"/>
          <w:rtl/>
        </w:rPr>
        <w:t xml:space="preserve">(يَا أَيُّهَا الَّذِينَ آمَنُوا أَوْفُوا بِالْعُقُودِ) </w:t>
      </w:r>
      <w:r w:rsidRPr="00F27422">
        <w:rPr>
          <w:rFonts w:asciiTheme="minorBidi" w:hAnsiTheme="minorBidi" w:cstheme="minorBidi"/>
          <w:sz w:val="32"/>
          <w:rtl/>
        </w:rPr>
        <w:t>[المائدة، 1] لتصرّفه أنْ يكون دليل صحّة الإجارة وارداً على دليل الإرث، لأنّ دليل الإرث هو عبارة عن أنّ ما تركه الميت فهو لوارثه، والمنافع مما لم يتركه الميت؛ لأنّه نقله إلى المستأجر حال حياته.</w:t>
      </w:r>
    </w:p>
    <w:p w14:paraId="123406BD"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فدليل صحّة الإجارة واردٌ على دليل الإرث وليس العكس.</w:t>
      </w:r>
    </w:p>
    <w:p w14:paraId="70F33256"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ولكن قد يشكل على هذا الجواب بإشكالاتٍ ثلاثة:</w:t>
      </w:r>
    </w:p>
    <w:p w14:paraId="3CDEF77E" w14:textId="77777777" w:rsidR="00F629B6" w:rsidRPr="00F27422" w:rsidRDefault="00F629B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الإشكال الأوّل:</w:t>
      </w:r>
      <w:r w:rsidRPr="00F27422">
        <w:rPr>
          <w:rFonts w:asciiTheme="minorBidi" w:hAnsiTheme="minorBidi" w:cstheme="minorBidi"/>
          <w:sz w:val="32"/>
          <w:rtl/>
        </w:rPr>
        <w:t xml:space="preserve"> أنّه قد يدعى العكس، وهو أنّ دليل الإرث أوجب تضييق مِلكيّة مالك العين بحين الوفاة، بمعنى أنّ مقتضى عموم أدلة الإرث أنْ سائر أموال الميت قد انتقلت لوارثه، وبضم قاعدة التبعيّة لدليل الإرث وهو أنّ من مَلَكَ العين مَلَكَ منافعها - والمفروض أنّ العين </w:t>
      </w:r>
      <w:r w:rsidRPr="00F27422">
        <w:rPr>
          <w:rFonts w:asciiTheme="minorBidi" w:hAnsiTheme="minorBidi" w:cstheme="minorBidi"/>
          <w:sz w:val="32"/>
          <w:rtl/>
        </w:rPr>
        <w:lastRenderedPageBreak/>
        <w:t>بعد وفاة المورث ملكٌ للوارث - تكون المنافع مِلكاً للوارث، وهذا يعني أنّ دليل الإرث بضم قاعدة التبعيّة معارض لدليل صحّة الإجارة؛ فإنّ مقتضى دليل صحّة الإجارة وصول العين للوارث مسلوبة المنفعة فلا إرث، ومقتضى دليل عموم الإرث بضم قاعدة التبعيّة - وهي أنّ من مَلَكَ العين مَلَكَ منافعها - أنّ المنفعة من حين الموت هي ملكٌ للوارث فيكون ذلك موجباً لتضييق دائرة مِلكيّة المورث بحين الوفاة، وهذا يعني وقوع التعارض بين الدليلين.</w:t>
      </w:r>
    </w:p>
    <w:p w14:paraId="50C96621"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إنْ لم نقل:</w:t>
      </w:r>
      <w:r w:rsidRPr="00F27422">
        <w:rPr>
          <w:rFonts w:asciiTheme="minorBidi" w:hAnsiTheme="minorBidi" w:cstheme="minorBidi"/>
          <w:sz w:val="32"/>
          <w:rtl/>
        </w:rPr>
        <w:t xml:space="preserve"> إنّ دليل الإرث حاكمٌ على دليل صحّة الإجارة؛ بلحاظ أنّ في دليل الإرث حيثية النظر لما تركه الميت، فبما أنّ دليل الإرث فيه تلك الحيثية فهو ناظرٌ لسائر التصرفات التي قام بها الميت في أمواله عيناً أو منفعةً، ومقتضى نظره لأموال الميت وتصرّفاته فيها أنْ يكون دليل الإرث حاكماً على دليل صحّة الإجارة.</w:t>
      </w:r>
    </w:p>
    <w:p w14:paraId="595FD328" w14:textId="77777777" w:rsidR="00F629B6" w:rsidRPr="00F27422" w:rsidRDefault="00F629B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ولكن فيه:</w:t>
      </w:r>
      <w:r w:rsidRPr="00F27422">
        <w:rPr>
          <w:rFonts w:asciiTheme="minorBidi" w:hAnsiTheme="minorBidi" w:cstheme="minorBidi"/>
          <w:sz w:val="32"/>
          <w:rtl/>
        </w:rPr>
        <w:t xml:space="preserve"> أنّه على فرض التسليم بقانون التبعيّة كحكمٍ عقلائي، فإنّ مورد وموضوع قانون التبعيّة ما لم يتصرّف المالك حين مِلكه للعين بفرز المنفعة، وأمّا إذا تصرف المالك حين ملكه للعين بفرز المنفعة فحينئذٍ يرتفع قانون التبعيّة بارتفاع موضوعه.</w:t>
      </w:r>
    </w:p>
    <w:p w14:paraId="4C349732" w14:textId="77777777" w:rsidR="00F629B6" w:rsidRPr="00F27422" w:rsidRDefault="00F629B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نظير البيع المسبوق بالإجارة، حيث سبق أنْه:</w:t>
      </w:r>
      <w:r w:rsidRPr="00F27422">
        <w:rPr>
          <w:rFonts w:asciiTheme="minorBidi" w:hAnsiTheme="minorBidi" w:cstheme="minorBidi"/>
          <w:sz w:val="32"/>
          <w:rtl/>
        </w:rPr>
        <w:t xml:space="preserve"> لو أنّ مالك العين - كمالك السيارة - آجرها أولاً وبعد شهرٍ قام ببيعها فإنّه لا إشكال في أنّ العين تنتقل إلى المُشتري مسلوبة المنفعة، ولا يقال بأنّ دليل صحّة البيع بضم قانون التبعيّة معارض لدليل صحّة الإجارة؛ بل دليل صحّة الإجارة واردٌ؛ لأنّ دليل صحّة الإجارة فرز المنفعة عن العين، فحين انعقاد البيع انتقلت العين للمُشتري مسلوبة المنفعة.</w:t>
      </w:r>
    </w:p>
    <w:p w14:paraId="18994810"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فكذلك الحال في محلّ الكلام، وهو أنّ المورث حال حياته وعند كون العين مملوكةً له فرز منافعها عنها وملكها للمُستأجر من حين الإجارة لما بعد عشر سنوات – مثلاً -، فدليل الإرث إنّما نقل العين للوارث مسلوبة المنفعة فلا تعارض بين دليل الإرث بضم قانون التبعيّة ودليل صحة الإجارة؛ بل دليل صحّة الإجارة واردٌ عليه.</w:t>
      </w:r>
    </w:p>
    <w:p w14:paraId="4B6E3AB2"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وأمّا نظر دليل الإرث لما تركه الميت فذلك لأنّه موضوعه؛ فإنّ كلّ دليل منوط بموضوعه، وبما أنّ دليل الإرث موضوعه "ما تركه الميت" فمن الطبيعي أنْ يكون المفهوم من دليل الإرث منوطاً بما تركه الميت، إلّا أنّ ارتباط دليل الإرث بـ "ما تركه الميت" ليس مساوقاً لنظره لأدلة تصرّفات الميت في أمواله حال حياته، والمناط في الحكومة نظر دليل إلى دليل، لا نظر دليل الإرث إلى موضوعه بمعنى إناطته به وهو "ما تركه الميت"؛ بل لكي تتمّ حكومة دليل الإرث على دليل صحّة الإجارة فهو متوقف على أنْ يكون دليل الإرث ناظراً لدليل الإجارة، وليس كذلك.</w:t>
      </w:r>
    </w:p>
    <w:p w14:paraId="5ECE90EF"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الإشكال </w:t>
      </w:r>
      <w:proofErr w:type="gramStart"/>
      <w:r w:rsidRPr="00F27422">
        <w:rPr>
          <w:rFonts w:asciiTheme="minorBidi" w:hAnsiTheme="minorBidi" w:cstheme="minorBidi"/>
          <w:b/>
          <w:bCs/>
          <w:sz w:val="32"/>
          <w:rtl/>
        </w:rPr>
        <w:t>الثاني:</w:t>
      </w:r>
      <w:r w:rsidRPr="00F27422">
        <w:rPr>
          <w:rFonts w:asciiTheme="minorBidi" w:hAnsiTheme="minorBidi" w:cstheme="minorBidi"/>
          <w:sz w:val="32"/>
          <w:rtl/>
        </w:rPr>
        <w:t xml:space="preserve">  أنّ</w:t>
      </w:r>
      <w:proofErr w:type="gramEnd"/>
      <w:r w:rsidRPr="00F27422">
        <w:rPr>
          <w:rFonts w:asciiTheme="minorBidi" w:hAnsiTheme="minorBidi" w:cstheme="minorBidi"/>
          <w:sz w:val="32"/>
          <w:rtl/>
        </w:rPr>
        <w:t xml:space="preserve"> لازم القول بكون الاستقبال قيداً في المملوك لا قيداً في المِلكيّة وأنّ المِلكيّة فعلية وإنْ كان المملوك - وهو منافع عشر سنوات - مستقبلياً أنْ يقال في العين ما قيل في المنفعة، فهل يمكن للمورث أنْ يبيع العين المعاصرة للسنة العاشرة بالفعل؟ بمعنى أنّ البيع وإنْ كان فعلياً لكن المبيع ليس العين بالفعل وإنّما المبيع العين الموجودة في السنة العاشرة.</w:t>
      </w:r>
    </w:p>
    <w:p w14:paraId="359B0B99"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كأنْ يقول: "بعتُكَ هذه القارورة من البخور الآن، لكن المبيع هو البخور المعاصر للسنة العاشرة " حيث إنّ قيمته حينئذٍ تكون أفضل.</w:t>
      </w:r>
    </w:p>
    <w:p w14:paraId="1818C034"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فهل يحتمل التفريق بين المملوك والمِلكيّة في العين بإرجاع قيد الاستقبال للمملوك دون المِلكيّة؟ وحيث إنّ </w:t>
      </w:r>
      <w:proofErr w:type="gramStart"/>
      <w:r w:rsidRPr="00F27422">
        <w:rPr>
          <w:rFonts w:asciiTheme="minorBidi" w:hAnsiTheme="minorBidi" w:cstheme="minorBidi"/>
          <w:sz w:val="32"/>
          <w:rtl/>
        </w:rPr>
        <w:t>هذا  اللازم</w:t>
      </w:r>
      <w:proofErr w:type="gramEnd"/>
      <w:r w:rsidRPr="00F27422">
        <w:rPr>
          <w:rFonts w:asciiTheme="minorBidi" w:hAnsiTheme="minorBidi" w:cstheme="minorBidi"/>
          <w:sz w:val="32"/>
          <w:rtl/>
        </w:rPr>
        <w:t xml:space="preserve"> مما لا يلتزم به أحد فالملزوم مثله؛ فإنّ هبة العين أو بيعها لما بعد وفاة البائع معاملة باطلة جزماً.</w:t>
      </w:r>
    </w:p>
    <w:p w14:paraId="089259A5"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ولكن فيه:</w:t>
      </w:r>
      <w:r w:rsidRPr="00F27422">
        <w:rPr>
          <w:rFonts w:asciiTheme="minorBidi" w:hAnsiTheme="minorBidi" w:cstheme="minorBidi"/>
          <w:sz w:val="32"/>
          <w:rtl/>
        </w:rPr>
        <w:t xml:space="preserve"> إنّ هناك فرقاً بين المنافع والأعيان، فالمنافع تقبل التحصص والتكثر بالزمن، ففي كلّ زمانٍ تتجدد منفعة مغايرةٌ لمنفعة الزمن السابق؛ فمنفعة الدار بعد عشر سنوات مغايرةٌ </w:t>
      </w:r>
      <w:r w:rsidRPr="00F27422">
        <w:rPr>
          <w:rFonts w:asciiTheme="minorBidi" w:hAnsiTheme="minorBidi" w:cstheme="minorBidi"/>
          <w:sz w:val="32"/>
          <w:rtl/>
        </w:rPr>
        <w:lastRenderedPageBreak/>
        <w:t>لمنفعة الدار في هذه السنة، بينما العين لا تتحصص ولا تتكثر بتعدد الزمن بل العين هي العين، فبما أنّ العين بالنظر العرفي لا تتحصص بتحصص الزمن لذلك لا محالة يكون مرجع بيع العين المعاصرة للسنة العاشرة إلى أنْ يكون الزمن قيداً في المِلكيّة - لا قيداً في المملوك - وإذا صار الزمن قيداً في المِلكيّة صار البيع مبتلى بمحذور التعليق، والتعليق في العقود مبطلٌ لها، بل لو كان المبيع مقيداً بما بعد الوفاة بطل البيع لما دلّ على عدم نفوذ تصرّفات الميت في أمواله العينية فيما بعد وفاته.</w:t>
      </w:r>
    </w:p>
    <w:p w14:paraId="7185BEBE" w14:textId="77777777" w:rsidR="00F629B6" w:rsidRPr="00F27422" w:rsidRDefault="00F629B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 xml:space="preserve">الإشكال الثالث: </w:t>
      </w:r>
      <w:r w:rsidRPr="00F27422">
        <w:rPr>
          <w:rFonts w:asciiTheme="minorBidi" w:hAnsiTheme="minorBidi" w:cstheme="minorBidi"/>
          <w:sz w:val="32"/>
          <w:rtl/>
        </w:rPr>
        <w:t xml:space="preserve">إنّ لازم ما ذكر من كون الاستقبال قيداً في المملوك - لا قيداً في المِلكيّة - أنْ يقال بصحّة هبة المنفعة في السنة العاشرة أو إجارتها، بأنْ يقول مالك العين لشخصٍ: "وهبتُكَ منفعة هذه العين في السنة العاشرة" والهبة فعلية لكن الموهوب المنفعة في السنة العاشرة، أو يقول: "آجرتُكَ العين بالفعل لكن المملوك بالإجارة منفعة السنة العاشرة"، أو يقيد ذلك بما بعد وفاته حيث لا فرق بين النحوين، بأنْ يقول: "آجرتُكَ هذه الدار في السنة الثانية لما بعد وفاتي" أو "وهبتُكَ منفعة هذه الدار في السنة الثانية لما بعد وفاتي"، فإنّ مقتضى أنّ المِلكيّة فعلية - </w:t>
      </w:r>
      <w:proofErr w:type="spellStart"/>
      <w:r w:rsidRPr="00F27422">
        <w:rPr>
          <w:rFonts w:asciiTheme="minorBidi" w:hAnsiTheme="minorBidi" w:cstheme="minorBidi"/>
          <w:sz w:val="32"/>
          <w:rtl/>
        </w:rPr>
        <w:t>والاستقبالية</w:t>
      </w:r>
      <w:proofErr w:type="spellEnd"/>
      <w:r w:rsidRPr="00F27422">
        <w:rPr>
          <w:rFonts w:asciiTheme="minorBidi" w:hAnsiTheme="minorBidi" w:cstheme="minorBidi"/>
          <w:sz w:val="32"/>
          <w:rtl/>
        </w:rPr>
        <w:t xml:space="preserve"> في المملوك - أنْ ينفذ تصرّفه في المنافع بالفعل وإنْ كان المملوك استقبالياً.</w:t>
      </w:r>
    </w:p>
    <w:p w14:paraId="32F37AE2" w14:textId="77777777" w:rsidR="00F629B6" w:rsidRPr="00F27422" w:rsidRDefault="00F629B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والجواب عنه:</w:t>
      </w:r>
      <w:r w:rsidRPr="00F27422">
        <w:rPr>
          <w:rFonts w:asciiTheme="minorBidi" w:hAnsiTheme="minorBidi" w:cstheme="minorBidi"/>
          <w:sz w:val="32"/>
          <w:rtl/>
        </w:rPr>
        <w:t xml:space="preserve"> أنّه لا مانع من التصرّف المذكور وإنْ كان غير معهود ما لم يكن غررياً لعدم علمه بحال وفاته، ولو كان معلوم الوفاة وقال مثلاً: "وهبتُكَ هذه المنفعة في السنة الثانية لما بعد وفاتي" لم يكن التصرّف غررياً وتشمله أدلة النفوذ، غاية الأمر أنّه يكون مندرجاً تحت عموم عدم نفوذ الوصية في أكثر من الثلث؛ إذ لا خصوصية للوصية، فتصح الإجارة أو تصح الهبة بشرط أنْ تكون المنفعة في حدود ثلث تركته.</w:t>
      </w:r>
    </w:p>
    <w:p w14:paraId="41BDED51" w14:textId="77777777" w:rsidR="00F629B6" w:rsidRPr="00F27422" w:rsidRDefault="00F629B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فتلخص:</w:t>
      </w:r>
      <w:r w:rsidRPr="00F27422">
        <w:rPr>
          <w:rFonts w:asciiTheme="minorBidi" w:hAnsiTheme="minorBidi" w:cstheme="minorBidi"/>
          <w:sz w:val="32"/>
          <w:rtl/>
        </w:rPr>
        <w:t xml:space="preserve"> أنّ الجواب الثبوتي عن الوجه المذكور لبطلان الإجارة بموت المؤجّر جوابٌ سديدٌ.</w:t>
      </w:r>
    </w:p>
    <w:p w14:paraId="2E4625A0" w14:textId="77777777" w:rsidR="00F629B6" w:rsidRPr="00F27422" w:rsidRDefault="00F629B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النحو الثاني:</w:t>
      </w:r>
      <w:r w:rsidRPr="00F27422">
        <w:rPr>
          <w:rFonts w:asciiTheme="minorBidi" w:hAnsiTheme="minorBidi" w:cstheme="minorBidi"/>
          <w:sz w:val="32"/>
          <w:rtl/>
        </w:rPr>
        <w:t xml:space="preserve"> وهو وجه إثباتي، </w:t>
      </w:r>
      <w:r w:rsidRPr="00F27422">
        <w:rPr>
          <w:rFonts w:asciiTheme="minorBidi" w:hAnsiTheme="minorBidi" w:cstheme="minorBidi"/>
          <w:b/>
          <w:bCs/>
          <w:sz w:val="32"/>
          <w:rtl/>
        </w:rPr>
        <w:t>أنْ يقال:</w:t>
      </w:r>
      <w:r w:rsidRPr="00F27422">
        <w:rPr>
          <w:rFonts w:asciiTheme="minorBidi" w:hAnsiTheme="minorBidi" w:cstheme="minorBidi"/>
          <w:sz w:val="32"/>
          <w:rtl/>
        </w:rPr>
        <w:t xml:space="preserve"> إنّ مقتضى عموم قوله تعالى: </w:t>
      </w:r>
      <w:r w:rsidRPr="00F27422">
        <w:rPr>
          <w:rFonts w:asciiTheme="minorBidi" w:hAnsiTheme="minorBidi" w:cstheme="minorBidi"/>
          <w:b/>
          <w:bCs/>
          <w:sz w:val="32"/>
          <w:rtl/>
        </w:rPr>
        <w:t xml:space="preserve">(يَا أَيُّهَا الَّذِينَ آمَنُوا أَوْفُوا بِالْعُقُودِ) </w:t>
      </w:r>
      <w:r w:rsidRPr="00F27422">
        <w:rPr>
          <w:rFonts w:asciiTheme="minorBidi" w:hAnsiTheme="minorBidi" w:cstheme="minorBidi"/>
          <w:sz w:val="32"/>
          <w:rtl/>
        </w:rPr>
        <w:t>[المائدة، 1] نفوذ الإجارة، ولا منافي له إلّا عدم صحّة الوصية بأكثر من الثلث؛ بحيث يقال: إنّ لما دلّ على عدم نفوذ الوصية بأكثر من الثلث مدلولاً التزامياً عرفياً وهو أنْ لا صحّة لتصرّفات الميت في أمواله بعد وفاته، لكن المدلول الالتزامي لما دلّ على عدم صحّة الوصية في الأموال بأكثر من الثلث يعني أنْ لا صحّة لتصرّفات الميت في أمواله المقيدة بما بعد وفاته.</w:t>
      </w:r>
    </w:p>
    <w:p w14:paraId="541E45DD" w14:textId="77777777" w:rsidR="00F629B6" w:rsidRPr="00F27422" w:rsidRDefault="00F629B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وبما أنّ المتبادر من هذا الدليل - وهو دليل عدم نفوذ الوصية بأكثر من الثلث - النظر للتصرّف المقيد بما بعد الوفاة، ومحلّ الكلام ليس كذلك؛ لأنّ محلّ الكلام هو إيجار العين من حين حياته بتمليك المجموع من منافعها من حين حياته لما بعد وفاته فليس مقيداً بما بعد الوفاة، فهو خارجٌ عما هو المنصرّف منه، فدليل </w:t>
      </w:r>
      <w:r w:rsidRPr="00F27422">
        <w:rPr>
          <w:rFonts w:asciiTheme="minorBidi" w:hAnsiTheme="minorBidi" w:cstheme="minorBidi"/>
          <w:b/>
          <w:bCs/>
          <w:sz w:val="32"/>
          <w:rtl/>
        </w:rPr>
        <w:t>"لا وصية في أكثر من الثلث"</w:t>
      </w:r>
      <w:r w:rsidRPr="00F27422">
        <w:rPr>
          <w:rFonts w:asciiTheme="minorBidi" w:hAnsiTheme="minorBidi" w:cstheme="minorBidi"/>
          <w:sz w:val="32"/>
          <w:rtl/>
        </w:rPr>
        <w:t xml:space="preserve"> لا يكون منافياً لدليل </w:t>
      </w:r>
      <w:r w:rsidRPr="00F27422">
        <w:rPr>
          <w:rFonts w:asciiTheme="minorBidi" w:hAnsiTheme="minorBidi" w:cstheme="minorBidi"/>
          <w:b/>
          <w:bCs/>
          <w:sz w:val="32"/>
          <w:rtl/>
        </w:rPr>
        <w:t>(أَوْفُوا بِالْعُقُودِ)</w:t>
      </w:r>
      <w:r w:rsidRPr="00F27422">
        <w:rPr>
          <w:rFonts w:asciiTheme="minorBidi" w:hAnsiTheme="minorBidi" w:cstheme="minorBidi"/>
          <w:sz w:val="32"/>
          <w:rtl/>
        </w:rPr>
        <w:t xml:space="preserve"> في المقام فالإجارة صحيحة.</w:t>
      </w:r>
    </w:p>
    <w:p w14:paraId="286B07DA" w14:textId="77777777" w:rsidR="00F629B6" w:rsidRPr="00F27422" w:rsidRDefault="00F629B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ولكن يلاحظ على ذلك:</w:t>
      </w:r>
      <w:r w:rsidRPr="00F27422">
        <w:rPr>
          <w:rFonts w:asciiTheme="minorBidi" w:hAnsiTheme="minorBidi" w:cstheme="minorBidi"/>
          <w:sz w:val="32"/>
          <w:rtl/>
        </w:rPr>
        <w:t xml:space="preserve"> أنّ الشك في المقام ليس شكاً في اعتبار قيدٍ في العقد شرعاً كي ينفى هذا الشك بـ </w:t>
      </w:r>
      <w:r w:rsidRPr="00F27422">
        <w:rPr>
          <w:rFonts w:asciiTheme="minorBidi" w:hAnsiTheme="minorBidi" w:cstheme="minorBidi"/>
          <w:b/>
          <w:bCs/>
          <w:sz w:val="32"/>
          <w:rtl/>
        </w:rPr>
        <w:t>(أَوْفُوا بِالْعُقُودِ)</w:t>
      </w:r>
      <w:r w:rsidRPr="00F27422">
        <w:rPr>
          <w:rFonts w:asciiTheme="minorBidi" w:hAnsiTheme="minorBidi" w:cstheme="minorBidi"/>
          <w:sz w:val="32"/>
          <w:rtl/>
        </w:rPr>
        <w:t xml:space="preserve">؛ بل هو شكٌ في المالكيّة أي هل المؤجّر مالكٌ للمنافع التي بعد وفاته أم لا؟ فمع الشك في أصل المالكيّة لا يمكن علاج هذا الشك بالتمسك بدليل </w:t>
      </w:r>
      <w:r w:rsidRPr="00F27422">
        <w:rPr>
          <w:rFonts w:asciiTheme="minorBidi" w:hAnsiTheme="minorBidi" w:cstheme="minorBidi"/>
          <w:b/>
          <w:bCs/>
          <w:sz w:val="32"/>
          <w:rtl/>
        </w:rPr>
        <w:t>(أَوْفُوا بِالْعُقُودِ)</w:t>
      </w:r>
      <w:r w:rsidRPr="00F27422">
        <w:rPr>
          <w:rFonts w:asciiTheme="minorBidi" w:hAnsiTheme="minorBidi" w:cstheme="minorBidi"/>
          <w:sz w:val="32"/>
          <w:rtl/>
        </w:rPr>
        <w:t xml:space="preserve">؛ فإنّ التمسك بدليل الصحّة أو دليل اللزوم فرع إحراز موضوعه، وموضوعه أنْ يكون مالكاً، فمع الشك في كونه مالكاً للمنافع بعد وفاته لا يمكن أنْ ينفى هذا الشك بأدلة الصحّة واللزوم؛ لأنّه من التمسك بالدليل في الشبهة المصداقية لموضوعه وهو الشك في أنّ </w:t>
      </w:r>
      <w:r w:rsidRPr="00F27422">
        <w:rPr>
          <w:rFonts w:asciiTheme="minorBidi" w:hAnsiTheme="minorBidi" w:cstheme="minorBidi"/>
          <w:sz w:val="32"/>
          <w:rtl/>
        </w:rPr>
        <w:lastRenderedPageBreak/>
        <w:t>المؤجّر مالكٌ للمنافع بعد حياته أم ليس بمالك، فإثبات الصحّة في المقام بوجه إثباتي مع وجود محذور ثبوتي غير صناعي ما لم يعالج المحذور.</w:t>
      </w:r>
    </w:p>
    <w:p w14:paraId="2D19047F" w14:textId="77777777" w:rsidR="00F629B6" w:rsidRPr="00F27422" w:rsidRDefault="00F629B6"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نعم، لو أُحرز أنّه مالكٌ وإنّما شك في قيدٍ في العقد، وهو أنّ نفوذ العقد مشروطٌ بعدم الموت أو ليس مشروطاً؟ فيمكن نفي هذا الشرط بـ </w:t>
      </w:r>
      <w:r w:rsidRPr="00F27422">
        <w:rPr>
          <w:rFonts w:asciiTheme="minorBidi" w:hAnsiTheme="minorBidi" w:cstheme="minorBidi"/>
          <w:b/>
          <w:bCs/>
          <w:sz w:val="32"/>
          <w:rtl/>
        </w:rPr>
        <w:t>(أَوْفُوا بِالْعُقُودِ)</w:t>
      </w:r>
      <w:r w:rsidRPr="00F27422">
        <w:rPr>
          <w:rFonts w:asciiTheme="minorBidi" w:hAnsiTheme="minorBidi" w:cstheme="minorBidi"/>
          <w:sz w:val="32"/>
          <w:rtl/>
        </w:rPr>
        <w:t xml:space="preserve">، وأمّا إذا وقع الشك في أصل الموضوع فلا وجه لنفيه بـ </w:t>
      </w:r>
      <w:r w:rsidRPr="00F27422">
        <w:rPr>
          <w:rFonts w:asciiTheme="minorBidi" w:hAnsiTheme="minorBidi" w:cstheme="minorBidi"/>
          <w:b/>
          <w:bCs/>
          <w:sz w:val="32"/>
          <w:rtl/>
        </w:rPr>
        <w:t>(أَوْفُوا بِالْعُقُودِ)</w:t>
      </w:r>
      <w:r w:rsidRPr="00F27422">
        <w:rPr>
          <w:rFonts w:asciiTheme="minorBidi" w:hAnsiTheme="minorBidi" w:cstheme="minorBidi"/>
          <w:sz w:val="32"/>
          <w:rtl/>
        </w:rPr>
        <w:t>. فتأمل واغتنم.</w:t>
      </w:r>
    </w:p>
    <w:p w14:paraId="33CE4EDC" w14:textId="77777777" w:rsidR="00F629B6" w:rsidRPr="00F27422" w:rsidRDefault="00F629B6" w:rsidP="00122B70">
      <w:pPr>
        <w:pStyle w:val="a"/>
        <w:bidi/>
        <w:spacing w:line="216" w:lineRule="auto"/>
        <w:jc w:val="left"/>
        <w:rPr>
          <w:rFonts w:asciiTheme="minorBidi" w:hAnsiTheme="minorBidi" w:cstheme="minorBidi"/>
          <w:b/>
          <w:bCs/>
          <w:sz w:val="32"/>
          <w:rtl/>
        </w:rPr>
      </w:pPr>
    </w:p>
    <w:p w14:paraId="0CB415C8" w14:textId="77777777" w:rsidR="00F629B6" w:rsidRPr="00F27422" w:rsidRDefault="00F629B6"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والحمد لله رب العالمين </w:t>
      </w:r>
    </w:p>
    <w:p w14:paraId="4D1C5736" w14:textId="77777777" w:rsidR="004426C5" w:rsidRPr="00F27422" w:rsidRDefault="004426C5" w:rsidP="00122B70">
      <w:pPr>
        <w:bidi/>
        <w:rPr>
          <w:rFonts w:asciiTheme="minorBidi" w:hAnsiTheme="minorBidi"/>
          <w:sz w:val="32"/>
          <w:szCs w:val="32"/>
          <w:rtl/>
        </w:rPr>
      </w:pPr>
    </w:p>
    <w:p w14:paraId="506F590F" w14:textId="37C2C5C0" w:rsidR="00F629B6" w:rsidRPr="00F27422" w:rsidRDefault="00F629B6"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019</w:t>
      </w:r>
    </w:p>
    <w:p w14:paraId="23108C8E" w14:textId="77777777" w:rsidR="00FC7424" w:rsidRPr="00F27422" w:rsidRDefault="00FC7424"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4CECE419" w14:textId="77777777" w:rsidR="00FC7424" w:rsidRPr="00F27422" w:rsidRDefault="00FC7424"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36F77BFC"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4F5C3169" w14:textId="77777777"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ab/>
      </w:r>
    </w:p>
    <w:p w14:paraId="1EE07232"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الوجه الثاني:</w:t>
      </w:r>
      <w:r w:rsidRPr="00F27422">
        <w:rPr>
          <w:rFonts w:asciiTheme="minorBidi" w:hAnsiTheme="minorBidi"/>
          <w:sz w:val="32"/>
          <w:szCs w:val="32"/>
          <w:rtl/>
        </w:rPr>
        <w:t xml:space="preserve"> - مما استدل به على البطلان بموت المؤجّر - ما ذكر في المختلف من قبل العلامة (قدس سره الشريف) كما نقل عنه صاحب الحدائق (قدس سره الشريف).</w:t>
      </w:r>
    </w:p>
    <w:p w14:paraId="64899C23" w14:textId="77777777" w:rsidR="00FD24E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وتقريبه:</w:t>
      </w:r>
      <w:r w:rsidRPr="00F27422">
        <w:rPr>
          <w:rFonts w:asciiTheme="minorBidi" w:hAnsiTheme="minorBidi"/>
          <w:sz w:val="32"/>
          <w:szCs w:val="32"/>
          <w:rtl/>
        </w:rPr>
        <w:t xml:space="preserve"> أنّ الغرض تارةً يكون شخصياً وأخرى نوعياً، والغرض النوعي قد يكون متمّماً وقد يكون مقوماً، فأمّا تخلف الغرض الشخصي فلا أثر له في المعاملة، وأمّا تخلف الغرض النوعي المتمّم كما في موارد العيب أو تبعض الصفقة فأثره الخيار، وأمّا تخلف الغرض النوعي المقوم فأثره بطلان المعاملة، ومنه القدرة على التسلم والانتفاع بالمعوض، فإنّ انتفاءها مساوقٌ لانتفاء الغرض النوعي المقوم للمعاملة، ومقتضى تخلف الغرض النوعي المقوم للمعاملة بطلانها،</w:t>
      </w:r>
    </w:p>
    <w:p w14:paraId="2389B4F8" w14:textId="54448AB1"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 xml:space="preserve"> والمانع من القدرة قد يكون تكوينياً وقد يكون اعتبارياً، فالتكويني كما لو فرض أنّه آجره الدار أو السيارة ثم تلفت العين قبل القبض، فإنّ تلف العين مساوقٌ لتخلف الغرض النوعي من المعاملة؛ حيث إنّ الغرض النوعي منها هو استيفاء المنفعة، ومع العجز عن استيفاء المنفعة نتيجة تلف العين تخلف الغرض النوعي، وتخلفه يعني بطلان المعاملة.</w:t>
      </w:r>
    </w:p>
    <w:p w14:paraId="74F04889" w14:textId="77777777"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والمانع الإعتباري كما لو فرض أنّه آجره السيارة فمنعت الدولة من استخدام هذا النوع من السيارات في هذه المدة الزمنية، فإنّ منع الدولة موجبٌ لتلف المنفعة على المُستأجر، وتلف المنفعة عليه يعني تخلف الغرض النوعي من المعاملة، وتخلفه موجبٌ لبطلانها.</w:t>
      </w:r>
    </w:p>
    <w:p w14:paraId="411BA3AF"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lastRenderedPageBreak/>
        <w:t>وتطبيق ذلك على محلّ الكلام أنْ يقال:</w:t>
      </w:r>
      <w:r w:rsidRPr="00F27422">
        <w:rPr>
          <w:rFonts w:asciiTheme="minorBidi" w:hAnsiTheme="minorBidi"/>
          <w:sz w:val="32"/>
          <w:szCs w:val="32"/>
          <w:rtl/>
        </w:rPr>
        <w:t xml:space="preserve"> إنّ المُستأجر إنّما حاز السلطنة على استيفاء المنفعة من قبل ملك المؤجّر للعين؛ إذ أنّ المعاملة إنّما جرت بين المورث المؤجّر والمُستأجر، ومقتضى قيام المعاملة بين المورث والمُستأجر أنّ المُستأجر تلقى الملك من المورث لا من غيره، فإذا زال ملكه وأصبحت العين ملكاً للوارث فحينئذٍ ليس للمُستأجر سلطنة على المنفعة من قبل المالك الفعلي؛ وهذا مانعٌ اعتباري من الاستيفاء - وإنْ لم يكن مانعاً </w:t>
      </w:r>
      <w:proofErr w:type="gramStart"/>
      <w:r w:rsidRPr="00F27422">
        <w:rPr>
          <w:rFonts w:asciiTheme="minorBidi" w:hAnsiTheme="minorBidi"/>
          <w:sz w:val="32"/>
          <w:szCs w:val="32"/>
          <w:rtl/>
        </w:rPr>
        <w:t>تكوينياً  -</w:t>
      </w:r>
      <w:proofErr w:type="gramEnd"/>
      <w:r w:rsidRPr="00F27422">
        <w:rPr>
          <w:rFonts w:asciiTheme="minorBidi" w:hAnsiTheme="minorBidi"/>
          <w:sz w:val="32"/>
          <w:szCs w:val="32"/>
          <w:rtl/>
        </w:rPr>
        <w:t>.</w:t>
      </w:r>
    </w:p>
    <w:p w14:paraId="5C634A69" w14:textId="77777777"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ولا فرق بين المانع الاعتباري والمانع التكويني من حيث النتيجة وهي انتفاء الغرض النوعي المقوم للمعاملة.</w:t>
      </w:r>
    </w:p>
    <w:p w14:paraId="682A962D"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 xml:space="preserve">ويلاحظ عليه: </w:t>
      </w:r>
      <w:r w:rsidRPr="00F27422">
        <w:rPr>
          <w:rFonts w:asciiTheme="minorBidi" w:hAnsiTheme="minorBidi"/>
          <w:sz w:val="32"/>
          <w:szCs w:val="32"/>
          <w:rtl/>
        </w:rPr>
        <w:t xml:space="preserve">أنّه بناءً على تعريف الإجارة بأنّها </w:t>
      </w:r>
      <w:r w:rsidRPr="00F27422">
        <w:rPr>
          <w:rFonts w:asciiTheme="minorBidi" w:hAnsiTheme="minorBidi"/>
          <w:sz w:val="32"/>
          <w:szCs w:val="32"/>
          <w:highlight w:val="yellow"/>
          <w:rtl/>
        </w:rPr>
        <w:t>تمليك المنفعة أو نقل حق السلطنة على الانتفاع من قبل المالك إلى المُستأجر فلا موضوع للإشكال؛</w:t>
      </w:r>
      <w:r w:rsidRPr="00F27422">
        <w:rPr>
          <w:rFonts w:asciiTheme="minorBidi" w:hAnsiTheme="minorBidi"/>
          <w:sz w:val="32"/>
          <w:szCs w:val="32"/>
          <w:rtl/>
        </w:rPr>
        <w:t xml:space="preserve"> إذ لم يؤخذ في مِلكيّة المنفعة صدورها من قبل المورث ولم يؤخذ في حق السلطنة على الاستيفاء صدوره من قبل المورث؛ إذ ليس مؤدى الإجارة إلّا أنّ المُستأجر ملك المنفعة أو أنّ المُستأجر صار له حق في الاستيفاء، لا أنّ مؤدى الإجارة أنّ المُستأجر مَلَكَ المنفعة بما هو متلقى من المؤجّر أو انتقل إليه الحق بما هو متلقى من المؤجّر كي يكون التلقي من المؤجّر قيداً في المُنشأ سواء كان المنشأ مِلكيّة المنفعة أو كان هو ثبوت حق السلطنة في الانتفاع، فتلقي الملك أو الحق من المؤجّر مجرد واسطة في الثبوت، وليس حيثية تقييدية في المُنشأ كي يدور المُنشأ مداره.</w:t>
      </w:r>
    </w:p>
    <w:p w14:paraId="44D03C1A" w14:textId="0E11170B"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 xml:space="preserve">نعم، بناءً على </w:t>
      </w:r>
      <w:r w:rsidRPr="00F27422">
        <w:rPr>
          <w:rFonts w:asciiTheme="minorBidi" w:hAnsiTheme="minorBidi"/>
          <w:sz w:val="32"/>
          <w:szCs w:val="32"/>
          <w:highlight w:val="yellow"/>
          <w:rtl/>
        </w:rPr>
        <w:t>تعريف الإجارة بأنّها بمثابة التسليط على العين بغرض الانتفاع بها بعوض</w:t>
      </w:r>
      <w:r w:rsidRPr="00F27422">
        <w:rPr>
          <w:rFonts w:asciiTheme="minorBidi" w:hAnsiTheme="minorBidi"/>
          <w:sz w:val="32"/>
          <w:szCs w:val="32"/>
          <w:rtl/>
        </w:rPr>
        <w:t xml:space="preserve"> </w:t>
      </w:r>
      <w:r w:rsidR="00CF61CD" w:rsidRPr="00F27422">
        <w:rPr>
          <w:rFonts w:asciiTheme="minorBidi" w:hAnsiTheme="minorBidi"/>
          <w:sz w:val="32"/>
          <w:szCs w:val="32"/>
          <w:rtl/>
        </w:rPr>
        <w:t>يرد الإشكال</w:t>
      </w:r>
      <w:r w:rsidRPr="00F27422">
        <w:rPr>
          <w:rFonts w:asciiTheme="minorBidi" w:hAnsiTheme="minorBidi"/>
          <w:sz w:val="32"/>
          <w:szCs w:val="32"/>
          <w:rtl/>
        </w:rPr>
        <w:t>، فإنّ التسليط متقومٌ بطرفين: أحدهما: المُسَلِّط وهو المؤجّر، والآخر: المُسَلَّط وهو المُستأجر، وحيث خرج المؤجّر عن قابلية التسليط إمّا لموته أو لدخوله في غيبوبة أو لعجزه بأيّ نوعٍ من أنواع العجز فلا سلطنة للمُستأجر؛ لأنّ السلطنة متقومة بطرفيها وقد زال الطرف الأوّل.</w:t>
      </w:r>
    </w:p>
    <w:p w14:paraId="039E7FAD" w14:textId="77777777"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 xml:space="preserve">إلّا أنّ هذا المفهوم لم يقل به أحدٌ في تعريف الإجارة؛ وإلّا لم يبقَ فرقٌ بين الإجارة والعارية؛ فكما أنّ الإجارة تسليطٌ من المؤجّر للمُستأجر على العين فالعارية أيضاً تسليطٌ من المعير للمستعير على العين، </w:t>
      </w:r>
      <w:r w:rsidRPr="00F27422">
        <w:rPr>
          <w:rFonts w:asciiTheme="minorBidi" w:hAnsiTheme="minorBidi"/>
          <w:sz w:val="32"/>
          <w:szCs w:val="32"/>
          <w:highlight w:val="yellow"/>
          <w:rtl/>
        </w:rPr>
        <w:t>غاية الأمر أنّ التسليط في الإجارة بعوضٍ وفي العارية ليس بعوضٍ.</w:t>
      </w:r>
      <w:r w:rsidRPr="00F27422">
        <w:rPr>
          <w:rFonts w:asciiTheme="minorBidi" w:hAnsiTheme="minorBidi"/>
          <w:sz w:val="32"/>
          <w:szCs w:val="32"/>
          <w:rtl/>
        </w:rPr>
        <w:t xml:space="preserve"> ولازمه عدم امتياز الإجارة عن العارية.</w:t>
      </w:r>
    </w:p>
    <w:p w14:paraId="7294B53C"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الوجه الثالث:</w:t>
      </w:r>
      <w:r w:rsidRPr="00F27422">
        <w:rPr>
          <w:rFonts w:asciiTheme="minorBidi" w:hAnsiTheme="minorBidi"/>
          <w:sz w:val="32"/>
          <w:szCs w:val="32"/>
          <w:rtl/>
        </w:rPr>
        <w:t xml:space="preserve"> أنّ بطلان الإجارة بموت المؤجّر لا لعدم مالكيته للمنفعة كما سبق في الوجه الأوّل، ولا لانتفاء الغرض النوعي من المعاملة كما في الوجه الثاني؛ بل </w:t>
      </w:r>
      <w:r w:rsidRPr="00F27422">
        <w:rPr>
          <w:rFonts w:asciiTheme="minorBidi" w:hAnsiTheme="minorBidi"/>
          <w:color w:val="EE0000"/>
          <w:sz w:val="32"/>
          <w:szCs w:val="32"/>
          <w:rtl/>
        </w:rPr>
        <w:t xml:space="preserve">لخللٍ في العقد نفسه </w:t>
      </w:r>
      <w:r w:rsidRPr="00F27422">
        <w:rPr>
          <w:rFonts w:asciiTheme="minorBidi" w:hAnsiTheme="minorBidi"/>
          <w:sz w:val="32"/>
          <w:szCs w:val="32"/>
          <w:rtl/>
        </w:rPr>
        <w:t xml:space="preserve">مع افتراض أنّ جميع الأمور متوفرة وهو أنّ المعتبر في نفوذ </w:t>
      </w:r>
      <w:r w:rsidRPr="00F27422">
        <w:rPr>
          <w:rFonts w:asciiTheme="minorBidi" w:hAnsiTheme="minorBidi"/>
          <w:sz w:val="32"/>
          <w:szCs w:val="32"/>
          <w:highlight w:val="yellow"/>
          <w:rtl/>
        </w:rPr>
        <w:t>الإجارة قابليتها لانقضاء المدّة</w:t>
      </w:r>
      <w:r w:rsidRPr="00F27422">
        <w:rPr>
          <w:rFonts w:asciiTheme="minorBidi" w:hAnsiTheme="minorBidi"/>
          <w:sz w:val="32"/>
          <w:szCs w:val="32"/>
          <w:rtl/>
        </w:rPr>
        <w:t xml:space="preserve">، فلا تصح إجارة حتى يكون لها مدّة وإلّا لكانت وقفاً مؤبداً، وحيث إنّ الإجارة متقومةٌ بالمدّة </w:t>
      </w:r>
      <w:r w:rsidRPr="00F27422">
        <w:rPr>
          <w:rFonts w:asciiTheme="minorBidi" w:hAnsiTheme="minorBidi"/>
          <w:sz w:val="32"/>
          <w:szCs w:val="32"/>
          <w:rtl/>
        </w:rPr>
        <w:lastRenderedPageBreak/>
        <w:t>فقابليتها لانقضاء مدّة الإجارة شرط في نفوذها، وانقضاؤها خارجاً شرطٌ متأخرٌ كاشفٌ عن نفوذ الإجارة.</w:t>
      </w:r>
    </w:p>
    <w:p w14:paraId="4DF9B123"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ويلاحظ عليه:</w:t>
      </w:r>
      <w:r w:rsidRPr="00F27422">
        <w:rPr>
          <w:rFonts w:asciiTheme="minorBidi" w:hAnsiTheme="minorBidi"/>
          <w:sz w:val="32"/>
          <w:szCs w:val="32"/>
          <w:rtl/>
        </w:rPr>
        <w:t xml:space="preserve"> أنّ المقصود من اعتبار انقضاء مدّة الإجارة في نفوذ العقد إمّا اعتبار ذلك في ظرف أهلية المؤجّر أي حال حياته ووعيه وعدم غيبوبته بحيث لو خرج عن القابلية أثناء المدّة بطل العقد؛ لعدم انقضاء مدّة الإجارة في زمان قابليته للإيجار، وإمّا اعتباره لا بشرط أهلية المؤجّر، فإنْ أريد الأوّل فهو مصادرةٌ لا برهان عليها؛ فإنّ الإجارة ليست سلطة مفاضة من قبل المؤجّر كالوكالة والعارية وسائر العقود </w:t>
      </w:r>
      <w:proofErr w:type="spellStart"/>
      <w:r w:rsidRPr="00F27422">
        <w:rPr>
          <w:rFonts w:asciiTheme="minorBidi" w:hAnsiTheme="minorBidi"/>
          <w:sz w:val="32"/>
          <w:szCs w:val="32"/>
          <w:rtl/>
        </w:rPr>
        <w:t>الإذنية</w:t>
      </w:r>
      <w:proofErr w:type="spellEnd"/>
      <w:r w:rsidRPr="00F27422">
        <w:rPr>
          <w:rFonts w:asciiTheme="minorBidi" w:hAnsiTheme="minorBidi"/>
          <w:sz w:val="32"/>
          <w:szCs w:val="32"/>
          <w:rtl/>
        </w:rPr>
        <w:t xml:space="preserve"> التي ترتفع بخروج الطرف الأوّل عن الأهلية كما لو مات أو فقد وعيه؛ بل الإجارة نقل ملك أو حق من المؤجّر إلى المُستأجر ولا يدور نفوذ النقل أو الحق مدار حياته كي يعتبر في صحّة الإجارة انقضاء مدّة الإجارة ما دام حياً.</w:t>
      </w:r>
    </w:p>
    <w:p w14:paraId="7F0D6CBE" w14:textId="77777777"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وإنْ كان المقصود باعتبار انقضاء مدّة الإجارة هو اعتباره مطلقاً فهو حاصل في المقام، غاية ما في الأمر أنّ المالك للعين كان المورث وأصبح هو الوارث، وإلّا فانقضاء مدّة الإجارة متحقق على كلّ حال.</w:t>
      </w:r>
    </w:p>
    <w:p w14:paraId="4111BDD8"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والنتيجة في المقام الأوّل:</w:t>
      </w:r>
      <w:r w:rsidRPr="00F27422">
        <w:rPr>
          <w:rFonts w:asciiTheme="minorBidi" w:hAnsiTheme="minorBidi"/>
          <w:sz w:val="32"/>
          <w:szCs w:val="32"/>
          <w:rtl/>
        </w:rPr>
        <w:t xml:space="preserve"> أنّ ما هو مقتضى القاعدة هو عدم ورود الوجوه الثلاثة لبطلان الإجارة بموت المؤجّر، </w:t>
      </w:r>
      <w:r w:rsidRPr="00F27422">
        <w:rPr>
          <w:rFonts w:asciiTheme="minorBidi" w:hAnsiTheme="minorBidi"/>
          <w:sz w:val="32"/>
          <w:szCs w:val="32"/>
          <w:highlight w:val="yellow"/>
          <w:rtl/>
        </w:rPr>
        <w:t xml:space="preserve">فمقتضى عموم قوله تعالى: </w:t>
      </w:r>
      <w:r w:rsidRPr="00F27422">
        <w:rPr>
          <w:rFonts w:asciiTheme="minorBidi" w:hAnsiTheme="minorBidi"/>
          <w:b/>
          <w:bCs/>
          <w:sz w:val="32"/>
          <w:szCs w:val="32"/>
          <w:highlight w:val="yellow"/>
          <w:rtl/>
        </w:rPr>
        <w:t>(يَا أَيُّهَا الَّذِينَ آمَنُوا أَوْفُوا بِالْعُقُودِ)</w:t>
      </w:r>
      <w:r w:rsidRPr="00F27422">
        <w:rPr>
          <w:rFonts w:asciiTheme="minorBidi" w:hAnsiTheme="minorBidi"/>
          <w:sz w:val="32"/>
          <w:szCs w:val="32"/>
          <w:highlight w:val="yellow"/>
          <w:rtl/>
        </w:rPr>
        <w:t xml:space="preserve"> [المائدة، 1] صحّة الإجارة.</w:t>
      </w:r>
    </w:p>
    <w:p w14:paraId="60ACD505"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المقام الثاني:</w:t>
      </w:r>
      <w:r w:rsidRPr="00F27422">
        <w:rPr>
          <w:rFonts w:asciiTheme="minorBidi" w:hAnsiTheme="minorBidi"/>
          <w:sz w:val="32"/>
          <w:szCs w:val="32"/>
          <w:rtl/>
        </w:rPr>
        <w:t xml:space="preserve"> مع أنّ مقتضى القاعدة هو الصحّة، لكن قد استدل على بطلان الإجارة بموت المؤجّر ببعض الروايات الخاصة.</w:t>
      </w:r>
    </w:p>
    <w:p w14:paraId="6174FA94"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وعمدة هذه الروايات</w:t>
      </w:r>
      <w:r w:rsidRPr="00F27422">
        <w:rPr>
          <w:rFonts w:asciiTheme="minorBidi" w:hAnsiTheme="minorBidi"/>
          <w:sz w:val="32"/>
          <w:szCs w:val="32"/>
          <w:rtl/>
        </w:rPr>
        <w:t xml:space="preserve"> ما رواه الكليني (أعلى الله مقامه) بطريقيه عن إبراهيم بن محمّد الهمذاني - وفي التهذيب والوسائل "الهمداني" - كما في كتابه [الكافي، دار الكتب الإسلامية، ج5، كتاب المعيشة، باب من يؤاجر أرضاً ثمّ يبيعها قبل انقضاء الأجل أو يموت فتورث الأرض قبل انقضاء الأجل، ح2]، ورواه الشيخ الطوسي (عليه الرحمة) عن أحمد بن اسحاق الأبهري في كتابه [تهذيب الأحكام، شيخ الطائفة الطوسي، دار الكتب الإسلامية، ج7، كتاب التجارات، باب المزارعة، ح58]، ورواه الشيخ الحر (رحمه الله) في كتابه [وسائل الشيعة، الحر العاملي، تحقيق مؤسسة آل البيت (عليهم السلام) لإحياء التراث، ج19، كتاب الإجارة، الباب 25 باب حكم الإجارة هل تبطل بموت المؤجر أو المستأجر أم لا؟، ح1].</w:t>
      </w:r>
    </w:p>
    <w:p w14:paraId="5FBDF0D5" w14:textId="737DE4D9"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 xml:space="preserve">ونص الرواية كما في الكافي: </w:t>
      </w:r>
      <w:r w:rsidRPr="00F27422">
        <w:rPr>
          <w:rFonts w:asciiTheme="minorBidi" w:hAnsiTheme="minorBidi"/>
          <w:b/>
          <w:bCs/>
          <w:sz w:val="32"/>
          <w:szCs w:val="32"/>
          <w:rtl/>
        </w:rPr>
        <w:t xml:space="preserve">(عدّة من أصحابنا عن سهل بن زياد وأحمد بن محمّد، عن عليّ بن مهزيار، عن إبراهيم بن محمّد الهمذاني ومحمّد بن جعفر الرّزاز، عن محمّد بن </w:t>
      </w:r>
      <w:r w:rsidRPr="00F27422">
        <w:rPr>
          <w:rFonts w:asciiTheme="minorBidi" w:hAnsiTheme="minorBidi"/>
          <w:b/>
          <w:bCs/>
          <w:sz w:val="32"/>
          <w:szCs w:val="32"/>
          <w:rtl/>
        </w:rPr>
        <w:lastRenderedPageBreak/>
        <w:t xml:space="preserve">عيسى، عن إبراهيم الهمذاني قال: كتبت إلى أبي الحسن (عليه السلام) وسألته عن امرأة </w:t>
      </w:r>
      <w:r w:rsidRPr="00F27422">
        <w:rPr>
          <w:rFonts w:asciiTheme="minorBidi" w:hAnsiTheme="minorBidi"/>
          <w:b/>
          <w:bCs/>
          <w:sz w:val="32"/>
          <w:szCs w:val="32"/>
          <w:highlight w:val="yellow"/>
          <w:rtl/>
        </w:rPr>
        <w:t>آجرت ضيعتها عشر سنين على أن تُعطى الأُجرة في كلّ سنة</w:t>
      </w:r>
      <w:r w:rsidRPr="00F27422">
        <w:rPr>
          <w:rFonts w:asciiTheme="minorBidi" w:hAnsiTheme="minorBidi"/>
          <w:b/>
          <w:bCs/>
          <w:sz w:val="32"/>
          <w:szCs w:val="32"/>
          <w:rtl/>
        </w:rPr>
        <w:t xml:space="preserve"> عند انقضائها لا يُقدَّمُ لها شيءٌ من الأُجرة ما لم يمضِ الوقت فماتت قبل ثلاث سنين أو بعدها هل يجب على ورثتها إنفاذ الإجارة إلى الوقت أم تكون الإجارة منقضية بموت المرأة؟ فكتب (عليه السلام): إن كان لها وقتٌ مسمى لم يبلُغ فماتت فلورثتها تلك </w:t>
      </w:r>
      <w:proofErr w:type="gramStart"/>
      <w:r w:rsidRPr="00F27422">
        <w:rPr>
          <w:rFonts w:asciiTheme="minorBidi" w:hAnsiTheme="minorBidi"/>
          <w:b/>
          <w:bCs/>
          <w:sz w:val="32"/>
          <w:szCs w:val="32"/>
          <w:rtl/>
        </w:rPr>
        <w:t xml:space="preserve">الإجارة </w:t>
      </w:r>
      <w:r w:rsidR="00323F13" w:rsidRPr="00F27422">
        <w:rPr>
          <w:rFonts w:asciiTheme="minorBidi" w:hAnsiTheme="minorBidi"/>
          <w:b/>
          <w:bCs/>
          <w:sz w:val="32"/>
          <w:szCs w:val="32"/>
          <w:rtl/>
        </w:rPr>
        <w:t>،</w:t>
      </w:r>
      <w:proofErr w:type="gramEnd"/>
      <w:r w:rsidR="00323F13" w:rsidRPr="00F27422">
        <w:rPr>
          <w:rFonts w:asciiTheme="minorBidi" w:hAnsiTheme="minorBidi"/>
          <w:b/>
          <w:bCs/>
          <w:sz w:val="32"/>
          <w:szCs w:val="32"/>
          <w:rtl/>
        </w:rPr>
        <w:t xml:space="preserve"> </w:t>
      </w:r>
      <w:r w:rsidRPr="00F27422">
        <w:rPr>
          <w:rFonts w:asciiTheme="minorBidi" w:hAnsiTheme="minorBidi"/>
          <w:b/>
          <w:bCs/>
          <w:sz w:val="32"/>
          <w:szCs w:val="32"/>
          <w:rtl/>
        </w:rPr>
        <w:t>فإن لم تبلُغ ذلك الوقت وبلغت ثلثه أو نصفه أو شيئاً منه فيُعطى ورثتها بقدر ما بلغت ذلك الوقت إن شاء الله).</w:t>
      </w:r>
      <w:r w:rsidRPr="00F27422">
        <w:rPr>
          <w:rFonts w:asciiTheme="minorBidi" w:hAnsiTheme="minorBidi"/>
          <w:sz w:val="32"/>
          <w:szCs w:val="32"/>
          <w:rtl/>
        </w:rPr>
        <w:t xml:space="preserve"> [الكافي، دار الكتب الإسلامية، ج5، كتاب المعيشة، باب من يؤاجر أرضاً ثمّ يبيعها قبل انقضاء الأجل أو يموت فتورث الأرض قبل انقضاء الأجل، ح2].</w:t>
      </w:r>
    </w:p>
    <w:p w14:paraId="14CCF8E4"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بتقريب:</w:t>
      </w:r>
      <w:r w:rsidRPr="00F27422">
        <w:rPr>
          <w:rFonts w:asciiTheme="minorBidi" w:hAnsiTheme="minorBidi"/>
          <w:sz w:val="32"/>
          <w:szCs w:val="32"/>
          <w:rtl/>
        </w:rPr>
        <w:t xml:space="preserve"> أنّ ظاهر كلام الراوي هو السؤال عن نفوذ الإجارة بعد موت المؤجّر الذي هو محلّ كلامنا، ومعنى قوله (عليه السلام) في الجواب: </w:t>
      </w:r>
      <w:r w:rsidRPr="00F27422">
        <w:rPr>
          <w:rFonts w:asciiTheme="minorBidi" w:hAnsiTheme="minorBidi"/>
          <w:b/>
          <w:bCs/>
          <w:sz w:val="32"/>
          <w:szCs w:val="32"/>
          <w:rtl/>
        </w:rPr>
        <w:t xml:space="preserve">(إن كان لها وقتٌ مسمى لم يبلُغ فماتت فلورثتها تلك الإجارة) </w:t>
      </w:r>
      <w:r w:rsidRPr="00F27422">
        <w:rPr>
          <w:rFonts w:asciiTheme="minorBidi" w:hAnsiTheme="minorBidi"/>
          <w:sz w:val="32"/>
          <w:szCs w:val="32"/>
          <w:rtl/>
        </w:rPr>
        <w:t>أي إنْ كانت ماتت قبل حلول الوقت - لا قبل انقضاء الوقت - أي آجرت ضيعتها عشر سنين من شهر شعبان مثلاً فماتت في شهر رجب قبل ابتداء الوقت، فلورثتها السلطنة في تنفيذ الإجارة أو عدم تنفيذها.</w:t>
      </w:r>
    </w:p>
    <w:p w14:paraId="167510AE" w14:textId="77777777"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 xml:space="preserve">ومعنى قوله (عليه السلام): </w:t>
      </w:r>
      <w:r w:rsidRPr="00F27422">
        <w:rPr>
          <w:rFonts w:asciiTheme="minorBidi" w:hAnsiTheme="minorBidi"/>
          <w:b/>
          <w:bCs/>
          <w:sz w:val="32"/>
          <w:szCs w:val="32"/>
          <w:rtl/>
        </w:rPr>
        <w:t>(فإن لم تبلُغ ذلك الوقت وبلغت ثلثه أو نصفه أو شيئاً منه)</w:t>
      </w:r>
      <w:r w:rsidRPr="00F27422">
        <w:rPr>
          <w:rFonts w:asciiTheme="minorBidi" w:hAnsiTheme="minorBidi"/>
          <w:sz w:val="32"/>
          <w:szCs w:val="32"/>
          <w:rtl/>
        </w:rPr>
        <w:t xml:space="preserve"> بمقتضى المقابلة مع الفقرة السابقة هو انفساخ الإجارة، أي أنّها صحّت فيما مضى وانفسخت </w:t>
      </w:r>
      <w:proofErr w:type="gramStart"/>
      <w:r w:rsidRPr="00F27422">
        <w:rPr>
          <w:rFonts w:asciiTheme="minorBidi" w:hAnsiTheme="minorBidi"/>
          <w:sz w:val="32"/>
          <w:szCs w:val="32"/>
          <w:rtl/>
        </w:rPr>
        <w:t>في ما</w:t>
      </w:r>
      <w:proofErr w:type="gramEnd"/>
      <w:r w:rsidRPr="00F27422">
        <w:rPr>
          <w:rFonts w:asciiTheme="minorBidi" w:hAnsiTheme="minorBidi"/>
          <w:sz w:val="32"/>
          <w:szCs w:val="32"/>
          <w:rtl/>
        </w:rPr>
        <w:t xml:space="preserve"> بقي.</w:t>
      </w:r>
    </w:p>
    <w:p w14:paraId="240DB27D"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والبحث في صحّة الاستدلال بالرواية من جهتين:</w:t>
      </w:r>
      <w:r w:rsidRPr="00F27422">
        <w:rPr>
          <w:rFonts w:asciiTheme="minorBidi" w:hAnsiTheme="minorBidi"/>
          <w:sz w:val="32"/>
          <w:szCs w:val="32"/>
          <w:rtl/>
        </w:rPr>
        <w:t xml:space="preserve"> الأولى: من حيث السند، والأُخرى: من ناحية الدلالة.</w:t>
      </w:r>
    </w:p>
    <w:p w14:paraId="3C851FA1" w14:textId="77777777" w:rsidR="00FC7424" w:rsidRPr="00F27422" w:rsidRDefault="00FC7424" w:rsidP="00122B70">
      <w:pPr>
        <w:bidi/>
        <w:rPr>
          <w:rFonts w:asciiTheme="minorBidi" w:hAnsiTheme="minorBidi"/>
          <w:b/>
          <w:bCs/>
          <w:sz w:val="32"/>
          <w:szCs w:val="32"/>
          <w:rtl/>
        </w:rPr>
      </w:pPr>
      <w:r w:rsidRPr="00F27422">
        <w:rPr>
          <w:rFonts w:asciiTheme="minorBidi" w:hAnsiTheme="minorBidi"/>
          <w:b/>
          <w:bCs/>
          <w:sz w:val="32"/>
          <w:szCs w:val="32"/>
          <w:rtl/>
        </w:rPr>
        <w:t>أمّا الجهة الأولى: من حيث السند:</w:t>
      </w:r>
    </w:p>
    <w:p w14:paraId="5A1B427F" w14:textId="77777777"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فإنّ للرواية طريقين:</w:t>
      </w:r>
    </w:p>
    <w:p w14:paraId="62D2E843"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الطريق الأوّل:</w:t>
      </w:r>
      <w:r w:rsidRPr="00F27422">
        <w:rPr>
          <w:rFonts w:asciiTheme="minorBidi" w:hAnsiTheme="minorBidi"/>
          <w:sz w:val="32"/>
          <w:szCs w:val="32"/>
          <w:rtl/>
        </w:rPr>
        <w:t xml:space="preserve"> هو طريق الشيخ الكليني (أعلى الله مقامه) إلى إبراهيم بن محمّد الهمداني.</w:t>
      </w:r>
    </w:p>
    <w:p w14:paraId="50254248" w14:textId="77777777"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وقد أفاد سيدنا الخوئي (قدس سره الشريف) في موسوعته المباركة [كتاب الإجارة، ج30، ص127] أنّ طريق الكليني تامٌ إلّا من جهة إبراهيم بن محمّد الهمداني، حيث لم يرد فيه مدح ولا توثيق.</w:t>
      </w:r>
    </w:p>
    <w:p w14:paraId="406CAC3B" w14:textId="77777777" w:rsidR="00FC7424" w:rsidRPr="00F27422" w:rsidRDefault="00FC7424" w:rsidP="00122B70">
      <w:pPr>
        <w:bidi/>
        <w:rPr>
          <w:rFonts w:asciiTheme="minorBidi" w:hAnsiTheme="minorBidi"/>
          <w:b/>
          <w:bCs/>
          <w:sz w:val="32"/>
          <w:szCs w:val="32"/>
          <w:rtl/>
        </w:rPr>
      </w:pPr>
      <w:r w:rsidRPr="00F27422">
        <w:rPr>
          <w:rFonts w:asciiTheme="minorBidi" w:hAnsiTheme="minorBidi"/>
          <w:sz w:val="32"/>
          <w:szCs w:val="32"/>
          <w:rtl/>
        </w:rPr>
        <w:t xml:space="preserve">وعلق على ذلك السيد الحكيم السبط (قدس سره الشريف) في كتابه [مصباح المنهاج، كتاب الإجارة، ص226 - 227] حيث قال: </w:t>
      </w:r>
      <w:r w:rsidRPr="00F27422">
        <w:rPr>
          <w:rFonts w:asciiTheme="minorBidi" w:hAnsiTheme="minorBidi"/>
          <w:b/>
          <w:bCs/>
          <w:sz w:val="32"/>
          <w:szCs w:val="32"/>
          <w:rtl/>
        </w:rPr>
        <w:t>(وقد حكم في مجمع البرهان بعدم صحة الحديث. وعن بعض مشايخنا (قدس سره))</w:t>
      </w:r>
      <w:r w:rsidRPr="00F27422">
        <w:rPr>
          <w:rFonts w:asciiTheme="minorBidi" w:hAnsiTheme="minorBidi"/>
          <w:sz w:val="32"/>
          <w:szCs w:val="32"/>
          <w:rtl/>
        </w:rPr>
        <w:t xml:space="preserve"> أي السيد الخوئي </w:t>
      </w:r>
      <w:r w:rsidRPr="00F27422">
        <w:rPr>
          <w:rFonts w:asciiTheme="minorBidi" w:hAnsiTheme="minorBidi"/>
          <w:b/>
          <w:bCs/>
          <w:sz w:val="32"/>
          <w:szCs w:val="32"/>
          <w:rtl/>
        </w:rPr>
        <w:t>(موافقته في ذلك)</w:t>
      </w:r>
      <w:r w:rsidRPr="00F27422">
        <w:rPr>
          <w:rFonts w:asciiTheme="minorBidi" w:hAnsiTheme="minorBidi"/>
          <w:sz w:val="32"/>
          <w:szCs w:val="32"/>
          <w:rtl/>
        </w:rPr>
        <w:t xml:space="preserve"> أي في ضعف الرواية </w:t>
      </w:r>
      <w:r w:rsidRPr="00F27422">
        <w:rPr>
          <w:rFonts w:asciiTheme="minorBidi" w:hAnsiTheme="minorBidi"/>
          <w:b/>
          <w:bCs/>
          <w:sz w:val="32"/>
          <w:szCs w:val="32"/>
          <w:rtl/>
        </w:rPr>
        <w:t xml:space="preserve">(لعدم </w:t>
      </w:r>
      <w:r w:rsidRPr="00F27422">
        <w:rPr>
          <w:rFonts w:asciiTheme="minorBidi" w:hAnsiTheme="minorBidi"/>
          <w:b/>
          <w:bCs/>
          <w:sz w:val="32"/>
          <w:szCs w:val="32"/>
          <w:rtl/>
        </w:rPr>
        <w:lastRenderedPageBreak/>
        <w:t>ثبوت وثاقة إبراهيم بن محمد الهمداني، وجهالة أحمد بن إسحاق الأبهري. إلا أن يكون الأبهري تصحيف الأشعري، فيكون ثقة، إلا أن ذلك لم يثبت.</w:t>
      </w:r>
    </w:p>
    <w:p w14:paraId="241838BD" w14:textId="77777777" w:rsidR="00FC7424" w:rsidRPr="00F27422" w:rsidRDefault="00FC7424" w:rsidP="00122B70">
      <w:pPr>
        <w:bidi/>
        <w:rPr>
          <w:rFonts w:asciiTheme="minorBidi" w:hAnsiTheme="minorBidi"/>
          <w:b/>
          <w:bCs/>
          <w:sz w:val="32"/>
          <w:szCs w:val="32"/>
          <w:rtl/>
        </w:rPr>
      </w:pPr>
      <w:r w:rsidRPr="00F27422">
        <w:rPr>
          <w:rFonts w:asciiTheme="minorBidi" w:hAnsiTheme="minorBidi"/>
          <w:b/>
          <w:bCs/>
          <w:sz w:val="32"/>
          <w:szCs w:val="32"/>
          <w:rtl/>
        </w:rPr>
        <w:t>هذا وإبراهيم بن محمد الهمداني من وكلاء الناحية المقدسة، كما يأتي، وقد ذكر بعض مشايخنا (قدس سره) أن ذلك لا يكفي في إحراز وثاقته. قال في المدخل من كتابه معجم رجال الحديث: (الوكالة لا تستلزم العدالة، ويجوز توكيل الفاسق إجماعاً وبلا إشكال. غاية الأمر أن العقلاء لا يوكلون في الأمور المالية من لا يوثق بأمانته، وأين هذا من اعتبار العدالة في التوكيل؟!... وهذا وقد ذكر الشيخ في كتاب الغيبة عدة من المذمومين من وكلاء الأئمة (عليهم السلام)، فإذا كانت الوكالة تلزمها العدالة فكيف يمكن انفكاكها عنها في مورد؟!...).</w:t>
      </w:r>
    </w:p>
    <w:p w14:paraId="50457450" w14:textId="77777777"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 xml:space="preserve">ثمّ ناقش السيد الحكيم السبط (قدس سره) </w:t>
      </w:r>
      <w:proofErr w:type="gramStart"/>
      <w:r w:rsidRPr="00F27422">
        <w:rPr>
          <w:rFonts w:asciiTheme="minorBidi" w:hAnsiTheme="minorBidi"/>
          <w:sz w:val="32"/>
          <w:szCs w:val="32"/>
          <w:rtl/>
        </w:rPr>
        <w:t>في ما</w:t>
      </w:r>
      <w:proofErr w:type="gramEnd"/>
      <w:r w:rsidRPr="00F27422">
        <w:rPr>
          <w:rFonts w:asciiTheme="minorBidi" w:hAnsiTheme="minorBidi"/>
          <w:sz w:val="32"/>
          <w:szCs w:val="32"/>
          <w:rtl/>
        </w:rPr>
        <w:t xml:space="preserve"> ذكره سيدنا الخوئي (قدس سره) بأنّ ما ذكره ممنوعٌ، لوجوهٍ ثلاثة:</w:t>
      </w:r>
    </w:p>
    <w:p w14:paraId="138C101C"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 xml:space="preserve">الوجه الأول: </w:t>
      </w:r>
      <w:r w:rsidRPr="00F27422">
        <w:rPr>
          <w:rFonts w:asciiTheme="minorBidi" w:hAnsiTheme="minorBidi"/>
          <w:sz w:val="32"/>
          <w:szCs w:val="32"/>
          <w:rtl/>
        </w:rPr>
        <w:t xml:space="preserve">من ناحية الكُبرى: </w:t>
      </w:r>
      <w:r w:rsidRPr="00F27422">
        <w:rPr>
          <w:rFonts w:asciiTheme="minorBidi" w:hAnsiTheme="minorBidi"/>
          <w:b/>
          <w:bCs/>
          <w:sz w:val="32"/>
          <w:szCs w:val="32"/>
          <w:rtl/>
        </w:rPr>
        <w:t>(لكن ما ذكره قد يتم فيمن يكون وكيلاً في أمور خاصة خارجة عن منصبهم الشريف وإمامتهم، كمن هو وكيل في شراء دار أو جارية أو نحوهما. أما من كان وكيلاً عنهم في منصبهم)</w:t>
      </w:r>
      <w:r w:rsidRPr="00F27422">
        <w:rPr>
          <w:rFonts w:asciiTheme="minorBidi" w:hAnsiTheme="minorBidi"/>
          <w:sz w:val="32"/>
          <w:szCs w:val="32"/>
          <w:rtl/>
        </w:rPr>
        <w:t xml:space="preserve"> أي صار وكيلاً عنهم بما هم أئمة لا أنّه وكيلٌ عنهم بما هم بشر يبيع دورهم ويشتري لهم جواري أو يقضي حوائجهم </w:t>
      </w:r>
      <w:r w:rsidRPr="00F27422">
        <w:rPr>
          <w:rFonts w:asciiTheme="minorBidi" w:hAnsiTheme="minorBidi"/>
          <w:b/>
          <w:bCs/>
          <w:sz w:val="32"/>
          <w:szCs w:val="32"/>
          <w:rtl/>
        </w:rPr>
        <w:t>(فالظاهر بلوغه مرتبة عالية من العدالة تناسب المنصب الشريف، نظير وكيل المرجع في عصورنا، بل هو أجل وأرفع.)</w:t>
      </w:r>
      <w:r w:rsidRPr="00F27422">
        <w:rPr>
          <w:rFonts w:asciiTheme="minorBidi" w:hAnsiTheme="minorBidi"/>
          <w:sz w:val="32"/>
          <w:szCs w:val="32"/>
          <w:rtl/>
        </w:rPr>
        <w:t xml:space="preserve"> فوكيل الإمام أعظم من وكيل المرجع، فإذا اشترطت العدالة في وكيل المرجع فكيف بوكيل الإمام؟</w:t>
      </w:r>
    </w:p>
    <w:p w14:paraId="7F52BCFD" w14:textId="77777777"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 xml:space="preserve">وأمّا من ناحية الصُغرى: </w:t>
      </w:r>
      <w:r w:rsidRPr="00F27422">
        <w:rPr>
          <w:rFonts w:asciiTheme="minorBidi" w:hAnsiTheme="minorBidi"/>
          <w:b/>
          <w:bCs/>
          <w:sz w:val="32"/>
          <w:szCs w:val="32"/>
          <w:rtl/>
        </w:rPr>
        <w:t xml:space="preserve">(وظاهر توصيف الشخص بأنه وكيل عنهم (عليهم السلام) إرادة الوكالة بالنحو المذكور.) </w:t>
      </w:r>
      <w:r w:rsidRPr="00F27422">
        <w:rPr>
          <w:rFonts w:asciiTheme="minorBidi" w:hAnsiTheme="minorBidi"/>
          <w:sz w:val="32"/>
          <w:szCs w:val="32"/>
          <w:rtl/>
        </w:rPr>
        <w:t>أي بما هم أئمة وليس إرادة وكالة بمعنى آخر.</w:t>
      </w:r>
    </w:p>
    <w:p w14:paraId="2429264E" w14:textId="77777777" w:rsidR="00FC7424" w:rsidRPr="00F27422" w:rsidRDefault="00FC7424" w:rsidP="00122B70">
      <w:pPr>
        <w:bidi/>
        <w:rPr>
          <w:rFonts w:asciiTheme="minorBidi" w:hAnsiTheme="minorBidi"/>
          <w:b/>
          <w:bCs/>
          <w:sz w:val="32"/>
          <w:szCs w:val="32"/>
          <w:rtl/>
        </w:rPr>
      </w:pPr>
      <w:r w:rsidRPr="00F27422">
        <w:rPr>
          <w:rFonts w:asciiTheme="minorBidi" w:hAnsiTheme="minorBidi"/>
          <w:b/>
          <w:bCs/>
          <w:sz w:val="32"/>
          <w:szCs w:val="32"/>
          <w:rtl/>
        </w:rPr>
        <w:t>(ولذا خص بأفراد قليلين مع ما هو المعلوم من كثرة من يتوكل عنهم (عليهم السلام) في حوائجهم الشخصية المختلفة والخارجة عن منصبهم الرفيع من غلمانهم وجواريهم وغيرهم).</w:t>
      </w:r>
    </w:p>
    <w:p w14:paraId="59AF437E" w14:textId="77777777" w:rsidR="00FC7424" w:rsidRPr="00F27422" w:rsidRDefault="00FC7424" w:rsidP="00122B70">
      <w:pPr>
        <w:bidi/>
        <w:rPr>
          <w:rFonts w:asciiTheme="minorBidi" w:hAnsiTheme="minorBidi"/>
          <w:sz w:val="32"/>
          <w:szCs w:val="32"/>
          <w:rtl/>
        </w:rPr>
      </w:pPr>
      <w:r w:rsidRPr="00F27422">
        <w:rPr>
          <w:rFonts w:asciiTheme="minorBidi" w:hAnsiTheme="minorBidi"/>
          <w:sz w:val="32"/>
          <w:szCs w:val="32"/>
          <w:rtl/>
        </w:rPr>
        <w:t>وعلى هذا فقد تمت الكُبرى، وهي أنّ الوكالة عن الأئمة (عليهم السلام) بما هم أئمة تدل على العدالة فضلاً عن الوثاقة، خلافاً لسيدنا الخوئي (قدس سره الشريف).</w:t>
      </w:r>
    </w:p>
    <w:p w14:paraId="33BD2BB7"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الوجه الثاني:</w:t>
      </w:r>
      <w:r w:rsidRPr="00F27422">
        <w:rPr>
          <w:rFonts w:asciiTheme="minorBidi" w:hAnsiTheme="minorBidi"/>
          <w:sz w:val="32"/>
          <w:szCs w:val="32"/>
          <w:rtl/>
        </w:rPr>
        <w:t xml:space="preserve"> لو سلم طعنه في الكُبرى من خلال تخلفها في وكلاء الأئمة السابقين (عليهم السلام) فلا مورد للطعن في الوكيل عن صاحب الأمر (عجل الله تعالى فرجه الشريف)، </w:t>
      </w:r>
      <w:r w:rsidRPr="00F27422">
        <w:rPr>
          <w:rFonts w:asciiTheme="minorBidi" w:hAnsiTheme="minorBidi"/>
          <w:b/>
          <w:bCs/>
          <w:sz w:val="32"/>
          <w:szCs w:val="32"/>
          <w:rtl/>
        </w:rPr>
        <w:t xml:space="preserve">(بل </w:t>
      </w:r>
      <w:r w:rsidRPr="00F27422">
        <w:rPr>
          <w:rFonts w:asciiTheme="minorBidi" w:hAnsiTheme="minorBidi"/>
          <w:b/>
          <w:bCs/>
          <w:sz w:val="32"/>
          <w:szCs w:val="32"/>
          <w:rtl/>
        </w:rPr>
        <w:lastRenderedPageBreak/>
        <w:t>لا يحتمل في نقل الوكالة عن الناحية المقدسة إلا الوكالة بلحاظ المنصب الشريف)</w:t>
      </w:r>
      <w:r w:rsidRPr="00F27422">
        <w:rPr>
          <w:rFonts w:asciiTheme="minorBidi" w:hAnsiTheme="minorBidi"/>
          <w:sz w:val="32"/>
          <w:szCs w:val="32"/>
          <w:rtl/>
        </w:rPr>
        <w:t xml:space="preserve"> لأنّ المنصب خطير جداً، فلا محالة يكون ذلك مساوقاً للعدالة.</w:t>
      </w:r>
    </w:p>
    <w:p w14:paraId="7B42D761"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 xml:space="preserve">الوجه الثالث: (مضافاً إلى سَوق الوكالة في كلام الرجاليين في مساق المدح والتبجيل، وهم أدرى منها بمدلولها الالتزامي العرفي، لقرب عصرهم منها، مثل ما يأتي في المترجم. وقول النجاشي في علي بن مهزيار: (واختص بأبي جعفر الثاني وتوكل له وعظم محله منه). وقول الفضل بن شاذان: (حدثني </w:t>
      </w:r>
      <w:proofErr w:type="gramStart"/>
      <w:r w:rsidRPr="00F27422">
        <w:rPr>
          <w:rFonts w:asciiTheme="minorBidi" w:hAnsiTheme="minorBidi"/>
          <w:b/>
          <w:bCs/>
          <w:sz w:val="32"/>
          <w:szCs w:val="32"/>
          <w:rtl/>
        </w:rPr>
        <w:t>عبدالعزيز</w:t>
      </w:r>
      <w:proofErr w:type="gramEnd"/>
      <w:r w:rsidRPr="00F27422">
        <w:rPr>
          <w:rFonts w:asciiTheme="minorBidi" w:hAnsiTheme="minorBidi"/>
          <w:b/>
          <w:bCs/>
          <w:sz w:val="32"/>
          <w:szCs w:val="32"/>
          <w:rtl/>
        </w:rPr>
        <w:t>، وكان خير قمي فيمن رأيته وكان وكيل الرضا (عليه السلام</w:t>
      </w:r>
      <w:proofErr w:type="gramStart"/>
      <w:r w:rsidRPr="00F27422">
        <w:rPr>
          <w:rFonts w:asciiTheme="minorBidi" w:hAnsiTheme="minorBidi"/>
          <w:b/>
          <w:bCs/>
          <w:sz w:val="32"/>
          <w:szCs w:val="32"/>
          <w:rtl/>
        </w:rPr>
        <w:t>))...</w:t>
      </w:r>
      <w:proofErr w:type="gramEnd"/>
      <w:r w:rsidRPr="00F27422">
        <w:rPr>
          <w:rFonts w:asciiTheme="minorBidi" w:hAnsiTheme="minorBidi"/>
          <w:b/>
          <w:bCs/>
          <w:sz w:val="32"/>
          <w:szCs w:val="32"/>
          <w:rtl/>
        </w:rPr>
        <w:t xml:space="preserve"> إلى غير ذلك).</w:t>
      </w:r>
    </w:p>
    <w:p w14:paraId="4E4DA484" w14:textId="77777777" w:rsidR="00FC7424" w:rsidRPr="00F27422" w:rsidRDefault="00FC7424" w:rsidP="00122B70">
      <w:pPr>
        <w:bidi/>
        <w:rPr>
          <w:rFonts w:asciiTheme="minorBidi" w:hAnsiTheme="minorBidi"/>
          <w:b/>
          <w:bCs/>
          <w:sz w:val="32"/>
          <w:szCs w:val="32"/>
          <w:rtl/>
        </w:rPr>
      </w:pPr>
      <w:r w:rsidRPr="00F27422">
        <w:rPr>
          <w:rFonts w:asciiTheme="minorBidi" w:hAnsiTheme="minorBidi"/>
          <w:sz w:val="32"/>
          <w:szCs w:val="32"/>
          <w:rtl/>
        </w:rPr>
        <w:t xml:space="preserve">ثمّ أشار لدفع ما ورد من النقض بقوله: </w:t>
      </w:r>
      <w:r w:rsidRPr="00F27422">
        <w:rPr>
          <w:rFonts w:asciiTheme="minorBidi" w:hAnsiTheme="minorBidi"/>
          <w:b/>
          <w:bCs/>
          <w:sz w:val="32"/>
          <w:szCs w:val="32"/>
          <w:rtl/>
        </w:rPr>
        <w:t xml:space="preserve">(وأما ما ذكره (قدس سره) من وجود المذمومين في وكلاء الأئمة (عليهم السلام) فهو إنما يمنع من كشف الوكالة عن </w:t>
      </w:r>
      <w:proofErr w:type="gramStart"/>
      <w:r w:rsidRPr="00F27422">
        <w:rPr>
          <w:rFonts w:asciiTheme="minorBidi" w:hAnsiTheme="minorBidi"/>
          <w:b/>
          <w:bCs/>
          <w:sz w:val="32"/>
          <w:szCs w:val="32"/>
          <w:rtl/>
        </w:rPr>
        <w:t>الوثاقة</w:t>
      </w:r>
      <w:proofErr w:type="gramEnd"/>
      <w:r w:rsidRPr="00F27422">
        <w:rPr>
          <w:rFonts w:asciiTheme="minorBidi" w:hAnsiTheme="minorBidi"/>
          <w:b/>
          <w:bCs/>
          <w:sz w:val="32"/>
          <w:szCs w:val="32"/>
          <w:rtl/>
        </w:rPr>
        <w:t xml:space="preserve"> بل عن العدالة إذا كان الذم حال الوكالة، أما إذا كان الذم طارئاً بسبب فتنة انقلب فيها الوكيل على عقبيه، حتى عزل ولعن، فهي ترجع إلى ما هو المقطوع به من عدم ملازمة الوكالة للعصمة، ولا تنافي ملازمتها للعدالة.</w:t>
      </w:r>
    </w:p>
    <w:p w14:paraId="13AD3499" w14:textId="77777777" w:rsidR="00FC7424" w:rsidRPr="00F27422" w:rsidRDefault="00FC7424" w:rsidP="00122B70">
      <w:pPr>
        <w:bidi/>
        <w:rPr>
          <w:rFonts w:asciiTheme="minorBidi" w:hAnsiTheme="minorBidi"/>
          <w:b/>
          <w:bCs/>
          <w:sz w:val="32"/>
          <w:szCs w:val="32"/>
          <w:rtl/>
        </w:rPr>
      </w:pPr>
      <w:r w:rsidRPr="00F27422">
        <w:rPr>
          <w:rFonts w:asciiTheme="minorBidi" w:hAnsiTheme="minorBidi"/>
          <w:b/>
          <w:bCs/>
          <w:sz w:val="32"/>
          <w:szCs w:val="32"/>
          <w:rtl/>
        </w:rPr>
        <w:t>وعلى ذلك يتعين البناء على وثاقة الوكيل، بل عدالته ما لم يثبت انقلابه، فتسقط أخباره الواردة عنه بعد الانقلاب عن الحجية، من دون أن يمنع من حجية الأخبار السابقة عليه. والظاهر أن عمل الأصحاب على ذلك.</w:t>
      </w:r>
    </w:p>
    <w:p w14:paraId="76C7807C" w14:textId="77777777" w:rsidR="00FC7424" w:rsidRPr="00F27422" w:rsidRDefault="00FC7424" w:rsidP="00122B70">
      <w:pPr>
        <w:bidi/>
        <w:rPr>
          <w:rFonts w:asciiTheme="minorBidi" w:hAnsiTheme="minorBidi"/>
          <w:sz w:val="32"/>
          <w:szCs w:val="32"/>
          <w:rtl/>
        </w:rPr>
      </w:pPr>
      <w:r w:rsidRPr="00F27422">
        <w:rPr>
          <w:rFonts w:asciiTheme="minorBidi" w:hAnsiTheme="minorBidi"/>
          <w:b/>
          <w:bCs/>
          <w:sz w:val="32"/>
          <w:szCs w:val="32"/>
          <w:rtl/>
        </w:rPr>
        <w:t>هذا مضافاً في المترجم له إلى ظهور مدح الرجاليين له بالوكالة وغيرها. فقد قال النجاشي في ترجمة حفيده محمد بن علي بن إبراهيم: (أخبرنا أبو العباس أحمد بن علي بن نوح، قال: حدثنا أبو القاسم جعفر بن محمد، قال: حدثنا القاسم بن محمد بن علي بن إبراهيم بن محمد - الذي تقدم ذكره - وكيل الناحية، وأبوه وكيل الناحية، وجده علي وكيل الناحية، وجد أبيه إبراهيم بن محمد وكيل الناحية...)، لظهوره)</w:t>
      </w:r>
      <w:r w:rsidRPr="00F27422">
        <w:rPr>
          <w:rFonts w:asciiTheme="minorBidi" w:hAnsiTheme="minorBidi"/>
          <w:sz w:val="32"/>
          <w:szCs w:val="32"/>
          <w:rtl/>
        </w:rPr>
        <w:t xml:space="preserve"> في </w:t>
      </w:r>
      <w:r w:rsidRPr="00F27422">
        <w:rPr>
          <w:rFonts w:asciiTheme="minorBidi" w:hAnsiTheme="minorBidi"/>
          <w:b/>
          <w:bCs/>
          <w:sz w:val="32"/>
          <w:szCs w:val="32"/>
          <w:rtl/>
        </w:rPr>
        <w:t>(أن تنبيه جعفر بن محمد بن قولويه على وكالة هؤلاء الأربعة المتسلسلين في النسب لبيان تشرفهم بثقة الإمام وتوكيله لهم).</w:t>
      </w:r>
    </w:p>
    <w:p w14:paraId="5E990A02" w14:textId="77777777" w:rsidR="00FC7424" w:rsidRPr="00F27422" w:rsidRDefault="00FC7424" w:rsidP="00122B70">
      <w:pPr>
        <w:bidi/>
        <w:rPr>
          <w:rFonts w:asciiTheme="minorBidi" w:hAnsiTheme="minorBidi"/>
          <w:b/>
          <w:bCs/>
          <w:sz w:val="32"/>
          <w:szCs w:val="32"/>
          <w:rtl/>
        </w:rPr>
      </w:pPr>
    </w:p>
    <w:p w14:paraId="3021DD66" w14:textId="77777777" w:rsidR="00FC7424" w:rsidRPr="00F27422" w:rsidRDefault="00FC7424"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35FD59BC" w14:textId="77777777" w:rsidR="00F629B6" w:rsidRPr="00F27422" w:rsidRDefault="00F629B6" w:rsidP="00122B70">
      <w:pPr>
        <w:bidi/>
        <w:rPr>
          <w:rFonts w:asciiTheme="minorBidi" w:hAnsiTheme="minorBidi"/>
          <w:sz w:val="32"/>
          <w:szCs w:val="32"/>
          <w:rtl/>
        </w:rPr>
      </w:pPr>
    </w:p>
    <w:p w14:paraId="3DBB731C" w14:textId="13129514" w:rsidR="00557FEF" w:rsidRPr="00F27422" w:rsidRDefault="00C74CCB" w:rsidP="00122B70">
      <w:pPr>
        <w:pStyle w:val="Heading3"/>
        <w:bidi/>
        <w:rPr>
          <w:rFonts w:asciiTheme="minorBidi" w:hAnsiTheme="minorBidi" w:cstheme="minorBidi"/>
          <w:sz w:val="32"/>
          <w:szCs w:val="32"/>
          <w:rtl/>
        </w:rPr>
      </w:pPr>
      <w:r w:rsidRPr="00F27422">
        <w:rPr>
          <w:rFonts w:asciiTheme="minorBidi" w:hAnsiTheme="minorBidi" w:cstheme="minorBidi"/>
          <w:sz w:val="32"/>
          <w:szCs w:val="32"/>
        </w:rPr>
        <w:t>021</w:t>
      </w:r>
    </w:p>
    <w:p w14:paraId="367EB91D" w14:textId="77777777" w:rsidR="00A3169E" w:rsidRPr="00F27422" w:rsidRDefault="00A3169E"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36905C37" w14:textId="77777777" w:rsidR="00A3169E" w:rsidRPr="00F27422" w:rsidRDefault="00A3169E" w:rsidP="00122B70">
      <w:pPr>
        <w:bidi/>
        <w:rPr>
          <w:rFonts w:asciiTheme="minorBidi" w:hAnsiTheme="minorBidi"/>
          <w:b/>
          <w:bCs/>
          <w:sz w:val="32"/>
          <w:szCs w:val="32"/>
          <w:rtl/>
        </w:rPr>
      </w:pPr>
      <w:r w:rsidRPr="00F27422">
        <w:rPr>
          <w:rFonts w:asciiTheme="minorBidi" w:hAnsiTheme="minorBidi"/>
          <w:b/>
          <w:bCs/>
          <w:sz w:val="32"/>
          <w:szCs w:val="32"/>
          <w:rtl/>
        </w:rPr>
        <w:lastRenderedPageBreak/>
        <w:t>والصلاة والسلام على أشرف الأنبياء والمرسلين، محمد وآله الطيبين الطاهرين</w:t>
      </w:r>
    </w:p>
    <w:p w14:paraId="5B2E69D1" w14:textId="77777777" w:rsidR="00A3169E" w:rsidRPr="00F27422" w:rsidRDefault="00A3169E"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1E9E6DD7" w14:textId="77777777" w:rsidR="00A3169E" w:rsidRPr="00F27422" w:rsidRDefault="00A3169E" w:rsidP="00122B70">
      <w:pPr>
        <w:bidi/>
        <w:rPr>
          <w:rFonts w:asciiTheme="minorBidi" w:hAnsiTheme="minorBidi"/>
          <w:sz w:val="32"/>
          <w:szCs w:val="32"/>
          <w:rtl/>
        </w:rPr>
      </w:pPr>
    </w:p>
    <w:p w14:paraId="3EE88EB2" w14:textId="77777777" w:rsidR="00A3169E" w:rsidRPr="00F27422" w:rsidRDefault="00A3169E" w:rsidP="00122B70">
      <w:pPr>
        <w:bidi/>
        <w:rPr>
          <w:rFonts w:asciiTheme="minorBidi" w:hAnsiTheme="minorBidi"/>
          <w:sz w:val="32"/>
          <w:szCs w:val="32"/>
          <w:rtl/>
        </w:rPr>
      </w:pPr>
      <w:r w:rsidRPr="00F27422">
        <w:rPr>
          <w:rFonts w:asciiTheme="minorBidi" w:hAnsiTheme="minorBidi"/>
          <w:b/>
          <w:bCs/>
          <w:sz w:val="32"/>
          <w:szCs w:val="32"/>
          <w:rtl/>
        </w:rPr>
        <w:t>والمتحصل في استدلال السيد الحكيم السبط (قدس سره الشريف) برواية الهمداني على بطلان الإجارة بموت المؤجر:</w:t>
      </w:r>
      <w:r w:rsidRPr="00F27422">
        <w:rPr>
          <w:rFonts w:asciiTheme="minorBidi" w:hAnsiTheme="minorBidi"/>
          <w:sz w:val="32"/>
          <w:szCs w:val="32"/>
          <w:rtl/>
        </w:rPr>
        <w:t xml:space="preserve"> هو صحّة سند رواية إبراهيم بن محمّد الهمداني، لتمامية الكُبرى والصُغرى، أمّا الكُبرى فهي أنّ الوكالة عن الإمام (عليه السلام) شاهدٌ على العدالة فضلاً عن الوثاقة اللسانية، وأمّا الصغرى فلما ورد في عبارة الخلاصة والنجاشي من أنّ إبراهيم بن محمّد كان وكيل الناحية المقدسة، فالكُبرى وهيّ دلالة الوكالة على الوثاقة والصُغرى ثابتة، فنتيجة ضم الكُبرى للصُغرى أنّ إبراهيم بن محمّد الهمداني الراوي لهذه الرواية ثقةٌ.</w:t>
      </w:r>
    </w:p>
    <w:p w14:paraId="7AB72857" w14:textId="77777777" w:rsidR="00A3169E" w:rsidRPr="00F27422" w:rsidRDefault="00A3169E" w:rsidP="00122B70">
      <w:pPr>
        <w:bidi/>
        <w:rPr>
          <w:rFonts w:asciiTheme="minorBidi" w:hAnsiTheme="minorBidi"/>
          <w:b/>
          <w:bCs/>
          <w:sz w:val="32"/>
          <w:szCs w:val="32"/>
          <w:rtl/>
        </w:rPr>
      </w:pPr>
      <w:r w:rsidRPr="00F27422">
        <w:rPr>
          <w:rFonts w:asciiTheme="minorBidi" w:hAnsiTheme="minorBidi"/>
          <w:b/>
          <w:bCs/>
          <w:sz w:val="32"/>
          <w:szCs w:val="32"/>
          <w:rtl/>
        </w:rPr>
        <w:t>وتحقيق المطلب: أنّ توثيق إبراهيم بن محمّد الهمداني يعتمد على وجوه:</w:t>
      </w:r>
    </w:p>
    <w:p w14:paraId="5F937E1A" w14:textId="77777777" w:rsidR="00A3169E" w:rsidRPr="00F27422" w:rsidRDefault="00A3169E" w:rsidP="00122B70">
      <w:pPr>
        <w:bidi/>
        <w:rPr>
          <w:rFonts w:asciiTheme="minorBidi" w:hAnsiTheme="minorBidi"/>
          <w:sz w:val="32"/>
          <w:szCs w:val="32"/>
          <w:rtl/>
          <w:lang w:bidi="ar-BH"/>
        </w:rPr>
      </w:pPr>
      <w:r w:rsidRPr="00F27422">
        <w:rPr>
          <w:rFonts w:asciiTheme="minorBidi" w:hAnsiTheme="minorBidi"/>
          <w:b/>
          <w:bCs/>
          <w:sz w:val="32"/>
          <w:szCs w:val="32"/>
          <w:rtl/>
        </w:rPr>
        <w:t>الأوّل:</w:t>
      </w:r>
      <w:r w:rsidRPr="00F27422">
        <w:rPr>
          <w:rFonts w:asciiTheme="minorBidi" w:hAnsiTheme="minorBidi"/>
          <w:sz w:val="32"/>
          <w:szCs w:val="32"/>
          <w:rtl/>
        </w:rPr>
        <w:t xml:space="preserve"> كونه وكيلاً عن الإمام (عليه السلام):</w:t>
      </w:r>
    </w:p>
    <w:p w14:paraId="385985E2" w14:textId="77777777" w:rsidR="00A3169E" w:rsidRPr="00F27422" w:rsidRDefault="00A3169E" w:rsidP="00122B70">
      <w:pPr>
        <w:bidi/>
        <w:rPr>
          <w:rFonts w:asciiTheme="minorBidi" w:hAnsiTheme="minorBidi"/>
          <w:sz w:val="32"/>
          <w:szCs w:val="32"/>
          <w:rtl/>
          <w:lang w:bidi="ar-BH"/>
        </w:rPr>
      </w:pPr>
      <w:r w:rsidRPr="00F27422">
        <w:rPr>
          <w:rFonts w:asciiTheme="minorBidi" w:hAnsiTheme="minorBidi"/>
          <w:b/>
          <w:bCs/>
          <w:sz w:val="32"/>
          <w:szCs w:val="32"/>
          <w:rtl/>
        </w:rPr>
        <w:t>والبحث في ذلك من جهتين:</w:t>
      </w:r>
      <w:r w:rsidRPr="00F27422">
        <w:rPr>
          <w:rFonts w:asciiTheme="minorBidi" w:hAnsiTheme="minorBidi"/>
          <w:sz w:val="32"/>
          <w:szCs w:val="32"/>
          <w:rtl/>
        </w:rPr>
        <w:t xml:space="preserve"> الكُبرى والصُغرى:</w:t>
      </w:r>
    </w:p>
    <w:p w14:paraId="5D721228" w14:textId="77777777" w:rsidR="00A3169E" w:rsidRPr="00F27422" w:rsidRDefault="00A3169E" w:rsidP="00122B70">
      <w:pPr>
        <w:bidi/>
        <w:rPr>
          <w:rFonts w:asciiTheme="minorBidi" w:hAnsiTheme="minorBidi"/>
          <w:sz w:val="32"/>
          <w:szCs w:val="32"/>
          <w:rtl/>
          <w:lang w:bidi="ar-BH"/>
        </w:rPr>
      </w:pPr>
      <w:r w:rsidRPr="00F27422">
        <w:rPr>
          <w:rFonts w:asciiTheme="minorBidi" w:hAnsiTheme="minorBidi"/>
          <w:b/>
          <w:bCs/>
          <w:sz w:val="32"/>
          <w:szCs w:val="32"/>
          <w:rtl/>
        </w:rPr>
        <w:t>أمّا بالنسبة للكُبرى:</w:t>
      </w:r>
      <w:r w:rsidRPr="00F27422">
        <w:rPr>
          <w:rFonts w:asciiTheme="minorBidi" w:hAnsiTheme="minorBidi"/>
          <w:sz w:val="32"/>
          <w:szCs w:val="32"/>
          <w:rtl/>
        </w:rPr>
        <w:t xml:space="preserve"> فهي هل أنّ الوكالة عن الإمام (عليه السلام) تدل على </w:t>
      </w:r>
      <w:proofErr w:type="spellStart"/>
      <w:r w:rsidRPr="00F27422">
        <w:rPr>
          <w:rFonts w:asciiTheme="minorBidi" w:hAnsiTheme="minorBidi"/>
          <w:sz w:val="32"/>
          <w:szCs w:val="32"/>
          <w:rtl/>
        </w:rPr>
        <w:t>الوثاقه</w:t>
      </w:r>
      <w:proofErr w:type="spellEnd"/>
      <w:r w:rsidRPr="00F27422">
        <w:rPr>
          <w:rFonts w:asciiTheme="minorBidi" w:hAnsiTheme="minorBidi"/>
          <w:sz w:val="32"/>
          <w:szCs w:val="32"/>
          <w:rtl/>
        </w:rPr>
        <w:t xml:space="preserve"> أم لا؟</w:t>
      </w:r>
    </w:p>
    <w:p w14:paraId="7C2F6750" w14:textId="77777777" w:rsidR="00A3169E" w:rsidRPr="00F27422" w:rsidRDefault="00A3169E" w:rsidP="00122B70">
      <w:pPr>
        <w:bidi/>
        <w:rPr>
          <w:rFonts w:asciiTheme="minorBidi" w:hAnsiTheme="minorBidi"/>
          <w:sz w:val="32"/>
          <w:szCs w:val="32"/>
          <w:rtl/>
          <w:lang w:bidi="ar-BH"/>
        </w:rPr>
      </w:pPr>
      <w:r w:rsidRPr="00F27422">
        <w:rPr>
          <w:rFonts w:asciiTheme="minorBidi" w:hAnsiTheme="minorBidi"/>
          <w:sz w:val="32"/>
          <w:szCs w:val="32"/>
          <w:rtl/>
        </w:rPr>
        <w:t>حيث ذهب سيدنا الخوئي (قدس سره الشريف) كما في كتابه [معجم رجال الحديث، ج1، ص69] إلى عدم دلالة الوكالة على الوثاقة.</w:t>
      </w:r>
    </w:p>
    <w:p w14:paraId="419B5FA6" w14:textId="77777777" w:rsidR="00A3169E" w:rsidRPr="00F27422" w:rsidRDefault="00A3169E" w:rsidP="00122B70">
      <w:pPr>
        <w:bidi/>
        <w:rPr>
          <w:rFonts w:asciiTheme="minorBidi" w:hAnsiTheme="minorBidi"/>
          <w:sz w:val="32"/>
          <w:szCs w:val="32"/>
          <w:rtl/>
          <w:lang w:bidi="ar-BH"/>
        </w:rPr>
      </w:pPr>
      <w:r w:rsidRPr="00F27422">
        <w:rPr>
          <w:rFonts w:asciiTheme="minorBidi" w:hAnsiTheme="minorBidi"/>
          <w:sz w:val="32"/>
          <w:szCs w:val="32"/>
          <w:rtl/>
        </w:rPr>
        <w:t xml:space="preserve">بينما ذهب الشيخ الحسن بن زين الدين الشهيد الثاني في كتابه [منتقى الجُمان في الأحاديث الصحاح والحسان، مؤسسة النشر الإسلامي التابعة لجماعة المدرسين بقم المشرفة، ج1، ص19] إلى أنّ الوكالة تقتضي الوثاقة، حيث قال: </w:t>
      </w:r>
      <w:r w:rsidRPr="00F27422">
        <w:rPr>
          <w:rFonts w:asciiTheme="minorBidi" w:hAnsiTheme="minorBidi"/>
          <w:b/>
          <w:bCs/>
          <w:sz w:val="32"/>
          <w:szCs w:val="32"/>
          <w:rtl/>
        </w:rPr>
        <w:t>(ومقام الوكالة يقتضي الثقة، بل ما فوقها)</w:t>
      </w:r>
      <w:r w:rsidRPr="00F27422">
        <w:rPr>
          <w:rFonts w:asciiTheme="minorBidi" w:hAnsiTheme="minorBidi"/>
          <w:sz w:val="32"/>
          <w:szCs w:val="32"/>
          <w:rtl/>
        </w:rPr>
        <w:t xml:space="preserve"> أي جلالة القدر والعدالة فضلاً عن الوثاقة. وهو مختار الوحيد البهبهاني.</w:t>
      </w:r>
    </w:p>
    <w:p w14:paraId="00B13940"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b/>
          <w:bCs/>
          <w:sz w:val="32"/>
          <w:szCs w:val="32"/>
          <w:rtl/>
        </w:rPr>
        <w:t>وقد استدل على دلالة الوكالة على الوثاقة اللسانية بوجوه:</w:t>
      </w:r>
    </w:p>
    <w:p w14:paraId="29EE0CD7" w14:textId="77777777" w:rsidR="00A3169E" w:rsidRPr="00F27422" w:rsidRDefault="00A3169E" w:rsidP="00122B70">
      <w:pPr>
        <w:bidi/>
        <w:rPr>
          <w:rFonts w:asciiTheme="minorBidi" w:hAnsiTheme="minorBidi"/>
          <w:sz w:val="32"/>
          <w:szCs w:val="32"/>
          <w:rtl/>
          <w:lang w:bidi="ar-BH"/>
        </w:rPr>
      </w:pPr>
      <w:r w:rsidRPr="00F27422">
        <w:rPr>
          <w:rFonts w:asciiTheme="minorBidi" w:hAnsiTheme="minorBidi"/>
          <w:b/>
          <w:bCs/>
          <w:sz w:val="32"/>
          <w:szCs w:val="32"/>
          <w:rtl/>
        </w:rPr>
        <w:t>الوجه الأوّل:</w:t>
      </w:r>
      <w:r w:rsidRPr="00F27422">
        <w:rPr>
          <w:rFonts w:asciiTheme="minorBidi" w:hAnsiTheme="minorBidi"/>
          <w:sz w:val="32"/>
          <w:szCs w:val="32"/>
          <w:rtl/>
        </w:rPr>
        <w:t xml:space="preserve"> وجهٌ ثبوتي، وهو ما في كتاب [بحوثٌ في فقه الرجال، محاضرات ألقاها على طلابه سماحة آية الله العظمى السيد علي العلامة الفاني الأصفهاني (قدس سره)، تأليف السيد علي حسين مكي العاملي، مؤسسة العروة الوثقى، ص134] من دعوى استقرار السيرة العقلائية على عدم توكيل غير الثقة الأمين عندهم في الأمور المهمة والخطيرة؛ فإنّ توكيل غير الثقة نقضٌ للغرض ونقض الغرض قبيح، ومقتضى ذلك أنّ التوكيل ملازمٌ للوثاقة.</w:t>
      </w:r>
    </w:p>
    <w:p w14:paraId="2C6F5D9D" w14:textId="77777777" w:rsidR="00A3169E" w:rsidRPr="00F27422" w:rsidRDefault="00A3169E" w:rsidP="00122B70">
      <w:pPr>
        <w:bidi/>
        <w:rPr>
          <w:rFonts w:asciiTheme="minorBidi" w:hAnsiTheme="minorBidi"/>
          <w:sz w:val="32"/>
          <w:szCs w:val="32"/>
          <w:rtl/>
          <w:lang w:bidi="ar-BH"/>
        </w:rPr>
      </w:pPr>
      <w:r w:rsidRPr="00F27422">
        <w:rPr>
          <w:rFonts w:asciiTheme="minorBidi" w:hAnsiTheme="minorBidi"/>
          <w:b/>
          <w:bCs/>
          <w:sz w:val="32"/>
          <w:szCs w:val="32"/>
          <w:rtl/>
        </w:rPr>
        <w:lastRenderedPageBreak/>
        <w:t xml:space="preserve">الوجه الثاني: </w:t>
      </w:r>
      <w:r w:rsidRPr="00F27422">
        <w:rPr>
          <w:rFonts w:asciiTheme="minorBidi" w:hAnsiTheme="minorBidi"/>
          <w:sz w:val="32"/>
          <w:szCs w:val="32"/>
          <w:rtl/>
        </w:rPr>
        <w:t>وجهٌ إثباتي، وهو ما ذكره الشيخ الحسن صاحب المعالم (قدس سره الشريف) في كتابه [منتقى الجُمان في الأحاديث الصحاح والحسان] حيث أفاد بأنّ الوكالة أمارةٌ على حُسن الظاهر، وحُسن الظاهر أمارةٌ على الوثاقة.</w:t>
      </w:r>
    </w:p>
    <w:p w14:paraId="47671648" w14:textId="77777777" w:rsidR="00A3169E" w:rsidRPr="00F27422" w:rsidRDefault="00A3169E" w:rsidP="00122B70">
      <w:pPr>
        <w:bidi/>
        <w:rPr>
          <w:rFonts w:asciiTheme="minorBidi" w:hAnsiTheme="minorBidi"/>
          <w:sz w:val="32"/>
          <w:szCs w:val="32"/>
          <w:rtl/>
        </w:rPr>
      </w:pPr>
      <w:r w:rsidRPr="00F27422">
        <w:rPr>
          <w:rFonts w:asciiTheme="minorBidi" w:hAnsiTheme="minorBidi"/>
          <w:sz w:val="32"/>
          <w:szCs w:val="32"/>
          <w:rtl/>
        </w:rPr>
        <w:t>ولكن الوجه الثاني من صغريات الوجه الأوّل؛ إذ لولا دعوى وجود سيرةٍ عرفية على عدم توكيل غير الثقة الأمين لما كانت الوكالة أمارةً عرفاً على حُسن الظاهر وحُسن الظاهر أمارة على الوثاقة.</w:t>
      </w:r>
    </w:p>
    <w:p w14:paraId="58CE99DD" w14:textId="77777777" w:rsidR="00A3169E" w:rsidRPr="00F27422" w:rsidRDefault="00A3169E" w:rsidP="00122B70">
      <w:pPr>
        <w:bidi/>
        <w:rPr>
          <w:rFonts w:asciiTheme="minorBidi" w:hAnsiTheme="minorBidi"/>
          <w:b/>
          <w:bCs/>
          <w:sz w:val="32"/>
          <w:szCs w:val="32"/>
          <w:rtl/>
        </w:rPr>
      </w:pPr>
      <w:r w:rsidRPr="00F27422">
        <w:rPr>
          <w:rFonts w:asciiTheme="minorBidi" w:hAnsiTheme="minorBidi"/>
          <w:b/>
          <w:bCs/>
          <w:sz w:val="32"/>
          <w:szCs w:val="32"/>
          <w:rtl/>
        </w:rPr>
        <w:t>والكلام فعلاً في مناقشة الوجه الأول من ناحيتين:</w:t>
      </w:r>
    </w:p>
    <w:p w14:paraId="08F1A362" w14:textId="77777777" w:rsidR="00A3169E" w:rsidRPr="00F27422" w:rsidRDefault="00A3169E" w:rsidP="00122B70">
      <w:pPr>
        <w:bidi/>
        <w:rPr>
          <w:rFonts w:asciiTheme="minorBidi" w:hAnsiTheme="minorBidi"/>
          <w:sz w:val="32"/>
          <w:szCs w:val="32"/>
          <w:rtl/>
          <w:lang w:bidi="ar-BH"/>
        </w:rPr>
      </w:pPr>
      <w:r w:rsidRPr="00F27422">
        <w:rPr>
          <w:rFonts w:asciiTheme="minorBidi" w:hAnsiTheme="minorBidi"/>
          <w:b/>
          <w:bCs/>
          <w:sz w:val="32"/>
          <w:szCs w:val="32"/>
          <w:rtl/>
        </w:rPr>
        <w:t>الأولى:</w:t>
      </w:r>
      <w:r w:rsidRPr="00F27422">
        <w:rPr>
          <w:rFonts w:asciiTheme="minorBidi" w:hAnsiTheme="minorBidi"/>
          <w:sz w:val="32"/>
          <w:szCs w:val="32"/>
          <w:rtl/>
        </w:rPr>
        <w:t xml:space="preserve"> في دعوى السيرة، فإنّ المقدار المتيقن مما قامت عليه السيرة هو اعتبار الضبط </w:t>
      </w:r>
      <w:proofErr w:type="gramStart"/>
      <w:r w:rsidRPr="00F27422">
        <w:rPr>
          <w:rFonts w:asciiTheme="minorBidi" w:hAnsiTheme="minorBidi"/>
          <w:sz w:val="32"/>
          <w:szCs w:val="32"/>
          <w:rtl/>
        </w:rPr>
        <w:t>في ما</w:t>
      </w:r>
      <w:proofErr w:type="gramEnd"/>
      <w:r w:rsidRPr="00F27422">
        <w:rPr>
          <w:rFonts w:asciiTheme="minorBidi" w:hAnsiTheme="minorBidi"/>
          <w:sz w:val="32"/>
          <w:szCs w:val="32"/>
          <w:rtl/>
        </w:rPr>
        <w:t xml:space="preserve"> وكل فيه لا أكثر وإنْ كان من الأمور الخطيرة المهمة، أي أنّ ما قام عليه بناء العقلاء بما هم عقلاء - لا بما هم متشرعة - عدم توكيل شخصٍ في أمرٍ ما لم يكن ضابطاً له، وأمّا كونه مسلماً فضلاً عن كونه عادلاً أو ثقةً في لسانه فهو مما لا تستلزمه الوكالة.</w:t>
      </w:r>
    </w:p>
    <w:p w14:paraId="39158FE3" w14:textId="77777777" w:rsidR="00A3169E" w:rsidRPr="00F27422" w:rsidRDefault="00A3169E" w:rsidP="00122B70">
      <w:pPr>
        <w:bidi/>
        <w:rPr>
          <w:rFonts w:asciiTheme="minorBidi" w:hAnsiTheme="minorBidi"/>
          <w:sz w:val="32"/>
          <w:szCs w:val="32"/>
          <w:rtl/>
          <w:lang w:bidi="ar-BH"/>
        </w:rPr>
      </w:pPr>
      <w:r w:rsidRPr="00F27422">
        <w:rPr>
          <w:rFonts w:asciiTheme="minorBidi" w:hAnsiTheme="minorBidi"/>
          <w:b/>
          <w:bCs/>
          <w:sz w:val="32"/>
          <w:szCs w:val="32"/>
          <w:rtl/>
          <w:lang w:bidi="ar-BH"/>
        </w:rPr>
        <w:t xml:space="preserve">الثانية: </w:t>
      </w:r>
      <w:r w:rsidRPr="00F27422">
        <w:rPr>
          <w:rFonts w:asciiTheme="minorBidi" w:hAnsiTheme="minorBidi"/>
          <w:sz w:val="32"/>
          <w:szCs w:val="32"/>
          <w:rtl/>
        </w:rPr>
        <w:t>أنّ هناك فرقاً بين مقام السفارة والقيام مقام الإمام (عليه السلام) وبين الوكالة، فالسفارة وقيام الشخص مقام الإمام (عليه السلام) كما ثبت في حق زكريا بن آدم ويونس بن عبدالرحمن ونحوهما ملازم عرفاً لجلالة القدر والعدالة، وأمّا التعبير عن شخصٍ بأنّه "وكيل الإمام" كما ورد في عليّ بن مهزيار وعبدالعزيز بن المهتدي وأمثالهم فلا دلالة فيه على الوكالة المطلقة وأنّه قائم مقام الإمام (عليه السلام) ليكشف عن جلالة قدره فضلاً عن عدالته ووثاقته؛ بل المنصرف من "وكيل الإمام" في أزمنة الأئمة (عليهم السلام) أنّه وكيلٌ في الأمور المالية وجمع الحقوق كوكلاء المراجع في زماننا هذا، وغاية ما يكشف ذلك عنه أنّه ضابط ثقة فيما وكل فيه، وأمّا وثاقته اللسانية في نفسها فلا دلالة في التوكيل عليه، وما هو محل البحث هو ثبوت الوثاقة اللسانية من جهة الوكالة.</w:t>
      </w:r>
    </w:p>
    <w:p w14:paraId="0B3DD488"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sz w:val="32"/>
          <w:szCs w:val="32"/>
          <w:rtl/>
        </w:rPr>
        <w:t xml:space="preserve">مضافاً لما أشار إليه بعض الأجلة (دام توفيقه) في كتابه [قبسات من علم الرجال، أبحاث السيد محمد رضا السيستاني، جمعها ونظمها السيد محمد البكاء، دار المؤرخ العربي، ج1، ص39] حيث قال: </w:t>
      </w:r>
      <w:r w:rsidRPr="00F27422">
        <w:rPr>
          <w:rFonts w:asciiTheme="minorBidi" w:hAnsiTheme="minorBidi"/>
          <w:b/>
          <w:bCs/>
          <w:sz w:val="32"/>
          <w:szCs w:val="32"/>
          <w:rtl/>
        </w:rPr>
        <w:t>(ولكن الإنصاف أنه لا سبيل إلى الاطمئنان بتمامية البيان المذكور، ولا سيما مع ما يلاحظ من أن الأئمة (عليهم السلام) كانوا يعيشون في ظروف صعبة يضطرون بسببها إلى الإبقاء على وكالة بعض الخائنين، كما هو الحال بالنسبة إلى مراجع التقليد في هذا الزمان، فليتأمل).</w:t>
      </w:r>
    </w:p>
    <w:p w14:paraId="5E0F0972"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sz w:val="32"/>
          <w:szCs w:val="32"/>
          <w:rtl/>
        </w:rPr>
        <w:t xml:space="preserve">فإنّ الظروف الصعبة التي عاشها الأئمة (صلوات الله عليهم) اقتضت منهم توكيل بعض الفساق فضلاً عن مجهول الحال من أجل مجاراة الوضع العام كاعتماد أمير المؤمنين عليٍّ </w:t>
      </w:r>
      <w:r w:rsidRPr="00F27422">
        <w:rPr>
          <w:rFonts w:asciiTheme="minorBidi" w:hAnsiTheme="minorBidi"/>
          <w:sz w:val="32"/>
          <w:szCs w:val="32"/>
          <w:rtl/>
        </w:rPr>
        <w:lastRenderedPageBreak/>
        <w:t xml:space="preserve">(صلوات الله عليه) على زياد بن أبيه وشريح القاضي، ولا يَبعُد أنْ يكون من هذا الباب وفي هذا السياق توكيل الإمام أبي الحسن (عليه السلام) لعليّ بن أبي حمزة وزياد بن مروان </w:t>
      </w:r>
      <w:proofErr w:type="spellStart"/>
      <w:r w:rsidRPr="00F27422">
        <w:rPr>
          <w:rFonts w:asciiTheme="minorBidi" w:hAnsiTheme="minorBidi"/>
          <w:sz w:val="32"/>
          <w:szCs w:val="32"/>
          <w:rtl/>
        </w:rPr>
        <w:t>القندي</w:t>
      </w:r>
      <w:proofErr w:type="spellEnd"/>
      <w:r w:rsidRPr="00F27422">
        <w:rPr>
          <w:rFonts w:asciiTheme="minorBidi" w:hAnsiTheme="minorBidi"/>
          <w:sz w:val="32"/>
          <w:szCs w:val="32"/>
          <w:rtl/>
        </w:rPr>
        <w:t xml:space="preserve"> وعثمان بن عيسى الرواسي وغيرهم؛ ممن ثبت زيغهم وكذبهم، فإنّ انحرافهم بعد شهادة الإمام موسى بن جعفر الكاظم (عليه السلام) لم يكن أمراً مفاجئاً أو طارئاً؛ إذ من البعيد عادةً أنْ يقع الانحراف الخطير الكاشف عن الجرأة وعدم المبالاة بالحدود الدينية فجأة وبسبب حدث من الأحداث، كما حصل من قبل هؤلاء في جرأتهم على مقام الإمام الرضا (عليه السلام) وتمزيقهم مجتمع الشيعة آنذاك بحججٍ واهية؛ بل هو كاشفٌ عن اعوجاج الشخص وجرأته على تجاوز الحدود من أوّل الأمر.</w:t>
      </w:r>
    </w:p>
    <w:p w14:paraId="01EA426B"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sz w:val="32"/>
          <w:szCs w:val="32"/>
          <w:rtl/>
        </w:rPr>
        <w:t>فتوكيلهم (عليهم السلام) أشخاصاً لقبض الحقوق لا يدل على أكثر من ضبطهم لهذا الأمر في ظرف توكيلهم ولا يكشف عن الوثاقة اللسانية فضلاً عن العدالة.</w:t>
      </w:r>
    </w:p>
    <w:p w14:paraId="1302BAD8"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b/>
          <w:bCs/>
          <w:sz w:val="32"/>
          <w:szCs w:val="32"/>
          <w:rtl/>
        </w:rPr>
        <w:t>الوجه الثالث:</w:t>
      </w:r>
      <w:r w:rsidRPr="00F27422">
        <w:rPr>
          <w:rFonts w:asciiTheme="minorBidi" w:hAnsiTheme="minorBidi"/>
          <w:sz w:val="32"/>
          <w:szCs w:val="32"/>
          <w:rtl/>
        </w:rPr>
        <w:t xml:space="preserve"> الاستناد لروايةٍ أخرجها الشيخ الكليني (أعلى الله مقامه) كما في الكافي: </w:t>
      </w:r>
      <w:r w:rsidRPr="00F27422">
        <w:rPr>
          <w:rFonts w:asciiTheme="minorBidi" w:hAnsiTheme="minorBidi"/>
          <w:b/>
          <w:bCs/>
          <w:sz w:val="32"/>
          <w:szCs w:val="32"/>
          <w:rtl/>
        </w:rPr>
        <w:t xml:space="preserve">(عليُّ بن محمّد، عن الحسن بن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قال: شككت في أمر حاجز فجمعت شيئاً ثمَّ صرت إلى العسكر، فخرج إليَّ: ليس فينا شكٌّ ولا فيمن يقوم مقامنا بأمرنا، ردَّ ما معك إلى حاجز بن يزيد).</w:t>
      </w:r>
      <w:r w:rsidRPr="00F27422">
        <w:rPr>
          <w:rFonts w:asciiTheme="minorBidi" w:hAnsiTheme="minorBidi"/>
          <w:sz w:val="32"/>
          <w:szCs w:val="32"/>
          <w:rtl/>
        </w:rPr>
        <w:t xml:space="preserve"> [الكافي، للشيخ الكليني، دار الكتب الإسلامية، ج1، الكتاب الحجة، باب مولد الصاحب (عليه السلام)، ح14، ص521].</w:t>
      </w:r>
    </w:p>
    <w:p w14:paraId="6AC6BE3F"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sz w:val="32"/>
          <w:szCs w:val="32"/>
          <w:rtl/>
        </w:rPr>
        <w:t>وقد رواه الشيخ المفيد (عليه الرحمة) في كتاب [الإرشاد، دار زين العابدين، الطبعة الأولى 2020م.، ج2، باب طرف من دلائل صاحب الزمان (عليه السلام) وبيّناته وآياته، ص310].</w:t>
      </w:r>
    </w:p>
    <w:p w14:paraId="657D5632"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sz w:val="32"/>
          <w:szCs w:val="32"/>
          <w:rtl/>
        </w:rPr>
        <w:t xml:space="preserve">وقد يستدل بهذه الرواية الشريفة على أنّ من كان وكيلاً عنهم (صلوات الله عليهم) فليس مسرحاً للشكّ؛ بل هو في غاية الوثاقة لقوله (عليه السلام): </w:t>
      </w:r>
      <w:r w:rsidRPr="00F27422">
        <w:rPr>
          <w:rFonts w:asciiTheme="minorBidi" w:hAnsiTheme="minorBidi"/>
          <w:b/>
          <w:bCs/>
          <w:sz w:val="32"/>
          <w:szCs w:val="32"/>
          <w:rtl/>
        </w:rPr>
        <w:t>(ليس فينا شكٌّ ولا فيمن يقوم مقامنا بأمرنا).</w:t>
      </w:r>
    </w:p>
    <w:p w14:paraId="146097CE"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b/>
          <w:bCs/>
          <w:sz w:val="32"/>
          <w:szCs w:val="32"/>
          <w:rtl/>
        </w:rPr>
        <w:t>ولكن يلاحظ على الاستدلال بالرواية:</w:t>
      </w:r>
      <w:r w:rsidRPr="00F27422">
        <w:rPr>
          <w:rFonts w:asciiTheme="minorBidi" w:hAnsiTheme="minorBidi"/>
          <w:sz w:val="32"/>
          <w:szCs w:val="32"/>
          <w:rtl/>
        </w:rPr>
        <w:t xml:space="preserve"> ما أفاده سيدنا الخوئي (قدس سره الشريف) في كتابه [معجم رجال الحديث، مؤسسة الإمام الخوئي الإسلامية، ج1، ص72] حيث قال: </w:t>
      </w:r>
      <w:r w:rsidRPr="00F27422">
        <w:rPr>
          <w:rFonts w:asciiTheme="minorBidi" w:hAnsiTheme="minorBidi"/>
          <w:b/>
          <w:bCs/>
          <w:sz w:val="32"/>
          <w:szCs w:val="32"/>
          <w:rtl/>
        </w:rPr>
        <w:t xml:space="preserve">(والجواب عن ذلك: أنّ الرواية ضعيفة السند ولا أقل من أنّ الحسن بن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مجهول...).</w:t>
      </w:r>
    </w:p>
    <w:p w14:paraId="58AC72EE" w14:textId="77777777" w:rsidR="00A3169E" w:rsidRPr="00F27422" w:rsidRDefault="00A3169E" w:rsidP="00122B70">
      <w:pPr>
        <w:bidi/>
        <w:rPr>
          <w:rFonts w:asciiTheme="minorBidi" w:hAnsiTheme="minorBidi"/>
          <w:sz w:val="32"/>
          <w:szCs w:val="32"/>
          <w:rtl/>
        </w:rPr>
      </w:pPr>
      <w:r w:rsidRPr="00F27422">
        <w:rPr>
          <w:rFonts w:asciiTheme="minorBidi" w:hAnsiTheme="minorBidi"/>
          <w:b/>
          <w:bCs/>
          <w:sz w:val="32"/>
          <w:szCs w:val="32"/>
          <w:rtl/>
        </w:rPr>
        <w:t xml:space="preserve">ومضافاً لذلك: </w:t>
      </w:r>
      <w:r w:rsidRPr="00F27422">
        <w:rPr>
          <w:rFonts w:asciiTheme="minorBidi" w:hAnsiTheme="minorBidi"/>
          <w:sz w:val="32"/>
          <w:szCs w:val="32"/>
          <w:rtl/>
        </w:rPr>
        <w:t>أنّ مورد الرواية من يقوم مقامهم بأمرهم (عليهم السلام) وهذا إنّما يختص ببعض الأعيان والأفذاذ الذي يعبر عنه بأنّه "قائم مقامه" لا مجرد وكيل للفرق بين المنصبين.</w:t>
      </w:r>
    </w:p>
    <w:p w14:paraId="6AC1FE08"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b/>
          <w:bCs/>
          <w:sz w:val="32"/>
          <w:szCs w:val="32"/>
          <w:rtl/>
        </w:rPr>
        <w:t>الوجه الرابع:</w:t>
      </w:r>
      <w:r w:rsidRPr="00F27422">
        <w:rPr>
          <w:rFonts w:asciiTheme="minorBidi" w:hAnsiTheme="minorBidi"/>
          <w:sz w:val="32"/>
          <w:szCs w:val="32"/>
          <w:rtl/>
        </w:rPr>
        <w:t xml:space="preserve"> ما ذكره السيد الحكيم السبط (قدس سره الشريف) في كتابه [مصباح المنهاج، كتاب الإجارة، ص227] بقوله: (</w:t>
      </w:r>
      <w:r w:rsidRPr="00F27422">
        <w:rPr>
          <w:rFonts w:asciiTheme="minorBidi" w:hAnsiTheme="minorBidi"/>
          <w:b/>
          <w:bCs/>
          <w:sz w:val="32"/>
          <w:szCs w:val="32"/>
          <w:rtl/>
        </w:rPr>
        <w:t xml:space="preserve">مضافاً إلى سَوق الوكالة في كلام الرجاليين في مساق </w:t>
      </w:r>
      <w:r w:rsidRPr="00F27422">
        <w:rPr>
          <w:rFonts w:asciiTheme="minorBidi" w:hAnsiTheme="minorBidi"/>
          <w:b/>
          <w:bCs/>
          <w:sz w:val="32"/>
          <w:szCs w:val="32"/>
          <w:rtl/>
        </w:rPr>
        <w:lastRenderedPageBreak/>
        <w:t>المدح والتبجيل، وهم أدرى منها بمدلولها الالتزامي العرفي، لقرب عصرهم منها، مثل ما يأتي في المترجم)</w:t>
      </w:r>
      <w:r w:rsidRPr="00F27422">
        <w:rPr>
          <w:rFonts w:asciiTheme="minorBidi" w:hAnsiTheme="minorBidi"/>
          <w:sz w:val="32"/>
          <w:szCs w:val="32"/>
          <w:rtl/>
        </w:rPr>
        <w:t xml:space="preserve"> ألّا وهو إبراهيم بن محمّد الهمداني (</w:t>
      </w:r>
      <w:r w:rsidRPr="00F27422">
        <w:rPr>
          <w:rFonts w:asciiTheme="minorBidi" w:hAnsiTheme="minorBidi"/>
          <w:b/>
          <w:bCs/>
          <w:sz w:val="32"/>
          <w:szCs w:val="32"/>
          <w:rtl/>
        </w:rPr>
        <w:t xml:space="preserve">وقول النجاشي في علي بن مهزيار: (واختص بأبي جعفر الثاني وتوكل له وعظم محله منه). وقول الفضل بن شاذان: (حدثني </w:t>
      </w:r>
      <w:proofErr w:type="gramStart"/>
      <w:r w:rsidRPr="00F27422">
        <w:rPr>
          <w:rFonts w:asciiTheme="minorBidi" w:hAnsiTheme="minorBidi"/>
          <w:b/>
          <w:bCs/>
          <w:sz w:val="32"/>
          <w:szCs w:val="32"/>
          <w:rtl/>
        </w:rPr>
        <w:t>عبدالعزيز</w:t>
      </w:r>
      <w:proofErr w:type="gramEnd"/>
      <w:r w:rsidRPr="00F27422">
        <w:rPr>
          <w:rFonts w:asciiTheme="minorBidi" w:hAnsiTheme="minorBidi"/>
          <w:b/>
          <w:bCs/>
          <w:sz w:val="32"/>
          <w:szCs w:val="32"/>
          <w:rtl/>
        </w:rPr>
        <w:t>، وكان خير قمي فيمن رأيته وكان وكيل الرضا (عليه السلام</w:t>
      </w:r>
      <w:proofErr w:type="gramStart"/>
      <w:r w:rsidRPr="00F27422">
        <w:rPr>
          <w:rFonts w:asciiTheme="minorBidi" w:hAnsiTheme="minorBidi"/>
          <w:b/>
          <w:bCs/>
          <w:sz w:val="32"/>
          <w:szCs w:val="32"/>
          <w:rtl/>
        </w:rPr>
        <w:t>))...</w:t>
      </w:r>
      <w:proofErr w:type="gramEnd"/>
      <w:r w:rsidRPr="00F27422">
        <w:rPr>
          <w:rFonts w:asciiTheme="minorBidi" w:hAnsiTheme="minorBidi"/>
          <w:b/>
          <w:bCs/>
          <w:sz w:val="32"/>
          <w:szCs w:val="32"/>
          <w:rtl/>
        </w:rPr>
        <w:t xml:space="preserve"> إلى غير ذلك).</w:t>
      </w:r>
    </w:p>
    <w:p w14:paraId="2F3B767D"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sz w:val="32"/>
          <w:szCs w:val="32"/>
          <w:rtl/>
        </w:rPr>
        <w:t xml:space="preserve">ثمّ أشار لدفع ما ورد من النقض بقوله: </w:t>
      </w:r>
      <w:r w:rsidRPr="00F27422">
        <w:rPr>
          <w:rFonts w:asciiTheme="minorBidi" w:hAnsiTheme="minorBidi"/>
          <w:b/>
          <w:bCs/>
          <w:sz w:val="32"/>
          <w:szCs w:val="32"/>
          <w:rtl/>
        </w:rPr>
        <w:t>(وأما ما ذكره (قدس سره))</w:t>
      </w:r>
      <w:r w:rsidRPr="00F27422">
        <w:rPr>
          <w:rFonts w:asciiTheme="minorBidi" w:hAnsiTheme="minorBidi"/>
          <w:sz w:val="32"/>
          <w:szCs w:val="32"/>
          <w:rtl/>
        </w:rPr>
        <w:t xml:space="preserve"> أي السيد الخوئي (قدس سره) في المعجم </w:t>
      </w:r>
      <w:r w:rsidRPr="00F27422">
        <w:rPr>
          <w:rFonts w:asciiTheme="minorBidi" w:hAnsiTheme="minorBidi"/>
          <w:b/>
          <w:bCs/>
          <w:sz w:val="32"/>
          <w:szCs w:val="32"/>
          <w:rtl/>
        </w:rPr>
        <w:t xml:space="preserve">(من وجود المذمومين في وكلاء الأئمة (عليهم السلام)) </w:t>
      </w:r>
      <w:r w:rsidRPr="00F27422">
        <w:rPr>
          <w:rFonts w:asciiTheme="minorBidi" w:hAnsiTheme="minorBidi"/>
          <w:sz w:val="32"/>
          <w:szCs w:val="32"/>
          <w:rtl/>
        </w:rPr>
        <w:t xml:space="preserve">حيث نص الشيخ الطوسي (عليه الرحمة) في كتاب الغيبة على جمعٍ من الوكلاء المذمومين </w:t>
      </w:r>
      <w:r w:rsidRPr="00F27422">
        <w:rPr>
          <w:rFonts w:asciiTheme="minorBidi" w:hAnsiTheme="minorBidi"/>
          <w:b/>
          <w:bCs/>
          <w:sz w:val="32"/>
          <w:szCs w:val="32"/>
          <w:rtl/>
        </w:rPr>
        <w:t>(فهو إنما يمنع من كشف الوكالة عن الوثاقة بل عن العدالة إذا كان الذم حال الوكالة، أما إذا كان الذم طارئاً بسبب فتنة انقلب فيها الوكيل على عقبيه، حتى عزل ولعن)</w:t>
      </w:r>
      <w:r w:rsidRPr="00F27422">
        <w:rPr>
          <w:rFonts w:asciiTheme="minorBidi" w:hAnsiTheme="minorBidi"/>
          <w:sz w:val="32"/>
          <w:szCs w:val="32"/>
          <w:rtl/>
        </w:rPr>
        <w:t xml:space="preserve"> كما في عليّ بن أبي حمزة </w:t>
      </w:r>
      <w:r w:rsidRPr="00F27422">
        <w:rPr>
          <w:rFonts w:asciiTheme="minorBidi" w:hAnsiTheme="minorBidi"/>
          <w:b/>
          <w:bCs/>
          <w:sz w:val="32"/>
          <w:szCs w:val="32"/>
          <w:rtl/>
        </w:rPr>
        <w:t>(فهي ترجع إلى ما هو المقطوع به من عدم ملازمة الوكالة للعصمة، ولا تنافي ملازمتها للعدالة).</w:t>
      </w:r>
    </w:p>
    <w:p w14:paraId="173D5D5F" w14:textId="77777777" w:rsidR="00A3169E" w:rsidRPr="00F27422" w:rsidRDefault="00A3169E" w:rsidP="00122B70">
      <w:pPr>
        <w:bidi/>
        <w:rPr>
          <w:rFonts w:asciiTheme="minorBidi" w:hAnsiTheme="minorBidi"/>
          <w:sz w:val="32"/>
          <w:szCs w:val="32"/>
          <w:rtl/>
        </w:rPr>
      </w:pPr>
      <w:r w:rsidRPr="00F27422">
        <w:rPr>
          <w:rFonts w:asciiTheme="minorBidi" w:hAnsiTheme="minorBidi"/>
          <w:b/>
          <w:bCs/>
          <w:sz w:val="32"/>
          <w:szCs w:val="32"/>
          <w:rtl/>
        </w:rPr>
        <w:t>ويلاحظ على هذا الوجه:</w:t>
      </w:r>
      <w:r w:rsidRPr="00F27422">
        <w:rPr>
          <w:rFonts w:asciiTheme="minorBidi" w:hAnsiTheme="minorBidi"/>
          <w:sz w:val="32"/>
          <w:szCs w:val="32"/>
          <w:rtl/>
        </w:rPr>
        <w:t xml:space="preserve"> أنّ توصيف الراوي بأنّه وكيل في كتب الرجال ليس ظاهراً في كونه مسوقاً مساق المدح والتبجيل؛ بل غايته التعريف كتعريفه بأنّه "مولى بني فلان" أو "نزيل الري" أو "له كتاب" أو "لقي أبا الحسن (عليه السلام) أو هشام" ونحو ذلك من الأوصاف.</w:t>
      </w:r>
    </w:p>
    <w:p w14:paraId="2833D5B0" w14:textId="77777777" w:rsidR="00A3169E" w:rsidRPr="00F27422" w:rsidRDefault="00A3169E" w:rsidP="00122B70">
      <w:pPr>
        <w:bidi/>
        <w:rPr>
          <w:rFonts w:asciiTheme="minorBidi" w:hAnsiTheme="minorBidi"/>
          <w:sz w:val="32"/>
          <w:szCs w:val="32"/>
          <w:rtl/>
        </w:rPr>
      </w:pPr>
      <w:r w:rsidRPr="00F27422">
        <w:rPr>
          <w:rFonts w:asciiTheme="minorBidi" w:hAnsiTheme="minorBidi"/>
          <w:sz w:val="32"/>
          <w:szCs w:val="32"/>
          <w:rtl/>
        </w:rPr>
        <w:t xml:space="preserve">وأمّا ما ورد في علي بن مهزيار: </w:t>
      </w:r>
      <w:r w:rsidRPr="00F27422">
        <w:rPr>
          <w:rFonts w:asciiTheme="minorBidi" w:hAnsiTheme="minorBidi"/>
          <w:b/>
          <w:bCs/>
          <w:sz w:val="32"/>
          <w:szCs w:val="32"/>
          <w:rtl/>
        </w:rPr>
        <w:t>(واختص بأبي جعفر الثاني وتوكل له وعظم محله منه)</w:t>
      </w:r>
      <w:r w:rsidRPr="00F27422">
        <w:rPr>
          <w:rFonts w:asciiTheme="minorBidi" w:hAnsiTheme="minorBidi"/>
          <w:sz w:val="32"/>
          <w:szCs w:val="32"/>
          <w:rtl/>
        </w:rPr>
        <w:t xml:space="preserve">، وما ورد في </w:t>
      </w:r>
      <w:proofErr w:type="gramStart"/>
      <w:r w:rsidRPr="00F27422">
        <w:rPr>
          <w:rFonts w:asciiTheme="minorBidi" w:hAnsiTheme="minorBidi"/>
          <w:sz w:val="32"/>
          <w:szCs w:val="32"/>
          <w:rtl/>
        </w:rPr>
        <w:t>عبدالعزيز</w:t>
      </w:r>
      <w:proofErr w:type="gramEnd"/>
      <w:r w:rsidRPr="00F27422">
        <w:rPr>
          <w:rFonts w:asciiTheme="minorBidi" w:hAnsiTheme="minorBidi"/>
          <w:sz w:val="32"/>
          <w:szCs w:val="32"/>
          <w:rtl/>
        </w:rPr>
        <w:t xml:space="preserve"> </w:t>
      </w:r>
      <w:r w:rsidRPr="00F27422">
        <w:rPr>
          <w:rFonts w:asciiTheme="minorBidi" w:hAnsiTheme="minorBidi"/>
          <w:b/>
          <w:bCs/>
          <w:sz w:val="32"/>
          <w:szCs w:val="32"/>
          <w:rtl/>
        </w:rPr>
        <w:t>(وكان خير قمي فيمن رأيته)</w:t>
      </w:r>
      <w:r w:rsidRPr="00F27422">
        <w:rPr>
          <w:rFonts w:asciiTheme="minorBidi" w:hAnsiTheme="minorBidi"/>
          <w:sz w:val="32"/>
          <w:szCs w:val="32"/>
          <w:rtl/>
        </w:rPr>
        <w:t xml:space="preserve"> فحيث ورد التعبير بالوكالة ضمن هذا السياق الخاص كان دالاً بمقتضى السياق على عظم مكانه لا من جهة التعبير بأنّه وكيلٌ عن الإمام (عليه السلام).</w:t>
      </w:r>
    </w:p>
    <w:p w14:paraId="6799820C"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b/>
          <w:bCs/>
          <w:sz w:val="32"/>
          <w:szCs w:val="32"/>
          <w:rtl/>
        </w:rPr>
        <w:t>وأمّا منع السيد الحكيم السبط (قدس سره الشريف) من دلالة الذم في بعض الوكلاء على عدم الملازمة بين الوكالة والعدالة ففيه:</w:t>
      </w:r>
      <w:r w:rsidRPr="00F27422">
        <w:rPr>
          <w:rFonts w:asciiTheme="minorBidi" w:hAnsiTheme="minorBidi"/>
          <w:sz w:val="32"/>
          <w:szCs w:val="32"/>
          <w:rtl/>
        </w:rPr>
        <w:t xml:space="preserve"> ما سبق من أنّ الخبرة بحال الأشخاص وملاحظة التجارب والأحداث تشهد بأنّ الانحراف بهذا المستوى من الجرأة في الكذب وعدم المبالاة بتمزق الشيعة وضلال قسم منهم يكشف عن الاعوجاج في الشخص وكونه جسوراً على تجاوز الحدود من أوّل الأمر، ولا يحتمل عادةً أنْ يقع فجأة لمجرد حدوث فتنة أوجبت الانقلاب على العقب.</w:t>
      </w:r>
    </w:p>
    <w:p w14:paraId="071F00A5" w14:textId="77777777" w:rsidR="00A3169E" w:rsidRPr="00F27422" w:rsidRDefault="00A3169E" w:rsidP="00122B70">
      <w:pPr>
        <w:bidi/>
        <w:rPr>
          <w:rFonts w:asciiTheme="minorBidi" w:hAnsiTheme="minorBidi"/>
          <w:b/>
          <w:bCs/>
          <w:sz w:val="32"/>
          <w:szCs w:val="32"/>
          <w:rtl/>
        </w:rPr>
      </w:pPr>
      <w:r w:rsidRPr="00F27422">
        <w:rPr>
          <w:rFonts w:asciiTheme="minorBidi" w:hAnsiTheme="minorBidi"/>
          <w:b/>
          <w:bCs/>
          <w:sz w:val="32"/>
          <w:szCs w:val="32"/>
          <w:rtl/>
        </w:rPr>
        <w:t>وأمّا بالنسبة للصُغرى:</w:t>
      </w:r>
      <w:r w:rsidRPr="00F27422">
        <w:rPr>
          <w:rFonts w:asciiTheme="minorBidi" w:hAnsiTheme="minorBidi"/>
          <w:sz w:val="32"/>
          <w:szCs w:val="32"/>
          <w:rtl/>
        </w:rPr>
        <w:t xml:space="preserve"> وهي كون الهمداني وكيل الناحية، فهو ما عمد السيد الحكيم السبط (قدس سره الشريف) لإثباته، حيث قال: </w:t>
      </w:r>
      <w:r w:rsidRPr="00F27422">
        <w:rPr>
          <w:rFonts w:asciiTheme="minorBidi" w:hAnsiTheme="minorBidi"/>
          <w:b/>
          <w:bCs/>
          <w:sz w:val="32"/>
          <w:szCs w:val="32"/>
          <w:rtl/>
        </w:rPr>
        <w:t xml:space="preserve">(هذا مضافاً في المترجم له إلى ظهور مدح الرجاليين له بالوكالة وغيرها. فقد قال النجاشي في ترجمة حفيده محمد بن علي بن إبراهيم: (أخبرنا أبو العباس أحمد بن علي بن نوح، قال: حدثنا أبو القاسم جعفر بن محمد، قال: حدثنا القاسم بن محمد بن علي بن إبراهيم بن محمد - الذي تقدم ذكره - وكيل الناحية، وأبوه وكيل </w:t>
      </w:r>
      <w:r w:rsidRPr="00F27422">
        <w:rPr>
          <w:rFonts w:asciiTheme="minorBidi" w:hAnsiTheme="minorBidi"/>
          <w:b/>
          <w:bCs/>
          <w:sz w:val="32"/>
          <w:szCs w:val="32"/>
          <w:rtl/>
        </w:rPr>
        <w:lastRenderedPageBreak/>
        <w:t>الناحية، وجده علي وكيل الناحية، وجد أبيه إبراهيم بن محمد وكيل الناحية...)، لظهوره في أن تنبيه جعفر بن محمد بن قولويه على وكالة هؤلاء الأربعة المتسلسلين في النسب لبيان تشرفهم بثقة الإمام وتوكيله لهم).</w:t>
      </w:r>
    </w:p>
    <w:p w14:paraId="4B687E33"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sz w:val="32"/>
          <w:szCs w:val="32"/>
          <w:rtl/>
        </w:rPr>
        <w:t>مضافاً إلى أنّ الوكالة عن الناحية المقدسة (عجل الله تعالى فرجه الشريف) تختلف عن الوكالة عن الإمام (عليه السلام)؛ لأنّ الوكالة عن الناحية المقدسة وكالة عن شخصٍ خطيرٍ في زمنٍ خطيرٍ في أمرٍ خطيرٍ، وكلّ ذلك يقتضي بحسب العادة أنْ يكون شأن الوكيل واضحاً في جلالة القدر فضلاً عن العدالة والوثاقة.</w:t>
      </w:r>
    </w:p>
    <w:p w14:paraId="02BE5694"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b/>
          <w:bCs/>
          <w:sz w:val="32"/>
          <w:szCs w:val="32"/>
          <w:rtl/>
        </w:rPr>
        <w:t>ولكن فيه:</w:t>
      </w:r>
      <w:r w:rsidRPr="00F27422">
        <w:rPr>
          <w:rFonts w:asciiTheme="minorBidi" w:hAnsiTheme="minorBidi"/>
          <w:sz w:val="32"/>
          <w:szCs w:val="32"/>
          <w:rtl/>
        </w:rPr>
        <w:t xml:space="preserve"> أنّه لاريب في دلالة سياق شهادة بن قولويه على المدح والثناء، لكن المستند في كونه وكيلاً عن الناحية المقدسة هو ما حكي عن الخلاصة للعلامة (قدس سره) كما في [خلاصة الأقوال في معرفة الرجال، تأليف العلامة الحلي، مؤسسة نشر الفقاهة، المحقق الشيخ جواد </w:t>
      </w:r>
      <w:proofErr w:type="spellStart"/>
      <w:r w:rsidRPr="00F27422">
        <w:rPr>
          <w:rFonts w:asciiTheme="minorBidi" w:hAnsiTheme="minorBidi"/>
          <w:sz w:val="32"/>
          <w:szCs w:val="32"/>
          <w:rtl/>
        </w:rPr>
        <w:t>القيومي</w:t>
      </w:r>
      <w:proofErr w:type="spellEnd"/>
      <w:r w:rsidRPr="00F27422">
        <w:rPr>
          <w:rFonts w:asciiTheme="minorBidi" w:hAnsiTheme="minorBidi"/>
          <w:sz w:val="32"/>
          <w:szCs w:val="32"/>
          <w:rtl/>
        </w:rPr>
        <w:t xml:space="preserve">، الطبعة الرابعة، الفصل (23) في الميم، ص259] حيث قال: </w:t>
      </w:r>
      <w:r w:rsidRPr="00F27422">
        <w:rPr>
          <w:rFonts w:asciiTheme="minorBidi" w:hAnsiTheme="minorBidi"/>
          <w:b/>
          <w:bCs/>
          <w:sz w:val="32"/>
          <w:szCs w:val="32"/>
          <w:rtl/>
        </w:rPr>
        <w:t>([898] 100- محمد بن علي بن إبراهيم بن محمد الهمذاني – بالذال المعجمة - روى عن أبيه، عن جده، عن الرضا (عليه السلام)، وكان محمد وكيل الناحية، وأبوه علي وكيل الناحية، وجده إبراهيم بن محمد وكيل الناحية، وكان لمحمد بن علي ولد يسمى القاسم، كان وكيل الناحية أيضاً).</w:t>
      </w:r>
    </w:p>
    <w:p w14:paraId="5B0C1C65"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b/>
          <w:bCs/>
          <w:sz w:val="32"/>
          <w:szCs w:val="32"/>
          <w:rtl/>
        </w:rPr>
        <w:t>ولكن الظاهر:</w:t>
      </w:r>
      <w:r w:rsidRPr="00F27422">
        <w:rPr>
          <w:rFonts w:asciiTheme="minorBidi" w:hAnsiTheme="minorBidi"/>
          <w:sz w:val="32"/>
          <w:szCs w:val="32"/>
          <w:rtl/>
        </w:rPr>
        <w:t xml:space="preserve"> أنّه لا مدرك لكلام العلامة (قدس سره) في الخلاصة - لو ثبت تصريحه بذلك </w:t>
      </w:r>
      <w:proofErr w:type="gramStart"/>
      <w:r w:rsidRPr="00F27422">
        <w:rPr>
          <w:rFonts w:asciiTheme="minorBidi" w:hAnsiTheme="minorBidi"/>
          <w:sz w:val="32"/>
          <w:szCs w:val="32"/>
          <w:rtl/>
        </w:rPr>
        <w:t>-  إلّا</w:t>
      </w:r>
      <w:proofErr w:type="gramEnd"/>
      <w:r w:rsidRPr="00F27422">
        <w:rPr>
          <w:rFonts w:asciiTheme="minorBidi" w:hAnsiTheme="minorBidi"/>
          <w:sz w:val="32"/>
          <w:szCs w:val="32"/>
          <w:rtl/>
        </w:rPr>
        <w:t xml:space="preserve"> ما نسب للنجاشي من أنّ إبراهيم بن محمّد كان وكيل الناحية أيضاً، إلّا أنّ هذا لم يثبت في النسخ الموثوقة من رجال النجاشي.</w:t>
      </w:r>
    </w:p>
    <w:p w14:paraId="7AAA241C"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sz w:val="32"/>
          <w:szCs w:val="32"/>
          <w:rtl/>
        </w:rPr>
        <w:t xml:space="preserve">وهذا ما نبه عليه المحقق التستري في كتابه [قاموس الرجال، تأليف العلامة المحقق آية الله العظمى الشيخ محمد تقي التُستري (قدس سره)، مؤسسة النشر الإسلامي التابعة لجماعة المدرسين بقم المشرفة، ج1، ص293] بقوله: </w:t>
      </w:r>
      <w:r w:rsidRPr="00F27422">
        <w:rPr>
          <w:rFonts w:asciiTheme="minorBidi" w:hAnsiTheme="minorBidi"/>
          <w:b/>
          <w:bCs/>
          <w:sz w:val="32"/>
          <w:szCs w:val="32"/>
          <w:rtl/>
        </w:rPr>
        <w:t xml:space="preserve">(وأمَا في ابن ابنه: ففي الكشّي ليس منه أثر. وأمَا النجاشي، فإنّما قال: (وكيل) وهذا نصه (عن ابن نوح، عن جعفر بن محمَّد، </w:t>
      </w:r>
      <w:proofErr w:type="spellStart"/>
      <w:r w:rsidRPr="00F27422">
        <w:rPr>
          <w:rFonts w:asciiTheme="minorBidi" w:hAnsiTheme="minorBidi"/>
          <w:b/>
          <w:bCs/>
          <w:sz w:val="32"/>
          <w:szCs w:val="32"/>
          <w:rtl/>
        </w:rPr>
        <w:t>قالأ</w:t>
      </w:r>
      <w:proofErr w:type="spellEnd"/>
      <w:r w:rsidRPr="00F27422">
        <w:rPr>
          <w:rFonts w:asciiTheme="minorBidi" w:hAnsiTheme="minorBidi"/>
          <w:b/>
          <w:bCs/>
          <w:sz w:val="32"/>
          <w:szCs w:val="32"/>
          <w:rtl/>
        </w:rPr>
        <w:t>: حدّثنا القاسم بن محمَّد بن عليّ بن إبراهيم بن محمَّد - الّذي تقدّم ذكره – وكيل الناحية، وأبوه وكيل الناحية، وجدّه عليّ وكيل الناحية، وجدّ أبيه إبراهيم بن محمَّد وكيل الخ) فيسقط قول المصنّف أيضاً: (يأتي في الأخير أنّ هذا وأولاده كانوا وكلاء الناحية).</w:t>
      </w:r>
    </w:p>
    <w:p w14:paraId="6C3839B5"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b/>
          <w:bCs/>
          <w:sz w:val="32"/>
          <w:szCs w:val="32"/>
          <w:rtl/>
        </w:rPr>
        <w:t>وأمّا قوله: إنّ الخلاصة قال هنا: (إبراهيم وكيل الناحية) فليس أيضاً كذلك، بل قال كالكشّي والنجاشي: إنّه وكيل. وإضافة (صاحب الأمر) في بعض النسخ كان توضيحاً من المحشّين بزعمهم، فخلط بالمتن.</w:t>
      </w:r>
    </w:p>
    <w:p w14:paraId="440AD88E" w14:textId="77777777" w:rsidR="00A3169E" w:rsidRPr="00F27422" w:rsidRDefault="00A3169E" w:rsidP="00122B70">
      <w:pPr>
        <w:bidi/>
        <w:rPr>
          <w:rFonts w:asciiTheme="minorBidi" w:hAnsiTheme="minorBidi"/>
          <w:b/>
          <w:bCs/>
          <w:sz w:val="32"/>
          <w:szCs w:val="32"/>
          <w:rtl/>
          <w:lang w:bidi="ar-BH"/>
        </w:rPr>
      </w:pPr>
      <w:r w:rsidRPr="00F27422">
        <w:rPr>
          <w:rFonts w:asciiTheme="minorBidi" w:hAnsiTheme="minorBidi"/>
          <w:b/>
          <w:bCs/>
          <w:sz w:val="32"/>
          <w:szCs w:val="32"/>
          <w:rtl/>
        </w:rPr>
        <w:lastRenderedPageBreak/>
        <w:t>هذا، وقال النجاشي في ابن ابنه محمَّد بن عليّ: (روى عن أبيه، عن جدّه، عن الرضا -عليه السلام- وروى إبراهيم بن هاشم، عن إبراهيم بن محمَّد الهمداني، عن الرضا عليه السَّلام).</w:t>
      </w:r>
    </w:p>
    <w:p w14:paraId="6F22868A" w14:textId="77777777" w:rsidR="00A3169E" w:rsidRPr="00F27422" w:rsidRDefault="00A3169E" w:rsidP="00122B70">
      <w:pPr>
        <w:bidi/>
        <w:rPr>
          <w:rFonts w:asciiTheme="minorBidi" w:hAnsiTheme="minorBidi"/>
          <w:sz w:val="32"/>
          <w:szCs w:val="32"/>
          <w:rtl/>
        </w:rPr>
      </w:pPr>
      <w:r w:rsidRPr="00F27422">
        <w:rPr>
          <w:rFonts w:asciiTheme="minorBidi" w:hAnsiTheme="minorBidi"/>
          <w:b/>
          <w:bCs/>
          <w:sz w:val="32"/>
          <w:szCs w:val="32"/>
          <w:rtl/>
        </w:rPr>
        <w:t>وفي الفقيه: (وفي توقيعات الرضا -عليه السَّلام- إلى إبراهيم بن محمَّد الهمداني: أنّ الخمس بعد المؤنة)).</w:t>
      </w:r>
    </w:p>
    <w:p w14:paraId="1A905CDD" w14:textId="77777777" w:rsidR="00A3169E" w:rsidRPr="00F27422" w:rsidRDefault="00A3169E" w:rsidP="00122B70">
      <w:pPr>
        <w:bidi/>
        <w:rPr>
          <w:rFonts w:asciiTheme="minorBidi" w:hAnsiTheme="minorBidi"/>
          <w:sz w:val="32"/>
          <w:szCs w:val="32"/>
          <w:rtl/>
        </w:rPr>
      </w:pPr>
      <w:r w:rsidRPr="00F27422">
        <w:rPr>
          <w:rFonts w:asciiTheme="minorBidi" w:hAnsiTheme="minorBidi"/>
          <w:sz w:val="32"/>
          <w:szCs w:val="32"/>
          <w:rtl/>
        </w:rPr>
        <w:t>مما يعني أنّ إبراهيم كان من أصحاب الإمام الرضا (عليه السلام) وقد استشهد الإمام الرضا (عليه السلام) قبل فوت العسكري بستين سنة، فمن النادر عادةً بقاء إبراهيم الذي هو من أصحاب الرضا (عليه السلام) إلى زمان الناحية المقدسة وكونه وكيلاً عنه مع عدم إشارة علماء الرجال لذلك، وعلى فرض ثبوت الوكالة عن الناحية فالذي يبدوا من مراجعة كتاب الغيبة وغيره أنّ وكلاء الناحية كانوا من الوكلاء من قبل السفراء، وكان دورهم أنّهم الواسطة بين المؤمنين والسفراء في نقل المكاتبات في الأمور المهمة إليهم، وهذا وإنْ كان شأناً جليلاً إلّا أنّه ليس بحد واضح من الدلالة على الوثاقة اللسانية المطلقة.</w:t>
      </w:r>
    </w:p>
    <w:p w14:paraId="2F474029" w14:textId="77777777" w:rsidR="00A3169E" w:rsidRPr="00F27422" w:rsidRDefault="00A3169E" w:rsidP="00122B70">
      <w:pPr>
        <w:bidi/>
        <w:rPr>
          <w:rFonts w:asciiTheme="minorBidi" w:hAnsiTheme="minorBidi"/>
          <w:sz w:val="32"/>
          <w:szCs w:val="32"/>
          <w:rtl/>
        </w:rPr>
      </w:pPr>
    </w:p>
    <w:p w14:paraId="5B752F5F" w14:textId="77777777" w:rsidR="00A3169E" w:rsidRPr="00F27422" w:rsidRDefault="00A3169E" w:rsidP="00122B70">
      <w:pPr>
        <w:bidi/>
        <w:rPr>
          <w:rFonts w:asciiTheme="minorBidi" w:hAnsiTheme="minorBidi"/>
          <w:sz w:val="32"/>
          <w:szCs w:val="32"/>
          <w:rtl/>
        </w:rPr>
      </w:pPr>
      <w:r w:rsidRPr="00F27422">
        <w:rPr>
          <w:rFonts w:asciiTheme="minorBidi" w:hAnsiTheme="minorBidi"/>
          <w:b/>
          <w:bCs/>
          <w:sz w:val="32"/>
          <w:szCs w:val="32"/>
          <w:rtl/>
        </w:rPr>
        <w:t>والحمد لله رب العالمين</w:t>
      </w:r>
    </w:p>
    <w:p w14:paraId="4690126E" w14:textId="77777777" w:rsidR="00557FEF" w:rsidRPr="00F27422" w:rsidRDefault="00557FEF" w:rsidP="00122B70">
      <w:pPr>
        <w:bidi/>
        <w:rPr>
          <w:rFonts w:asciiTheme="minorBidi" w:hAnsiTheme="minorBidi"/>
          <w:sz w:val="32"/>
          <w:szCs w:val="32"/>
          <w:rtl/>
        </w:rPr>
      </w:pPr>
    </w:p>
    <w:p w14:paraId="15591204" w14:textId="6BA79AED" w:rsidR="00A3169E" w:rsidRPr="00F27422" w:rsidRDefault="00C74CCB" w:rsidP="00122B70">
      <w:pPr>
        <w:pStyle w:val="Heading3"/>
        <w:bidi/>
        <w:rPr>
          <w:rFonts w:asciiTheme="minorBidi" w:hAnsiTheme="minorBidi" w:cstheme="minorBidi"/>
          <w:sz w:val="32"/>
          <w:szCs w:val="32"/>
          <w:rtl/>
        </w:rPr>
      </w:pPr>
      <w:r w:rsidRPr="00F27422">
        <w:rPr>
          <w:rFonts w:asciiTheme="minorBidi" w:hAnsiTheme="minorBidi" w:cstheme="minorBidi"/>
          <w:sz w:val="32"/>
          <w:szCs w:val="32"/>
        </w:rPr>
        <w:t>022</w:t>
      </w:r>
    </w:p>
    <w:p w14:paraId="278421B1"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130D5D25"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02BAFFC1" w14:textId="77777777" w:rsidR="0013734C" w:rsidRPr="00F27422" w:rsidRDefault="0013734C"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5AF24223" w14:textId="77777777" w:rsidR="0013734C" w:rsidRPr="00F27422" w:rsidRDefault="0013734C" w:rsidP="00122B70">
      <w:pPr>
        <w:bidi/>
        <w:rPr>
          <w:rFonts w:asciiTheme="minorBidi" w:hAnsiTheme="minorBidi"/>
          <w:sz w:val="32"/>
          <w:szCs w:val="32"/>
          <w:rtl/>
        </w:rPr>
      </w:pPr>
    </w:p>
    <w:p w14:paraId="1AE02D4F" w14:textId="77777777" w:rsidR="0013734C" w:rsidRPr="00F27422" w:rsidRDefault="0013734C" w:rsidP="00122B70">
      <w:pPr>
        <w:bidi/>
        <w:rPr>
          <w:rFonts w:asciiTheme="minorBidi" w:hAnsiTheme="minorBidi"/>
          <w:sz w:val="32"/>
          <w:szCs w:val="32"/>
          <w:rtl/>
        </w:rPr>
      </w:pPr>
      <w:r w:rsidRPr="00F27422">
        <w:rPr>
          <w:rFonts w:asciiTheme="minorBidi" w:hAnsiTheme="minorBidi"/>
          <w:b/>
          <w:bCs/>
          <w:sz w:val="32"/>
          <w:szCs w:val="32"/>
          <w:rtl/>
        </w:rPr>
        <w:t>الوجه الثاني:</w:t>
      </w:r>
      <w:r w:rsidRPr="00F27422">
        <w:rPr>
          <w:rFonts w:asciiTheme="minorBidi" w:hAnsiTheme="minorBidi"/>
          <w:sz w:val="32"/>
          <w:szCs w:val="32"/>
          <w:rtl/>
        </w:rPr>
        <w:t xml:space="preserve"> - من وجوه توثيق إبراهيم بن محمّد الهمداني - ما رواه الشيخ الطوسي (عليه الرحمة) في كتاب الغيبة، ورواه الكشي في رجاله.</w:t>
      </w:r>
    </w:p>
    <w:p w14:paraId="2536EC18"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 xml:space="preserve">أمّا رواية الشيخ الطوسي (عليه الرحمة) فهي: </w:t>
      </w:r>
      <w:r w:rsidRPr="00F27422">
        <w:rPr>
          <w:rFonts w:asciiTheme="minorBidi" w:hAnsiTheme="minorBidi"/>
          <w:b/>
          <w:bCs/>
          <w:sz w:val="32"/>
          <w:szCs w:val="32"/>
          <w:rtl/>
        </w:rPr>
        <w:t xml:space="preserve">(395- روى أحمد بن إدريس، عن أحمد بن محمّد بن عيسى، عن أبي محمّد الرازي قال: كنت وأحمد بن أبي </w:t>
      </w:r>
      <w:proofErr w:type="gramStart"/>
      <w:r w:rsidRPr="00F27422">
        <w:rPr>
          <w:rFonts w:asciiTheme="minorBidi" w:hAnsiTheme="minorBidi"/>
          <w:b/>
          <w:bCs/>
          <w:sz w:val="32"/>
          <w:szCs w:val="32"/>
          <w:rtl/>
        </w:rPr>
        <w:t>عبدالله</w:t>
      </w:r>
      <w:proofErr w:type="gramEnd"/>
      <w:r w:rsidRPr="00F27422">
        <w:rPr>
          <w:rFonts w:asciiTheme="minorBidi" w:hAnsiTheme="minorBidi"/>
          <w:b/>
          <w:bCs/>
          <w:sz w:val="32"/>
          <w:szCs w:val="32"/>
          <w:rtl/>
        </w:rPr>
        <w:t xml:space="preserve"> بالعسكر، فورد علينا رسول من قبل الرّجل فقال: أحمد بن إسحاق الأشعري، وإبراهيم بن محمّد الهمداني، وأحمد بن حمزة بن اليسع ثقات).</w:t>
      </w:r>
      <w:r w:rsidRPr="00F27422">
        <w:rPr>
          <w:rFonts w:asciiTheme="minorBidi" w:hAnsiTheme="minorBidi"/>
          <w:sz w:val="32"/>
          <w:szCs w:val="32"/>
          <w:rtl/>
        </w:rPr>
        <w:t xml:space="preserve"> [الغيبة، مؤسسة المعارف الإسلامية، ص445، رقم 395]، والمراد من الرّجل هو الإمام الصاحب (عجل الله تعالى فرجه).</w:t>
      </w:r>
    </w:p>
    <w:p w14:paraId="470C17A1"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lastRenderedPageBreak/>
        <w:t>وهي نصّ في وثاقة إبراهيم بن محمّد الهمداني.</w:t>
      </w:r>
    </w:p>
    <w:p w14:paraId="35F35D32"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 xml:space="preserve">وفي طريق الشيخ الطوسي (رحمه الله) أبو محمّد الرازي الذي هو الراوي المباشر ولا توثيق له، ولكن قيل في توثيقه بأنّه من </w:t>
      </w:r>
      <w:proofErr w:type="spellStart"/>
      <w:r w:rsidRPr="00F27422">
        <w:rPr>
          <w:rFonts w:asciiTheme="minorBidi" w:hAnsiTheme="minorBidi"/>
          <w:sz w:val="32"/>
          <w:szCs w:val="32"/>
          <w:rtl/>
        </w:rPr>
        <w:t>مشائخ</w:t>
      </w:r>
      <w:proofErr w:type="spellEnd"/>
      <w:r w:rsidRPr="00F27422">
        <w:rPr>
          <w:rFonts w:asciiTheme="minorBidi" w:hAnsiTheme="minorBidi"/>
          <w:sz w:val="32"/>
          <w:szCs w:val="32"/>
          <w:rtl/>
        </w:rPr>
        <w:t xml:space="preserve"> أحمد بن محمّد بن عيسى المشهور بالجلالة، المتشدد في الرواية عن الضعفاء حتى أنّه أخرج أبا سمينة وسهل بن زياد وأحمد بن محمّد بن خالد البرقي من قم، وإنْ كان قد أرجع البرقي بعد ذلك.</w:t>
      </w:r>
    </w:p>
    <w:p w14:paraId="544B1B9B" w14:textId="77777777" w:rsidR="0013734C" w:rsidRPr="00F27422" w:rsidRDefault="0013734C" w:rsidP="00122B70">
      <w:pPr>
        <w:bidi/>
        <w:rPr>
          <w:rFonts w:asciiTheme="minorBidi" w:hAnsiTheme="minorBidi"/>
          <w:sz w:val="32"/>
          <w:szCs w:val="32"/>
          <w:rtl/>
        </w:rPr>
      </w:pPr>
      <w:r w:rsidRPr="00F27422">
        <w:rPr>
          <w:rFonts w:asciiTheme="minorBidi" w:hAnsiTheme="minorBidi"/>
          <w:b/>
          <w:bCs/>
          <w:sz w:val="32"/>
          <w:szCs w:val="32"/>
          <w:rtl/>
        </w:rPr>
        <w:t>وقد أُشكل على ذلك:</w:t>
      </w:r>
      <w:r w:rsidRPr="00F27422">
        <w:rPr>
          <w:rFonts w:asciiTheme="minorBidi" w:hAnsiTheme="minorBidi"/>
          <w:sz w:val="32"/>
          <w:szCs w:val="32"/>
          <w:rtl/>
        </w:rPr>
        <w:t xml:space="preserve"> بأنّ أحمد بن محمّد بن عيسى روى عمن هو مشهورٌ بالضعف كالحسن بن العباس بن الحريش كما في الكافي [ج1، ص532]، والحسن بن الحريش ممن نصّ النجاشي على أنّه كان ضعيفاً جداً كما في كتابه [رجال النجاشي، مؤسسة النشر الإسلامي لجماعة المدرسين بقم المشرفة، ص60] حيث قال: </w:t>
      </w:r>
      <w:r w:rsidRPr="00F27422">
        <w:rPr>
          <w:rFonts w:asciiTheme="minorBidi" w:hAnsiTheme="minorBidi"/>
          <w:b/>
          <w:bCs/>
          <w:sz w:val="32"/>
          <w:szCs w:val="32"/>
          <w:rtl/>
        </w:rPr>
        <w:t>([138] الحسن بن العبّاس بن الحَرِيْش الرازيّ أبو عليّ روى عن أبي جعفر الثاني، ضعيف جدّاً. له كتاب: إنّا أنزلناه في ليلة القدر، وهو كتاب رديّ الحديث، مضطرب الألفاظ).</w:t>
      </w:r>
    </w:p>
    <w:p w14:paraId="606EFE58"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وأمّا إخراجه لأبي سمينة فلعله كان لاشتهاره بالكذب فلا مجال إلّا لإخراجه، كما أنّ إخراجه لسهل بن زياد من قم لأنّه شهد عليه بالغلو، فلم يثبت أنّ أحمد بن محمّد بن عيسى لا يروي عن الضعفاء كي يقال مقتضى أنّه لا يروي عن الضعفاء وثاقة مشائخه ومنهم أبو محمّد الرازي.</w:t>
      </w:r>
    </w:p>
    <w:p w14:paraId="1D206B89" w14:textId="77777777" w:rsidR="0013734C" w:rsidRPr="00F27422" w:rsidRDefault="0013734C" w:rsidP="00122B70">
      <w:pPr>
        <w:bidi/>
        <w:rPr>
          <w:rFonts w:asciiTheme="minorBidi" w:hAnsiTheme="minorBidi"/>
          <w:sz w:val="32"/>
          <w:szCs w:val="32"/>
          <w:rtl/>
        </w:rPr>
      </w:pPr>
      <w:r w:rsidRPr="00F27422">
        <w:rPr>
          <w:rFonts w:asciiTheme="minorBidi" w:hAnsiTheme="minorBidi"/>
          <w:b/>
          <w:bCs/>
          <w:sz w:val="32"/>
          <w:szCs w:val="32"/>
          <w:rtl/>
        </w:rPr>
        <w:t>ولكن الإنصاف:</w:t>
      </w:r>
      <w:r w:rsidRPr="00F27422">
        <w:rPr>
          <w:rFonts w:asciiTheme="minorBidi" w:hAnsiTheme="minorBidi"/>
          <w:sz w:val="32"/>
          <w:szCs w:val="32"/>
          <w:rtl/>
        </w:rPr>
        <w:t xml:space="preserve"> أنّ هناك فرقاً بين من روى عنه وبين من هو من مشائخه، فمن روى عنه رواية أو روايتين يمكن أنْ يكون من الضعفاء وإنّما روى عنه لتمامية صحّة الرواية عنده لبعض القرائن، أو لأنّ الرواية يتحد مضمونها مع رواياتٍ صحيحة، أو لأنّها من روايات السنن لا في الأحكام الإلزامية التي تفرد بروايتها.</w:t>
      </w:r>
    </w:p>
    <w:p w14:paraId="7FCA1A04"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فالرواية عن الضعيف شيءٌّ، وأنْ يكون المروي عنه من مشائخه أي ممن هو من مصادر رواياته شيءٌّ آخر، خصوصاً مع ملاحظة أنّ أحمد بن محمّد بن عيسى ممن روى زهاء "2290" رواية عن "158" من الرواة جلهم من الثقات، فروايته عن بعض الضعفاء بضع روايات لا تقدح في مسلكه وديدنه في التشدد في نقل الرواية.</w:t>
      </w:r>
    </w:p>
    <w:p w14:paraId="075514F3" w14:textId="77777777" w:rsidR="0013734C" w:rsidRPr="00F27422" w:rsidRDefault="0013734C" w:rsidP="00122B70">
      <w:pPr>
        <w:bidi/>
        <w:rPr>
          <w:rFonts w:asciiTheme="minorBidi" w:hAnsiTheme="minorBidi"/>
          <w:sz w:val="32"/>
          <w:szCs w:val="32"/>
          <w:rtl/>
        </w:rPr>
      </w:pPr>
      <w:r w:rsidRPr="00F27422">
        <w:rPr>
          <w:rFonts w:asciiTheme="minorBidi" w:hAnsiTheme="minorBidi"/>
          <w:b/>
          <w:bCs/>
          <w:sz w:val="32"/>
          <w:szCs w:val="32"/>
          <w:rtl/>
        </w:rPr>
        <w:t>فلذلك قد يقال:</w:t>
      </w:r>
      <w:r w:rsidRPr="00F27422">
        <w:rPr>
          <w:rFonts w:asciiTheme="minorBidi" w:hAnsiTheme="minorBidi"/>
          <w:sz w:val="32"/>
          <w:szCs w:val="32"/>
          <w:rtl/>
        </w:rPr>
        <w:t xml:space="preserve"> إنّ كون أبي محمّد الرازي من </w:t>
      </w:r>
      <w:proofErr w:type="spellStart"/>
      <w:r w:rsidRPr="00F27422">
        <w:rPr>
          <w:rFonts w:asciiTheme="minorBidi" w:hAnsiTheme="minorBidi"/>
          <w:sz w:val="32"/>
          <w:szCs w:val="32"/>
          <w:rtl/>
        </w:rPr>
        <w:t>مشائخ</w:t>
      </w:r>
      <w:proofErr w:type="spellEnd"/>
      <w:r w:rsidRPr="00F27422">
        <w:rPr>
          <w:rFonts w:asciiTheme="minorBidi" w:hAnsiTheme="minorBidi"/>
          <w:sz w:val="32"/>
          <w:szCs w:val="32"/>
          <w:rtl/>
        </w:rPr>
        <w:t xml:space="preserve"> أحمد بن محمّد بن عيسى بضميمة رواية الأجلاء عنه مما تثبت به وثاقته.</w:t>
      </w:r>
    </w:p>
    <w:p w14:paraId="66116DBD" w14:textId="77777777" w:rsidR="0013734C" w:rsidRPr="00F27422" w:rsidRDefault="0013734C" w:rsidP="00122B70">
      <w:pPr>
        <w:bidi/>
        <w:rPr>
          <w:rFonts w:asciiTheme="minorBidi" w:hAnsiTheme="minorBidi"/>
          <w:sz w:val="32"/>
          <w:szCs w:val="32"/>
          <w:rtl/>
        </w:rPr>
      </w:pPr>
      <w:r w:rsidRPr="00F27422">
        <w:rPr>
          <w:rFonts w:asciiTheme="minorBidi" w:hAnsiTheme="minorBidi"/>
          <w:b/>
          <w:bCs/>
          <w:sz w:val="32"/>
          <w:szCs w:val="32"/>
          <w:rtl/>
        </w:rPr>
        <w:t>لكن المشكلة الأخرى في الرواية:</w:t>
      </w:r>
      <w:r w:rsidRPr="00F27422">
        <w:rPr>
          <w:rFonts w:asciiTheme="minorBidi" w:hAnsiTheme="minorBidi"/>
          <w:sz w:val="32"/>
          <w:szCs w:val="32"/>
          <w:rtl/>
        </w:rPr>
        <w:t xml:space="preserve"> جهالة الرسول؛ حيث قال: </w:t>
      </w:r>
      <w:r w:rsidRPr="00F27422">
        <w:rPr>
          <w:rFonts w:asciiTheme="minorBidi" w:hAnsiTheme="minorBidi"/>
          <w:b/>
          <w:bCs/>
          <w:sz w:val="32"/>
          <w:szCs w:val="32"/>
          <w:rtl/>
        </w:rPr>
        <w:t>(فورد علينا رسول من قبل الرّجل...</w:t>
      </w:r>
      <w:proofErr w:type="spellStart"/>
      <w:r w:rsidRPr="00F27422">
        <w:rPr>
          <w:rFonts w:asciiTheme="minorBidi" w:hAnsiTheme="minorBidi"/>
          <w:b/>
          <w:bCs/>
          <w:sz w:val="32"/>
          <w:szCs w:val="32"/>
          <w:rtl/>
        </w:rPr>
        <w:t>ألخ</w:t>
      </w:r>
      <w:proofErr w:type="spellEnd"/>
      <w:r w:rsidRPr="00F27422">
        <w:rPr>
          <w:rFonts w:asciiTheme="minorBidi" w:hAnsiTheme="minorBidi"/>
          <w:b/>
          <w:bCs/>
          <w:sz w:val="32"/>
          <w:szCs w:val="32"/>
          <w:rtl/>
        </w:rPr>
        <w:t>)</w:t>
      </w:r>
      <w:r w:rsidRPr="00F27422">
        <w:rPr>
          <w:rFonts w:asciiTheme="minorBidi" w:hAnsiTheme="minorBidi"/>
          <w:sz w:val="32"/>
          <w:szCs w:val="32"/>
          <w:rtl/>
        </w:rPr>
        <w:t xml:space="preserve"> ولم يبين أبو محمّد الرازي من هو هذا الرسول الذي أخبرهم بذلك.</w:t>
      </w:r>
    </w:p>
    <w:p w14:paraId="45ABE618" w14:textId="77777777" w:rsidR="0013734C" w:rsidRPr="00F27422" w:rsidRDefault="0013734C" w:rsidP="00122B70">
      <w:pPr>
        <w:bidi/>
        <w:rPr>
          <w:rFonts w:asciiTheme="minorBidi" w:hAnsiTheme="minorBidi"/>
          <w:sz w:val="32"/>
          <w:szCs w:val="32"/>
          <w:rtl/>
        </w:rPr>
      </w:pPr>
      <w:r w:rsidRPr="00F27422">
        <w:rPr>
          <w:rFonts w:asciiTheme="minorBidi" w:hAnsiTheme="minorBidi"/>
          <w:b/>
          <w:bCs/>
          <w:sz w:val="32"/>
          <w:szCs w:val="32"/>
          <w:rtl/>
        </w:rPr>
        <w:lastRenderedPageBreak/>
        <w:t>إلّا أنْ يقال:</w:t>
      </w:r>
      <w:r w:rsidRPr="00F27422">
        <w:rPr>
          <w:rFonts w:asciiTheme="minorBidi" w:hAnsiTheme="minorBidi"/>
          <w:sz w:val="32"/>
          <w:szCs w:val="32"/>
          <w:rtl/>
        </w:rPr>
        <w:t xml:space="preserve"> بأنّ شهادته بكون الرسول من قبل الرجل وهو الإمام (عجل الله فرجه الشريف) ظاهرة في الشهادة عن حسٍ بأنّه معتمدٌ من قبل الإمام الصاحب (عجل الله تعالى فرجه الشريف)، ولولا أنّه معتمدٌ لم يكن رسولاً من قبله لبيان أحوال الأشخاص لهؤلاء الرواة.</w:t>
      </w:r>
    </w:p>
    <w:p w14:paraId="6EA6F8EA"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 xml:space="preserve">وأمّا رواية الكشي (عليه الرحمة) فهي: </w:t>
      </w:r>
      <w:r w:rsidRPr="00F27422">
        <w:rPr>
          <w:rFonts w:asciiTheme="minorBidi" w:hAnsiTheme="minorBidi"/>
          <w:b/>
          <w:bCs/>
          <w:sz w:val="32"/>
          <w:szCs w:val="32"/>
          <w:rtl/>
        </w:rPr>
        <w:t xml:space="preserve">((1053) محمّد بن مسعود، قال حدثني عليّ بن محمّد، قال حدثني محمّد بن أحمد، عن محمّد بن عيسى، عن أبي محمّد الرازي، قال: كنت أنا وأحمد بن أبي </w:t>
      </w:r>
      <w:proofErr w:type="gramStart"/>
      <w:r w:rsidRPr="00F27422">
        <w:rPr>
          <w:rFonts w:asciiTheme="minorBidi" w:hAnsiTheme="minorBidi"/>
          <w:b/>
          <w:bCs/>
          <w:sz w:val="32"/>
          <w:szCs w:val="32"/>
          <w:rtl/>
        </w:rPr>
        <w:t>عبدالله</w:t>
      </w:r>
      <w:proofErr w:type="gramEnd"/>
      <w:r w:rsidRPr="00F27422">
        <w:rPr>
          <w:rFonts w:asciiTheme="minorBidi" w:hAnsiTheme="minorBidi"/>
          <w:b/>
          <w:bCs/>
          <w:sz w:val="32"/>
          <w:szCs w:val="32"/>
          <w:rtl/>
        </w:rPr>
        <w:t xml:space="preserve"> البرقي بالعسكر فورد علنا رسول من الرجل فقال لنا: الغائب العليل ثقة، وأيوب بن نوح، وإبراهيم بن محمّد الهمداني، وأحمد بن حمزة، وأحمد بن إسحاق ثقاتٌ جميعاً). </w:t>
      </w:r>
      <w:r w:rsidRPr="00F27422">
        <w:rPr>
          <w:rFonts w:asciiTheme="minorBidi" w:hAnsiTheme="minorBidi"/>
          <w:sz w:val="32"/>
          <w:szCs w:val="32"/>
          <w:rtl/>
        </w:rPr>
        <w:t xml:space="preserve">[اختيار معرفة الرجال "المعروف بـ(رجال الكشي)" المؤلف: الشيخ الطوسي، ج1، ص557 – 558، الناشر: مؤسسة </w:t>
      </w:r>
      <w:proofErr w:type="spellStart"/>
      <w:r w:rsidRPr="00F27422">
        <w:rPr>
          <w:rFonts w:asciiTheme="minorBidi" w:hAnsiTheme="minorBidi"/>
          <w:sz w:val="32"/>
          <w:szCs w:val="32"/>
          <w:rtl/>
        </w:rPr>
        <w:t>دانشگاه</w:t>
      </w:r>
      <w:proofErr w:type="spellEnd"/>
      <w:r w:rsidRPr="00F27422">
        <w:rPr>
          <w:rFonts w:asciiTheme="minorBidi" w:hAnsiTheme="minorBidi"/>
          <w:sz w:val="32"/>
          <w:szCs w:val="32"/>
          <w:rtl/>
        </w:rPr>
        <w:t xml:space="preserve"> مشهد، الطبعة الأولى].</w:t>
      </w:r>
    </w:p>
    <w:p w14:paraId="16A80CD1"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والمشكلة في هذه الرواية في شخصين:</w:t>
      </w:r>
    </w:p>
    <w:p w14:paraId="48005F4E"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الراوي الأوّل:</w:t>
      </w:r>
      <w:r w:rsidRPr="00F27422">
        <w:rPr>
          <w:rFonts w:asciiTheme="minorBidi" w:hAnsiTheme="minorBidi"/>
          <w:sz w:val="32"/>
          <w:szCs w:val="32"/>
          <w:rtl/>
        </w:rPr>
        <w:t xml:space="preserve"> عليّ بن محمّد بن قتيبة، حيث قيل: بأنّ علي بن محمّد بن قتيبة ممن لا توثيق له.</w:t>
      </w:r>
    </w:p>
    <w:p w14:paraId="515501B6"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وقد نوقش في كتاب [قبسات من علم الرجال] في جميع الوجوه التي ذكرت لتوثيق علي بن محمّد بن قتيبة.</w:t>
      </w:r>
    </w:p>
    <w:p w14:paraId="452F7CCE" w14:textId="77777777" w:rsidR="0013734C" w:rsidRPr="00F27422" w:rsidRDefault="0013734C" w:rsidP="00122B70">
      <w:pPr>
        <w:bidi/>
        <w:rPr>
          <w:rFonts w:asciiTheme="minorBidi" w:hAnsiTheme="minorBidi"/>
          <w:sz w:val="32"/>
          <w:szCs w:val="32"/>
          <w:rtl/>
        </w:rPr>
      </w:pPr>
      <w:r w:rsidRPr="00F27422">
        <w:rPr>
          <w:rFonts w:asciiTheme="minorBidi" w:hAnsiTheme="minorBidi"/>
          <w:b/>
          <w:bCs/>
          <w:sz w:val="32"/>
          <w:szCs w:val="32"/>
          <w:rtl/>
        </w:rPr>
        <w:t>ولكن:</w:t>
      </w:r>
      <w:r w:rsidRPr="00F27422">
        <w:rPr>
          <w:rFonts w:asciiTheme="minorBidi" w:hAnsiTheme="minorBidi"/>
          <w:sz w:val="32"/>
          <w:szCs w:val="32"/>
          <w:rtl/>
        </w:rPr>
        <w:t xml:space="preserve"> بما أنّ مبنانا في التوثيق على جمع القرائن العرفية بنحو يورث مجموعها الاطمئنان بالوثاقة، فإنّ ملاحظة المجموع في المقام تفيد الاطمئنان بوثاقة علي بن محمّد بن قتيبة.</w:t>
      </w:r>
    </w:p>
    <w:p w14:paraId="49D3D4EF"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ومن هذه القرائن:</w:t>
      </w:r>
    </w:p>
    <w:p w14:paraId="5E9CB674" w14:textId="77777777" w:rsidR="0013734C" w:rsidRPr="00F27422" w:rsidRDefault="0013734C" w:rsidP="00122B70">
      <w:pPr>
        <w:bidi/>
        <w:rPr>
          <w:rFonts w:asciiTheme="minorBidi" w:hAnsiTheme="minorBidi"/>
          <w:sz w:val="32"/>
          <w:szCs w:val="32"/>
          <w:rtl/>
        </w:rPr>
      </w:pPr>
      <w:r w:rsidRPr="00F27422">
        <w:rPr>
          <w:rFonts w:asciiTheme="minorBidi" w:hAnsiTheme="minorBidi"/>
          <w:b/>
          <w:bCs/>
          <w:sz w:val="32"/>
          <w:szCs w:val="32"/>
          <w:rtl/>
        </w:rPr>
        <w:t>الأُولى:</w:t>
      </w:r>
      <w:r w:rsidRPr="00F27422">
        <w:rPr>
          <w:rFonts w:asciiTheme="minorBidi" w:hAnsiTheme="minorBidi"/>
          <w:sz w:val="32"/>
          <w:szCs w:val="32"/>
          <w:rtl/>
        </w:rPr>
        <w:t xml:space="preserve"> ما ذكره النجاشي في كتابه [رجال النجاشي، مؤسسة النشر الإسلامي لجماعة المدرسين بقم المشرفة، ص259]: </w:t>
      </w:r>
      <w:r w:rsidRPr="00F27422">
        <w:rPr>
          <w:rFonts w:asciiTheme="minorBidi" w:hAnsiTheme="minorBidi"/>
          <w:b/>
          <w:bCs/>
          <w:sz w:val="32"/>
          <w:szCs w:val="32"/>
          <w:rtl/>
        </w:rPr>
        <w:t xml:space="preserve">([678] عليّ بن محمّد بن قتيبة </w:t>
      </w:r>
      <w:proofErr w:type="spellStart"/>
      <w:r w:rsidRPr="00F27422">
        <w:rPr>
          <w:rFonts w:asciiTheme="minorBidi" w:hAnsiTheme="minorBidi"/>
          <w:b/>
          <w:bCs/>
          <w:sz w:val="32"/>
          <w:szCs w:val="32"/>
          <w:rtl/>
        </w:rPr>
        <w:t>النيشابوري</w:t>
      </w:r>
      <w:proofErr w:type="spellEnd"/>
      <w:r w:rsidRPr="00F27422">
        <w:rPr>
          <w:rFonts w:asciiTheme="minorBidi" w:hAnsiTheme="minorBidi"/>
          <w:b/>
          <w:bCs/>
          <w:sz w:val="32"/>
          <w:szCs w:val="32"/>
          <w:rtl/>
        </w:rPr>
        <w:t xml:space="preserve"> (النيسابوري) عليه اعتمد </w:t>
      </w:r>
      <w:proofErr w:type="spellStart"/>
      <w:r w:rsidRPr="00F27422">
        <w:rPr>
          <w:rFonts w:asciiTheme="minorBidi" w:hAnsiTheme="minorBidi"/>
          <w:b/>
          <w:bCs/>
          <w:sz w:val="32"/>
          <w:szCs w:val="32"/>
          <w:rtl/>
        </w:rPr>
        <w:t>أبوعمرو</w:t>
      </w:r>
      <w:proofErr w:type="spellEnd"/>
      <w:r w:rsidRPr="00F27422">
        <w:rPr>
          <w:rFonts w:asciiTheme="minorBidi" w:hAnsiTheme="minorBidi"/>
          <w:b/>
          <w:bCs/>
          <w:sz w:val="32"/>
          <w:szCs w:val="32"/>
          <w:rtl/>
        </w:rPr>
        <w:t xml:space="preserve"> الكَشّيّ في كتاب الرجال). </w:t>
      </w:r>
      <w:proofErr w:type="spellStart"/>
      <w:r w:rsidRPr="00F27422">
        <w:rPr>
          <w:rFonts w:asciiTheme="minorBidi" w:hAnsiTheme="minorBidi"/>
          <w:sz w:val="32"/>
          <w:szCs w:val="32"/>
          <w:rtl/>
        </w:rPr>
        <w:t>والكشي</w:t>
      </w:r>
      <w:proofErr w:type="spellEnd"/>
      <w:r w:rsidRPr="00F27422">
        <w:rPr>
          <w:rFonts w:asciiTheme="minorBidi" w:hAnsiTheme="minorBidi"/>
          <w:sz w:val="32"/>
          <w:szCs w:val="32"/>
          <w:rtl/>
        </w:rPr>
        <w:t xml:space="preserve"> مقبولٌ في توثيقه.</w:t>
      </w:r>
    </w:p>
    <w:p w14:paraId="3D1073FB"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الثانية:</w:t>
      </w:r>
      <w:r w:rsidRPr="00F27422">
        <w:rPr>
          <w:rFonts w:asciiTheme="minorBidi" w:hAnsiTheme="minorBidi"/>
          <w:sz w:val="32"/>
          <w:szCs w:val="32"/>
          <w:rtl/>
        </w:rPr>
        <w:t xml:space="preserve"> اعتماد النجاشي نفسه عليه، كما في [رجال النجاشي، مؤسسة النشر الإسلامي لجماعة المدرسين بقم المشرفة، ص334] حيث نقل عن علي بن محمّد القتيبي مدحاً من قبل الفضل بن شاذان لمحمّد بن عيسى العبيدي، فالناقل علي بن محمّد القتيبي، والمنقول عنه الفضل بن شاذان، والممدوح هو محمّد بن عيسى العبيدي: </w:t>
      </w:r>
      <w:r w:rsidRPr="00F27422">
        <w:rPr>
          <w:rFonts w:asciiTheme="minorBidi" w:hAnsiTheme="minorBidi"/>
          <w:b/>
          <w:bCs/>
          <w:sz w:val="32"/>
          <w:szCs w:val="32"/>
          <w:rtl/>
        </w:rPr>
        <w:t>(قال أبو عمرو: قال القُتَيْبِيّ: كان الفضل بن شاذان رحمه الله يحبّ العُبَيْديّ ويثني عليه ويمدحه ويميل إليه ويقول: ليس في أقرانه مثله).</w:t>
      </w:r>
      <w:r w:rsidRPr="00F27422">
        <w:rPr>
          <w:rFonts w:asciiTheme="minorBidi" w:hAnsiTheme="minorBidi"/>
          <w:sz w:val="32"/>
          <w:szCs w:val="32"/>
          <w:rtl/>
        </w:rPr>
        <w:t xml:space="preserve"> ثم قال النجاشي: </w:t>
      </w:r>
      <w:r w:rsidRPr="00F27422">
        <w:rPr>
          <w:rFonts w:asciiTheme="minorBidi" w:hAnsiTheme="minorBidi"/>
          <w:b/>
          <w:bCs/>
          <w:sz w:val="32"/>
          <w:szCs w:val="32"/>
          <w:rtl/>
        </w:rPr>
        <w:t>(وبحسبك هذا الثناء من الفضل رحمه الله).</w:t>
      </w:r>
    </w:p>
    <w:p w14:paraId="3B3E36FB" w14:textId="77777777" w:rsidR="0013734C" w:rsidRPr="00F27422" w:rsidRDefault="0013734C" w:rsidP="00122B70">
      <w:pPr>
        <w:bidi/>
        <w:rPr>
          <w:rFonts w:asciiTheme="minorBidi" w:hAnsiTheme="minorBidi"/>
          <w:sz w:val="32"/>
          <w:szCs w:val="32"/>
          <w:rtl/>
        </w:rPr>
      </w:pPr>
      <w:proofErr w:type="gramStart"/>
      <w:r w:rsidRPr="00F27422">
        <w:rPr>
          <w:rFonts w:asciiTheme="minorBidi" w:hAnsiTheme="minorBidi"/>
          <w:sz w:val="32"/>
          <w:szCs w:val="32"/>
          <w:rtl/>
        </w:rPr>
        <w:t>وظاهره  أنّه</w:t>
      </w:r>
      <w:proofErr w:type="gramEnd"/>
      <w:r w:rsidRPr="00F27422">
        <w:rPr>
          <w:rFonts w:asciiTheme="minorBidi" w:hAnsiTheme="minorBidi"/>
          <w:sz w:val="32"/>
          <w:szCs w:val="32"/>
          <w:rtl/>
        </w:rPr>
        <w:t xml:space="preserve"> قد قبل الثناء مع أنّ الناقل للثناء هو عليّ بن محمّد القتيبي.</w:t>
      </w:r>
    </w:p>
    <w:p w14:paraId="5CD00A02"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lastRenderedPageBreak/>
        <w:t>الثالثة:</w:t>
      </w:r>
      <w:r w:rsidRPr="00F27422">
        <w:rPr>
          <w:rFonts w:asciiTheme="minorBidi" w:hAnsiTheme="minorBidi"/>
          <w:sz w:val="32"/>
          <w:szCs w:val="32"/>
          <w:rtl/>
        </w:rPr>
        <w:t xml:space="preserve"> ما قاله الشيخ الطوسي (عليه الرحمة) في كتابه [رجال الطوسي، تحقيق جواد </w:t>
      </w:r>
      <w:proofErr w:type="spellStart"/>
      <w:r w:rsidRPr="00F27422">
        <w:rPr>
          <w:rFonts w:asciiTheme="minorBidi" w:hAnsiTheme="minorBidi"/>
          <w:sz w:val="32"/>
          <w:szCs w:val="32"/>
          <w:rtl/>
        </w:rPr>
        <w:t>القيومي</w:t>
      </w:r>
      <w:proofErr w:type="spellEnd"/>
      <w:r w:rsidRPr="00F27422">
        <w:rPr>
          <w:rFonts w:asciiTheme="minorBidi" w:hAnsiTheme="minorBidi"/>
          <w:sz w:val="32"/>
          <w:szCs w:val="32"/>
          <w:rtl/>
        </w:rPr>
        <w:t xml:space="preserve"> الأصفهاني، مؤسسة النشر الإسلامي التابعة لجماعة المدرسين بقم المقدسة، باب العين، ص429]: </w:t>
      </w:r>
      <w:r w:rsidRPr="00F27422">
        <w:rPr>
          <w:rFonts w:asciiTheme="minorBidi" w:hAnsiTheme="minorBidi"/>
          <w:b/>
          <w:bCs/>
          <w:sz w:val="32"/>
          <w:szCs w:val="32"/>
          <w:rtl/>
        </w:rPr>
        <w:t>([6159] 2- علي بن محمد القتيبي، تلميذ الفضل بن شاذان، نيسابوري، فاضل).</w:t>
      </w:r>
    </w:p>
    <w:p w14:paraId="341CCBDD"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وهذا التعبير لم يعهد التعبير به عن الضعيف أو مجهول الحال.</w:t>
      </w:r>
    </w:p>
    <w:p w14:paraId="4FC5AEA8"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فمن مجموع هذه القرائن يحصل الوثوق بوثاقة علي بن محمّد القتيبي، ولذلك بنى العلامة وصاحب المدارك (قدس سرهما) على صحّة رواياته من جهة توثيقه.</w:t>
      </w:r>
    </w:p>
    <w:p w14:paraId="6DCA46E8"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الراوي الثاني:</w:t>
      </w:r>
      <w:r w:rsidRPr="00F27422">
        <w:rPr>
          <w:rFonts w:asciiTheme="minorBidi" w:hAnsiTheme="minorBidi"/>
          <w:sz w:val="32"/>
          <w:szCs w:val="32"/>
          <w:rtl/>
        </w:rPr>
        <w:t xml:space="preserve"> محمّد بن عيسى، والمشكلة المعروفة فيه أنّ ابن الوليد قد استثناه من رجال نوادر الحكمة، وقال الشيخ الطوسي (رحمه الله) في كتابه [الفهرست، الشيخ الطوسي، مؤسسة نشر الفقاهة، الطبعة الثانية، باب الميم، باب محمد، ص216، رقم: 611]: نقلاً عن الشيخ الصدوق (رحمه الله): (</w:t>
      </w:r>
      <w:r w:rsidRPr="00F27422">
        <w:rPr>
          <w:rFonts w:asciiTheme="minorBidi" w:hAnsiTheme="minorBidi"/>
          <w:b/>
          <w:bCs/>
          <w:sz w:val="32"/>
          <w:szCs w:val="32"/>
          <w:rtl/>
        </w:rPr>
        <w:t>لا أروي ما يختص بروايته)</w:t>
      </w:r>
      <w:r w:rsidRPr="00F27422">
        <w:rPr>
          <w:rFonts w:asciiTheme="minorBidi" w:hAnsiTheme="minorBidi"/>
          <w:sz w:val="32"/>
          <w:szCs w:val="32"/>
          <w:rtl/>
        </w:rPr>
        <w:t xml:space="preserve">، وفي [استقصاء الاعتبار في شرح الاستبصار، تأليف العلامة المحقق الشيخ محمد بن الحسن بن الشهيد الثاني (قدس سره)، تحقيق مؤسسة آل البيت (عليهم السلام) لإحياء التراث، ج1، ص128] قوله : </w:t>
      </w:r>
      <w:r w:rsidRPr="00F27422">
        <w:rPr>
          <w:rFonts w:asciiTheme="minorBidi" w:hAnsiTheme="minorBidi"/>
          <w:b/>
          <w:bCs/>
          <w:sz w:val="32"/>
          <w:szCs w:val="32"/>
          <w:rtl/>
        </w:rPr>
        <w:t>(فيه رواية محمد بن أحمد بن يحيى، عن محمد بن عيسى، وقد نقل النجاشي عن محمد بن الحسن بن الوليد: أنّه استثنى من روايات محمد بن أحمد بن يحيى)</w:t>
      </w:r>
      <w:r w:rsidRPr="00F27422">
        <w:rPr>
          <w:rFonts w:asciiTheme="minorBidi" w:hAnsiTheme="minorBidi"/>
          <w:sz w:val="32"/>
          <w:szCs w:val="32"/>
          <w:rtl/>
        </w:rPr>
        <w:t xml:space="preserve"> وهو صاحب كتاب النوادر الذي لا إشكال في وثاقته </w:t>
      </w:r>
      <w:r w:rsidRPr="00F27422">
        <w:rPr>
          <w:rFonts w:asciiTheme="minorBidi" w:hAnsiTheme="minorBidi"/>
          <w:b/>
          <w:bCs/>
          <w:sz w:val="32"/>
          <w:szCs w:val="32"/>
          <w:rtl/>
        </w:rPr>
        <w:t>(ما يرويه عن محمد بن عيسى بن عبيد)</w:t>
      </w:r>
      <w:r w:rsidRPr="00F27422">
        <w:rPr>
          <w:rFonts w:asciiTheme="minorBidi" w:hAnsiTheme="minorBidi"/>
          <w:sz w:val="32"/>
          <w:szCs w:val="32"/>
          <w:rtl/>
        </w:rPr>
        <w:t xml:space="preserve"> المعبر عنه بالعُبيدي </w:t>
      </w:r>
      <w:r w:rsidRPr="00F27422">
        <w:rPr>
          <w:rFonts w:asciiTheme="minorBidi" w:hAnsiTheme="minorBidi"/>
          <w:b/>
          <w:bCs/>
          <w:sz w:val="32"/>
          <w:szCs w:val="32"/>
          <w:rtl/>
        </w:rPr>
        <w:t>(بإسناد منقطع مع جماعة آخرين، ونقل عن أبي العباس بن نوح: أنّه قال: وقد أصاب شيخنا أبو جعفر محمد بن الحسن بن الوليد في ذلك كله)</w:t>
      </w:r>
      <w:r w:rsidRPr="00F27422">
        <w:rPr>
          <w:rFonts w:asciiTheme="minorBidi" w:hAnsiTheme="minorBidi"/>
          <w:sz w:val="32"/>
          <w:szCs w:val="32"/>
          <w:rtl/>
        </w:rPr>
        <w:t xml:space="preserve"> أي في </w:t>
      </w:r>
      <w:proofErr w:type="spellStart"/>
      <w:r w:rsidRPr="00F27422">
        <w:rPr>
          <w:rFonts w:asciiTheme="minorBidi" w:hAnsiTheme="minorBidi"/>
          <w:sz w:val="32"/>
          <w:szCs w:val="32"/>
          <w:rtl/>
        </w:rPr>
        <w:t>استثنائاته</w:t>
      </w:r>
      <w:proofErr w:type="spellEnd"/>
      <w:r w:rsidRPr="00F27422">
        <w:rPr>
          <w:rFonts w:asciiTheme="minorBidi" w:hAnsiTheme="minorBidi"/>
          <w:sz w:val="32"/>
          <w:szCs w:val="32"/>
          <w:rtl/>
        </w:rPr>
        <w:t xml:space="preserve"> </w:t>
      </w:r>
      <w:r w:rsidRPr="00F27422">
        <w:rPr>
          <w:rFonts w:asciiTheme="minorBidi" w:hAnsiTheme="minorBidi"/>
          <w:b/>
          <w:bCs/>
          <w:sz w:val="32"/>
          <w:szCs w:val="32"/>
          <w:rtl/>
        </w:rPr>
        <w:t>(وتبعهُ أبو جعفر بن بابويه -رحمه الله- على ذلك، إلّا في محمد بن عيسى بن عبيد، فلا أدري ما رابه فيه؟ لأنّه كان على ظاهر العدالة والثقة).</w:t>
      </w:r>
    </w:p>
    <w:p w14:paraId="040F375C" w14:textId="77777777" w:rsidR="0013734C" w:rsidRPr="00F27422" w:rsidRDefault="0013734C" w:rsidP="00122B70">
      <w:pPr>
        <w:bidi/>
        <w:rPr>
          <w:rFonts w:asciiTheme="minorBidi" w:hAnsiTheme="minorBidi"/>
          <w:b/>
          <w:bCs/>
          <w:sz w:val="32"/>
          <w:szCs w:val="32"/>
          <w:rtl/>
        </w:rPr>
      </w:pPr>
      <w:r w:rsidRPr="00F27422">
        <w:rPr>
          <w:rFonts w:asciiTheme="minorBidi" w:hAnsiTheme="minorBidi"/>
          <w:sz w:val="32"/>
          <w:szCs w:val="32"/>
          <w:rtl/>
        </w:rPr>
        <w:t xml:space="preserve">وما بين ثناء النجاشي عليه وتضعيف الطوسي بون بعيد، فقد قال النجاشي في كتابه [رجال النجاشي، مؤسسة النشر الإسلامي لجماعة المدرسين بقم المشرفة، باب الميم، ص333، رقم: 896]: </w:t>
      </w:r>
      <w:r w:rsidRPr="00F27422">
        <w:rPr>
          <w:rFonts w:asciiTheme="minorBidi" w:hAnsiTheme="minorBidi"/>
          <w:b/>
          <w:bCs/>
          <w:sz w:val="32"/>
          <w:szCs w:val="32"/>
          <w:rtl/>
        </w:rPr>
        <w:t xml:space="preserve">([896] محمّد بن عيسى بن عُبَيْد بن يَقطين بن موسى مولى أسَد بن خزيمة، أبو </w:t>
      </w:r>
      <w:proofErr w:type="spellStart"/>
      <w:r w:rsidRPr="00F27422">
        <w:rPr>
          <w:rFonts w:asciiTheme="minorBidi" w:hAnsiTheme="minorBidi"/>
          <w:b/>
          <w:bCs/>
          <w:sz w:val="32"/>
          <w:szCs w:val="32"/>
          <w:rtl/>
        </w:rPr>
        <w:t>جعف</w:t>
      </w:r>
      <w:proofErr w:type="spellEnd"/>
      <w:r w:rsidRPr="00F27422">
        <w:rPr>
          <w:rFonts w:asciiTheme="minorBidi" w:hAnsiTheme="minorBidi"/>
          <w:b/>
          <w:bCs/>
          <w:sz w:val="32"/>
          <w:szCs w:val="32"/>
          <w:rtl/>
        </w:rPr>
        <w:t>، جليل في (من) أصحابنا، ثقة، عين، كثير الرواية، حسن التصانيف، روى عن أبي جعفر الثاني (عليه السلام) مكاتبةً ومشافهةً).</w:t>
      </w:r>
    </w:p>
    <w:p w14:paraId="56CB6850"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 xml:space="preserve">وقال الشيخ الطوسي (رحمه الله) في كتابه [الفهرست، الشيخ الطوسي، مؤسسة نشر الفقاهة، الطبعة الثانية، باب الميم، باب محمد، ص216، رقم: 611]: </w:t>
      </w:r>
      <w:r w:rsidRPr="00F27422">
        <w:rPr>
          <w:rFonts w:asciiTheme="minorBidi" w:hAnsiTheme="minorBidi"/>
          <w:b/>
          <w:bCs/>
          <w:sz w:val="32"/>
          <w:szCs w:val="32"/>
          <w:rtl/>
        </w:rPr>
        <w:t xml:space="preserve">([611] 26- محمد بن عيسى </w:t>
      </w:r>
      <w:r w:rsidRPr="00F27422">
        <w:rPr>
          <w:rFonts w:asciiTheme="minorBidi" w:hAnsiTheme="minorBidi"/>
          <w:b/>
          <w:bCs/>
          <w:sz w:val="32"/>
          <w:szCs w:val="32"/>
          <w:rtl/>
        </w:rPr>
        <w:lastRenderedPageBreak/>
        <w:t>بن عبيد اليقطيني، ضعيف، استثناه أبو جعفر محمد بن علي بن بابويه عن رجال نوادر الحكمة، وقال: لا أروي ما يختص بروايته، وقيل: أنه كان يذهب مذهب الغلاة)</w:t>
      </w:r>
      <w:r w:rsidRPr="00F27422">
        <w:rPr>
          <w:rFonts w:asciiTheme="minorBidi" w:hAnsiTheme="minorBidi"/>
          <w:sz w:val="32"/>
          <w:szCs w:val="32"/>
          <w:rtl/>
        </w:rPr>
        <w:t>.</w:t>
      </w:r>
    </w:p>
    <w:p w14:paraId="546D9F20" w14:textId="77777777" w:rsidR="0013734C" w:rsidRPr="00F27422" w:rsidRDefault="0013734C" w:rsidP="00122B70">
      <w:pPr>
        <w:bidi/>
        <w:rPr>
          <w:rFonts w:asciiTheme="minorBidi" w:hAnsiTheme="minorBidi"/>
          <w:b/>
          <w:bCs/>
          <w:sz w:val="32"/>
          <w:szCs w:val="32"/>
          <w:rtl/>
        </w:rPr>
      </w:pPr>
      <w:r w:rsidRPr="00F27422">
        <w:rPr>
          <w:rFonts w:asciiTheme="minorBidi" w:hAnsiTheme="minorBidi"/>
          <w:sz w:val="32"/>
          <w:szCs w:val="32"/>
          <w:rtl/>
        </w:rPr>
        <w:t xml:space="preserve">إلّا أنّ توثيق النجاشي مقدمٌ لعدم إحراز رجوع تضعيف الشيخ (رحمه الله) للسانه لظهور السياق في كلام الشيخ في أنّ سر تضعيفه هو استثناء الصدوق (رحمه الله) له، وكون المغمز هو اتهامه بالميل للغلو، كما أنّ استثناء ابن الوليد له من رجال النوادر مما لم يعلم وجهه، ومن المحتمل </w:t>
      </w:r>
      <w:proofErr w:type="spellStart"/>
      <w:r w:rsidRPr="00F27422">
        <w:rPr>
          <w:rFonts w:asciiTheme="minorBidi" w:hAnsiTheme="minorBidi"/>
          <w:sz w:val="32"/>
          <w:szCs w:val="32"/>
          <w:rtl/>
        </w:rPr>
        <w:t>ماسبق</w:t>
      </w:r>
      <w:proofErr w:type="spellEnd"/>
      <w:r w:rsidRPr="00F27422">
        <w:rPr>
          <w:rFonts w:asciiTheme="minorBidi" w:hAnsiTheme="minorBidi"/>
          <w:sz w:val="32"/>
          <w:szCs w:val="32"/>
          <w:rtl/>
        </w:rPr>
        <w:t xml:space="preserve"> من اتهامه بالغلو أو روايته ما ورد من الطعن في زرارة كما في [رجال الكشي، ج1، القسم الثاني، ص 149، رقم: 239] مما يعني أن لا معارض لتوثيق النجاشي له، على أنّ النجاشي مقدمٌ عند أهل الفن على الشيخ في خبرته ودقته، فوثاقة العبيدي ثابتة عندهم وهو ما أوجب تعجب ابن نوح في استثناءه من النوادر.</w:t>
      </w:r>
    </w:p>
    <w:p w14:paraId="0C7E7535"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فالإنصاف:</w:t>
      </w:r>
      <w:r w:rsidRPr="00F27422">
        <w:rPr>
          <w:rFonts w:asciiTheme="minorBidi" w:hAnsiTheme="minorBidi"/>
          <w:sz w:val="32"/>
          <w:szCs w:val="32"/>
          <w:rtl/>
        </w:rPr>
        <w:t xml:space="preserve"> أنّ الوجه الثاني في توثيق إبراهيم بن محمّد الهمداني وجهٌ تامٌ.</w:t>
      </w:r>
    </w:p>
    <w:p w14:paraId="6A6318EA"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الوجه الثالث:</w:t>
      </w:r>
      <w:r w:rsidRPr="00F27422">
        <w:rPr>
          <w:rFonts w:asciiTheme="minorBidi" w:hAnsiTheme="minorBidi"/>
          <w:sz w:val="32"/>
          <w:szCs w:val="32"/>
          <w:rtl/>
        </w:rPr>
        <w:t xml:space="preserve"> التمسك بما ذكره الشيخ الطوسي (أعلى الله مقامه) في كتابه [الغيبة، مؤسسة المعارف الإسلامية، ص415] قال: </w:t>
      </w:r>
      <w:r w:rsidRPr="00F27422">
        <w:rPr>
          <w:rFonts w:asciiTheme="minorBidi" w:hAnsiTheme="minorBidi"/>
          <w:b/>
          <w:bCs/>
          <w:sz w:val="32"/>
          <w:szCs w:val="32"/>
          <w:rtl/>
        </w:rPr>
        <w:t>(وقد كان في زمان السفراء المحمودين أقوام ثقات ترد عليهم التوقيعات من قبل المنصوبين للسفارة من الأصل)</w:t>
      </w:r>
      <w:r w:rsidRPr="00F27422">
        <w:rPr>
          <w:rFonts w:asciiTheme="minorBidi" w:hAnsiTheme="minorBidi"/>
          <w:sz w:val="32"/>
          <w:szCs w:val="32"/>
          <w:rtl/>
        </w:rPr>
        <w:t xml:space="preserve"> ويقصد بـ "الأصل" هو الإمام القائم (عجل الله تعالى فرجه الشريف)، ونصّ على الأسدي فقال: </w:t>
      </w:r>
      <w:r w:rsidRPr="00F27422">
        <w:rPr>
          <w:rFonts w:asciiTheme="minorBidi" w:hAnsiTheme="minorBidi"/>
          <w:b/>
          <w:bCs/>
          <w:sz w:val="32"/>
          <w:szCs w:val="32"/>
          <w:rtl/>
        </w:rPr>
        <w:t xml:space="preserve">(منهم أبو الحسين محمّد بن جعفر الأسديّ رحمه الله) </w:t>
      </w:r>
      <w:r w:rsidRPr="00F27422">
        <w:rPr>
          <w:rFonts w:asciiTheme="minorBidi" w:hAnsiTheme="minorBidi"/>
          <w:sz w:val="32"/>
          <w:szCs w:val="32"/>
          <w:rtl/>
        </w:rPr>
        <w:t>وهذه شهادةٌ من الشيخ (عليه الرحمة) بأنّ من وردت عليهم التوقيعات من قبل السفراء عن الأصل وهو القائم (عجل الله تعالى فرجه الشريف) أقوامٌ ثقات.</w:t>
      </w:r>
    </w:p>
    <w:p w14:paraId="76BFBEB8" w14:textId="77777777" w:rsidR="0013734C" w:rsidRPr="00F27422" w:rsidRDefault="0013734C" w:rsidP="00122B70">
      <w:pPr>
        <w:bidi/>
        <w:rPr>
          <w:rFonts w:asciiTheme="minorBidi" w:hAnsiTheme="minorBidi"/>
          <w:b/>
          <w:bCs/>
          <w:sz w:val="32"/>
          <w:szCs w:val="32"/>
          <w:rtl/>
        </w:rPr>
      </w:pPr>
      <w:r w:rsidRPr="00F27422">
        <w:rPr>
          <w:rFonts w:asciiTheme="minorBidi" w:hAnsiTheme="minorBidi"/>
          <w:sz w:val="32"/>
          <w:szCs w:val="32"/>
          <w:rtl/>
        </w:rPr>
        <w:t xml:space="preserve">ثم في [ص417] ذكر منهم إبراهيم بن محمّد الهمداني، حيث قال: </w:t>
      </w:r>
      <w:r w:rsidRPr="00F27422">
        <w:rPr>
          <w:rFonts w:asciiTheme="minorBidi" w:hAnsiTheme="minorBidi"/>
          <w:b/>
          <w:bCs/>
          <w:sz w:val="32"/>
          <w:szCs w:val="32"/>
          <w:rtl/>
        </w:rPr>
        <w:t>(ومنهم أحمد بن إسحاق وجماعة خرج التوقيع في مدحهم:</w:t>
      </w:r>
    </w:p>
    <w:p w14:paraId="35048065"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 xml:space="preserve">395- روى أحمد بن إدريس، عن أحمد بن محمّد بن عيسى، عن أبي محمّد الرازي قال: كنت وأحمد بن أبي </w:t>
      </w:r>
      <w:proofErr w:type="gramStart"/>
      <w:r w:rsidRPr="00F27422">
        <w:rPr>
          <w:rFonts w:asciiTheme="minorBidi" w:hAnsiTheme="minorBidi"/>
          <w:b/>
          <w:bCs/>
          <w:sz w:val="32"/>
          <w:szCs w:val="32"/>
          <w:rtl/>
        </w:rPr>
        <w:t>عبدالله</w:t>
      </w:r>
      <w:proofErr w:type="gramEnd"/>
      <w:r w:rsidRPr="00F27422">
        <w:rPr>
          <w:rFonts w:asciiTheme="minorBidi" w:hAnsiTheme="minorBidi"/>
          <w:b/>
          <w:bCs/>
          <w:sz w:val="32"/>
          <w:szCs w:val="32"/>
          <w:rtl/>
        </w:rPr>
        <w:t xml:space="preserve"> بالعسكر، فورد علينا رسول من قبل الرّجل فقال: أحمد بن إسحاق الأشعري، وإبراهيم بن محمّد الهمداني، وأحمد بن حمزة بن اليسع ثقات).</w:t>
      </w:r>
    </w:p>
    <w:p w14:paraId="08BE7DBC"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 xml:space="preserve">ونحن وإنْ كنا قد ناقشنا في وكالة الهمداني عن الناحية المقدسة في ما سبق، إلّا أنّ عبارة الشيخ (رحمه الله) </w:t>
      </w:r>
      <w:r w:rsidRPr="00F27422">
        <w:rPr>
          <w:rFonts w:asciiTheme="minorBidi" w:hAnsiTheme="minorBidi"/>
          <w:sz w:val="32"/>
          <w:szCs w:val="32"/>
          <w:highlight w:val="yellow"/>
          <w:rtl/>
        </w:rPr>
        <w:t>واضحةٌ في التوثيق</w:t>
      </w:r>
      <w:r w:rsidRPr="00F27422">
        <w:rPr>
          <w:rFonts w:asciiTheme="minorBidi" w:hAnsiTheme="minorBidi"/>
          <w:sz w:val="32"/>
          <w:szCs w:val="32"/>
          <w:rtl/>
        </w:rPr>
        <w:t xml:space="preserve">، والعبارة المذكورة : </w:t>
      </w:r>
      <w:r w:rsidRPr="00F27422">
        <w:rPr>
          <w:rFonts w:asciiTheme="minorBidi" w:hAnsiTheme="minorBidi"/>
          <w:b/>
          <w:bCs/>
          <w:sz w:val="32"/>
          <w:szCs w:val="32"/>
          <w:rtl/>
        </w:rPr>
        <w:t xml:space="preserve">(وقد كان في زمان السفراء المحمودين أقوام ثقات ترد عليهم التوقيعات من قبل المنصوبين للسفارة من الأصل) </w:t>
      </w:r>
      <w:r w:rsidRPr="00F27422">
        <w:rPr>
          <w:rFonts w:asciiTheme="minorBidi" w:hAnsiTheme="minorBidi"/>
          <w:sz w:val="32"/>
          <w:szCs w:val="32"/>
          <w:rtl/>
        </w:rPr>
        <w:t xml:space="preserve">وإنْ كانت تحتمل بدواً أنّ هؤلاء الممدوحين هم الذين ترد عليهم التوقيعات المشتملة على جواب الأسئلة لإيصالها للمستفتين، إلّا أنّ ملاحظة ما بعد هذه العبارة وهو ما ساقه الشيخ (عليه الرحمة) من الأمثلة التي ذكرها في كتاب الغيبة ترشد إلى أنّ التوقيعات المقصودة هي التوقيعات الصادرة في مدح هؤلاء، لا أنّها توقيعات تتضمن أجوبة المسائل وهم الواسطة في </w:t>
      </w:r>
      <w:r w:rsidRPr="00F27422">
        <w:rPr>
          <w:rFonts w:asciiTheme="minorBidi" w:hAnsiTheme="minorBidi"/>
          <w:sz w:val="32"/>
          <w:szCs w:val="32"/>
          <w:rtl/>
        </w:rPr>
        <w:lastRenderedPageBreak/>
        <w:t>نقلها، بل هي توثيقٌ مِن قبل "الأصل (عجل الله فرجه)" لمجموعةٍ في طليعتهم أبو الحسين محمّد بن جعفر الأسدي.</w:t>
      </w:r>
    </w:p>
    <w:p w14:paraId="0EEA3D03" w14:textId="77777777" w:rsidR="0013734C" w:rsidRPr="00F27422" w:rsidRDefault="0013734C" w:rsidP="00122B70">
      <w:pPr>
        <w:bidi/>
        <w:rPr>
          <w:rFonts w:asciiTheme="minorBidi" w:hAnsiTheme="minorBidi"/>
          <w:b/>
          <w:bCs/>
          <w:sz w:val="32"/>
          <w:szCs w:val="32"/>
          <w:rtl/>
        </w:rPr>
      </w:pPr>
      <w:r w:rsidRPr="00F27422">
        <w:rPr>
          <w:rFonts w:asciiTheme="minorBidi" w:hAnsiTheme="minorBidi"/>
          <w:sz w:val="32"/>
          <w:szCs w:val="32"/>
          <w:rtl/>
        </w:rPr>
        <w:t xml:space="preserve">قال الشيخ (عليه الرحمة): </w:t>
      </w:r>
      <w:r w:rsidRPr="00F27422">
        <w:rPr>
          <w:rFonts w:asciiTheme="minorBidi" w:hAnsiTheme="minorBidi"/>
          <w:b/>
          <w:bCs/>
          <w:sz w:val="32"/>
          <w:szCs w:val="32"/>
          <w:rtl/>
        </w:rPr>
        <w:t>(أخبرنا أبو الحسين بن أبي جيّد القمّي، عن محمّد بن الحسين بن الوليد، عن محمّد بن يحيى العطّار، عن محمّد بن أحمد بن يحيى، عن صالح بن أبي صالح قال: سألني بعض الناس في سنة تسعين ومائتين قبض شيء)</w:t>
      </w:r>
      <w:r w:rsidRPr="00F27422">
        <w:rPr>
          <w:rFonts w:asciiTheme="minorBidi" w:hAnsiTheme="minorBidi"/>
          <w:sz w:val="32"/>
          <w:szCs w:val="32"/>
          <w:rtl/>
        </w:rPr>
        <w:t xml:space="preserve"> يعني قبض الحقوق </w:t>
      </w:r>
      <w:r w:rsidRPr="00F27422">
        <w:rPr>
          <w:rFonts w:asciiTheme="minorBidi" w:hAnsiTheme="minorBidi"/>
          <w:b/>
          <w:bCs/>
          <w:sz w:val="32"/>
          <w:szCs w:val="32"/>
          <w:rtl/>
        </w:rPr>
        <w:t>(فامتنعت من ذلك وكتبت أستطلع الرأي، فأتاني الجواب: (بالرّي محمّد بن جعفر العربيّ فليدفع إليه فإنّه من ثقاتنا)).</w:t>
      </w:r>
    </w:p>
    <w:p w14:paraId="4B3359E8"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وظاهر ذلك أنّ التوقيع الذي صدر مِن قبل الأصل (عجل الله تعالى فرجه الشريف) للسفير هو توقيعٌ في مدح محمّد العربي.</w:t>
      </w:r>
    </w:p>
    <w:p w14:paraId="0C0CED81"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الوجه الرابع:</w:t>
      </w:r>
      <w:r w:rsidRPr="00F27422">
        <w:rPr>
          <w:rFonts w:asciiTheme="minorBidi" w:hAnsiTheme="minorBidi"/>
          <w:sz w:val="32"/>
          <w:szCs w:val="32"/>
          <w:rtl/>
        </w:rPr>
        <w:t xml:space="preserve"> ما يقتنص مما نسب للسيد الشهيد (قدس سره الشريف) في توثيق إسحاق بن يعقوب أخي محمّد بن يعقوب الكليني صاحب كتاب الكافي - وإنْ شكك بعض في أنّه أخٌ له -، حيث إنّ إسحاق بن يعقوب قد روى روايةً مهمة كما في الوسائل: </w:t>
      </w:r>
      <w:r w:rsidRPr="00F27422">
        <w:rPr>
          <w:rFonts w:asciiTheme="minorBidi" w:hAnsiTheme="minorBidi"/>
          <w:b/>
          <w:bCs/>
          <w:sz w:val="32"/>
          <w:szCs w:val="32"/>
          <w:rtl/>
        </w:rPr>
        <w:t>(وفي كتاب (إكمال الدين وإتمام النعمة) عن محمّد بن محمّد بن عصام، عن محمّد بن يعقوب، عن إسحاق بن يعقوب، قال: سألت محمّد بن عثمان العمري أن يوصل لي كتاباً، قد سألت فيه عن مسائل أشكلت عليّ، فورد التوقيع بخطّ مولانا صاحب الزمان (عليه السلام): أمّا ما سألت عنه أرشدك الله وثبّتك - إلى أن قال: - وأمّا الحوادث الواقعة فارجعوا فيها إلى رواة حديثنا، فإنّهم حجّتي عليكم، وأنا حجّة الله، وأمّا محمّد ابن عثمان العمري رضي الله عنه، وعن أبيه من قبل، فإنّه ثقتي، وكتابه كتابي).</w:t>
      </w:r>
      <w:r w:rsidRPr="00F27422">
        <w:rPr>
          <w:rFonts w:asciiTheme="minorBidi" w:hAnsiTheme="minorBidi"/>
          <w:sz w:val="32"/>
          <w:szCs w:val="32"/>
          <w:rtl/>
        </w:rPr>
        <w:t xml:space="preserve"> [وسائل الشيعة، الحر العاملي، تحقيق مؤسسة آل البيت (عليهم السلام) لإحياء التراث، ج27، كتاب القضاء، أبواب صفات القاضي وما يجوز أن يقضي به، الباب 11، باب الرجوع في القضاء والفتوى إلى رواة الحديث، ح9].</w:t>
      </w:r>
    </w:p>
    <w:p w14:paraId="670027A2" w14:textId="77777777" w:rsidR="0013734C" w:rsidRPr="00F27422" w:rsidRDefault="0013734C" w:rsidP="00122B70">
      <w:pPr>
        <w:bidi/>
        <w:rPr>
          <w:rFonts w:asciiTheme="minorBidi" w:hAnsiTheme="minorBidi"/>
          <w:b/>
          <w:bCs/>
          <w:sz w:val="32"/>
          <w:szCs w:val="32"/>
          <w:rtl/>
        </w:rPr>
      </w:pPr>
      <w:r w:rsidRPr="00F27422">
        <w:rPr>
          <w:rFonts w:asciiTheme="minorBidi" w:hAnsiTheme="minorBidi"/>
          <w:sz w:val="32"/>
          <w:szCs w:val="32"/>
          <w:rtl/>
        </w:rPr>
        <w:t xml:space="preserve">وقد اعتمد على هذه الرواية الشريفة عدّة من الأعلام القائلين بولاية الفقيه العامة، بتقريب </w:t>
      </w:r>
      <w:proofErr w:type="gramStart"/>
      <w:r w:rsidRPr="00F27422">
        <w:rPr>
          <w:rFonts w:asciiTheme="minorBidi" w:hAnsiTheme="minorBidi"/>
          <w:sz w:val="32"/>
          <w:szCs w:val="32"/>
          <w:rtl/>
        </w:rPr>
        <w:t>أنّ  ظاهرها</w:t>
      </w:r>
      <w:proofErr w:type="gramEnd"/>
      <w:r w:rsidRPr="00F27422">
        <w:rPr>
          <w:rFonts w:asciiTheme="minorBidi" w:hAnsiTheme="minorBidi"/>
          <w:sz w:val="32"/>
          <w:szCs w:val="32"/>
          <w:rtl/>
        </w:rPr>
        <w:t xml:space="preserve"> إرجاع نفس الحوادث للفقهاء لا إرجاع الأحكام.</w:t>
      </w:r>
    </w:p>
    <w:p w14:paraId="0BFD4D6B" w14:textId="77777777" w:rsidR="0013734C" w:rsidRPr="00F27422" w:rsidRDefault="0013734C" w:rsidP="00122B70">
      <w:pPr>
        <w:bidi/>
        <w:rPr>
          <w:rFonts w:asciiTheme="minorBidi" w:hAnsiTheme="minorBidi"/>
          <w:b/>
          <w:bCs/>
          <w:sz w:val="32"/>
          <w:szCs w:val="32"/>
          <w:rtl/>
        </w:rPr>
      </w:pPr>
      <w:r w:rsidRPr="00F27422">
        <w:rPr>
          <w:rFonts w:asciiTheme="minorBidi" w:hAnsiTheme="minorBidi"/>
          <w:sz w:val="32"/>
          <w:szCs w:val="32"/>
          <w:rtl/>
        </w:rPr>
        <w:t>والمشكلة في سند الرواية في وثاقة إسحاق بن يعقوب الذي روى هذه الرواية حيث لم يرد فيه توثيق.</w:t>
      </w:r>
    </w:p>
    <w:p w14:paraId="0F8FB400" w14:textId="77777777" w:rsidR="0013734C" w:rsidRPr="00F27422" w:rsidRDefault="0013734C" w:rsidP="00122B70">
      <w:pPr>
        <w:bidi/>
        <w:rPr>
          <w:rFonts w:asciiTheme="minorBidi" w:hAnsiTheme="minorBidi"/>
          <w:sz w:val="32"/>
          <w:szCs w:val="32"/>
          <w:rtl/>
        </w:rPr>
      </w:pPr>
      <w:r w:rsidRPr="00F27422">
        <w:rPr>
          <w:rFonts w:asciiTheme="minorBidi" w:hAnsiTheme="minorBidi"/>
          <w:sz w:val="32"/>
          <w:szCs w:val="32"/>
          <w:rtl/>
        </w:rPr>
        <w:t xml:space="preserve">لذلك قيل في توثيق إسحاق كما في كتاب [أساس الحكومة الإسلامية، الطبعة الأولى، ص226، الملحق رقم 4] إنّ القرائن والملابسات الحافة بالرواية توجب الوثوق بوثاقة إسحاق بن يعقوب، فإنّ السعي لتحصيل التوقيع في ذلك الزمان خطر، والنقل عن الإمام (عجل الله فرجه) </w:t>
      </w:r>
      <w:r w:rsidRPr="00F27422">
        <w:rPr>
          <w:rFonts w:asciiTheme="minorBidi" w:hAnsiTheme="minorBidi"/>
          <w:sz w:val="32"/>
          <w:szCs w:val="32"/>
          <w:rtl/>
        </w:rPr>
        <w:lastRenderedPageBreak/>
        <w:t>خطر أيضاً والمنقول أمر خطير كمضمون هذه الراوية، وهذه ملابسات وظروف حافة بالرواية توجب أنْ يكون قبول الأعلام لها شهادة بوثاقة الراوي.</w:t>
      </w:r>
    </w:p>
    <w:p w14:paraId="16F92B56" w14:textId="77777777" w:rsidR="0013734C" w:rsidRPr="00F27422" w:rsidRDefault="0013734C" w:rsidP="00122B70">
      <w:pPr>
        <w:bidi/>
        <w:rPr>
          <w:rFonts w:asciiTheme="minorBidi" w:hAnsiTheme="minorBidi"/>
          <w:b/>
          <w:bCs/>
          <w:sz w:val="32"/>
          <w:szCs w:val="32"/>
          <w:rtl/>
        </w:rPr>
      </w:pPr>
      <w:r w:rsidRPr="00F27422">
        <w:rPr>
          <w:rFonts w:asciiTheme="minorBidi" w:hAnsiTheme="minorBidi"/>
          <w:sz w:val="32"/>
          <w:szCs w:val="32"/>
          <w:rtl/>
        </w:rPr>
        <w:t xml:space="preserve">قال (حفظه الله): </w:t>
      </w:r>
      <w:r w:rsidRPr="00F27422">
        <w:rPr>
          <w:rFonts w:asciiTheme="minorBidi" w:hAnsiTheme="minorBidi"/>
          <w:b/>
          <w:bCs/>
          <w:sz w:val="32"/>
          <w:szCs w:val="32"/>
          <w:rtl/>
        </w:rPr>
        <w:t xml:space="preserve">(فانتحال شخص لتوقيع ما إلى نفسه كذباً يعني خبثاً أعظم من مجرد خبث الكذب على الإمام، إذن فأمر إسحاق بن يعقوب يدور بين أن يكون في درجة عالية من الخبث، أو أن يكون ثقة) </w:t>
      </w:r>
      <w:r w:rsidRPr="00F27422">
        <w:rPr>
          <w:rFonts w:asciiTheme="minorBidi" w:hAnsiTheme="minorBidi"/>
          <w:sz w:val="32"/>
          <w:szCs w:val="32"/>
          <w:rtl/>
        </w:rPr>
        <w:t xml:space="preserve">ويبعد المحتمل الثالث وهو أنّ يكون مجهول الحال </w:t>
      </w:r>
      <w:r w:rsidRPr="00F27422">
        <w:rPr>
          <w:rFonts w:asciiTheme="minorBidi" w:hAnsiTheme="minorBidi"/>
          <w:b/>
          <w:bCs/>
          <w:sz w:val="32"/>
          <w:szCs w:val="32"/>
          <w:rtl/>
        </w:rPr>
        <w:t xml:space="preserve">(لأن التوقيع) </w:t>
      </w:r>
      <w:r w:rsidRPr="00F27422">
        <w:rPr>
          <w:rFonts w:asciiTheme="minorBidi" w:hAnsiTheme="minorBidi"/>
          <w:sz w:val="32"/>
          <w:szCs w:val="32"/>
          <w:rtl/>
        </w:rPr>
        <w:t xml:space="preserve">من الإمام عليه السلام </w:t>
      </w:r>
      <w:r w:rsidRPr="00F27422">
        <w:rPr>
          <w:rFonts w:asciiTheme="minorBidi" w:hAnsiTheme="minorBidi"/>
          <w:b/>
          <w:bCs/>
          <w:sz w:val="32"/>
          <w:szCs w:val="32"/>
          <w:rtl/>
        </w:rPr>
        <w:t>(لا يرد إلا على الثقات، ولا يحتمل أن يكون إنساناً عادياً غير خبيث وغير ثقة)</w:t>
      </w:r>
      <w:r w:rsidRPr="00F27422">
        <w:rPr>
          <w:rFonts w:asciiTheme="minorBidi" w:hAnsiTheme="minorBidi"/>
          <w:sz w:val="32"/>
          <w:szCs w:val="32"/>
          <w:rtl/>
        </w:rPr>
        <w:t xml:space="preserve"> فمنْ البعيد أنْ يتصدى إنسان عاقلٌ إلى نقل التوقيع وهو يعلم أنّ الناس لا يقبلون نقله، فلو كان مجهولاً لا قيمة له فهو يعلم أنْ نقله لا قيمة له عند الناس فلا فائدة له مع تعريض نفسه للخطر أو القدح الاجتماعي؛ فلا يحتمل بحسب العادة أنْ يتصدى للنقل شخصٌ مجهولٌ، فإذا لم يكن مجهولاً فقد دار أمره بين: أنْ يكون واضح الضعف عند الناس، أو أنْ يكون واضح الثقة عند الناس، وحيث إنّ المحتمل الأول منفيٌّ وإلّا لنصّ الرجاليون عليه؛ لأنّه انتحل توقيعاً مهماً عن الإمام (عجل الله تعالى فرجه الشريف)، فعدم النصّ على ضعفه مع خطورة المسألة شاهدٌ على تعين المحتمل الثاني وهو وثاقته.</w:t>
      </w:r>
    </w:p>
    <w:p w14:paraId="700032B8" w14:textId="77777777" w:rsidR="0013734C" w:rsidRPr="00F27422" w:rsidRDefault="0013734C" w:rsidP="00122B70">
      <w:pPr>
        <w:bidi/>
        <w:ind w:firstLine="720"/>
        <w:rPr>
          <w:rFonts w:asciiTheme="minorBidi" w:hAnsiTheme="minorBidi"/>
          <w:b/>
          <w:bCs/>
          <w:sz w:val="32"/>
          <w:szCs w:val="32"/>
          <w:rtl/>
        </w:rPr>
      </w:pPr>
    </w:p>
    <w:p w14:paraId="52A6AAB0" w14:textId="77777777" w:rsidR="0013734C" w:rsidRPr="00F27422" w:rsidRDefault="0013734C"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0F798A93" w14:textId="75820BB2" w:rsidR="0013734C" w:rsidRPr="00F27422" w:rsidRDefault="00C74CCB" w:rsidP="00122B70">
      <w:pPr>
        <w:pStyle w:val="Heading3"/>
        <w:bidi/>
        <w:rPr>
          <w:rFonts w:asciiTheme="minorBidi" w:hAnsiTheme="minorBidi" w:cstheme="minorBidi"/>
          <w:sz w:val="32"/>
          <w:szCs w:val="32"/>
          <w:rtl/>
        </w:rPr>
      </w:pPr>
      <w:r w:rsidRPr="00F27422">
        <w:rPr>
          <w:rFonts w:asciiTheme="minorBidi" w:hAnsiTheme="minorBidi" w:cstheme="minorBidi"/>
          <w:sz w:val="32"/>
          <w:szCs w:val="32"/>
        </w:rPr>
        <w:t>023</w:t>
      </w:r>
    </w:p>
    <w:p w14:paraId="3F77ED84"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76DFABA7"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7DC9298A" w14:textId="77777777" w:rsidR="00E27552" w:rsidRPr="00F27422" w:rsidRDefault="00E27552" w:rsidP="00122B70">
      <w:pPr>
        <w:bidi/>
        <w:rPr>
          <w:rFonts w:asciiTheme="minorBidi" w:hAnsiTheme="minorBidi"/>
          <w:b/>
          <w:bCs/>
          <w:sz w:val="32"/>
          <w:szCs w:val="32"/>
          <w:rtl/>
          <w:lang w:bidi="ar-BH"/>
        </w:rPr>
      </w:pPr>
      <w:r w:rsidRPr="00F27422">
        <w:rPr>
          <w:rFonts w:asciiTheme="minorBidi" w:hAnsiTheme="minorBidi"/>
          <w:b/>
          <w:bCs/>
          <w:sz w:val="32"/>
          <w:szCs w:val="32"/>
          <w:rtl/>
        </w:rPr>
        <w:t>واللعن الدائم على أعدائهم أجمعين إلى قيام يوم الدين</w:t>
      </w:r>
    </w:p>
    <w:p w14:paraId="294B8759" w14:textId="77777777" w:rsidR="00E27552" w:rsidRPr="00F27422" w:rsidRDefault="00E27552" w:rsidP="00122B70">
      <w:pPr>
        <w:bidi/>
        <w:rPr>
          <w:rFonts w:asciiTheme="minorBidi" w:hAnsiTheme="minorBidi"/>
          <w:b/>
          <w:bCs/>
          <w:sz w:val="32"/>
          <w:szCs w:val="32"/>
          <w:rtl/>
          <w:lang w:bidi="ar-BH"/>
        </w:rPr>
      </w:pPr>
    </w:p>
    <w:p w14:paraId="519430AE" w14:textId="77777777" w:rsidR="00E27552" w:rsidRPr="00F27422" w:rsidRDefault="00E27552" w:rsidP="00122B70">
      <w:pPr>
        <w:bidi/>
        <w:rPr>
          <w:rFonts w:asciiTheme="minorBidi" w:hAnsiTheme="minorBidi"/>
          <w:sz w:val="32"/>
          <w:szCs w:val="32"/>
          <w:rtl/>
        </w:rPr>
      </w:pPr>
      <w:r w:rsidRPr="00F27422">
        <w:rPr>
          <w:rFonts w:asciiTheme="minorBidi" w:hAnsiTheme="minorBidi"/>
          <w:b/>
          <w:bCs/>
          <w:sz w:val="32"/>
          <w:szCs w:val="32"/>
          <w:rtl/>
        </w:rPr>
        <w:t>وفي المقام عدّة تعليقات:</w:t>
      </w:r>
    </w:p>
    <w:p w14:paraId="3D1C6AC3" w14:textId="77777777" w:rsidR="00E27552" w:rsidRPr="00F27422" w:rsidRDefault="00E27552" w:rsidP="00122B70">
      <w:pPr>
        <w:bidi/>
        <w:rPr>
          <w:rFonts w:asciiTheme="minorBidi" w:hAnsiTheme="minorBidi"/>
          <w:sz w:val="32"/>
          <w:szCs w:val="32"/>
          <w:rtl/>
        </w:rPr>
      </w:pPr>
      <w:r w:rsidRPr="00F27422">
        <w:rPr>
          <w:rFonts w:asciiTheme="minorBidi" w:hAnsiTheme="minorBidi"/>
          <w:b/>
          <w:bCs/>
          <w:sz w:val="32"/>
          <w:szCs w:val="32"/>
          <w:rtl/>
        </w:rPr>
        <w:t>التعليق الأوّل:</w:t>
      </w:r>
      <w:r w:rsidRPr="00F27422">
        <w:rPr>
          <w:rFonts w:asciiTheme="minorBidi" w:hAnsiTheme="minorBidi"/>
          <w:sz w:val="32"/>
          <w:szCs w:val="32"/>
          <w:rtl/>
        </w:rPr>
        <w:t xml:space="preserve"> </w:t>
      </w:r>
      <w:r w:rsidRPr="00F27422">
        <w:rPr>
          <w:rFonts w:asciiTheme="minorBidi" w:hAnsiTheme="minorBidi"/>
          <w:b/>
          <w:bCs/>
          <w:sz w:val="32"/>
          <w:szCs w:val="32"/>
          <w:rtl/>
        </w:rPr>
        <w:t>في مناقشة الوجهين الثاني والثالث:</w:t>
      </w:r>
      <w:r w:rsidRPr="00F27422">
        <w:rPr>
          <w:rFonts w:asciiTheme="minorBidi" w:hAnsiTheme="minorBidi"/>
          <w:sz w:val="32"/>
          <w:szCs w:val="32"/>
          <w:rtl/>
        </w:rPr>
        <w:t xml:space="preserve"> إنّ ما سبق من نفي استبعاد تمامية الوجه الثاني وهو الرواية المذكورة في كتاب الغيبة ورجال الكشي الدالة على وثاقة إبراهيم بن محمّد الهمداني، والوجه الثالث وهو التمسك بتوثيق الشيخ (عليه الرحمة) للهمداني في كتاب الغيبة، إنّما هو بغض النظر عن الواسطة بين الشيخ (رحمه الله) ومن روى عنه في كتاب الغيبة وهو أحمد بن إدريس، وإلّا فإنّ في الواسطة تأملاً.</w:t>
      </w:r>
    </w:p>
    <w:p w14:paraId="063895BB" w14:textId="77777777" w:rsidR="00E27552" w:rsidRPr="00F27422" w:rsidRDefault="00E27552" w:rsidP="00122B70">
      <w:pPr>
        <w:bidi/>
        <w:rPr>
          <w:rFonts w:asciiTheme="minorBidi" w:hAnsiTheme="minorBidi"/>
          <w:b/>
          <w:bCs/>
          <w:sz w:val="32"/>
          <w:szCs w:val="32"/>
          <w:rtl/>
          <w:lang w:bidi="ar-BH"/>
        </w:rPr>
      </w:pPr>
      <w:r w:rsidRPr="00F27422">
        <w:rPr>
          <w:rFonts w:asciiTheme="minorBidi" w:hAnsiTheme="minorBidi"/>
          <w:b/>
          <w:bCs/>
          <w:sz w:val="32"/>
          <w:szCs w:val="32"/>
          <w:rtl/>
        </w:rPr>
        <w:lastRenderedPageBreak/>
        <w:t>وبيان ذلك:</w:t>
      </w:r>
      <w:r w:rsidRPr="00F27422">
        <w:rPr>
          <w:rFonts w:asciiTheme="minorBidi" w:hAnsiTheme="minorBidi"/>
          <w:sz w:val="32"/>
          <w:szCs w:val="32"/>
          <w:rtl/>
        </w:rPr>
        <w:t xml:space="preserve"> أنّ طريق الشيخ (عليه الرحمة) إلى أحمد بن إدريس في كتاب الغيبة غير تامٍ؛ بلحاظ ما ذكره الشيخ (رحمه الله) في كتابه [الفهرست، الشيخ الطوسي، مؤسسة نشر الفقاهة، الطبعة الثانية، باب الهمزة، باب أحمد، ص71، رقم: 81] حيث قال: </w:t>
      </w:r>
      <w:r w:rsidRPr="00F27422">
        <w:rPr>
          <w:rFonts w:asciiTheme="minorBidi" w:hAnsiTheme="minorBidi"/>
          <w:b/>
          <w:bCs/>
          <w:sz w:val="32"/>
          <w:szCs w:val="32"/>
          <w:rtl/>
        </w:rPr>
        <w:t>([81] 19- أحمد بن إدريس، أبو علي الأشعري القمي، كان ثقة في أصحابنا فقيهاً، كثير الحديث صحيحه، وله كتاب النوادر، كتاب كبير كثير الفائدة.</w:t>
      </w:r>
    </w:p>
    <w:p w14:paraId="43D4E713" w14:textId="77777777" w:rsidR="00E27552" w:rsidRPr="00F27422" w:rsidRDefault="00E27552" w:rsidP="00122B70">
      <w:pPr>
        <w:bidi/>
        <w:rPr>
          <w:rFonts w:asciiTheme="minorBidi" w:hAnsiTheme="minorBidi"/>
          <w:b/>
          <w:bCs/>
          <w:sz w:val="32"/>
          <w:szCs w:val="32"/>
          <w:rtl/>
          <w:lang w:bidi="ar-BH"/>
        </w:rPr>
      </w:pPr>
      <w:r w:rsidRPr="00F27422">
        <w:rPr>
          <w:rFonts w:asciiTheme="minorBidi" w:hAnsiTheme="minorBidi"/>
          <w:b/>
          <w:bCs/>
          <w:sz w:val="32"/>
          <w:szCs w:val="32"/>
          <w:rtl/>
        </w:rPr>
        <w:t>أخبرنا بسائر رواياته</w:t>
      </w:r>
      <w:r w:rsidRPr="00F27422">
        <w:rPr>
          <w:rFonts w:asciiTheme="minorBidi" w:hAnsiTheme="minorBidi"/>
          <w:sz w:val="32"/>
          <w:szCs w:val="32"/>
          <w:rtl/>
        </w:rPr>
        <w:t xml:space="preserve">) مع عود الضمير لأحمد لا للكتاب كما هو المعهود في هذه العبائر </w:t>
      </w:r>
      <w:r w:rsidRPr="00F27422">
        <w:rPr>
          <w:rFonts w:asciiTheme="minorBidi" w:hAnsiTheme="minorBidi"/>
          <w:b/>
          <w:bCs/>
          <w:sz w:val="32"/>
          <w:szCs w:val="32"/>
          <w:rtl/>
        </w:rPr>
        <w:t>(الحسين بن عبيدالله، عن أحمد بن جعفر بن سفيان البزوفري، عن أحمد بن إدريس.</w:t>
      </w:r>
    </w:p>
    <w:p w14:paraId="59B189F6"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ومات أحمد بن إدريس بالقرعاء في طريق مكة سنة ست وثلاثمائة).</w:t>
      </w:r>
    </w:p>
    <w:p w14:paraId="0B0675D7" w14:textId="77777777" w:rsidR="00E27552" w:rsidRPr="00F27422" w:rsidRDefault="00E27552" w:rsidP="00122B70">
      <w:pPr>
        <w:bidi/>
        <w:rPr>
          <w:rFonts w:asciiTheme="minorBidi" w:hAnsiTheme="minorBidi"/>
          <w:b/>
          <w:bCs/>
          <w:sz w:val="32"/>
          <w:szCs w:val="32"/>
          <w:rtl/>
        </w:rPr>
      </w:pPr>
      <w:r w:rsidRPr="00F27422">
        <w:rPr>
          <w:rFonts w:asciiTheme="minorBidi" w:hAnsiTheme="minorBidi"/>
          <w:sz w:val="32"/>
          <w:szCs w:val="32"/>
          <w:rtl/>
        </w:rPr>
        <w:t>وهو اشتمال الطريق على أحمد البزوفري، وبما أنّ أحمد البزوفري مما لا توثيق له فلم يحرز تمامية طريق الشيخ (رحمه الله) إلى أحمد بن إدريس الذي روى هذه الرواية المتضمنة لتوثيق إبراهيم بن محمّد الهمداني.</w:t>
      </w:r>
    </w:p>
    <w:p w14:paraId="11E379EC"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فإنْ قلت:</w:t>
      </w:r>
      <w:r w:rsidRPr="00F27422">
        <w:rPr>
          <w:rFonts w:asciiTheme="minorBidi" w:hAnsiTheme="minorBidi"/>
          <w:sz w:val="32"/>
          <w:szCs w:val="32"/>
          <w:rtl/>
        </w:rPr>
        <w:t xml:space="preserve"> يمكن تعويض طريق الشيخ (رحمه الله) إلى أحمد بن إدريس في كتاب الغيبة بطريقه إليه في التهذيبين؛ حيث إنّ للشيخ (عليه الرحمة) طريقاً إلى أحمد بن إدريس في التهذيبين، وطريق الشيخ (عليه الرحمة) إليه في التهذيبين تامٌ سنداً، فيعوض به طريقه إلى أحمد بن إدريس في كتاب الغيبة.</w:t>
      </w:r>
    </w:p>
    <w:p w14:paraId="5EC90AC7"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قلتُ:</w:t>
      </w:r>
      <w:r w:rsidRPr="00F27422">
        <w:rPr>
          <w:rFonts w:asciiTheme="minorBidi" w:hAnsiTheme="minorBidi"/>
          <w:sz w:val="32"/>
          <w:szCs w:val="32"/>
          <w:rtl/>
        </w:rPr>
        <w:t xml:space="preserve"> هذا غير تامٍ؛ لأنّ ظاهر عبارة الشيخ (رحمه الله) في مشيخة التهذيبين أنّ طريقه لأحمد بن إدريس إنّما هو طريقٌ لما رواه عنه في التهذيبين لا إلى جميع رواياته.</w:t>
      </w:r>
    </w:p>
    <w:p w14:paraId="61AF6F66" w14:textId="77777777" w:rsidR="00E27552" w:rsidRPr="00F27422" w:rsidRDefault="00E27552" w:rsidP="00122B70">
      <w:pPr>
        <w:bidi/>
        <w:rPr>
          <w:rFonts w:asciiTheme="minorBidi" w:hAnsiTheme="minorBidi"/>
          <w:b/>
          <w:bCs/>
          <w:sz w:val="32"/>
          <w:szCs w:val="32"/>
          <w:rtl/>
        </w:rPr>
      </w:pPr>
      <w:r w:rsidRPr="00F27422">
        <w:rPr>
          <w:rFonts w:asciiTheme="minorBidi" w:hAnsiTheme="minorBidi"/>
          <w:sz w:val="32"/>
          <w:szCs w:val="32"/>
          <w:rtl/>
        </w:rPr>
        <w:t>فهناك فرقٌ بين عبارة الشيخ (عليه الرحمة) في الفهرست وعبارته في التهذيبين، فعبارةُ الشيخ (رحمه الله) في الفهرست ظاهرة في أنّ طريقه إليه طريقٌ إلى جميع رواياته، إلّا أنّ هذا الطريق الذي ذكره إلى جميع رواياته غير تامٍ؛ حيث يمر بأحمد البزوفري ولا توثيق له.</w:t>
      </w:r>
    </w:p>
    <w:p w14:paraId="2251869B" w14:textId="77777777" w:rsidR="00E27552" w:rsidRPr="00F27422" w:rsidRDefault="00E27552" w:rsidP="00122B70">
      <w:pPr>
        <w:bidi/>
        <w:rPr>
          <w:rFonts w:asciiTheme="minorBidi" w:hAnsiTheme="minorBidi"/>
          <w:sz w:val="32"/>
          <w:szCs w:val="32"/>
          <w:rtl/>
        </w:rPr>
      </w:pPr>
      <w:r w:rsidRPr="00F27422">
        <w:rPr>
          <w:rFonts w:asciiTheme="minorBidi" w:hAnsiTheme="minorBidi"/>
          <w:sz w:val="32"/>
          <w:szCs w:val="32"/>
          <w:rtl/>
        </w:rPr>
        <w:t xml:space="preserve">بينما الطريق الذي ذكره الشيخ (عليه الرحمة) في مشيخة التهذيبين إلى أحمد بن إدريس ظاهرٌ في النظر لما رواه عنه في التهذيبين لا مطلقاً، كما جاء في كتابه [تهذيب الأحكام، شيخ الطائفة الطوسي، دار الكتب الإسلامية، ج10، المشيخة ص384] قال الشيخ (رحمه الله): </w:t>
      </w:r>
      <w:r w:rsidRPr="00F27422">
        <w:rPr>
          <w:rFonts w:asciiTheme="minorBidi" w:hAnsiTheme="minorBidi"/>
          <w:b/>
          <w:bCs/>
          <w:sz w:val="32"/>
          <w:szCs w:val="32"/>
          <w:rtl/>
        </w:rPr>
        <w:t>(4- وما ذكرته عن أحمد بن إدريس: فقد رويته بهذا الإسناد، عن محمّد بن يعقوب)</w:t>
      </w:r>
      <w:r w:rsidRPr="00F27422">
        <w:rPr>
          <w:rFonts w:asciiTheme="minorBidi" w:hAnsiTheme="minorBidi"/>
          <w:sz w:val="32"/>
          <w:szCs w:val="32"/>
          <w:rtl/>
        </w:rPr>
        <w:t xml:space="preserve"> وهو الشيخ الكليني </w:t>
      </w:r>
      <w:r w:rsidRPr="00F27422">
        <w:rPr>
          <w:rFonts w:asciiTheme="minorBidi" w:hAnsiTheme="minorBidi"/>
          <w:b/>
          <w:bCs/>
          <w:sz w:val="32"/>
          <w:szCs w:val="32"/>
          <w:rtl/>
        </w:rPr>
        <w:t>(عن أحمد بن إدريس، وأخبرني به أيضاً الشيخ أبو عبدالله محمّد بن محمّد بن النعمان)</w:t>
      </w:r>
      <w:r w:rsidRPr="00F27422">
        <w:rPr>
          <w:rFonts w:asciiTheme="minorBidi" w:hAnsiTheme="minorBidi"/>
          <w:sz w:val="32"/>
          <w:szCs w:val="32"/>
          <w:rtl/>
        </w:rPr>
        <w:t xml:space="preserve"> وهو الشيخ المفيد </w:t>
      </w:r>
      <w:r w:rsidRPr="00F27422">
        <w:rPr>
          <w:rFonts w:asciiTheme="minorBidi" w:hAnsiTheme="minorBidi"/>
          <w:b/>
          <w:bCs/>
          <w:sz w:val="32"/>
          <w:szCs w:val="32"/>
          <w:rtl/>
        </w:rPr>
        <w:t>(والحسين بن عبيدالله)</w:t>
      </w:r>
      <w:r w:rsidRPr="00F27422">
        <w:rPr>
          <w:rFonts w:asciiTheme="minorBidi" w:hAnsiTheme="minorBidi"/>
          <w:sz w:val="32"/>
          <w:szCs w:val="32"/>
          <w:rtl/>
        </w:rPr>
        <w:t xml:space="preserve"> وهو الغضائري </w:t>
      </w:r>
      <w:r w:rsidRPr="00F27422">
        <w:rPr>
          <w:rFonts w:asciiTheme="minorBidi" w:hAnsiTheme="minorBidi"/>
          <w:b/>
          <w:bCs/>
          <w:sz w:val="32"/>
          <w:szCs w:val="32"/>
          <w:rtl/>
        </w:rPr>
        <w:t>(جميعاً، عن أبي جعفر محمّد بن الحسين بن سفيان البزوفري، عن أحمد بن إدريس).</w:t>
      </w:r>
    </w:p>
    <w:p w14:paraId="2CA5A706" w14:textId="77777777" w:rsidR="00E27552" w:rsidRPr="00F27422" w:rsidRDefault="00E27552" w:rsidP="00122B70">
      <w:pPr>
        <w:bidi/>
        <w:rPr>
          <w:rFonts w:asciiTheme="minorBidi" w:hAnsiTheme="minorBidi"/>
          <w:b/>
          <w:bCs/>
          <w:sz w:val="32"/>
          <w:szCs w:val="32"/>
          <w:rtl/>
        </w:rPr>
      </w:pPr>
      <w:r w:rsidRPr="00F27422">
        <w:rPr>
          <w:rFonts w:asciiTheme="minorBidi" w:hAnsiTheme="minorBidi"/>
          <w:sz w:val="32"/>
          <w:szCs w:val="32"/>
          <w:rtl/>
        </w:rPr>
        <w:lastRenderedPageBreak/>
        <w:t>وهذا طريقٌ صحيحٌ، إذا ضم إليه ما ورد في مصباح السيد ابن طاووس [ص، 573] من الترضي على أبي جعفر محمّد بن الحسين بن سفيان البزوفري، وترحم الشيخ الطوسي عليه في كتابه الأمالي الدال على وثاقة أبي جعفر البزوفري.</w:t>
      </w:r>
    </w:p>
    <w:p w14:paraId="6A056C4A"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وبالجملة:</w:t>
      </w:r>
      <w:r w:rsidRPr="00F27422">
        <w:rPr>
          <w:rFonts w:asciiTheme="minorBidi" w:hAnsiTheme="minorBidi"/>
          <w:sz w:val="32"/>
          <w:szCs w:val="32"/>
          <w:rtl/>
        </w:rPr>
        <w:t xml:space="preserve"> إنّ </w:t>
      </w:r>
      <w:proofErr w:type="spellStart"/>
      <w:r w:rsidRPr="00F27422">
        <w:rPr>
          <w:rFonts w:asciiTheme="minorBidi" w:hAnsiTheme="minorBidi"/>
          <w:sz w:val="32"/>
          <w:szCs w:val="32"/>
          <w:rtl/>
        </w:rPr>
        <w:t>ماذكره</w:t>
      </w:r>
      <w:proofErr w:type="spellEnd"/>
      <w:r w:rsidRPr="00F27422">
        <w:rPr>
          <w:rFonts w:asciiTheme="minorBidi" w:hAnsiTheme="minorBidi"/>
          <w:sz w:val="32"/>
          <w:szCs w:val="32"/>
          <w:rtl/>
        </w:rPr>
        <w:t xml:space="preserve"> (رحمه الله) في التهذيب نحو ما ذكره في كتابه [الاستبصار، شيخ الطائفة الطوسي، دار الحديث للطباعة والنشر، ج4، المشيخة، ص382] حيث قال: </w:t>
      </w:r>
      <w:r w:rsidRPr="00F27422">
        <w:rPr>
          <w:rFonts w:asciiTheme="minorBidi" w:hAnsiTheme="minorBidi"/>
          <w:b/>
          <w:bCs/>
          <w:sz w:val="32"/>
          <w:szCs w:val="32"/>
          <w:rtl/>
        </w:rPr>
        <w:t>(4- وما ذكرته عن أحمد بن إدريس فقد رويته – بهذه الأسانيد – عن محمّد بن يعقوب، عن أحمد بن إدريس، وأخبرني بجميع رواياته أيضاً الشيخ أبوعبدالله، والحسين بن عبيد الله جميعاً، عن أبي جعفر محمّد بن الحسن بن سفيان البزوفري، عن أحمد بن إدريس).</w:t>
      </w:r>
    </w:p>
    <w:p w14:paraId="6D184E4A" w14:textId="77777777" w:rsidR="00E27552" w:rsidRPr="00F27422" w:rsidRDefault="00E27552" w:rsidP="00122B70">
      <w:pPr>
        <w:bidi/>
        <w:rPr>
          <w:rFonts w:asciiTheme="minorBidi" w:hAnsiTheme="minorBidi"/>
          <w:b/>
          <w:bCs/>
          <w:sz w:val="32"/>
          <w:szCs w:val="32"/>
          <w:rtl/>
        </w:rPr>
      </w:pPr>
      <w:r w:rsidRPr="00F27422">
        <w:rPr>
          <w:rFonts w:asciiTheme="minorBidi" w:hAnsiTheme="minorBidi"/>
          <w:sz w:val="32"/>
          <w:szCs w:val="32"/>
          <w:rtl/>
        </w:rPr>
        <w:t xml:space="preserve">ومن الواضح أنّ قوله: </w:t>
      </w:r>
      <w:r w:rsidRPr="00F27422">
        <w:rPr>
          <w:rFonts w:asciiTheme="minorBidi" w:hAnsiTheme="minorBidi"/>
          <w:b/>
          <w:bCs/>
          <w:sz w:val="32"/>
          <w:szCs w:val="32"/>
          <w:rtl/>
        </w:rPr>
        <w:t>"وما ذكرته"</w:t>
      </w:r>
      <w:r w:rsidRPr="00F27422">
        <w:rPr>
          <w:rFonts w:asciiTheme="minorBidi" w:hAnsiTheme="minorBidi"/>
          <w:sz w:val="32"/>
          <w:szCs w:val="32"/>
          <w:rtl/>
        </w:rPr>
        <w:t xml:space="preserve"> ظاهرٌ في أنّ ما ذكره عنه في التهذيبين، ولا يستفاد من </w:t>
      </w:r>
      <w:r w:rsidRPr="00F27422">
        <w:rPr>
          <w:rFonts w:asciiTheme="minorBidi" w:hAnsiTheme="minorBidi"/>
          <w:b/>
          <w:bCs/>
          <w:sz w:val="32"/>
          <w:szCs w:val="32"/>
          <w:rtl/>
        </w:rPr>
        <w:t xml:space="preserve">"وما ذكرته" </w:t>
      </w:r>
      <w:r w:rsidRPr="00F27422">
        <w:rPr>
          <w:rFonts w:asciiTheme="minorBidi" w:hAnsiTheme="minorBidi"/>
          <w:sz w:val="32"/>
          <w:szCs w:val="32"/>
          <w:rtl/>
        </w:rPr>
        <w:t>أنّ كلّ ما صنفه ونقله الشيخ (عليه الرحمة) من رواياته فهو مندرجٌ تحت هذا الطريق.</w:t>
      </w:r>
    </w:p>
    <w:p w14:paraId="58804CF1"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lang w:bidi="ar-BH"/>
        </w:rPr>
        <w:t xml:space="preserve">التعليق الثاني: </w:t>
      </w:r>
      <w:r w:rsidRPr="00F27422">
        <w:rPr>
          <w:rFonts w:asciiTheme="minorBidi" w:hAnsiTheme="minorBidi"/>
          <w:b/>
          <w:bCs/>
          <w:sz w:val="32"/>
          <w:szCs w:val="32"/>
          <w:rtl/>
        </w:rPr>
        <w:t xml:space="preserve">إنْ قلتَ: </w:t>
      </w:r>
      <w:r w:rsidRPr="00F27422">
        <w:rPr>
          <w:rFonts w:asciiTheme="minorBidi" w:hAnsiTheme="minorBidi"/>
          <w:sz w:val="32"/>
          <w:szCs w:val="32"/>
          <w:rtl/>
        </w:rPr>
        <w:t xml:space="preserve">سلمنا بأنّ طريق الشيخ (عليه الرحمة) إلى أحمد بن إدريس ضعيفٌ بـ أحمد بن جعفر بن سفيان البزوفري، إلّا أنّ للكَشي طريقاً للرواية دون أنْ يمر </w:t>
      </w:r>
      <w:proofErr w:type="spellStart"/>
      <w:r w:rsidRPr="00F27422">
        <w:rPr>
          <w:rFonts w:asciiTheme="minorBidi" w:hAnsiTheme="minorBidi"/>
          <w:sz w:val="32"/>
          <w:szCs w:val="32"/>
          <w:rtl/>
        </w:rPr>
        <w:t>بالبزوفري</w:t>
      </w:r>
      <w:proofErr w:type="spellEnd"/>
      <w:r w:rsidRPr="00F27422">
        <w:rPr>
          <w:rFonts w:asciiTheme="minorBidi" w:hAnsiTheme="minorBidi"/>
          <w:sz w:val="32"/>
          <w:szCs w:val="32"/>
          <w:rtl/>
        </w:rPr>
        <w:t xml:space="preserve"> المجهول، فطريق الكَشي للرواية تامٌ.</w:t>
      </w:r>
    </w:p>
    <w:p w14:paraId="4D148E4B" w14:textId="77777777" w:rsidR="00E27552" w:rsidRPr="00F27422" w:rsidRDefault="00E27552" w:rsidP="00122B70">
      <w:pPr>
        <w:bidi/>
        <w:rPr>
          <w:rFonts w:asciiTheme="minorBidi" w:hAnsiTheme="minorBidi"/>
          <w:sz w:val="32"/>
          <w:szCs w:val="32"/>
          <w:rtl/>
        </w:rPr>
      </w:pPr>
      <w:r w:rsidRPr="00F27422">
        <w:rPr>
          <w:rFonts w:asciiTheme="minorBidi" w:hAnsiTheme="minorBidi"/>
          <w:b/>
          <w:bCs/>
          <w:sz w:val="32"/>
          <w:szCs w:val="32"/>
          <w:rtl/>
        </w:rPr>
        <w:t>قلتُ:</w:t>
      </w:r>
      <w:r w:rsidRPr="00F27422">
        <w:rPr>
          <w:rFonts w:asciiTheme="minorBidi" w:hAnsiTheme="minorBidi"/>
          <w:sz w:val="32"/>
          <w:szCs w:val="32"/>
          <w:rtl/>
        </w:rPr>
        <w:t xml:space="preserve"> المشكلة أنّ طريق الكَشي للرواية أيضاً مبتلى بوجود أبي محمّد الرّازي وهو الراوي المباشر في كلا الطريقين، ولم يوثق بل لم يترجم لا من قبل النجاشي ولا الشيخ ولا الغضائري، وهو مغايرٌ للحسن بن العباس </w:t>
      </w:r>
      <w:proofErr w:type="spellStart"/>
      <w:r w:rsidRPr="00F27422">
        <w:rPr>
          <w:rFonts w:asciiTheme="minorBidi" w:hAnsiTheme="minorBidi"/>
          <w:sz w:val="32"/>
          <w:szCs w:val="32"/>
          <w:rtl/>
        </w:rPr>
        <w:t>الحريشي</w:t>
      </w:r>
      <w:proofErr w:type="spellEnd"/>
      <w:r w:rsidRPr="00F27422">
        <w:rPr>
          <w:rFonts w:asciiTheme="minorBidi" w:hAnsiTheme="minorBidi"/>
          <w:sz w:val="32"/>
          <w:szCs w:val="32"/>
          <w:rtl/>
        </w:rPr>
        <w:t xml:space="preserve"> الرّازي الذي نصّ النجاشي وابن الغضائري على ضعفه، فكلاهما لقب بالرّازي وكلاهما ممن روى عنه أحمد بن محمّد بن عيسى كما في تفسير القمي، كما كني </w:t>
      </w:r>
      <w:proofErr w:type="spellStart"/>
      <w:r w:rsidRPr="00F27422">
        <w:rPr>
          <w:rFonts w:asciiTheme="minorBidi" w:hAnsiTheme="minorBidi"/>
          <w:sz w:val="32"/>
          <w:szCs w:val="32"/>
          <w:rtl/>
        </w:rPr>
        <w:t>الحريشي</w:t>
      </w:r>
      <w:proofErr w:type="spellEnd"/>
      <w:r w:rsidRPr="00F27422">
        <w:rPr>
          <w:rFonts w:asciiTheme="minorBidi" w:hAnsiTheme="minorBidi"/>
          <w:sz w:val="32"/>
          <w:szCs w:val="32"/>
          <w:rtl/>
        </w:rPr>
        <w:t xml:space="preserve"> بأبي محمّد في كتاب ابن الغضائري، وهي كنية الرّازي بحسب رواية الشيخ في الغيبة، بينما النجاشي ذكر أنّ كنية </w:t>
      </w:r>
      <w:proofErr w:type="spellStart"/>
      <w:r w:rsidRPr="00F27422">
        <w:rPr>
          <w:rFonts w:asciiTheme="minorBidi" w:hAnsiTheme="minorBidi"/>
          <w:sz w:val="32"/>
          <w:szCs w:val="32"/>
          <w:rtl/>
        </w:rPr>
        <w:t>الحريشي</w:t>
      </w:r>
      <w:proofErr w:type="spellEnd"/>
      <w:r w:rsidRPr="00F27422">
        <w:rPr>
          <w:rFonts w:asciiTheme="minorBidi" w:hAnsiTheme="minorBidi"/>
          <w:sz w:val="32"/>
          <w:szCs w:val="32"/>
          <w:rtl/>
        </w:rPr>
        <w:t xml:space="preserve"> "أبو علي"، إلّا أنّ الفارق بينهما أنّ الرّازي </w:t>
      </w:r>
      <w:proofErr w:type="spellStart"/>
      <w:r w:rsidRPr="00F27422">
        <w:rPr>
          <w:rFonts w:asciiTheme="minorBidi" w:hAnsiTheme="minorBidi"/>
          <w:sz w:val="32"/>
          <w:szCs w:val="32"/>
          <w:rtl/>
        </w:rPr>
        <w:t>الحريشي</w:t>
      </w:r>
      <w:proofErr w:type="spellEnd"/>
      <w:r w:rsidRPr="00F27422">
        <w:rPr>
          <w:rFonts w:asciiTheme="minorBidi" w:hAnsiTheme="minorBidi"/>
          <w:sz w:val="32"/>
          <w:szCs w:val="32"/>
          <w:rtl/>
        </w:rPr>
        <w:t xml:space="preserve"> ممن روى عن أبي جعفر الثاني (عليه السلام) فهو من كبار الطبقة السابعة، بينما أبو محمّد الرّازي راوي الرواية من الطبقة التاسعة المعاصرة للناحية المقدسة (عجل الله تعالى فرجه)، </w:t>
      </w:r>
      <w:proofErr w:type="spellStart"/>
      <w:r w:rsidRPr="00F27422">
        <w:rPr>
          <w:rFonts w:asciiTheme="minorBidi" w:hAnsiTheme="minorBidi"/>
          <w:sz w:val="32"/>
          <w:szCs w:val="32"/>
          <w:rtl/>
        </w:rPr>
        <w:t>وهومجهول</w:t>
      </w:r>
      <w:proofErr w:type="spellEnd"/>
      <w:r w:rsidRPr="00F27422">
        <w:rPr>
          <w:rFonts w:asciiTheme="minorBidi" w:hAnsiTheme="minorBidi"/>
          <w:sz w:val="32"/>
          <w:szCs w:val="32"/>
          <w:rtl/>
        </w:rPr>
        <w:t>.</w:t>
      </w:r>
    </w:p>
    <w:p w14:paraId="28A3BDCC"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وقد يقال</w:t>
      </w:r>
      <w:r w:rsidRPr="00F27422">
        <w:rPr>
          <w:rFonts w:asciiTheme="minorBidi" w:hAnsiTheme="minorBidi"/>
          <w:sz w:val="32"/>
          <w:szCs w:val="32"/>
          <w:rtl/>
        </w:rPr>
        <w:t xml:space="preserve"> </w:t>
      </w:r>
      <w:r w:rsidRPr="00F27422">
        <w:rPr>
          <w:rFonts w:asciiTheme="minorBidi" w:hAnsiTheme="minorBidi"/>
          <w:b/>
          <w:bCs/>
          <w:sz w:val="32"/>
          <w:szCs w:val="32"/>
          <w:rtl/>
        </w:rPr>
        <w:t>في توثيقه:</w:t>
      </w:r>
      <w:r w:rsidRPr="00F27422">
        <w:rPr>
          <w:rFonts w:asciiTheme="minorBidi" w:hAnsiTheme="minorBidi"/>
          <w:sz w:val="32"/>
          <w:szCs w:val="32"/>
          <w:rtl/>
        </w:rPr>
        <w:t xml:space="preserve"> إنّه من </w:t>
      </w:r>
      <w:proofErr w:type="spellStart"/>
      <w:r w:rsidRPr="00F27422">
        <w:rPr>
          <w:rFonts w:asciiTheme="minorBidi" w:hAnsiTheme="minorBidi"/>
          <w:sz w:val="32"/>
          <w:szCs w:val="32"/>
          <w:rtl/>
        </w:rPr>
        <w:t>مشائخ</w:t>
      </w:r>
      <w:proofErr w:type="spellEnd"/>
      <w:r w:rsidRPr="00F27422">
        <w:rPr>
          <w:rFonts w:asciiTheme="minorBidi" w:hAnsiTheme="minorBidi"/>
          <w:sz w:val="32"/>
          <w:szCs w:val="32"/>
          <w:rtl/>
        </w:rPr>
        <w:t xml:space="preserve"> أحمد بن محمّد بن عيسى كما سبقت الإشارة إليه، وبما أنّ ديدن ومسلك أحمد بن محمّد بن عيسى التشدد في الروايات، والمفروض أنّ أبا محمّدٍ الرّازي شيخه فمقتضى ذلك أنْ يكون شيخه ثقة.</w:t>
      </w:r>
    </w:p>
    <w:p w14:paraId="2CB4F9D3"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لكن الصحيح:</w:t>
      </w:r>
      <w:r w:rsidRPr="00F27422">
        <w:rPr>
          <w:rFonts w:asciiTheme="minorBidi" w:hAnsiTheme="minorBidi"/>
          <w:sz w:val="32"/>
          <w:szCs w:val="32"/>
          <w:rtl/>
        </w:rPr>
        <w:t xml:space="preserve"> أنّه لم يثبت أنّه من مشائخه؛ بل غاية ما ثبت أنّه ممن روى </w:t>
      </w:r>
      <w:proofErr w:type="gramStart"/>
      <w:r w:rsidRPr="00F27422">
        <w:rPr>
          <w:rFonts w:asciiTheme="minorBidi" w:hAnsiTheme="minorBidi"/>
          <w:sz w:val="32"/>
          <w:szCs w:val="32"/>
          <w:rtl/>
        </w:rPr>
        <w:t>عنه</w:t>
      </w:r>
      <w:proofErr w:type="gramEnd"/>
      <w:r w:rsidRPr="00F27422">
        <w:rPr>
          <w:rFonts w:asciiTheme="minorBidi" w:hAnsiTheme="minorBidi"/>
          <w:sz w:val="32"/>
          <w:szCs w:val="32"/>
          <w:rtl/>
        </w:rPr>
        <w:t xml:space="preserve"> بل لم ترد عنه إلّا هذه الرواية، بحسب ما ذكره سيدنا الخوئي (قدس سره الشريف) في كتابه [معجم رجال </w:t>
      </w:r>
      <w:r w:rsidRPr="00F27422">
        <w:rPr>
          <w:rFonts w:asciiTheme="minorBidi" w:hAnsiTheme="minorBidi"/>
          <w:sz w:val="32"/>
          <w:szCs w:val="32"/>
          <w:rtl/>
        </w:rPr>
        <w:lastRenderedPageBreak/>
        <w:t xml:space="preserve">الحديث، مؤسسة الإمام الخوئي الإسلامية، ص268] حيث قال: </w:t>
      </w:r>
      <w:r w:rsidRPr="00F27422">
        <w:rPr>
          <w:rFonts w:asciiTheme="minorBidi" w:hAnsiTheme="minorBidi"/>
          <w:b/>
          <w:bCs/>
          <w:sz w:val="32"/>
          <w:szCs w:val="32"/>
          <w:rtl/>
        </w:rPr>
        <w:t xml:space="preserve">(وروى الشيخ عن: (أحمد بن إدريس، عن أحمد بن محمد بن عيسى، عن أبي محمد الرّازي، قال: كنت وأحمد بن أبي </w:t>
      </w:r>
      <w:proofErr w:type="gramStart"/>
      <w:r w:rsidRPr="00F27422">
        <w:rPr>
          <w:rFonts w:asciiTheme="minorBidi" w:hAnsiTheme="minorBidi"/>
          <w:b/>
          <w:bCs/>
          <w:sz w:val="32"/>
          <w:szCs w:val="32"/>
          <w:rtl/>
        </w:rPr>
        <w:t>عبدالله</w:t>
      </w:r>
      <w:proofErr w:type="gramEnd"/>
      <w:r w:rsidRPr="00F27422">
        <w:rPr>
          <w:rFonts w:asciiTheme="minorBidi" w:hAnsiTheme="minorBidi"/>
          <w:b/>
          <w:bCs/>
          <w:sz w:val="32"/>
          <w:szCs w:val="32"/>
          <w:rtl/>
        </w:rPr>
        <w:t xml:space="preserve"> بالعسكر فورد علينا رسول من قبل الرجل، فقال: أحمد بن إسحاق الأشعري، وإبراهيم بن محمد الهمداني، وأحمد بن حمزة بن اليسع: ثقات). الغيبة: (في ذكر بعض من كان في زمان السفراء وورد عليهم التوقيع من قبلهم).</w:t>
      </w:r>
    </w:p>
    <w:p w14:paraId="35E0EEC4" w14:textId="77777777" w:rsidR="00E27552" w:rsidRPr="00F27422" w:rsidRDefault="00E27552" w:rsidP="00122B70">
      <w:pPr>
        <w:bidi/>
        <w:rPr>
          <w:rFonts w:asciiTheme="minorBidi" w:hAnsiTheme="minorBidi"/>
          <w:sz w:val="32"/>
          <w:szCs w:val="32"/>
          <w:rtl/>
        </w:rPr>
      </w:pPr>
      <w:r w:rsidRPr="00F27422">
        <w:rPr>
          <w:rFonts w:asciiTheme="minorBidi" w:hAnsiTheme="minorBidi"/>
          <w:b/>
          <w:bCs/>
          <w:sz w:val="32"/>
          <w:szCs w:val="32"/>
          <w:rtl/>
        </w:rPr>
        <w:t>لكنّها أيضاً ضعيفة؛ لجهالة أبي محمد الرّازي..)</w:t>
      </w:r>
      <w:r w:rsidRPr="00F27422">
        <w:rPr>
          <w:rFonts w:asciiTheme="minorBidi" w:hAnsiTheme="minorBidi"/>
          <w:sz w:val="32"/>
          <w:szCs w:val="32"/>
          <w:rtl/>
        </w:rPr>
        <w:t xml:space="preserve"> </w:t>
      </w:r>
      <w:proofErr w:type="spellStart"/>
      <w:r w:rsidRPr="00F27422">
        <w:rPr>
          <w:rFonts w:asciiTheme="minorBidi" w:hAnsiTheme="minorBidi"/>
          <w:sz w:val="32"/>
          <w:szCs w:val="32"/>
          <w:rtl/>
        </w:rPr>
        <w:t>ألخ</w:t>
      </w:r>
      <w:proofErr w:type="spellEnd"/>
      <w:r w:rsidRPr="00F27422">
        <w:rPr>
          <w:rFonts w:asciiTheme="minorBidi" w:hAnsiTheme="minorBidi"/>
          <w:sz w:val="32"/>
          <w:szCs w:val="32"/>
          <w:rtl/>
        </w:rPr>
        <w:t>.</w:t>
      </w:r>
    </w:p>
    <w:p w14:paraId="1134AA40"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وقد يقال:</w:t>
      </w:r>
      <w:r w:rsidRPr="00F27422">
        <w:rPr>
          <w:rFonts w:asciiTheme="minorBidi" w:hAnsiTheme="minorBidi"/>
          <w:sz w:val="32"/>
          <w:szCs w:val="32"/>
          <w:rtl/>
        </w:rPr>
        <w:t xml:space="preserve"> إنّ أحمد بن محمّد بن عيسى (رحمه الله) قد عرف عنه التشدد في الرواية، وقد روى عن </w:t>
      </w:r>
      <w:proofErr w:type="gramStart"/>
      <w:r w:rsidRPr="00F27422">
        <w:rPr>
          <w:rFonts w:asciiTheme="minorBidi" w:hAnsiTheme="minorBidi"/>
          <w:sz w:val="32"/>
          <w:szCs w:val="32"/>
          <w:rtl/>
        </w:rPr>
        <w:t>مائة</w:t>
      </w:r>
      <w:proofErr w:type="gramEnd"/>
      <w:r w:rsidRPr="00F27422">
        <w:rPr>
          <w:rFonts w:asciiTheme="minorBidi" w:hAnsiTheme="minorBidi"/>
          <w:sz w:val="32"/>
          <w:szCs w:val="32"/>
          <w:rtl/>
        </w:rPr>
        <w:t xml:space="preserve"> وثمانية وخمسين شيخاً، ومَن ضُعف مِن هؤلاء – لا أنّه واضح الضعف - أربعةٌ فقط، وهم: بكر بن صالح، ومحمد بن سنان، وإسماعيل بن سهل، وعلي بن حديد، فتكون نسبة الضعيف الذي روى عنه لمن روى عنه - وهو </w:t>
      </w:r>
      <w:proofErr w:type="gramStart"/>
      <w:r w:rsidRPr="00F27422">
        <w:rPr>
          <w:rFonts w:asciiTheme="minorBidi" w:hAnsiTheme="minorBidi"/>
          <w:sz w:val="32"/>
          <w:szCs w:val="32"/>
          <w:rtl/>
        </w:rPr>
        <w:t>مائة</w:t>
      </w:r>
      <w:proofErr w:type="gramEnd"/>
      <w:r w:rsidRPr="00F27422">
        <w:rPr>
          <w:rFonts w:asciiTheme="minorBidi" w:hAnsiTheme="minorBidi"/>
          <w:sz w:val="32"/>
          <w:szCs w:val="32"/>
          <w:rtl/>
        </w:rPr>
        <w:t xml:space="preserve"> وثمانية وخمسون – 2% تقريباً.</w:t>
      </w:r>
    </w:p>
    <w:p w14:paraId="2C7412F2" w14:textId="77777777" w:rsidR="00E27552" w:rsidRPr="00F27422" w:rsidRDefault="00E27552" w:rsidP="00122B70">
      <w:pPr>
        <w:bidi/>
        <w:rPr>
          <w:rFonts w:asciiTheme="minorBidi" w:hAnsiTheme="minorBidi"/>
          <w:b/>
          <w:bCs/>
          <w:sz w:val="32"/>
          <w:szCs w:val="32"/>
          <w:rtl/>
        </w:rPr>
      </w:pPr>
      <w:r w:rsidRPr="00F27422">
        <w:rPr>
          <w:rFonts w:asciiTheme="minorBidi" w:hAnsiTheme="minorBidi"/>
          <w:sz w:val="32"/>
          <w:szCs w:val="32"/>
          <w:rtl/>
        </w:rPr>
        <w:t>فاحتمال أنّ أبا محمّد الرّازي ضعيفٌ مع كون ديدنه التشدد في الرواية احتمالٌ ضئيلٌ لا يعتد به عند العقلاء.</w:t>
      </w:r>
    </w:p>
    <w:p w14:paraId="7C07A281" w14:textId="77777777" w:rsidR="00E27552" w:rsidRPr="00F27422" w:rsidRDefault="00E27552" w:rsidP="00122B70">
      <w:pPr>
        <w:bidi/>
        <w:rPr>
          <w:rFonts w:asciiTheme="minorBidi" w:hAnsiTheme="minorBidi"/>
          <w:sz w:val="32"/>
          <w:szCs w:val="32"/>
          <w:rtl/>
        </w:rPr>
      </w:pPr>
      <w:r w:rsidRPr="00F27422">
        <w:rPr>
          <w:rFonts w:asciiTheme="minorBidi" w:hAnsiTheme="minorBidi"/>
          <w:b/>
          <w:bCs/>
          <w:sz w:val="32"/>
          <w:szCs w:val="32"/>
          <w:rtl/>
        </w:rPr>
        <w:t>ولكن يقال:</w:t>
      </w:r>
      <w:r w:rsidRPr="00F27422">
        <w:rPr>
          <w:rFonts w:asciiTheme="minorBidi" w:hAnsiTheme="minorBidi"/>
          <w:sz w:val="32"/>
          <w:szCs w:val="32"/>
          <w:rtl/>
        </w:rPr>
        <w:t xml:space="preserve"> غاية ما عرف عن أحمد بن محمّد بن عيسى تشدده في موضوع الغلو، وأمّا أنّ ديدنه أنْ لا يروي عن ضعيف أو من لم يضعف فلم يثبت ذلك، خصوصاً وأنّه روى عن محمّد بن سنان </w:t>
      </w:r>
      <w:proofErr w:type="gramStart"/>
      <w:r w:rsidRPr="00F27422">
        <w:rPr>
          <w:rFonts w:asciiTheme="minorBidi" w:hAnsiTheme="minorBidi"/>
          <w:sz w:val="32"/>
          <w:szCs w:val="32"/>
          <w:rtl/>
        </w:rPr>
        <w:t>مائة</w:t>
      </w:r>
      <w:proofErr w:type="gramEnd"/>
      <w:r w:rsidRPr="00F27422">
        <w:rPr>
          <w:rFonts w:asciiTheme="minorBidi" w:hAnsiTheme="minorBidi"/>
          <w:sz w:val="32"/>
          <w:szCs w:val="32"/>
          <w:rtl/>
        </w:rPr>
        <w:t xml:space="preserve"> وست رواية.</w:t>
      </w:r>
    </w:p>
    <w:p w14:paraId="4BF231D6" w14:textId="77777777" w:rsidR="00E27552" w:rsidRPr="00F27422" w:rsidRDefault="00E27552" w:rsidP="00122B70">
      <w:pPr>
        <w:bidi/>
        <w:rPr>
          <w:rFonts w:asciiTheme="minorBidi" w:hAnsiTheme="minorBidi"/>
          <w:sz w:val="32"/>
          <w:szCs w:val="32"/>
          <w:rtl/>
        </w:rPr>
      </w:pPr>
      <w:r w:rsidRPr="00F27422">
        <w:rPr>
          <w:rFonts w:asciiTheme="minorBidi" w:hAnsiTheme="minorBidi"/>
          <w:b/>
          <w:bCs/>
          <w:sz w:val="32"/>
          <w:szCs w:val="32"/>
          <w:rtl/>
        </w:rPr>
        <w:t>والنتيجة:</w:t>
      </w:r>
      <w:r w:rsidRPr="00F27422">
        <w:rPr>
          <w:rFonts w:asciiTheme="minorBidi" w:hAnsiTheme="minorBidi"/>
          <w:sz w:val="32"/>
          <w:szCs w:val="32"/>
          <w:rtl/>
        </w:rPr>
        <w:t xml:space="preserve"> عدم ثبوت وثاقة أبي محمّد الرّازي الذي هو راوٍ مشترك لهذه الرواية في طريق الشيخ وطريق الكَشي.</w:t>
      </w:r>
    </w:p>
    <w:p w14:paraId="256ECC11" w14:textId="77777777" w:rsidR="00E27552" w:rsidRPr="00F27422" w:rsidRDefault="00E27552" w:rsidP="00122B70">
      <w:pPr>
        <w:bidi/>
        <w:rPr>
          <w:rFonts w:asciiTheme="minorBidi" w:hAnsiTheme="minorBidi"/>
          <w:sz w:val="32"/>
          <w:szCs w:val="32"/>
          <w:rtl/>
        </w:rPr>
      </w:pPr>
      <w:r w:rsidRPr="00F27422">
        <w:rPr>
          <w:rFonts w:asciiTheme="minorBidi" w:hAnsiTheme="minorBidi"/>
          <w:b/>
          <w:bCs/>
          <w:sz w:val="32"/>
          <w:szCs w:val="32"/>
          <w:rtl/>
        </w:rPr>
        <w:t xml:space="preserve">التعليق الثالث: ربما يقال: </w:t>
      </w:r>
      <w:r w:rsidRPr="00F27422">
        <w:rPr>
          <w:rFonts w:asciiTheme="minorBidi" w:hAnsiTheme="minorBidi"/>
          <w:sz w:val="32"/>
          <w:szCs w:val="32"/>
          <w:rtl/>
        </w:rPr>
        <w:t>يكفينا في المقام توثيق الشيخ الطوسي (عليه الرحمة) للهمداني حيث جاء في كتابه [الغيبة، مؤسسة المعارف الإسلامية، ص415 - 417</w:t>
      </w:r>
      <w:proofErr w:type="gramStart"/>
      <w:r w:rsidRPr="00F27422">
        <w:rPr>
          <w:rFonts w:asciiTheme="minorBidi" w:hAnsiTheme="minorBidi"/>
          <w:sz w:val="32"/>
          <w:szCs w:val="32"/>
          <w:rtl/>
        </w:rPr>
        <w:t>] :</w:t>
      </w:r>
      <w:proofErr w:type="gramEnd"/>
      <w:r w:rsidRPr="00F27422">
        <w:rPr>
          <w:rFonts w:asciiTheme="minorBidi" w:hAnsiTheme="minorBidi"/>
          <w:sz w:val="32"/>
          <w:szCs w:val="32"/>
          <w:rtl/>
        </w:rPr>
        <w:t xml:space="preserve"> </w:t>
      </w:r>
      <w:r w:rsidRPr="00F27422">
        <w:rPr>
          <w:rFonts w:asciiTheme="minorBidi" w:hAnsiTheme="minorBidi"/>
          <w:b/>
          <w:bCs/>
          <w:sz w:val="32"/>
          <w:szCs w:val="32"/>
          <w:rtl/>
        </w:rPr>
        <w:t>(وقد كان في زمان السفراء المحمودين أقوام ثقات ترد عليهم التوقيعات من قبل المنصوبين للسفارة من الأصل)،</w:t>
      </w:r>
      <w:r w:rsidRPr="00F27422">
        <w:rPr>
          <w:rFonts w:asciiTheme="minorBidi" w:hAnsiTheme="minorBidi"/>
          <w:sz w:val="32"/>
          <w:szCs w:val="32"/>
          <w:rtl/>
        </w:rPr>
        <w:t xml:space="preserve"> وذكر منهم الهمداني بعرض الرواية الواردة في توثيقه.</w:t>
      </w:r>
    </w:p>
    <w:p w14:paraId="26975C2E" w14:textId="77777777" w:rsidR="00E27552" w:rsidRPr="00F27422" w:rsidRDefault="00E27552" w:rsidP="00122B70">
      <w:pPr>
        <w:bidi/>
        <w:rPr>
          <w:rFonts w:asciiTheme="minorBidi" w:hAnsiTheme="minorBidi"/>
          <w:sz w:val="32"/>
          <w:szCs w:val="32"/>
          <w:rtl/>
        </w:rPr>
      </w:pPr>
      <w:r w:rsidRPr="00F27422">
        <w:rPr>
          <w:rFonts w:asciiTheme="minorBidi" w:hAnsiTheme="minorBidi"/>
          <w:b/>
          <w:bCs/>
          <w:sz w:val="32"/>
          <w:szCs w:val="32"/>
          <w:rtl/>
        </w:rPr>
        <w:t>قلتُ:</w:t>
      </w:r>
      <w:r w:rsidRPr="00F27422">
        <w:rPr>
          <w:rFonts w:asciiTheme="minorBidi" w:hAnsiTheme="minorBidi"/>
          <w:sz w:val="32"/>
          <w:szCs w:val="32"/>
          <w:rtl/>
        </w:rPr>
        <w:t xml:space="preserve"> المفروض أنّ توثيق الشيخ (عليه الرحمة) في كتاب الغيبة إنّما هو بالاعتماد على الرواية نفسها التي هي محلّ الإشكال، وبناء الشيخ على الاعتماد على الرواية لاجتماع القرائن المفيدة لصحتها عنده أمر حدسي يحتاج تتميمه لمعرفة المدرك.</w:t>
      </w:r>
    </w:p>
    <w:p w14:paraId="17B80670"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التعليق الرابع: قد يقال:</w:t>
      </w:r>
      <w:r w:rsidRPr="00F27422">
        <w:rPr>
          <w:rFonts w:asciiTheme="minorBidi" w:hAnsiTheme="minorBidi"/>
          <w:sz w:val="32"/>
          <w:szCs w:val="32"/>
          <w:rtl/>
        </w:rPr>
        <w:t xml:space="preserve"> حتى لو تعثرت الطرق الأُخرى في الوصول لتوثيق الهمداني، فإنّ هناك طريقاً لتوثيق أبي محمّد الرّازي الراوي لتوثيق جمعٍ منهم إبراهيم بن محمّد الهمداني.</w:t>
      </w:r>
    </w:p>
    <w:p w14:paraId="09DBB33C" w14:textId="77777777" w:rsidR="00E27552" w:rsidRPr="00F27422" w:rsidRDefault="00E27552" w:rsidP="00122B70">
      <w:pPr>
        <w:bidi/>
        <w:rPr>
          <w:rFonts w:asciiTheme="minorBidi" w:hAnsiTheme="minorBidi"/>
          <w:sz w:val="32"/>
          <w:szCs w:val="32"/>
          <w:rtl/>
        </w:rPr>
      </w:pPr>
      <w:r w:rsidRPr="00F27422">
        <w:rPr>
          <w:rFonts w:asciiTheme="minorBidi" w:hAnsiTheme="minorBidi"/>
          <w:b/>
          <w:bCs/>
          <w:sz w:val="32"/>
          <w:szCs w:val="32"/>
          <w:rtl/>
        </w:rPr>
        <w:lastRenderedPageBreak/>
        <w:t>والطريق لتوثيقه:</w:t>
      </w:r>
      <w:r w:rsidRPr="00F27422">
        <w:rPr>
          <w:rFonts w:asciiTheme="minorBidi" w:hAnsiTheme="minorBidi"/>
          <w:sz w:val="32"/>
          <w:szCs w:val="32"/>
          <w:rtl/>
        </w:rPr>
        <w:t xml:space="preserve"> أنّه قد روى روايةً عن الإمام (عجل الله تعالى فرجه الشريف)، والرواية عن الإمام (عجل الله تعالى فرجه الشريف) في ذلك الظرف الخطر بلحاظ أنّ النقل عنه طريقٌ عادةً للوصول إليه، مع كون مضمونها أمراً مهماً بالنسبة للشيعة في زمان الغيبة الصُغرى، وهو توثيق مجموعة من الشيعة بعنوان الوكلاء وهو مما يعد عرفاً تمهيداً للاعتماد عليهم في قبض الحقوق، ولا يتصدى لهذه المخاطرة عادةً شخصٌ إلّا أنْ يكون مِن أخبث الناس أو مِن أوثقهم؛ لأنّه لا يحتمل أنْ يتصدى للرواية عن الإمام (عجل الله تعالى فرجه الشريف) بهذا المضمون شخصٌ مجهول، وهو يعلم أنّ الناس لا تعول على نقله.</w:t>
      </w:r>
    </w:p>
    <w:p w14:paraId="4C77AF48" w14:textId="77777777" w:rsidR="00E27552" w:rsidRPr="00F27422" w:rsidRDefault="00E27552" w:rsidP="00122B70">
      <w:pPr>
        <w:bidi/>
        <w:rPr>
          <w:rFonts w:asciiTheme="minorBidi" w:hAnsiTheme="minorBidi"/>
          <w:sz w:val="32"/>
          <w:szCs w:val="32"/>
          <w:rtl/>
        </w:rPr>
      </w:pPr>
      <w:r w:rsidRPr="00F27422">
        <w:rPr>
          <w:rFonts w:asciiTheme="minorBidi" w:hAnsiTheme="minorBidi"/>
          <w:sz w:val="32"/>
          <w:szCs w:val="32"/>
          <w:rtl/>
        </w:rPr>
        <w:t>نظير مَن يروي عن السلطان لدى شعبه أو جماعته ويكون المنقول أمراً مهماً كالوكالة عنه أو النيابة، فإنّه لا يحتمل أنْ يتصدى للنقل عن السلطان المحترم لدى جماعته شخصٌ مجهول الحال، وهو يعلم بأنّ جماعة السلطان لا يقبلون الرواية من أيّ شخصٍ؛ لأنّ المروي عنه شخصٌ عظيم والمضمون أمرٌ مهم أيضاً.</w:t>
      </w:r>
    </w:p>
    <w:p w14:paraId="268C369F" w14:textId="77777777" w:rsidR="00E27552" w:rsidRPr="00F27422" w:rsidRDefault="00E27552" w:rsidP="00122B70">
      <w:pPr>
        <w:bidi/>
        <w:rPr>
          <w:rFonts w:asciiTheme="minorBidi" w:hAnsiTheme="minorBidi"/>
          <w:b/>
          <w:bCs/>
          <w:sz w:val="32"/>
          <w:szCs w:val="32"/>
          <w:rtl/>
        </w:rPr>
      </w:pPr>
      <w:r w:rsidRPr="00F27422">
        <w:rPr>
          <w:rFonts w:asciiTheme="minorBidi" w:hAnsiTheme="minorBidi"/>
          <w:sz w:val="32"/>
          <w:szCs w:val="32"/>
          <w:rtl/>
        </w:rPr>
        <w:t>فلا محالة مَن يتصدى لذلك إمّا أخبث الناس أو أنّه شخصٌ ثقةٌ، وحيث إنّ المحتمل الأوّل منفيٌّ؛ إذ لو كان مِن أخبث الناس لتصدى الأعلام لذمه؛ لأنّه يروي عن الإمام (عجل الله تعالى فرجه الشريف) وهم في ذلك الظرف كانوا يتصيدون الروايات عن الناحية المقدسة لكي يحتفظوا بها، فلو كان أخبث الناس أو ضعيفاً لنصوا على ضعفه أو ذمه كي لا يتأثر عامة الناس بنقله. فكيف وأنّهم نقلوا روايته، وعلّق عليها الشيخ الطوسي (عليه الرحمة) بأنّ هؤلاء الممدوحين قومٌ ثقات.</w:t>
      </w:r>
    </w:p>
    <w:p w14:paraId="6C1846F4" w14:textId="77777777" w:rsidR="00E27552" w:rsidRPr="00F27422" w:rsidRDefault="00E27552" w:rsidP="00122B70">
      <w:pPr>
        <w:bidi/>
        <w:rPr>
          <w:rFonts w:asciiTheme="minorBidi" w:hAnsiTheme="minorBidi"/>
          <w:sz w:val="32"/>
          <w:szCs w:val="32"/>
          <w:rtl/>
        </w:rPr>
      </w:pPr>
      <w:r w:rsidRPr="00F27422">
        <w:rPr>
          <w:rFonts w:asciiTheme="minorBidi" w:hAnsiTheme="minorBidi"/>
          <w:sz w:val="32"/>
          <w:szCs w:val="32"/>
          <w:rtl/>
        </w:rPr>
        <w:t>فإنّ ظاهر تعليق الشيخ الطوسي (عليه الرحمة) بذلك أنْ لا شبهة في أبي محمّد الرّازي أصلاً.</w:t>
      </w:r>
    </w:p>
    <w:p w14:paraId="7A66ECA2"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إلّا أنْ يقال:</w:t>
      </w:r>
      <w:r w:rsidRPr="00F27422">
        <w:rPr>
          <w:rFonts w:asciiTheme="minorBidi" w:hAnsiTheme="minorBidi"/>
          <w:sz w:val="32"/>
          <w:szCs w:val="32"/>
          <w:rtl/>
        </w:rPr>
        <w:t xml:space="preserve"> لعلّ وثاقة هؤلاء المجموعة كانت أمراً معروفاً وجاءت الرواية تأكيداً لما هو المعروف فلذلك لم </w:t>
      </w:r>
      <w:proofErr w:type="gramStart"/>
      <w:r w:rsidRPr="00F27422">
        <w:rPr>
          <w:rFonts w:asciiTheme="minorBidi" w:hAnsiTheme="minorBidi"/>
          <w:sz w:val="32"/>
          <w:szCs w:val="32"/>
          <w:rtl/>
        </w:rPr>
        <w:t>يتصدى</w:t>
      </w:r>
      <w:proofErr w:type="gramEnd"/>
      <w:r w:rsidRPr="00F27422">
        <w:rPr>
          <w:rFonts w:asciiTheme="minorBidi" w:hAnsiTheme="minorBidi"/>
          <w:sz w:val="32"/>
          <w:szCs w:val="32"/>
          <w:rtl/>
        </w:rPr>
        <w:t xml:space="preserve"> الشيخ (رحمه الله) للقدح في الراوي، أو لعل المذكور في كتاب الغيبة من باب حشد الأدلة وجمع القرائن على وجود الإمام (صلوات الله عليه) وغيبته وتصديه لإدارة أمور الشيعة، لا مِن باب القبول والاعتماد. والله العالم.</w:t>
      </w:r>
    </w:p>
    <w:p w14:paraId="5990F591" w14:textId="77777777" w:rsidR="00E27552" w:rsidRPr="00F27422" w:rsidRDefault="00E27552" w:rsidP="00122B70">
      <w:pPr>
        <w:bidi/>
        <w:rPr>
          <w:rFonts w:asciiTheme="minorBidi" w:hAnsiTheme="minorBidi"/>
          <w:sz w:val="32"/>
          <w:szCs w:val="32"/>
          <w:rtl/>
        </w:rPr>
      </w:pPr>
    </w:p>
    <w:p w14:paraId="2929991D" w14:textId="77777777" w:rsidR="00E27552" w:rsidRPr="00F27422" w:rsidRDefault="00E27552"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001DFC1B" w14:textId="77777777" w:rsidR="00CB4C08" w:rsidRPr="00F27422" w:rsidRDefault="00CB4C08" w:rsidP="00122B70">
      <w:pPr>
        <w:bidi/>
        <w:rPr>
          <w:rFonts w:asciiTheme="minorBidi" w:hAnsiTheme="minorBidi"/>
          <w:sz w:val="32"/>
          <w:szCs w:val="32"/>
          <w:rtl/>
        </w:rPr>
      </w:pPr>
    </w:p>
    <w:p w14:paraId="745BA50E" w14:textId="20352CB6" w:rsidR="0013734C" w:rsidRPr="00F27422" w:rsidRDefault="00C74CCB" w:rsidP="00122B70">
      <w:pPr>
        <w:pStyle w:val="Heading3"/>
        <w:bidi/>
        <w:rPr>
          <w:rFonts w:asciiTheme="minorBidi" w:hAnsiTheme="minorBidi" w:cstheme="minorBidi"/>
          <w:sz w:val="32"/>
          <w:szCs w:val="32"/>
          <w:rtl/>
        </w:rPr>
      </w:pPr>
      <w:r w:rsidRPr="00F27422">
        <w:rPr>
          <w:rFonts w:asciiTheme="minorBidi" w:hAnsiTheme="minorBidi" w:cstheme="minorBidi"/>
          <w:sz w:val="32"/>
          <w:szCs w:val="32"/>
        </w:rPr>
        <w:t>024</w:t>
      </w:r>
    </w:p>
    <w:p w14:paraId="2B91521E"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بسم الله الرحمن الرحيم</w:t>
      </w:r>
    </w:p>
    <w:p w14:paraId="010821D8"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lastRenderedPageBreak/>
        <w:t>والصلاة والسلام على أشرف الأنبياء والمرسلين، محمد وآله الطيبين الطاهرين</w:t>
      </w:r>
    </w:p>
    <w:p w14:paraId="3006FFE3" w14:textId="77777777" w:rsidR="00F538E7" w:rsidRPr="00F27422" w:rsidRDefault="00F538E7"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واللعن الدائم على أعدائهم أجمعين إلى قيام يوم الدين</w:t>
      </w:r>
    </w:p>
    <w:p w14:paraId="17936596" w14:textId="77777777" w:rsidR="00F538E7" w:rsidRPr="00F27422" w:rsidRDefault="00F538E7" w:rsidP="00122B70">
      <w:pPr>
        <w:pStyle w:val="a"/>
        <w:bidi/>
        <w:spacing w:line="216" w:lineRule="auto"/>
        <w:jc w:val="left"/>
        <w:rPr>
          <w:rFonts w:asciiTheme="minorBidi" w:hAnsiTheme="minorBidi" w:cstheme="minorBidi"/>
          <w:sz w:val="32"/>
          <w:rtl/>
        </w:rPr>
      </w:pPr>
    </w:p>
    <w:p w14:paraId="0CACDA5D" w14:textId="77777777" w:rsidR="00F538E7" w:rsidRPr="00F27422" w:rsidRDefault="00F538E7"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التعليق الخامس:</w:t>
      </w:r>
      <w:r w:rsidRPr="00F27422">
        <w:rPr>
          <w:rFonts w:asciiTheme="minorBidi" w:hAnsiTheme="minorBidi" w:cstheme="minorBidi"/>
          <w:sz w:val="32"/>
          <w:rtl/>
        </w:rPr>
        <w:t xml:space="preserve"> على فرض ضعف الرواية بجهالة إبراهيم بن محمّد الهمداني، فهل يمكن جبر ضعف الرواية بعمل المشهور؟</w:t>
      </w:r>
    </w:p>
    <w:p w14:paraId="5E41D9B8" w14:textId="77777777" w:rsidR="00F538E7" w:rsidRPr="00F27422" w:rsidRDefault="00F538E7"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حيث إنّ المبنى المختار أنّ موضوع حجية الخبر الوثوق النوعي، وشهرة العمل من قبل الأصحاب من مناشئ الوثوق النوعي، فالشهرة جابرة لضعف السند.</w:t>
      </w:r>
    </w:p>
    <w:p w14:paraId="1F4A4552" w14:textId="77777777" w:rsidR="00F538E7" w:rsidRPr="00F27422" w:rsidRDefault="00F538E7"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إلّا أنّ الكلام في الصُغرى:</w:t>
      </w:r>
      <w:r w:rsidRPr="00F27422">
        <w:rPr>
          <w:rFonts w:asciiTheme="minorBidi" w:hAnsiTheme="minorBidi" w:cstheme="minorBidi"/>
          <w:sz w:val="32"/>
          <w:rtl/>
        </w:rPr>
        <w:t xml:space="preserve"> أي هل أنّ في المقام شهرة جابرة لضعف السند أم لا؟</w:t>
      </w:r>
    </w:p>
    <w:p w14:paraId="7F5211EF" w14:textId="77777777" w:rsidR="00F538E7" w:rsidRPr="00F27422" w:rsidRDefault="00F538E7"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وتحقيق ذلك:</w:t>
      </w:r>
      <w:r w:rsidRPr="00F27422">
        <w:rPr>
          <w:rFonts w:asciiTheme="minorBidi" w:hAnsiTheme="minorBidi" w:cstheme="minorBidi"/>
          <w:sz w:val="32"/>
          <w:rtl/>
        </w:rPr>
        <w:t xml:space="preserve"> يتم بمراجعة ما ذكر في كتاب [مفتاح الكرامة في شرح قواعد العلامة، السيد محمد جواد العاملي، دار إحياء التراث العربي، ج7، ص78 - 79] حيث قال:</w:t>
      </w:r>
    </w:p>
    <w:p w14:paraId="0A86F20B"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(وأما القول ببطلانها)</w:t>
      </w:r>
      <w:r w:rsidRPr="00F27422">
        <w:rPr>
          <w:rFonts w:asciiTheme="minorBidi" w:hAnsiTheme="minorBidi" w:cstheme="minorBidi"/>
          <w:sz w:val="32"/>
          <w:rtl/>
        </w:rPr>
        <w:t xml:space="preserve"> أي الإجارة </w:t>
      </w:r>
      <w:r w:rsidRPr="00F27422">
        <w:rPr>
          <w:rFonts w:asciiTheme="minorBidi" w:hAnsiTheme="minorBidi" w:cstheme="minorBidi"/>
          <w:b/>
          <w:bCs/>
          <w:sz w:val="32"/>
          <w:rtl/>
        </w:rPr>
        <w:t>(بموت أحد المتعاقدين فهو خيرة المقنعة والنهاية والخلاف والمبسوط في موضعين منها والمراسم والمهذب والوسيلة والغنية وجامع الشرائع وهو ظاهر التذكرة بل والسرائر في موضع آخر)</w:t>
      </w:r>
      <w:r w:rsidRPr="00F27422">
        <w:rPr>
          <w:rFonts w:asciiTheme="minorBidi" w:hAnsiTheme="minorBidi" w:cstheme="minorBidi"/>
          <w:sz w:val="32"/>
          <w:rtl/>
        </w:rPr>
        <w:t xml:space="preserve"> أي وإنْ لم يذكره في محل كلامنا إلّا أنه ذكره في موضع آخر </w:t>
      </w:r>
      <w:r w:rsidRPr="00F27422">
        <w:rPr>
          <w:rFonts w:asciiTheme="minorBidi" w:hAnsiTheme="minorBidi" w:cstheme="minorBidi"/>
          <w:b/>
          <w:bCs/>
          <w:sz w:val="32"/>
          <w:rtl/>
        </w:rPr>
        <w:t>(كما ستسمع كلاميهما وهو المحكي في كشف الرموز عن البشري وحكاه القاضي في المهذب عن السيد)</w:t>
      </w:r>
      <w:r w:rsidRPr="00F27422">
        <w:rPr>
          <w:rFonts w:asciiTheme="minorBidi" w:hAnsiTheme="minorBidi" w:cstheme="minorBidi"/>
          <w:sz w:val="32"/>
          <w:rtl/>
        </w:rPr>
        <w:t xml:space="preserve"> أي السيد المرتضى </w:t>
      </w:r>
      <w:r w:rsidRPr="00F27422">
        <w:rPr>
          <w:rFonts w:asciiTheme="minorBidi" w:hAnsiTheme="minorBidi" w:cstheme="minorBidi"/>
          <w:b/>
          <w:bCs/>
          <w:sz w:val="32"/>
          <w:rtl/>
        </w:rPr>
        <w:t>(كما فهمه منه في التنقيح قال في (المهذب) تنفسخ الإجارة بالموت ولا فرق في ذلك بين أن يكون الميّت هو المستأجر أو المؤجر وعمل الأكثر من أصحابنا على أن موت المستأجر هو الذي يفسخها لا موت المؤجر وكان شيخنا المرتضى يساوي بينهما في ذلك وظاهره بل صريحه أنه كان يساوي بين موت المؤجر والمستأجر في البطلان).</w:t>
      </w:r>
    </w:p>
    <w:p w14:paraId="760038FB"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إلى أنْ قال: </w:t>
      </w:r>
      <w:r w:rsidRPr="00F27422">
        <w:rPr>
          <w:rFonts w:asciiTheme="minorBidi" w:hAnsiTheme="minorBidi" w:cstheme="minorBidi"/>
          <w:b/>
          <w:bCs/>
          <w:sz w:val="32"/>
          <w:rtl/>
        </w:rPr>
        <w:t>((وكيف كان) فقد استدل في الخلاف على بطلانها بموت المؤجر والمستأجر بإجماع الفرقة وأخبارهم وقال إن قول بعض أصحابنا إن موت المستأجر يبطلها لا موت المؤجر شاذ لا يعول عليه، وقال في (الخلاف) أيضا فيما إذا استأجر امرأة لترضع ولده إن عموم الأخبار التي وردت في أن الإجارة تبطل بالموت)</w:t>
      </w:r>
      <w:r w:rsidRPr="00F27422">
        <w:rPr>
          <w:rFonts w:asciiTheme="minorBidi" w:hAnsiTheme="minorBidi" w:cstheme="minorBidi"/>
          <w:sz w:val="32"/>
          <w:rtl/>
        </w:rPr>
        <w:t xml:space="preserve"> وظاهره وجود أخبار تدل على أنّ الإجارة تبطل بالموت، ولكن لم نجد إلّا خبر الهمداني </w:t>
      </w:r>
      <w:r w:rsidRPr="00F27422">
        <w:rPr>
          <w:rFonts w:asciiTheme="minorBidi" w:hAnsiTheme="minorBidi" w:cstheme="minorBidi"/>
          <w:b/>
          <w:bCs/>
          <w:sz w:val="32"/>
          <w:rtl/>
        </w:rPr>
        <w:t>(تتناول هذا الموضع. انتهى)</w:t>
      </w:r>
      <w:r w:rsidRPr="00F27422">
        <w:rPr>
          <w:rFonts w:asciiTheme="minorBidi" w:hAnsiTheme="minorBidi" w:cstheme="minorBidi"/>
          <w:sz w:val="32"/>
          <w:rtl/>
        </w:rPr>
        <w:t xml:space="preserve"> وهو ما لو استأجر امرأة لترضع ولده فماتت.</w:t>
      </w:r>
    </w:p>
    <w:p w14:paraId="0196DCBD"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(وقال في (الغنية) تنفسخ بموت أحد المتعاقدين بدليل الإجماع الماضي ذكره لأن من خالف من أصحابنا لا يؤبه بخلافه في دلالة الإجماع وقال في (المبسوط) الموت يفسخ الإجارة سواء كان الميّت المؤجر أو المستأجر عند أصحابنا والأظهر عندهم أن موت المستأجر يبطلها وموت المؤجر لا يبطلها وفيه خلاف).</w:t>
      </w:r>
    </w:p>
    <w:p w14:paraId="139EF356"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والعبارة لا تخلوا عن تشويش ففي الفقرة الأولى منها: (</w:t>
      </w:r>
      <w:r w:rsidRPr="00F27422">
        <w:rPr>
          <w:rFonts w:asciiTheme="minorBidi" w:hAnsiTheme="minorBidi" w:cstheme="minorBidi"/>
          <w:b/>
          <w:bCs/>
          <w:sz w:val="32"/>
          <w:rtl/>
        </w:rPr>
        <w:t>الموت يفسخ الإجارة سواء كان الميّت المؤجر أو المستأجر عند أصحابنا</w:t>
      </w:r>
      <w:r w:rsidRPr="00F27422">
        <w:rPr>
          <w:rFonts w:asciiTheme="minorBidi" w:hAnsiTheme="minorBidi" w:cstheme="minorBidi"/>
          <w:sz w:val="32"/>
          <w:rtl/>
        </w:rPr>
        <w:t xml:space="preserve">) وفي الثانية: </w:t>
      </w:r>
      <w:r w:rsidRPr="00F27422">
        <w:rPr>
          <w:rFonts w:asciiTheme="minorBidi" w:hAnsiTheme="minorBidi" w:cstheme="minorBidi"/>
          <w:b/>
          <w:bCs/>
          <w:sz w:val="32"/>
          <w:rtl/>
        </w:rPr>
        <w:t>(والأظهر عندهم أنّ موت المستأجر يبطلها</w:t>
      </w:r>
      <w:proofErr w:type="gramStart"/>
      <w:r w:rsidRPr="00F27422">
        <w:rPr>
          <w:rFonts w:asciiTheme="minorBidi" w:hAnsiTheme="minorBidi" w:cstheme="minorBidi"/>
          <w:b/>
          <w:bCs/>
          <w:sz w:val="32"/>
          <w:rtl/>
        </w:rPr>
        <w:t>..</w:t>
      </w:r>
      <w:proofErr w:type="spellStart"/>
      <w:r w:rsidRPr="00F27422">
        <w:rPr>
          <w:rFonts w:asciiTheme="minorBidi" w:hAnsiTheme="minorBidi" w:cstheme="minorBidi"/>
          <w:b/>
          <w:bCs/>
          <w:sz w:val="32"/>
          <w:rtl/>
        </w:rPr>
        <w:t>ألخ</w:t>
      </w:r>
      <w:proofErr w:type="spellEnd"/>
      <w:proofErr w:type="gramEnd"/>
      <w:r w:rsidRPr="00F27422">
        <w:rPr>
          <w:rFonts w:asciiTheme="minorBidi" w:hAnsiTheme="minorBidi" w:cstheme="minorBidi"/>
          <w:b/>
          <w:bCs/>
          <w:sz w:val="32"/>
          <w:rtl/>
        </w:rPr>
        <w:t>)</w:t>
      </w:r>
      <w:r w:rsidRPr="00F27422">
        <w:rPr>
          <w:rFonts w:asciiTheme="minorBidi" w:hAnsiTheme="minorBidi" w:cstheme="minorBidi"/>
          <w:sz w:val="32"/>
          <w:rtl/>
        </w:rPr>
        <w:t xml:space="preserve">، مع أنّ مقتضى السياق عود الضمير لأصحابنا، ولذلك أفاد في مفتاح الكرامة أنّ جملةً من الأصحاب تأولوا عبارة الشيخ (عليه الرحمة) في المبسوط، وقالوا بأنّ المقصود بقوله: </w:t>
      </w:r>
      <w:r w:rsidRPr="00F27422">
        <w:rPr>
          <w:rFonts w:asciiTheme="minorBidi" w:hAnsiTheme="minorBidi" w:cstheme="minorBidi"/>
          <w:b/>
          <w:bCs/>
          <w:sz w:val="32"/>
          <w:rtl/>
        </w:rPr>
        <w:t>(والأظهر عندهم)</w:t>
      </w:r>
      <w:r w:rsidRPr="00F27422">
        <w:rPr>
          <w:rFonts w:asciiTheme="minorBidi" w:hAnsiTheme="minorBidi" w:cstheme="minorBidi"/>
          <w:sz w:val="32"/>
          <w:rtl/>
        </w:rPr>
        <w:t xml:space="preserve"> يعني عند العامة، فهو قرر أولاً ما عليه أصحابنا، ثمّ نظر إلى ما عليه العامة، فذكر أنّ الأظهر عندهم التفصيل مع الخلاف بينهم.</w:t>
      </w:r>
    </w:p>
    <w:p w14:paraId="53E9F851"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إلّا أنّ التوجيه بعيدٌ،</w:t>
      </w:r>
      <w:r w:rsidRPr="00F27422">
        <w:rPr>
          <w:rFonts w:asciiTheme="minorBidi" w:hAnsiTheme="minorBidi" w:cstheme="minorBidi"/>
          <w:sz w:val="32"/>
          <w:rtl/>
        </w:rPr>
        <w:t xml:space="preserve"> كما أفاد السيد البروجردي (قدس سره الشريف) وذلك لأنّه لا ينسجم لا مع ما هو المعهود من الشيخ (رحمه الله) في المبسوط - بخلاف كتاب الخلاف الذي تضمن الفقه المقارن - ولا مع مرجع الضمير لأنّه لم يمر ذكر العامة كي يكون الضمير في "عندهم" راجعاً إلى العامة، كما في [كتاب الإجارة والغصب والوصية، تقريراً لأبحاث سماحة المرحوم </w:t>
      </w:r>
      <w:r w:rsidRPr="00F27422">
        <w:rPr>
          <w:rFonts w:asciiTheme="minorBidi" w:hAnsiTheme="minorBidi" w:cstheme="minorBidi"/>
          <w:sz w:val="32"/>
          <w:rtl/>
        </w:rPr>
        <w:lastRenderedPageBreak/>
        <w:t xml:space="preserve">آية الله العظمى الحاج آقا حسين الطباطبائي البروجردي (قدس سره)، انتشارات سرايي، الطبعة الأولى، ص157] حيث قال (قدس سره الشريف): </w:t>
      </w:r>
      <w:r w:rsidRPr="00F27422">
        <w:rPr>
          <w:rFonts w:asciiTheme="minorBidi" w:hAnsiTheme="minorBidi" w:cstheme="minorBidi"/>
          <w:b/>
          <w:bCs/>
          <w:sz w:val="32"/>
          <w:rtl/>
        </w:rPr>
        <w:t>(والظاهر عود الضمير في (عندهم) إلى قوله: (أصحابنا)، فيضطرب كلامه ويحتمل على بُعدٍ عوده إلى العامة).</w:t>
      </w:r>
    </w:p>
    <w:p w14:paraId="51E82B1B"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ثمّ قال في [مفتاح الكرامة في شرح قواعد العلامة، السيد محمد جواد العاملي، دار إحياء التراث العربي، ج7، ص78]: </w:t>
      </w:r>
      <w:r w:rsidRPr="00F27422">
        <w:rPr>
          <w:rFonts w:asciiTheme="minorBidi" w:hAnsiTheme="minorBidi" w:cstheme="minorBidi"/>
          <w:b/>
          <w:bCs/>
          <w:sz w:val="32"/>
          <w:rtl/>
        </w:rPr>
        <w:t>(نعم ينافي قوله الأظهر)</w:t>
      </w:r>
      <w:r w:rsidRPr="00F27422">
        <w:rPr>
          <w:rFonts w:asciiTheme="minorBidi" w:hAnsiTheme="minorBidi" w:cstheme="minorBidi"/>
          <w:sz w:val="32"/>
          <w:rtl/>
        </w:rPr>
        <w:t xml:space="preserve"> لو كان ناظراً به لفتوى "أصحابنا" </w:t>
      </w:r>
      <w:r w:rsidRPr="00F27422">
        <w:rPr>
          <w:rFonts w:asciiTheme="minorBidi" w:hAnsiTheme="minorBidi" w:cstheme="minorBidi"/>
          <w:b/>
          <w:bCs/>
          <w:sz w:val="32"/>
          <w:rtl/>
        </w:rPr>
        <w:t>(ما في الخلاف والغنية من أنه)</w:t>
      </w:r>
      <w:r w:rsidRPr="00F27422">
        <w:rPr>
          <w:rFonts w:asciiTheme="minorBidi" w:hAnsiTheme="minorBidi" w:cstheme="minorBidi"/>
          <w:sz w:val="32"/>
          <w:rtl/>
        </w:rPr>
        <w:t xml:space="preserve"> أي المخالف </w:t>
      </w:r>
      <w:r w:rsidRPr="00F27422">
        <w:rPr>
          <w:rFonts w:asciiTheme="minorBidi" w:hAnsiTheme="minorBidi" w:cstheme="minorBidi"/>
          <w:b/>
          <w:bCs/>
          <w:sz w:val="32"/>
          <w:rtl/>
        </w:rPr>
        <w:t xml:space="preserve">(شاذ لا يؤبه به ولا يعول عليه ويشهد لهما) </w:t>
      </w:r>
      <w:r w:rsidRPr="00F27422">
        <w:rPr>
          <w:rFonts w:asciiTheme="minorBidi" w:hAnsiTheme="minorBidi" w:cstheme="minorBidi"/>
          <w:sz w:val="32"/>
          <w:rtl/>
        </w:rPr>
        <w:t xml:space="preserve">أي لما في الخلاف للطوسي والغنية لابن زهرة من أنّ الموت يبطل </w:t>
      </w:r>
      <w:r w:rsidRPr="00F27422">
        <w:rPr>
          <w:rFonts w:asciiTheme="minorBidi" w:hAnsiTheme="minorBidi" w:cstheme="minorBidi"/>
          <w:b/>
          <w:bCs/>
          <w:sz w:val="32"/>
          <w:rtl/>
        </w:rPr>
        <w:t xml:space="preserve">(قوله في الشرائع أن بطلانها بموت كل واحد منهما هو المشهور،  ويشهد لما في المبسوط ما في المهذب من أن عليه عمل الأكثر وما في السرائر من نفي الخلاف فيه، لكن يخدشه أن ظاهر السيد في الناصرية أن موت المستأجر لا يبطلها، وأن المفيد </w:t>
      </w:r>
      <w:proofErr w:type="spellStart"/>
      <w:r w:rsidRPr="00F27422">
        <w:rPr>
          <w:rFonts w:asciiTheme="minorBidi" w:hAnsiTheme="minorBidi" w:cstheme="minorBidi"/>
          <w:b/>
          <w:bCs/>
          <w:sz w:val="32"/>
          <w:rtl/>
        </w:rPr>
        <w:t>وسلار</w:t>
      </w:r>
      <w:proofErr w:type="spellEnd"/>
      <w:r w:rsidRPr="00F27422">
        <w:rPr>
          <w:rFonts w:asciiTheme="minorBidi" w:hAnsiTheme="minorBidi" w:cstheme="minorBidi"/>
          <w:b/>
          <w:bCs/>
          <w:sz w:val="32"/>
          <w:rtl/>
        </w:rPr>
        <w:t xml:space="preserve"> الذي هو أقدم من القاضي والشيخ أنها تبطل بموت كل واحد منهما، فالتتبع والوجدان يشهدان لما في الخلاف،</w:t>
      </w:r>
      <w:r w:rsidRPr="00F27422">
        <w:rPr>
          <w:rFonts w:asciiTheme="minorBidi" w:hAnsiTheme="minorBidi" w:cstheme="minorBidi"/>
          <w:sz w:val="32"/>
          <w:rtl/>
        </w:rPr>
        <w:t xml:space="preserve"> </w:t>
      </w:r>
      <w:r w:rsidRPr="00F27422">
        <w:rPr>
          <w:rFonts w:asciiTheme="minorBidi" w:hAnsiTheme="minorBidi" w:cstheme="minorBidi"/>
          <w:b/>
          <w:bCs/>
          <w:sz w:val="32"/>
          <w:rtl/>
        </w:rPr>
        <w:t xml:space="preserve">ولم نجد للصدوقين والعماني </w:t>
      </w:r>
      <w:proofErr w:type="spellStart"/>
      <w:r w:rsidRPr="00F27422">
        <w:rPr>
          <w:rFonts w:asciiTheme="minorBidi" w:hAnsiTheme="minorBidi" w:cstheme="minorBidi"/>
          <w:b/>
          <w:bCs/>
          <w:sz w:val="32"/>
          <w:rtl/>
        </w:rPr>
        <w:t>والراوندي</w:t>
      </w:r>
      <w:proofErr w:type="spellEnd"/>
      <w:r w:rsidRPr="00F27422">
        <w:rPr>
          <w:rFonts w:asciiTheme="minorBidi" w:hAnsiTheme="minorBidi" w:cstheme="minorBidi"/>
          <w:b/>
          <w:bCs/>
          <w:sz w:val="32"/>
          <w:rtl/>
        </w:rPr>
        <w:t xml:space="preserve"> نصا ولا إشارة في ذلك، والأظهر في عبارة المبسوط أن مراده بالأظهر عندهم الأظهر عند العامة كما هو عادته وبذلك يرتفع الإشكال عن القوم في عبارته).</w:t>
      </w:r>
    </w:p>
    <w:p w14:paraId="52CA8DB7"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وبعد استعراض الأقوال في مفتاح الكرامة قال: </w:t>
      </w:r>
      <w:r w:rsidRPr="00F27422">
        <w:rPr>
          <w:rFonts w:asciiTheme="minorBidi" w:hAnsiTheme="minorBidi" w:cstheme="minorBidi"/>
          <w:b/>
          <w:bCs/>
          <w:sz w:val="32"/>
          <w:rtl/>
        </w:rPr>
        <w:t>((وكيف كان) فالإجماع محكي على بطلانها بموت كل منهما في الخلاف والغنية وظاهر المبسوط وكذا السرائر إن جرينا على ما ادعاه من التلازم)</w:t>
      </w:r>
      <w:r w:rsidRPr="00F27422">
        <w:rPr>
          <w:rFonts w:asciiTheme="minorBidi" w:hAnsiTheme="minorBidi" w:cstheme="minorBidi"/>
          <w:sz w:val="32"/>
          <w:rtl/>
        </w:rPr>
        <w:t xml:space="preserve"> وهو أنّه إذا قيل ببطلان الإجارة بموت المُستأجر فكذا بموت المؤجّر؛ للملازمة بين القولين، </w:t>
      </w:r>
      <w:r w:rsidRPr="00F27422">
        <w:rPr>
          <w:rFonts w:asciiTheme="minorBidi" w:hAnsiTheme="minorBidi" w:cstheme="minorBidi"/>
          <w:b/>
          <w:bCs/>
          <w:sz w:val="32"/>
          <w:rtl/>
        </w:rPr>
        <w:t>(وقد اعتضدت هذه الإجماعات بشهرة الشرائع).</w:t>
      </w:r>
    </w:p>
    <w:p w14:paraId="3FAB7654"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فإنْ قلتَ:</w:t>
      </w:r>
      <w:r w:rsidRPr="00F27422">
        <w:rPr>
          <w:rFonts w:asciiTheme="minorBidi" w:hAnsiTheme="minorBidi" w:cstheme="minorBidi"/>
          <w:sz w:val="32"/>
          <w:rtl/>
        </w:rPr>
        <w:t xml:space="preserve"> بأنّ صاحب الشرائع متأخر فكيف يستشهد به؟</w:t>
      </w:r>
    </w:p>
    <w:p w14:paraId="2FE74DFB"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قال: (وناهيك به ناقلا ضابطا محققا)</w:t>
      </w:r>
      <w:r w:rsidRPr="00F27422">
        <w:rPr>
          <w:rFonts w:asciiTheme="minorBidi" w:hAnsiTheme="minorBidi" w:cstheme="minorBidi"/>
          <w:sz w:val="32"/>
          <w:rtl/>
        </w:rPr>
        <w:t xml:space="preserve"> فصاحب الشرائع لا يدعي الشهرة من فراغٍ لولا </w:t>
      </w:r>
      <w:proofErr w:type="spellStart"/>
      <w:r w:rsidRPr="00F27422">
        <w:rPr>
          <w:rFonts w:asciiTheme="minorBidi" w:hAnsiTheme="minorBidi" w:cstheme="minorBidi"/>
          <w:sz w:val="32"/>
          <w:rtl/>
        </w:rPr>
        <w:t>ضابطيته</w:t>
      </w:r>
      <w:proofErr w:type="spellEnd"/>
      <w:r w:rsidRPr="00F27422">
        <w:rPr>
          <w:rFonts w:asciiTheme="minorBidi" w:hAnsiTheme="minorBidi" w:cstheme="minorBidi"/>
          <w:sz w:val="32"/>
          <w:rtl/>
        </w:rPr>
        <w:t xml:space="preserve"> وتحقيقه</w:t>
      </w:r>
      <w:r w:rsidRPr="00F27422">
        <w:rPr>
          <w:rFonts w:asciiTheme="minorBidi" w:hAnsiTheme="minorBidi" w:cstheme="minorBidi"/>
          <w:b/>
          <w:bCs/>
          <w:sz w:val="32"/>
          <w:rtl/>
        </w:rPr>
        <w:t xml:space="preserve"> (وقد ادعى الشيخ في موضعين من الخلاف ورود الأخبار في ذلك مصرحة به تارة وعامة أخرى).</w:t>
      </w:r>
    </w:p>
    <w:p w14:paraId="57A76B60" w14:textId="77777777" w:rsidR="00F538E7" w:rsidRPr="00F27422" w:rsidRDefault="00F538E7"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فإنْ قلتَ:</w:t>
      </w:r>
      <w:r w:rsidRPr="00F27422">
        <w:rPr>
          <w:rFonts w:asciiTheme="minorBidi" w:hAnsiTheme="minorBidi" w:cstheme="minorBidi"/>
          <w:sz w:val="32"/>
          <w:rtl/>
        </w:rPr>
        <w:t xml:space="preserve"> بأنّ ما ذكر في كلمات الشيخ (عليه الرحمة) في كتاب الخلاف مما لم نجد له أثراً حتى في التهذيبين، إذ لم نجد خبراً يدل على بطلان الإجارة لا بموت المؤجّر ولا بموت المُستأجر إلّا خبر إبراهيم بن محمّد الهمداني، فكيف يدعى بأنّ الأخبار دلت على ذلك بالصراحة؟</w:t>
      </w:r>
    </w:p>
    <w:p w14:paraId="4CCF2FDF"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قلتُ:</w:t>
      </w:r>
      <w:r w:rsidRPr="00F27422">
        <w:rPr>
          <w:rFonts w:asciiTheme="minorBidi" w:hAnsiTheme="minorBidi" w:cstheme="minorBidi"/>
          <w:sz w:val="32"/>
          <w:rtl/>
        </w:rPr>
        <w:t xml:space="preserve"> كما في مفتاح الكرامة: </w:t>
      </w:r>
      <w:r w:rsidRPr="00F27422">
        <w:rPr>
          <w:rFonts w:asciiTheme="minorBidi" w:hAnsiTheme="minorBidi" w:cstheme="minorBidi"/>
          <w:b/>
          <w:bCs/>
          <w:sz w:val="32"/>
          <w:rtl/>
        </w:rPr>
        <w:t xml:space="preserve">(ولا فرق بين ما يحكيه وبين ما يرويه أقصى ما هناك أن ما حكاه مرسل قد اعتضد </w:t>
      </w:r>
      <w:proofErr w:type="spellStart"/>
      <w:r w:rsidRPr="00F27422">
        <w:rPr>
          <w:rFonts w:asciiTheme="minorBidi" w:hAnsiTheme="minorBidi" w:cstheme="minorBidi"/>
          <w:b/>
          <w:bCs/>
          <w:sz w:val="32"/>
          <w:rtl/>
        </w:rPr>
        <w:t>بالإجماعات</w:t>
      </w:r>
      <w:proofErr w:type="spellEnd"/>
      <w:r w:rsidRPr="00F27422">
        <w:rPr>
          <w:rFonts w:asciiTheme="minorBidi" w:hAnsiTheme="minorBidi" w:cstheme="minorBidi"/>
          <w:b/>
          <w:bCs/>
          <w:sz w:val="32"/>
          <w:rtl/>
        </w:rPr>
        <w:t xml:space="preserve"> وانجبر بشهرة </w:t>
      </w:r>
      <w:proofErr w:type="gramStart"/>
      <w:r w:rsidRPr="00F27422">
        <w:rPr>
          <w:rFonts w:asciiTheme="minorBidi" w:hAnsiTheme="minorBidi" w:cstheme="minorBidi"/>
          <w:b/>
          <w:bCs/>
          <w:sz w:val="32"/>
          <w:rtl/>
        </w:rPr>
        <w:t>الشرائع</w:t>
      </w:r>
      <w:proofErr w:type="gramEnd"/>
      <w:r w:rsidRPr="00F27422">
        <w:rPr>
          <w:rFonts w:asciiTheme="minorBidi" w:hAnsiTheme="minorBidi" w:cstheme="minorBidi"/>
          <w:b/>
          <w:bCs/>
          <w:sz w:val="32"/>
          <w:rtl/>
        </w:rPr>
        <w:t xml:space="preserve"> بل هي)</w:t>
      </w:r>
      <w:r w:rsidRPr="00F27422">
        <w:rPr>
          <w:rFonts w:asciiTheme="minorBidi" w:hAnsiTheme="minorBidi" w:cstheme="minorBidi"/>
          <w:sz w:val="32"/>
          <w:rtl/>
        </w:rPr>
        <w:t xml:space="preserve"> أي الشهرة </w:t>
      </w:r>
      <w:r w:rsidRPr="00F27422">
        <w:rPr>
          <w:rFonts w:asciiTheme="minorBidi" w:hAnsiTheme="minorBidi" w:cstheme="minorBidi"/>
          <w:b/>
          <w:bCs/>
          <w:sz w:val="32"/>
          <w:rtl/>
        </w:rPr>
        <w:t>(بين المتقدمين معلومة).</w:t>
      </w:r>
    </w:p>
    <w:p w14:paraId="436C4A5D"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فإنْ قلتَ:</w:t>
      </w:r>
      <w:r w:rsidRPr="00F27422">
        <w:rPr>
          <w:rFonts w:asciiTheme="minorBidi" w:hAnsiTheme="minorBidi" w:cstheme="minorBidi"/>
          <w:sz w:val="32"/>
          <w:rtl/>
        </w:rPr>
        <w:t xml:space="preserve"> إنّ استدلال الشيخ (رحمه الله) في المسألة – بعد أنْ ذكر الإجماع - بوجهٍ عقلي على البطلان قادحٌ في كون المدرك في المقام هو الإجماع المحصل؛ بل هو إجماع مشوب </w:t>
      </w:r>
      <w:proofErr w:type="spellStart"/>
      <w:r w:rsidRPr="00F27422">
        <w:rPr>
          <w:rFonts w:asciiTheme="minorBidi" w:hAnsiTheme="minorBidi" w:cstheme="minorBidi"/>
          <w:sz w:val="32"/>
          <w:rtl/>
        </w:rPr>
        <w:t>بالمدركية</w:t>
      </w:r>
      <w:proofErr w:type="spellEnd"/>
      <w:r w:rsidRPr="00F27422">
        <w:rPr>
          <w:rFonts w:asciiTheme="minorBidi" w:hAnsiTheme="minorBidi" w:cstheme="minorBidi"/>
          <w:sz w:val="32"/>
          <w:rtl/>
        </w:rPr>
        <w:t>.</w:t>
      </w:r>
    </w:p>
    <w:p w14:paraId="2C6DAF26"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قلتُ:</w:t>
      </w:r>
      <w:r w:rsidRPr="00F27422">
        <w:rPr>
          <w:rFonts w:asciiTheme="minorBidi" w:hAnsiTheme="minorBidi" w:cstheme="minorBidi"/>
          <w:sz w:val="32"/>
          <w:rtl/>
        </w:rPr>
        <w:t xml:space="preserve"> قد أجاب عن ذلك السيد البروجردي (قدس سره الشريف) كما في [كتاب الإجارة والغصب والوصية، تقريراً لأبحاث سماحة المرحوم آية الله العظمى الحاج آقا حسين الطباطبائي البروجردي (قدس سره)، انتشارات سرايي، الطبعة الأولى، ص159] حيث قال (قدس سره الشريف): </w:t>
      </w:r>
      <w:r w:rsidRPr="00F27422">
        <w:rPr>
          <w:rFonts w:asciiTheme="minorBidi" w:hAnsiTheme="minorBidi" w:cstheme="minorBidi"/>
          <w:b/>
          <w:bCs/>
          <w:sz w:val="32"/>
          <w:rtl/>
        </w:rPr>
        <w:t xml:space="preserve">(فمن الممكن وجود أخبار دالّة على البطلان في الجوامع السابقة </w:t>
      </w:r>
      <w:proofErr w:type="gramStart"/>
      <w:r w:rsidRPr="00F27422">
        <w:rPr>
          <w:rFonts w:asciiTheme="minorBidi" w:hAnsiTheme="minorBidi" w:cstheme="minorBidi"/>
          <w:b/>
          <w:bCs/>
          <w:sz w:val="32"/>
          <w:rtl/>
        </w:rPr>
        <w:t>الغير الواصلة</w:t>
      </w:r>
      <w:proofErr w:type="gramEnd"/>
      <w:r w:rsidRPr="00F27422">
        <w:rPr>
          <w:rFonts w:asciiTheme="minorBidi" w:hAnsiTheme="minorBidi" w:cstheme="minorBidi"/>
          <w:b/>
          <w:bCs/>
          <w:sz w:val="32"/>
          <w:rtl/>
        </w:rPr>
        <w:t xml:space="preserve"> إلينا وقد وصل إليها الشيخ فأفتى على طبقها وهي العمدة في فتواه لا ما ذكره من الدليل بقوله: (ولأنّ المستأجر قد أقدم على الانتفاع بملك المؤجر لا بملك غير...)).</w:t>
      </w:r>
    </w:p>
    <w:p w14:paraId="06E504B9"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lastRenderedPageBreak/>
        <w:t>وظاهر هذا الدليل العقلي أنّ منظور الشيخ (عليه الرحمة) هو أنّ السر في بطلان الإجارة بموت المؤجّر أنّ ما أقدم عليه المُستأجر هو أنْ ينتفع بالعين بما هيّ مِلكٌ للمؤجّر ولم يقدم على الانتفاع بالعين مطلقاً حتى بعد موت المؤجّر، فبما أنّه لم يقدم على الإجارة إلّا بهذا المقدار فتبطل الإجارة بموت المؤجّر.</w:t>
      </w:r>
    </w:p>
    <w:p w14:paraId="1AF2DE5D"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إلّا أنّ هذا الاستدلال لا يناسب أنّ الدليل في المقام هو الإجماع.</w:t>
      </w:r>
    </w:p>
    <w:p w14:paraId="72494F41"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وقد طرح السيد البروجردي (قدس سره الشريف) توجيهاً لكلام الشيخ (رحمه الله) بقوله: </w:t>
      </w:r>
      <w:r w:rsidRPr="00F27422">
        <w:rPr>
          <w:rFonts w:asciiTheme="minorBidi" w:hAnsiTheme="minorBidi" w:cstheme="minorBidi"/>
          <w:b/>
          <w:bCs/>
          <w:sz w:val="32"/>
          <w:rtl/>
        </w:rPr>
        <w:t xml:space="preserve">(لأنه قد ذكر هذا الدليل على مسلك العامّة المستدلّين </w:t>
      </w:r>
      <w:proofErr w:type="spellStart"/>
      <w:r w:rsidRPr="00F27422">
        <w:rPr>
          <w:rFonts w:asciiTheme="minorBidi" w:hAnsiTheme="minorBidi" w:cstheme="minorBidi"/>
          <w:b/>
          <w:bCs/>
          <w:sz w:val="32"/>
          <w:rtl/>
        </w:rPr>
        <w:t>بالاستحسانات</w:t>
      </w:r>
      <w:proofErr w:type="spellEnd"/>
      <w:r w:rsidRPr="00F27422">
        <w:rPr>
          <w:rFonts w:asciiTheme="minorBidi" w:hAnsiTheme="minorBidi" w:cstheme="minorBidi"/>
          <w:b/>
          <w:bCs/>
          <w:sz w:val="32"/>
          <w:rtl/>
        </w:rPr>
        <w:t xml:space="preserve"> حتى يكون الانتفاع من كتابة عامّة غير منحصر بالخاصّة وإلّا ففي هذا الدليل نظر؛ إذ ملكية المؤجر لم تكن محدودة بزمن حياته، بل كان في زمن حياة مالكاً للشيء)</w:t>
      </w:r>
      <w:r w:rsidRPr="00F27422">
        <w:rPr>
          <w:rFonts w:asciiTheme="minorBidi" w:hAnsiTheme="minorBidi" w:cstheme="minorBidi"/>
          <w:sz w:val="32"/>
          <w:rtl/>
        </w:rPr>
        <w:t xml:space="preserve"> أي المنافع </w:t>
      </w:r>
      <w:r w:rsidRPr="00F27422">
        <w:rPr>
          <w:rFonts w:asciiTheme="minorBidi" w:hAnsiTheme="minorBidi" w:cstheme="minorBidi"/>
          <w:b/>
          <w:bCs/>
          <w:sz w:val="32"/>
          <w:rtl/>
        </w:rPr>
        <w:t>(إلى الأبد).</w:t>
      </w:r>
    </w:p>
    <w:p w14:paraId="017256AB"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لكن هذا التوجيه عليل؛ </w:t>
      </w:r>
      <w:r w:rsidRPr="00F27422">
        <w:rPr>
          <w:rFonts w:asciiTheme="minorBidi" w:hAnsiTheme="minorBidi" w:cstheme="minorBidi"/>
          <w:sz w:val="32"/>
          <w:rtl/>
        </w:rPr>
        <w:t xml:space="preserve">فإنّ المتعارف من الشيخ الطوسي (رحمه الله) في كثيرٍ من الموارد تعقيبُ استدلاله بالإجماع بما يدعمه مِن وجوهٍ عقلية أو </w:t>
      </w:r>
      <w:proofErr w:type="spellStart"/>
      <w:r w:rsidRPr="00F27422">
        <w:rPr>
          <w:rFonts w:asciiTheme="minorBidi" w:hAnsiTheme="minorBidi" w:cstheme="minorBidi"/>
          <w:sz w:val="32"/>
          <w:rtl/>
        </w:rPr>
        <w:t>استحسانية</w:t>
      </w:r>
      <w:proofErr w:type="spellEnd"/>
      <w:r w:rsidRPr="00F27422">
        <w:rPr>
          <w:rFonts w:asciiTheme="minorBidi" w:hAnsiTheme="minorBidi" w:cstheme="minorBidi"/>
          <w:sz w:val="32"/>
          <w:rtl/>
        </w:rPr>
        <w:t xml:space="preserve">، ولذلك كان من مناشئ القدح في </w:t>
      </w:r>
      <w:proofErr w:type="spellStart"/>
      <w:r w:rsidRPr="00F27422">
        <w:rPr>
          <w:rFonts w:asciiTheme="minorBidi" w:hAnsiTheme="minorBidi" w:cstheme="minorBidi"/>
          <w:sz w:val="32"/>
          <w:rtl/>
        </w:rPr>
        <w:t>إجماعات</w:t>
      </w:r>
      <w:proofErr w:type="spellEnd"/>
      <w:r w:rsidRPr="00F27422">
        <w:rPr>
          <w:rFonts w:asciiTheme="minorBidi" w:hAnsiTheme="minorBidi" w:cstheme="minorBidi"/>
          <w:sz w:val="32"/>
          <w:rtl/>
        </w:rPr>
        <w:t xml:space="preserve"> الشيخ (عليه الرحمة) في المبسوط والخلاف ذكر بعض المدارك. كما نبه على ذلك الشيخ الأعظم (قدس سره) في كتابه [فرائد الأصول، مجمع الفكر الإسلامي، إعداد لجنة تحقيق تراث الشيخ الأعظم (قدس </w:t>
      </w:r>
      <w:proofErr w:type="gramStart"/>
      <w:r w:rsidRPr="00F27422">
        <w:rPr>
          <w:rFonts w:asciiTheme="minorBidi" w:hAnsiTheme="minorBidi" w:cstheme="minorBidi"/>
          <w:sz w:val="32"/>
          <w:rtl/>
        </w:rPr>
        <w:t>سره)  ج</w:t>
      </w:r>
      <w:proofErr w:type="gramEnd"/>
      <w:r w:rsidRPr="00F27422">
        <w:rPr>
          <w:rFonts w:asciiTheme="minorBidi" w:hAnsiTheme="minorBidi" w:cstheme="minorBidi"/>
          <w:sz w:val="32"/>
          <w:rtl/>
        </w:rPr>
        <w:t xml:space="preserve">1، في حجّية الإجماع المنقول، ص192 – 193] حيث ذكر عدّة قوادح في </w:t>
      </w:r>
      <w:proofErr w:type="spellStart"/>
      <w:r w:rsidRPr="00F27422">
        <w:rPr>
          <w:rFonts w:asciiTheme="minorBidi" w:hAnsiTheme="minorBidi" w:cstheme="minorBidi"/>
          <w:sz w:val="32"/>
          <w:rtl/>
        </w:rPr>
        <w:t>إجماعات</w:t>
      </w:r>
      <w:proofErr w:type="spellEnd"/>
      <w:r w:rsidRPr="00F27422">
        <w:rPr>
          <w:rFonts w:asciiTheme="minorBidi" w:hAnsiTheme="minorBidi" w:cstheme="minorBidi"/>
          <w:sz w:val="32"/>
          <w:rtl/>
        </w:rPr>
        <w:t xml:space="preserve"> الشيخ (رحمه الله) ومنها استناده في دعوى الإجماع لقاعدة اللطف، فقال: </w:t>
      </w:r>
      <w:r w:rsidRPr="00F27422">
        <w:rPr>
          <w:rFonts w:asciiTheme="minorBidi" w:hAnsiTheme="minorBidi" w:cstheme="minorBidi"/>
          <w:b/>
          <w:bCs/>
          <w:sz w:val="32"/>
          <w:rtl/>
        </w:rPr>
        <w:t>(الثاني: قاعدة اللطف، على ما ذكره الشيخ في العدّة وحُكي القول به عن غيره من المتقدمين.</w:t>
      </w:r>
    </w:p>
    <w:p w14:paraId="1A73A0E3"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ولا يخفى أنّ الاستناد إليه غير صحيح على ما ذكر في محلّه، فإذا عُلم استناد الحاكي إليه فلا وجه للاعتماد على حكايته، والمفروض أنّ </w:t>
      </w:r>
      <w:proofErr w:type="spellStart"/>
      <w:r w:rsidRPr="00F27422">
        <w:rPr>
          <w:rFonts w:asciiTheme="minorBidi" w:hAnsiTheme="minorBidi" w:cstheme="minorBidi"/>
          <w:b/>
          <w:bCs/>
          <w:sz w:val="32"/>
          <w:rtl/>
        </w:rPr>
        <w:t>إجماعات</w:t>
      </w:r>
      <w:proofErr w:type="spellEnd"/>
      <w:r w:rsidRPr="00F27422">
        <w:rPr>
          <w:rFonts w:asciiTheme="minorBidi" w:hAnsiTheme="minorBidi" w:cstheme="minorBidi"/>
          <w:b/>
          <w:bCs/>
          <w:sz w:val="32"/>
          <w:rtl/>
        </w:rPr>
        <w:t xml:space="preserve"> الشيخ كلّها مستندةٌ إلى هذه القاعدة؛ لما عرفت من كلامه المتقدّم من العدّة).</w:t>
      </w:r>
    </w:p>
    <w:p w14:paraId="60EFD1DF"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وعلى كلّ حال، فعوامل القدح في انعقاد </w:t>
      </w:r>
      <w:proofErr w:type="gramStart"/>
      <w:r w:rsidRPr="00F27422">
        <w:rPr>
          <w:rFonts w:asciiTheme="minorBidi" w:hAnsiTheme="minorBidi" w:cstheme="minorBidi"/>
          <w:sz w:val="32"/>
          <w:rtl/>
        </w:rPr>
        <w:t>الإجماع</w:t>
      </w:r>
      <w:proofErr w:type="gramEnd"/>
      <w:r w:rsidRPr="00F27422">
        <w:rPr>
          <w:rFonts w:asciiTheme="minorBidi" w:hAnsiTheme="minorBidi" w:cstheme="minorBidi"/>
          <w:sz w:val="32"/>
          <w:rtl/>
        </w:rPr>
        <w:t xml:space="preserve"> بل الشهرة المدعاة عدّة:</w:t>
      </w:r>
    </w:p>
    <w:p w14:paraId="6B534032"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أولاً:</w:t>
      </w:r>
      <w:r w:rsidRPr="00F27422">
        <w:rPr>
          <w:rFonts w:asciiTheme="minorBidi" w:hAnsiTheme="minorBidi" w:cstheme="minorBidi"/>
          <w:sz w:val="32"/>
          <w:rtl/>
        </w:rPr>
        <w:t xml:space="preserve"> اختلاف العبائر والفتاوى لدى القدماء، فقد نقل عن السيد المرتضى (رحمه الله) قولان، كما بنى في الناصرية على عدم البطلان بموت المؤجر، كما حكى في المهذب عن الأكثر التفصيل بين موت المؤجّر والمُستأجر، واضطراب بعض عبائر الشيخ نفسه (رحمه الله)، ومخالفة أبي الصلاح الحلبي (رحمه الله) في الكافي في الفقه، المعاصر لزمان الشيخ (قدس سره) بل هو من أعظم تلامذته، وعدم نقل القول بالبطلان عن الطبقة السابقة على المرتضى والشيخ كالصدوقين والعماني </w:t>
      </w:r>
      <w:proofErr w:type="spellStart"/>
      <w:r w:rsidRPr="00F27422">
        <w:rPr>
          <w:rFonts w:asciiTheme="minorBidi" w:hAnsiTheme="minorBidi" w:cstheme="minorBidi"/>
          <w:sz w:val="32"/>
          <w:rtl/>
        </w:rPr>
        <w:t>والراوندي</w:t>
      </w:r>
      <w:proofErr w:type="spellEnd"/>
      <w:r w:rsidRPr="00F27422">
        <w:rPr>
          <w:rFonts w:asciiTheme="minorBidi" w:hAnsiTheme="minorBidi" w:cstheme="minorBidi"/>
          <w:sz w:val="32"/>
          <w:rtl/>
        </w:rPr>
        <w:t xml:space="preserve"> مع كون المسألة ابتلائية جداً، ومقتضى ذلك التعرض لها.</w:t>
      </w:r>
    </w:p>
    <w:p w14:paraId="73D2C123"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ثانياً:</w:t>
      </w:r>
      <w:r w:rsidRPr="00F27422">
        <w:rPr>
          <w:rFonts w:asciiTheme="minorBidi" w:hAnsiTheme="minorBidi" w:cstheme="minorBidi"/>
          <w:sz w:val="32"/>
          <w:rtl/>
        </w:rPr>
        <w:t xml:space="preserve"> جريان مَن تأخر عن الشيخ (عليه الرحمة) كما في الغنية والسرائر والمراسم والوسيلة والتذكرة ونحوها في حكاية الإجماع على نسق عبائر الشيخ (قدس سره)، مما يعني عدم إحراز كون الإجماع صادراً عن تحصيل.</w:t>
      </w:r>
    </w:p>
    <w:p w14:paraId="77484908"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ثالثاً: استدلال الشيخ (رحمه الله) وغيره بمدارك عقلية أو </w:t>
      </w:r>
      <w:proofErr w:type="spellStart"/>
      <w:r w:rsidRPr="00F27422">
        <w:rPr>
          <w:rFonts w:asciiTheme="minorBidi" w:hAnsiTheme="minorBidi" w:cstheme="minorBidi"/>
          <w:sz w:val="32"/>
          <w:rtl/>
        </w:rPr>
        <w:t>استحسانية</w:t>
      </w:r>
      <w:proofErr w:type="spellEnd"/>
      <w:r w:rsidRPr="00F27422">
        <w:rPr>
          <w:rFonts w:asciiTheme="minorBidi" w:hAnsiTheme="minorBidi" w:cstheme="minorBidi"/>
          <w:sz w:val="32"/>
          <w:rtl/>
        </w:rPr>
        <w:t xml:space="preserve">، كما في كتاب [غنية النزوع إلى علمي الأصول والفروع، تأليف الفقيه البارع الأقدم السيد حمزة بن علي بن زهرة الحلبي، تحقيق الشيخ إبراهيم </w:t>
      </w:r>
      <w:proofErr w:type="spellStart"/>
      <w:r w:rsidRPr="00F27422">
        <w:rPr>
          <w:rFonts w:asciiTheme="minorBidi" w:hAnsiTheme="minorBidi" w:cstheme="minorBidi"/>
          <w:sz w:val="32"/>
          <w:rtl/>
        </w:rPr>
        <w:t>البهادري</w:t>
      </w:r>
      <w:proofErr w:type="spellEnd"/>
      <w:r w:rsidRPr="00F27422">
        <w:rPr>
          <w:rFonts w:asciiTheme="minorBidi" w:hAnsiTheme="minorBidi" w:cstheme="minorBidi"/>
          <w:sz w:val="32"/>
          <w:rtl/>
        </w:rPr>
        <w:t xml:space="preserve">، مؤسسة الإمام الصادق (عليه السلام)، ج1، فصل في الإجارة، ص287] حيث قال ابن زهرة: </w:t>
      </w:r>
      <w:r w:rsidRPr="00F27422">
        <w:rPr>
          <w:rFonts w:asciiTheme="minorBidi" w:hAnsiTheme="minorBidi" w:cstheme="minorBidi"/>
          <w:b/>
          <w:bCs/>
          <w:sz w:val="32"/>
          <w:rtl/>
        </w:rPr>
        <w:t xml:space="preserve">(وتنفسخ الإجارة بموت أحد المتعاقدين، بدليل الإجماع الماضي ذكره، لأنّ من خالف ذلك من أصحابنا لا يؤثّر خلافه في دلالة الإجماع، لما بيّناه فيما مضى، وأيضاً فالمستأجِر دخل على أن يستوفي المنفعة من ملك المؤجِر، وقد فات ذلك بموته، وكذا إن كان المؤجر عقد على أن يستوفي المستأجر المنفعة لنفسه) </w:t>
      </w:r>
      <w:r w:rsidRPr="00F27422">
        <w:rPr>
          <w:rFonts w:asciiTheme="minorBidi" w:hAnsiTheme="minorBidi" w:cstheme="minorBidi"/>
          <w:sz w:val="32"/>
          <w:rtl/>
        </w:rPr>
        <w:t>فإذا مات المُستأجر بطلت الإجارة.</w:t>
      </w:r>
    </w:p>
    <w:p w14:paraId="2B26B8B6"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lastRenderedPageBreak/>
        <w:t xml:space="preserve">بينما الحلبي المتقدم عليه بمائة سنة قال بعكس كلامه في كتابه [الكافي في الفقه، لتقي الدين أبي الصلاح الحلبي، مؤسسة بوستان كتاب، فصل في ضروب الإجارة، ص319]: </w:t>
      </w:r>
      <w:r w:rsidRPr="00F27422">
        <w:rPr>
          <w:rFonts w:asciiTheme="minorBidi" w:hAnsiTheme="minorBidi" w:cstheme="minorBidi"/>
          <w:b/>
          <w:bCs/>
          <w:sz w:val="32"/>
          <w:rtl/>
        </w:rPr>
        <w:t>(ولا تبطل الإجارة بالموت ويقوم ورثة كلّ واحد من المالك والمستأجر مقام موروثه، والسفر لا يبطل الإجارة وإن فسخها المستأجر وحكم بها (كذا) حاكم جور إلّا أن يفسخها المالك).</w:t>
      </w:r>
    </w:p>
    <w:p w14:paraId="0788DAE3"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فالنتيجة:</w:t>
      </w:r>
      <w:r w:rsidRPr="00F27422">
        <w:rPr>
          <w:rFonts w:asciiTheme="minorBidi" w:hAnsiTheme="minorBidi" w:cstheme="minorBidi"/>
          <w:sz w:val="32"/>
          <w:rtl/>
        </w:rPr>
        <w:t xml:space="preserve"> أنّه لم يحرز شهرةً محققة تصلح أنْ تكون جابراً لضعف رواية إبراهيم بن محمّد الهمداني.</w:t>
      </w:r>
    </w:p>
    <w:p w14:paraId="2841F5DB"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هذا تمام الكلام في الجهة الأُولى وهي جهة السند.</w:t>
      </w:r>
    </w:p>
    <w:p w14:paraId="05819FAA"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الجهة الثانية: جهة الدلالة:</w:t>
      </w:r>
    </w:p>
    <w:p w14:paraId="58D6ECB6"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وقد أفاد السيد الحكيم السبط (قدس سره الشريف) في كتابه [مصباح المنهاج، كتاب الإجارة، ص 229] بقوله: </w:t>
      </w:r>
      <w:r w:rsidRPr="00F27422">
        <w:rPr>
          <w:rFonts w:asciiTheme="minorBidi" w:hAnsiTheme="minorBidi" w:cstheme="minorBidi"/>
          <w:b/>
          <w:bCs/>
          <w:sz w:val="32"/>
          <w:rtl/>
        </w:rPr>
        <w:t>(نعم لا يخلو الحديث عن غموض وإشكال..).</w:t>
      </w:r>
    </w:p>
    <w:p w14:paraId="4843E58C"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وذكر مناشئ ثلاثة للإشكال في دلالة الحديث على بطلان الإجارة بموت المؤجّر:</w:t>
      </w:r>
    </w:p>
    <w:p w14:paraId="6FCA071F"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المنشأ الأول: </w:t>
      </w:r>
      <w:r w:rsidRPr="00F27422">
        <w:rPr>
          <w:rFonts w:asciiTheme="minorBidi" w:hAnsiTheme="minorBidi" w:cstheme="minorBidi"/>
          <w:b/>
          <w:bCs/>
          <w:sz w:val="32"/>
          <w:rtl/>
        </w:rPr>
        <w:t>(لظهوره في التفصيل بين الصورتين واختلاف حكميهما، مع أنّ كلا من الصورتين موضوعها عدم البلوغ).</w:t>
      </w:r>
    </w:p>
    <w:p w14:paraId="3480133E"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وتوضيحه:</w:t>
      </w:r>
      <w:r w:rsidRPr="00F27422">
        <w:rPr>
          <w:rFonts w:asciiTheme="minorBidi" w:hAnsiTheme="minorBidi" w:cstheme="minorBidi"/>
          <w:sz w:val="32"/>
          <w:rtl/>
        </w:rPr>
        <w:t xml:space="preserve"> إنّ عبارة الرواية في جواب الإمام (عليه السلام) هي: </w:t>
      </w:r>
      <w:r w:rsidRPr="00F27422">
        <w:rPr>
          <w:rFonts w:asciiTheme="minorBidi" w:hAnsiTheme="minorBidi" w:cstheme="minorBidi"/>
          <w:b/>
          <w:bCs/>
          <w:sz w:val="32"/>
          <w:rtl/>
        </w:rPr>
        <w:t>(فكتب (عليه السلام): إن كان لها وقتٌ مسمى لم يبلُغ فماتت فلورثتها تلك الإجارة فإن لم تبلُغ ذلك الوقت وبلغت ثلثه أو نصفه أو شيئاً منه فيُعطى ورثتها بقدر ما بلغت ذلك الوقت إن شاء الله)،</w:t>
      </w:r>
      <w:r w:rsidRPr="00F27422">
        <w:rPr>
          <w:rFonts w:asciiTheme="minorBidi" w:hAnsiTheme="minorBidi" w:cstheme="minorBidi"/>
          <w:sz w:val="32"/>
          <w:rtl/>
        </w:rPr>
        <w:t xml:space="preserve"> حيث فصل بين صورتين بحكمين مختلفين مع أنّ كلتا الصورتين تشتركان في مناطٍ واحدٍ وهو أنّ الوقت لم يبلُغ.</w:t>
      </w:r>
    </w:p>
    <w:p w14:paraId="306F096A"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ولكن </w:t>
      </w:r>
      <w:r w:rsidRPr="00F27422">
        <w:rPr>
          <w:rFonts w:asciiTheme="minorBidi" w:hAnsiTheme="minorBidi" w:cstheme="minorBidi"/>
          <w:sz w:val="32"/>
          <w:rtl/>
        </w:rPr>
        <w:t xml:space="preserve">– كما مرّ سابقاً - </w:t>
      </w:r>
      <w:r w:rsidRPr="00F27422">
        <w:rPr>
          <w:rFonts w:asciiTheme="minorBidi" w:hAnsiTheme="minorBidi" w:cstheme="minorBidi"/>
          <w:b/>
          <w:bCs/>
          <w:sz w:val="32"/>
          <w:rtl/>
        </w:rPr>
        <w:t>أنّه يمكن أنْ يقال:</w:t>
      </w:r>
      <w:r w:rsidRPr="00F27422">
        <w:rPr>
          <w:rFonts w:asciiTheme="minorBidi" w:hAnsiTheme="minorBidi" w:cstheme="minorBidi"/>
          <w:sz w:val="32"/>
          <w:rtl/>
        </w:rPr>
        <w:t xml:space="preserve"> أنّ المقصود بكلمة </w:t>
      </w:r>
      <w:r w:rsidRPr="00F27422">
        <w:rPr>
          <w:rFonts w:asciiTheme="minorBidi" w:hAnsiTheme="minorBidi" w:cstheme="minorBidi"/>
          <w:b/>
          <w:bCs/>
          <w:sz w:val="32"/>
          <w:rtl/>
        </w:rPr>
        <w:t>(لم يبلُغ)</w:t>
      </w:r>
      <w:r w:rsidRPr="00F27422">
        <w:rPr>
          <w:rFonts w:asciiTheme="minorBidi" w:hAnsiTheme="minorBidi" w:cstheme="minorBidi"/>
          <w:sz w:val="32"/>
          <w:rtl/>
        </w:rPr>
        <w:t xml:space="preserve"> في العبارة الأُولى هو أنّه لم يبدأ الوقت، أي أنّها ماتت قبل أنْ يبدأ وقت الإجارة كما لو آجرت ضيعتها على أنْ تبدأ الإجارة من الشهر القادم فماتت قبل مبدأ الشهر، ما هو مقتضى المقابلة بين الصورتين في جواب الإمام (عليه السلام).</w:t>
      </w:r>
    </w:p>
    <w:p w14:paraId="2EC903D2"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وكأنّ السيد (قدس سره) ملتفتٌ إلى هذا التوجيه، وهو في مقام الرد عليه في المنشأ الثاني.</w:t>
      </w:r>
    </w:p>
    <w:p w14:paraId="70A460BC"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المنشأ الثاني: </w:t>
      </w:r>
      <w:r w:rsidRPr="00F27422">
        <w:rPr>
          <w:rFonts w:asciiTheme="minorBidi" w:hAnsiTheme="minorBidi" w:cstheme="minorBidi"/>
          <w:b/>
          <w:bCs/>
          <w:sz w:val="32"/>
          <w:rtl/>
        </w:rPr>
        <w:t>(لأنّ المفروض في السؤال عدم بلوغ المدة، وموت المرأة في أثنائها، فلا حاجة للتعرض للبلوغ وعدمه في الجواب).</w:t>
      </w:r>
    </w:p>
    <w:p w14:paraId="6D1FF724"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ومعناه:</w:t>
      </w:r>
      <w:r w:rsidRPr="00F27422">
        <w:rPr>
          <w:rFonts w:asciiTheme="minorBidi" w:hAnsiTheme="minorBidi" w:cstheme="minorBidi"/>
          <w:sz w:val="32"/>
          <w:rtl/>
        </w:rPr>
        <w:t xml:space="preserve"> أنّه قد فرض في السؤال أنّ الإجارة بدأت وأنّ المرأة ماتت في الأثناء فلا معنى لأن يذكر في الجواب صورة ما لم تبدأ الإجارة، حيث قال في السؤال: </w:t>
      </w:r>
      <w:r w:rsidRPr="00F27422">
        <w:rPr>
          <w:rFonts w:asciiTheme="minorBidi" w:hAnsiTheme="minorBidi" w:cstheme="minorBidi"/>
          <w:b/>
          <w:bCs/>
          <w:sz w:val="32"/>
          <w:rtl/>
        </w:rPr>
        <w:t xml:space="preserve">(كتبت إلى أبي الحسن (عليه السلام) وسألته عن امرأة آجرت ضيعتها عشر سنين على أن تُعطى الأُجرة في كلّ سنة عند انقضائها لا يُقدَّمُ لها شيءٌ من الأُجرة ما لم يمضِ الوقت فماتت قبل ثلاث سنين أو بعدها هل يجب على ورثتها إنفاذ الإجارة إلى الوقت أم تكون الإجارة منقضية بموت المرأة؟) </w:t>
      </w:r>
      <w:r w:rsidRPr="00F27422">
        <w:rPr>
          <w:rFonts w:asciiTheme="minorBidi" w:hAnsiTheme="minorBidi" w:cstheme="minorBidi"/>
          <w:sz w:val="32"/>
          <w:rtl/>
        </w:rPr>
        <w:t>وظاهر هذه العبارة أنّها ماتت الأثناء.</w:t>
      </w:r>
    </w:p>
    <w:p w14:paraId="7E59212D"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المنشأ الثالث: </w:t>
      </w:r>
      <w:r w:rsidRPr="00F27422">
        <w:rPr>
          <w:rFonts w:asciiTheme="minorBidi" w:hAnsiTheme="minorBidi" w:cstheme="minorBidi"/>
          <w:b/>
          <w:bCs/>
          <w:sz w:val="32"/>
          <w:rtl/>
        </w:rPr>
        <w:t>(لأن السؤال عن انتقاض الإجارة بالموت يناسب الجواب بالنفي أو الإثبات من دون حاجة للتفصيل بهذا الوجه المعقد المطول).</w:t>
      </w:r>
    </w:p>
    <w:p w14:paraId="3C5ABA5A" w14:textId="77777777" w:rsidR="00F538E7" w:rsidRPr="00F27422" w:rsidRDefault="00F538E7" w:rsidP="00122B70">
      <w:pPr>
        <w:pStyle w:val="a"/>
        <w:bidi/>
        <w:spacing w:line="216" w:lineRule="auto"/>
        <w:jc w:val="left"/>
        <w:rPr>
          <w:rFonts w:asciiTheme="minorBidi" w:hAnsiTheme="minorBidi" w:cstheme="minorBidi"/>
          <w:b/>
          <w:bCs/>
          <w:sz w:val="32"/>
          <w:rtl/>
        </w:rPr>
      </w:pPr>
    </w:p>
    <w:p w14:paraId="7FABE409" w14:textId="77777777" w:rsidR="00F538E7" w:rsidRPr="00F27422" w:rsidRDefault="00F538E7"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 xml:space="preserve">والحمد لله رب العالمين </w:t>
      </w:r>
    </w:p>
    <w:p w14:paraId="74F9016B" w14:textId="77777777" w:rsidR="0013734C" w:rsidRPr="00F27422" w:rsidRDefault="0013734C" w:rsidP="00122B70">
      <w:pPr>
        <w:bidi/>
        <w:rPr>
          <w:rFonts w:asciiTheme="minorBidi" w:hAnsiTheme="minorBidi"/>
          <w:sz w:val="32"/>
          <w:szCs w:val="32"/>
          <w:rtl/>
        </w:rPr>
      </w:pPr>
    </w:p>
    <w:p w14:paraId="1AAD944D" w14:textId="77777777" w:rsidR="002F745C" w:rsidRPr="00F27422" w:rsidRDefault="002F745C" w:rsidP="00122B70">
      <w:pPr>
        <w:bidi/>
        <w:rPr>
          <w:rFonts w:asciiTheme="minorBidi" w:hAnsiTheme="minorBidi"/>
          <w:sz w:val="32"/>
          <w:szCs w:val="32"/>
          <w:rtl/>
        </w:rPr>
      </w:pPr>
    </w:p>
    <w:p w14:paraId="10876A74" w14:textId="1FAC4CA4" w:rsidR="002F745C" w:rsidRPr="00F27422" w:rsidRDefault="008E1741"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lastRenderedPageBreak/>
        <w:t>026</w:t>
      </w:r>
    </w:p>
    <w:p w14:paraId="35562C4B" w14:textId="77777777" w:rsidR="001000E7" w:rsidRPr="00F27422" w:rsidRDefault="001000E7" w:rsidP="00122B70">
      <w:pPr>
        <w:bidi/>
        <w:rPr>
          <w:rFonts w:asciiTheme="minorBidi" w:hAnsiTheme="minorBidi"/>
          <w:b/>
          <w:bCs/>
          <w:sz w:val="32"/>
          <w:szCs w:val="32"/>
          <w:rtl/>
        </w:rPr>
      </w:pPr>
      <w:r w:rsidRPr="00F27422">
        <w:rPr>
          <w:rFonts w:asciiTheme="minorBidi" w:hAnsiTheme="minorBidi"/>
          <w:b/>
          <w:bCs/>
          <w:sz w:val="32"/>
          <w:szCs w:val="32"/>
          <w:rtl/>
        </w:rPr>
        <w:t>بسم الله الرحمن الرحيم</w:t>
      </w:r>
    </w:p>
    <w:p w14:paraId="45EE1A0E" w14:textId="77777777" w:rsidR="001000E7" w:rsidRPr="00F27422" w:rsidRDefault="001000E7"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5A6A58A3"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3CD73EFB" w14:textId="77777777" w:rsidR="001000E7" w:rsidRPr="00F27422" w:rsidRDefault="001000E7" w:rsidP="00122B70">
      <w:pPr>
        <w:bidi/>
        <w:rPr>
          <w:rFonts w:asciiTheme="minorBidi" w:hAnsiTheme="minorBidi"/>
          <w:sz w:val="32"/>
          <w:szCs w:val="32"/>
          <w:rtl/>
        </w:rPr>
      </w:pPr>
    </w:p>
    <w:p w14:paraId="2897EDE4" w14:textId="77777777" w:rsidR="001000E7" w:rsidRPr="00F27422" w:rsidRDefault="001000E7" w:rsidP="00122B70">
      <w:pPr>
        <w:bidi/>
        <w:rPr>
          <w:rFonts w:asciiTheme="minorBidi" w:hAnsiTheme="minorBidi"/>
          <w:b/>
          <w:bCs/>
          <w:sz w:val="32"/>
          <w:szCs w:val="32"/>
          <w:rtl/>
        </w:rPr>
      </w:pPr>
      <w:r w:rsidRPr="00F27422">
        <w:rPr>
          <w:rFonts w:asciiTheme="minorBidi" w:hAnsiTheme="minorBidi"/>
          <w:b/>
          <w:bCs/>
          <w:sz w:val="32"/>
          <w:szCs w:val="32"/>
          <w:rtl/>
        </w:rPr>
        <w:t>وتحقيق البحث في دلالة رواية إبراهيم بن محمّد الهمداني على المقام يتم بعرض الأقوال في الدلالة:</w:t>
      </w:r>
    </w:p>
    <w:p w14:paraId="678DFAF9"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 xml:space="preserve">القول الأوّل: </w:t>
      </w:r>
      <w:r w:rsidRPr="00F27422">
        <w:rPr>
          <w:rFonts w:asciiTheme="minorBidi" w:hAnsiTheme="minorBidi"/>
          <w:sz w:val="32"/>
          <w:szCs w:val="32"/>
          <w:rtl/>
        </w:rPr>
        <w:t>دلالة الرواية على بطلان الإجارة بموت المؤجّر.</w:t>
      </w:r>
    </w:p>
    <w:p w14:paraId="4CE216AC" w14:textId="5ECF0730"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القول الثاني:</w:t>
      </w:r>
      <w:r w:rsidRPr="00F27422">
        <w:rPr>
          <w:rFonts w:asciiTheme="minorBidi" w:hAnsiTheme="minorBidi"/>
          <w:sz w:val="32"/>
          <w:szCs w:val="32"/>
          <w:rtl/>
        </w:rPr>
        <w:t xml:space="preserve"> دلالة الرواية على صحّة الإجارة بموت </w:t>
      </w:r>
      <w:r w:rsidR="001D5061" w:rsidRPr="00F27422">
        <w:rPr>
          <w:rFonts w:asciiTheme="minorBidi" w:hAnsiTheme="minorBidi"/>
          <w:sz w:val="32"/>
          <w:szCs w:val="32"/>
          <w:rtl/>
        </w:rPr>
        <w:t>المؤجر</w:t>
      </w:r>
      <w:r w:rsidRPr="00F27422">
        <w:rPr>
          <w:rFonts w:asciiTheme="minorBidi" w:hAnsiTheme="minorBidi"/>
          <w:sz w:val="32"/>
          <w:szCs w:val="32"/>
          <w:rtl/>
        </w:rPr>
        <w:t>.</w:t>
      </w:r>
    </w:p>
    <w:p w14:paraId="188C93C3"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القول الثالث:</w:t>
      </w:r>
      <w:r w:rsidRPr="00F27422">
        <w:rPr>
          <w:rFonts w:asciiTheme="minorBidi" w:hAnsiTheme="minorBidi"/>
          <w:sz w:val="32"/>
          <w:szCs w:val="32"/>
          <w:rtl/>
        </w:rPr>
        <w:t xml:space="preserve"> دعوى إجمال الرواية.</w:t>
      </w:r>
    </w:p>
    <w:p w14:paraId="640D5A0F"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أمّا الاستدلال على القول الأوّل</w:t>
      </w:r>
      <w:r w:rsidRPr="00F27422">
        <w:rPr>
          <w:rFonts w:asciiTheme="minorBidi" w:hAnsiTheme="minorBidi"/>
          <w:sz w:val="32"/>
          <w:szCs w:val="32"/>
          <w:rtl/>
        </w:rPr>
        <w:t xml:space="preserve"> - وهو دعوى ظهور الرواية في بطلان الإجارة - فيتم بوجوهٍ:</w:t>
      </w:r>
    </w:p>
    <w:p w14:paraId="6F44D075"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الوجه الأوّل:</w:t>
      </w:r>
      <w:r w:rsidRPr="00F27422">
        <w:rPr>
          <w:rFonts w:asciiTheme="minorBidi" w:hAnsiTheme="minorBidi"/>
          <w:sz w:val="32"/>
          <w:szCs w:val="32"/>
          <w:rtl/>
        </w:rPr>
        <w:t xml:space="preserve"> ما ذكره المحقق الرشتي (قدس سره) في كتابه [الإجارة، الميرزا حبيب الله الرشتي، ص41] </w:t>
      </w:r>
      <w:r w:rsidRPr="00F27422">
        <w:rPr>
          <w:rFonts w:asciiTheme="minorBidi" w:hAnsiTheme="minorBidi"/>
          <w:b/>
          <w:bCs/>
          <w:sz w:val="32"/>
          <w:szCs w:val="32"/>
          <w:rtl/>
        </w:rPr>
        <w:t>ومحصله:</w:t>
      </w:r>
      <w:r w:rsidRPr="00F27422">
        <w:rPr>
          <w:rFonts w:asciiTheme="minorBidi" w:hAnsiTheme="minorBidi"/>
          <w:sz w:val="32"/>
          <w:szCs w:val="32"/>
          <w:rtl/>
        </w:rPr>
        <w:t xml:space="preserve"> أنّ المراد بالوقت في قوله (عليه السلام): </w:t>
      </w:r>
      <w:r w:rsidRPr="00F27422">
        <w:rPr>
          <w:rFonts w:asciiTheme="minorBidi" w:hAnsiTheme="minorBidi"/>
          <w:b/>
          <w:bCs/>
          <w:sz w:val="32"/>
          <w:szCs w:val="32"/>
          <w:rtl/>
        </w:rPr>
        <w:t>(إن كان لها وقتٌ مسمى لم تبلغه)</w:t>
      </w:r>
      <w:r w:rsidRPr="00F27422">
        <w:rPr>
          <w:rFonts w:asciiTheme="minorBidi" w:hAnsiTheme="minorBidi"/>
          <w:sz w:val="32"/>
          <w:szCs w:val="32"/>
          <w:rtl/>
        </w:rPr>
        <w:t xml:space="preserve"> هو الأنجم المضروبة للأُجرة، وليس مدّة الإجارة، بمعنى أنّ منظور الإمام (عليه السلام) وقت استحقاق الأُجرة، لا الوقت المحدد للإجارة.</w:t>
      </w:r>
    </w:p>
    <w:p w14:paraId="3DFDFEA2"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والمتحصل من معنى الرواية هو:</w:t>
      </w:r>
      <w:r w:rsidRPr="00F27422">
        <w:rPr>
          <w:rFonts w:asciiTheme="minorBidi" w:hAnsiTheme="minorBidi"/>
          <w:sz w:val="32"/>
          <w:szCs w:val="32"/>
          <w:rtl/>
        </w:rPr>
        <w:t xml:space="preserve"> إنْ ماتت المرأة بعد إدراك وقت الأُجرة كانت الأُجرة لورثتها، وإنْ ماتت في الأثناء أي قبل إدراك وقت الأُجرة فإنّ الأُجرة توزع على الأزمنة فبمقدار ما بلغت من الأزمنة يعطى الورثة نصيب منها.</w:t>
      </w:r>
    </w:p>
    <w:p w14:paraId="541E5681"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ولهذا المضمون مدلول التزامي</w:t>
      </w:r>
      <w:r w:rsidRPr="00F27422">
        <w:rPr>
          <w:rFonts w:asciiTheme="minorBidi" w:hAnsiTheme="minorBidi"/>
          <w:sz w:val="32"/>
          <w:szCs w:val="32"/>
          <w:rtl/>
        </w:rPr>
        <w:t>، وهو انفساخ الإجارة بالموت، وإلّا لو كانت الإجارة صحيحة لم يكن هناك حاجة لبيان أنّ الورثة لهم من الأُجرة بمقدار ما مرّ من الزمن؛ بل مقتضى صحّة الإجارة أنْ تنفذ الإجارة بشروطها فيستحق الورثة الأُجرة عند بلوغ الوقت كما كان في زمن المؤجّر.</w:t>
      </w:r>
    </w:p>
    <w:p w14:paraId="2AE981E9"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فإنْ قلتَ:</w:t>
      </w:r>
      <w:r w:rsidRPr="00F27422">
        <w:rPr>
          <w:rFonts w:asciiTheme="minorBidi" w:hAnsiTheme="minorBidi"/>
          <w:sz w:val="32"/>
          <w:szCs w:val="32"/>
          <w:rtl/>
        </w:rPr>
        <w:t xml:space="preserve"> إنّ السؤال الوارد هو سؤالٌ عن النفوذ وعدم النفوذ وليس سؤالاً عن حدود استحقاق الورثة للأُجرة كي تتجه الرواية لبيان ذلك، حيث قال الراوي: </w:t>
      </w:r>
      <w:r w:rsidRPr="00F27422">
        <w:rPr>
          <w:rFonts w:asciiTheme="minorBidi" w:hAnsiTheme="minorBidi"/>
          <w:b/>
          <w:bCs/>
          <w:sz w:val="32"/>
          <w:szCs w:val="32"/>
          <w:rtl/>
        </w:rPr>
        <w:t xml:space="preserve">(فماتت قبل ثلاث سنين أو بعدها هل يجب على ورثتها إنفاذ الإجارة إلى الوقت أم تكون الإجارة منقضية بموت </w:t>
      </w:r>
      <w:r w:rsidRPr="00F27422">
        <w:rPr>
          <w:rFonts w:asciiTheme="minorBidi" w:hAnsiTheme="minorBidi"/>
          <w:b/>
          <w:bCs/>
          <w:sz w:val="32"/>
          <w:szCs w:val="32"/>
          <w:rtl/>
        </w:rPr>
        <w:lastRenderedPageBreak/>
        <w:t>المرأة؟)</w:t>
      </w:r>
      <w:r w:rsidRPr="00F27422">
        <w:rPr>
          <w:rFonts w:asciiTheme="minorBidi" w:hAnsiTheme="minorBidi"/>
          <w:sz w:val="32"/>
          <w:szCs w:val="32"/>
          <w:rtl/>
        </w:rPr>
        <w:t xml:space="preserve">، فقوله (عليه السلام) في الجواب: </w:t>
      </w:r>
      <w:r w:rsidRPr="00F27422">
        <w:rPr>
          <w:rFonts w:asciiTheme="minorBidi" w:hAnsiTheme="minorBidi"/>
          <w:b/>
          <w:bCs/>
          <w:sz w:val="32"/>
          <w:szCs w:val="32"/>
          <w:rtl/>
        </w:rPr>
        <w:t>(إن كان لها وقتٌ مسمى)</w:t>
      </w:r>
      <w:r w:rsidRPr="00F27422">
        <w:rPr>
          <w:rFonts w:asciiTheme="minorBidi" w:hAnsiTheme="minorBidi"/>
          <w:sz w:val="32"/>
          <w:szCs w:val="32"/>
          <w:rtl/>
        </w:rPr>
        <w:t xml:space="preserve"> بحمله على وقت الأُجرة لا مدّة الإجارة </w:t>
      </w:r>
      <w:r w:rsidRPr="00F27422">
        <w:rPr>
          <w:rFonts w:asciiTheme="minorBidi" w:hAnsiTheme="minorBidi"/>
          <w:b/>
          <w:bCs/>
          <w:sz w:val="32"/>
          <w:szCs w:val="32"/>
          <w:rtl/>
        </w:rPr>
        <w:t>(لم تبلغه)</w:t>
      </w:r>
      <w:r w:rsidRPr="00F27422">
        <w:rPr>
          <w:rFonts w:asciiTheme="minorBidi" w:hAnsiTheme="minorBidi"/>
          <w:sz w:val="32"/>
          <w:szCs w:val="32"/>
          <w:rtl/>
        </w:rPr>
        <w:t xml:space="preserve"> أي أنّ الأُجرة لم تبلغ وقتها </w:t>
      </w:r>
      <w:r w:rsidRPr="00F27422">
        <w:rPr>
          <w:rFonts w:asciiTheme="minorBidi" w:hAnsiTheme="minorBidi"/>
          <w:b/>
          <w:bCs/>
          <w:sz w:val="32"/>
          <w:szCs w:val="32"/>
          <w:rtl/>
        </w:rPr>
        <w:t>(فماتت)</w:t>
      </w:r>
      <w:r w:rsidRPr="00F27422">
        <w:rPr>
          <w:rFonts w:asciiTheme="minorBidi" w:hAnsiTheme="minorBidi"/>
          <w:sz w:val="32"/>
          <w:szCs w:val="32"/>
          <w:rtl/>
        </w:rPr>
        <w:t xml:space="preserve"> أي المرأة قبل بلوغ وقت الأُجرة </w:t>
      </w:r>
      <w:r w:rsidRPr="00F27422">
        <w:rPr>
          <w:rFonts w:asciiTheme="minorBidi" w:hAnsiTheme="minorBidi"/>
          <w:b/>
          <w:bCs/>
          <w:sz w:val="32"/>
          <w:szCs w:val="32"/>
          <w:rtl/>
        </w:rPr>
        <w:t>(فلورثتها تلك الإجارة فإن لم تبلُغ ذلك الوقت وبلغت ثلثه أو نصفه أو شيئاً منه فيُعطى ورثتها بقدر ما بلغت ذلك الوقت إن شاء الله).</w:t>
      </w:r>
    </w:p>
    <w:p w14:paraId="5B298276" w14:textId="77777777" w:rsidR="001000E7" w:rsidRPr="00F27422" w:rsidRDefault="001000E7" w:rsidP="00122B70">
      <w:pPr>
        <w:bidi/>
        <w:rPr>
          <w:rFonts w:asciiTheme="minorBidi" w:hAnsiTheme="minorBidi"/>
          <w:sz w:val="32"/>
          <w:szCs w:val="32"/>
          <w:rtl/>
        </w:rPr>
      </w:pPr>
      <w:r w:rsidRPr="00F27422">
        <w:rPr>
          <w:rFonts w:asciiTheme="minorBidi" w:hAnsiTheme="minorBidi"/>
          <w:sz w:val="32"/>
          <w:szCs w:val="32"/>
          <w:rtl/>
        </w:rPr>
        <w:t>يعني عدم تطابق الجواب مع السؤال.</w:t>
      </w:r>
    </w:p>
    <w:p w14:paraId="627ED942" w14:textId="77777777" w:rsidR="001000E7" w:rsidRPr="00F27422" w:rsidRDefault="001000E7" w:rsidP="00122B70">
      <w:pPr>
        <w:bidi/>
        <w:rPr>
          <w:rFonts w:asciiTheme="minorBidi" w:hAnsiTheme="minorBidi"/>
          <w:b/>
          <w:bCs/>
          <w:sz w:val="32"/>
          <w:szCs w:val="32"/>
          <w:rtl/>
        </w:rPr>
      </w:pPr>
      <w:r w:rsidRPr="00F27422">
        <w:rPr>
          <w:rFonts w:asciiTheme="minorBidi" w:hAnsiTheme="minorBidi"/>
          <w:b/>
          <w:bCs/>
          <w:sz w:val="32"/>
          <w:szCs w:val="32"/>
          <w:rtl/>
        </w:rPr>
        <w:t>قلتُ:</w:t>
      </w:r>
      <w:r w:rsidRPr="00F27422">
        <w:rPr>
          <w:rFonts w:asciiTheme="minorBidi" w:hAnsiTheme="minorBidi"/>
          <w:sz w:val="32"/>
          <w:szCs w:val="32"/>
          <w:rtl/>
        </w:rPr>
        <w:t xml:space="preserve"> أجاب عن ذلك في [مفتاح الكرامة في شرح قواعد العلامة، السيد محمد جواد العاملي، دار إحياء التراث العربي، ج7، ص77 - 78] بأنّ السر في عدم مطابقة الجواب مع السؤال بالمباشرة  لكونه في مقام التقية، فلم يرد أنْ يصرح ببطلان الإجارة مع كون هذا القول مخالفاً لقول العامة في زمانه وهم أصحاب الرأي، حيث قال (قدس سره): </w:t>
      </w:r>
      <w:r w:rsidRPr="00F27422">
        <w:rPr>
          <w:rFonts w:asciiTheme="minorBidi" w:hAnsiTheme="minorBidi"/>
          <w:b/>
          <w:bCs/>
          <w:sz w:val="32"/>
          <w:szCs w:val="32"/>
          <w:rtl/>
        </w:rPr>
        <w:t xml:space="preserve">(إنه لما لم </w:t>
      </w:r>
      <w:proofErr w:type="spellStart"/>
      <w:r w:rsidRPr="00F27422">
        <w:rPr>
          <w:rFonts w:asciiTheme="minorBidi" w:hAnsiTheme="minorBidi"/>
          <w:b/>
          <w:bCs/>
          <w:sz w:val="32"/>
          <w:szCs w:val="32"/>
          <w:rtl/>
        </w:rPr>
        <w:t>یقل</w:t>
      </w:r>
      <w:proofErr w:type="spellEnd"/>
      <w:r w:rsidRPr="00F27422">
        <w:rPr>
          <w:rFonts w:asciiTheme="minorBidi" w:hAnsiTheme="minorBidi"/>
          <w:b/>
          <w:bCs/>
          <w:sz w:val="32"/>
          <w:szCs w:val="32"/>
          <w:rtl/>
        </w:rPr>
        <w:t xml:space="preserve"> علی ورثتها إنفاذ الإجارة </w:t>
      </w:r>
      <w:proofErr w:type="spellStart"/>
      <w:r w:rsidRPr="00F27422">
        <w:rPr>
          <w:rFonts w:asciiTheme="minorBidi" w:hAnsiTheme="minorBidi"/>
          <w:b/>
          <w:bCs/>
          <w:sz w:val="32"/>
          <w:szCs w:val="32"/>
          <w:rtl/>
        </w:rPr>
        <w:t>کما</w:t>
      </w:r>
      <w:proofErr w:type="spellEnd"/>
      <w:r w:rsidRPr="00F27422">
        <w:rPr>
          <w:rFonts w:asciiTheme="minorBidi" w:hAnsiTheme="minorBidi"/>
          <w:b/>
          <w:bCs/>
          <w:sz w:val="32"/>
          <w:szCs w:val="32"/>
          <w:rtl/>
        </w:rPr>
        <w:t xml:space="preserve"> في السؤال ولم </w:t>
      </w:r>
      <w:proofErr w:type="spellStart"/>
      <w:r w:rsidRPr="00F27422">
        <w:rPr>
          <w:rFonts w:asciiTheme="minorBidi" w:hAnsiTheme="minorBidi"/>
          <w:b/>
          <w:bCs/>
          <w:sz w:val="32"/>
          <w:szCs w:val="32"/>
          <w:rtl/>
        </w:rPr>
        <w:t>یقل</w:t>
      </w:r>
      <w:proofErr w:type="spellEnd"/>
      <w:r w:rsidRPr="00F27422">
        <w:rPr>
          <w:rFonts w:asciiTheme="minorBidi" w:hAnsiTheme="minorBidi"/>
          <w:b/>
          <w:bCs/>
          <w:sz w:val="32"/>
          <w:szCs w:val="32"/>
          <w:rtl/>
        </w:rPr>
        <w:t xml:space="preserve"> الإجارة </w:t>
      </w:r>
      <w:proofErr w:type="spellStart"/>
      <w:r w:rsidRPr="00F27422">
        <w:rPr>
          <w:rFonts w:asciiTheme="minorBidi" w:hAnsiTheme="minorBidi"/>
          <w:b/>
          <w:bCs/>
          <w:sz w:val="32"/>
          <w:szCs w:val="32"/>
          <w:rtl/>
        </w:rPr>
        <w:t>منتقضة</w:t>
      </w:r>
      <w:proofErr w:type="spellEnd"/>
      <w:r w:rsidRPr="00F27422">
        <w:rPr>
          <w:rFonts w:asciiTheme="minorBidi" w:hAnsiTheme="minorBidi"/>
          <w:b/>
          <w:bCs/>
          <w:sz w:val="32"/>
          <w:szCs w:val="32"/>
          <w:rtl/>
        </w:rPr>
        <w:t xml:space="preserve"> وقال لهم تلك الإجارة أراد أن لهم تلك الأجرة </w:t>
      </w:r>
      <w:proofErr w:type="spellStart"/>
      <w:r w:rsidRPr="00F27422">
        <w:rPr>
          <w:rFonts w:asciiTheme="minorBidi" w:hAnsiTheme="minorBidi"/>
          <w:b/>
          <w:bCs/>
          <w:sz w:val="32"/>
          <w:szCs w:val="32"/>
          <w:rtl/>
        </w:rPr>
        <w:t>التی</w:t>
      </w:r>
      <w:proofErr w:type="spellEnd"/>
      <w:r w:rsidRPr="00F27422">
        <w:rPr>
          <w:rFonts w:asciiTheme="minorBidi" w:hAnsiTheme="minorBidi"/>
          <w:b/>
          <w:bCs/>
          <w:sz w:val="32"/>
          <w:szCs w:val="32"/>
          <w:rtl/>
        </w:rPr>
        <w:t xml:space="preserve"> </w:t>
      </w:r>
      <w:proofErr w:type="spellStart"/>
      <w:r w:rsidRPr="00F27422">
        <w:rPr>
          <w:rFonts w:asciiTheme="minorBidi" w:hAnsiTheme="minorBidi"/>
          <w:b/>
          <w:bCs/>
          <w:sz w:val="32"/>
          <w:szCs w:val="32"/>
          <w:rtl/>
        </w:rPr>
        <w:t>مضی</w:t>
      </w:r>
      <w:proofErr w:type="spellEnd"/>
      <w:r w:rsidRPr="00F27422">
        <w:rPr>
          <w:rFonts w:asciiTheme="minorBidi" w:hAnsiTheme="minorBidi"/>
          <w:b/>
          <w:bCs/>
          <w:sz w:val="32"/>
          <w:szCs w:val="32"/>
          <w:rtl/>
        </w:rPr>
        <w:t xml:space="preserve"> وقتها ثم </w:t>
      </w:r>
      <w:proofErr w:type="spellStart"/>
      <w:r w:rsidRPr="00F27422">
        <w:rPr>
          <w:rFonts w:asciiTheme="minorBidi" w:hAnsiTheme="minorBidi"/>
          <w:b/>
          <w:bCs/>
          <w:sz w:val="32"/>
          <w:szCs w:val="32"/>
          <w:rtl/>
        </w:rPr>
        <w:t>بینه</w:t>
      </w:r>
      <w:proofErr w:type="spellEnd"/>
      <w:r w:rsidRPr="00F27422">
        <w:rPr>
          <w:rFonts w:asciiTheme="minorBidi" w:hAnsiTheme="minorBidi"/>
          <w:b/>
          <w:bCs/>
          <w:sz w:val="32"/>
          <w:szCs w:val="32"/>
          <w:rtl/>
        </w:rPr>
        <w:t xml:space="preserve"> بأنه إن کان </w:t>
      </w:r>
      <w:proofErr w:type="spellStart"/>
      <w:r w:rsidRPr="00F27422">
        <w:rPr>
          <w:rFonts w:asciiTheme="minorBidi" w:hAnsiTheme="minorBidi"/>
          <w:b/>
          <w:bCs/>
          <w:sz w:val="32"/>
          <w:szCs w:val="32"/>
          <w:rtl/>
        </w:rPr>
        <w:t>الماضی</w:t>
      </w:r>
      <w:proofErr w:type="spellEnd"/>
      <w:r w:rsidRPr="00F27422">
        <w:rPr>
          <w:rFonts w:asciiTheme="minorBidi" w:hAnsiTheme="minorBidi"/>
          <w:b/>
          <w:bCs/>
          <w:sz w:val="32"/>
          <w:szCs w:val="32"/>
          <w:rtl/>
        </w:rPr>
        <w:t xml:space="preserve"> الثلث أو نحوه </w:t>
      </w:r>
      <w:proofErr w:type="spellStart"/>
      <w:r w:rsidRPr="00F27422">
        <w:rPr>
          <w:rFonts w:asciiTheme="minorBidi" w:hAnsiTheme="minorBidi"/>
          <w:b/>
          <w:bCs/>
          <w:sz w:val="32"/>
          <w:szCs w:val="32"/>
          <w:rtl/>
        </w:rPr>
        <w:t>أعطی</w:t>
      </w:r>
      <w:proofErr w:type="spellEnd"/>
      <w:r w:rsidRPr="00F27422">
        <w:rPr>
          <w:rFonts w:asciiTheme="minorBidi" w:hAnsiTheme="minorBidi"/>
          <w:b/>
          <w:bCs/>
          <w:sz w:val="32"/>
          <w:szCs w:val="32"/>
          <w:rtl/>
        </w:rPr>
        <w:t xml:space="preserve"> ورثتها بقدر ما </w:t>
      </w:r>
      <w:proofErr w:type="spellStart"/>
      <w:r w:rsidRPr="00F27422">
        <w:rPr>
          <w:rFonts w:asciiTheme="minorBidi" w:hAnsiTheme="minorBidi"/>
          <w:b/>
          <w:bCs/>
          <w:sz w:val="32"/>
          <w:szCs w:val="32"/>
          <w:rtl/>
        </w:rPr>
        <w:t>مضی</w:t>
      </w:r>
      <w:proofErr w:type="spellEnd"/>
      <w:r w:rsidRPr="00F27422">
        <w:rPr>
          <w:rFonts w:asciiTheme="minorBidi" w:hAnsiTheme="minorBidi"/>
          <w:b/>
          <w:bCs/>
          <w:sz w:val="32"/>
          <w:szCs w:val="32"/>
          <w:rtl/>
        </w:rPr>
        <w:t xml:space="preserve"> </w:t>
      </w:r>
      <w:proofErr w:type="spellStart"/>
      <w:r w:rsidRPr="00F27422">
        <w:rPr>
          <w:rFonts w:asciiTheme="minorBidi" w:hAnsiTheme="minorBidi"/>
          <w:b/>
          <w:bCs/>
          <w:sz w:val="32"/>
          <w:szCs w:val="32"/>
          <w:rtl/>
        </w:rPr>
        <w:t>فیکون</w:t>
      </w:r>
      <w:proofErr w:type="spellEnd"/>
      <w:r w:rsidRPr="00F27422">
        <w:rPr>
          <w:rFonts w:asciiTheme="minorBidi" w:hAnsiTheme="minorBidi"/>
          <w:b/>
          <w:bCs/>
          <w:sz w:val="32"/>
          <w:szCs w:val="32"/>
          <w:rtl/>
        </w:rPr>
        <w:t xml:space="preserve"> قد </w:t>
      </w:r>
      <w:proofErr w:type="spellStart"/>
      <w:r w:rsidRPr="00F27422">
        <w:rPr>
          <w:rFonts w:asciiTheme="minorBidi" w:hAnsiTheme="minorBidi"/>
          <w:b/>
          <w:bCs/>
          <w:sz w:val="32"/>
          <w:szCs w:val="32"/>
          <w:rtl/>
        </w:rPr>
        <w:t>أتقی</w:t>
      </w:r>
      <w:proofErr w:type="spellEnd"/>
      <w:r w:rsidRPr="00F27422">
        <w:rPr>
          <w:rFonts w:asciiTheme="minorBidi" w:hAnsiTheme="minorBidi"/>
          <w:b/>
          <w:bCs/>
          <w:sz w:val="32"/>
          <w:szCs w:val="32"/>
          <w:rtl/>
        </w:rPr>
        <w:t xml:space="preserve"> من أصحاب الرأي وترك الجواب عن السؤال </w:t>
      </w:r>
      <w:proofErr w:type="spellStart"/>
      <w:r w:rsidRPr="00F27422">
        <w:rPr>
          <w:rFonts w:asciiTheme="minorBidi" w:hAnsiTheme="minorBidi"/>
          <w:b/>
          <w:bCs/>
          <w:sz w:val="32"/>
          <w:szCs w:val="32"/>
          <w:rtl/>
        </w:rPr>
        <w:t>بطرفیه</w:t>
      </w:r>
      <w:proofErr w:type="spellEnd"/>
      <w:r w:rsidRPr="00F27422">
        <w:rPr>
          <w:rFonts w:asciiTheme="minorBidi" w:hAnsiTheme="minorBidi"/>
          <w:b/>
          <w:bCs/>
          <w:sz w:val="32"/>
          <w:szCs w:val="32"/>
          <w:rtl/>
        </w:rPr>
        <w:t xml:space="preserve">، والغالب في </w:t>
      </w:r>
      <w:proofErr w:type="spellStart"/>
      <w:r w:rsidRPr="00F27422">
        <w:rPr>
          <w:rFonts w:asciiTheme="minorBidi" w:hAnsiTheme="minorBidi"/>
          <w:b/>
          <w:bCs/>
          <w:sz w:val="32"/>
          <w:szCs w:val="32"/>
          <w:rtl/>
        </w:rPr>
        <w:t>المکاتبات</w:t>
      </w:r>
      <w:proofErr w:type="spellEnd"/>
      <w:r w:rsidRPr="00F27422">
        <w:rPr>
          <w:rFonts w:asciiTheme="minorBidi" w:hAnsiTheme="minorBidi"/>
          <w:b/>
          <w:bCs/>
          <w:sz w:val="32"/>
          <w:szCs w:val="32"/>
          <w:rtl/>
        </w:rPr>
        <w:t xml:space="preserve"> حملها علی </w:t>
      </w:r>
      <w:r w:rsidRPr="00F27422">
        <w:rPr>
          <w:rFonts w:asciiTheme="minorBidi" w:hAnsiTheme="minorBidi"/>
          <w:b/>
          <w:bCs/>
          <w:sz w:val="32"/>
          <w:szCs w:val="32"/>
          <w:highlight w:val="yellow"/>
          <w:rtl/>
        </w:rPr>
        <w:t>التقیة</w:t>
      </w:r>
      <w:r w:rsidRPr="00F27422">
        <w:rPr>
          <w:rFonts w:asciiTheme="minorBidi" w:hAnsiTheme="minorBidi"/>
          <w:b/>
          <w:bCs/>
          <w:sz w:val="32"/>
          <w:szCs w:val="32"/>
          <w:rtl/>
        </w:rPr>
        <w:t xml:space="preserve"> ، </w:t>
      </w:r>
      <w:proofErr w:type="spellStart"/>
      <w:r w:rsidRPr="00F27422">
        <w:rPr>
          <w:rFonts w:asciiTheme="minorBidi" w:hAnsiTheme="minorBidi"/>
          <w:b/>
          <w:bCs/>
          <w:sz w:val="32"/>
          <w:szCs w:val="32"/>
          <w:rtl/>
        </w:rPr>
        <w:t>والروایة</w:t>
      </w:r>
      <w:proofErr w:type="spellEnd"/>
      <w:r w:rsidRPr="00F27422">
        <w:rPr>
          <w:rFonts w:asciiTheme="minorBidi" w:hAnsiTheme="minorBidi"/>
          <w:b/>
          <w:bCs/>
          <w:sz w:val="32"/>
          <w:szCs w:val="32"/>
          <w:rtl/>
        </w:rPr>
        <w:t xml:space="preserve"> </w:t>
      </w:r>
      <w:proofErr w:type="spellStart"/>
      <w:r w:rsidRPr="00F27422">
        <w:rPr>
          <w:rFonts w:asciiTheme="minorBidi" w:hAnsiTheme="minorBidi"/>
          <w:b/>
          <w:bCs/>
          <w:sz w:val="32"/>
          <w:szCs w:val="32"/>
          <w:rtl/>
        </w:rPr>
        <w:t>کادت</w:t>
      </w:r>
      <w:proofErr w:type="spellEnd"/>
      <w:r w:rsidRPr="00F27422">
        <w:rPr>
          <w:rFonts w:asciiTheme="minorBidi" w:hAnsiTheme="minorBidi"/>
          <w:b/>
          <w:bCs/>
          <w:sz w:val="32"/>
          <w:szCs w:val="32"/>
          <w:rtl/>
        </w:rPr>
        <w:t xml:space="preserve"> </w:t>
      </w:r>
      <w:proofErr w:type="spellStart"/>
      <w:r w:rsidRPr="00F27422">
        <w:rPr>
          <w:rFonts w:asciiTheme="minorBidi" w:hAnsiTheme="minorBidi"/>
          <w:b/>
          <w:bCs/>
          <w:sz w:val="32"/>
          <w:szCs w:val="32"/>
          <w:rtl/>
        </w:rPr>
        <w:t>تکون</w:t>
      </w:r>
      <w:proofErr w:type="spellEnd"/>
      <w:r w:rsidRPr="00F27422">
        <w:rPr>
          <w:rFonts w:asciiTheme="minorBidi" w:hAnsiTheme="minorBidi"/>
          <w:b/>
          <w:bCs/>
          <w:sz w:val="32"/>
          <w:szCs w:val="32"/>
          <w:rtl/>
        </w:rPr>
        <w:t xml:space="preserve"> ظاهرة في ذلك وإلا </w:t>
      </w:r>
      <w:proofErr w:type="spellStart"/>
      <w:r w:rsidRPr="00F27422">
        <w:rPr>
          <w:rFonts w:asciiTheme="minorBidi" w:hAnsiTheme="minorBidi"/>
          <w:b/>
          <w:bCs/>
          <w:sz w:val="32"/>
          <w:szCs w:val="32"/>
          <w:rtl/>
        </w:rPr>
        <w:t>لکان</w:t>
      </w:r>
      <w:proofErr w:type="spellEnd"/>
      <w:r w:rsidRPr="00F27422">
        <w:rPr>
          <w:rFonts w:asciiTheme="minorBidi" w:hAnsiTheme="minorBidi"/>
          <w:b/>
          <w:bCs/>
          <w:sz w:val="32"/>
          <w:szCs w:val="32"/>
          <w:rtl/>
        </w:rPr>
        <w:t xml:space="preserve"> الجواب </w:t>
      </w:r>
      <w:proofErr w:type="spellStart"/>
      <w:r w:rsidRPr="00F27422">
        <w:rPr>
          <w:rFonts w:asciiTheme="minorBidi" w:hAnsiTheme="minorBidi"/>
          <w:b/>
          <w:bCs/>
          <w:sz w:val="32"/>
          <w:szCs w:val="32"/>
          <w:rtl/>
        </w:rPr>
        <w:t>کلمة</w:t>
      </w:r>
      <w:proofErr w:type="spellEnd"/>
      <w:r w:rsidRPr="00F27422">
        <w:rPr>
          <w:rFonts w:asciiTheme="minorBidi" w:hAnsiTheme="minorBidi"/>
          <w:b/>
          <w:bCs/>
          <w:sz w:val="32"/>
          <w:szCs w:val="32"/>
          <w:rtl/>
        </w:rPr>
        <w:t xml:space="preserve"> واحدة وهو إما إنفاذ الإجارة أو أن الإجارة </w:t>
      </w:r>
      <w:proofErr w:type="spellStart"/>
      <w:r w:rsidRPr="00F27422">
        <w:rPr>
          <w:rFonts w:asciiTheme="minorBidi" w:hAnsiTheme="minorBidi"/>
          <w:b/>
          <w:bCs/>
          <w:sz w:val="32"/>
          <w:szCs w:val="32"/>
          <w:rtl/>
        </w:rPr>
        <w:t>منتقضة</w:t>
      </w:r>
      <w:proofErr w:type="spellEnd"/>
      <w:r w:rsidRPr="00F27422">
        <w:rPr>
          <w:rFonts w:asciiTheme="minorBidi" w:hAnsiTheme="minorBidi"/>
          <w:b/>
          <w:bCs/>
          <w:sz w:val="32"/>
          <w:szCs w:val="32"/>
          <w:rtl/>
        </w:rPr>
        <w:t xml:space="preserve"> فعدوله عن ذلك والأخذ في </w:t>
      </w:r>
      <w:proofErr w:type="spellStart"/>
      <w:r w:rsidRPr="00F27422">
        <w:rPr>
          <w:rFonts w:asciiTheme="minorBidi" w:hAnsiTheme="minorBidi"/>
          <w:b/>
          <w:bCs/>
          <w:sz w:val="32"/>
          <w:szCs w:val="32"/>
          <w:rtl/>
        </w:rPr>
        <w:t>بیان</w:t>
      </w:r>
      <w:proofErr w:type="spellEnd"/>
      <w:r w:rsidRPr="00F27422">
        <w:rPr>
          <w:rFonts w:asciiTheme="minorBidi" w:hAnsiTheme="minorBidi"/>
          <w:b/>
          <w:bCs/>
          <w:sz w:val="32"/>
          <w:szCs w:val="32"/>
          <w:rtl/>
        </w:rPr>
        <w:t xml:space="preserve"> الواضحات واستعمال الإجارة بمعنی الأجرة والتزامه </w:t>
      </w:r>
      <w:proofErr w:type="spellStart"/>
      <w:r w:rsidRPr="00F27422">
        <w:rPr>
          <w:rFonts w:asciiTheme="minorBidi" w:hAnsiTheme="minorBidi"/>
          <w:b/>
          <w:bCs/>
          <w:sz w:val="32"/>
          <w:szCs w:val="32"/>
          <w:rtl/>
        </w:rPr>
        <w:t>تقدیر</w:t>
      </w:r>
      <w:proofErr w:type="spellEnd"/>
      <w:r w:rsidRPr="00F27422">
        <w:rPr>
          <w:rFonts w:asciiTheme="minorBidi" w:hAnsiTheme="minorBidi"/>
          <w:b/>
          <w:bCs/>
          <w:sz w:val="32"/>
          <w:szCs w:val="32"/>
          <w:rtl/>
        </w:rPr>
        <w:t xml:space="preserve"> مضاف </w:t>
      </w:r>
      <w:proofErr w:type="spellStart"/>
      <w:r w:rsidRPr="00F27422">
        <w:rPr>
          <w:rFonts w:asciiTheme="minorBidi" w:hAnsiTheme="minorBidi"/>
          <w:b/>
          <w:bCs/>
          <w:sz w:val="32"/>
          <w:szCs w:val="32"/>
          <w:rtl/>
        </w:rPr>
        <w:t>قاضیة</w:t>
      </w:r>
      <w:proofErr w:type="spellEnd"/>
      <w:r w:rsidRPr="00F27422">
        <w:rPr>
          <w:rFonts w:asciiTheme="minorBidi" w:hAnsiTheme="minorBidi"/>
          <w:b/>
          <w:bCs/>
          <w:sz w:val="32"/>
          <w:szCs w:val="32"/>
          <w:rtl/>
        </w:rPr>
        <w:t xml:space="preserve"> </w:t>
      </w:r>
      <w:proofErr w:type="spellStart"/>
      <w:r w:rsidRPr="00F27422">
        <w:rPr>
          <w:rFonts w:asciiTheme="minorBidi" w:hAnsiTheme="minorBidi"/>
          <w:b/>
          <w:bCs/>
          <w:sz w:val="32"/>
          <w:szCs w:val="32"/>
          <w:rtl/>
        </w:rPr>
        <w:t>بالتقیة</w:t>
      </w:r>
      <w:proofErr w:type="spellEnd"/>
      <w:r w:rsidRPr="00F27422">
        <w:rPr>
          <w:rFonts w:asciiTheme="minorBidi" w:hAnsiTheme="minorBidi"/>
          <w:b/>
          <w:bCs/>
          <w:sz w:val="32"/>
          <w:szCs w:val="32"/>
          <w:rtl/>
        </w:rPr>
        <w:t>).</w:t>
      </w:r>
    </w:p>
    <w:p w14:paraId="3761A480" w14:textId="77777777" w:rsidR="001000E7" w:rsidRPr="00F27422" w:rsidRDefault="001000E7" w:rsidP="00122B70">
      <w:pPr>
        <w:bidi/>
        <w:rPr>
          <w:rFonts w:asciiTheme="minorBidi" w:hAnsiTheme="minorBidi"/>
          <w:b/>
          <w:bCs/>
          <w:sz w:val="32"/>
          <w:szCs w:val="32"/>
          <w:rtl/>
        </w:rPr>
      </w:pPr>
      <w:r w:rsidRPr="00F27422">
        <w:rPr>
          <w:rFonts w:asciiTheme="minorBidi" w:hAnsiTheme="minorBidi"/>
          <w:b/>
          <w:bCs/>
          <w:sz w:val="32"/>
          <w:szCs w:val="32"/>
          <w:rtl/>
        </w:rPr>
        <w:t>ولكن يلاحظ على هذا الوجه من الاستدلال:</w:t>
      </w:r>
    </w:p>
    <w:p w14:paraId="37F08F14"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أولاً:</w:t>
      </w:r>
      <w:r w:rsidRPr="00F27422">
        <w:rPr>
          <w:rFonts w:asciiTheme="minorBidi" w:hAnsiTheme="minorBidi"/>
          <w:sz w:val="32"/>
          <w:szCs w:val="32"/>
          <w:rtl/>
        </w:rPr>
        <w:t xml:space="preserve"> أنّه مبني على نسخة: </w:t>
      </w:r>
      <w:r w:rsidRPr="00F27422">
        <w:rPr>
          <w:rFonts w:asciiTheme="minorBidi" w:hAnsiTheme="minorBidi"/>
          <w:b/>
          <w:bCs/>
          <w:sz w:val="32"/>
          <w:szCs w:val="32"/>
          <w:rtl/>
        </w:rPr>
        <w:t>(إن كان لها وقت مسمى لم تبلغه)</w:t>
      </w:r>
      <w:r w:rsidRPr="00F27422">
        <w:rPr>
          <w:rFonts w:asciiTheme="minorBidi" w:hAnsiTheme="minorBidi"/>
          <w:sz w:val="32"/>
          <w:szCs w:val="32"/>
          <w:rtl/>
        </w:rPr>
        <w:t xml:space="preserve"> كما في [تهذيب الأحكام، شيخ الطائفة الطوسي، دار الكتب الإسلامية، ج7، باب المزارعة، ح58]، بينما في النسخة المعروفة لكتاب الكافي: </w:t>
      </w:r>
      <w:r w:rsidRPr="00F27422">
        <w:rPr>
          <w:rFonts w:asciiTheme="minorBidi" w:hAnsiTheme="minorBidi"/>
          <w:b/>
          <w:bCs/>
          <w:sz w:val="32"/>
          <w:szCs w:val="32"/>
          <w:rtl/>
        </w:rPr>
        <w:t>(إن كان لها وقتٌ مسمى لم يبلُغ)</w:t>
      </w:r>
      <w:r w:rsidRPr="00F27422">
        <w:rPr>
          <w:rFonts w:asciiTheme="minorBidi" w:hAnsiTheme="minorBidi"/>
          <w:sz w:val="32"/>
          <w:szCs w:val="32"/>
          <w:rtl/>
        </w:rPr>
        <w:t xml:space="preserve"> كما في [الكافي، دار الكتب الإسلامية، ج5، كتاب المعيشة، باب من يؤاجر أرضاً ثمّ يبيعها قبل انقضاء الأجل أو يموت فتورث الأرض قبل انقضاء الأجل، ح2]. بحيث يعود الفعل للوقت، أي ماتت أي قبل أنْ يتحقق الوقت.</w:t>
      </w:r>
    </w:p>
    <w:p w14:paraId="22ADBE2C" w14:textId="77777777" w:rsidR="001000E7" w:rsidRPr="00F27422" w:rsidRDefault="001000E7" w:rsidP="00122B70">
      <w:pPr>
        <w:bidi/>
        <w:rPr>
          <w:rFonts w:asciiTheme="minorBidi" w:hAnsiTheme="minorBidi"/>
          <w:sz w:val="32"/>
          <w:szCs w:val="32"/>
          <w:rtl/>
        </w:rPr>
      </w:pPr>
      <w:r w:rsidRPr="00F27422">
        <w:rPr>
          <w:rFonts w:asciiTheme="minorBidi" w:hAnsiTheme="minorBidi"/>
          <w:sz w:val="32"/>
          <w:szCs w:val="32"/>
          <w:rtl/>
        </w:rPr>
        <w:t>مضافاً إلى أنّ عدم مطابقة الجواب مع السؤال بلا مبررٍ عرفي؛ إذ لا شاهد على ما ذكر من أنّه في عصر صدور الرواية عن أبي الحسن الثالث (عليه السلام) كان قول العامة من أصحاب الرأي هو صحّة الإجارة فلم يرد أنْ يصرح بخلافهم.</w:t>
      </w:r>
    </w:p>
    <w:p w14:paraId="7E655188"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وثانياً:</w:t>
      </w:r>
      <w:r w:rsidRPr="00F27422">
        <w:rPr>
          <w:rFonts w:asciiTheme="minorBidi" w:hAnsiTheme="minorBidi"/>
          <w:sz w:val="32"/>
          <w:szCs w:val="32"/>
          <w:rtl/>
        </w:rPr>
        <w:t xml:space="preserve"> أنّ ظاهر المقابلة بين قوله (عليه السلام): </w:t>
      </w:r>
      <w:r w:rsidRPr="00F27422">
        <w:rPr>
          <w:rFonts w:asciiTheme="minorBidi" w:hAnsiTheme="minorBidi"/>
          <w:b/>
          <w:bCs/>
          <w:sz w:val="32"/>
          <w:szCs w:val="32"/>
          <w:rtl/>
        </w:rPr>
        <w:t xml:space="preserve">(إن كان لها وقت لم تبلغه) </w:t>
      </w:r>
      <w:r w:rsidRPr="00F27422">
        <w:rPr>
          <w:rFonts w:asciiTheme="minorBidi" w:hAnsiTheme="minorBidi"/>
          <w:sz w:val="32"/>
          <w:szCs w:val="32"/>
          <w:rtl/>
        </w:rPr>
        <w:t xml:space="preserve">وبين قوله (عليه السلام): </w:t>
      </w:r>
      <w:r w:rsidRPr="00F27422">
        <w:rPr>
          <w:rFonts w:asciiTheme="minorBidi" w:hAnsiTheme="minorBidi"/>
          <w:b/>
          <w:bCs/>
          <w:sz w:val="32"/>
          <w:szCs w:val="32"/>
          <w:rtl/>
        </w:rPr>
        <w:t>(وبلغت ثلثه أو نصفه أو شيئاً منه)،</w:t>
      </w:r>
      <w:r w:rsidRPr="00F27422">
        <w:rPr>
          <w:rFonts w:asciiTheme="minorBidi" w:hAnsiTheme="minorBidi"/>
          <w:sz w:val="32"/>
          <w:szCs w:val="32"/>
          <w:rtl/>
        </w:rPr>
        <w:t xml:space="preserve"> أنّ المنظور هو المرأة في كلتا الشرطيتين، لا </w:t>
      </w:r>
      <w:r w:rsidRPr="00F27422">
        <w:rPr>
          <w:rFonts w:asciiTheme="minorBidi" w:hAnsiTheme="minorBidi"/>
          <w:sz w:val="32"/>
          <w:szCs w:val="32"/>
          <w:rtl/>
        </w:rPr>
        <w:lastRenderedPageBreak/>
        <w:t xml:space="preserve">أنّ المنظور في الشرطية الأُولى هو الأُجرة، وفي الثانية </w:t>
      </w:r>
      <w:r w:rsidRPr="00F27422">
        <w:rPr>
          <w:rFonts w:asciiTheme="minorBidi" w:hAnsiTheme="minorBidi"/>
          <w:b/>
          <w:bCs/>
          <w:sz w:val="32"/>
          <w:szCs w:val="32"/>
          <w:rtl/>
        </w:rPr>
        <w:t xml:space="preserve">(فإن لم تبلُغ) </w:t>
      </w:r>
      <w:r w:rsidRPr="00F27422">
        <w:rPr>
          <w:rFonts w:asciiTheme="minorBidi" w:hAnsiTheme="minorBidi"/>
          <w:sz w:val="32"/>
          <w:szCs w:val="32"/>
          <w:rtl/>
        </w:rPr>
        <w:t xml:space="preserve">هو المرأة </w:t>
      </w:r>
      <w:r w:rsidRPr="00F27422">
        <w:rPr>
          <w:rFonts w:asciiTheme="minorBidi" w:hAnsiTheme="minorBidi"/>
          <w:b/>
          <w:bCs/>
          <w:sz w:val="32"/>
          <w:szCs w:val="32"/>
          <w:rtl/>
        </w:rPr>
        <w:t xml:space="preserve">(ذلك الوقت وبلغت ثلثه أو نصفه أو شيئاً منه) </w:t>
      </w:r>
      <w:r w:rsidRPr="00F27422">
        <w:rPr>
          <w:rFonts w:asciiTheme="minorBidi" w:hAnsiTheme="minorBidi"/>
          <w:sz w:val="32"/>
          <w:szCs w:val="32"/>
          <w:rtl/>
        </w:rPr>
        <w:t>فهو توجيهٌ غير عرفي للرواية.</w:t>
      </w:r>
    </w:p>
    <w:p w14:paraId="0FF5CD6A"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الوجه الثاني:</w:t>
      </w:r>
      <w:r w:rsidRPr="00F27422">
        <w:rPr>
          <w:rFonts w:asciiTheme="minorBidi" w:hAnsiTheme="minorBidi"/>
          <w:sz w:val="32"/>
          <w:szCs w:val="32"/>
          <w:rtl/>
        </w:rPr>
        <w:t xml:space="preserve"> ما أشار إليه المحقق الأصفهاني (قدس سره الشريف) في كتابه [الإجارة، الشيخ الأصفهاني، مؤسسة النشر الإسلامي التابعة لجماعة المدرسين بقم المشرفة، ص21 - 22] ووصفه بأنّه أحسن الوجوه في الاستدلال بالرواية على بطلان الإجارة بموت المؤجّر، وهو مبني على عناصر ثلاثة:</w:t>
      </w:r>
    </w:p>
    <w:p w14:paraId="63D60A7C"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العنصر الأوّل:</w:t>
      </w:r>
      <w:r w:rsidRPr="00F27422">
        <w:rPr>
          <w:rFonts w:asciiTheme="minorBidi" w:hAnsiTheme="minorBidi"/>
          <w:sz w:val="32"/>
          <w:szCs w:val="32"/>
          <w:rtl/>
        </w:rPr>
        <w:t xml:space="preserve"> أنّ الوقت المذكور في آخر السؤال هو مدّة الإجارة، لا وقت استحقاق الأجرة - كما هو المنظور في الوجه السابق -.</w:t>
      </w:r>
    </w:p>
    <w:p w14:paraId="255D32FB" w14:textId="77777777" w:rsidR="001000E7" w:rsidRPr="00F27422" w:rsidRDefault="001000E7" w:rsidP="00122B70">
      <w:pPr>
        <w:bidi/>
        <w:rPr>
          <w:rFonts w:asciiTheme="minorBidi" w:hAnsiTheme="minorBidi"/>
          <w:b/>
          <w:bCs/>
          <w:sz w:val="32"/>
          <w:szCs w:val="32"/>
          <w:rtl/>
        </w:rPr>
      </w:pPr>
      <w:r w:rsidRPr="00F27422">
        <w:rPr>
          <w:rFonts w:asciiTheme="minorBidi" w:hAnsiTheme="minorBidi"/>
          <w:b/>
          <w:bCs/>
          <w:sz w:val="32"/>
          <w:szCs w:val="32"/>
          <w:rtl/>
        </w:rPr>
        <w:t>وتوضيحه:</w:t>
      </w:r>
      <w:r w:rsidRPr="00F27422">
        <w:rPr>
          <w:rFonts w:asciiTheme="minorBidi" w:hAnsiTheme="minorBidi"/>
          <w:sz w:val="32"/>
          <w:szCs w:val="32"/>
          <w:rtl/>
        </w:rPr>
        <w:t xml:space="preserve"> أنّ قول السائل في الرواية: </w:t>
      </w:r>
      <w:r w:rsidRPr="00F27422">
        <w:rPr>
          <w:rFonts w:asciiTheme="minorBidi" w:hAnsiTheme="minorBidi"/>
          <w:b/>
          <w:bCs/>
          <w:sz w:val="32"/>
          <w:szCs w:val="32"/>
          <w:rtl/>
        </w:rPr>
        <w:t>(فماتت قبل ثلاث سنين أو بعدها هل يجب على ورثتها إنفاذ الإجارة إلى الوقت)</w:t>
      </w:r>
      <w:r w:rsidRPr="00F27422">
        <w:rPr>
          <w:rFonts w:asciiTheme="minorBidi" w:hAnsiTheme="minorBidi"/>
          <w:sz w:val="32"/>
          <w:szCs w:val="32"/>
          <w:rtl/>
        </w:rPr>
        <w:t xml:space="preserve"> أي إلى وقت انتهاء مدّة الإجارة </w:t>
      </w:r>
      <w:r w:rsidRPr="00F27422">
        <w:rPr>
          <w:rFonts w:asciiTheme="minorBidi" w:hAnsiTheme="minorBidi"/>
          <w:b/>
          <w:bCs/>
          <w:sz w:val="32"/>
          <w:szCs w:val="32"/>
          <w:rtl/>
        </w:rPr>
        <w:t>(أم تكون الإجارة منقضية)</w:t>
      </w:r>
      <w:r w:rsidRPr="00F27422">
        <w:rPr>
          <w:rFonts w:asciiTheme="minorBidi" w:hAnsiTheme="minorBidi"/>
          <w:sz w:val="32"/>
          <w:szCs w:val="32"/>
          <w:rtl/>
        </w:rPr>
        <w:t xml:space="preserve"> أي منفسخة </w:t>
      </w:r>
      <w:r w:rsidRPr="00F27422">
        <w:rPr>
          <w:rFonts w:asciiTheme="minorBidi" w:hAnsiTheme="minorBidi"/>
          <w:b/>
          <w:bCs/>
          <w:sz w:val="32"/>
          <w:szCs w:val="32"/>
          <w:rtl/>
        </w:rPr>
        <w:t>(بموت المرأة؟)،</w:t>
      </w:r>
      <w:r w:rsidRPr="00F27422">
        <w:rPr>
          <w:rFonts w:asciiTheme="minorBidi" w:hAnsiTheme="minorBidi"/>
          <w:sz w:val="32"/>
          <w:szCs w:val="32"/>
          <w:rtl/>
        </w:rPr>
        <w:t xml:space="preserve"> ويؤكد ذلك نسخة </w:t>
      </w:r>
      <w:r w:rsidRPr="00F27422">
        <w:rPr>
          <w:rFonts w:asciiTheme="minorBidi" w:hAnsiTheme="minorBidi"/>
          <w:b/>
          <w:bCs/>
          <w:sz w:val="32"/>
          <w:szCs w:val="32"/>
          <w:rtl/>
        </w:rPr>
        <w:t>(</w:t>
      </w:r>
      <w:proofErr w:type="spellStart"/>
      <w:r w:rsidRPr="00F27422">
        <w:rPr>
          <w:rFonts w:asciiTheme="minorBidi" w:hAnsiTheme="minorBidi"/>
          <w:b/>
          <w:bCs/>
          <w:sz w:val="32"/>
          <w:szCs w:val="32"/>
          <w:rtl/>
        </w:rPr>
        <w:t>منتقضة</w:t>
      </w:r>
      <w:proofErr w:type="spellEnd"/>
      <w:r w:rsidRPr="00F27422">
        <w:rPr>
          <w:rFonts w:asciiTheme="minorBidi" w:hAnsiTheme="minorBidi"/>
          <w:b/>
          <w:bCs/>
          <w:sz w:val="32"/>
          <w:szCs w:val="32"/>
          <w:rtl/>
        </w:rPr>
        <w:t>).</w:t>
      </w:r>
    </w:p>
    <w:p w14:paraId="03798B4C"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العنصر الثاني:</w:t>
      </w:r>
      <w:r w:rsidRPr="00F27422">
        <w:rPr>
          <w:rFonts w:asciiTheme="minorBidi" w:hAnsiTheme="minorBidi"/>
          <w:sz w:val="32"/>
          <w:szCs w:val="32"/>
          <w:rtl/>
        </w:rPr>
        <w:t xml:space="preserve"> أنّ المراد بالشرطية الأُولى في جواب الإمام (عليه السلام) حيث قال: </w:t>
      </w:r>
      <w:r w:rsidRPr="00F27422">
        <w:rPr>
          <w:rFonts w:asciiTheme="minorBidi" w:hAnsiTheme="minorBidi"/>
          <w:b/>
          <w:bCs/>
          <w:sz w:val="32"/>
          <w:szCs w:val="32"/>
          <w:rtl/>
        </w:rPr>
        <w:t>(إن كان لها وقتٌ مسمى لم يبلُغ)</w:t>
      </w:r>
      <w:r w:rsidRPr="00F27422">
        <w:rPr>
          <w:rFonts w:asciiTheme="minorBidi" w:hAnsiTheme="minorBidi"/>
          <w:sz w:val="32"/>
          <w:szCs w:val="32"/>
          <w:rtl/>
        </w:rPr>
        <w:t xml:space="preserve"> هو عدم بلوغ أصل المدّة.</w:t>
      </w:r>
    </w:p>
    <w:p w14:paraId="68E19A5B"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بمعنى:</w:t>
      </w:r>
      <w:r w:rsidRPr="00F27422">
        <w:rPr>
          <w:rFonts w:asciiTheme="minorBidi" w:hAnsiTheme="minorBidi"/>
          <w:sz w:val="32"/>
          <w:szCs w:val="32"/>
          <w:rtl/>
        </w:rPr>
        <w:t xml:space="preserve"> أنّ مدّة الإجارة لها مبدأ ومنتهى، كما لو آجرت المرأة ضيعتها لمدة عشر سنوات تبدأ من الشهر القادم فماتت المرأة قبل مبدأ مدّة الإجارة، فيكون المقصود بـ "اللام" في قوله (عليه السلام): </w:t>
      </w:r>
      <w:r w:rsidRPr="00F27422">
        <w:rPr>
          <w:rFonts w:asciiTheme="minorBidi" w:hAnsiTheme="minorBidi"/>
          <w:b/>
          <w:bCs/>
          <w:sz w:val="32"/>
          <w:szCs w:val="32"/>
          <w:rtl/>
        </w:rPr>
        <w:t>(فماتت فلورثتها تلك الإجارة)</w:t>
      </w:r>
      <w:r w:rsidRPr="00F27422">
        <w:rPr>
          <w:rFonts w:asciiTheme="minorBidi" w:hAnsiTheme="minorBidi"/>
          <w:sz w:val="32"/>
          <w:szCs w:val="32"/>
          <w:rtl/>
        </w:rPr>
        <w:t xml:space="preserve"> هو لام السلطنة، أي: أنّ لورثتها السلطنة على الإجارة إنْ شاؤوا أمضوا وإنْ شاؤوا فسخوا.</w:t>
      </w:r>
    </w:p>
    <w:p w14:paraId="31EB744B"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العنصر الثالث:</w:t>
      </w:r>
      <w:r w:rsidRPr="00F27422">
        <w:rPr>
          <w:rFonts w:asciiTheme="minorBidi" w:hAnsiTheme="minorBidi"/>
          <w:sz w:val="32"/>
          <w:szCs w:val="32"/>
          <w:rtl/>
        </w:rPr>
        <w:t xml:space="preserve"> أنّ المراد بالشرطية الثانية بلوغ بعض مدّة الإجارة في قوله (عليه السلام): </w:t>
      </w:r>
      <w:r w:rsidRPr="00F27422">
        <w:rPr>
          <w:rFonts w:asciiTheme="minorBidi" w:hAnsiTheme="minorBidi"/>
          <w:b/>
          <w:bCs/>
          <w:sz w:val="32"/>
          <w:szCs w:val="32"/>
          <w:rtl/>
        </w:rPr>
        <w:t>(فإن لم تبلُغ)</w:t>
      </w:r>
      <w:r w:rsidRPr="00F27422">
        <w:rPr>
          <w:rFonts w:asciiTheme="minorBidi" w:hAnsiTheme="minorBidi"/>
          <w:sz w:val="32"/>
          <w:szCs w:val="32"/>
          <w:rtl/>
        </w:rPr>
        <w:t xml:space="preserve"> المرأة </w:t>
      </w:r>
      <w:r w:rsidRPr="00F27422">
        <w:rPr>
          <w:rFonts w:asciiTheme="minorBidi" w:hAnsiTheme="minorBidi"/>
          <w:b/>
          <w:bCs/>
          <w:sz w:val="32"/>
          <w:szCs w:val="32"/>
          <w:rtl/>
        </w:rPr>
        <w:t>(ذلك الوقت وبلغت ثلثه أو نصفه أو شيئاً منه فيُعطى ورثتها بقدر ما بلغت ذلك الوقت إن شاء الله)،</w:t>
      </w:r>
      <w:r w:rsidRPr="00F27422">
        <w:rPr>
          <w:rFonts w:asciiTheme="minorBidi" w:hAnsiTheme="minorBidi"/>
          <w:sz w:val="32"/>
          <w:szCs w:val="32"/>
          <w:rtl/>
        </w:rPr>
        <w:t xml:space="preserve"> حيث إنّ تحديد ما للورثة من الأُجرة بمقدار ما بلغ من الوقت لا أكثر يدل بالدلالة الالتزامية على أنّ الإجارة فضولية موقوفة على قرار الورثة بالإمضاء أو بالفسخ.</w:t>
      </w:r>
    </w:p>
    <w:p w14:paraId="30D935EB" w14:textId="3659A9C8"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والحاصل:</w:t>
      </w:r>
      <w:r w:rsidRPr="00F27422">
        <w:rPr>
          <w:rFonts w:asciiTheme="minorBidi" w:hAnsiTheme="minorBidi"/>
          <w:sz w:val="32"/>
          <w:szCs w:val="32"/>
          <w:rtl/>
        </w:rPr>
        <w:t xml:space="preserve"> أنّه إنْ ماتت قبل البد</w:t>
      </w:r>
      <w:r w:rsidR="000A3F38" w:rsidRPr="00F27422">
        <w:rPr>
          <w:rFonts w:asciiTheme="minorBidi" w:hAnsiTheme="minorBidi"/>
          <w:sz w:val="32"/>
          <w:szCs w:val="32"/>
          <w:rtl/>
        </w:rPr>
        <w:t>ء</w:t>
      </w:r>
      <w:r w:rsidRPr="00F27422">
        <w:rPr>
          <w:rFonts w:asciiTheme="minorBidi" w:hAnsiTheme="minorBidi"/>
          <w:sz w:val="32"/>
          <w:szCs w:val="32"/>
          <w:rtl/>
        </w:rPr>
        <w:t xml:space="preserve"> فلهم الخيار لكن ليس لهم شيء من الأجرة لو فسخوا، وإنْ ماتت بعد مدّة من وقت الإجارة فلهم السلطنة على الفسخ والإمضاء ويستحقون مقداراً من الأُجرة لو فسخوا.</w:t>
      </w:r>
    </w:p>
    <w:p w14:paraId="17F63597" w14:textId="77777777" w:rsidR="001000E7" w:rsidRPr="00F27422" w:rsidRDefault="001000E7" w:rsidP="00122B70">
      <w:pPr>
        <w:bidi/>
        <w:rPr>
          <w:rFonts w:asciiTheme="minorBidi" w:hAnsiTheme="minorBidi"/>
          <w:sz w:val="32"/>
          <w:szCs w:val="32"/>
          <w:rtl/>
        </w:rPr>
      </w:pPr>
      <w:r w:rsidRPr="00F27422">
        <w:rPr>
          <w:rFonts w:asciiTheme="minorBidi" w:hAnsiTheme="minorBidi"/>
          <w:sz w:val="32"/>
          <w:szCs w:val="32"/>
          <w:rtl/>
        </w:rPr>
        <w:t xml:space="preserve">وأما ما ذكره السيد الحكيم السبط (قدس سره الشريف) في كتابه [مصباح المنهاج، كتاب الإجارة، ص 229] من الإيراد على هذا الوجه من الإستدلال بقوله: </w:t>
      </w:r>
      <w:r w:rsidRPr="00F27422">
        <w:rPr>
          <w:rFonts w:asciiTheme="minorBidi" w:hAnsiTheme="minorBidi"/>
          <w:b/>
          <w:bCs/>
          <w:sz w:val="32"/>
          <w:szCs w:val="32"/>
          <w:rtl/>
        </w:rPr>
        <w:t xml:space="preserve">(وثانياً: لأن المفروض </w:t>
      </w:r>
      <w:r w:rsidRPr="00F27422">
        <w:rPr>
          <w:rFonts w:asciiTheme="minorBidi" w:hAnsiTheme="minorBidi"/>
          <w:b/>
          <w:bCs/>
          <w:sz w:val="32"/>
          <w:szCs w:val="32"/>
          <w:rtl/>
        </w:rPr>
        <w:lastRenderedPageBreak/>
        <w:t xml:space="preserve">في السؤال هو عدم بلوغ المدة) </w:t>
      </w:r>
      <w:r w:rsidRPr="00F27422">
        <w:rPr>
          <w:rFonts w:asciiTheme="minorBidi" w:hAnsiTheme="minorBidi"/>
          <w:sz w:val="32"/>
          <w:szCs w:val="32"/>
          <w:rtl/>
        </w:rPr>
        <w:t>أي مدّة الإجارة،</w:t>
      </w:r>
      <w:r w:rsidRPr="00F27422">
        <w:rPr>
          <w:rFonts w:asciiTheme="minorBidi" w:hAnsiTheme="minorBidi"/>
          <w:b/>
          <w:bCs/>
          <w:sz w:val="32"/>
          <w:szCs w:val="32"/>
          <w:rtl/>
        </w:rPr>
        <w:t xml:space="preserve"> (وموت المرأة في أثنائها. فلا حاجة للتعرض للبلوغ وعدمه في الجواب.)</w:t>
      </w:r>
      <w:r w:rsidRPr="00F27422">
        <w:rPr>
          <w:rFonts w:asciiTheme="minorBidi" w:hAnsiTheme="minorBidi"/>
          <w:sz w:val="32"/>
          <w:szCs w:val="32"/>
          <w:rtl/>
        </w:rPr>
        <w:t xml:space="preserve"> أي لا حاجة للتعرض لموت المرأة قبل بدء مدّة الإجارة وعدمه.</w:t>
      </w:r>
    </w:p>
    <w:p w14:paraId="5B72A4B1"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(وثالثاً: لأن السؤال عن انتقاض الإجارة بالموت يناسب الجواب بالنفي أو الإثبات من دون حاجة للتفصيل بهذا الوجه المعقد المطول.)</w:t>
      </w:r>
    </w:p>
    <w:p w14:paraId="5824F50A"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فهو محل تأمل؛</w:t>
      </w:r>
      <w:r w:rsidRPr="00F27422">
        <w:rPr>
          <w:rFonts w:asciiTheme="minorBidi" w:hAnsiTheme="minorBidi"/>
          <w:sz w:val="32"/>
          <w:szCs w:val="32"/>
          <w:rtl/>
        </w:rPr>
        <w:t xml:space="preserve"> باعتبار أنّ من المتعارف في كثيرٍ من الروايات أنْ يتعرض الإمام المعصوم (عليه السلام) لاستقصاء الفروض وأنْ يجيب على كلّ فرضٍ وإنْ كان مورد السؤال فرضاً محدداً، ولا يقتضي ذلك أنْ يكون التفصيل معقداً مطولاً، مع كونه مشتملاً على الفائدة وهو أنّه إنْ لم تبلغ شيئاً من المدّة فلا أجرة لهم إنْ فسخوا، وإنْ بلغت شيئاً من المدّة فلهم أُجرة إنْ فسخوا.</w:t>
      </w:r>
    </w:p>
    <w:p w14:paraId="1CD95933" w14:textId="77777777" w:rsidR="001000E7" w:rsidRPr="00F27422" w:rsidRDefault="001000E7" w:rsidP="00122B70">
      <w:pPr>
        <w:bidi/>
        <w:rPr>
          <w:rFonts w:asciiTheme="minorBidi" w:hAnsiTheme="minorBidi"/>
          <w:b/>
          <w:bCs/>
          <w:sz w:val="32"/>
          <w:szCs w:val="32"/>
          <w:rtl/>
        </w:rPr>
      </w:pPr>
      <w:r w:rsidRPr="00F27422">
        <w:rPr>
          <w:rFonts w:asciiTheme="minorBidi" w:hAnsiTheme="minorBidi"/>
          <w:b/>
          <w:bCs/>
          <w:sz w:val="32"/>
          <w:szCs w:val="32"/>
          <w:rtl/>
        </w:rPr>
        <w:t>ولكن مع ذلك يلاحظ على الاستدلال بهذا الوجه:</w:t>
      </w:r>
    </w:p>
    <w:p w14:paraId="593FC7D4"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أولاً:</w:t>
      </w:r>
      <w:r w:rsidRPr="00F27422">
        <w:rPr>
          <w:rFonts w:asciiTheme="minorBidi" w:hAnsiTheme="minorBidi"/>
          <w:sz w:val="32"/>
          <w:szCs w:val="32"/>
          <w:rtl/>
        </w:rPr>
        <w:t xml:space="preserve"> أنّه المناسب لنسخة "الواو" وهي نسخة التهذيب حيث جاء فيه: </w:t>
      </w:r>
      <w:r w:rsidRPr="00F27422">
        <w:rPr>
          <w:rFonts w:asciiTheme="minorBidi" w:hAnsiTheme="minorBidi"/>
          <w:b/>
          <w:bCs/>
          <w:sz w:val="32"/>
          <w:szCs w:val="32"/>
          <w:rtl/>
        </w:rPr>
        <w:t>(إن كان لها وقت مسمى لم تبلغه فماتت فلورثتها تلك الإجارة، وإن لم يبلغ ذلك الوقت وبلغت ثلثه أو نصفه أو شيئا منه فتعطى ورثتها بقدر ما بلغت من ذلك الوقت إن شاء الله).</w:t>
      </w:r>
      <w:r w:rsidRPr="00F27422">
        <w:rPr>
          <w:rFonts w:asciiTheme="minorBidi" w:hAnsiTheme="minorBidi"/>
          <w:sz w:val="32"/>
          <w:szCs w:val="32"/>
          <w:rtl/>
        </w:rPr>
        <w:t xml:space="preserve"> [تهذيب الأحكام، شيخ الطائفة الطوسي، دار الكتب الإسلامية، ج7، باب المزارعة، ح58].</w:t>
      </w:r>
    </w:p>
    <w:p w14:paraId="7EE1E2BC" w14:textId="77777777" w:rsidR="001000E7" w:rsidRPr="00F27422" w:rsidRDefault="001000E7" w:rsidP="00122B70">
      <w:pPr>
        <w:bidi/>
        <w:rPr>
          <w:rFonts w:asciiTheme="minorBidi" w:hAnsiTheme="minorBidi"/>
          <w:sz w:val="32"/>
          <w:szCs w:val="32"/>
          <w:rtl/>
        </w:rPr>
      </w:pPr>
      <w:r w:rsidRPr="00F27422">
        <w:rPr>
          <w:rFonts w:asciiTheme="minorBidi" w:hAnsiTheme="minorBidi"/>
          <w:sz w:val="32"/>
          <w:szCs w:val="32"/>
          <w:rtl/>
        </w:rPr>
        <w:t>حيث إنّ مقتضى ظهور التعبير بـ "الواو" أنّ الجملتين شرطيتان متقابلتان.</w:t>
      </w:r>
    </w:p>
    <w:p w14:paraId="3AC43484" w14:textId="77777777" w:rsidR="001000E7" w:rsidRPr="00F27422" w:rsidRDefault="001000E7" w:rsidP="00122B70">
      <w:pPr>
        <w:bidi/>
        <w:rPr>
          <w:rFonts w:asciiTheme="minorBidi" w:hAnsiTheme="minorBidi"/>
          <w:sz w:val="32"/>
          <w:szCs w:val="32"/>
          <w:rtl/>
        </w:rPr>
      </w:pPr>
      <w:r w:rsidRPr="00F27422">
        <w:rPr>
          <w:rFonts w:asciiTheme="minorBidi" w:hAnsiTheme="minorBidi"/>
          <w:sz w:val="32"/>
          <w:szCs w:val="32"/>
          <w:rtl/>
        </w:rPr>
        <w:t xml:space="preserve">بينما ما في نسخة الكافي هو "الفاء" حيث جاء فيه: </w:t>
      </w:r>
      <w:r w:rsidRPr="00F27422">
        <w:rPr>
          <w:rFonts w:asciiTheme="minorBidi" w:hAnsiTheme="minorBidi"/>
          <w:b/>
          <w:bCs/>
          <w:sz w:val="32"/>
          <w:szCs w:val="32"/>
          <w:rtl/>
        </w:rPr>
        <w:t>(إن كان لها وقتٌ مسمى لم يبلُغ فماتت فلورثتها تلك الإجارة فإن لم تبلُغ ذلك الوقت وبلغت ثلثه أو نصفه أو شيئاً منه فيُعطى ورثتها بقدر ما بلغت ذلك الوقت إن شاء الله).</w:t>
      </w:r>
      <w:r w:rsidRPr="00F27422">
        <w:rPr>
          <w:rFonts w:asciiTheme="minorBidi" w:hAnsiTheme="minorBidi"/>
          <w:sz w:val="32"/>
          <w:szCs w:val="32"/>
          <w:rtl/>
        </w:rPr>
        <w:t xml:space="preserve"> [الكافي، دار الكتب الإسلامية، ج5، كتاب المعيشة، باب من يؤاجر أرضاً ثمّ يبيعها قبل انقضاء الأجل أو يموت فتورث الأرض قبل انقضاء الأجل، ح2].</w:t>
      </w:r>
    </w:p>
    <w:p w14:paraId="141F8D4A" w14:textId="77777777" w:rsidR="001000E7" w:rsidRPr="00F27422" w:rsidRDefault="001000E7" w:rsidP="00122B70">
      <w:pPr>
        <w:bidi/>
        <w:rPr>
          <w:rFonts w:asciiTheme="minorBidi" w:hAnsiTheme="minorBidi"/>
          <w:sz w:val="32"/>
          <w:szCs w:val="32"/>
          <w:rtl/>
        </w:rPr>
      </w:pPr>
      <w:r w:rsidRPr="00F27422">
        <w:rPr>
          <w:rFonts w:asciiTheme="minorBidi" w:hAnsiTheme="minorBidi"/>
          <w:sz w:val="32"/>
          <w:szCs w:val="32"/>
          <w:rtl/>
        </w:rPr>
        <w:t>وظاهر التعبير بـ "الفاء" أنّ الجملة الثانية متفرعةٌ على مدلول الجملة الأُولى، لا أنّها شرطية مقابلةٌ لها.</w:t>
      </w:r>
    </w:p>
    <w:p w14:paraId="197C017D"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t>وثانياً:</w:t>
      </w:r>
      <w:r w:rsidRPr="00F27422">
        <w:rPr>
          <w:rFonts w:asciiTheme="minorBidi" w:hAnsiTheme="minorBidi"/>
          <w:sz w:val="32"/>
          <w:szCs w:val="32"/>
          <w:rtl/>
        </w:rPr>
        <w:t xml:space="preserve"> إنّ التعرض في الشرطية الأُولى لفرضٍ لم يذكره السائل وتعليق سلطنة الورثة على إنفاذ الإجارة عليه مع أنّ لهم السلطنة على كلا الفرضين، بلحاظ أنّ الإجارة بعد الموت فضولية وأنّها تتوقف على إجازة الورثة على كلّ حالٍ، فلا فرق بين الفرضين في أنّها ماتت قبل مبدأ الإجارة أو ماتت في أثنائها، فتعليق أنّ لهم السلطنة على الفرض الأوّل غيرُ عرفي.</w:t>
      </w:r>
    </w:p>
    <w:p w14:paraId="4551D554" w14:textId="77777777" w:rsidR="001000E7" w:rsidRPr="00F27422" w:rsidRDefault="001000E7" w:rsidP="00122B70">
      <w:pPr>
        <w:bidi/>
        <w:rPr>
          <w:rFonts w:asciiTheme="minorBidi" w:hAnsiTheme="minorBidi"/>
          <w:sz w:val="32"/>
          <w:szCs w:val="32"/>
          <w:rtl/>
        </w:rPr>
      </w:pPr>
      <w:r w:rsidRPr="00F27422">
        <w:rPr>
          <w:rFonts w:asciiTheme="minorBidi" w:hAnsiTheme="minorBidi"/>
          <w:b/>
          <w:bCs/>
          <w:sz w:val="32"/>
          <w:szCs w:val="32"/>
          <w:rtl/>
        </w:rPr>
        <w:lastRenderedPageBreak/>
        <w:t xml:space="preserve">مضافاً إلى ذلك: </w:t>
      </w:r>
      <w:r w:rsidRPr="00F27422">
        <w:rPr>
          <w:rFonts w:asciiTheme="minorBidi" w:hAnsiTheme="minorBidi"/>
          <w:sz w:val="32"/>
          <w:szCs w:val="32"/>
          <w:rtl/>
        </w:rPr>
        <w:t xml:space="preserve">إجمال "اللام" في قوله (عليه السلام): </w:t>
      </w:r>
      <w:r w:rsidRPr="00F27422">
        <w:rPr>
          <w:rFonts w:asciiTheme="minorBidi" w:hAnsiTheme="minorBidi"/>
          <w:b/>
          <w:bCs/>
          <w:sz w:val="32"/>
          <w:szCs w:val="32"/>
          <w:rtl/>
        </w:rPr>
        <w:t>(فلورثتها تلك الإجارة)</w:t>
      </w:r>
      <w:r w:rsidRPr="00F27422">
        <w:rPr>
          <w:rFonts w:asciiTheme="minorBidi" w:hAnsiTheme="minorBidi"/>
          <w:sz w:val="32"/>
          <w:szCs w:val="32"/>
          <w:rtl/>
        </w:rPr>
        <w:t>.</w:t>
      </w:r>
    </w:p>
    <w:p w14:paraId="6F71C4D7" w14:textId="77777777" w:rsidR="001000E7" w:rsidRPr="00F27422" w:rsidRDefault="001000E7" w:rsidP="00122B70">
      <w:pPr>
        <w:bidi/>
        <w:rPr>
          <w:rFonts w:asciiTheme="minorBidi" w:hAnsiTheme="minorBidi"/>
          <w:sz w:val="32"/>
          <w:szCs w:val="32"/>
          <w:rtl/>
        </w:rPr>
      </w:pPr>
      <w:r w:rsidRPr="00F27422">
        <w:rPr>
          <w:rFonts w:asciiTheme="minorBidi" w:hAnsiTheme="minorBidi"/>
          <w:sz w:val="32"/>
          <w:szCs w:val="32"/>
          <w:rtl/>
        </w:rPr>
        <w:t>فإنّ اللام لغةً ليس لها عدّة معانٍ؛ وإنّما هي بمعنى الاختصاص، غاية ما في الأمر أنّ الاختصاص له مصاديقٌ وتحديد مصداقه في كلّ موردٍ بالقرائن السياقية.</w:t>
      </w:r>
    </w:p>
    <w:p w14:paraId="7A995753" w14:textId="77777777" w:rsidR="001000E7" w:rsidRPr="00F27422" w:rsidRDefault="001000E7" w:rsidP="00122B70">
      <w:pPr>
        <w:bidi/>
        <w:rPr>
          <w:rFonts w:asciiTheme="minorBidi" w:hAnsiTheme="minorBidi"/>
          <w:sz w:val="32"/>
          <w:szCs w:val="32"/>
          <w:rtl/>
        </w:rPr>
      </w:pPr>
      <w:r w:rsidRPr="00F27422">
        <w:rPr>
          <w:rFonts w:asciiTheme="minorBidi" w:hAnsiTheme="minorBidi"/>
          <w:sz w:val="32"/>
          <w:szCs w:val="32"/>
          <w:rtl/>
        </w:rPr>
        <w:t>فهل أنّ المصداق لـ "اللام" في الجواب هو لام الانتفاع؟ وهذا يعني صحّة الإجارة، أي كما كانت الإجارة لها فهي لورثتها.</w:t>
      </w:r>
    </w:p>
    <w:p w14:paraId="67B808A8" w14:textId="77777777" w:rsidR="001000E7" w:rsidRPr="00F27422" w:rsidRDefault="001000E7" w:rsidP="00122B70">
      <w:pPr>
        <w:bidi/>
        <w:rPr>
          <w:rFonts w:asciiTheme="minorBidi" w:hAnsiTheme="minorBidi"/>
          <w:sz w:val="32"/>
          <w:szCs w:val="32"/>
          <w:rtl/>
        </w:rPr>
      </w:pPr>
      <w:r w:rsidRPr="00F27422">
        <w:rPr>
          <w:rFonts w:asciiTheme="minorBidi" w:hAnsiTheme="minorBidi"/>
          <w:sz w:val="32"/>
          <w:szCs w:val="32"/>
          <w:rtl/>
        </w:rPr>
        <w:t xml:space="preserve">أو أنّ المصداق المتعين بمقتضى القرائن في المقام هو السلطنة؟ وهذا يعني أنّ قوله (عليه السلام): </w:t>
      </w:r>
      <w:r w:rsidRPr="00F27422">
        <w:rPr>
          <w:rFonts w:asciiTheme="minorBidi" w:hAnsiTheme="minorBidi"/>
          <w:b/>
          <w:bCs/>
          <w:sz w:val="32"/>
          <w:szCs w:val="32"/>
          <w:rtl/>
        </w:rPr>
        <w:t>(فلورثتها تلك الإجارة)</w:t>
      </w:r>
      <w:r w:rsidRPr="00F27422">
        <w:rPr>
          <w:rFonts w:asciiTheme="minorBidi" w:hAnsiTheme="minorBidi"/>
          <w:sz w:val="32"/>
          <w:szCs w:val="32"/>
          <w:rtl/>
        </w:rPr>
        <w:t xml:space="preserve"> أنّ لورثتها السلطنة على الإجارة بالإمضاء أو بالفسخ.</w:t>
      </w:r>
    </w:p>
    <w:p w14:paraId="1A30F877" w14:textId="77777777" w:rsidR="001000E7" w:rsidRPr="00F27422" w:rsidRDefault="001000E7" w:rsidP="00122B70">
      <w:pPr>
        <w:bidi/>
        <w:rPr>
          <w:rFonts w:asciiTheme="minorBidi" w:hAnsiTheme="minorBidi"/>
          <w:sz w:val="32"/>
          <w:szCs w:val="32"/>
          <w:rtl/>
        </w:rPr>
      </w:pPr>
      <w:r w:rsidRPr="00F27422">
        <w:rPr>
          <w:rFonts w:asciiTheme="minorBidi" w:hAnsiTheme="minorBidi"/>
          <w:sz w:val="32"/>
          <w:szCs w:val="32"/>
          <w:rtl/>
        </w:rPr>
        <w:t>فتحديد أيٍّ من المصداقين للاختصاص في المقام يفتقر إلى القرائن السياقية، ولا قرينة على تحديد أيٍّ منهما.</w:t>
      </w:r>
    </w:p>
    <w:p w14:paraId="63B8A221" w14:textId="77777777" w:rsidR="001000E7" w:rsidRPr="00F27422" w:rsidRDefault="001000E7" w:rsidP="00122B70">
      <w:pPr>
        <w:bidi/>
        <w:rPr>
          <w:rFonts w:asciiTheme="minorBidi" w:hAnsiTheme="minorBidi"/>
          <w:sz w:val="32"/>
          <w:szCs w:val="32"/>
          <w:rtl/>
        </w:rPr>
      </w:pPr>
    </w:p>
    <w:p w14:paraId="3D30AEF8" w14:textId="77777777" w:rsidR="001000E7" w:rsidRPr="00F27422" w:rsidRDefault="001000E7"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54C97C6C" w14:textId="0757A837" w:rsidR="002F745C" w:rsidRPr="00F27422" w:rsidRDefault="008E1741"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027</w:t>
      </w:r>
    </w:p>
    <w:p w14:paraId="7F72D085" w14:textId="77777777" w:rsidR="004048E3" w:rsidRPr="00F27422" w:rsidRDefault="004048E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بسم الله الرحمن الرحيم</w:t>
      </w:r>
    </w:p>
    <w:p w14:paraId="72B667F6" w14:textId="77777777" w:rsidR="004048E3" w:rsidRPr="00F27422" w:rsidRDefault="004048E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والصلاة والسلام على أشرف الأنبياء والمرسلين، محمد وآله الطيبين الطاهرين</w:t>
      </w:r>
    </w:p>
    <w:p w14:paraId="5ABF4D10"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واللعن الدائم على أعدائهم أجمعين إلى قيام يوم الدين</w:t>
      </w:r>
    </w:p>
    <w:p w14:paraId="77FC5306" w14:textId="77777777" w:rsidR="004048E3" w:rsidRPr="00F27422" w:rsidRDefault="004048E3" w:rsidP="00122B70">
      <w:pPr>
        <w:pStyle w:val="a"/>
        <w:bidi/>
        <w:spacing w:line="216" w:lineRule="auto"/>
        <w:jc w:val="left"/>
        <w:rPr>
          <w:rFonts w:asciiTheme="minorBidi" w:hAnsiTheme="minorBidi" w:cstheme="minorBidi"/>
          <w:sz w:val="32"/>
          <w:rtl/>
          <w:lang w:bidi="ar-BH"/>
        </w:rPr>
      </w:pPr>
    </w:p>
    <w:p w14:paraId="260A02D2"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الوجه الثالث:</w:t>
      </w:r>
      <w:r w:rsidRPr="00F27422">
        <w:rPr>
          <w:rFonts w:asciiTheme="minorBidi" w:hAnsiTheme="minorBidi" w:cstheme="minorBidi"/>
          <w:sz w:val="32"/>
          <w:rtl/>
        </w:rPr>
        <w:t xml:space="preserve"> - من وجوه الاستدلال بالرواية على بطلان الإجارة - ما يبتني على نسخة "الفاء" في الشرطية الثانية</w:t>
      </w:r>
      <w:r w:rsidRPr="00F27422">
        <w:rPr>
          <w:rFonts w:asciiTheme="minorBidi" w:hAnsiTheme="minorBidi" w:cstheme="minorBidi"/>
          <w:sz w:val="32"/>
        </w:rPr>
        <w:t>.</w:t>
      </w:r>
    </w:p>
    <w:p w14:paraId="691AECA8"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ومقتضى ذلك:</w:t>
      </w:r>
      <w:r w:rsidRPr="00F27422">
        <w:rPr>
          <w:rFonts w:asciiTheme="minorBidi" w:hAnsiTheme="minorBidi" w:cstheme="minorBidi"/>
          <w:sz w:val="32"/>
          <w:rtl/>
        </w:rPr>
        <w:t xml:space="preserve"> أنّ تكون الشرطية الثانية تفريعاً على الأولى وليست مقابلاً لها، وكلتاهما ناظرتان لما فرض في السؤال من عدم إدراك المرأة مدّة الإجارة وأنّها ماتت في الأثناء، فأجاب (عليه السلام) في الشرطية الأُولى بأنّه حيث لم تبلُغ المرأة مدّة الإجارة فللورثة الإجارة بمعنى أنّ للورثة القرار في الإجارة بالفسخ أو الإمضاء، ويتفرعُ على ذلك أنّ للورثة من الأُجرة بمقدار ما بلغتْ، على نحو  العقد السلبي - لا العقد الإيجابي - أي أنّه في مقام بيان عدم استحقاق الورثة من الأُجرة بأكثر مما بلغتْ، لا بيان مجرد استحقاقهم مقدار ما بلغتْ، وحيث كانت الشرطية الثانية ناظرة للعقد السلبي كان مقتضى ذلك دلالة الرواية على فساد الإجارة بمعنى انفساخها، وإلّا لا معنى لبيان أنْ لا استحقاق للورثة من الأُجرة بأكثر مما بلغتْ مع فرض نفوذ الإجارة</w:t>
      </w:r>
      <w:r w:rsidRPr="00F27422">
        <w:rPr>
          <w:rFonts w:asciiTheme="minorBidi" w:hAnsiTheme="minorBidi" w:cstheme="minorBidi"/>
          <w:sz w:val="32"/>
        </w:rPr>
        <w:t>.</w:t>
      </w:r>
    </w:p>
    <w:p w14:paraId="48F5D5FA"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ولكن يلاحظ على كلا الوجهين الثاني والثالث:</w:t>
      </w:r>
      <w:r w:rsidRPr="00F27422">
        <w:rPr>
          <w:rFonts w:asciiTheme="minorBidi" w:hAnsiTheme="minorBidi" w:cstheme="minorBidi"/>
          <w:sz w:val="32"/>
          <w:rtl/>
        </w:rPr>
        <w:t xml:space="preserve"> أنّ هناك فرقاً بين مدّة الإجارة - وهي عشر سنوات - وبين الوقت المضروب  لدفع الأُجرة، حيث تضمن السؤال أنّ المُستأجر اشترط على المؤجّر أنْ لا دفع للأُجرة في أيّ سنة إلّا بعد انقضاء السنة، فالمنظور في الوقت في قول الراوي في السؤال: </w:t>
      </w:r>
      <w:r w:rsidRPr="00F27422">
        <w:rPr>
          <w:rFonts w:asciiTheme="minorBidi" w:hAnsiTheme="minorBidi" w:cstheme="minorBidi"/>
          <w:b/>
          <w:bCs/>
          <w:sz w:val="32"/>
          <w:rtl/>
        </w:rPr>
        <w:t>(لا يُقدَّمُ لها شيءٌ من الأُجرة ما لم يمضِ الوقت)</w:t>
      </w:r>
      <w:r w:rsidRPr="00F27422">
        <w:rPr>
          <w:rFonts w:asciiTheme="minorBidi" w:hAnsiTheme="minorBidi" w:cstheme="minorBidi"/>
          <w:sz w:val="32"/>
          <w:rtl/>
        </w:rPr>
        <w:t xml:space="preserve"> وقول الإمام (عليه السلام) في الجواب: </w:t>
      </w:r>
      <w:r w:rsidRPr="00F27422">
        <w:rPr>
          <w:rFonts w:asciiTheme="minorBidi" w:hAnsiTheme="minorBidi" w:cstheme="minorBidi"/>
          <w:b/>
          <w:bCs/>
          <w:sz w:val="32"/>
          <w:rtl/>
        </w:rPr>
        <w:t xml:space="preserve">(إن كان لها وقتٌ مسمى لم يبلُغ فماتت فلورثتها تلك الإجارة فإن </w:t>
      </w:r>
      <w:r w:rsidRPr="00F27422">
        <w:rPr>
          <w:rFonts w:asciiTheme="minorBidi" w:hAnsiTheme="minorBidi" w:cstheme="minorBidi"/>
          <w:b/>
          <w:bCs/>
          <w:sz w:val="32"/>
          <w:rtl/>
        </w:rPr>
        <w:lastRenderedPageBreak/>
        <w:t>لم تبلُغ ذلك الوقت وبلغت ثلثه أو نصفه أو شيئاً منه)</w:t>
      </w:r>
      <w:r w:rsidRPr="00F27422">
        <w:rPr>
          <w:rFonts w:asciiTheme="minorBidi" w:hAnsiTheme="minorBidi" w:cstheme="minorBidi"/>
          <w:sz w:val="32"/>
          <w:rtl/>
        </w:rPr>
        <w:t xml:space="preserve"> هل هو وقت الإجارة أو وقت دفع الأُجرة الذي هو مقتضى الشرط كما تضمنه السؤال؟</w:t>
      </w:r>
    </w:p>
    <w:p w14:paraId="1A1EB5B5"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 xml:space="preserve">لا يبعد أنْ يقال: </w:t>
      </w:r>
      <w:r w:rsidRPr="00F27422">
        <w:rPr>
          <w:rFonts w:asciiTheme="minorBidi" w:hAnsiTheme="minorBidi" w:cstheme="minorBidi"/>
          <w:sz w:val="32"/>
          <w:rtl/>
        </w:rPr>
        <w:t>إنّ حمل الوقت في السؤال والجواب على وقت الإجارة حملٌ غير عرفي؛ فإنّ ظاهر السؤال والجواب أنّ المنظور في الوقت هو وقت دفع الأُجرة - لا وقت الإجارة -؛ إذ من المعلوم أنّ الإجارة لا تقع إلّا بمدّة فلا معنى لتعرض الجواب من قبل الإمام (عليه السلام) لذلك مع أنّه لا إجارة تقع إلّا بتحديد المدّة</w:t>
      </w:r>
      <w:r w:rsidRPr="00F27422">
        <w:rPr>
          <w:rFonts w:asciiTheme="minorBidi" w:hAnsiTheme="minorBidi" w:cstheme="minorBidi"/>
          <w:sz w:val="32"/>
        </w:rPr>
        <w:t>.</w:t>
      </w:r>
    </w:p>
    <w:p w14:paraId="272DAB16"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sz w:val="32"/>
          <w:rtl/>
        </w:rPr>
        <w:t>فلا يصح التشقيق بين الشرطيتين بلحاظ مدّة الإجارة؛ وإنّما الوقت الذي يصح التشقيق بلحاظه هو وقت دفع الأُجرة الذي قد يقع في بعض الإجارات وقد لا يقع</w:t>
      </w:r>
      <w:r w:rsidRPr="00F27422">
        <w:rPr>
          <w:rFonts w:asciiTheme="minorBidi" w:hAnsiTheme="minorBidi" w:cstheme="minorBidi"/>
          <w:sz w:val="32"/>
        </w:rPr>
        <w:t>.</w:t>
      </w:r>
    </w:p>
    <w:p w14:paraId="1E0925AA" w14:textId="77777777" w:rsidR="004048E3" w:rsidRPr="00F27422" w:rsidRDefault="004048E3"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كما يلاحظ على الوجه الثالث:</w:t>
      </w:r>
      <w:r w:rsidRPr="00F27422">
        <w:rPr>
          <w:rFonts w:asciiTheme="minorBidi" w:hAnsiTheme="minorBidi" w:cstheme="minorBidi"/>
          <w:sz w:val="32"/>
          <w:rtl/>
        </w:rPr>
        <w:t xml:space="preserve"> أنّه لو كان مفاد الشرطية الأولى أنّ الإجارة فضولية عند عدم </w:t>
      </w:r>
      <w:proofErr w:type="gramStart"/>
      <w:r w:rsidRPr="00F27422">
        <w:rPr>
          <w:rFonts w:asciiTheme="minorBidi" w:hAnsiTheme="minorBidi" w:cstheme="minorBidi"/>
          <w:sz w:val="32"/>
          <w:rtl/>
        </w:rPr>
        <w:t>بلوغ  المرأة</w:t>
      </w:r>
      <w:proofErr w:type="gramEnd"/>
      <w:r w:rsidRPr="00F27422">
        <w:rPr>
          <w:rFonts w:asciiTheme="minorBidi" w:hAnsiTheme="minorBidi" w:cstheme="minorBidi"/>
          <w:sz w:val="32"/>
          <w:rtl/>
        </w:rPr>
        <w:t xml:space="preserve"> الوقت المحدد للإجارة، وهذا المفاد متضمن لبلوغ المرأة شيئاً من الوقت خصوصاً مع تعرض السؤال لذلك صريحاً، فالمناسب في الفقرة الثانية بلحاظ كونها تفريعاً على الأولى عدم استخدام أداة الشرط ولو مع وجود "فاء التفريع"، وبيان أنّ الورثة إنْ اختاروا الفسخ فليس لهم من الأُجرة إلّا بمقدار ما بلغتْ من الوقت، لا ذكر الشرط المتضمن لبلوغها شيئاً من الوقت ثلثه أو نصفه.</w:t>
      </w:r>
    </w:p>
    <w:p w14:paraId="5FF6A6D9"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sz w:val="32"/>
          <w:rtl/>
        </w:rPr>
        <w:t>فالوجه المذكور غيرُ منسجمٍ مع عبارة الرواية</w:t>
      </w:r>
      <w:r w:rsidRPr="00F27422">
        <w:rPr>
          <w:rFonts w:asciiTheme="minorBidi" w:hAnsiTheme="minorBidi" w:cstheme="minorBidi"/>
          <w:sz w:val="32"/>
        </w:rPr>
        <w:t>.</w:t>
      </w:r>
    </w:p>
    <w:p w14:paraId="146BC699"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sz w:val="32"/>
          <w:rtl/>
        </w:rPr>
        <w:t>هذا تمام الكلام في القول الأوّل وهو الاستدلال بالرواية على بطلان الإجارة بوجوه ثلاثة، وقد اتضح التأمل في جميع الوجوه</w:t>
      </w:r>
      <w:r w:rsidRPr="00F27422">
        <w:rPr>
          <w:rFonts w:asciiTheme="minorBidi" w:hAnsiTheme="minorBidi" w:cstheme="minorBidi"/>
          <w:sz w:val="32"/>
        </w:rPr>
        <w:t>.</w:t>
      </w:r>
    </w:p>
    <w:p w14:paraId="05AEA76A" w14:textId="77777777" w:rsidR="004048E3" w:rsidRPr="00F27422" w:rsidRDefault="004048E3" w:rsidP="00122B70">
      <w:pPr>
        <w:pStyle w:val="a"/>
        <w:bidi/>
        <w:spacing w:line="216" w:lineRule="auto"/>
        <w:jc w:val="left"/>
        <w:rPr>
          <w:rFonts w:asciiTheme="minorBidi" w:hAnsiTheme="minorBidi" w:cstheme="minorBidi"/>
          <w:b/>
          <w:bCs/>
          <w:sz w:val="32"/>
          <w:rtl/>
          <w:lang w:bidi="ar-BH"/>
        </w:rPr>
      </w:pPr>
      <w:r w:rsidRPr="00F27422">
        <w:rPr>
          <w:rFonts w:asciiTheme="minorBidi" w:hAnsiTheme="minorBidi" w:cstheme="minorBidi"/>
          <w:b/>
          <w:bCs/>
          <w:sz w:val="32"/>
          <w:rtl/>
        </w:rPr>
        <w:t xml:space="preserve">القول الثاني: دلالة الرواية على صحّة الإجارة بموت </w:t>
      </w:r>
      <w:proofErr w:type="spellStart"/>
      <w:r w:rsidRPr="00F27422">
        <w:rPr>
          <w:rFonts w:asciiTheme="minorBidi" w:hAnsiTheme="minorBidi" w:cstheme="minorBidi"/>
          <w:b/>
          <w:bCs/>
          <w:sz w:val="32"/>
          <w:rtl/>
        </w:rPr>
        <w:t>الموجّر</w:t>
      </w:r>
      <w:proofErr w:type="spellEnd"/>
      <w:r w:rsidRPr="00F27422">
        <w:rPr>
          <w:rFonts w:asciiTheme="minorBidi" w:hAnsiTheme="minorBidi" w:cstheme="minorBidi"/>
          <w:b/>
          <w:bCs/>
          <w:sz w:val="32"/>
        </w:rPr>
        <w:t>.</w:t>
      </w:r>
    </w:p>
    <w:p w14:paraId="18593A18"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sz w:val="32"/>
          <w:rtl/>
        </w:rPr>
        <w:t>وإثبات الصحّة لا حاجة فيه إلى الاستناد للرواية؛ لأنّه مقتضى العمومات</w:t>
      </w:r>
      <w:r w:rsidRPr="00F27422">
        <w:rPr>
          <w:rFonts w:asciiTheme="minorBidi" w:hAnsiTheme="minorBidi" w:cstheme="minorBidi"/>
          <w:sz w:val="32"/>
        </w:rPr>
        <w:t>.</w:t>
      </w:r>
    </w:p>
    <w:p w14:paraId="3216611E"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sz w:val="32"/>
          <w:rtl/>
        </w:rPr>
        <w:t xml:space="preserve">ولكن لو تأمل فقيهٌ في التمسك بالعمومات ولو لأنّ العمومات كقوله تبارك وتعالى: </w:t>
      </w:r>
      <w:r w:rsidRPr="00F27422">
        <w:rPr>
          <w:rFonts w:asciiTheme="minorBidi" w:hAnsiTheme="minorBidi" w:cstheme="minorBidi"/>
          <w:b/>
          <w:bCs/>
          <w:sz w:val="32"/>
          <w:rtl/>
        </w:rPr>
        <w:t xml:space="preserve">(يَا أَيُّهَا الَّذِينَ آمَنُوا أَوْفُوا بِالْعُقُودِ) </w:t>
      </w:r>
      <w:r w:rsidRPr="00F27422">
        <w:rPr>
          <w:rFonts w:asciiTheme="minorBidi" w:hAnsiTheme="minorBidi" w:cstheme="minorBidi"/>
          <w:sz w:val="32"/>
          <w:rtl/>
        </w:rPr>
        <w:t xml:space="preserve">[المائدة، 1]، وقوله سبحانه: </w:t>
      </w:r>
      <w:r w:rsidRPr="00F27422">
        <w:rPr>
          <w:rFonts w:asciiTheme="minorBidi" w:hAnsiTheme="minorBidi" w:cstheme="minorBidi"/>
          <w:b/>
          <w:bCs/>
          <w:sz w:val="32"/>
          <w:rtl/>
        </w:rPr>
        <w:t>(يَا أَيُّهَا الَّذِينَ آمَنُوا لَا تَأْكُلُوا أَمْوَالَكُم بَيْنَكُم بِالْبَاطِلِ إِلَّا أَن تَكُونَ تِجَارَةً عَن تَرَاضٍ مِّنكُمْ)</w:t>
      </w:r>
      <w:r w:rsidRPr="00F27422">
        <w:rPr>
          <w:rFonts w:asciiTheme="minorBidi" w:hAnsiTheme="minorBidi" w:cstheme="minorBidi"/>
          <w:sz w:val="32"/>
          <w:rtl/>
        </w:rPr>
        <w:t xml:space="preserve"> [النساء، 29] ليست في مقام بيان التفاصيل؛ وإنّما هي في مقام بيان أصل النفوذ فلا يصح الرجوع إليها عند الشك في صحّة العقد نتيجةً لطرو بعض الملابسات، فيصح حينئذٍ الاستناد للرواية في إثبات صحّة الإجارة في محل الكلام</w:t>
      </w:r>
      <w:r w:rsidRPr="00F27422">
        <w:rPr>
          <w:rFonts w:asciiTheme="minorBidi" w:hAnsiTheme="minorBidi" w:cstheme="minorBidi"/>
          <w:sz w:val="32"/>
        </w:rPr>
        <w:t>.</w:t>
      </w:r>
    </w:p>
    <w:p w14:paraId="1F9890CB" w14:textId="77777777" w:rsidR="004048E3" w:rsidRPr="00F27422" w:rsidRDefault="004048E3" w:rsidP="00122B70">
      <w:pPr>
        <w:pStyle w:val="a"/>
        <w:bidi/>
        <w:spacing w:line="216" w:lineRule="auto"/>
        <w:jc w:val="left"/>
        <w:rPr>
          <w:rFonts w:asciiTheme="minorBidi" w:hAnsiTheme="minorBidi" w:cstheme="minorBidi"/>
          <w:b/>
          <w:bCs/>
          <w:sz w:val="32"/>
          <w:rtl/>
          <w:lang w:bidi="ar-BH"/>
        </w:rPr>
      </w:pPr>
      <w:r w:rsidRPr="00F27422">
        <w:rPr>
          <w:rFonts w:asciiTheme="minorBidi" w:hAnsiTheme="minorBidi" w:cstheme="minorBidi"/>
          <w:b/>
          <w:bCs/>
          <w:sz w:val="32"/>
          <w:rtl/>
        </w:rPr>
        <w:t>والاستدلال بالرواية على إثبات الصحّة بأحد وجوه</w:t>
      </w:r>
      <w:r w:rsidRPr="00F27422">
        <w:rPr>
          <w:rFonts w:asciiTheme="minorBidi" w:hAnsiTheme="minorBidi" w:cstheme="minorBidi"/>
          <w:b/>
          <w:bCs/>
          <w:sz w:val="32"/>
        </w:rPr>
        <w:t>:</w:t>
      </w:r>
    </w:p>
    <w:p w14:paraId="3AF78DDE"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الوجه الأوّل:</w:t>
      </w:r>
      <w:r w:rsidRPr="00F27422">
        <w:rPr>
          <w:rFonts w:asciiTheme="minorBidi" w:hAnsiTheme="minorBidi" w:cstheme="minorBidi"/>
          <w:sz w:val="32"/>
          <w:rtl/>
        </w:rPr>
        <w:t xml:space="preserve"> ما أشار إليه المحقق الأصفهاني (قدس سره الشريف) في كتابه [الإجارة، تأليف الشيخ الأصفهاني، مؤسسة النشر الإسلامي التابعة لجماعة المدرسين بقم المشرفة، ص22]</w:t>
      </w:r>
      <w:r w:rsidRPr="00F27422">
        <w:rPr>
          <w:rFonts w:asciiTheme="minorBidi" w:hAnsiTheme="minorBidi" w:cstheme="minorBidi"/>
          <w:sz w:val="32"/>
        </w:rPr>
        <w:t>.</w:t>
      </w:r>
    </w:p>
    <w:p w14:paraId="460A5A7C"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sz w:val="32"/>
          <w:rtl/>
        </w:rPr>
        <w:t xml:space="preserve">من أنّ المراد بالوقت هو مدّة الإجارة وأنّ المراد بـ "اللام" لام الاختصاص بمعنى الانتفاع، وأنّ المراد بقوله (عليه السلام): </w:t>
      </w:r>
      <w:r w:rsidRPr="00F27422">
        <w:rPr>
          <w:rFonts w:asciiTheme="minorBidi" w:hAnsiTheme="minorBidi" w:cstheme="minorBidi"/>
          <w:b/>
          <w:bCs/>
          <w:sz w:val="32"/>
          <w:rtl/>
        </w:rPr>
        <w:t>(فيُعطى ورثتها بقدر ما بلغت ذلك الوقت)</w:t>
      </w:r>
      <w:r w:rsidRPr="00F27422">
        <w:rPr>
          <w:rFonts w:asciiTheme="minorBidi" w:hAnsiTheme="minorBidi" w:cstheme="minorBidi"/>
          <w:sz w:val="32"/>
          <w:rtl/>
        </w:rPr>
        <w:t xml:space="preserve"> العمل بالشرط الذي ذُكر في ضمن عقد الإجارة، لا من باب بيان العقد السلبي؛ بل من باب بيان أنّه حيث اشترط في الإجارة أنْ لا دفع للأُجرة إلّا عند انقضاء السنة فعلى الورثة العمل بالشرط وتنفيذه</w:t>
      </w:r>
      <w:r w:rsidRPr="00F27422">
        <w:rPr>
          <w:rFonts w:asciiTheme="minorBidi" w:hAnsiTheme="minorBidi" w:cstheme="minorBidi"/>
          <w:sz w:val="32"/>
        </w:rPr>
        <w:t>.</w:t>
      </w:r>
    </w:p>
    <w:p w14:paraId="163E22E9" w14:textId="77777777" w:rsidR="004048E3" w:rsidRPr="00F27422" w:rsidRDefault="004048E3"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والحاصل من معنى الرواية:</w:t>
      </w:r>
      <w:r w:rsidRPr="00F27422">
        <w:rPr>
          <w:rFonts w:asciiTheme="minorBidi" w:hAnsiTheme="minorBidi" w:cstheme="minorBidi"/>
          <w:sz w:val="32"/>
          <w:rtl/>
        </w:rPr>
        <w:t xml:space="preserve"> أنّ صحّة الإجارة منوطةٌ بتحديد مدّة، وهو مفاد قوله (عليه السلام): </w:t>
      </w:r>
      <w:r w:rsidRPr="00F27422">
        <w:rPr>
          <w:rFonts w:asciiTheme="minorBidi" w:hAnsiTheme="minorBidi" w:cstheme="minorBidi"/>
          <w:b/>
          <w:bCs/>
          <w:sz w:val="32"/>
          <w:rtl/>
        </w:rPr>
        <w:t>(إن كان لها وقتٌ مسمى)</w:t>
      </w:r>
      <w:r w:rsidRPr="00F27422">
        <w:rPr>
          <w:rFonts w:asciiTheme="minorBidi" w:hAnsiTheme="minorBidi" w:cstheme="minorBidi"/>
          <w:sz w:val="32"/>
          <w:rtl/>
        </w:rPr>
        <w:t xml:space="preserve"> يعني </w:t>
      </w:r>
      <w:proofErr w:type="gramStart"/>
      <w:r w:rsidRPr="00F27422">
        <w:rPr>
          <w:rFonts w:asciiTheme="minorBidi" w:hAnsiTheme="minorBidi" w:cstheme="minorBidi"/>
          <w:sz w:val="32"/>
          <w:rtl/>
        </w:rPr>
        <w:t>إنْ</w:t>
      </w:r>
      <w:proofErr w:type="gramEnd"/>
      <w:r w:rsidRPr="00F27422">
        <w:rPr>
          <w:rFonts w:asciiTheme="minorBidi" w:hAnsiTheme="minorBidi" w:cstheme="minorBidi"/>
          <w:sz w:val="32"/>
          <w:rtl/>
        </w:rPr>
        <w:t xml:space="preserve"> كان لهذه الإجارة مدّة فهي صحيحة كما دل عليه قوله (عليه السلام): </w:t>
      </w:r>
      <w:r w:rsidRPr="00F27422">
        <w:rPr>
          <w:rFonts w:asciiTheme="minorBidi" w:hAnsiTheme="minorBidi" w:cstheme="minorBidi"/>
          <w:b/>
          <w:bCs/>
          <w:sz w:val="32"/>
          <w:rtl/>
        </w:rPr>
        <w:t>(فلورثتها تلك الإجارة)</w:t>
      </w:r>
      <w:r w:rsidRPr="00F27422">
        <w:rPr>
          <w:rFonts w:asciiTheme="minorBidi" w:hAnsiTheme="minorBidi" w:cstheme="minorBidi"/>
          <w:sz w:val="32"/>
          <w:rtl/>
        </w:rPr>
        <w:t xml:space="preserve"> أي فلورثتها القيام مقامها في العمل بالإجارة، وحيث إنّ الإجارة مشتملةٌ على شرطٍ وهو عدم دفع الأُجرة إلّا حين انقضاء السنة فالشرط نافذٌ في حقّ الورثة ولهم من الأُجرة بمقدار ما بلغتْ من الوقت من حيث السنين.</w:t>
      </w:r>
    </w:p>
    <w:p w14:paraId="68CE12A5"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lastRenderedPageBreak/>
        <w:t>ويلاحظ عليه:</w:t>
      </w:r>
      <w:r w:rsidRPr="00F27422">
        <w:rPr>
          <w:rFonts w:asciiTheme="minorBidi" w:hAnsiTheme="minorBidi" w:cstheme="minorBidi"/>
          <w:sz w:val="32"/>
          <w:rtl/>
        </w:rPr>
        <w:t xml:space="preserve"> ما مضى من عدم انسجام هذا التحليل مع التعبير بالشرطية في كلتا الفقرتين الظاهر في المقابلة بين فرضين في الحكم، لا أنّ مفاد الأولى بيانُ الصحة والثانية بيانُ نفوذ الشرط المتفرع على الصحّة، على أنّه من المعلوم ارتكازاً أنّ للإجارة مدّة وقد فُرض ذلك في السؤال أيضاً، فلا معنى لفرض ذلك في الجواب بأنْ يقال إنْ كان لهذه الإجارة مدّة فهي صحيحة</w:t>
      </w:r>
      <w:r w:rsidRPr="00F27422">
        <w:rPr>
          <w:rFonts w:asciiTheme="minorBidi" w:hAnsiTheme="minorBidi" w:cstheme="minorBidi"/>
          <w:sz w:val="32"/>
        </w:rPr>
        <w:t>.</w:t>
      </w:r>
    </w:p>
    <w:p w14:paraId="44AE2127" w14:textId="77777777" w:rsidR="004048E3" w:rsidRPr="00F27422" w:rsidRDefault="004048E3" w:rsidP="00122B70">
      <w:pPr>
        <w:pStyle w:val="a"/>
        <w:bidi/>
        <w:spacing w:line="216" w:lineRule="auto"/>
        <w:jc w:val="left"/>
        <w:rPr>
          <w:rFonts w:asciiTheme="minorBidi" w:hAnsiTheme="minorBidi" w:cstheme="minorBidi"/>
          <w:b/>
          <w:bCs/>
          <w:sz w:val="32"/>
          <w:rtl/>
          <w:lang w:bidi="ar-BH"/>
        </w:rPr>
      </w:pPr>
      <w:r w:rsidRPr="00F27422">
        <w:rPr>
          <w:rFonts w:asciiTheme="minorBidi" w:hAnsiTheme="minorBidi" w:cstheme="minorBidi"/>
          <w:b/>
          <w:bCs/>
          <w:sz w:val="32"/>
          <w:rtl/>
        </w:rPr>
        <w:t>الوجه الثاني:</w:t>
      </w:r>
      <w:r w:rsidRPr="00F27422">
        <w:rPr>
          <w:rFonts w:asciiTheme="minorBidi" w:hAnsiTheme="minorBidi" w:cstheme="minorBidi"/>
          <w:sz w:val="32"/>
          <w:rtl/>
        </w:rPr>
        <w:t xml:space="preserve"> ما ذكره (رحمه الله) في كتاب [تفصيل الشريعة، كتاب </w:t>
      </w:r>
      <w:proofErr w:type="spellStart"/>
      <w:proofErr w:type="gramStart"/>
      <w:r w:rsidRPr="00F27422">
        <w:rPr>
          <w:rFonts w:asciiTheme="minorBidi" w:hAnsiTheme="minorBidi" w:cstheme="minorBidi"/>
          <w:sz w:val="32"/>
          <w:rtl/>
        </w:rPr>
        <w:t>الإجارة،مركز</w:t>
      </w:r>
      <w:proofErr w:type="spellEnd"/>
      <w:proofErr w:type="gramEnd"/>
      <w:r w:rsidRPr="00F27422">
        <w:rPr>
          <w:rFonts w:asciiTheme="minorBidi" w:hAnsiTheme="minorBidi" w:cstheme="minorBidi"/>
          <w:sz w:val="32"/>
          <w:rtl/>
        </w:rPr>
        <w:t xml:space="preserve"> فقه الأئمة الأطهار (عليهم السلام)، ص197 - 198]، وهو مبني على أمورٍ حيث قال: </w:t>
      </w:r>
      <w:r w:rsidRPr="00F27422">
        <w:rPr>
          <w:rFonts w:asciiTheme="minorBidi" w:hAnsiTheme="minorBidi" w:cstheme="minorBidi"/>
          <w:b/>
          <w:bCs/>
          <w:sz w:val="32"/>
          <w:rtl/>
        </w:rPr>
        <w:t xml:space="preserve">(وكيف كان، فتوضيح معنى الرواية أنّه لا بدّ في استفادة المراد منها من حفظ ظهورات متعدّدة فيها، </w:t>
      </w:r>
      <w:proofErr w:type="gramStart"/>
      <w:r w:rsidRPr="00F27422">
        <w:rPr>
          <w:rFonts w:asciiTheme="minorBidi" w:hAnsiTheme="minorBidi" w:cstheme="minorBidi"/>
          <w:b/>
          <w:bCs/>
          <w:sz w:val="32"/>
          <w:rtl/>
        </w:rPr>
        <w:t>و هي</w:t>
      </w:r>
      <w:proofErr w:type="gramEnd"/>
      <w:r w:rsidRPr="00F27422">
        <w:rPr>
          <w:rFonts w:asciiTheme="minorBidi" w:hAnsiTheme="minorBidi" w:cstheme="minorBidi"/>
          <w:b/>
          <w:bCs/>
          <w:sz w:val="32"/>
          <w:rtl/>
        </w:rPr>
        <w:t xml:space="preserve"> كثيرة)</w:t>
      </w:r>
      <w:r w:rsidRPr="00F27422">
        <w:rPr>
          <w:rFonts w:asciiTheme="minorBidi" w:hAnsiTheme="minorBidi" w:cstheme="minorBidi"/>
          <w:b/>
          <w:bCs/>
          <w:sz w:val="32"/>
        </w:rPr>
        <w:t>.</w:t>
      </w:r>
    </w:p>
    <w:p w14:paraId="673AAD82"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الأمر الأوّل:</w:t>
      </w:r>
      <w:r w:rsidRPr="00F27422">
        <w:rPr>
          <w:rFonts w:asciiTheme="minorBidi" w:hAnsiTheme="minorBidi" w:cstheme="minorBidi"/>
          <w:sz w:val="32"/>
          <w:rtl/>
        </w:rPr>
        <w:t xml:space="preserve"> قال (رحمه الله): </w:t>
      </w:r>
      <w:r w:rsidRPr="00F27422">
        <w:rPr>
          <w:rFonts w:asciiTheme="minorBidi" w:hAnsiTheme="minorBidi" w:cstheme="minorBidi"/>
          <w:b/>
          <w:bCs/>
          <w:sz w:val="32"/>
          <w:rtl/>
        </w:rPr>
        <w:t>(أحدها: أنّ بيان كيفية دفع الأُجرة وإعطائها في السؤال ظاهر في تعلّق غرض السائل بهذه الخصوصية، خصوصاً مع عدم الاقتصار على جملة واحدة والإتيان بجملة أُخرى تأكيداً و توضيحاً، ودعوى أنّه يمكن أن يكون ذلك لأجل بيان ما هو الواقع وليس له مدخلية فيما هو محطّ نظر السائل، مدفوعة مضافاً إلى أنّها في نفسها خلاف الظاهر بأنّه لو كان السائل مثل إبراهيم الذي هو من وكلاء الإمام (عليه السلام) لكان من البعيد جدّاً تقييد مورد السؤال بما هو خارج عن محط نظره، وغير دخيل فيما هو بصدده، كما لا يخفى)</w:t>
      </w:r>
      <w:r w:rsidRPr="00F27422">
        <w:rPr>
          <w:rFonts w:asciiTheme="minorBidi" w:hAnsiTheme="minorBidi" w:cstheme="minorBidi"/>
          <w:b/>
          <w:bCs/>
          <w:sz w:val="32"/>
        </w:rPr>
        <w:t>.</w:t>
      </w:r>
    </w:p>
    <w:p w14:paraId="511F33FC"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 xml:space="preserve">وتوضيحه: </w:t>
      </w:r>
      <w:r w:rsidRPr="00F27422">
        <w:rPr>
          <w:rFonts w:asciiTheme="minorBidi" w:hAnsiTheme="minorBidi" w:cstheme="minorBidi"/>
          <w:sz w:val="32"/>
          <w:rtl/>
        </w:rPr>
        <w:t>أنّ ظاهر تركيز الراوي في السؤال على الشرط المذكور في عقد الإجارة وهو عدم دفع الأُجرة إلّا حين انقضاء السنة أنّ هذه النقطة دخيلةٌ في الغرض من السؤال، لا أنّها مجرد بيان تفصيلٍ من تفاصيل الإجارة التي وقعت وأنّ السؤال مرتكز حول نفوذ الإجارة وعدم نفوذها؛ بل السؤال متضمنٌ للاستفهام عن هذا الشرط وهو اشتراط المُستأجر على المؤجّر أنْ لا دفع للأُجرة إلّا حين انقضاء المدّة، لا أنّ هذه النقطة أمرٌ أجنبي.</w:t>
      </w:r>
    </w:p>
    <w:p w14:paraId="351A29A2"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sz w:val="32"/>
          <w:rtl/>
        </w:rPr>
        <w:t xml:space="preserve">وهذا واضحٌ من خلال سؤال الراوي حيث قال: </w:t>
      </w:r>
      <w:r w:rsidRPr="00F27422">
        <w:rPr>
          <w:rFonts w:asciiTheme="minorBidi" w:hAnsiTheme="minorBidi" w:cstheme="minorBidi"/>
          <w:b/>
          <w:bCs/>
          <w:sz w:val="32"/>
          <w:rtl/>
        </w:rPr>
        <w:t xml:space="preserve">(كتبت إلى أبي الحسن (عليه السلام) وسألته عن امرأة آجرت ضيعتها عشر سنين على أن تُعطى الأُجرة في كلّ سنة عند انقضائها لا يُقدَّمُ لها شيءٌ من الأُجرة ما لم يمضِ الوقت) </w:t>
      </w:r>
      <w:r w:rsidRPr="00F27422">
        <w:rPr>
          <w:rFonts w:asciiTheme="minorBidi" w:hAnsiTheme="minorBidi" w:cstheme="minorBidi"/>
          <w:sz w:val="32"/>
          <w:rtl/>
        </w:rPr>
        <w:t>أي عند انقضاء السنة (فماتت قبل ثلاث سنين أو بعدها)، فإنّ ظاهر السؤال تعلقه بالشرط الذي اشترطه المُستأجر على المرأة أنْ لا دفع للأُجرة إلّا حين انقضاء السنة لا أنّه استعراض لأمرٍ أجنبي وأنّ السؤال مرتكز على نفوذ الإجارة وعدم نفوذها</w:t>
      </w:r>
      <w:r w:rsidRPr="00F27422">
        <w:rPr>
          <w:rFonts w:asciiTheme="minorBidi" w:hAnsiTheme="minorBidi" w:cstheme="minorBidi"/>
          <w:sz w:val="32"/>
        </w:rPr>
        <w:t>.</w:t>
      </w:r>
    </w:p>
    <w:p w14:paraId="47BBF295" w14:textId="77777777" w:rsidR="004048E3" w:rsidRPr="00F27422" w:rsidRDefault="004048E3" w:rsidP="00122B70">
      <w:pPr>
        <w:pStyle w:val="a"/>
        <w:bidi/>
        <w:spacing w:line="216" w:lineRule="auto"/>
        <w:jc w:val="left"/>
        <w:rPr>
          <w:rFonts w:asciiTheme="minorBidi" w:hAnsiTheme="minorBidi" w:cstheme="minorBidi"/>
          <w:b/>
          <w:bCs/>
          <w:sz w:val="32"/>
          <w:rtl/>
          <w:lang w:bidi="ar-BH"/>
        </w:rPr>
      </w:pPr>
      <w:r w:rsidRPr="00F27422">
        <w:rPr>
          <w:rFonts w:asciiTheme="minorBidi" w:hAnsiTheme="minorBidi" w:cstheme="minorBidi"/>
          <w:b/>
          <w:bCs/>
          <w:sz w:val="32"/>
          <w:rtl/>
        </w:rPr>
        <w:t>الأمر الثاني:</w:t>
      </w:r>
      <w:r w:rsidRPr="00F27422">
        <w:rPr>
          <w:rFonts w:asciiTheme="minorBidi" w:hAnsiTheme="minorBidi" w:cstheme="minorBidi"/>
          <w:sz w:val="32"/>
          <w:rtl/>
        </w:rPr>
        <w:t xml:space="preserve"> قال (رحمه الله): </w:t>
      </w:r>
      <w:r w:rsidRPr="00F27422">
        <w:rPr>
          <w:rFonts w:asciiTheme="minorBidi" w:hAnsiTheme="minorBidi" w:cstheme="minorBidi"/>
          <w:b/>
          <w:bCs/>
          <w:sz w:val="32"/>
          <w:rtl/>
        </w:rPr>
        <w:t>(ثانيها: ظهور قوله)</w:t>
      </w:r>
      <w:r w:rsidRPr="00F27422">
        <w:rPr>
          <w:rFonts w:asciiTheme="minorBidi" w:hAnsiTheme="minorBidi" w:cstheme="minorBidi"/>
          <w:sz w:val="32"/>
          <w:rtl/>
        </w:rPr>
        <w:t xml:space="preserve"> أي السائل </w:t>
      </w:r>
      <w:r w:rsidRPr="00F27422">
        <w:rPr>
          <w:rFonts w:asciiTheme="minorBidi" w:hAnsiTheme="minorBidi" w:cstheme="minorBidi"/>
          <w:b/>
          <w:bCs/>
          <w:sz w:val="32"/>
          <w:rtl/>
        </w:rPr>
        <w:t>(«فماتت قبل ثلاث سنين أو بعدها» في أنّ موت المرأة واقع في أثناء السنة لا عند انقضائها الذي هو الوقت المضروب للأُجرة، فيدلّ ذلك على أنّه ليس محطّ النظر مجرّد موت المؤجر قبل انقضاء مدّة الإجارة، وإلّا لم يكن فرق بين الموت في أثناء السنة أو عند انقضائها)</w:t>
      </w:r>
      <w:r w:rsidRPr="00F27422">
        <w:rPr>
          <w:rFonts w:asciiTheme="minorBidi" w:hAnsiTheme="minorBidi" w:cstheme="minorBidi"/>
          <w:b/>
          <w:bCs/>
          <w:sz w:val="32"/>
        </w:rPr>
        <w:t>.</w:t>
      </w:r>
    </w:p>
    <w:p w14:paraId="105629F4"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وتوضيحه:</w:t>
      </w:r>
      <w:r w:rsidRPr="00F27422">
        <w:rPr>
          <w:rFonts w:asciiTheme="minorBidi" w:hAnsiTheme="minorBidi" w:cstheme="minorBidi"/>
          <w:sz w:val="32"/>
          <w:rtl/>
        </w:rPr>
        <w:t xml:space="preserve"> أنّ قول السائل: </w:t>
      </w:r>
      <w:r w:rsidRPr="00F27422">
        <w:rPr>
          <w:rFonts w:asciiTheme="minorBidi" w:hAnsiTheme="minorBidi" w:cstheme="minorBidi"/>
          <w:b/>
          <w:bCs/>
          <w:sz w:val="32"/>
          <w:rtl/>
        </w:rPr>
        <w:t>(فماتت قبل ثلاث سنين أو بعدها)</w:t>
      </w:r>
      <w:r w:rsidRPr="00F27422">
        <w:rPr>
          <w:rFonts w:asciiTheme="minorBidi" w:hAnsiTheme="minorBidi" w:cstheme="minorBidi"/>
          <w:sz w:val="32"/>
          <w:rtl/>
        </w:rPr>
        <w:t xml:space="preserve"> ظاهرٌ في الموت أثناء السنة، أي ماتت قبل وقت دفع الأُجرة، لا أنّها ماتت بعد السنوات العشر إذ لا معنى للسؤال عنه، فإنّها لو ماتت بعد انقضاء العشر السنوات وهي مدّة الإجارة لم يكن معنى للسؤال</w:t>
      </w:r>
      <w:r w:rsidRPr="00F27422">
        <w:rPr>
          <w:rFonts w:asciiTheme="minorBidi" w:hAnsiTheme="minorBidi" w:cstheme="minorBidi"/>
          <w:sz w:val="32"/>
        </w:rPr>
        <w:t>.</w:t>
      </w:r>
    </w:p>
    <w:p w14:paraId="549437BA"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sz w:val="32"/>
          <w:rtl/>
        </w:rPr>
        <w:t xml:space="preserve">فما هو منظور السائل في قوله: </w:t>
      </w:r>
      <w:r w:rsidRPr="00F27422">
        <w:rPr>
          <w:rFonts w:asciiTheme="minorBidi" w:hAnsiTheme="minorBidi" w:cstheme="minorBidi"/>
          <w:b/>
          <w:bCs/>
          <w:sz w:val="32"/>
          <w:rtl/>
        </w:rPr>
        <w:t>(فماتت قبل ثلاث سنين أو بعدها)</w:t>
      </w:r>
      <w:r w:rsidRPr="00F27422">
        <w:rPr>
          <w:rFonts w:asciiTheme="minorBidi" w:hAnsiTheme="minorBidi" w:cstheme="minorBidi"/>
          <w:sz w:val="32"/>
          <w:rtl/>
        </w:rPr>
        <w:t xml:space="preserve"> أنّها ماتت قبل حلول وقت أداء الأُجرة بحسب الشرط المرسوم بينهما</w:t>
      </w:r>
      <w:r w:rsidRPr="00F27422">
        <w:rPr>
          <w:rFonts w:asciiTheme="minorBidi" w:hAnsiTheme="minorBidi" w:cstheme="minorBidi"/>
          <w:sz w:val="32"/>
        </w:rPr>
        <w:t>.</w:t>
      </w:r>
    </w:p>
    <w:p w14:paraId="552ABC5A" w14:textId="77777777" w:rsidR="004048E3" w:rsidRPr="00F27422" w:rsidRDefault="004048E3" w:rsidP="00122B70">
      <w:pPr>
        <w:pStyle w:val="a"/>
        <w:bidi/>
        <w:spacing w:line="216" w:lineRule="auto"/>
        <w:jc w:val="left"/>
        <w:rPr>
          <w:rFonts w:asciiTheme="minorBidi" w:hAnsiTheme="minorBidi" w:cstheme="minorBidi"/>
          <w:b/>
          <w:bCs/>
          <w:sz w:val="32"/>
          <w:rtl/>
          <w:lang w:bidi="ar-BH"/>
        </w:rPr>
      </w:pPr>
      <w:r w:rsidRPr="00F27422">
        <w:rPr>
          <w:rFonts w:asciiTheme="minorBidi" w:hAnsiTheme="minorBidi" w:cstheme="minorBidi"/>
          <w:b/>
          <w:bCs/>
          <w:sz w:val="32"/>
          <w:rtl/>
        </w:rPr>
        <w:t>الأمر الثالث:</w:t>
      </w:r>
      <w:r w:rsidRPr="00F27422">
        <w:rPr>
          <w:rFonts w:asciiTheme="minorBidi" w:hAnsiTheme="minorBidi" w:cstheme="minorBidi"/>
          <w:sz w:val="32"/>
          <w:rtl/>
        </w:rPr>
        <w:t xml:space="preserve"> قال (رحمه الله): </w:t>
      </w:r>
      <w:r w:rsidRPr="00F27422">
        <w:rPr>
          <w:rFonts w:asciiTheme="minorBidi" w:hAnsiTheme="minorBidi" w:cstheme="minorBidi"/>
          <w:b/>
          <w:bCs/>
          <w:sz w:val="32"/>
          <w:rtl/>
        </w:rPr>
        <w:t>(ثالثها: ظهور ألفاظ الإجارة في السؤال وكذا في الجواب في كونها بمعنى واحد وهي الأُجرة، ضرورة استعمالها في الرواية بمعنى الأُجرة قطعاً، والظاهر كون الجميع بمعنى واحد)</w:t>
      </w:r>
      <w:r w:rsidRPr="00F27422">
        <w:rPr>
          <w:rFonts w:asciiTheme="minorBidi" w:hAnsiTheme="minorBidi" w:cstheme="minorBidi"/>
          <w:b/>
          <w:bCs/>
          <w:sz w:val="32"/>
        </w:rPr>
        <w:t>.</w:t>
      </w:r>
    </w:p>
    <w:p w14:paraId="6388A41B"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lastRenderedPageBreak/>
        <w:t>وتوضيحه:</w:t>
      </w:r>
      <w:r w:rsidRPr="00F27422">
        <w:rPr>
          <w:rFonts w:asciiTheme="minorBidi" w:hAnsiTheme="minorBidi" w:cstheme="minorBidi"/>
          <w:sz w:val="32"/>
          <w:rtl/>
        </w:rPr>
        <w:t xml:space="preserve"> حيث إنّ في بعض النسخ عبر بـ "الإجارة" في كلّ الجمل، كما في نسخة التهذيب: </w:t>
      </w:r>
      <w:r w:rsidRPr="00F27422">
        <w:rPr>
          <w:rFonts w:asciiTheme="minorBidi" w:hAnsiTheme="minorBidi" w:cstheme="minorBidi"/>
          <w:b/>
          <w:bCs/>
          <w:sz w:val="32"/>
          <w:rtl/>
        </w:rPr>
        <w:t xml:space="preserve">(كتبت إلى أبي الحسن (عليه ‌السلام) وسألته عن امرأة آجرت ضيعتها عشر سنين على أن تعطى الإجارة في كل سنة عند انقضائها لا يقدم لها إجارة ما لم يمض الوقت فماتت قبل ثلاث سنين أو بعد هل يجب على ورثتها إنفاذ الإجارة إلى الوقت أم تكون الإجارة </w:t>
      </w:r>
      <w:proofErr w:type="spellStart"/>
      <w:r w:rsidRPr="00F27422">
        <w:rPr>
          <w:rFonts w:asciiTheme="minorBidi" w:hAnsiTheme="minorBidi" w:cstheme="minorBidi"/>
          <w:b/>
          <w:bCs/>
          <w:sz w:val="32"/>
          <w:rtl/>
        </w:rPr>
        <w:t>منتقضة</w:t>
      </w:r>
      <w:proofErr w:type="spellEnd"/>
      <w:r w:rsidRPr="00F27422">
        <w:rPr>
          <w:rFonts w:asciiTheme="minorBidi" w:hAnsiTheme="minorBidi" w:cstheme="minorBidi"/>
          <w:b/>
          <w:bCs/>
          <w:sz w:val="32"/>
          <w:rtl/>
        </w:rPr>
        <w:t xml:space="preserve"> لموت المرأة؟ فكتب (عليه ‌السلام): إن كان لها وقت مسمى لم تبلغه فماتت فلورثتها تلك الإجارة، وإن لم يبلغ ذلك الوقت وبلغت ثلثه أو نصفه أو شيئا منه فتعطى ورثتها بقدر ما بلغت من ذلك الوقت إن شاء الله).</w:t>
      </w:r>
      <w:r w:rsidRPr="00F27422">
        <w:rPr>
          <w:rFonts w:asciiTheme="minorBidi" w:hAnsiTheme="minorBidi" w:cstheme="minorBidi"/>
          <w:sz w:val="32"/>
          <w:rtl/>
        </w:rPr>
        <w:t xml:space="preserve"> [تهذيب الأحكام، شيخ الطائفة الطوسي، دار الكتب الإسلامية، ج7، باب المزارعة، ح58]</w:t>
      </w:r>
      <w:r w:rsidRPr="00F27422">
        <w:rPr>
          <w:rFonts w:asciiTheme="minorBidi" w:hAnsiTheme="minorBidi" w:cstheme="minorBidi"/>
          <w:sz w:val="32"/>
        </w:rPr>
        <w:t>.</w:t>
      </w:r>
    </w:p>
    <w:p w14:paraId="0C0C90BB" w14:textId="77777777" w:rsidR="004048E3" w:rsidRPr="00F27422" w:rsidRDefault="004048E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لكن ظاهر التعبير بـ "الإجارة" في صدر السؤال كونه بمعنى الأُجرة، إذ لا معنى </w:t>
      </w:r>
      <w:proofErr w:type="gramStart"/>
      <w:r w:rsidRPr="00F27422">
        <w:rPr>
          <w:rFonts w:asciiTheme="minorBidi" w:hAnsiTheme="minorBidi" w:cstheme="minorBidi"/>
          <w:sz w:val="32"/>
          <w:rtl/>
        </w:rPr>
        <w:t>للتعبير  بـ</w:t>
      </w:r>
      <w:proofErr w:type="gramEnd"/>
      <w:r w:rsidRPr="00F27422">
        <w:rPr>
          <w:rFonts w:asciiTheme="minorBidi" w:hAnsiTheme="minorBidi" w:cstheme="minorBidi"/>
          <w:sz w:val="32"/>
          <w:rtl/>
        </w:rPr>
        <w:t xml:space="preserve"> </w:t>
      </w:r>
      <w:r w:rsidRPr="00F27422">
        <w:rPr>
          <w:rFonts w:asciiTheme="minorBidi" w:hAnsiTheme="minorBidi" w:cstheme="minorBidi"/>
          <w:b/>
          <w:bCs/>
          <w:sz w:val="32"/>
          <w:rtl/>
        </w:rPr>
        <w:t>(على أن تعطى الإجارة)</w:t>
      </w:r>
      <w:r w:rsidRPr="00F27422">
        <w:rPr>
          <w:rFonts w:asciiTheme="minorBidi" w:hAnsiTheme="minorBidi" w:cstheme="minorBidi"/>
          <w:sz w:val="32"/>
          <w:rtl/>
        </w:rPr>
        <w:t xml:space="preserve"> وكذا لا معنى أنْ يقول: </w:t>
      </w:r>
      <w:r w:rsidRPr="00F27422">
        <w:rPr>
          <w:rFonts w:asciiTheme="minorBidi" w:hAnsiTheme="minorBidi" w:cstheme="minorBidi"/>
          <w:b/>
          <w:bCs/>
          <w:sz w:val="32"/>
          <w:rtl/>
        </w:rPr>
        <w:t xml:space="preserve">(لا يقدم لها </w:t>
      </w:r>
      <w:proofErr w:type="spellStart"/>
      <w:r w:rsidRPr="00F27422">
        <w:rPr>
          <w:rFonts w:asciiTheme="minorBidi" w:hAnsiTheme="minorBidi" w:cstheme="minorBidi"/>
          <w:b/>
          <w:bCs/>
          <w:sz w:val="32"/>
          <w:rtl/>
        </w:rPr>
        <w:t>شيئ</w:t>
      </w:r>
      <w:proofErr w:type="spellEnd"/>
      <w:r w:rsidRPr="00F27422">
        <w:rPr>
          <w:rFonts w:asciiTheme="minorBidi" w:hAnsiTheme="minorBidi" w:cstheme="minorBidi"/>
          <w:b/>
          <w:bCs/>
          <w:sz w:val="32"/>
          <w:rtl/>
        </w:rPr>
        <w:t xml:space="preserve"> من الإجارة ما لم يمض الوقت).</w:t>
      </w:r>
    </w:p>
    <w:p w14:paraId="5918FF25" w14:textId="77777777" w:rsidR="004048E3" w:rsidRPr="00F27422" w:rsidRDefault="004048E3"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بينما في نسخة الكافي ورد السؤال بلفظ "الأُجرة" لا بلفظ "الإجارة" حيث جاء في الكافي: </w:t>
      </w:r>
      <w:r w:rsidRPr="00F27422">
        <w:rPr>
          <w:rFonts w:asciiTheme="minorBidi" w:hAnsiTheme="minorBidi" w:cstheme="minorBidi"/>
          <w:b/>
          <w:bCs/>
          <w:sz w:val="32"/>
          <w:rtl/>
        </w:rPr>
        <w:t xml:space="preserve">(كتبت إلى أبي الحسن (عليه السلام) وسألته عن امرأة آجرت ضيعتها عشر سنين على أن تُعطى الأُجرة في كلّ سنة عند انقضائها لا يُقدَّمُ لها شيءٌ من الأُجرة ما لم يمضِ الوقت...) </w:t>
      </w:r>
      <w:proofErr w:type="spellStart"/>
      <w:r w:rsidRPr="00F27422">
        <w:rPr>
          <w:rFonts w:asciiTheme="minorBidi" w:hAnsiTheme="minorBidi" w:cstheme="minorBidi"/>
          <w:sz w:val="32"/>
          <w:rtl/>
        </w:rPr>
        <w:t>ألخ</w:t>
      </w:r>
      <w:proofErr w:type="spellEnd"/>
      <w:r w:rsidRPr="00F27422">
        <w:rPr>
          <w:rFonts w:asciiTheme="minorBidi" w:hAnsiTheme="minorBidi" w:cstheme="minorBidi"/>
          <w:sz w:val="32"/>
          <w:rtl/>
        </w:rPr>
        <w:t>. [الكافي، دار الكتب الإسلامية، ج5، كتاب المعيشة، باب من يؤاجر أرضاً ثمّ يبيعها قبل انقضاء الأجل أو يموت فتورث الأرض قبل انقضاء الأجل، ح2]</w:t>
      </w:r>
      <w:r w:rsidRPr="00F27422">
        <w:rPr>
          <w:rFonts w:asciiTheme="minorBidi" w:hAnsiTheme="minorBidi" w:cstheme="minorBidi"/>
          <w:sz w:val="32"/>
        </w:rPr>
        <w:t>.</w:t>
      </w:r>
    </w:p>
    <w:p w14:paraId="2F010489"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sz w:val="32"/>
          <w:rtl/>
        </w:rPr>
        <w:t xml:space="preserve">وقوله (عليه السلام) في كلا النسختين من التهذيب والكافي في الجواب: </w:t>
      </w:r>
      <w:r w:rsidRPr="00F27422">
        <w:rPr>
          <w:rFonts w:asciiTheme="minorBidi" w:hAnsiTheme="minorBidi" w:cstheme="minorBidi"/>
          <w:b/>
          <w:bCs/>
          <w:sz w:val="32"/>
          <w:rtl/>
        </w:rPr>
        <w:t>(إن كان لها وقتٌ مسمى لم يبلُغ فماتت فلورثتها تلك الإجارة)</w:t>
      </w:r>
      <w:r w:rsidRPr="00F27422">
        <w:rPr>
          <w:rFonts w:asciiTheme="minorBidi" w:hAnsiTheme="minorBidi" w:cstheme="minorBidi"/>
          <w:sz w:val="32"/>
          <w:rtl/>
        </w:rPr>
        <w:t xml:space="preserve"> بمعنى أنّ لورثتها تلك الأُجرة</w:t>
      </w:r>
      <w:r w:rsidRPr="00F27422">
        <w:rPr>
          <w:rFonts w:asciiTheme="minorBidi" w:hAnsiTheme="minorBidi" w:cstheme="minorBidi"/>
          <w:sz w:val="32"/>
        </w:rPr>
        <w:t>.</w:t>
      </w:r>
    </w:p>
    <w:p w14:paraId="5517CA4B"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sz w:val="32"/>
          <w:rtl/>
        </w:rPr>
        <w:t>فإنّ ظاهر النظر في السؤال إلى الأُجرة أنّ المنظور في الجواب أيضاً هو الأُجرة، لا أنّه ناظرٌ إلى أصل الإجارة</w:t>
      </w:r>
      <w:r w:rsidRPr="00F27422">
        <w:rPr>
          <w:rFonts w:asciiTheme="minorBidi" w:hAnsiTheme="minorBidi" w:cstheme="minorBidi"/>
          <w:sz w:val="32"/>
        </w:rPr>
        <w:t>.</w:t>
      </w:r>
    </w:p>
    <w:p w14:paraId="0CB886E0" w14:textId="77777777" w:rsidR="004048E3" w:rsidRPr="00F27422" w:rsidRDefault="004048E3" w:rsidP="00122B70">
      <w:pPr>
        <w:pStyle w:val="a"/>
        <w:bidi/>
        <w:spacing w:line="216" w:lineRule="auto"/>
        <w:jc w:val="left"/>
        <w:rPr>
          <w:rFonts w:asciiTheme="minorBidi" w:hAnsiTheme="minorBidi" w:cstheme="minorBidi"/>
          <w:b/>
          <w:bCs/>
          <w:sz w:val="32"/>
          <w:rtl/>
          <w:lang w:bidi="ar-BH"/>
        </w:rPr>
      </w:pPr>
      <w:r w:rsidRPr="00F27422">
        <w:rPr>
          <w:rFonts w:asciiTheme="minorBidi" w:hAnsiTheme="minorBidi" w:cstheme="minorBidi"/>
          <w:b/>
          <w:bCs/>
          <w:sz w:val="32"/>
          <w:rtl/>
        </w:rPr>
        <w:t>الأمر الرابع:</w:t>
      </w:r>
      <w:r w:rsidRPr="00F27422">
        <w:rPr>
          <w:rFonts w:asciiTheme="minorBidi" w:hAnsiTheme="minorBidi" w:cstheme="minorBidi"/>
          <w:sz w:val="32"/>
          <w:rtl/>
        </w:rPr>
        <w:t xml:space="preserve"> قال (رحمه الله): </w:t>
      </w:r>
      <w:r w:rsidRPr="00F27422">
        <w:rPr>
          <w:rFonts w:asciiTheme="minorBidi" w:hAnsiTheme="minorBidi" w:cstheme="minorBidi"/>
          <w:b/>
          <w:bCs/>
          <w:sz w:val="32"/>
          <w:rtl/>
        </w:rPr>
        <w:t>(رابعها: ظهور لفظ الوقت في الجُمَل الواقعة فيها هذه الكلمة في كونه في الجميع بمعنى واحد؛ وهو الوقت المضروب لدفع الأُجرة، ضرورة استعماله في هذا المعنى قطعاً، والظاهر كون المراد من الجميع كذلك)</w:t>
      </w:r>
      <w:r w:rsidRPr="00F27422">
        <w:rPr>
          <w:rFonts w:asciiTheme="minorBidi" w:hAnsiTheme="minorBidi" w:cstheme="minorBidi"/>
          <w:b/>
          <w:bCs/>
          <w:sz w:val="32"/>
        </w:rPr>
        <w:t>.</w:t>
      </w:r>
    </w:p>
    <w:p w14:paraId="1E1AFADF" w14:textId="77777777" w:rsidR="004048E3" w:rsidRPr="00F27422" w:rsidRDefault="004048E3"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وتوضيحه:</w:t>
      </w:r>
      <w:r w:rsidRPr="00F27422">
        <w:rPr>
          <w:rFonts w:asciiTheme="minorBidi" w:hAnsiTheme="minorBidi" w:cstheme="minorBidi"/>
          <w:sz w:val="32"/>
          <w:rtl/>
        </w:rPr>
        <w:t xml:space="preserve"> أنّ ظاهر السياق كون المراد من لفظ "الوقت" هو الأنجم المضروبة لوقت الدفع، كما قاله المحقق الرشتي (قدس سره) - لا وقت الإجارة -.</w:t>
      </w:r>
    </w:p>
    <w:p w14:paraId="0C16F908" w14:textId="77777777" w:rsidR="004048E3" w:rsidRPr="00F27422" w:rsidRDefault="004048E3"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فالتعبير في الرواية الشريفة: </w:t>
      </w:r>
      <w:r w:rsidRPr="00F27422">
        <w:rPr>
          <w:rFonts w:asciiTheme="minorBidi" w:hAnsiTheme="minorBidi" w:cstheme="minorBidi"/>
          <w:b/>
          <w:bCs/>
          <w:sz w:val="32"/>
          <w:rtl/>
        </w:rPr>
        <w:t xml:space="preserve">(وسألته عن امرأة آجرت ضيعتها عشر سنين على أن تُعطى الأُجرة في كلّ سنة عند انقضائها لا يُقدَّمُ لها شيءٌ من الأُجرة ما لم يمضِ الوقت) </w:t>
      </w:r>
      <w:r w:rsidRPr="00F27422">
        <w:rPr>
          <w:rFonts w:asciiTheme="minorBidi" w:hAnsiTheme="minorBidi" w:cstheme="minorBidi"/>
          <w:sz w:val="32"/>
          <w:rtl/>
        </w:rPr>
        <w:t xml:space="preserve">أي وقت دفع الأُجرة، </w:t>
      </w:r>
      <w:r w:rsidRPr="00F27422">
        <w:rPr>
          <w:rFonts w:asciiTheme="minorBidi" w:hAnsiTheme="minorBidi" w:cstheme="minorBidi"/>
          <w:b/>
          <w:bCs/>
          <w:sz w:val="32"/>
          <w:rtl/>
        </w:rPr>
        <w:t xml:space="preserve">(فماتت قبل ثلاث سنين أو بعدها هل يجب على ورثتها إنفاذ الإجارة إلى الوقت أم تكون الإجارة منقضية بموت المرأة؟)، </w:t>
      </w:r>
      <w:r w:rsidRPr="00F27422">
        <w:rPr>
          <w:rFonts w:asciiTheme="minorBidi" w:hAnsiTheme="minorBidi" w:cstheme="minorBidi"/>
          <w:sz w:val="32"/>
          <w:rtl/>
        </w:rPr>
        <w:t xml:space="preserve">وبما أنّ الوقت في السؤال ظاهرٌ في وقت دفع الأُجرة فهو قرينةٌ على أنّ الوقتَ المذكور في الجواب هو وقتُ أداء الأُجرة في قوله (عليه السلام): </w:t>
      </w:r>
      <w:r w:rsidRPr="00F27422">
        <w:rPr>
          <w:rFonts w:asciiTheme="minorBidi" w:hAnsiTheme="minorBidi" w:cstheme="minorBidi"/>
          <w:b/>
          <w:bCs/>
          <w:sz w:val="32"/>
          <w:rtl/>
        </w:rPr>
        <w:t>(إن كان لها وقتٌ)</w:t>
      </w:r>
      <w:r w:rsidRPr="00F27422">
        <w:rPr>
          <w:rFonts w:asciiTheme="minorBidi" w:hAnsiTheme="minorBidi" w:cstheme="minorBidi"/>
          <w:sz w:val="32"/>
          <w:rtl/>
        </w:rPr>
        <w:t xml:space="preserve"> أي أداء الأُجرة </w:t>
      </w:r>
      <w:r w:rsidRPr="00F27422">
        <w:rPr>
          <w:rFonts w:asciiTheme="minorBidi" w:hAnsiTheme="minorBidi" w:cstheme="minorBidi"/>
          <w:b/>
          <w:bCs/>
          <w:sz w:val="32"/>
          <w:rtl/>
        </w:rPr>
        <w:t>(مسمى لم يبلُغ فماتت فلورثتها تلك الإجارة)</w:t>
      </w:r>
      <w:r w:rsidRPr="00F27422">
        <w:rPr>
          <w:rFonts w:asciiTheme="minorBidi" w:hAnsiTheme="minorBidi" w:cstheme="minorBidi"/>
          <w:sz w:val="32"/>
          <w:rtl/>
        </w:rPr>
        <w:t xml:space="preserve"> أي أنّ لورثتها تلك الأُجرة كما حدد</w:t>
      </w:r>
      <w:r w:rsidRPr="00F27422">
        <w:rPr>
          <w:rFonts w:asciiTheme="minorBidi" w:hAnsiTheme="minorBidi" w:cstheme="minorBidi"/>
          <w:sz w:val="32"/>
        </w:rPr>
        <w:t>.</w:t>
      </w:r>
    </w:p>
    <w:p w14:paraId="685C6E56" w14:textId="77777777" w:rsidR="004048E3" w:rsidRPr="00F27422" w:rsidRDefault="004048E3" w:rsidP="00122B70">
      <w:pPr>
        <w:pStyle w:val="a"/>
        <w:bidi/>
        <w:spacing w:line="216" w:lineRule="auto"/>
        <w:jc w:val="left"/>
        <w:rPr>
          <w:rFonts w:asciiTheme="minorBidi" w:hAnsiTheme="minorBidi" w:cstheme="minorBidi"/>
          <w:b/>
          <w:bCs/>
          <w:sz w:val="32"/>
          <w:rtl/>
          <w:lang w:bidi="ar-BH"/>
        </w:rPr>
      </w:pPr>
      <w:r w:rsidRPr="00F27422">
        <w:rPr>
          <w:rFonts w:asciiTheme="minorBidi" w:hAnsiTheme="minorBidi" w:cstheme="minorBidi"/>
          <w:b/>
          <w:bCs/>
          <w:sz w:val="32"/>
          <w:rtl/>
        </w:rPr>
        <w:t>الأمر الخامس:</w:t>
      </w:r>
      <w:r w:rsidRPr="00F27422">
        <w:rPr>
          <w:rFonts w:asciiTheme="minorBidi" w:hAnsiTheme="minorBidi" w:cstheme="minorBidi"/>
          <w:sz w:val="32"/>
          <w:rtl/>
        </w:rPr>
        <w:t xml:space="preserve"> قال (رحمه الله): </w:t>
      </w:r>
      <w:r w:rsidRPr="00F27422">
        <w:rPr>
          <w:rFonts w:asciiTheme="minorBidi" w:hAnsiTheme="minorBidi" w:cstheme="minorBidi"/>
          <w:b/>
          <w:bCs/>
          <w:sz w:val="32"/>
          <w:rtl/>
        </w:rPr>
        <w:t xml:space="preserve">(خامسها: ظهور قوله) </w:t>
      </w:r>
      <w:r w:rsidRPr="00F27422">
        <w:rPr>
          <w:rFonts w:asciiTheme="minorBidi" w:hAnsiTheme="minorBidi" w:cstheme="minorBidi"/>
          <w:sz w:val="32"/>
          <w:rtl/>
        </w:rPr>
        <w:t xml:space="preserve">في السؤال </w:t>
      </w:r>
      <w:r w:rsidRPr="00F27422">
        <w:rPr>
          <w:rFonts w:asciiTheme="minorBidi" w:hAnsiTheme="minorBidi" w:cstheme="minorBidi"/>
          <w:b/>
          <w:bCs/>
          <w:sz w:val="32"/>
          <w:rtl/>
        </w:rPr>
        <w:t>(«إنفاذ الإجارة إلى الوقت» في كون المراد من الوقت هو الوقت المضروب لدفع الأُجرة، ضرورة أنّه لو كان المراد هي مدّة أصل الإجارة لكان هذا التقييد غير محتاج إليه، بل كان لغواً؛ لأنّه لا يعقل إنفاذ عقد الإجارة المقيّدة بمدّة معيّنة إلى غير تلك المدّة، كما هو ظاهر)</w:t>
      </w:r>
      <w:r w:rsidRPr="00F27422">
        <w:rPr>
          <w:rFonts w:asciiTheme="minorBidi" w:hAnsiTheme="minorBidi" w:cstheme="minorBidi"/>
          <w:b/>
          <w:bCs/>
          <w:sz w:val="32"/>
        </w:rPr>
        <w:t>.</w:t>
      </w:r>
    </w:p>
    <w:p w14:paraId="3D01CF8E" w14:textId="77777777" w:rsidR="004048E3" w:rsidRPr="00F27422" w:rsidRDefault="004048E3"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وتوضيحه:</w:t>
      </w:r>
      <w:r w:rsidRPr="00F27422">
        <w:rPr>
          <w:rFonts w:asciiTheme="minorBidi" w:hAnsiTheme="minorBidi" w:cstheme="minorBidi"/>
          <w:sz w:val="32"/>
          <w:rtl/>
        </w:rPr>
        <w:t xml:space="preserve"> أنّ كلمة </w:t>
      </w:r>
      <w:r w:rsidRPr="00F27422">
        <w:rPr>
          <w:rFonts w:asciiTheme="minorBidi" w:hAnsiTheme="minorBidi" w:cstheme="minorBidi"/>
          <w:b/>
          <w:bCs/>
          <w:sz w:val="32"/>
          <w:rtl/>
        </w:rPr>
        <w:t>(إلى الوقت)</w:t>
      </w:r>
      <w:r w:rsidRPr="00F27422">
        <w:rPr>
          <w:rFonts w:asciiTheme="minorBidi" w:hAnsiTheme="minorBidi" w:cstheme="minorBidi"/>
          <w:sz w:val="32"/>
          <w:rtl/>
        </w:rPr>
        <w:t xml:space="preserve"> قرينةٌ على أنّ المنظور في السؤال هو السؤال عن الشرط وليس السؤال عن نفوذ الإجارة، وإلّا لو كان السؤال عن نفوذ الإجارة لقال: "هل يجب على ورثتها إنفاذ الإجارة؟" دون حاجةٍ إلى أنْ يضيف عبارة: </w:t>
      </w:r>
      <w:r w:rsidRPr="00F27422">
        <w:rPr>
          <w:rFonts w:asciiTheme="minorBidi" w:hAnsiTheme="minorBidi" w:cstheme="minorBidi"/>
          <w:b/>
          <w:bCs/>
          <w:sz w:val="32"/>
          <w:rtl/>
        </w:rPr>
        <w:t>(إلى الوقت)</w:t>
      </w:r>
      <w:r w:rsidRPr="00F27422">
        <w:rPr>
          <w:rFonts w:asciiTheme="minorBidi" w:hAnsiTheme="minorBidi" w:cstheme="minorBidi"/>
          <w:sz w:val="32"/>
          <w:rtl/>
        </w:rPr>
        <w:t>.</w:t>
      </w:r>
    </w:p>
    <w:p w14:paraId="09844D29"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lastRenderedPageBreak/>
        <w:t>والحاصل:</w:t>
      </w:r>
      <w:r w:rsidRPr="00F27422">
        <w:rPr>
          <w:rFonts w:asciiTheme="minorBidi" w:hAnsiTheme="minorBidi" w:cstheme="minorBidi"/>
          <w:sz w:val="32"/>
          <w:rtl/>
        </w:rPr>
        <w:t xml:space="preserve"> أنّ مصب السؤال هو الشرط، أي أنّ الشرط الذي انعقد بين المُستأجر وبين المؤجّر هل هو نافذٌ في حقّ ورثته فيجب عليهم تنفيذه أم لا يجب؟ فكأنه قال: "هل يجب على ورثتها إنفاذ الأُجرة إلى الوقت؟"</w:t>
      </w:r>
      <w:r w:rsidRPr="00F27422">
        <w:rPr>
          <w:rFonts w:asciiTheme="minorBidi" w:hAnsiTheme="minorBidi" w:cstheme="minorBidi"/>
          <w:sz w:val="32"/>
          <w:rtl/>
          <w:lang w:bidi="ar-BH"/>
        </w:rPr>
        <w:t xml:space="preserve"> </w:t>
      </w:r>
      <w:r w:rsidRPr="00F27422">
        <w:rPr>
          <w:rFonts w:asciiTheme="minorBidi" w:hAnsiTheme="minorBidi" w:cstheme="minorBidi"/>
          <w:sz w:val="32"/>
          <w:rtl/>
        </w:rPr>
        <w:t xml:space="preserve">يعني الالتزام </w:t>
      </w:r>
      <w:r w:rsidRPr="00F27422">
        <w:rPr>
          <w:rFonts w:asciiTheme="minorBidi" w:hAnsiTheme="minorBidi" w:cstheme="minorBidi"/>
          <w:b/>
          <w:bCs/>
          <w:sz w:val="32"/>
          <w:rtl/>
        </w:rPr>
        <w:t xml:space="preserve">بالشرط (أم تكون الإجارة منقضية بموت المرأة؟ فكتب (عليه </w:t>
      </w:r>
      <w:proofErr w:type="gramStart"/>
      <w:r w:rsidRPr="00F27422">
        <w:rPr>
          <w:rFonts w:asciiTheme="minorBidi" w:hAnsiTheme="minorBidi" w:cstheme="minorBidi"/>
          <w:b/>
          <w:bCs/>
          <w:sz w:val="32"/>
          <w:rtl/>
        </w:rPr>
        <w:t>السلام)...</w:t>
      </w:r>
      <w:proofErr w:type="gramEnd"/>
      <w:r w:rsidRPr="00F27422">
        <w:rPr>
          <w:rFonts w:asciiTheme="minorBidi" w:hAnsiTheme="minorBidi" w:cstheme="minorBidi"/>
          <w:b/>
          <w:bCs/>
          <w:sz w:val="32"/>
          <w:rtl/>
        </w:rPr>
        <w:t xml:space="preserve">) </w:t>
      </w:r>
      <w:r w:rsidRPr="00F27422">
        <w:rPr>
          <w:rFonts w:asciiTheme="minorBidi" w:hAnsiTheme="minorBidi" w:cstheme="minorBidi"/>
          <w:sz w:val="32"/>
          <w:rtl/>
        </w:rPr>
        <w:t>إلخ</w:t>
      </w:r>
      <w:r w:rsidRPr="00F27422">
        <w:rPr>
          <w:rFonts w:asciiTheme="minorBidi" w:hAnsiTheme="minorBidi" w:cstheme="minorBidi"/>
          <w:sz w:val="32"/>
        </w:rPr>
        <w:t>.</w:t>
      </w:r>
    </w:p>
    <w:p w14:paraId="3390D7D1"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وبناءً على ما مضى من القرائن،</w:t>
      </w:r>
      <w:r w:rsidRPr="00F27422">
        <w:rPr>
          <w:rFonts w:asciiTheme="minorBidi" w:hAnsiTheme="minorBidi" w:cstheme="minorBidi"/>
          <w:sz w:val="32"/>
          <w:rtl/>
        </w:rPr>
        <w:t xml:space="preserve"> فإنّ معنى الرواية هو الاستدلال على الصحّة - لا على البطلان -، أي أنّ مصب السؤال هو أنّه هل يجب على الورثة الالتزام بالشرط وهو عدم دفع الأُجرة إلّا في الوقت المضروب لها وهو انقضاء السنة أم لا؟ ونفس السؤال عن نفوذ الشرط وعدمه قرينةٌ على أنّ صحّة الإجارة أمرٌ مفروغٌ عنه عند السائل ومركوزٌ في ذهنه وأنّه ليس محلاً للاستفهام والسؤال؛ بل كلّ اهتمامه في نفوذ الشرط في حقّ الورثة</w:t>
      </w:r>
      <w:r w:rsidRPr="00F27422">
        <w:rPr>
          <w:rFonts w:asciiTheme="minorBidi" w:hAnsiTheme="minorBidi" w:cstheme="minorBidi"/>
          <w:sz w:val="32"/>
        </w:rPr>
        <w:t>.</w:t>
      </w:r>
    </w:p>
    <w:p w14:paraId="56B4300F" w14:textId="77777777" w:rsidR="004048E3" w:rsidRPr="00F27422" w:rsidRDefault="004048E3"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ولذا نقل الفقيه النبيه السيد الحكيم (قدس سره الشريف) في كتابه [مستمسك العروة الوثقى، دار إحياء التراث العربي، الطبعة الرابعة، ج12، ص34] نسخة للرواية مشتملة على التعبير بـ: </w:t>
      </w:r>
      <w:r w:rsidRPr="00F27422">
        <w:rPr>
          <w:rFonts w:asciiTheme="minorBidi" w:hAnsiTheme="minorBidi" w:cstheme="minorBidi"/>
          <w:b/>
          <w:bCs/>
          <w:sz w:val="32"/>
          <w:rtl/>
        </w:rPr>
        <w:t xml:space="preserve">(هل يجب على ورثتها إنفاذ الأجرة إلى الوقت أم تكون الإجارة </w:t>
      </w:r>
      <w:proofErr w:type="spellStart"/>
      <w:r w:rsidRPr="00F27422">
        <w:rPr>
          <w:rFonts w:asciiTheme="minorBidi" w:hAnsiTheme="minorBidi" w:cstheme="minorBidi"/>
          <w:b/>
          <w:bCs/>
          <w:sz w:val="32"/>
          <w:rtl/>
        </w:rPr>
        <w:t>منتقضة</w:t>
      </w:r>
      <w:proofErr w:type="spellEnd"/>
      <w:r w:rsidRPr="00F27422">
        <w:rPr>
          <w:rFonts w:asciiTheme="minorBidi" w:hAnsiTheme="minorBidi" w:cstheme="minorBidi"/>
          <w:b/>
          <w:bCs/>
          <w:sz w:val="32"/>
          <w:rtl/>
        </w:rPr>
        <w:t xml:space="preserve"> بموت المرأة؟)</w:t>
      </w:r>
      <w:r w:rsidRPr="00F27422">
        <w:rPr>
          <w:rFonts w:asciiTheme="minorBidi" w:hAnsiTheme="minorBidi" w:cstheme="minorBidi"/>
          <w:sz w:val="32"/>
          <w:rtl/>
        </w:rPr>
        <w:t>،</w:t>
      </w:r>
      <w:r w:rsidRPr="00F27422">
        <w:rPr>
          <w:rFonts w:asciiTheme="minorBidi" w:hAnsiTheme="minorBidi" w:cstheme="minorBidi"/>
          <w:sz w:val="32"/>
        </w:rPr>
        <w:t xml:space="preserve"> </w:t>
      </w:r>
      <w:r w:rsidRPr="00F27422">
        <w:rPr>
          <w:rFonts w:asciiTheme="minorBidi" w:hAnsiTheme="minorBidi" w:cstheme="minorBidi"/>
          <w:sz w:val="32"/>
          <w:rtl/>
        </w:rPr>
        <w:t xml:space="preserve">والموجود في نسخة الكافي والتهذيب: </w:t>
      </w:r>
      <w:r w:rsidRPr="00F27422">
        <w:rPr>
          <w:rFonts w:asciiTheme="minorBidi" w:hAnsiTheme="minorBidi" w:cstheme="minorBidi"/>
          <w:b/>
          <w:bCs/>
          <w:sz w:val="32"/>
          <w:rtl/>
        </w:rPr>
        <w:t>(هل يجب على ورثتها إنفاذ الإجارة إلى الوقت...)</w:t>
      </w:r>
      <w:r w:rsidRPr="00F27422">
        <w:rPr>
          <w:rFonts w:asciiTheme="minorBidi" w:hAnsiTheme="minorBidi" w:cstheme="minorBidi"/>
          <w:sz w:val="32"/>
          <w:rtl/>
        </w:rPr>
        <w:t>، فلعلّه (قدس سره الشريف) ظفر بنسخةٍ مشتملةٍ على ذلك التعبير.</w:t>
      </w:r>
    </w:p>
    <w:p w14:paraId="59A4A60F" w14:textId="77777777" w:rsidR="004048E3" w:rsidRPr="00F27422" w:rsidRDefault="004048E3" w:rsidP="00122B70">
      <w:pPr>
        <w:pStyle w:val="a"/>
        <w:bidi/>
        <w:spacing w:line="216" w:lineRule="auto"/>
        <w:jc w:val="left"/>
        <w:rPr>
          <w:rFonts w:asciiTheme="minorBidi" w:hAnsiTheme="minorBidi" w:cstheme="minorBidi"/>
          <w:b/>
          <w:bCs/>
          <w:sz w:val="32"/>
          <w:rtl/>
          <w:lang w:bidi="ar-BH"/>
        </w:rPr>
      </w:pPr>
      <w:r w:rsidRPr="00F27422">
        <w:rPr>
          <w:rFonts w:asciiTheme="minorBidi" w:hAnsiTheme="minorBidi" w:cstheme="minorBidi"/>
          <w:b/>
          <w:bCs/>
          <w:sz w:val="32"/>
          <w:rtl/>
        </w:rPr>
        <w:t>وأمّا الجواب فهو مشتمل على مطلبين</w:t>
      </w:r>
      <w:r w:rsidRPr="00F27422">
        <w:rPr>
          <w:rFonts w:asciiTheme="minorBidi" w:hAnsiTheme="minorBidi" w:cstheme="minorBidi"/>
          <w:b/>
          <w:bCs/>
          <w:sz w:val="32"/>
        </w:rPr>
        <w:t>:</w:t>
      </w:r>
    </w:p>
    <w:p w14:paraId="1C837BE5" w14:textId="77777777" w:rsidR="004048E3" w:rsidRPr="00F27422" w:rsidRDefault="004048E3" w:rsidP="00122B70">
      <w:pPr>
        <w:pStyle w:val="a"/>
        <w:bidi/>
        <w:spacing w:line="216" w:lineRule="auto"/>
        <w:jc w:val="left"/>
        <w:rPr>
          <w:rFonts w:asciiTheme="minorBidi" w:hAnsiTheme="minorBidi" w:cstheme="minorBidi"/>
          <w:b/>
          <w:bCs/>
          <w:sz w:val="32"/>
          <w:rtl/>
          <w:lang w:bidi="ar-BH"/>
        </w:rPr>
      </w:pPr>
      <w:r w:rsidRPr="00F27422">
        <w:rPr>
          <w:rFonts w:asciiTheme="minorBidi" w:hAnsiTheme="minorBidi" w:cstheme="minorBidi"/>
          <w:b/>
          <w:bCs/>
          <w:sz w:val="32"/>
          <w:rtl/>
        </w:rPr>
        <w:t>المطلب الأوّل:</w:t>
      </w:r>
      <w:r w:rsidRPr="00F27422">
        <w:rPr>
          <w:rFonts w:asciiTheme="minorBidi" w:hAnsiTheme="minorBidi" w:cstheme="minorBidi"/>
          <w:sz w:val="32"/>
          <w:rtl/>
        </w:rPr>
        <w:t xml:space="preserve"> التوطئة والتمهيد، وهو ما تضمنته الشرطية الأُولى بقوله (عليه السلام): </w:t>
      </w:r>
      <w:r w:rsidRPr="00F27422">
        <w:rPr>
          <w:rFonts w:asciiTheme="minorBidi" w:hAnsiTheme="minorBidi" w:cstheme="minorBidi"/>
          <w:b/>
          <w:bCs/>
          <w:sz w:val="32"/>
          <w:rtl/>
        </w:rPr>
        <w:t>(إن كان لها وقتٌ مسمى لم يبلُغ فماتت فلورثتها تلك الإجارة)</w:t>
      </w:r>
      <w:r w:rsidRPr="00F27422">
        <w:rPr>
          <w:rFonts w:asciiTheme="minorBidi" w:hAnsiTheme="minorBidi" w:cstheme="minorBidi"/>
          <w:b/>
          <w:bCs/>
          <w:sz w:val="32"/>
        </w:rPr>
        <w:t>.</w:t>
      </w:r>
    </w:p>
    <w:p w14:paraId="7B34CFFD"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والمقصود:</w:t>
      </w:r>
      <w:r w:rsidRPr="00F27422">
        <w:rPr>
          <w:rFonts w:asciiTheme="minorBidi" w:hAnsiTheme="minorBidi" w:cstheme="minorBidi"/>
          <w:sz w:val="32"/>
          <w:rtl/>
        </w:rPr>
        <w:t xml:space="preserve"> إنّ كان للأُجرة وقتٌ مسمى كما فرض في السؤال فإنّ للورثة استحقاق تلك الأُجرة واللام حينئذٍ "لام الاستحقاق".</w:t>
      </w:r>
    </w:p>
    <w:p w14:paraId="341C07E9"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المطلب الثاني:</w:t>
      </w:r>
      <w:r w:rsidRPr="00F27422">
        <w:rPr>
          <w:rFonts w:asciiTheme="minorBidi" w:hAnsiTheme="minorBidi" w:cstheme="minorBidi"/>
          <w:sz w:val="32"/>
          <w:rtl/>
        </w:rPr>
        <w:t xml:space="preserve"> ما تضمنته الشرطية الثانية وهو الجواب عما هو مصب السؤال وهو هل أنّ الشرط الذي تمّ بين المُستأجر والمؤجّر نافذٌ في حقّ ورثة المؤجّر أم لا؟</w:t>
      </w:r>
    </w:p>
    <w:p w14:paraId="326837CF" w14:textId="77777777" w:rsidR="004048E3" w:rsidRPr="00F27422" w:rsidRDefault="004048E3" w:rsidP="00122B70">
      <w:pPr>
        <w:pStyle w:val="a"/>
        <w:bidi/>
        <w:spacing w:line="216" w:lineRule="auto"/>
        <w:jc w:val="left"/>
        <w:rPr>
          <w:rFonts w:asciiTheme="minorBidi" w:hAnsiTheme="minorBidi" w:cstheme="minorBidi"/>
          <w:sz w:val="32"/>
          <w:rtl/>
          <w:lang w:bidi="ar-BH"/>
        </w:rPr>
      </w:pPr>
      <w:r w:rsidRPr="00F27422">
        <w:rPr>
          <w:rFonts w:asciiTheme="minorBidi" w:hAnsiTheme="minorBidi" w:cstheme="minorBidi"/>
          <w:b/>
          <w:bCs/>
          <w:sz w:val="32"/>
          <w:rtl/>
        </w:rPr>
        <w:t>ومحصل الجواب:</w:t>
      </w:r>
      <w:r w:rsidRPr="00F27422">
        <w:rPr>
          <w:rFonts w:asciiTheme="minorBidi" w:hAnsiTheme="minorBidi" w:cstheme="minorBidi"/>
          <w:sz w:val="32"/>
          <w:rtl/>
        </w:rPr>
        <w:t xml:space="preserve"> أنّه لا ينفذ مع عدم إدراك المرأة الوقتَ المضروب بأنْ ماتتْ أثناء السنة كما فرض في السؤال فالشرط في السنة غير نافذٍ في حقّ الورثة؛ بل لهم من الأُجرة بمقدار ما بلغتْ.</w:t>
      </w:r>
    </w:p>
    <w:p w14:paraId="6331C295" w14:textId="77777777" w:rsidR="004048E3" w:rsidRPr="00F27422" w:rsidRDefault="004048E3" w:rsidP="00122B70">
      <w:pPr>
        <w:pStyle w:val="a"/>
        <w:bidi/>
        <w:spacing w:line="216" w:lineRule="auto"/>
        <w:jc w:val="left"/>
        <w:rPr>
          <w:rFonts w:asciiTheme="minorBidi" w:hAnsiTheme="minorBidi" w:cstheme="minorBidi"/>
          <w:sz w:val="32"/>
          <w:rtl/>
          <w:lang w:bidi="ar-BH"/>
        </w:rPr>
      </w:pPr>
    </w:p>
    <w:p w14:paraId="0702CBCA" w14:textId="77777777" w:rsidR="004048E3" w:rsidRPr="00F27422" w:rsidRDefault="004048E3" w:rsidP="00122B70">
      <w:pPr>
        <w:pStyle w:val="a"/>
        <w:bidi/>
        <w:spacing w:line="216" w:lineRule="auto"/>
        <w:jc w:val="left"/>
        <w:rPr>
          <w:rFonts w:asciiTheme="minorBidi" w:hAnsiTheme="minorBidi" w:cstheme="minorBidi"/>
          <w:b/>
          <w:bCs/>
          <w:sz w:val="32"/>
        </w:rPr>
      </w:pPr>
      <w:r w:rsidRPr="00F27422">
        <w:rPr>
          <w:rFonts w:asciiTheme="minorBidi" w:hAnsiTheme="minorBidi" w:cstheme="minorBidi"/>
          <w:b/>
          <w:bCs/>
          <w:sz w:val="32"/>
          <w:rtl/>
        </w:rPr>
        <w:t xml:space="preserve">والحمد لله رب العالمين </w:t>
      </w:r>
    </w:p>
    <w:p w14:paraId="49FC5339" w14:textId="77777777" w:rsidR="00913BFD" w:rsidRPr="00F27422" w:rsidRDefault="00913BFD" w:rsidP="00122B70">
      <w:pPr>
        <w:bidi/>
        <w:rPr>
          <w:rFonts w:asciiTheme="minorBidi" w:hAnsiTheme="minorBidi"/>
          <w:sz w:val="32"/>
          <w:szCs w:val="32"/>
          <w:rtl/>
        </w:rPr>
      </w:pPr>
    </w:p>
    <w:p w14:paraId="6B7C9308" w14:textId="04DEA478" w:rsidR="00913BFD" w:rsidRPr="00F27422" w:rsidRDefault="00913BFD"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028</w:t>
      </w:r>
    </w:p>
    <w:p w14:paraId="0F40302A" w14:textId="77777777" w:rsidR="00913BFD" w:rsidRPr="00F27422" w:rsidRDefault="00913BFD" w:rsidP="00122B70">
      <w:pPr>
        <w:bidi/>
        <w:rPr>
          <w:rFonts w:asciiTheme="minorBidi" w:hAnsiTheme="minorBidi"/>
          <w:sz w:val="32"/>
          <w:szCs w:val="32"/>
          <w:rtl/>
        </w:rPr>
      </w:pPr>
    </w:p>
    <w:p w14:paraId="2EF5C0A8" w14:textId="77777777" w:rsidR="00700470" w:rsidRPr="00F27422" w:rsidRDefault="00700470" w:rsidP="00122B70">
      <w:pPr>
        <w:bidi/>
        <w:rPr>
          <w:rFonts w:asciiTheme="minorBidi" w:hAnsiTheme="minorBidi"/>
          <w:b/>
          <w:bCs/>
          <w:sz w:val="32"/>
          <w:szCs w:val="32"/>
        </w:rPr>
      </w:pPr>
      <w:r w:rsidRPr="00F27422">
        <w:rPr>
          <w:rFonts w:asciiTheme="minorBidi" w:hAnsiTheme="minorBidi"/>
          <w:b/>
          <w:bCs/>
          <w:sz w:val="32"/>
          <w:szCs w:val="32"/>
          <w:rtl/>
        </w:rPr>
        <w:t>بسم الله الرحمن الرحيم</w:t>
      </w:r>
    </w:p>
    <w:p w14:paraId="24ECC274" w14:textId="77777777" w:rsidR="00700470" w:rsidRPr="00F27422" w:rsidRDefault="00700470"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29EC9251" w14:textId="77777777" w:rsidR="00700470" w:rsidRPr="00F27422" w:rsidRDefault="00700470"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73B5ED69" w14:textId="77777777" w:rsidR="00700470" w:rsidRPr="00F27422" w:rsidRDefault="00700470" w:rsidP="00122B70">
      <w:pPr>
        <w:bidi/>
        <w:rPr>
          <w:rFonts w:asciiTheme="minorBidi" w:hAnsiTheme="minorBidi"/>
          <w:sz w:val="32"/>
          <w:szCs w:val="32"/>
          <w:rtl/>
        </w:rPr>
      </w:pPr>
    </w:p>
    <w:p w14:paraId="2561D9FF" w14:textId="77777777" w:rsidR="00700470" w:rsidRPr="00F27422" w:rsidRDefault="00700470" w:rsidP="00122B70">
      <w:pPr>
        <w:bidi/>
        <w:rPr>
          <w:rFonts w:asciiTheme="minorBidi" w:hAnsiTheme="minorBidi"/>
          <w:b/>
          <w:bCs/>
          <w:sz w:val="32"/>
          <w:szCs w:val="32"/>
          <w:rtl/>
        </w:rPr>
      </w:pPr>
      <w:r w:rsidRPr="00F27422">
        <w:rPr>
          <w:rFonts w:asciiTheme="minorBidi" w:hAnsiTheme="minorBidi"/>
          <w:b/>
          <w:bCs/>
          <w:sz w:val="32"/>
          <w:szCs w:val="32"/>
          <w:rtl/>
        </w:rPr>
        <w:lastRenderedPageBreak/>
        <w:t>ويلاحظ على الوجه الثاني للاستدلال بالرواية على صحّة الإجارة</w:t>
      </w:r>
      <w:r w:rsidRPr="00F27422">
        <w:rPr>
          <w:rFonts w:asciiTheme="minorBidi" w:hAnsiTheme="minorBidi"/>
          <w:b/>
          <w:bCs/>
          <w:sz w:val="32"/>
          <w:szCs w:val="32"/>
        </w:rPr>
        <w:t>:</w:t>
      </w:r>
    </w:p>
    <w:p w14:paraId="35F4C110" w14:textId="77777777" w:rsidR="00700470" w:rsidRPr="00F27422" w:rsidRDefault="00700470" w:rsidP="00122B70">
      <w:pPr>
        <w:bidi/>
        <w:rPr>
          <w:rFonts w:asciiTheme="minorBidi" w:hAnsiTheme="minorBidi"/>
          <w:sz w:val="32"/>
          <w:szCs w:val="32"/>
          <w:rtl/>
        </w:rPr>
      </w:pPr>
      <w:r w:rsidRPr="00F27422">
        <w:rPr>
          <w:rFonts w:asciiTheme="minorBidi" w:hAnsiTheme="minorBidi"/>
          <w:b/>
          <w:bCs/>
          <w:sz w:val="32"/>
          <w:szCs w:val="32"/>
          <w:rtl/>
        </w:rPr>
        <w:t xml:space="preserve">أولاً: </w:t>
      </w:r>
      <w:r w:rsidRPr="00F27422">
        <w:rPr>
          <w:rFonts w:asciiTheme="minorBidi" w:hAnsiTheme="minorBidi"/>
          <w:sz w:val="32"/>
          <w:szCs w:val="32"/>
          <w:rtl/>
        </w:rPr>
        <w:t xml:space="preserve">إنّ ظاهر قول الراوي في السؤال: </w:t>
      </w:r>
      <w:r w:rsidRPr="00F27422">
        <w:rPr>
          <w:rFonts w:asciiTheme="minorBidi" w:hAnsiTheme="minorBidi"/>
          <w:b/>
          <w:bCs/>
          <w:sz w:val="32"/>
          <w:szCs w:val="32"/>
          <w:rtl/>
        </w:rPr>
        <w:t xml:space="preserve">(هل يجب على ورثتها إنفاذ الإجارة إلى الوقت أم تكون الإجارة </w:t>
      </w:r>
      <w:proofErr w:type="spellStart"/>
      <w:r w:rsidRPr="00F27422">
        <w:rPr>
          <w:rFonts w:asciiTheme="minorBidi" w:hAnsiTheme="minorBidi"/>
          <w:b/>
          <w:bCs/>
          <w:sz w:val="32"/>
          <w:szCs w:val="32"/>
          <w:rtl/>
        </w:rPr>
        <w:t>منتقضة</w:t>
      </w:r>
      <w:proofErr w:type="spellEnd"/>
      <w:r w:rsidRPr="00F27422">
        <w:rPr>
          <w:rFonts w:asciiTheme="minorBidi" w:hAnsiTheme="minorBidi"/>
          <w:b/>
          <w:bCs/>
          <w:sz w:val="32"/>
          <w:szCs w:val="32"/>
          <w:rtl/>
        </w:rPr>
        <w:t>)</w:t>
      </w:r>
      <w:r w:rsidRPr="00F27422">
        <w:rPr>
          <w:rFonts w:asciiTheme="minorBidi" w:hAnsiTheme="minorBidi"/>
          <w:sz w:val="32"/>
          <w:szCs w:val="32"/>
          <w:rtl/>
        </w:rPr>
        <w:t xml:space="preserve"> كما في التهذيب والكافي و </w:t>
      </w:r>
      <w:r w:rsidRPr="00F27422">
        <w:rPr>
          <w:rFonts w:asciiTheme="minorBidi" w:hAnsiTheme="minorBidi"/>
          <w:b/>
          <w:bCs/>
          <w:sz w:val="32"/>
          <w:szCs w:val="32"/>
          <w:rtl/>
        </w:rPr>
        <w:t>(منقضية)</w:t>
      </w:r>
      <w:r w:rsidRPr="00F27422">
        <w:rPr>
          <w:rFonts w:asciiTheme="minorBidi" w:hAnsiTheme="minorBidi"/>
          <w:sz w:val="32"/>
          <w:szCs w:val="32"/>
          <w:rtl/>
        </w:rPr>
        <w:t xml:space="preserve"> كما في الوسائل، هو السؤال عن نفوذ الإجارة لا عن نفوذ الشرط وهو اشتراط أنّ للأُجرة وقتاً فلا تعطى قبل انقضاء السنة؛ إذ </w:t>
      </w:r>
      <w:r w:rsidRPr="00F27422">
        <w:rPr>
          <w:rFonts w:asciiTheme="minorBidi" w:hAnsiTheme="minorBidi"/>
          <w:sz w:val="32"/>
          <w:szCs w:val="32"/>
          <w:highlight w:val="cyan"/>
          <w:rtl/>
        </w:rPr>
        <w:t>لا يصح التعبير عرفاً عن نفوذ الشرط بإنفاذ الإجارة</w:t>
      </w:r>
      <w:r w:rsidRPr="00F27422">
        <w:rPr>
          <w:rFonts w:asciiTheme="minorBidi" w:hAnsiTheme="minorBidi"/>
          <w:sz w:val="32"/>
          <w:szCs w:val="32"/>
          <w:rtl/>
        </w:rPr>
        <w:t>؛ ويؤكد ذلك عدم ورود لفظ "الأُجرة" في السؤال في جميع النسخ، ولم نظفر بمصدر ما نقله في المستمسك الذي لم يسنده لمصدر، كما يؤكده الذيل إذ التعبير بالانتقاض والانقضاء قرينةٌ على أنّ المنظور هو الإجارة لا الأُجرة، وتضمن سؤال الراوي لذكر الشرط وإنْ كان ظاهراً في دخل الشرط في غرضه من السؤال لكنه ليس قرينةً على أنّ مصب السؤال هو لزوم الشرط وعدم لزومه؛ بل من المحتمل أنْ يكون مصب السؤال هو أنّ الإجارة المتضمنة لهذا الشرط نافذةٌ في حقّ الوارث أم فضولية؟.</w:t>
      </w:r>
    </w:p>
    <w:p w14:paraId="099F49D9" w14:textId="77777777" w:rsidR="00700470" w:rsidRPr="00F27422" w:rsidRDefault="00700470" w:rsidP="00122B70">
      <w:pPr>
        <w:bidi/>
        <w:rPr>
          <w:rFonts w:asciiTheme="minorBidi" w:hAnsiTheme="minorBidi"/>
          <w:sz w:val="32"/>
          <w:szCs w:val="32"/>
          <w:rtl/>
        </w:rPr>
      </w:pPr>
      <w:r w:rsidRPr="00F27422">
        <w:rPr>
          <w:rFonts w:asciiTheme="minorBidi" w:hAnsiTheme="minorBidi"/>
          <w:b/>
          <w:bCs/>
          <w:sz w:val="32"/>
          <w:szCs w:val="32"/>
          <w:rtl/>
        </w:rPr>
        <w:t>وثانياً:</w:t>
      </w:r>
      <w:r w:rsidRPr="00F27422">
        <w:rPr>
          <w:rFonts w:asciiTheme="minorBidi" w:hAnsiTheme="minorBidi"/>
          <w:sz w:val="32"/>
          <w:szCs w:val="32"/>
          <w:rtl/>
        </w:rPr>
        <w:t xml:space="preserve"> حيث ورد في الرواية هذا التعبير: </w:t>
      </w:r>
      <w:r w:rsidRPr="00F27422">
        <w:rPr>
          <w:rFonts w:asciiTheme="minorBidi" w:hAnsiTheme="minorBidi"/>
          <w:b/>
          <w:bCs/>
          <w:sz w:val="32"/>
          <w:szCs w:val="32"/>
          <w:rtl/>
        </w:rPr>
        <w:t xml:space="preserve">(فكتب (عليه </w:t>
      </w:r>
      <w:r w:rsidRPr="00F27422">
        <w:rPr>
          <w:rFonts w:asciiTheme="minorBidi" w:hAnsiTheme="minorBidi"/>
          <w:b/>
          <w:bCs/>
          <w:sz w:val="32"/>
          <w:szCs w:val="32"/>
        </w:rPr>
        <w:t>‌</w:t>
      </w:r>
      <w:r w:rsidRPr="00F27422">
        <w:rPr>
          <w:rFonts w:asciiTheme="minorBidi" w:hAnsiTheme="minorBidi"/>
          <w:b/>
          <w:bCs/>
          <w:sz w:val="32"/>
          <w:szCs w:val="32"/>
          <w:rtl/>
        </w:rPr>
        <w:t>السلام): إن كان لها وقتٌ مسمى لم يبلُغ فماتت فلورثتها تلك الإجارة)</w:t>
      </w:r>
      <w:r w:rsidRPr="00F27422">
        <w:rPr>
          <w:rFonts w:asciiTheme="minorBidi" w:hAnsiTheme="minorBidi"/>
          <w:sz w:val="32"/>
          <w:szCs w:val="32"/>
          <w:rtl/>
        </w:rPr>
        <w:t xml:space="preserve">، وعلى نسختي الكافي والتهذيب: </w:t>
      </w:r>
      <w:r w:rsidRPr="00F27422">
        <w:rPr>
          <w:rFonts w:asciiTheme="minorBidi" w:hAnsiTheme="minorBidi"/>
          <w:b/>
          <w:bCs/>
          <w:sz w:val="32"/>
          <w:szCs w:val="32"/>
          <w:rtl/>
        </w:rPr>
        <w:t>(فإن لم تبلغ)</w:t>
      </w:r>
      <w:r w:rsidRPr="00F27422">
        <w:rPr>
          <w:rFonts w:asciiTheme="minorBidi" w:hAnsiTheme="minorBidi"/>
          <w:sz w:val="32"/>
          <w:szCs w:val="32"/>
          <w:rtl/>
        </w:rPr>
        <w:t xml:space="preserve"> أو </w:t>
      </w:r>
      <w:r w:rsidRPr="00F27422">
        <w:rPr>
          <w:rFonts w:asciiTheme="minorBidi" w:hAnsiTheme="minorBidi"/>
          <w:b/>
          <w:bCs/>
          <w:sz w:val="32"/>
          <w:szCs w:val="32"/>
          <w:rtl/>
        </w:rPr>
        <w:t>(وإن لم يبلغ ذلك الوقت وبلغت ثلثه أو نصفه أو شيئا منه فتعطى ورثتها بقدر ما بلغت من ذلك الوقت إن شاء الله)،</w:t>
      </w:r>
      <w:r w:rsidRPr="00F27422">
        <w:rPr>
          <w:rFonts w:asciiTheme="minorBidi" w:hAnsiTheme="minorBidi"/>
          <w:sz w:val="32"/>
          <w:szCs w:val="32"/>
          <w:rtl/>
        </w:rPr>
        <w:t xml:space="preserve"> فهنا شرطيتان لهما مضمونان</w:t>
      </w:r>
      <w:r w:rsidRPr="00F27422">
        <w:rPr>
          <w:rFonts w:asciiTheme="minorBidi" w:hAnsiTheme="minorBidi"/>
          <w:sz w:val="32"/>
          <w:szCs w:val="32"/>
        </w:rPr>
        <w:t>.</w:t>
      </w:r>
    </w:p>
    <w:p w14:paraId="3EE0C4CD" w14:textId="77777777" w:rsidR="00700470" w:rsidRPr="00F27422" w:rsidRDefault="00700470" w:rsidP="00122B70">
      <w:pPr>
        <w:bidi/>
        <w:rPr>
          <w:rFonts w:asciiTheme="minorBidi" w:hAnsiTheme="minorBidi"/>
          <w:sz w:val="32"/>
          <w:szCs w:val="32"/>
          <w:rtl/>
        </w:rPr>
      </w:pPr>
      <w:r w:rsidRPr="00F27422">
        <w:rPr>
          <w:rFonts w:asciiTheme="minorBidi" w:hAnsiTheme="minorBidi"/>
          <w:b/>
          <w:bCs/>
          <w:sz w:val="32"/>
          <w:szCs w:val="32"/>
          <w:rtl/>
        </w:rPr>
        <w:t>وحاصل ما ذكر في تفصيل الشريعة:</w:t>
      </w:r>
      <w:r w:rsidRPr="00F27422">
        <w:rPr>
          <w:rFonts w:asciiTheme="minorBidi" w:hAnsiTheme="minorBidi"/>
          <w:sz w:val="32"/>
          <w:szCs w:val="32"/>
          <w:rtl/>
        </w:rPr>
        <w:t xml:space="preserve"> أنّ الفارق بين مضمون الشرطية الأُولى والثانية هو مجرد توطئة وبيان، أي أنّ مضمون الشرطية الأُولى مجرد تمهيد ومضمون الشرطية الثانية بيانٌ لما مهد له في الشرطية الأُولى؛ حيث إنّ مضمون الشرطية الأُولى: بيان أصل الاستحقاق وهو أنّه متى ماتت المرأة فلورثتها استحقاق الأُجرة، ومضمون الشرطية الثانية: بيان أنّ استحقاق الأُجرة الذي تضمنته الشرطية الأُولى إنّما يكون بالتوزيع على حسب ما بلغ من الزمن، فكأنّه أجمل المفاد في الشرطية الأُولى وفصله في الشرطية الثانية</w:t>
      </w:r>
      <w:r w:rsidRPr="00F27422">
        <w:rPr>
          <w:rFonts w:asciiTheme="minorBidi" w:hAnsiTheme="minorBidi"/>
          <w:sz w:val="32"/>
          <w:szCs w:val="32"/>
        </w:rPr>
        <w:t>.</w:t>
      </w:r>
    </w:p>
    <w:p w14:paraId="4FEAC470" w14:textId="77777777" w:rsidR="00700470" w:rsidRPr="00F27422" w:rsidRDefault="00700470" w:rsidP="00122B70">
      <w:pPr>
        <w:bidi/>
        <w:rPr>
          <w:rFonts w:asciiTheme="minorBidi" w:hAnsiTheme="minorBidi"/>
          <w:sz w:val="32"/>
          <w:szCs w:val="32"/>
          <w:rtl/>
        </w:rPr>
      </w:pPr>
      <w:r w:rsidRPr="00F27422">
        <w:rPr>
          <w:rFonts w:asciiTheme="minorBidi" w:hAnsiTheme="minorBidi"/>
          <w:sz w:val="32"/>
          <w:szCs w:val="32"/>
          <w:rtl/>
        </w:rPr>
        <w:t>مع أنّ ظاهر استخدام أداة الشرط في الفقرتين أنّ في البين فرضين مختلفين في الحكم - فلا معنى للتفريق بين المجمل والمفصل باستخدام أداة الشرط -.</w:t>
      </w:r>
    </w:p>
    <w:p w14:paraId="7C7EDFF7" w14:textId="77777777" w:rsidR="00700470" w:rsidRPr="00F27422" w:rsidRDefault="00700470" w:rsidP="00122B70">
      <w:pPr>
        <w:bidi/>
        <w:rPr>
          <w:rFonts w:asciiTheme="minorBidi" w:hAnsiTheme="minorBidi"/>
          <w:sz w:val="32"/>
          <w:szCs w:val="32"/>
          <w:rtl/>
        </w:rPr>
      </w:pPr>
      <w:r w:rsidRPr="00F27422">
        <w:rPr>
          <w:rFonts w:asciiTheme="minorBidi" w:hAnsiTheme="minorBidi"/>
          <w:b/>
          <w:bCs/>
          <w:sz w:val="32"/>
          <w:szCs w:val="32"/>
          <w:rtl/>
        </w:rPr>
        <w:t xml:space="preserve">مضافاً: </w:t>
      </w:r>
      <w:r w:rsidRPr="00F27422">
        <w:rPr>
          <w:rFonts w:asciiTheme="minorBidi" w:hAnsiTheme="minorBidi"/>
          <w:sz w:val="32"/>
          <w:szCs w:val="32"/>
          <w:rtl/>
        </w:rPr>
        <w:t>إلى أنّه لا وجه عرفاً لتعليق استحقاق الأُجرة على عدم بلوغ الوقت، فإنّ مؤدى الوجه المذكور أنّ للورثة استحقاق الأُجرة على كلّ حالٍ بلغ الوقت أو لم يبلغ، بينما ظاهر الشرطية الأُولى تعليق الاستحقاق على عدم البلوغ، وهو مما لا محصل له.</w:t>
      </w:r>
    </w:p>
    <w:p w14:paraId="2A62FA6C" w14:textId="77777777" w:rsidR="00700470" w:rsidRPr="00F27422" w:rsidRDefault="00700470" w:rsidP="00122B70">
      <w:pPr>
        <w:bidi/>
        <w:rPr>
          <w:rFonts w:asciiTheme="minorBidi" w:hAnsiTheme="minorBidi"/>
          <w:sz w:val="32"/>
          <w:szCs w:val="32"/>
          <w:rtl/>
        </w:rPr>
      </w:pPr>
      <w:r w:rsidRPr="00F27422">
        <w:rPr>
          <w:rFonts w:asciiTheme="minorBidi" w:hAnsiTheme="minorBidi"/>
          <w:sz w:val="32"/>
          <w:szCs w:val="32"/>
          <w:rtl/>
        </w:rPr>
        <w:t>ومما يؤكد أنّ النظر في الشرطية الأُولى إلى نفوذ الإجارة وعدم نفوذها أنّه لم يرد في أيّ نسخةٍ لفظ "الأُجرة</w:t>
      </w:r>
      <w:r w:rsidRPr="00F27422">
        <w:rPr>
          <w:rFonts w:asciiTheme="minorBidi" w:hAnsiTheme="minorBidi"/>
          <w:sz w:val="32"/>
          <w:szCs w:val="32"/>
        </w:rPr>
        <w:t>"</w:t>
      </w:r>
      <w:r w:rsidRPr="00F27422">
        <w:rPr>
          <w:rFonts w:asciiTheme="minorBidi" w:hAnsiTheme="minorBidi"/>
          <w:sz w:val="32"/>
          <w:szCs w:val="32"/>
          <w:rtl/>
        </w:rPr>
        <w:t>.</w:t>
      </w:r>
    </w:p>
    <w:p w14:paraId="322DC618" w14:textId="77777777" w:rsidR="00700470" w:rsidRPr="00F27422" w:rsidRDefault="00700470" w:rsidP="00122B70">
      <w:pPr>
        <w:bidi/>
        <w:rPr>
          <w:rFonts w:asciiTheme="minorBidi" w:hAnsiTheme="minorBidi"/>
          <w:sz w:val="32"/>
          <w:szCs w:val="32"/>
          <w:rtl/>
        </w:rPr>
      </w:pPr>
      <w:r w:rsidRPr="00F27422">
        <w:rPr>
          <w:rFonts w:asciiTheme="minorBidi" w:hAnsiTheme="minorBidi"/>
          <w:b/>
          <w:bCs/>
          <w:sz w:val="32"/>
          <w:szCs w:val="32"/>
          <w:rtl/>
        </w:rPr>
        <w:lastRenderedPageBreak/>
        <w:t>إذن،</w:t>
      </w:r>
      <w:r w:rsidRPr="00F27422">
        <w:rPr>
          <w:rFonts w:asciiTheme="minorBidi" w:hAnsiTheme="minorBidi"/>
          <w:sz w:val="32"/>
          <w:szCs w:val="32"/>
          <w:rtl/>
        </w:rPr>
        <w:t xml:space="preserve"> فالوجه الثاني للاستدلال بالرواية على صحّة الإجارة غيرُ تامٍ</w:t>
      </w:r>
      <w:r w:rsidRPr="00F27422">
        <w:rPr>
          <w:rFonts w:asciiTheme="minorBidi" w:hAnsiTheme="minorBidi"/>
          <w:sz w:val="32"/>
          <w:szCs w:val="32"/>
        </w:rPr>
        <w:t>.</w:t>
      </w:r>
    </w:p>
    <w:p w14:paraId="21155DCA" w14:textId="77777777" w:rsidR="00700470" w:rsidRPr="00F27422" w:rsidRDefault="00700470" w:rsidP="00122B70">
      <w:pPr>
        <w:bidi/>
        <w:rPr>
          <w:rFonts w:asciiTheme="minorBidi" w:hAnsiTheme="minorBidi"/>
          <w:sz w:val="32"/>
          <w:szCs w:val="32"/>
          <w:rtl/>
        </w:rPr>
      </w:pPr>
      <w:r w:rsidRPr="00F27422">
        <w:rPr>
          <w:rFonts w:asciiTheme="minorBidi" w:hAnsiTheme="minorBidi"/>
          <w:b/>
          <w:bCs/>
          <w:sz w:val="32"/>
          <w:szCs w:val="32"/>
          <w:rtl/>
        </w:rPr>
        <w:t>الوجه الثالث:</w:t>
      </w:r>
      <w:r w:rsidRPr="00F27422">
        <w:rPr>
          <w:rFonts w:asciiTheme="minorBidi" w:hAnsiTheme="minorBidi"/>
          <w:sz w:val="32"/>
          <w:szCs w:val="32"/>
          <w:rtl/>
        </w:rPr>
        <w:t xml:space="preserve"> ما ذكره المحقق الأصفهاني (قدس سره الشريف) في كتابه [الإجارة، تأليف الشيخ الأصفهاني، مؤسسة النشر الإسلامي التابعة لجماعة المدرسين بقم المشرفة، ص22]</w:t>
      </w:r>
      <w:r w:rsidRPr="00F27422">
        <w:rPr>
          <w:rFonts w:asciiTheme="minorBidi" w:hAnsiTheme="minorBidi"/>
          <w:sz w:val="32"/>
          <w:szCs w:val="32"/>
        </w:rPr>
        <w:t>.</w:t>
      </w:r>
    </w:p>
    <w:p w14:paraId="4BBBC468" w14:textId="77777777" w:rsidR="00700470" w:rsidRPr="00F27422" w:rsidRDefault="00700470" w:rsidP="00122B70">
      <w:pPr>
        <w:bidi/>
        <w:rPr>
          <w:rFonts w:asciiTheme="minorBidi" w:hAnsiTheme="minorBidi"/>
          <w:sz w:val="32"/>
          <w:szCs w:val="32"/>
          <w:rtl/>
        </w:rPr>
      </w:pPr>
      <w:r w:rsidRPr="00F27422">
        <w:rPr>
          <w:rFonts w:asciiTheme="minorBidi" w:hAnsiTheme="minorBidi"/>
          <w:sz w:val="32"/>
          <w:szCs w:val="32"/>
          <w:rtl/>
        </w:rPr>
        <w:t>من نظر الرواية لصحّة الإجارة، غاية ما في الأمر أنّ الفارق بين الشرطيتين هو الإجمال والتفصيل، فكأنّه قال في الشرطية الأُولى: بما أنّ المرأة - كما فرض في السؤال - لم تبلغ الوقت أي لم تبلغ عشر سنوات وهو مدّة الإجارة فللورثة الأُجرة ومضمون الشرطية الثانية بيانُ الطريقة والكيفية لثبوت الأُجرة للورثة</w:t>
      </w:r>
      <w:r w:rsidRPr="00F27422">
        <w:rPr>
          <w:rFonts w:asciiTheme="minorBidi" w:hAnsiTheme="minorBidi"/>
          <w:sz w:val="32"/>
          <w:szCs w:val="32"/>
        </w:rPr>
        <w:t>.</w:t>
      </w:r>
    </w:p>
    <w:p w14:paraId="7D6AA231" w14:textId="77777777" w:rsidR="00700470" w:rsidRPr="00F27422" w:rsidRDefault="00700470" w:rsidP="00122B70">
      <w:pPr>
        <w:bidi/>
        <w:rPr>
          <w:rFonts w:asciiTheme="minorBidi" w:hAnsiTheme="minorBidi"/>
          <w:sz w:val="32"/>
          <w:szCs w:val="32"/>
          <w:rtl/>
        </w:rPr>
      </w:pPr>
      <w:r w:rsidRPr="00F27422">
        <w:rPr>
          <w:rFonts w:asciiTheme="minorBidi" w:hAnsiTheme="minorBidi"/>
          <w:b/>
          <w:bCs/>
          <w:sz w:val="32"/>
          <w:szCs w:val="32"/>
          <w:rtl/>
        </w:rPr>
        <w:t>ويرد عليه:</w:t>
      </w:r>
      <w:r w:rsidRPr="00F27422">
        <w:rPr>
          <w:rFonts w:asciiTheme="minorBidi" w:hAnsiTheme="minorBidi"/>
          <w:sz w:val="32"/>
          <w:szCs w:val="32"/>
          <w:rtl/>
        </w:rPr>
        <w:t xml:space="preserve"> ما مضى من الإشكال على الوجه الثاني</w:t>
      </w:r>
      <w:r w:rsidRPr="00F27422">
        <w:rPr>
          <w:rFonts w:asciiTheme="minorBidi" w:hAnsiTheme="minorBidi"/>
          <w:sz w:val="32"/>
          <w:szCs w:val="32"/>
        </w:rPr>
        <w:t>.</w:t>
      </w:r>
    </w:p>
    <w:p w14:paraId="7EDD3EE3" w14:textId="77777777" w:rsidR="00700470" w:rsidRPr="00F27422" w:rsidRDefault="00700470" w:rsidP="00122B70">
      <w:pPr>
        <w:bidi/>
        <w:rPr>
          <w:rFonts w:asciiTheme="minorBidi" w:hAnsiTheme="minorBidi"/>
          <w:sz w:val="32"/>
          <w:szCs w:val="32"/>
          <w:rtl/>
        </w:rPr>
      </w:pPr>
      <w:r w:rsidRPr="00F27422">
        <w:rPr>
          <w:rFonts w:asciiTheme="minorBidi" w:hAnsiTheme="minorBidi"/>
          <w:sz w:val="32"/>
          <w:szCs w:val="32"/>
          <w:rtl/>
        </w:rPr>
        <w:t>هذا تمام الكلام في القولين: القول بدلالة الرواية عن البطلان والقول بدلالتها على الصحّة</w:t>
      </w:r>
      <w:r w:rsidRPr="00F27422">
        <w:rPr>
          <w:rFonts w:asciiTheme="minorBidi" w:hAnsiTheme="minorBidi"/>
          <w:sz w:val="32"/>
          <w:szCs w:val="32"/>
        </w:rPr>
        <w:t>.</w:t>
      </w:r>
    </w:p>
    <w:p w14:paraId="08C28BDF" w14:textId="77777777" w:rsidR="00700470" w:rsidRPr="00F27422" w:rsidRDefault="00700470" w:rsidP="00122B70">
      <w:pPr>
        <w:bidi/>
        <w:rPr>
          <w:rFonts w:asciiTheme="minorBidi" w:hAnsiTheme="minorBidi"/>
          <w:sz w:val="32"/>
          <w:szCs w:val="32"/>
          <w:rtl/>
        </w:rPr>
      </w:pPr>
      <w:r w:rsidRPr="00F27422">
        <w:rPr>
          <w:rFonts w:asciiTheme="minorBidi" w:hAnsiTheme="minorBidi"/>
          <w:b/>
          <w:bCs/>
          <w:sz w:val="32"/>
          <w:szCs w:val="32"/>
          <w:rtl/>
        </w:rPr>
        <w:t>والإنصاف:</w:t>
      </w:r>
      <w:r w:rsidRPr="00F27422">
        <w:rPr>
          <w:rFonts w:asciiTheme="minorBidi" w:hAnsiTheme="minorBidi"/>
          <w:sz w:val="32"/>
          <w:szCs w:val="32"/>
          <w:rtl/>
        </w:rPr>
        <w:t xml:space="preserve"> هو إجمال الرواية لاضطراب المتن فيها؛ نتيجة اختلاف النسخ وتكرر الشرطية في الجواب، وحينئذٍ فالمدار على العمومات التي تقتضي صحّة الإجارة في المقام</w:t>
      </w:r>
      <w:r w:rsidRPr="00F27422">
        <w:rPr>
          <w:rFonts w:asciiTheme="minorBidi" w:hAnsiTheme="minorBidi"/>
          <w:sz w:val="32"/>
          <w:szCs w:val="32"/>
        </w:rPr>
        <w:t>.</w:t>
      </w:r>
    </w:p>
    <w:p w14:paraId="2A7C91CD" w14:textId="77777777" w:rsidR="00700470" w:rsidRPr="00F27422" w:rsidRDefault="00700470" w:rsidP="00122B70">
      <w:pPr>
        <w:bidi/>
        <w:rPr>
          <w:rFonts w:asciiTheme="minorBidi" w:hAnsiTheme="minorBidi"/>
          <w:sz w:val="32"/>
          <w:szCs w:val="32"/>
          <w:rtl/>
        </w:rPr>
      </w:pPr>
      <w:r w:rsidRPr="00F27422">
        <w:rPr>
          <w:rFonts w:asciiTheme="minorBidi" w:hAnsiTheme="minorBidi"/>
          <w:b/>
          <w:bCs/>
          <w:sz w:val="32"/>
          <w:szCs w:val="32"/>
          <w:rtl/>
        </w:rPr>
        <w:t>فإنْ قلت:</w:t>
      </w:r>
      <w:r w:rsidRPr="00F27422">
        <w:rPr>
          <w:rFonts w:asciiTheme="minorBidi" w:hAnsiTheme="minorBidi"/>
          <w:sz w:val="32"/>
          <w:szCs w:val="32"/>
          <w:rtl/>
        </w:rPr>
        <w:t xml:space="preserve"> قد أفاد الشيخ (رحمه الله) في كتابه [الخلاف، تأليف الشيخ الطوسي، مؤسسة النشر الإسلامي، ج3، المسألة 7، ص492] بورود الأخبار بالبطلان.</w:t>
      </w:r>
    </w:p>
    <w:p w14:paraId="07F22A43" w14:textId="77777777" w:rsidR="00700470" w:rsidRPr="00F27422" w:rsidRDefault="00700470" w:rsidP="00122B70">
      <w:pPr>
        <w:bidi/>
        <w:rPr>
          <w:rFonts w:asciiTheme="minorBidi" w:hAnsiTheme="minorBidi"/>
          <w:sz w:val="32"/>
          <w:szCs w:val="32"/>
          <w:rtl/>
        </w:rPr>
      </w:pPr>
      <w:r w:rsidRPr="00F27422">
        <w:rPr>
          <w:rFonts w:asciiTheme="minorBidi" w:hAnsiTheme="minorBidi"/>
          <w:sz w:val="32"/>
          <w:szCs w:val="32"/>
          <w:rtl/>
        </w:rPr>
        <w:t xml:space="preserve">كما في عبارة مفتاح الكرامة: </w:t>
      </w:r>
      <w:r w:rsidRPr="00F27422">
        <w:rPr>
          <w:rFonts w:asciiTheme="minorBidi" w:hAnsiTheme="minorBidi"/>
          <w:b/>
          <w:bCs/>
          <w:sz w:val="32"/>
          <w:szCs w:val="32"/>
          <w:rtl/>
        </w:rPr>
        <w:t xml:space="preserve">(وقد </w:t>
      </w:r>
      <w:proofErr w:type="spellStart"/>
      <w:r w:rsidRPr="00F27422">
        <w:rPr>
          <w:rFonts w:asciiTheme="minorBidi" w:hAnsiTheme="minorBidi"/>
          <w:b/>
          <w:bCs/>
          <w:sz w:val="32"/>
          <w:szCs w:val="32"/>
          <w:rtl/>
        </w:rPr>
        <w:t>ادعی</w:t>
      </w:r>
      <w:proofErr w:type="spellEnd"/>
      <w:r w:rsidRPr="00F27422">
        <w:rPr>
          <w:rFonts w:asciiTheme="minorBidi" w:hAnsiTheme="minorBidi"/>
          <w:b/>
          <w:bCs/>
          <w:sz w:val="32"/>
          <w:szCs w:val="32"/>
          <w:rtl/>
        </w:rPr>
        <w:t xml:space="preserve"> </w:t>
      </w:r>
      <w:proofErr w:type="spellStart"/>
      <w:r w:rsidRPr="00F27422">
        <w:rPr>
          <w:rFonts w:asciiTheme="minorBidi" w:hAnsiTheme="minorBidi"/>
          <w:b/>
          <w:bCs/>
          <w:sz w:val="32"/>
          <w:szCs w:val="32"/>
          <w:rtl/>
        </w:rPr>
        <w:t>الشیخ</w:t>
      </w:r>
      <w:proofErr w:type="spellEnd"/>
      <w:r w:rsidRPr="00F27422">
        <w:rPr>
          <w:rFonts w:asciiTheme="minorBidi" w:hAnsiTheme="minorBidi"/>
          <w:b/>
          <w:bCs/>
          <w:sz w:val="32"/>
          <w:szCs w:val="32"/>
          <w:rtl/>
        </w:rPr>
        <w:t xml:space="preserve"> في </w:t>
      </w:r>
      <w:proofErr w:type="spellStart"/>
      <w:r w:rsidRPr="00F27422">
        <w:rPr>
          <w:rFonts w:asciiTheme="minorBidi" w:hAnsiTheme="minorBidi"/>
          <w:b/>
          <w:bCs/>
          <w:sz w:val="32"/>
          <w:szCs w:val="32"/>
          <w:rtl/>
        </w:rPr>
        <w:t>موضعین</w:t>
      </w:r>
      <w:proofErr w:type="spellEnd"/>
      <w:r w:rsidRPr="00F27422">
        <w:rPr>
          <w:rFonts w:asciiTheme="minorBidi" w:hAnsiTheme="minorBidi"/>
          <w:b/>
          <w:bCs/>
          <w:sz w:val="32"/>
          <w:szCs w:val="32"/>
          <w:rtl/>
        </w:rPr>
        <w:t xml:space="preserve"> من الخلاف ورود الأخبار في ذلك مصرحة به تارة وعامة أخری).</w:t>
      </w:r>
      <w:r w:rsidRPr="00F27422">
        <w:rPr>
          <w:rFonts w:asciiTheme="minorBidi" w:hAnsiTheme="minorBidi"/>
          <w:sz w:val="32"/>
          <w:szCs w:val="32"/>
          <w:rtl/>
        </w:rPr>
        <w:t xml:space="preserve"> [مفتاح الكرامة في شرح قواعد العلامة، السيد محمد جواد العاملي، دار إحياء التراث العربي، ج7، ص79].</w:t>
      </w:r>
    </w:p>
    <w:p w14:paraId="704BF613" w14:textId="77777777" w:rsidR="00700470" w:rsidRPr="00F27422" w:rsidRDefault="00700470" w:rsidP="00122B70">
      <w:pPr>
        <w:bidi/>
        <w:rPr>
          <w:rFonts w:asciiTheme="minorBidi" w:hAnsiTheme="minorBidi"/>
          <w:b/>
          <w:bCs/>
          <w:sz w:val="32"/>
          <w:szCs w:val="32"/>
          <w:rtl/>
        </w:rPr>
      </w:pPr>
      <w:r w:rsidRPr="00F27422">
        <w:rPr>
          <w:rFonts w:asciiTheme="minorBidi" w:hAnsiTheme="minorBidi"/>
          <w:sz w:val="32"/>
          <w:szCs w:val="32"/>
          <w:rtl/>
        </w:rPr>
        <w:t xml:space="preserve">فقال (قدس سره) في المسألة 7: </w:t>
      </w:r>
      <w:r w:rsidRPr="00F27422">
        <w:rPr>
          <w:rFonts w:asciiTheme="minorBidi" w:hAnsiTheme="minorBidi"/>
          <w:b/>
          <w:bCs/>
          <w:sz w:val="32"/>
          <w:szCs w:val="32"/>
          <w:rtl/>
        </w:rPr>
        <w:t>(دليلنا: إجماع الفرقة وأخبارهم)،</w:t>
      </w:r>
      <w:r w:rsidRPr="00F27422">
        <w:rPr>
          <w:rFonts w:asciiTheme="minorBidi" w:hAnsiTheme="minorBidi"/>
          <w:sz w:val="32"/>
          <w:szCs w:val="32"/>
          <w:rtl/>
        </w:rPr>
        <w:t xml:space="preserve"> وفي نفس المصدر [المسألة 17، ص498] قال: </w:t>
      </w:r>
      <w:r w:rsidRPr="00F27422">
        <w:rPr>
          <w:rFonts w:asciiTheme="minorBidi" w:hAnsiTheme="minorBidi"/>
          <w:b/>
          <w:bCs/>
          <w:sz w:val="32"/>
          <w:szCs w:val="32"/>
          <w:rtl/>
        </w:rPr>
        <w:t>(دليلنا: عموم الأخبار التي وردت في أن الإجارة تبطل بالموت)</w:t>
      </w:r>
      <w:r w:rsidRPr="00F27422">
        <w:rPr>
          <w:rFonts w:asciiTheme="minorBidi" w:hAnsiTheme="minorBidi"/>
          <w:b/>
          <w:bCs/>
          <w:sz w:val="32"/>
          <w:szCs w:val="32"/>
        </w:rPr>
        <w:t>.</w:t>
      </w:r>
    </w:p>
    <w:p w14:paraId="2D2C1769" w14:textId="77777777" w:rsidR="00700470" w:rsidRPr="00F27422" w:rsidRDefault="00700470" w:rsidP="00122B70">
      <w:pPr>
        <w:bidi/>
        <w:rPr>
          <w:rFonts w:asciiTheme="minorBidi" w:hAnsiTheme="minorBidi"/>
          <w:b/>
          <w:bCs/>
          <w:sz w:val="32"/>
          <w:szCs w:val="32"/>
          <w:rtl/>
        </w:rPr>
      </w:pPr>
      <w:r w:rsidRPr="00F27422">
        <w:rPr>
          <w:rFonts w:asciiTheme="minorBidi" w:hAnsiTheme="minorBidi"/>
          <w:sz w:val="32"/>
          <w:szCs w:val="32"/>
          <w:rtl/>
        </w:rPr>
        <w:t>وأكد ذلك العلامة (قدس سره) في كتابه [تذكرة الفقهاء (</w:t>
      </w:r>
      <w:proofErr w:type="spellStart"/>
      <w:r w:rsidRPr="00F27422">
        <w:rPr>
          <w:rFonts w:asciiTheme="minorBidi" w:hAnsiTheme="minorBidi"/>
          <w:sz w:val="32"/>
          <w:szCs w:val="32"/>
          <w:rtl/>
        </w:rPr>
        <w:t>ط.ق</w:t>
      </w:r>
      <w:proofErr w:type="spellEnd"/>
      <w:r w:rsidRPr="00F27422">
        <w:rPr>
          <w:rFonts w:asciiTheme="minorBidi" w:hAnsiTheme="minorBidi"/>
          <w:sz w:val="32"/>
          <w:szCs w:val="32"/>
          <w:rtl/>
        </w:rPr>
        <w:t xml:space="preserve">)، تأليف العلامة الحلي، منشورات المكتبة المرتضوية لإحياء الآثار الجعفرية، ج2، ص325] حيث قال: </w:t>
      </w:r>
      <w:r w:rsidRPr="00F27422">
        <w:rPr>
          <w:rFonts w:asciiTheme="minorBidi" w:hAnsiTheme="minorBidi"/>
          <w:b/>
          <w:bCs/>
          <w:sz w:val="32"/>
          <w:szCs w:val="32"/>
          <w:rtl/>
        </w:rPr>
        <w:t xml:space="preserve">(والشيخ (ره) استدل على دعواه بالبطلان بموت أيهما كان </w:t>
      </w:r>
      <w:proofErr w:type="spellStart"/>
      <w:r w:rsidRPr="00F27422">
        <w:rPr>
          <w:rFonts w:asciiTheme="minorBidi" w:hAnsiTheme="minorBidi"/>
          <w:b/>
          <w:bCs/>
          <w:sz w:val="32"/>
          <w:szCs w:val="32"/>
          <w:rtl/>
        </w:rPr>
        <w:t>باجماع</w:t>
      </w:r>
      <w:proofErr w:type="spellEnd"/>
      <w:r w:rsidRPr="00F27422">
        <w:rPr>
          <w:rFonts w:asciiTheme="minorBidi" w:hAnsiTheme="minorBidi"/>
          <w:b/>
          <w:bCs/>
          <w:sz w:val="32"/>
          <w:szCs w:val="32"/>
          <w:rtl/>
        </w:rPr>
        <w:t xml:space="preserve"> الفرقة وأخبارهم)</w:t>
      </w:r>
      <w:r w:rsidRPr="00F27422">
        <w:rPr>
          <w:rFonts w:asciiTheme="minorBidi" w:hAnsiTheme="minorBidi"/>
          <w:sz w:val="32"/>
          <w:szCs w:val="32"/>
          <w:rtl/>
        </w:rPr>
        <w:t xml:space="preserve"> وحيث لا توجد أخبارٌ ظاهرةٌ في المطلب، لذلك تصدى العلامة لدفع دخل فقال: </w:t>
      </w:r>
      <w:r w:rsidRPr="00F27422">
        <w:rPr>
          <w:rFonts w:asciiTheme="minorBidi" w:hAnsiTheme="minorBidi"/>
          <w:b/>
          <w:bCs/>
          <w:sz w:val="32"/>
          <w:szCs w:val="32"/>
          <w:rtl/>
        </w:rPr>
        <w:t>(ولا شك في عدالته وقبول روايته مسندة فتقبل مرسلة)</w:t>
      </w:r>
      <w:r w:rsidRPr="00F27422">
        <w:rPr>
          <w:rFonts w:asciiTheme="minorBidi" w:hAnsiTheme="minorBidi"/>
          <w:b/>
          <w:bCs/>
          <w:sz w:val="32"/>
          <w:szCs w:val="32"/>
        </w:rPr>
        <w:t>.</w:t>
      </w:r>
    </w:p>
    <w:p w14:paraId="0F8AEF30" w14:textId="77777777" w:rsidR="00700470" w:rsidRPr="00F27422" w:rsidRDefault="00700470" w:rsidP="00122B70">
      <w:pPr>
        <w:bidi/>
        <w:rPr>
          <w:rFonts w:asciiTheme="minorBidi" w:hAnsiTheme="minorBidi"/>
          <w:b/>
          <w:bCs/>
          <w:sz w:val="32"/>
          <w:szCs w:val="32"/>
          <w:rtl/>
        </w:rPr>
      </w:pPr>
      <w:r w:rsidRPr="00F27422">
        <w:rPr>
          <w:rFonts w:asciiTheme="minorBidi" w:hAnsiTheme="minorBidi"/>
          <w:b/>
          <w:bCs/>
          <w:sz w:val="32"/>
          <w:szCs w:val="32"/>
          <w:rtl/>
        </w:rPr>
        <w:lastRenderedPageBreak/>
        <w:t>وقد يقال:</w:t>
      </w:r>
      <w:r w:rsidRPr="00F27422">
        <w:rPr>
          <w:rFonts w:asciiTheme="minorBidi" w:hAnsiTheme="minorBidi"/>
          <w:sz w:val="32"/>
          <w:szCs w:val="32"/>
          <w:rtl/>
        </w:rPr>
        <w:t xml:space="preserve"> إنّ ما يؤكد أنّ هناك أخباراً هو الفتوى بالبطلان في المقنعة والنهاية والوسيلة والمراسم، مع أنّه من المعلوم أنّ الفتاوى في النهاية والمقنعة إنّما هي بمتون الروايات والأخبار بدون تصرف</w:t>
      </w:r>
      <w:r w:rsidRPr="00F27422">
        <w:rPr>
          <w:rFonts w:asciiTheme="minorBidi" w:hAnsiTheme="minorBidi"/>
          <w:sz w:val="32"/>
          <w:szCs w:val="32"/>
        </w:rPr>
        <w:t>.</w:t>
      </w:r>
    </w:p>
    <w:p w14:paraId="6006C852" w14:textId="77777777" w:rsidR="00700470" w:rsidRPr="00F27422" w:rsidRDefault="00700470" w:rsidP="00122B70">
      <w:pPr>
        <w:bidi/>
        <w:rPr>
          <w:rFonts w:asciiTheme="minorBidi" w:hAnsiTheme="minorBidi"/>
          <w:sz w:val="32"/>
          <w:szCs w:val="32"/>
          <w:rtl/>
        </w:rPr>
      </w:pPr>
      <w:r w:rsidRPr="00F27422">
        <w:rPr>
          <w:rFonts w:asciiTheme="minorBidi" w:hAnsiTheme="minorBidi"/>
          <w:sz w:val="32"/>
          <w:szCs w:val="32"/>
          <w:rtl/>
        </w:rPr>
        <w:t>وهذا مانعٌ من العمل بالعمومات التي تقتضي الصحّة - حيث إنّ المختار خلافاً لسيدنا الخوئي (قدس سره الشريف) - أنّ العمل بالعمومات مستندٌ لدليل حجية الظهور، ودليل حجية الظهور هو العرف العقلائي، والعرف العقلائي لم يقم على الأخذ بالظاهر مع قيام منشأ عقلائي على خلافه، وفي المقام قام منشأ عقلائي على خلاف العمومات ألّا وهو فتوى الشيخ في المقنعة والنهاية التي عُلِم أنّها لا تكون إلّا بمتون الأخبار، بل صرح في الخلاف أنّ الأخبار تدل على البطلان.</w:t>
      </w:r>
    </w:p>
    <w:p w14:paraId="7F3FE15B" w14:textId="77777777" w:rsidR="00700470" w:rsidRPr="00F27422" w:rsidRDefault="00700470" w:rsidP="00122B70">
      <w:pPr>
        <w:bidi/>
        <w:rPr>
          <w:rFonts w:asciiTheme="minorBidi" w:hAnsiTheme="minorBidi"/>
          <w:b/>
          <w:bCs/>
          <w:sz w:val="32"/>
          <w:szCs w:val="32"/>
          <w:rtl/>
        </w:rPr>
      </w:pPr>
      <w:r w:rsidRPr="00F27422">
        <w:rPr>
          <w:rFonts w:asciiTheme="minorBidi" w:hAnsiTheme="minorBidi"/>
          <w:sz w:val="32"/>
          <w:szCs w:val="32"/>
          <w:rtl/>
        </w:rPr>
        <w:t>ومع هذا لا يمكن المصير للعمل بالعمومات ولو لم نصل إلى هذه الأخبار</w:t>
      </w:r>
      <w:r w:rsidRPr="00F27422">
        <w:rPr>
          <w:rFonts w:asciiTheme="minorBidi" w:hAnsiTheme="minorBidi"/>
          <w:sz w:val="32"/>
          <w:szCs w:val="32"/>
        </w:rPr>
        <w:t>.</w:t>
      </w:r>
    </w:p>
    <w:p w14:paraId="50B54BA8" w14:textId="77777777" w:rsidR="00700470" w:rsidRPr="00F27422" w:rsidRDefault="00700470" w:rsidP="00122B70">
      <w:pPr>
        <w:bidi/>
        <w:rPr>
          <w:rFonts w:asciiTheme="minorBidi" w:hAnsiTheme="minorBidi"/>
          <w:sz w:val="32"/>
          <w:szCs w:val="32"/>
          <w:rtl/>
        </w:rPr>
      </w:pPr>
      <w:r w:rsidRPr="00F27422">
        <w:rPr>
          <w:rFonts w:asciiTheme="minorBidi" w:hAnsiTheme="minorBidi"/>
          <w:b/>
          <w:bCs/>
          <w:sz w:val="32"/>
          <w:szCs w:val="32"/>
          <w:rtl/>
        </w:rPr>
        <w:t>قلتُ:</w:t>
      </w:r>
    </w:p>
    <w:p w14:paraId="56243F93" w14:textId="77777777" w:rsidR="00700470" w:rsidRPr="00F27422" w:rsidRDefault="00700470" w:rsidP="00122B70">
      <w:pPr>
        <w:bidi/>
        <w:rPr>
          <w:rFonts w:asciiTheme="minorBidi" w:hAnsiTheme="minorBidi"/>
          <w:b/>
          <w:bCs/>
          <w:sz w:val="32"/>
          <w:szCs w:val="32"/>
          <w:rtl/>
        </w:rPr>
      </w:pPr>
      <w:r w:rsidRPr="00F27422">
        <w:rPr>
          <w:rFonts w:asciiTheme="minorBidi" w:hAnsiTheme="minorBidi"/>
          <w:b/>
          <w:bCs/>
          <w:sz w:val="32"/>
          <w:szCs w:val="32"/>
          <w:rtl/>
        </w:rPr>
        <w:t>أولاً:</w:t>
      </w:r>
      <w:r w:rsidRPr="00F27422">
        <w:rPr>
          <w:rFonts w:asciiTheme="minorBidi" w:hAnsiTheme="minorBidi"/>
          <w:sz w:val="32"/>
          <w:szCs w:val="32"/>
          <w:rtl/>
        </w:rPr>
        <w:t xml:space="preserve"> هناك منشأ عقلائي للشك في وجود أخبارٍ صريحة: وهو أنّه لو كانت هذه الأخبار واردة وواضحة الدلالة كما يقول الشيخ (رحمه الله) لكانت واضحة لمن سبق الشيخ كابن الجنيد والسيد المرتضى (قدس سرهما)، مع أنّ السيد المرتضى في كتابه [الناصريات، ص438] وابن الجنيد كما نقل عنه في كتاب [مختلف الشيعة، ج6، ص107] مصرحان بعدم البطلان بموت المُستأجر، والحال بأنّ الشيخ (رحمه الله) يسند البطلان بموت المؤجّر أو موت المُستأجر لأخبارٍ صريحة</w:t>
      </w:r>
      <w:r w:rsidRPr="00F27422">
        <w:rPr>
          <w:rFonts w:asciiTheme="minorBidi" w:hAnsiTheme="minorBidi"/>
          <w:sz w:val="32"/>
          <w:szCs w:val="32"/>
        </w:rPr>
        <w:t>.</w:t>
      </w:r>
    </w:p>
    <w:p w14:paraId="47A7D88C" w14:textId="77777777" w:rsidR="00700470" w:rsidRPr="00F27422" w:rsidRDefault="00700470" w:rsidP="00122B70">
      <w:pPr>
        <w:bidi/>
        <w:rPr>
          <w:rFonts w:asciiTheme="minorBidi" w:hAnsiTheme="minorBidi"/>
          <w:sz w:val="32"/>
          <w:szCs w:val="32"/>
          <w:rtl/>
        </w:rPr>
      </w:pPr>
      <w:r w:rsidRPr="00F27422">
        <w:rPr>
          <w:rFonts w:asciiTheme="minorBidi" w:hAnsiTheme="minorBidi"/>
          <w:sz w:val="32"/>
          <w:szCs w:val="32"/>
          <w:rtl/>
        </w:rPr>
        <w:t xml:space="preserve">بل صرح أبو الصلاح الحلبي (عليه الرحمة) - الذي هو تلميذ الشيخ (رحمه الله) والمعاصر له ومِن عظم منزلته ترجمه في الرجال مع أنّ الشيخ (رحمه الله) لا يترجم لتلامذته كما في كتابه [رجال الطوسي، تحقيق جواد </w:t>
      </w:r>
      <w:proofErr w:type="spellStart"/>
      <w:r w:rsidRPr="00F27422">
        <w:rPr>
          <w:rFonts w:asciiTheme="minorBidi" w:hAnsiTheme="minorBidi"/>
          <w:sz w:val="32"/>
          <w:szCs w:val="32"/>
          <w:rtl/>
        </w:rPr>
        <w:t>القيومي</w:t>
      </w:r>
      <w:proofErr w:type="spellEnd"/>
      <w:r w:rsidRPr="00F27422">
        <w:rPr>
          <w:rFonts w:asciiTheme="minorBidi" w:hAnsiTheme="minorBidi"/>
          <w:sz w:val="32"/>
          <w:szCs w:val="32"/>
          <w:rtl/>
        </w:rPr>
        <w:t xml:space="preserve"> الأصفهاني، مؤسسة النشر الإسلامي التابعة لجماعة المدرسين بقم المقدسة، ص417، باب التاء] حيث قال: </w:t>
      </w:r>
      <w:r w:rsidRPr="00F27422">
        <w:rPr>
          <w:rFonts w:asciiTheme="minorBidi" w:hAnsiTheme="minorBidi"/>
          <w:b/>
          <w:bCs/>
          <w:sz w:val="32"/>
          <w:szCs w:val="32"/>
          <w:rtl/>
        </w:rPr>
        <w:t>([6034] 1- تقي بن نجم الحلبي، ثقة، له كتب، قرأ علينا وعلى المرتضى)</w:t>
      </w:r>
      <w:r w:rsidRPr="00F27422">
        <w:rPr>
          <w:rFonts w:asciiTheme="minorBidi" w:hAnsiTheme="minorBidi"/>
          <w:sz w:val="32"/>
          <w:szCs w:val="32"/>
          <w:rtl/>
        </w:rPr>
        <w:t xml:space="preserve">، وهذا كاشفٌ عن عظم منزلته وعلو قدره عنده - بصحّة الإجارة سواء مات المؤجّر أو المُستأجر، كما في كتابه [الكافي في الفقه، لتقي الدين أبي الصلاح الحلبي، مؤسسة بوستان كتاب، فصل في ضروب الإجارة، ص319]: </w:t>
      </w:r>
      <w:r w:rsidRPr="00F27422">
        <w:rPr>
          <w:rFonts w:asciiTheme="minorBidi" w:hAnsiTheme="minorBidi"/>
          <w:b/>
          <w:bCs/>
          <w:sz w:val="32"/>
          <w:szCs w:val="32"/>
          <w:rtl/>
        </w:rPr>
        <w:t>(ولا تبطل الإجارة بالموت ويقوم ورثة كلّ واحد من المالك والمستأجر مقام موروثه، والسفر لا يبطل الإجارة وإن فسخها المستأجر وحكم بها (كذا) حاكم جور إلّا أن يفسخها المالك).</w:t>
      </w:r>
    </w:p>
    <w:p w14:paraId="0D2B4D27" w14:textId="2E6A5B4F" w:rsidR="00700470" w:rsidRPr="00F27422" w:rsidRDefault="00700470" w:rsidP="00122B70">
      <w:pPr>
        <w:bidi/>
        <w:rPr>
          <w:rFonts w:asciiTheme="minorBidi" w:hAnsiTheme="minorBidi"/>
          <w:sz w:val="32"/>
          <w:szCs w:val="32"/>
          <w:rtl/>
        </w:rPr>
      </w:pPr>
      <w:r w:rsidRPr="00F27422">
        <w:rPr>
          <w:rFonts w:asciiTheme="minorBidi" w:hAnsiTheme="minorBidi"/>
          <w:sz w:val="32"/>
          <w:szCs w:val="32"/>
          <w:rtl/>
        </w:rPr>
        <w:t xml:space="preserve">ولو كانت هناك أخبارٌ واردةٌ وصريحةٌ فهي </w:t>
      </w:r>
      <w:proofErr w:type="spellStart"/>
      <w:r w:rsidRPr="00F27422">
        <w:rPr>
          <w:rFonts w:asciiTheme="minorBidi" w:hAnsiTheme="minorBidi"/>
          <w:sz w:val="32"/>
          <w:szCs w:val="32"/>
          <w:rtl/>
        </w:rPr>
        <w:t>بمرئ</w:t>
      </w:r>
      <w:r w:rsidR="00C0730B" w:rsidRPr="00F27422">
        <w:rPr>
          <w:rFonts w:asciiTheme="minorBidi" w:hAnsiTheme="minorBidi"/>
          <w:sz w:val="32"/>
          <w:szCs w:val="32"/>
          <w:rtl/>
        </w:rPr>
        <w:t>ى</w:t>
      </w:r>
      <w:proofErr w:type="spellEnd"/>
      <w:r w:rsidRPr="00F27422">
        <w:rPr>
          <w:rFonts w:asciiTheme="minorBidi" w:hAnsiTheme="minorBidi"/>
          <w:sz w:val="32"/>
          <w:szCs w:val="32"/>
          <w:rtl/>
        </w:rPr>
        <w:t xml:space="preserve"> وبمسمع من تلميذه المعاصر له مع تصريحه </w:t>
      </w:r>
      <w:proofErr w:type="gramStart"/>
      <w:r w:rsidRPr="00F27422">
        <w:rPr>
          <w:rFonts w:asciiTheme="minorBidi" w:hAnsiTheme="minorBidi"/>
          <w:sz w:val="32"/>
          <w:szCs w:val="32"/>
          <w:rtl/>
        </w:rPr>
        <w:t>بالصحّة</w:t>
      </w:r>
      <w:proofErr w:type="gramEnd"/>
      <w:r w:rsidRPr="00F27422">
        <w:rPr>
          <w:rFonts w:asciiTheme="minorBidi" w:hAnsiTheme="minorBidi"/>
          <w:sz w:val="32"/>
          <w:szCs w:val="32"/>
          <w:rtl/>
        </w:rPr>
        <w:t xml:space="preserve"> بل لم ينقل خلافاً في ذلك؟!</w:t>
      </w:r>
    </w:p>
    <w:p w14:paraId="513B7FEC" w14:textId="77777777" w:rsidR="00700470" w:rsidRPr="00F27422" w:rsidRDefault="00700470" w:rsidP="00122B70">
      <w:pPr>
        <w:bidi/>
        <w:rPr>
          <w:rFonts w:asciiTheme="minorBidi" w:hAnsiTheme="minorBidi"/>
          <w:b/>
          <w:bCs/>
          <w:sz w:val="32"/>
          <w:szCs w:val="32"/>
          <w:rtl/>
        </w:rPr>
      </w:pPr>
      <w:r w:rsidRPr="00F27422">
        <w:rPr>
          <w:rFonts w:asciiTheme="minorBidi" w:hAnsiTheme="minorBidi"/>
          <w:sz w:val="32"/>
          <w:szCs w:val="32"/>
          <w:rtl/>
        </w:rPr>
        <w:lastRenderedPageBreak/>
        <w:t xml:space="preserve">كما أنّ ابن إدريس الحلي (رحمه الله) في كتابه [السرائر الحاوي لتحرير الفتاوي، مؤسسة النشر الإسلامي التابعة لجماعة المدرسين، ج2، ص449] نسب القول بصحّة الإجارة بالموت سواء كان موت المؤجر أو المُستأجر إلى الأكثرين المحصلين فقال: </w:t>
      </w:r>
      <w:r w:rsidRPr="00F27422">
        <w:rPr>
          <w:rFonts w:asciiTheme="minorBidi" w:hAnsiTheme="minorBidi"/>
          <w:b/>
          <w:bCs/>
          <w:sz w:val="32"/>
          <w:szCs w:val="32"/>
          <w:rtl/>
        </w:rPr>
        <w:t xml:space="preserve">(ومتى مات المستأجر أو المؤجر، بطلت الإجارة عند بعض أصحابنا، وانقطعت في الحال، وقال آخرون من أصحابنا: إنّها تبطل بموت المستأجر، ولا تبطل بموت المؤجر، وقال الأكثرون المحصّلون: لا تبطل الإجارة بموت المؤجر، </w:t>
      </w:r>
      <w:proofErr w:type="gramStart"/>
      <w:r w:rsidRPr="00F27422">
        <w:rPr>
          <w:rFonts w:asciiTheme="minorBidi" w:hAnsiTheme="minorBidi"/>
          <w:b/>
          <w:bCs/>
          <w:sz w:val="32"/>
          <w:szCs w:val="32"/>
          <w:rtl/>
        </w:rPr>
        <w:t>و لا</w:t>
      </w:r>
      <w:proofErr w:type="gramEnd"/>
      <w:r w:rsidRPr="00F27422">
        <w:rPr>
          <w:rFonts w:asciiTheme="minorBidi" w:hAnsiTheme="minorBidi"/>
          <w:b/>
          <w:bCs/>
          <w:sz w:val="32"/>
          <w:szCs w:val="32"/>
          <w:rtl/>
        </w:rPr>
        <w:t xml:space="preserve"> بموت المستأجر)</w:t>
      </w:r>
      <w:r w:rsidRPr="00F27422">
        <w:rPr>
          <w:rFonts w:asciiTheme="minorBidi" w:hAnsiTheme="minorBidi"/>
          <w:b/>
          <w:bCs/>
          <w:sz w:val="32"/>
          <w:szCs w:val="32"/>
        </w:rPr>
        <w:t>.</w:t>
      </w:r>
    </w:p>
    <w:p w14:paraId="72A767C2" w14:textId="77777777" w:rsidR="00700470" w:rsidRPr="00F27422" w:rsidRDefault="00700470" w:rsidP="00122B70">
      <w:pPr>
        <w:bidi/>
        <w:rPr>
          <w:rFonts w:asciiTheme="minorBidi" w:hAnsiTheme="minorBidi"/>
          <w:b/>
          <w:bCs/>
          <w:sz w:val="32"/>
          <w:szCs w:val="32"/>
          <w:rtl/>
        </w:rPr>
      </w:pPr>
      <w:r w:rsidRPr="00F27422">
        <w:rPr>
          <w:rFonts w:asciiTheme="minorBidi" w:hAnsiTheme="minorBidi"/>
          <w:sz w:val="32"/>
          <w:szCs w:val="32"/>
          <w:rtl/>
        </w:rPr>
        <w:t xml:space="preserve">وقال في نفس المصدر [ص460]: </w:t>
      </w:r>
      <w:r w:rsidRPr="00F27422">
        <w:rPr>
          <w:rFonts w:asciiTheme="minorBidi" w:hAnsiTheme="minorBidi"/>
          <w:b/>
          <w:bCs/>
          <w:sz w:val="32"/>
          <w:szCs w:val="32"/>
          <w:rtl/>
        </w:rPr>
        <w:t>(والصحيح التسوية بينهما، بأنّ موت أحدهما لا يبطلها على ما اختاره المرتضى، إذ دليلهما واحد، وأنّهما حقّان لكلّ واحد منهما، يرثه وارثه، لعموم آيات المواريث، فمن يخصّ ذلك يحتاج إلى دليل، فموت أحدهما لا يبطل حقّ الآخر)</w:t>
      </w:r>
      <w:r w:rsidRPr="00F27422">
        <w:rPr>
          <w:rFonts w:asciiTheme="minorBidi" w:hAnsiTheme="minorBidi"/>
          <w:b/>
          <w:bCs/>
          <w:sz w:val="32"/>
          <w:szCs w:val="32"/>
        </w:rPr>
        <w:t>.</w:t>
      </w:r>
    </w:p>
    <w:p w14:paraId="1B447451" w14:textId="77777777" w:rsidR="00700470" w:rsidRPr="00F27422" w:rsidRDefault="00700470" w:rsidP="00122B70">
      <w:pPr>
        <w:bidi/>
        <w:rPr>
          <w:rFonts w:asciiTheme="minorBidi" w:hAnsiTheme="minorBidi"/>
          <w:b/>
          <w:bCs/>
          <w:sz w:val="32"/>
          <w:szCs w:val="32"/>
          <w:rtl/>
        </w:rPr>
      </w:pPr>
      <w:r w:rsidRPr="00F27422">
        <w:rPr>
          <w:rFonts w:asciiTheme="minorBidi" w:hAnsiTheme="minorBidi"/>
          <w:sz w:val="32"/>
          <w:szCs w:val="32"/>
          <w:rtl/>
        </w:rPr>
        <w:t>ولو كان ثمت أخبار واضحة في المعنى فكيف ينسب صاحب السرائر القول بالصحّة إلى الأكثرين المحصلين؟</w:t>
      </w:r>
      <w:r w:rsidRPr="00F27422">
        <w:rPr>
          <w:rFonts w:asciiTheme="minorBidi" w:hAnsiTheme="minorBidi"/>
          <w:sz w:val="32"/>
          <w:szCs w:val="32"/>
        </w:rPr>
        <w:t>!</w:t>
      </w:r>
    </w:p>
    <w:p w14:paraId="2C2EFE33" w14:textId="77777777" w:rsidR="00700470" w:rsidRPr="00F27422" w:rsidRDefault="00700470" w:rsidP="00122B70">
      <w:pPr>
        <w:bidi/>
        <w:rPr>
          <w:rFonts w:asciiTheme="minorBidi" w:hAnsiTheme="minorBidi"/>
          <w:b/>
          <w:bCs/>
          <w:sz w:val="32"/>
          <w:szCs w:val="32"/>
          <w:rtl/>
        </w:rPr>
      </w:pPr>
      <w:r w:rsidRPr="00F27422">
        <w:rPr>
          <w:rFonts w:asciiTheme="minorBidi" w:hAnsiTheme="minorBidi"/>
          <w:b/>
          <w:bCs/>
          <w:sz w:val="32"/>
          <w:szCs w:val="32"/>
          <w:rtl/>
        </w:rPr>
        <w:t xml:space="preserve">وثانياً: </w:t>
      </w:r>
      <w:r w:rsidRPr="00F27422">
        <w:rPr>
          <w:rFonts w:asciiTheme="minorBidi" w:hAnsiTheme="minorBidi"/>
          <w:sz w:val="32"/>
          <w:szCs w:val="32"/>
          <w:rtl/>
        </w:rPr>
        <w:t>إنّ مقتضى كون مسألة الإجارة بعد موت المؤجّر كثيرة الابتلاء لا أنّها مسألةٌ نادرة ذكر ما يدل على حكمها في الكافي أو الفقيه أو من قبل الشيخ نفسه في التهذيبين، كيف ولا أثر لهذه الأخبار في هذه المصنفات، بل لم ينقل في الكافي والتهذيب إلّا رواية إبراهيم بن محمّد الهمداني التي وقع الكلام في دلالتها</w:t>
      </w:r>
      <w:r w:rsidRPr="00F27422">
        <w:rPr>
          <w:rFonts w:asciiTheme="minorBidi" w:hAnsiTheme="minorBidi"/>
          <w:sz w:val="32"/>
          <w:szCs w:val="32"/>
        </w:rPr>
        <w:t>.</w:t>
      </w:r>
    </w:p>
    <w:p w14:paraId="21DABBE7" w14:textId="34A9D472" w:rsidR="00700470" w:rsidRPr="00F27422" w:rsidRDefault="00700470" w:rsidP="00122B70">
      <w:pPr>
        <w:bidi/>
        <w:rPr>
          <w:rFonts w:asciiTheme="minorBidi" w:hAnsiTheme="minorBidi"/>
          <w:b/>
          <w:bCs/>
          <w:sz w:val="32"/>
          <w:szCs w:val="32"/>
          <w:rtl/>
        </w:rPr>
      </w:pPr>
      <w:r w:rsidRPr="00F27422">
        <w:rPr>
          <w:rFonts w:asciiTheme="minorBidi" w:hAnsiTheme="minorBidi"/>
          <w:b/>
          <w:bCs/>
          <w:sz w:val="32"/>
          <w:szCs w:val="32"/>
          <w:rtl/>
        </w:rPr>
        <w:t>وثالثاً:</w:t>
      </w:r>
      <w:r w:rsidRPr="00F27422">
        <w:rPr>
          <w:rFonts w:asciiTheme="minorBidi" w:hAnsiTheme="minorBidi"/>
          <w:sz w:val="32"/>
          <w:szCs w:val="32"/>
          <w:rtl/>
        </w:rPr>
        <w:t xml:space="preserve"> على فرض وجود أخبارٍ استفاد الشيخ (عليه الرحمة) منها القول بالبطلان فلا يبعد أنْ يقال في المقام: ما ذكره المحقق الرشتي (قدس سره) في كتابه [الإجارة، الميرزا حبيب الله الرشتي، ص44] بقوله: </w:t>
      </w:r>
      <w:r w:rsidRPr="00F27422">
        <w:rPr>
          <w:rFonts w:asciiTheme="minorBidi" w:hAnsiTheme="minorBidi"/>
          <w:b/>
          <w:bCs/>
          <w:sz w:val="32"/>
          <w:szCs w:val="32"/>
          <w:rtl/>
        </w:rPr>
        <w:t xml:space="preserve">(والروايات المرسلة </w:t>
      </w:r>
      <w:r w:rsidR="00F4231A" w:rsidRPr="00F27422">
        <w:rPr>
          <w:rFonts w:asciiTheme="minorBidi" w:hAnsiTheme="minorBidi"/>
          <w:b/>
          <w:bCs/>
          <w:sz w:val="32"/>
          <w:szCs w:val="32"/>
          <w:rtl/>
        </w:rPr>
        <w:t>التي</w:t>
      </w:r>
      <w:r w:rsidRPr="00F27422">
        <w:rPr>
          <w:rFonts w:asciiTheme="minorBidi" w:hAnsiTheme="minorBidi"/>
          <w:b/>
          <w:bCs/>
          <w:sz w:val="32"/>
          <w:szCs w:val="32"/>
          <w:rtl/>
        </w:rPr>
        <w:t xml:space="preserve"> رواها الشّيخ (قده) حجّة عليه لا علينا لعدم اطلاعنا على مضامينها والتّعويل على الشيخ في مضمونها) </w:t>
      </w:r>
      <w:r w:rsidRPr="00F27422">
        <w:rPr>
          <w:rFonts w:asciiTheme="minorBidi" w:hAnsiTheme="minorBidi"/>
          <w:sz w:val="32"/>
          <w:szCs w:val="32"/>
          <w:rtl/>
        </w:rPr>
        <w:t xml:space="preserve">حيث إدعى الصراحة </w:t>
      </w:r>
      <w:r w:rsidRPr="00F27422">
        <w:rPr>
          <w:rFonts w:asciiTheme="minorBidi" w:hAnsiTheme="minorBidi"/>
          <w:b/>
          <w:bCs/>
          <w:sz w:val="32"/>
          <w:szCs w:val="32"/>
          <w:rtl/>
        </w:rPr>
        <w:t>(يرجع إلى التقليد في الفتوى)</w:t>
      </w:r>
      <w:r w:rsidRPr="00F27422">
        <w:rPr>
          <w:rFonts w:asciiTheme="minorBidi" w:hAnsiTheme="minorBidi"/>
          <w:b/>
          <w:bCs/>
          <w:sz w:val="32"/>
          <w:szCs w:val="32"/>
        </w:rPr>
        <w:t>.</w:t>
      </w:r>
    </w:p>
    <w:p w14:paraId="5F674A6F" w14:textId="77777777" w:rsidR="00700470" w:rsidRPr="00F27422" w:rsidRDefault="00700470" w:rsidP="00122B70">
      <w:pPr>
        <w:bidi/>
        <w:rPr>
          <w:rFonts w:asciiTheme="minorBidi" w:hAnsiTheme="minorBidi"/>
          <w:b/>
          <w:bCs/>
          <w:sz w:val="32"/>
          <w:szCs w:val="32"/>
          <w:rtl/>
        </w:rPr>
      </w:pPr>
      <w:r w:rsidRPr="00F27422">
        <w:rPr>
          <w:rFonts w:asciiTheme="minorBidi" w:hAnsiTheme="minorBidi"/>
          <w:sz w:val="32"/>
          <w:szCs w:val="32"/>
          <w:rtl/>
        </w:rPr>
        <w:t>وكأنّ المحقق الرشتي (قدس سره) يتعرض لدفع دخل</w:t>
      </w:r>
      <w:r w:rsidRPr="00F27422">
        <w:rPr>
          <w:rFonts w:asciiTheme="minorBidi" w:hAnsiTheme="minorBidi"/>
          <w:sz w:val="32"/>
          <w:szCs w:val="32"/>
        </w:rPr>
        <w:t>:</w:t>
      </w:r>
    </w:p>
    <w:p w14:paraId="189F6309" w14:textId="77777777" w:rsidR="00700470" w:rsidRPr="00F27422" w:rsidRDefault="00700470" w:rsidP="00122B70">
      <w:pPr>
        <w:bidi/>
        <w:rPr>
          <w:rFonts w:asciiTheme="minorBidi" w:hAnsiTheme="minorBidi"/>
          <w:b/>
          <w:bCs/>
          <w:sz w:val="32"/>
          <w:szCs w:val="32"/>
          <w:rtl/>
        </w:rPr>
      </w:pPr>
      <w:r w:rsidRPr="00F27422">
        <w:rPr>
          <w:rFonts w:asciiTheme="minorBidi" w:hAnsiTheme="minorBidi"/>
          <w:b/>
          <w:bCs/>
          <w:sz w:val="32"/>
          <w:szCs w:val="32"/>
          <w:rtl/>
        </w:rPr>
        <w:t>إنْ قلتَ:</w:t>
      </w:r>
      <w:r w:rsidRPr="00F27422">
        <w:rPr>
          <w:rFonts w:asciiTheme="minorBidi" w:hAnsiTheme="minorBidi"/>
          <w:sz w:val="32"/>
          <w:szCs w:val="32"/>
          <w:rtl/>
        </w:rPr>
        <w:t xml:space="preserve"> إنكم كما تقبلون من جميل بن دراج وابن أبي عمير أنْ ينقلا الرواية بالمعنى وتعولون على فهمهما، فلماذا لا تعولون على فهم الشيخ (رحمه الله) حيث نقل أنّ هناك روايات صريحة في البطلان، فما هو </w:t>
      </w:r>
      <w:proofErr w:type="gramStart"/>
      <w:r w:rsidRPr="00F27422">
        <w:rPr>
          <w:rFonts w:asciiTheme="minorBidi" w:hAnsiTheme="minorBidi"/>
          <w:sz w:val="32"/>
          <w:szCs w:val="32"/>
          <w:rtl/>
        </w:rPr>
        <w:t>الفارق  بين</w:t>
      </w:r>
      <w:proofErr w:type="gramEnd"/>
      <w:r w:rsidRPr="00F27422">
        <w:rPr>
          <w:rFonts w:asciiTheme="minorBidi" w:hAnsiTheme="minorBidi"/>
          <w:sz w:val="32"/>
          <w:szCs w:val="32"/>
          <w:rtl/>
        </w:rPr>
        <w:t xml:space="preserve"> جميل بن دراج والشيخ في التعويل على النقل بالمعنى؟</w:t>
      </w:r>
    </w:p>
    <w:p w14:paraId="35A71A86" w14:textId="77777777" w:rsidR="00700470" w:rsidRPr="00F27422" w:rsidRDefault="00700470" w:rsidP="00122B70">
      <w:pPr>
        <w:bidi/>
        <w:rPr>
          <w:rFonts w:asciiTheme="minorBidi" w:hAnsiTheme="minorBidi"/>
          <w:b/>
          <w:bCs/>
          <w:sz w:val="32"/>
          <w:szCs w:val="32"/>
          <w:rtl/>
        </w:rPr>
      </w:pPr>
      <w:r w:rsidRPr="00F27422">
        <w:rPr>
          <w:rFonts w:asciiTheme="minorBidi" w:hAnsiTheme="minorBidi"/>
          <w:sz w:val="32"/>
          <w:szCs w:val="32"/>
          <w:rtl/>
        </w:rPr>
        <w:t xml:space="preserve">قال (قدس سره): </w:t>
      </w:r>
      <w:r w:rsidRPr="00F27422">
        <w:rPr>
          <w:rFonts w:asciiTheme="minorBidi" w:hAnsiTheme="minorBidi"/>
          <w:b/>
          <w:bCs/>
          <w:sz w:val="32"/>
          <w:szCs w:val="32"/>
          <w:rtl/>
        </w:rPr>
        <w:t xml:space="preserve">(وليس هذا مثل نقل المعنى في الرّوايات لأنّ فهم المخاطب مدلول كلام المتكلّم حجّة على نفسه وعلى غيره إذا كان سمعه حجّة </w:t>
      </w:r>
      <w:proofErr w:type="gramStart"/>
      <w:r w:rsidRPr="00F27422">
        <w:rPr>
          <w:rFonts w:asciiTheme="minorBidi" w:hAnsiTheme="minorBidi"/>
          <w:b/>
          <w:bCs/>
          <w:sz w:val="32"/>
          <w:szCs w:val="32"/>
          <w:rtl/>
        </w:rPr>
        <w:t>عليه )</w:t>
      </w:r>
      <w:proofErr w:type="gramEnd"/>
      <w:r w:rsidRPr="00F27422">
        <w:rPr>
          <w:rFonts w:asciiTheme="minorBidi" w:hAnsiTheme="minorBidi"/>
          <w:b/>
          <w:bCs/>
          <w:sz w:val="32"/>
          <w:szCs w:val="32"/>
        </w:rPr>
        <w:t>.</w:t>
      </w:r>
    </w:p>
    <w:p w14:paraId="66B160BE" w14:textId="77777777" w:rsidR="00700470" w:rsidRPr="00F27422" w:rsidRDefault="00700470" w:rsidP="00122B70">
      <w:pPr>
        <w:bidi/>
        <w:rPr>
          <w:rFonts w:asciiTheme="minorBidi" w:hAnsiTheme="minorBidi"/>
          <w:b/>
          <w:bCs/>
          <w:sz w:val="32"/>
          <w:szCs w:val="32"/>
          <w:rtl/>
        </w:rPr>
      </w:pPr>
      <w:r w:rsidRPr="00F27422">
        <w:rPr>
          <w:rFonts w:asciiTheme="minorBidi" w:hAnsiTheme="minorBidi"/>
          <w:b/>
          <w:bCs/>
          <w:sz w:val="32"/>
          <w:szCs w:val="32"/>
          <w:rtl/>
        </w:rPr>
        <w:lastRenderedPageBreak/>
        <w:t>بمعنى:</w:t>
      </w:r>
      <w:r w:rsidRPr="00F27422">
        <w:rPr>
          <w:rFonts w:asciiTheme="minorBidi" w:hAnsiTheme="minorBidi"/>
          <w:sz w:val="32"/>
          <w:szCs w:val="32"/>
          <w:rtl/>
        </w:rPr>
        <w:t xml:space="preserve"> أنّ مَن يعول على فهمه هو من كان مخاطباً، فإنّ من كان مخاطباً كان خبره أقرب إلى الحس من غير المخاطب حيث كان مطلعاً على القرائن السياقية والحالية والارتكازية فنقل المضمون كما هو مقتضى القرائن، بلحاظ أنّ بناء العقلاء على حجية النقل للخبر وإنْ كان نقلاً بالمعنى كون الناقل السامع مِن أهل الضبط وإحراز المعنى.</w:t>
      </w:r>
    </w:p>
    <w:p w14:paraId="3DD93F9A" w14:textId="77777777" w:rsidR="00700470" w:rsidRPr="00F27422" w:rsidRDefault="00700470" w:rsidP="00122B70">
      <w:pPr>
        <w:bidi/>
        <w:rPr>
          <w:rFonts w:asciiTheme="minorBidi" w:hAnsiTheme="minorBidi"/>
          <w:sz w:val="32"/>
          <w:szCs w:val="32"/>
          <w:rtl/>
        </w:rPr>
      </w:pPr>
      <w:r w:rsidRPr="00F27422">
        <w:rPr>
          <w:rFonts w:asciiTheme="minorBidi" w:hAnsiTheme="minorBidi"/>
          <w:sz w:val="32"/>
          <w:szCs w:val="32"/>
          <w:rtl/>
        </w:rPr>
        <w:t>ولذلك لا نقبل فهم جميع الرواة، ونتوقف في فهم بعضهم نحو عمار السباطي وأمثاله التي قامت بعض الشواهد على عدم دقته.</w:t>
      </w:r>
    </w:p>
    <w:p w14:paraId="5269C3F9" w14:textId="77777777" w:rsidR="00700470" w:rsidRPr="00F27422" w:rsidRDefault="00700470" w:rsidP="00122B70">
      <w:pPr>
        <w:bidi/>
        <w:rPr>
          <w:rFonts w:asciiTheme="minorBidi" w:hAnsiTheme="minorBidi"/>
          <w:sz w:val="32"/>
          <w:szCs w:val="32"/>
          <w:rtl/>
        </w:rPr>
      </w:pPr>
      <w:r w:rsidRPr="00F27422">
        <w:rPr>
          <w:rFonts w:asciiTheme="minorBidi" w:hAnsiTheme="minorBidi"/>
          <w:sz w:val="32"/>
          <w:szCs w:val="32"/>
          <w:rtl/>
        </w:rPr>
        <w:t>ولم يقم بناء العرف على التعويل على كل ناقلٍ لمضمون أخبارٍ لا يحرز صواب فهمه لو وصلت إلينا وإنْ كان ثقة، فلو نقل ناقلٌ مثلاً بأنّه قد اطلع على كتابٍ في القانون ووجد فيه مواداً تصرح بما هو خلاف المرسوم، واحتمل أنّ هذه المواد لو وصلت إلينا لم نفهم منها ما فهمه فلم يحرز البناء على الأخذ بخبره، خصوصاً مع كثرة اختلافنا مع الناقل في فهمه لعدة أخبار واصلة كاختلافنا مع الشيخ (رحمه الله) في فهم كثيرٍ من الروايات.</w:t>
      </w:r>
    </w:p>
    <w:p w14:paraId="3E8FF6CE" w14:textId="77777777" w:rsidR="00700470" w:rsidRPr="00F27422" w:rsidRDefault="00700470" w:rsidP="00122B70">
      <w:pPr>
        <w:bidi/>
        <w:rPr>
          <w:rFonts w:asciiTheme="minorBidi" w:hAnsiTheme="minorBidi"/>
          <w:b/>
          <w:bCs/>
          <w:sz w:val="32"/>
          <w:szCs w:val="32"/>
          <w:rtl/>
        </w:rPr>
      </w:pPr>
      <w:r w:rsidRPr="00F27422">
        <w:rPr>
          <w:rFonts w:asciiTheme="minorBidi" w:hAnsiTheme="minorBidi"/>
          <w:sz w:val="32"/>
          <w:szCs w:val="32"/>
          <w:rtl/>
        </w:rPr>
        <w:t xml:space="preserve">ثم قال (قدس سره): </w:t>
      </w:r>
      <w:r w:rsidRPr="00F27422">
        <w:rPr>
          <w:rFonts w:asciiTheme="minorBidi" w:hAnsiTheme="minorBidi"/>
          <w:b/>
          <w:bCs/>
          <w:sz w:val="32"/>
          <w:szCs w:val="32"/>
          <w:rtl/>
        </w:rPr>
        <w:t>(بخلاف غير المخاطب فإنّ فهمه حجّة على نفسه وعلى من يجوز له تقليده فليس لنا تصديق العدل إلّا فيما أحس به من الرّواية)</w:t>
      </w:r>
      <w:r w:rsidRPr="00F27422">
        <w:rPr>
          <w:rFonts w:asciiTheme="minorBidi" w:hAnsiTheme="minorBidi"/>
          <w:sz w:val="32"/>
          <w:szCs w:val="32"/>
          <w:rtl/>
        </w:rPr>
        <w:t xml:space="preserve"> أي عن حس </w:t>
      </w:r>
      <w:r w:rsidRPr="00F27422">
        <w:rPr>
          <w:rFonts w:asciiTheme="minorBidi" w:hAnsiTheme="minorBidi"/>
          <w:b/>
          <w:bCs/>
          <w:sz w:val="32"/>
          <w:szCs w:val="32"/>
          <w:rtl/>
        </w:rPr>
        <w:t>(لا فيما عقله من معانيه)</w:t>
      </w:r>
      <w:r w:rsidRPr="00F27422">
        <w:rPr>
          <w:rFonts w:asciiTheme="minorBidi" w:hAnsiTheme="minorBidi"/>
          <w:sz w:val="32"/>
          <w:szCs w:val="32"/>
          <w:rtl/>
        </w:rPr>
        <w:t xml:space="preserve"> أي عن حدس</w:t>
      </w:r>
      <w:r w:rsidRPr="00F27422">
        <w:rPr>
          <w:rFonts w:asciiTheme="minorBidi" w:hAnsiTheme="minorBidi"/>
          <w:sz w:val="32"/>
          <w:szCs w:val="32"/>
        </w:rPr>
        <w:t>.</w:t>
      </w:r>
    </w:p>
    <w:p w14:paraId="33FC2463" w14:textId="77777777" w:rsidR="00700470" w:rsidRPr="00F27422" w:rsidRDefault="00700470" w:rsidP="00122B70">
      <w:pPr>
        <w:bidi/>
        <w:rPr>
          <w:rFonts w:asciiTheme="minorBidi" w:hAnsiTheme="minorBidi"/>
          <w:b/>
          <w:bCs/>
          <w:sz w:val="32"/>
          <w:szCs w:val="32"/>
          <w:rtl/>
        </w:rPr>
      </w:pPr>
      <w:r w:rsidRPr="00F27422">
        <w:rPr>
          <w:rFonts w:asciiTheme="minorBidi" w:hAnsiTheme="minorBidi"/>
          <w:sz w:val="32"/>
          <w:szCs w:val="32"/>
          <w:rtl/>
        </w:rPr>
        <w:t>ونِعمَ ما أفاده المحقق الرشتي (قدس سره)</w:t>
      </w:r>
      <w:r w:rsidRPr="00F27422">
        <w:rPr>
          <w:rFonts w:asciiTheme="minorBidi" w:hAnsiTheme="minorBidi"/>
          <w:sz w:val="32"/>
          <w:szCs w:val="32"/>
        </w:rPr>
        <w:t>.</w:t>
      </w:r>
    </w:p>
    <w:p w14:paraId="6B0CC4DA" w14:textId="77777777" w:rsidR="00700470" w:rsidRPr="00F27422" w:rsidRDefault="00700470" w:rsidP="00122B70">
      <w:pPr>
        <w:bidi/>
        <w:rPr>
          <w:rFonts w:asciiTheme="minorBidi" w:hAnsiTheme="minorBidi"/>
          <w:b/>
          <w:bCs/>
          <w:sz w:val="32"/>
          <w:szCs w:val="32"/>
          <w:rtl/>
        </w:rPr>
      </w:pPr>
      <w:r w:rsidRPr="00F27422">
        <w:rPr>
          <w:rFonts w:asciiTheme="minorBidi" w:hAnsiTheme="minorBidi"/>
          <w:b/>
          <w:bCs/>
          <w:sz w:val="32"/>
          <w:szCs w:val="32"/>
          <w:rtl/>
        </w:rPr>
        <w:t>فتلخص من ذلك:</w:t>
      </w:r>
      <w:r w:rsidRPr="00F27422">
        <w:rPr>
          <w:rFonts w:asciiTheme="minorBidi" w:hAnsiTheme="minorBidi"/>
          <w:sz w:val="32"/>
          <w:szCs w:val="32"/>
          <w:rtl/>
        </w:rPr>
        <w:t xml:space="preserve"> أنّ الصحيح في هذه الجهة في المسألة هو القول بالصحّة لا القول بالبطلان</w:t>
      </w:r>
      <w:r w:rsidRPr="00F27422">
        <w:rPr>
          <w:rFonts w:asciiTheme="minorBidi" w:hAnsiTheme="minorBidi"/>
          <w:sz w:val="32"/>
          <w:szCs w:val="32"/>
        </w:rPr>
        <w:t>.</w:t>
      </w:r>
    </w:p>
    <w:p w14:paraId="63E8C5B2" w14:textId="77777777" w:rsidR="00700470" w:rsidRPr="00F27422" w:rsidRDefault="00700470" w:rsidP="00122B70">
      <w:pPr>
        <w:bidi/>
        <w:rPr>
          <w:rFonts w:asciiTheme="minorBidi" w:hAnsiTheme="minorBidi"/>
          <w:b/>
          <w:bCs/>
          <w:sz w:val="32"/>
          <w:szCs w:val="32"/>
          <w:rtl/>
        </w:rPr>
      </w:pPr>
      <w:r w:rsidRPr="00F27422">
        <w:rPr>
          <w:rFonts w:asciiTheme="minorBidi" w:hAnsiTheme="minorBidi"/>
          <w:sz w:val="32"/>
          <w:szCs w:val="32"/>
          <w:rtl/>
        </w:rPr>
        <w:t>ومن هنا ذكر السيد الحكيم السبط (قدس سره الشريف) في كتابه [مصباح المنهاج، كتاب الإجارة، ص230] في ختام البحث:</w:t>
      </w:r>
      <w:r w:rsidRPr="00F27422">
        <w:rPr>
          <w:rFonts w:asciiTheme="minorBidi" w:hAnsiTheme="minorBidi"/>
          <w:b/>
          <w:bCs/>
          <w:sz w:val="32"/>
          <w:szCs w:val="32"/>
          <w:rtl/>
        </w:rPr>
        <w:t xml:space="preserve"> (ومن هنا لا مخرج عما تقتضيه القاعدة من عدم البطلان بموت أحدهما كما سبق. مع قرب اعتضاده بالسيرة) </w:t>
      </w:r>
      <w:r w:rsidRPr="00F27422">
        <w:rPr>
          <w:rFonts w:asciiTheme="minorBidi" w:hAnsiTheme="minorBidi"/>
          <w:sz w:val="32"/>
          <w:szCs w:val="32"/>
          <w:rtl/>
        </w:rPr>
        <w:t xml:space="preserve">أي أنّ السيرة العقلائية قائمةٌ أيضاً على تنفيذ الإجارة بموت المؤجّر أو المُستأجر </w:t>
      </w:r>
      <w:r w:rsidRPr="00F27422">
        <w:rPr>
          <w:rFonts w:asciiTheme="minorBidi" w:hAnsiTheme="minorBidi"/>
          <w:b/>
          <w:bCs/>
          <w:sz w:val="32"/>
          <w:szCs w:val="32"/>
          <w:rtl/>
        </w:rPr>
        <w:t>(لما أشرنا إليه آنفاً من شيوع الابتلاء بالمسألة، مع كون البطلان سبباً لكثير من المشاكل)</w:t>
      </w:r>
      <w:r w:rsidRPr="00F27422">
        <w:rPr>
          <w:rFonts w:asciiTheme="minorBidi" w:hAnsiTheme="minorBidi"/>
          <w:sz w:val="32"/>
          <w:szCs w:val="32"/>
          <w:rtl/>
        </w:rPr>
        <w:t xml:space="preserve"> وطرح الأسئلة لو كان البطلان هو الحكم </w:t>
      </w:r>
      <w:r w:rsidRPr="00F27422">
        <w:rPr>
          <w:rFonts w:asciiTheme="minorBidi" w:hAnsiTheme="minorBidi"/>
          <w:b/>
          <w:bCs/>
          <w:sz w:val="32"/>
          <w:szCs w:val="32"/>
          <w:rtl/>
        </w:rPr>
        <w:t>(حيث يكثر عدم تيسر مراجعة الوارث لقصوره أو غيابه أو مشاكسته، وذلك يقتضي كثرة السؤال عن فروع المسألة، مع أنّه لا أثر لذلك في النصوص. فلاحظ).</w:t>
      </w:r>
    </w:p>
    <w:p w14:paraId="73F52A15" w14:textId="77777777" w:rsidR="00700470" w:rsidRPr="00F27422" w:rsidRDefault="00700470"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6A7B87F5" w14:textId="41122644" w:rsidR="00700470" w:rsidRPr="00F27422" w:rsidRDefault="00700470"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029</w:t>
      </w:r>
    </w:p>
    <w:p w14:paraId="3480E739" w14:textId="77777777" w:rsidR="00700470" w:rsidRPr="00F27422" w:rsidRDefault="00700470" w:rsidP="00122B70">
      <w:pPr>
        <w:bidi/>
        <w:rPr>
          <w:rFonts w:asciiTheme="minorBidi" w:hAnsiTheme="minorBidi"/>
          <w:sz w:val="32"/>
          <w:szCs w:val="32"/>
          <w:rtl/>
        </w:rPr>
      </w:pPr>
    </w:p>
    <w:p w14:paraId="1AA03878" w14:textId="77777777" w:rsidR="0016402A" w:rsidRPr="00F27422" w:rsidRDefault="0016402A" w:rsidP="00122B70">
      <w:pPr>
        <w:bidi/>
        <w:rPr>
          <w:rFonts w:asciiTheme="minorBidi" w:hAnsiTheme="minorBidi"/>
          <w:b/>
          <w:bCs/>
          <w:sz w:val="32"/>
          <w:szCs w:val="32"/>
        </w:rPr>
      </w:pPr>
      <w:r w:rsidRPr="00F27422">
        <w:rPr>
          <w:rFonts w:asciiTheme="minorBidi" w:hAnsiTheme="minorBidi"/>
          <w:b/>
          <w:bCs/>
          <w:sz w:val="32"/>
          <w:szCs w:val="32"/>
          <w:rtl/>
        </w:rPr>
        <w:lastRenderedPageBreak/>
        <w:t>بسم الله الرحمن الرحيم</w:t>
      </w:r>
    </w:p>
    <w:p w14:paraId="0FA305B9" w14:textId="77777777" w:rsidR="0016402A" w:rsidRPr="00F27422" w:rsidRDefault="0016402A"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7C1F5189" w14:textId="77777777" w:rsidR="0016402A" w:rsidRPr="00F27422" w:rsidRDefault="0016402A"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5887F1F9" w14:textId="77777777" w:rsidR="0016402A" w:rsidRPr="00F27422" w:rsidRDefault="0016402A" w:rsidP="00122B70">
      <w:pPr>
        <w:bidi/>
        <w:rPr>
          <w:rFonts w:asciiTheme="minorBidi" w:hAnsiTheme="minorBidi"/>
          <w:sz w:val="32"/>
          <w:szCs w:val="32"/>
          <w:rtl/>
        </w:rPr>
      </w:pPr>
    </w:p>
    <w:p w14:paraId="725ACB60" w14:textId="77777777" w:rsidR="0016402A" w:rsidRPr="00F27422" w:rsidRDefault="0016402A" w:rsidP="00122B70">
      <w:pPr>
        <w:pStyle w:val="Heading3"/>
        <w:bidi/>
        <w:rPr>
          <w:rFonts w:asciiTheme="minorBidi" w:hAnsiTheme="minorBidi" w:cstheme="minorBidi"/>
          <w:b/>
          <w:bCs/>
          <w:sz w:val="32"/>
          <w:szCs w:val="32"/>
          <w:rtl/>
        </w:rPr>
      </w:pPr>
      <w:r w:rsidRPr="00F27422">
        <w:rPr>
          <w:rFonts w:asciiTheme="minorBidi" w:hAnsiTheme="minorBidi" w:cstheme="minorBidi"/>
          <w:b/>
          <w:bCs/>
          <w:sz w:val="32"/>
          <w:szCs w:val="32"/>
          <w:rtl/>
        </w:rPr>
        <w:t>المطلب الثاني: في الإجارة الواقعة في الوقوف</w:t>
      </w:r>
      <w:r w:rsidRPr="00F27422">
        <w:rPr>
          <w:rFonts w:asciiTheme="minorBidi" w:hAnsiTheme="minorBidi" w:cstheme="minorBidi"/>
          <w:b/>
          <w:bCs/>
          <w:sz w:val="32"/>
          <w:szCs w:val="32"/>
        </w:rPr>
        <w:t>:</w:t>
      </w:r>
    </w:p>
    <w:p w14:paraId="20390DA0" w14:textId="77777777" w:rsidR="0016402A" w:rsidRPr="00F27422" w:rsidRDefault="0016402A" w:rsidP="00122B70">
      <w:pPr>
        <w:bidi/>
        <w:rPr>
          <w:rFonts w:asciiTheme="minorBidi" w:hAnsiTheme="minorBidi"/>
          <w:sz w:val="32"/>
          <w:szCs w:val="32"/>
          <w:rtl/>
        </w:rPr>
      </w:pPr>
      <w:r w:rsidRPr="00F27422">
        <w:rPr>
          <w:rFonts w:asciiTheme="minorBidi" w:hAnsiTheme="minorBidi"/>
          <w:sz w:val="32"/>
          <w:szCs w:val="32"/>
          <w:rtl/>
        </w:rPr>
        <w:t xml:space="preserve">قال سيد العروة (قدس سره الشريف): </w:t>
      </w:r>
      <w:r w:rsidRPr="00F27422">
        <w:rPr>
          <w:rFonts w:asciiTheme="minorBidi" w:hAnsiTheme="minorBidi"/>
          <w:b/>
          <w:bCs/>
          <w:sz w:val="32"/>
          <w:szCs w:val="32"/>
          <w:rtl/>
        </w:rPr>
        <w:t>(نعم، في إجارة العين الموقوفة إذا آجر البطن السابق تبطل بموته بعد الانتقال إلى البطن اللاحق، لأنّ الملكيّة محدودة، ومثله لو كانت المنفعة موصى بها للمؤجّر ما دام حياً، بخلاف ما إذا كان المتوليّ للوقف وآجر لمصلحة البطون إلى مدّة، فإنّها لا تبطل بموته ولا بموت البطن الموجود حال الإجارة)</w:t>
      </w:r>
      <w:r w:rsidRPr="00F27422">
        <w:rPr>
          <w:rFonts w:asciiTheme="minorBidi" w:hAnsiTheme="minorBidi"/>
          <w:b/>
          <w:bCs/>
          <w:sz w:val="32"/>
          <w:szCs w:val="32"/>
        </w:rPr>
        <w:t>.</w:t>
      </w:r>
    </w:p>
    <w:p w14:paraId="47CC6E65" w14:textId="77777777" w:rsidR="0016402A" w:rsidRPr="00F27422" w:rsidRDefault="0016402A" w:rsidP="00122B70">
      <w:pPr>
        <w:bidi/>
        <w:rPr>
          <w:rFonts w:asciiTheme="minorBidi" w:hAnsiTheme="minorBidi"/>
          <w:sz w:val="32"/>
          <w:szCs w:val="32"/>
          <w:rtl/>
        </w:rPr>
      </w:pPr>
      <w:r w:rsidRPr="00F27422">
        <w:rPr>
          <w:rFonts w:asciiTheme="minorBidi" w:hAnsiTheme="minorBidi"/>
          <w:b/>
          <w:bCs/>
          <w:sz w:val="32"/>
          <w:szCs w:val="32"/>
          <w:rtl/>
        </w:rPr>
        <w:t xml:space="preserve">في إجارة العين الموقوفة على الذرية: </w:t>
      </w:r>
      <w:r w:rsidRPr="00F27422">
        <w:rPr>
          <w:rFonts w:asciiTheme="minorBidi" w:hAnsiTheme="minorBidi"/>
          <w:sz w:val="32"/>
          <w:szCs w:val="32"/>
          <w:rtl/>
        </w:rPr>
        <w:t>إذا آجر العين الموقوفة على الذرية جيلاً بعد جيل، كما لو قام البطنُ السابق بإجارة العين الموقوفة فمات في الأثناء، فهل تنفذ إجارة البطن السابق في حقّ البطن اللاحق أم لا؟</w:t>
      </w:r>
    </w:p>
    <w:p w14:paraId="08B3E62C" w14:textId="77777777" w:rsidR="0016402A" w:rsidRPr="00F27422" w:rsidRDefault="0016402A" w:rsidP="00122B70">
      <w:pPr>
        <w:bidi/>
        <w:rPr>
          <w:rFonts w:asciiTheme="minorBidi" w:hAnsiTheme="minorBidi"/>
          <w:sz w:val="32"/>
          <w:szCs w:val="32"/>
          <w:rtl/>
        </w:rPr>
      </w:pPr>
      <w:r w:rsidRPr="00F27422">
        <w:rPr>
          <w:rFonts w:asciiTheme="minorBidi" w:hAnsiTheme="minorBidi"/>
          <w:b/>
          <w:bCs/>
          <w:sz w:val="32"/>
          <w:szCs w:val="32"/>
          <w:rtl/>
        </w:rPr>
        <w:t>والبحث يعتمد على تنقيح جهتين:</w:t>
      </w:r>
      <w:r w:rsidRPr="00F27422">
        <w:rPr>
          <w:rFonts w:asciiTheme="minorBidi" w:hAnsiTheme="minorBidi"/>
          <w:sz w:val="32"/>
          <w:szCs w:val="32"/>
          <w:rtl/>
        </w:rPr>
        <w:t xml:space="preserve"> </w:t>
      </w:r>
      <w:r w:rsidRPr="00F27422">
        <w:rPr>
          <w:rFonts w:asciiTheme="minorBidi" w:hAnsiTheme="minorBidi"/>
          <w:b/>
          <w:bCs/>
          <w:sz w:val="32"/>
          <w:szCs w:val="32"/>
          <w:rtl/>
        </w:rPr>
        <w:t>الأولى:</w:t>
      </w:r>
      <w:r w:rsidRPr="00F27422">
        <w:rPr>
          <w:rFonts w:asciiTheme="minorBidi" w:hAnsiTheme="minorBidi"/>
          <w:sz w:val="32"/>
          <w:szCs w:val="32"/>
          <w:rtl/>
        </w:rPr>
        <w:t xml:space="preserve"> في الكُبرى، </w:t>
      </w:r>
      <w:r w:rsidRPr="00F27422">
        <w:rPr>
          <w:rFonts w:asciiTheme="minorBidi" w:hAnsiTheme="minorBidi"/>
          <w:b/>
          <w:bCs/>
          <w:sz w:val="32"/>
          <w:szCs w:val="32"/>
          <w:rtl/>
        </w:rPr>
        <w:t xml:space="preserve">والأُخرى: </w:t>
      </w:r>
      <w:r w:rsidRPr="00F27422">
        <w:rPr>
          <w:rFonts w:asciiTheme="minorBidi" w:hAnsiTheme="minorBidi"/>
          <w:sz w:val="32"/>
          <w:szCs w:val="32"/>
          <w:rtl/>
        </w:rPr>
        <w:t>في الصُغرى في المقام</w:t>
      </w:r>
      <w:r w:rsidRPr="00F27422">
        <w:rPr>
          <w:rFonts w:asciiTheme="minorBidi" w:hAnsiTheme="minorBidi"/>
          <w:sz w:val="32"/>
          <w:szCs w:val="32"/>
        </w:rPr>
        <w:t>.</w:t>
      </w:r>
    </w:p>
    <w:p w14:paraId="7891D26A" w14:textId="77777777" w:rsidR="0016402A" w:rsidRPr="00F27422" w:rsidRDefault="0016402A" w:rsidP="00122B70">
      <w:pPr>
        <w:bidi/>
        <w:rPr>
          <w:rFonts w:asciiTheme="minorBidi" w:hAnsiTheme="minorBidi"/>
          <w:sz w:val="32"/>
          <w:szCs w:val="32"/>
          <w:rtl/>
        </w:rPr>
      </w:pPr>
      <w:r w:rsidRPr="00F27422">
        <w:rPr>
          <w:rFonts w:asciiTheme="minorBidi" w:hAnsiTheme="minorBidi"/>
          <w:b/>
          <w:bCs/>
          <w:sz w:val="32"/>
          <w:szCs w:val="32"/>
          <w:rtl/>
        </w:rPr>
        <w:t>الجهة الأُولى:</w:t>
      </w:r>
      <w:r w:rsidRPr="00F27422">
        <w:rPr>
          <w:rFonts w:asciiTheme="minorBidi" w:hAnsiTheme="minorBidi"/>
          <w:sz w:val="32"/>
          <w:szCs w:val="32"/>
          <w:rtl/>
        </w:rPr>
        <w:t xml:space="preserve"> </w:t>
      </w:r>
      <w:r w:rsidRPr="00F27422">
        <w:rPr>
          <w:rFonts w:asciiTheme="minorBidi" w:hAnsiTheme="minorBidi"/>
          <w:b/>
          <w:bCs/>
          <w:sz w:val="32"/>
          <w:szCs w:val="32"/>
          <w:rtl/>
        </w:rPr>
        <w:t>في الكُبرى:</w:t>
      </w:r>
      <w:r w:rsidRPr="00F27422">
        <w:rPr>
          <w:rFonts w:asciiTheme="minorBidi" w:hAnsiTheme="minorBidi"/>
          <w:sz w:val="32"/>
          <w:szCs w:val="32"/>
          <w:rtl/>
        </w:rPr>
        <w:t xml:space="preserve"> وهي حقيقة الوقف على الذرية</w:t>
      </w:r>
      <w:r w:rsidRPr="00F27422">
        <w:rPr>
          <w:rFonts w:asciiTheme="minorBidi" w:hAnsiTheme="minorBidi"/>
          <w:sz w:val="32"/>
          <w:szCs w:val="32"/>
        </w:rPr>
        <w:t>.</w:t>
      </w:r>
    </w:p>
    <w:p w14:paraId="0D4221B3" w14:textId="77777777" w:rsidR="0016402A" w:rsidRPr="00F27422" w:rsidRDefault="0016402A" w:rsidP="00122B70">
      <w:pPr>
        <w:bidi/>
        <w:rPr>
          <w:rFonts w:asciiTheme="minorBidi" w:hAnsiTheme="minorBidi"/>
          <w:sz w:val="32"/>
          <w:szCs w:val="32"/>
          <w:rtl/>
        </w:rPr>
      </w:pPr>
      <w:r w:rsidRPr="00F27422">
        <w:rPr>
          <w:rFonts w:asciiTheme="minorBidi" w:hAnsiTheme="minorBidi"/>
          <w:b/>
          <w:bCs/>
          <w:sz w:val="32"/>
          <w:szCs w:val="32"/>
          <w:rtl/>
        </w:rPr>
        <w:t xml:space="preserve">وحاصله: </w:t>
      </w:r>
      <w:r w:rsidRPr="00F27422">
        <w:rPr>
          <w:rFonts w:asciiTheme="minorBidi" w:hAnsiTheme="minorBidi"/>
          <w:sz w:val="32"/>
          <w:szCs w:val="32"/>
          <w:rtl/>
        </w:rPr>
        <w:t>أنّ هناك فرقاً بين وقف المسجدية والوقف على الجهة أو الذرية</w:t>
      </w:r>
      <w:r w:rsidRPr="00F27422">
        <w:rPr>
          <w:rFonts w:asciiTheme="minorBidi" w:hAnsiTheme="minorBidi"/>
          <w:sz w:val="32"/>
          <w:szCs w:val="32"/>
        </w:rPr>
        <w:t>.</w:t>
      </w:r>
    </w:p>
    <w:p w14:paraId="3D1386CD" w14:textId="77777777" w:rsidR="0016402A" w:rsidRPr="00F27422" w:rsidRDefault="0016402A" w:rsidP="00122B70">
      <w:pPr>
        <w:bidi/>
        <w:rPr>
          <w:rFonts w:asciiTheme="minorBidi" w:hAnsiTheme="minorBidi"/>
          <w:sz w:val="32"/>
          <w:szCs w:val="32"/>
          <w:rtl/>
        </w:rPr>
      </w:pPr>
      <w:r w:rsidRPr="00F27422">
        <w:rPr>
          <w:rFonts w:asciiTheme="minorBidi" w:hAnsiTheme="minorBidi"/>
          <w:sz w:val="32"/>
          <w:szCs w:val="32"/>
          <w:rtl/>
        </w:rPr>
        <w:t xml:space="preserve">فوقف </w:t>
      </w:r>
      <w:r w:rsidRPr="00F27422">
        <w:rPr>
          <w:rFonts w:asciiTheme="minorBidi" w:hAnsiTheme="minorBidi"/>
          <w:sz w:val="32"/>
          <w:szCs w:val="32"/>
          <w:highlight w:val="yellow"/>
          <w:rtl/>
        </w:rPr>
        <w:t>المسجدية عبارة عن التحرير</w:t>
      </w:r>
      <w:r w:rsidRPr="00F27422">
        <w:rPr>
          <w:rFonts w:asciiTheme="minorBidi" w:hAnsiTheme="minorBidi"/>
          <w:sz w:val="32"/>
          <w:szCs w:val="32"/>
          <w:rtl/>
        </w:rPr>
        <w:t xml:space="preserve"> وهو كالعتق، فكما أنّ العتق عبارة عن تحرير الرقبة مِن المِلك بحيث لا تكون مِلكاً لأحد كذلك وقف المسجدية هو عبارةٌ عن تحرير الأرض من المِلك بحيث لا تكون الأرض مِلكاً لأحدٍ، بل ليست قابلة للمِلك، لا أنّ الأرض مِلكٌ لجهة المسجدية بل الأرض محررة مِن المِلك فليست مِلكاً لأحد</w:t>
      </w:r>
      <w:r w:rsidRPr="00F27422">
        <w:rPr>
          <w:rFonts w:asciiTheme="minorBidi" w:hAnsiTheme="minorBidi"/>
          <w:sz w:val="32"/>
          <w:szCs w:val="32"/>
        </w:rPr>
        <w:t>.</w:t>
      </w:r>
    </w:p>
    <w:p w14:paraId="312737D9" w14:textId="77777777" w:rsidR="0016402A" w:rsidRPr="00F27422" w:rsidRDefault="0016402A" w:rsidP="00122B70">
      <w:pPr>
        <w:bidi/>
        <w:rPr>
          <w:rFonts w:asciiTheme="minorBidi" w:hAnsiTheme="minorBidi"/>
          <w:sz w:val="32"/>
          <w:szCs w:val="32"/>
          <w:rtl/>
        </w:rPr>
      </w:pPr>
      <w:r w:rsidRPr="00F27422">
        <w:rPr>
          <w:rFonts w:asciiTheme="minorBidi" w:hAnsiTheme="minorBidi"/>
          <w:sz w:val="32"/>
          <w:szCs w:val="32"/>
          <w:rtl/>
        </w:rPr>
        <w:t>نعم، يمكن الملك للمسجد كأنْ يكون هناك دار أو دكاكين أو أثاث مِلكٌ للمسجد، وأمّا الأرض الموقوفة مسجداً فهي محررةٌ عن المِلك لا أنّها مِلكٌ لجهةٍ</w:t>
      </w:r>
      <w:r w:rsidRPr="00F27422">
        <w:rPr>
          <w:rFonts w:asciiTheme="minorBidi" w:hAnsiTheme="minorBidi"/>
          <w:sz w:val="32"/>
          <w:szCs w:val="32"/>
        </w:rPr>
        <w:t>.</w:t>
      </w:r>
    </w:p>
    <w:p w14:paraId="48963D59" w14:textId="77777777" w:rsidR="0016402A" w:rsidRPr="00F27422" w:rsidRDefault="0016402A" w:rsidP="00122B70">
      <w:pPr>
        <w:bidi/>
        <w:rPr>
          <w:rFonts w:asciiTheme="minorBidi" w:hAnsiTheme="minorBidi"/>
          <w:sz w:val="32"/>
          <w:szCs w:val="32"/>
          <w:rtl/>
        </w:rPr>
      </w:pPr>
      <w:r w:rsidRPr="00F27422">
        <w:rPr>
          <w:rFonts w:asciiTheme="minorBidi" w:hAnsiTheme="minorBidi"/>
          <w:sz w:val="32"/>
          <w:szCs w:val="32"/>
          <w:rtl/>
        </w:rPr>
        <w:t>بينما الوقوف الأُخرى كوقف الدار على الإمام الحسين (عليه السلام) فهو تمليكٌ</w:t>
      </w:r>
      <w:r w:rsidRPr="00F27422">
        <w:rPr>
          <w:rFonts w:asciiTheme="minorBidi" w:hAnsiTheme="minorBidi"/>
          <w:sz w:val="32"/>
          <w:szCs w:val="32"/>
          <w:highlight w:val="yellow"/>
          <w:rtl/>
        </w:rPr>
        <w:t>، بمعنى تمليك الدار للإمام الحسين</w:t>
      </w:r>
      <w:r w:rsidRPr="00F27422">
        <w:rPr>
          <w:rFonts w:asciiTheme="minorBidi" w:hAnsiTheme="minorBidi"/>
          <w:sz w:val="32"/>
          <w:szCs w:val="32"/>
          <w:rtl/>
        </w:rPr>
        <w:t xml:space="preserve"> (عليه السلام)، أو الوقف على الذرية فهو </w:t>
      </w:r>
      <w:r w:rsidRPr="00F27422">
        <w:rPr>
          <w:rFonts w:asciiTheme="minorBidi" w:hAnsiTheme="minorBidi"/>
          <w:sz w:val="32"/>
          <w:szCs w:val="32"/>
          <w:highlight w:val="yellow"/>
          <w:rtl/>
        </w:rPr>
        <w:t>من باب التمليك أيّ أنّ هذه الدار مِلكٌ لذرية فلان، غاية ما في الباب</w:t>
      </w:r>
      <w:r w:rsidRPr="00F27422">
        <w:rPr>
          <w:rFonts w:asciiTheme="minorBidi" w:hAnsiTheme="minorBidi"/>
          <w:sz w:val="32"/>
          <w:szCs w:val="32"/>
          <w:rtl/>
        </w:rPr>
        <w:t xml:space="preserve"> أنّ الوقف بنحو التمليك على أنحاءٍ كلها تندرج تحت ما رواه الكليني عن محمد بن يحيى العطار عن الإمام العسكري (عليه السلام)، كما في الكافي: </w:t>
      </w:r>
      <w:r w:rsidRPr="00F27422">
        <w:rPr>
          <w:rFonts w:asciiTheme="minorBidi" w:hAnsiTheme="minorBidi"/>
          <w:b/>
          <w:bCs/>
          <w:sz w:val="32"/>
          <w:szCs w:val="32"/>
          <w:rtl/>
        </w:rPr>
        <w:t xml:space="preserve">(محمّد بن يحيى قال: كتب بعض أصحابنا إلى أبي محمّد (عليه السلام) في الوقف وما روي </w:t>
      </w:r>
      <w:r w:rsidRPr="00F27422">
        <w:rPr>
          <w:rFonts w:asciiTheme="minorBidi" w:hAnsiTheme="minorBidi"/>
          <w:b/>
          <w:bCs/>
          <w:sz w:val="32"/>
          <w:szCs w:val="32"/>
          <w:rtl/>
        </w:rPr>
        <w:lastRenderedPageBreak/>
        <w:t>فيها، فوقع (عليه السلام): الوقوف على حسب ما يقفها أهلها).</w:t>
      </w:r>
      <w:r w:rsidRPr="00F27422">
        <w:rPr>
          <w:rFonts w:asciiTheme="minorBidi" w:hAnsiTheme="minorBidi"/>
          <w:sz w:val="32"/>
          <w:szCs w:val="32"/>
          <w:rtl/>
        </w:rPr>
        <w:t xml:space="preserve"> [الكافي، للشيخ الكليني، دار الكتب الإسلامية، ج7، كتاب الوصايا، باب ما يجوز من الوقف والصدقة والنحل والهبة والسكنى </w:t>
      </w:r>
      <w:proofErr w:type="gramStart"/>
      <w:r w:rsidRPr="00F27422">
        <w:rPr>
          <w:rFonts w:asciiTheme="minorBidi" w:hAnsiTheme="minorBidi"/>
          <w:sz w:val="32"/>
          <w:szCs w:val="32"/>
          <w:rtl/>
        </w:rPr>
        <w:t>والعمرى</w:t>
      </w:r>
      <w:proofErr w:type="gramEnd"/>
      <w:r w:rsidRPr="00F27422">
        <w:rPr>
          <w:rFonts w:asciiTheme="minorBidi" w:hAnsiTheme="minorBidi"/>
          <w:sz w:val="32"/>
          <w:szCs w:val="32"/>
          <w:rtl/>
        </w:rPr>
        <w:t xml:space="preserve"> والرّقبى وما لا يجوز من ذلك على ولده وغيره، ح34]</w:t>
      </w:r>
      <w:r w:rsidRPr="00F27422">
        <w:rPr>
          <w:rFonts w:asciiTheme="minorBidi" w:hAnsiTheme="minorBidi"/>
          <w:sz w:val="32"/>
          <w:szCs w:val="32"/>
        </w:rPr>
        <w:t>.</w:t>
      </w:r>
    </w:p>
    <w:p w14:paraId="46BC5E0B" w14:textId="77777777" w:rsidR="0016402A" w:rsidRPr="00F27422" w:rsidRDefault="0016402A" w:rsidP="00122B70">
      <w:pPr>
        <w:bidi/>
        <w:rPr>
          <w:rFonts w:asciiTheme="minorBidi" w:hAnsiTheme="minorBidi"/>
          <w:sz w:val="32"/>
          <w:szCs w:val="32"/>
          <w:rtl/>
        </w:rPr>
      </w:pPr>
      <w:r w:rsidRPr="00F27422">
        <w:rPr>
          <w:rFonts w:asciiTheme="minorBidi" w:hAnsiTheme="minorBidi"/>
          <w:sz w:val="32"/>
          <w:szCs w:val="32"/>
          <w:rtl/>
        </w:rPr>
        <w:t>وهذا يعني أنّ الوقوف على أنحاء أي أنّ التمليك على أنحاء: الوقف المنقطع، الوقف المؤبد، والوقف المؤبد على الذرية كما لو وقف هذه الدار على ذريته عقباً بعد عقب إلى أنْ يرث الله الأرض ومن عليها، والوقف المؤبد أيضاً وقفٌ على أنحاء</w:t>
      </w:r>
      <w:r w:rsidRPr="00F27422">
        <w:rPr>
          <w:rFonts w:asciiTheme="minorBidi" w:hAnsiTheme="minorBidi"/>
          <w:sz w:val="32"/>
          <w:szCs w:val="32"/>
        </w:rPr>
        <w:t>.</w:t>
      </w:r>
    </w:p>
    <w:p w14:paraId="43709640" w14:textId="77777777" w:rsidR="0016402A" w:rsidRPr="00F27422" w:rsidRDefault="0016402A" w:rsidP="00122B70">
      <w:pPr>
        <w:bidi/>
        <w:rPr>
          <w:rFonts w:asciiTheme="minorBidi" w:hAnsiTheme="minorBidi"/>
          <w:sz w:val="32"/>
          <w:szCs w:val="32"/>
          <w:rtl/>
        </w:rPr>
      </w:pPr>
      <w:r w:rsidRPr="00F27422">
        <w:rPr>
          <w:rFonts w:asciiTheme="minorBidi" w:hAnsiTheme="minorBidi"/>
          <w:sz w:val="32"/>
          <w:szCs w:val="32"/>
          <w:rtl/>
        </w:rPr>
        <w:t>فلو جعل الواقف الوقف - كما في محلّ كلامنا - على الذرية بطناً بعد بطن أو جيلاً بعد جيل، فإنّ الوقف بهذا النحو هو تمليكٌ خاصٌ قاصرٌ في نفسه عن إطلاق السلطنة، فلا سلطنة لكلّ بطن إلّا على التصرفات الحسية بأنْ ينتفع من العين ولا سلطة له على بيع العين أو هبتها؛ بل ما جُعِل له من الأوّل هو مِلكيّة ضيقة، نعم هو قد مَلَكَ العين لكن كلّ بطنٍ يملك العين مِلكيّةً ضيقةً قاصرةً في نفسها عن إطلاق السلطنة، وهذا هو ما يستفاد من حقيقة وقف الذرية عقباً بعد عقب بحسب المرتكزات العقلائية.</w:t>
      </w:r>
    </w:p>
    <w:p w14:paraId="05C0BE97" w14:textId="77777777" w:rsidR="00415E2B" w:rsidRPr="00F27422" w:rsidRDefault="0016402A" w:rsidP="00122B70">
      <w:pPr>
        <w:bidi/>
        <w:rPr>
          <w:rFonts w:asciiTheme="minorBidi" w:hAnsiTheme="minorBidi"/>
          <w:sz w:val="32"/>
          <w:szCs w:val="32"/>
        </w:rPr>
      </w:pPr>
      <w:r w:rsidRPr="00F27422">
        <w:rPr>
          <w:rFonts w:asciiTheme="minorBidi" w:hAnsiTheme="minorBidi"/>
          <w:sz w:val="32"/>
          <w:szCs w:val="32"/>
          <w:rtl/>
        </w:rPr>
        <w:t xml:space="preserve">إلّا أنّ ظاهر كلام سيدنا الخوئي (قدس سره الشريف) في كتابه [مصباح الفقاهة، تقرير أبحاث سماحة آية الله العظمى السيد أبو القاسم الخوئي، (قدس سره) بقلم محمد علي التوحيدي التبريزي، مكتبة الداوري، الطبعة الأولى، ج5، ص168 – 169] حيث قال: </w:t>
      </w:r>
      <w:r w:rsidRPr="00F27422">
        <w:rPr>
          <w:rFonts w:asciiTheme="minorBidi" w:hAnsiTheme="minorBidi"/>
          <w:b/>
          <w:bCs/>
          <w:sz w:val="32"/>
          <w:szCs w:val="32"/>
          <w:rtl/>
        </w:rPr>
        <w:t xml:space="preserve">(الثاني: أن يكون وقفا للذرية بحيث يوقف أرضا خاصا لهم لتكون منفعته لهم طبقة بعد طبقة وجيلا بعد جيل فلا شبهة أن هذا القسم من الوقف </w:t>
      </w:r>
      <w:r w:rsidRPr="00F27422">
        <w:rPr>
          <w:rFonts w:asciiTheme="minorBidi" w:hAnsiTheme="minorBidi"/>
          <w:b/>
          <w:bCs/>
          <w:sz w:val="32"/>
          <w:szCs w:val="32"/>
          <w:highlight w:val="yellow"/>
          <w:rtl/>
        </w:rPr>
        <w:t>تحبيس وتمليك</w:t>
      </w:r>
      <w:r w:rsidRPr="00F27422">
        <w:rPr>
          <w:rFonts w:asciiTheme="minorBidi" w:hAnsiTheme="minorBidi"/>
          <w:b/>
          <w:bCs/>
          <w:sz w:val="32"/>
          <w:szCs w:val="32"/>
          <w:rtl/>
        </w:rPr>
        <w:t>، أما كونه تحبيسا فلأن الوقف على ما فسروا تحبيس الأصل وتسبيل الثمرة)</w:t>
      </w:r>
      <w:r w:rsidRPr="00F27422">
        <w:rPr>
          <w:rFonts w:asciiTheme="minorBidi" w:hAnsiTheme="minorBidi"/>
          <w:sz w:val="32"/>
          <w:szCs w:val="32"/>
          <w:rtl/>
        </w:rPr>
        <w:t xml:space="preserve"> أو المنفعة </w:t>
      </w:r>
      <w:r w:rsidRPr="00F27422">
        <w:rPr>
          <w:rFonts w:asciiTheme="minorBidi" w:hAnsiTheme="minorBidi"/>
          <w:b/>
          <w:bCs/>
          <w:sz w:val="32"/>
          <w:szCs w:val="32"/>
          <w:rtl/>
        </w:rPr>
        <w:t xml:space="preserve">(وقد جعل الواقف ذلك الوقف كذلك كما لا يخفى. وأما كونه تمليكا لهم فلمقتضى السيرة القطعية العقلائية على ذلك) </w:t>
      </w:r>
      <w:r w:rsidRPr="00F27422">
        <w:rPr>
          <w:rFonts w:asciiTheme="minorBidi" w:hAnsiTheme="minorBidi"/>
          <w:sz w:val="32"/>
          <w:szCs w:val="32"/>
          <w:rtl/>
        </w:rPr>
        <w:t xml:space="preserve">يعني أنّ حقيقة الوقف هي حقيقة مستفادة من السيرة العقلائية، وحقيقة الوقف على الذرية  لدى السيرة القطعية العقلائية هي نوع من التمليك </w:t>
      </w:r>
      <w:r w:rsidRPr="00F27422">
        <w:rPr>
          <w:rFonts w:asciiTheme="minorBidi" w:hAnsiTheme="minorBidi"/>
          <w:b/>
          <w:bCs/>
          <w:sz w:val="32"/>
          <w:szCs w:val="32"/>
          <w:rtl/>
        </w:rPr>
        <w:t>(فإنه لا يشك أحد في أنه إذا ثبت في ذلك ما يوجب الضمان على شيء يكون ذلك الشيء لهم)</w:t>
      </w:r>
      <w:r w:rsidRPr="00F27422">
        <w:rPr>
          <w:rFonts w:asciiTheme="minorBidi" w:hAnsiTheme="minorBidi"/>
          <w:sz w:val="32"/>
          <w:szCs w:val="32"/>
          <w:rtl/>
        </w:rPr>
        <w:t xml:space="preserve"> كما لو أوقف شخصٌ البستان على ذرية فلان وجاء شخص بدون اختياره قطع شجرةً أو سحق جزءاً من الأرض فإنّه يضمن للموقوف عليهم – لا للواقف - مما يعني المِلكيّة فلو لم يكونوا مالكين لما كان لهم الضمان </w:t>
      </w:r>
      <w:r w:rsidRPr="00F27422">
        <w:rPr>
          <w:rFonts w:asciiTheme="minorBidi" w:hAnsiTheme="minorBidi"/>
          <w:b/>
          <w:bCs/>
          <w:sz w:val="32"/>
          <w:szCs w:val="32"/>
          <w:rtl/>
        </w:rPr>
        <w:t xml:space="preserve">(ولو غصبه غاصب) </w:t>
      </w:r>
      <w:r w:rsidRPr="00F27422">
        <w:rPr>
          <w:rFonts w:asciiTheme="minorBidi" w:hAnsiTheme="minorBidi"/>
          <w:sz w:val="32"/>
          <w:szCs w:val="32"/>
          <w:rtl/>
        </w:rPr>
        <w:t xml:space="preserve">كما لو افترض أنّ الظالم وضع يده على ذلك البستان الموقوف </w:t>
      </w:r>
      <w:r w:rsidRPr="00F27422">
        <w:rPr>
          <w:rFonts w:asciiTheme="minorBidi" w:hAnsiTheme="minorBidi"/>
          <w:b/>
          <w:bCs/>
          <w:sz w:val="32"/>
          <w:szCs w:val="32"/>
          <w:rtl/>
        </w:rPr>
        <w:t xml:space="preserve">(لوجب عليه رده إلى الذرية بمقتضى اليد والسيرة ومن المعلوم أنه لو لم يكن هنا تمليك لكان الحكم فيها مثل المساجد) </w:t>
      </w:r>
      <w:r w:rsidRPr="00F27422">
        <w:rPr>
          <w:rFonts w:asciiTheme="minorBidi" w:hAnsiTheme="minorBidi"/>
          <w:sz w:val="32"/>
          <w:szCs w:val="32"/>
          <w:rtl/>
        </w:rPr>
        <w:t xml:space="preserve">وهنا بيانٌ للفرق في الأثر بين وقف المسجد وبين وقف الذرية، فلو فرض أنّ شخصاً جاء وأتلف شيئاً مِن أرض المسجد فإنّه لا يضمن، </w:t>
      </w:r>
    </w:p>
    <w:p w14:paraId="5140EF50" w14:textId="67D8DDC5"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lastRenderedPageBreak/>
        <w:t>أو جاء الغاصب وشغل المكان وجلس في المسجد أربع سنين ثمّ خرج منه، فلا أحد يملك المسجد حتى يضمن له، مما يعني أنّ وقف الذرية أشد وأحسن حالاً من وقف المسجدية،</w:t>
      </w:r>
      <w:r w:rsidRPr="00F27422">
        <w:rPr>
          <w:rFonts w:asciiTheme="minorBidi" w:hAnsiTheme="minorBidi"/>
          <w:b/>
          <w:bCs/>
          <w:sz w:val="32"/>
          <w:szCs w:val="32"/>
          <w:rtl/>
        </w:rPr>
        <w:t xml:space="preserve"> (من غير أن يوجب الإشغال والغصب الضمان على الأجرة)</w:t>
      </w:r>
      <w:r w:rsidRPr="00F27422">
        <w:rPr>
          <w:rFonts w:asciiTheme="minorBidi" w:hAnsiTheme="minorBidi"/>
          <w:sz w:val="32"/>
          <w:szCs w:val="32"/>
          <w:rtl/>
        </w:rPr>
        <w:t xml:space="preserve"> ومعناه: أنّ الإشغال والغصب في المسجد لا يوجب ضماناً؛ لأنّه لا مالك له حيث حرر من الِملكيّة بخلاف وقف الذرية </w:t>
      </w:r>
      <w:r w:rsidRPr="00F27422">
        <w:rPr>
          <w:rFonts w:asciiTheme="minorBidi" w:hAnsiTheme="minorBidi"/>
          <w:b/>
          <w:bCs/>
          <w:sz w:val="32"/>
          <w:szCs w:val="32"/>
          <w:rtl/>
        </w:rPr>
        <w:t>(فلازم هذه السيرة هي الملكية على أن مقتضى الوقف على الذرية يقتضي ذلك بمقتضى مفهوم الوقف فإنه لو كان ذلك مجرد التحبيس)</w:t>
      </w:r>
      <w:r w:rsidRPr="00F27422">
        <w:rPr>
          <w:rFonts w:asciiTheme="minorBidi" w:hAnsiTheme="minorBidi"/>
          <w:sz w:val="32"/>
          <w:szCs w:val="32"/>
          <w:rtl/>
        </w:rPr>
        <w:t xml:space="preserve"> ولم يكن وقفاً بمعنى التمليك </w:t>
      </w:r>
      <w:r w:rsidRPr="00F27422">
        <w:rPr>
          <w:rFonts w:asciiTheme="minorBidi" w:hAnsiTheme="minorBidi"/>
          <w:b/>
          <w:bCs/>
          <w:sz w:val="32"/>
          <w:szCs w:val="32"/>
          <w:rtl/>
        </w:rPr>
        <w:t>(لكان المناسب أن يقول الواقف وقفت لهم بحيث يكون لهم لا عليهم، وهذا بخلاف التمليك فإنّ الواقف يملك العين الموقوفة لهم).</w:t>
      </w:r>
    </w:p>
    <w:p w14:paraId="4329B6A4" w14:textId="77777777" w:rsidR="0016402A" w:rsidRPr="00F27422" w:rsidRDefault="0016402A" w:rsidP="00122B70">
      <w:pPr>
        <w:bidi/>
        <w:rPr>
          <w:rFonts w:asciiTheme="minorBidi" w:hAnsiTheme="minorBidi"/>
          <w:b/>
          <w:bCs/>
          <w:sz w:val="32"/>
          <w:szCs w:val="32"/>
          <w:rtl/>
        </w:rPr>
      </w:pPr>
      <w:r w:rsidRPr="00F27422">
        <w:rPr>
          <w:rFonts w:asciiTheme="minorBidi" w:hAnsiTheme="minorBidi"/>
          <w:b/>
          <w:bCs/>
          <w:sz w:val="32"/>
          <w:szCs w:val="32"/>
          <w:rtl/>
        </w:rPr>
        <w:t>ومعناه:</w:t>
      </w:r>
      <w:r w:rsidRPr="00F27422">
        <w:rPr>
          <w:rFonts w:asciiTheme="minorBidi" w:hAnsiTheme="minorBidi"/>
          <w:sz w:val="32"/>
          <w:szCs w:val="32"/>
          <w:rtl/>
        </w:rPr>
        <w:t xml:space="preserve"> أنّ هناك فارقاً في التعبير العرفي بين أنْ يقول الواقف: "وقفتُ هذه الدار على ذريتي" وبين أنْ يقول: "وقفتُ هذه الدار لذريتي"، ففرقٌ بين "لهم" وبين "عليهم".</w:t>
      </w:r>
    </w:p>
    <w:p w14:paraId="32507E9B"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فإذا قيل: "وقفتُ هذه الدار لبني فلان" لا يستفاد منها التمليك؛ بل يستفاد التحبيس أي أنّ منفعتها لهم، بخلاف ما إذا قيل: "وقفتُ هذه الدار على بني فلان" فإنّ ظاهر ذلك أنّه تمليكٌ للعين وللمنفعة لهم عقباً بعد عقب</w:t>
      </w:r>
      <w:r w:rsidRPr="00F27422">
        <w:rPr>
          <w:rFonts w:asciiTheme="minorBidi" w:hAnsiTheme="minorBidi"/>
          <w:sz w:val="32"/>
          <w:szCs w:val="32"/>
        </w:rPr>
        <w:t>.</w:t>
      </w:r>
    </w:p>
    <w:p w14:paraId="5515CFA8"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 xml:space="preserve">ثمّ قال (قدس سره): </w:t>
      </w:r>
      <w:r w:rsidRPr="00F27422">
        <w:rPr>
          <w:rFonts w:asciiTheme="minorBidi" w:hAnsiTheme="minorBidi"/>
          <w:b/>
          <w:bCs/>
          <w:sz w:val="32"/>
          <w:szCs w:val="32"/>
          <w:rtl/>
        </w:rPr>
        <w:t xml:space="preserve">(ولكن يضيق دائرة السلطنة على الموقوف عليهم، ولا يجعلونها مطلقة في العين الموقوفة لتكون سلطنتهم سلطنة مطلقة وسلطنة لهم، بل يضيق دائرة السلطنة عليهم بالشرط في ضمن الوقف وبنفسه، نظير الشرط الخارجي بحيث يكون الموقوف عليهم مالكا للمنفعة فقط ملكية مطلقة، وأما العين فليس لهم عليها مالكية إلا من جهة أن تكون المنفعة لهم، وأما أنهم يفعلون للعين الموقوفة بما </w:t>
      </w:r>
      <w:proofErr w:type="spellStart"/>
      <w:r w:rsidRPr="00F27422">
        <w:rPr>
          <w:rFonts w:asciiTheme="minorBidi" w:hAnsiTheme="minorBidi"/>
          <w:b/>
          <w:bCs/>
          <w:sz w:val="32"/>
          <w:szCs w:val="32"/>
          <w:rtl/>
        </w:rPr>
        <w:t>شائوا</w:t>
      </w:r>
      <w:proofErr w:type="spellEnd"/>
      <w:r w:rsidRPr="00F27422">
        <w:rPr>
          <w:rFonts w:asciiTheme="minorBidi" w:hAnsiTheme="minorBidi"/>
          <w:b/>
          <w:bCs/>
          <w:sz w:val="32"/>
          <w:szCs w:val="32"/>
          <w:rtl/>
        </w:rPr>
        <w:t xml:space="preserve"> فلا، فتكون السلطنة عليهم لا لهم، ولذا قال الواقف عن الوقف: وقفت عليهم</w:t>
      </w:r>
      <w:r w:rsidRPr="00F27422">
        <w:rPr>
          <w:rFonts w:asciiTheme="minorBidi" w:hAnsiTheme="minorBidi"/>
          <w:b/>
          <w:bCs/>
          <w:sz w:val="32"/>
          <w:szCs w:val="32"/>
        </w:rPr>
        <w:t>.</w:t>
      </w:r>
    </w:p>
    <w:p w14:paraId="40CC4795" w14:textId="77777777" w:rsidR="0016402A" w:rsidRPr="00F27422" w:rsidRDefault="0016402A" w:rsidP="00122B70">
      <w:pPr>
        <w:bidi/>
        <w:rPr>
          <w:rFonts w:asciiTheme="minorBidi" w:hAnsiTheme="minorBidi"/>
          <w:b/>
          <w:bCs/>
          <w:sz w:val="32"/>
          <w:szCs w:val="32"/>
          <w:rtl/>
        </w:rPr>
      </w:pPr>
      <w:r w:rsidRPr="00F27422">
        <w:rPr>
          <w:rFonts w:asciiTheme="minorBidi" w:hAnsiTheme="minorBidi"/>
          <w:b/>
          <w:bCs/>
          <w:sz w:val="32"/>
          <w:szCs w:val="32"/>
          <w:rtl/>
        </w:rPr>
        <w:t>وبالجملة: مقتضى تلك العبارة هي التمليك، فإنّه لو كان الغرض هو التحبيس لقال: وقفت لهم لا عليهم، فإن من الواضح أنّه إذا كان الشخص مالكا لشيء ولم تكن سلطنة مطلقة تكون السلطنة عليهم لا لهم كما هو واضح</w:t>
      </w:r>
      <w:r w:rsidRPr="00F27422">
        <w:rPr>
          <w:rFonts w:asciiTheme="minorBidi" w:hAnsiTheme="minorBidi"/>
          <w:b/>
          <w:bCs/>
          <w:sz w:val="32"/>
          <w:szCs w:val="32"/>
        </w:rPr>
        <w:t>.</w:t>
      </w:r>
    </w:p>
    <w:p w14:paraId="77E2FA04" w14:textId="77777777" w:rsidR="0016402A" w:rsidRPr="00F27422" w:rsidRDefault="0016402A" w:rsidP="00122B70">
      <w:pPr>
        <w:bidi/>
        <w:rPr>
          <w:rFonts w:asciiTheme="minorBidi" w:hAnsiTheme="minorBidi"/>
          <w:b/>
          <w:bCs/>
          <w:sz w:val="32"/>
          <w:szCs w:val="32"/>
          <w:rtl/>
        </w:rPr>
      </w:pPr>
      <w:r w:rsidRPr="00F27422">
        <w:rPr>
          <w:rFonts w:asciiTheme="minorBidi" w:hAnsiTheme="minorBidi"/>
          <w:b/>
          <w:bCs/>
          <w:sz w:val="32"/>
          <w:szCs w:val="32"/>
          <w:rtl/>
        </w:rPr>
        <w:t>والحاصل: أنا نستفيد كون الوقف على الذرية تمليكا لا تحبيسا من نفس عبارة الواقف عند الوقف لكونها ظاهرة في التمليك باعتبار التعبير بعلى الظاهرة في تضييق دائرة السلطنة بمقتضى الشرط بمجرد الوقف نظير تضييق الدائرة للسلطنة بالشروط الخارجية).</w:t>
      </w:r>
    </w:p>
    <w:p w14:paraId="599E51F4" w14:textId="77777777" w:rsidR="0016402A" w:rsidRPr="00F27422" w:rsidRDefault="0016402A" w:rsidP="00122B70">
      <w:pPr>
        <w:bidi/>
        <w:rPr>
          <w:rFonts w:asciiTheme="minorBidi" w:hAnsiTheme="minorBidi"/>
          <w:b/>
          <w:bCs/>
          <w:sz w:val="32"/>
          <w:szCs w:val="32"/>
          <w:rtl/>
        </w:rPr>
      </w:pPr>
      <w:r w:rsidRPr="00F27422">
        <w:rPr>
          <w:rFonts w:asciiTheme="minorBidi" w:hAnsiTheme="minorBidi"/>
          <w:b/>
          <w:bCs/>
          <w:sz w:val="32"/>
          <w:szCs w:val="32"/>
          <w:rtl/>
        </w:rPr>
        <w:t>وظاهر كلامه (قدس سره):</w:t>
      </w:r>
      <w:r w:rsidRPr="00F27422">
        <w:rPr>
          <w:rFonts w:asciiTheme="minorBidi" w:hAnsiTheme="minorBidi"/>
          <w:sz w:val="32"/>
          <w:szCs w:val="32"/>
          <w:rtl/>
        </w:rPr>
        <w:t xml:space="preserve"> أنّه لولا الشرط لكانت لهم السلطنة المطلقة</w:t>
      </w:r>
      <w:r w:rsidRPr="00F27422">
        <w:rPr>
          <w:rFonts w:asciiTheme="minorBidi" w:hAnsiTheme="minorBidi"/>
          <w:sz w:val="32"/>
          <w:szCs w:val="32"/>
        </w:rPr>
        <w:t>.</w:t>
      </w:r>
    </w:p>
    <w:p w14:paraId="29BAEA10" w14:textId="77777777" w:rsidR="0016402A" w:rsidRPr="00F27422" w:rsidRDefault="0016402A" w:rsidP="00122B70">
      <w:pPr>
        <w:bidi/>
        <w:rPr>
          <w:rFonts w:asciiTheme="minorBidi" w:hAnsiTheme="minorBidi"/>
          <w:b/>
          <w:bCs/>
          <w:sz w:val="32"/>
          <w:szCs w:val="32"/>
          <w:rtl/>
        </w:rPr>
      </w:pPr>
      <w:r w:rsidRPr="00F27422">
        <w:rPr>
          <w:rFonts w:asciiTheme="minorBidi" w:hAnsiTheme="minorBidi"/>
          <w:b/>
          <w:bCs/>
          <w:sz w:val="32"/>
          <w:szCs w:val="32"/>
          <w:rtl/>
        </w:rPr>
        <w:lastRenderedPageBreak/>
        <w:t>والحال:</w:t>
      </w:r>
      <w:r w:rsidRPr="00F27422">
        <w:rPr>
          <w:rFonts w:asciiTheme="minorBidi" w:hAnsiTheme="minorBidi"/>
          <w:sz w:val="32"/>
          <w:szCs w:val="32"/>
          <w:rtl/>
        </w:rPr>
        <w:t xml:space="preserve"> بأنّ المسألة لا تدور مدار الشرط؛ بل طبيعة الوقف على الذرية هو ذلك، أي أنّ سنخ الوقف على الذرية عقباً بعد عقب هو هذا، بمعنى أنّ كلّ عقبٍ وإنْ مَلَكَ العين والمنفعة إلّا أنّه ملكها ملكيّةً ضيقةً محدودةً بأنْ لا سلطنة له على البيع أو الهبة، بل غاية سلطنته على الانتفاع، لا أنّ المسألة تحتاج إلى ضميمة شرطٍ في ضمن الوقف</w:t>
      </w:r>
      <w:r w:rsidRPr="00F27422">
        <w:rPr>
          <w:rFonts w:asciiTheme="minorBidi" w:hAnsiTheme="minorBidi"/>
          <w:sz w:val="32"/>
          <w:szCs w:val="32"/>
        </w:rPr>
        <w:t>.</w:t>
      </w:r>
    </w:p>
    <w:p w14:paraId="02B23B49" w14:textId="77777777" w:rsidR="0016402A" w:rsidRPr="00F27422" w:rsidRDefault="0016402A" w:rsidP="00122B70">
      <w:pPr>
        <w:bidi/>
        <w:rPr>
          <w:rFonts w:asciiTheme="minorBidi" w:hAnsiTheme="minorBidi"/>
          <w:b/>
          <w:bCs/>
          <w:sz w:val="32"/>
          <w:szCs w:val="32"/>
          <w:rtl/>
        </w:rPr>
      </w:pPr>
      <w:r w:rsidRPr="00F27422">
        <w:rPr>
          <w:rFonts w:asciiTheme="minorBidi" w:hAnsiTheme="minorBidi"/>
          <w:b/>
          <w:bCs/>
          <w:sz w:val="32"/>
          <w:szCs w:val="32"/>
          <w:rtl/>
        </w:rPr>
        <w:t>الجهة الثانية: في الصُغرى:</w:t>
      </w:r>
      <w:r w:rsidRPr="00F27422">
        <w:rPr>
          <w:rFonts w:asciiTheme="minorBidi" w:hAnsiTheme="minorBidi"/>
          <w:sz w:val="32"/>
          <w:szCs w:val="32"/>
          <w:rtl/>
        </w:rPr>
        <w:t xml:space="preserve"> فإنّ إجارة وقف الذرية على نحوين</w:t>
      </w:r>
      <w:r w:rsidRPr="00F27422">
        <w:rPr>
          <w:rFonts w:asciiTheme="minorBidi" w:hAnsiTheme="minorBidi"/>
          <w:sz w:val="32"/>
          <w:szCs w:val="32"/>
        </w:rPr>
        <w:t>:</w:t>
      </w:r>
    </w:p>
    <w:p w14:paraId="0A992056" w14:textId="77777777" w:rsidR="0016402A" w:rsidRPr="00F27422" w:rsidRDefault="0016402A" w:rsidP="00122B70">
      <w:pPr>
        <w:bidi/>
        <w:rPr>
          <w:rFonts w:asciiTheme="minorBidi" w:hAnsiTheme="minorBidi"/>
          <w:sz w:val="32"/>
          <w:szCs w:val="32"/>
          <w:rtl/>
        </w:rPr>
      </w:pPr>
      <w:r w:rsidRPr="00F27422">
        <w:rPr>
          <w:rFonts w:asciiTheme="minorBidi" w:hAnsiTheme="minorBidi"/>
          <w:b/>
          <w:bCs/>
          <w:sz w:val="32"/>
          <w:szCs w:val="32"/>
          <w:rtl/>
        </w:rPr>
        <w:t>النحو الأوّل:</w:t>
      </w:r>
      <w:r w:rsidRPr="00F27422">
        <w:rPr>
          <w:rFonts w:asciiTheme="minorBidi" w:hAnsiTheme="minorBidi"/>
          <w:sz w:val="32"/>
          <w:szCs w:val="32"/>
          <w:rtl/>
        </w:rPr>
        <w:t xml:space="preserve"> أنْ تكون الإجارة من البطن السابق.</w:t>
      </w:r>
    </w:p>
    <w:p w14:paraId="2F7A3B4B"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كما لو آجر البطنُ السابق البستان أو الدار خمسين سنة، فانقرض البطن قبل مرور الخمسين سنة. فهل تنفذ الإجارة في حقّ البطن اللاحق أم لا؟</w:t>
      </w:r>
    </w:p>
    <w:p w14:paraId="7F41719E"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فهنا أُفيد في كلام سيدنا الخوئي (قدس سره الشريف) وغيره من الأعلام أنّ الإجارة بقاءً من الإجارة الفضوليّة، مما يعني توقّف نفوذها على إجازة البطن اللاحق</w:t>
      </w:r>
      <w:r w:rsidRPr="00F27422">
        <w:rPr>
          <w:rFonts w:asciiTheme="minorBidi" w:hAnsiTheme="minorBidi"/>
          <w:sz w:val="32"/>
          <w:szCs w:val="32"/>
        </w:rPr>
        <w:t>.</w:t>
      </w:r>
    </w:p>
    <w:p w14:paraId="0CB0B300"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 xml:space="preserve">ففي موسوعته المباركة [كتاب الإجارة، ج30، ص129] قال (قدس سره): </w:t>
      </w:r>
      <w:r w:rsidRPr="00F27422">
        <w:rPr>
          <w:rFonts w:asciiTheme="minorBidi" w:hAnsiTheme="minorBidi"/>
          <w:b/>
          <w:bCs/>
          <w:sz w:val="32"/>
          <w:szCs w:val="32"/>
          <w:rtl/>
        </w:rPr>
        <w:t>(فإنّ ملكيّة كلّ بطن للعين محدودة بحياته كملكيّة منافعها)</w:t>
      </w:r>
      <w:r w:rsidRPr="00F27422">
        <w:rPr>
          <w:rFonts w:asciiTheme="minorBidi" w:hAnsiTheme="minorBidi"/>
          <w:sz w:val="32"/>
          <w:szCs w:val="32"/>
          <w:rtl/>
        </w:rPr>
        <w:t xml:space="preserve"> فلم يملكها مِلكاً مطلقاً، فكما أنّ العين خاصةٌ بحياته كذلك  ملكيّته للمنفعة خاصة بحياته، فالموت هو الحد لانتهاء أمد الملكيّة حتى للمنفعة </w:t>
      </w:r>
      <w:r w:rsidRPr="00F27422">
        <w:rPr>
          <w:rFonts w:asciiTheme="minorBidi" w:hAnsiTheme="minorBidi"/>
          <w:b/>
          <w:bCs/>
          <w:sz w:val="32"/>
          <w:szCs w:val="32"/>
          <w:rtl/>
        </w:rPr>
        <w:t>(فالإجارة في مثلها تبطل بالموت لا محالة، لانتهاء أمد الملكيّة، فلو آجر البطن السابق بطلت الإجارة بموته والانتقال إلى البطن اللاحق، بمعنى: أنّ الإجارة تعدّ بقاءً من الإجارة الفضوليّة، فيتوقّف نفوذها على إجازة البطن اللاحق، فالمراد من البطلان هنا هو المراد من بطلان البيع الفضولي، أي التوقّف على الإجازة)</w:t>
      </w:r>
      <w:r w:rsidRPr="00F27422">
        <w:rPr>
          <w:rFonts w:asciiTheme="minorBidi" w:hAnsiTheme="minorBidi"/>
          <w:b/>
          <w:bCs/>
          <w:sz w:val="32"/>
          <w:szCs w:val="32"/>
        </w:rPr>
        <w:t>.</w:t>
      </w:r>
    </w:p>
    <w:p w14:paraId="71CFB4C7"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 xml:space="preserve">كما في الخلاف والشرائع والتذكرة والقواعد والتحرير والإرشاد والإيضاح والدروس </w:t>
      </w:r>
      <w:proofErr w:type="gramStart"/>
      <w:r w:rsidRPr="00F27422">
        <w:rPr>
          <w:rFonts w:asciiTheme="minorBidi" w:hAnsiTheme="minorBidi"/>
          <w:sz w:val="32"/>
          <w:szCs w:val="32"/>
          <w:rtl/>
        </w:rPr>
        <w:t>واللمعتين</w:t>
      </w:r>
      <w:proofErr w:type="gramEnd"/>
      <w:r w:rsidRPr="00F27422">
        <w:rPr>
          <w:rFonts w:asciiTheme="minorBidi" w:hAnsiTheme="minorBidi"/>
          <w:sz w:val="32"/>
          <w:szCs w:val="32"/>
          <w:rtl/>
        </w:rPr>
        <w:t xml:space="preserve"> وجامع المقاصد والمسالك وغيرها</w:t>
      </w:r>
      <w:r w:rsidRPr="00F27422">
        <w:rPr>
          <w:rFonts w:asciiTheme="minorBidi" w:hAnsiTheme="minorBidi"/>
          <w:sz w:val="32"/>
          <w:szCs w:val="32"/>
        </w:rPr>
        <w:t>.</w:t>
      </w:r>
    </w:p>
    <w:p w14:paraId="485735D2"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واحتمل في المبسوط أنّ الموت لا يبطل الإجارة حتى في البطن السابق بالنسبة للبطن اللاحق</w:t>
      </w:r>
      <w:r w:rsidRPr="00F27422">
        <w:rPr>
          <w:rFonts w:asciiTheme="minorBidi" w:hAnsiTheme="minorBidi"/>
          <w:sz w:val="32"/>
          <w:szCs w:val="32"/>
        </w:rPr>
        <w:t>.</w:t>
      </w:r>
    </w:p>
    <w:p w14:paraId="54B8991F"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 xml:space="preserve">لكن صاحب الجواهر (قدس سره الشريف) في كتابه [جواهر الكلام في شرح شرائع الإسلام، الشيخ محمد حسن النجفي الجواهري، دار إحياء التراث العربي، ج28، ص116] قال: </w:t>
      </w:r>
      <w:r w:rsidRPr="00F27422">
        <w:rPr>
          <w:rFonts w:asciiTheme="minorBidi" w:hAnsiTheme="minorBidi"/>
          <w:b/>
          <w:bCs/>
          <w:sz w:val="32"/>
          <w:szCs w:val="32"/>
          <w:rtl/>
        </w:rPr>
        <w:t>(فمن الغريب وسوسة بعض متأخري المتأخرين في ذلك، حتى تجرأ بعض من تأخر عنه إلى الجزم بجواز إجارة البطن الأول مدة تستغرق عمر الموقوف عليه، معللا له بأن المنفعة ملكهم ملكا مطلقا، والناس مسلطون على أموالهم، وهو كما ترى)</w:t>
      </w:r>
      <w:r w:rsidRPr="00F27422">
        <w:rPr>
          <w:rFonts w:asciiTheme="minorBidi" w:hAnsiTheme="minorBidi"/>
          <w:b/>
          <w:bCs/>
          <w:sz w:val="32"/>
          <w:szCs w:val="32"/>
        </w:rPr>
        <w:t>.</w:t>
      </w:r>
    </w:p>
    <w:p w14:paraId="48D72050" w14:textId="77777777" w:rsidR="0016402A" w:rsidRPr="00F27422" w:rsidRDefault="0016402A" w:rsidP="00122B70">
      <w:pPr>
        <w:bidi/>
        <w:rPr>
          <w:rFonts w:asciiTheme="minorBidi" w:hAnsiTheme="minorBidi"/>
          <w:b/>
          <w:bCs/>
          <w:sz w:val="32"/>
          <w:szCs w:val="32"/>
          <w:rtl/>
        </w:rPr>
      </w:pPr>
      <w:r w:rsidRPr="00F27422">
        <w:rPr>
          <w:rFonts w:asciiTheme="minorBidi" w:hAnsiTheme="minorBidi"/>
          <w:b/>
          <w:bCs/>
          <w:sz w:val="32"/>
          <w:szCs w:val="32"/>
          <w:rtl/>
        </w:rPr>
        <w:lastRenderedPageBreak/>
        <w:t>وظاهر كلام صاحب الجواهر (قدس سره الشريف):</w:t>
      </w:r>
      <w:r w:rsidRPr="00F27422">
        <w:rPr>
          <w:rFonts w:asciiTheme="minorBidi" w:hAnsiTheme="minorBidi"/>
          <w:sz w:val="32"/>
          <w:szCs w:val="32"/>
          <w:rtl/>
        </w:rPr>
        <w:t xml:space="preserve"> أنّ المسألة واضحةٌ وضوحاً يعتبر المخالفة له وسوسة وجرأة، وإلّا فبما أنّ حقيقة الوقف على الذرية ليست إلّا بهذا النحو، فلا ملكيّة لهم للمنفعة تقتضي أنْ تنفذ إجارتهم على البطن اللاحق</w:t>
      </w:r>
      <w:r w:rsidRPr="00F27422">
        <w:rPr>
          <w:rFonts w:asciiTheme="minorBidi" w:hAnsiTheme="minorBidi"/>
          <w:sz w:val="32"/>
          <w:szCs w:val="32"/>
        </w:rPr>
        <w:t>.</w:t>
      </w:r>
    </w:p>
    <w:p w14:paraId="7FFF8609" w14:textId="77777777" w:rsidR="0016402A" w:rsidRPr="00F27422" w:rsidRDefault="0016402A" w:rsidP="00122B70">
      <w:pPr>
        <w:bidi/>
        <w:rPr>
          <w:rFonts w:asciiTheme="minorBidi" w:hAnsiTheme="minorBidi"/>
          <w:b/>
          <w:bCs/>
          <w:sz w:val="32"/>
          <w:szCs w:val="32"/>
          <w:rtl/>
        </w:rPr>
      </w:pPr>
      <w:r w:rsidRPr="00F27422">
        <w:rPr>
          <w:rFonts w:asciiTheme="minorBidi" w:hAnsiTheme="minorBidi"/>
          <w:b/>
          <w:bCs/>
          <w:sz w:val="32"/>
          <w:szCs w:val="32"/>
          <w:rtl/>
        </w:rPr>
        <w:t>فإنْ قلتَ:</w:t>
      </w:r>
      <w:r w:rsidRPr="00F27422">
        <w:rPr>
          <w:rFonts w:asciiTheme="minorBidi" w:hAnsiTheme="minorBidi"/>
          <w:sz w:val="32"/>
          <w:szCs w:val="32"/>
          <w:rtl/>
        </w:rPr>
        <w:t xml:space="preserve"> إنّ مقتضى الكُبرى: "مَن مَلَكَ العين مَلَكَ منافعها المُرسلة إلى الأبد" أنّ تصرّف البطن السابق بالإجارة أو الهبة نافذٌ في حقّ البطن اللاحق، ولازمه انتقال العين للبطن اللاحق مسلوبة المنفعة، كما لو آجر شخصٌ داره ثمّ باعها لشخصٍ آخر فإنّ العين تنتقل للمشتري مسلوبة منفعة</w:t>
      </w:r>
      <w:r w:rsidRPr="00F27422">
        <w:rPr>
          <w:rFonts w:asciiTheme="minorBidi" w:hAnsiTheme="minorBidi"/>
          <w:sz w:val="32"/>
          <w:szCs w:val="32"/>
        </w:rPr>
        <w:t>.</w:t>
      </w:r>
    </w:p>
    <w:p w14:paraId="08C5F378" w14:textId="77777777" w:rsidR="0016402A" w:rsidRPr="00F27422" w:rsidRDefault="0016402A" w:rsidP="00122B70">
      <w:pPr>
        <w:bidi/>
        <w:rPr>
          <w:rFonts w:asciiTheme="minorBidi" w:hAnsiTheme="minorBidi"/>
          <w:b/>
          <w:bCs/>
          <w:sz w:val="32"/>
          <w:szCs w:val="32"/>
          <w:rtl/>
        </w:rPr>
      </w:pPr>
      <w:r w:rsidRPr="00F27422">
        <w:rPr>
          <w:rFonts w:asciiTheme="minorBidi" w:hAnsiTheme="minorBidi"/>
          <w:b/>
          <w:bCs/>
          <w:sz w:val="32"/>
          <w:szCs w:val="32"/>
          <w:rtl/>
        </w:rPr>
        <w:t>قلتُ:</w:t>
      </w:r>
      <w:r w:rsidRPr="00F27422">
        <w:rPr>
          <w:rFonts w:asciiTheme="minorBidi" w:hAnsiTheme="minorBidi"/>
          <w:sz w:val="32"/>
          <w:szCs w:val="32"/>
          <w:rtl/>
        </w:rPr>
        <w:t xml:space="preserve"> إنّ حقيقة الوقف على الذرية - كما سبق - تمليك العين بنحوٍ يقتضي ثبوت الِملكيّة للعين والمنفعة لكلّ بطنٍ على نسق البطن السابق إلى حين انقضاء الذرية، ولذلك ليس لكلّ بطنٍ بيع العين الموقوفة، فنفوذ الإجارة في حقّ البطن اللاحق منافٍ لحقيقة الوقف بهذا النحو على الذرية</w:t>
      </w:r>
      <w:r w:rsidRPr="00F27422">
        <w:rPr>
          <w:rFonts w:asciiTheme="minorBidi" w:hAnsiTheme="minorBidi"/>
          <w:sz w:val="32"/>
          <w:szCs w:val="32"/>
        </w:rPr>
        <w:t>.</w:t>
      </w:r>
    </w:p>
    <w:p w14:paraId="2D1A0129"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ونحو ذلك ما إذا أوصى المالك بمنفعة الدار لشخصٍ مدّة حياته، كما هو المتعارف في زماننا في الوصايا بأنْ يوصي الزوج مثلاً ويقول: "أوصيتُ بسكنى زوجتي في الدار مدّة حياتها" ثمّ توفى الموصي وأصبحت منفعة الدار للزوجة، فلو أنّ الزوجة الموصى لها بمنفعة الدار آجرتها ثمّ ماتتْ أثناء الإجارة لم تكن إجارة الزوجة نافذةٌ في حقّ الورثة؛ لأنّها إنّما ملكت المنفعة مدّة حياتها فلا ينفذ تمليكها للمنفعة بمدّةٍ أطول مِن مدّة حياتها</w:t>
      </w:r>
      <w:r w:rsidRPr="00F27422">
        <w:rPr>
          <w:rFonts w:asciiTheme="minorBidi" w:hAnsiTheme="minorBidi"/>
          <w:sz w:val="32"/>
          <w:szCs w:val="32"/>
        </w:rPr>
        <w:t>.</w:t>
      </w:r>
    </w:p>
    <w:p w14:paraId="59AB4F12"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 xml:space="preserve">وقد أفاد سيدنا الخوئي (قدس سره الشريف) في موسوعته المباركة في [كتاب الإجارة، ج30، ص129] حيث قال: </w:t>
      </w:r>
      <w:r w:rsidRPr="00F27422">
        <w:rPr>
          <w:rFonts w:asciiTheme="minorBidi" w:hAnsiTheme="minorBidi"/>
          <w:b/>
          <w:bCs/>
          <w:sz w:val="32"/>
          <w:szCs w:val="32"/>
          <w:rtl/>
        </w:rPr>
        <w:t>(وحيث إنّه ينكشف بالموت عدم كونه بعدئذٍ مالكاً للمنفعة، فلا جرم تبطل الإجارة بقاءً، أي تتوقّف على إجازة من بيده الإجازة كما عرفت)</w:t>
      </w:r>
      <w:r w:rsidRPr="00F27422">
        <w:rPr>
          <w:rFonts w:asciiTheme="minorBidi" w:hAnsiTheme="minorBidi"/>
          <w:b/>
          <w:bCs/>
          <w:sz w:val="32"/>
          <w:szCs w:val="32"/>
        </w:rPr>
        <w:t>.</w:t>
      </w:r>
    </w:p>
    <w:p w14:paraId="1C0542D4"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فتكون الإجارة إجارةً فضوليّة</w:t>
      </w:r>
      <w:r w:rsidRPr="00F27422">
        <w:rPr>
          <w:rFonts w:asciiTheme="minorBidi" w:hAnsiTheme="minorBidi"/>
          <w:sz w:val="32"/>
          <w:szCs w:val="32"/>
        </w:rPr>
        <w:t>.</w:t>
      </w:r>
    </w:p>
    <w:p w14:paraId="10E177F7" w14:textId="77777777" w:rsidR="0016402A" w:rsidRPr="00F27422" w:rsidRDefault="0016402A" w:rsidP="00122B70">
      <w:pPr>
        <w:pStyle w:val="Heading3"/>
        <w:bidi/>
        <w:rPr>
          <w:rFonts w:asciiTheme="minorBidi" w:hAnsiTheme="minorBidi" w:cstheme="minorBidi"/>
          <w:b/>
          <w:bCs/>
          <w:sz w:val="32"/>
          <w:szCs w:val="32"/>
          <w:rtl/>
        </w:rPr>
      </w:pPr>
      <w:r w:rsidRPr="00F27422">
        <w:rPr>
          <w:rFonts w:asciiTheme="minorBidi" w:hAnsiTheme="minorBidi" w:cstheme="minorBidi"/>
          <w:b/>
          <w:bCs/>
          <w:sz w:val="32"/>
          <w:szCs w:val="32"/>
          <w:rtl/>
        </w:rPr>
        <w:t>تعقيبٌ</w:t>
      </w:r>
      <w:r w:rsidRPr="00F27422">
        <w:rPr>
          <w:rFonts w:asciiTheme="minorBidi" w:hAnsiTheme="minorBidi" w:cstheme="minorBidi"/>
          <w:sz w:val="32"/>
          <w:szCs w:val="32"/>
          <w:rtl/>
        </w:rPr>
        <w:t xml:space="preserve">: </w:t>
      </w:r>
      <w:r w:rsidRPr="00F27422">
        <w:rPr>
          <w:rFonts w:asciiTheme="minorBidi" w:hAnsiTheme="minorBidi" w:cstheme="minorBidi"/>
          <w:b/>
          <w:bCs/>
          <w:sz w:val="32"/>
          <w:szCs w:val="32"/>
          <w:rtl/>
        </w:rPr>
        <w:t>هل يثبت الخيار للمُستأجر من باب تبعض الصفقة؟</w:t>
      </w:r>
    </w:p>
    <w:p w14:paraId="34C3F401"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فلو فرض أنّ البطن اللاحق آجر البستان لمدّةٍ أطول من عمره فمات بموتٍ قهري كموته بسبب حلول جائحةٍ أو حصول عدوى مرضية أدت لانقراضه، والمُستأجر حينما أقدم على الإجارة بنى على ما هو المتعارف أنْ يعيش البطن السابق على الأقل عشرين سنة فلذلك استأجر منه الدار عشر سنوات مثلاً، لكن صادف أنّ البطن السابق مات أثناء الإجارة، فبطلت الإجارة بمعنى أنّها وقعت فضوليّة تتوقّف على إجازة البطن اللاحق، لكن البطن اللاحق لم يجزها</w:t>
      </w:r>
      <w:r w:rsidRPr="00F27422">
        <w:rPr>
          <w:rFonts w:asciiTheme="minorBidi" w:hAnsiTheme="minorBidi"/>
          <w:sz w:val="32"/>
          <w:szCs w:val="32"/>
        </w:rPr>
        <w:t>.</w:t>
      </w:r>
    </w:p>
    <w:p w14:paraId="5C74A9D2"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lastRenderedPageBreak/>
        <w:t>فهل يثبت الخيار للمُستأجر مِن باب خيار تبعض الصفقة أم ليس له ذلك؟</w:t>
      </w:r>
    </w:p>
    <w:p w14:paraId="02A3C6DE"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ومعنى خيار تبعض الصفقة: أنّ له أنْ يفسخ العقد مِن أصله ويسترجع الأُجرة السابقة</w:t>
      </w:r>
      <w:r w:rsidRPr="00F27422">
        <w:rPr>
          <w:rFonts w:asciiTheme="minorBidi" w:hAnsiTheme="minorBidi"/>
          <w:sz w:val="32"/>
          <w:szCs w:val="32"/>
        </w:rPr>
        <w:t>.</w:t>
      </w:r>
    </w:p>
    <w:p w14:paraId="6010E380" w14:textId="77777777" w:rsidR="0016402A" w:rsidRPr="00F27422" w:rsidRDefault="0016402A" w:rsidP="00122B70">
      <w:pPr>
        <w:bidi/>
        <w:rPr>
          <w:rFonts w:asciiTheme="minorBidi" w:hAnsiTheme="minorBidi"/>
          <w:b/>
          <w:bCs/>
          <w:sz w:val="32"/>
          <w:szCs w:val="32"/>
          <w:rtl/>
        </w:rPr>
      </w:pPr>
      <w:r w:rsidRPr="00F27422">
        <w:rPr>
          <w:rFonts w:asciiTheme="minorBidi" w:hAnsiTheme="minorBidi"/>
          <w:sz w:val="32"/>
          <w:szCs w:val="32"/>
          <w:rtl/>
        </w:rPr>
        <w:t>قد ذكر جملةٌ من الأعلام بأنّ الظاهر من السيرة العقلائية عدم ذلك.</w:t>
      </w:r>
    </w:p>
    <w:p w14:paraId="02F48FD4" w14:textId="77777777" w:rsidR="0016402A" w:rsidRPr="00F27422" w:rsidRDefault="0016402A" w:rsidP="00122B70">
      <w:pPr>
        <w:bidi/>
        <w:rPr>
          <w:rFonts w:asciiTheme="minorBidi" w:hAnsiTheme="minorBidi"/>
          <w:b/>
          <w:bCs/>
          <w:sz w:val="32"/>
          <w:szCs w:val="32"/>
          <w:rtl/>
        </w:rPr>
      </w:pPr>
    </w:p>
    <w:p w14:paraId="7B3E78D3" w14:textId="77777777" w:rsidR="0016402A" w:rsidRPr="00F27422" w:rsidRDefault="0016402A"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6493DFD1" w14:textId="77777777" w:rsidR="0016402A" w:rsidRPr="00F27422" w:rsidRDefault="0016402A" w:rsidP="00122B70">
      <w:pPr>
        <w:bidi/>
        <w:rPr>
          <w:rFonts w:asciiTheme="minorBidi" w:hAnsiTheme="minorBidi"/>
          <w:sz w:val="32"/>
          <w:szCs w:val="32"/>
          <w:rtl/>
        </w:rPr>
      </w:pPr>
    </w:p>
    <w:p w14:paraId="0F714E91" w14:textId="74478215" w:rsidR="0016402A" w:rsidRPr="00F27422" w:rsidRDefault="0016402A"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030</w:t>
      </w:r>
    </w:p>
    <w:p w14:paraId="68B5F692" w14:textId="77777777" w:rsidR="0016402A" w:rsidRPr="00F27422" w:rsidRDefault="0016402A" w:rsidP="00122B70">
      <w:pPr>
        <w:bidi/>
        <w:rPr>
          <w:rFonts w:asciiTheme="minorBidi" w:hAnsiTheme="minorBidi"/>
          <w:sz w:val="32"/>
          <w:szCs w:val="32"/>
          <w:rtl/>
        </w:rPr>
      </w:pPr>
    </w:p>
    <w:p w14:paraId="43C4A826" w14:textId="77777777" w:rsidR="00EA625B" w:rsidRPr="00F27422" w:rsidRDefault="00EA625B" w:rsidP="00122B70">
      <w:pPr>
        <w:bidi/>
        <w:rPr>
          <w:rFonts w:asciiTheme="minorBidi" w:hAnsiTheme="minorBidi"/>
          <w:b/>
          <w:bCs/>
          <w:sz w:val="32"/>
          <w:szCs w:val="32"/>
        </w:rPr>
      </w:pPr>
      <w:r w:rsidRPr="00F27422">
        <w:rPr>
          <w:rFonts w:asciiTheme="minorBidi" w:hAnsiTheme="minorBidi"/>
          <w:b/>
          <w:bCs/>
          <w:sz w:val="32"/>
          <w:szCs w:val="32"/>
          <w:rtl/>
        </w:rPr>
        <w:t>بسم الله الرحمن الرحيم</w:t>
      </w:r>
    </w:p>
    <w:p w14:paraId="6A73809C" w14:textId="77777777" w:rsidR="00EA625B" w:rsidRPr="00F27422" w:rsidRDefault="00EA625B"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6C19D376" w14:textId="77777777" w:rsidR="00EA625B" w:rsidRPr="00F27422" w:rsidRDefault="00EA625B" w:rsidP="00122B70">
      <w:pPr>
        <w:bidi/>
        <w:rPr>
          <w:rFonts w:asciiTheme="minorBidi" w:hAnsiTheme="minorBidi"/>
          <w:sz w:val="32"/>
          <w:szCs w:val="32"/>
          <w:rtl/>
          <w:lang w:bidi="ar-BH"/>
        </w:rPr>
      </w:pPr>
      <w:r w:rsidRPr="00F27422">
        <w:rPr>
          <w:rFonts w:asciiTheme="minorBidi" w:hAnsiTheme="minorBidi"/>
          <w:b/>
          <w:bCs/>
          <w:sz w:val="32"/>
          <w:szCs w:val="32"/>
          <w:rtl/>
        </w:rPr>
        <w:t>واللعن الدائم على أعدائهم أجمعين إلى قيام يوم الدين</w:t>
      </w:r>
    </w:p>
    <w:p w14:paraId="35D23A32" w14:textId="77777777" w:rsidR="00EA625B" w:rsidRPr="00F27422" w:rsidRDefault="00EA625B" w:rsidP="00122B70">
      <w:pPr>
        <w:bidi/>
        <w:rPr>
          <w:rFonts w:asciiTheme="minorBidi" w:hAnsiTheme="minorBidi"/>
          <w:sz w:val="32"/>
          <w:szCs w:val="32"/>
          <w:rtl/>
          <w:lang w:bidi="ar-BH"/>
        </w:rPr>
      </w:pPr>
    </w:p>
    <w:p w14:paraId="5D0F7265" w14:textId="11B15410" w:rsidR="00EA625B" w:rsidRPr="00F27422" w:rsidRDefault="00EA625B" w:rsidP="00122B70">
      <w:pPr>
        <w:bidi/>
        <w:rPr>
          <w:rFonts w:asciiTheme="minorBidi" w:hAnsiTheme="minorBidi"/>
          <w:b/>
          <w:bCs/>
          <w:sz w:val="32"/>
          <w:szCs w:val="32"/>
          <w:rtl/>
        </w:rPr>
      </w:pPr>
      <w:r w:rsidRPr="00F27422">
        <w:rPr>
          <w:rFonts w:asciiTheme="minorBidi" w:hAnsiTheme="minorBidi"/>
          <w:b/>
          <w:bCs/>
          <w:sz w:val="32"/>
          <w:szCs w:val="32"/>
          <w:rtl/>
        </w:rPr>
        <w:t>تعقيبٌ:</w:t>
      </w:r>
      <w:r w:rsidRPr="00F27422">
        <w:rPr>
          <w:rFonts w:asciiTheme="minorBidi" w:hAnsiTheme="minorBidi"/>
          <w:sz w:val="32"/>
          <w:szCs w:val="32"/>
          <w:rtl/>
        </w:rPr>
        <w:t xml:space="preserve"> ذكر السيد الحكيم السبط (قدس سره الشريف) في كتابه [مصباح المنهاج، كتاب الإجارة، ص232] بقوله: </w:t>
      </w:r>
      <w:r w:rsidRPr="00F27422">
        <w:rPr>
          <w:rFonts w:asciiTheme="minorBidi" w:hAnsiTheme="minorBidi"/>
          <w:b/>
          <w:bCs/>
          <w:sz w:val="32"/>
          <w:szCs w:val="32"/>
          <w:rtl/>
        </w:rPr>
        <w:t>(هذا والمراد من بطلان الإجارة في هذه الموارد هو بطلانها من حين الموت، لا</w:t>
      </w:r>
      <w:r w:rsidR="00E818F8" w:rsidRPr="00F27422">
        <w:rPr>
          <w:rFonts w:asciiTheme="minorBidi" w:hAnsiTheme="minorBidi"/>
          <w:b/>
          <w:bCs/>
          <w:sz w:val="32"/>
          <w:szCs w:val="32"/>
          <w:rtl/>
        </w:rPr>
        <w:t xml:space="preserve"> </w:t>
      </w:r>
      <w:r w:rsidRPr="00F27422">
        <w:rPr>
          <w:rFonts w:asciiTheme="minorBidi" w:hAnsiTheme="minorBidi"/>
          <w:b/>
          <w:bCs/>
          <w:sz w:val="32"/>
          <w:szCs w:val="32"/>
          <w:rtl/>
        </w:rPr>
        <w:t>من أصلها. فيلزم تبعض الصفقة. وظاهرهم عدم ثبوت الخيار حينئذٍ، بحيث يجوز فسخ العقد من أصله).</w:t>
      </w:r>
    </w:p>
    <w:p w14:paraId="34A46B8D" w14:textId="77777777" w:rsidR="00EA625B" w:rsidRPr="00F27422" w:rsidRDefault="00EA625B" w:rsidP="00122B70">
      <w:pPr>
        <w:bidi/>
        <w:rPr>
          <w:rFonts w:asciiTheme="minorBidi" w:hAnsiTheme="minorBidi"/>
          <w:sz w:val="32"/>
          <w:szCs w:val="32"/>
          <w:rtl/>
          <w:lang w:bidi="ar-BH"/>
        </w:rPr>
      </w:pPr>
      <w:r w:rsidRPr="00F27422">
        <w:rPr>
          <w:rFonts w:asciiTheme="minorBidi" w:hAnsiTheme="minorBidi"/>
          <w:b/>
          <w:bCs/>
          <w:sz w:val="32"/>
          <w:szCs w:val="32"/>
          <w:rtl/>
        </w:rPr>
        <w:t>وتحقيق هذه النقطة بأنْ يقال:</w:t>
      </w:r>
      <w:r w:rsidRPr="00F27422">
        <w:rPr>
          <w:rFonts w:asciiTheme="minorBidi" w:hAnsiTheme="minorBidi"/>
          <w:sz w:val="32"/>
          <w:szCs w:val="32"/>
          <w:rtl/>
        </w:rPr>
        <w:t xml:space="preserve"> هل يحتمل ثبوت موضوع الخيار للمُستأجر في المقام ولو من باب تبعض الصفقة؟</w:t>
      </w:r>
    </w:p>
    <w:p w14:paraId="22BED86A" w14:textId="77777777" w:rsidR="00EA625B" w:rsidRPr="00F27422" w:rsidRDefault="00EA625B" w:rsidP="00122B70">
      <w:pPr>
        <w:bidi/>
        <w:rPr>
          <w:rFonts w:asciiTheme="minorBidi" w:hAnsiTheme="minorBidi"/>
          <w:sz w:val="32"/>
          <w:szCs w:val="32"/>
          <w:rtl/>
          <w:lang w:bidi="ar-BH"/>
        </w:rPr>
      </w:pPr>
      <w:r w:rsidRPr="00F27422">
        <w:rPr>
          <w:rFonts w:asciiTheme="minorBidi" w:hAnsiTheme="minorBidi"/>
          <w:sz w:val="32"/>
          <w:szCs w:val="32"/>
          <w:rtl/>
        </w:rPr>
        <w:t>فلو فرض أنّ البطن اللاحق آجر البستان لمدّةٍ أطول من عمره فمات بموتٍ قهري كموته بسبب حلول جائحةٍ أو حصول عدوى مرضية أدت لانقراضه، والمُستأجر حينما أقدم على الإجارة بنى على ما هو المتعارف من خلال مناشئ عقلائية أنْ يعيش البطن السابق على الأقل بضع سنوات فلذلك استأجر منه الدار سنتين مثلاً، لكن صادف أنّ البطن السابق مات أثناء الإجارة، فكانت فضوليّة يتوقّف نفوذها على إجازة البطن اللاحق، لكن البطن اللاحق لم يجزها</w:t>
      </w:r>
      <w:r w:rsidRPr="00F27422">
        <w:rPr>
          <w:rFonts w:asciiTheme="minorBidi" w:hAnsiTheme="minorBidi"/>
          <w:sz w:val="32"/>
          <w:szCs w:val="32"/>
        </w:rPr>
        <w:t>.</w:t>
      </w:r>
    </w:p>
    <w:p w14:paraId="0E812C55" w14:textId="77777777" w:rsidR="00EA625B" w:rsidRPr="00F27422" w:rsidRDefault="00EA625B" w:rsidP="00122B70">
      <w:pPr>
        <w:bidi/>
        <w:rPr>
          <w:rFonts w:asciiTheme="minorBidi" w:hAnsiTheme="minorBidi"/>
          <w:sz w:val="32"/>
          <w:szCs w:val="32"/>
          <w:rtl/>
        </w:rPr>
      </w:pPr>
      <w:r w:rsidRPr="00F27422">
        <w:rPr>
          <w:rFonts w:asciiTheme="minorBidi" w:hAnsiTheme="minorBidi"/>
          <w:sz w:val="32"/>
          <w:szCs w:val="32"/>
          <w:rtl/>
        </w:rPr>
        <w:t>فهل يثبت الخيار للمُستأجر مِن باب خيار تبعض الصفقة أم ليس له؟</w:t>
      </w:r>
    </w:p>
    <w:p w14:paraId="0C8E79D8" w14:textId="77777777" w:rsidR="00EA625B" w:rsidRPr="00F27422" w:rsidRDefault="00EA625B" w:rsidP="00122B70">
      <w:pPr>
        <w:bidi/>
        <w:rPr>
          <w:rFonts w:asciiTheme="minorBidi" w:hAnsiTheme="minorBidi"/>
          <w:b/>
          <w:bCs/>
          <w:sz w:val="32"/>
          <w:szCs w:val="32"/>
          <w:rtl/>
        </w:rPr>
      </w:pPr>
      <w:r w:rsidRPr="00F27422">
        <w:rPr>
          <w:rFonts w:asciiTheme="minorBidi" w:hAnsiTheme="minorBidi"/>
          <w:b/>
          <w:bCs/>
          <w:sz w:val="32"/>
          <w:szCs w:val="32"/>
          <w:rtl/>
        </w:rPr>
        <w:lastRenderedPageBreak/>
        <w:t>والكلام تارةً من حيث الكُبرى، وأُخرى من حيث التطبيق على الصُغرى في المقام:</w:t>
      </w:r>
    </w:p>
    <w:p w14:paraId="50E51973" w14:textId="77777777" w:rsidR="00EA625B" w:rsidRPr="00F27422" w:rsidRDefault="00EA625B" w:rsidP="00122B70">
      <w:pPr>
        <w:bidi/>
        <w:rPr>
          <w:rFonts w:asciiTheme="minorBidi" w:hAnsiTheme="minorBidi"/>
          <w:sz w:val="32"/>
          <w:szCs w:val="32"/>
          <w:rtl/>
        </w:rPr>
      </w:pPr>
      <w:r w:rsidRPr="00F27422">
        <w:rPr>
          <w:rFonts w:asciiTheme="minorBidi" w:hAnsiTheme="minorBidi"/>
          <w:b/>
          <w:bCs/>
          <w:sz w:val="32"/>
          <w:szCs w:val="32"/>
          <w:rtl/>
        </w:rPr>
        <w:t xml:space="preserve">أمّا من حيث الكُبرى: فالصحيح: </w:t>
      </w:r>
      <w:proofErr w:type="gramStart"/>
      <w:r w:rsidRPr="00F27422">
        <w:rPr>
          <w:rFonts w:asciiTheme="minorBidi" w:hAnsiTheme="minorBidi"/>
          <w:sz w:val="32"/>
          <w:szCs w:val="32"/>
          <w:rtl/>
        </w:rPr>
        <w:t>أنّه</w:t>
      </w:r>
      <w:proofErr w:type="gramEnd"/>
      <w:r w:rsidRPr="00F27422">
        <w:rPr>
          <w:rFonts w:asciiTheme="minorBidi" w:hAnsiTheme="minorBidi"/>
          <w:sz w:val="32"/>
          <w:szCs w:val="32"/>
          <w:rtl/>
        </w:rPr>
        <w:t xml:space="preserve"> حتى لو اختير في حقيقة الفسخ أنّه حلٌّ للعقد مِن حين الفسخ - لا مِن أصله -، إلّا أنّه في خيار تخلف الشرط سواء كان الشرط صريحاً أو ضمنياً لا معنى للفسخ مِن حينه؛ إذ المفروض أنّ العقد ربط بالشرط فمقتضى ربط العقد بالشرط أنّ تخلف الشرط يعني السلطنة على فسخ العقد </w:t>
      </w:r>
      <w:r w:rsidRPr="00F27422">
        <w:rPr>
          <w:rFonts w:asciiTheme="minorBidi" w:hAnsiTheme="minorBidi"/>
          <w:sz w:val="32"/>
          <w:szCs w:val="32"/>
          <w:highlight w:val="yellow"/>
          <w:rtl/>
        </w:rPr>
        <w:t>مِن أصله</w:t>
      </w:r>
      <w:r w:rsidRPr="00F27422">
        <w:rPr>
          <w:rFonts w:asciiTheme="minorBidi" w:hAnsiTheme="minorBidi"/>
          <w:sz w:val="32"/>
          <w:szCs w:val="32"/>
          <w:rtl/>
        </w:rPr>
        <w:t xml:space="preserve"> لا من حين الفسخ</w:t>
      </w:r>
      <w:r w:rsidRPr="00F27422">
        <w:rPr>
          <w:rFonts w:asciiTheme="minorBidi" w:hAnsiTheme="minorBidi"/>
          <w:sz w:val="32"/>
          <w:szCs w:val="32"/>
        </w:rPr>
        <w:t>.</w:t>
      </w:r>
    </w:p>
    <w:p w14:paraId="000E43A6" w14:textId="172F38A7" w:rsidR="00EA625B" w:rsidRPr="00F27422" w:rsidRDefault="00EA625B" w:rsidP="00122B70">
      <w:pPr>
        <w:bidi/>
        <w:rPr>
          <w:rFonts w:asciiTheme="minorBidi" w:hAnsiTheme="minorBidi"/>
          <w:sz w:val="32"/>
          <w:szCs w:val="32"/>
          <w:rtl/>
        </w:rPr>
      </w:pPr>
      <w:r w:rsidRPr="00F27422">
        <w:rPr>
          <w:rFonts w:asciiTheme="minorBidi" w:hAnsiTheme="minorBidi"/>
          <w:sz w:val="32"/>
          <w:szCs w:val="32"/>
          <w:rtl/>
        </w:rPr>
        <w:t xml:space="preserve">وهذه النكتة </w:t>
      </w:r>
      <w:r w:rsidR="00511AED" w:rsidRPr="00F27422">
        <w:rPr>
          <w:rFonts w:asciiTheme="minorBidi" w:hAnsiTheme="minorBidi"/>
          <w:sz w:val="32"/>
          <w:szCs w:val="32"/>
          <w:rtl/>
        </w:rPr>
        <w:t>تتلاءم</w:t>
      </w:r>
      <w:r w:rsidRPr="00F27422">
        <w:rPr>
          <w:rFonts w:asciiTheme="minorBidi" w:hAnsiTheme="minorBidi"/>
          <w:sz w:val="32"/>
          <w:szCs w:val="32"/>
          <w:rtl/>
        </w:rPr>
        <w:t xml:space="preserve"> مع ما ذهب له مثل المحقق النائيني وسيدنا الخوئي (قدسا سرهما) من أنّ مرجع الاشتراط إلى تعليق الالتزام بالعقد على وجود الشرط، فكأنّ الشارط ربط التزامه بالعقد بوجود الشرط بحيث لو لم يكن الشرط موجوداً فلا التزام له، وهذا يعني حلّ العقد مِن أصله لا من حينه</w:t>
      </w:r>
      <w:r w:rsidRPr="00F27422">
        <w:rPr>
          <w:rFonts w:asciiTheme="minorBidi" w:hAnsiTheme="minorBidi"/>
          <w:sz w:val="32"/>
          <w:szCs w:val="32"/>
        </w:rPr>
        <w:t>.</w:t>
      </w:r>
    </w:p>
    <w:p w14:paraId="3E45D5E0" w14:textId="77777777" w:rsidR="00EA625B" w:rsidRPr="00F27422" w:rsidRDefault="00EA625B" w:rsidP="00122B70">
      <w:pPr>
        <w:bidi/>
        <w:rPr>
          <w:rFonts w:asciiTheme="minorBidi" w:hAnsiTheme="minorBidi"/>
          <w:sz w:val="32"/>
          <w:szCs w:val="32"/>
          <w:rtl/>
        </w:rPr>
      </w:pPr>
      <w:r w:rsidRPr="00F27422">
        <w:rPr>
          <w:rFonts w:asciiTheme="minorBidi" w:hAnsiTheme="minorBidi"/>
          <w:sz w:val="32"/>
          <w:szCs w:val="32"/>
          <w:rtl/>
        </w:rPr>
        <w:t xml:space="preserve">وحيث إنّ من موارد تخلف الشرط الضمني ظهور العيب أو الغبن أو تبعض الصفقة، فمقتضى ذلك: أنّ الخيار الثابت بملاك تبعض الصفقة </w:t>
      </w:r>
      <w:r w:rsidRPr="00F27422">
        <w:rPr>
          <w:rFonts w:asciiTheme="minorBidi" w:hAnsiTheme="minorBidi"/>
          <w:sz w:val="32"/>
          <w:szCs w:val="32"/>
          <w:highlight w:val="yellow"/>
          <w:rtl/>
        </w:rPr>
        <w:t>يقتضي فسخ العقد مِن أصله لا من حينه</w:t>
      </w:r>
      <w:r w:rsidRPr="00F27422">
        <w:rPr>
          <w:rFonts w:asciiTheme="minorBidi" w:hAnsiTheme="minorBidi"/>
          <w:sz w:val="32"/>
          <w:szCs w:val="32"/>
          <w:rtl/>
        </w:rPr>
        <w:t>.</w:t>
      </w:r>
    </w:p>
    <w:p w14:paraId="182AD06A" w14:textId="77777777" w:rsidR="00EA625B" w:rsidRPr="00F27422" w:rsidRDefault="00EA625B" w:rsidP="00122B70">
      <w:pPr>
        <w:bidi/>
        <w:rPr>
          <w:rFonts w:asciiTheme="minorBidi" w:hAnsiTheme="minorBidi"/>
          <w:sz w:val="32"/>
          <w:szCs w:val="32"/>
          <w:rtl/>
        </w:rPr>
      </w:pPr>
      <w:r w:rsidRPr="00F27422">
        <w:rPr>
          <w:rFonts w:asciiTheme="minorBidi" w:hAnsiTheme="minorBidi"/>
          <w:b/>
          <w:bCs/>
          <w:sz w:val="32"/>
          <w:szCs w:val="32"/>
          <w:rtl/>
        </w:rPr>
        <w:t>وأمّا من حيث الصُغرى:</w:t>
      </w:r>
      <w:r w:rsidRPr="00F27422">
        <w:rPr>
          <w:rFonts w:asciiTheme="minorBidi" w:hAnsiTheme="minorBidi"/>
          <w:sz w:val="32"/>
          <w:szCs w:val="32"/>
          <w:rtl/>
        </w:rPr>
        <w:t xml:space="preserve"> فتارةً تطرح مسألة خيار تبعض الصفقة على مستوى باب الإجارة، وتارةً في خصوص محلّ الكلام.</w:t>
      </w:r>
    </w:p>
    <w:p w14:paraId="3D8A320C" w14:textId="77777777" w:rsidR="00EA625B" w:rsidRPr="00F27422" w:rsidRDefault="00EA625B" w:rsidP="00122B70">
      <w:pPr>
        <w:bidi/>
        <w:rPr>
          <w:rFonts w:asciiTheme="minorBidi" w:hAnsiTheme="minorBidi"/>
          <w:sz w:val="32"/>
          <w:szCs w:val="32"/>
          <w:rtl/>
        </w:rPr>
      </w:pPr>
      <w:r w:rsidRPr="00F27422">
        <w:rPr>
          <w:rFonts w:asciiTheme="minorBidi" w:hAnsiTheme="minorBidi"/>
          <w:b/>
          <w:bCs/>
          <w:sz w:val="32"/>
          <w:szCs w:val="32"/>
          <w:rtl/>
        </w:rPr>
        <w:t>أمّا من الجهة الأولى</w:t>
      </w:r>
      <w:r w:rsidRPr="00F27422">
        <w:rPr>
          <w:rFonts w:asciiTheme="minorBidi" w:hAnsiTheme="minorBidi"/>
          <w:sz w:val="32"/>
          <w:szCs w:val="32"/>
          <w:rtl/>
        </w:rPr>
        <w:t>: فالصحيح</w:t>
      </w:r>
      <w:r w:rsidRPr="00F27422">
        <w:rPr>
          <w:rFonts w:asciiTheme="minorBidi" w:hAnsiTheme="minorBidi"/>
          <w:b/>
          <w:bCs/>
          <w:sz w:val="32"/>
          <w:szCs w:val="32"/>
          <w:rtl/>
        </w:rPr>
        <w:t xml:space="preserve"> </w:t>
      </w:r>
      <w:r w:rsidRPr="00F27422">
        <w:rPr>
          <w:rFonts w:asciiTheme="minorBidi" w:hAnsiTheme="minorBidi"/>
          <w:sz w:val="32"/>
          <w:szCs w:val="32"/>
          <w:rtl/>
        </w:rPr>
        <w:t>أنّه</w:t>
      </w:r>
      <w:r w:rsidRPr="00F27422">
        <w:rPr>
          <w:rFonts w:asciiTheme="minorBidi" w:hAnsiTheme="minorBidi"/>
          <w:b/>
          <w:bCs/>
          <w:sz w:val="32"/>
          <w:szCs w:val="32"/>
          <w:rtl/>
        </w:rPr>
        <w:t xml:space="preserve"> </w:t>
      </w:r>
      <w:r w:rsidRPr="00F27422">
        <w:rPr>
          <w:rFonts w:asciiTheme="minorBidi" w:hAnsiTheme="minorBidi"/>
          <w:sz w:val="32"/>
          <w:szCs w:val="32"/>
          <w:rtl/>
        </w:rPr>
        <w:t xml:space="preserve">في باب الإجارة في الأعيان أو الأعمال التدريجية القابلة للتبعيض كما لو </w:t>
      </w:r>
      <w:r w:rsidRPr="00F27422">
        <w:rPr>
          <w:rFonts w:asciiTheme="minorBidi" w:hAnsiTheme="minorBidi"/>
          <w:sz w:val="32"/>
          <w:szCs w:val="32"/>
          <w:highlight w:val="yellow"/>
          <w:rtl/>
        </w:rPr>
        <w:t>استأجره على البناء أو استأجره على قيادة السيارة</w:t>
      </w:r>
      <w:r w:rsidRPr="00F27422">
        <w:rPr>
          <w:rFonts w:asciiTheme="minorBidi" w:hAnsiTheme="minorBidi"/>
          <w:sz w:val="32"/>
          <w:szCs w:val="32"/>
          <w:rtl/>
        </w:rPr>
        <w:t>، وقد استفاد المُستأجر مِن منفعة العين شهوراً أو استفاد مِن عمل الأجير بالمقدار الذي أتى به، فالإجارة بالنسبة لما مضى من المنفعة والعمل تامةُ الشرائط ولا إشكال فيها، غايته حدوثُ المانع لا مِن حين العقد؛ وإنّما في أثناء مدّة الإجارة كموت المؤجّر، فإنّه لا معنى حينئذٍ لثبوت الفسخ بمعنى حلّ العقد من أصله، واسترداد الأُجرة المسماة وثبوت أجرة المثل لما استوفاه من المنافع</w:t>
      </w:r>
      <w:r w:rsidRPr="00F27422">
        <w:rPr>
          <w:rFonts w:asciiTheme="minorBidi" w:hAnsiTheme="minorBidi"/>
          <w:sz w:val="32"/>
          <w:szCs w:val="32"/>
        </w:rPr>
        <w:t>.</w:t>
      </w:r>
    </w:p>
    <w:p w14:paraId="79AED165" w14:textId="77777777" w:rsidR="00EA625B" w:rsidRPr="00F27422" w:rsidRDefault="00EA625B" w:rsidP="00122B70">
      <w:pPr>
        <w:bidi/>
        <w:rPr>
          <w:rFonts w:asciiTheme="minorBidi" w:hAnsiTheme="minorBidi"/>
          <w:sz w:val="32"/>
          <w:szCs w:val="32"/>
          <w:rtl/>
        </w:rPr>
      </w:pPr>
      <w:r w:rsidRPr="00F27422">
        <w:rPr>
          <w:rFonts w:asciiTheme="minorBidi" w:hAnsiTheme="minorBidi"/>
          <w:sz w:val="32"/>
          <w:szCs w:val="32"/>
          <w:rtl/>
        </w:rPr>
        <w:t xml:space="preserve">ولا أقل مِن أنّه </w:t>
      </w:r>
      <w:r w:rsidRPr="00F27422">
        <w:rPr>
          <w:rFonts w:asciiTheme="minorBidi" w:hAnsiTheme="minorBidi"/>
          <w:sz w:val="32"/>
          <w:szCs w:val="32"/>
          <w:highlight w:val="yellow"/>
          <w:rtl/>
        </w:rPr>
        <w:t>لا يحرز بناء العقلاء على ذلك بعد المفروغية</w:t>
      </w:r>
      <w:r w:rsidRPr="00F27422">
        <w:rPr>
          <w:rFonts w:asciiTheme="minorBidi" w:hAnsiTheme="minorBidi"/>
          <w:sz w:val="32"/>
          <w:szCs w:val="32"/>
          <w:rtl/>
        </w:rPr>
        <w:t xml:space="preserve"> عن تمامية تأثير عقد الإجارة فيما مضى من المنافع أو العمل</w:t>
      </w:r>
      <w:r w:rsidRPr="00F27422">
        <w:rPr>
          <w:rFonts w:asciiTheme="minorBidi" w:hAnsiTheme="minorBidi"/>
          <w:sz w:val="32"/>
          <w:szCs w:val="32"/>
        </w:rPr>
        <w:t>.</w:t>
      </w:r>
    </w:p>
    <w:p w14:paraId="42A40421" w14:textId="77777777" w:rsidR="00EA625B" w:rsidRPr="00F27422" w:rsidRDefault="00EA625B" w:rsidP="00122B70">
      <w:pPr>
        <w:bidi/>
        <w:rPr>
          <w:rFonts w:asciiTheme="minorBidi" w:hAnsiTheme="minorBidi"/>
          <w:sz w:val="32"/>
          <w:szCs w:val="32"/>
          <w:rtl/>
        </w:rPr>
      </w:pPr>
      <w:r w:rsidRPr="00F27422">
        <w:rPr>
          <w:rFonts w:asciiTheme="minorBidi" w:hAnsiTheme="minorBidi"/>
          <w:b/>
          <w:bCs/>
          <w:sz w:val="32"/>
          <w:szCs w:val="32"/>
          <w:rtl/>
        </w:rPr>
        <w:t>ويؤكد ذلك:</w:t>
      </w:r>
      <w:r w:rsidRPr="00F27422">
        <w:rPr>
          <w:rFonts w:asciiTheme="minorBidi" w:hAnsiTheme="minorBidi"/>
          <w:sz w:val="32"/>
          <w:szCs w:val="32"/>
          <w:rtl/>
        </w:rPr>
        <w:t xml:space="preserve"> صحيح محمد بن مسلم، كما في الوسائل: </w:t>
      </w:r>
      <w:r w:rsidRPr="00F27422">
        <w:rPr>
          <w:rFonts w:asciiTheme="minorBidi" w:hAnsiTheme="minorBidi"/>
          <w:b/>
          <w:bCs/>
          <w:sz w:val="32"/>
          <w:szCs w:val="32"/>
          <w:rtl/>
        </w:rPr>
        <w:t xml:space="preserve">(محمّد بن يعقوب، عن محمّد بن يحيى، عن محمّد بن الحسين، عن صفوان، عن العلاء، عن محمّد بن مسلم، عن أبي جعفر (عليه </w:t>
      </w:r>
      <w:r w:rsidRPr="00F27422">
        <w:rPr>
          <w:rFonts w:asciiTheme="minorBidi" w:hAnsiTheme="minorBidi"/>
          <w:b/>
          <w:bCs/>
          <w:sz w:val="32"/>
          <w:szCs w:val="32"/>
        </w:rPr>
        <w:t>‌</w:t>
      </w:r>
      <w:r w:rsidRPr="00F27422">
        <w:rPr>
          <w:rFonts w:asciiTheme="minorBidi" w:hAnsiTheme="minorBidi"/>
          <w:b/>
          <w:bCs/>
          <w:sz w:val="32"/>
          <w:szCs w:val="32"/>
          <w:rtl/>
        </w:rPr>
        <w:t xml:space="preserve">السلام) قال: سمعته يقول: كنت جالساً عند قاض من قضاة المدينة فأتاه رجلان فقال أحدهما: إنّي تكاريت هذا يوافي بي السوق يوم كذا وكذا، وإنّه لم يفعل، قال: فقال: ليس له كراء، قال: فدعوته وقلت: يا </w:t>
      </w:r>
      <w:proofErr w:type="gramStart"/>
      <w:r w:rsidRPr="00F27422">
        <w:rPr>
          <w:rFonts w:asciiTheme="minorBidi" w:hAnsiTheme="minorBidi"/>
          <w:b/>
          <w:bCs/>
          <w:sz w:val="32"/>
          <w:szCs w:val="32"/>
          <w:rtl/>
        </w:rPr>
        <w:t>عبدالله</w:t>
      </w:r>
      <w:proofErr w:type="gramEnd"/>
      <w:r w:rsidRPr="00F27422">
        <w:rPr>
          <w:rFonts w:asciiTheme="minorBidi" w:hAnsiTheme="minorBidi"/>
          <w:b/>
          <w:bCs/>
          <w:sz w:val="32"/>
          <w:szCs w:val="32"/>
          <w:rtl/>
        </w:rPr>
        <w:t xml:space="preserve"> ليس لك أن تذهب بحقّه، وقلت للآخر: ليس لك أن تأخذ كلّ الذي عليه اصطلحا فترادا بينكما).</w:t>
      </w:r>
      <w:r w:rsidRPr="00F27422">
        <w:rPr>
          <w:rFonts w:asciiTheme="minorBidi" w:hAnsiTheme="minorBidi"/>
          <w:sz w:val="32"/>
          <w:szCs w:val="32"/>
          <w:rtl/>
        </w:rPr>
        <w:t xml:space="preserve"> [وسائل الشيعة، الحر العاملي، تحقيق مؤسسة آل البيت </w:t>
      </w:r>
      <w:r w:rsidRPr="00F27422">
        <w:rPr>
          <w:rFonts w:asciiTheme="minorBidi" w:hAnsiTheme="minorBidi"/>
          <w:sz w:val="32"/>
          <w:szCs w:val="32"/>
          <w:rtl/>
        </w:rPr>
        <w:lastRenderedPageBreak/>
        <w:t>(عليهم السلام) لإحياء التراث، ج19، كتاب الإجارة، الباب 13، باب أن من استأجر أجيراً ليحمل له متاعا إلى موضع معين بأجرة ويوصله في وقت معين فإن قصر عنه تقص من أجرته شيئاً جاز ولو شرط سقوط الأجرة إن لم يوصله فيه لم يجز وكان له أجرة المثل، ح1]</w:t>
      </w:r>
      <w:r w:rsidRPr="00F27422">
        <w:rPr>
          <w:rFonts w:asciiTheme="minorBidi" w:hAnsiTheme="minorBidi"/>
          <w:sz w:val="32"/>
          <w:szCs w:val="32"/>
        </w:rPr>
        <w:t>.</w:t>
      </w:r>
    </w:p>
    <w:p w14:paraId="293F4A52" w14:textId="77777777" w:rsidR="00EA625B" w:rsidRPr="00F27422" w:rsidRDefault="00EA625B" w:rsidP="00122B70">
      <w:pPr>
        <w:bidi/>
        <w:rPr>
          <w:rFonts w:asciiTheme="minorBidi" w:hAnsiTheme="minorBidi"/>
          <w:sz w:val="32"/>
          <w:szCs w:val="32"/>
          <w:rtl/>
        </w:rPr>
      </w:pPr>
      <w:r w:rsidRPr="00F27422">
        <w:rPr>
          <w:rFonts w:asciiTheme="minorBidi" w:hAnsiTheme="minorBidi"/>
          <w:b/>
          <w:bCs/>
          <w:sz w:val="32"/>
          <w:szCs w:val="32"/>
          <w:rtl/>
        </w:rPr>
        <w:t>وظاهر الرواية الشريفة</w:t>
      </w:r>
      <w:r w:rsidRPr="00F27422">
        <w:rPr>
          <w:rFonts w:asciiTheme="minorBidi" w:hAnsiTheme="minorBidi"/>
          <w:sz w:val="32"/>
          <w:szCs w:val="32"/>
          <w:rtl/>
        </w:rPr>
        <w:t xml:space="preserve"> أنّه لا يثبت له الخيار؛ وإنّما ليس له إلّا التقايل والتصالح؛ بلحاظ أنّ الإجارة وقعت تامة الشرائط وحققت أثرها في جزءٍ من المدّة</w:t>
      </w:r>
      <w:r w:rsidRPr="00F27422">
        <w:rPr>
          <w:rFonts w:asciiTheme="minorBidi" w:hAnsiTheme="minorBidi"/>
          <w:sz w:val="32"/>
          <w:szCs w:val="32"/>
        </w:rPr>
        <w:t>.</w:t>
      </w:r>
    </w:p>
    <w:p w14:paraId="7C12E794" w14:textId="77777777" w:rsidR="00EA625B" w:rsidRPr="00F27422" w:rsidRDefault="00EA625B" w:rsidP="00122B70">
      <w:pPr>
        <w:bidi/>
        <w:rPr>
          <w:rFonts w:asciiTheme="minorBidi" w:hAnsiTheme="minorBidi"/>
          <w:sz w:val="32"/>
          <w:szCs w:val="32"/>
          <w:rtl/>
        </w:rPr>
      </w:pPr>
      <w:r w:rsidRPr="00F27422">
        <w:rPr>
          <w:rFonts w:asciiTheme="minorBidi" w:hAnsiTheme="minorBidi"/>
          <w:b/>
          <w:bCs/>
          <w:sz w:val="32"/>
          <w:szCs w:val="32"/>
          <w:rtl/>
        </w:rPr>
        <w:t xml:space="preserve">وأمّا من الجهة الثانية: </w:t>
      </w:r>
      <w:r w:rsidRPr="00F27422">
        <w:rPr>
          <w:rFonts w:asciiTheme="minorBidi" w:hAnsiTheme="minorBidi"/>
          <w:sz w:val="32"/>
          <w:szCs w:val="32"/>
          <w:rtl/>
        </w:rPr>
        <w:t>فإنّه لو سُلّم ثبوت الفسخ بمعنى حلّ العقد مِن أصله حتى في الإجارة وفي مورد تبعض الصفقة، لم يكن معنى له في محلّ الكلام؛ وذلك لأنّ المقطوع به أنّ الإجارة صحت في زمان البطن السابق، وأصبحت فضوليّة بالنسبة إلى البطن اللاحق، فمع كونها عقداً لازماً بالنسبة للبطن السابق وعقداً فضولياً بالنسبة للبطن اللاحق فلا معنى لثبوت خيار تبعض الصفقة، أي أنّ انتفاء خيار تبعض الصفقة في المقام بانتفاء موضوعه، فإنّ موضوع الخيار المِلكُ المتزلزل، لا العقد الفضولي</w:t>
      </w:r>
      <w:r w:rsidRPr="00F27422">
        <w:rPr>
          <w:rFonts w:asciiTheme="minorBidi" w:hAnsiTheme="minorBidi"/>
          <w:sz w:val="32"/>
          <w:szCs w:val="32"/>
        </w:rPr>
        <w:t>.</w:t>
      </w:r>
    </w:p>
    <w:p w14:paraId="7C4B1704" w14:textId="77777777" w:rsidR="00EA625B" w:rsidRPr="00F27422" w:rsidRDefault="00EA625B" w:rsidP="00122B70">
      <w:pPr>
        <w:bidi/>
        <w:rPr>
          <w:rFonts w:asciiTheme="minorBidi" w:hAnsiTheme="minorBidi"/>
          <w:sz w:val="32"/>
          <w:szCs w:val="32"/>
          <w:rtl/>
        </w:rPr>
      </w:pPr>
      <w:r w:rsidRPr="00F27422">
        <w:rPr>
          <w:rFonts w:asciiTheme="minorBidi" w:hAnsiTheme="minorBidi"/>
          <w:sz w:val="32"/>
          <w:szCs w:val="32"/>
          <w:rtl/>
        </w:rPr>
        <w:t xml:space="preserve">فما ذكره السيد الحكيم السبط (قدس سره الشريف) من تصور ثبوت خيار تبعض الصفقة في المقام غيرُ تامٍ؛ إذ لا موضوع </w:t>
      </w:r>
      <w:proofErr w:type="gramStart"/>
      <w:r w:rsidRPr="00F27422">
        <w:rPr>
          <w:rFonts w:asciiTheme="minorBidi" w:hAnsiTheme="minorBidi"/>
          <w:sz w:val="32"/>
          <w:szCs w:val="32"/>
          <w:rtl/>
        </w:rPr>
        <w:t>له</w:t>
      </w:r>
      <w:r w:rsidRPr="00F27422">
        <w:rPr>
          <w:rFonts w:asciiTheme="minorBidi" w:hAnsiTheme="minorBidi"/>
          <w:sz w:val="32"/>
          <w:szCs w:val="32"/>
        </w:rPr>
        <w:t xml:space="preserve"> .</w:t>
      </w:r>
      <w:proofErr w:type="gramEnd"/>
    </w:p>
    <w:p w14:paraId="67BEF733" w14:textId="77777777" w:rsidR="00EA625B" w:rsidRPr="00F27422" w:rsidRDefault="00EA625B" w:rsidP="00122B70">
      <w:pPr>
        <w:bidi/>
        <w:rPr>
          <w:rFonts w:asciiTheme="minorBidi" w:hAnsiTheme="minorBidi"/>
          <w:sz w:val="32"/>
          <w:szCs w:val="32"/>
          <w:rtl/>
        </w:rPr>
      </w:pPr>
      <w:r w:rsidRPr="00F27422">
        <w:rPr>
          <w:rFonts w:asciiTheme="minorBidi" w:hAnsiTheme="minorBidi"/>
          <w:b/>
          <w:bCs/>
          <w:sz w:val="32"/>
          <w:szCs w:val="32"/>
          <w:rtl/>
        </w:rPr>
        <w:t xml:space="preserve">النحو الثاني: </w:t>
      </w:r>
      <w:r w:rsidRPr="00F27422">
        <w:rPr>
          <w:rFonts w:asciiTheme="minorBidi" w:hAnsiTheme="minorBidi"/>
          <w:sz w:val="32"/>
          <w:szCs w:val="32"/>
          <w:rtl/>
        </w:rPr>
        <w:t>- من إجارة الوقف - ما إذا آجر المتولّي للوقف العين بنحوٍ يمتد لما بعد موت البطن السابق، أو موت المتولي، ثمّ مات المتولّي أو مات البطن السابق</w:t>
      </w:r>
      <w:r w:rsidRPr="00F27422">
        <w:rPr>
          <w:rFonts w:asciiTheme="minorBidi" w:hAnsiTheme="minorBidi"/>
          <w:sz w:val="32"/>
          <w:szCs w:val="32"/>
        </w:rPr>
        <w:t>.</w:t>
      </w:r>
    </w:p>
    <w:p w14:paraId="241E5E62" w14:textId="77777777" w:rsidR="00EA625B" w:rsidRPr="00F27422" w:rsidRDefault="00EA625B" w:rsidP="00122B70">
      <w:pPr>
        <w:bidi/>
        <w:rPr>
          <w:rFonts w:asciiTheme="minorBidi" w:hAnsiTheme="minorBidi"/>
          <w:sz w:val="32"/>
          <w:szCs w:val="32"/>
          <w:rtl/>
        </w:rPr>
      </w:pPr>
      <w:r w:rsidRPr="00F27422">
        <w:rPr>
          <w:rFonts w:asciiTheme="minorBidi" w:hAnsiTheme="minorBidi"/>
          <w:sz w:val="32"/>
          <w:szCs w:val="32"/>
          <w:rtl/>
        </w:rPr>
        <w:t>فهل تبطل الإجارة الصادرة من المتولّي بموته أو بموت البطن السابق؟</w:t>
      </w:r>
    </w:p>
    <w:p w14:paraId="3C179CEF" w14:textId="77777777" w:rsidR="00EA625B" w:rsidRPr="00F27422" w:rsidRDefault="00EA625B" w:rsidP="00122B70">
      <w:pPr>
        <w:bidi/>
        <w:rPr>
          <w:rFonts w:asciiTheme="minorBidi" w:hAnsiTheme="minorBidi"/>
          <w:b/>
          <w:bCs/>
          <w:sz w:val="32"/>
          <w:szCs w:val="32"/>
          <w:rtl/>
        </w:rPr>
      </w:pPr>
      <w:r w:rsidRPr="00F27422">
        <w:rPr>
          <w:rFonts w:asciiTheme="minorBidi" w:hAnsiTheme="minorBidi"/>
          <w:sz w:val="32"/>
          <w:szCs w:val="32"/>
          <w:rtl/>
        </w:rPr>
        <w:t xml:space="preserve">قد أفاد سيدنا الخوئي (قدس سره الشريف) في موسوعته المباركة في [كتاب الإجارة، ج30، ص129] مِن أنّ هناك نكتة ارتكازية عقلائية تقتضي صحّة الإجارة الواقعة مِن المتولّي وإنْ مات أحدهما، قال (قدس سره): </w:t>
      </w:r>
      <w:r w:rsidRPr="00F27422">
        <w:rPr>
          <w:rFonts w:asciiTheme="minorBidi" w:hAnsiTheme="minorBidi"/>
          <w:b/>
          <w:bCs/>
          <w:sz w:val="32"/>
          <w:szCs w:val="32"/>
          <w:rtl/>
        </w:rPr>
        <w:t>(أمّا عدم البطلان بموت البطن الموجود فظاهر، لوقوع الإجارة بين المؤجّر – وهو المتولّي – وبين المستأجر، والبطن الموقوف عليه أجنبي عن هذا العقد القائم بين ذينك الطرفين، فلا موجب لبطلان العقد بموت من هو أجنبي عنه</w:t>
      </w:r>
      <w:r w:rsidRPr="00F27422">
        <w:rPr>
          <w:rFonts w:asciiTheme="minorBidi" w:hAnsiTheme="minorBidi"/>
          <w:b/>
          <w:bCs/>
          <w:sz w:val="32"/>
          <w:szCs w:val="32"/>
        </w:rPr>
        <w:t>.</w:t>
      </w:r>
    </w:p>
    <w:p w14:paraId="70EC53AA" w14:textId="77777777" w:rsidR="00EA625B" w:rsidRPr="00F27422" w:rsidRDefault="00EA625B" w:rsidP="00122B70">
      <w:pPr>
        <w:bidi/>
        <w:rPr>
          <w:rFonts w:asciiTheme="minorBidi" w:hAnsiTheme="minorBidi"/>
          <w:sz w:val="32"/>
          <w:szCs w:val="32"/>
          <w:rtl/>
        </w:rPr>
      </w:pPr>
      <w:r w:rsidRPr="00F27422">
        <w:rPr>
          <w:rFonts w:asciiTheme="minorBidi" w:hAnsiTheme="minorBidi"/>
          <w:b/>
          <w:bCs/>
          <w:sz w:val="32"/>
          <w:szCs w:val="32"/>
          <w:rtl/>
        </w:rPr>
        <w:t>وأمّا عدمه)</w:t>
      </w:r>
      <w:r w:rsidRPr="00F27422">
        <w:rPr>
          <w:rFonts w:asciiTheme="minorBidi" w:hAnsiTheme="minorBidi"/>
          <w:sz w:val="32"/>
          <w:szCs w:val="32"/>
          <w:rtl/>
        </w:rPr>
        <w:t xml:space="preserve"> أي عدم البطلان </w:t>
      </w:r>
      <w:r w:rsidRPr="00F27422">
        <w:rPr>
          <w:rFonts w:asciiTheme="minorBidi" w:hAnsiTheme="minorBidi"/>
          <w:b/>
          <w:bCs/>
          <w:sz w:val="32"/>
          <w:szCs w:val="32"/>
          <w:rtl/>
        </w:rPr>
        <w:t>(بموت المتولّي فكذلك، نظراً إلى أنّ ولايته وإن كانت محدودة بزمان حياته، وتنتقل بموته إلى شخص آخر لا محالة، إلّا أنّ متعلّق هذه الولاية غير متقيّد بزمان خاصّ، فكما يسوغ له بيع العين الموقوفة إذا اقتضته المصلحة وتبديلها بعين اُخرى، أو الصرف على الموقوف عليهم، فكذا له الإجارة مدّة طويلة، فكلّما تحقّقت المصلحة ثبتت الولاية من غير فرق بين نقل العين أو المنفعة في مدّة قصيرة أو طويلة. فإذا كان تصرّفه سائغاً)</w:t>
      </w:r>
      <w:r w:rsidRPr="00F27422">
        <w:rPr>
          <w:rFonts w:asciiTheme="minorBidi" w:hAnsiTheme="minorBidi"/>
          <w:sz w:val="32"/>
          <w:szCs w:val="32"/>
          <w:rtl/>
        </w:rPr>
        <w:t xml:space="preserve"> في حين وقوعه </w:t>
      </w:r>
      <w:r w:rsidRPr="00F27422">
        <w:rPr>
          <w:rFonts w:asciiTheme="minorBidi" w:hAnsiTheme="minorBidi"/>
          <w:b/>
          <w:bCs/>
          <w:sz w:val="32"/>
          <w:szCs w:val="32"/>
          <w:rtl/>
        </w:rPr>
        <w:t>(ونافذاً لم يكن أيّ موجب للبطلان بموته كما هو واضح).</w:t>
      </w:r>
    </w:p>
    <w:p w14:paraId="35528E9B" w14:textId="77777777" w:rsidR="00EA625B" w:rsidRPr="00F27422" w:rsidRDefault="00EA625B" w:rsidP="00122B70">
      <w:pPr>
        <w:bidi/>
        <w:rPr>
          <w:rFonts w:asciiTheme="minorBidi" w:hAnsiTheme="minorBidi"/>
          <w:sz w:val="32"/>
          <w:szCs w:val="32"/>
          <w:rtl/>
        </w:rPr>
      </w:pPr>
      <w:r w:rsidRPr="00F27422">
        <w:rPr>
          <w:rFonts w:asciiTheme="minorBidi" w:hAnsiTheme="minorBidi"/>
          <w:sz w:val="32"/>
          <w:szCs w:val="32"/>
          <w:rtl/>
        </w:rPr>
        <w:lastRenderedPageBreak/>
        <w:t>كسائر الوُلاة في التصرّف فيما وليّ عليه؛ حيث لا يبطل تصرّفاتهم الاعتبارية بموتهم كالوليّ على أموال الصبيّ أو القاصر فإنّ تصرّفه في أموال الصبيّ بالبيع أو الإجارة نافذٌ حتى بعد موت المتولّي، فكذلك الأمر في المقام</w:t>
      </w:r>
      <w:r w:rsidRPr="00F27422">
        <w:rPr>
          <w:rFonts w:asciiTheme="minorBidi" w:hAnsiTheme="minorBidi"/>
          <w:sz w:val="32"/>
          <w:szCs w:val="32"/>
        </w:rPr>
        <w:t>.</w:t>
      </w:r>
    </w:p>
    <w:p w14:paraId="3B358EE0" w14:textId="77777777" w:rsidR="00EA625B" w:rsidRPr="00F27422" w:rsidRDefault="00EA625B" w:rsidP="00122B70">
      <w:pPr>
        <w:bidi/>
        <w:rPr>
          <w:rFonts w:asciiTheme="minorBidi" w:hAnsiTheme="minorBidi"/>
          <w:b/>
          <w:bCs/>
          <w:sz w:val="32"/>
          <w:szCs w:val="32"/>
          <w:rtl/>
        </w:rPr>
      </w:pPr>
      <w:r w:rsidRPr="00F27422">
        <w:rPr>
          <w:rFonts w:asciiTheme="minorBidi" w:hAnsiTheme="minorBidi"/>
          <w:b/>
          <w:bCs/>
          <w:sz w:val="32"/>
          <w:szCs w:val="32"/>
          <w:rtl/>
        </w:rPr>
        <w:t>ولكن هنا تأملٌ في الموردين</w:t>
      </w:r>
      <w:r w:rsidRPr="00F27422">
        <w:rPr>
          <w:rFonts w:asciiTheme="minorBidi" w:hAnsiTheme="minorBidi"/>
          <w:b/>
          <w:bCs/>
          <w:sz w:val="32"/>
          <w:szCs w:val="32"/>
        </w:rPr>
        <w:t>:</w:t>
      </w:r>
    </w:p>
    <w:p w14:paraId="10B6F48E" w14:textId="77777777" w:rsidR="00EA625B" w:rsidRPr="00F27422" w:rsidRDefault="00EA625B" w:rsidP="00122B70">
      <w:pPr>
        <w:bidi/>
        <w:rPr>
          <w:rFonts w:asciiTheme="minorBidi" w:hAnsiTheme="minorBidi"/>
          <w:b/>
          <w:bCs/>
          <w:sz w:val="32"/>
          <w:szCs w:val="32"/>
          <w:rtl/>
        </w:rPr>
      </w:pPr>
      <w:r w:rsidRPr="00F27422">
        <w:rPr>
          <w:rFonts w:asciiTheme="minorBidi" w:hAnsiTheme="minorBidi"/>
          <w:b/>
          <w:bCs/>
          <w:sz w:val="32"/>
          <w:szCs w:val="32"/>
          <w:rtl/>
        </w:rPr>
        <w:t>أمّا المورد الأوّل:</w:t>
      </w:r>
      <w:r w:rsidRPr="00F27422">
        <w:rPr>
          <w:rFonts w:asciiTheme="minorBidi" w:hAnsiTheme="minorBidi"/>
          <w:sz w:val="32"/>
          <w:szCs w:val="32"/>
          <w:rtl/>
        </w:rPr>
        <w:t xml:space="preserve"> وهو ما إذا فرض موتُ البطن السابق وقد آجر المتولّي للوقف العينَ بمدّةٍ أكثر من عمر البطن السابق</w:t>
      </w:r>
      <w:r w:rsidRPr="00F27422">
        <w:rPr>
          <w:rFonts w:asciiTheme="minorBidi" w:hAnsiTheme="minorBidi"/>
          <w:sz w:val="32"/>
          <w:szCs w:val="32"/>
        </w:rPr>
        <w:t>.</w:t>
      </w:r>
    </w:p>
    <w:p w14:paraId="55D0A282" w14:textId="77777777" w:rsidR="00EA625B" w:rsidRPr="00F27422" w:rsidRDefault="00EA625B" w:rsidP="00122B70">
      <w:pPr>
        <w:bidi/>
        <w:rPr>
          <w:rFonts w:asciiTheme="minorBidi" w:hAnsiTheme="minorBidi"/>
          <w:b/>
          <w:bCs/>
          <w:sz w:val="32"/>
          <w:szCs w:val="32"/>
          <w:rtl/>
        </w:rPr>
      </w:pPr>
      <w:r w:rsidRPr="00F27422">
        <w:rPr>
          <w:rFonts w:asciiTheme="minorBidi" w:hAnsiTheme="minorBidi"/>
          <w:sz w:val="32"/>
          <w:szCs w:val="32"/>
          <w:rtl/>
        </w:rPr>
        <w:t>فهنا لابُدّ مِن التفصيل بين أنْ تكون ولاية المتولّي مِن قِبَلِ الواقف أو مِن قِبَلِ البطن السابق</w:t>
      </w:r>
      <w:r w:rsidRPr="00F27422">
        <w:rPr>
          <w:rFonts w:asciiTheme="minorBidi" w:hAnsiTheme="minorBidi"/>
          <w:sz w:val="32"/>
          <w:szCs w:val="32"/>
        </w:rPr>
        <w:t>.</w:t>
      </w:r>
    </w:p>
    <w:p w14:paraId="3FF73489" w14:textId="77777777" w:rsidR="00EA625B" w:rsidRPr="00F27422" w:rsidRDefault="00EA625B" w:rsidP="00122B70">
      <w:pPr>
        <w:bidi/>
        <w:rPr>
          <w:rFonts w:asciiTheme="minorBidi" w:hAnsiTheme="minorBidi"/>
          <w:b/>
          <w:bCs/>
          <w:sz w:val="32"/>
          <w:szCs w:val="32"/>
          <w:rtl/>
        </w:rPr>
      </w:pPr>
      <w:r w:rsidRPr="00F27422">
        <w:rPr>
          <w:rFonts w:asciiTheme="minorBidi" w:hAnsiTheme="minorBidi"/>
          <w:sz w:val="32"/>
          <w:szCs w:val="32"/>
          <w:rtl/>
        </w:rPr>
        <w:t>فإنْ كانت الولايةُ صادرةً مِن الواقف أو الحاكم الشرعي فقد يقال بأنّ تصرفات الولي نافذةٌ وإنْ ماتَ البطنُ السابق؛ لأنّه وُليّ على الوقف لا أنّه وُليّ على ما يملكه البطن الأوّل</w:t>
      </w:r>
      <w:r w:rsidRPr="00F27422">
        <w:rPr>
          <w:rFonts w:asciiTheme="minorBidi" w:hAnsiTheme="minorBidi"/>
          <w:sz w:val="32"/>
          <w:szCs w:val="32"/>
        </w:rPr>
        <w:t>.</w:t>
      </w:r>
    </w:p>
    <w:p w14:paraId="09A74769" w14:textId="77777777" w:rsidR="00EA625B" w:rsidRPr="00F27422" w:rsidRDefault="00EA625B" w:rsidP="00122B70">
      <w:pPr>
        <w:bidi/>
        <w:rPr>
          <w:rFonts w:asciiTheme="minorBidi" w:hAnsiTheme="minorBidi"/>
          <w:b/>
          <w:bCs/>
          <w:sz w:val="32"/>
          <w:szCs w:val="32"/>
          <w:rtl/>
        </w:rPr>
      </w:pPr>
      <w:r w:rsidRPr="00F27422">
        <w:rPr>
          <w:rFonts w:asciiTheme="minorBidi" w:hAnsiTheme="minorBidi"/>
          <w:sz w:val="32"/>
          <w:szCs w:val="32"/>
          <w:rtl/>
        </w:rPr>
        <w:t xml:space="preserve">وأمّا إذا افترض أنّ ولايته مستندة للبطن السابق - بناء على صلاحيته للتولية -، والبطنُ السابق لا يملك المنفعة </w:t>
      </w:r>
      <w:proofErr w:type="spellStart"/>
      <w:r w:rsidRPr="00F27422">
        <w:rPr>
          <w:rFonts w:asciiTheme="minorBidi" w:hAnsiTheme="minorBidi"/>
          <w:sz w:val="32"/>
          <w:szCs w:val="32"/>
          <w:rtl/>
        </w:rPr>
        <w:t>بأزيد</w:t>
      </w:r>
      <w:proofErr w:type="spellEnd"/>
      <w:r w:rsidRPr="00F27422">
        <w:rPr>
          <w:rFonts w:asciiTheme="minorBidi" w:hAnsiTheme="minorBidi"/>
          <w:sz w:val="32"/>
          <w:szCs w:val="32"/>
          <w:rtl/>
        </w:rPr>
        <w:t xml:space="preserve"> من حياته، فكما أنّ البطن السابق لو آجر العين فماتَ كان عقدُ الإجارة بالنسبة للبطن اللاحق عقداً فضوليّاً فكذلك لو صدرت الإجارة من المتولّي الذي استندت ولايته للبطن السابق فإنّه لا نفوذ لإجارته بأكثر من زمن البطن السابق؛ لأنّ ولايته على ما ملكه البطن السابق، وما ملكه البطن السابق لا يمتد لما بعد موته</w:t>
      </w:r>
      <w:r w:rsidRPr="00F27422">
        <w:rPr>
          <w:rFonts w:asciiTheme="minorBidi" w:hAnsiTheme="minorBidi"/>
          <w:sz w:val="32"/>
          <w:szCs w:val="32"/>
        </w:rPr>
        <w:t>.</w:t>
      </w:r>
    </w:p>
    <w:p w14:paraId="716B403D" w14:textId="77777777" w:rsidR="00EA625B" w:rsidRPr="00F27422" w:rsidRDefault="00EA625B" w:rsidP="00122B70">
      <w:pPr>
        <w:bidi/>
        <w:rPr>
          <w:rFonts w:asciiTheme="minorBidi" w:hAnsiTheme="minorBidi"/>
          <w:b/>
          <w:bCs/>
          <w:sz w:val="32"/>
          <w:szCs w:val="32"/>
          <w:rtl/>
        </w:rPr>
      </w:pPr>
      <w:r w:rsidRPr="00F27422">
        <w:rPr>
          <w:rFonts w:asciiTheme="minorBidi" w:hAnsiTheme="minorBidi"/>
          <w:b/>
          <w:bCs/>
          <w:sz w:val="32"/>
          <w:szCs w:val="32"/>
          <w:rtl/>
        </w:rPr>
        <w:t>وأمّا المورد الثاني:</w:t>
      </w:r>
      <w:r w:rsidRPr="00F27422">
        <w:rPr>
          <w:rFonts w:asciiTheme="minorBidi" w:hAnsiTheme="minorBidi"/>
          <w:sz w:val="32"/>
          <w:szCs w:val="32"/>
          <w:rtl/>
        </w:rPr>
        <w:t xml:space="preserve"> وهو ما إذا مات المتولّي بعد أنْ آجر العين</w:t>
      </w:r>
      <w:r w:rsidRPr="00F27422">
        <w:rPr>
          <w:rFonts w:asciiTheme="minorBidi" w:hAnsiTheme="minorBidi"/>
          <w:sz w:val="32"/>
          <w:szCs w:val="32"/>
        </w:rPr>
        <w:t>.</w:t>
      </w:r>
    </w:p>
    <w:p w14:paraId="3A8C4DBC" w14:textId="77777777" w:rsidR="00EA625B" w:rsidRPr="00F27422" w:rsidRDefault="00EA625B" w:rsidP="00122B70">
      <w:pPr>
        <w:bidi/>
        <w:rPr>
          <w:rFonts w:asciiTheme="minorBidi" w:hAnsiTheme="minorBidi"/>
          <w:b/>
          <w:bCs/>
          <w:sz w:val="32"/>
          <w:szCs w:val="32"/>
          <w:rtl/>
        </w:rPr>
      </w:pPr>
      <w:r w:rsidRPr="00F27422">
        <w:rPr>
          <w:rFonts w:asciiTheme="minorBidi" w:hAnsiTheme="minorBidi"/>
          <w:sz w:val="32"/>
          <w:szCs w:val="32"/>
          <w:rtl/>
        </w:rPr>
        <w:t>فهنا تارةً تكون الولاية مستندةً للواقف؛ لأنّ الواقف نصب نفسه وليّاً أو نصب مَن يثق به وليّاً على الوقف ولا ريب حينئذٍ في نفوذ تصرّفه بدليل السلطنة فإنّ مقتضى سلطنة الواقف على ما وقف أنّ له أنْ ينصب وليّاً على التصرّفات الاعتبارية في الوقف ولو في المنافع المُرسلة التي لا تختص بزمنٍ دون زمن</w:t>
      </w:r>
      <w:r w:rsidRPr="00F27422">
        <w:rPr>
          <w:rFonts w:asciiTheme="minorBidi" w:hAnsiTheme="minorBidi"/>
          <w:sz w:val="32"/>
          <w:szCs w:val="32"/>
        </w:rPr>
        <w:t>.</w:t>
      </w:r>
    </w:p>
    <w:p w14:paraId="338EFC97" w14:textId="77777777" w:rsidR="00EA625B" w:rsidRPr="00F27422" w:rsidRDefault="00EA625B" w:rsidP="00122B70">
      <w:pPr>
        <w:bidi/>
        <w:rPr>
          <w:rFonts w:asciiTheme="minorBidi" w:hAnsiTheme="minorBidi"/>
          <w:b/>
          <w:bCs/>
          <w:sz w:val="32"/>
          <w:szCs w:val="32"/>
          <w:rtl/>
        </w:rPr>
      </w:pPr>
      <w:r w:rsidRPr="00F27422">
        <w:rPr>
          <w:rFonts w:asciiTheme="minorBidi" w:hAnsiTheme="minorBidi"/>
          <w:sz w:val="32"/>
          <w:szCs w:val="32"/>
          <w:rtl/>
        </w:rPr>
        <w:t>كما أنّه مقتضى السيرة العقلائية أيضاً، فإنّها قائمةٌ على نفوذ تصرّفات وُلاة الوقف فيما تصرّفوا فيه حتى بعد موتهم</w:t>
      </w:r>
      <w:r w:rsidRPr="00F27422">
        <w:rPr>
          <w:rFonts w:asciiTheme="minorBidi" w:hAnsiTheme="minorBidi"/>
          <w:sz w:val="32"/>
          <w:szCs w:val="32"/>
        </w:rPr>
        <w:t>.</w:t>
      </w:r>
    </w:p>
    <w:p w14:paraId="0F7CF7C9" w14:textId="77777777" w:rsidR="00EA625B" w:rsidRPr="00F27422" w:rsidRDefault="00EA625B" w:rsidP="00122B70">
      <w:pPr>
        <w:bidi/>
        <w:rPr>
          <w:rFonts w:asciiTheme="minorBidi" w:hAnsiTheme="minorBidi"/>
          <w:b/>
          <w:bCs/>
          <w:sz w:val="32"/>
          <w:szCs w:val="32"/>
          <w:rtl/>
        </w:rPr>
      </w:pPr>
      <w:r w:rsidRPr="00F27422">
        <w:rPr>
          <w:rFonts w:asciiTheme="minorBidi" w:hAnsiTheme="minorBidi"/>
          <w:sz w:val="32"/>
          <w:szCs w:val="32"/>
          <w:rtl/>
        </w:rPr>
        <w:t>وإنّما الكلام فيما إذا كان المتولّي مِن قِبَلِ الحاكم الشرعي، فماتَ الحاكمُ الشرعي</w:t>
      </w:r>
      <w:r w:rsidRPr="00F27422">
        <w:rPr>
          <w:rFonts w:asciiTheme="minorBidi" w:hAnsiTheme="minorBidi"/>
          <w:sz w:val="32"/>
          <w:szCs w:val="32"/>
        </w:rPr>
        <w:t>.</w:t>
      </w:r>
    </w:p>
    <w:p w14:paraId="483AA612" w14:textId="77777777" w:rsidR="00EA625B" w:rsidRPr="00F27422" w:rsidRDefault="00EA625B" w:rsidP="00122B70">
      <w:pPr>
        <w:bidi/>
        <w:rPr>
          <w:rFonts w:asciiTheme="minorBidi" w:hAnsiTheme="minorBidi"/>
          <w:b/>
          <w:bCs/>
          <w:sz w:val="32"/>
          <w:szCs w:val="32"/>
          <w:rtl/>
        </w:rPr>
      </w:pPr>
      <w:r w:rsidRPr="00F27422">
        <w:rPr>
          <w:rFonts w:asciiTheme="minorBidi" w:hAnsiTheme="minorBidi"/>
          <w:sz w:val="32"/>
          <w:szCs w:val="32"/>
          <w:rtl/>
        </w:rPr>
        <w:t>فهل تنفد تصرّفات المتولّي بعد أنْ كانت ولايته مستندةً للحاكم الشرعي أم لا؟</w:t>
      </w:r>
    </w:p>
    <w:p w14:paraId="0D01E865" w14:textId="77777777" w:rsidR="00EA625B" w:rsidRPr="00F27422" w:rsidRDefault="00EA625B" w:rsidP="00122B70">
      <w:pPr>
        <w:bidi/>
        <w:rPr>
          <w:rFonts w:asciiTheme="minorBidi" w:hAnsiTheme="minorBidi"/>
          <w:b/>
          <w:bCs/>
          <w:sz w:val="32"/>
          <w:szCs w:val="32"/>
          <w:rtl/>
        </w:rPr>
      </w:pPr>
      <w:r w:rsidRPr="00F27422">
        <w:rPr>
          <w:rFonts w:asciiTheme="minorBidi" w:hAnsiTheme="minorBidi"/>
          <w:sz w:val="32"/>
          <w:szCs w:val="32"/>
          <w:rtl/>
        </w:rPr>
        <w:t xml:space="preserve">قد أفاد صاحب الجواهر (قدس سره الشريف) في  [جواهر الكلام في شرح شرائع الإسلام، الشيخ محمد حسن النجفي الجواهري، دار إحياء التراث العربي، ج28، ص116] </w:t>
      </w:r>
      <w:r w:rsidRPr="00F27422">
        <w:rPr>
          <w:rFonts w:asciiTheme="minorBidi" w:hAnsiTheme="minorBidi"/>
          <w:b/>
          <w:bCs/>
          <w:sz w:val="32"/>
          <w:szCs w:val="32"/>
          <w:rtl/>
        </w:rPr>
        <w:t xml:space="preserve">: (نعم لو كان المؤجر، الناظر على الوقف لمصلحة الوقف اتجه ذلك) </w:t>
      </w:r>
      <w:r w:rsidRPr="00F27422">
        <w:rPr>
          <w:rFonts w:asciiTheme="minorBidi" w:hAnsiTheme="minorBidi"/>
          <w:sz w:val="32"/>
          <w:szCs w:val="32"/>
          <w:rtl/>
        </w:rPr>
        <w:t xml:space="preserve">أي أنّ الإجارة نافذة </w:t>
      </w:r>
      <w:r w:rsidRPr="00F27422">
        <w:rPr>
          <w:rFonts w:asciiTheme="minorBidi" w:hAnsiTheme="minorBidi"/>
          <w:b/>
          <w:bCs/>
          <w:sz w:val="32"/>
          <w:szCs w:val="32"/>
          <w:rtl/>
        </w:rPr>
        <w:t xml:space="preserve">(لأن له </w:t>
      </w:r>
      <w:r w:rsidRPr="00F27422">
        <w:rPr>
          <w:rFonts w:asciiTheme="minorBidi" w:hAnsiTheme="minorBidi"/>
          <w:b/>
          <w:bCs/>
          <w:sz w:val="32"/>
          <w:szCs w:val="32"/>
          <w:rtl/>
        </w:rPr>
        <w:lastRenderedPageBreak/>
        <w:t xml:space="preserve">الولاية المقتضية لنفوذ تصرفه في ذلك مع وجودهم) </w:t>
      </w:r>
      <w:r w:rsidRPr="00F27422">
        <w:rPr>
          <w:rFonts w:asciiTheme="minorBidi" w:hAnsiTheme="minorBidi"/>
          <w:sz w:val="32"/>
          <w:szCs w:val="32"/>
          <w:rtl/>
        </w:rPr>
        <w:t xml:space="preserve">أي وجود البطن السابق </w:t>
      </w:r>
      <w:r w:rsidRPr="00F27422">
        <w:rPr>
          <w:rFonts w:asciiTheme="minorBidi" w:hAnsiTheme="minorBidi"/>
          <w:b/>
          <w:bCs/>
          <w:sz w:val="32"/>
          <w:szCs w:val="32"/>
          <w:rtl/>
        </w:rPr>
        <w:t xml:space="preserve">(فضلا عما قبله، والأجرة يملكها الموجودون) </w:t>
      </w:r>
      <w:r w:rsidRPr="00F27422">
        <w:rPr>
          <w:rFonts w:asciiTheme="minorBidi" w:hAnsiTheme="minorBidi"/>
          <w:sz w:val="32"/>
          <w:szCs w:val="32"/>
          <w:rtl/>
        </w:rPr>
        <w:t xml:space="preserve">أي البطن الموجود </w:t>
      </w:r>
      <w:r w:rsidRPr="00F27422">
        <w:rPr>
          <w:rFonts w:asciiTheme="minorBidi" w:hAnsiTheme="minorBidi"/>
          <w:b/>
          <w:bCs/>
          <w:sz w:val="32"/>
          <w:szCs w:val="32"/>
          <w:rtl/>
        </w:rPr>
        <w:t xml:space="preserve">(وإن كانت هي عوضا عن منافع المدة المتأخرة عن حياتهم) </w:t>
      </w:r>
      <w:r w:rsidRPr="00F27422">
        <w:rPr>
          <w:rFonts w:asciiTheme="minorBidi" w:hAnsiTheme="minorBidi"/>
          <w:sz w:val="32"/>
          <w:szCs w:val="32"/>
          <w:rtl/>
        </w:rPr>
        <w:t>فمثلاً: لو آجر المتولّي الدارَ عشر سنين، وقد استلم الأُجرة من الآن، والبطن السابق مات بعد ثلاث سنين، فأجرةُ منافع البقية للموجودين (</w:t>
      </w:r>
      <w:r w:rsidRPr="00F27422">
        <w:rPr>
          <w:rFonts w:asciiTheme="minorBidi" w:hAnsiTheme="minorBidi"/>
          <w:b/>
          <w:bCs/>
          <w:sz w:val="32"/>
          <w:szCs w:val="32"/>
          <w:rtl/>
        </w:rPr>
        <w:t>إلا أنها بعد فرض المشروعية لهذه الإجارة بالإجماع، وظاهر بعض النصوص الدالة على جواز اشتراط الناظر صيرورته وليا للمال نفسه، وأن له هذه الولاية وتكون حينئذ بمنزلة وجود المنافع المتأخرة في حياتهم إلا أنها محبوسة أيضا لا يجوز لهم صرفها في غير التعمير ونحوه، مما يرجع مصلحته للبطون أيضا)</w:t>
      </w:r>
      <w:r w:rsidRPr="00F27422">
        <w:rPr>
          <w:rFonts w:asciiTheme="minorBidi" w:hAnsiTheme="minorBidi"/>
          <w:b/>
          <w:bCs/>
          <w:sz w:val="32"/>
          <w:szCs w:val="32"/>
        </w:rPr>
        <w:t>.</w:t>
      </w:r>
    </w:p>
    <w:p w14:paraId="1D3D14BB" w14:textId="77777777" w:rsidR="00EA625B" w:rsidRPr="00F27422" w:rsidRDefault="00EA625B" w:rsidP="00122B70">
      <w:pPr>
        <w:bidi/>
        <w:rPr>
          <w:rFonts w:asciiTheme="minorBidi" w:hAnsiTheme="minorBidi"/>
          <w:b/>
          <w:bCs/>
          <w:sz w:val="32"/>
          <w:szCs w:val="32"/>
          <w:rtl/>
        </w:rPr>
      </w:pPr>
      <w:r w:rsidRPr="00F27422">
        <w:rPr>
          <w:rFonts w:asciiTheme="minorBidi" w:hAnsiTheme="minorBidi"/>
          <w:b/>
          <w:bCs/>
          <w:sz w:val="32"/>
          <w:szCs w:val="32"/>
          <w:rtl/>
        </w:rPr>
        <w:t>ومضمون كلامه (قدس سره الشريف):</w:t>
      </w:r>
      <w:r w:rsidRPr="00F27422">
        <w:rPr>
          <w:rFonts w:asciiTheme="minorBidi" w:hAnsiTheme="minorBidi"/>
          <w:sz w:val="32"/>
          <w:szCs w:val="32"/>
          <w:rtl/>
        </w:rPr>
        <w:t xml:space="preserve"> أنّ الإجارة نافذةٌ وأنّ البطن الموجود يملك ما قابل المنافع المتأخرة عن حياتهم وإنْ كانوا لا يملكون ما قابلها إلّا أنّهم ليس لهم التصرّف في هذه الأُجرة بأكثر مِن أنْ تصرف في مصلحة الوقف، وليس لهم صرفها في أمورهم الشخصية - مثلاً -.</w:t>
      </w:r>
    </w:p>
    <w:p w14:paraId="4B50F996" w14:textId="77777777" w:rsidR="00EA625B" w:rsidRPr="00F27422" w:rsidRDefault="00EA625B" w:rsidP="00122B70">
      <w:pPr>
        <w:bidi/>
        <w:rPr>
          <w:rFonts w:asciiTheme="minorBidi" w:hAnsiTheme="minorBidi"/>
          <w:b/>
          <w:bCs/>
          <w:sz w:val="32"/>
          <w:szCs w:val="32"/>
          <w:rtl/>
        </w:rPr>
      </w:pPr>
    </w:p>
    <w:p w14:paraId="7C83DD69" w14:textId="77777777" w:rsidR="00EA625B" w:rsidRPr="00F27422" w:rsidRDefault="00EA625B" w:rsidP="00122B70">
      <w:pPr>
        <w:bidi/>
        <w:rPr>
          <w:rFonts w:asciiTheme="minorBidi" w:hAnsiTheme="minorBidi"/>
          <w:b/>
          <w:bCs/>
          <w:sz w:val="32"/>
          <w:szCs w:val="32"/>
          <w:rtl/>
        </w:rPr>
      </w:pPr>
    </w:p>
    <w:p w14:paraId="69D1F0E4" w14:textId="77777777" w:rsidR="00EA625B" w:rsidRPr="00F27422" w:rsidRDefault="00EA625B"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7D16731A" w14:textId="77777777" w:rsidR="00EA625B" w:rsidRPr="00F27422" w:rsidRDefault="00EA625B" w:rsidP="00122B70">
      <w:pPr>
        <w:bidi/>
        <w:rPr>
          <w:rFonts w:asciiTheme="minorBidi" w:hAnsiTheme="minorBidi"/>
          <w:sz w:val="32"/>
          <w:szCs w:val="32"/>
          <w:rtl/>
        </w:rPr>
      </w:pPr>
    </w:p>
    <w:p w14:paraId="07E5589B" w14:textId="7F3687BC" w:rsidR="00EA625B" w:rsidRPr="00F27422" w:rsidRDefault="00EA625B"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t>031</w:t>
      </w:r>
    </w:p>
    <w:p w14:paraId="31354E6E" w14:textId="77777777" w:rsidR="00C47707" w:rsidRPr="00F27422" w:rsidRDefault="00C47707" w:rsidP="00122B70">
      <w:pPr>
        <w:bidi/>
        <w:rPr>
          <w:rFonts w:asciiTheme="minorBidi" w:hAnsiTheme="minorBidi"/>
          <w:b/>
          <w:bCs/>
          <w:sz w:val="32"/>
          <w:szCs w:val="32"/>
        </w:rPr>
      </w:pPr>
      <w:r w:rsidRPr="00F27422">
        <w:rPr>
          <w:rFonts w:asciiTheme="minorBidi" w:hAnsiTheme="minorBidi"/>
          <w:b/>
          <w:bCs/>
          <w:sz w:val="32"/>
          <w:szCs w:val="32"/>
          <w:rtl/>
        </w:rPr>
        <w:t>بسم الله الرحمن الرحيم</w:t>
      </w:r>
    </w:p>
    <w:p w14:paraId="650EAF18" w14:textId="77777777"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7F602373" w14:textId="77777777"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t>واللعن الدائم على أعدائهم أجمعين إلى قيام يوم الدين</w:t>
      </w:r>
    </w:p>
    <w:p w14:paraId="263CFD06" w14:textId="77777777" w:rsidR="00C47707" w:rsidRPr="00F27422" w:rsidRDefault="00C47707" w:rsidP="00122B70">
      <w:pPr>
        <w:bidi/>
        <w:rPr>
          <w:rFonts w:asciiTheme="minorBidi" w:hAnsiTheme="minorBidi"/>
          <w:sz w:val="32"/>
          <w:szCs w:val="32"/>
          <w:rtl/>
        </w:rPr>
      </w:pPr>
    </w:p>
    <w:p w14:paraId="0CC3879B" w14:textId="77777777"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t>والكلامُ في نفوذ تصرّفات المتولّي للوقف كما لو تصرّف في العين الموقوفة بالإجارة</w:t>
      </w:r>
      <w:r w:rsidRPr="00F27422">
        <w:rPr>
          <w:rFonts w:asciiTheme="minorBidi" w:hAnsiTheme="minorBidi"/>
          <w:b/>
          <w:bCs/>
          <w:sz w:val="32"/>
          <w:szCs w:val="32"/>
        </w:rPr>
        <w:t>:</w:t>
      </w:r>
    </w:p>
    <w:p w14:paraId="4435F02B"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فهل تنفذ إجارة المتولّي للوقف حتى بعد موت الحاكم الشرعي الذي قام بتوليته أم لا؟</w:t>
      </w:r>
    </w:p>
    <w:p w14:paraId="644B7790" w14:textId="77777777"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t>والبحثُ في المقام في نقطتين</w:t>
      </w:r>
      <w:r w:rsidRPr="00F27422">
        <w:rPr>
          <w:rFonts w:asciiTheme="minorBidi" w:hAnsiTheme="minorBidi"/>
          <w:b/>
          <w:bCs/>
          <w:sz w:val="32"/>
          <w:szCs w:val="32"/>
        </w:rPr>
        <w:t>:</w:t>
      </w:r>
    </w:p>
    <w:p w14:paraId="3E36B644" w14:textId="77777777"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t>الأُولى: في انعزال المتولّي بموت الحاكم الشرعي أو استمرار ولايته</w:t>
      </w:r>
      <w:r w:rsidRPr="00F27422">
        <w:rPr>
          <w:rFonts w:asciiTheme="minorBidi" w:hAnsiTheme="minorBidi"/>
          <w:b/>
          <w:bCs/>
          <w:sz w:val="32"/>
          <w:szCs w:val="32"/>
        </w:rPr>
        <w:t>.</w:t>
      </w:r>
    </w:p>
    <w:p w14:paraId="53FB1835" w14:textId="77777777"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lastRenderedPageBreak/>
        <w:t>والثانية: في نفوذ تصرّفه بالإجارة حال ولايته</w:t>
      </w:r>
      <w:r w:rsidRPr="00F27422">
        <w:rPr>
          <w:rFonts w:asciiTheme="minorBidi" w:hAnsiTheme="minorBidi"/>
          <w:b/>
          <w:bCs/>
          <w:sz w:val="32"/>
          <w:szCs w:val="32"/>
        </w:rPr>
        <w:t>.</w:t>
      </w:r>
    </w:p>
    <w:p w14:paraId="62DC8A5C" w14:textId="77777777" w:rsidR="00C47707" w:rsidRPr="00F27422" w:rsidRDefault="00C47707" w:rsidP="00122B70">
      <w:pPr>
        <w:bidi/>
        <w:rPr>
          <w:rFonts w:asciiTheme="minorBidi" w:hAnsiTheme="minorBidi"/>
          <w:sz w:val="32"/>
          <w:szCs w:val="32"/>
          <w:rtl/>
        </w:rPr>
      </w:pPr>
      <w:r w:rsidRPr="00F27422">
        <w:rPr>
          <w:rFonts w:asciiTheme="minorBidi" w:hAnsiTheme="minorBidi"/>
          <w:b/>
          <w:bCs/>
          <w:sz w:val="32"/>
          <w:szCs w:val="32"/>
          <w:rtl/>
        </w:rPr>
        <w:t xml:space="preserve">النقطة الأُولى: </w:t>
      </w:r>
      <w:r w:rsidRPr="00F27422">
        <w:rPr>
          <w:rFonts w:asciiTheme="minorBidi" w:hAnsiTheme="minorBidi"/>
          <w:sz w:val="32"/>
          <w:szCs w:val="32"/>
          <w:rtl/>
        </w:rPr>
        <w:t>انعزال المتولّي بموت الحاكم الشرعي أو استمرار ولايته</w:t>
      </w:r>
      <w:r w:rsidRPr="00F27422">
        <w:rPr>
          <w:rFonts w:asciiTheme="minorBidi" w:hAnsiTheme="minorBidi"/>
          <w:sz w:val="32"/>
          <w:szCs w:val="32"/>
        </w:rPr>
        <w:t>:</w:t>
      </w:r>
    </w:p>
    <w:p w14:paraId="41B4D4D9" w14:textId="77777777" w:rsidR="00C47707" w:rsidRPr="00F27422" w:rsidRDefault="00C47707" w:rsidP="00122B70">
      <w:pPr>
        <w:bidi/>
        <w:rPr>
          <w:rFonts w:asciiTheme="minorBidi" w:hAnsiTheme="minorBidi"/>
          <w:b/>
          <w:bCs/>
          <w:sz w:val="32"/>
          <w:szCs w:val="32"/>
          <w:rtl/>
        </w:rPr>
      </w:pPr>
      <w:r w:rsidRPr="00F27422">
        <w:rPr>
          <w:rFonts w:asciiTheme="minorBidi" w:hAnsiTheme="minorBidi"/>
          <w:sz w:val="32"/>
          <w:szCs w:val="32"/>
          <w:rtl/>
        </w:rPr>
        <w:t xml:space="preserve">ذكر سيد العروة (قدس سره الشريف) في كتابه [العروة الوثقى، السيد اليزدي، مؤسسة النشر الإسلامي التابعة لجماعة المدرسين بقم المشرفة، الطبعة الأولى، ج1، ص40] بقوله: </w:t>
      </w:r>
      <w:r w:rsidRPr="00F27422">
        <w:rPr>
          <w:rFonts w:asciiTheme="minorBidi" w:hAnsiTheme="minorBidi"/>
          <w:b/>
          <w:bCs/>
          <w:sz w:val="32"/>
          <w:szCs w:val="32"/>
          <w:rtl/>
        </w:rPr>
        <w:t xml:space="preserve">((مسألة 51): المأذون والوكيل عن المجتهد في التصرف في الأوقاف أو في أموال القصر ينعزل بموت المجتهد، بخلاف المنصوب من قبله، كما إذا نصبه متوليا للوقف، أو قيما على القصر فإنه لا تبطل توليته </w:t>
      </w:r>
      <w:proofErr w:type="spellStart"/>
      <w:r w:rsidRPr="00F27422">
        <w:rPr>
          <w:rFonts w:asciiTheme="minorBidi" w:hAnsiTheme="minorBidi"/>
          <w:b/>
          <w:bCs/>
          <w:sz w:val="32"/>
          <w:szCs w:val="32"/>
          <w:rtl/>
        </w:rPr>
        <w:t>وقيمومته</w:t>
      </w:r>
      <w:proofErr w:type="spellEnd"/>
      <w:r w:rsidRPr="00F27422">
        <w:rPr>
          <w:rFonts w:asciiTheme="minorBidi" w:hAnsiTheme="minorBidi"/>
          <w:b/>
          <w:bCs/>
          <w:sz w:val="32"/>
          <w:szCs w:val="32"/>
          <w:rtl/>
        </w:rPr>
        <w:t xml:space="preserve"> على الأظهر)</w:t>
      </w:r>
      <w:r w:rsidRPr="00F27422">
        <w:rPr>
          <w:rFonts w:asciiTheme="minorBidi" w:hAnsiTheme="minorBidi"/>
          <w:b/>
          <w:bCs/>
          <w:sz w:val="32"/>
          <w:szCs w:val="32"/>
        </w:rPr>
        <w:t>.</w:t>
      </w:r>
    </w:p>
    <w:p w14:paraId="5156521C" w14:textId="77777777" w:rsidR="00C47707" w:rsidRPr="00F27422" w:rsidRDefault="00C47707" w:rsidP="00122B70">
      <w:pPr>
        <w:bidi/>
        <w:rPr>
          <w:rFonts w:asciiTheme="minorBidi" w:hAnsiTheme="minorBidi"/>
          <w:sz w:val="32"/>
          <w:szCs w:val="32"/>
          <w:rtl/>
        </w:rPr>
      </w:pPr>
      <w:r w:rsidRPr="00F27422">
        <w:rPr>
          <w:rFonts w:asciiTheme="minorBidi" w:hAnsiTheme="minorBidi"/>
          <w:b/>
          <w:bCs/>
          <w:sz w:val="32"/>
          <w:szCs w:val="32"/>
          <w:rtl/>
        </w:rPr>
        <w:t>والمراد من كلامه (قدس سره):</w:t>
      </w:r>
      <w:r w:rsidRPr="00F27422">
        <w:rPr>
          <w:rFonts w:asciiTheme="minorBidi" w:hAnsiTheme="minorBidi"/>
          <w:sz w:val="32"/>
          <w:szCs w:val="32"/>
          <w:rtl/>
        </w:rPr>
        <w:t xml:space="preserve"> أنّ المتولّي للوقف تبقى ولايته حتى بعد موت المجتهد الذي جعله وليّاً أو قيماً</w:t>
      </w:r>
      <w:r w:rsidRPr="00F27422">
        <w:rPr>
          <w:rFonts w:asciiTheme="minorBidi" w:hAnsiTheme="minorBidi"/>
          <w:sz w:val="32"/>
          <w:szCs w:val="32"/>
        </w:rPr>
        <w:t>.</w:t>
      </w:r>
    </w:p>
    <w:p w14:paraId="7798EEBC"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وفي تعليقات الأعلام على العروة كما في كتاب [العروة الوثقى والتعليقات عليها، مؤسسة السبطين (عليهما السلام) العالمية، ج1، ص314] ما يظهر منها التأمل:</w:t>
      </w:r>
    </w:p>
    <w:p w14:paraId="410B9816" w14:textId="77777777" w:rsidR="00C47707" w:rsidRPr="00F27422" w:rsidRDefault="00C47707" w:rsidP="00122B70">
      <w:pPr>
        <w:bidi/>
        <w:rPr>
          <w:rFonts w:asciiTheme="minorBidi" w:hAnsiTheme="minorBidi"/>
          <w:sz w:val="32"/>
          <w:szCs w:val="32"/>
          <w:rtl/>
        </w:rPr>
      </w:pPr>
      <w:r w:rsidRPr="00F27422">
        <w:rPr>
          <w:rFonts w:asciiTheme="minorBidi" w:hAnsiTheme="minorBidi"/>
          <w:b/>
          <w:bCs/>
          <w:sz w:val="32"/>
          <w:szCs w:val="32"/>
          <w:rtl/>
        </w:rPr>
        <w:t>التعليقة الأُولى:</w:t>
      </w:r>
      <w:r w:rsidRPr="00F27422">
        <w:rPr>
          <w:rFonts w:asciiTheme="minorBidi" w:hAnsiTheme="minorBidi"/>
          <w:sz w:val="32"/>
          <w:szCs w:val="32"/>
          <w:rtl/>
        </w:rPr>
        <w:t xml:space="preserve"> قال السيد أحمد الخونساري (قدس سره): </w:t>
      </w:r>
      <w:r w:rsidRPr="00F27422">
        <w:rPr>
          <w:rFonts w:asciiTheme="minorBidi" w:hAnsiTheme="minorBidi"/>
          <w:b/>
          <w:bCs/>
          <w:sz w:val="32"/>
          <w:szCs w:val="32"/>
          <w:rtl/>
        </w:rPr>
        <w:t>(في صحّة النصب إشكال).</w:t>
      </w:r>
      <w:r w:rsidRPr="00F27422">
        <w:rPr>
          <w:rFonts w:asciiTheme="minorBidi" w:hAnsiTheme="minorBidi"/>
          <w:sz w:val="32"/>
          <w:szCs w:val="32"/>
          <w:rtl/>
        </w:rPr>
        <w:t xml:space="preserve"> بمعنى أنّه ليس الإشكال في أنّه بعد أنْ جعل وليّاً على الوقف هل تبقى ولايته بعد موت المجتهد أم لا؛ بل الإشكال في أصل نصبه وليّاً</w:t>
      </w:r>
      <w:r w:rsidRPr="00F27422">
        <w:rPr>
          <w:rFonts w:asciiTheme="minorBidi" w:hAnsiTheme="minorBidi"/>
          <w:sz w:val="32"/>
          <w:szCs w:val="32"/>
        </w:rPr>
        <w:t>.</w:t>
      </w:r>
    </w:p>
    <w:p w14:paraId="74D64C25" w14:textId="77777777"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t>التعليقة الثانية:</w:t>
      </w:r>
      <w:r w:rsidRPr="00F27422">
        <w:rPr>
          <w:rFonts w:asciiTheme="minorBidi" w:hAnsiTheme="minorBidi"/>
          <w:sz w:val="32"/>
          <w:szCs w:val="32"/>
          <w:rtl/>
        </w:rPr>
        <w:t xml:space="preserve"> قال السيد </w:t>
      </w:r>
      <w:proofErr w:type="gramStart"/>
      <w:r w:rsidRPr="00F27422">
        <w:rPr>
          <w:rFonts w:asciiTheme="minorBidi" w:hAnsiTheme="minorBidi"/>
          <w:sz w:val="32"/>
          <w:szCs w:val="32"/>
          <w:rtl/>
        </w:rPr>
        <w:t>عبدالله</w:t>
      </w:r>
      <w:proofErr w:type="gramEnd"/>
      <w:r w:rsidRPr="00F27422">
        <w:rPr>
          <w:rFonts w:asciiTheme="minorBidi" w:hAnsiTheme="minorBidi"/>
          <w:sz w:val="32"/>
          <w:szCs w:val="32"/>
          <w:rtl/>
        </w:rPr>
        <w:t xml:space="preserve"> الشيرازي (قدس سره): </w:t>
      </w:r>
      <w:r w:rsidRPr="00F27422">
        <w:rPr>
          <w:rFonts w:asciiTheme="minorBidi" w:hAnsiTheme="minorBidi"/>
          <w:b/>
          <w:bCs/>
          <w:sz w:val="32"/>
          <w:szCs w:val="32"/>
          <w:rtl/>
        </w:rPr>
        <w:t>(فيه نظر، فلا يُترك الاحتياط)</w:t>
      </w:r>
      <w:r w:rsidRPr="00F27422">
        <w:rPr>
          <w:rFonts w:asciiTheme="minorBidi" w:hAnsiTheme="minorBidi"/>
          <w:b/>
          <w:bCs/>
          <w:sz w:val="32"/>
          <w:szCs w:val="32"/>
        </w:rPr>
        <w:t>.</w:t>
      </w:r>
    </w:p>
    <w:p w14:paraId="5C342492" w14:textId="77777777"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t>التعليقة الثالثة:</w:t>
      </w:r>
      <w:r w:rsidRPr="00F27422">
        <w:rPr>
          <w:rFonts w:asciiTheme="minorBidi" w:hAnsiTheme="minorBidi"/>
          <w:sz w:val="32"/>
          <w:szCs w:val="32"/>
          <w:rtl/>
        </w:rPr>
        <w:t xml:space="preserve"> قال سيدنا الخوئي (قدس سره): </w:t>
      </w:r>
      <w:r w:rsidRPr="00F27422">
        <w:rPr>
          <w:rFonts w:asciiTheme="minorBidi" w:hAnsiTheme="minorBidi"/>
          <w:b/>
          <w:bCs/>
          <w:sz w:val="32"/>
          <w:szCs w:val="32"/>
          <w:rtl/>
        </w:rPr>
        <w:t>(فيه إشكال، والاحتياط لا يُترك)</w:t>
      </w:r>
      <w:r w:rsidRPr="00F27422">
        <w:rPr>
          <w:rFonts w:asciiTheme="minorBidi" w:hAnsiTheme="minorBidi"/>
          <w:b/>
          <w:bCs/>
          <w:sz w:val="32"/>
          <w:szCs w:val="32"/>
        </w:rPr>
        <w:t>.</w:t>
      </w:r>
    </w:p>
    <w:p w14:paraId="576BDC10" w14:textId="77777777"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t>التعليقة الرابعة:</w:t>
      </w:r>
      <w:r w:rsidRPr="00F27422">
        <w:rPr>
          <w:rFonts w:asciiTheme="minorBidi" w:hAnsiTheme="minorBidi"/>
          <w:sz w:val="32"/>
          <w:szCs w:val="32"/>
          <w:rtl/>
        </w:rPr>
        <w:t xml:space="preserve"> قال السيد </w:t>
      </w:r>
      <w:proofErr w:type="spellStart"/>
      <w:r w:rsidRPr="00F27422">
        <w:rPr>
          <w:rFonts w:asciiTheme="minorBidi" w:hAnsiTheme="minorBidi"/>
          <w:sz w:val="32"/>
          <w:szCs w:val="32"/>
          <w:rtl/>
        </w:rPr>
        <w:t>الكلبيكاني</w:t>
      </w:r>
      <w:proofErr w:type="spellEnd"/>
      <w:r w:rsidRPr="00F27422">
        <w:rPr>
          <w:rFonts w:asciiTheme="minorBidi" w:hAnsiTheme="minorBidi"/>
          <w:sz w:val="32"/>
          <w:szCs w:val="32"/>
          <w:rtl/>
        </w:rPr>
        <w:t xml:space="preserve"> (قدس سره): </w:t>
      </w:r>
      <w:r w:rsidRPr="00F27422">
        <w:rPr>
          <w:rFonts w:asciiTheme="minorBidi" w:hAnsiTheme="minorBidi"/>
          <w:b/>
          <w:bCs/>
          <w:sz w:val="32"/>
          <w:szCs w:val="32"/>
          <w:rtl/>
        </w:rPr>
        <w:t>(مشكل، فلا يُترك الاحتياط بالاستئذان من الحيّ أو النصب من قبله أيضاً)</w:t>
      </w:r>
      <w:r w:rsidRPr="00F27422">
        <w:rPr>
          <w:rFonts w:asciiTheme="minorBidi" w:hAnsiTheme="minorBidi"/>
          <w:b/>
          <w:bCs/>
          <w:sz w:val="32"/>
          <w:szCs w:val="32"/>
        </w:rPr>
        <w:t>.</w:t>
      </w:r>
    </w:p>
    <w:p w14:paraId="5FE648A6" w14:textId="77777777" w:rsidR="00C47707" w:rsidRPr="00F27422" w:rsidRDefault="00C47707" w:rsidP="00122B70">
      <w:pPr>
        <w:bidi/>
        <w:rPr>
          <w:rFonts w:asciiTheme="minorBidi" w:hAnsiTheme="minorBidi"/>
          <w:sz w:val="32"/>
          <w:szCs w:val="32"/>
          <w:rtl/>
        </w:rPr>
      </w:pPr>
      <w:r w:rsidRPr="00F27422">
        <w:rPr>
          <w:rFonts w:asciiTheme="minorBidi" w:hAnsiTheme="minorBidi"/>
          <w:b/>
          <w:bCs/>
          <w:sz w:val="32"/>
          <w:szCs w:val="32"/>
          <w:rtl/>
        </w:rPr>
        <w:t>التعليقة الخامسة:</w:t>
      </w:r>
      <w:r w:rsidRPr="00F27422">
        <w:rPr>
          <w:rFonts w:asciiTheme="minorBidi" w:hAnsiTheme="minorBidi"/>
          <w:sz w:val="32"/>
          <w:szCs w:val="32"/>
          <w:rtl/>
        </w:rPr>
        <w:t xml:space="preserve"> قال السيد السبزواري (قدس سره): </w:t>
      </w:r>
      <w:r w:rsidRPr="00F27422">
        <w:rPr>
          <w:rFonts w:asciiTheme="minorBidi" w:hAnsiTheme="minorBidi"/>
          <w:b/>
          <w:bCs/>
          <w:sz w:val="32"/>
          <w:szCs w:val="32"/>
          <w:rtl/>
        </w:rPr>
        <w:t>(لا يُترك الاحتياط بالتجديد ولو إمضاءً)</w:t>
      </w:r>
      <w:r w:rsidRPr="00F27422">
        <w:rPr>
          <w:rFonts w:asciiTheme="minorBidi" w:hAnsiTheme="minorBidi"/>
          <w:b/>
          <w:bCs/>
          <w:sz w:val="32"/>
          <w:szCs w:val="32"/>
        </w:rPr>
        <w:t>.</w:t>
      </w:r>
    </w:p>
    <w:p w14:paraId="207DE54B"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وغيرها من التعليقات على العروة الوثقى التي كان مضمون أكثرها الإشكال في بقاء ولاية المتولّي على الأوقاف بعد موت المجتهد الذي نصبه وليّاً</w:t>
      </w:r>
      <w:r w:rsidRPr="00F27422">
        <w:rPr>
          <w:rFonts w:asciiTheme="minorBidi" w:hAnsiTheme="minorBidi"/>
          <w:sz w:val="32"/>
          <w:szCs w:val="32"/>
        </w:rPr>
        <w:t>.</w:t>
      </w:r>
    </w:p>
    <w:p w14:paraId="18D231AF" w14:textId="77777777"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t>ومِن أجل بيان مدرك المسألة</w:t>
      </w:r>
      <w:r w:rsidRPr="00F27422">
        <w:rPr>
          <w:rFonts w:asciiTheme="minorBidi" w:hAnsiTheme="minorBidi"/>
          <w:b/>
          <w:bCs/>
          <w:sz w:val="32"/>
          <w:szCs w:val="32"/>
        </w:rPr>
        <w:t>:</w:t>
      </w:r>
    </w:p>
    <w:p w14:paraId="52C8CC55"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 xml:space="preserve">نتعرض لما ذكره الفقيه النبيه سيد المستمسك (قدس سره الشريف) في كتابه [مستمسك العروة الوثقى، السيد محسن الطباطبائي الحكيم، دار إحياء التراث العربي، الطبعة الرابعة، ج1، ص78 - 80] حيث قال: </w:t>
      </w:r>
      <w:r w:rsidRPr="00F27422">
        <w:rPr>
          <w:rFonts w:asciiTheme="minorBidi" w:hAnsiTheme="minorBidi"/>
          <w:b/>
          <w:bCs/>
          <w:sz w:val="32"/>
          <w:szCs w:val="32"/>
          <w:rtl/>
        </w:rPr>
        <w:t>(أقول: المجتهد الجاعل للولاية [تارة]: يجعلها عن نفسه للولي)</w:t>
      </w:r>
      <w:r w:rsidRPr="00F27422">
        <w:rPr>
          <w:rFonts w:asciiTheme="minorBidi" w:hAnsiTheme="minorBidi"/>
          <w:sz w:val="32"/>
          <w:szCs w:val="32"/>
          <w:rtl/>
        </w:rPr>
        <w:t xml:space="preserve"> </w:t>
      </w:r>
      <w:r w:rsidRPr="00F27422">
        <w:rPr>
          <w:rFonts w:asciiTheme="minorBidi" w:hAnsiTheme="minorBidi"/>
          <w:sz w:val="32"/>
          <w:szCs w:val="32"/>
          <w:rtl/>
        </w:rPr>
        <w:lastRenderedPageBreak/>
        <w:t xml:space="preserve">كأنْ يجعل زيداً نائباً عنه في إدارة الأوقاف أو المؤسسات أو العتبات المشرفات </w:t>
      </w:r>
      <w:r w:rsidRPr="00F27422">
        <w:rPr>
          <w:rFonts w:asciiTheme="minorBidi" w:hAnsiTheme="minorBidi"/>
          <w:b/>
          <w:bCs/>
          <w:sz w:val="32"/>
          <w:szCs w:val="32"/>
          <w:rtl/>
        </w:rPr>
        <w:t>(بحيث تكون ولاية الولي من شؤون ولاية المجتهد الذي نصبه. [وأخرى]: يجعلها عن الإمام (ع))</w:t>
      </w:r>
      <w:r w:rsidRPr="00F27422">
        <w:rPr>
          <w:rFonts w:asciiTheme="minorBidi" w:hAnsiTheme="minorBidi"/>
          <w:sz w:val="32"/>
          <w:szCs w:val="32"/>
          <w:rtl/>
        </w:rPr>
        <w:t xml:space="preserve"> أي بأنْ يجعله وليّاً عن الإمام (عليه السلام) لا عن نفسه، بمعنى: أنّ توليّة المجتهد واسطةٌ في الثبوت أي ثبوت الولاية للمتولّي عن الإمام (عليه السلام) </w:t>
      </w:r>
      <w:r w:rsidRPr="00F27422">
        <w:rPr>
          <w:rFonts w:asciiTheme="minorBidi" w:hAnsiTheme="minorBidi"/>
          <w:b/>
          <w:bCs/>
          <w:sz w:val="32"/>
          <w:szCs w:val="32"/>
          <w:rtl/>
        </w:rPr>
        <w:t>(فتكون من شؤون ولاية الإمام (ع) وإن كان الجاعل لها المجتهد بناء على أن له)</w:t>
      </w:r>
      <w:r w:rsidRPr="00F27422">
        <w:rPr>
          <w:rFonts w:asciiTheme="minorBidi" w:hAnsiTheme="minorBidi"/>
          <w:sz w:val="32"/>
          <w:szCs w:val="32"/>
          <w:rtl/>
        </w:rPr>
        <w:t xml:space="preserve"> أي المجتهد </w:t>
      </w:r>
      <w:r w:rsidRPr="00F27422">
        <w:rPr>
          <w:rFonts w:asciiTheme="minorBidi" w:hAnsiTheme="minorBidi"/>
          <w:b/>
          <w:bCs/>
          <w:sz w:val="32"/>
          <w:szCs w:val="32"/>
          <w:rtl/>
        </w:rPr>
        <w:t>(ولاية الجعل عنهم (ع). وما ذكره)</w:t>
      </w:r>
      <w:r w:rsidRPr="00F27422">
        <w:rPr>
          <w:rFonts w:asciiTheme="minorBidi" w:hAnsiTheme="minorBidi"/>
          <w:sz w:val="32"/>
          <w:szCs w:val="32"/>
          <w:rtl/>
        </w:rPr>
        <w:t xml:space="preserve"> سيد العروة </w:t>
      </w:r>
      <w:r w:rsidRPr="00F27422">
        <w:rPr>
          <w:rFonts w:asciiTheme="minorBidi" w:hAnsiTheme="minorBidi"/>
          <w:b/>
          <w:bCs/>
          <w:sz w:val="32"/>
          <w:szCs w:val="32"/>
          <w:rtl/>
        </w:rPr>
        <w:t>(في المتن يتم في الثانية لا في الأولى)</w:t>
      </w:r>
      <w:r w:rsidRPr="00F27422">
        <w:rPr>
          <w:rFonts w:asciiTheme="minorBidi" w:hAnsiTheme="minorBidi"/>
          <w:sz w:val="32"/>
          <w:szCs w:val="32"/>
          <w:rtl/>
        </w:rPr>
        <w:t xml:space="preserve"> حيث أفاد سيد العروة (قدس سره) بأنّ المتولي للوقف تبقى ولايته حتى بعد موت المجتهد وهذا إنّما يصح بناءً على الصورة الثانية وهي أنّ الفقيه قد جعله وليّاً عن الإمام (عليه السلام) لا عن ولايته وإلّا انتفت ولاية المتولّي بانتفاء ولاية المجتهد بموته </w:t>
      </w:r>
      <w:r w:rsidRPr="00F27422">
        <w:rPr>
          <w:rFonts w:asciiTheme="minorBidi" w:hAnsiTheme="minorBidi"/>
          <w:b/>
          <w:bCs/>
          <w:sz w:val="32"/>
          <w:szCs w:val="32"/>
          <w:rtl/>
        </w:rPr>
        <w:t xml:space="preserve">(وحينئذ فاللازم التفصيل بين الصورتين. إلا أن يقوم إجماع على خلافه) </w:t>
      </w:r>
      <w:r w:rsidRPr="00F27422">
        <w:rPr>
          <w:rFonts w:asciiTheme="minorBidi" w:hAnsiTheme="minorBidi"/>
          <w:sz w:val="32"/>
          <w:szCs w:val="32"/>
          <w:rtl/>
        </w:rPr>
        <w:t xml:space="preserve">وهو أنّه لا فرق بين الصورتين بأنْ جعله وليّاً عن نفسه أو جعله وليّاً عن الإمام (عليه السلام) في أنّ ولايته تبقى حتى بعد موت المجتهد </w:t>
      </w:r>
      <w:r w:rsidRPr="00F27422">
        <w:rPr>
          <w:rFonts w:asciiTheme="minorBidi" w:hAnsiTheme="minorBidi"/>
          <w:b/>
          <w:bCs/>
          <w:sz w:val="32"/>
          <w:szCs w:val="32"/>
          <w:rtl/>
        </w:rPr>
        <w:t>(كما يظهر مما عن الإيضاح من نفي الخلاف عن عدم انعزال الأولياء والقوام المجعولين من قبل المجتهدين ولذلك قال في الجواهر في كتاب القضاء ـ بعد ما حكى ما عن الإيضاح ـ: (إن تمَّ إجماعا فذاك وإلا كان المتجه ما ذكرنا [يعني: الانعزال] نعم لو كان النصب وكيلا أو ولياً عن الإمام وكان ذلك جائزاً له لم ينعزل قطعاً)).</w:t>
      </w:r>
      <w:r w:rsidRPr="00F27422">
        <w:rPr>
          <w:rFonts w:asciiTheme="minorBidi" w:hAnsiTheme="minorBidi"/>
          <w:sz w:val="32"/>
          <w:szCs w:val="32"/>
          <w:rtl/>
        </w:rPr>
        <w:t xml:space="preserve"> أي: على فرض أنّ للفقيه هذه السلطنة بأنْ يجعل أحداً وليّاً عن الإمام (عليه السلام) فلا ينعزل قطعاً؛ لأنّ الإمام (عليه السلام) باقٍ، فإذا جعل المجتهدُ للمتولّي الولاية عن الإمام (عليه السلام) فولايته باقية حتى بعد موت المجتهد</w:t>
      </w:r>
      <w:r w:rsidRPr="00F27422">
        <w:rPr>
          <w:rFonts w:asciiTheme="minorBidi" w:hAnsiTheme="minorBidi"/>
          <w:sz w:val="32"/>
          <w:szCs w:val="32"/>
        </w:rPr>
        <w:t>.</w:t>
      </w:r>
    </w:p>
    <w:p w14:paraId="7C53B6D6"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ثم ذكر السيد الحكيم (طاب ثراه) الإشكال على الصورة الأُولى وعلى الصورة الثانية</w:t>
      </w:r>
      <w:r w:rsidRPr="00F27422">
        <w:rPr>
          <w:rFonts w:asciiTheme="minorBidi" w:hAnsiTheme="minorBidi"/>
          <w:sz w:val="32"/>
          <w:szCs w:val="32"/>
        </w:rPr>
        <w:t>:</w:t>
      </w:r>
    </w:p>
    <w:p w14:paraId="329A2767"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 xml:space="preserve">أمّا الإشكال على الصورة الأُولى، فقد قال: </w:t>
      </w:r>
      <w:r w:rsidRPr="00F27422">
        <w:rPr>
          <w:rFonts w:asciiTheme="minorBidi" w:hAnsiTheme="minorBidi"/>
          <w:b/>
          <w:bCs/>
          <w:sz w:val="32"/>
          <w:szCs w:val="32"/>
          <w:rtl/>
        </w:rPr>
        <w:t>(نعم قد يستشكل في صحة الصورة الأولى: بأن النيابة عن المجتهد إنما تصح لو كانت الولاية ثابتة للمجتهد بما هو في مقابل الإمام)</w:t>
      </w:r>
      <w:r w:rsidRPr="00F27422">
        <w:rPr>
          <w:rFonts w:asciiTheme="minorBidi" w:hAnsiTheme="minorBidi"/>
          <w:sz w:val="32"/>
          <w:szCs w:val="32"/>
          <w:rtl/>
        </w:rPr>
        <w:t xml:space="preserve"> بحيث يقالُ تارةً ينصب الولي عن نفسه وتارةً أُخرى ينصبه عن الإمام (عليه السلام) </w:t>
      </w:r>
      <w:r w:rsidRPr="00F27422">
        <w:rPr>
          <w:rFonts w:asciiTheme="minorBidi" w:hAnsiTheme="minorBidi"/>
          <w:b/>
          <w:bCs/>
          <w:sz w:val="32"/>
          <w:szCs w:val="32"/>
          <w:rtl/>
        </w:rPr>
        <w:t>(أما إذا كانت ثابتة له بما هو نائب عن الإمام فلا يصح منه جعلها لغيره بعنوان كونه نائباً عنه)</w:t>
      </w:r>
      <w:r w:rsidRPr="00F27422">
        <w:rPr>
          <w:rFonts w:asciiTheme="minorBidi" w:hAnsiTheme="minorBidi"/>
          <w:sz w:val="32"/>
          <w:szCs w:val="32"/>
          <w:rtl/>
        </w:rPr>
        <w:t xml:space="preserve"> لأنّ النيابة ثبتتْ لهُ بما هو فقيه ولم تثبت لغير الفقيه، فلا يمكن جعلها لغيره لانتفاء الموضوع </w:t>
      </w:r>
      <w:r w:rsidRPr="00F27422">
        <w:rPr>
          <w:rFonts w:asciiTheme="minorBidi" w:hAnsiTheme="minorBidi"/>
          <w:b/>
          <w:bCs/>
          <w:sz w:val="32"/>
          <w:szCs w:val="32"/>
          <w:rtl/>
        </w:rPr>
        <w:t>(إذ ليس لذاته)</w:t>
      </w:r>
      <w:r w:rsidRPr="00F27422">
        <w:rPr>
          <w:rFonts w:asciiTheme="minorBidi" w:hAnsiTheme="minorBidi"/>
          <w:sz w:val="32"/>
          <w:szCs w:val="32"/>
          <w:rtl/>
        </w:rPr>
        <w:t xml:space="preserve"> أي: ذات الفقيه </w:t>
      </w:r>
      <w:r w:rsidRPr="00F27422">
        <w:rPr>
          <w:rFonts w:asciiTheme="minorBidi" w:hAnsiTheme="minorBidi"/>
          <w:b/>
          <w:bCs/>
          <w:sz w:val="32"/>
          <w:szCs w:val="32"/>
          <w:rtl/>
        </w:rPr>
        <w:t>(موضوعية في الأثر المذكور فلا معنى للنيابة عنه فيه إذ لا معنى للاستخلاف عن شخص فيما ليس له)</w:t>
      </w:r>
      <w:r w:rsidRPr="00F27422">
        <w:rPr>
          <w:rFonts w:asciiTheme="minorBidi" w:hAnsiTheme="minorBidi"/>
          <w:sz w:val="32"/>
          <w:szCs w:val="32"/>
          <w:rtl/>
        </w:rPr>
        <w:t xml:space="preserve"> إذ الاستخلاف في ما هو قابل للخلافة لا مطلقاً.</w:t>
      </w:r>
    </w:p>
    <w:p w14:paraId="5EE67767" w14:textId="03F14395"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t xml:space="preserve">(ولكن يدفعه: أن نيابة الولي عن المجتهد على الأول) </w:t>
      </w:r>
      <w:r w:rsidRPr="00F27422">
        <w:rPr>
          <w:rFonts w:asciiTheme="minorBidi" w:hAnsiTheme="minorBidi"/>
          <w:sz w:val="32"/>
          <w:szCs w:val="32"/>
          <w:rtl/>
        </w:rPr>
        <w:t xml:space="preserve">أي: في الصورة الأولى </w:t>
      </w:r>
      <w:r w:rsidRPr="00F27422">
        <w:rPr>
          <w:rFonts w:asciiTheme="minorBidi" w:hAnsiTheme="minorBidi"/>
          <w:b/>
          <w:bCs/>
          <w:sz w:val="32"/>
          <w:szCs w:val="32"/>
          <w:rtl/>
        </w:rPr>
        <w:t>(ليس في نفس الولاية)</w:t>
      </w:r>
      <w:r w:rsidRPr="00F27422">
        <w:rPr>
          <w:rFonts w:asciiTheme="minorBidi" w:hAnsiTheme="minorBidi"/>
          <w:sz w:val="32"/>
          <w:szCs w:val="32"/>
          <w:rtl/>
        </w:rPr>
        <w:t xml:space="preserve"> بأنْ يتقمص نفس المقام حتى يقال: هذا لا يصح إلّا للمجتهد </w:t>
      </w:r>
      <w:r w:rsidRPr="00F27422">
        <w:rPr>
          <w:rFonts w:asciiTheme="minorBidi" w:hAnsiTheme="minorBidi"/>
          <w:b/>
          <w:bCs/>
          <w:sz w:val="32"/>
          <w:szCs w:val="32"/>
          <w:rtl/>
        </w:rPr>
        <w:t>(بل</w:t>
      </w:r>
      <w:r w:rsidR="00257395" w:rsidRPr="00F27422">
        <w:rPr>
          <w:rFonts w:asciiTheme="minorBidi" w:hAnsiTheme="minorBidi"/>
          <w:b/>
          <w:bCs/>
          <w:sz w:val="32"/>
          <w:szCs w:val="32"/>
          <w:rtl/>
        </w:rPr>
        <w:t xml:space="preserve"> ن</w:t>
      </w:r>
      <w:r w:rsidR="00257395" w:rsidRPr="00F27422">
        <w:rPr>
          <w:rFonts w:asciiTheme="minorBidi" w:hAnsiTheme="minorBidi"/>
          <w:b/>
          <w:bCs/>
          <w:sz w:val="32"/>
          <w:szCs w:val="32"/>
          <w:highlight w:val="magenta"/>
          <w:rtl/>
        </w:rPr>
        <w:t>يابة الولي عن المجتهد</w:t>
      </w:r>
      <w:r w:rsidRPr="00F27422">
        <w:rPr>
          <w:rFonts w:asciiTheme="minorBidi" w:hAnsiTheme="minorBidi"/>
          <w:b/>
          <w:bCs/>
          <w:sz w:val="32"/>
          <w:szCs w:val="32"/>
          <w:rtl/>
        </w:rPr>
        <w:t xml:space="preserve"> في نيابته عن الإمام في الولاية فالمقام نظير ما لو كان في ذمة زيد واجب)</w:t>
      </w:r>
      <w:r w:rsidRPr="00F27422">
        <w:rPr>
          <w:rFonts w:asciiTheme="minorBidi" w:hAnsiTheme="minorBidi"/>
          <w:sz w:val="32"/>
          <w:szCs w:val="32"/>
          <w:rtl/>
        </w:rPr>
        <w:t xml:space="preserve"> كما لو استُؤجِر زيدٌ للصلاة عن فلانٍ الميت فصار زيدٌ مَديناً بهذا الواجب </w:t>
      </w:r>
      <w:r w:rsidRPr="00F27422">
        <w:rPr>
          <w:rFonts w:asciiTheme="minorBidi" w:hAnsiTheme="minorBidi"/>
          <w:b/>
          <w:bCs/>
          <w:sz w:val="32"/>
          <w:szCs w:val="32"/>
          <w:rtl/>
        </w:rPr>
        <w:t>(فاستناب فيه عمراً)</w:t>
      </w:r>
      <w:r w:rsidRPr="00F27422">
        <w:rPr>
          <w:rFonts w:asciiTheme="minorBidi" w:hAnsiTheme="minorBidi"/>
          <w:sz w:val="32"/>
          <w:szCs w:val="32"/>
          <w:rtl/>
        </w:rPr>
        <w:t xml:space="preserve"> بأنْ </w:t>
      </w:r>
      <w:r w:rsidRPr="00F27422">
        <w:rPr>
          <w:rFonts w:asciiTheme="minorBidi" w:hAnsiTheme="minorBidi"/>
          <w:sz w:val="32"/>
          <w:szCs w:val="32"/>
          <w:rtl/>
        </w:rPr>
        <w:lastRenderedPageBreak/>
        <w:t xml:space="preserve">استَأجَر زيدٌ عمراً لأداء ما هو مدينٌ به بالنيابة عن فلانٍ الميت </w:t>
      </w:r>
      <w:r w:rsidRPr="00F27422">
        <w:rPr>
          <w:rFonts w:asciiTheme="minorBidi" w:hAnsiTheme="minorBidi"/>
          <w:b/>
          <w:bCs/>
          <w:sz w:val="32"/>
          <w:szCs w:val="32"/>
          <w:rtl/>
        </w:rPr>
        <w:t xml:space="preserve">(فلما اشتغلت ذمة عمرو بالواجب </w:t>
      </w:r>
      <w:proofErr w:type="spellStart"/>
      <w:r w:rsidRPr="00F27422">
        <w:rPr>
          <w:rFonts w:asciiTheme="minorBidi" w:hAnsiTheme="minorBidi"/>
          <w:b/>
          <w:bCs/>
          <w:sz w:val="32"/>
          <w:szCs w:val="32"/>
          <w:rtl/>
        </w:rPr>
        <w:t>المستناب</w:t>
      </w:r>
      <w:proofErr w:type="spellEnd"/>
      <w:r w:rsidRPr="00F27422">
        <w:rPr>
          <w:rFonts w:asciiTheme="minorBidi" w:hAnsiTheme="minorBidi"/>
          <w:b/>
          <w:bCs/>
          <w:sz w:val="32"/>
          <w:szCs w:val="32"/>
          <w:rtl/>
        </w:rPr>
        <w:t xml:space="preserve"> فيه مات فاستناب وارثه بكراً عنه)</w:t>
      </w:r>
      <w:r w:rsidRPr="00F27422">
        <w:rPr>
          <w:rFonts w:asciiTheme="minorBidi" w:hAnsiTheme="minorBidi"/>
          <w:sz w:val="32"/>
          <w:szCs w:val="32"/>
          <w:rtl/>
        </w:rPr>
        <w:t xml:space="preserve"> حيث إنّ وظيفة الوارث تفريغ الميت مِن ديونه، ومِن ديونه أنّه كان مشغول الذمة بالصلاة النيابية عن زيدٍ الذي هو مشغولُ الذمة بالصلاة النيابية عن فلانٍ الميت (</w:t>
      </w:r>
      <w:r w:rsidRPr="00F27422">
        <w:rPr>
          <w:rFonts w:asciiTheme="minorBidi" w:hAnsiTheme="minorBidi"/>
          <w:b/>
          <w:bCs/>
          <w:sz w:val="32"/>
          <w:szCs w:val="32"/>
          <w:rtl/>
        </w:rPr>
        <w:t>فبكر ينوب عن عمرو في النيابة عن زيد بالواجب لا أنه ينوب عن زيد بالواجب. وهكذا لو استناب بكر شخصاً ثالثاً ـ كخالد ـ فإنه ينوب عن بكر في النيابة عن عمرو في النيابة عن زيد بالواجب)</w:t>
      </w:r>
      <w:r w:rsidRPr="00F27422">
        <w:rPr>
          <w:rFonts w:asciiTheme="minorBidi" w:hAnsiTheme="minorBidi"/>
          <w:b/>
          <w:bCs/>
          <w:sz w:val="32"/>
          <w:szCs w:val="32"/>
        </w:rPr>
        <w:t>.</w:t>
      </w:r>
    </w:p>
    <w:p w14:paraId="4A7F9437" w14:textId="77777777" w:rsidR="00C47707" w:rsidRPr="00F27422" w:rsidRDefault="00C47707" w:rsidP="00122B70">
      <w:pPr>
        <w:bidi/>
        <w:rPr>
          <w:rFonts w:asciiTheme="minorBidi" w:hAnsiTheme="minorBidi"/>
          <w:sz w:val="32"/>
          <w:szCs w:val="32"/>
          <w:rtl/>
        </w:rPr>
      </w:pPr>
      <w:r w:rsidRPr="00F27422">
        <w:rPr>
          <w:rFonts w:asciiTheme="minorBidi" w:hAnsiTheme="minorBidi"/>
          <w:b/>
          <w:bCs/>
          <w:sz w:val="32"/>
          <w:szCs w:val="32"/>
          <w:rtl/>
        </w:rPr>
        <w:t>وبناءً على ذلك:</w:t>
      </w:r>
      <w:r w:rsidRPr="00F27422">
        <w:rPr>
          <w:rFonts w:asciiTheme="minorBidi" w:hAnsiTheme="minorBidi"/>
          <w:sz w:val="32"/>
          <w:szCs w:val="32"/>
          <w:rtl/>
        </w:rPr>
        <w:t xml:space="preserve"> فمن ولاهُ الفقيهُ على الأوقاف أو القصر أو الأيتام ينوبُ عن الفقيه من حيث إنّه نائبٌ عن الإمام (عليه السلام)، لا أنّه ينوب عن الفقيه </w:t>
      </w:r>
      <w:proofErr w:type="gramStart"/>
      <w:r w:rsidRPr="00F27422">
        <w:rPr>
          <w:rFonts w:asciiTheme="minorBidi" w:hAnsiTheme="minorBidi"/>
          <w:sz w:val="32"/>
          <w:szCs w:val="32"/>
          <w:rtl/>
        </w:rPr>
        <w:t>في ما</w:t>
      </w:r>
      <w:proofErr w:type="gramEnd"/>
      <w:r w:rsidRPr="00F27422">
        <w:rPr>
          <w:rFonts w:asciiTheme="minorBidi" w:hAnsiTheme="minorBidi"/>
          <w:sz w:val="32"/>
          <w:szCs w:val="32"/>
          <w:rtl/>
        </w:rPr>
        <w:t xml:space="preserve"> ثبت لشخصه كي يقال بأنّه لا موضوعية له.</w:t>
      </w:r>
    </w:p>
    <w:p w14:paraId="1B65EE1B" w14:textId="77777777" w:rsidR="00C47707" w:rsidRPr="00F27422" w:rsidRDefault="00C47707" w:rsidP="00122B70">
      <w:pPr>
        <w:bidi/>
        <w:rPr>
          <w:rFonts w:asciiTheme="minorBidi" w:hAnsiTheme="minorBidi"/>
          <w:sz w:val="32"/>
          <w:szCs w:val="32"/>
          <w:rtl/>
        </w:rPr>
      </w:pPr>
      <w:r w:rsidRPr="00F27422">
        <w:rPr>
          <w:rFonts w:asciiTheme="minorBidi" w:hAnsiTheme="minorBidi"/>
          <w:b/>
          <w:bCs/>
          <w:sz w:val="32"/>
          <w:szCs w:val="32"/>
          <w:rtl/>
        </w:rPr>
        <w:t>(فإذاً لا مانع ثبوتاً من جعل المجتهد الولاية لشخص على كل من النحوين)</w:t>
      </w:r>
      <w:r w:rsidRPr="00F27422">
        <w:rPr>
          <w:rFonts w:asciiTheme="minorBidi" w:hAnsiTheme="minorBidi"/>
          <w:sz w:val="32"/>
          <w:szCs w:val="32"/>
          <w:rtl/>
        </w:rPr>
        <w:t xml:space="preserve"> بأنْ يجعله وليّاً عن الإمام (عليه السلام) وهو واسطة في الثبوت، أو يجعله نائباً عنه في نيابته عن الإمام (عليه السلام)</w:t>
      </w:r>
      <w:r w:rsidRPr="00F27422">
        <w:rPr>
          <w:rFonts w:asciiTheme="minorBidi" w:hAnsiTheme="minorBidi"/>
          <w:sz w:val="32"/>
          <w:szCs w:val="32"/>
        </w:rPr>
        <w:t>.</w:t>
      </w:r>
    </w:p>
    <w:p w14:paraId="306C3968" w14:textId="77777777" w:rsidR="00C47707" w:rsidRPr="00F27422" w:rsidRDefault="00C47707" w:rsidP="00122B70">
      <w:pPr>
        <w:bidi/>
        <w:rPr>
          <w:rFonts w:asciiTheme="minorBidi" w:hAnsiTheme="minorBidi"/>
          <w:sz w:val="32"/>
          <w:szCs w:val="32"/>
          <w:rtl/>
        </w:rPr>
      </w:pPr>
      <w:r w:rsidRPr="00F27422">
        <w:rPr>
          <w:rFonts w:asciiTheme="minorBidi" w:hAnsiTheme="minorBidi"/>
          <w:b/>
          <w:bCs/>
          <w:sz w:val="32"/>
          <w:szCs w:val="32"/>
          <w:rtl/>
        </w:rPr>
        <w:t>إلّا أنّ الإشكال ما زال باقياً في الصورة الأولى</w:t>
      </w:r>
      <w:r w:rsidRPr="00F27422">
        <w:rPr>
          <w:rFonts w:asciiTheme="minorBidi" w:hAnsiTheme="minorBidi"/>
          <w:sz w:val="32"/>
          <w:szCs w:val="32"/>
          <w:rtl/>
        </w:rPr>
        <w:t xml:space="preserve">، </w:t>
      </w:r>
      <w:r w:rsidRPr="00F27422">
        <w:rPr>
          <w:rFonts w:asciiTheme="minorBidi" w:hAnsiTheme="minorBidi"/>
          <w:b/>
          <w:bCs/>
          <w:sz w:val="32"/>
          <w:szCs w:val="32"/>
          <w:rtl/>
        </w:rPr>
        <w:t>وهي:</w:t>
      </w:r>
      <w:r w:rsidRPr="00F27422">
        <w:rPr>
          <w:rFonts w:asciiTheme="minorBidi" w:hAnsiTheme="minorBidi"/>
          <w:sz w:val="32"/>
          <w:szCs w:val="32"/>
          <w:rtl/>
        </w:rPr>
        <w:t xml:space="preserve"> أنّ المفروض أنّ الولاية النيابية الثابتة للفقيه ثبتتْ بحيثية الفقاهة فلا تقبلُ هذه الولاية حيثية الاستخلاف والنيابة، فلا موضوع لأنْ يجعل الآخر نائباً عنه في نيابته عن الإمام (عليه السلام)؛ إذ أنّ نيابته عن الإمام (عليه السلام) متقومةٌ بفقاهته، وأمّا جعلُ الآخر نائباً عن الإمام (عليه السلام) مباشرةً بحيث تكون تولية الفقيه مجرد واسطة لا أكثر من ذلك.</w:t>
      </w:r>
    </w:p>
    <w:p w14:paraId="42E31C14" w14:textId="77777777" w:rsidR="00C47707" w:rsidRPr="00F27422" w:rsidRDefault="00C47707" w:rsidP="00122B70">
      <w:pPr>
        <w:bidi/>
        <w:rPr>
          <w:rFonts w:asciiTheme="minorBidi" w:hAnsiTheme="minorBidi"/>
          <w:b/>
          <w:bCs/>
          <w:sz w:val="32"/>
          <w:szCs w:val="32"/>
          <w:rtl/>
        </w:rPr>
      </w:pPr>
      <w:r w:rsidRPr="00F27422">
        <w:rPr>
          <w:rFonts w:asciiTheme="minorBidi" w:hAnsiTheme="minorBidi"/>
          <w:sz w:val="32"/>
          <w:szCs w:val="32"/>
          <w:rtl/>
        </w:rPr>
        <w:t xml:space="preserve">فقد أفاد (قدس سره الشريف): </w:t>
      </w:r>
      <w:r w:rsidRPr="00F27422">
        <w:rPr>
          <w:rFonts w:asciiTheme="minorBidi" w:hAnsiTheme="minorBidi"/>
          <w:b/>
          <w:bCs/>
          <w:sz w:val="32"/>
          <w:szCs w:val="32"/>
          <w:rtl/>
        </w:rPr>
        <w:t>(نعم قد يشكل إثباتا جعلها على النحو الثاني)</w:t>
      </w:r>
      <w:r w:rsidRPr="00F27422">
        <w:rPr>
          <w:rFonts w:asciiTheme="minorBidi" w:hAnsiTheme="minorBidi"/>
          <w:sz w:val="32"/>
          <w:szCs w:val="32"/>
          <w:rtl/>
        </w:rPr>
        <w:t xml:space="preserve"> وهو أنْ يجعله وليّاً عن الإمام (عليه السلام) </w:t>
      </w:r>
      <w:r w:rsidRPr="00F27422">
        <w:rPr>
          <w:rFonts w:asciiTheme="minorBidi" w:hAnsiTheme="minorBidi"/>
          <w:b/>
          <w:bCs/>
          <w:sz w:val="32"/>
          <w:szCs w:val="32"/>
          <w:rtl/>
        </w:rPr>
        <w:t>(كما تقدمت الإشارة إليه في عبارة الجواهر المتقدمة من جهة عدم ظهور دليل عليه فإن العمدة في ولاية الفقيه ما دل على كونه حاكما وقاضيا)</w:t>
      </w:r>
      <w:r w:rsidRPr="00F27422">
        <w:rPr>
          <w:rFonts w:asciiTheme="minorBidi" w:hAnsiTheme="minorBidi"/>
          <w:b/>
          <w:bCs/>
          <w:sz w:val="32"/>
          <w:szCs w:val="32"/>
        </w:rPr>
        <w:t>.</w:t>
      </w:r>
    </w:p>
    <w:p w14:paraId="1DB9082E"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 xml:space="preserve">فإذا كان العمدة أنّه حاكمٌ وقاضي كما هو مدلول مقبولة عمر بن حنظلة، كما في الوسائل: </w:t>
      </w:r>
      <w:r w:rsidRPr="00F27422">
        <w:rPr>
          <w:rFonts w:asciiTheme="minorBidi" w:hAnsiTheme="minorBidi"/>
          <w:b/>
          <w:bCs/>
          <w:sz w:val="32"/>
          <w:szCs w:val="32"/>
          <w:rtl/>
        </w:rPr>
        <w:t xml:space="preserve">(وعن محمد بن يحيى، عن محمد بن الحسين، عن محمد بن عيسى، عن صفوان بن يحيى، عن داود بن الحصين، عن عمر بن حنظلة، عن أبي عبدالله (عليه السلام) ـ في حديث طويل في رجلين من أصحابنا بينهما منازعة في دين أو ميراث ـ قال: ينظران إلى من كان منكم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 </w:t>
      </w:r>
      <w:r w:rsidRPr="00F27422">
        <w:rPr>
          <w:rFonts w:asciiTheme="minorBidi" w:hAnsiTheme="minorBidi"/>
          <w:sz w:val="32"/>
          <w:szCs w:val="32"/>
          <w:rtl/>
        </w:rPr>
        <w:t xml:space="preserve">[وسائل الشيعة، الحر العاملي، تحقيق مؤسسة آل البيت (عليهم السلام) لإحياء التراث، ج1، كتاب الطهارة، أبواب مقدمة العبادات، الباب2 باب </w:t>
      </w:r>
      <w:r w:rsidRPr="00F27422">
        <w:rPr>
          <w:rFonts w:asciiTheme="minorBidi" w:hAnsiTheme="minorBidi"/>
          <w:sz w:val="32"/>
          <w:szCs w:val="32"/>
          <w:rtl/>
        </w:rPr>
        <w:lastRenderedPageBreak/>
        <w:t>ثبوت الكفر والارتداد بجحود بعض الضروريات وغيرها مما تقوم الحجة فيه بنقل الثقات، ح12]</w:t>
      </w:r>
      <w:r w:rsidRPr="00F27422">
        <w:rPr>
          <w:rFonts w:asciiTheme="minorBidi" w:hAnsiTheme="minorBidi"/>
          <w:sz w:val="32"/>
          <w:szCs w:val="32"/>
        </w:rPr>
        <w:t>.</w:t>
      </w:r>
    </w:p>
    <w:p w14:paraId="5E7B892D"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 xml:space="preserve">وكذلك في معتبرة أبي خديجة على بعض المباني، كما في الوسائل: </w:t>
      </w:r>
      <w:r w:rsidRPr="00F27422">
        <w:rPr>
          <w:rFonts w:asciiTheme="minorBidi" w:hAnsiTheme="minorBidi"/>
          <w:b/>
          <w:bCs/>
          <w:sz w:val="32"/>
          <w:szCs w:val="32"/>
          <w:rtl/>
        </w:rPr>
        <w:t xml:space="preserve">(محمّد بن عليّ بن الحسين بإسناده عن أحمد بن عائذ، عن أبي خديجة سالم بن مكرم الجمال، قال: قال أبو </w:t>
      </w:r>
      <w:proofErr w:type="gramStart"/>
      <w:r w:rsidRPr="00F27422">
        <w:rPr>
          <w:rFonts w:asciiTheme="minorBidi" w:hAnsiTheme="minorBidi"/>
          <w:b/>
          <w:bCs/>
          <w:sz w:val="32"/>
          <w:szCs w:val="32"/>
          <w:rtl/>
        </w:rPr>
        <w:t>عبدالله</w:t>
      </w:r>
      <w:proofErr w:type="gramEnd"/>
      <w:r w:rsidRPr="00F27422">
        <w:rPr>
          <w:rFonts w:asciiTheme="minorBidi" w:hAnsiTheme="minorBidi"/>
          <w:b/>
          <w:bCs/>
          <w:sz w:val="32"/>
          <w:szCs w:val="32"/>
          <w:rtl/>
        </w:rPr>
        <w:t xml:space="preserve"> جعفر بن محمّد الصادق (عليه السلام): إيّاكم أن يحاكم بعضكم بعضاً إلى أهل الجور، ولكن انظروا إلى رجل منكم، يعلم شيئاً من قضايانا، </w:t>
      </w:r>
      <w:proofErr w:type="spellStart"/>
      <w:r w:rsidRPr="00F27422">
        <w:rPr>
          <w:rFonts w:asciiTheme="minorBidi" w:hAnsiTheme="minorBidi"/>
          <w:b/>
          <w:bCs/>
          <w:sz w:val="32"/>
          <w:szCs w:val="32"/>
          <w:rtl/>
        </w:rPr>
        <w:t>فأجعلوه</w:t>
      </w:r>
      <w:proofErr w:type="spellEnd"/>
      <w:r w:rsidRPr="00F27422">
        <w:rPr>
          <w:rFonts w:asciiTheme="minorBidi" w:hAnsiTheme="minorBidi"/>
          <w:b/>
          <w:bCs/>
          <w:sz w:val="32"/>
          <w:szCs w:val="32"/>
          <w:rtl/>
        </w:rPr>
        <w:t xml:space="preserve"> بينكم، فأنّي قد جعلته قاضياً، فتحاكموا إليه).</w:t>
      </w:r>
      <w:r w:rsidRPr="00F27422">
        <w:rPr>
          <w:rFonts w:asciiTheme="minorBidi" w:hAnsiTheme="minorBidi"/>
          <w:sz w:val="32"/>
          <w:szCs w:val="32"/>
          <w:rtl/>
        </w:rPr>
        <w:t xml:space="preserve"> [وسائل الشيعة، الحر العاملي، تحقيق مؤسسة آل البيت (عليهم السلام) لإحياء التراث، ج27، كتاب القضاء، أبواب صفات القاضي وما يجوز أن يقضي به، الباب1 باب أنه يشترط فيه الإِيمان والعدالة، فلا يجوز الترافع إلى قضاة الجور وحكامهم، إلاّ مع التقية والخوف، ولا يمضي حكمهم وإن وافق الحق، ح5]</w:t>
      </w:r>
      <w:r w:rsidRPr="00F27422">
        <w:rPr>
          <w:rFonts w:asciiTheme="minorBidi" w:hAnsiTheme="minorBidi"/>
          <w:sz w:val="32"/>
          <w:szCs w:val="32"/>
        </w:rPr>
        <w:t>.</w:t>
      </w:r>
    </w:p>
    <w:p w14:paraId="444A7397"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 xml:space="preserve">فلابُدّ في تحقيق المنصرّف من دور الحاكم والقاضي سعةً وضيقاً مِن الرجوع للأجواء الفقهية زمان صدور الروايات، وأنّه هل مِن </w:t>
      </w:r>
      <w:r w:rsidRPr="00F27422">
        <w:rPr>
          <w:rFonts w:asciiTheme="minorBidi" w:hAnsiTheme="minorBidi"/>
          <w:sz w:val="32"/>
          <w:szCs w:val="32"/>
          <w:highlight w:val="magenta"/>
          <w:rtl/>
        </w:rPr>
        <w:t>شأن الحاكم أو مِن شأن القاضي في عصر النصّ</w:t>
      </w:r>
      <w:r w:rsidRPr="00F27422">
        <w:rPr>
          <w:rFonts w:asciiTheme="minorBidi" w:hAnsiTheme="minorBidi"/>
          <w:sz w:val="32"/>
          <w:szCs w:val="32"/>
          <w:rtl/>
        </w:rPr>
        <w:t xml:space="preserve"> أنْ ينصب شخصاً وليّاً عن الإمام (عليه السلام) حتى يكون مدلول قوله (عليه السلام) في مقبولة عمر بن حنظلة واسعاً لمثل هذا المصداق؟</w:t>
      </w:r>
    </w:p>
    <w:p w14:paraId="77414570" w14:textId="77777777" w:rsidR="00C47707" w:rsidRPr="00F27422" w:rsidRDefault="00C47707" w:rsidP="00122B70">
      <w:pPr>
        <w:bidi/>
        <w:rPr>
          <w:rFonts w:asciiTheme="minorBidi" w:hAnsiTheme="minorBidi"/>
          <w:b/>
          <w:bCs/>
          <w:sz w:val="32"/>
          <w:szCs w:val="32"/>
          <w:rtl/>
        </w:rPr>
      </w:pPr>
      <w:r w:rsidRPr="00F27422">
        <w:rPr>
          <w:rFonts w:asciiTheme="minorBidi" w:hAnsiTheme="minorBidi"/>
          <w:sz w:val="32"/>
          <w:szCs w:val="32"/>
          <w:rtl/>
        </w:rPr>
        <w:t xml:space="preserve">قال (قدس سره): </w:t>
      </w:r>
      <w:r w:rsidRPr="00F27422">
        <w:rPr>
          <w:rFonts w:asciiTheme="minorBidi" w:hAnsiTheme="minorBidi"/>
          <w:b/>
          <w:bCs/>
          <w:sz w:val="32"/>
          <w:szCs w:val="32"/>
          <w:rtl/>
        </w:rPr>
        <w:t xml:space="preserve">(وثبوت ذلك للحكام والقضاة الذين كانوا في عصر صدور النصوص المتضمنة لذلك) </w:t>
      </w:r>
      <w:r w:rsidRPr="00F27422">
        <w:rPr>
          <w:rFonts w:asciiTheme="minorBidi" w:hAnsiTheme="minorBidi"/>
          <w:sz w:val="32"/>
          <w:szCs w:val="32"/>
          <w:rtl/>
        </w:rPr>
        <w:t xml:space="preserve">العنوان كما في مقبولة عمر بن حنظلة حيث قال: </w:t>
      </w:r>
      <w:r w:rsidRPr="00F27422">
        <w:rPr>
          <w:rFonts w:asciiTheme="minorBidi" w:hAnsiTheme="minorBidi"/>
          <w:b/>
          <w:bCs/>
          <w:sz w:val="32"/>
          <w:szCs w:val="32"/>
          <w:rtl/>
        </w:rPr>
        <w:t>"فإني قد جعلته عليكم حاكما"</w:t>
      </w:r>
      <w:r w:rsidRPr="00F27422">
        <w:rPr>
          <w:rFonts w:asciiTheme="minorBidi" w:hAnsiTheme="minorBidi"/>
          <w:sz w:val="32"/>
          <w:szCs w:val="32"/>
          <w:rtl/>
        </w:rPr>
        <w:t xml:space="preserve">، وفي رواية أبي خديجة حيث قال: </w:t>
      </w:r>
      <w:r w:rsidRPr="00F27422">
        <w:rPr>
          <w:rFonts w:asciiTheme="minorBidi" w:hAnsiTheme="minorBidi"/>
          <w:b/>
          <w:bCs/>
          <w:sz w:val="32"/>
          <w:szCs w:val="32"/>
          <w:rtl/>
        </w:rPr>
        <w:t>"فأنّي قد جعلته قاضياً"</w:t>
      </w:r>
      <w:r w:rsidRPr="00F27422">
        <w:rPr>
          <w:rFonts w:asciiTheme="minorBidi" w:hAnsiTheme="minorBidi"/>
          <w:sz w:val="32"/>
          <w:szCs w:val="32"/>
          <w:rtl/>
        </w:rPr>
        <w:t xml:space="preserve"> </w:t>
      </w:r>
      <w:r w:rsidRPr="00F27422">
        <w:rPr>
          <w:rFonts w:asciiTheme="minorBidi" w:hAnsiTheme="minorBidi"/>
          <w:b/>
          <w:bCs/>
          <w:sz w:val="32"/>
          <w:szCs w:val="32"/>
          <w:rtl/>
        </w:rPr>
        <w:t>(غير ظاهر والمتيقن ثبوتها على النحو الأول فإذا جعلها المجتهد على النحو الثاني فالمرجع أصالة عدم ترتب الأثر)</w:t>
      </w:r>
      <w:r w:rsidRPr="00F27422">
        <w:rPr>
          <w:rFonts w:asciiTheme="minorBidi" w:hAnsiTheme="minorBidi"/>
          <w:b/>
          <w:bCs/>
          <w:sz w:val="32"/>
          <w:szCs w:val="32"/>
        </w:rPr>
        <w:t>.</w:t>
      </w:r>
    </w:p>
    <w:p w14:paraId="1E11D4DF"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 xml:space="preserve">ولكنه تصدى للدفع بقوله: </w:t>
      </w:r>
      <w:r w:rsidRPr="00F27422">
        <w:rPr>
          <w:rFonts w:asciiTheme="minorBidi" w:hAnsiTheme="minorBidi"/>
          <w:b/>
          <w:bCs/>
          <w:sz w:val="32"/>
          <w:szCs w:val="32"/>
          <w:rtl/>
        </w:rPr>
        <w:t>(ويدفع ذلك أن المرتكز في أذهان المتشرعة ويستفاد</w:t>
      </w:r>
      <w:r w:rsidRPr="00F27422">
        <w:rPr>
          <w:rFonts w:asciiTheme="minorBidi" w:hAnsiTheme="minorBidi"/>
          <w:b/>
          <w:bCs/>
          <w:sz w:val="32"/>
          <w:szCs w:val="32"/>
        </w:rPr>
        <w:t>‌</w:t>
      </w:r>
      <w:r w:rsidRPr="00F27422">
        <w:rPr>
          <w:rFonts w:asciiTheme="minorBidi" w:hAnsiTheme="minorBidi"/>
          <w:b/>
          <w:bCs/>
          <w:sz w:val="32"/>
          <w:szCs w:val="32"/>
          <w:rtl/>
        </w:rPr>
        <w:t xml:space="preserve"> من النصوص)</w:t>
      </w:r>
      <w:r w:rsidRPr="00F27422">
        <w:rPr>
          <w:rFonts w:asciiTheme="minorBidi" w:hAnsiTheme="minorBidi"/>
          <w:sz w:val="32"/>
          <w:szCs w:val="32"/>
          <w:rtl/>
        </w:rPr>
        <w:t xml:space="preserve"> وهما نصان فقط: مقبولة عمر بن حنظلة ورواية أبي خديجة </w:t>
      </w:r>
      <w:r w:rsidRPr="00F27422">
        <w:rPr>
          <w:rFonts w:asciiTheme="minorBidi" w:hAnsiTheme="minorBidi"/>
          <w:b/>
          <w:bCs/>
          <w:sz w:val="32"/>
          <w:szCs w:val="32"/>
          <w:rtl/>
        </w:rPr>
        <w:t>(أن منصب القضاء منصب نيابي فجميع الوظائف التي يؤديها القاضي ـ من فصل خصومة ونصب قيم ونحو ذلك ـ يؤديه نيابة عن الإمام فمنصوبه منصوب الإمام ولا يقصد به كونه نائباً عن الإمام أو عن المجتهد)</w:t>
      </w:r>
      <w:r w:rsidRPr="00F27422">
        <w:rPr>
          <w:rFonts w:asciiTheme="minorBidi" w:hAnsiTheme="minorBidi"/>
          <w:sz w:val="32"/>
          <w:szCs w:val="32"/>
          <w:rtl/>
        </w:rPr>
        <w:t xml:space="preserve"> أي عن </w:t>
      </w:r>
      <w:proofErr w:type="gramStart"/>
      <w:r w:rsidRPr="00F27422">
        <w:rPr>
          <w:rFonts w:asciiTheme="minorBidi" w:hAnsiTheme="minorBidi"/>
          <w:sz w:val="32"/>
          <w:szCs w:val="32"/>
          <w:rtl/>
        </w:rPr>
        <w:t>أحدهما</w:t>
      </w:r>
      <w:proofErr w:type="gramEnd"/>
      <w:r w:rsidRPr="00F27422">
        <w:rPr>
          <w:rFonts w:asciiTheme="minorBidi" w:hAnsiTheme="minorBidi"/>
          <w:sz w:val="32"/>
          <w:szCs w:val="32"/>
          <w:rtl/>
        </w:rPr>
        <w:t xml:space="preserve"> بل يقصد به أنّه نائبٌ عن الإمام (عليه السلام) دون الصدق على نحو البدل </w:t>
      </w:r>
      <w:r w:rsidRPr="00F27422">
        <w:rPr>
          <w:rFonts w:asciiTheme="minorBidi" w:hAnsiTheme="minorBidi"/>
          <w:b/>
          <w:bCs/>
          <w:sz w:val="32"/>
          <w:szCs w:val="32"/>
          <w:rtl/>
        </w:rPr>
        <w:t>(ولازم ذلك البناء على عدم البطلان بالموت.)</w:t>
      </w:r>
      <w:r w:rsidRPr="00F27422">
        <w:rPr>
          <w:rFonts w:asciiTheme="minorBidi" w:hAnsiTheme="minorBidi"/>
          <w:sz w:val="32"/>
          <w:szCs w:val="32"/>
          <w:rtl/>
        </w:rPr>
        <w:t xml:space="preserve"> فتبقى ولايته بعد الموت وإنْ ماتَ المجتهد الذي ولاهُ </w:t>
      </w:r>
      <w:r w:rsidRPr="00F27422">
        <w:rPr>
          <w:rFonts w:asciiTheme="minorBidi" w:hAnsiTheme="minorBidi"/>
          <w:b/>
          <w:bCs/>
          <w:sz w:val="32"/>
          <w:szCs w:val="32"/>
          <w:rtl/>
        </w:rPr>
        <w:t>(مع أنه لو سلم)</w:t>
      </w:r>
      <w:r w:rsidRPr="00F27422">
        <w:rPr>
          <w:rFonts w:asciiTheme="minorBidi" w:hAnsiTheme="minorBidi"/>
          <w:sz w:val="32"/>
          <w:szCs w:val="32"/>
          <w:rtl/>
        </w:rPr>
        <w:t xml:space="preserve"> بأنّه جعله وليّاً بالنحو الأول أي عن نفسه لا عن الإمام </w:t>
      </w:r>
      <w:r w:rsidRPr="00F27422">
        <w:rPr>
          <w:rFonts w:asciiTheme="minorBidi" w:hAnsiTheme="minorBidi"/>
          <w:b/>
          <w:bCs/>
          <w:sz w:val="32"/>
          <w:szCs w:val="32"/>
          <w:rtl/>
        </w:rPr>
        <w:t>(كون منصوب المجتهد نائبا عنه فانعزاله بالموت غير ظاهر لجواز كون نيابته من قبيل نيابة الوصي)</w:t>
      </w:r>
      <w:r w:rsidRPr="00F27422">
        <w:rPr>
          <w:rFonts w:asciiTheme="minorBidi" w:hAnsiTheme="minorBidi"/>
          <w:sz w:val="32"/>
          <w:szCs w:val="32"/>
          <w:rtl/>
        </w:rPr>
        <w:t xml:space="preserve"> مع أنّه من الواضح أنّ الوصي لا تثبت له الولاية إلّا بموت الموصي </w:t>
      </w:r>
      <w:r w:rsidRPr="00F27422">
        <w:rPr>
          <w:rFonts w:asciiTheme="minorBidi" w:hAnsiTheme="minorBidi"/>
          <w:b/>
          <w:bCs/>
          <w:sz w:val="32"/>
          <w:szCs w:val="32"/>
          <w:rtl/>
        </w:rPr>
        <w:t>(لا الوكيل الذي قام الإجماع على انعزاله بالموت.)</w:t>
      </w:r>
      <w:r w:rsidRPr="00F27422">
        <w:rPr>
          <w:rFonts w:asciiTheme="minorBidi" w:hAnsiTheme="minorBidi"/>
          <w:sz w:val="32"/>
          <w:szCs w:val="32"/>
          <w:rtl/>
        </w:rPr>
        <w:t xml:space="preserve"> أي بموت الموكل</w:t>
      </w:r>
      <w:r w:rsidRPr="00F27422">
        <w:rPr>
          <w:rFonts w:asciiTheme="minorBidi" w:hAnsiTheme="minorBidi"/>
          <w:sz w:val="32"/>
          <w:szCs w:val="32"/>
        </w:rPr>
        <w:t>.</w:t>
      </w:r>
    </w:p>
    <w:p w14:paraId="2D203A2B" w14:textId="77777777" w:rsidR="00C47707" w:rsidRPr="00F27422" w:rsidRDefault="00C47707" w:rsidP="00122B70">
      <w:pPr>
        <w:bidi/>
        <w:rPr>
          <w:rFonts w:asciiTheme="minorBidi" w:hAnsiTheme="minorBidi"/>
          <w:sz w:val="32"/>
          <w:szCs w:val="32"/>
          <w:rtl/>
        </w:rPr>
      </w:pPr>
      <w:r w:rsidRPr="00F27422">
        <w:rPr>
          <w:rFonts w:asciiTheme="minorBidi" w:hAnsiTheme="minorBidi"/>
          <w:b/>
          <w:bCs/>
          <w:sz w:val="32"/>
          <w:szCs w:val="32"/>
          <w:rtl/>
        </w:rPr>
        <w:lastRenderedPageBreak/>
        <w:t>ولكن:</w:t>
      </w:r>
      <w:r w:rsidRPr="00F27422">
        <w:rPr>
          <w:rFonts w:asciiTheme="minorBidi" w:hAnsiTheme="minorBidi"/>
          <w:sz w:val="32"/>
          <w:szCs w:val="32"/>
          <w:rtl/>
        </w:rPr>
        <w:t xml:space="preserve"> لم نصل لما في ذهن الفقيه النبيه سيد المستمسك (قدس سره الشريف) من دعوى أنّ المرتكز المتشرعي على ذلك، إذ هي الشواهد على أنّ المرتكز المتشرعي يرى أنّ له الولاية على أنْ ينصبه وليّاً عن الإمام (عليه السلام) مباشرةً، بل ما ذكره أولاً هو الصحيح كما سيأتي </w:t>
      </w:r>
      <w:proofErr w:type="gramStart"/>
      <w:r w:rsidRPr="00F27422">
        <w:rPr>
          <w:rFonts w:asciiTheme="minorBidi" w:hAnsiTheme="minorBidi"/>
          <w:sz w:val="32"/>
          <w:szCs w:val="32"/>
          <w:rtl/>
        </w:rPr>
        <w:t>تنقيحه</w:t>
      </w:r>
      <w:r w:rsidRPr="00F27422">
        <w:rPr>
          <w:rFonts w:asciiTheme="minorBidi" w:hAnsiTheme="minorBidi"/>
          <w:sz w:val="32"/>
          <w:szCs w:val="32"/>
        </w:rPr>
        <w:t xml:space="preserve"> .</w:t>
      </w:r>
      <w:proofErr w:type="gramEnd"/>
    </w:p>
    <w:p w14:paraId="48643E37"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 xml:space="preserve">وفي آخر المطلب قال (قدس سره الشريف): </w:t>
      </w:r>
      <w:r w:rsidRPr="00F27422">
        <w:rPr>
          <w:rFonts w:asciiTheme="minorBidi" w:hAnsiTheme="minorBidi"/>
          <w:b/>
          <w:bCs/>
          <w:sz w:val="32"/>
          <w:szCs w:val="32"/>
          <w:rtl/>
        </w:rPr>
        <w:t>(ثمَّ لو بني على جواز الجعل لكل من النحوين وأنه على التقدير الأول)</w:t>
      </w:r>
      <w:r w:rsidRPr="00F27422">
        <w:rPr>
          <w:rFonts w:asciiTheme="minorBidi" w:hAnsiTheme="minorBidi"/>
          <w:sz w:val="32"/>
          <w:szCs w:val="32"/>
          <w:rtl/>
        </w:rPr>
        <w:t xml:space="preserve"> أي جعله نائباً عن نفسه </w:t>
      </w:r>
      <w:r w:rsidRPr="00F27422">
        <w:rPr>
          <w:rFonts w:asciiTheme="minorBidi" w:hAnsiTheme="minorBidi"/>
          <w:b/>
          <w:bCs/>
          <w:sz w:val="32"/>
          <w:szCs w:val="32"/>
          <w:rtl/>
        </w:rPr>
        <w:t>(ينعزل بموت المجتهد)</w:t>
      </w:r>
      <w:r w:rsidRPr="00F27422">
        <w:rPr>
          <w:rFonts w:asciiTheme="minorBidi" w:hAnsiTheme="minorBidi"/>
          <w:sz w:val="32"/>
          <w:szCs w:val="32"/>
          <w:rtl/>
        </w:rPr>
        <w:t xml:space="preserve"> وعلى التقدير الثاني لا ينعزل </w:t>
      </w:r>
      <w:r w:rsidRPr="00F27422">
        <w:rPr>
          <w:rFonts w:asciiTheme="minorBidi" w:hAnsiTheme="minorBidi"/>
          <w:b/>
          <w:bCs/>
          <w:sz w:val="32"/>
          <w:szCs w:val="32"/>
          <w:rtl/>
        </w:rPr>
        <w:t>(فشك في كيفية الجعل)</w:t>
      </w:r>
      <w:r w:rsidRPr="00F27422">
        <w:rPr>
          <w:rFonts w:asciiTheme="minorBidi" w:hAnsiTheme="minorBidi"/>
          <w:sz w:val="32"/>
          <w:szCs w:val="32"/>
          <w:rtl/>
        </w:rPr>
        <w:t xml:space="preserve"> أي: شك بعد الموت بأنّه هل نصبه بالنحو الأول فينعزل أو نصبه بالنحو الثاني فلا ينعزل </w:t>
      </w:r>
      <w:r w:rsidRPr="00F27422">
        <w:rPr>
          <w:rFonts w:asciiTheme="minorBidi" w:hAnsiTheme="minorBidi"/>
          <w:b/>
          <w:bCs/>
          <w:sz w:val="32"/>
          <w:szCs w:val="32"/>
          <w:rtl/>
        </w:rPr>
        <w:t>(امتنع)</w:t>
      </w:r>
      <w:r w:rsidRPr="00F27422">
        <w:rPr>
          <w:rFonts w:asciiTheme="minorBidi" w:hAnsiTheme="minorBidi"/>
          <w:sz w:val="32"/>
          <w:szCs w:val="32"/>
          <w:rtl/>
        </w:rPr>
        <w:t xml:space="preserve"> جريان </w:t>
      </w:r>
      <w:r w:rsidRPr="00F27422">
        <w:rPr>
          <w:rFonts w:asciiTheme="minorBidi" w:hAnsiTheme="minorBidi"/>
          <w:b/>
          <w:bCs/>
          <w:sz w:val="32"/>
          <w:szCs w:val="32"/>
          <w:rtl/>
        </w:rPr>
        <w:t>(الاستصحاب لتردد المجعول بين فردين معلوم الزوال ومعلوم البقاء)</w:t>
      </w:r>
      <w:r w:rsidRPr="00F27422">
        <w:rPr>
          <w:rFonts w:asciiTheme="minorBidi" w:hAnsiTheme="minorBidi"/>
          <w:sz w:val="32"/>
          <w:szCs w:val="32"/>
          <w:rtl/>
        </w:rPr>
        <w:t xml:space="preserve"> إنْ كان جعله بالنحو الأول فقد انتفى قطعاً، وإنْ كان جعله بالنحو الثاني فهو باقٍ قطعاً </w:t>
      </w:r>
      <w:r w:rsidRPr="00F27422">
        <w:rPr>
          <w:rFonts w:asciiTheme="minorBidi" w:hAnsiTheme="minorBidi"/>
          <w:b/>
          <w:bCs/>
          <w:sz w:val="32"/>
          <w:szCs w:val="32"/>
          <w:rtl/>
        </w:rPr>
        <w:t>(ولا أثر للجامع ليجري استصحابه)</w:t>
      </w:r>
      <w:r w:rsidRPr="00F27422">
        <w:rPr>
          <w:rFonts w:asciiTheme="minorBidi" w:hAnsiTheme="minorBidi"/>
          <w:sz w:val="32"/>
          <w:szCs w:val="32"/>
          <w:rtl/>
        </w:rPr>
        <w:t xml:space="preserve"> بمعنى: أنّ استصحاب الولاية من قبيل استصحاب الكلّي من القسم الأوّل وهو ما يدور بين معلوم البقاء ومعلوم الارتفاع؛ بل ما يراد استصحابه هو الجواز، فقد كان يجوز له التصرّف في الأموال والآن يجوز له كذلك، فلا تستصحب نفس الولاية وإنّما يستصحب الأثر وهو الجواز </w:t>
      </w:r>
      <w:r w:rsidRPr="00F27422">
        <w:rPr>
          <w:rFonts w:asciiTheme="minorBidi" w:hAnsiTheme="minorBidi"/>
          <w:b/>
          <w:bCs/>
          <w:sz w:val="32"/>
          <w:szCs w:val="32"/>
          <w:rtl/>
        </w:rPr>
        <w:t>(وأما استصحاب جواز التصرف فهو من الاستصحاب التعليقي)</w:t>
      </w:r>
      <w:r w:rsidRPr="00F27422">
        <w:rPr>
          <w:rFonts w:asciiTheme="minorBidi" w:hAnsiTheme="minorBidi"/>
          <w:sz w:val="32"/>
          <w:szCs w:val="32"/>
          <w:rtl/>
        </w:rPr>
        <w:t xml:space="preserve"> لأنّ جواز التصرّف مرجعهُ إلى أنْه لو تصرّف لكان نافذاً، نظير من ثبتت له الحلية الوضعية – لا الحلية التكليفية - بالحيازة، كما لو حاز شيئاً فثبتتْ له الحلية الوضعية وهو جواز التصرّف في ما حاز، فلو أعرض عنه وشك بعد الإعراض في بقاء تلك الحلية الوضعية فيقال بأنّ هذا من الاستصحاب التعليقي؛ إذ معنى الحلية الوضعية أنّه لو تصرّف لكان تصرّفه نافذاً، فلو أريد في المقام استصحاب تلك الحلية، فهذا من الاستصحاب التعليقي - لا من الاستصحاب التنجيزي -.</w:t>
      </w:r>
    </w:p>
    <w:p w14:paraId="48B39F78"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والاستصحاب التعليقي محلّ كلامٍ</w:t>
      </w:r>
      <w:r w:rsidRPr="00F27422">
        <w:rPr>
          <w:rFonts w:asciiTheme="minorBidi" w:hAnsiTheme="minorBidi"/>
          <w:sz w:val="32"/>
          <w:szCs w:val="32"/>
        </w:rPr>
        <w:t>.</w:t>
      </w:r>
    </w:p>
    <w:p w14:paraId="2DF9901E"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 xml:space="preserve">مضافاً إلى أنّه: </w:t>
      </w:r>
      <w:r w:rsidRPr="00F27422">
        <w:rPr>
          <w:rFonts w:asciiTheme="minorBidi" w:hAnsiTheme="minorBidi"/>
          <w:b/>
          <w:bCs/>
          <w:sz w:val="32"/>
          <w:szCs w:val="32"/>
          <w:rtl/>
        </w:rPr>
        <w:t>(المعارض بأصالة عدم ترتب الأثر كما حقق في محله)</w:t>
      </w:r>
      <w:r w:rsidRPr="00F27422">
        <w:rPr>
          <w:rFonts w:asciiTheme="minorBidi" w:hAnsiTheme="minorBidi"/>
          <w:b/>
          <w:bCs/>
          <w:sz w:val="32"/>
          <w:szCs w:val="32"/>
        </w:rPr>
        <w:t>.</w:t>
      </w:r>
    </w:p>
    <w:p w14:paraId="5A1A9A5A"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 xml:space="preserve">لكن سيدنا الخوئي (قدس سره الشريف) قد ناقش في كلّ ما ذُكر كما في موسوعته المباركة في [التنقيح في شرح العروة الوثقى، ج1، كتاب التقليد، ص320 – 321] فقد أفاد أنّه قد يستدل على جعل </w:t>
      </w:r>
      <w:proofErr w:type="spellStart"/>
      <w:r w:rsidRPr="00F27422">
        <w:rPr>
          <w:rFonts w:asciiTheme="minorBidi" w:hAnsiTheme="minorBidi"/>
          <w:sz w:val="32"/>
          <w:szCs w:val="32"/>
          <w:rtl/>
        </w:rPr>
        <w:t>القيمومة</w:t>
      </w:r>
      <w:proofErr w:type="spellEnd"/>
      <w:r w:rsidRPr="00F27422">
        <w:rPr>
          <w:rFonts w:asciiTheme="minorBidi" w:hAnsiTheme="minorBidi"/>
          <w:sz w:val="32"/>
          <w:szCs w:val="32"/>
          <w:rtl/>
        </w:rPr>
        <w:t xml:space="preserve"> مِن قِبَلِ الفقيه وأنّ جعل </w:t>
      </w:r>
      <w:proofErr w:type="spellStart"/>
      <w:r w:rsidRPr="00F27422">
        <w:rPr>
          <w:rFonts w:asciiTheme="minorBidi" w:hAnsiTheme="minorBidi"/>
          <w:sz w:val="32"/>
          <w:szCs w:val="32"/>
          <w:rtl/>
        </w:rPr>
        <w:t>القيمومة</w:t>
      </w:r>
      <w:proofErr w:type="spellEnd"/>
      <w:r w:rsidRPr="00F27422">
        <w:rPr>
          <w:rFonts w:asciiTheme="minorBidi" w:hAnsiTheme="minorBidi"/>
          <w:sz w:val="32"/>
          <w:szCs w:val="32"/>
          <w:rtl/>
        </w:rPr>
        <w:t xml:space="preserve"> بمعنى الولاية، لا بمعنى الوكالة ولا بمعنى الإذن، فإنّه من الواضح بأنّ وكلاء الفقهاء والمأذونين مِن قِبَلهم تزول عنهم الوكالة والإذن بمجرد الموت، وإنّما الكلام في الولاية</w:t>
      </w:r>
      <w:r w:rsidRPr="00F27422">
        <w:rPr>
          <w:rFonts w:asciiTheme="minorBidi" w:hAnsiTheme="minorBidi"/>
          <w:sz w:val="32"/>
          <w:szCs w:val="32"/>
        </w:rPr>
        <w:t>.</w:t>
      </w:r>
    </w:p>
    <w:p w14:paraId="49A0452A" w14:textId="77777777" w:rsidR="00C47707" w:rsidRPr="00F27422" w:rsidRDefault="00C47707" w:rsidP="00122B70">
      <w:pPr>
        <w:bidi/>
        <w:rPr>
          <w:rFonts w:asciiTheme="minorBidi" w:hAnsiTheme="minorBidi"/>
          <w:b/>
          <w:bCs/>
          <w:sz w:val="32"/>
          <w:szCs w:val="32"/>
          <w:rtl/>
        </w:rPr>
      </w:pPr>
      <w:r w:rsidRPr="00F27422">
        <w:rPr>
          <w:rFonts w:asciiTheme="minorBidi" w:hAnsiTheme="minorBidi"/>
          <w:sz w:val="32"/>
          <w:szCs w:val="32"/>
          <w:rtl/>
        </w:rPr>
        <w:t xml:space="preserve">قال (قدس سره): </w:t>
      </w:r>
      <w:r w:rsidRPr="00F27422">
        <w:rPr>
          <w:rFonts w:asciiTheme="minorBidi" w:hAnsiTheme="minorBidi"/>
          <w:b/>
          <w:bCs/>
          <w:sz w:val="32"/>
          <w:szCs w:val="32"/>
          <w:rtl/>
        </w:rPr>
        <w:t xml:space="preserve">(يأتي في المسألة الثامنة والستين أن الفقيه لم تثبت له الولاية المطلقة في زمان الغيبة ليتمكن من نصب المتولي والقيّم ونحوهما، إذن جعله المتولي أو القيّم في </w:t>
      </w:r>
      <w:r w:rsidRPr="00F27422">
        <w:rPr>
          <w:rFonts w:asciiTheme="minorBidi" w:hAnsiTheme="minorBidi"/>
          <w:b/>
          <w:bCs/>
          <w:sz w:val="32"/>
          <w:szCs w:val="32"/>
          <w:rtl/>
        </w:rPr>
        <w:lastRenderedPageBreak/>
        <w:t xml:space="preserve">الحقيقة من التوكيل دون جعل التولية أو </w:t>
      </w:r>
      <w:proofErr w:type="spellStart"/>
      <w:r w:rsidRPr="00F27422">
        <w:rPr>
          <w:rFonts w:asciiTheme="minorBidi" w:hAnsiTheme="minorBidi"/>
          <w:b/>
          <w:bCs/>
          <w:sz w:val="32"/>
          <w:szCs w:val="32"/>
          <w:rtl/>
        </w:rPr>
        <w:t>القيمومة</w:t>
      </w:r>
      <w:proofErr w:type="spellEnd"/>
      <w:r w:rsidRPr="00F27422">
        <w:rPr>
          <w:rFonts w:asciiTheme="minorBidi" w:hAnsiTheme="minorBidi"/>
          <w:b/>
          <w:bCs/>
          <w:sz w:val="32"/>
          <w:szCs w:val="32"/>
          <w:rtl/>
        </w:rPr>
        <w:t>. وقد تقدم أنه بموت الموكّل تبطل وكالة الوكيل)</w:t>
      </w:r>
      <w:r w:rsidRPr="00F27422">
        <w:rPr>
          <w:rFonts w:asciiTheme="minorBidi" w:hAnsiTheme="minorBidi"/>
          <w:b/>
          <w:bCs/>
          <w:sz w:val="32"/>
          <w:szCs w:val="32"/>
        </w:rPr>
        <w:t>.</w:t>
      </w:r>
    </w:p>
    <w:p w14:paraId="248A2743" w14:textId="77777777" w:rsidR="00C47707" w:rsidRPr="00F27422" w:rsidRDefault="00C47707" w:rsidP="00122B70">
      <w:pPr>
        <w:bidi/>
        <w:rPr>
          <w:rFonts w:asciiTheme="minorBidi" w:hAnsiTheme="minorBidi"/>
          <w:sz w:val="32"/>
          <w:szCs w:val="32"/>
          <w:rtl/>
        </w:rPr>
      </w:pPr>
      <w:r w:rsidRPr="00F27422">
        <w:rPr>
          <w:rFonts w:asciiTheme="minorBidi" w:hAnsiTheme="minorBidi"/>
          <w:b/>
          <w:bCs/>
          <w:sz w:val="32"/>
          <w:szCs w:val="32"/>
          <w:rtl/>
        </w:rPr>
        <w:t>وبيانه:</w:t>
      </w:r>
      <w:r w:rsidRPr="00F27422">
        <w:rPr>
          <w:rFonts w:asciiTheme="minorBidi" w:hAnsiTheme="minorBidi"/>
          <w:sz w:val="32"/>
          <w:szCs w:val="32"/>
          <w:rtl/>
        </w:rPr>
        <w:t xml:space="preserve"> قد يقال: بأنّ للفقيه الولاية على جعل الولاية ومتى جعلها كانت نافذة، وذلك بالتمسك بأحد وجهين</w:t>
      </w:r>
      <w:r w:rsidRPr="00F27422">
        <w:rPr>
          <w:rFonts w:asciiTheme="minorBidi" w:hAnsiTheme="minorBidi"/>
          <w:sz w:val="32"/>
          <w:szCs w:val="32"/>
        </w:rPr>
        <w:t>:</w:t>
      </w:r>
    </w:p>
    <w:p w14:paraId="6311085C" w14:textId="77777777" w:rsidR="00C47707" w:rsidRPr="00F27422" w:rsidRDefault="00C47707" w:rsidP="00122B70">
      <w:pPr>
        <w:bidi/>
        <w:rPr>
          <w:rFonts w:asciiTheme="minorBidi" w:hAnsiTheme="minorBidi"/>
          <w:sz w:val="32"/>
          <w:szCs w:val="32"/>
          <w:rtl/>
        </w:rPr>
      </w:pPr>
      <w:r w:rsidRPr="00F27422">
        <w:rPr>
          <w:rFonts w:asciiTheme="minorBidi" w:hAnsiTheme="minorBidi"/>
          <w:b/>
          <w:bCs/>
          <w:sz w:val="32"/>
          <w:szCs w:val="32"/>
          <w:rtl/>
        </w:rPr>
        <w:t xml:space="preserve">الوجه الأوّل: (ودعوى: أن جعل </w:t>
      </w:r>
      <w:proofErr w:type="spellStart"/>
      <w:r w:rsidRPr="00F27422">
        <w:rPr>
          <w:rFonts w:asciiTheme="minorBidi" w:hAnsiTheme="minorBidi"/>
          <w:b/>
          <w:bCs/>
          <w:sz w:val="32"/>
          <w:szCs w:val="32"/>
          <w:rtl/>
        </w:rPr>
        <w:t>القيمومة</w:t>
      </w:r>
      <w:proofErr w:type="spellEnd"/>
      <w:r w:rsidRPr="00F27422">
        <w:rPr>
          <w:rFonts w:asciiTheme="minorBidi" w:hAnsiTheme="minorBidi"/>
          <w:b/>
          <w:bCs/>
          <w:sz w:val="32"/>
          <w:szCs w:val="32"/>
          <w:rtl/>
        </w:rPr>
        <w:t xml:space="preserve"> أو التولية ليس من جهة عموم الولاية للفقيه)</w:t>
      </w:r>
      <w:r w:rsidRPr="00F27422">
        <w:rPr>
          <w:rFonts w:asciiTheme="minorBidi" w:hAnsiTheme="minorBidi"/>
          <w:sz w:val="32"/>
          <w:szCs w:val="32"/>
          <w:rtl/>
        </w:rPr>
        <w:t xml:space="preserve"> أي ليس من باب الولاية العامة للفقيه </w:t>
      </w:r>
      <w:r w:rsidRPr="00F27422">
        <w:rPr>
          <w:rFonts w:asciiTheme="minorBidi" w:hAnsiTheme="minorBidi"/>
          <w:b/>
          <w:bCs/>
          <w:sz w:val="32"/>
          <w:szCs w:val="32"/>
          <w:rtl/>
        </w:rPr>
        <w:t xml:space="preserve">(حتى يدفع بعدم الدليل عليه) </w:t>
      </w:r>
      <w:r w:rsidRPr="00F27422">
        <w:rPr>
          <w:rFonts w:asciiTheme="minorBidi" w:hAnsiTheme="minorBidi"/>
          <w:sz w:val="32"/>
          <w:szCs w:val="32"/>
          <w:rtl/>
        </w:rPr>
        <w:t xml:space="preserve">بأنْ يقال لا دليل على ثبوت الولاية العامة للفقيه فليس مِن شأنه أنْ يجعل أحداً وليّاً </w:t>
      </w:r>
      <w:r w:rsidRPr="00F27422">
        <w:rPr>
          <w:rFonts w:asciiTheme="minorBidi" w:hAnsiTheme="minorBidi"/>
          <w:b/>
          <w:bCs/>
          <w:sz w:val="32"/>
          <w:szCs w:val="32"/>
          <w:rtl/>
        </w:rPr>
        <w:t xml:space="preserve">(بل من جهة أن إعطاء هذه المناصب من الوظائف الراجعة للقضاة) </w:t>
      </w:r>
      <w:r w:rsidRPr="00F27422">
        <w:rPr>
          <w:rFonts w:asciiTheme="minorBidi" w:hAnsiTheme="minorBidi"/>
          <w:sz w:val="32"/>
          <w:szCs w:val="32"/>
          <w:rtl/>
        </w:rPr>
        <w:t>كما ذكره السيد الحكيم (قدس سره) من أنّ من وظائف القضاة أنْ يجعلوا نواب وقوام، فمن شأن الفقيه بما هو قاضي أنْ يجعل متوليّاً</w:t>
      </w:r>
      <w:r w:rsidRPr="00F27422">
        <w:rPr>
          <w:rFonts w:asciiTheme="minorBidi" w:hAnsiTheme="minorBidi"/>
          <w:sz w:val="32"/>
          <w:szCs w:val="32"/>
        </w:rPr>
        <w:t>.</w:t>
      </w:r>
    </w:p>
    <w:p w14:paraId="1F7A9527"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 xml:space="preserve">وهذه الدعوى: </w:t>
      </w:r>
      <w:r w:rsidRPr="00F27422">
        <w:rPr>
          <w:rFonts w:asciiTheme="minorBidi" w:hAnsiTheme="minorBidi"/>
          <w:b/>
          <w:bCs/>
          <w:sz w:val="32"/>
          <w:szCs w:val="32"/>
          <w:rtl/>
        </w:rPr>
        <w:t xml:space="preserve">(مدفوعة بأن الفقيه إذا أنكرنا ثبوت الولاية المطلقة له فأنى له إعطاء هذه المناصب لغيره، فإنّه يحتاج إلى دليل ولم يدلنا أي دليل على أن القاضي يتمكن من إعطائها. وقوله في مقبولة عمر بن حنظلة: (فإني قد جعلته عليكم حاكماً) أجنبي عن هذا المدعى؛ لأنّه بمعنى جعلته عليكم قاضياً كما ورد في صحيحة أبي خديجة حيث قال (عليه السّلام): (فإني قد جعلته قاضياً) ويأتي أن جعل </w:t>
      </w:r>
      <w:proofErr w:type="spellStart"/>
      <w:r w:rsidRPr="00F27422">
        <w:rPr>
          <w:rFonts w:asciiTheme="minorBidi" w:hAnsiTheme="minorBidi"/>
          <w:b/>
          <w:bCs/>
          <w:sz w:val="32"/>
          <w:szCs w:val="32"/>
          <w:rtl/>
        </w:rPr>
        <w:t>القضاوة</w:t>
      </w:r>
      <w:proofErr w:type="spellEnd"/>
      <w:r w:rsidRPr="00F27422">
        <w:rPr>
          <w:rFonts w:asciiTheme="minorBidi" w:hAnsiTheme="minorBidi"/>
          <w:b/>
          <w:bCs/>
          <w:sz w:val="32"/>
          <w:szCs w:val="32"/>
          <w:rtl/>
        </w:rPr>
        <w:t xml:space="preserve"> لا دلالة له بوجه على تمكن القاضي من إعطاء تلك المناصب لمن أراد، بل إثباته يحتاج إلى دليل. على أنّ المقبولة ضعيفة السند كما مرّ وغير صالحة للاستدلال بها على شيء)</w:t>
      </w:r>
      <w:r w:rsidRPr="00F27422">
        <w:rPr>
          <w:rFonts w:asciiTheme="minorBidi" w:hAnsiTheme="minorBidi"/>
          <w:b/>
          <w:bCs/>
          <w:sz w:val="32"/>
          <w:szCs w:val="32"/>
        </w:rPr>
        <w:t>.</w:t>
      </w:r>
    </w:p>
    <w:p w14:paraId="3CB8C9F1" w14:textId="77777777" w:rsidR="00C47707" w:rsidRPr="00F27422" w:rsidRDefault="00C47707" w:rsidP="00122B70">
      <w:pPr>
        <w:bidi/>
        <w:rPr>
          <w:rFonts w:asciiTheme="minorBidi" w:hAnsiTheme="minorBidi"/>
          <w:sz w:val="32"/>
          <w:szCs w:val="32"/>
          <w:rtl/>
        </w:rPr>
      </w:pPr>
      <w:r w:rsidRPr="00F27422">
        <w:rPr>
          <w:rFonts w:asciiTheme="minorBidi" w:hAnsiTheme="minorBidi"/>
          <w:sz w:val="32"/>
          <w:szCs w:val="32"/>
          <w:rtl/>
        </w:rPr>
        <w:t>فالقضاء ليس من شأنه نصب الولاية لا بالنحو الأوّل ولا بالنحو الثاني، ولذلك بنى سيدنا الخوئي (قدس سره الشريف) على اختصاص القضاء بالفقيه، ولا يمكن في القضاء النيابة ولا الوكالة.</w:t>
      </w:r>
    </w:p>
    <w:p w14:paraId="1827F50D" w14:textId="77777777" w:rsidR="00C47707" w:rsidRPr="00F27422" w:rsidRDefault="00C47707" w:rsidP="00122B70">
      <w:pPr>
        <w:bidi/>
        <w:rPr>
          <w:rFonts w:asciiTheme="minorBidi" w:hAnsiTheme="minorBidi"/>
          <w:b/>
          <w:bCs/>
          <w:sz w:val="32"/>
          <w:szCs w:val="32"/>
        </w:rPr>
      </w:pPr>
    </w:p>
    <w:p w14:paraId="4FF0A6AC" w14:textId="77777777" w:rsidR="00C47707" w:rsidRPr="00F27422" w:rsidRDefault="00C47707"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71DE7DD5" w14:textId="77777777" w:rsidR="00EA625B" w:rsidRPr="00F27422" w:rsidRDefault="00EA625B" w:rsidP="00122B70">
      <w:pPr>
        <w:bidi/>
        <w:rPr>
          <w:rFonts w:asciiTheme="minorBidi" w:hAnsiTheme="minorBidi"/>
          <w:sz w:val="32"/>
          <w:szCs w:val="32"/>
        </w:rPr>
      </w:pPr>
    </w:p>
    <w:p w14:paraId="1D17DAD6" w14:textId="2094E506" w:rsidR="00C47707" w:rsidRPr="00F27422" w:rsidRDefault="00C47707" w:rsidP="00122B70">
      <w:pPr>
        <w:pStyle w:val="Heading3"/>
        <w:bidi/>
        <w:rPr>
          <w:rFonts w:asciiTheme="minorBidi" w:hAnsiTheme="minorBidi" w:cstheme="minorBidi"/>
          <w:sz w:val="32"/>
          <w:szCs w:val="32"/>
        </w:rPr>
      </w:pPr>
      <w:r w:rsidRPr="00F27422">
        <w:rPr>
          <w:rFonts w:asciiTheme="minorBidi" w:hAnsiTheme="minorBidi" w:cstheme="minorBidi"/>
          <w:sz w:val="32"/>
          <w:szCs w:val="32"/>
        </w:rPr>
        <w:t>032</w:t>
      </w:r>
    </w:p>
    <w:p w14:paraId="5F2B75F0" w14:textId="77777777" w:rsidR="00871371" w:rsidRPr="00F27422" w:rsidRDefault="00871371" w:rsidP="00122B70">
      <w:pPr>
        <w:bidi/>
        <w:rPr>
          <w:rFonts w:asciiTheme="minorBidi" w:hAnsiTheme="minorBidi"/>
          <w:b/>
          <w:bCs/>
          <w:sz w:val="32"/>
          <w:szCs w:val="32"/>
        </w:rPr>
      </w:pPr>
      <w:r w:rsidRPr="00F27422">
        <w:rPr>
          <w:rFonts w:asciiTheme="minorBidi" w:hAnsiTheme="minorBidi"/>
          <w:b/>
          <w:bCs/>
          <w:sz w:val="32"/>
          <w:szCs w:val="32"/>
          <w:rtl/>
        </w:rPr>
        <w:t>بسم الله الرحمن الرحيم</w:t>
      </w:r>
    </w:p>
    <w:p w14:paraId="21584E95" w14:textId="77777777" w:rsidR="00871371" w:rsidRPr="00F27422" w:rsidRDefault="00871371"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53CB6E2A"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3E4E1866" w14:textId="77777777" w:rsidR="00871371" w:rsidRPr="00F27422" w:rsidRDefault="00871371" w:rsidP="00122B70">
      <w:pPr>
        <w:bidi/>
        <w:rPr>
          <w:rFonts w:asciiTheme="minorBidi" w:hAnsiTheme="minorBidi"/>
          <w:sz w:val="32"/>
          <w:szCs w:val="32"/>
          <w:rtl/>
        </w:rPr>
      </w:pPr>
    </w:p>
    <w:p w14:paraId="550AE469" w14:textId="77777777" w:rsidR="00871371" w:rsidRPr="00F27422" w:rsidRDefault="00871371" w:rsidP="00122B70">
      <w:pPr>
        <w:bidi/>
        <w:rPr>
          <w:rFonts w:asciiTheme="minorBidi" w:hAnsiTheme="minorBidi"/>
          <w:b/>
          <w:bCs/>
          <w:sz w:val="32"/>
          <w:szCs w:val="32"/>
          <w:rtl/>
        </w:rPr>
      </w:pPr>
      <w:r w:rsidRPr="00F27422">
        <w:rPr>
          <w:rFonts w:asciiTheme="minorBidi" w:hAnsiTheme="minorBidi"/>
          <w:b/>
          <w:bCs/>
          <w:sz w:val="32"/>
          <w:szCs w:val="32"/>
          <w:rtl/>
        </w:rPr>
        <w:t>الوجه الثاني:</w:t>
      </w:r>
      <w:r w:rsidRPr="00F27422">
        <w:rPr>
          <w:rFonts w:asciiTheme="minorBidi" w:hAnsiTheme="minorBidi"/>
          <w:sz w:val="32"/>
          <w:szCs w:val="32"/>
          <w:rtl/>
        </w:rPr>
        <w:t xml:space="preserve"> - من وجوه ثبوت الولاية للحاكم الشرعي على نصب الوُلاة والقُوام – ما أشار إليه سيدنا الخوئي (قدس سره الشريف) في كتابه [التنقيح في شرح العروة الوثقى، ج1، كتاب التقليد، ص321] بقوله: </w:t>
      </w:r>
      <w:r w:rsidRPr="00F27422">
        <w:rPr>
          <w:rFonts w:asciiTheme="minorBidi" w:hAnsiTheme="minorBidi"/>
          <w:b/>
          <w:bCs/>
          <w:sz w:val="32"/>
          <w:szCs w:val="32"/>
          <w:rtl/>
        </w:rPr>
        <w:t xml:space="preserve">(ونظيره دعوى: أنّ جعل القيّم أو المتولي من الحاكم كجعلهما من الله فليست </w:t>
      </w:r>
      <w:proofErr w:type="spellStart"/>
      <w:r w:rsidRPr="00F27422">
        <w:rPr>
          <w:rFonts w:asciiTheme="minorBidi" w:hAnsiTheme="minorBidi"/>
          <w:b/>
          <w:bCs/>
          <w:sz w:val="32"/>
          <w:szCs w:val="32"/>
          <w:rtl/>
        </w:rPr>
        <w:t>القيمومة</w:t>
      </w:r>
      <w:proofErr w:type="spellEnd"/>
      <w:r w:rsidRPr="00F27422">
        <w:rPr>
          <w:rFonts w:asciiTheme="minorBidi" w:hAnsiTheme="minorBidi"/>
          <w:b/>
          <w:bCs/>
          <w:sz w:val="32"/>
          <w:szCs w:val="32"/>
          <w:rtl/>
        </w:rPr>
        <w:t xml:space="preserve"> أو التولية راجعة إلى ولاية الفقيه، أو أن المنصب من الله والحاكم واسطة في الثبوت فلا موجب لانعدامه بموت المجتهد الحاكم)</w:t>
      </w:r>
      <w:r w:rsidRPr="00F27422">
        <w:rPr>
          <w:rFonts w:asciiTheme="minorBidi" w:hAnsiTheme="minorBidi"/>
          <w:b/>
          <w:bCs/>
          <w:sz w:val="32"/>
          <w:szCs w:val="32"/>
        </w:rPr>
        <w:t>.</w:t>
      </w:r>
    </w:p>
    <w:p w14:paraId="1DE96471"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وبيان ذلك:</w:t>
      </w:r>
      <w:r w:rsidRPr="00F27422">
        <w:rPr>
          <w:rFonts w:asciiTheme="minorBidi" w:hAnsiTheme="minorBidi"/>
          <w:sz w:val="32"/>
          <w:szCs w:val="32"/>
          <w:rtl/>
        </w:rPr>
        <w:t xml:space="preserve"> أنّ هناك دعويين ذكرهما سيد المستمسك (قدس سره الشريف) - كما سبق </w:t>
      </w:r>
      <w:proofErr w:type="gramStart"/>
      <w:r w:rsidRPr="00F27422">
        <w:rPr>
          <w:rFonts w:asciiTheme="minorBidi" w:hAnsiTheme="minorBidi"/>
          <w:sz w:val="32"/>
          <w:szCs w:val="32"/>
          <w:rtl/>
        </w:rPr>
        <w:t>بيانه</w:t>
      </w:r>
      <w:r w:rsidRPr="00F27422">
        <w:rPr>
          <w:rFonts w:asciiTheme="minorBidi" w:hAnsiTheme="minorBidi"/>
          <w:sz w:val="32"/>
          <w:szCs w:val="32"/>
        </w:rPr>
        <w:t xml:space="preserve"> </w:t>
      </w:r>
      <w:r w:rsidRPr="00F27422">
        <w:rPr>
          <w:rFonts w:asciiTheme="minorBidi" w:hAnsiTheme="minorBidi"/>
          <w:sz w:val="32"/>
          <w:szCs w:val="32"/>
          <w:rtl/>
        </w:rPr>
        <w:t xml:space="preserve"> -</w:t>
      </w:r>
      <w:proofErr w:type="gramEnd"/>
      <w:r w:rsidRPr="00F27422">
        <w:rPr>
          <w:rFonts w:asciiTheme="minorBidi" w:hAnsiTheme="minorBidi"/>
          <w:sz w:val="32"/>
          <w:szCs w:val="32"/>
          <w:rtl/>
        </w:rPr>
        <w:t>:</w:t>
      </w:r>
    </w:p>
    <w:p w14:paraId="1DBF03CB"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الدعوى الأولى:</w:t>
      </w:r>
      <w:r w:rsidRPr="00F27422">
        <w:rPr>
          <w:rFonts w:asciiTheme="minorBidi" w:hAnsiTheme="minorBidi"/>
          <w:sz w:val="32"/>
          <w:szCs w:val="32"/>
          <w:rtl/>
        </w:rPr>
        <w:t xml:space="preserve"> منصب النيابة، وهو أنّ المنصوب مِن قِبَلِ الفقيه نائبٌ عنه في النيابة، لا أنّه وكيلٌ أو مأذونٌ، ولا أنّه عن الإمام (عليه السلام)؛ بل هو </w:t>
      </w:r>
      <w:r w:rsidRPr="00F27422">
        <w:rPr>
          <w:rFonts w:asciiTheme="minorBidi" w:hAnsiTheme="minorBidi"/>
          <w:sz w:val="32"/>
          <w:szCs w:val="32"/>
          <w:highlight w:val="yellow"/>
          <w:rtl/>
        </w:rPr>
        <w:t>نائب عن الفقيه في نيابته عن</w:t>
      </w:r>
      <w:r w:rsidRPr="00F27422">
        <w:rPr>
          <w:rFonts w:asciiTheme="minorBidi" w:hAnsiTheme="minorBidi"/>
          <w:sz w:val="32"/>
          <w:szCs w:val="32"/>
          <w:rtl/>
        </w:rPr>
        <w:t xml:space="preserve"> الإمام (عليه السلام)، نظير نيابة زيدٍ عما اشتغلتْ به ذمةُ بكرٍ من نيابته عما اشتغلت به ذمةُ خالدٍ من الصلاة الواجبة، فإنّ ما يقوم به زيدٌ مقام بكرٍ هو المنصب النيابي، فالأمرُ في المقام كذلك فإنّ المنصوب مِن قِبَلِ الفقيه على الأوقاف أو القصر نائبٌ عن الفقيه في نيابته عن الإمام المعصوم (عليه السلام)</w:t>
      </w:r>
      <w:r w:rsidRPr="00F27422">
        <w:rPr>
          <w:rFonts w:asciiTheme="minorBidi" w:hAnsiTheme="minorBidi"/>
          <w:sz w:val="32"/>
          <w:szCs w:val="32"/>
        </w:rPr>
        <w:t>.</w:t>
      </w:r>
    </w:p>
    <w:p w14:paraId="440133D3"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الدعوى الثانية:</w:t>
      </w:r>
      <w:r w:rsidRPr="00F27422">
        <w:rPr>
          <w:rFonts w:asciiTheme="minorBidi" w:hAnsiTheme="minorBidi"/>
          <w:sz w:val="32"/>
          <w:szCs w:val="32"/>
          <w:rtl/>
        </w:rPr>
        <w:t xml:space="preserve"> أنّ الولاية على الأوقاف والقصر هي حكمٌ شرعي نظيره نظير سائر الأحكام الوضعية كالوصاية والوكالة، فكما أنّ الوكالة والوصاية من المجعولات الشرعية، فمن المجعولات الشرعية الولاية أيضاً على ما فيه ولايةٌ كالأوقاف وأموال القصر ونحو ذلك، فهذا المجعول الشرعي - وهو الولاية - </w:t>
      </w:r>
      <w:r w:rsidRPr="00F27422">
        <w:rPr>
          <w:rFonts w:asciiTheme="minorBidi" w:hAnsiTheme="minorBidi"/>
          <w:sz w:val="32"/>
          <w:szCs w:val="32"/>
          <w:highlight w:val="yellow"/>
          <w:rtl/>
        </w:rPr>
        <w:t>ليس دور الفقيه فيه إلّا محققاً لموضوعه لا أكثر</w:t>
      </w:r>
      <w:r w:rsidRPr="00F27422">
        <w:rPr>
          <w:rFonts w:asciiTheme="minorBidi" w:hAnsiTheme="minorBidi"/>
          <w:sz w:val="32"/>
          <w:szCs w:val="32"/>
          <w:rtl/>
        </w:rPr>
        <w:t xml:space="preserve">، فمتى قام الفقيه بتولية شخصٍ ثبت لذلك الشخص ذلك الاعتبار الشرعي وهو الولاية، وبهذا تكون ولايته من الله تبارك وتعالى، لا من الفقيه ولا من الإمام (عليه السلام)؛ لأنّ المفروض أنّ الولاية مجعولٌ شرعي يحتاج لتحقيق موضوعه، ونصب الفقيه محققٌ لموضوعه. وهذا ما أشار إليه (قدس سره) بقوله: </w:t>
      </w:r>
      <w:r w:rsidRPr="00F27422">
        <w:rPr>
          <w:rFonts w:asciiTheme="minorBidi" w:hAnsiTheme="minorBidi"/>
          <w:b/>
          <w:bCs/>
          <w:sz w:val="32"/>
          <w:szCs w:val="32"/>
          <w:rtl/>
        </w:rPr>
        <w:t>(أو أن المنصب من الله والحاكم واسطة في الثبوت فلا موجب لانعدامه)</w:t>
      </w:r>
      <w:r w:rsidRPr="00F27422">
        <w:rPr>
          <w:rFonts w:asciiTheme="minorBidi" w:hAnsiTheme="minorBidi"/>
          <w:sz w:val="32"/>
          <w:szCs w:val="32"/>
          <w:rtl/>
        </w:rPr>
        <w:t xml:space="preserve"> أي انعدام المنصب </w:t>
      </w:r>
      <w:r w:rsidRPr="00F27422">
        <w:rPr>
          <w:rFonts w:asciiTheme="minorBidi" w:hAnsiTheme="minorBidi"/>
          <w:b/>
          <w:bCs/>
          <w:sz w:val="32"/>
          <w:szCs w:val="32"/>
          <w:rtl/>
        </w:rPr>
        <w:t>(بموت المجتهد الحاكم)</w:t>
      </w:r>
      <w:r w:rsidRPr="00F27422">
        <w:rPr>
          <w:rFonts w:asciiTheme="minorBidi" w:hAnsiTheme="minorBidi"/>
          <w:b/>
          <w:bCs/>
          <w:sz w:val="32"/>
          <w:szCs w:val="32"/>
        </w:rPr>
        <w:t>.</w:t>
      </w:r>
    </w:p>
    <w:p w14:paraId="7D2DFE84" w14:textId="77777777" w:rsidR="00871371" w:rsidRPr="00F27422" w:rsidRDefault="00871371" w:rsidP="00122B70">
      <w:pPr>
        <w:bidi/>
        <w:rPr>
          <w:rFonts w:asciiTheme="minorBidi" w:hAnsiTheme="minorBidi"/>
          <w:sz w:val="32"/>
          <w:szCs w:val="32"/>
          <w:rtl/>
        </w:rPr>
      </w:pPr>
      <w:r w:rsidRPr="00F27422">
        <w:rPr>
          <w:rFonts w:asciiTheme="minorBidi" w:hAnsiTheme="minorBidi"/>
          <w:sz w:val="32"/>
          <w:szCs w:val="32"/>
          <w:rtl/>
        </w:rPr>
        <w:t xml:space="preserve">ثمّ علق سيدنا الخوئي (قدس سره الشريف) على كلتا الدعويين الواردتين في المستمسك بقوله: </w:t>
      </w:r>
      <w:r w:rsidRPr="00F27422">
        <w:rPr>
          <w:rFonts w:asciiTheme="minorBidi" w:hAnsiTheme="minorBidi"/>
          <w:b/>
          <w:bCs/>
          <w:sz w:val="32"/>
          <w:szCs w:val="32"/>
          <w:rtl/>
        </w:rPr>
        <w:t xml:space="preserve">(فإنّ كُلّاً من </w:t>
      </w:r>
      <w:proofErr w:type="spellStart"/>
      <w:r w:rsidRPr="00F27422">
        <w:rPr>
          <w:rFonts w:asciiTheme="minorBidi" w:hAnsiTheme="minorBidi"/>
          <w:b/>
          <w:bCs/>
          <w:sz w:val="32"/>
          <w:szCs w:val="32"/>
          <w:rtl/>
        </w:rPr>
        <w:t>الدعوين</w:t>
      </w:r>
      <w:proofErr w:type="spellEnd"/>
      <w:r w:rsidRPr="00F27422">
        <w:rPr>
          <w:rFonts w:asciiTheme="minorBidi" w:hAnsiTheme="minorBidi"/>
          <w:b/>
          <w:bCs/>
          <w:sz w:val="32"/>
          <w:szCs w:val="32"/>
          <w:rtl/>
        </w:rPr>
        <w:t xml:space="preserve"> بلا دليل، لوضوح أن كلامنا ليس في أن الحاكم هل يمكن أن ينصب قيّماً أو متولياً ولا ينعدم بموته، فإن إمكانه أمر لا مناقشة فيه)</w:t>
      </w:r>
      <w:r w:rsidRPr="00F27422">
        <w:rPr>
          <w:rFonts w:asciiTheme="minorBidi" w:hAnsiTheme="minorBidi"/>
          <w:sz w:val="32"/>
          <w:szCs w:val="32"/>
          <w:rtl/>
        </w:rPr>
        <w:t xml:space="preserve"> بأنْ يتصور منصبان شرعيان منصبُ النيابة ومنصبُ الولاية وكلاهما من المجعولات الشرعية والفقيه مجرد محقق لموضوعهما </w:t>
      </w:r>
      <w:r w:rsidRPr="00F27422">
        <w:rPr>
          <w:rFonts w:asciiTheme="minorBidi" w:hAnsiTheme="minorBidi"/>
          <w:b/>
          <w:bCs/>
          <w:sz w:val="32"/>
          <w:szCs w:val="32"/>
          <w:rtl/>
        </w:rPr>
        <w:t xml:space="preserve">(وإنما الكلام في ثبوته وهو يحتاج إلى دليل، ولم يدلّنا أي دليل على أنّ للمجتهد </w:t>
      </w:r>
      <w:r w:rsidRPr="00F27422">
        <w:rPr>
          <w:rFonts w:asciiTheme="minorBidi" w:hAnsiTheme="minorBidi"/>
          <w:b/>
          <w:bCs/>
          <w:sz w:val="32"/>
          <w:szCs w:val="32"/>
          <w:rtl/>
        </w:rPr>
        <w:lastRenderedPageBreak/>
        <w:t>نصب القيّم أو المتولي. أللّهمّ إلّا بناءً على ثبوت الولاية المطلقة له في عصر الغيبة).</w:t>
      </w:r>
      <w:r w:rsidRPr="00F27422">
        <w:rPr>
          <w:rFonts w:asciiTheme="minorBidi" w:hAnsiTheme="minorBidi"/>
          <w:sz w:val="32"/>
          <w:szCs w:val="32"/>
          <w:rtl/>
        </w:rPr>
        <w:t xml:space="preserve"> وإلّا فلا مدرك لذلك</w:t>
      </w:r>
      <w:r w:rsidRPr="00F27422">
        <w:rPr>
          <w:rFonts w:asciiTheme="minorBidi" w:hAnsiTheme="minorBidi"/>
          <w:sz w:val="32"/>
          <w:szCs w:val="32"/>
        </w:rPr>
        <w:t>.</w:t>
      </w:r>
    </w:p>
    <w:p w14:paraId="6889F820"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ولكن يمكن أنْ يقال في مقام الاستدلال على ثبوت الولاية لمن نصبه الفقيه وليّاً:</w:t>
      </w:r>
      <w:r w:rsidRPr="00F27422">
        <w:rPr>
          <w:rFonts w:asciiTheme="minorBidi" w:hAnsiTheme="minorBidi"/>
          <w:sz w:val="32"/>
          <w:szCs w:val="32"/>
          <w:rtl/>
        </w:rPr>
        <w:t xml:space="preserve"> بغض النظر عن الولاية العامة للفقيه، فإنّ هناك فرقاً بين الولاية العامة والولاية في الأمور العامة</w:t>
      </w:r>
      <w:r w:rsidRPr="00F27422">
        <w:rPr>
          <w:rFonts w:asciiTheme="minorBidi" w:hAnsiTheme="minorBidi"/>
          <w:sz w:val="32"/>
          <w:szCs w:val="32"/>
        </w:rPr>
        <w:t>.</w:t>
      </w:r>
    </w:p>
    <w:p w14:paraId="1000CC4E"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أمّا الولاية العامة:</w:t>
      </w:r>
      <w:r w:rsidRPr="00F27422">
        <w:rPr>
          <w:rFonts w:asciiTheme="minorBidi" w:hAnsiTheme="minorBidi"/>
          <w:sz w:val="32"/>
          <w:szCs w:val="32"/>
          <w:rtl/>
        </w:rPr>
        <w:t xml:space="preserve"> فهي عبارةٌ عن السلطنة المطلقة على الأموال والنفوس، وهي تقتضي حكمين: تكليفي ووضعي</w:t>
      </w:r>
      <w:r w:rsidRPr="00F27422">
        <w:rPr>
          <w:rFonts w:asciiTheme="minorBidi" w:hAnsiTheme="minorBidi"/>
          <w:sz w:val="32"/>
          <w:szCs w:val="32"/>
        </w:rPr>
        <w:t>.</w:t>
      </w:r>
    </w:p>
    <w:p w14:paraId="09AA764D"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أمّا الحكم التكليفي:</w:t>
      </w:r>
      <w:r w:rsidRPr="00F27422">
        <w:rPr>
          <w:rFonts w:asciiTheme="minorBidi" w:hAnsiTheme="minorBidi"/>
          <w:sz w:val="32"/>
          <w:szCs w:val="32"/>
          <w:rtl/>
        </w:rPr>
        <w:t xml:space="preserve"> فهو وجوبُ إطاعة الفقيه في أوامره ونواهيه الصادرة منه في الموضوعات الخارجية بناءً على تشخيصه للمصالح والمفاسد العامة، التي تتغير بتغير الظروف والأمكنة والأفراد، كالحرب والسلم ومنع التداول مع بعض الشركات وتحريم بعض المعاملات السوقية في ظرفٍ ما، وما أشبه ذلك من الموضوعات الخارجية، وإلّا فحجية أوامره ونواهيه في الأحكام من باب حجية التقليد.</w:t>
      </w:r>
    </w:p>
    <w:p w14:paraId="6B8910A8"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وأمّا الحكم الوضعي:</w:t>
      </w:r>
      <w:r w:rsidRPr="00F27422">
        <w:rPr>
          <w:rFonts w:asciiTheme="minorBidi" w:hAnsiTheme="minorBidi"/>
          <w:sz w:val="32"/>
          <w:szCs w:val="32"/>
          <w:rtl/>
        </w:rPr>
        <w:t xml:space="preserve"> فهو عبارةٌ عن نفوذ تصرّفه في النفوس والأعراض والأموال بحسب ما يراه مِن تشخيص المصلحة العامة، فمتى شخص مصلحةً عامة وتصرّف بتصرّفٍ على ضوء ما شخصه من المصلحة العامة نفذ تصرّفه، كأخذ الضرائب ووضع حقّ بعنوان الزكاة كما ورد عن أمير المؤمنين (صلوات الله عليه) في وضع الزكاة في الخيل العتاق وفي </w:t>
      </w:r>
      <w:proofErr w:type="spellStart"/>
      <w:r w:rsidRPr="00F27422">
        <w:rPr>
          <w:rFonts w:asciiTheme="minorBidi" w:hAnsiTheme="minorBidi"/>
          <w:sz w:val="32"/>
          <w:szCs w:val="32"/>
          <w:rtl/>
        </w:rPr>
        <w:t>البراذين</w:t>
      </w:r>
      <w:proofErr w:type="spellEnd"/>
      <w:r w:rsidRPr="00F27422">
        <w:rPr>
          <w:rFonts w:asciiTheme="minorBidi" w:hAnsiTheme="minorBidi"/>
          <w:sz w:val="32"/>
          <w:szCs w:val="32"/>
          <w:rtl/>
        </w:rPr>
        <w:t>، وتطليق الزوجة من زوجها إذا اقتضت الأسباب طلاقها.</w:t>
      </w:r>
    </w:p>
    <w:p w14:paraId="0450EF13" w14:textId="77777777" w:rsidR="00871371" w:rsidRPr="00F27422" w:rsidRDefault="00871371" w:rsidP="00122B70">
      <w:pPr>
        <w:bidi/>
        <w:rPr>
          <w:rFonts w:asciiTheme="minorBidi" w:hAnsiTheme="minorBidi"/>
          <w:sz w:val="32"/>
          <w:szCs w:val="32"/>
          <w:rtl/>
        </w:rPr>
      </w:pPr>
      <w:r w:rsidRPr="00F27422">
        <w:rPr>
          <w:rFonts w:asciiTheme="minorBidi" w:hAnsiTheme="minorBidi"/>
          <w:sz w:val="32"/>
          <w:szCs w:val="32"/>
          <w:rtl/>
        </w:rPr>
        <w:t>فالمراد بالولاية العامة هذان الحكمان: الحكم التكليفي والحكم الوضعي</w:t>
      </w:r>
      <w:r w:rsidRPr="00F27422">
        <w:rPr>
          <w:rFonts w:asciiTheme="minorBidi" w:hAnsiTheme="minorBidi"/>
          <w:sz w:val="32"/>
          <w:szCs w:val="32"/>
        </w:rPr>
        <w:t>.</w:t>
      </w:r>
    </w:p>
    <w:p w14:paraId="2FF07110" w14:textId="77777777" w:rsidR="00871371" w:rsidRPr="00F27422" w:rsidRDefault="00871371" w:rsidP="00122B70">
      <w:pPr>
        <w:bidi/>
        <w:rPr>
          <w:rFonts w:asciiTheme="minorBidi" w:hAnsiTheme="minorBidi"/>
          <w:sz w:val="32"/>
          <w:szCs w:val="32"/>
          <w:rtl/>
        </w:rPr>
      </w:pPr>
      <w:r w:rsidRPr="00F27422">
        <w:rPr>
          <w:rFonts w:asciiTheme="minorBidi" w:hAnsiTheme="minorBidi"/>
          <w:sz w:val="32"/>
          <w:szCs w:val="32"/>
          <w:rtl/>
        </w:rPr>
        <w:t>وليس هذا هو محلّ البحث في المقام</w:t>
      </w:r>
      <w:r w:rsidRPr="00F27422">
        <w:rPr>
          <w:rFonts w:asciiTheme="minorBidi" w:hAnsiTheme="minorBidi"/>
          <w:sz w:val="32"/>
          <w:szCs w:val="32"/>
        </w:rPr>
        <w:t>.</w:t>
      </w:r>
    </w:p>
    <w:p w14:paraId="362E3F64"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وأمّا الولاية في الأمور العامة:</w:t>
      </w:r>
      <w:r w:rsidRPr="00F27422">
        <w:rPr>
          <w:rFonts w:asciiTheme="minorBidi" w:hAnsiTheme="minorBidi"/>
          <w:sz w:val="32"/>
          <w:szCs w:val="32"/>
          <w:rtl/>
        </w:rPr>
        <w:t xml:space="preserve"> فالمراد به نفوذُ تصرّف الفقيه في الضرورات الدينية </w:t>
      </w:r>
      <w:r w:rsidRPr="00F27422">
        <w:rPr>
          <w:rFonts w:asciiTheme="minorBidi" w:hAnsiTheme="minorBidi"/>
          <w:sz w:val="32"/>
          <w:szCs w:val="32"/>
          <w:highlight w:val="yellow"/>
          <w:rtl/>
        </w:rPr>
        <w:t>والاجتماعية التي أُحرِزَ عدم رضا الشارع بفوتها، كنفوذ أحكام السلطة القضائية</w:t>
      </w:r>
      <w:r w:rsidRPr="00F27422">
        <w:rPr>
          <w:rFonts w:asciiTheme="minorBidi" w:hAnsiTheme="minorBidi"/>
          <w:sz w:val="32"/>
          <w:szCs w:val="32"/>
          <w:rtl/>
        </w:rPr>
        <w:t xml:space="preserve"> ونفوذ تصرفات السلطة التنفيذية في الأحكام الجزائية كالحدود </w:t>
      </w:r>
      <w:proofErr w:type="spellStart"/>
      <w:r w:rsidRPr="00F27422">
        <w:rPr>
          <w:rFonts w:asciiTheme="minorBidi" w:hAnsiTheme="minorBidi"/>
          <w:sz w:val="32"/>
          <w:szCs w:val="32"/>
          <w:rtl/>
        </w:rPr>
        <w:t>والتعزيرات</w:t>
      </w:r>
      <w:proofErr w:type="spellEnd"/>
      <w:r w:rsidRPr="00F27422">
        <w:rPr>
          <w:rFonts w:asciiTheme="minorBidi" w:hAnsiTheme="minorBidi"/>
          <w:sz w:val="32"/>
          <w:szCs w:val="32"/>
          <w:rtl/>
        </w:rPr>
        <w:t xml:space="preserve"> ووضع الغرامات ونصب الوُلاة والقُوام.</w:t>
      </w:r>
    </w:p>
    <w:p w14:paraId="2742AB3B"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وبناءً على ذلك،</w:t>
      </w:r>
      <w:r w:rsidRPr="00F27422">
        <w:rPr>
          <w:rFonts w:asciiTheme="minorBidi" w:hAnsiTheme="minorBidi"/>
          <w:sz w:val="32"/>
          <w:szCs w:val="32"/>
          <w:rtl/>
        </w:rPr>
        <w:t xml:space="preserve"> فقد يستدل على أنّ الفقيه لو نصب وليّاً على الأوقاف أو القصر كان تصرّفه نافذاً بأحد وجهين</w:t>
      </w:r>
      <w:r w:rsidRPr="00F27422">
        <w:rPr>
          <w:rFonts w:asciiTheme="minorBidi" w:hAnsiTheme="minorBidi"/>
          <w:sz w:val="32"/>
          <w:szCs w:val="32"/>
        </w:rPr>
        <w:t>:</w:t>
      </w:r>
    </w:p>
    <w:p w14:paraId="43AFD059" w14:textId="77777777" w:rsidR="00871371" w:rsidRPr="00F27422" w:rsidRDefault="00871371" w:rsidP="00122B70">
      <w:pPr>
        <w:bidi/>
        <w:rPr>
          <w:rFonts w:asciiTheme="minorBidi" w:hAnsiTheme="minorBidi"/>
          <w:b/>
          <w:bCs/>
          <w:sz w:val="32"/>
          <w:szCs w:val="32"/>
          <w:rtl/>
        </w:rPr>
      </w:pPr>
      <w:r w:rsidRPr="00F27422">
        <w:rPr>
          <w:rFonts w:asciiTheme="minorBidi" w:hAnsiTheme="minorBidi"/>
          <w:b/>
          <w:bCs/>
          <w:sz w:val="32"/>
          <w:szCs w:val="32"/>
          <w:rtl/>
        </w:rPr>
        <w:t>الوجه الأول: الدليل العقلي</w:t>
      </w:r>
      <w:r w:rsidRPr="00F27422">
        <w:rPr>
          <w:rFonts w:asciiTheme="minorBidi" w:hAnsiTheme="minorBidi"/>
          <w:b/>
          <w:bCs/>
          <w:sz w:val="32"/>
          <w:szCs w:val="32"/>
        </w:rPr>
        <w:t>:</w:t>
      </w:r>
    </w:p>
    <w:p w14:paraId="4AD8BEF9"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lastRenderedPageBreak/>
        <w:t>وحاصله:</w:t>
      </w:r>
      <w:r w:rsidRPr="00F27422">
        <w:rPr>
          <w:rFonts w:asciiTheme="minorBidi" w:hAnsiTheme="minorBidi"/>
          <w:sz w:val="32"/>
          <w:szCs w:val="32"/>
          <w:rtl/>
        </w:rPr>
        <w:t xml:space="preserve"> أنّه لا ريب أنّ الدين المبارك نزل من الله سبحانه وتعالى بغرض تنفيذه في المجتمع البشري كما في قوله عزّ وجلّ: </w:t>
      </w:r>
      <w:r w:rsidRPr="00F27422">
        <w:rPr>
          <w:rFonts w:asciiTheme="minorBidi" w:hAnsiTheme="minorBidi"/>
          <w:b/>
          <w:bCs/>
          <w:sz w:val="32"/>
          <w:szCs w:val="32"/>
          <w:rtl/>
        </w:rPr>
        <w:t>(لَقَدْ أَرْسَلْنَا رُسُلَنَا بِالْبَيِّنَاتِ وَأَنزَلْنَا مَعَهُمُ الْكِتَابَ وَالْمِيزَانَ لِيَقُومَ النَّاسُ بِالْقِسْطِ)</w:t>
      </w:r>
      <w:r w:rsidRPr="00F27422">
        <w:rPr>
          <w:rFonts w:asciiTheme="minorBidi" w:hAnsiTheme="minorBidi"/>
          <w:sz w:val="32"/>
          <w:szCs w:val="32"/>
          <w:rtl/>
        </w:rPr>
        <w:t xml:space="preserve"> [الحديد، 25]، فلو حصر تنفيذه بالمعصوم (عليه السلام) نبيّاً كان أو إماماً لزم نقض الغرض؛ إذ الغرضُ مِن الدين تنفيذه على الأرض فإذا حصر تنفيذه بالمعصوم (عليه السلام) نبيّاً أو إماماً لزم التعطيل ونقض الغرض، فمقتضى امتناع نقض الغرض ثبوتُ هذا المنصب – وهو منصب نفوذ التصرّف في هذه الأمور - من إقامة الحدود ونصب الولاة والقيمين وحفظ الثغور، وإدارة بيت المال بجباية الزكوات والأخماس والخراج والمقاسمة وصرفها في مواردها، لغيرِ المعصوم ممن هو الأعرف بحدود وتفاصيل هذه الأمور مِن قِبَلِ الشارع، والأعرفُ بتفاصيل هذه الأمور هو الفقيه -وليس السفيه - في زمان الغيبة</w:t>
      </w:r>
      <w:r w:rsidRPr="00F27422">
        <w:rPr>
          <w:rFonts w:asciiTheme="minorBidi" w:hAnsiTheme="minorBidi"/>
          <w:sz w:val="32"/>
          <w:szCs w:val="32"/>
        </w:rPr>
        <w:t>.</w:t>
      </w:r>
    </w:p>
    <w:p w14:paraId="78232BB9"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ومقتضى هذا الدليل:</w:t>
      </w:r>
      <w:r w:rsidRPr="00F27422">
        <w:rPr>
          <w:rFonts w:asciiTheme="minorBidi" w:hAnsiTheme="minorBidi"/>
          <w:sz w:val="32"/>
          <w:szCs w:val="32"/>
          <w:rtl/>
        </w:rPr>
        <w:t xml:space="preserve"> ثبوتُ المنصب للفقيه بالأصالة - لا بالنيابة عن الإمام (عليه السلام) -؛ لأنّه ما دام قد عُلم بالدليل العقلي ضرورة وجود مَن يقوم بتنفيذ هذه الأمور فهو حكمٌ شرعي مِن قِبَلِ الله سبحانه وتعالى فقيامُ الفقيه به بالأصالة لا بالنيابة، ولعل هذا ما أشار إليه سيدنا الخوئي (قدس سره الشريف) من أنّ المنصب من الله تعالى، وليس المنصب نيابة عن الإمام (عليه السلام)</w:t>
      </w:r>
      <w:r w:rsidRPr="00F27422">
        <w:rPr>
          <w:rFonts w:asciiTheme="minorBidi" w:hAnsiTheme="minorBidi"/>
          <w:sz w:val="32"/>
          <w:szCs w:val="32"/>
        </w:rPr>
        <w:t>.</w:t>
      </w:r>
    </w:p>
    <w:p w14:paraId="78514D2B" w14:textId="77777777" w:rsidR="00871371" w:rsidRPr="00F27422" w:rsidRDefault="00871371" w:rsidP="00122B70">
      <w:pPr>
        <w:bidi/>
        <w:rPr>
          <w:rFonts w:asciiTheme="minorBidi" w:hAnsiTheme="minorBidi"/>
          <w:b/>
          <w:bCs/>
          <w:sz w:val="32"/>
          <w:szCs w:val="32"/>
          <w:rtl/>
        </w:rPr>
      </w:pPr>
      <w:r w:rsidRPr="00F27422">
        <w:rPr>
          <w:rFonts w:asciiTheme="minorBidi" w:hAnsiTheme="minorBidi"/>
          <w:sz w:val="32"/>
          <w:szCs w:val="32"/>
          <w:rtl/>
        </w:rPr>
        <w:t xml:space="preserve">وهذا الاستدلال قريبٌ مما ذكره بعض الأكابر (قدس سره الشريف) في كتابه [البيع، ج2، ص626] حيث قال: </w:t>
      </w:r>
      <w:r w:rsidRPr="00F27422">
        <w:rPr>
          <w:rFonts w:asciiTheme="minorBidi" w:hAnsiTheme="minorBidi"/>
          <w:b/>
          <w:bCs/>
          <w:sz w:val="32"/>
          <w:szCs w:val="32"/>
          <w:rtl/>
        </w:rPr>
        <w:t>(وأمّا مقام الخلافة الكبرى الإلهيّة، فليس هيّناً عنده، ولا قابلًا للرفض والإهمال وإلقاء الحبل على</w:t>
      </w:r>
      <w:r w:rsidRPr="00F27422">
        <w:rPr>
          <w:rFonts w:asciiTheme="minorBidi" w:hAnsiTheme="minorBidi"/>
          <w:b/>
          <w:bCs/>
          <w:sz w:val="32"/>
          <w:szCs w:val="32"/>
        </w:rPr>
        <w:t>‌</w:t>
      </w:r>
      <w:r w:rsidRPr="00F27422">
        <w:rPr>
          <w:rFonts w:asciiTheme="minorBidi" w:hAnsiTheme="minorBidi"/>
          <w:b/>
          <w:bCs/>
          <w:sz w:val="32"/>
          <w:szCs w:val="32"/>
          <w:rtl/>
        </w:rPr>
        <w:t xml:space="preserve"> غاربه</w:t>
      </w:r>
      <w:r w:rsidRPr="00F27422">
        <w:rPr>
          <w:rFonts w:asciiTheme="minorBidi" w:hAnsiTheme="minorBidi"/>
          <w:b/>
          <w:bCs/>
          <w:sz w:val="32"/>
          <w:szCs w:val="32"/>
        </w:rPr>
        <w:t>.</w:t>
      </w:r>
    </w:p>
    <w:p w14:paraId="620A594A" w14:textId="77777777" w:rsidR="00871371" w:rsidRPr="00F27422" w:rsidRDefault="00871371" w:rsidP="00122B70">
      <w:pPr>
        <w:bidi/>
        <w:rPr>
          <w:rFonts w:asciiTheme="minorBidi" w:hAnsiTheme="minorBidi"/>
          <w:b/>
          <w:bCs/>
          <w:sz w:val="32"/>
          <w:szCs w:val="32"/>
          <w:rtl/>
        </w:rPr>
      </w:pPr>
      <w:r w:rsidRPr="00F27422">
        <w:rPr>
          <w:rFonts w:asciiTheme="minorBidi" w:hAnsiTheme="minorBidi"/>
          <w:b/>
          <w:bCs/>
          <w:sz w:val="32"/>
          <w:szCs w:val="32"/>
          <w:rtl/>
        </w:rPr>
        <w:t>فللفقيه العادل جميع ما للرسول والأئمّة (عليهم السّلام)؛ ممّا يرجع إلى الحكومة والسياسة، ولا يعقل الفرق؛ لأنّ الوالي أيّ شخص كان هو المجري لأحكام الشريعة، والمقيم للحدود الإلهيّة، والآخذ للخراج وسائر الضرائب، والمتصرّف فيها بما هو صلاح المسلمين</w:t>
      </w:r>
      <w:r w:rsidRPr="00F27422">
        <w:rPr>
          <w:rFonts w:asciiTheme="minorBidi" w:hAnsiTheme="minorBidi"/>
          <w:b/>
          <w:bCs/>
          <w:sz w:val="32"/>
          <w:szCs w:val="32"/>
        </w:rPr>
        <w:t>.</w:t>
      </w:r>
    </w:p>
    <w:p w14:paraId="421050A9" w14:textId="77777777" w:rsidR="00871371" w:rsidRPr="00F27422" w:rsidRDefault="00871371" w:rsidP="00122B70">
      <w:pPr>
        <w:bidi/>
        <w:rPr>
          <w:rFonts w:asciiTheme="minorBidi" w:hAnsiTheme="minorBidi"/>
          <w:b/>
          <w:bCs/>
          <w:sz w:val="32"/>
          <w:szCs w:val="32"/>
          <w:rtl/>
        </w:rPr>
      </w:pPr>
      <w:r w:rsidRPr="00F27422">
        <w:rPr>
          <w:rFonts w:asciiTheme="minorBidi" w:hAnsiTheme="minorBidi"/>
          <w:b/>
          <w:bCs/>
          <w:sz w:val="32"/>
          <w:szCs w:val="32"/>
          <w:rtl/>
        </w:rPr>
        <w:t xml:space="preserve">فالنبيّ (صلّى الله عليه وآله وسلّم) يضرب الزاني </w:t>
      </w:r>
      <w:proofErr w:type="gramStart"/>
      <w:r w:rsidRPr="00F27422">
        <w:rPr>
          <w:rFonts w:asciiTheme="minorBidi" w:hAnsiTheme="minorBidi"/>
          <w:b/>
          <w:bCs/>
          <w:sz w:val="32"/>
          <w:szCs w:val="32"/>
          <w:rtl/>
        </w:rPr>
        <w:t>مائة</w:t>
      </w:r>
      <w:proofErr w:type="gramEnd"/>
      <w:r w:rsidRPr="00F27422">
        <w:rPr>
          <w:rFonts w:asciiTheme="minorBidi" w:hAnsiTheme="minorBidi"/>
          <w:b/>
          <w:bCs/>
          <w:sz w:val="32"/>
          <w:szCs w:val="32"/>
          <w:rtl/>
        </w:rPr>
        <w:t xml:space="preserve"> جلدة، والإمام (عليه السّلام) كذلك، والفقيه كذلك، ويأخذون الصدقات بمنوال واحد، ومع اقتضاء المصالح يأمرون الناس بالأوامر التي للوالي، وتجب إطاعتهم).</w:t>
      </w:r>
    </w:p>
    <w:p w14:paraId="06F34900"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 xml:space="preserve">ويلاحظ عليه: </w:t>
      </w:r>
      <w:r w:rsidRPr="00F27422">
        <w:rPr>
          <w:rFonts w:asciiTheme="minorBidi" w:hAnsiTheme="minorBidi"/>
          <w:sz w:val="32"/>
          <w:szCs w:val="32"/>
          <w:rtl/>
        </w:rPr>
        <w:t>منعُ الكُبرى والصُغرى</w:t>
      </w:r>
      <w:r w:rsidRPr="00F27422">
        <w:rPr>
          <w:rFonts w:asciiTheme="minorBidi" w:hAnsiTheme="minorBidi"/>
          <w:sz w:val="32"/>
          <w:szCs w:val="32"/>
        </w:rPr>
        <w:t>:</w:t>
      </w:r>
    </w:p>
    <w:p w14:paraId="3E44442A"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أمّا الكبرى:</w:t>
      </w:r>
      <w:r w:rsidRPr="00F27422">
        <w:rPr>
          <w:rFonts w:asciiTheme="minorBidi" w:hAnsiTheme="minorBidi"/>
          <w:sz w:val="32"/>
          <w:szCs w:val="32"/>
          <w:rtl/>
        </w:rPr>
        <w:t xml:space="preserve"> فإنّ ما يحكم به العقل هو لزوم التصدي لمثل هذه الأمور التي عُلم مِن قِبَلِ الشارع أنّه لا يرضى بتفويتها، وأمّا كون ذلك للفقيه الجامع للشرائط فلا دليل على تعينه؛ بل يكفي </w:t>
      </w:r>
      <w:r w:rsidRPr="00F27422">
        <w:rPr>
          <w:rFonts w:asciiTheme="minorBidi" w:hAnsiTheme="minorBidi"/>
          <w:sz w:val="32"/>
          <w:szCs w:val="32"/>
          <w:highlight w:val="yellow"/>
          <w:rtl/>
        </w:rPr>
        <w:t>وجود العَدْل العارف بالأحكام الشرعية الضابط لها ولو تقليداً - إذ لا دليل على اعتبار أنْ</w:t>
      </w:r>
      <w:r w:rsidRPr="00F27422">
        <w:rPr>
          <w:rFonts w:asciiTheme="minorBidi" w:hAnsiTheme="minorBidi"/>
          <w:sz w:val="32"/>
          <w:szCs w:val="32"/>
          <w:rtl/>
        </w:rPr>
        <w:t xml:space="preserve"> </w:t>
      </w:r>
      <w:r w:rsidRPr="00F27422">
        <w:rPr>
          <w:rFonts w:asciiTheme="minorBidi" w:hAnsiTheme="minorBidi"/>
          <w:color w:val="A02B93" w:themeColor="accent5"/>
          <w:sz w:val="32"/>
          <w:szCs w:val="32"/>
          <w:rtl/>
        </w:rPr>
        <w:t>يكون ذلك هو الفقيه - ونفوذ حكمه وأمره بانتخاب الأكثرية فإنّ انتخاب الأكثرية عقدٌ شرعي</w:t>
      </w:r>
      <w:r w:rsidRPr="00F27422">
        <w:rPr>
          <w:rFonts w:asciiTheme="minorBidi" w:hAnsiTheme="minorBidi"/>
          <w:sz w:val="32"/>
          <w:szCs w:val="32"/>
          <w:rtl/>
        </w:rPr>
        <w:t xml:space="preserve">؛ </w:t>
      </w:r>
      <w:r w:rsidRPr="00F27422">
        <w:rPr>
          <w:rFonts w:asciiTheme="minorBidi" w:hAnsiTheme="minorBidi"/>
          <w:sz w:val="32"/>
          <w:szCs w:val="32"/>
          <w:rtl/>
        </w:rPr>
        <w:lastRenderedPageBreak/>
        <w:t xml:space="preserve">لأنّ حقيقة الانتخاب هي عبارةٌ عن عقد بين طرفين وهو تولية الآخر على شؤونه، أي إعطاء الولاية الثابتة للإنسان على ماله وعرضه وسائر شؤونه لهذا الشخص المنتخب، فقبول المنتخب لجعل الولاية من باب قبول العقد الشرعي الممضى بعموم قوله تبارك وتعالى: </w:t>
      </w:r>
      <w:r w:rsidRPr="00F27422">
        <w:rPr>
          <w:rFonts w:asciiTheme="minorBidi" w:hAnsiTheme="minorBidi"/>
          <w:b/>
          <w:bCs/>
          <w:sz w:val="32"/>
          <w:szCs w:val="32"/>
          <w:rtl/>
        </w:rPr>
        <w:t>(يَا أَيُّهَا الَّذِينَ آمَنُوا أَوْفُوا بِالْعُقُودِ)</w:t>
      </w:r>
      <w:r w:rsidRPr="00F27422">
        <w:rPr>
          <w:rFonts w:asciiTheme="minorBidi" w:hAnsiTheme="minorBidi"/>
          <w:sz w:val="32"/>
          <w:szCs w:val="32"/>
          <w:rtl/>
        </w:rPr>
        <w:t xml:space="preserve"> [المائدة، 1]، ولذلك لا ينفذ تصرّفه على غير من انتخبه؛ بمقتضى أنّ النكتة في نفوذ تصرّفه هو العقد الجاري بينه وبين من انتخبه</w:t>
      </w:r>
      <w:r w:rsidRPr="00F27422">
        <w:rPr>
          <w:rFonts w:asciiTheme="minorBidi" w:hAnsiTheme="minorBidi"/>
          <w:sz w:val="32"/>
          <w:szCs w:val="32"/>
        </w:rPr>
        <w:t>.</w:t>
      </w:r>
    </w:p>
    <w:p w14:paraId="5BF7DDD1"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وأمّا الصغرى:</w:t>
      </w:r>
      <w:r w:rsidRPr="00F27422">
        <w:rPr>
          <w:rFonts w:asciiTheme="minorBidi" w:hAnsiTheme="minorBidi"/>
          <w:sz w:val="32"/>
          <w:szCs w:val="32"/>
          <w:rtl/>
        </w:rPr>
        <w:t xml:space="preserve"> وهي محلّ الكلام، فكون المورد وهو النصب الخاص أي نصب الولاية بنحوٍ لا ينعزل بالموت – لا أصل النصب - من هذه الأمور التي عُلم بعدم رضا الشارع بفوتها أوّل الكلام؛ حيث لا يترتب على عدم ثبوت هذا النوع من الولاية مفسدة أو اختلال نظام مما يعني عدم إحراز ضرورته وعدم رضا الشارع بفوته، فدخوله تحت مصاديق الكُبرى المزبورة محلُّ منعٍ</w:t>
      </w:r>
      <w:r w:rsidRPr="00F27422">
        <w:rPr>
          <w:rFonts w:asciiTheme="minorBidi" w:hAnsiTheme="minorBidi"/>
          <w:sz w:val="32"/>
          <w:szCs w:val="32"/>
        </w:rPr>
        <w:t>.</w:t>
      </w:r>
    </w:p>
    <w:p w14:paraId="4F057D9B" w14:textId="77777777" w:rsidR="00871371" w:rsidRPr="00F27422" w:rsidRDefault="00871371" w:rsidP="00122B70">
      <w:pPr>
        <w:bidi/>
        <w:rPr>
          <w:rFonts w:asciiTheme="minorBidi" w:hAnsiTheme="minorBidi"/>
          <w:b/>
          <w:bCs/>
          <w:sz w:val="32"/>
          <w:szCs w:val="32"/>
          <w:rtl/>
        </w:rPr>
      </w:pPr>
      <w:r w:rsidRPr="00F27422">
        <w:rPr>
          <w:rFonts w:asciiTheme="minorBidi" w:hAnsiTheme="minorBidi"/>
          <w:b/>
          <w:bCs/>
          <w:sz w:val="32"/>
          <w:szCs w:val="32"/>
          <w:rtl/>
        </w:rPr>
        <w:t>الوجه الثاني: التمسك ببعض الروايات الشريفة</w:t>
      </w:r>
      <w:r w:rsidRPr="00F27422">
        <w:rPr>
          <w:rFonts w:asciiTheme="minorBidi" w:hAnsiTheme="minorBidi"/>
          <w:b/>
          <w:bCs/>
          <w:sz w:val="32"/>
          <w:szCs w:val="32"/>
        </w:rPr>
        <w:t>:</w:t>
      </w:r>
    </w:p>
    <w:p w14:paraId="20B0859E" w14:textId="77777777" w:rsidR="00871371" w:rsidRPr="00F27422" w:rsidRDefault="00871371" w:rsidP="00122B70">
      <w:pPr>
        <w:bidi/>
        <w:rPr>
          <w:rFonts w:asciiTheme="minorBidi" w:hAnsiTheme="minorBidi"/>
          <w:sz w:val="32"/>
          <w:szCs w:val="32"/>
          <w:rtl/>
        </w:rPr>
      </w:pPr>
      <w:r w:rsidRPr="00F27422">
        <w:rPr>
          <w:rFonts w:asciiTheme="minorBidi" w:hAnsiTheme="minorBidi"/>
          <w:sz w:val="32"/>
          <w:szCs w:val="32"/>
          <w:rtl/>
        </w:rPr>
        <w:t xml:space="preserve">الرواية الأُولى: موثقة السكوني، بناءً على وثاقة النوفلي وقد سبق التأمل في ذلك، كما في الكافي: </w:t>
      </w:r>
      <w:r w:rsidRPr="00F27422">
        <w:rPr>
          <w:rFonts w:asciiTheme="minorBidi" w:hAnsiTheme="minorBidi"/>
          <w:b/>
          <w:bCs/>
          <w:sz w:val="32"/>
          <w:szCs w:val="32"/>
          <w:rtl/>
        </w:rPr>
        <w:t xml:space="preserve">(عليٌّ، عن أبيه، عن النوفلي، عن السكوني، عن أبي </w:t>
      </w:r>
      <w:proofErr w:type="gramStart"/>
      <w:r w:rsidRPr="00F27422">
        <w:rPr>
          <w:rFonts w:asciiTheme="minorBidi" w:hAnsiTheme="minorBidi"/>
          <w:b/>
          <w:bCs/>
          <w:sz w:val="32"/>
          <w:szCs w:val="32"/>
          <w:rtl/>
        </w:rPr>
        <w:t>عبدالله</w:t>
      </w:r>
      <w:proofErr w:type="gramEnd"/>
      <w:r w:rsidRPr="00F27422">
        <w:rPr>
          <w:rFonts w:asciiTheme="minorBidi" w:hAnsiTheme="minorBidi"/>
          <w:b/>
          <w:bCs/>
          <w:sz w:val="32"/>
          <w:szCs w:val="32"/>
          <w:rtl/>
        </w:rPr>
        <w:t xml:space="preserve"> (عليه السلام) قال: قال رسول الله (صلى الله عليه وآله): (الفقهاءُ أُمَناءُ الرُّسل ما لم يدخلوا في الدنيا، قيل: يا رسول الله وما دخولهم في الدنيا؟ قال: اتباعُ السلطان فإذا فعلوا ذلك فاحذرُوهُم على دِينكُم). </w:t>
      </w:r>
      <w:r w:rsidRPr="00F27422">
        <w:rPr>
          <w:rFonts w:asciiTheme="minorBidi" w:hAnsiTheme="minorBidi"/>
          <w:sz w:val="32"/>
          <w:szCs w:val="32"/>
          <w:rtl/>
        </w:rPr>
        <w:t xml:space="preserve">[الكافي، للشيخ الكليني، دار الكتب الإسلامية، ج1، كتاب فضل العلم، باب </w:t>
      </w:r>
      <w:proofErr w:type="spellStart"/>
      <w:r w:rsidRPr="00F27422">
        <w:rPr>
          <w:rFonts w:asciiTheme="minorBidi" w:hAnsiTheme="minorBidi"/>
          <w:sz w:val="32"/>
          <w:szCs w:val="32"/>
          <w:rtl/>
        </w:rPr>
        <w:t>المستأكل</w:t>
      </w:r>
      <w:proofErr w:type="spellEnd"/>
      <w:r w:rsidRPr="00F27422">
        <w:rPr>
          <w:rFonts w:asciiTheme="minorBidi" w:hAnsiTheme="minorBidi"/>
          <w:sz w:val="32"/>
          <w:szCs w:val="32"/>
          <w:rtl/>
        </w:rPr>
        <w:t xml:space="preserve"> بعلمه والمباهي به، ح5].</w:t>
      </w:r>
    </w:p>
    <w:p w14:paraId="2F02BDDD"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بتقريب:</w:t>
      </w:r>
      <w:r w:rsidRPr="00F27422">
        <w:rPr>
          <w:rFonts w:asciiTheme="minorBidi" w:hAnsiTheme="minorBidi"/>
          <w:sz w:val="32"/>
          <w:szCs w:val="32"/>
          <w:rtl/>
        </w:rPr>
        <w:t xml:space="preserve"> أنّ الأمانة مِن قِبَلِ الرُّسل (عليهم السلام) تعني قيام الفقيه مقام الرُّسل، وكان من صلاحيات الرُّسل نصب الوُلاة والقُوام على الشؤون العامة، فيستفاد من ذلك أنّ هذا النوع من الصلاحية ثابتٌ للفقيه</w:t>
      </w:r>
      <w:r w:rsidRPr="00F27422">
        <w:rPr>
          <w:rFonts w:asciiTheme="minorBidi" w:hAnsiTheme="minorBidi"/>
          <w:sz w:val="32"/>
          <w:szCs w:val="32"/>
        </w:rPr>
        <w:t>.</w:t>
      </w:r>
    </w:p>
    <w:p w14:paraId="173A9B5C"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ولكن يلاحظ على ذلك:</w:t>
      </w:r>
      <w:r w:rsidRPr="00F27422">
        <w:rPr>
          <w:rFonts w:asciiTheme="minorBidi" w:hAnsiTheme="minorBidi"/>
          <w:sz w:val="32"/>
          <w:szCs w:val="32"/>
          <w:rtl/>
        </w:rPr>
        <w:t xml:space="preserve"> أنّ مقتضى مناسبة الحكم للموضوع أنْ يكون الفقيه أميناً فيما للرسالة دخلٌ فيه؛ حيث قال (صلى الله عليه وآله): </w:t>
      </w:r>
      <w:r w:rsidRPr="00F27422">
        <w:rPr>
          <w:rFonts w:asciiTheme="minorBidi" w:hAnsiTheme="minorBidi"/>
          <w:b/>
          <w:bCs/>
          <w:sz w:val="32"/>
          <w:szCs w:val="32"/>
          <w:rtl/>
        </w:rPr>
        <w:t>(الفقهاءُ أُمَناءُ الرُّسل)</w:t>
      </w:r>
      <w:r w:rsidRPr="00F27422">
        <w:rPr>
          <w:rFonts w:asciiTheme="minorBidi" w:hAnsiTheme="minorBidi"/>
          <w:sz w:val="32"/>
          <w:szCs w:val="32"/>
          <w:rtl/>
        </w:rPr>
        <w:t xml:space="preserve"> وما تكون الرسالة دخيلةً فيه هو بيانُ الأحكام والتعاليم السماوية لا التصدي لشؤون الولاية وإدارة الأمور؛ فإنّ كثيراً من الرُّسل (عليهم السلام) لم يثبت لهم هذا المنصب كي يثبت لمن كان أميناً مِن قِبَلهم، ويؤكد ذلك الذيل حيث قال (صلى الله عليه وآله): </w:t>
      </w:r>
      <w:r w:rsidRPr="00F27422">
        <w:rPr>
          <w:rFonts w:asciiTheme="minorBidi" w:hAnsiTheme="minorBidi"/>
          <w:b/>
          <w:bCs/>
          <w:sz w:val="32"/>
          <w:szCs w:val="32"/>
          <w:rtl/>
        </w:rPr>
        <w:t>(فإذا فعلوا ذلك فاحذرُوهُم على دِينكُم)</w:t>
      </w:r>
      <w:r w:rsidRPr="00F27422">
        <w:rPr>
          <w:rFonts w:asciiTheme="minorBidi" w:hAnsiTheme="minorBidi"/>
          <w:sz w:val="32"/>
          <w:szCs w:val="32"/>
          <w:rtl/>
        </w:rPr>
        <w:t xml:space="preserve"> الظاهر في أنّ المنظور في الأمانة هي الأمانة في الدين من حيث بيان أحكامه وتعاليمه لا مطلقاً</w:t>
      </w:r>
      <w:r w:rsidRPr="00F27422">
        <w:rPr>
          <w:rFonts w:asciiTheme="minorBidi" w:hAnsiTheme="minorBidi"/>
          <w:sz w:val="32"/>
          <w:szCs w:val="32"/>
        </w:rPr>
        <w:t>.</w:t>
      </w:r>
    </w:p>
    <w:p w14:paraId="3E66C441"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الرواية الثانية:</w:t>
      </w:r>
      <w:r w:rsidRPr="00F27422">
        <w:rPr>
          <w:rFonts w:asciiTheme="minorBidi" w:hAnsiTheme="minorBidi"/>
          <w:sz w:val="32"/>
          <w:szCs w:val="32"/>
          <w:rtl/>
        </w:rPr>
        <w:t xml:space="preserve"> مقبولة عمر بن حنظلة - بناءً على تمامية سندها كما ذهب إليه جمعٌ من الفقهاء ومنهم السيد الأُستاذ (مد ظله) - كما في الكافي: </w:t>
      </w:r>
      <w:r w:rsidRPr="00F27422">
        <w:rPr>
          <w:rFonts w:asciiTheme="minorBidi" w:hAnsiTheme="minorBidi"/>
          <w:b/>
          <w:bCs/>
          <w:sz w:val="32"/>
          <w:szCs w:val="32"/>
          <w:rtl/>
        </w:rPr>
        <w:t xml:space="preserve">(محمد بن يحيى، عن محمد بن الحسين، عن </w:t>
      </w:r>
      <w:r w:rsidRPr="00F27422">
        <w:rPr>
          <w:rFonts w:asciiTheme="minorBidi" w:hAnsiTheme="minorBidi"/>
          <w:b/>
          <w:bCs/>
          <w:sz w:val="32"/>
          <w:szCs w:val="32"/>
          <w:rtl/>
        </w:rPr>
        <w:lastRenderedPageBreak/>
        <w:t>محمد بن عيسى، عن صفوان بن يحيى، عن داود بن الحصين، عن عمر بن حنظلة، قال: سألت أبا عبدالله (عليه السلام) عن رجلين من أصحابنا بينهما منازعة في دين أو ميراث فتحاكما إلى السلطان وإلى القضاة أَ يحل ذلك؟ قال: مَن تحاكم إليهم في حقٍّ أو باطلٍ فإنّما تحاكم إلى الطاغوت وما يحكم له فإنّما يأخذ سحتاً وإنْ كان حقّاً ثابتاً لأنّه أخذه بحكم الطاغوت وقد أمر الله أنْ يُكْفَرَ بِه، قالَ الله تعالى: (يُرِيدُونَ أَن يَتَحَاكَمُوا إِلَى الطَّاغُوتِ وَقَدْ أُمِرُوا أَن يَكْفُرُوا بِهِ)</w:t>
      </w:r>
      <w:r w:rsidRPr="00F27422">
        <w:rPr>
          <w:rFonts w:asciiTheme="minorBidi" w:hAnsiTheme="minorBidi"/>
          <w:sz w:val="32"/>
          <w:szCs w:val="32"/>
          <w:rtl/>
        </w:rPr>
        <w:t xml:space="preserve"> [النساء، 60]، </w:t>
      </w:r>
      <w:r w:rsidRPr="00F27422">
        <w:rPr>
          <w:rFonts w:asciiTheme="minorBidi" w:hAnsiTheme="minorBidi"/>
          <w:b/>
          <w:bCs/>
          <w:sz w:val="32"/>
          <w:szCs w:val="32"/>
          <w:rtl/>
        </w:rPr>
        <w:t>قلتُ: فكيف يصنعان؟ قال: 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w:t>
      </w:r>
      <w:r w:rsidRPr="00F27422">
        <w:rPr>
          <w:rFonts w:asciiTheme="minorBidi" w:hAnsiTheme="minorBidi"/>
          <w:sz w:val="32"/>
          <w:szCs w:val="32"/>
          <w:rtl/>
        </w:rPr>
        <w:t xml:space="preserve"> [الكافي، للشيخ الكليني، دار الكتب الإسلامية، ج1، كتاب فضل العلم، باب اختلاف الحديث، ح10]</w:t>
      </w:r>
      <w:r w:rsidRPr="00F27422">
        <w:rPr>
          <w:rFonts w:asciiTheme="minorBidi" w:hAnsiTheme="minorBidi"/>
          <w:sz w:val="32"/>
          <w:szCs w:val="32"/>
        </w:rPr>
        <w:t>.</w:t>
      </w:r>
    </w:p>
    <w:p w14:paraId="0783D56C" w14:textId="77777777" w:rsidR="00871371" w:rsidRPr="00F27422" w:rsidRDefault="00871371" w:rsidP="00122B70">
      <w:pPr>
        <w:bidi/>
        <w:rPr>
          <w:rFonts w:asciiTheme="minorBidi" w:hAnsiTheme="minorBidi"/>
          <w:sz w:val="32"/>
          <w:szCs w:val="32"/>
          <w:rtl/>
        </w:rPr>
      </w:pPr>
      <w:r w:rsidRPr="00F27422">
        <w:rPr>
          <w:rFonts w:asciiTheme="minorBidi" w:hAnsiTheme="minorBidi"/>
          <w:sz w:val="32"/>
          <w:szCs w:val="32"/>
          <w:rtl/>
        </w:rPr>
        <w:t xml:space="preserve">والمراد من النظر في الرواية بقوله (عليه السلام): </w:t>
      </w:r>
      <w:r w:rsidRPr="00F27422">
        <w:rPr>
          <w:rFonts w:asciiTheme="minorBidi" w:hAnsiTheme="minorBidi"/>
          <w:b/>
          <w:bCs/>
          <w:sz w:val="32"/>
          <w:szCs w:val="32"/>
          <w:rtl/>
        </w:rPr>
        <w:t>(نَظَرَ في حَلالِنا وحَرامِنا)</w:t>
      </w:r>
      <w:r w:rsidRPr="00F27422">
        <w:rPr>
          <w:rFonts w:asciiTheme="minorBidi" w:hAnsiTheme="minorBidi"/>
          <w:sz w:val="32"/>
          <w:szCs w:val="32"/>
          <w:rtl/>
        </w:rPr>
        <w:t xml:space="preserve"> هو </w:t>
      </w:r>
      <w:proofErr w:type="spellStart"/>
      <w:r w:rsidRPr="00F27422">
        <w:rPr>
          <w:rFonts w:asciiTheme="minorBidi" w:hAnsiTheme="minorBidi"/>
          <w:sz w:val="32"/>
          <w:szCs w:val="32"/>
          <w:rtl/>
        </w:rPr>
        <w:t>الإجتهاد</w:t>
      </w:r>
      <w:proofErr w:type="spellEnd"/>
      <w:r w:rsidRPr="00F27422">
        <w:rPr>
          <w:rFonts w:asciiTheme="minorBidi" w:hAnsiTheme="minorBidi"/>
          <w:sz w:val="32"/>
          <w:szCs w:val="32"/>
          <w:rtl/>
        </w:rPr>
        <w:t>.</w:t>
      </w:r>
    </w:p>
    <w:p w14:paraId="679F419C" w14:textId="77777777" w:rsidR="00871371" w:rsidRPr="00F27422" w:rsidRDefault="00871371" w:rsidP="00122B70">
      <w:pPr>
        <w:bidi/>
        <w:rPr>
          <w:rFonts w:asciiTheme="minorBidi" w:hAnsiTheme="minorBidi"/>
          <w:sz w:val="32"/>
          <w:szCs w:val="32"/>
          <w:rtl/>
        </w:rPr>
      </w:pPr>
      <w:r w:rsidRPr="00F27422">
        <w:rPr>
          <w:rFonts w:asciiTheme="minorBidi" w:hAnsiTheme="minorBidi"/>
          <w:sz w:val="32"/>
          <w:szCs w:val="32"/>
          <w:rtl/>
        </w:rPr>
        <w:t xml:space="preserve">والشاهدُ على محلّ </w:t>
      </w:r>
      <w:proofErr w:type="gramStart"/>
      <w:r w:rsidRPr="00F27422">
        <w:rPr>
          <w:rFonts w:asciiTheme="minorBidi" w:hAnsiTheme="minorBidi"/>
          <w:sz w:val="32"/>
          <w:szCs w:val="32"/>
          <w:rtl/>
        </w:rPr>
        <w:t>الكلام  في</w:t>
      </w:r>
      <w:proofErr w:type="gramEnd"/>
      <w:r w:rsidRPr="00F27422">
        <w:rPr>
          <w:rFonts w:asciiTheme="minorBidi" w:hAnsiTheme="minorBidi"/>
          <w:sz w:val="32"/>
          <w:szCs w:val="32"/>
          <w:rtl/>
        </w:rPr>
        <w:t xml:space="preserve"> الكُبرى التي علل بها الإمام (عليه السلام) إرجاع الحكم في مورد التنازع للفقيه بقوله: </w:t>
      </w:r>
      <w:r w:rsidRPr="00F27422">
        <w:rPr>
          <w:rFonts w:asciiTheme="minorBidi" w:hAnsiTheme="minorBidi"/>
          <w:b/>
          <w:bCs/>
          <w:sz w:val="32"/>
          <w:szCs w:val="32"/>
          <w:rtl/>
        </w:rPr>
        <w:t>(فإنِّي قَدْ جَعَلْتُهُ عَلَيْكُمْ حَاكِماً)</w:t>
      </w:r>
      <w:r w:rsidRPr="00F27422">
        <w:rPr>
          <w:rFonts w:asciiTheme="minorBidi" w:hAnsiTheme="minorBidi"/>
          <w:b/>
          <w:bCs/>
          <w:sz w:val="32"/>
          <w:szCs w:val="32"/>
        </w:rPr>
        <w:t>.</w:t>
      </w:r>
    </w:p>
    <w:p w14:paraId="63A4F269" w14:textId="77777777" w:rsidR="00871371" w:rsidRPr="00F27422" w:rsidRDefault="00871371" w:rsidP="00122B70">
      <w:pPr>
        <w:bidi/>
        <w:rPr>
          <w:rFonts w:asciiTheme="minorBidi" w:hAnsiTheme="minorBidi"/>
          <w:b/>
          <w:bCs/>
          <w:sz w:val="32"/>
          <w:szCs w:val="32"/>
          <w:rtl/>
        </w:rPr>
      </w:pPr>
      <w:r w:rsidRPr="00F27422">
        <w:rPr>
          <w:rFonts w:asciiTheme="minorBidi" w:hAnsiTheme="minorBidi"/>
          <w:b/>
          <w:bCs/>
          <w:sz w:val="32"/>
          <w:szCs w:val="32"/>
          <w:rtl/>
        </w:rPr>
        <w:t>ووجه الاستدلال بها:</w:t>
      </w:r>
      <w:r w:rsidRPr="00F27422">
        <w:rPr>
          <w:rFonts w:asciiTheme="minorBidi" w:hAnsiTheme="minorBidi"/>
          <w:sz w:val="32"/>
          <w:szCs w:val="32"/>
          <w:rtl/>
        </w:rPr>
        <w:t xml:space="preserve"> أنّ عنوان "الحاكم" غيرُ عنوان "القاضي"، لذلك فهناك فرقٌ بين مضمون مقبولة عمر بن حنظلة ومضمون رواية أبي خديجة، حيث إنّ العنوان الوارد في رواية أبي خديجة: </w:t>
      </w:r>
      <w:r w:rsidRPr="00F27422">
        <w:rPr>
          <w:rFonts w:asciiTheme="minorBidi" w:hAnsiTheme="minorBidi"/>
          <w:b/>
          <w:bCs/>
          <w:sz w:val="32"/>
          <w:szCs w:val="32"/>
          <w:rtl/>
        </w:rPr>
        <w:t>(فأنّي قد جعلته قاضياً).</w:t>
      </w:r>
      <w:r w:rsidRPr="00F27422">
        <w:rPr>
          <w:rFonts w:asciiTheme="minorBidi" w:hAnsiTheme="minorBidi"/>
          <w:sz w:val="32"/>
          <w:szCs w:val="32"/>
          <w:rtl/>
        </w:rPr>
        <w:t xml:space="preserve"> [وسائل الشيعة، الحر العاملي، تحقيق مؤسسة آل البيت (عليهم السلام) لإحياء التراث، ج27، كتاب القضاء، أبواب صفات القاضي وما يجوز أن يقضي به، الباب1 باب أنه يشترط فيه الإِيمان والعدالة، فلا يجوز الترافع إلى قضاة الجور وحكامهم، إلاّ مع التقية والخوف، ولا يمضي حكمهم وإن وافق الحق، ح5]، بينما العنوان الوارد في مقبولة عمر بن حنظلة: </w:t>
      </w:r>
      <w:r w:rsidRPr="00F27422">
        <w:rPr>
          <w:rFonts w:asciiTheme="minorBidi" w:hAnsiTheme="minorBidi"/>
          <w:b/>
          <w:bCs/>
          <w:sz w:val="32"/>
          <w:szCs w:val="32"/>
          <w:rtl/>
        </w:rPr>
        <w:t>(فإنِّي قَدْ جَعَلْتُهُ عَلَيْكُمْ حَاكِماً)</w:t>
      </w:r>
      <w:r w:rsidRPr="00F27422">
        <w:rPr>
          <w:rFonts w:asciiTheme="minorBidi" w:hAnsiTheme="minorBidi"/>
          <w:b/>
          <w:bCs/>
          <w:sz w:val="32"/>
          <w:szCs w:val="32"/>
        </w:rPr>
        <w:t>.</w:t>
      </w:r>
    </w:p>
    <w:p w14:paraId="49F47FD5" w14:textId="77777777" w:rsidR="00871371" w:rsidRPr="00F27422" w:rsidRDefault="00871371" w:rsidP="00122B70">
      <w:pPr>
        <w:bidi/>
        <w:rPr>
          <w:rFonts w:asciiTheme="minorBidi" w:hAnsiTheme="minorBidi"/>
          <w:b/>
          <w:bCs/>
          <w:sz w:val="32"/>
          <w:szCs w:val="32"/>
          <w:rtl/>
        </w:rPr>
      </w:pPr>
      <w:r w:rsidRPr="00F27422">
        <w:rPr>
          <w:rFonts w:asciiTheme="minorBidi" w:hAnsiTheme="minorBidi"/>
          <w:sz w:val="32"/>
          <w:szCs w:val="32"/>
          <w:rtl/>
        </w:rPr>
        <w:t xml:space="preserve">وفرقٌ بين العنوانين عرفاً، والمنصرّفُ مِن عنوان "الحاكم" مَن كان واليّاً كما إذا كان سلطاناً أو واليّاً مِن قِبَلِ السُلطان، ومن الواضح أنّ مِن شأن الوُلاة والسلاطين في زمن صدور الرواية نصب الوُلاة والقُوام على الأوقاف وعلى القصر، ويؤكد أنّ النظر في الحاكم إلى الوالي - لا إلى القاضي - نظر الجواب لمورد السؤال، والمفروض تعميم مورد السؤال لغير القضاة حيث قال: </w:t>
      </w:r>
      <w:r w:rsidRPr="00F27422">
        <w:rPr>
          <w:rFonts w:asciiTheme="minorBidi" w:hAnsiTheme="minorBidi"/>
          <w:b/>
          <w:bCs/>
          <w:sz w:val="32"/>
          <w:szCs w:val="32"/>
          <w:rtl/>
        </w:rPr>
        <w:t>(عن رجلين من أصحابنا بينهما منازعة في دين أو ميراث فتحاكما إلى السلطان وإلى القضاة أَ يحل ذلك؟)،</w:t>
      </w:r>
      <w:r w:rsidRPr="00F27422">
        <w:rPr>
          <w:rFonts w:asciiTheme="minorBidi" w:hAnsiTheme="minorBidi"/>
          <w:sz w:val="32"/>
          <w:szCs w:val="32"/>
          <w:rtl/>
        </w:rPr>
        <w:t xml:space="preserve"> والإمام (عليه السلام) في مقابل ذلك قال: </w:t>
      </w:r>
      <w:r w:rsidRPr="00F27422">
        <w:rPr>
          <w:rFonts w:asciiTheme="minorBidi" w:hAnsiTheme="minorBidi"/>
          <w:b/>
          <w:bCs/>
          <w:sz w:val="32"/>
          <w:szCs w:val="32"/>
          <w:rtl/>
        </w:rPr>
        <w:t>(مَن تحاكم إليهم)</w:t>
      </w:r>
      <w:r w:rsidRPr="00F27422">
        <w:rPr>
          <w:rFonts w:asciiTheme="minorBidi" w:hAnsiTheme="minorBidi"/>
          <w:sz w:val="32"/>
          <w:szCs w:val="32"/>
          <w:rtl/>
        </w:rPr>
        <w:t xml:space="preserve"> سواءً كان سلطاناً أو قاضياً </w:t>
      </w:r>
      <w:r w:rsidRPr="00F27422">
        <w:rPr>
          <w:rFonts w:asciiTheme="minorBidi" w:hAnsiTheme="minorBidi"/>
          <w:b/>
          <w:bCs/>
          <w:sz w:val="32"/>
          <w:szCs w:val="32"/>
          <w:rtl/>
        </w:rPr>
        <w:t>(في حقٍّ أو باطلٍ فإنّما تحاكم إلى الطاغوت)</w:t>
      </w:r>
      <w:r w:rsidRPr="00F27422">
        <w:rPr>
          <w:rFonts w:asciiTheme="minorBidi" w:hAnsiTheme="minorBidi"/>
          <w:b/>
          <w:bCs/>
          <w:sz w:val="32"/>
          <w:szCs w:val="32"/>
        </w:rPr>
        <w:t>.</w:t>
      </w:r>
    </w:p>
    <w:p w14:paraId="43D8F87A"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lastRenderedPageBreak/>
        <w:t>مضافاً إلى ذلك:</w:t>
      </w:r>
      <w:r w:rsidRPr="00F27422">
        <w:rPr>
          <w:rFonts w:asciiTheme="minorBidi" w:hAnsiTheme="minorBidi"/>
          <w:sz w:val="32"/>
          <w:szCs w:val="32"/>
          <w:rtl/>
        </w:rPr>
        <w:t xml:space="preserve"> أنّ ظاهر قوله (عليه السلام): </w:t>
      </w:r>
      <w:r w:rsidRPr="00F27422">
        <w:rPr>
          <w:rFonts w:asciiTheme="minorBidi" w:hAnsiTheme="minorBidi"/>
          <w:b/>
          <w:bCs/>
          <w:sz w:val="32"/>
          <w:szCs w:val="32"/>
          <w:rtl/>
        </w:rPr>
        <w:t xml:space="preserve">(مَن تحاكم إليهم في حقٍّ أو باطلٍ فإنّما تحاكم إلى الطاغوت) </w:t>
      </w:r>
      <w:r w:rsidRPr="00F27422">
        <w:rPr>
          <w:rFonts w:asciiTheme="minorBidi" w:hAnsiTheme="minorBidi"/>
          <w:sz w:val="32"/>
          <w:szCs w:val="32"/>
          <w:rtl/>
        </w:rPr>
        <w:t xml:space="preserve">هو بيانُ الملاك في عدم الرجوع إلى القضاة، وهو أنّ التحاكم إليهم تحاكم </w:t>
      </w:r>
      <w:proofErr w:type="spellStart"/>
      <w:r w:rsidRPr="00F27422">
        <w:rPr>
          <w:rFonts w:asciiTheme="minorBidi" w:hAnsiTheme="minorBidi"/>
          <w:sz w:val="32"/>
          <w:szCs w:val="32"/>
          <w:rtl/>
        </w:rPr>
        <w:t>لغيرأهل</w:t>
      </w:r>
      <w:proofErr w:type="spellEnd"/>
      <w:r w:rsidRPr="00F27422">
        <w:rPr>
          <w:rFonts w:asciiTheme="minorBidi" w:hAnsiTheme="minorBidi"/>
          <w:sz w:val="32"/>
          <w:szCs w:val="32"/>
          <w:rtl/>
        </w:rPr>
        <w:t xml:space="preserve"> البيت (عليهم السلام)، والتحاكم إلى غيرهم (عليهم السلام) تحاكم إلى الطاغوت فيشمل من كان واليّاً أو قاضياً</w:t>
      </w:r>
      <w:r w:rsidRPr="00F27422">
        <w:rPr>
          <w:rFonts w:asciiTheme="minorBidi" w:hAnsiTheme="minorBidi"/>
          <w:sz w:val="32"/>
          <w:szCs w:val="32"/>
        </w:rPr>
        <w:t>.</w:t>
      </w:r>
    </w:p>
    <w:p w14:paraId="75C141F3" w14:textId="77777777" w:rsidR="00871371" w:rsidRPr="00F27422" w:rsidRDefault="00871371" w:rsidP="00122B70">
      <w:pPr>
        <w:bidi/>
        <w:rPr>
          <w:rFonts w:asciiTheme="minorBidi" w:hAnsiTheme="minorBidi"/>
          <w:sz w:val="32"/>
          <w:szCs w:val="32"/>
          <w:rtl/>
        </w:rPr>
      </w:pPr>
      <w:r w:rsidRPr="00F27422">
        <w:rPr>
          <w:rFonts w:asciiTheme="minorBidi" w:hAnsiTheme="minorBidi"/>
          <w:b/>
          <w:bCs/>
          <w:sz w:val="32"/>
          <w:szCs w:val="32"/>
          <w:rtl/>
        </w:rPr>
        <w:t>فمقتضى ذلك:</w:t>
      </w:r>
      <w:r w:rsidRPr="00F27422">
        <w:rPr>
          <w:rFonts w:asciiTheme="minorBidi" w:hAnsiTheme="minorBidi"/>
          <w:sz w:val="32"/>
          <w:szCs w:val="32"/>
          <w:rtl/>
        </w:rPr>
        <w:t xml:space="preserve"> النظرُ إلى ما كانت عليه وظيفةُ الحكام في زمن المعصومين (صلوات الله وسلامه عليهم أجمعين)</w:t>
      </w:r>
      <w:r w:rsidRPr="00F27422">
        <w:rPr>
          <w:rFonts w:asciiTheme="minorBidi" w:hAnsiTheme="minorBidi"/>
          <w:sz w:val="32"/>
          <w:szCs w:val="32"/>
        </w:rPr>
        <w:t>.</w:t>
      </w:r>
    </w:p>
    <w:p w14:paraId="120BFB1F" w14:textId="77777777" w:rsidR="00871371" w:rsidRPr="00F27422" w:rsidRDefault="00871371" w:rsidP="00122B70">
      <w:pPr>
        <w:bidi/>
        <w:rPr>
          <w:rFonts w:asciiTheme="minorBidi" w:hAnsiTheme="minorBidi"/>
          <w:sz w:val="32"/>
          <w:szCs w:val="32"/>
          <w:rtl/>
        </w:rPr>
      </w:pPr>
      <w:r w:rsidRPr="00F27422">
        <w:rPr>
          <w:rFonts w:asciiTheme="minorBidi" w:hAnsiTheme="minorBidi"/>
          <w:sz w:val="32"/>
          <w:szCs w:val="32"/>
          <w:rtl/>
        </w:rPr>
        <w:t>وقد أشار سيد المستمسك (قدس سره الشريف) – كما مضى بيانه - أنّه كان من شأن الحكام والوُلاة نصب الوُلاة والقُوام</w:t>
      </w:r>
      <w:r w:rsidRPr="00F27422">
        <w:rPr>
          <w:rFonts w:asciiTheme="minorBidi" w:hAnsiTheme="minorBidi"/>
          <w:sz w:val="32"/>
          <w:szCs w:val="32"/>
        </w:rPr>
        <w:t>.</w:t>
      </w:r>
    </w:p>
    <w:p w14:paraId="70AD80D7" w14:textId="77777777" w:rsidR="00871371" w:rsidRPr="00F27422" w:rsidRDefault="00871371" w:rsidP="00122B70">
      <w:pPr>
        <w:bidi/>
        <w:rPr>
          <w:rFonts w:asciiTheme="minorBidi" w:hAnsiTheme="minorBidi"/>
          <w:sz w:val="32"/>
          <w:szCs w:val="32"/>
          <w:rtl/>
        </w:rPr>
      </w:pPr>
      <w:r w:rsidRPr="00F27422">
        <w:rPr>
          <w:rFonts w:asciiTheme="minorBidi" w:hAnsiTheme="minorBidi"/>
          <w:sz w:val="32"/>
          <w:szCs w:val="32"/>
          <w:rtl/>
        </w:rPr>
        <w:t>ولكن سيدنا الخوئي (قدس سره الشريف) أصرَّ على أنّ مقبولة عمر بن حنظلة ناظرةٌ للقاضي وأنّ المراد بـ "الحاكم" هو "القاضي" وليس هناك عنوانان: عنوان "الحاكم" وعنوان "القاضي"؛ بل المعنون بهما واحدٌ.</w:t>
      </w:r>
    </w:p>
    <w:p w14:paraId="4B34BB3B" w14:textId="77777777" w:rsidR="00871371" w:rsidRPr="00F27422" w:rsidRDefault="00871371" w:rsidP="00122B70">
      <w:pPr>
        <w:bidi/>
        <w:rPr>
          <w:rFonts w:asciiTheme="minorBidi" w:hAnsiTheme="minorBidi"/>
          <w:sz w:val="32"/>
          <w:szCs w:val="32"/>
          <w:rtl/>
        </w:rPr>
      </w:pPr>
    </w:p>
    <w:p w14:paraId="40FF9B7A" w14:textId="77777777" w:rsidR="00871371" w:rsidRPr="00F27422" w:rsidRDefault="00871371" w:rsidP="00122B70">
      <w:pPr>
        <w:bidi/>
        <w:rPr>
          <w:rFonts w:asciiTheme="minorBidi" w:hAnsiTheme="minorBidi"/>
          <w:b/>
          <w:bCs/>
          <w:sz w:val="32"/>
          <w:szCs w:val="32"/>
          <w:rtl/>
        </w:rPr>
      </w:pPr>
      <w:r w:rsidRPr="00F27422">
        <w:rPr>
          <w:rFonts w:asciiTheme="minorBidi" w:hAnsiTheme="minorBidi"/>
          <w:b/>
          <w:bCs/>
          <w:sz w:val="32"/>
          <w:szCs w:val="32"/>
          <w:rtl/>
        </w:rPr>
        <w:t>والحمد لله رب العالمين</w:t>
      </w:r>
    </w:p>
    <w:p w14:paraId="5606A42D" w14:textId="77777777" w:rsidR="00C47707" w:rsidRPr="00F27422" w:rsidRDefault="00C47707" w:rsidP="00122B70">
      <w:pPr>
        <w:bidi/>
        <w:rPr>
          <w:rFonts w:asciiTheme="minorBidi" w:hAnsiTheme="minorBidi"/>
          <w:sz w:val="32"/>
          <w:szCs w:val="32"/>
        </w:rPr>
      </w:pPr>
    </w:p>
    <w:p w14:paraId="127BA6C9" w14:textId="77777777" w:rsidR="00871371" w:rsidRPr="00F27422" w:rsidRDefault="00871371" w:rsidP="00122B70">
      <w:pPr>
        <w:bidi/>
        <w:rPr>
          <w:rFonts w:asciiTheme="minorBidi" w:hAnsiTheme="minorBidi"/>
          <w:sz w:val="32"/>
          <w:szCs w:val="32"/>
        </w:rPr>
      </w:pPr>
    </w:p>
    <w:p w14:paraId="7DF2FD7C" w14:textId="6A542D44" w:rsidR="00871371" w:rsidRPr="00F27422" w:rsidRDefault="00871371" w:rsidP="00122B70">
      <w:pPr>
        <w:pStyle w:val="Heading3"/>
        <w:bidi/>
        <w:rPr>
          <w:rFonts w:asciiTheme="minorBidi" w:hAnsiTheme="minorBidi" w:cstheme="minorBidi"/>
          <w:sz w:val="32"/>
          <w:szCs w:val="32"/>
        </w:rPr>
      </w:pPr>
      <w:r w:rsidRPr="00F27422">
        <w:rPr>
          <w:rFonts w:asciiTheme="minorBidi" w:hAnsiTheme="minorBidi" w:cstheme="minorBidi"/>
          <w:sz w:val="32"/>
          <w:szCs w:val="32"/>
        </w:rPr>
        <w:t>033</w:t>
      </w:r>
    </w:p>
    <w:p w14:paraId="029BB37B" w14:textId="3538C34E"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Pr>
        <w:t xml:space="preserve"> </w:t>
      </w:r>
    </w:p>
    <w:p w14:paraId="1DFD9C4A"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إنّ الاستدلال بمقبولة عمر بن حنظلة في قوله (عليه السلام): (فإنِّي قَدْ جَعَلْتُهُ عَلَيْكُمْ حَاكِماً) لإثبات أنّ للفقيه الولاية على نصب القُوام والوُلاة على الأوقاف وأموال القصر ولايةً لا تنعزل بالموت، مبتنٍ على أحد وجهين:</w:t>
      </w:r>
    </w:p>
    <w:p w14:paraId="256193BB"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الوجه الأوّل:</w:t>
      </w:r>
      <w:r w:rsidRPr="00F27422">
        <w:rPr>
          <w:rFonts w:asciiTheme="minorBidi" w:hAnsiTheme="minorBidi"/>
          <w:sz w:val="32"/>
          <w:szCs w:val="32"/>
          <w:rtl/>
          <w:lang w:bidi="ar-BH"/>
        </w:rPr>
        <w:t xml:space="preserve"> </w:t>
      </w:r>
      <w:r w:rsidRPr="00F27422">
        <w:rPr>
          <w:rFonts w:asciiTheme="minorBidi" w:hAnsiTheme="minorBidi"/>
          <w:sz w:val="32"/>
          <w:szCs w:val="32"/>
          <w:highlight w:val="green"/>
          <w:rtl/>
          <w:lang w:bidi="ar-BH"/>
        </w:rPr>
        <w:t>ظهور عنوان "الحاكم" في الوالي، ومقتضى</w:t>
      </w:r>
      <w:r w:rsidRPr="00F27422">
        <w:rPr>
          <w:rFonts w:asciiTheme="minorBidi" w:hAnsiTheme="minorBidi"/>
          <w:sz w:val="32"/>
          <w:szCs w:val="32"/>
          <w:rtl/>
          <w:lang w:bidi="ar-BH"/>
        </w:rPr>
        <w:t xml:space="preserve"> ظهور عنوان "الحاكم" في </w:t>
      </w:r>
      <w:proofErr w:type="gramStart"/>
      <w:r w:rsidRPr="00F27422">
        <w:rPr>
          <w:rFonts w:asciiTheme="minorBidi" w:hAnsiTheme="minorBidi"/>
          <w:sz w:val="32"/>
          <w:szCs w:val="32"/>
          <w:rtl/>
          <w:lang w:bidi="ar-BH"/>
        </w:rPr>
        <w:t>الوالي  والمفروض</w:t>
      </w:r>
      <w:proofErr w:type="gramEnd"/>
      <w:r w:rsidRPr="00F27422">
        <w:rPr>
          <w:rFonts w:asciiTheme="minorBidi" w:hAnsiTheme="minorBidi"/>
          <w:sz w:val="32"/>
          <w:szCs w:val="32"/>
          <w:rtl/>
          <w:lang w:bidi="ar-BH"/>
        </w:rPr>
        <w:t xml:space="preserve"> أنّ من وظائف الوُلاة في زمن صدور الرواية نصب القيمين مِن قِبَلِهم اندراجُ هذه الوظيفة في قوله (عليه السلام): </w:t>
      </w:r>
      <w:r w:rsidRPr="00F27422">
        <w:rPr>
          <w:rFonts w:asciiTheme="minorBidi" w:hAnsiTheme="minorBidi"/>
          <w:b/>
          <w:bCs/>
          <w:sz w:val="32"/>
          <w:szCs w:val="32"/>
          <w:rtl/>
          <w:lang w:bidi="ar-BH"/>
        </w:rPr>
        <w:t>(فإنِّي قَدْ جَعَلْتُهُ عَلَيْكُمْ حَاكِماً).</w:t>
      </w:r>
    </w:p>
    <w:p w14:paraId="2B6D4666"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الوجه الثاني:</w:t>
      </w:r>
      <w:r w:rsidRPr="00F27422">
        <w:rPr>
          <w:rFonts w:asciiTheme="minorBidi" w:hAnsiTheme="minorBidi"/>
          <w:sz w:val="32"/>
          <w:szCs w:val="32"/>
          <w:rtl/>
          <w:lang w:bidi="ar-BH"/>
        </w:rPr>
        <w:t xml:space="preserve"> على فرض أنّ نفس عنوان "حاكم" لا ظهور له في أنّ المراد به الوالي، ولكن حيث إنّ ظاهر سياق المقبولة أنّ الإمام (عليه السلام) </w:t>
      </w:r>
      <w:r w:rsidRPr="00F27422">
        <w:rPr>
          <w:rFonts w:asciiTheme="minorBidi" w:hAnsiTheme="minorBidi"/>
          <w:sz w:val="32"/>
          <w:szCs w:val="32"/>
          <w:highlight w:val="green"/>
          <w:rtl/>
          <w:lang w:bidi="ar-BH"/>
        </w:rPr>
        <w:t>إنّما نصب الفقيه قاضياً لحاجة</w:t>
      </w:r>
      <w:r w:rsidRPr="00F27422">
        <w:rPr>
          <w:rFonts w:asciiTheme="minorBidi" w:hAnsiTheme="minorBidi"/>
          <w:sz w:val="32"/>
          <w:szCs w:val="32"/>
          <w:rtl/>
          <w:lang w:bidi="ar-BH"/>
        </w:rPr>
        <w:t xml:space="preserve"> الناس إليه؛ حيث إنّ الشيعة في زمان المعصومين (صلوات الله عليهم أجمعين) لعدم بسط أيديهم </w:t>
      </w:r>
      <w:r w:rsidRPr="00F27422">
        <w:rPr>
          <w:rFonts w:asciiTheme="minorBidi" w:hAnsiTheme="minorBidi"/>
          <w:sz w:val="32"/>
          <w:szCs w:val="32"/>
          <w:rtl/>
          <w:lang w:bidi="ar-BH"/>
        </w:rPr>
        <w:lastRenderedPageBreak/>
        <w:t xml:space="preserve">كانوا مضطرين إلى وجود مَن يقضي بينهم ويفض الخصومات ويرفع المنازعات وهذه الحاجة الشديدة لدى الشيعة اقتضتْ من الإمام (عليه السلام) - كما هو ظاهر المقبولة - أنْ ينصب قاضياً، فكما أنّ هذه الحاجة اقتضتْ أنْ ينصب قاضياً فالحاجة الماسة لوجود مَن هو مؤهلٌ للتصرّف في شؤون القصر والأيتام والأوقاف وما أشبه ذلك أشد، فإذا دلت الرواية على </w:t>
      </w:r>
      <w:r w:rsidRPr="00F27422">
        <w:rPr>
          <w:rFonts w:asciiTheme="minorBidi" w:hAnsiTheme="minorBidi"/>
          <w:color w:val="7030A0"/>
          <w:sz w:val="32"/>
          <w:szCs w:val="32"/>
          <w:rtl/>
          <w:lang w:bidi="ar-BH"/>
        </w:rPr>
        <w:t xml:space="preserve">تصديه (عليه السلام) لنصب القاضي </w:t>
      </w:r>
      <w:r w:rsidRPr="00F27422">
        <w:rPr>
          <w:rFonts w:asciiTheme="minorBidi" w:hAnsiTheme="minorBidi"/>
          <w:sz w:val="32"/>
          <w:szCs w:val="32"/>
          <w:rtl/>
          <w:lang w:bidi="ar-BH"/>
        </w:rPr>
        <w:t xml:space="preserve">نتيجةً للحاجة التي عرضها الراوي </w:t>
      </w:r>
      <w:r w:rsidRPr="00F27422">
        <w:rPr>
          <w:rFonts w:asciiTheme="minorBidi" w:hAnsiTheme="minorBidi"/>
          <w:sz w:val="32"/>
          <w:szCs w:val="32"/>
          <w:highlight w:val="green"/>
          <w:rtl/>
          <w:lang w:bidi="ar-BH"/>
        </w:rPr>
        <w:t>فيستكشف من ذلك بالإن وجود منصوبٍ مِن قبلهم (صلوات الله عليهم أجمعين) للأمور العامة التي يحتاج</w:t>
      </w:r>
      <w:r w:rsidRPr="00F27422">
        <w:rPr>
          <w:rFonts w:asciiTheme="minorBidi" w:hAnsiTheme="minorBidi"/>
          <w:sz w:val="32"/>
          <w:szCs w:val="32"/>
          <w:rtl/>
          <w:lang w:bidi="ar-BH"/>
        </w:rPr>
        <w:t xml:space="preserve"> إليها الشيعة، لا خصوص القضاة.</w:t>
      </w:r>
    </w:p>
    <w:p w14:paraId="1A328C40"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والبحث فعلاً في كلا الوجهين:</w:t>
      </w:r>
    </w:p>
    <w:p w14:paraId="203B3AE2" w14:textId="77777777" w:rsidR="00D1182D" w:rsidRPr="00F27422" w:rsidRDefault="00D1182D" w:rsidP="00122B70">
      <w:pPr>
        <w:bidi/>
        <w:rPr>
          <w:rFonts w:asciiTheme="minorBidi" w:hAnsiTheme="minorBidi"/>
          <w:sz w:val="32"/>
          <w:szCs w:val="32"/>
          <w:rtl/>
          <w:lang w:bidi="ar-BH"/>
        </w:rPr>
      </w:pPr>
      <w:r w:rsidRPr="00F27422">
        <w:rPr>
          <w:rFonts w:asciiTheme="minorBidi" w:hAnsiTheme="minorBidi"/>
          <w:b/>
          <w:bCs/>
          <w:sz w:val="32"/>
          <w:szCs w:val="32"/>
          <w:rtl/>
          <w:lang w:bidi="ar-BH"/>
        </w:rPr>
        <w:t>الوجه الأوّل:</w:t>
      </w:r>
      <w:r w:rsidRPr="00F27422">
        <w:rPr>
          <w:rFonts w:asciiTheme="minorBidi" w:hAnsiTheme="minorBidi"/>
          <w:sz w:val="32"/>
          <w:szCs w:val="32"/>
          <w:rtl/>
          <w:lang w:bidi="ar-BH"/>
        </w:rPr>
        <w:t xml:space="preserve"> قد أورد عليه سيدنا الخوئي (قدس سره الشريف) في موسوعته المباركة في كتابه [التنقيح في شرح العروة الوثقى، ج1، كتاب التقليد، ص364] بقوله:</w:t>
      </w:r>
    </w:p>
    <w:p w14:paraId="1B4EBC75"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المناقشة الأُولى: </w:t>
      </w:r>
      <w:r w:rsidRPr="00F27422">
        <w:rPr>
          <w:rFonts w:asciiTheme="minorBidi" w:hAnsiTheme="minorBidi"/>
          <w:b/>
          <w:bCs/>
          <w:sz w:val="32"/>
          <w:szCs w:val="32"/>
          <w:rtl/>
          <w:lang w:bidi="ar-BH"/>
        </w:rPr>
        <w:t>(أولاً: أن المقبولة ضعيفة السند، لعدم ثبوت وثاقة عمر بن حنظلة على ما مرّ غير مرة)</w:t>
      </w:r>
      <w:r w:rsidRPr="00F27422">
        <w:rPr>
          <w:rFonts w:asciiTheme="minorBidi" w:hAnsiTheme="minorBidi"/>
          <w:b/>
          <w:bCs/>
          <w:sz w:val="32"/>
          <w:szCs w:val="32"/>
        </w:rPr>
        <w:t>.</w:t>
      </w:r>
    </w:p>
    <w:p w14:paraId="36A08B81"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 xml:space="preserve">وفيه: </w:t>
      </w:r>
      <w:r w:rsidRPr="00F27422">
        <w:rPr>
          <w:rFonts w:asciiTheme="minorBidi" w:hAnsiTheme="minorBidi"/>
          <w:sz w:val="32"/>
          <w:szCs w:val="32"/>
          <w:rtl/>
          <w:lang w:bidi="ar-BH"/>
        </w:rPr>
        <w:t xml:space="preserve">أنّه يمكن توثيقه بما رواه يزيد بن خليفة، كما في الكافي: </w:t>
      </w:r>
      <w:r w:rsidRPr="00F27422">
        <w:rPr>
          <w:rFonts w:asciiTheme="minorBidi" w:hAnsiTheme="minorBidi"/>
          <w:b/>
          <w:bCs/>
          <w:sz w:val="32"/>
          <w:szCs w:val="32"/>
          <w:rtl/>
          <w:lang w:bidi="ar-BH"/>
        </w:rPr>
        <w:t xml:space="preserve">(عليّ بن إبراهيم، عن محمّد بن عيسى، عن يونس، عن يزيد بن خليفة قال: قلتُ لأبي </w:t>
      </w:r>
      <w:proofErr w:type="gramStart"/>
      <w:r w:rsidRPr="00F27422">
        <w:rPr>
          <w:rFonts w:asciiTheme="minorBidi" w:hAnsiTheme="minorBidi"/>
          <w:b/>
          <w:bCs/>
          <w:sz w:val="32"/>
          <w:szCs w:val="32"/>
          <w:rtl/>
          <w:lang w:bidi="ar-BH"/>
        </w:rPr>
        <w:t>عبدالله</w:t>
      </w:r>
      <w:proofErr w:type="gramEnd"/>
      <w:r w:rsidRPr="00F27422">
        <w:rPr>
          <w:rFonts w:asciiTheme="minorBidi" w:hAnsiTheme="minorBidi"/>
          <w:b/>
          <w:bCs/>
          <w:sz w:val="32"/>
          <w:szCs w:val="32"/>
          <w:rtl/>
          <w:lang w:bidi="ar-BH"/>
        </w:rPr>
        <w:t xml:space="preserve"> (عليه السلام): إنّ عُمَرَ بن حنظلة أتانا عنكَ بوقتٍ، قال: فقال أبو </w:t>
      </w:r>
      <w:proofErr w:type="gramStart"/>
      <w:r w:rsidRPr="00F27422">
        <w:rPr>
          <w:rFonts w:asciiTheme="minorBidi" w:hAnsiTheme="minorBidi"/>
          <w:b/>
          <w:bCs/>
          <w:sz w:val="32"/>
          <w:szCs w:val="32"/>
          <w:rtl/>
          <w:lang w:bidi="ar-BH"/>
        </w:rPr>
        <w:t>عبدالله</w:t>
      </w:r>
      <w:proofErr w:type="gramEnd"/>
      <w:r w:rsidRPr="00F27422">
        <w:rPr>
          <w:rFonts w:asciiTheme="minorBidi" w:hAnsiTheme="minorBidi"/>
          <w:b/>
          <w:bCs/>
          <w:sz w:val="32"/>
          <w:szCs w:val="32"/>
          <w:rtl/>
          <w:lang w:bidi="ar-BH"/>
        </w:rPr>
        <w:t xml:space="preserve"> (عليه السلام): إذاً لا يكذب </w:t>
      </w:r>
      <w:proofErr w:type="gramStart"/>
      <w:r w:rsidRPr="00F27422">
        <w:rPr>
          <w:rFonts w:asciiTheme="minorBidi" w:hAnsiTheme="minorBidi"/>
          <w:b/>
          <w:bCs/>
          <w:sz w:val="32"/>
          <w:szCs w:val="32"/>
          <w:rtl/>
          <w:lang w:bidi="ar-BH"/>
        </w:rPr>
        <w:t>علينا ..</w:t>
      </w:r>
      <w:proofErr w:type="spellStart"/>
      <w:r w:rsidRPr="00F27422">
        <w:rPr>
          <w:rFonts w:asciiTheme="minorBidi" w:hAnsiTheme="minorBidi"/>
          <w:b/>
          <w:bCs/>
          <w:sz w:val="32"/>
          <w:szCs w:val="32"/>
          <w:rtl/>
          <w:lang w:bidi="ar-BH"/>
        </w:rPr>
        <w:t>ألخ</w:t>
      </w:r>
      <w:proofErr w:type="spellEnd"/>
      <w:proofErr w:type="gramEnd"/>
      <w:r w:rsidRPr="00F27422">
        <w:rPr>
          <w:rFonts w:asciiTheme="minorBidi" w:hAnsiTheme="minorBidi"/>
          <w:b/>
          <w:bCs/>
          <w:sz w:val="32"/>
          <w:szCs w:val="32"/>
          <w:rtl/>
          <w:lang w:bidi="ar-BH"/>
        </w:rPr>
        <w:t>).</w:t>
      </w:r>
      <w:r w:rsidRPr="00F27422">
        <w:rPr>
          <w:rFonts w:asciiTheme="minorBidi" w:hAnsiTheme="minorBidi"/>
          <w:sz w:val="32"/>
          <w:szCs w:val="32"/>
          <w:rtl/>
          <w:lang w:bidi="ar-BH"/>
        </w:rPr>
        <w:t xml:space="preserve"> [الكافي، للشيخ الكليني، دار الكتب الإسلامية، ج3، كتاب الصلاة، باب وقت الظهر والعصر، ح1، وكذا باب وقت المغرب والعشاء الآخرة، ح6]</w:t>
      </w:r>
      <w:r w:rsidRPr="00F27422">
        <w:rPr>
          <w:rFonts w:asciiTheme="minorBidi" w:hAnsiTheme="minorBidi"/>
          <w:sz w:val="32"/>
          <w:szCs w:val="32"/>
        </w:rPr>
        <w:t>.</w:t>
      </w:r>
    </w:p>
    <w:p w14:paraId="481493C7"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والتعبير منه (عليه السلام): </w:t>
      </w:r>
      <w:r w:rsidRPr="00F27422">
        <w:rPr>
          <w:rFonts w:asciiTheme="minorBidi" w:hAnsiTheme="minorBidi"/>
          <w:b/>
          <w:bCs/>
          <w:sz w:val="32"/>
          <w:szCs w:val="32"/>
          <w:rtl/>
          <w:lang w:bidi="ar-BH"/>
        </w:rPr>
        <w:t>(إذاً لا يكذب علينا)</w:t>
      </w:r>
      <w:r w:rsidRPr="00F27422">
        <w:rPr>
          <w:rFonts w:asciiTheme="minorBidi" w:hAnsiTheme="minorBidi"/>
          <w:sz w:val="32"/>
          <w:szCs w:val="32"/>
          <w:rtl/>
          <w:lang w:bidi="ar-BH"/>
        </w:rPr>
        <w:t xml:space="preserve"> ظاهرٌ في توثيق عمر بن حنظلة</w:t>
      </w:r>
      <w:r w:rsidRPr="00F27422">
        <w:rPr>
          <w:rFonts w:asciiTheme="minorBidi" w:hAnsiTheme="minorBidi"/>
          <w:sz w:val="32"/>
          <w:szCs w:val="32"/>
        </w:rPr>
        <w:t>.</w:t>
      </w:r>
    </w:p>
    <w:p w14:paraId="587610CF"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وحيث إنّ صفوان بن يحيى روى عن يزيد بن خليفة في عدّة مواردٍ كما في كتاب [الكافي، للشيخ الكليني، دار الكتب الإسلامية، ج2، كتاب الإيمان والكفر، باب الورع، ح3]، وكذلك في [ج4، كتاب الصوم، باب كفارة الصوم وفديته، ح6]، وأيضاً في كتاب [من لا يحضره الفقيه، للشيخ الصدوق، مؤسسة النشر الإسلامي التابعة لجماعة المدرسين بقم المشرفة، ج2، كتاب الحج، باب نوادر الطواف، حديث رقم 2839]، وأيضاً في كتاب [تهذيب الأحكام، شيخ الطائفة الطوسي، دار الكتب الإسلامية، ج5، كتاب الحج، باب الطواف، ح115] وكذلك في [ج7، كتاب التجارات، باب الغرر </w:t>
      </w:r>
      <w:proofErr w:type="spellStart"/>
      <w:r w:rsidRPr="00F27422">
        <w:rPr>
          <w:rFonts w:asciiTheme="minorBidi" w:hAnsiTheme="minorBidi"/>
          <w:sz w:val="32"/>
          <w:szCs w:val="32"/>
          <w:rtl/>
          <w:lang w:bidi="ar-BH"/>
        </w:rPr>
        <w:t>والجازفة</w:t>
      </w:r>
      <w:proofErr w:type="spellEnd"/>
      <w:r w:rsidRPr="00F27422">
        <w:rPr>
          <w:rFonts w:asciiTheme="minorBidi" w:hAnsiTheme="minorBidi"/>
          <w:sz w:val="32"/>
          <w:szCs w:val="32"/>
          <w:rtl/>
          <w:lang w:bidi="ar-BH"/>
        </w:rPr>
        <w:t xml:space="preserve"> وشراء السرقة وما يجوز من ذلك وما لا يجوز، ح80 - ح81]</w:t>
      </w:r>
      <w:r w:rsidRPr="00F27422">
        <w:rPr>
          <w:rFonts w:asciiTheme="minorBidi" w:hAnsiTheme="minorBidi"/>
          <w:sz w:val="32"/>
          <w:szCs w:val="32"/>
        </w:rPr>
        <w:t>.</w:t>
      </w:r>
    </w:p>
    <w:p w14:paraId="446FB508"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lastRenderedPageBreak/>
        <w:t xml:space="preserve">فبناءً على وثاقة </w:t>
      </w:r>
      <w:proofErr w:type="spellStart"/>
      <w:r w:rsidRPr="00F27422">
        <w:rPr>
          <w:rFonts w:asciiTheme="minorBidi" w:hAnsiTheme="minorBidi"/>
          <w:sz w:val="32"/>
          <w:szCs w:val="32"/>
          <w:rtl/>
          <w:lang w:bidi="ar-BH"/>
        </w:rPr>
        <w:t>مشائخ</w:t>
      </w:r>
      <w:proofErr w:type="spellEnd"/>
      <w:r w:rsidRPr="00F27422">
        <w:rPr>
          <w:rFonts w:asciiTheme="minorBidi" w:hAnsiTheme="minorBidi"/>
          <w:sz w:val="32"/>
          <w:szCs w:val="32"/>
          <w:rtl/>
          <w:lang w:bidi="ar-BH"/>
        </w:rPr>
        <w:t xml:space="preserve"> الثلاثة ومنهم صفوان بن يحيى تثبت وثاقة يزيد بن خليفة، ومقتضى وثاقته تمامية الرواية الواردة في توثيق عمر بن حنظلة</w:t>
      </w:r>
      <w:r w:rsidRPr="00F27422">
        <w:rPr>
          <w:rFonts w:asciiTheme="minorBidi" w:hAnsiTheme="minorBidi"/>
          <w:sz w:val="32"/>
          <w:szCs w:val="32"/>
        </w:rPr>
        <w:t>.</w:t>
      </w:r>
    </w:p>
    <w:p w14:paraId="0C80D9F6"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إلّا أنّ سيدنا الخوئي (قدس سره الشريف) لا يرى تمامية الكُبرى وهي وثاقة </w:t>
      </w:r>
      <w:proofErr w:type="spellStart"/>
      <w:r w:rsidRPr="00F27422">
        <w:rPr>
          <w:rFonts w:asciiTheme="minorBidi" w:hAnsiTheme="minorBidi"/>
          <w:sz w:val="32"/>
          <w:szCs w:val="32"/>
          <w:rtl/>
          <w:lang w:bidi="ar-BH"/>
        </w:rPr>
        <w:t>مشائخ</w:t>
      </w:r>
      <w:proofErr w:type="spellEnd"/>
      <w:r w:rsidRPr="00F27422">
        <w:rPr>
          <w:rFonts w:asciiTheme="minorBidi" w:hAnsiTheme="minorBidi"/>
          <w:sz w:val="32"/>
          <w:szCs w:val="32"/>
          <w:rtl/>
          <w:lang w:bidi="ar-BH"/>
        </w:rPr>
        <w:t xml:space="preserve"> الثلاثة، فالمناقشة معه مبنائية</w:t>
      </w:r>
      <w:r w:rsidRPr="00F27422">
        <w:rPr>
          <w:rFonts w:asciiTheme="minorBidi" w:hAnsiTheme="minorBidi"/>
          <w:sz w:val="32"/>
          <w:szCs w:val="32"/>
        </w:rPr>
        <w:t>.</w:t>
      </w:r>
    </w:p>
    <w:p w14:paraId="463674FA"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المناقشة الثانية:</w:t>
      </w:r>
      <w:r w:rsidRPr="00F27422">
        <w:rPr>
          <w:rFonts w:asciiTheme="minorBidi" w:hAnsiTheme="minorBidi"/>
          <w:sz w:val="32"/>
          <w:szCs w:val="32"/>
          <w:rtl/>
          <w:lang w:bidi="ar-BH"/>
        </w:rPr>
        <w:t xml:space="preserve"> ما أفاده (قدس سره) من أنّ الظاهر عرفاً من عنوان "الحاكم" هو "القاضي"، فقوله (عليه السلام): </w:t>
      </w:r>
      <w:r w:rsidRPr="00F27422">
        <w:rPr>
          <w:rFonts w:asciiTheme="minorBidi" w:hAnsiTheme="minorBidi"/>
          <w:b/>
          <w:bCs/>
          <w:sz w:val="32"/>
          <w:szCs w:val="32"/>
          <w:rtl/>
          <w:lang w:bidi="ar-BH"/>
        </w:rPr>
        <w:t>(فإنِّي قَدْ جَعَلْتُهُ عَلَيْكُمْ حَاكِماً)</w:t>
      </w:r>
      <w:r w:rsidRPr="00F27422">
        <w:rPr>
          <w:rFonts w:asciiTheme="minorBidi" w:hAnsiTheme="minorBidi"/>
          <w:sz w:val="32"/>
          <w:szCs w:val="32"/>
          <w:rtl/>
          <w:lang w:bidi="ar-BH"/>
        </w:rPr>
        <w:t xml:space="preserve"> أي: جعلته عليكم قاضياً</w:t>
      </w:r>
      <w:r w:rsidRPr="00F27422">
        <w:rPr>
          <w:rFonts w:asciiTheme="minorBidi" w:hAnsiTheme="minorBidi"/>
          <w:sz w:val="32"/>
          <w:szCs w:val="32"/>
        </w:rPr>
        <w:t>.</w:t>
      </w:r>
    </w:p>
    <w:p w14:paraId="32328705"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 xml:space="preserve">ويمكن تقريب كلامه (قدس سره) بعدّة قرائن - وإنْ لم يستدل </w:t>
      </w:r>
      <w:proofErr w:type="gramStart"/>
      <w:r w:rsidRPr="00F27422">
        <w:rPr>
          <w:rFonts w:asciiTheme="minorBidi" w:hAnsiTheme="minorBidi"/>
          <w:b/>
          <w:bCs/>
          <w:sz w:val="32"/>
          <w:szCs w:val="32"/>
          <w:rtl/>
          <w:lang w:bidi="ar-BH"/>
        </w:rPr>
        <w:t>بها</w:t>
      </w:r>
      <w:r w:rsidRPr="00F27422">
        <w:rPr>
          <w:rFonts w:asciiTheme="minorBidi" w:hAnsiTheme="minorBidi"/>
          <w:b/>
          <w:bCs/>
          <w:sz w:val="32"/>
          <w:szCs w:val="32"/>
        </w:rPr>
        <w:t xml:space="preserve"> </w:t>
      </w:r>
      <w:r w:rsidRPr="00F27422">
        <w:rPr>
          <w:rFonts w:asciiTheme="minorBidi" w:hAnsiTheme="minorBidi"/>
          <w:b/>
          <w:bCs/>
          <w:sz w:val="32"/>
          <w:szCs w:val="32"/>
          <w:rtl/>
          <w:lang w:bidi="ar-BH"/>
        </w:rPr>
        <w:t xml:space="preserve"> -</w:t>
      </w:r>
      <w:proofErr w:type="gramEnd"/>
      <w:r w:rsidRPr="00F27422">
        <w:rPr>
          <w:rFonts w:asciiTheme="minorBidi" w:hAnsiTheme="minorBidi"/>
          <w:b/>
          <w:bCs/>
          <w:sz w:val="32"/>
          <w:szCs w:val="32"/>
          <w:rtl/>
          <w:lang w:bidi="ar-BH"/>
        </w:rPr>
        <w:t>:</w:t>
      </w:r>
    </w:p>
    <w:p w14:paraId="57728961"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القرينة الأُولى:</w:t>
      </w:r>
      <w:r w:rsidRPr="00F27422">
        <w:rPr>
          <w:rFonts w:asciiTheme="minorBidi" w:hAnsiTheme="minorBidi"/>
          <w:sz w:val="32"/>
          <w:szCs w:val="32"/>
          <w:rtl/>
          <w:lang w:bidi="ar-BH"/>
        </w:rPr>
        <w:t xml:space="preserve"> أنّه ورد استعمال "حاكم" في القضاء</w:t>
      </w:r>
      <w:r w:rsidRPr="00F27422">
        <w:rPr>
          <w:rFonts w:asciiTheme="minorBidi" w:hAnsiTheme="minorBidi"/>
          <w:sz w:val="32"/>
          <w:szCs w:val="32"/>
        </w:rPr>
        <w:t>:</w:t>
      </w:r>
    </w:p>
    <w:p w14:paraId="600D41C7"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نحو قول الله تبارك وتعالى: </w:t>
      </w:r>
      <w:r w:rsidRPr="00F27422">
        <w:rPr>
          <w:rFonts w:asciiTheme="minorBidi" w:hAnsiTheme="minorBidi"/>
          <w:b/>
          <w:bCs/>
          <w:sz w:val="32"/>
          <w:szCs w:val="32"/>
          <w:rtl/>
          <w:lang w:bidi="ar-BH"/>
        </w:rPr>
        <w:t>(وَلَا تَأْكُلُوا أَمْوَالَكُم بَيْنَكُم بِالْبَاطِلِ وَتُدْلُوا بِهَا إِلَى الْحُكَّامِ لِتَأْكُلُوا فَرِيقًا مِّنْ أَمْوَالِ النَّاسِ بِالْإِثْمِ وَأَنتُمْ تَعْلَمُونَ)</w:t>
      </w:r>
      <w:r w:rsidRPr="00F27422">
        <w:rPr>
          <w:rFonts w:asciiTheme="minorBidi" w:hAnsiTheme="minorBidi"/>
          <w:sz w:val="32"/>
          <w:szCs w:val="32"/>
          <w:rtl/>
          <w:lang w:bidi="ar-BH"/>
        </w:rPr>
        <w:t xml:space="preserve"> [البقرة، 188]</w:t>
      </w:r>
      <w:r w:rsidRPr="00F27422">
        <w:rPr>
          <w:rFonts w:asciiTheme="minorBidi" w:hAnsiTheme="minorBidi"/>
          <w:sz w:val="32"/>
          <w:szCs w:val="32"/>
        </w:rPr>
        <w:t>.</w:t>
      </w:r>
    </w:p>
    <w:p w14:paraId="77A14C93"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ومن الواضح أنّ المراد بمَن يُؤخذ بحكمه فيؤكل به أموال فريقٍ مِن الناس هو القاضي</w:t>
      </w:r>
      <w:r w:rsidRPr="00F27422">
        <w:rPr>
          <w:rFonts w:asciiTheme="minorBidi" w:hAnsiTheme="minorBidi"/>
          <w:sz w:val="32"/>
          <w:szCs w:val="32"/>
        </w:rPr>
        <w:t>.</w:t>
      </w:r>
    </w:p>
    <w:p w14:paraId="0203A914"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ويؤكد ذلك حديث الحسن بن عليّ بن فضال، كما في الوسائل: </w:t>
      </w:r>
      <w:r w:rsidRPr="00F27422">
        <w:rPr>
          <w:rFonts w:asciiTheme="minorBidi" w:hAnsiTheme="minorBidi"/>
          <w:b/>
          <w:bCs/>
          <w:sz w:val="32"/>
          <w:szCs w:val="32"/>
          <w:rtl/>
          <w:lang w:bidi="ar-BH"/>
        </w:rPr>
        <w:t>(وبإسناده عن محمّد بن أحمد بن يحيى، عن محمّد بن عيسى، عن الحسن بن عليِّ بن فضّال، قال: قرأت في كتاب أبي الأسد إلى أبي الحسن الثاني (عليه السلام)، وقرأته بخطّه، سأله ما تفسير قوله تعالى: (</w:t>
      </w:r>
      <w:r w:rsidRPr="00F27422">
        <w:rPr>
          <w:rFonts w:asciiTheme="minorBidi" w:hAnsiTheme="minorBidi"/>
          <w:b/>
          <w:bCs/>
          <w:sz w:val="32"/>
          <w:szCs w:val="32"/>
          <w:highlight w:val="green"/>
          <w:rtl/>
          <w:lang w:bidi="ar-BH"/>
        </w:rPr>
        <w:t>وَلا تَأْكُلُوا أَمْوَالَكُم بَيْنَكُم بِالْبَاطِلِ وَتُدْلُوا بِهَا إِلَى الحُكَّامِ</w:t>
      </w:r>
      <w:r w:rsidRPr="00F27422">
        <w:rPr>
          <w:rFonts w:asciiTheme="minorBidi" w:hAnsiTheme="minorBidi"/>
          <w:b/>
          <w:bCs/>
          <w:sz w:val="32"/>
          <w:szCs w:val="32"/>
          <w:rtl/>
          <w:lang w:bidi="ar-BH"/>
        </w:rPr>
        <w:t>) فكتب بخطّه: الحكّام القضاة ثمَّ كتب تحته: هو أن يعلم الرَّجل أنه ظالم، فيحكم له القاضي، فهو غير معذور في أخذه ذلك الذي قد حكم له، إذا كان قد علم أنّه ظالم).</w:t>
      </w:r>
      <w:r w:rsidRPr="00F27422">
        <w:rPr>
          <w:rFonts w:asciiTheme="minorBidi" w:hAnsiTheme="minorBidi"/>
          <w:sz w:val="32"/>
          <w:szCs w:val="32"/>
          <w:rtl/>
          <w:lang w:bidi="ar-BH"/>
        </w:rPr>
        <w:t xml:space="preserve"> [وسائل الشيعة، الحر العاملي، مؤسسة آل البيت (عليهم السلام) لإحياء التراث، ج27، كتاب القضاء، أبواب صفات القاضي، وما يجوز أن يقضي به، الباب 1 باب أنه يشترط فيه الإِيمان والعدالة، فلا يجوز الترافع إلى قضاة الجور وحكامهم، إلاّ مع التقية والخوف، ولا يمضي حكمهم وإن وافق الحق، ح9]</w:t>
      </w:r>
      <w:r w:rsidRPr="00F27422">
        <w:rPr>
          <w:rFonts w:asciiTheme="minorBidi" w:hAnsiTheme="minorBidi"/>
          <w:sz w:val="32"/>
          <w:szCs w:val="32"/>
        </w:rPr>
        <w:t>.</w:t>
      </w:r>
    </w:p>
    <w:p w14:paraId="617A198A"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وكذا قوله سبحانه وتعالى: </w:t>
      </w:r>
      <w:r w:rsidRPr="00F27422">
        <w:rPr>
          <w:rFonts w:asciiTheme="minorBidi" w:hAnsiTheme="minorBidi"/>
          <w:b/>
          <w:bCs/>
          <w:sz w:val="32"/>
          <w:szCs w:val="32"/>
          <w:rtl/>
          <w:lang w:bidi="ar-BH"/>
        </w:rPr>
        <w:t xml:space="preserve">(إِنَّ </w:t>
      </w:r>
      <w:r w:rsidRPr="00F27422">
        <w:rPr>
          <w:rFonts w:asciiTheme="minorBidi" w:hAnsiTheme="minorBidi"/>
          <w:b/>
          <w:bCs/>
          <w:sz w:val="32"/>
          <w:szCs w:val="32"/>
          <w:highlight w:val="green"/>
          <w:rtl/>
          <w:lang w:bidi="ar-BH"/>
        </w:rPr>
        <w:t>اللَّهَ يَأْمُرُكُمْ أَن تُؤَدُّوا الْأَمَانَاتِ إِلَىٰ أَهْلِهَا وَإِذَا حَكَمْتُم بَيْنَ النَّاسِ أَن تَحْكُمُوا بِالْعَدْلِ إِنَّ اللَّهَ نِعِمَّا يَعِظُكُم بِهِ إِنَّ اللَّهَ كَانَ سَمِيعًا بَصِيرًا</w:t>
      </w:r>
      <w:r w:rsidRPr="00F27422">
        <w:rPr>
          <w:rFonts w:asciiTheme="minorBidi" w:hAnsiTheme="minorBidi"/>
          <w:b/>
          <w:bCs/>
          <w:sz w:val="32"/>
          <w:szCs w:val="32"/>
          <w:rtl/>
          <w:lang w:bidi="ar-BH"/>
        </w:rPr>
        <w:t>)</w:t>
      </w:r>
      <w:r w:rsidRPr="00F27422">
        <w:rPr>
          <w:rFonts w:asciiTheme="minorBidi" w:hAnsiTheme="minorBidi"/>
          <w:sz w:val="32"/>
          <w:szCs w:val="32"/>
          <w:rtl/>
          <w:lang w:bidi="ar-BH"/>
        </w:rPr>
        <w:t xml:space="preserve"> [النساء، 58]</w:t>
      </w:r>
      <w:r w:rsidRPr="00F27422">
        <w:rPr>
          <w:rFonts w:asciiTheme="minorBidi" w:hAnsiTheme="minorBidi"/>
          <w:sz w:val="32"/>
          <w:szCs w:val="32"/>
        </w:rPr>
        <w:t>.</w:t>
      </w:r>
    </w:p>
    <w:p w14:paraId="2432A299"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وظاهر الحكومة بالعدل إرادة القضاء</w:t>
      </w:r>
      <w:r w:rsidRPr="00F27422">
        <w:rPr>
          <w:rFonts w:asciiTheme="minorBidi" w:hAnsiTheme="minorBidi"/>
          <w:sz w:val="32"/>
          <w:szCs w:val="32"/>
        </w:rPr>
        <w:t>.</w:t>
      </w:r>
    </w:p>
    <w:p w14:paraId="45947B6F"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وقد ورد في رواية سليمان بن خالد، كما في الوسائل: </w:t>
      </w:r>
      <w:r w:rsidRPr="00F27422">
        <w:rPr>
          <w:rFonts w:asciiTheme="minorBidi" w:hAnsiTheme="minorBidi"/>
          <w:b/>
          <w:bCs/>
          <w:sz w:val="32"/>
          <w:szCs w:val="32"/>
          <w:rtl/>
          <w:lang w:bidi="ar-BH"/>
        </w:rPr>
        <w:t xml:space="preserve">(وعن عدَّة من أصحابنا، عن سهل بن زياد، عن محمّد بن عيسى، عن أبي عبد الله المؤمن، عن ابن مسكان، عن سليمان بن خالد، عن أبي </w:t>
      </w:r>
      <w:proofErr w:type="gramStart"/>
      <w:r w:rsidRPr="00F27422">
        <w:rPr>
          <w:rFonts w:asciiTheme="minorBidi" w:hAnsiTheme="minorBidi"/>
          <w:b/>
          <w:bCs/>
          <w:sz w:val="32"/>
          <w:szCs w:val="32"/>
          <w:rtl/>
          <w:lang w:bidi="ar-BH"/>
        </w:rPr>
        <w:t>عبدالله</w:t>
      </w:r>
      <w:proofErr w:type="gramEnd"/>
      <w:r w:rsidRPr="00F27422">
        <w:rPr>
          <w:rFonts w:asciiTheme="minorBidi" w:hAnsiTheme="minorBidi"/>
          <w:b/>
          <w:bCs/>
          <w:sz w:val="32"/>
          <w:szCs w:val="32"/>
          <w:rtl/>
          <w:lang w:bidi="ar-BH"/>
        </w:rPr>
        <w:t xml:space="preserve"> (عليه السلام) قال: اتّقوا الحكومة، فإنَّ الحكومة إنّما هي للإِمام العالم </w:t>
      </w:r>
      <w:r w:rsidRPr="00F27422">
        <w:rPr>
          <w:rFonts w:asciiTheme="minorBidi" w:hAnsiTheme="minorBidi"/>
          <w:b/>
          <w:bCs/>
          <w:sz w:val="32"/>
          <w:szCs w:val="32"/>
          <w:rtl/>
          <w:lang w:bidi="ar-BH"/>
        </w:rPr>
        <w:lastRenderedPageBreak/>
        <w:t>بالقضاء، العادل في المسلمين لنبي، أو وصيّ نبيّ).</w:t>
      </w:r>
      <w:r w:rsidRPr="00F27422">
        <w:rPr>
          <w:rFonts w:asciiTheme="minorBidi" w:hAnsiTheme="minorBidi"/>
          <w:sz w:val="32"/>
          <w:szCs w:val="32"/>
          <w:rtl/>
          <w:lang w:bidi="ar-BH"/>
        </w:rPr>
        <w:t xml:space="preserve"> [وسائل الشيعة، الحر العاملي، مؤسسة آل البيت (عليهم السلام) لإحياء التراث، ج27، كتاب القضاء، أبواب صفات القاضي، وما يجوز أن يقضي به، الباب 3 باب أنه لا يجوز لأحد أن يحكم إلاّ الإِمام، أو من يروي حكم الإِمام، فيحكم به، ح3]</w:t>
      </w:r>
      <w:r w:rsidRPr="00F27422">
        <w:rPr>
          <w:rFonts w:asciiTheme="minorBidi" w:hAnsiTheme="minorBidi"/>
          <w:sz w:val="32"/>
          <w:szCs w:val="32"/>
        </w:rPr>
        <w:t>.</w:t>
      </w:r>
    </w:p>
    <w:p w14:paraId="6C501F79"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وظاهره أنّ المراد بالحكومة القضاء</w:t>
      </w:r>
      <w:r w:rsidRPr="00F27422">
        <w:rPr>
          <w:rFonts w:asciiTheme="minorBidi" w:hAnsiTheme="minorBidi"/>
          <w:sz w:val="32"/>
          <w:szCs w:val="32"/>
        </w:rPr>
        <w:t>.</w:t>
      </w:r>
    </w:p>
    <w:p w14:paraId="58D4501A"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وقول أمير المؤمنين عليٍّ (صلوات الله عليه) في العهد في خطابه لمالك الأشتر (رضي الله عنه) قال: </w:t>
      </w:r>
      <w:r w:rsidRPr="00F27422">
        <w:rPr>
          <w:rFonts w:asciiTheme="minorBidi" w:hAnsiTheme="minorBidi"/>
          <w:b/>
          <w:bCs/>
          <w:sz w:val="32"/>
          <w:szCs w:val="32"/>
          <w:rtl/>
          <w:lang w:bidi="ar-BH"/>
        </w:rPr>
        <w:t>(اخْتَرْ لِلْحُكْمِ بَيْنَ النَّاسِ أَفْضَلَ رَعِيَّتِكَ فِي نَفْسِكَ).</w:t>
      </w:r>
      <w:r w:rsidRPr="00F27422">
        <w:rPr>
          <w:rFonts w:asciiTheme="minorBidi" w:hAnsiTheme="minorBidi"/>
          <w:sz w:val="32"/>
          <w:szCs w:val="32"/>
          <w:rtl/>
          <w:lang w:bidi="ar-BH"/>
        </w:rPr>
        <w:t xml:space="preserve"> [نهج البلاغة، السيد الشريف الرضي، دار الكتاب اللبناني، ج1، ص434]</w:t>
      </w:r>
      <w:r w:rsidRPr="00F27422">
        <w:rPr>
          <w:rFonts w:asciiTheme="minorBidi" w:hAnsiTheme="minorBidi"/>
          <w:sz w:val="32"/>
          <w:szCs w:val="32"/>
        </w:rPr>
        <w:t>.</w:t>
      </w:r>
    </w:p>
    <w:p w14:paraId="6411EC0E"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والظاهر أنّ المراد بالحكم بين الناس هو "القضاء"؛ لأنّ الولاية هي لمالك الأشتر نفسه</w:t>
      </w:r>
      <w:r w:rsidRPr="00F27422">
        <w:rPr>
          <w:rFonts w:asciiTheme="minorBidi" w:hAnsiTheme="minorBidi"/>
          <w:sz w:val="32"/>
          <w:szCs w:val="32"/>
        </w:rPr>
        <w:t>.</w:t>
      </w:r>
    </w:p>
    <w:p w14:paraId="1E99C388"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القرينة الثانية:</w:t>
      </w:r>
      <w:r w:rsidRPr="00F27422">
        <w:rPr>
          <w:rFonts w:asciiTheme="minorBidi" w:hAnsiTheme="minorBidi"/>
          <w:sz w:val="32"/>
          <w:szCs w:val="32"/>
          <w:rtl/>
          <w:lang w:bidi="ar-BH"/>
        </w:rPr>
        <w:t xml:space="preserve"> إنّ ورود مقبولة عمر بن حنظلة في مورد المنازعات - في دَينٍ أو ميراثٍ - إنْ لم يكن قرينة على النظر للقضاء فلا أقل مِن كونه صارفاً عن ظهور عنوان "الحاكم" في مطلق الوالي.</w:t>
      </w:r>
    </w:p>
    <w:p w14:paraId="0BEF0835"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القرينة الثالثة:</w:t>
      </w:r>
      <w:r w:rsidRPr="00F27422">
        <w:rPr>
          <w:rFonts w:asciiTheme="minorBidi" w:hAnsiTheme="minorBidi"/>
          <w:sz w:val="32"/>
          <w:szCs w:val="32"/>
          <w:rtl/>
          <w:lang w:bidi="ar-BH"/>
        </w:rPr>
        <w:t xml:space="preserve"> إنّ قول الراوي في السؤال: </w:t>
      </w:r>
      <w:r w:rsidRPr="00F27422">
        <w:rPr>
          <w:rFonts w:asciiTheme="minorBidi" w:hAnsiTheme="minorBidi"/>
          <w:b/>
          <w:bCs/>
          <w:sz w:val="32"/>
          <w:szCs w:val="32"/>
          <w:rtl/>
          <w:lang w:bidi="ar-BH"/>
        </w:rPr>
        <w:t>(فتحاكما إلى السلطان وإلى القضاة)</w:t>
      </w:r>
      <w:r w:rsidRPr="00F27422">
        <w:rPr>
          <w:rFonts w:asciiTheme="minorBidi" w:hAnsiTheme="minorBidi"/>
          <w:sz w:val="32"/>
          <w:szCs w:val="32"/>
          <w:rtl/>
          <w:lang w:bidi="ar-BH"/>
        </w:rPr>
        <w:t xml:space="preserve"> ظاهرٌ في النظر لفرض المرافعات التي ترجع للقضاة وإلّا فالذي يمتنع عن أداء حقّ الغير لا يتحاكم إلى أحد</w:t>
      </w:r>
      <w:r w:rsidRPr="00F27422">
        <w:rPr>
          <w:rFonts w:asciiTheme="minorBidi" w:hAnsiTheme="minorBidi"/>
          <w:sz w:val="32"/>
          <w:szCs w:val="32"/>
        </w:rPr>
        <w:t>.</w:t>
      </w:r>
    </w:p>
    <w:p w14:paraId="6C1A9DE3"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 xml:space="preserve">القرينة الرابعة: </w:t>
      </w:r>
      <w:r w:rsidRPr="00F27422">
        <w:rPr>
          <w:rFonts w:asciiTheme="minorBidi" w:hAnsiTheme="minorBidi"/>
          <w:sz w:val="32"/>
          <w:szCs w:val="32"/>
          <w:rtl/>
          <w:lang w:bidi="ar-BH"/>
        </w:rPr>
        <w:t>إنّ القدر المتيقن من مورد المقبولة هو زمان الحضور، إذ من الواضح أنّه لا مجال مع وجودهم (عليهم السلام) للتصدي لمنصب الولاية بخلاف القضاء، فإنّ التصدي له بنصبٍ منه (عليه السلام) للحاجة الشديدة آنذاك لرفع الخصومات وفض المنازعات معقولٌ</w:t>
      </w:r>
      <w:r w:rsidRPr="00F27422">
        <w:rPr>
          <w:rFonts w:asciiTheme="minorBidi" w:hAnsiTheme="minorBidi"/>
          <w:sz w:val="32"/>
          <w:szCs w:val="32"/>
        </w:rPr>
        <w:t>.</w:t>
      </w:r>
    </w:p>
    <w:p w14:paraId="5427F5FD"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هذا تمام ما يمكن أنْ يقرب به كلام سيدنا الخوئي (قدس سره الشريف)</w:t>
      </w:r>
      <w:r w:rsidRPr="00F27422">
        <w:rPr>
          <w:rFonts w:asciiTheme="minorBidi" w:hAnsiTheme="minorBidi"/>
          <w:sz w:val="32"/>
          <w:szCs w:val="32"/>
        </w:rPr>
        <w:t>.</w:t>
      </w:r>
    </w:p>
    <w:p w14:paraId="1C14D3BD"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ولكن يمكن أنْ يجاب عن ذلك</w:t>
      </w:r>
      <w:r w:rsidRPr="00F27422">
        <w:rPr>
          <w:rFonts w:asciiTheme="minorBidi" w:hAnsiTheme="minorBidi"/>
          <w:b/>
          <w:bCs/>
          <w:sz w:val="32"/>
          <w:szCs w:val="32"/>
        </w:rPr>
        <w:t>:</w:t>
      </w:r>
    </w:p>
    <w:p w14:paraId="660BB18E"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أولاً:</w:t>
      </w:r>
      <w:r w:rsidRPr="00F27422">
        <w:rPr>
          <w:rFonts w:asciiTheme="minorBidi" w:hAnsiTheme="minorBidi"/>
          <w:sz w:val="32"/>
          <w:szCs w:val="32"/>
          <w:rtl/>
          <w:lang w:bidi="ar-BH"/>
        </w:rPr>
        <w:t xml:space="preserve"> بأنّ مادة الحكم من حيث الأساس اللغوي هي عبارة عن المنع، كما أُشير إلى ذلك في مفردات الراغب ومقاييس اللغة ولسان العرب</w:t>
      </w:r>
      <w:r w:rsidRPr="00F27422">
        <w:rPr>
          <w:rFonts w:asciiTheme="minorBidi" w:hAnsiTheme="minorBidi"/>
          <w:sz w:val="32"/>
          <w:szCs w:val="32"/>
        </w:rPr>
        <w:t>.</w:t>
      </w:r>
    </w:p>
    <w:p w14:paraId="69A781C1"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قال الراغب في المفردات: </w:t>
      </w:r>
      <w:r w:rsidRPr="00F27422">
        <w:rPr>
          <w:rFonts w:asciiTheme="minorBidi" w:hAnsiTheme="minorBidi"/>
          <w:b/>
          <w:bCs/>
          <w:sz w:val="32"/>
          <w:szCs w:val="32"/>
          <w:rtl/>
          <w:lang w:bidi="ar-BH"/>
        </w:rPr>
        <w:t xml:space="preserve">(حَكَمَ أصله: منع منعا لإصلاح، ومنه سميت اللّجام: حَكَمَة الدابّة، فقيل: حكمته وحَكَمْتُ الدّابة: منعتها بالحكمة، وأَحْكَمْتُهَا: جعلت لها حكمة، وكذلك: حكمت السفيه </w:t>
      </w:r>
      <w:proofErr w:type="gramStart"/>
      <w:r w:rsidRPr="00F27422">
        <w:rPr>
          <w:rFonts w:asciiTheme="minorBidi" w:hAnsiTheme="minorBidi"/>
          <w:b/>
          <w:bCs/>
          <w:sz w:val="32"/>
          <w:szCs w:val="32"/>
          <w:rtl/>
          <w:lang w:bidi="ar-BH"/>
        </w:rPr>
        <w:t>وأحكمته)...</w:t>
      </w:r>
      <w:proofErr w:type="gramEnd"/>
      <w:r w:rsidRPr="00F27422">
        <w:rPr>
          <w:rFonts w:asciiTheme="minorBidi" w:hAnsiTheme="minorBidi"/>
          <w:b/>
          <w:bCs/>
          <w:sz w:val="32"/>
          <w:szCs w:val="32"/>
          <w:rtl/>
          <w:lang w:bidi="ar-BH"/>
        </w:rPr>
        <w:t xml:space="preserve"> </w:t>
      </w:r>
      <w:r w:rsidRPr="00F27422">
        <w:rPr>
          <w:rFonts w:asciiTheme="minorBidi" w:hAnsiTheme="minorBidi"/>
          <w:sz w:val="32"/>
          <w:szCs w:val="32"/>
          <w:rtl/>
          <w:lang w:bidi="ar-BH"/>
        </w:rPr>
        <w:t xml:space="preserve">إلى أنْ قال: </w:t>
      </w:r>
      <w:r w:rsidRPr="00F27422">
        <w:rPr>
          <w:rFonts w:asciiTheme="minorBidi" w:hAnsiTheme="minorBidi"/>
          <w:b/>
          <w:bCs/>
          <w:sz w:val="32"/>
          <w:szCs w:val="32"/>
          <w:rtl/>
          <w:lang w:bidi="ar-BH"/>
        </w:rPr>
        <w:t xml:space="preserve">(والحُكْم بالشيء: أن تقضي بأنّه كذا، أو ليس بكذا، سواء </w:t>
      </w:r>
      <w:r w:rsidRPr="00F27422">
        <w:rPr>
          <w:rFonts w:asciiTheme="minorBidi" w:hAnsiTheme="minorBidi"/>
          <w:b/>
          <w:bCs/>
          <w:sz w:val="32"/>
          <w:szCs w:val="32"/>
          <w:rtl/>
          <w:lang w:bidi="ar-BH"/>
        </w:rPr>
        <w:lastRenderedPageBreak/>
        <w:t>ألزمت ذلك غيره أو لم تلزمه، قال تعالى: (وَإِذا حَكَمْتُمْ بَيْنَ النَّاسِ أَنْ تَحْكُمُوا بِالْعَدْلِ)</w:t>
      </w:r>
      <w:r w:rsidRPr="00F27422">
        <w:rPr>
          <w:rFonts w:asciiTheme="minorBidi" w:hAnsiTheme="minorBidi"/>
          <w:sz w:val="32"/>
          <w:szCs w:val="32"/>
          <w:rtl/>
          <w:lang w:bidi="ar-BH"/>
        </w:rPr>
        <w:t xml:space="preserve"> [النساء، 58]. [المفردات في غريب القرآن، الراغب الأصفهاني، دار القلم، ج1، ص248].</w:t>
      </w:r>
    </w:p>
    <w:p w14:paraId="5A29BBE7" w14:textId="77777777" w:rsidR="00D1182D" w:rsidRPr="00F27422" w:rsidRDefault="00D1182D" w:rsidP="00122B70">
      <w:pPr>
        <w:bidi/>
        <w:rPr>
          <w:rFonts w:asciiTheme="minorBidi" w:hAnsiTheme="minorBidi"/>
          <w:sz w:val="32"/>
          <w:szCs w:val="32"/>
          <w:rtl/>
          <w:lang w:bidi="ar-BH"/>
        </w:rPr>
      </w:pPr>
      <w:r w:rsidRPr="00F27422">
        <w:rPr>
          <w:rFonts w:asciiTheme="minorBidi" w:hAnsiTheme="minorBidi"/>
          <w:sz w:val="32"/>
          <w:szCs w:val="32"/>
          <w:rtl/>
          <w:lang w:bidi="ar-BH"/>
        </w:rPr>
        <w:t>فالحكم يطلق على القضاء؛ لأنّ القاضي يمنع، وإلّا فأصل المادة يعني جامع المنع.</w:t>
      </w:r>
    </w:p>
    <w:p w14:paraId="0E1A7140"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قال ابن فارس في </w:t>
      </w:r>
      <w:proofErr w:type="spellStart"/>
      <w:r w:rsidRPr="00F27422">
        <w:rPr>
          <w:rFonts w:asciiTheme="minorBidi" w:hAnsiTheme="minorBidi"/>
          <w:sz w:val="32"/>
          <w:szCs w:val="32"/>
          <w:rtl/>
          <w:lang w:bidi="ar-BH"/>
        </w:rPr>
        <w:t>مقائيس</w:t>
      </w:r>
      <w:proofErr w:type="spellEnd"/>
      <w:r w:rsidRPr="00F27422">
        <w:rPr>
          <w:rFonts w:asciiTheme="minorBidi" w:hAnsiTheme="minorBidi"/>
          <w:sz w:val="32"/>
          <w:szCs w:val="32"/>
          <w:rtl/>
          <w:lang w:bidi="ar-BH"/>
        </w:rPr>
        <w:t xml:space="preserve"> اللغة: </w:t>
      </w:r>
      <w:r w:rsidRPr="00F27422">
        <w:rPr>
          <w:rFonts w:asciiTheme="minorBidi" w:hAnsiTheme="minorBidi"/>
          <w:b/>
          <w:bCs/>
          <w:sz w:val="32"/>
          <w:szCs w:val="32"/>
          <w:rtl/>
          <w:lang w:bidi="ar-BH"/>
        </w:rPr>
        <w:t>((حَكَمَ)) الْحَاءُ وَالْكَافُ وَالْمِيمُ أَصْلٌ وَاحِدٌ، وَهُوَ الْمَنْعُ</w:t>
      </w:r>
      <w:r w:rsidRPr="00F27422">
        <w:rPr>
          <w:rFonts w:asciiTheme="minorBidi" w:hAnsiTheme="minorBidi"/>
          <w:b/>
          <w:bCs/>
          <w:sz w:val="32"/>
          <w:szCs w:val="32"/>
        </w:rPr>
        <w:t>.</w:t>
      </w:r>
    </w:p>
    <w:p w14:paraId="2777600B"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وَأَوَّلُ ذَلِكَ الْحُكْمُ، وَهُوَ الْمَنْعُ مِنَ الظُّلْم. وَسُمِّيَتْ حَكَمَةُ الدَّابَّةِ لأَنَّهَا تَمْنَعُهَا، يُقَالُ حَكَمْتُ الدَّابَّةَ وَأَحْكَمْتُهَا. وَيُقَالُ: حَكَمْتُ السَّفِيهَ وَأَحْكَمْتُهُ، إِذَا أَخَذْتَ على يديه</w:t>
      </w:r>
      <w:r w:rsidRPr="00F27422">
        <w:rPr>
          <w:rFonts w:asciiTheme="minorBidi" w:hAnsiTheme="minorBidi"/>
          <w:b/>
          <w:bCs/>
          <w:sz w:val="32"/>
          <w:szCs w:val="32"/>
        </w:rPr>
        <w:t>.</w:t>
      </w:r>
    </w:p>
    <w:p w14:paraId="29AC5DE3"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 xml:space="preserve">قال </w:t>
      </w:r>
      <w:proofErr w:type="gramStart"/>
      <w:r w:rsidRPr="00F27422">
        <w:rPr>
          <w:rFonts w:asciiTheme="minorBidi" w:hAnsiTheme="minorBidi"/>
          <w:b/>
          <w:bCs/>
          <w:sz w:val="32"/>
          <w:szCs w:val="32"/>
          <w:rtl/>
          <w:lang w:bidi="ar-BH"/>
        </w:rPr>
        <w:t>جريرٌ:  أبَنِي</w:t>
      </w:r>
      <w:proofErr w:type="gramEnd"/>
      <w:r w:rsidRPr="00F27422">
        <w:rPr>
          <w:rFonts w:asciiTheme="minorBidi" w:hAnsiTheme="minorBidi"/>
          <w:b/>
          <w:bCs/>
          <w:sz w:val="32"/>
          <w:szCs w:val="32"/>
          <w:rtl/>
          <w:lang w:bidi="ar-BH"/>
        </w:rPr>
        <w:t xml:space="preserve"> حَنِيفَةَ أَحْكِمُوا </w:t>
      </w:r>
      <w:proofErr w:type="spellStart"/>
      <w:r w:rsidRPr="00F27422">
        <w:rPr>
          <w:rFonts w:asciiTheme="minorBidi" w:hAnsiTheme="minorBidi"/>
          <w:b/>
          <w:bCs/>
          <w:sz w:val="32"/>
          <w:szCs w:val="32"/>
          <w:rtl/>
          <w:lang w:bidi="ar-BH"/>
        </w:rPr>
        <w:t>سُفَهَاءَكُمْ</w:t>
      </w:r>
      <w:proofErr w:type="spellEnd"/>
      <w:r w:rsidRPr="00F27422">
        <w:rPr>
          <w:rFonts w:asciiTheme="minorBidi" w:hAnsiTheme="minorBidi"/>
          <w:b/>
          <w:bCs/>
          <w:sz w:val="32"/>
          <w:szCs w:val="32"/>
          <w:rtl/>
          <w:lang w:bidi="ar-BH"/>
        </w:rPr>
        <w:t xml:space="preserve"> ... إِنِّي أَخَافُ عَلَيْكُمْ أنْ أَغضبا</w:t>
      </w:r>
    </w:p>
    <w:p w14:paraId="549AA9C7"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وَالْحِكْمَةُ هَذَا قِياسُهَا، لأَنَّها تَمْنَعُ مِنَ الجَهْل. وتقول: حَكَّمْتُ فُلاناً تَحْكِيماً مَنَعْتُهُ عَمَّا يُريدُ. وَحُكِّمَ فُلانٌ في كذا، إِذا جُعِلَ أمْرُهُ إِلَيْهِ)</w:t>
      </w:r>
      <w:r w:rsidRPr="00F27422">
        <w:rPr>
          <w:rFonts w:asciiTheme="minorBidi" w:hAnsiTheme="minorBidi"/>
          <w:sz w:val="32"/>
          <w:szCs w:val="32"/>
          <w:rtl/>
          <w:lang w:bidi="ar-BH"/>
        </w:rPr>
        <w:t xml:space="preserve">. [معجم </w:t>
      </w:r>
      <w:proofErr w:type="spellStart"/>
      <w:r w:rsidRPr="00F27422">
        <w:rPr>
          <w:rFonts w:asciiTheme="minorBidi" w:hAnsiTheme="minorBidi"/>
          <w:sz w:val="32"/>
          <w:szCs w:val="32"/>
          <w:rtl/>
          <w:lang w:bidi="ar-BH"/>
        </w:rPr>
        <w:t>مقائيس</w:t>
      </w:r>
      <w:proofErr w:type="spellEnd"/>
      <w:r w:rsidRPr="00F27422">
        <w:rPr>
          <w:rFonts w:asciiTheme="minorBidi" w:hAnsiTheme="minorBidi"/>
          <w:sz w:val="32"/>
          <w:szCs w:val="32"/>
          <w:rtl/>
          <w:lang w:bidi="ar-BH"/>
        </w:rPr>
        <w:t xml:space="preserve"> اللغة، ابن فارس، ج2، ص91].</w:t>
      </w:r>
    </w:p>
    <w:p w14:paraId="4C7008BD"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وقال ابن منظور في لسان العرب: </w:t>
      </w:r>
      <w:r w:rsidRPr="00F27422">
        <w:rPr>
          <w:rFonts w:asciiTheme="minorBidi" w:hAnsiTheme="minorBidi"/>
          <w:b/>
          <w:bCs/>
          <w:sz w:val="32"/>
          <w:szCs w:val="32"/>
          <w:rtl/>
          <w:lang w:bidi="ar-BH"/>
        </w:rPr>
        <w:t xml:space="preserve">(حكم: الله سُبحانه وتعالى أحكم الحاكمين، وهو الحكيم له الحُكْم، سبحانه وتعالى. قال </w:t>
      </w:r>
      <w:proofErr w:type="spellStart"/>
      <w:r w:rsidRPr="00F27422">
        <w:rPr>
          <w:rFonts w:asciiTheme="minorBidi" w:hAnsiTheme="minorBidi"/>
          <w:b/>
          <w:bCs/>
          <w:sz w:val="32"/>
          <w:szCs w:val="32"/>
          <w:rtl/>
          <w:lang w:bidi="ar-BH"/>
        </w:rPr>
        <w:t>اللَّيتُ</w:t>
      </w:r>
      <w:proofErr w:type="spellEnd"/>
      <w:r w:rsidRPr="00F27422">
        <w:rPr>
          <w:rFonts w:asciiTheme="minorBidi" w:hAnsiTheme="minorBidi"/>
          <w:b/>
          <w:bCs/>
          <w:sz w:val="32"/>
          <w:szCs w:val="32"/>
          <w:rtl/>
          <w:lang w:bidi="ar-BH"/>
        </w:rPr>
        <w:t>: الحَكَمُ الله تعالى. الأزهري: مِن صفات الله الحَكَمُ والحَكيمُ والحاكِمُ، ومعاني هذه الأسماء متقاربة، والله أعلمُ بما أراد، وعلينا الإيمانُ بأنها من أسمائه. ابْنُ الأَثير: في أسماء الله تعالى الحَكَمُ والحَكيمُ وَهُمَا بمعنى الحاكِم، وهُوَ القاضي، فهو فعِيلٌ بِمعنى فاعل، أو هُوَ الذي يُحْكِمُ الأَشياءَ وَيُتْقِنُهَا، فَهُوَ فَعِيلٌ بِمَعْنَى مُفْعِلٍ).</w:t>
      </w:r>
      <w:r w:rsidRPr="00F27422">
        <w:rPr>
          <w:rFonts w:asciiTheme="minorBidi" w:hAnsiTheme="minorBidi"/>
          <w:sz w:val="32"/>
          <w:szCs w:val="32"/>
          <w:rtl/>
          <w:lang w:bidi="ar-BH"/>
        </w:rPr>
        <w:t xml:space="preserve"> [لسان العرب، ابن منظور، ج12، ص140]</w:t>
      </w:r>
      <w:r w:rsidRPr="00F27422">
        <w:rPr>
          <w:rFonts w:asciiTheme="minorBidi" w:hAnsiTheme="minorBidi"/>
          <w:sz w:val="32"/>
          <w:szCs w:val="32"/>
        </w:rPr>
        <w:t>.</w:t>
      </w:r>
    </w:p>
    <w:p w14:paraId="010C2583"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وقال أيضاً: </w:t>
      </w:r>
      <w:r w:rsidRPr="00F27422">
        <w:rPr>
          <w:rFonts w:asciiTheme="minorBidi" w:hAnsiTheme="minorBidi"/>
          <w:b/>
          <w:bCs/>
          <w:sz w:val="32"/>
          <w:szCs w:val="32"/>
          <w:rtl/>
          <w:lang w:bidi="ar-BH"/>
        </w:rPr>
        <w:t>(وَالْعَرَبُ تَقُولُ: حَكَمْتُ وأَحْكَمْتُ وحَكَّمْتُ بِمَعْنَى مَنَعْتُ وَرَدَدْتُ، وَمِنْ هَذَا قِيلَ لِلْحَاكِمِ بَيْنَ النَّاسِ حاكِمٌ، لأَنه يَمْنَعُ الظَّالِمَ مِنَ الظُّلْمِ).</w:t>
      </w:r>
      <w:r w:rsidRPr="00F27422">
        <w:rPr>
          <w:rFonts w:asciiTheme="minorBidi" w:hAnsiTheme="minorBidi"/>
          <w:sz w:val="32"/>
          <w:szCs w:val="32"/>
          <w:rtl/>
          <w:lang w:bidi="ar-BH"/>
        </w:rPr>
        <w:t xml:space="preserve"> [لسان العرب، ابن منظور، ج12، ص141]</w:t>
      </w:r>
      <w:r w:rsidRPr="00F27422">
        <w:rPr>
          <w:rFonts w:asciiTheme="minorBidi" w:hAnsiTheme="minorBidi"/>
          <w:sz w:val="32"/>
          <w:szCs w:val="32"/>
        </w:rPr>
        <w:t>.</w:t>
      </w:r>
    </w:p>
    <w:p w14:paraId="4A07C6D1"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ومن الواضح أنّ الذي يمنع الظالم هو الوالي لا القاضي</w:t>
      </w:r>
      <w:r w:rsidRPr="00F27422">
        <w:rPr>
          <w:rFonts w:asciiTheme="minorBidi" w:hAnsiTheme="minorBidi"/>
          <w:sz w:val="32"/>
          <w:szCs w:val="32"/>
        </w:rPr>
        <w:t>.</w:t>
      </w:r>
    </w:p>
    <w:p w14:paraId="27630A8F"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وقال أيضاً: </w:t>
      </w:r>
      <w:r w:rsidRPr="00F27422">
        <w:rPr>
          <w:rFonts w:asciiTheme="minorBidi" w:hAnsiTheme="minorBidi"/>
          <w:b/>
          <w:bCs/>
          <w:sz w:val="32"/>
          <w:szCs w:val="32"/>
          <w:rtl/>
          <w:lang w:bidi="ar-BH"/>
        </w:rPr>
        <w:t>(والحاكِم: مُنَفّذُ الحُكْمِ، وَالْجَمْعُ حُكّامٌ، وَهُوَ الحَكَمُ. وحاكَمَهُ إِلى الحَكَمِ: دَعَاهُ).</w:t>
      </w:r>
      <w:r w:rsidRPr="00F27422">
        <w:rPr>
          <w:rFonts w:asciiTheme="minorBidi" w:hAnsiTheme="minorBidi"/>
          <w:sz w:val="32"/>
          <w:szCs w:val="32"/>
          <w:rtl/>
          <w:lang w:bidi="ar-BH"/>
        </w:rPr>
        <w:t xml:space="preserve"> [لسان العرب، ابن منظور، ج12، ص142]</w:t>
      </w:r>
      <w:r w:rsidRPr="00F27422">
        <w:rPr>
          <w:rFonts w:asciiTheme="minorBidi" w:hAnsiTheme="minorBidi"/>
          <w:sz w:val="32"/>
          <w:szCs w:val="32"/>
        </w:rPr>
        <w:t>.</w:t>
      </w:r>
    </w:p>
    <w:p w14:paraId="1D98CB98"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والحاصل:</w:t>
      </w:r>
      <w:r w:rsidRPr="00F27422">
        <w:rPr>
          <w:rFonts w:asciiTheme="minorBidi" w:hAnsiTheme="minorBidi"/>
          <w:sz w:val="32"/>
          <w:szCs w:val="32"/>
          <w:rtl/>
          <w:lang w:bidi="ar-BH"/>
        </w:rPr>
        <w:t xml:space="preserve"> أنّ ظاهر المادة اللغوية أنّ الحكم بمعنى المنع، والمانع ينطبقُ على الوالي، واستعمال الحاكم في القاضي في سائر الموارد التي استشهد بها لاستعمال الحاكم بمعنى القاضي إنّما هو استعمالٌ مع القرينة، وإلّا فالحاكم بمعنى المانع ينطبق على مَن بيده سلطة المنع، فلا يلغي استعماله في القاضي ظهوره في المعنى العام.</w:t>
      </w:r>
    </w:p>
    <w:p w14:paraId="09C7502D" w14:textId="11D4FF74"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مضافاً إلى ذلك:</w:t>
      </w:r>
      <w:r w:rsidRPr="00F27422">
        <w:rPr>
          <w:rFonts w:asciiTheme="minorBidi" w:hAnsiTheme="minorBidi"/>
          <w:sz w:val="32"/>
          <w:szCs w:val="32"/>
          <w:rtl/>
          <w:lang w:bidi="ar-BH"/>
        </w:rPr>
        <w:t xml:space="preserve"> استعمال "الحاكم</w:t>
      </w:r>
      <w:r w:rsidR="00E95342" w:rsidRPr="00F27422">
        <w:rPr>
          <w:rFonts w:asciiTheme="minorBidi" w:hAnsiTheme="minorBidi"/>
          <w:sz w:val="32"/>
          <w:szCs w:val="32"/>
          <w:rtl/>
          <w:lang w:bidi="ar-BH"/>
        </w:rPr>
        <w:t>" بمعنى</w:t>
      </w:r>
      <w:r w:rsidRPr="00F27422">
        <w:rPr>
          <w:rFonts w:asciiTheme="minorBidi" w:hAnsiTheme="minorBidi"/>
          <w:sz w:val="32"/>
          <w:szCs w:val="32"/>
          <w:rtl/>
          <w:lang w:bidi="ar-BH"/>
        </w:rPr>
        <w:t xml:space="preserve"> الوالي، في موارد، ومنها</w:t>
      </w:r>
      <w:r w:rsidRPr="00F27422">
        <w:rPr>
          <w:rFonts w:asciiTheme="minorBidi" w:hAnsiTheme="minorBidi"/>
          <w:sz w:val="32"/>
          <w:szCs w:val="32"/>
        </w:rPr>
        <w:t>:</w:t>
      </w:r>
    </w:p>
    <w:p w14:paraId="3E5B8C8A"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lastRenderedPageBreak/>
        <w:t xml:space="preserve">ما جاء في نهج البلاغة في الخطبة </w:t>
      </w:r>
      <w:proofErr w:type="spellStart"/>
      <w:r w:rsidRPr="00F27422">
        <w:rPr>
          <w:rFonts w:asciiTheme="minorBidi" w:hAnsiTheme="minorBidi"/>
          <w:sz w:val="32"/>
          <w:szCs w:val="32"/>
          <w:rtl/>
          <w:lang w:bidi="ar-BH"/>
        </w:rPr>
        <w:t>القاصعة</w:t>
      </w:r>
      <w:proofErr w:type="spellEnd"/>
      <w:r w:rsidRPr="00F27422">
        <w:rPr>
          <w:rFonts w:asciiTheme="minorBidi" w:hAnsiTheme="minorBidi"/>
          <w:sz w:val="32"/>
          <w:szCs w:val="32"/>
          <w:rtl/>
          <w:lang w:bidi="ar-BH"/>
        </w:rPr>
        <w:t>، قول أمير المؤمنين (صلوات الله عليه)</w:t>
      </w:r>
      <w:r w:rsidRPr="00F27422">
        <w:rPr>
          <w:rFonts w:asciiTheme="minorBidi" w:hAnsiTheme="minorBidi"/>
          <w:sz w:val="32"/>
          <w:szCs w:val="32"/>
        </w:rPr>
        <w:t>:</w:t>
      </w:r>
    </w:p>
    <w:p w14:paraId="592B5AD4"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(فَأَبْدَلَهُمُ الْعِزَّ مَكَانَ الذُّلِّ والأَمْنَ مَكَانَ الْخَوْفِ ـ فَصَارُوا مُلُوكاً حُكَّاماً وأَئِمَّةً أَعْلَاماً ـ).</w:t>
      </w:r>
      <w:r w:rsidRPr="00F27422">
        <w:rPr>
          <w:rFonts w:asciiTheme="minorBidi" w:hAnsiTheme="minorBidi"/>
          <w:sz w:val="32"/>
          <w:szCs w:val="32"/>
          <w:rtl/>
          <w:lang w:bidi="ar-BH"/>
        </w:rPr>
        <w:t xml:space="preserve"> [نهج البلاغة، السيد الشريف الرضي، دار الكتاب اللبناني، ج1، ص296 – 297]</w:t>
      </w:r>
      <w:r w:rsidRPr="00F27422">
        <w:rPr>
          <w:rFonts w:asciiTheme="minorBidi" w:hAnsiTheme="minorBidi"/>
          <w:sz w:val="32"/>
          <w:szCs w:val="32"/>
        </w:rPr>
        <w:t>.</w:t>
      </w:r>
    </w:p>
    <w:p w14:paraId="6F4868E7"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وفي نهج البلاغة أيضاً: </w:t>
      </w:r>
      <w:r w:rsidRPr="00F27422">
        <w:rPr>
          <w:rFonts w:asciiTheme="minorBidi" w:hAnsiTheme="minorBidi"/>
          <w:b/>
          <w:bCs/>
          <w:sz w:val="32"/>
          <w:szCs w:val="32"/>
          <w:rtl/>
          <w:lang w:bidi="ar-BH"/>
        </w:rPr>
        <w:t>(فَتَقَرَّبُوا إِلَى أَئِمَّةِ الضَّلَالَةِ ـ والدُّعَاةِ إِلَى النَّارِ بِالزُّورِ والْبُهْتَانِ ـ فَوَلَّوْهُمُ الأَعْمَالَ وجَعَلُوهُمْ حُكَّاماً عَلَى رِقَابِ النَاس).</w:t>
      </w:r>
      <w:r w:rsidRPr="00F27422">
        <w:rPr>
          <w:rFonts w:asciiTheme="minorBidi" w:hAnsiTheme="minorBidi"/>
          <w:sz w:val="32"/>
          <w:szCs w:val="32"/>
          <w:rtl/>
          <w:lang w:bidi="ar-BH"/>
        </w:rPr>
        <w:t xml:space="preserve"> [نهج البلاغة، السيد الشريف الرضي، دار الكتاب اللبناني، ج1، ص326]</w:t>
      </w:r>
      <w:r w:rsidRPr="00F27422">
        <w:rPr>
          <w:rFonts w:asciiTheme="minorBidi" w:hAnsiTheme="minorBidi"/>
          <w:sz w:val="32"/>
          <w:szCs w:val="32"/>
        </w:rPr>
        <w:t>.</w:t>
      </w:r>
    </w:p>
    <w:p w14:paraId="47ED69B7"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وما في البحار عن كنز </w:t>
      </w:r>
      <w:proofErr w:type="spellStart"/>
      <w:r w:rsidRPr="00F27422">
        <w:rPr>
          <w:rFonts w:asciiTheme="minorBidi" w:hAnsiTheme="minorBidi"/>
          <w:sz w:val="32"/>
          <w:szCs w:val="32"/>
          <w:rtl/>
          <w:lang w:bidi="ar-BH"/>
        </w:rPr>
        <w:t>الكراجكيّ</w:t>
      </w:r>
      <w:proofErr w:type="spellEnd"/>
      <w:r w:rsidRPr="00F27422">
        <w:rPr>
          <w:rFonts w:asciiTheme="minorBidi" w:hAnsiTheme="minorBidi"/>
          <w:sz w:val="32"/>
          <w:szCs w:val="32"/>
          <w:rtl/>
          <w:lang w:bidi="ar-BH"/>
        </w:rPr>
        <w:t xml:space="preserve">: </w:t>
      </w:r>
      <w:r w:rsidRPr="00F27422">
        <w:rPr>
          <w:rFonts w:asciiTheme="minorBidi" w:hAnsiTheme="minorBidi"/>
          <w:b/>
          <w:bCs/>
          <w:sz w:val="32"/>
          <w:szCs w:val="32"/>
          <w:rtl/>
          <w:lang w:bidi="ar-BH"/>
        </w:rPr>
        <w:t xml:space="preserve">(وقال الصادق (عليه السلام): الملوك حكّامٌ على الناس، والعلماء حكّامٌ على الملوك). </w:t>
      </w:r>
      <w:r w:rsidRPr="00F27422">
        <w:rPr>
          <w:rFonts w:asciiTheme="minorBidi" w:hAnsiTheme="minorBidi"/>
          <w:sz w:val="32"/>
          <w:szCs w:val="32"/>
          <w:rtl/>
          <w:lang w:bidi="ar-BH"/>
        </w:rPr>
        <w:t>[بحار الأنوار، العلامة المجلسي، مؤسسة الوفاء، ج1، كتاب العلم، أبواب العلم وآدابه وأنواعه وأحكامه، باب1 فرض العلم ووجوب طلبه، والحثُّ عليه، وثواب العالم والمتعلّم، ص183]</w:t>
      </w:r>
      <w:r w:rsidRPr="00F27422">
        <w:rPr>
          <w:rFonts w:asciiTheme="minorBidi" w:hAnsiTheme="minorBidi"/>
          <w:sz w:val="32"/>
          <w:szCs w:val="32"/>
        </w:rPr>
        <w:t>.</w:t>
      </w:r>
    </w:p>
    <w:p w14:paraId="79FD7ECC" w14:textId="77777777" w:rsidR="00D1182D" w:rsidRPr="00F27422" w:rsidRDefault="00D1182D" w:rsidP="00122B70">
      <w:pPr>
        <w:bidi/>
        <w:rPr>
          <w:rFonts w:asciiTheme="minorBidi" w:hAnsiTheme="minorBidi"/>
          <w:sz w:val="32"/>
          <w:szCs w:val="32"/>
          <w:rtl/>
          <w:lang w:bidi="ar-BH"/>
        </w:rPr>
      </w:pPr>
      <w:r w:rsidRPr="00F27422">
        <w:rPr>
          <w:rFonts w:asciiTheme="minorBidi" w:hAnsiTheme="minorBidi"/>
          <w:b/>
          <w:bCs/>
          <w:sz w:val="32"/>
          <w:szCs w:val="32"/>
          <w:rtl/>
          <w:lang w:bidi="ar-BH"/>
        </w:rPr>
        <w:t>وقد يقول قائل:</w:t>
      </w:r>
      <w:r w:rsidRPr="00F27422">
        <w:rPr>
          <w:rFonts w:asciiTheme="minorBidi" w:hAnsiTheme="minorBidi"/>
          <w:sz w:val="32"/>
          <w:szCs w:val="32"/>
          <w:rtl/>
          <w:lang w:bidi="ar-BH"/>
        </w:rPr>
        <w:t xml:space="preserve"> إنّ الرواية ضعيفةُ السند.</w:t>
      </w:r>
    </w:p>
    <w:p w14:paraId="0CF658D7"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قلتُ:</w:t>
      </w:r>
      <w:r w:rsidRPr="00F27422">
        <w:rPr>
          <w:rFonts w:asciiTheme="minorBidi" w:hAnsiTheme="minorBidi"/>
          <w:sz w:val="32"/>
          <w:szCs w:val="32"/>
          <w:rtl/>
          <w:lang w:bidi="ar-BH"/>
        </w:rPr>
        <w:t xml:space="preserve"> ليس الكلامُ في إثبات حكمٍ شرعي؛ وإنّما الكلامُ في إثبات أصل الاستعمال في زمن تداول </w:t>
      </w:r>
      <w:proofErr w:type="gramStart"/>
      <w:r w:rsidRPr="00F27422">
        <w:rPr>
          <w:rFonts w:asciiTheme="minorBidi" w:hAnsiTheme="minorBidi"/>
          <w:sz w:val="32"/>
          <w:szCs w:val="32"/>
          <w:rtl/>
          <w:lang w:bidi="ar-BH"/>
        </w:rPr>
        <w:t>الرواية ،</w:t>
      </w:r>
      <w:proofErr w:type="gramEnd"/>
      <w:r w:rsidRPr="00F27422">
        <w:rPr>
          <w:rFonts w:asciiTheme="minorBidi" w:hAnsiTheme="minorBidi"/>
          <w:sz w:val="32"/>
          <w:szCs w:val="32"/>
          <w:rtl/>
          <w:lang w:bidi="ar-BH"/>
        </w:rPr>
        <w:t xml:space="preserve"> حيث يكفي أنّها تخبر أنّ في تلك المرحلة كان يستعمل "الحاكم" بمعنى الوالي</w:t>
      </w:r>
      <w:r w:rsidRPr="00F27422">
        <w:rPr>
          <w:rFonts w:asciiTheme="minorBidi" w:hAnsiTheme="minorBidi"/>
          <w:sz w:val="32"/>
          <w:szCs w:val="32"/>
        </w:rPr>
        <w:t>.</w:t>
      </w:r>
    </w:p>
    <w:p w14:paraId="61BAE5FA"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ومن ذلك أيضاً ما في البحار عن الاختصاص: </w:t>
      </w:r>
      <w:r w:rsidRPr="00F27422">
        <w:rPr>
          <w:rFonts w:asciiTheme="minorBidi" w:hAnsiTheme="minorBidi"/>
          <w:b/>
          <w:bCs/>
          <w:sz w:val="32"/>
          <w:szCs w:val="32"/>
          <w:rtl/>
          <w:lang w:bidi="ar-BH"/>
        </w:rPr>
        <w:t xml:space="preserve">(١٦٤ ـ </w:t>
      </w:r>
      <w:proofErr w:type="spellStart"/>
      <w:r w:rsidRPr="00F27422">
        <w:rPr>
          <w:rFonts w:asciiTheme="minorBidi" w:hAnsiTheme="minorBidi"/>
          <w:b/>
          <w:bCs/>
          <w:sz w:val="32"/>
          <w:szCs w:val="32"/>
          <w:rtl/>
          <w:lang w:bidi="ar-BH"/>
        </w:rPr>
        <w:t>ختص</w:t>
      </w:r>
      <w:proofErr w:type="spellEnd"/>
      <w:r w:rsidRPr="00F27422">
        <w:rPr>
          <w:rFonts w:asciiTheme="minorBidi" w:hAnsiTheme="minorBidi"/>
          <w:b/>
          <w:bCs/>
          <w:sz w:val="32"/>
          <w:szCs w:val="32"/>
          <w:rtl/>
          <w:lang w:bidi="ar-BH"/>
        </w:rPr>
        <w:t>: قال: قال أبوعبدالله (عليه السلام): يكون شيعتنا في دولة القائم (عليه السلام) سنام الأرض وحكامها).</w:t>
      </w:r>
      <w:r w:rsidRPr="00F27422">
        <w:rPr>
          <w:rFonts w:asciiTheme="minorBidi" w:hAnsiTheme="minorBidi"/>
          <w:sz w:val="32"/>
          <w:szCs w:val="32"/>
          <w:rtl/>
          <w:lang w:bidi="ar-BH"/>
        </w:rPr>
        <w:t xml:space="preserve"> [بحار الأنوار، العلامة المجلسي، مؤسسة الوفاء، ج52، كتاب تاريخ الحجة، باب سيره وأخلاقه وعدد أصحابه وخصائص زمانه وأحوال أصحابه صلوات الله عليه وعلى آبائه، ص372]</w:t>
      </w:r>
      <w:r w:rsidRPr="00F27422">
        <w:rPr>
          <w:rFonts w:asciiTheme="minorBidi" w:hAnsiTheme="minorBidi"/>
          <w:sz w:val="32"/>
          <w:szCs w:val="32"/>
        </w:rPr>
        <w:t>.</w:t>
      </w:r>
    </w:p>
    <w:p w14:paraId="5A1598A9"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وفي البحار أيضاً عن الخصال: </w:t>
      </w:r>
      <w:r w:rsidRPr="00F27422">
        <w:rPr>
          <w:rFonts w:asciiTheme="minorBidi" w:hAnsiTheme="minorBidi"/>
          <w:b/>
          <w:bCs/>
          <w:sz w:val="32"/>
          <w:szCs w:val="32"/>
          <w:rtl/>
          <w:lang w:bidi="ar-BH"/>
        </w:rPr>
        <w:t xml:space="preserve">(١٢ ـ ل: ابن الوليد، عن الصفار، عن الحسن بن علي بن </w:t>
      </w:r>
      <w:proofErr w:type="gramStart"/>
      <w:r w:rsidRPr="00F27422">
        <w:rPr>
          <w:rFonts w:asciiTheme="minorBidi" w:hAnsiTheme="minorBidi"/>
          <w:b/>
          <w:bCs/>
          <w:sz w:val="32"/>
          <w:szCs w:val="32"/>
          <w:rtl/>
          <w:lang w:bidi="ar-BH"/>
        </w:rPr>
        <w:t>عبدالله</w:t>
      </w:r>
      <w:proofErr w:type="gramEnd"/>
      <w:r w:rsidRPr="00F27422">
        <w:rPr>
          <w:rFonts w:asciiTheme="minorBidi" w:hAnsiTheme="minorBidi"/>
          <w:b/>
          <w:bCs/>
          <w:sz w:val="32"/>
          <w:szCs w:val="32"/>
          <w:rtl/>
          <w:lang w:bidi="ar-BH"/>
        </w:rPr>
        <w:t xml:space="preserve"> بن المغيرة، عن </w:t>
      </w:r>
      <w:proofErr w:type="spellStart"/>
      <w:r w:rsidRPr="00F27422">
        <w:rPr>
          <w:rFonts w:asciiTheme="minorBidi" w:hAnsiTheme="minorBidi"/>
          <w:b/>
          <w:bCs/>
          <w:sz w:val="32"/>
          <w:szCs w:val="32"/>
          <w:rtl/>
          <w:lang w:bidi="ar-BH"/>
        </w:rPr>
        <w:t>الهباس</w:t>
      </w:r>
      <w:proofErr w:type="spellEnd"/>
      <w:r w:rsidRPr="00F27422">
        <w:rPr>
          <w:rFonts w:asciiTheme="minorBidi" w:hAnsiTheme="minorBidi"/>
          <w:b/>
          <w:bCs/>
          <w:sz w:val="32"/>
          <w:szCs w:val="32"/>
          <w:rtl/>
          <w:lang w:bidi="ar-BH"/>
        </w:rPr>
        <w:t xml:space="preserve"> بن عامر، عن ربيع بن محمد، عن الحسن بن ثوير بن أبي </w:t>
      </w:r>
      <w:proofErr w:type="spellStart"/>
      <w:r w:rsidRPr="00F27422">
        <w:rPr>
          <w:rFonts w:asciiTheme="minorBidi" w:hAnsiTheme="minorBidi"/>
          <w:b/>
          <w:bCs/>
          <w:sz w:val="32"/>
          <w:szCs w:val="32"/>
          <w:rtl/>
          <w:lang w:bidi="ar-BH"/>
        </w:rPr>
        <w:t>فاختة</w:t>
      </w:r>
      <w:proofErr w:type="spellEnd"/>
      <w:r w:rsidRPr="00F27422">
        <w:rPr>
          <w:rFonts w:asciiTheme="minorBidi" w:hAnsiTheme="minorBidi"/>
          <w:b/>
          <w:bCs/>
          <w:sz w:val="32"/>
          <w:szCs w:val="32"/>
          <w:rtl/>
          <w:lang w:bidi="ar-BH"/>
        </w:rPr>
        <w:t>، عن أبيه، عن علي بن الحسين (عليهما السلام) قال: إذا قام قائمنا أذهب الله عز وجل عن شيعتنا العاهة، وجعل قلوبهم كزبر الحديد، وجعل قوة الرجل منهم قوة أربعين رجلاً ويكونون حكام الأرض وسنامها).</w:t>
      </w:r>
      <w:r w:rsidRPr="00F27422">
        <w:rPr>
          <w:rFonts w:asciiTheme="minorBidi" w:hAnsiTheme="minorBidi"/>
          <w:sz w:val="32"/>
          <w:szCs w:val="32"/>
          <w:rtl/>
          <w:lang w:bidi="ar-BH"/>
        </w:rPr>
        <w:t xml:space="preserve"> [بحار الأنوار، العلامة المجلسي، مؤسسة الوفاء، ج52، كتاب تاريخ الحجة، باب سيره وأخلاقه وعدد أصحابه وخصائص زمانه وأحوال أصحابه صلوات الله عليه وعلى آبائه، ص317]</w:t>
      </w:r>
      <w:r w:rsidRPr="00F27422">
        <w:rPr>
          <w:rFonts w:asciiTheme="minorBidi" w:hAnsiTheme="minorBidi"/>
          <w:sz w:val="32"/>
          <w:szCs w:val="32"/>
        </w:rPr>
        <w:t>.</w:t>
      </w:r>
    </w:p>
    <w:p w14:paraId="098E7A5E"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وما جاء في إعلام الورى في خطبة أبي طالب (عليه السلام) عندما خطب أم المؤمنين خديجة (عليها السلام) للنبي الأعظم (صلى الله عليه وآله) قال: </w:t>
      </w:r>
      <w:r w:rsidRPr="00F27422">
        <w:rPr>
          <w:rFonts w:asciiTheme="minorBidi" w:hAnsiTheme="minorBidi"/>
          <w:b/>
          <w:bCs/>
          <w:sz w:val="32"/>
          <w:szCs w:val="32"/>
          <w:rtl/>
          <w:lang w:bidi="ar-BH"/>
        </w:rPr>
        <w:t>(</w:t>
      </w:r>
      <w:proofErr w:type="spellStart"/>
      <w:r w:rsidRPr="00F27422">
        <w:rPr>
          <w:rFonts w:asciiTheme="minorBidi" w:hAnsiTheme="minorBidi"/>
          <w:b/>
          <w:bCs/>
          <w:sz w:val="32"/>
          <w:szCs w:val="32"/>
          <w:rtl/>
          <w:lang w:bidi="ar-BH"/>
        </w:rPr>
        <w:t>الحمدلله</w:t>
      </w:r>
      <w:proofErr w:type="spellEnd"/>
      <w:r w:rsidRPr="00F27422">
        <w:rPr>
          <w:rFonts w:asciiTheme="minorBidi" w:hAnsiTheme="minorBidi"/>
          <w:b/>
          <w:bCs/>
          <w:sz w:val="32"/>
          <w:szCs w:val="32"/>
          <w:rtl/>
          <w:lang w:bidi="ar-BH"/>
        </w:rPr>
        <w:t xml:space="preserve"> الذي جعلنا من زرع إبراهيم وذرّيّة إسماعيل، وجعل لنا بيتاً </w:t>
      </w:r>
      <w:proofErr w:type="spellStart"/>
      <w:r w:rsidRPr="00F27422">
        <w:rPr>
          <w:rFonts w:asciiTheme="minorBidi" w:hAnsiTheme="minorBidi"/>
          <w:b/>
          <w:bCs/>
          <w:sz w:val="32"/>
          <w:szCs w:val="32"/>
          <w:rtl/>
          <w:lang w:bidi="ar-BH"/>
        </w:rPr>
        <w:t>محجوجاً</w:t>
      </w:r>
      <w:proofErr w:type="spellEnd"/>
      <w:r w:rsidRPr="00F27422">
        <w:rPr>
          <w:rFonts w:asciiTheme="minorBidi" w:hAnsiTheme="minorBidi"/>
          <w:b/>
          <w:bCs/>
          <w:sz w:val="32"/>
          <w:szCs w:val="32"/>
          <w:rtl/>
          <w:lang w:bidi="ar-BH"/>
        </w:rPr>
        <w:t xml:space="preserve"> وحرماً آمناً يجبى إليه ثمرات كلّ شيء، وجعلنا </w:t>
      </w:r>
      <w:r w:rsidRPr="00F27422">
        <w:rPr>
          <w:rFonts w:asciiTheme="minorBidi" w:hAnsiTheme="minorBidi"/>
          <w:b/>
          <w:bCs/>
          <w:sz w:val="32"/>
          <w:szCs w:val="32"/>
          <w:rtl/>
          <w:lang w:bidi="ar-BH"/>
        </w:rPr>
        <w:lastRenderedPageBreak/>
        <w:t>الحكّام على الناس).</w:t>
      </w:r>
      <w:r w:rsidRPr="00F27422">
        <w:rPr>
          <w:rFonts w:asciiTheme="minorBidi" w:hAnsiTheme="minorBidi"/>
          <w:sz w:val="32"/>
          <w:szCs w:val="32"/>
          <w:rtl/>
          <w:lang w:bidi="ar-BH"/>
        </w:rPr>
        <w:t xml:space="preserve"> [إعلام الورى بأعلام الهدى، الشيخ الطبرسي، مؤسسة آل البيت (عليه السلام) لإحياء التراث، الطبعة الحديثة، ج1، الباب الخامس، ص274]</w:t>
      </w:r>
      <w:r w:rsidRPr="00F27422">
        <w:rPr>
          <w:rFonts w:asciiTheme="minorBidi" w:hAnsiTheme="minorBidi"/>
          <w:sz w:val="32"/>
          <w:szCs w:val="32"/>
        </w:rPr>
        <w:t>.</w:t>
      </w:r>
    </w:p>
    <w:p w14:paraId="39F91C00"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وثانياً:</w:t>
      </w:r>
      <w:r w:rsidRPr="00F27422">
        <w:rPr>
          <w:rFonts w:asciiTheme="minorBidi" w:hAnsiTheme="minorBidi"/>
          <w:sz w:val="32"/>
          <w:szCs w:val="32"/>
          <w:rtl/>
          <w:lang w:bidi="ar-BH"/>
        </w:rPr>
        <w:t xml:space="preserve"> إنّ ورود المقبولة في مورد التنازع والترافع الخاص بالقضاء لا يوجب انتفاء الاستدلال بها على المقام؛ فإنّ موطن الاستدلال هو فقرة التعليل الظاهرة في أعمية التعليل من المعلل، حيث قال (عليه السلام): </w:t>
      </w:r>
      <w:r w:rsidRPr="00F27422">
        <w:rPr>
          <w:rFonts w:asciiTheme="minorBidi" w:hAnsiTheme="minorBidi"/>
          <w:b/>
          <w:bCs/>
          <w:sz w:val="32"/>
          <w:szCs w:val="32"/>
          <w:rtl/>
          <w:lang w:bidi="ar-BH"/>
        </w:rPr>
        <w:t>(فليَرضوا بهِ حكماً، فإنِّي قَدْ جَعَلْتُهُ عَلَيْكُمْ حَاكِماً)</w:t>
      </w:r>
      <w:r w:rsidRPr="00F27422">
        <w:rPr>
          <w:rFonts w:asciiTheme="minorBidi" w:hAnsiTheme="minorBidi"/>
          <w:sz w:val="32"/>
          <w:szCs w:val="32"/>
          <w:rtl/>
          <w:lang w:bidi="ar-BH"/>
        </w:rPr>
        <w:t xml:space="preserve">، فإنّ قوله (عليه السلام): </w:t>
      </w:r>
      <w:r w:rsidRPr="00F27422">
        <w:rPr>
          <w:rFonts w:asciiTheme="minorBidi" w:hAnsiTheme="minorBidi"/>
          <w:b/>
          <w:bCs/>
          <w:sz w:val="32"/>
          <w:szCs w:val="32"/>
          <w:rtl/>
          <w:lang w:bidi="ar-BH"/>
        </w:rPr>
        <w:t>(فليَرضوا به حكماً)</w:t>
      </w:r>
      <w:r w:rsidRPr="00F27422">
        <w:rPr>
          <w:rFonts w:asciiTheme="minorBidi" w:hAnsiTheme="minorBidi"/>
          <w:sz w:val="32"/>
          <w:szCs w:val="32"/>
          <w:rtl/>
          <w:lang w:bidi="ar-BH"/>
        </w:rPr>
        <w:t xml:space="preserve"> هو الناظر للجواب عن مورد السؤال وهو القضاء لفض المنازعات ورفع الخصومات، وأمّا قوله (عليه السلام): </w:t>
      </w:r>
      <w:r w:rsidRPr="00F27422">
        <w:rPr>
          <w:rFonts w:asciiTheme="minorBidi" w:hAnsiTheme="minorBidi"/>
          <w:b/>
          <w:bCs/>
          <w:sz w:val="32"/>
          <w:szCs w:val="32"/>
          <w:rtl/>
          <w:lang w:bidi="ar-BH"/>
        </w:rPr>
        <w:t>(فإنِّي قَدْ جَعَلْتُهُ عَلَيْكُمْ حَاكِماً)</w:t>
      </w:r>
      <w:r w:rsidRPr="00F27422">
        <w:rPr>
          <w:rFonts w:asciiTheme="minorBidi" w:hAnsiTheme="minorBidi"/>
          <w:sz w:val="32"/>
          <w:szCs w:val="32"/>
          <w:rtl/>
          <w:lang w:bidi="ar-BH"/>
        </w:rPr>
        <w:t xml:space="preserve"> فقد ورد في سياق التعليل لنصب القاضي، ومحلّ الاستدلال هو التمسك بعموم لفظ "الحاكم" في فقرة التعليل</w:t>
      </w:r>
      <w:r w:rsidRPr="00F27422">
        <w:rPr>
          <w:rFonts w:asciiTheme="minorBidi" w:hAnsiTheme="minorBidi"/>
          <w:sz w:val="32"/>
          <w:szCs w:val="32"/>
        </w:rPr>
        <w:t>.</w:t>
      </w:r>
    </w:p>
    <w:p w14:paraId="24B3FA27"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وثالثاً:</w:t>
      </w:r>
      <w:r w:rsidRPr="00F27422">
        <w:rPr>
          <w:rFonts w:asciiTheme="minorBidi" w:hAnsiTheme="minorBidi"/>
          <w:sz w:val="32"/>
          <w:szCs w:val="32"/>
          <w:rtl/>
          <w:lang w:bidi="ar-BH"/>
        </w:rPr>
        <w:t xml:space="preserve"> إنّ دعوى أنّه لا مجال مع وجودهم (عليهم السلام) للتصدي لمنصب الولاية بخلاف القضاء، باعتبار أنّ ذلك منافٍ لحكمة وجودهم وإمكان الوصول إليهم، ممنوعةٌ بأنّ المنافي لوجودهم (عليهم السلام) ثبوت الولاية العامة بأنْ يجعل وليٌّ في قرنهم وعرضهم</w:t>
      </w:r>
      <w:r w:rsidRPr="00F27422">
        <w:rPr>
          <w:rFonts w:asciiTheme="minorBidi" w:hAnsiTheme="minorBidi"/>
          <w:sz w:val="32"/>
          <w:szCs w:val="32"/>
        </w:rPr>
        <w:t>.</w:t>
      </w:r>
    </w:p>
    <w:p w14:paraId="27906EF4"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وأمّا ثبوت الولاية في الأمور الحسبية لغيرهم مِنْ قِبَلِهم في زمانهم فهذا أمرٌ معقولٌ، وليس منافياً لوجودهم (عليهم السلام)، وهو مما يحتاجه الشيعة حاجةً ماسةً</w:t>
      </w:r>
      <w:r w:rsidRPr="00F27422">
        <w:rPr>
          <w:rFonts w:asciiTheme="minorBidi" w:hAnsiTheme="minorBidi"/>
          <w:sz w:val="32"/>
          <w:szCs w:val="32"/>
        </w:rPr>
        <w:t>.</w:t>
      </w:r>
    </w:p>
    <w:p w14:paraId="6AFD56BD"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lang w:bidi="ar-BH"/>
        </w:rPr>
        <w:t>مضافاً إلى ذلك:</w:t>
      </w:r>
      <w:r w:rsidRPr="00F27422">
        <w:rPr>
          <w:rFonts w:asciiTheme="minorBidi" w:hAnsiTheme="minorBidi"/>
          <w:sz w:val="32"/>
          <w:szCs w:val="32"/>
          <w:rtl/>
          <w:lang w:bidi="ar-BH"/>
        </w:rPr>
        <w:t xml:space="preserve"> ظهورُ المقبولة صدراً وذيلاً في التشريع على نحو القضية الحقيقية، لا لخصوص زمان صدورها، فإنّها قد تعرضتْ لتعارض الخبرين والمرجحات في فرض التعارض، كما تعرضت للترجيح عند اختلاف الحَكَمين</w:t>
      </w:r>
      <w:r w:rsidRPr="00F27422">
        <w:rPr>
          <w:rFonts w:asciiTheme="minorBidi" w:hAnsiTheme="minorBidi"/>
          <w:sz w:val="32"/>
          <w:szCs w:val="32"/>
        </w:rPr>
        <w:t>.</w:t>
      </w:r>
    </w:p>
    <w:p w14:paraId="13F5712C" w14:textId="77777777" w:rsidR="00D1182D" w:rsidRPr="00F27422" w:rsidRDefault="00D1182D" w:rsidP="00122B70">
      <w:pPr>
        <w:bidi/>
        <w:rPr>
          <w:rFonts w:asciiTheme="minorBidi" w:hAnsiTheme="minorBidi"/>
          <w:b/>
          <w:bCs/>
          <w:sz w:val="32"/>
          <w:szCs w:val="32"/>
          <w:rtl/>
        </w:rPr>
      </w:pPr>
      <w:r w:rsidRPr="00F27422">
        <w:rPr>
          <w:rFonts w:asciiTheme="minorBidi" w:hAnsiTheme="minorBidi"/>
          <w:sz w:val="32"/>
          <w:szCs w:val="32"/>
          <w:rtl/>
          <w:lang w:bidi="ar-BH"/>
        </w:rPr>
        <w:t xml:space="preserve">بل قد استدل بعض الأعلام (مد ظله) بالمقبولة على أنّه إذا تساوى الفقيهان قُدِم أورعهما، مما يعني ظهور المقبولة صدراً وذيلاً في جعل قضيةٍ حقيقيةٍ لا تختص بزمانهم (صلوات الله وسلامه عليهم أجمعين) كي يقال بأنّ القدر المتيقن من الرواية زمانهم والقدر المتيقن من </w:t>
      </w:r>
      <w:proofErr w:type="gramStart"/>
      <w:r w:rsidRPr="00F27422">
        <w:rPr>
          <w:rFonts w:asciiTheme="minorBidi" w:hAnsiTheme="minorBidi"/>
          <w:sz w:val="32"/>
          <w:szCs w:val="32"/>
          <w:rtl/>
          <w:lang w:bidi="ar-BH"/>
        </w:rPr>
        <w:t>النصب  في</w:t>
      </w:r>
      <w:proofErr w:type="gramEnd"/>
      <w:r w:rsidRPr="00F27422">
        <w:rPr>
          <w:rFonts w:asciiTheme="minorBidi" w:hAnsiTheme="minorBidi"/>
          <w:sz w:val="32"/>
          <w:szCs w:val="32"/>
          <w:rtl/>
          <w:lang w:bidi="ar-BH"/>
        </w:rPr>
        <w:t xml:space="preserve"> زمانهم هو نصب القاضي؛ بل ظاهر الرواية ظهوراً لا يمكن رفع اليد عنه صدراً وذليلاً في النظر إلى التشريع على نحو القضية الحقيقية.</w:t>
      </w:r>
    </w:p>
    <w:p w14:paraId="4A0356A9" w14:textId="77777777" w:rsidR="00D1182D" w:rsidRPr="00F27422" w:rsidRDefault="00D1182D" w:rsidP="00122B70">
      <w:pPr>
        <w:bidi/>
        <w:rPr>
          <w:rFonts w:asciiTheme="minorBidi" w:hAnsiTheme="minorBidi"/>
          <w:b/>
          <w:bCs/>
          <w:sz w:val="32"/>
          <w:szCs w:val="32"/>
        </w:rPr>
      </w:pPr>
    </w:p>
    <w:p w14:paraId="7D207BA4" w14:textId="77777777" w:rsidR="00D1182D" w:rsidRPr="00F27422" w:rsidRDefault="00D1182D"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1369305E" w14:textId="77777777" w:rsidR="00871371" w:rsidRPr="00F27422" w:rsidRDefault="00871371" w:rsidP="00122B70">
      <w:pPr>
        <w:bidi/>
        <w:rPr>
          <w:rFonts w:asciiTheme="minorBidi" w:hAnsiTheme="minorBidi"/>
          <w:sz w:val="32"/>
          <w:szCs w:val="32"/>
        </w:rPr>
      </w:pPr>
    </w:p>
    <w:p w14:paraId="3C6A911F" w14:textId="327DE2C6" w:rsidR="00D1182D" w:rsidRPr="00F27422" w:rsidRDefault="00D1182D" w:rsidP="00122B70">
      <w:pPr>
        <w:pStyle w:val="Heading3"/>
        <w:bidi/>
        <w:rPr>
          <w:rFonts w:asciiTheme="minorBidi" w:hAnsiTheme="minorBidi" w:cstheme="minorBidi"/>
          <w:sz w:val="32"/>
          <w:szCs w:val="32"/>
        </w:rPr>
      </w:pPr>
      <w:r w:rsidRPr="00F27422">
        <w:rPr>
          <w:rFonts w:asciiTheme="minorBidi" w:hAnsiTheme="minorBidi" w:cstheme="minorBidi"/>
          <w:sz w:val="32"/>
          <w:szCs w:val="32"/>
        </w:rPr>
        <w:lastRenderedPageBreak/>
        <w:t>034</w:t>
      </w:r>
    </w:p>
    <w:p w14:paraId="7B981F68" w14:textId="77777777" w:rsidR="00D1182D" w:rsidRPr="00F27422" w:rsidRDefault="00D1182D" w:rsidP="00122B70">
      <w:pPr>
        <w:bidi/>
        <w:rPr>
          <w:rFonts w:asciiTheme="minorBidi" w:hAnsiTheme="minorBidi"/>
          <w:sz w:val="32"/>
          <w:szCs w:val="32"/>
        </w:rPr>
      </w:pPr>
    </w:p>
    <w:p w14:paraId="26C3799E" w14:textId="77777777" w:rsidR="00600BEA" w:rsidRPr="00F27422" w:rsidRDefault="00600BEA" w:rsidP="00122B70">
      <w:pPr>
        <w:bidi/>
        <w:rPr>
          <w:rFonts w:asciiTheme="minorBidi" w:hAnsiTheme="minorBidi"/>
          <w:b/>
          <w:bCs/>
          <w:sz w:val="32"/>
          <w:szCs w:val="32"/>
        </w:rPr>
      </w:pPr>
      <w:r w:rsidRPr="00F27422">
        <w:rPr>
          <w:rFonts w:asciiTheme="minorBidi" w:hAnsiTheme="minorBidi"/>
          <w:b/>
          <w:bCs/>
          <w:sz w:val="32"/>
          <w:szCs w:val="32"/>
          <w:rtl/>
        </w:rPr>
        <w:t>بسم الله الرحمن الرحيم</w:t>
      </w:r>
    </w:p>
    <w:p w14:paraId="341D5A25" w14:textId="77777777" w:rsidR="00600BEA" w:rsidRPr="00F27422" w:rsidRDefault="00600BEA"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65181CAC" w14:textId="77777777" w:rsidR="00600BEA" w:rsidRPr="00F27422" w:rsidRDefault="00600BEA"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6910ED84" w14:textId="77777777" w:rsidR="00600BEA" w:rsidRPr="00F27422" w:rsidRDefault="00600BEA" w:rsidP="00122B70">
      <w:pPr>
        <w:bidi/>
        <w:rPr>
          <w:rFonts w:asciiTheme="minorBidi" w:hAnsiTheme="minorBidi"/>
          <w:sz w:val="32"/>
          <w:szCs w:val="32"/>
          <w:rtl/>
        </w:rPr>
      </w:pPr>
    </w:p>
    <w:p w14:paraId="4974C488" w14:textId="77777777" w:rsidR="00600BEA" w:rsidRPr="00F27422" w:rsidRDefault="00600BEA" w:rsidP="00122B70">
      <w:pPr>
        <w:bidi/>
        <w:rPr>
          <w:rFonts w:asciiTheme="minorBidi" w:hAnsiTheme="minorBidi"/>
          <w:sz w:val="32"/>
          <w:szCs w:val="32"/>
          <w:rtl/>
        </w:rPr>
      </w:pPr>
      <w:r w:rsidRPr="00F27422">
        <w:rPr>
          <w:rFonts w:asciiTheme="minorBidi" w:hAnsiTheme="minorBidi"/>
          <w:b/>
          <w:bCs/>
          <w:sz w:val="32"/>
          <w:szCs w:val="32"/>
          <w:rtl/>
        </w:rPr>
        <w:t>الوجه الثاني:</w:t>
      </w:r>
      <w:r w:rsidRPr="00F27422">
        <w:rPr>
          <w:rFonts w:asciiTheme="minorBidi" w:hAnsiTheme="minorBidi"/>
          <w:sz w:val="32"/>
          <w:szCs w:val="32"/>
        </w:rPr>
        <w:t xml:space="preserve"> </w:t>
      </w:r>
      <w:r w:rsidRPr="00F27422">
        <w:rPr>
          <w:rFonts w:asciiTheme="minorBidi" w:hAnsiTheme="minorBidi"/>
          <w:sz w:val="32"/>
          <w:szCs w:val="32"/>
          <w:rtl/>
        </w:rPr>
        <w:t>– للاستدلال بمقبولة عمر بن حنظلة –</w:t>
      </w:r>
    </w:p>
    <w:p w14:paraId="1FA47E9C" w14:textId="77777777" w:rsidR="00600BEA" w:rsidRPr="00F27422" w:rsidRDefault="00600BEA" w:rsidP="00122B70">
      <w:pPr>
        <w:bidi/>
        <w:rPr>
          <w:rFonts w:asciiTheme="minorBidi" w:hAnsiTheme="minorBidi"/>
          <w:sz w:val="32"/>
          <w:szCs w:val="32"/>
          <w:rtl/>
        </w:rPr>
      </w:pPr>
      <w:r w:rsidRPr="00F27422">
        <w:rPr>
          <w:rFonts w:asciiTheme="minorBidi" w:hAnsiTheme="minorBidi"/>
          <w:b/>
          <w:bCs/>
          <w:sz w:val="32"/>
          <w:szCs w:val="32"/>
          <w:rtl/>
        </w:rPr>
        <w:t>وحاصله:</w:t>
      </w:r>
      <w:r w:rsidRPr="00F27422">
        <w:rPr>
          <w:rFonts w:asciiTheme="minorBidi" w:hAnsiTheme="minorBidi"/>
          <w:sz w:val="32"/>
          <w:szCs w:val="32"/>
          <w:rtl/>
        </w:rPr>
        <w:t xml:space="preserve"> أنّ دلالة المقبولة على نصب الإمام (عليه السلام)</w:t>
      </w:r>
      <w:r w:rsidRPr="00F27422">
        <w:rPr>
          <w:rFonts w:asciiTheme="minorBidi" w:hAnsiTheme="minorBidi"/>
          <w:sz w:val="32"/>
          <w:szCs w:val="32"/>
        </w:rPr>
        <w:t xml:space="preserve"> </w:t>
      </w:r>
      <w:r w:rsidRPr="00F27422">
        <w:rPr>
          <w:rFonts w:asciiTheme="minorBidi" w:hAnsiTheme="minorBidi"/>
          <w:sz w:val="32"/>
          <w:szCs w:val="32"/>
          <w:rtl/>
        </w:rPr>
        <w:t>للفقيه قاضياً كان بمناط رفع الحاجة الشديدة للشيعة في ذلك الزمان،</w:t>
      </w:r>
      <w:r w:rsidRPr="00F27422">
        <w:rPr>
          <w:rFonts w:asciiTheme="minorBidi" w:hAnsiTheme="minorBidi"/>
          <w:sz w:val="32"/>
          <w:szCs w:val="32"/>
        </w:rPr>
        <w:t xml:space="preserve"> </w:t>
      </w:r>
      <w:r w:rsidRPr="00F27422">
        <w:rPr>
          <w:rFonts w:asciiTheme="minorBidi" w:hAnsiTheme="minorBidi"/>
          <w:sz w:val="32"/>
          <w:szCs w:val="32"/>
          <w:rtl/>
        </w:rPr>
        <w:t>فإذا كان نصب القاضي بمناط رفع الحاجة الشديدة</w:t>
      </w:r>
      <w:r w:rsidRPr="00F27422">
        <w:rPr>
          <w:rFonts w:asciiTheme="minorBidi" w:hAnsiTheme="minorBidi"/>
          <w:sz w:val="32"/>
          <w:szCs w:val="32"/>
        </w:rPr>
        <w:t xml:space="preserve"> </w:t>
      </w:r>
      <w:r w:rsidRPr="00F27422">
        <w:rPr>
          <w:rFonts w:asciiTheme="minorBidi" w:hAnsiTheme="minorBidi"/>
          <w:sz w:val="32"/>
          <w:szCs w:val="32"/>
          <w:rtl/>
        </w:rPr>
        <w:t>فهو دال بالفحوى</w:t>
      </w:r>
      <w:r w:rsidRPr="00F27422">
        <w:rPr>
          <w:rFonts w:asciiTheme="minorBidi" w:hAnsiTheme="minorBidi"/>
          <w:sz w:val="32"/>
          <w:szCs w:val="32"/>
        </w:rPr>
        <w:t xml:space="preserve"> </w:t>
      </w:r>
      <w:r w:rsidRPr="00F27422">
        <w:rPr>
          <w:rFonts w:asciiTheme="minorBidi" w:hAnsiTheme="minorBidi"/>
          <w:sz w:val="32"/>
          <w:szCs w:val="32"/>
          <w:rtl/>
        </w:rPr>
        <w:t>على ثبوت نصب الإمام (عليه السلام)</w:t>
      </w:r>
      <w:r w:rsidRPr="00F27422">
        <w:rPr>
          <w:rFonts w:asciiTheme="minorBidi" w:hAnsiTheme="minorBidi"/>
          <w:sz w:val="32"/>
          <w:szCs w:val="32"/>
        </w:rPr>
        <w:t xml:space="preserve"> </w:t>
      </w:r>
      <w:r w:rsidRPr="00F27422">
        <w:rPr>
          <w:rFonts w:asciiTheme="minorBidi" w:hAnsiTheme="minorBidi"/>
          <w:sz w:val="32"/>
          <w:szCs w:val="32"/>
          <w:rtl/>
        </w:rPr>
        <w:t>للفقيه ولياً في الأمور العامة؛</w:t>
      </w:r>
      <w:r w:rsidRPr="00F27422">
        <w:rPr>
          <w:rFonts w:asciiTheme="minorBidi" w:hAnsiTheme="minorBidi"/>
          <w:sz w:val="32"/>
          <w:szCs w:val="32"/>
        </w:rPr>
        <w:t xml:space="preserve"> </w:t>
      </w:r>
      <w:r w:rsidRPr="00F27422">
        <w:rPr>
          <w:rFonts w:asciiTheme="minorBidi" w:hAnsiTheme="minorBidi"/>
          <w:sz w:val="32"/>
          <w:szCs w:val="32"/>
          <w:rtl/>
        </w:rPr>
        <w:t>لأنّ الحاجة للتصرّف في الأمور العامة</w:t>
      </w:r>
      <w:r w:rsidRPr="00F27422">
        <w:rPr>
          <w:rFonts w:asciiTheme="minorBidi" w:hAnsiTheme="minorBidi"/>
          <w:sz w:val="32"/>
          <w:szCs w:val="32"/>
        </w:rPr>
        <w:t xml:space="preserve"> </w:t>
      </w:r>
      <w:r w:rsidRPr="00F27422">
        <w:rPr>
          <w:rFonts w:asciiTheme="minorBidi" w:hAnsiTheme="minorBidi"/>
          <w:sz w:val="32"/>
          <w:szCs w:val="32"/>
          <w:rtl/>
        </w:rPr>
        <w:t>إنْ لم يكن أشد من الحاجة للقاضي</w:t>
      </w:r>
      <w:r w:rsidRPr="00F27422">
        <w:rPr>
          <w:rFonts w:asciiTheme="minorBidi" w:hAnsiTheme="minorBidi"/>
          <w:sz w:val="32"/>
          <w:szCs w:val="32"/>
        </w:rPr>
        <w:t xml:space="preserve"> </w:t>
      </w:r>
      <w:r w:rsidRPr="00F27422">
        <w:rPr>
          <w:rFonts w:asciiTheme="minorBidi" w:hAnsiTheme="minorBidi"/>
          <w:sz w:val="32"/>
          <w:szCs w:val="32"/>
          <w:rtl/>
        </w:rPr>
        <w:t>في فض الخصومات ورفع المنازعات فلا أقل من أنّه لا يقل عنه،</w:t>
      </w:r>
      <w:r w:rsidRPr="00F27422">
        <w:rPr>
          <w:rFonts w:asciiTheme="minorBidi" w:hAnsiTheme="minorBidi"/>
          <w:sz w:val="32"/>
          <w:szCs w:val="32"/>
        </w:rPr>
        <w:t xml:space="preserve"> </w:t>
      </w:r>
      <w:r w:rsidRPr="00F27422">
        <w:rPr>
          <w:rFonts w:asciiTheme="minorBidi" w:hAnsiTheme="minorBidi"/>
          <w:sz w:val="32"/>
          <w:szCs w:val="32"/>
          <w:rtl/>
        </w:rPr>
        <w:t>وبالتالي ما دل على ثبوت القضاء للفقيه</w:t>
      </w:r>
      <w:r w:rsidRPr="00F27422">
        <w:rPr>
          <w:rFonts w:asciiTheme="minorBidi" w:hAnsiTheme="minorBidi"/>
          <w:sz w:val="32"/>
          <w:szCs w:val="32"/>
        </w:rPr>
        <w:t xml:space="preserve"> </w:t>
      </w:r>
      <w:r w:rsidRPr="00F27422">
        <w:rPr>
          <w:rFonts w:asciiTheme="minorBidi" w:hAnsiTheme="minorBidi"/>
          <w:sz w:val="32"/>
          <w:szCs w:val="32"/>
          <w:rtl/>
        </w:rPr>
        <w:t>دلّ على ثبوت الولاية له في الأمور العامة.</w:t>
      </w:r>
    </w:p>
    <w:p w14:paraId="0499DB0D" w14:textId="77777777" w:rsidR="00600BEA" w:rsidRPr="00F27422" w:rsidRDefault="00600BEA" w:rsidP="00122B70">
      <w:pPr>
        <w:bidi/>
        <w:rPr>
          <w:rFonts w:asciiTheme="minorBidi" w:hAnsiTheme="minorBidi"/>
          <w:sz w:val="32"/>
          <w:szCs w:val="32"/>
          <w:rtl/>
        </w:rPr>
      </w:pPr>
      <w:r w:rsidRPr="00F27422">
        <w:rPr>
          <w:rFonts w:asciiTheme="minorBidi" w:hAnsiTheme="minorBidi"/>
          <w:b/>
          <w:bCs/>
          <w:sz w:val="32"/>
          <w:szCs w:val="32"/>
          <w:rtl/>
        </w:rPr>
        <w:t>ولكن السيد الخونساري (قدس سره) في كتاب [جامع المدارك، ج7، ص57]</w:t>
      </w:r>
      <w:r w:rsidRPr="00F27422">
        <w:rPr>
          <w:rFonts w:asciiTheme="minorBidi" w:hAnsiTheme="minorBidi"/>
          <w:b/>
          <w:bCs/>
          <w:sz w:val="32"/>
          <w:szCs w:val="32"/>
        </w:rPr>
        <w:t xml:space="preserve"> </w:t>
      </w:r>
      <w:r w:rsidRPr="00F27422">
        <w:rPr>
          <w:rFonts w:asciiTheme="minorBidi" w:hAnsiTheme="minorBidi"/>
          <w:b/>
          <w:bCs/>
          <w:sz w:val="32"/>
          <w:szCs w:val="32"/>
          <w:rtl/>
        </w:rPr>
        <w:t>تأمل في ذلك،</w:t>
      </w:r>
      <w:r w:rsidRPr="00F27422">
        <w:rPr>
          <w:rFonts w:asciiTheme="minorBidi" w:hAnsiTheme="minorBidi"/>
          <w:b/>
          <w:bCs/>
          <w:sz w:val="32"/>
          <w:szCs w:val="32"/>
        </w:rPr>
        <w:t xml:space="preserve"> </w:t>
      </w:r>
      <w:r w:rsidRPr="00F27422">
        <w:rPr>
          <w:rFonts w:asciiTheme="minorBidi" w:hAnsiTheme="minorBidi"/>
          <w:b/>
          <w:bCs/>
          <w:sz w:val="32"/>
          <w:szCs w:val="32"/>
          <w:rtl/>
        </w:rPr>
        <w:t>بما حاصله:</w:t>
      </w:r>
      <w:r w:rsidRPr="00F27422">
        <w:rPr>
          <w:rFonts w:asciiTheme="minorBidi" w:hAnsiTheme="minorBidi"/>
          <w:sz w:val="32"/>
          <w:szCs w:val="32"/>
        </w:rPr>
        <w:t xml:space="preserve"> </w:t>
      </w:r>
      <w:r w:rsidRPr="00F27422">
        <w:rPr>
          <w:rFonts w:asciiTheme="minorBidi" w:hAnsiTheme="minorBidi"/>
          <w:sz w:val="32"/>
          <w:szCs w:val="32"/>
          <w:rtl/>
        </w:rPr>
        <w:t xml:space="preserve">أنّ النكتة في الاستدلال </w:t>
      </w:r>
      <w:proofErr w:type="spellStart"/>
      <w:r w:rsidRPr="00F27422">
        <w:rPr>
          <w:rFonts w:asciiTheme="minorBidi" w:hAnsiTheme="minorBidi"/>
          <w:sz w:val="32"/>
          <w:szCs w:val="32"/>
          <w:rtl/>
        </w:rPr>
        <w:t>الإني</w:t>
      </w:r>
      <w:proofErr w:type="spellEnd"/>
      <w:r w:rsidRPr="00F27422">
        <w:rPr>
          <w:rFonts w:asciiTheme="minorBidi" w:hAnsiTheme="minorBidi"/>
          <w:sz w:val="32"/>
          <w:szCs w:val="32"/>
        </w:rPr>
        <w:t xml:space="preserve"> </w:t>
      </w:r>
      <w:r w:rsidRPr="00F27422">
        <w:rPr>
          <w:rFonts w:asciiTheme="minorBidi" w:hAnsiTheme="minorBidi"/>
          <w:sz w:val="32"/>
          <w:szCs w:val="32"/>
          <w:rtl/>
        </w:rPr>
        <w:t>على ثبوت الولاية في الأمور العامة للفقيه بنصب الإمام (عليه السلام) الفقيهَ قاضياً هو: أنّ عدم النصب خلاف الحكمة؛</w:t>
      </w:r>
      <w:r w:rsidRPr="00F27422">
        <w:rPr>
          <w:rFonts w:asciiTheme="minorBidi" w:hAnsiTheme="minorBidi"/>
          <w:sz w:val="32"/>
          <w:szCs w:val="32"/>
        </w:rPr>
        <w:t xml:space="preserve"> </w:t>
      </w:r>
      <w:r w:rsidRPr="00F27422">
        <w:rPr>
          <w:rFonts w:asciiTheme="minorBidi" w:hAnsiTheme="minorBidi"/>
          <w:sz w:val="32"/>
          <w:szCs w:val="32"/>
          <w:rtl/>
        </w:rPr>
        <w:t>فإنّه إذا نصب الفقيه قاضياً لرفع الحاجة فمقتضى الحكمة أنْ ينصب الفقيه ولياً لرفع الحاجة،</w:t>
      </w:r>
      <w:r w:rsidRPr="00F27422">
        <w:rPr>
          <w:rFonts w:asciiTheme="minorBidi" w:hAnsiTheme="minorBidi"/>
          <w:sz w:val="32"/>
          <w:szCs w:val="32"/>
        </w:rPr>
        <w:t xml:space="preserve"> </w:t>
      </w:r>
      <w:r w:rsidRPr="00F27422">
        <w:rPr>
          <w:rFonts w:asciiTheme="minorBidi" w:hAnsiTheme="minorBidi"/>
          <w:sz w:val="32"/>
          <w:szCs w:val="32"/>
          <w:rtl/>
        </w:rPr>
        <w:t>وإلّا كان عدم النصب خلاف الحكمة.</w:t>
      </w:r>
    </w:p>
    <w:p w14:paraId="1D7533ED" w14:textId="77777777" w:rsidR="00600BEA" w:rsidRPr="00F27422" w:rsidRDefault="00600BEA" w:rsidP="00122B70">
      <w:pPr>
        <w:bidi/>
        <w:rPr>
          <w:rFonts w:asciiTheme="minorBidi" w:hAnsiTheme="minorBidi"/>
          <w:sz w:val="32"/>
          <w:szCs w:val="32"/>
          <w:rtl/>
        </w:rPr>
      </w:pPr>
      <w:r w:rsidRPr="00F27422">
        <w:rPr>
          <w:rFonts w:asciiTheme="minorBidi" w:hAnsiTheme="minorBidi"/>
          <w:b/>
          <w:bCs/>
          <w:sz w:val="32"/>
          <w:szCs w:val="32"/>
          <w:rtl/>
        </w:rPr>
        <w:t>إلّا أنّ الصحيح:</w:t>
      </w:r>
      <w:r w:rsidRPr="00F27422">
        <w:rPr>
          <w:rFonts w:asciiTheme="minorBidi" w:hAnsiTheme="minorBidi"/>
          <w:sz w:val="32"/>
          <w:szCs w:val="32"/>
          <w:rtl/>
        </w:rPr>
        <w:t xml:space="preserve"> أنّ عدم النصب إنّما يكون خلاف الحكمة</w:t>
      </w:r>
      <w:r w:rsidRPr="00F27422">
        <w:rPr>
          <w:rFonts w:asciiTheme="minorBidi" w:hAnsiTheme="minorBidi"/>
          <w:sz w:val="32"/>
          <w:szCs w:val="32"/>
        </w:rPr>
        <w:t xml:space="preserve"> </w:t>
      </w:r>
      <w:r w:rsidRPr="00F27422">
        <w:rPr>
          <w:rFonts w:asciiTheme="minorBidi" w:hAnsiTheme="minorBidi"/>
          <w:sz w:val="32"/>
          <w:szCs w:val="32"/>
          <w:rtl/>
        </w:rPr>
        <w:t>لو كان للنصب أثر،</w:t>
      </w:r>
      <w:r w:rsidRPr="00F27422">
        <w:rPr>
          <w:rFonts w:asciiTheme="minorBidi" w:hAnsiTheme="minorBidi"/>
          <w:sz w:val="32"/>
          <w:szCs w:val="32"/>
        </w:rPr>
        <w:t xml:space="preserve"> </w:t>
      </w:r>
      <w:r w:rsidRPr="00F27422">
        <w:rPr>
          <w:rFonts w:asciiTheme="minorBidi" w:hAnsiTheme="minorBidi"/>
          <w:sz w:val="32"/>
          <w:szCs w:val="32"/>
          <w:rtl/>
        </w:rPr>
        <w:t>ولكن حيث لا أثر لهذا النصب؛ لعدم كون الإمام (عليه السلام) مبسوط</w:t>
      </w:r>
      <w:r w:rsidRPr="00F27422">
        <w:rPr>
          <w:rFonts w:asciiTheme="minorBidi" w:hAnsiTheme="minorBidi"/>
          <w:sz w:val="32"/>
          <w:szCs w:val="32"/>
        </w:rPr>
        <w:t xml:space="preserve"> </w:t>
      </w:r>
      <w:r w:rsidRPr="00F27422">
        <w:rPr>
          <w:rFonts w:asciiTheme="minorBidi" w:hAnsiTheme="minorBidi"/>
          <w:sz w:val="32"/>
          <w:szCs w:val="32"/>
          <w:rtl/>
        </w:rPr>
        <w:t>اليد أو عدم كون الفقيه مبسوط اليد</w:t>
      </w:r>
      <w:r w:rsidRPr="00F27422">
        <w:rPr>
          <w:rFonts w:asciiTheme="minorBidi" w:hAnsiTheme="minorBidi"/>
          <w:sz w:val="32"/>
          <w:szCs w:val="32"/>
        </w:rPr>
        <w:t xml:space="preserve"> </w:t>
      </w:r>
      <w:r w:rsidRPr="00F27422">
        <w:rPr>
          <w:rFonts w:asciiTheme="minorBidi" w:hAnsiTheme="minorBidi"/>
          <w:sz w:val="32"/>
          <w:szCs w:val="32"/>
          <w:rtl/>
        </w:rPr>
        <w:t>فلا يمكن استكشاف النصب</w:t>
      </w:r>
      <w:r w:rsidRPr="00F27422">
        <w:rPr>
          <w:rFonts w:asciiTheme="minorBidi" w:hAnsiTheme="minorBidi"/>
          <w:sz w:val="32"/>
          <w:szCs w:val="32"/>
        </w:rPr>
        <w:t xml:space="preserve"> </w:t>
      </w:r>
      <w:r w:rsidRPr="00F27422">
        <w:rPr>
          <w:rFonts w:asciiTheme="minorBidi" w:hAnsiTheme="minorBidi"/>
          <w:sz w:val="32"/>
          <w:szCs w:val="32"/>
          <w:rtl/>
        </w:rPr>
        <w:t>من حيثية عدم الحكمة.</w:t>
      </w:r>
    </w:p>
    <w:p w14:paraId="3455D966" w14:textId="77777777" w:rsidR="00600BEA" w:rsidRPr="00F27422" w:rsidRDefault="00600BEA" w:rsidP="00122B70">
      <w:pPr>
        <w:bidi/>
        <w:rPr>
          <w:rFonts w:asciiTheme="minorBidi" w:hAnsiTheme="minorBidi"/>
          <w:sz w:val="32"/>
          <w:szCs w:val="32"/>
          <w:rtl/>
        </w:rPr>
      </w:pPr>
      <w:r w:rsidRPr="00F27422">
        <w:rPr>
          <w:rFonts w:asciiTheme="minorBidi" w:hAnsiTheme="minorBidi"/>
          <w:sz w:val="32"/>
          <w:szCs w:val="32"/>
          <w:rtl/>
        </w:rPr>
        <w:t>فلو فرض أنّ الفقيه مبسوط اليد</w:t>
      </w:r>
      <w:r w:rsidRPr="00F27422">
        <w:rPr>
          <w:rFonts w:asciiTheme="minorBidi" w:hAnsiTheme="minorBidi"/>
          <w:sz w:val="32"/>
          <w:szCs w:val="32"/>
        </w:rPr>
        <w:t xml:space="preserve"> </w:t>
      </w:r>
      <w:r w:rsidRPr="00F27422">
        <w:rPr>
          <w:rFonts w:asciiTheme="minorBidi" w:hAnsiTheme="minorBidi"/>
          <w:sz w:val="32"/>
          <w:szCs w:val="32"/>
          <w:rtl/>
        </w:rPr>
        <w:t>لقيل بأنّ عدم نصبه ولياً في الأمور العامة خلاف الحكمة،</w:t>
      </w:r>
      <w:r w:rsidRPr="00F27422">
        <w:rPr>
          <w:rFonts w:asciiTheme="minorBidi" w:hAnsiTheme="minorBidi"/>
          <w:sz w:val="32"/>
          <w:szCs w:val="32"/>
        </w:rPr>
        <w:t xml:space="preserve"> </w:t>
      </w:r>
      <w:r w:rsidRPr="00F27422">
        <w:rPr>
          <w:rFonts w:asciiTheme="minorBidi" w:hAnsiTheme="minorBidi"/>
          <w:sz w:val="32"/>
          <w:szCs w:val="32"/>
          <w:rtl/>
        </w:rPr>
        <w:t xml:space="preserve">أمّا إذا لم يكن الفقيه في زمان </w:t>
      </w:r>
      <w:proofErr w:type="gramStart"/>
      <w:r w:rsidRPr="00F27422">
        <w:rPr>
          <w:rFonts w:asciiTheme="minorBidi" w:hAnsiTheme="minorBidi"/>
          <w:sz w:val="32"/>
          <w:szCs w:val="32"/>
          <w:rtl/>
        </w:rPr>
        <w:t>الغيبة</w:t>
      </w:r>
      <w:proofErr w:type="gramEnd"/>
      <w:r w:rsidRPr="00F27422">
        <w:rPr>
          <w:rFonts w:asciiTheme="minorBidi" w:hAnsiTheme="minorBidi"/>
          <w:sz w:val="32"/>
          <w:szCs w:val="32"/>
        </w:rPr>
        <w:t xml:space="preserve"> </w:t>
      </w:r>
      <w:r w:rsidRPr="00F27422">
        <w:rPr>
          <w:rFonts w:asciiTheme="minorBidi" w:hAnsiTheme="minorBidi"/>
          <w:sz w:val="32"/>
          <w:szCs w:val="32"/>
          <w:rtl/>
        </w:rPr>
        <w:t>بل في زمان الأئمة (صلوات الله عليهم أجمعين) مبسوط اليد فعدم نصبه ولياً في الأمور العامة ليس خلاف الحكمة.</w:t>
      </w:r>
    </w:p>
    <w:p w14:paraId="5C81F0C6" w14:textId="77777777" w:rsidR="00600BEA" w:rsidRPr="00F27422" w:rsidRDefault="00600BEA" w:rsidP="00122B70">
      <w:pPr>
        <w:bidi/>
        <w:rPr>
          <w:rFonts w:asciiTheme="minorBidi" w:hAnsiTheme="minorBidi"/>
          <w:sz w:val="32"/>
          <w:szCs w:val="32"/>
          <w:rtl/>
        </w:rPr>
      </w:pPr>
      <w:r w:rsidRPr="00F27422">
        <w:rPr>
          <w:rFonts w:asciiTheme="minorBidi" w:hAnsiTheme="minorBidi"/>
          <w:sz w:val="32"/>
          <w:szCs w:val="32"/>
          <w:rtl/>
        </w:rPr>
        <w:lastRenderedPageBreak/>
        <w:t>فمن أين يستكشف أنْ يقال: بما أنّه نصبه قاضياً فقد نصبه</w:t>
      </w:r>
      <w:r w:rsidRPr="00F27422">
        <w:rPr>
          <w:rFonts w:asciiTheme="minorBidi" w:hAnsiTheme="minorBidi"/>
          <w:sz w:val="32"/>
          <w:szCs w:val="32"/>
        </w:rPr>
        <w:t xml:space="preserve"> </w:t>
      </w:r>
      <w:r w:rsidRPr="00F27422">
        <w:rPr>
          <w:rFonts w:asciiTheme="minorBidi" w:hAnsiTheme="minorBidi"/>
          <w:sz w:val="32"/>
          <w:szCs w:val="32"/>
          <w:rtl/>
        </w:rPr>
        <w:t>ولياً،</w:t>
      </w:r>
      <w:r w:rsidRPr="00F27422">
        <w:rPr>
          <w:rFonts w:asciiTheme="minorBidi" w:hAnsiTheme="minorBidi"/>
          <w:sz w:val="32"/>
          <w:szCs w:val="32"/>
        </w:rPr>
        <w:t xml:space="preserve"> </w:t>
      </w:r>
      <w:r w:rsidRPr="00F27422">
        <w:rPr>
          <w:rFonts w:asciiTheme="minorBidi" w:hAnsiTheme="minorBidi"/>
          <w:sz w:val="32"/>
          <w:szCs w:val="32"/>
          <w:rtl/>
        </w:rPr>
        <w:t>لعلّه إنّما نصبه قاضياً لتمكن الفقيه</w:t>
      </w:r>
      <w:r w:rsidRPr="00F27422">
        <w:rPr>
          <w:rFonts w:asciiTheme="minorBidi" w:hAnsiTheme="minorBidi"/>
          <w:sz w:val="32"/>
          <w:szCs w:val="32"/>
        </w:rPr>
        <w:t xml:space="preserve"> </w:t>
      </w:r>
      <w:r w:rsidRPr="00F27422">
        <w:rPr>
          <w:rFonts w:asciiTheme="minorBidi" w:hAnsiTheme="minorBidi"/>
          <w:sz w:val="32"/>
          <w:szCs w:val="32"/>
          <w:rtl/>
        </w:rPr>
        <w:t>من القضاء ولم ينصبه ولياً لعدم كونه مبسوط اليد،</w:t>
      </w:r>
      <w:r w:rsidRPr="00F27422">
        <w:rPr>
          <w:rFonts w:asciiTheme="minorBidi" w:hAnsiTheme="minorBidi"/>
          <w:sz w:val="32"/>
          <w:szCs w:val="32"/>
        </w:rPr>
        <w:t xml:space="preserve"> </w:t>
      </w:r>
      <w:r w:rsidRPr="00F27422">
        <w:rPr>
          <w:rFonts w:asciiTheme="minorBidi" w:hAnsiTheme="minorBidi"/>
          <w:sz w:val="32"/>
          <w:szCs w:val="32"/>
          <w:rtl/>
        </w:rPr>
        <w:t>فلا يستكشف من نصبه قاضياً نصبُهُ ولياً. فتأمل.</w:t>
      </w:r>
    </w:p>
    <w:p w14:paraId="7FFECA25" w14:textId="77777777" w:rsidR="00600BEA" w:rsidRPr="00F27422" w:rsidRDefault="00600BEA" w:rsidP="00122B70">
      <w:pPr>
        <w:bidi/>
        <w:rPr>
          <w:rFonts w:asciiTheme="minorBidi" w:hAnsiTheme="minorBidi"/>
          <w:sz w:val="32"/>
          <w:szCs w:val="32"/>
          <w:rtl/>
        </w:rPr>
      </w:pPr>
      <w:r w:rsidRPr="00F27422">
        <w:rPr>
          <w:rFonts w:asciiTheme="minorBidi" w:hAnsiTheme="minorBidi"/>
          <w:b/>
          <w:bCs/>
          <w:sz w:val="32"/>
          <w:szCs w:val="32"/>
          <w:rtl/>
        </w:rPr>
        <w:t>الرواية الثالثة:</w:t>
      </w:r>
      <w:r w:rsidRPr="00F27422">
        <w:rPr>
          <w:rFonts w:asciiTheme="minorBidi" w:hAnsiTheme="minorBidi"/>
          <w:sz w:val="32"/>
          <w:szCs w:val="32"/>
          <w:rtl/>
        </w:rPr>
        <w:t xml:space="preserve"> وهي صحيحة محمّد بن إسماعيل بن بزيع.</w:t>
      </w:r>
    </w:p>
    <w:p w14:paraId="6C9DF50F" w14:textId="77777777" w:rsidR="00600BEA" w:rsidRPr="00F27422" w:rsidRDefault="00600BEA" w:rsidP="00122B70">
      <w:pPr>
        <w:bidi/>
        <w:rPr>
          <w:rFonts w:asciiTheme="minorBidi" w:hAnsiTheme="minorBidi"/>
          <w:b/>
          <w:bCs/>
          <w:sz w:val="32"/>
          <w:szCs w:val="32"/>
          <w:rtl/>
        </w:rPr>
      </w:pPr>
      <w:r w:rsidRPr="00F27422">
        <w:rPr>
          <w:rFonts w:asciiTheme="minorBidi" w:hAnsiTheme="minorBidi"/>
          <w:sz w:val="32"/>
          <w:szCs w:val="32"/>
          <w:rtl/>
        </w:rPr>
        <w:t xml:space="preserve">وقد تعرض لها سيدنا الخوئي (قدس سره الشريف) </w:t>
      </w:r>
      <w:r w:rsidRPr="00F27422">
        <w:rPr>
          <w:rFonts w:asciiTheme="minorBidi" w:hAnsiTheme="minorBidi"/>
          <w:sz w:val="32"/>
          <w:szCs w:val="32"/>
          <w:rtl/>
          <w:lang w:bidi="ar-BH"/>
        </w:rPr>
        <w:t>في موسوعته المباركة في كتابه [التنقيح في شرح العروة الوثقى، ج1، كتاب التقليد، ص357]</w:t>
      </w:r>
      <w:r w:rsidRPr="00F27422">
        <w:rPr>
          <w:rFonts w:asciiTheme="minorBidi" w:hAnsiTheme="minorBidi"/>
          <w:sz w:val="32"/>
          <w:szCs w:val="32"/>
          <w:rtl/>
        </w:rPr>
        <w:t xml:space="preserve"> حيث قال: </w:t>
      </w:r>
      <w:r w:rsidRPr="00F27422">
        <w:rPr>
          <w:rFonts w:asciiTheme="minorBidi" w:hAnsiTheme="minorBidi"/>
          <w:b/>
          <w:bCs/>
          <w:sz w:val="32"/>
          <w:szCs w:val="32"/>
          <w:rtl/>
        </w:rPr>
        <w:t>(وذلك لأنه لا شبهة ولا كلام في أنّ القضاة المنصوبين من قبل العامة</w:t>
      </w:r>
      <w:r w:rsidRPr="00F27422">
        <w:rPr>
          <w:rFonts w:asciiTheme="minorBidi" w:hAnsiTheme="minorBidi"/>
          <w:b/>
          <w:bCs/>
          <w:sz w:val="32"/>
          <w:szCs w:val="32"/>
        </w:rPr>
        <w:t xml:space="preserve"> </w:t>
      </w:r>
      <w:r w:rsidRPr="00F27422">
        <w:rPr>
          <w:rFonts w:asciiTheme="minorBidi" w:hAnsiTheme="minorBidi"/>
          <w:b/>
          <w:bCs/>
          <w:sz w:val="32"/>
          <w:szCs w:val="32"/>
          <w:rtl/>
        </w:rPr>
        <w:t>والخلفاء كانوا يتصدون لتلك الوظائف والمناصب)</w:t>
      </w:r>
      <w:r w:rsidRPr="00F27422">
        <w:rPr>
          <w:rFonts w:asciiTheme="minorBidi" w:hAnsiTheme="minorBidi"/>
          <w:sz w:val="32"/>
          <w:szCs w:val="32"/>
          <w:rtl/>
        </w:rPr>
        <w:t xml:space="preserve"> كنصب القيّم والولي على القصر والمتولّي على الأوقاف التي لا متوليّ لها والحكم بالهلال وغير ذلك من الوظائف التي كان يتصدى لها القضاة مِن قِبَلِ العامة </w:t>
      </w:r>
      <w:r w:rsidRPr="00F27422">
        <w:rPr>
          <w:rFonts w:asciiTheme="minorBidi" w:hAnsiTheme="minorBidi"/>
          <w:b/>
          <w:bCs/>
          <w:sz w:val="32"/>
          <w:szCs w:val="32"/>
          <w:rtl/>
        </w:rPr>
        <w:t>(كما لا يخفى على من لاحظ أحوالهم وسبر سيرهم وسلوكهم.</w:t>
      </w:r>
    </w:p>
    <w:p w14:paraId="02CF37F7" w14:textId="77777777" w:rsidR="00600BEA" w:rsidRPr="00F27422" w:rsidRDefault="00600BEA" w:rsidP="00122B70">
      <w:pPr>
        <w:bidi/>
        <w:rPr>
          <w:rFonts w:asciiTheme="minorBidi" w:hAnsiTheme="minorBidi"/>
          <w:b/>
          <w:bCs/>
          <w:sz w:val="32"/>
          <w:szCs w:val="32"/>
          <w:rtl/>
        </w:rPr>
      </w:pPr>
      <w:r w:rsidRPr="00F27422">
        <w:rPr>
          <w:rFonts w:asciiTheme="minorBidi" w:hAnsiTheme="minorBidi"/>
          <w:b/>
          <w:bCs/>
          <w:sz w:val="32"/>
          <w:szCs w:val="32"/>
          <w:rtl/>
        </w:rPr>
        <w:t>ويكشف عن ذلك كشفاً قطعياً</w:t>
      </w:r>
      <w:r w:rsidRPr="00F27422">
        <w:rPr>
          <w:rFonts w:asciiTheme="minorBidi" w:hAnsiTheme="minorBidi"/>
          <w:b/>
          <w:bCs/>
          <w:sz w:val="32"/>
          <w:szCs w:val="32"/>
        </w:rPr>
        <w:t xml:space="preserve"> </w:t>
      </w:r>
      <w:r w:rsidRPr="00F27422">
        <w:rPr>
          <w:rFonts w:asciiTheme="minorBidi" w:hAnsiTheme="minorBidi"/>
          <w:b/>
          <w:bCs/>
          <w:sz w:val="32"/>
          <w:szCs w:val="32"/>
          <w:rtl/>
        </w:rPr>
        <w:t xml:space="preserve">صحيحة محمد بن إسماعيل بن بزيع). </w:t>
      </w:r>
    </w:p>
    <w:p w14:paraId="62A2A76A" w14:textId="77777777" w:rsidR="00600BEA" w:rsidRPr="00F27422" w:rsidRDefault="00600BEA" w:rsidP="00122B70">
      <w:pPr>
        <w:bidi/>
        <w:rPr>
          <w:rFonts w:asciiTheme="minorBidi" w:hAnsiTheme="minorBidi"/>
          <w:b/>
          <w:bCs/>
          <w:sz w:val="32"/>
          <w:szCs w:val="32"/>
          <w:rtl/>
        </w:rPr>
      </w:pPr>
      <w:r w:rsidRPr="00F27422">
        <w:rPr>
          <w:rFonts w:asciiTheme="minorBidi" w:hAnsiTheme="minorBidi"/>
          <w:sz w:val="32"/>
          <w:szCs w:val="32"/>
          <w:rtl/>
        </w:rPr>
        <w:t xml:space="preserve">وهي روايةٌ تامة السند، كما في الوسائل: </w:t>
      </w:r>
      <w:r w:rsidRPr="00F27422">
        <w:rPr>
          <w:rFonts w:asciiTheme="minorBidi" w:hAnsiTheme="minorBidi"/>
          <w:b/>
          <w:bCs/>
          <w:sz w:val="32"/>
          <w:szCs w:val="32"/>
          <w:rtl/>
        </w:rPr>
        <w:t xml:space="preserve">(وعنه، عن أحمد بن محمّد، عن محمّد بن إسماعيل بزيع قال: مات رجل من أصحابنا لم يوص فرفع أمره إلى قاضي الكوفة فصير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القيم بماله، وكان الرجل خلّف ورثة صغاراً ومتاعاً وجواري، فباع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المتاع، فلما أراد بيع الجواري ضعف قلبه عن بيعهن إذ لم يكن الميت صيّر إليه وصيته، وكان قيامه فيها بأمر القاضي لأنهن فروج.</w:t>
      </w:r>
    </w:p>
    <w:p w14:paraId="14FD7F8E" w14:textId="77777777" w:rsidR="00600BEA" w:rsidRPr="00F27422" w:rsidRDefault="00600BEA" w:rsidP="00122B70">
      <w:pPr>
        <w:bidi/>
        <w:rPr>
          <w:rFonts w:asciiTheme="minorBidi" w:hAnsiTheme="minorBidi"/>
          <w:sz w:val="32"/>
          <w:szCs w:val="32"/>
          <w:rtl/>
        </w:rPr>
      </w:pPr>
      <w:r w:rsidRPr="00F27422">
        <w:rPr>
          <w:rFonts w:asciiTheme="minorBidi" w:hAnsiTheme="minorBidi"/>
          <w:b/>
          <w:bCs/>
          <w:sz w:val="32"/>
          <w:szCs w:val="32"/>
          <w:rtl/>
        </w:rPr>
        <w:t xml:space="preserve">قال: فذكرت ذلك لأبي جعفر (عليه السلام) وقلت له: يموت الرجل من أصحابنا، ولا يوصي إلى أحد، ويخلف جواري فيقيم القاضي رجلاً منّا فيبيعهن، أو قال: يقوم بذلك رجل منّا فيضعف قلبه لأنهن فروج، فما ترى في ذلك؟ قال: فقال: إذا كان القيم مثلك ومثل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فلا بأس).</w:t>
      </w:r>
      <w:r w:rsidRPr="00F27422">
        <w:rPr>
          <w:rFonts w:asciiTheme="minorBidi" w:hAnsiTheme="minorBidi"/>
          <w:sz w:val="32"/>
          <w:szCs w:val="32"/>
          <w:rtl/>
        </w:rPr>
        <w:t xml:space="preserve"> [وسائل الشيعة، الحر العاملة، مؤسسة آل البيت (عليهم السلام) لإحياء التراث، ج17، كتاب التجارة، أبواب عقد البيع وشروطه، الباب 16 باب أنّ الأيتام إذا لم يكن لهم وصي ولا وليّ جاز أن يبيع مالهم ورقيقهم بعض العدول مع المصلحة وجاز الشراء منه، ح2].</w:t>
      </w:r>
    </w:p>
    <w:p w14:paraId="5C13203C" w14:textId="77777777" w:rsidR="00600BEA" w:rsidRPr="00F27422" w:rsidRDefault="00600BEA" w:rsidP="00122B70">
      <w:pPr>
        <w:bidi/>
        <w:rPr>
          <w:rFonts w:asciiTheme="minorBidi" w:hAnsiTheme="minorBidi"/>
          <w:sz w:val="32"/>
          <w:szCs w:val="32"/>
          <w:rtl/>
        </w:rPr>
      </w:pPr>
      <w:r w:rsidRPr="00F27422">
        <w:rPr>
          <w:rFonts w:asciiTheme="minorBidi" w:hAnsiTheme="minorBidi"/>
          <w:sz w:val="32"/>
          <w:szCs w:val="32"/>
          <w:rtl/>
        </w:rPr>
        <w:t xml:space="preserve">وقد انطلق محمّد بن إسماعيل بن بزيع من ذِكر الصُغرى وهي قضية موت رجل من أصحابنا ورفع أمره لقاضي الكوفة فصير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القيم بماله إلى السؤال عن الكُبرى وهو إمضاء الولاية في أمثال ذلك.</w:t>
      </w:r>
    </w:p>
    <w:p w14:paraId="64C879BB" w14:textId="77777777" w:rsidR="00600BEA" w:rsidRPr="00F27422" w:rsidRDefault="00600BEA" w:rsidP="00122B70">
      <w:pPr>
        <w:bidi/>
        <w:rPr>
          <w:rFonts w:asciiTheme="minorBidi" w:hAnsiTheme="minorBidi"/>
          <w:sz w:val="32"/>
          <w:szCs w:val="32"/>
          <w:rtl/>
        </w:rPr>
      </w:pPr>
      <w:r w:rsidRPr="00F27422">
        <w:rPr>
          <w:rFonts w:asciiTheme="minorBidi" w:hAnsiTheme="minorBidi"/>
          <w:sz w:val="32"/>
          <w:szCs w:val="32"/>
          <w:rtl/>
        </w:rPr>
        <w:lastRenderedPageBreak/>
        <w:t xml:space="preserve">والمراد من قوله (عليه السلام): </w:t>
      </w:r>
      <w:r w:rsidRPr="00F27422">
        <w:rPr>
          <w:rFonts w:asciiTheme="minorBidi" w:hAnsiTheme="minorBidi"/>
          <w:b/>
          <w:bCs/>
          <w:sz w:val="32"/>
          <w:szCs w:val="32"/>
          <w:rtl/>
        </w:rPr>
        <w:t xml:space="preserve">(إذا كان القيم مثلك ومثل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فلا بأس)</w:t>
      </w:r>
      <w:r w:rsidRPr="00F27422">
        <w:rPr>
          <w:rFonts w:asciiTheme="minorBidi" w:hAnsiTheme="minorBidi"/>
          <w:sz w:val="32"/>
          <w:szCs w:val="32"/>
          <w:rtl/>
        </w:rPr>
        <w:t xml:space="preserve"> أي: أنّه إذا كان المنصوبُ </w:t>
      </w:r>
      <w:proofErr w:type="spellStart"/>
      <w:r w:rsidRPr="00F27422">
        <w:rPr>
          <w:rFonts w:asciiTheme="minorBidi" w:hAnsiTheme="minorBidi"/>
          <w:sz w:val="32"/>
          <w:szCs w:val="32"/>
          <w:rtl/>
        </w:rPr>
        <w:t>للقيمومة</w:t>
      </w:r>
      <w:proofErr w:type="spellEnd"/>
      <w:r w:rsidRPr="00F27422">
        <w:rPr>
          <w:rFonts w:asciiTheme="minorBidi" w:hAnsiTheme="minorBidi"/>
          <w:sz w:val="32"/>
          <w:szCs w:val="32"/>
          <w:rtl/>
        </w:rPr>
        <w:t xml:space="preserve"> مثلك عارف</w:t>
      </w:r>
      <w:r w:rsidRPr="00F27422">
        <w:rPr>
          <w:rFonts w:asciiTheme="minorBidi" w:hAnsiTheme="minorBidi"/>
          <w:sz w:val="32"/>
          <w:szCs w:val="32"/>
        </w:rPr>
        <w:t xml:space="preserve"> </w:t>
      </w:r>
      <w:r w:rsidRPr="00F27422">
        <w:rPr>
          <w:rFonts w:asciiTheme="minorBidi" w:hAnsiTheme="minorBidi"/>
          <w:sz w:val="32"/>
          <w:szCs w:val="32"/>
          <w:rtl/>
        </w:rPr>
        <w:t>ومتحرز</w:t>
      </w:r>
      <w:r w:rsidRPr="00F27422">
        <w:rPr>
          <w:rFonts w:asciiTheme="minorBidi" w:hAnsiTheme="minorBidi"/>
          <w:sz w:val="32"/>
          <w:szCs w:val="32"/>
        </w:rPr>
        <w:t xml:space="preserve"> </w:t>
      </w:r>
      <w:r w:rsidRPr="00F27422">
        <w:rPr>
          <w:rFonts w:asciiTheme="minorBidi" w:hAnsiTheme="minorBidi"/>
          <w:sz w:val="32"/>
          <w:szCs w:val="32"/>
          <w:rtl/>
        </w:rPr>
        <w:t>فلا بأس.</w:t>
      </w:r>
    </w:p>
    <w:p w14:paraId="79F2F643" w14:textId="77777777" w:rsidR="00600BEA" w:rsidRPr="00F27422" w:rsidRDefault="00600BEA" w:rsidP="00122B70">
      <w:pPr>
        <w:bidi/>
        <w:rPr>
          <w:rFonts w:asciiTheme="minorBidi" w:hAnsiTheme="minorBidi"/>
          <w:sz w:val="32"/>
          <w:szCs w:val="32"/>
          <w:rtl/>
        </w:rPr>
      </w:pPr>
      <w:r w:rsidRPr="00F27422">
        <w:rPr>
          <w:rFonts w:asciiTheme="minorBidi" w:hAnsiTheme="minorBidi"/>
          <w:sz w:val="32"/>
          <w:szCs w:val="32"/>
          <w:rtl/>
        </w:rPr>
        <w:t>ولكن الكلام في مَن هو عبد الحميد؟</w:t>
      </w:r>
    </w:p>
    <w:p w14:paraId="78DE67CA" w14:textId="77777777" w:rsidR="00600BEA" w:rsidRPr="00F27422" w:rsidRDefault="00600BEA" w:rsidP="00122B70">
      <w:pPr>
        <w:bidi/>
        <w:rPr>
          <w:rFonts w:asciiTheme="minorBidi" w:hAnsiTheme="minorBidi"/>
          <w:b/>
          <w:bCs/>
          <w:sz w:val="32"/>
          <w:szCs w:val="32"/>
          <w:rtl/>
        </w:rPr>
      </w:pPr>
      <w:r w:rsidRPr="00F27422">
        <w:rPr>
          <w:rFonts w:asciiTheme="minorBidi" w:hAnsiTheme="minorBidi"/>
          <w:sz w:val="32"/>
          <w:szCs w:val="32"/>
          <w:rtl/>
        </w:rPr>
        <w:t xml:space="preserve">هو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بن سالم العطار،</w:t>
      </w:r>
      <w:r w:rsidRPr="00F27422">
        <w:rPr>
          <w:rFonts w:asciiTheme="minorBidi" w:hAnsiTheme="minorBidi"/>
          <w:sz w:val="32"/>
          <w:szCs w:val="32"/>
        </w:rPr>
        <w:t xml:space="preserve"> </w:t>
      </w:r>
      <w:r w:rsidRPr="00F27422">
        <w:rPr>
          <w:rFonts w:asciiTheme="minorBidi" w:hAnsiTheme="minorBidi"/>
          <w:sz w:val="32"/>
          <w:szCs w:val="32"/>
          <w:rtl/>
        </w:rPr>
        <w:t xml:space="preserve">كما ذكر ذلك سيدنا الخوئي (قدس سره الشريف) في كتابه (معجم رجال الحديث، السيد أبو القاسم الموسوي الخوئي، مؤسسة الخوئي الإسلامية، ج10، ص297 – 298] حيث قال: </w:t>
      </w:r>
      <w:r w:rsidRPr="00F27422">
        <w:rPr>
          <w:rFonts w:asciiTheme="minorBidi" w:hAnsiTheme="minorBidi"/>
          <w:b/>
          <w:bCs/>
          <w:sz w:val="32"/>
          <w:szCs w:val="32"/>
          <w:rtl/>
        </w:rPr>
        <w:t>(</w:t>
      </w:r>
      <w:r w:rsidRPr="00F27422">
        <w:rPr>
          <w:rFonts w:asciiTheme="minorBidi" w:hAnsiTheme="minorBidi"/>
          <w:b/>
          <w:bCs/>
          <w:sz w:val="32"/>
          <w:szCs w:val="32"/>
          <w:lang w:val="en"/>
        </w:rPr>
        <w:t>6283-</w:t>
      </w:r>
      <w:r w:rsidRPr="00F27422">
        <w:rPr>
          <w:rFonts w:asciiTheme="minorBidi" w:hAnsiTheme="minorBidi"/>
          <w:b/>
          <w:bCs/>
          <w:sz w:val="32"/>
          <w:szCs w:val="32"/>
          <w:rtl/>
        </w:rPr>
        <w:t>عبد الحميد بن سالم</w:t>
      </w:r>
      <w:r w:rsidRPr="00F27422">
        <w:rPr>
          <w:rFonts w:asciiTheme="minorBidi" w:hAnsiTheme="minorBidi"/>
          <w:b/>
          <w:bCs/>
          <w:sz w:val="32"/>
          <w:szCs w:val="32"/>
          <w:lang w:val="en"/>
        </w:rPr>
        <w:t>:</w:t>
      </w:r>
    </w:p>
    <w:p w14:paraId="0740AF8A" w14:textId="77777777" w:rsidR="00600BEA" w:rsidRPr="00F27422" w:rsidRDefault="00600BEA" w:rsidP="00122B70">
      <w:pPr>
        <w:bidi/>
        <w:rPr>
          <w:rFonts w:asciiTheme="minorBidi" w:hAnsiTheme="minorBidi"/>
          <w:b/>
          <w:bCs/>
          <w:sz w:val="32"/>
          <w:szCs w:val="32"/>
        </w:rPr>
      </w:pPr>
      <w:r w:rsidRPr="00F27422">
        <w:rPr>
          <w:rFonts w:asciiTheme="minorBidi" w:hAnsiTheme="minorBidi"/>
          <w:b/>
          <w:bCs/>
          <w:sz w:val="32"/>
          <w:szCs w:val="32"/>
          <w:rtl/>
        </w:rPr>
        <w:t xml:space="preserve">العطار: روى عن أبي الحسن موسى (ع)، وكان ثقة، ذكره النجاشي في ترجمة ابنه محمد بن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حيث قال: «محمد بن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بن سالم العطار أبو جعفر، روى عبد الحميد، عن أبي الحسن موسى (ع)، وكان ثقة من أصحابنا الكوفيين، له كتاب </w:t>
      </w:r>
      <w:proofErr w:type="gramStart"/>
      <w:r w:rsidRPr="00F27422">
        <w:rPr>
          <w:rFonts w:asciiTheme="minorBidi" w:hAnsiTheme="minorBidi"/>
          <w:b/>
          <w:bCs/>
          <w:sz w:val="32"/>
          <w:szCs w:val="32"/>
          <w:rtl/>
        </w:rPr>
        <w:t>النوادر .</w:t>
      </w:r>
      <w:proofErr w:type="gramEnd"/>
      <w:r w:rsidRPr="00F27422">
        <w:rPr>
          <w:rFonts w:asciiTheme="minorBidi" w:hAnsiTheme="minorBidi"/>
          <w:b/>
          <w:bCs/>
          <w:sz w:val="32"/>
          <w:szCs w:val="32"/>
          <w:rtl/>
        </w:rPr>
        <w:t>.» إلى آخر ما ذكره).</w:t>
      </w:r>
    </w:p>
    <w:p w14:paraId="579AFE0C" w14:textId="77777777" w:rsidR="00600BEA" w:rsidRPr="00F27422" w:rsidRDefault="00600BEA" w:rsidP="00122B70">
      <w:pPr>
        <w:bidi/>
        <w:rPr>
          <w:rFonts w:asciiTheme="minorBidi" w:hAnsiTheme="minorBidi"/>
          <w:sz w:val="32"/>
          <w:szCs w:val="32"/>
          <w:rtl/>
        </w:rPr>
      </w:pPr>
      <w:r w:rsidRPr="00F27422">
        <w:rPr>
          <w:rFonts w:asciiTheme="minorBidi" w:hAnsiTheme="minorBidi"/>
          <w:sz w:val="32"/>
          <w:szCs w:val="32"/>
          <w:rtl/>
        </w:rPr>
        <w:t xml:space="preserve">فقد اختلف الأعلام في فهم عبارة النجاشي؛ حيث إنّه في صدر الكلام تحدث عن ابن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ثمّ ضمن كلامه ذكر أنّ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والد محمّد قد روى عن الإمام الكاظم (عليه السلام)، ثمّ بعد ذلك أعقب بقوله: "وكان ثقة من أصحابنا الكوفيين، له كتاب النوادر"، فمن هو الذي كان ثقة وله كتاب النوادر هل هو محمد أم أبوه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w:t>
      </w:r>
    </w:p>
    <w:p w14:paraId="7011060C" w14:textId="77777777" w:rsidR="00600BEA" w:rsidRPr="00F27422" w:rsidRDefault="00600BEA" w:rsidP="00122B70">
      <w:pPr>
        <w:bidi/>
        <w:rPr>
          <w:rFonts w:asciiTheme="minorBidi" w:hAnsiTheme="minorBidi"/>
          <w:sz w:val="32"/>
          <w:szCs w:val="32"/>
          <w:rtl/>
        </w:rPr>
      </w:pPr>
      <w:r w:rsidRPr="00F27422">
        <w:rPr>
          <w:rFonts w:asciiTheme="minorBidi" w:hAnsiTheme="minorBidi"/>
          <w:sz w:val="32"/>
          <w:szCs w:val="32"/>
          <w:rtl/>
        </w:rPr>
        <w:t xml:space="preserve">فقال السيد الخوئي (قدس الخوئي): </w:t>
      </w:r>
      <w:r w:rsidRPr="00F27422">
        <w:rPr>
          <w:rFonts w:asciiTheme="minorBidi" w:hAnsiTheme="minorBidi"/>
          <w:b/>
          <w:bCs/>
          <w:sz w:val="32"/>
          <w:szCs w:val="32"/>
          <w:rtl/>
        </w:rPr>
        <w:t xml:space="preserve">(وتوهم بعضهم رجوع التوثيق إلى محمد بن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بن سالم، لكنه وهم، فإنه لا يلتئم مع العطف بالواو، إذ لم يذكر جملة تامة قبل ذلك إلا جملة: روى عبد الحميد، عن أبي الحسن موسى (ع)، فلابد وأن يكون المعطوف عليه تلك الجملة.) </w:t>
      </w:r>
      <w:r w:rsidRPr="00F27422">
        <w:rPr>
          <w:rFonts w:asciiTheme="minorBidi" w:hAnsiTheme="minorBidi"/>
          <w:sz w:val="32"/>
          <w:szCs w:val="32"/>
          <w:rtl/>
        </w:rPr>
        <w:t xml:space="preserve">لا الجملة الأُولى وهي: "محمد بن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بن سالم.." لأنّها غير تامة فلم يعقبها بشيء حتى يعطف عليها قوله: "وكان ثقة من أصحابنا.." وإنّما الجملة التامة التي يصح أنْ يعطف عليها "وكان ثقة" هي: "روى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عن أبي الحسن موسى".</w:t>
      </w:r>
    </w:p>
    <w:p w14:paraId="5821E595" w14:textId="77777777" w:rsidR="00600BEA" w:rsidRPr="00F27422" w:rsidRDefault="00600BEA" w:rsidP="00122B70">
      <w:pPr>
        <w:bidi/>
        <w:rPr>
          <w:rFonts w:asciiTheme="minorBidi" w:hAnsiTheme="minorBidi"/>
          <w:b/>
          <w:bCs/>
          <w:sz w:val="32"/>
          <w:szCs w:val="32"/>
          <w:rtl/>
        </w:rPr>
      </w:pPr>
      <w:r w:rsidRPr="00F27422">
        <w:rPr>
          <w:rFonts w:asciiTheme="minorBidi" w:hAnsiTheme="minorBidi"/>
          <w:sz w:val="32"/>
          <w:szCs w:val="32"/>
          <w:rtl/>
        </w:rPr>
        <w:t xml:space="preserve">وبعض النظر عن كلام النجاشي، فإنّ سيدنا الخوئي (قدس سره الشريف) يوثق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استناداً للرواية الصحيحة التي قال فيها الإمام أبو جعفر (عليه السلام): </w:t>
      </w:r>
      <w:r w:rsidRPr="00F27422">
        <w:rPr>
          <w:rFonts w:asciiTheme="minorBidi" w:hAnsiTheme="minorBidi"/>
          <w:b/>
          <w:bCs/>
          <w:sz w:val="32"/>
          <w:szCs w:val="32"/>
          <w:rtl/>
        </w:rPr>
        <w:t xml:space="preserve">(إذا كان القيم مثلك ومثل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w:t>
      </w:r>
    </w:p>
    <w:p w14:paraId="27715C46" w14:textId="77777777" w:rsidR="00600BEA" w:rsidRPr="00F27422" w:rsidRDefault="00600BEA" w:rsidP="00122B70">
      <w:pPr>
        <w:bidi/>
        <w:rPr>
          <w:rFonts w:asciiTheme="minorBidi" w:hAnsiTheme="minorBidi"/>
          <w:b/>
          <w:bCs/>
          <w:sz w:val="32"/>
          <w:szCs w:val="32"/>
          <w:rtl/>
        </w:rPr>
      </w:pPr>
      <w:r w:rsidRPr="00F27422">
        <w:rPr>
          <w:rFonts w:asciiTheme="minorBidi" w:hAnsiTheme="minorBidi"/>
          <w:sz w:val="32"/>
          <w:szCs w:val="32"/>
          <w:rtl/>
        </w:rPr>
        <w:t xml:space="preserve">فقال (قدس سره): </w:t>
      </w:r>
      <w:r w:rsidRPr="00F27422">
        <w:rPr>
          <w:rFonts w:asciiTheme="minorBidi" w:hAnsiTheme="minorBidi"/>
          <w:b/>
          <w:bCs/>
          <w:sz w:val="32"/>
          <w:szCs w:val="32"/>
          <w:rtl/>
        </w:rPr>
        <w:t xml:space="preserve">(وكيف كان، فقد روى الشيخ بسند صحيح قضية قيمومة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بن سالم على الصغار، وضعف قلبه في بيع الجواري: عن محمد بن إسماعيل بن بزيع، وأن محمد بن إسماعيل سأل أبا جعفر (ع) عن حكم ذلك، فقال (ع): إذا كان القيم مثلك ومثل عبد الحميد فلا بأس. التهذيب: الجزء 9، باب الزيادات من الوصايا، الحديث 932).</w:t>
      </w:r>
    </w:p>
    <w:p w14:paraId="42EDA66C" w14:textId="77777777" w:rsidR="00600BEA" w:rsidRPr="00F27422" w:rsidRDefault="00600BEA" w:rsidP="00122B70">
      <w:pPr>
        <w:bidi/>
        <w:rPr>
          <w:rFonts w:asciiTheme="minorBidi" w:hAnsiTheme="minorBidi"/>
          <w:b/>
          <w:bCs/>
          <w:sz w:val="32"/>
          <w:szCs w:val="32"/>
          <w:rtl/>
        </w:rPr>
      </w:pPr>
      <w:r w:rsidRPr="00F27422">
        <w:rPr>
          <w:rFonts w:asciiTheme="minorBidi" w:hAnsiTheme="minorBidi"/>
          <w:sz w:val="32"/>
          <w:szCs w:val="32"/>
          <w:rtl/>
        </w:rPr>
        <w:lastRenderedPageBreak/>
        <w:t xml:space="preserve">ثمّ تعرض (قدس سره) لمشكلةٍ في الرواية فقال: </w:t>
      </w:r>
      <w:r w:rsidRPr="00F27422">
        <w:rPr>
          <w:rFonts w:asciiTheme="minorBidi" w:hAnsiTheme="minorBidi"/>
          <w:b/>
          <w:bCs/>
          <w:sz w:val="32"/>
          <w:szCs w:val="32"/>
          <w:rtl/>
        </w:rPr>
        <w:t xml:space="preserve">(وهذه الصحيحة واضحة الدلالة على جلالة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ووثاقته، وذلك من جهة تجويز </w:t>
      </w:r>
      <w:proofErr w:type="spellStart"/>
      <w:r w:rsidRPr="00F27422">
        <w:rPr>
          <w:rFonts w:asciiTheme="minorBidi" w:hAnsiTheme="minorBidi"/>
          <w:b/>
          <w:bCs/>
          <w:sz w:val="32"/>
          <w:szCs w:val="32"/>
          <w:rtl/>
        </w:rPr>
        <w:t>قيمومته</w:t>
      </w:r>
      <w:proofErr w:type="spellEnd"/>
      <w:r w:rsidRPr="00F27422">
        <w:rPr>
          <w:rFonts w:asciiTheme="minorBidi" w:hAnsiTheme="minorBidi"/>
          <w:b/>
          <w:bCs/>
          <w:sz w:val="32"/>
          <w:szCs w:val="32"/>
          <w:rtl/>
        </w:rPr>
        <w:t xml:space="preserve">، ومن جهة جعله عدلا لمحمد بن إسماعيل بن بزيع. وتوهم بعضهم أن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في الرواية غير عبد الحميد بن سالم العطار، فإنه لم يدرك أبا جعفر الجواد (ع)).</w:t>
      </w:r>
    </w:p>
    <w:p w14:paraId="32165188" w14:textId="77777777" w:rsidR="00600BEA" w:rsidRPr="00F27422" w:rsidRDefault="00600BEA" w:rsidP="00122B70">
      <w:pPr>
        <w:bidi/>
        <w:rPr>
          <w:rFonts w:asciiTheme="minorBidi" w:hAnsiTheme="minorBidi"/>
          <w:sz w:val="32"/>
          <w:szCs w:val="32"/>
          <w:rtl/>
        </w:rPr>
      </w:pPr>
      <w:r w:rsidRPr="00F27422">
        <w:rPr>
          <w:rFonts w:asciiTheme="minorBidi" w:hAnsiTheme="minorBidi"/>
          <w:b/>
          <w:bCs/>
          <w:sz w:val="32"/>
          <w:szCs w:val="32"/>
          <w:rtl/>
        </w:rPr>
        <w:t>وبيان التوهم:</w:t>
      </w:r>
      <w:r w:rsidRPr="00F27422">
        <w:rPr>
          <w:rFonts w:asciiTheme="minorBidi" w:hAnsiTheme="minorBidi"/>
          <w:sz w:val="32"/>
          <w:szCs w:val="32"/>
          <w:rtl/>
        </w:rPr>
        <w:t xml:space="preserve"> أنّ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لم يدرك الإمام أبي جعفر الجواد (ع) فكيف يقولُ لهُ محمد بن إسماعيل بن بزيع بأنّ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صيره القاضي قيماً؟! باعتبار أنّه كان من الرواة عن أبي الحسن موسى بن جعفر (عليه السلام) وقيل بأنّه من أصحاب الإمام الصادق (عليه السلام).</w:t>
      </w:r>
    </w:p>
    <w:p w14:paraId="1D428F26" w14:textId="77777777" w:rsidR="00600BEA" w:rsidRPr="00F27422" w:rsidRDefault="00600BEA" w:rsidP="00122B70">
      <w:pPr>
        <w:bidi/>
        <w:rPr>
          <w:rFonts w:asciiTheme="minorBidi" w:hAnsiTheme="minorBidi"/>
          <w:sz w:val="32"/>
          <w:szCs w:val="32"/>
          <w:rtl/>
        </w:rPr>
      </w:pPr>
      <w:r w:rsidRPr="00F27422">
        <w:rPr>
          <w:rFonts w:asciiTheme="minorBidi" w:hAnsiTheme="minorBidi"/>
          <w:sz w:val="32"/>
          <w:szCs w:val="32"/>
          <w:rtl/>
        </w:rPr>
        <w:t xml:space="preserve">وهذا ما ذكره سيد الخوئي في نفس المصدر [ص297]: </w:t>
      </w:r>
      <w:r w:rsidRPr="00F27422">
        <w:rPr>
          <w:rFonts w:asciiTheme="minorBidi" w:hAnsiTheme="minorBidi"/>
          <w:b/>
          <w:bCs/>
          <w:sz w:val="32"/>
          <w:szCs w:val="32"/>
          <w:rtl/>
        </w:rPr>
        <w:t xml:space="preserve">(وعده الشيخ في رجاله بهذا العنوان عند ذكر ابنه محمد بن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في أصحاب الرضا (ع)، كما عد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العطار الكوفي من أصحاب الصادق (عليه السلام) (216) قائلا: أسند عنه).</w:t>
      </w:r>
      <w:r w:rsidRPr="00F27422">
        <w:rPr>
          <w:rFonts w:asciiTheme="minorBidi" w:hAnsiTheme="minorBidi"/>
          <w:sz w:val="32"/>
          <w:szCs w:val="32"/>
          <w:rtl/>
        </w:rPr>
        <w:t xml:space="preserve"> فإذا كان من أصحاب الإمام الصادق (عليه السلام) وأسند عنهُ فكيف أدرك الإمام أبي جعفر الجواد (عليه السلام) حتى يكون المنظور في هذه الرواية هو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العطار؟!</w:t>
      </w:r>
    </w:p>
    <w:p w14:paraId="1D7A55E3" w14:textId="77777777" w:rsidR="00600BEA" w:rsidRPr="00F27422" w:rsidRDefault="00600BEA" w:rsidP="00122B70">
      <w:pPr>
        <w:bidi/>
        <w:rPr>
          <w:rFonts w:asciiTheme="minorBidi" w:hAnsiTheme="minorBidi"/>
          <w:sz w:val="32"/>
          <w:szCs w:val="32"/>
          <w:rtl/>
        </w:rPr>
      </w:pPr>
      <w:r w:rsidRPr="00F27422">
        <w:rPr>
          <w:rFonts w:asciiTheme="minorBidi" w:hAnsiTheme="minorBidi"/>
          <w:sz w:val="32"/>
          <w:szCs w:val="32"/>
          <w:rtl/>
        </w:rPr>
        <w:t xml:space="preserve">وقد أجاب سيدنا الخوئي (قدس سره) عن هذا التوهم بقوله في نفس المصدر [ص298]: </w:t>
      </w:r>
      <w:r w:rsidRPr="00F27422">
        <w:rPr>
          <w:rFonts w:asciiTheme="minorBidi" w:hAnsiTheme="minorBidi"/>
          <w:b/>
          <w:bCs/>
          <w:sz w:val="32"/>
          <w:szCs w:val="32"/>
          <w:rtl/>
        </w:rPr>
        <w:t>(ولكنه وهم، أما أولا: فلإمكان بقائه إلى زمان الجواد (ع)، ولا سيما أنه لم يثبت إدراكه الصادق</w:t>
      </w:r>
      <w:r w:rsidRPr="00F27422">
        <w:rPr>
          <w:rFonts w:asciiTheme="minorBidi" w:hAnsiTheme="minorBidi"/>
          <w:sz w:val="32"/>
          <w:szCs w:val="32"/>
          <w:rtl/>
        </w:rPr>
        <w:t xml:space="preserve"> </w:t>
      </w:r>
      <w:r w:rsidRPr="00F27422">
        <w:rPr>
          <w:rFonts w:asciiTheme="minorBidi" w:hAnsiTheme="minorBidi"/>
          <w:b/>
          <w:bCs/>
          <w:sz w:val="32"/>
          <w:szCs w:val="32"/>
          <w:rtl/>
        </w:rPr>
        <w:t xml:space="preserve">(ع)) </w:t>
      </w:r>
      <w:r w:rsidRPr="00F27422">
        <w:rPr>
          <w:rFonts w:asciiTheme="minorBidi" w:hAnsiTheme="minorBidi"/>
          <w:sz w:val="32"/>
          <w:szCs w:val="32"/>
          <w:rtl/>
        </w:rPr>
        <w:t>وإنّما هذه مِن عبارة الشيخ الطوسي (عليه الرحمة) وإلّا فقد شكك بعضهم في ذلك (</w:t>
      </w:r>
      <w:r w:rsidRPr="00F27422">
        <w:rPr>
          <w:rFonts w:asciiTheme="minorBidi" w:hAnsiTheme="minorBidi"/>
          <w:b/>
          <w:bCs/>
          <w:sz w:val="32"/>
          <w:szCs w:val="32"/>
          <w:rtl/>
        </w:rPr>
        <w:t xml:space="preserve">وإنما لم يذكر من أصحاب الجواد (ع)، لأنه لم يرو عنه. وأما ثانيا: فلأن السائل، وهو محمد بن إسماعيل بن بزيع، سأل الإمام (ع) عن كبرى المسألة التي ابتلي بها </w:t>
      </w:r>
      <w:proofErr w:type="gramStart"/>
      <w:r w:rsidRPr="00F27422">
        <w:rPr>
          <w:rFonts w:asciiTheme="minorBidi" w:hAnsiTheme="minorBidi"/>
          <w:b/>
          <w:bCs/>
          <w:sz w:val="32"/>
          <w:szCs w:val="32"/>
          <w:rtl/>
        </w:rPr>
        <w:t>عبدالحميد</w:t>
      </w:r>
      <w:proofErr w:type="gramEnd"/>
      <w:r w:rsidRPr="00F27422">
        <w:rPr>
          <w:rFonts w:asciiTheme="minorBidi" w:hAnsiTheme="minorBidi"/>
          <w:b/>
          <w:bCs/>
          <w:sz w:val="32"/>
          <w:szCs w:val="32"/>
          <w:rtl/>
        </w:rPr>
        <w:t xml:space="preserve"> بن سالم، ومن الممكن أن السؤال كان بعد وفاة عبد الحميد بزمان.)</w:t>
      </w:r>
      <w:r w:rsidRPr="00F27422">
        <w:rPr>
          <w:rFonts w:asciiTheme="minorBidi" w:hAnsiTheme="minorBidi"/>
          <w:sz w:val="32"/>
          <w:szCs w:val="32"/>
          <w:rtl/>
        </w:rPr>
        <w:t xml:space="preserve"> وليس </w:t>
      </w:r>
      <w:proofErr w:type="spellStart"/>
      <w:r w:rsidRPr="00F27422">
        <w:rPr>
          <w:rFonts w:asciiTheme="minorBidi" w:hAnsiTheme="minorBidi"/>
          <w:sz w:val="32"/>
          <w:szCs w:val="32"/>
          <w:rtl/>
        </w:rPr>
        <w:t>بالضرروة</w:t>
      </w:r>
      <w:proofErr w:type="spellEnd"/>
      <w:r w:rsidRPr="00F27422">
        <w:rPr>
          <w:rFonts w:asciiTheme="minorBidi" w:hAnsiTheme="minorBidi"/>
          <w:sz w:val="32"/>
          <w:szCs w:val="32"/>
          <w:rtl/>
        </w:rPr>
        <w:t xml:space="preserve"> أنّ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كان معاصراً للإمام الجواد (عليه السلام) فلعلّه قد سأل الإمام (عليه السلام) بعد وفاة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بسنين لكي ينتقل من جعله إلى السؤال عن الكبرى.</w:t>
      </w:r>
    </w:p>
    <w:p w14:paraId="793D97F7" w14:textId="77777777" w:rsidR="00600BEA" w:rsidRPr="00F27422" w:rsidRDefault="00600BEA" w:rsidP="00122B70">
      <w:pPr>
        <w:bidi/>
        <w:rPr>
          <w:rFonts w:asciiTheme="minorBidi" w:hAnsiTheme="minorBidi"/>
          <w:b/>
          <w:bCs/>
          <w:sz w:val="32"/>
          <w:szCs w:val="32"/>
          <w:rtl/>
        </w:rPr>
      </w:pPr>
      <w:r w:rsidRPr="00F27422">
        <w:rPr>
          <w:rFonts w:asciiTheme="minorBidi" w:hAnsiTheme="minorBidi"/>
          <w:b/>
          <w:bCs/>
          <w:sz w:val="32"/>
          <w:szCs w:val="32"/>
          <w:rtl/>
        </w:rPr>
        <w:t>وجه الاستدلال بالرواية:</w:t>
      </w:r>
    </w:p>
    <w:p w14:paraId="4AFBC8E7" w14:textId="77777777" w:rsidR="00600BEA" w:rsidRPr="00F27422" w:rsidRDefault="00600BEA" w:rsidP="00122B70">
      <w:pPr>
        <w:bidi/>
        <w:rPr>
          <w:rFonts w:asciiTheme="minorBidi" w:hAnsiTheme="minorBidi"/>
          <w:sz w:val="32"/>
          <w:szCs w:val="32"/>
          <w:rtl/>
        </w:rPr>
      </w:pPr>
      <w:r w:rsidRPr="00F27422">
        <w:rPr>
          <w:rFonts w:asciiTheme="minorBidi" w:hAnsiTheme="minorBidi"/>
          <w:sz w:val="32"/>
          <w:szCs w:val="32"/>
          <w:rtl/>
        </w:rPr>
        <w:t xml:space="preserve">كما ذكر ذلك سيدنا الخوئي (قدس سره الشريف) </w:t>
      </w:r>
      <w:r w:rsidRPr="00F27422">
        <w:rPr>
          <w:rFonts w:asciiTheme="minorBidi" w:hAnsiTheme="minorBidi"/>
          <w:sz w:val="32"/>
          <w:szCs w:val="32"/>
          <w:rtl/>
          <w:lang w:bidi="ar-BH"/>
        </w:rPr>
        <w:t xml:space="preserve">في موسوعته المباركة في كتابه [التنقيح في شرح العروة الوثقى، ج1، كتاب التقليد، ص357] بقوله: </w:t>
      </w:r>
      <w:r w:rsidRPr="00F27422">
        <w:rPr>
          <w:rFonts w:asciiTheme="minorBidi" w:hAnsiTheme="minorBidi"/>
          <w:b/>
          <w:bCs/>
          <w:sz w:val="32"/>
          <w:szCs w:val="32"/>
          <w:rtl/>
        </w:rPr>
        <w:t>(لأنّها صريحة في أنّ القضاة مِن قِبَلِ العامة كانوا يتصدون لنصب القيّم</w:t>
      </w:r>
      <w:r w:rsidRPr="00F27422">
        <w:rPr>
          <w:rFonts w:asciiTheme="minorBidi" w:hAnsiTheme="minorBidi"/>
          <w:b/>
          <w:bCs/>
          <w:sz w:val="32"/>
          <w:szCs w:val="32"/>
        </w:rPr>
        <w:t xml:space="preserve"> </w:t>
      </w:r>
      <w:r w:rsidRPr="00F27422">
        <w:rPr>
          <w:rFonts w:asciiTheme="minorBidi" w:hAnsiTheme="minorBidi"/>
          <w:b/>
          <w:bCs/>
          <w:sz w:val="32"/>
          <w:szCs w:val="32"/>
          <w:rtl/>
        </w:rPr>
        <w:t>ونحوه من المناصب).</w:t>
      </w:r>
      <w:r w:rsidRPr="00F27422">
        <w:rPr>
          <w:rFonts w:asciiTheme="minorBidi" w:hAnsiTheme="minorBidi"/>
          <w:sz w:val="32"/>
          <w:szCs w:val="32"/>
          <w:rtl/>
        </w:rPr>
        <w:t xml:space="preserve"> ولذلك نصب </w:t>
      </w:r>
      <w:proofErr w:type="gramStart"/>
      <w:r w:rsidRPr="00F27422">
        <w:rPr>
          <w:rFonts w:asciiTheme="minorBidi" w:hAnsiTheme="minorBidi"/>
          <w:sz w:val="32"/>
          <w:szCs w:val="32"/>
          <w:rtl/>
        </w:rPr>
        <w:t>عبدالحميد</w:t>
      </w:r>
      <w:proofErr w:type="gramEnd"/>
      <w:r w:rsidRPr="00F27422">
        <w:rPr>
          <w:rFonts w:asciiTheme="minorBidi" w:hAnsiTheme="minorBidi"/>
          <w:sz w:val="32"/>
          <w:szCs w:val="32"/>
          <w:rtl/>
        </w:rPr>
        <w:t xml:space="preserve"> قيماً.</w:t>
      </w:r>
    </w:p>
    <w:p w14:paraId="38572E98" w14:textId="77777777" w:rsidR="00600BEA" w:rsidRPr="00F27422" w:rsidRDefault="00600BEA" w:rsidP="00122B70">
      <w:pPr>
        <w:bidi/>
        <w:rPr>
          <w:rFonts w:asciiTheme="minorBidi" w:hAnsiTheme="minorBidi"/>
          <w:sz w:val="32"/>
          <w:szCs w:val="32"/>
          <w:rtl/>
        </w:rPr>
      </w:pPr>
      <w:r w:rsidRPr="00F27422">
        <w:rPr>
          <w:rFonts w:asciiTheme="minorBidi" w:hAnsiTheme="minorBidi"/>
          <w:sz w:val="32"/>
          <w:szCs w:val="32"/>
          <w:rtl/>
        </w:rPr>
        <w:t>أقولُ: ويؤكد كلامه (قدس سره الشريف) الرواية الواردة في غيلان</w:t>
      </w:r>
      <w:r w:rsidRPr="00F27422">
        <w:rPr>
          <w:rFonts w:asciiTheme="minorBidi" w:hAnsiTheme="minorBidi"/>
          <w:sz w:val="32"/>
          <w:szCs w:val="32"/>
        </w:rPr>
        <w:t xml:space="preserve"> </w:t>
      </w:r>
      <w:r w:rsidRPr="00F27422">
        <w:rPr>
          <w:rFonts w:asciiTheme="minorBidi" w:hAnsiTheme="minorBidi"/>
          <w:sz w:val="32"/>
          <w:szCs w:val="32"/>
          <w:rtl/>
        </w:rPr>
        <w:t>بن جامع،</w:t>
      </w:r>
      <w:r w:rsidRPr="00F27422">
        <w:rPr>
          <w:rFonts w:asciiTheme="minorBidi" w:hAnsiTheme="minorBidi"/>
          <w:sz w:val="32"/>
          <w:szCs w:val="32"/>
        </w:rPr>
        <w:t xml:space="preserve"> </w:t>
      </w:r>
      <w:r w:rsidRPr="00F27422">
        <w:rPr>
          <w:rFonts w:asciiTheme="minorBidi" w:hAnsiTheme="minorBidi"/>
          <w:sz w:val="32"/>
          <w:szCs w:val="32"/>
          <w:rtl/>
        </w:rPr>
        <w:t>كما في الكافي:</w:t>
      </w:r>
    </w:p>
    <w:p w14:paraId="03A34D8C" w14:textId="77777777" w:rsidR="00600BEA" w:rsidRPr="00F27422" w:rsidRDefault="00600BEA" w:rsidP="00122B70">
      <w:pPr>
        <w:bidi/>
        <w:rPr>
          <w:rFonts w:asciiTheme="minorBidi" w:hAnsiTheme="minorBidi"/>
          <w:sz w:val="32"/>
          <w:szCs w:val="32"/>
          <w:rtl/>
        </w:rPr>
      </w:pPr>
      <w:r w:rsidRPr="00F27422">
        <w:rPr>
          <w:rFonts w:asciiTheme="minorBidi" w:hAnsiTheme="minorBidi"/>
          <w:b/>
          <w:bCs/>
          <w:sz w:val="32"/>
          <w:szCs w:val="32"/>
          <w:rtl/>
        </w:rPr>
        <w:t>(أَبُو عَلِيٍّ الْأَشْعَرِيُّ، عَنْ عِمْرَانَ بْنِ مُوسَى، عَنْ مُحَمَّدِ بْنِ الْحُسَيْنِ، عَنْ مُحَمَّدِ بْنِ عَبْدِ اللَّهِ بْنِ هِلَالٍ، عَنْ عَلِيِّ بْنِ عُقْبَةَ، عَنْ أَبِيهِ عُقْبَةَ بْنِ خَالِدٍ قَالَ: قَالَ لِي أَبُو عَبْدِاللَّهِ (عليه السلام):</w:t>
      </w:r>
      <w:r w:rsidRPr="00F27422">
        <w:rPr>
          <w:rFonts w:asciiTheme="minorBidi" w:hAnsiTheme="minorBidi"/>
          <w:b/>
          <w:bCs/>
          <w:sz w:val="32"/>
          <w:szCs w:val="32"/>
        </w:rPr>
        <w:t>‌</w:t>
      </w:r>
      <w:r w:rsidRPr="00F27422">
        <w:rPr>
          <w:rFonts w:asciiTheme="minorBidi" w:hAnsiTheme="minorBidi"/>
          <w:b/>
          <w:bCs/>
          <w:sz w:val="32"/>
          <w:szCs w:val="32"/>
          <w:rtl/>
        </w:rPr>
        <w:t xml:space="preserve"> لَوْ </w:t>
      </w:r>
      <w:r w:rsidRPr="00F27422">
        <w:rPr>
          <w:rFonts w:asciiTheme="minorBidi" w:hAnsiTheme="minorBidi"/>
          <w:b/>
          <w:bCs/>
          <w:sz w:val="32"/>
          <w:szCs w:val="32"/>
          <w:rtl/>
        </w:rPr>
        <w:lastRenderedPageBreak/>
        <w:t>رَأَيْتَ غَيْلَانَ بْنَ جَامِعٍ وَاسْتَأْذَنَ عَلَيَّ فَأَذِنْتُ لَهُ، وَقَدْ بَلَغَنِي أَنَّهُ كَانَ يَدْخُلُ إِلَى بَنِي هَاشِمٍ، فَلَمَّا جَلَسَ قَالَ: أَصْلَحَكَ اللَّهُ أَنَا غَيْلَانُ بْنُ جَامِعٍ الْمُحَارِبِيُّ قَاضِي ابْنِ هُبَيْرَةَ، قَالَ: قُلْتُ: يَا غَيْلَانُ مَا أَظُنُّ ابْنَ هُبَيْرَةَ وَضَعَ عَلَى قَضَائِهِ إِلَّا فَقِيهاً؟ قَالَ: أَجَلْ، قُلْتُ: يَا غَيْلَانُ تَجْمَعُ بَيْنَ الْمَرْءِ وَزَوْجِهِ؟ قَالَ: نَعَمْ، قُلْتُ: وَتُفَرِّقُ بَيْنَ الْمَرْءِ وَزَوْجِهِ؟ قَالَ: نَعَمْ، قُلْتُ: وَتَقْتُلُ؟ قَالَ: نَعَمْ، قُلْتُ: وَتَضْرِبُ الْحُدُودَ؟ قَالَ: نَعَمْ، قُلْتُ: وَتَحْكُمُ فِي أَمْوَالِ الْيَتَامَى؟ قَالَ: نَعَمْ، قُلْتُ: وَبِقَضَاءِ مَنْ تَقْضِي؟ قَالَ: بِقَضَاءِ عُمَرَ وَبِقَضَاءِ ابْنِ مَسْعُودٍ وَبِقَضَاءِ ابْنِ عَبَّاسٍ، وَأَقْضِي مِنْ قَضَاءِ أَمِيرِ الْمُؤْمِنِينَ بِالشَّيْ</w:t>
      </w:r>
      <w:r w:rsidRPr="00F27422">
        <w:rPr>
          <w:rFonts w:asciiTheme="minorBidi" w:hAnsiTheme="minorBidi"/>
          <w:b/>
          <w:bCs/>
          <w:sz w:val="32"/>
          <w:szCs w:val="32"/>
        </w:rPr>
        <w:t>‌</w:t>
      </w:r>
      <w:r w:rsidRPr="00F27422">
        <w:rPr>
          <w:rFonts w:asciiTheme="minorBidi" w:hAnsiTheme="minorBidi"/>
          <w:b/>
          <w:bCs/>
          <w:sz w:val="32"/>
          <w:szCs w:val="32"/>
          <w:rtl/>
        </w:rPr>
        <w:t>ءِ، قَالَ: قُلْتُ: يَا غَيْلَانُ أَ لَسْتُمْ تَزْعُمُونَ يَا أَهْلَ الْعِرَاقِ وَتَرْوُونَ أَنَّ رَسُولَ اللَّهِ (صلى الله عليه وآله) قَالَ: عَلِيٌّ أَقْضَاكُمْ؟ فَقَالَ: نَعَمْ، قَالَ: قُلْتُ: وَكَيْفَ تَقْضِي مِنْ قَضَاءِ عَلِيٍّ (عليه السلام) زَعَمْتَ بِالشَّيْ</w:t>
      </w:r>
      <w:r w:rsidRPr="00F27422">
        <w:rPr>
          <w:rFonts w:asciiTheme="minorBidi" w:hAnsiTheme="minorBidi"/>
          <w:b/>
          <w:bCs/>
          <w:sz w:val="32"/>
          <w:szCs w:val="32"/>
        </w:rPr>
        <w:t>‌</w:t>
      </w:r>
      <w:r w:rsidRPr="00F27422">
        <w:rPr>
          <w:rFonts w:asciiTheme="minorBidi" w:hAnsiTheme="minorBidi"/>
          <w:b/>
          <w:bCs/>
          <w:sz w:val="32"/>
          <w:szCs w:val="32"/>
          <w:rtl/>
        </w:rPr>
        <w:t>ءِ وَرَسُولُ اللَّهِ (صلى الله عليه وآله) قَالَ: عَلِيٌّ أَقْضَاكُمْ؟ قَالَ: وَقُلْتُ: كَيْفَ تَقْضِي يَا غَيْلَانُ؟ قَالَ: أَكْتُبُ هَذَا مَا قَضَى بِهِ فُلَانُ بْنُ فُلَانٍ لِفُلَانِ بْنِ فُلَانٍ يَوْمَ كَذَا وَكَذَا مِنْ شَهْرِ كَذَا وَكَذَا مِنْ سَنَةِ كَذَا ثُمَّ أَطْرَحُهُ فِي الدَّوَاوِينِ، قَالَ: قُلْتُ: يَا غَيْلَانُ هَذَا الْحَتْمُ مِنَ الْقَضَاءِ فَكَيْفَ تَقُولُ إِذَا جَمَعَ اللَّهُ الْأَوَّلِينَ وَالْآخِرِينَ فِي صَعِيدٍ ثُمَّ وَجَدَكَ قَدْ خَالَفْتَ قَضَاءَ رَسُولِ اللَّهِ (صلى الله عليه وآله) وَعَلِيٍّ (عليه السلام)؟ قَالَ: فَأُقْسِمُ بِاللَّهِ لَجَعَلَ يَنْتَحِبُ‌، قُلْتُ: أَيُّهَا الرَّجُلُ اقْصِدْ لِسَانَكَ – قَالَ: ثُمَّ قَدِمْتُ الْكُوفَةَ فَمَكَثْتُ مَا شَاءَ اللَّهُ، ثُمَّ إِنِّي سَمِعْتُ رَجُلًا مِنَ الْحَيِّ يُحَدِّثُ وَكَانَ فِي سَمْرِ ابْنِ هُبَيْرَةَ، قَالَ: وَاللَّهِ إِنِّي لَعِنْدَهُ لَيْلَةً إِذْ جَاءَهُ الْحَاجِبُ فَقَالَ: هَذَا غَيْلَانُ بْنُ جَامِعٍ، فَقَالَ: أَدْخِلْهُ، قَالَ: فَدَخَلَ فَسَأَلَهُ ثُمَّ قَالَ لَهُ: مَا حَالُ النَّاسِ أَخْبِرْنِي لَوِ اضْطَرَبَ حَبْلٌ مَنْ كَانَ لَهَا؟ قَالَ: مَا رَأَيْتُ ثَمَّ أَحَداً إِلَّا جَعْفَرَ بْنَ مُحَمَّدٍ (عليه السلام)، قَالَ: أَخْبِرْنِي مَا صَنَعْتَ بِالْمَالِ الَّذِي كَانَ مَعَكَ فَإِنَّهُ بَلَغَنِي أَنَّهُ طَلَبَهُ مِنْكَ فَأَبَيْتَ؟ قَالَ: قَسَمْتُهُ، قَالَ: أَ فَلَا أَعْطَيْتَهُ مَا طَلَبَ مِنْكَ؟ قَالَ: كَرِهْتُ أَنْ أُخَالِفَكَ، قَالَ: فَسَأَلْتُكَ بِاللَّهِ أَمَرْتُكَ أَنْ تَجْعَلَهُ أَوَّلَهُمْ، قَالَ: نَعَمْ، قَالَ: فَفَعَلْتَ؟ قَالَ: لَا، قَالَ: فَهَلَّا خَالَفْتَنِي وَأَعْطَيْتَهُ الْمَالَ كَمَا خَالَفْتَنِي فَجَعَلْتَهُ آخِرَهُمْ أَمَا وَاللَّهِ لَوْ فَعَلْتَ مَا زِلْتَ مِنْهَا سَيِّداً ضَخْماً حَاجَتُكَ،</w:t>
      </w:r>
      <w:r w:rsidRPr="00F27422">
        <w:rPr>
          <w:rFonts w:asciiTheme="minorBidi" w:hAnsiTheme="minorBidi"/>
          <w:b/>
          <w:bCs/>
          <w:sz w:val="32"/>
          <w:szCs w:val="32"/>
        </w:rPr>
        <w:t>‌</w:t>
      </w:r>
      <w:r w:rsidRPr="00F27422">
        <w:rPr>
          <w:rFonts w:asciiTheme="minorBidi" w:hAnsiTheme="minorBidi"/>
          <w:b/>
          <w:bCs/>
          <w:sz w:val="32"/>
          <w:szCs w:val="32"/>
          <w:rtl/>
        </w:rPr>
        <w:t xml:space="preserve"> قَالَ: تُخَلِّينِي؟ قَالَ: تَكَلَّمْ بِحَاجَتِكَ، قَالَ: تُعْفِينِي مِنَ الْقَضَاءِ، قَالَ: فَحَسَرَ عَنْ ذِرَاعَيْهِ ثُمَّ قَالَ: أَنَا أَبُو خَالِدٍ لَقِيتُهُ وَاللَّهِ عِلْباً مُلَفِّقاً نَعَمْ قَدْ أَعْفَيْنَاكَ وَاسْتَعْمَلْنَا عَلَيْهِ الْحَجَّاجَ بْنَ عَاصِمٍ).</w:t>
      </w:r>
      <w:r w:rsidRPr="00F27422">
        <w:rPr>
          <w:rFonts w:asciiTheme="minorBidi" w:hAnsiTheme="minorBidi"/>
          <w:sz w:val="32"/>
          <w:szCs w:val="32"/>
          <w:rtl/>
        </w:rPr>
        <w:t xml:space="preserve"> [الكافي، للشيخ الكليني، دار الكتب الإسلامية، ج7، كتاب القضاء والأحكام، باب النوادر، ح13].</w:t>
      </w:r>
    </w:p>
    <w:p w14:paraId="2AE29C8C" w14:textId="77777777" w:rsidR="00600BEA" w:rsidRPr="00F27422" w:rsidRDefault="00600BEA" w:rsidP="00122B70">
      <w:pPr>
        <w:bidi/>
        <w:rPr>
          <w:rFonts w:asciiTheme="minorBidi" w:hAnsiTheme="minorBidi"/>
          <w:sz w:val="32"/>
          <w:szCs w:val="32"/>
          <w:rtl/>
        </w:rPr>
      </w:pPr>
      <w:r w:rsidRPr="00F27422">
        <w:rPr>
          <w:rFonts w:asciiTheme="minorBidi" w:hAnsiTheme="minorBidi"/>
          <w:b/>
          <w:bCs/>
          <w:sz w:val="32"/>
          <w:szCs w:val="32"/>
          <w:rtl/>
        </w:rPr>
        <w:t>والشاهد من الرواية:</w:t>
      </w:r>
      <w:r w:rsidRPr="00F27422">
        <w:rPr>
          <w:rFonts w:asciiTheme="minorBidi" w:hAnsiTheme="minorBidi"/>
          <w:sz w:val="32"/>
          <w:szCs w:val="32"/>
          <w:rtl/>
        </w:rPr>
        <w:t xml:space="preserve"> أنّ القضاةَ المنصوبين مِن قِبَلِ العامة كانوا يزاولون مجموعة من المناصب والوظائف.</w:t>
      </w:r>
    </w:p>
    <w:p w14:paraId="529C7289" w14:textId="77777777" w:rsidR="00600BEA" w:rsidRPr="00F27422" w:rsidRDefault="00600BEA" w:rsidP="00122B70">
      <w:pPr>
        <w:bidi/>
        <w:rPr>
          <w:rFonts w:asciiTheme="minorBidi" w:hAnsiTheme="minorBidi"/>
          <w:b/>
          <w:bCs/>
          <w:sz w:val="32"/>
          <w:szCs w:val="32"/>
          <w:rtl/>
        </w:rPr>
      </w:pPr>
      <w:r w:rsidRPr="00F27422">
        <w:rPr>
          <w:rFonts w:asciiTheme="minorBidi" w:hAnsiTheme="minorBidi"/>
          <w:sz w:val="32"/>
          <w:szCs w:val="32"/>
          <w:rtl/>
        </w:rPr>
        <w:t xml:space="preserve">وقد أفاد سيدنا الخوئي (قدس سره الشريف) </w:t>
      </w:r>
      <w:r w:rsidRPr="00F27422">
        <w:rPr>
          <w:rFonts w:asciiTheme="minorBidi" w:hAnsiTheme="minorBidi"/>
          <w:sz w:val="32"/>
          <w:szCs w:val="32"/>
          <w:rtl/>
          <w:lang w:bidi="ar-BH"/>
        </w:rPr>
        <w:t xml:space="preserve">في موسوعته المباركة في كتابه [التنقيح في شرح العروة الوثقى، ج1، كتاب التقليد، ص357] بكلامه حول صحيحة محمّد بن إسماعيل بن بزيع بقوله: </w:t>
      </w:r>
      <w:r w:rsidRPr="00F27422">
        <w:rPr>
          <w:rFonts w:asciiTheme="minorBidi" w:hAnsiTheme="minorBidi"/>
          <w:b/>
          <w:bCs/>
          <w:sz w:val="32"/>
          <w:szCs w:val="32"/>
          <w:rtl/>
        </w:rPr>
        <w:t xml:space="preserve">(فإذا دلت الرواية على أن المجتهد الجامع للشرائط قد جعل قاضياً في الشريعة </w:t>
      </w:r>
      <w:r w:rsidRPr="00F27422">
        <w:rPr>
          <w:rFonts w:asciiTheme="minorBidi" w:hAnsiTheme="minorBidi"/>
          <w:b/>
          <w:bCs/>
          <w:sz w:val="32"/>
          <w:szCs w:val="32"/>
          <w:rtl/>
        </w:rPr>
        <w:lastRenderedPageBreak/>
        <w:t>المقدسة، دلتنا بإطلاقها على أن الآثار الثابتة للقضاة والحكّام بأجمعها مترتبة) أي: ثابتة (على الفقيه،</w:t>
      </w:r>
      <w:r w:rsidRPr="00F27422">
        <w:rPr>
          <w:rFonts w:asciiTheme="minorBidi" w:hAnsiTheme="minorBidi"/>
          <w:b/>
          <w:bCs/>
          <w:sz w:val="32"/>
          <w:szCs w:val="32"/>
        </w:rPr>
        <w:t xml:space="preserve"> </w:t>
      </w:r>
      <w:r w:rsidRPr="00F27422">
        <w:rPr>
          <w:rFonts w:asciiTheme="minorBidi" w:hAnsiTheme="minorBidi"/>
          <w:b/>
          <w:bCs/>
          <w:sz w:val="32"/>
          <w:szCs w:val="32"/>
          <w:rtl/>
        </w:rPr>
        <w:t xml:space="preserve">كيف فإن ذلك مقتضى جعل المجتهد قاضياً في مقابل قضاتهم وحكّامهم. لأنّ الغرض من نصبه كذلك ليس إلّا عدم مراجعتهم إلى قضاة الجور، ورفع احتياجاتهم عن قضاتهم، فلم لم تجعل له الولاية المطلقة ولم يكن متمكناً من إعطاء تلك المناصب لم يكن جعل </w:t>
      </w:r>
      <w:proofErr w:type="spellStart"/>
      <w:r w:rsidRPr="00F27422">
        <w:rPr>
          <w:rFonts w:asciiTheme="minorBidi" w:hAnsiTheme="minorBidi"/>
          <w:b/>
          <w:bCs/>
          <w:sz w:val="32"/>
          <w:szCs w:val="32"/>
          <w:rtl/>
        </w:rPr>
        <w:t>القضاوة</w:t>
      </w:r>
      <w:proofErr w:type="spellEnd"/>
      <w:r w:rsidRPr="00F27422">
        <w:rPr>
          <w:rFonts w:asciiTheme="minorBidi" w:hAnsiTheme="minorBidi"/>
          <w:b/>
          <w:bCs/>
          <w:sz w:val="32"/>
          <w:szCs w:val="32"/>
          <w:rtl/>
        </w:rPr>
        <w:t xml:space="preserve"> له موجباً لرفع احتياجاتهم، ومع احتياجاتهم واضطرارهم إلى الرجوع في تلك الاُمور إلى قضاة الجور لا معنى لنهيهم عن ذلك).</w:t>
      </w:r>
    </w:p>
    <w:p w14:paraId="56E2DD24" w14:textId="77777777" w:rsidR="00600BEA" w:rsidRPr="00F27422" w:rsidRDefault="00600BEA" w:rsidP="00122B70">
      <w:pPr>
        <w:bidi/>
        <w:rPr>
          <w:rFonts w:asciiTheme="minorBidi" w:hAnsiTheme="minorBidi"/>
          <w:sz w:val="32"/>
          <w:szCs w:val="32"/>
          <w:rtl/>
        </w:rPr>
      </w:pPr>
    </w:p>
    <w:p w14:paraId="584A9315" w14:textId="77777777" w:rsidR="00600BEA" w:rsidRPr="00F27422" w:rsidRDefault="00600BEA"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78640145" w14:textId="77777777" w:rsidR="00600BEA" w:rsidRPr="00F27422" w:rsidRDefault="00600BEA" w:rsidP="00122B70">
      <w:pPr>
        <w:bidi/>
        <w:rPr>
          <w:rFonts w:asciiTheme="minorBidi" w:hAnsiTheme="minorBidi"/>
          <w:sz w:val="32"/>
          <w:szCs w:val="32"/>
        </w:rPr>
      </w:pPr>
    </w:p>
    <w:p w14:paraId="01480911" w14:textId="0D580BB0" w:rsidR="00600BEA" w:rsidRPr="00F27422" w:rsidRDefault="00600BEA" w:rsidP="00122B70">
      <w:pPr>
        <w:pStyle w:val="Heading3"/>
        <w:bidi/>
        <w:rPr>
          <w:rFonts w:asciiTheme="minorBidi" w:hAnsiTheme="minorBidi" w:cstheme="minorBidi"/>
          <w:sz w:val="32"/>
          <w:szCs w:val="32"/>
        </w:rPr>
      </w:pPr>
      <w:r w:rsidRPr="00F27422">
        <w:rPr>
          <w:rFonts w:asciiTheme="minorBidi" w:hAnsiTheme="minorBidi" w:cstheme="minorBidi"/>
          <w:sz w:val="32"/>
          <w:szCs w:val="32"/>
        </w:rPr>
        <w:t>035</w:t>
      </w:r>
    </w:p>
    <w:p w14:paraId="3E850C4C" w14:textId="77777777" w:rsidR="003621C7" w:rsidRPr="00F27422" w:rsidRDefault="003621C7" w:rsidP="00122B70">
      <w:pPr>
        <w:bidi/>
        <w:rPr>
          <w:rFonts w:asciiTheme="minorBidi" w:hAnsiTheme="minorBidi"/>
          <w:b/>
          <w:bCs/>
          <w:sz w:val="32"/>
          <w:szCs w:val="32"/>
        </w:rPr>
      </w:pPr>
      <w:r w:rsidRPr="00F27422">
        <w:rPr>
          <w:rFonts w:asciiTheme="minorBidi" w:hAnsiTheme="minorBidi"/>
          <w:b/>
          <w:bCs/>
          <w:sz w:val="32"/>
          <w:szCs w:val="32"/>
          <w:rtl/>
        </w:rPr>
        <w:t>بسم الله الرحمن الرحيم</w:t>
      </w:r>
    </w:p>
    <w:p w14:paraId="113586B8"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4D7E02C8" w14:textId="77777777" w:rsidR="003621C7" w:rsidRPr="00F27422" w:rsidRDefault="003621C7"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763D867F" w14:textId="77777777" w:rsidR="003621C7" w:rsidRPr="00F27422" w:rsidRDefault="003621C7" w:rsidP="00122B70">
      <w:pPr>
        <w:bidi/>
        <w:rPr>
          <w:rFonts w:asciiTheme="minorBidi" w:hAnsiTheme="minorBidi"/>
          <w:sz w:val="32"/>
          <w:szCs w:val="32"/>
          <w:rtl/>
        </w:rPr>
      </w:pPr>
    </w:p>
    <w:p w14:paraId="315DC028" w14:textId="77777777" w:rsidR="003621C7" w:rsidRPr="00F27422" w:rsidRDefault="003621C7" w:rsidP="00122B70">
      <w:pPr>
        <w:bidi/>
        <w:rPr>
          <w:rFonts w:asciiTheme="minorBidi" w:hAnsiTheme="minorBidi"/>
          <w:sz w:val="32"/>
          <w:szCs w:val="32"/>
          <w:rtl/>
        </w:rPr>
      </w:pPr>
      <w:r w:rsidRPr="00F27422">
        <w:rPr>
          <w:rFonts w:asciiTheme="minorBidi" w:hAnsiTheme="minorBidi"/>
          <w:sz w:val="32"/>
          <w:szCs w:val="32"/>
          <w:rtl/>
        </w:rPr>
        <w:t xml:space="preserve">وحاصل وجه الاستدلال بصحيحة محمّد بن إسماعيل بن بزيع في محلّ الكلام كما أفاده سيدنا الخوئي (قدس سره الشريف) في موسوعته المباركة في كتابه [التنقيح في شرح العروة الوثقى، ج1، كتاب التقليد، ص357] بقوله: </w:t>
      </w:r>
      <w:r w:rsidRPr="00F27422">
        <w:rPr>
          <w:rFonts w:asciiTheme="minorBidi" w:hAnsiTheme="minorBidi"/>
          <w:b/>
          <w:bCs/>
          <w:sz w:val="32"/>
          <w:szCs w:val="32"/>
          <w:rtl/>
        </w:rPr>
        <w:t>(فإذا دلت الرواية على أن المجتهد الجامع للشرائط قد جعل قاضياً في الشريعة المقدسة، دلتنا بإطلاقها على أن الآثار الثابتة للقضاة والحكّام بأجمعها مترتبة على الفقيه، كيف فإن ذلك مقتضى جعل المجتهد قاضياً في مقابل قضاتهم وحكّامهم. لأنّ الغرض من نصبه كذلك ليس إلّا عدم مراجعتهم إلى قضاة الجور، ورفع احتياجاتهم عن قضاتهم، فلو لم تجعل له الولاية ولم يكن متمكناً من إعطاء تلك المناصب)</w:t>
      </w:r>
      <w:r w:rsidRPr="00F27422">
        <w:rPr>
          <w:rFonts w:asciiTheme="minorBidi" w:hAnsiTheme="minorBidi"/>
          <w:sz w:val="32"/>
          <w:szCs w:val="32"/>
          <w:rtl/>
        </w:rPr>
        <w:t xml:space="preserve"> ومنها جعل الوُلاة والقُوام </w:t>
      </w:r>
      <w:r w:rsidRPr="00F27422">
        <w:rPr>
          <w:rFonts w:asciiTheme="minorBidi" w:hAnsiTheme="minorBidi"/>
          <w:b/>
          <w:bCs/>
          <w:sz w:val="32"/>
          <w:szCs w:val="32"/>
          <w:rtl/>
        </w:rPr>
        <w:t xml:space="preserve">(لم يكن جعل </w:t>
      </w:r>
      <w:proofErr w:type="spellStart"/>
      <w:r w:rsidRPr="00F27422">
        <w:rPr>
          <w:rFonts w:asciiTheme="minorBidi" w:hAnsiTheme="minorBidi"/>
          <w:b/>
          <w:bCs/>
          <w:sz w:val="32"/>
          <w:szCs w:val="32"/>
          <w:rtl/>
        </w:rPr>
        <w:t>القضاوة</w:t>
      </w:r>
      <w:proofErr w:type="spellEnd"/>
      <w:r w:rsidRPr="00F27422">
        <w:rPr>
          <w:rFonts w:asciiTheme="minorBidi" w:hAnsiTheme="minorBidi"/>
          <w:b/>
          <w:bCs/>
          <w:sz w:val="32"/>
          <w:szCs w:val="32"/>
          <w:rtl/>
        </w:rPr>
        <w:t xml:space="preserve"> له موجباً لرفع احتياجاتهم، ومع احتياجاتهم واضطرارهم إلى الرجوع في تلك الاُمور إلى قضاة الجور لا معنى لنهيهم عن ذلك)</w:t>
      </w:r>
      <w:r w:rsidRPr="00F27422">
        <w:rPr>
          <w:rFonts w:asciiTheme="minorBidi" w:hAnsiTheme="minorBidi"/>
          <w:b/>
          <w:bCs/>
          <w:sz w:val="32"/>
          <w:szCs w:val="32"/>
        </w:rPr>
        <w:t>.</w:t>
      </w:r>
    </w:p>
    <w:p w14:paraId="74A1887C"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 xml:space="preserve">ثمّ أجاب (قدس سره) عن ذلك في نفس المصدر [ص357] بقوله: </w:t>
      </w:r>
      <w:r w:rsidRPr="00F27422">
        <w:rPr>
          <w:rFonts w:asciiTheme="minorBidi" w:hAnsiTheme="minorBidi"/>
          <w:b/>
          <w:bCs/>
          <w:sz w:val="32"/>
          <w:szCs w:val="32"/>
          <w:rtl/>
        </w:rPr>
        <w:t xml:space="preserve">(والجواب عن ذلك: أن القضاء بمعنى إنهاء الخصومة، ومن هنا سمي القاضي قاضياً لأنه بحكمه ينهي الخصوم </w:t>
      </w:r>
      <w:r w:rsidRPr="00F27422">
        <w:rPr>
          <w:rFonts w:asciiTheme="minorBidi" w:hAnsiTheme="minorBidi"/>
          <w:b/>
          <w:bCs/>
          <w:sz w:val="32"/>
          <w:szCs w:val="32"/>
          <w:rtl/>
        </w:rPr>
        <w:lastRenderedPageBreak/>
        <w:t>ويتم أمرها ويفصله. وأما كونه متمكناً من نصب القيّم والمتولي وغيرهما)</w:t>
      </w:r>
      <w:r w:rsidRPr="00F27422">
        <w:rPr>
          <w:rFonts w:asciiTheme="minorBidi" w:hAnsiTheme="minorBidi"/>
          <w:sz w:val="32"/>
          <w:szCs w:val="32"/>
          <w:rtl/>
        </w:rPr>
        <w:t xml:space="preserve"> كالحكم بالهلال </w:t>
      </w:r>
      <w:r w:rsidRPr="00F27422">
        <w:rPr>
          <w:rFonts w:asciiTheme="minorBidi" w:hAnsiTheme="minorBidi"/>
          <w:b/>
          <w:bCs/>
          <w:sz w:val="32"/>
          <w:szCs w:val="32"/>
          <w:rtl/>
        </w:rPr>
        <w:t>(أعني ثبوت الولاية له فهو أمر خارج عن مفهوم القضاء كلّية، فقد دلتنا الصحيحة على أن الشارع نصب الفقيه قاضياً، أي جعله بحيث ينفذ حكمه في المرافعات وبه يتحقق الفصل في الخصومات ويتم أمر المرافعات، ولا دلالة لها بوجهٍ على أن له الولاية على نصب القيّم والحكم بثبوت الهلال ونحوه)</w:t>
      </w:r>
      <w:r w:rsidRPr="00F27422">
        <w:rPr>
          <w:rFonts w:asciiTheme="minorBidi" w:hAnsiTheme="minorBidi"/>
          <w:sz w:val="32"/>
          <w:szCs w:val="32"/>
          <w:rtl/>
        </w:rPr>
        <w:t xml:space="preserve"> من الآثار </w:t>
      </w:r>
      <w:r w:rsidRPr="00F27422">
        <w:rPr>
          <w:rFonts w:asciiTheme="minorBidi" w:hAnsiTheme="minorBidi"/>
          <w:b/>
          <w:bCs/>
          <w:sz w:val="32"/>
          <w:szCs w:val="32"/>
          <w:rtl/>
        </w:rPr>
        <w:t>(لما تقدم من أن القاضي إنما ينصب قاضياً لأن يترافع عنده المترافعان وينظر هو إلى شكواهما ويفصل الخصومة بحكمه، وأما أن له إعطاء تلك المناصب فهو أمر يحتاج إلى دليل آخر ولا دليل عليه. فدعوى أن الولاية من شؤون القضاء عرفاً ممنوعة بتاتاً. بل الصحيح أنهما أمران ويتعلّق الجعل بكل منهما مستقلاً</w:t>
      </w:r>
      <w:r w:rsidRPr="00F27422">
        <w:rPr>
          <w:rFonts w:asciiTheme="minorBidi" w:hAnsiTheme="minorBidi"/>
          <w:b/>
          <w:bCs/>
          <w:sz w:val="32"/>
          <w:szCs w:val="32"/>
        </w:rPr>
        <w:t>.</w:t>
      </w:r>
    </w:p>
    <w:p w14:paraId="73FDE199" w14:textId="77777777" w:rsidR="003621C7" w:rsidRPr="00F27422" w:rsidRDefault="003621C7" w:rsidP="00122B70">
      <w:pPr>
        <w:bidi/>
        <w:rPr>
          <w:rFonts w:asciiTheme="minorBidi" w:hAnsiTheme="minorBidi"/>
          <w:sz w:val="32"/>
          <w:szCs w:val="32"/>
          <w:rtl/>
        </w:rPr>
      </w:pPr>
      <w:r w:rsidRPr="00F27422">
        <w:rPr>
          <w:rFonts w:asciiTheme="minorBidi" w:hAnsiTheme="minorBidi"/>
          <w:b/>
          <w:bCs/>
          <w:sz w:val="32"/>
          <w:szCs w:val="32"/>
          <w:rtl/>
        </w:rPr>
        <w:t>وأما تصدي قضاة العامة لكل من القضاء وما يرجع إلى الولاية فهو أيضاً من هذا القبيل، بمعنى أنهما)</w:t>
      </w:r>
      <w:r w:rsidRPr="00F27422">
        <w:rPr>
          <w:rFonts w:asciiTheme="minorBidi" w:hAnsiTheme="minorBidi"/>
          <w:sz w:val="32"/>
          <w:szCs w:val="32"/>
          <w:rtl/>
        </w:rPr>
        <w:t xml:space="preserve"> أي: القضاء والولاية </w:t>
      </w:r>
      <w:r w:rsidRPr="00F27422">
        <w:rPr>
          <w:rFonts w:asciiTheme="minorBidi" w:hAnsiTheme="minorBidi"/>
          <w:b/>
          <w:bCs/>
          <w:sz w:val="32"/>
          <w:szCs w:val="32"/>
          <w:rtl/>
        </w:rPr>
        <w:t xml:space="preserve">(منصبان مستقلان والخليفة) </w:t>
      </w:r>
      <w:r w:rsidRPr="00F27422">
        <w:rPr>
          <w:rFonts w:asciiTheme="minorBidi" w:hAnsiTheme="minorBidi"/>
          <w:sz w:val="32"/>
          <w:szCs w:val="32"/>
          <w:rtl/>
        </w:rPr>
        <w:t xml:space="preserve">في تلك الأزمنة </w:t>
      </w:r>
      <w:r w:rsidRPr="00F27422">
        <w:rPr>
          <w:rFonts w:asciiTheme="minorBidi" w:hAnsiTheme="minorBidi"/>
          <w:b/>
          <w:bCs/>
          <w:sz w:val="32"/>
          <w:szCs w:val="32"/>
          <w:rtl/>
        </w:rPr>
        <w:t xml:space="preserve">(ربما كان يعطي منصب القضاء لأحد ويعطي منصب الولاية لأشخاص آخرين، وربّما كان من باب الاتفاق يعطي ذلك المنصب أيضاً للقاضي فيصير القاضي بذلك ذا منصبين مجعولين بجعلين لا أن أحدهما من شؤون </w:t>
      </w:r>
      <w:proofErr w:type="gramStart"/>
      <w:r w:rsidRPr="00F27422">
        <w:rPr>
          <w:rFonts w:asciiTheme="minorBidi" w:hAnsiTheme="minorBidi"/>
          <w:b/>
          <w:bCs/>
          <w:sz w:val="32"/>
          <w:szCs w:val="32"/>
          <w:rtl/>
        </w:rPr>
        <w:t>الآخر،  بحيث</w:t>
      </w:r>
      <w:proofErr w:type="gramEnd"/>
      <w:r w:rsidRPr="00F27422">
        <w:rPr>
          <w:rFonts w:asciiTheme="minorBidi" w:hAnsiTheme="minorBidi"/>
          <w:b/>
          <w:bCs/>
          <w:sz w:val="32"/>
          <w:szCs w:val="32"/>
          <w:rtl/>
        </w:rPr>
        <w:t xml:space="preserve"> يغني جعل أحدهما عن جعل الآخر) </w:t>
      </w:r>
      <w:r w:rsidRPr="00F27422">
        <w:rPr>
          <w:rFonts w:asciiTheme="minorBidi" w:hAnsiTheme="minorBidi"/>
          <w:sz w:val="32"/>
          <w:szCs w:val="32"/>
          <w:rtl/>
        </w:rPr>
        <w:t>بحيث تكون الولاية من شئون القضاء فإذا نصب الإمامُ الفقيهَ قاضياً فقد جعل له الولاية على سائر هذه الآثار</w:t>
      </w:r>
      <w:r w:rsidRPr="00F27422">
        <w:rPr>
          <w:rFonts w:asciiTheme="minorBidi" w:hAnsiTheme="minorBidi"/>
          <w:sz w:val="32"/>
          <w:szCs w:val="32"/>
        </w:rPr>
        <w:t>.</w:t>
      </w:r>
    </w:p>
    <w:p w14:paraId="6DC4A1CA" w14:textId="77777777" w:rsidR="003621C7" w:rsidRPr="00F27422" w:rsidRDefault="003621C7" w:rsidP="00122B70">
      <w:pPr>
        <w:bidi/>
        <w:rPr>
          <w:rFonts w:asciiTheme="minorBidi" w:hAnsiTheme="minorBidi"/>
          <w:sz w:val="32"/>
          <w:szCs w:val="32"/>
          <w:rtl/>
        </w:rPr>
      </w:pPr>
      <w:r w:rsidRPr="00F27422">
        <w:rPr>
          <w:rFonts w:asciiTheme="minorBidi" w:hAnsiTheme="minorBidi"/>
          <w:sz w:val="32"/>
          <w:szCs w:val="32"/>
          <w:rtl/>
        </w:rPr>
        <w:t>وأمّا ما سبق من الرواية في شأن "غيلان بن جامع" فهو قضيةٌ شخصية، أي أنّ غيلان بن جامع كان جامعاً للمنصبين بمقتضى تنصيب الخليفة له، لا أنّ القاضي في المرتكزات المتشرعية ولو عند العامة يعني أنّ له الولاية على نصب المتولين على الأوقاف وأموال القصر والحكم بالهلال وأمثال ذلك مما يُدعى أنّه من شؤونه، فهذا منصب آخر</w:t>
      </w:r>
      <w:r w:rsidRPr="00F27422">
        <w:rPr>
          <w:rFonts w:asciiTheme="minorBidi" w:hAnsiTheme="minorBidi"/>
          <w:sz w:val="32"/>
          <w:szCs w:val="32"/>
        </w:rPr>
        <w:t>.</w:t>
      </w:r>
    </w:p>
    <w:p w14:paraId="2B7FC249" w14:textId="0E2E1F5F" w:rsidR="003621C7" w:rsidRPr="00F27422" w:rsidRDefault="003621C7" w:rsidP="00122B70">
      <w:pPr>
        <w:bidi/>
        <w:rPr>
          <w:rFonts w:asciiTheme="minorBidi" w:hAnsiTheme="minorBidi"/>
          <w:sz w:val="32"/>
          <w:szCs w:val="32"/>
          <w:rtl/>
        </w:rPr>
      </w:pPr>
      <w:r w:rsidRPr="00F27422">
        <w:rPr>
          <w:rFonts w:asciiTheme="minorBidi" w:hAnsiTheme="minorBidi"/>
          <w:sz w:val="32"/>
          <w:szCs w:val="32"/>
          <w:rtl/>
        </w:rPr>
        <w:t>وما ذكره (قدس سره الشريف) في الجواب متين</w:t>
      </w:r>
      <w:r w:rsidR="004A7415" w:rsidRPr="00F27422">
        <w:rPr>
          <w:rStyle w:val="FootnoteReference"/>
          <w:rFonts w:asciiTheme="minorBidi" w:hAnsiTheme="minorBidi"/>
          <w:sz w:val="32"/>
          <w:szCs w:val="32"/>
          <w:rtl/>
        </w:rPr>
        <w:footnoteReference w:id="2"/>
      </w:r>
      <w:r w:rsidRPr="00F27422">
        <w:rPr>
          <w:rFonts w:asciiTheme="minorBidi" w:hAnsiTheme="minorBidi"/>
          <w:sz w:val="32"/>
          <w:szCs w:val="32"/>
        </w:rPr>
        <w:t>.</w:t>
      </w:r>
    </w:p>
    <w:p w14:paraId="5F4D46C1" w14:textId="77777777" w:rsidR="003621C7" w:rsidRPr="00F27422" w:rsidRDefault="003621C7" w:rsidP="00122B70">
      <w:pPr>
        <w:bidi/>
        <w:rPr>
          <w:rFonts w:asciiTheme="minorBidi" w:hAnsiTheme="minorBidi"/>
          <w:sz w:val="32"/>
          <w:szCs w:val="32"/>
          <w:rtl/>
        </w:rPr>
      </w:pPr>
      <w:r w:rsidRPr="00F27422">
        <w:rPr>
          <w:rFonts w:asciiTheme="minorBidi" w:hAnsiTheme="minorBidi"/>
          <w:b/>
          <w:bCs/>
          <w:sz w:val="32"/>
          <w:szCs w:val="32"/>
          <w:rtl/>
        </w:rPr>
        <w:lastRenderedPageBreak/>
        <w:t>الوجه الثالث:</w:t>
      </w:r>
      <w:r w:rsidRPr="00F27422">
        <w:rPr>
          <w:rFonts w:asciiTheme="minorBidi" w:hAnsiTheme="minorBidi"/>
          <w:sz w:val="32"/>
          <w:szCs w:val="32"/>
          <w:rtl/>
        </w:rPr>
        <w:t xml:space="preserve"> </w:t>
      </w:r>
      <w:r w:rsidRPr="00F27422">
        <w:rPr>
          <w:rFonts w:asciiTheme="minorBidi" w:hAnsiTheme="minorBidi"/>
          <w:b/>
          <w:bCs/>
          <w:sz w:val="32"/>
          <w:szCs w:val="32"/>
          <w:rtl/>
        </w:rPr>
        <w:t xml:space="preserve">وهو ما يرتبط بالأمور الحسبية </w:t>
      </w:r>
      <w:r w:rsidRPr="00F27422">
        <w:rPr>
          <w:rFonts w:asciiTheme="minorBidi" w:hAnsiTheme="minorBidi"/>
          <w:sz w:val="32"/>
          <w:szCs w:val="32"/>
          <w:rtl/>
        </w:rPr>
        <w:t xml:space="preserve">- بحسب التعبير الفقهي </w:t>
      </w:r>
      <w:proofErr w:type="gramStart"/>
      <w:r w:rsidRPr="00F27422">
        <w:rPr>
          <w:rFonts w:asciiTheme="minorBidi" w:hAnsiTheme="minorBidi"/>
          <w:sz w:val="32"/>
          <w:szCs w:val="32"/>
          <w:rtl/>
        </w:rPr>
        <w:t>المعروف</w:t>
      </w:r>
      <w:r w:rsidRPr="00F27422">
        <w:rPr>
          <w:rFonts w:asciiTheme="minorBidi" w:hAnsiTheme="minorBidi"/>
          <w:sz w:val="32"/>
          <w:szCs w:val="32"/>
        </w:rPr>
        <w:t xml:space="preserve"> </w:t>
      </w:r>
      <w:r w:rsidRPr="00F27422">
        <w:rPr>
          <w:rFonts w:asciiTheme="minorBidi" w:hAnsiTheme="minorBidi"/>
          <w:sz w:val="32"/>
          <w:szCs w:val="32"/>
          <w:rtl/>
        </w:rPr>
        <w:t xml:space="preserve"> -</w:t>
      </w:r>
      <w:proofErr w:type="gramEnd"/>
      <w:r w:rsidRPr="00F27422">
        <w:rPr>
          <w:rFonts w:asciiTheme="minorBidi" w:hAnsiTheme="minorBidi"/>
          <w:sz w:val="32"/>
          <w:szCs w:val="32"/>
          <w:rtl/>
        </w:rPr>
        <w:t>.</w:t>
      </w:r>
    </w:p>
    <w:p w14:paraId="32A04AF5"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وبيان الاستناد لهذا الوجه يعتمد على ذكر أمرين</w:t>
      </w:r>
      <w:r w:rsidRPr="00F27422">
        <w:rPr>
          <w:rFonts w:asciiTheme="minorBidi" w:hAnsiTheme="minorBidi"/>
          <w:b/>
          <w:bCs/>
          <w:sz w:val="32"/>
          <w:szCs w:val="32"/>
        </w:rPr>
        <w:t>:</w:t>
      </w:r>
    </w:p>
    <w:p w14:paraId="4A68619C"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الأمر الأوّل:</w:t>
      </w:r>
      <w:r w:rsidRPr="00F27422">
        <w:rPr>
          <w:rFonts w:asciiTheme="minorBidi" w:hAnsiTheme="minorBidi"/>
          <w:sz w:val="32"/>
          <w:szCs w:val="32"/>
          <w:rtl/>
        </w:rPr>
        <w:t xml:space="preserve"> إنّ التصرّف في شأن الغير على نحوين</w:t>
      </w:r>
      <w:r w:rsidRPr="00F27422">
        <w:rPr>
          <w:rFonts w:asciiTheme="minorBidi" w:hAnsiTheme="minorBidi"/>
          <w:sz w:val="32"/>
          <w:szCs w:val="32"/>
        </w:rPr>
        <w:t>:</w:t>
      </w:r>
    </w:p>
    <w:p w14:paraId="217577E3" w14:textId="77777777" w:rsidR="003621C7" w:rsidRPr="00F27422" w:rsidRDefault="003621C7" w:rsidP="00122B70">
      <w:pPr>
        <w:bidi/>
        <w:rPr>
          <w:rFonts w:asciiTheme="minorBidi" w:hAnsiTheme="minorBidi"/>
          <w:sz w:val="32"/>
          <w:szCs w:val="32"/>
          <w:rtl/>
        </w:rPr>
      </w:pPr>
      <w:r w:rsidRPr="00F27422">
        <w:rPr>
          <w:rFonts w:asciiTheme="minorBidi" w:hAnsiTheme="minorBidi"/>
          <w:b/>
          <w:bCs/>
          <w:sz w:val="32"/>
          <w:szCs w:val="32"/>
          <w:rtl/>
        </w:rPr>
        <w:t>النحو الأوّل:</w:t>
      </w:r>
      <w:r w:rsidRPr="00F27422">
        <w:rPr>
          <w:rFonts w:asciiTheme="minorBidi" w:hAnsiTheme="minorBidi"/>
          <w:sz w:val="32"/>
          <w:szCs w:val="32"/>
          <w:rtl/>
        </w:rPr>
        <w:t xml:space="preserve"> ما يكون في نفسه مجرى لأصالة الاشتغال - بحسب تعبير سيدنا الخوئي (قدس سره الشريف) في كتابه [التنقيح في شرح العروة الوثقى، ج1، كتاب التقليد، ص361] - كالتصرف في الأوقاف وأموال القصار وسهم الإمام (عليه السلام) وتطليق الزوجة من الزوج المضار، فإنّ كلّ هذه التصرّفات مقتضى الأصل فيها هو عدم النفوذ؛ لأنّ النفوذ فرعُ الولاية، ومقتضى الأصل عدم الولاية، لا أصالة الاشتغال كما عبر سيدنا الخوئي (قدس سره)؛ فإنّ الأصل الشرعي واردٌ على الأصل العقلي.</w:t>
      </w:r>
    </w:p>
    <w:p w14:paraId="32850D9E"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النحو الثاني:</w:t>
      </w:r>
      <w:r w:rsidRPr="00F27422">
        <w:rPr>
          <w:rFonts w:asciiTheme="minorBidi" w:hAnsiTheme="minorBidi"/>
          <w:sz w:val="32"/>
          <w:szCs w:val="32"/>
          <w:rtl/>
        </w:rPr>
        <w:t xml:space="preserve"> ما إذا كان مقتضى الأصل فيها هو البراءة، كما مثل له سيدنا الخوئي (قدس سره): </w:t>
      </w:r>
      <w:r w:rsidRPr="00F27422">
        <w:rPr>
          <w:rFonts w:asciiTheme="minorBidi" w:hAnsiTheme="minorBidi"/>
          <w:b/>
          <w:bCs/>
          <w:sz w:val="32"/>
          <w:szCs w:val="32"/>
          <w:rtl/>
        </w:rPr>
        <w:t xml:space="preserve">(كما في الصلاة على الميت الّذي لا ولي له ولو بالنصب من قبل الإمام (عليه السّلام) فإن الصلاة على الميت المسلم من الواجبات </w:t>
      </w:r>
      <w:proofErr w:type="spellStart"/>
      <w:r w:rsidRPr="00F27422">
        <w:rPr>
          <w:rFonts w:asciiTheme="minorBidi" w:hAnsiTheme="minorBidi"/>
          <w:b/>
          <w:bCs/>
          <w:sz w:val="32"/>
          <w:szCs w:val="32"/>
          <w:rtl/>
        </w:rPr>
        <w:t>الكفائية</w:t>
      </w:r>
      <w:proofErr w:type="spellEnd"/>
      <w:r w:rsidRPr="00F27422">
        <w:rPr>
          <w:rFonts w:asciiTheme="minorBidi" w:hAnsiTheme="minorBidi"/>
          <w:b/>
          <w:bCs/>
          <w:sz w:val="32"/>
          <w:szCs w:val="32"/>
          <w:rtl/>
        </w:rPr>
        <w:t xml:space="preserve"> على كل مكلّف، ومع الشك في اشتراطها بإذن الفقيه يتمسك بالبراءة، لأنها تقتضي عدم اشتراطها بشيء، ومع جريان أصالة البراءة لا نحتاج إلى الاستئذان من الفقيه)</w:t>
      </w:r>
      <w:r w:rsidRPr="00F27422">
        <w:rPr>
          <w:rFonts w:asciiTheme="minorBidi" w:hAnsiTheme="minorBidi"/>
          <w:b/>
          <w:bCs/>
          <w:sz w:val="32"/>
          <w:szCs w:val="32"/>
        </w:rPr>
        <w:t>.</w:t>
      </w:r>
    </w:p>
    <w:p w14:paraId="35682B2F"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وسائر تجهيز الميت من هذا القبيل؛ لأنّه لو شك في لزوم استئذان الفقيه في تغسيله أو تكفينه أو دفنه فإنّه مجرى لأصالة البراءة</w:t>
      </w:r>
      <w:r w:rsidRPr="00F27422">
        <w:rPr>
          <w:rFonts w:asciiTheme="minorBidi" w:hAnsiTheme="minorBidi"/>
          <w:sz w:val="32"/>
          <w:szCs w:val="32"/>
        </w:rPr>
        <w:t>.</w:t>
      </w:r>
    </w:p>
    <w:p w14:paraId="784D7A2B" w14:textId="766F59DE" w:rsidR="003621C7" w:rsidRPr="00F27422" w:rsidRDefault="003621C7" w:rsidP="00122B70">
      <w:pPr>
        <w:bidi/>
        <w:rPr>
          <w:rFonts w:asciiTheme="minorBidi" w:hAnsiTheme="minorBidi"/>
          <w:sz w:val="32"/>
          <w:szCs w:val="32"/>
          <w:rtl/>
        </w:rPr>
      </w:pPr>
      <w:r w:rsidRPr="00F27422">
        <w:rPr>
          <w:rFonts w:asciiTheme="minorBidi" w:hAnsiTheme="minorBidi"/>
          <w:b/>
          <w:bCs/>
          <w:sz w:val="32"/>
          <w:szCs w:val="32"/>
          <w:rtl/>
        </w:rPr>
        <w:t>ونحو ذلك:</w:t>
      </w:r>
      <w:r w:rsidRPr="00F27422">
        <w:rPr>
          <w:rFonts w:asciiTheme="minorBidi" w:hAnsiTheme="minorBidi"/>
          <w:sz w:val="32"/>
          <w:szCs w:val="32"/>
          <w:rtl/>
        </w:rPr>
        <w:t xml:space="preserve"> ما لو توقّف انقاذ الغير الذي لا</w:t>
      </w:r>
      <w:r w:rsidR="00EF6A62" w:rsidRPr="00F27422">
        <w:rPr>
          <w:rFonts w:asciiTheme="minorBidi" w:hAnsiTheme="minorBidi"/>
          <w:sz w:val="32"/>
          <w:szCs w:val="32"/>
          <w:rtl/>
        </w:rPr>
        <w:t xml:space="preserve"> </w:t>
      </w:r>
      <w:r w:rsidRPr="00F27422">
        <w:rPr>
          <w:rFonts w:asciiTheme="minorBidi" w:hAnsiTheme="minorBidi"/>
          <w:sz w:val="32"/>
          <w:szCs w:val="32"/>
          <w:rtl/>
        </w:rPr>
        <w:t xml:space="preserve">ولي له مِن الغرق أو الحرق على إتلاف ماله أو كسر شيء من جسده، وكذلك ما يتعرض له أطباء الطوارئ عندما تنقل لهم حالةٌ خطرة ويرى الطبيبُ في تلك الحالة توقّف إنقاذ حياة هذا المريض الفاقد للوعي - الذي لا ولي له - على </w:t>
      </w:r>
      <w:r w:rsidRPr="00F27422">
        <w:rPr>
          <w:rFonts w:asciiTheme="minorBidi" w:hAnsiTheme="minorBidi"/>
          <w:sz w:val="32"/>
          <w:szCs w:val="32"/>
          <w:rtl/>
        </w:rPr>
        <w:lastRenderedPageBreak/>
        <w:t>إتلافِ شيءٍ مِن أعضائه، فإنّ هذه الموارد مجرى لأصالة البراءة من شرطية الاستئذان من الفقيه.</w:t>
      </w:r>
    </w:p>
    <w:p w14:paraId="4F54CA7E"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فبما أنّ التصرّف على نحوين، فمحلّ البحث في الأمور الحسبية في النحو الأوّل وهو ما كان مجرى الأصل فيه - بغض النظر عن الأدلة الخاصة - هو أصالة عدم النفوذ لعدم الولاية</w:t>
      </w:r>
      <w:r w:rsidRPr="00F27422">
        <w:rPr>
          <w:rFonts w:asciiTheme="minorBidi" w:hAnsiTheme="minorBidi"/>
          <w:sz w:val="32"/>
          <w:szCs w:val="32"/>
        </w:rPr>
        <w:t>.</w:t>
      </w:r>
    </w:p>
    <w:p w14:paraId="02E91BD1"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 xml:space="preserve">الأمر الثاني: </w:t>
      </w:r>
      <w:r w:rsidRPr="00F27422">
        <w:rPr>
          <w:rFonts w:asciiTheme="minorBidi" w:hAnsiTheme="minorBidi"/>
          <w:sz w:val="32"/>
          <w:szCs w:val="32"/>
          <w:rtl/>
        </w:rPr>
        <w:t xml:space="preserve">إنّ النحو الأوّل </w:t>
      </w:r>
      <w:proofErr w:type="gramStart"/>
      <w:r w:rsidRPr="00F27422">
        <w:rPr>
          <w:rFonts w:asciiTheme="minorBidi" w:hAnsiTheme="minorBidi"/>
          <w:sz w:val="32"/>
          <w:szCs w:val="32"/>
          <w:rtl/>
        </w:rPr>
        <w:t>من  التصرّفات</w:t>
      </w:r>
      <w:proofErr w:type="gramEnd"/>
      <w:r w:rsidRPr="00F27422">
        <w:rPr>
          <w:rFonts w:asciiTheme="minorBidi" w:hAnsiTheme="minorBidi"/>
          <w:sz w:val="32"/>
          <w:szCs w:val="32"/>
          <w:rtl/>
        </w:rPr>
        <w:t xml:space="preserve"> هي المعبر عنها بالأمور الحسبية</w:t>
      </w:r>
      <w:r w:rsidRPr="00F27422">
        <w:rPr>
          <w:rFonts w:asciiTheme="minorBidi" w:hAnsiTheme="minorBidi"/>
          <w:sz w:val="32"/>
          <w:szCs w:val="32"/>
        </w:rPr>
        <w:t>.</w:t>
      </w:r>
    </w:p>
    <w:p w14:paraId="43DCE4D0"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وللأمور الحسبية تعريفان</w:t>
      </w:r>
      <w:r w:rsidRPr="00F27422">
        <w:rPr>
          <w:rFonts w:asciiTheme="minorBidi" w:hAnsiTheme="minorBidi"/>
          <w:b/>
          <w:bCs/>
          <w:sz w:val="32"/>
          <w:szCs w:val="32"/>
        </w:rPr>
        <w:t>:</w:t>
      </w:r>
    </w:p>
    <w:p w14:paraId="0C42C8C6"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التعريف الأوّل:</w:t>
      </w:r>
      <w:r w:rsidRPr="00F27422">
        <w:rPr>
          <w:rFonts w:asciiTheme="minorBidi" w:hAnsiTheme="minorBidi"/>
          <w:sz w:val="32"/>
          <w:szCs w:val="32"/>
          <w:rtl/>
        </w:rPr>
        <w:t xml:space="preserve"> ما في كلمات جملة من الفقهاء (أعلى الله مقامهم) ومنهم سيدنا الخوئي (قدس سره الشريف) كما أفاد في كتابه [التنقيح في شرح العروة الوثقى، ج1، كتاب التقليد، ص359] حيث قال: </w:t>
      </w:r>
      <w:r w:rsidRPr="00F27422">
        <w:rPr>
          <w:rFonts w:asciiTheme="minorBidi" w:hAnsiTheme="minorBidi"/>
          <w:b/>
          <w:bCs/>
          <w:sz w:val="32"/>
          <w:szCs w:val="32"/>
          <w:rtl/>
        </w:rPr>
        <w:t>(أن الأُمور الراجعة إلى الولاية)</w:t>
      </w:r>
      <w:r w:rsidRPr="00F27422">
        <w:rPr>
          <w:rFonts w:asciiTheme="minorBidi" w:hAnsiTheme="minorBidi"/>
          <w:sz w:val="32"/>
          <w:szCs w:val="32"/>
          <w:rtl/>
        </w:rPr>
        <w:t xml:space="preserve"> أي: التي تعتمد على الولاية </w:t>
      </w:r>
      <w:r w:rsidRPr="00F27422">
        <w:rPr>
          <w:rFonts w:asciiTheme="minorBidi" w:hAnsiTheme="minorBidi"/>
          <w:b/>
          <w:bCs/>
          <w:sz w:val="32"/>
          <w:szCs w:val="32"/>
          <w:rtl/>
        </w:rPr>
        <w:t>(مما لا مناص من أن تتحقق في الخارج)</w:t>
      </w:r>
      <w:r w:rsidRPr="00F27422">
        <w:rPr>
          <w:rFonts w:asciiTheme="minorBidi" w:hAnsiTheme="minorBidi"/>
          <w:sz w:val="32"/>
          <w:szCs w:val="32"/>
          <w:rtl/>
        </w:rPr>
        <w:t xml:space="preserve"> للزوم ذلك شرعاً </w:t>
      </w:r>
      <w:r w:rsidRPr="00F27422">
        <w:rPr>
          <w:rFonts w:asciiTheme="minorBidi" w:hAnsiTheme="minorBidi"/>
          <w:b/>
          <w:bCs/>
          <w:sz w:val="32"/>
          <w:szCs w:val="32"/>
          <w:rtl/>
        </w:rPr>
        <w:t xml:space="preserve">(مثلاً إذا مات أحد ولم ينصب قيّماً على صغاره ولم يوص إلى وصي ليقوم </w:t>
      </w:r>
      <w:proofErr w:type="spellStart"/>
      <w:r w:rsidRPr="00F27422">
        <w:rPr>
          <w:rFonts w:asciiTheme="minorBidi" w:hAnsiTheme="minorBidi"/>
          <w:b/>
          <w:bCs/>
          <w:sz w:val="32"/>
          <w:szCs w:val="32"/>
          <w:rtl/>
        </w:rPr>
        <w:t>باُمورهم</w:t>
      </w:r>
      <w:proofErr w:type="spellEnd"/>
      <w:r w:rsidRPr="00F27422">
        <w:rPr>
          <w:rFonts w:asciiTheme="minorBidi" w:hAnsiTheme="minorBidi"/>
          <w:b/>
          <w:bCs/>
          <w:sz w:val="32"/>
          <w:szCs w:val="32"/>
          <w:rtl/>
        </w:rPr>
        <w:t xml:space="preserve"> واحتيج إلى بيع مال من أمواله)</w:t>
      </w:r>
      <w:r w:rsidRPr="00F27422">
        <w:rPr>
          <w:rFonts w:asciiTheme="minorBidi" w:hAnsiTheme="minorBidi"/>
          <w:sz w:val="32"/>
          <w:szCs w:val="32"/>
          <w:rtl/>
        </w:rPr>
        <w:t xml:space="preserve"> لتوزيع تركته </w:t>
      </w:r>
      <w:r w:rsidRPr="00F27422">
        <w:rPr>
          <w:rFonts w:asciiTheme="minorBidi" w:hAnsiTheme="minorBidi"/>
          <w:b/>
          <w:bCs/>
          <w:sz w:val="32"/>
          <w:szCs w:val="32"/>
          <w:rtl/>
        </w:rPr>
        <w:t>(أو تزويج الصغيرة من ولده، لأن في تركه مفاسد كثيرة أو أن مالاً من أموال الغائب)</w:t>
      </w:r>
      <w:r w:rsidRPr="00F27422">
        <w:rPr>
          <w:rFonts w:asciiTheme="minorBidi" w:hAnsiTheme="minorBidi"/>
          <w:sz w:val="32"/>
          <w:szCs w:val="32"/>
          <w:rtl/>
        </w:rPr>
        <w:t xml:space="preserve"> وقع لنا ولا يمكن الوصول إليه ودار الأمر في هذا المال بين التصرّف فيه أو تلفه، فإنّ التصرّف فيه أمرٌ لابُدّ منه وإلا تلف، فلا بُدّ في وقوعه في الخارج مع أنّه يحتاج إلى الولاية </w:t>
      </w:r>
      <w:r w:rsidRPr="00F27422">
        <w:rPr>
          <w:rFonts w:asciiTheme="minorBidi" w:hAnsiTheme="minorBidi"/>
          <w:b/>
          <w:bCs/>
          <w:sz w:val="32"/>
          <w:szCs w:val="32"/>
          <w:rtl/>
        </w:rPr>
        <w:t>(وقع مورد التصرف، فإن بيع ماله أو تزويج الصغيرة أمر لا بدّ من وقوعه في الخارج ومَن المتصدّي لتلك الأمور؟)</w:t>
      </w:r>
      <w:r w:rsidRPr="00F27422">
        <w:rPr>
          <w:rFonts w:asciiTheme="minorBidi" w:hAnsiTheme="minorBidi"/>
          <w:b/>
          <w:bCs/>
          <w:sz w:val="32"/>
          <w:szCs w:val="32"/>
        </w:rPr>
        <w:t>.</w:t>
      </w:r>
    </w:p>
    <w:p w14:paraId="791D09CD"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التعريف الثاني:</w:t>
      </w:r>
      <w:r w:rsidRPr="00F27422">
        <w:rPr>
          <w:rFonts w:asciiTheme="minorBidi" w:hAnsiTheme="minorBidi"/>
          <w:sz w:val="32"/>
          <w:szCs w:val="32"/>
          <w:rtl/>
        </w:rPr>
        <w:t xml:space="preserve"> ما عبر به جملةٌ من الأعلام ومنهم السيد الأُستاذ (مد ظله الشريف) بالأمور </w:t>
      </w:r>
      <w:r w:rsidRPr="00F27422">
        <w:rPr>
          <w:rFonts w:asciiTheme="minorBidi" w:hAnsiTheme="minorBidi"/>
          <w:sz w:val="32"/>
          <w:szCs w:val="32"/>
          <w:highlight w:val="yellow"/>
          <w:rtl/>
        </w:rPr>
        <w:t>العامة، لا بالأمور الحسبية؛ فإنّ الحسبة بمعنى القُربة وهذه</w:t>
      </w:r>
      <w:r w:rsidRPr="00F27422">
        <w:rPr>
          <w:rFonts w:asciiTheme="minorBidi" w:hAnsiTheme="minorBidi"/>
          <w:sz w:val="32"/>
          <w:szCs w:val="32"/>
          <w:rtl/>
        </w:rPr>
        <w:t xml:space="preserve"> الأمور لا تختص بالأمور القُربية بل هي أشمل من ذلك، كما لا تختص بالموارد والأمثلة التي ذكرها سيدنا الخوئي (قدس سره الشريف) من أموال القصر أو الأوقاف أو تزويج الصغيرة أو ما أشبه ذلك من الأمثلة التي ذكرها؛ بل بحسب تعبير السيد الأُستاذ (مد ظله) كما في كتابه [قاعدة لا ضرر ولا ضرار، الناشر: مكتب آية الله العظمى السيد السيستاني، ص204] حيث قال: </w:t>
      </w:r>
      <w:r w:rsidRPr="00F27422">
        <w:rPr>
          <w:rFonts w:asciiTheme="minorBidi" w:hAnsiTheme="minorBidi"/>
          <w:b/>
          <w:bCs/>
          <w:sz w:val="32"/>
          <w:szCs w:val="32"/>
          <w:rtl/>
        </w:rPr>
        <w:t>(من الأُمور العامة التي يتوقّف عليها حفظ النظام وإن لم تكن له ولاية عامّة على الأموال والأنفس)</w:t>
      </w:r>
      <w:r w:rsidRPr="00F27422">
        <w:rPr>
          <w:rFonts w:asciiTheme="minorBidi" w:hAnsiTheme="minorBidi"/>
          <w:b/>
          <w:bCs/>
          <w:sz w:val="32"/>
          <w:szCs w:val="32"/>
        </w:rPr>
        <w:t>.</w:t>
      </w:r>
    </w:p>
    <w:p w14:paraId="6A0DEE50" w14:textId="77777777" w:rsidR="003621C7" w:rsidRPr="00F27422" w:rsidRDefault="003621C7" w:rsidP="00122B70">
      <w:pPr>
        <w:bidi/>
        <w:rPr>
          <w:rFonts w:asciiTheme="minorBidi" w:hAnsiTheme="minorBidi"/>
          <w:sz w:val="32"/>
          <w:szCs w:val="32"/>
          <w:rtl/>
        </w:rPr>
      </w:pPr>
      <w:r w:rsidRPr="00F27422">
        <w:rPr>
          <w:rFonts w:asciiTheme="minorBidi" w:hAnsiTheme="minorBidi"/>
          <w:b/>
          <w:bCs/>
          <w:sz w:val="32"/>
          <w:szCs w:val="32"/>
          <w:rtl/>
        </w:rPr>
        <w:t>أقول:</w:t>
      </w:r>
      <w:r w:rsidRPr="00F27422">
        <w:rPr>
          <w:rFonts w:asciiTheme="minorBidi" w:hAnsiTheme="minorBidi"/>
          <w:sz w:val="32"/>
          <w:szCs w:val="32"/>
          <w:rtl/>
        </w:rPr>
        <w:t xml:space="preserve"> ومن تعريفه (مد ظله الشريف) يتبين وجه النقد للتعريف الأوّل فإنّ الملاك ما يتوقف عليه حفظ النظام ولم ينصب له وليّ خاص، لا ضرورة تحقيقها دون تحديد ما هو الملاك في ضرورة تحقيقها.</w:t>
      </w:r>
    </w:p>
    <w:p w14:paraId="337C622F"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فإنّ المناط في أنّها لا مناص من تحققها، هو أنّه يتوقف عليها حفظ النظام</w:t>
      </w:r>
      <w:r w:rsidRPr="00F27422">
        <w:rPr>
          <w:rFonts w:asciiTheme="minorBidi" w:hAnsiTheme="minorBidi"/>
          <w:sz w:val="32"/>
          <w:szCs w:val="32"/>
        </w:rPr>
        <w:t>.</w:t>
      </w:r>
    </w:p>
    <w:p w14:paraId="45CF66DC"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lastRenderedPageBreak/>
        <w:t xml:space="preserve">ولذلك لا ينحصر التمثيل لها بالأوقاف وأموال القصر كما في كلمات سيدنا الخوئي (قدس سره الشريف)، أو ما أضافه من مثال ولي الممتنع كما في كتابه [منهاج الصالحين، الإمام السيد </w:t>
      </w:r>
      <w:proofErr w:type="spellStart"/>
      <w:r w:rsidRPr="00F27422">
        <w:rPr>
          <w:rFonts w:asciiTheme="minorBidi" w:hAnsiTheme="minorBidi"/>
          <w:sz w:val="32"/>
          <w:szCs w:val="32"/>
          <w:rtl/>
        </w:rPr>
        <w:t>أبوالقاسم</w:t>
      </w:r>
      <w:proofErr w:type="spellEnd"/>
      <w:r w:rsidRPr="00F27422">
        <w:rPr>
          <w:rFonts w:asciiTheme="minorBidi" w:hAnsiTheme="minorBidi"/>
          <w:sz w:val="32"/>
          <w:szCs w:val="32"/>
          <w:rtl/>
        </w:rPr>
        <w:t xml:space="preserve"> الموسوي الخوئي، مؤسسة الخوئي الإسلامية، ج2، كتاب النكاح، الفصل الرابع في عقد المتعة، ص273] حيث قال: </w:t>
      </w:r>
      <w:r w:rsidRPr="00F27422">
        <w:rPr>
          <w:rFonts w:asciiTheme="minorBidi" w:hAnsiTheme="minorBidi"/>
          <w:b/>
          <w:bCs/>
          <w:sz w:val="32"/>
          <w:szCs w:val="32"/>
          <w:rtl/>
        </w:rPr>
        <w:t>((مسألة 1309): لو صالحها على أن يبرئها المدة وأن لا تتزوج بفلان صح الصلح ووجب عليه الإبراء، فإن امتنع أجبره الحاكم)</w:t>
      </w:r>
      <w:r w:rsidRPr="00F27422">
        <w:rPr>
          <w:rFonts w:asciiTheme="minorBidi" w:hAnsiTheme="minorBidi"/>
          <w:sz w:val="32"/>
          <w:szCs w:val="32"/>
          <w:rtl/>
        </w:rPr>
        <w:t xml:space="preserve"> على الإبراء من المدّة </w:t>
      </w:r>
      <w:r w:rsidRPr="00F27422">
        <w:rPr>
          <w:rFonts w:asciiTheme="minorBidi" w:hAnsiTheme="minorBidi"/>
          <w:b/>
          <w:bCs/>
          <w:sz w:val="32"/>
          <w:szCs w:val="32"/>
          <w:rtl/>
        </w:rPr>
        <w:t xml:space="preserve">(فإن تعذر تولاه الحاكم ولا يجوز لها أن تتزوج بفلان، لكنها إن تزوجت به صح التزويج ... </w:t>
      </w:r>
      <w:proofErr w:type="spellStart"/>
      <w:r w:rsidRPr="00F27422">
        <w:rPr>
          <w:rFonts w:asciiTheme="minorBidi" w:hAnsiTheme="minorBidi"/>
          <w:b/>
          <w:bCs/>
          <w:sz w:val="32"/>
          <w:szCs w:val="32"/>
          <w:rtl/>
        </w:rPr>
        <w:t>ألخ</w:t>
      </w:r>
      <w:proofErr w:type="spellEnd"/>
      <w:r w:rsidRPr="00F27422">
        <w:rPr>
          <w:rFonts w:asciiTheme="minorBidi" w:hAnsiTheme="minorBidi"/>
          <w:b/>
          <w:bCs/>
          <w:sz w:val="32"/>
          <w:szCs w:val="32"/>
          <w:rtl/>
        </w:rPr>
        <w:t>)</w:t>
      </w:r>
      <w:r w:rsidRPr="00F27422">
        <w:rPr>
          <w:rFonts w:asciiTheme="minorBidi" w:hAnsiTheme="minorBidi"/>
          <w:b/>
          <w:bCs/>
          <w:sz w:val="32"/>
          <w:szCs w:val="32"/>
        </w:rPr>
        <w:t>.</w:t>
      </w:r>
    </w:p>
    <w:p w14:paraId="40A9F232"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والنتيجة:</w:t>
      </w:r>
      <w:r w:rsidRPr="00F27422">
        <w:rPr>
          <w:rFonts w:asciiTheme="minorBidi" w:hAnsiTheme="minorBidi"/>
          <w:sz w:val="32"/>
          <w:szCs w:val="32"/>
          <w:rtl/>
        </w:rPr>
        <w:t xml:space="preserve"> أنّ الأمور الحسبية – بحسب تعبير سيدنا الخوئي (قدس سره الشريف) - أو الأُمور العامّة - بحسب تعبير السيد الأُستاذ (مد ظله الشريف) - لا تختص بهذه الأمثلة؛ بل تشمل كلّ ما يتوقف عليه حفظ النظام من إجراء أحكام السلطة القضائية، فإنّ مجرد القضاء لا يكفي ما لم يكن هناك صلاحية التنفيذ، ونفوذ تصرّفات السلطة التنفيذية كإقامة </w:t>
      </w:r>
      <w:proofErr w:type="spellStart"/>
      <w:r w:rsidRPr="00F27422">
        <w:rPr>
          <w:rFonts w:asciiTheme="minorBidi" w:hAnsiTheme="minorBidi"/>
          <w:sz w:val="32"/>
          <w:szCs w:val="32"/>
          <w:rtl/>
        </w:rPr>
        <w:t>التعزيرات</w:t>
      </w:r>
      <w:proofErr w:type="spellEnd"/>
      <w:r w:rsidRPr="00F27422">
        <w:rPr>
          <w:rFonts w:asciiTheme="minorBidi" w:hAnsiTheme="minorBidi"/>
          <w:sz w:val="32"/>
          <w:szCs w:val="32"/>
          <w:rtl/>
        </w:rPr>
        <w:t xml:space="preserve"> والعقوبات والتصرّف في بيت المال بما يمنع من تفاقم الفقر بنحوٍ يؤدي إلى المفسدة في الدين</w:t>
      </w:r>
      <w:r w:rsidRPr="00F27422">
        <w:rPr>
          <w:rFonts w:asciiTheme="minorBidi" w:hAnsiTheme="minorBidi"/>
          <w:sz w:val="32"/>
          <w:szCs w:val="32"/>
        </w:rPr>
        <w:t>.</w:t>
      </w:r>
    </w:p>
    <w:p w14:paraId="52BD2DB2"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ومن تلك الأمثلة ما أفاده السيد الأُستاذ (مد ظله) كتابه [قاعدة لا ضرر ولا ضرار، الناشر: مكتب آية الله العظمى السيد السيستاني، ص228]</w:t>
      </w:r>
      <w:r w:rsidRPr="00F27422">
        <w:rPr>
          <w:rFonts w:asciiTheme="minorBidi" w:hAnsiTheme="minorBidi"/>
          <w:sz w:val="32"/>
          <w:szCs w:val="32"/>
        </w:rPr>
        <w:t>:</w:t>
      </w:r>
    </w:p>
    <w:p w14:paraId="3E8EF515"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 xml:space="preserve">منها: </w:t>
      </w:r>
      <w:r w:rsidRPr="00F27422">
        <w:rPr>
          <w:rFonts w:asciiTheme="minorBidi" w:hAnsiTheme="minorBidi"/>
          <w:b/>
          <w:bCs/>
          <w:sz w:val="32"/>
          <w:szCs w:val="32"/>
          <w:rtl/>
        </w:rPr>
        <w:t>(حق مكافحة الإضرار ولو بإنزال الضرر على الغير كما في بعض مراتب الأمور بالمعروف والنهي عن المنكر)</w:t>
      </w:r>
      <w:r w:rsidRPr="00F27422">
        <w:rPr>
          <w:rFonts w:asciiTheme="minorBidi" w:hAnsiTheme="minorBidi"/>
          <w:b/>
          <w:bCs/>
          <w:sz w:val="32"/>
          <w:szCs w:val="32"/>
        </w:rPr>
        <w:t>.</w:t>
      </w:r>
    </w:p>
    <w:p w14:paraId="0D5D044B"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وهي المرتبة الثالثة مِن مراتب الأمر بالمعروف والنهي عن المنكر المستلزمة للضرب والإيذاء وإتلاف المال ونحو ذلك، فإنّ هذه أيضاً من موارد ولاية الفقيه في الأُمور العامّة</w:t>
      </w:r>
      <w:r w:rsidRPr="00F27422">
        <w:rPr>
          <w:rFonts w:asciiTheme="minorBidi" w:hAnsiTheme="minorBidi"/>
          <w:sz w:val="32"/>
          <w:szCs w:val="32"/>
        </w:rPr>
        <w:t>.</w:t>
      </w:r>
    </w:p>
    <w:p w14:paraId="447A66AC"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 xml:space="preserve">ومنها: </w:t>
      </w:r>
      <w:r w:rsidRPr="00F27422">
        <w:rPr>
          <w:rFonts w:asciiTheme="minorBidi" w:hAnsiTheme="minorBidi"/>
          <w:b/>
          <w:bCs/>
          <w:sz w:val="32"/>
          <w:szCs w:val="32"/>
          <w:rtl/>
        </w:rPr>
        <w:t>(فروض مالية مقابل الإضرار كضمان الإتلاف وأروش الجنايات والديات التي تفرض على نفس الجاني)</w:t>
      </w:r>
      <w:r w:rsidRPr="00F27422">
        <w:rPr>
          <w:rFonts w:asciiTheme="minorBidi" w:hAnsiTheme="minorBidi"/>
          <w:b/>
          <w:bCs/>
          <w:sz w:val="32"/>
          <w:szCs w:val="32"/>
        </w:rPr>
        <w:t>.</w:t>
      </w:r>
    </w:p>
    <w:p w14:paraId="26C19B85"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فإنّ للفقيه الولاية على تضييق دائرة سلطنة الإنسان على أمواله وحقوقه إذا لزم من سعة سلطنته وقوع الإضرار البالغ بالآخرين</w:t>
      </w:r>
      <w:r w:rsidRPr="00F27422">
        <w:rPr>
          <w:rFonts w:asciiTheme="minorBidi" w:hAnsiTheme="minorBidi"/>
          <w:sz w:val="32"/>
          <w:szCs w:val="32"/>
        </w:rPr>
        <w:t>.</w:t>
      </w:r>
    </w:p>
    <w:p w14:paraId="6C77F848"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 xml:space="preserve">ومن هذا القبيل القضية المعروفة من أمر النبيّ الأعظم (صلى الله عليه وآله) بقلع عذق سمرة بن جندب، كما في الوسائل: </w:t>
      </w:r>
      <w:r w:rsidRPr="00F27422">
        <w:rPr>
          <w:rFonts w:asciiTheme="minorBidi" w:hAnsiTheme="minorBidi"/>
          <w:b/>
          <w:bCs/>
          <w:sz w:val="32"/>
          <w:szCs w:val="32"/>
          <w:rtl/>
        </w:rPr>
        <w:t xml:space="preserve">(عن عدَّة من أصحابنا، عن أحمد بن محمد بن خالد، عن أبيه، عن عبد الله بن بكير، عن زرارة، عن أبي جعفر (عليه السلام)، قال: إنَّ سمرة بن جندب كان له عذق في حائط لرجل من الأنصار، وكان منزل الأنصاري بباب البستان، فكان يمرّ به إلى نخلته ولا يستأذن، فكلّمه الأنصاريُّ أن يستأذن إذا جاء، فأبى سمرة، فلمّا تأبّى جاء </w:t>
      </w:r>
      <w:r w:rsidRPr="00F27422">
        <w:rPr>
          <w:rFonts w:asciiTheme="minorBidi" w:hAnsiTheme="minorBidi"/>
          <w:b/>
          <w:bCs/>
          <w:sz w:val="32"/>
          <w:szCs w:val="32"/>
          <w:rtl/>
        </w:rPr>
        <w:lastRenderedPageBreak/>
        <w:t xml:space="preserve">الأنصاريُّ إلى رسول الله (صلّى الله عليه وآله)، فشكا إليه وخبّره الخبر، فأرسل إليه رسول الله (صلّى الله عليه وآله)، وخبّره بقول الأنصاري وما شكا، وقال: إذا أردت الدخول فاستأذن فأبى، فلمّا أبى ساومَه حتّى بلغ به من الثمن ما شاء الله فأبى أن يبيع، فقال: لك بها عذق يمدّ لك في الجنّة، فأبى أن يقبل، فقال رسول الله (صلّى الله عليه وآله) للأنصاري: اذهب فاقلعها وارم بها إليه، فإنه لا ضرر ولا ضرار). </w:t>
      </w:r>
      <w:r w:rsidRPr="00F27422">
        <w:rPr>
          <w:rFonts w:asciiTheme="minorBidi" w:hAnsiTheme="minorBidi"/>
          <w:sz w:val="32"/>
          <w:szCs w:val="32"/>
          <w:rtl/>
        </w:rPr>
        <w:t xml:space="preserve">[وسائل الشيعة، الحر العاملي، تحقيق مؤسسة آل البيت (عليهم السلام) لإحياء التراث، ج25، كتاب إحياء </w:t>
      </w:r>
      <w:proofErr w:type="gramStart"/>
      <w:r w:rsidRPr="00F27422">
        <w:rPr>
          <w:rFonts w:asciiTheme="minorBidi" w:hAnsiTheme="minorBidi"/>
          <w:sz w:val="32"/>
          <w:szCs w:val="32"/>
          <w:rtl/>
        </w:rPr>
        <w:t>الموات،  الباب</w:t>
      </w:r>
      <w:proofErr w:type="gramEnd"/>
      <w:r w:rsidRPr="00F27422">
        <w:rPr>
          <w:rFonts w:asciiTheme="minorBidi" w:hAnsiTheme="minorBidi"/>
          <w:sz w:val="32"/>
          <w:szCs w:val="32"/>
          <w:rtl/>
        </w:rPr>
        <w:t xml:space="preserve"> 12 باب عدم جواز الإِضرار بالمسلم، وإنّ من كان له نخلة في حائط الغير وفيه عياله، فأبى أن يستأذن أو يبيعها، جاز قلعها ودفعها إليه، ح3]</w:t>
      </w:r>
      <w:r w:rsidRPr="00F27422">
        <w:rPr>
          <w:rFonts w:asciiTheme="minorBidi" w:hAnsiTheme="minorBidi"/>
          <w:sz w:val="32"/>
          <w:szCs w:val="32"/>
        </w:rPr>
        <w:t>.</w:t>
      </w:r>
    </w:p>
    <w:p w14:paraId="517CE07C"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فإنّ هذا التصرّف مِن باب الولاية في الأُمور العامة</w:t>
      </w:r>
      <w:r w:rsidRPr="00F27422">
        <w:rPr>
          <w:rFonts w:asciiTheme="minorBidi" w:hAnsiTheme="minorBidi"/>
          <w:sz w:val="32"/>
          <w:szCs w:val="32"/>
        </w:rPr>
        <w:t>.</w:t>
      </w:r>
    </w:p>
    <w:p w14:paraId="3EBCD87A"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 xml:space="preserve">كما أوضحه السيد الأُستاذ (مد ظله) في نفس المصدر [ص204 – 205] بقوله: </w:t>
      </w:r>
      <w:r w:rsidRPr="00F27422">
        <w:rPr>
          <w:rFonts w:asciiTheme="minorBidi" w:hAnsiTheme="minorBidi"/>
          <w:b/>
          <w:bCs/>
          <w:sz w:val="32"/>
          <w:szCs w:val="32"/>
          <w:rtl/>
        </w:rPr>
        <w:t>(أنّه ما هو توجيه أمر النبي (صلى الله عليه وآله) بقلع نخلة سمرة؟ مع أنّه لا يجوز شرعاً التصرف في مال الغير بدون إذنه، وليس في القواعد الشرعيّة ما يبرّر ذلك حتىٰ قاعدة (لا ضرر) لأنّ مفاد القاعدة إن كان مجرد تحريم الإضرار بالغير فهذا إنّما يقضي بحرمة دخول سمرة بدون الاستئذان، حيث كان ذلك إضراراً بالأنصاري ولا يقتضي قلع نخلته، وإن كان مفادها نفي جعل الحكم الضرري فإن مجرد حقّ سمرة في بقاء نخلته في ملك الأنصاري ليس ضرراً علىٰ الأنصاري لكي يكون مرفوعاً بهذه القاعدة فيسوغ قلعها، وإنّما الحكم الضرري في ذلك هو في الاستطراق بدون الاستئذان من الأنصاري، أو جواز ذلك فيكون هذا الحق أو الجواز هو المرفوع بمقتضىٰ هذه القاعدة بلا حاجة لقلع نخلته</w:t>
      </w:r>
      <w:r w:rsidRPr="00F27422">
        <w:rPr>
          <w:rFonts w:asciiTheme="minorBidi" w:hAnsiTheme="minorBidi"/>
          <w:b/>
          <w:bCs/>
          <w:sz w:val="32"/>
          <w:szCs w:val="32"/>
        </w:rPr>
        <w:t>.</w:t>
      </w:r>
    </w:p>
    <w:p w14:paraId="6DC99B95"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ويمكن الجواب عن هذا الوجه ـ مضافاً إلىٰ ما سيأتي في نقد الوجه الثالث من بيان إمكان تبرير هذا الأمر بقاعدة (لا ضرر ولا ضرار) ـ إنّه يمكن أن يكون هذا الأمر حكماً ولايتياً من قبل النبي (صلى الله عليه وآله) بلحاظ ولايته في الأمور العامة، لأنّ قلع وسيلة الإضرار من الأُمور العامة التي يتوقّف عليها حفظ النظام)</w:t>
      </w:r>
      <w:r w:rsidRPr="00F27422">
        <w:rPr>
          <w:rFonts w:asciiTheme="minorBidi" w:hAnsiTheme="minorBidi"/>
          <w:sz w:val="32"/>
          <w:szCs w:val="32"/>
          <w:rtl/>
        </w:rPr>
        <w:t xml:space="preserve"> فأيّ وسيلة للإضرار بالناس فمن شأن الفقيه أنْ تكون له الولاية على قلعها وإنْ كان في قلعها تصرّف في أموال الناس وتضييق دائرة سلطنتهم في التصرّف في أموالهم وحقوقهم </w:t>
      </w:r>
      <w:r w:rsidRPr="00F27422">
        <w:rPr>
          <w:rFonts w:asciiTheme="minorBidi" w:hAnsiTheme="minorBidi"/>
          <w:b/>
          <w:bCs/>
          <w:sz w:val="32"/>
          <w:szCs w:val="32"/>
          <w:rtl/>
        </w:rPr>
        <w:t>(فيحقّ ذلك له بما أنّه حافظ للنظام وإن لم تكن له ولاية عامّة علىٰ الأموال والأنفس</w:t>
      </w:r>
      <w:r w:rsidRPr="00F27422">
        <w:rPr>
          <w:rFonts w:asciiTheme="minorBidi" w:hAnsiTheme="minorBidi"/>
          <w:b/>
          <w:bCs/>
          <w:sz w:val="32"/>
          <w:szCs w:val="32"/>
        </w:rPr>
        <w:t>.</w:t>
      </w:r>
    </w:p>
    <w:p w14:paraId="6A62861B"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 xml:space="preserve">وبذلك يتضح النظر في كلام المحقّق النائيني ومن وافقه من تخريج هذا الأمر على الولاية العامّة على الأموال والأنفس فإنّ مجال الولاية العامة الثابتة للنبي (صلى الله عليه وآله) وأئمة الهدى (عليهم السلام) إنّما هي المواضيع التي لا يتوقّف عليها حفظ النظام وهي </w:t>
      </w:r>
      <w:r w:rsidRPr="00F27422">
        <w:rPr>
          <w:rFonts w:asciiTheme="minorBidi" w:hAnsiTheme="minorBidi"/>
          <w:b/>
          <w:bCs/>
          <w:sz w:val="32"/>
          <w:szCs w:val="32"/>
          <w:rtl/>
        </w:rPr>
        <w:lastRenderedPageBreak/>
        <w:t xml:space="preserve">المسماة بالولاية العامة وأمّا الولاية </w:t>
      </w:r>
      <w:proofErr w:type="gramStart"/>
      <w:r w:rsidRPr="00F27422">
        <w:rPr>
          <w:rFonts w:asciiTheme="minorBidi" w:hAnsiTheme="minorBidi"/>
          <w:b/>
          <w:bCs/>
          <w:sz w:val="32"/>
          <w:szCs w:val="32"/>
          <w:rtl/>
        </w:rPr>
        <w:t>في ما</w:t>
      </w:r>
      <w:proofErr w:type="gramEnd"/>
      <w:r w:rsidRPr="00F27422">
        <w:rPr>
          <w:rFonts w:asciiTheme="minorBidi" w:hAnsiTheme="minorBidi"/>
          <w:b/>
          <w:bCs/>
          <w:sz w:val="32"/>
          <w:szCs w:val="32"/>
          <w:rtl/>
        </w:rPr>
        <w:t xml:space="preserve"> يتوقّف عليه حفظ النظام فهي المسماة بالولاية في الأُمور العامة الثابتة للفقيه المتصدي للأمور العامة المنتخب من قبل الفقهاء).</w:t>
      </w:r>
    </w:p>
    <w:p w14:paraId="60BFB810"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والنتيجة:</w:t>
      </w:r>
      <w:r w:rsidRPr="00F27422">
        <w:rPr>
          <w:rFonts w:asciiTheme="minorBidi" w:hAnsiTheme="minorBidi"/>
          <w:sz w:val="32"/>
          <w:szCs w:val="32"/>
          <w:rtl/>
        </w:rPr>
        <w:t xml:space="preserve"> أنّ مقتضى ما سبق مِن أنّ للفقيه الولاية في الأمور العامّة أنّ له نصب الوُلاة على الأوقاف أو أموال القصر بنحوٍ لا ينعزل بموت الفقيه</w:t>
      </w:r>
      <w:r w:rsidRPr="00F27422">
        <w:rPr>
          <w:rFonts w:asciiTheme="minorBidi" w:hAnsiTheme="minorBidi"/>
          <w:sz w:val="32"/>
          <w:szCs w:val="32"/>
        </w:rPr>
        <w:t>.</w:t>
      </w:r>
    </w:p>
    <w:p w14:paraId="36051A20" w14:textId="77777777" w:rsidR="003621C7" w:rsidRPr="00F27422" w:rsidRDefault="003621C7" w:rsidP="00122B70">
      <w:pPr>
        <w:bidi/>
        <w:rPr>
          <w:rFonts w:asciiTheme="minorBidi" w:hAnsiTheme="minorBidi"/>
          <w:b/>
          <w:bCs/>
          <w:sz w:val="32"/>
          <w:szCs w:val="32"/>
          <w:rtl/>
        </w:rPr>
      </w:pPr>
      <w:r w:rsidRPr="00F27422">
        <w:rPr>
          <w:rFonts w:asciiTheme="minorBidi" w:hAnsiTheme="minorBidi"/>
          <w:sz w:val="32"/>
          <w:szCs w:val="32"/>
          <w:rtl/>
        </w:rPr>
        <w:t>فهل هذا التطبيق في محلّه أم لا؟</w:t>
      </w:r>
    </w:p>
    <w:p w14:paraId="7CC80F12" w14:textId="77777777" w:rsidR="003621C7" w:rsidRPr="00F27422" w:rsidRDefault="003621C7" w:rsidP="00122B70">
      <w:pPr>
        <w:bidi/>
        <w:rPr>
          <w:rFonts w:asciiTheme="minorBidi" w:hAnsiTheme="minorBidi"/>
          <w:sz w:val="32"/>
          <w:szCs w:val="32"/>
          <w:rtl/>
        </w:rPr>
      </w:pPr>
    </w:p>
    <w:p w14:paraId="21F71064" w14:textId="77777777" w:rsidR="003621C7" w:rsidRPr="00F27422" w:rsidRDefault="003621C7"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74B39A6D" w14:textId="77777777" w:rsidR="00600BEA" w:rsidRPr="00F27422" w:rsidRDefault="00600BEA" w:rsidP="00122B70">
      <w:pPr>
        <w:bidi/>
        <w:rPr>
          <w:rFonts w:asciiTheme="minorBidi" w:hAnsiTheme="minorBidi"/>
          <w:sz w:val="32"/>
          <w:szCs w:val="32"/>
        </w:rPr>
      </w:pPr>
    </w:p>
    <w:p w14:paraId="32FC4DD6" w14:textId="22F49AA2" w:rsidR="003621C7" w:rsidRPr="00F27422" w:rsidRDefault="003621C7" w:rsidP="00122B70">
      <w:pPr>
        <w:pStyle w:val="Heading3"/>
        <w:bidi/>
        <w:rPr>
          <w:rFonts w:asciiTheme="minorBidi" w:hAnsiTheme="minorBidi" w:cstheme="minorBidi"/>
          <w:sz w:val="32"/>
          <w:szCs w:val="32"/>
          <w:rtl/>
        </w:rPr>
      </w:pPr>
      <w:r w:rsidRPr="00F27422">
        <w:rPr>
          <w:rFonts w:asciiTheme="minorBidi" w:hAnsiTheme="minorBidi" w:cstheme="minorBidi"/>
          <w:sz w:val="32"/>
          <w:szCs w:val="32"/>
        </w:rPr>
        <w:t>036</w:t>
      </w:r>
    </w:p>
    <w:p w14:paraId="0EF772EE" w14:textId="67E65A4A" w:rsidR="00F16915" w:rsidRPr="00F27422" w:rsidRDefault="00956B41" w:rsidP="00122B70">
      <w:pPr>
        <w:pStyle w:val="a"/>
        <w:bidi/>
        <w:spacing w:line="216" w:lineRule="auto"/>
        <w:jc w:val="left"/>
        <w:rPr>
          <w:rFonts w:asciiTheme="minorBidi" w:hAnsiTheme="minorBidi" w:cstheme="minorBidi"/>
          <w:sz w:val="32"/>
          <w:rtl/>
        </w:rPr>
      </w:pPr>
      <w:r w:rsidRPr="00F27422">
        <w:rPr>
          <w:rFonts w:asciiTheme="minorBidi" w:hAnsiTheme="minorBidi" w:cstheme="minorBidi" w:hint="cs"/>
          <w:b/>
          <w:bCs/>
          <w:sz w:val="32"/>
          <w:rtl/>
        </w:rPr>
        <w:t xml:space="preserve"> </w:t>
      </w:r>
    </w:p>
    <w:p w14:paraId="4600C23E" w14:textId="77777777" w:rsidR="00F16915" w:rsidRPr="00F27422" w:rsidRDefault="00F1691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highlight w:val="yellow"/>
          <w:rtl/>
        </w:rPr>
        <w:t>ولكن يلاحظ على الاستدلال المذكور:</w:t>
      </w:r>
    </w:p>
    <w:p w14:paraId="26289DB1"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أنّ هناك فرقاً بين ثبوت الولاية للفقيه في "الأُمور الحِسبية" الأُمور العامّة وبين نفوذ تصرّفه فيها عند اجتماع الشرائط من باب القدر المتيقن - لا من باب الولاية -، فلو قام الدليل على أنّ مِن موارد الولاية نصب الوُلاة والقُوام بنحوٍ لا تنعزل الولاية بموت الفقيه لربما تمت النتيجة.</w:t>
      </w:r>
    </w:p>
    <w:p w14:paraId="7F36489E" w14:textId="77777777" w:rsidR="00F16915" w:rsidRPr="00F27422" w:rsidRDefault="00F1691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sz w:val="32"/>
          <w:rtl/>
        </w:rPr>
        <w:t xml:space="preserve">وأمّا بناءً على أنّ نفوذ تصرّفه في هذه الموارد من باب القدر المتيقن، بمعنى أنّه في فرض اقتضاء الضرورة ودفع المفسدة للتصرّف ينفذُ تصرّف الفقيه من باب القدر المتيقن - لا من باب الولاية -، </w:t>
      </w:r>
      <w:r w:rsidRPr="00F27422">
        <w:rPr>
          <w:rFonts w:asciiTheme="minorBidi" w:hAnsiTheme="minorBidi" w:cstheme="minorBidi"/>
          <w:color w:val="EE0000"/>
          <w:sz w:val="32"/>
          <w:rtl/>
        </w:rPr>
        <w:t xml:space="preserve">فالمقدار المتيقن ممن تنفذ تصرفاته </w:t>
      </w:r>
      <w:r w:rsidRPr="00F27422">
        <w:rPr>
          <w:rFonts w:asciiTheme="minorBidi" w:hAnsiTheme="minorBidi" w:cstheme="minorBidi"/>
          <w:b/>
          <w:bCs/>
          <w:color w:val="EE0000"/>
          <w:sz w:val="32"/>
          <w:rtl/>
        </w:rPr>
        <w:t>"</w:t>
      </w:r>
      <w:r w:rsidRPr="00F27422">
        <w:rPr>
          <w:rFonts w:asciiTheme="minorBidi" w:hAnsiTheme="minorBidi" w:cstheme="minorBidi"/>
          <w:b/>
          <w:bCs/>
          <w:color w:val="EE0000"/>
          <w:sz w:val="32"/>
          <w:highlight w:val="yellow"/>
          <w:rtl/>
        </w:rPr>
        <w:t>مَن كان عارفاً بالأحكام أميناً ضابطاً يضعُ الأُمور في مواضعها سواء كان فقيهاً أم غيره".</w:t>
      </w:r>
    </w:p>
    <w:p w14:paraId="608CD3E0"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فدعوى أنّ الفقيه هو القدر المتيقن أوّلُ الكلام؛ إذ لا ميزَ لفرض تصدي الفقيه ولو بإذنه على تصدي عدول المؤمنين الجامعين بين المعرفة والضبط، فإنّ دفع المفاسد وضبط المصالح اللزومية العامة مما يتحقّق بذلك، خصوصاً في زماننا هذا من جهة احتياج ضبط التصرّفات المالية في مواردها  للمؤسسات الخاضعة للرقابة والمحاسبة ودراسة الموارد دراسةً دقيقة، فإنّه إذا استند التصرّف للمؤسسة الخاضعة للرقابة والمحاسبة المالية والدراسات الدقيقة المنفذة للأحكام الشرعية بحذافيرها لم تبقَ ميزة لدخل إذن الفقيه؛ فإنّ الضرورة مما تندفع بذلك من دون فرقٌ بين أنْ تستند إلى إذن الفقيه أو لا تستند؛ من حيث انضباط الأُمور بها</w:t>
      </w:r>
      <w:r w:rsidRPr="00F27422">
        <w:rPr>
          <w:rFonts w:asciiTheme="minorBidi" w:hAnsiTheme="minorBidi" w:cstheme="minorBidi"/>
          <w:sz w:val="32"/>
        </w:rPr>
        <w:t>.</w:t>
      </w:r>
    </w:p>
    <w:p w14:paraId="15A92998"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إلّا أنْ يقال:</w:t>
      </w:r>
      <w:r w:rsidRPr="00F27422">
        <w:rPr>
          <w:rFonts w:asciiTheme="minorBidi" w:hAnsiTheme="minorBidi" w:cstheme="minorBidi"/>
          <w:sz w:val="32"/>
          <w:rtl/>
        </w:rPr>
        <w:t xml:space="preserve"> مِن المحتمل أنّ الشارع الأقدس أناط الأُمور في عصر الغيبة بإذن الفقيه المقبول لدى عامّة المؤمنين، لا لأجل توقّف ضبط التصرّفات في الأمور العامّة على ذلك؛ بل لبعض الجهات الدخيلة في قوة مذهب الإمامية وعزته وظهور شأنه، فمِن باب المراعاة لهذا المحتمل القدر المتيقن فرض الاستناد لإذن الفقيه وإنْ اجتمعتْ شرائط نفوذ التصرّف في رتبةٍ سابقةٍ على إذنه</w:t>
      </w:r>
      <w:r w:rsidRPr="00F27422">
        <w:rPr>
          <w:rFonts w:asciiTheme="minorBidi" w:hAnsiTheme="minorBidi" w:cstheme="minorBidi"/>
          <w:sz w:val="32"/>
        </w:rPr>
        <w:t>.</w:t>
      </w:r>
    </w:p>
    <w:p w14:paraId="15AD714E"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ولعلّ هذا هو المنظور في كلام سيدنا الخوئي (قدس سره الشريف) في موسوعته المباركة في كتابه [التنقيح في شرح العروة الوثقى، ج1، كتاب التقليد، ص360] حيث قال</w:t>
      </w:r>
      <w:r w:rsidRPr="00F27422">
        <w:rPr>
          <w:rFonts w:asciiTheme="minorBidi" w:hAnsiTheme="minorBidi" w:cstheme="minorBidi"/>
          <w:sz w:val="32"/>
        </w:rPr>
        <w:t>:</w:t>
      </w:r>
    </w:p>
    <w:p w14:paraId="39E082F2" w14:textId="77777777" w:rsidR="00F16915" w:rsidRPr="00F27422" w:rsidRDefault="00F1691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lastRenderedPageBreak/>
        <w:t>(فذلكة الكلام</w:t>
      </w:r>
      <w:r w:rsidRPr="00F27422">
        <w:rPr>
          <w:rFonts w:asciiTheme="minorBidi" w:hAnsiTheme="minorBidi" w:cstheme="minorBidi"/>
          <w:b/>
          <w:bCs/>
          <w:sz w:val="32"/>
        </w:rPr>
        <w:t>:</w:t>
      </w:r>
    </w:p>
    <w:p w14:paraId="750C4DEF" w14:textId="77777777" w:rsidR="00F16915" w:rsidRPr="00F27422" w:rsidRDefault="00F16915" w:rsidP="00122B70">
      <w:pPr>
        <w:pStyle w:val="a"/>
        <w:bidi/>
        <w:spacing w:line="216" w:lineRule="auto"/>
        <w:jc w:val="left"/>
        <w:rPr>
          <w:rFonts w:asciiTheme="minorBidi" w:hAnsiTheme="minorBidi" w:cstheme="minorBidi"/>
          <w:b/>
          <w:bCs/>
          <w:sz w:val="32"/>
          <w:rtl/>
        </w:rPr>
      </w:pPr>
      <w:r w:rsidRPr="00F27422">
        <w:rPr>
          <w:rFonts w:asciiTheme="minorBidi" w:hAnsiTheme="minorBidi" w:cstheme="minorBidi"/>
          <w:b/>
          <w:bCs/>
          <w:sz w:val="32"/>
          <w:rtl/>
        </w:rPr>
        <w:t>أن الولاية لم تثبت للفقيه في عصر الغيبة بدليل وإنما هي مختصة بالنبي والأئمة (عليهم السّلام)، بل الثابت حسبما يستفاد من الروايات أمران: نفوذ قضائه وحجية فتواه، وليس له التصرف في مال القصّر)</w:t>
      </w:r>
      <w:r w:rsidRPr="00F27422">
        <w:rPr>
          <w:rFonts w:asciiTheme="minorBidi" w:hAnsiTheme="minorBidi" w:cstheme="minorBidi"/>
          <w:sz w:val="32"/>
          <w:rtl/>
        </w:rPr>
        <w:t xml:space="preserve"> أو الأوقاف </w:t>
      </w:r>
      <w:r w:rsidRPr="00F27422">
        <w:rPr>
          <w:rFonts w:asciiTheme="minorBidi" w:hAnsiTheme="minorBidi" w:cstheme="minorBidi"/>
          <w:b/>
          <w:bCs/>
          <w:sz w:val="32"/>
          <w:rtl/>
        </w:rPr>
        <w:t xml:space="preserve">(أو غيره مما هو من شؤون الولاية إلّا في الأمر </w:t>
      </w:r>
      <w:proofErr w:type="spellStart"/>
      <w:r w:rsidRPr="00F27422">
        <w:rPr>
          <w:rFonts w:asciiTheme="minorBidi" w:hAnsiTheme="minorBidi" w:cstheme="minorBidi"/>
          <w:b/>
          <w:bCs/>
          <w:sz w:val="32"/>
          <w:rtl/>
        </w:rPr>
        <w:t>الحِسبي</w:t>
      </w:r>
      <w:proofErr w:type="spellEnd"/>
      <w:r w:rsidRPr="00F27422">
        <w:rPr>
          <w:rFonts w:asciiTheme="minorBidi" w:hAnsiTheme="minorBidi" w:cstheme="minorBidi"/>
          <w:b/>
          <w:bCs/>
          <w:sz w:val="32"/>
          <w:rtl/>
        </w:rPr>
        <w:t xml:space="preserve"> فإن الفقيه له الولاية في ذلك) </w:t>
      </w:r>
      <w:r w:rsidRPr="00F27422">
        <w:rPr>
          <w:rFonts w:asciiTheme="minorBidi" w:hAnsiTheme="minorBidi" w:cstheme="minorBidi"/>
          <w:sz w:val="32"/>
          <w:rtl/>
        </w:rPr>
        <w:t xml:space="preserve">أي: في الأمر </w:t>
      </w:r>
      <w:proofErr w:type="spellStart"/>
      <w:r w:rsidRPr="00F27422">
        <w:rPr>
          <w:rFonts w:asciiTheme="minorBidi" w:hAnsiTheme="minorBidi" w:cstheme="minorBidi"/>
          <w:sz w:val="32"/>
          <w:rtl/>
        </w:rPr>
        <w:t>الحِسبي</w:t>
      </w:r>
      <w:proofErr w:type="spellEnd"/>
      <w:r w:rsidRPr="00F27422">
        <w:rPr>
          <w:rFonts w:asciiTheme="minorBidi" w:hAnsiTheme="minorBidi" w:cstheme="minorBidi"/>
          <w:sz w:val="32"/>
          <w:rtl/>
        </w:rPr>
        <w:t xml:space="preserve"> </w:t>
      </w:r>
      <w:r w:rsidRPr="00F27422">
        <w:rPr>
          <w:rFonts w:asciiTheme="minorBidi" w:hAnsiTheme="minorBidi" w:cstheme="minorBidi"/>
          <w:b/>
          <w:bCs/>
          <w:sz w:val="32"/>
          <w:rtl/>
        </w:rPr>
        <w:t xml:space="preserve">(لا بالمعنى المدعى، بل بمعنى نفوذ تصرفاته بنفسه أو بوكيله وانعزال وكيله بموته، وذلك من باب الأخذ بالقدر المتيقن لعدم جواز التصرف في مال أحد إلّا بإذنه كما أن الأصل عدم نفوذ بيعه) </w:t>
      </w:r>
      <w:r w:rsidRPr="00F27422">
        <w:rPr>
          <w:rFonts w:asciiTheme="minorBidi" w:hAnsiTheme="minorBidi" w:cstheme="minorBidi"/>
          <w:sz w:val="32"/>
          <w:rtl/>
        </w:rPr>
        <w:t xml:space="preserve">أي: الفقيه </w:t>
      </w:r>
      <w:r w:rsidRPr="00F27422">
        <w:rPr>
          <w:rFonts w:asciiTheme="minorBidi" w:hAnsiTheme="minorBidi" w:cstheme="minorBidi"/>
          <w:b/>
          <w:bCs/>
          <w:sz w:val="32"/>
          <w:rtl/>
        </w:rPr>
        <w:t>(لمال القصّر أو الغيّب أو تزويجه في حق الصغير أو الصغيرة، إلّا أنه لما كان من الاُمور الحِسبية ولم يكن بدّ من وقوعها في الخارج كشف ذلك كشفاً قطعياً عن رضى المالك الحقيقي وهو الله (جلّت عظمته) وأنه جعل ذلك التصرف نافذاً حقيقة، والقدر المتيقن ممن رضى بتصرفاته المالك الحقيقي، هو الفقيه الجامع للشرائط فالثابت للفقيه جواز التصرف دون الولاية).</w:t>
      </w:r>
    </w:p>
    <w:p w14:paraId="7416C9B9"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فتلخص مما سبق من الأدلة:</w:t>
      </w:r>
      <w:r w:rsidRPr="00F27422">
        <w:rPr>
          <w:rFonts w:asciiTheme="minorBidi" w:hAnsiTheme="minorBidi" w:cstheme="minorBidi"/>
          <w:sz w:val="32"/>
          <w:rtl/>
        </w:rPr>
        <w:t xml:space="preserve"> أنّ ما نهض مِن الأدلة على نفوذ نصب الفقيه للقُضاة والوُلاة أحد وجهين:</w:t>
      </w:r>
    </w:p>
    <w:p w14:paraId="2945C0CF"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الأول:</w:t>
      </w:r>
      <w:r w:rsidRPr="00F27422">
        <w:rPr>
          <w:rFonts w:asciiTheme="minorBidi" w:hAnsiTheme="minorBidi" w:cstheme="minorBidi"/>
          <w:sz w:val="32"/>
          <w:rtl/>
        </w:rPr>
        <w:t xml:space="preserve"> التمسك بإطلاق قوله (عليه السلام) في مقبولة عمر بن حنظلة: </w:t>
      </w:r>
      <w:r w:rsidRPr="00F27422">
        <w:rPr>
          <w:rFonts w:asciiTheme="minorBidi" w:hAnsiTheme="minorBidi" w:cstheme="minorBidi"/>
          <w:b/>
          <w:bCs/>
          <w:sz w:val="32"/>
          <w:rtl/>
        </w:rPr>
        <w:t xml:space="preserve">(فإنِّي قَدْ جَعَلْتُهُ عَلَيْكُمْ حَاكِماً) </w:t>
      </w:r>
      <w:r w:rsidRPr="00F27422">
        <w:rPr>
          <w:rFonts w:asciiTheme="minorBidi" w:hAnsiTheme="minorBidi" w:cstheme="minorBidi"/>
          <w:sz w:val="32"/>
          <w:rtl/>
        </w:rPr>
        <w:t>بلحاظ أنّ من الوظائف المتعارفة له نصب الوُلاة على الأوقاف.</w:t>
      </w:r>
    </w:p>
    <w:p w14:paraId="74028FC0"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الثاني:</w:t>
      </w:r>
      <w:r w:rsidRPr="00F27422">
        <w:rPr>
          <w:rFonts w:asciiTheme="minorBidi" w:hAnsiTheme="minorBidi" w:cstheme="minorBidi"/>
          <w:sz w:val="32"/>
          <w:rtl/>
        </w:rPr>
        <w:t xml:space="preserve"> اقتضاء لزوم الأُمور الحِسبية لنفوذ تصرّفه لا من باب الولاية.</w:t>
      </w:r>
    </w:p>
    <w:p w14:paraId="2151AEB0"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لكن كلا الوجهين لا يقتضيان عدم انعزال المتولي عن الولاية بموت الفقيه؛ بل مقتضى القاعدة أنْ تنعزل ولايته بموت الفقيه، وإنْ نُسب عدم الانعزال للمشهور</w:t>
      </w:r>
      <w:r w:rsidRPr="00F27422">
        <w:rPr>
          <w:rFonts w:asciiTheme="minorBidi" w:hAnsiTheme="minorBidi" w:cstheme="minorBidi"/>
          <w:sz w:val="32"/>
        </w:rPr>
        <w:t>.</w:t>
      </w:r>
    </w:p>
    <w:p w14:paraId="55A76C2E"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وأمّا دعوى أنّ المرتكز المتشرعي والمستفاد أنّ منصوب الفقيه منصوب الإمام ولازم ذلك عدم الانعزال بموت الفقيه كما في كتاب [مستمسك العروة الوثقى، السيد محسن الطباطبائي الحكيم، دار إحياء التراث العربي، الطبعة الرابعة، ج1، ص79] فمحلّ تأمل.</w:t>
      </w:r>
    </w:p>
    <w:p w14:paraId="12EDFD2D"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والوجه فيه:</w:t>
      </w:r>
      <w:r w:rsidRPr="00F27422">
        <w:rPr>
          <w:rFonts w:asciiTheme="minorBidi" w:hAnsiTheme="minorBidi" w:cstheme="minorBidi"/>
          <w:sz w:val="32"/>
          <w:rtl/>
        </w:rPr>
        <w:t xml:space="preserve"> أنّ كون منصوبه منصوباً للإمام مصادرة؛ إذ غاية ما يستفاد مِن جعله حاكماً كما في المقبولة أنّ له ما للحاكم في زمان صدور الجعل، ولم يحرز أنّ للحاكم في العرف المتشرعي آنذاك التولية بنحوٍ لا ينعزل بالموت، وكون منصوبه منصوب الإمام بهذا المعنى لا ينتج ما أفيد، وليس لدى المرتكز المتشرعي أكثر من ذلك.</w:t>
      </w:r>
    </w:p>
    <w:p w14:paraId="4F16605E"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هذا تمام الكلام في النقطة الأُولى وهي هل أنّ للفقيه النصب أم لا؟</w:t>
      </w:r>
    </w:p>
    <w:p w14:paraId="287BD8C1"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النقطة الثانية:</w:t>
      </w:r>
      <w:r w:rsidRPr="00F27422">
        <w:rPr>
          <w:rFonts w:asciiTheme="minorBidi" w:hAnsiTheme="minorBidi" w:cstheme="minorBidi"/>
          <w:sz w:val="32"/>
          <w:rtl/>
        </w:rPr>
        <w:t xml:space="preserve"> بناء على انعزال ولاية المتولي بموت الفقيه فيقع البحث في نفوذ تصرّفاته التدريجية كالإجارة.</w:t>
      </w:r>
    </w:p>
    <w:p w14:paraId="32373F74"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مثلاً:</w:t>
      </w:r>
      <w:r w:rsidRPr="00F27422">
        <w:rPr>
          <w:rFonts w:asciiTheme="minorBidi" w:hAnsiTheme="minorBidi" w:cstheme="minorBidi"/>
          <w:sz w:val="32"/>
          <w:rtl/>
        </w:rPr>
        <w:t xml:space="preserve"> لو فرض أنّ للفقيه النصب فنصب المتولي على الأوقاف أو القصّر أو ما أشبه ذلك، وقام المتولي زمان ولايته - وهو زمان وجود الفقيه - بالتصرف الدفعي بأنْ باع الوقف لأجل اجتماع شرائط صحّة بيعه أو نحو ذلك، فلا إشكال في نفوذه.</w:t>
      </w:r>
    </w:p>
    <w:p w14:paraId="0C8A08BB"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وأمّا لو قام بتصرّف تدريجي كالإجارة - التي هي محلّ البحث - ثمّ مات الفقيه في الأثناء فانعزلت ولايته بموت الفقيه الذي ولاه، فهل تبقى إجارته نافذة مع تفرعها عن ولاية الفقيه الذي ولاه أم لا؟</w:t>
      </w:r>
    </w:p>
    <w:p w14:paraId="267D9B44"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الظاهر:</w:t>
      </w:r>
      <w:r w:rsidRPr="00F27422">
        <w:rPr>
          <w:rFonts w:asciiTheme="minorBidi" w:hAnsiTheme="minorBidi" w:cstheme="minorBidi"/>
          <w:sz w:val="32"/>
          <w:rtl/>
        </w:rPr>
        <w:t xml:space="preserve"> أنّه لا دليل على بقاء النفوذ سوى دعوى السيرة.</w:t>
      </w:r>
    </w:p>
    <w:p w14:paraId="3BBA556C"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بتقريب:</w:t>
      </w:r>
      <w:r w:rsidRPr="00F27422">
        <w:rPr>
          <w:rFonts w:asciiTheme="minorBidi" w:hAnsiTheme="minorBidi" w:cstheme="minorBidi"/>
          <w:sz w:val="32"/>
          <w:rtl/>
        </w:rPr>
        <w:t xml:space="preserve"> أنّه لو كانت تبطل تصرّفاته بمعنى وقوعها فضولية بموت الفقيه مع كون المسألة ابتلائيةً لكان لذلك أثرٌ في الروايات، كيف ولم يرد شيء من ذلك؟</w:t>
      </w:r>
      <w:r w:rsidRPr="00F27422">
        <w:rPr>
          <w:rFonts w:asciiTheme="minorBidi" w:hAnsiTheme="minorBidi" w:cstheme="minorBidi"/>
          <w:sz w:val="32"/>
        </w:rPr>
        <w:t>!</w:t>
      </w:r>
    </w:p>
    <w:p w14:paraId="766BE247"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lastRenderedPageBreak/>
        <w:t>ولكن:</w:t>
      </w:r>
      <w:r w:rsidRPr="00F27422">
        <w:rPr>
          <w:rFonts w:asciiTheme="minorBidi" w:hAnsiTheme="minorBidi" w:cstheme="minorBidi"/>
          <w:sz w:val="32"/>
          <w:rtl/>
        </w:rPr>
        <w:t xml:space="preserve"> ذلك كما ترى؛ فإنّه إنْ كان الدليل على النفوذ هو عدم استعراض الروايات للمسألة فهو أعم مِن النفوذ؛ فإنّ ما لم يصل لنا حكمه في المسائل الابتلائية في باب العبادات والمعاملات غير عزيز</w:t>
      </w:r>
      <w:r w:rsidRPr="00F27422">
        <w:rPr>
          <w:rFonts w:asciiTheme="minorBidi" w:hAnsiTheme="minorBidi" w:cstheme="minorBidi"/>
          <w:sz w:val="32"/>
        </w:rPr>
        <w:t>.</w:t>
      </w:r>
    </w:p>
    <w:p w14:paraId="23D4BA07"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وإنْ كان الدليل هو السيرة فلابُدّ مِن إحراز سيرةٍ متشرعية متصلة بزمن المعصوم (عليه السّلام) وأنى لنا بإثبات ذلك</w:t>
      </w:r>
      <w:r w:rsidRPr="00F27422">
        <w:rPr>
          <w:rFonts w:asciiTheme="minorBidi" w:hAnsiTheme="minorBidi" w:cstheme="minorBidi"/>
          <w:sz w:val="32"/>
        </w:rPr>
        <w:t>.</w:t>
      </w:r>
    </w:p>
    <w:p w14:paraId="32F15850" w14:textId="77777777" w:rsidR="00F16915" w:rsidRPr="00F27422" w:rsidRDefault="00F16915" w:rsidP="00122B70">
      <w:pPr>
        <w:pStyle w:val="a"/>
        <w:bidi/>
        <w:spacing w:line="216" w:lineRule="auto"/>
        <w:jc w:val="left"/>
        <w:outlineLvl w:val="2"/>
        <w:rPr>
          <w:rFonts w:asciiTheme="minorBidi" w:hAnsiTheme="minorBidi" w:cstheme="minorBidi"/>
          <w:b/>
          <w:bCs/>
          <w:sz w:val="32"/>
          <w:rtl/>
        </w:rPr>
      </w:pPr>
      <w:r w:rsidRPr="00F27422">
        <w:rPr>
          <w:rFonts w:asciiTheme="minorBidi" w:hAnsiTheme="minorBidi" w:cstheme="minorBidi"/>
          <w:b/>
          <w:bCs/>
          <w:sz w:val="32"/>
          <w:rtl/>
        </w:rPr>
        <w:t>تعقيبٌ: ما هو مقتضى الأصل العملي في المقام؟</w:t>
      </w:r>
    </w:p>
    <w:p w14:paraId="6FD5D09F"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لا ريب أنّ مقتضى الأصل العملي في فرض الشبهة الحكمية كفرض الشك في ثبوت الولاية للفقيه على النصب بهذا النحو هو عدمه للشك في سعة الولاية، ونتيجته وقوف الإجارة على إذن الفقيه الحي الجامع للشرائط، و أمّا لو فرغ عن ثبوت الولاية فشك في المجعول على نحو الشبهة </w:t>
      </w:r>
      <w:r w:rsidRPr="00F27422">
        <w:rPr>
          <w:rFonts w:asciiTheme="minorBidi" w:hAnsiTheme="minorBidi" w:cstheme="minorBidi"/>
          <w:sz w:val="32"/>
          <w:highlight w:val="yellow"/>
          <w:rtl/>
        </w:rPr>
        <w:t>الموضوعية،</w:t>
      </w:r>
      <w:r w:rsidRPr="00F27422">
        <w:rPr>
          <w:rFonts w:asciiTheme="minorBidi" w:hAnsiTheme="minorBidi" w:cstheme="minorBidi"/>
          <w:sz w:val="32"/>
          <w:rtl/>
        </w:rPr>
        <w:t xml:space="preserve"> كما إذا علم أنّ الصادر إنْ كان إذناً فإنّه ينقضي بالموت وإنْ كان ولاية فهي باقية فقد أفيد في كتاب [مستمسك العروة الوثقى، السيد محسن الطباطبائي الحكيم، دار إحياء التراث العربي، الطبعة الرابعة، ج1، ص80]: </w:t>
      </w:r>
      <w:r w:rsidRPr="00F27422">
        <w:rPr>
          <w:rFonts w:asciiTheme="minorBidi" w:hAnsiTheme="minorBidi" w:cstheme="minorBidi"/>
          <w:b/>
          <w:bCs/>
          <w:sz w:val="32"/>
          <w:rtl/>
        </w:rPr>
        <w:t>(أنه لا يجري الاستصحاب لتردد المجعول بين معلوم الزوال ومعلوم البقاء ولا أثر للجامع كي يستصحب، وأما استصحاب جواز التصرف فهو من الإستصحاب التعليقي المعارض باستصحاب عدم ترتب الأثر)،</w:t>
      </w:r>
      <w:r w:rsidRPr="00F27422">
        <w:rPr>
          <w:rFonts w:asciiTheme="minorBidi" w:hAnsiTheme="minorBidi" w:cstheme="minorBidi"/>
          <w:sz w:val="32"/>
          <w:rtl/>
        </w:rPr>
        <w:t xml:space="preserve"> نظير مَن أعرض عن مِلكه ثمّ استولى عليه الغير بعد الإعراض عنه وشك في أنّه ما زالت له حلية التصرّف في مِلكه أم لا فاستصحاب الحلية الوضعية من الاستصحاب التعليقي؛ إذ لا معنى للحلية الوضعية إلّا أنّه لو تصرّف لكان تصرّفه نافذاً، فبما أنّه من الاستصحاب التعليقي فلا مجال لجريانه.</w:t>
      </w:r>
    </w:p>
    <w:p w14:paraId="78B1629D"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ولكن يلاحظ على ذلك:</w:t>
      </w:r>
      <w:r w:rsidRPr="00F27422">
        <w:rPr>
          <w:rFonts w:asciiTheme="minorBidi" w:hAnsiTheme="minorBidi" w:cstheme="minorBidi"/>
          <w:sz w:val="32"/>
          <w:rtl/>
        </w:rPr>
        <w:t xml:space="preserve"> أنّه يمكن استصحاب جواز التصرّف بنحو استصحاب الكلي من القسم الثاني، وليس المقام من الاستصحاب التعليقي كما قيل في الحلية الوضعية؛ فإنّ جواز التصرّف وضعاً كالوكالة والمأذونية نوعٌ مِن السلطنة فيستصحب هذا النوع من السلطنة، وعلى فرض أنّه من الاستصحاب التعليقي فإنّ شرائطه تامة ولا معارض له.</w:t>
      </w:r>
    </w:p>
    <w:p w14:paraId="48210ECE"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نعم، قد يُقال: إنّ المورد من الشك في الجعل الزائد، أي أنّ الأُمور القابلة للسعة والضيق نظير الزوجية بأنْ تكون زوجية منقطعة أو زوجية دائمة والزوجية المنقطعة تختلف باختلاف المدّة، فبما أنّ الزوجية من المجعولات الاعتبارية القابلة للسعة والضيق، فلو شكت الزوجة أنّ الزوجية المنشأة بينهما - في الزواج المنقطع - كانت بمدّة شهرين أو بمدّة أُسبوعين فهل يجري استصحاب الزوجية بعد انقضاء الأسبوعين أم لا؟</w:t>
      </w:r>
    </w:p>
    <w:p w14:paraId="3741D2B9"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sz w:val="32"/>
          <w:rtl/>
        </w:rPr>
        <w:t xml:space="preserve">قد أفاد سيدنا الخوئي (قدس سره الشريف) في محلّه أنّ هذا من الشك في الجعل الزائد؛ لأنّ المجعول نفسه قابل للسعة والضيق فالشك يرجع إلى الشك في جعل المجعول </w:t>
      </w:r>
      <w:proofErr w:type="spellStart"/>
      <w:r w:rsidRPr="00F27422">
        <w:rPr>
          <w:rFonts w:asciiTheme="minorBidi" w:hAnsiTheme="minorBidi" w:cstheme="minorBidi"/>
          <w:sz w:val="32"/>
          <w:rtl/>
        </w:rPr>
        <w:t>الأزيد</w:t>
      </w:r>
      <w:proofErr w:type="spellEnd"/>
      <w:r w:rsidRPr="00F27422">
        <w:rPr>
          <w:rFonts w:asciiTheme="minorBidi" w:hAnsiTheme="minorBidi" w:cstheme="minorBidi"/>
          <w:sz w:val="32"/>
          <w:rtl/>
        </w:rPr>
        <w:t xml:space="preserve">، وبما أنّه شك في المجعول </w:t>
      </w:r>
      <w:proofErr w:type="spellStart"/>
      <w:r w:rsidRPr="00F27422">
        <w:rPr>
          <w:rFonts w:asciiTheme="minorBidi" w:hAnsiTheme="minorBidi" w:cstheme="minorBidi"/>
          <w:sz w:val="32"/>
          <w:rtl/>
        </w:rPr>
        <w:t>الأزيد</w:t>
      </w:r>
      <w:proofErr w:type="spellEnd"/>
      <w:r w:rsidRPr="00F27422">
        <w:rPr>
          <w:rFonts w:asciiTheme="minorBidi" w:hAnsiTheme="minorBidi" w:cstheme="minorBidi"/>
          <w:sz w:val="32"/>
          <w:rtl/>
        </w:rPr>
        <w:t xml:space="preserve"> فالجاري استصحاب عدم سعة الجعل </w:t>
      </w:r>
      <w:proofErr w:type="gramStart"/>
      <w:r w:rsidRPr="00F27422">
        <w:rPr>
          <w:rFonts w:asciiTheme="minorBidi" w:hAnsiTheme="minorBidi" w:cstheme="minorBidi"/>
          <w:sz w:val="32"/>
          <w:rtl/>
        </w:rPr>
        <w:t>الزائد،  بل</w:t>
      </w:r>
      <w:proofErr w:type="gramEnd"/>
      <w:r w:rsidRPr="00F27422">
        <w:rPr>
          <w:rFonts w:asciiTheme="minorBidi" w:hAnsiTheme="minorBidi" w:cstheme="minorBidi"/>
          <w:sz w:val="32"/>
          <w:rtl/>
        </w:rPr>
        <w:t xml:space="preserve"> استصحاب عدم سعة الجعل الزائد حاكمٌ على استصحاب الزوجية</w:t>
      </w:r>
      <w:r w:rsidRPr="00F27422">
        <w:rPr>
          <w:rFonts w:asciiTheme="minorBidi" w:hAnsiTheme="minorBidi" w:cstheme="minorBidi"/>
          <w:sz w:val="32"/>
        </w:rPr>
        <w:t>.</w:t>
      </w:r>
    </w:p>
    <w:p w14:paraId="733DCD88" w14:textId="77777777" w:rsidR="00F16915" w:rsidRPr="00F27422" w:rsidRDefault="00F16915" w:rsidP="00122B70">
      <w:pPr>
        <w:pStyle w:val="a"/>
        <w:bidi/>
        <w:spacing w:line="216" w:lineRule="auto"/>
        <w:jc w:val="left"/>
        <w:rPr>
          <w:rFonts w:asciiTheme="minorBidi" w:hAnsiTheme="minorBidi" w:cstheme="minorBidi"/>
          <w:sz w:val="32"/>
          <w:rtl/>
        </w:rPr>
      </w:pPr>
      <w:r w:rsidRPr="00F27422">
        <w:rPr>
          <w:rFonts w:asciiTheme="minorBidi" w:hAnsiTheme="minorBidi" w:cstheme="minorBidi"/>
          <w:b/>
          <w:bCs/>
          <w:sz w:val="32"/>
          <w:rtl/>
        </w:rPr>
        <w:t>ونظير ذلك في المقام، أن يقال:</w:t>
      </w:r>
      <w:r w:rsidRPr="00F27422">
        <w:rPr>
          <w:rFonts w:asciiTheme="minorBidi" w:hAnsiTheme="minorBidi" w:cstheme="minorBidi"/>
          <w:sz w:val="32"/>
          <w:rtl/>
        </w:rPr>
        <w:t xml:space="preserve"> إنّ جواز التصرّف المعطى مِن قِبَلِ الفقيه مِن الأُمور الاعتبارية التي يدور أمرها بين السعة والضيق، فالشك في بقاء جواز التصرّف مِن الشك في سعة المجعول فالجاري فيه استصحاب عدم سعة الجعل الزائد وهو حاكمٌ على استصحاب جواز التصرّف.</w:t>
      </w:r>
    </w:p>
    <w:p w14:paraId="2502E1CE" w14:textId="77777777" w:rsidR="00F16915" w:rsidRPr="00F27422" w:rsidRDefault="00F16915" w:rsidP="00122B70">
      <w:pPr>
        <w:pStyle w:val="a"/>
        <w:bidi/>
        <w:spacing w:line="216" w:lineRule="auto"/>
        <w:jc w:val="left"/>
        <w:rPr>
          <w:rFonts w:asciiTheme="minorBidi" w:hAnsiTheme="minorBidi" w:cstheme="minorBidi"/>
          <w:b/>
          <w:bCs/>
          <w:sz w:val="32"/>
          <w:rtl/>
        </w:rPr>
      </w:pPr>
    </w:p>
    <w:p w14:paraId="7A9D5800" w14:textId="77777777" w:rsidR="00F16915" w:rsidRPr="00F27422" w:rsidRDefault="00F16915" w:rsidP="00122B70">
      <w:pPr>
        <w:pStyle w:val="a"/>
        <w:bidi/>
        <w:spacing w:line="216" w:lineRule="auto"/>
        <w:jc w:val="left"/>
        <w:rPr>
          <w:rFonts w:asciiTheme="minorBidi" w:hAnsiTheme="minorBidi" w:cstheme="minorBidi"/>
          <w:b/>
          <w:bCs/>
          <w:sz w:val="32"/>
        </w:rPr>
      </w:pPr>
      <w:r w:rsidRPr="00F27422">
        <w:rPr>
          <w:rFonts w:asciiTheme="minorBidi" w:hAnsiTheme="minorBidi" w:cstheme="minorBidi"/>
          <w:b/>
          <w:bCs/>
          <w:sz w:val="32"/>
          <w:rtl/>
        </w:rPr>
        <w:t xml:space="preserve">والحمد لله رب العالمين </w:t>
      </w:r>
    </w:p>
    <w:p w14:paraId="1FB2153B" w14:textId="77777777" w:rsidR="00F16915" w:rsidRPr="00F27422" w:rsidRDefault="00F16915" w:rsidP="00122B70">
      <w:pPr>
        <w:bidi/>
        <w:rPr>
          <w:rFonts w:asciiTheme="minorBidi" w:hAnsiTheme="minorBidi"/>
          <w:sz w:val="32"/>
          <w:szCs w:val="32"/>
          <w:rtl/>
        </w:rPr>
      </w:pPr>
    </w:p>
    <w:p w14:paraId="30D461A3" w14:textId="02EF1D7F" w:rsidR="00F16915" w:rsidRPr="00F27422" w:rsidRDefault="00F16915" w:rsidP="00122B70">
      <w:pPr>
        <w:pStyle w:val="Heading3"/>
        <w:bidi/>
        <w:rPr>
          <w:rFonts w:asciiTheme="minorBidi" w:hAnsiTheme="minorBidi" w:cstheme="minorBidi"/>
          <w:sz w:val="32"/>
          <w:szCs w:val="32"/>
          <w:rtl/>
        </w:rPr>
      </w:pPr>
      <w:r w:rsidRPr="00F27422">
        <w:rPr>
          <w:rFonts w:asciiTheme="minorBidi" w:hAnsiTheme="minorBidi" w:cstheme="minorBidi"/>
          <w:sz w:val="32"/>
          <w:szCs w:val="32"/>
          <w:rtl/>
        </w:rPr>
        <w:lastRenderedPageBreak/>
        <w:t>037</w:t>
      </w:r>
    </w:p>
    <w:p w14:paraId="3CAD5957" w14:textId="77777777" w:rsidR="00465B2B" w:rsidRPr="00F27422" w:rsidRDefault="00465B2B" w:rsidP="00122B70">
      <w:pPr>
        <w:bidi/>
        <w:rPr>
          <w:rFonts w:asciiTheme="minorBidi" w:hAnsiTheme="minorBidi"/>
          <w:b/>
          <w:bCs/>
          <w:sz w:val="32"/>
          <w:szCs w:val="32"/>
        </w:rPr>
      </w:pPr>
      <w:r w:rsidRPr="00F27422">
        <w:rPr>
          <w:rFonts w:asciiTheme="minorBidi" w:hAnsiTheme="minorBidi"/>
          <w:b/>
          <w:bCs/>
          <w:sz w:val="32"/>
          <w:szCs w:val="32"/>
          <w:rtl/>
        </w:rPr>
        <w:t>بسم الله الرحمن الرحيم</w:t>
      </w:r>
    </w:p>
    <w:p w14:paraId="61494422" w14:textId="77777777" w:rsidR="00465B2B" w:rsidRPr="00F27422" w:rsidRDefault="00465B2B" w:rsidP="00122B70">
      <w:pPr>
        <w:bidi/>
        <w:rPr>
          <w:rFonts w:asciiTheme="minorBidi" w:hAnsiTheme="minorBidi"/>
          <w:b/>
          <w:bCs/>
          <w:sz w:val="32"/>
          <w:szCs w:val="32"/>
          <w:rtl/>
        </w:rPr>
      </w:pPr>
      <w:r w:rsidRPr="00F27422">
        <w:rPr>
          <w:rFonts w:asciiTheme="minorBidi" w:hAnsiTheme="minorBidi"/>
          <w:b/>
          <w:bCs/>
          <w:sz w:val="32"/>
          <w:szCs w:val="32"/>
          <w:rtl/>
        </w:rPr>
        <w:t>والصلاة والسلام على أشرف الأنبياء والمرسلين، محمد وآله الطيبين الطاهرين</w:t>
      </w:r>
    </w:p>
    <w:p w14:paraId="52C7AAE9" w14:textId="77777777" w:rsidR="00465B2B" w:rsidRPr="00F27422" w:rsidRDefault="00465B2B" w:rsidP="00122B70">
      <w:pPr>
        <w:bidi/>
        <w:rPr>
          <w:rFonts w:asciiTheme="minorBidi" w:hAnsiTheme="minorBidi"/>
          <w:sz w:val="32"/>
          <w:szCs w:val="32"/>
          <w:rtl/>
        </w:rPr>
      </w:pPr>
      <w:r w:rsidRPr="00F27422">
        <w:rPr>
          <w:rFonts w:asciiTheme="minorBidi" w:hAnsiTheme="minorBidi"/>
          <w:b/>
          <w:bCs/>
          <w:sz w:val="32"/>
          <w:szCs w:val="32"/>
          <w:rtl/>
        </w:rPr>
        <w:t>واللعن الدائم على أعدائهم أجمعين إلى قيام يوم الدين</w:t>
      </w:r>
    </w:p>
    <w:p w14:paraId="50F48F53" w14:textId="77777777" w:rsidR="00465B2B" w:rsidRPr="00F27422" w:rsidRDefault="00465B2B" w:rsidP="00122B70">
      <w:pPr>
        <w:bidi/>
        <w:rPr>
          <w:rFonts w:asciiTheme="minorBidi" w:hAnsiTheme="minorBidi"/>
          <w:sz w:val="32"/>
          <w:szCs w:val="32"/>
          <w:rtl/>
        </w:rPr>
      </w:pPr>
    </w:p>
    <w:p w14:paraId="512B4575" w14:textId="77777777" w:rsidR="00465B2B" w:rsidRPr="00F27422" w:rsidRDefault="00465B2B" w:rsidP="00122B70">
      <w:pPr>
        <w:bidi/>
        <w:rPr>
          <w:rFonts w:asciiTheme="minorBidi" w:hAnsiTheme="minorBidi"/>
          <w:b/>
          <w:bCs/>
          <w:sz w:val="32"/>
          <w:szCs w:val="32"/>
          <w:rtl/>
        </w:rPr>
      </w:pPr>
      <w:r w:rsidRPr="00F27422">
        <w:rPr>
          <w:rFonts w:asciiTheme="minorBidi" w:hAnsiTheme="minorBidi"/>
          <w:b/>
          <w:bCs/>
          <w:sz w:val="32"/>
          <w:szCs w:val="32"/>
          <w:rtl/>
        </w:rPr>
        <w:t>المطلب الثالث:</w:t>
      </w:r>
    </w:p>
    <w:p w14:paraId="04147F56"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t xml:space="preserve">قال سيد العروة (قدس سره الشريف): </w:t>
      </w:r>
      <w:r w:rsidRPr="00F27422">
        <w:rPr>
          <w:rFonts w:asciiTheme="minorBidi" w:hAnsiTheme="minorBidi"/>
          <w:b/>
          <w:bCs/>
          <w:sz w:val="32"/>
          <w:szCs w:val="32"/>
          <w:rtl/>
        </w:rPr>
        <w:t>(وكذا تبطل إذا آجر نفسه للعمل بنفسه من خدمة أو غيرها، فإنّه إذا مات لا يبقى محلّ للإجارة، وكذا إذا مات المستأجر الذي هو محلّ العمل من خدمة أو عمل آخر متعلّق به بنفسه، ولو جعل العمل في ذمّته لا تبطل الإجارة بموته، بل يستوفى من تركته، وكذا بالنسبة إلى المستأجر إذا لم يكن محلّاً للعمل، بل كان مالكاً له على المؤجّر، كما إذا آجره للخدمة من غير تقييد بكونها له، فإنّه إذا مات تنتقل إلى وارثه، فهم يملكون عليه ذلك العمل)</w:t>
      </w:r>
      <w:r w:rsidRPr="00F27422">
        <w:rPr>
          <w:rFonts w:asciiTheme="minorBidi" w:hAnsiTheme="minorBidi"/>
          <w:b/>
          <w:bCs/>
          <w:sz w:val="32"/>
          <w:szCs w:val="32"/>
        </w:rPr>
        <w:t>.</w:t>
      </w:r>
    </w:p>
    <w:p w14:paraId="2165B3F3"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وحاصل المطلب:</w:t>
      </w:r>
      <w:r w:rsidRPr="00F27422">
        <w:rPr>
          <w:rFonts w:asciiTheme="minorBidi" w:hAnsiTheme="minorBidi"/>
          <w:sz w:val="32"/>
          <w:szCs w:val="32"/>
          <w:rtl/>
        </w:rPr>
        <w:t xml:space="preserve"> أنّه إذا كان متعلّق الإجارة مما أخذت فيه خصوصية في الأجير أو المُستأجر، فإنّه متى مات ذو الخصوصية بطلت الإجارة، كما إذا استؤجر خصوص هذا الطبيب لحذاقته وخبرته لإجراء العملية فمات الطبيب قبل إجرائها أو قبل إتمامها، أو كانت الخصوصية في المُستأجر - لا في الأجير - كما إذا استُؤجِرَ المستشفى لإجراء عمليةٍ لهذا المريض بخصوصه فالمُستَأْجِرُ هو المريض والمستشفى أجيرٌ، فإنّه لو مات المريض الذي استَأْجَرَ المستشفى لإجراء عمليةٍ له قبل العملية أو أثناءها بطلت الإجارة لنفس النكتة</w:t>
      </w:r>
      <w:r w:rsidRPr="00F27422">
        <w:rPr>
          <w:rFonts w:asciiTheme="minorBidi" w:hAnsiTheme="minorBidi"/>
          <w:sz w:val="32"/>
          <w:szCs w:val="32"/>
        </w:rPr>
        <w:t>.</w:t>
      </w:r>
    </w:p>
    <w:p w14:paraId="55B54379"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وتنقيح هذا المطلب بذكر أمورٍ أربعة</w:t>
      </w:r>
      <w:r w:rsidRPr="00F27422">
        <w:rPr>
          <w:rFonts w:asciiTheme="minorBidi" w:hAnsiTheme="minorBidi"/>
          <w:b/>
          <w:bCs/>
          <w:sz w:val="32"/>
          <w:szCs w:val="32"/>
        </w:rPr>
        <w:t>:</w:t>
      </w:r>
    </w:p>
    <w:p w14:paraId="25EA5CC3"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الأمرُ الأوّل:</w:t>
      </w:r>
      <w:r w:rsidRPr="00F27422">
        <w:rPr>
          <w:rFonts w:asciiTheme="minorBidi" w:hAnsiTheme="minorBidi"/>
          <w:sz w:val="32"/>
          <w:szCs w:val="32"/>
          <w:rtl/>
        </w:rPr>
        <w:t xml:space="preserve"> في تنوع صور الإجارة على الأعمال</w:t>
      </w:r>
      <w:r w:rsidRPr="00F27422">
        <w:rPr>
          <w:rFonts w:asciiTheme="minorBidi" w:hAnsiTheme="minorBidi"/>
          <w:sz w:val="32"/>
          <w:szCs w:val="32"/>
        </w:rPr>
        <w:t>:</w:t>
      </w:r>
    </w:p>
    <w:p w14:paraId="2AF57C95"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وبيانه:</w:t>
      </w:r>
      <w:r w:rsidRPr="00F27422">
        <w:rPr>
          <w:rFonts w:asciiTheme="minorBidi" w:hAnsiTheme="minorBidi"/>
          <w:sz w:val="32"/>
          <w:szCs w:val="32"/>
          <w:rtl/>
        </w:rPr>
        <w:t xml:space="preserve"> أنّ متعلّق الإجارة قد يكون العمل الخارجي وقد يكون العمل الكُلّي في الذمّة</w:t>
      </w:r>
      <w:r w:rsidRPr="00F27422">
        <w:rPr>
          <w:rFonts w:asciiTheme="minorBidi" w:hAnsiTheme="minorBidi"/>
          <w:sz w:val="32"/>
          <w:szCs w:val="32"/>
        </w:rPr>
        <w:t>.</w:t>
      </w:r>
    </w:p>
    <w:p w14:paraId="26B92E81"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مثلاً:</w:t>
      </w:r>
      <w:r w:rsidRPr="00F27422">
        <w:rPr>
          <w:rFonts w:asciiTheme="minorBidi" w:hAnsiTheme="minorBidi"/>
          <w:sz w:val="32"/>
          <w:szCs w:val="32"/>
          <w:rtl/>
        </w:rPr>
        <w:t xml:space="preserve"> قد يستأجر الإنسانُ الحلاقَ على الحلاقة الخارجية، كما إذا جلس في محلّه مستعداً للحلاقة فاستأجرهُ شخص لا على نحو الكُلّي في ذمّته؛ بل ملك عليه ما يصدر منه من حلاقةٍ في هذه الساعة، فمصب الإجارة العمل الخارجي وهو ما يصدر منه، وقد يكون مصب الإجارة كُلّي الحلاقة في ذمّته</w:t>
      </w:r>
      <w:r w:rsidRPr="00F27422">
        <w:rPr>
          <w:rFonts w:asciiTheme="minorBidi" w:hAnsiTheme="minorBidi"/>
          <w:sz w:val="32"/>
          <w:szCs w:val="32"/>
        </w:rPr>
        <w:t>.</w:t>
      </w:r>
    </w:p>
    <w:p w14:paraId="2939E48E"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lastRenderedPageBreak/>
        <w:t>فإجارة الأعمال على نحوين: الأول: أنْ يكون مصبها العمل الخارجي، والثاني: أنْ يكون مصبها الكُلّي في الذمّة</w:t>
      </w:r>
      <w:r w:rsidRPr="00F27422">
        <w:rPr>
          <w:rFonts w:asciiTheme="minorBidi" w:hAnsiTheme="minorBidi"/>
          <w:sz w:val="32"/>
          <w:szCs w:val="32"/>
        </w:rPr>
        <w:t>.</w:t>
      </w:r>
    </w:p>
    <w:p w14:paraId="2D01DF53"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t>وكلٌّ منهما قد يكون على نحو المباشرة وقد يكون على النحو الأعم من المباشرة والتسليم؛ إذ قد يستأجر الحلاق بقيد المباشرة لخصوصيةٍ فيه لأنّه الحاذق في الحلاقة، وقد يستأجره الإنسان على النحو الأعم من أنْ يكون هو المباشر أو أحد الموظفين في مكانه</w:t>
      </w:r>
      <w:r w:rsidRPr="00F27422">
        <w:rPr>
          <w:rFonts w:asciiTheme="minorBidi" w:hAnsiTheme="minorBidi"/>
          <w:sz w:val="32"/>
          <w:szCs w:val="32"/>
        </w:rPr>
        <w:t>.</w:t>
      </w:r>
    </w:p>
    <w:p w14:paraId="3BE12E6C"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t xml:space="preserve">كما أنّ العمل الكُلّي أيضاً - خلافاً لظاهر متن العروة الوثقى - قد يتصور على نحوين، إذ تارةً يكون متعلّق الإجارة تملك المُستأجر كُلّي العملية الجراحية في ذمّة الطبيب، وتارةً يكون العمل المملوك في ذمّته هو كُلّي العمل بقيد المباشرة، فكون المُستأجر عليه هو الكُلّي لا يعني تجرده من خصوصية المباشرة؛ بل قد يكون أعم وقد يكون بنحو المباشرة، وكون المُستأجر عليه هو العمل الخارجي ليس مساوقاً </w:t>
      </w:r>
      <w:proofErr w:type="gramStart"/>
      <w:r w:rsidRPr="00F27422">
        <w:rPr>
          <w:rFonts w:asciiTheme="minorBidi" w:hAnsiTheme="minorBidi"/>
          <w:sz w:val="32"/>
          <w:szCs w:val="32"/>
          <w:rtl/>
        </w:rPr>
        <w:t>للمباشرة</w:t>
      </w:r>
      <w:proofErr w:type="gramEnd"/>
      <w:r w:rsidRPr="00F27422">
        <w:rPr>
          <w:rFonts w:asciiTheme="minorBidi" w:hAnsiTheme="minorBidi"/>
          <w:sz w:val="32"/>
          <w:szCs w:val="32"/>
          <w:rtl/>
        </w:rPr>
        <w:t xml:space="preserve"> بل قد يكون بالنحو الأعم</w:t>
      </w:r>
      <w:r w:rsidRPr="00F27422">
        <w:rPr>
          <w:rFonts w:asciiTheme="minorBidi" w:hAnsiTheme="minorBidi"/>
          <w:sz w:val="32"/>
          <w:szCs w:val="32"/>
        </w:rPr>
        <w:t>.</w:t>
      </w:r>
    </w:p>
    <w:p w14:paraId="48BEB2B6"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t>فكُلٌّ منهما يتصور فيه التقسيم</w:t>
      </w:r>
      <w:r w:rsidRPr="00F27422">
        <w:rPr>
          <w:rFonts w:asciiTheme="minorBidi" w:hAnsiTheme="minorBidi"/>
          <w:sz w:val="32"/>
          <w:szCs w:val="32"/>
        </w:rPr>
        <w:t>.</w:t>
      </w:r>
    </w:p>
    <w:p w14:paraId="56DAC2E9"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t xml:space="preserve">كما أنّ خصوصية المباشرة قد تكون قيداً يُوجب تخلفه بطلان الإجارة؛ لأنّ المباشرة أُخذتْ قيداً في متعلّقها، وقد تكون شرطاً يُوجب تخلفه ثبوت الخيار، كما في تعليقة المحقّق النائيني (قدس سره) على متن العروة في المقام في كتاب [العروة الوثقى، السيد اليزدي، تحقيق مؤسسة النشر الإسلامي التابعة لجماعة المدرسين بقم المشرفة، الطبعة الأولى، ج5، ص30] حيث قال: </w:t>
      </w:r>
      <w:r w:rsidRPr="00F27422">
        <w:rPr>
          <w:rFonts w:asciiTheme="minorBidi" w:hAnsiTheme="minorBidi"/>
          <w:b/>
          <w:bCs/>
          <w:sz w:val="32"/>
          <w:szCs w:val="32"/>
          <w:rtl/>
        </w:rPr>
        <w:t>(يختص البطلان بما إذا كان متعلق الإجارة هو منفعة نفسه ولو كان المتعلق هو الخدمة ونحوها كليا وشرط المباشرة بنفسه فللمستأجر الخيار ويطرد الوجهان في موت المستأجر أيضا في أحدهما وفي الآخر يكون الخيار للمؤجر كما ذكره (قدس سره) في إجارة الدار)</w:t>
      </w:r>
      <w:r w:rsidRPr="00F27422">
        <w:rPr>
          <w:rFonts w:asciiTheme="minorBidi" w:hAnsiTheme="minorBidi"/>
          <w:b/>
          <w:bCs/>
          <w:sz w:val="32"/>
          <w:szCs w:val="32"/>
        </w:rPr>
        <w:t>.</w:t>
      </w:r>
    </w:p>
    <w:p w14:paraId="217459D6"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t xml:space="preserve">خلافاً لسيدنا الخوئي (قدس سره الشريف) في موسوعته المباركة في [كتاب الإجارة، ج30، ص132] حيث قال: </w:t>
      </w:r>
      <w:r w:rsidRPr="00F27422">
        <w:rPr>
          <w:rFonts w:asciiTheme="minorBidi" w:hAnsiTheme="minorBidi"/>
          <w:b/>
          <w:bCs/>
          <w:sz w:val="32"/>
          <w:szCs w:val="32"/>
          <w:rtl/>
        </w:rPr>
        <w:t xml:space="preserve">(ثمّ إنّ في تعليقة شيخنا الاُستاذ (قدس سره) في المقام ما </w:t>
      </w:r>
      <w:proofErr w:type="spellStart"/>
      <w:r w:rsidRPr="00F27422">
        <w:rPr>
          <w:rFonts w:asciiTheme="minorBidi" w:hAnsiTheme="minorBidi"/>
          <w:b/>
          <w:bCs/>
          <w:sz w:val="32"/>
          <w:szCs w:val="32"/>
          <w:rtl/>
        </w:rPr>
        <w:t>لفطه</w:t>
      </w:r>
      <w:proofErr w:type="spellEnd"/>
      <w:r w:rsidRPr="00F27422">
        <w:rPr>
          <w:rFonts w:asciiTheme="minorBidi" w:hAnsiTheme="minorBidi"/>
          <w:b/>
          <w:bCs/>
          <w:sz w:val="32"/>
          <w:szCs w:val="32"/>
          <w:rtl/>
        </w:rPr>
        <w:t xml:space="preserve">: يختصّ البطلان بما إذا كان متعلّق الإجارة هو منفعة نفسه، ولو كان المتعلّق هو الخدمة ونحوها كلّيّاً وشرط المباشرة بنفسه فللمستأجر الخيار، </w:t>
      </w:r>
      <w:proofErr w:type="spellStart"/>
      <w:r w:rsidRPr="00F27422">
        <w:rPr>
          <w:rFonts w:asciiTheme="minorBidi" w:hAnsiTheme="minorBidi"/>
          <w:b/>
          <w:bCs/>
          <w:sz w:val="32"/>
          <w:szCs w:val="32"/>
          <w:rtl/>
        </w:rPr>
        <w:t>ألخ</w:t>
      </w:r>
      <w:proofErr w:type="spellEnd"/>
      <w:r w:rsidRPr="00F27422">
        <w:rPr>
          <w:rFonts w:asciiTheme="minorBidi" w:hAnsiTheme="minorBidi"/>
          <w:b/>
          <w:bCs/>
          <w:sz w:val="32"/>
          <w:szCs w:val="32"/>
        </w:rPr>
        <w:t>.</w:t>
      </w:r>
    </w:p>
    <w:p w14:paraId="07A71D85"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 xml:space="preserve">ففصّل (قدس سره) بين لحاظ المباشرة على وجه </w:t>
      </w:r>
      <w:proofErr w:type="spellStart"/>
      <w:r w:rsidRPr="00F27422">
        <w:rPr>
          <w:rFonts w:asciiTheme="minorBidi" w:hAnsiTheme="minorBidi"/>
          <w:b/>
          <w:bCs/>
          <w:sz w:val="32"/>
          <w:szCs w:val="32"/>
          <w:rtl/>
        </w:rPr>
        <w:t>القيديّة</w:t>
      </w:r>
      <w:proofErr w:type="spellEnd"/>
      <w:r w:rsidRPr="00F27422">
        <w:rPr>
          <w:rFonts w:asciiTheme="minorBidi" w:hAnsiTheme="minorBidi"/>
          <w:b/>
          <w:bCs/>
          <w:sz w:val="32"/>
          <w:szCs w:val="32"/>
          <w:rtl/>
        </w:rPr>
        <w:t>، وبين اعتبارها شرطاً في المتعلّق الكلّي، فإنّه لدى الموت يحكم بالبطلان في الأوّل وبالخيار في الثاني</w:t>
      </w:r>
      <w:r w:rsidRPr="00F27422">
        <w:rPr>
          <w:rFonts w:asciiTheme="minorBidi" w:hAnsiTheme="minorBidi"/>
          <w:b/>
          <w:bCs/>
          <w:sz w:val="32"/>
          <w:szCs w:val="32"/>
        </w:rPr>
        <w:t>.</w:t>
      </w:r>
    </w:p>
    <w:p w14:paraId="31242254"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أقول: ما أفاده (قدس سره) في الشقّ الثاني وإن أمكن فرضه)</w:t>
      </w:r>
      <w:r w:rsidRPr="00F27422">
        <w:rPr>
          <w:rFonts w:asciiTheme="minorBidi" w:hAnsiTheme="minorBidi"/>
          <w:sz w:val="32"/>
          <w:szCs w:val="32"/>
          <w:rtl/>
        </w:rPr>
        <w:t xml:space="preserve"> أي: بأنْ تفرضَ المباشرةُ شرطاً وليست قيداً </w:t>
      </w:r>
      <w:r w:rsidRPr="00F27422">
        <w:rPr>
          <w:rFonts w:asciiTheme="minorBidi" w:hAnsiTheme="minorBidi"/>
          <w:b/>
          <w:bCs/>
          <w:sz w:val="32"/>
          <w:szCs w:val="32"/>
          <w:rtl/>
        </w:rPr>
        <w:t xml:space="preserve">(على وجه الندرة والشذوذ، إلّا أنّه على خلاف الارتكاز العرفي، لما أشرنا </w:t>
      </w:r>
      <w:r w:rsidRPr="00F27422">
        <w:rPr>
          <w:rFonts w:asciiTheme="minorBidi" w:hAnsiTheme="minorBidi"/>
          <w:b/>
          <w:bCs/>
          <w:sz w:val="32"/>
          <w:szCs w:val="32"/>
          <w:rtl/>
        </w:rPr>
        <w:lastRenderedPageBreak/>
        <w:t>إليه سابقاً وقد صرّح هو (قدس سره) أيضاً بأنّ الشروط في باب الأعمال والكلّيّات راجعة إلى التقييد وإن كانت بلسان الشرط، فلو آجر نفسه لخدمة)</w:t>
      </w:r>
      <w:r w:rsidRPr="00F27422">
        <w:rPr>
          <w:rFonts w:asciiTheme="minorBidi" w:hAnsiTheme="minorBidi"/>
          <w:sz w:val="32"/>
          <w:szCs w:val="32"/>
          <w:rtl/>
        </w:rPr>
        <w:t xml:space="preserve"> كالكنس أو الحلاقة أو الطبابة </w:t>
      </w:r>
      <w:r w:rsidRPr="00F27422">
        <w:rPr>
          <w:rFonts w:asciiTheme="minorBidi" w:hAnsiTheme="minorBidi"/>
          <w:b/>
          <w:bCs/>
          <w:sz w:val="32"/>
          <w:szCs w:val="32"/>
          <w:rtl/>
        </w:rPr>
        <w:t>(واشترط المباشرة رجع في الحقيقة إلى جعل متعلّق الإجارة هو خدمة نفسه)</w:t>
      </w:r>
      <w:r w:rsidRPr="00F27422">
        <w:rPr>
          <w:rFonts w:asciiTheme="minorBidi" w:hAnsiTheme="minorBidi"/>
          <w:sz w:val="32"/>
          <w:szCs w:val="32"/>
          <w:rtl/>
        </w:rPr>
        <w:t xml:space="preserve"> فتكون قيداً </w:t>
      </w:r>
      <w:r w:rsidRPr="00F27422">
        <w:rPr>
          <w:rFonts w:asciiTheme="minorBidi" w:hAnsiTheme="minorBidi"/>
          <w:b/>
          <w:bCs/>
          <w:sz w:val="32"/>
          <w:szCs w:val="32"/>
          <w:rtl/>
        </w:rPr>
        <w:t>(وهذا هو موضوع الكلام في المقام، وأمّا الإيجار على الخدمة الكلّيّة سواء أكانت منه أم من غيره، واشتراط المباشرة على سبيل الالتزام في الالتزام، فهو أمر ممكن وقابل للتصوّر لكنّه خارج عن المرتكز العرفي)</w:t>
      </w:r>
      <w:r w:rsidRPr="00F27422">
        <w:rPr>
          <w:rFonts w:asciiTheme="minorBidi" w:hAnsiTheme="minorBidi"/>
          <w:sz w:val="32"/>
          <w:szCs w:val="32"/>
          <w:rtl/>
        </w:rPr>
        <w:t xml:space="preserve"> من رجوعه إلى القيد</w:t>
      </w:r>
      <w:r w:rsidRPr="00F27422">
        <w:rPr>
          <w:rFonts w:asciiTheme="minorBidi" w:hAnsiTheme="minorBidi"/>
          <w:sz w:val="32"/>
          <w:szCs w:val="32"/>
        </w:rPr>
        <w:t>.</w:t>
      </w:r>
    </w:p>
    <w:p w14:paraId="5245AE08"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ولكن:</w:t>
      </w:r>
      <w:r w:rsidRPr="00F27422">
        <w:rPr>
          <w:rFonts w:asciiTheme="minorBidi" w:hAnsiTheme="minorBidi"/>
          <w:sz w:val="32"/>
          <w:szCs w:val="32"/>
          <w:rtl/>
        </w:rPr>
        <w:t xml:space="preserve"> ما ذكره المحقّق النائيني (قدس سره الشريف) هو الأوفق؛ باعتبار أنّ الأغراض العقلائية مختلفة؛ فقد يتعلّق الغرض العقلائي بأنْ تكون المباشرة قيداً في المتعلّق وقد يتعلّق الغرض العقلائي بأنْ تكون المباشرة مجرد شرط، فدعوى أنّ المرتكزات العرفية على كون المباشرة في إجارة الأعمال على نحو القيد - لا على نحو الشرط - ليس بتامٍ</w:t>
      </w:r>
      <w:r w:rsidRPr="00F27422">
        <w:rPr>
          <w:rFonts w:asciiTheme="minorBidi" w:hAnsiTheme="minorBidi"/>
          <w:sz w:val="32"/>
          <w:szCs w:val="32"/>
        </w:rPr>
        <w:t>.</w:t>
      </w:r>
    </w:p>
    <w:p w14:paraId="5632479D"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الأمرُ الثاني:</w:t>
      </w:r>
      <w:r w:rsidRPr="00F27422">
        <w:rPr>
          <w:rFonts w:asciiTheme="minorBidi" w:hAnsiTheme="minorBidi"/>
          <w:sz w:val="32"/>
          <w:szCs w:val="32"/>
          <w:rtl/>
        </w:rPr>
        <w:t xml:space="preserve"> أنّ محلّ البحث في بطلان الإجارة وعدمه ما إذا كانت خصوصية المباشرة في أحد الطرفين – وهما: الأجير أو المُستأجِر - ملحوظة في الإجارة على نحو </w:t>
      </w:r>
      <w:proofErr w:type="spellStart"/>
      <w:r w:rsidRPr="00F27422">
        <w:rPr>
          <w:rFonts w:asciiTheme="minorBidi" w:hAnsiTheme="minorBidi"/>
          <w:sz w:val="32"/>
          <w:szCs w:val="32"/>
          <w:rtl/>
        </w:rPr>
        <w:t>القيدية</w:t>
      </w:r>
      <w:proofErr w:type="spellEnd"/>
      <w:r w:rsidRPr="00F27422">
        <w:rPr>
          <w:rFonts w:asciiTheme="minorBidi" w:hAnsiTheme="minorBidi"/>
          <w:sz w:val="32"/>
          <w:szCs w:val="32"/>
          <w:rtl/>
        </w:rPr>
        <w:t xml:space="preserve"> سواء كان العمل خارجياً أم كُلّيّاً، مع فرض موت ذي الخصوصية قبل إتمام العمل</w:t>
      </w:r>
      <w:r w:rsidRPr="00F27422">
        <w:rPr>
          <w:rFonts w:asciiTheme="minorBidi" w:hAnsiTheme="minorBidi"/>
          <w:sz w:val="32"/>
          <w:szCs w:val="32"/>
        </w:rPr>
        <w:t>.</w:t>
      </w:r>
    </w:p>
    <w:p w14:paraId="61F242A7"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الأمرُ الثالث:</w:t>
      </w:r>
      <w:r w:rsidRPr="00F27422">
        <w:rPr>
          <w:rFonts w:asciiTheme="minorBidi" w:hAnsiTheme="minorBidi"/>
          <w:sz w:val="32"/>
          <w:szCs w:val="32"/>
          <w:rtl/>
        </w:rPr>
        <w:t xml:space="preserve"> إنّ هناك فرقاً بين حالتين</w:t>
      </w:r>
      <w:r w:rsidRPr="00F27422">
        <w:rPr>
          <w:rFonts w:asciiTheme="minorBidi" w:hAnsiTheme="minorBidi"/>
          <w:sz w:val="32"/>
          <w:szCs w:val="32"/>
        </w:rPr>
        <w:t>:</w:t>
      </w:r>
    </w:p>
    <w:p w14:paraId="25F3DABC"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 xml:space="preserve">الحالة الأُولى: </w:t>
      </w:r>
      <w:r w:rsidRPr="00F27422">
        <w:rPr>
          <w:rFonts w:asciiTheme="minorBidi" w:hAnsiTheme="minorBidi"/>
          <w:sz w:val="32"/>
          <w:szCs w:val="32"/>
          <w:rtl/>
        </w:rPr>
        <w:t>الموتُ قبل مضيّ زمانٍ يسعُ العملَ المُستَأْجَر عليه ممن لوحظت خصوصيته قيداً في متعلّق الإجارة، كما إذا مات الطبيب قبل إجراء العملية أو أثناءها، أو مات المريضُ الذي استَأْجَر الطبيب لإجراء العملية قبل العملية أو أثناءها</w:t>
      </w:r>
      <w:r w:rsidRPr="00F27422">
        <w:rPr>
          <w:rFonts w:asciiTheme="minorBidi" w:hAnsiTheme="minorBidi"/>
          <w:sz w:val="32"/>
          <w:szCs w:val="32"/>
        </w:rPr>
        <w:t>.</w:t>
      </w:r>
    </w:p>
    <w:p w14:paraId="171B1E83"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الحالة الثانية:</w:t>
      </w:r>
      <w:r w:rsidRPr="00F27422">
        <w:rPr>
          <w:rFonts w:asciiTheme="minorBidi" w:hAnsiTheme="minorBidi"/>
          <w:sz w:val="32"/>
          <w:szCs w:val="32"/>
          <w:rtl/>
        </w:rPr>
        <w:t xml:space="preserve"> الموتُ قبل إتمام العمل مع إمكان إنجازه حال حياته، كما إذا كان الطبيب متمكناً من إجراء العملية لكنه قام بتأخيرها حتى ماتَ قبل إجراء العملية</w:t>
      </w:r>
      <w:r w:rsidRPr="00F27422">
        <w:rPr>
          <w:rFonts w:asciiTheme="minorBidi" w:hAnsiTheme="minorBidi"/>
          <w:sz w:val="32"/>
          <w:szCs w:val="32"/>
        </w:rPr>
        <w:t>.</w:t>
      </w:r>
    </w:p>
    <w:p w14:paraId="066E549F"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ما هو الفرق بين الحالتين؟</w:t>
      </w:r>
    </w:p>
    <w:p w14:paraId="51B100BF"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وأمّا الفارق بين الحالتين مِن حيث الحكم</w:t>
      </w:r>
      <w:r w:rsidRPr="00F27422">
        <w:rPr>
          <w:rFonts w:asciiTheme="minorBidi" w:hAnsiTheme="minorBidi"/>
          <w:b/>
          <w:bCs/>
          <w:sz w:val="32"/>
          <w:szCs w:val="32"/>
        </w:rPr>
        <w:t>:</w:t>
      </w:r>
    </w:p>
    <w:p w14:paraId="0E7686F1"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فإنّه في الحالة الأُولى،</w:t>
      </w:r>
      <w:r w:rsidRPr="00F27422">
        <w:rPr>
          <w:rFonts w:asciiTheme="minorBidi" w:hAnsiTheme="minorBidi"/>
          <w:sz w:val="32"/>
          <w:szCs w:val="32"/>
          <w:rtl/>
        </w:rPr>
        <w:t xml:space="preserve"> - كما إذا مات قبل مضي الزمن الذي يسع العمل - إنْ كان الميت هو </w:t>
      </w:r>
      <w:proofErr w:type="gramStart"/>
      <w:r w:rsidRPr="00F27422">
        <w:rPr>
          <w:rFonts w:asciiTheme="minorBidi" w:hAnsiTheme="minorBidi"/>
          <w:sz w:val="32"/>
          <w:szCs w:val="32"/>
          <w:rtl/>
        </w:rPr>
        <w:t>الأجير  يكشف</w:t>
      </w:r>
      <w:proofErr w:type="gramEnd"/>
      <w:r w:rsidRPr="00F27422">
        <w:rPr>
          <w:rFonts w:asciiTheme="minorBidi" w:hAnsiTheme="minorBidi"/>
          <w:sz w:val="32"/>
          <w:szCs w:val="32"/>
          <w:rtl/>
        </w:rPr>
        <w:t xml:space="preserve"> ذلك عن عدم القدرة على العمل، أي: أنّ الطبيب كان عاجزاً عن العمل حيث إنّه قد مات في الأثناء، ومرجع </w:t>
      </w:r>
      <w:proofErr w:type="gramStart"/>
      <w:r w:rsidRPr="00F27422">
        <w:rPr>
          <w:rFonts w:asciiTheme="minorBidi" w:hAnsiTheme="minorBidi"/>
          <w:sz w:val="32"/>
          <w:szCs w:val="32"/>
          <w:rtl/>
        </w:rPr>
        <w:t>عجزه  لعدم</w:t>
      </w:r>
      <w:proofErr w:type="gramEnd"/>
      <w:r w:rsidRPr="00F27422">
        <w:rPr>
          <w:rFonts w:asciiTheme="minorBidi" w:hAnsiTheme="minorBidi"/>
          <w:sz w:val="32"/>
          <w:szCs w:val="32"/>
          <w:rtl/>
        </w:rPr>
        <w:t xml:space="preserve"> قابليته لمِلك هذا العمل كي يقوم بتمليكه للمريض</w:t>
      </w:r>
      <w:r w:rsidRPr="00F27422">
        <w:rPr>
          <w:rFonts w:asciiTheme="minorBidi" w:hAnsiTheme="minorBidi"/>
          <w:sz w:val="32"/>
          <w:szCs w:val="32"/>
        </w:rPr>
        <w:t>.</w:t>
      </w:r>
    </w:p>
    <w:p w14:paraId="74238013"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t xml:space="preserve">وإنْ كان الميت هو المُستَأْجِر، كما إذا مات المريض بطلت الإجارة لكن لا من باب </w:t>
      </w:r>
      <w:proofErr w:type="gramStart"/>
      <w:r w:rsidRPr="00F27422">
        <w:rPr>
          <w:rFonts w:asciiTheme="minorBidi" w:hAnsiTheme="minorBidi"/>
          <w:sz w:val="32"/>
          <w:szCs w:val="32"/>
          <w:rtl/>
        </w:rPr>
        <w:t>العجز</w:t>
      </w:r>
      <w:proofErr w:type="gramEnd"/>
      <w:r w:rsidRPr="00F27422">
        <w:rPr>
          <w:rFonts w:asciiTheme="minorBidi" w:hAnsiTheme="minorBidi"/>
          <w:sz w:val="32"/>
          <w:szCs w:val="32"/>
          <w:rtl/>
        </w:rPr>
        <w:t xml:space="preserve"> بل من باب انتفاء محلّ الإجارة؛ لأنّ محلّ الإجارة </w:t>
      </w:r>
      <w:proofErr w:type="gramStart"/>
      <w:r w:rsidRPr="00F27422">
        <w:rPr>
          <w:rFonts w:asciiTheme="minorBidi" w:hAnsiTheme="minorBidi"/>
          <w:sz w:val="32"/>
          <w:szCs w:val="32"/>
          <w:rtl/>
        </w:rPr>
        <w:t>هو  المريض</w:t>
      </w:r>
      <w:proofErr w:type="gramEnd"/>
      <w:r w:rsidRPr="00F27422">
        <w:rPr>
          <w:rFonts w:asciiTheme="minorBidi" w:hAnsiTheme="minorBidi"/>
          <w:sz w:val="32"/>
          <w:szCs w:val="32"/>
          <w:rtl/>
        </w:rPr>
        <w:t>، وقد انتفت الإجارة بانتفاء محلّها وموضوعها</w:t>
      </w:r>
      <w:r w:rsidRPr="00F27422">
        <w:rPr>
          <w:rFonts w:asciiTheme="minorBidi" w:hAnsiTheme="minorBidi"/>
          <w:sz w:val="32"/>
          <w:szCs w:val="32"/>
        </w:rPr>
        <w:t>.</w:t>
      </w:r>
    </w:p>
    <w:p w14:paraId="10F53F68"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lastRenderedPageBreak/>
        <w:t xml:space="preserve">وفي كليهما - سواء كشف الموتُ عن عدم الملك بسبب العجز أو كشف الموت عن انتفاء محلّ الإجارة - تبطل الإجارة، بمعنى انكشاف عدم انعقادها من أوّل الأمر لفقد شرط الصحّة، لا بمعنى الانفساخ كما توهمه عبارة بعض الأجلة (رحمه الله) في كتابه [الإجارة، ج1، ص229] حيث قال: </w:t>
      </w:r>
      <w:r w:rsidRPr="00F27422">
        <w:rPr>
          <w:rFonts w:asciiTheme="minorBidi" w:hAnsiTheme="minorBidi"/>
          <w:b/>
          <w:bCs/>
          <w:sz w:val="32"/>
          <w:szCs w:val="32"/>
          <w:rtl/>
        </w:rPr>
        <w:t>(ثمّ إنَّ البطلان هنا ليس بمعنى الفضولية، بل بمعنى انفساخ الإجارة بخلافه فيما سبق، فلا تغفل)</w:t>
      </w:r>
      <w:r w:rsidRPr="00F27422">
        <w:rPr>
          <w:rFonts w:asciiTheme="minorBidi" w:hAnsiTheme="minorBidi"/>
          <w:b/>
          <w:bCs/>
          <w:sz w:val="32"/>
          <w:szCs w:val="32"/>
        </w:rPr>
        <w:t>.</w:t>
      </w:r>
    </w:p>
    <w:p w14:paraId="2B8E3ED7"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وأمّا في الحالة الثانية،</w:t>
      </w:r>
      <w:r w:rsidRPr="00F27422">
        <w:rPr>
          <w:rFonts w:asciiTheme="minorBidi" w:hAnsiTheme="minorBidi"/>
          <w:sz w:val="32"/>
          <w:szCs w:val="32"/>
          <w:rtl/>
        </w:rPr>
        <w:t xml:space="preserve"> وهو ما إذا أمكنه إنجازُ العمل حال حياته لكنه لم ينجزه حتى مات</w:t>
      </w:r>
      <w:r w:rsidRPr="00F27422">
        <w:rPr>
          <w:rFonts w:asciiTheme="minorBidi" w:hAnsiTheme="minorBidi"/>
          <w:sz w:val="32"/>
          <w:szCs w:val="32"/>
        </w:rPr>
        <w:t>.</w:t>
      </w:r>
    </w:p>
    <w:p w14:paraId="0B0D9194" w14:textId="77777777" w:rsidR="00465B2B" w:rsidRPr="00F27422" w:rsidRDefault="00465B2B" w:rsidP="00122B70">
      <w:pPr>
        <w:bidi/>
        <w:rPr>
          <w:rFonts w:asciiTheme="minorBidi" w:hAnsiTheme="minorBidi"/>
          <w:sz w:val="32"/>
          <w:szCs w:val="32"/>
          <w:rtl/>
        </w:rPr>
      </w:pPr>
      <w:r w:rsidRPr="00F27422">
        <w:rPr>
          <w:rFonts w:asciiTheme="minorBidi" w:hAnsiTheme="minorBidi"/>
          <w:sz w:val="32"/>
          <w:szCs w:val="32"/>
          <w:rtl/>
        </w:rPr>
        <w:t>فإنْ كان العملُ كُلّيّاً، كما إذا استَأْجَرهُ على كُلّي الطبابة في ذمّته - لا على الطبابة الصادرة منه - وكان الميت هو الأجير كان ضامناً لقيمة العمل للمستأجر كسائر الدُيون التي تثبت في تركته.</w:t>
      </w:r>
    </w:p>
    <w:p w14:paraId="22969B95"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t>وإنْ كان العمل المُستَأْجَر عليه خارجياً، كما إذا اِستُؤجِرَ الطبيبُ وهو في غرفة العمليات على ما يصدر منه من عملٍ في هذه الساعة، بطلت الإجارة بموت الطبيب</w:t>
      </w:r>
      <w:r w:rsidRPr="00F27422">
        <w:rPr>
          <w:rFonts w:asciiTheme="minorBidi" w:hAnsiTheme="minorBidi"/>
          <w:sz w:val="32"/>
          <w:szCs w:val="32"/>
        </w:rPr>
        <w:t>.</w:t>
      </w:r>
    </w:p>
    <w:p w14:paraId="06DB5B2E" w14:textId="77777777" w:rsidR="00465B2B" w:rsidRPr="00F27422" w:rsidRDefault="00465B2B" w:rsidP="00122B70">
      <w:pPr>
        <w:bidi/>
        <w:rPr>
          <w:rFonts w:asciiTheme="minorBidi" w:hAnsiTheme="minorBidi"/>
          <w:sz w:val="32"/>
          <w:szCs w:val="32"/>
          <w:rtl/>
        </w:rPr>
      </w:pPr>
      <w:r w:rsidRPr="00F27422">
        <w:rPr>
          <w:rFonts w:asciiTheme="minorBidi" w:hAnsiTheme="minorBidi"/>
          <w:sz w:val="32"/>
          <w:szCs w:val="32"/>
          <w:rtl/>
        </w:rPr>
        <w:t xml:space="preserve">وخالف في ذلك السيد الحكيم السبط (قدس سره الشريف) ومنع من ضمان الكُلّي الذمي وبنى على بطلان الإجارة كما في كتابه [مصباح المنهاج، كتاب الإجارة، ص231]، وأحال وجه المنع في مسألتنا هنا على ما ذكره في المسألة الثامنة في نفس المصدر [ص203]، الذي أبانه بقوله: </w:t>
      </w:r>
      <w:r w:rsidRPr="00F27422">
        <w:rPr>
          <w:rFonts w:asciiTheme="minorBidi" w:hAnsiTheme="minorBidi"/>
          <w:b/>
          <w:bCs/>
          <w:sz w:val="32"/>
          <w:szCs w:val="32"/>
          <w:rtl/>
        </w:rPr>
        <w:t xml:space="preserve">(نعم قد يشكل ذلك بأن دليل مانعية تعذر منفعة الأشخاص والأعيان من ملكيتها بالإجارة كما يقتضي بطلان الإجارة مع انكشاف تعذر المنفعة من أول الأمر يقتضي بطلانها </w:t>
      </w:r>
      <w:proofErr w:type="spellStart"/>
      <w:r w:rsidRPr="00F27422">
        <w:rPr>
          <w:rFonts w:asciiTheme="minorBidi" w:hAnsiTheme="minorBidi"/>
          <w:b/>
          <w:bCs/>
          <w:sz w:val="32"/>
          <w:szCs w:val="32"/>
          <w:rtl/>
        </w:rPr>
        <w:t>بطروء</w:t>
      </w:r>
      <w:proofErr w:type="spellEnd"/>
      <w:r w:rsidRPr="00F27422">
        <w:rPr>
          <w:rFonts w:asciiTheme="minorBidi" w:hAnsiTheme="minorBidi"/>
          <w:b/>
          <w:bCs/>
          <w:sz w:val="32"/>
          <w:szCs w:val="32"/>
          <w:rtl/>
        </w:rPr>
        <w:t xml:space="preserve"> التعذر).</w:t>
      </w:r>
    </w:p>
    <w:p w14:paraId="2845A218"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t>ثم قال:</w:t>
      </w:r>
      <w:r w:rsidRPr="00F27422">
        <w:rPr>
          <w:rFonts w:asciiTheme="minorBidi" w:hAnsiTheme="minorBidi"/>
          <w:b/>
          <w:bCs/>
          <w:sz w:val="32"/>
          <w:szCs w:val="32"/>
          <w:rtl/>
        </w:rPr>
        <w:t xml:space="preserve"> (وبعبارة أخرى: إمكان العمل - الذي هو محل الكلام في المقام - كما يكون شرطاً في فعلية التكليف به)</w:t>
      </w:r>
      <w:r w:rsidRPr="00F27422">
        <w:rPr>
          <w:rFonts w:asciiTheme="minorBidi" w:hAnsiTheme="minorBidi"/>
          <w:sz w:val="32"/>
          <w:szCs w:val="32"/>
          <w:rtl/>
        </w:rPr>
        <w:t xml:space="preserve"> إذ لا يجب على الإنسان أنْ يأتي بعمل إلّا إذا كان قادراً عليه (</w:t>
      </w:r>
      <w:r w:rsidRPr="00F27422">
        <w:rPr>
          <w:rFonts w:asciiTheme="minorBidi" w:hAnsiTheme="minorBidi"/>
          <w:b/>
          <w:bCs/>
          <w:sz w:val="32"/>
          <w:szCs w:val="32"/>
          <w:rtl/>
        </w:rPr>
        <w:t xml:space="preserve">يكون شرطاً في فعلية ملكيته، لابتناء ملكية العمل على تحمل مسؤولية تحقيقه، لا على مجرد انشغال الذمة به، كسائر الأموال. وإلا فالعمل كلي في ذمة الأجير كالأجر الكلي في ذمة المستأجر، فلماذا ينكشف بطلان الإجارة بانكشاف تعذر العمل من أول الأمر، ولا ينكشف بطلانها بانكشاف تعذر الأجر </w:t>
      </w:r>
      <w:proofErr w:type="gramStart"/>
      <w:r w:rsidRPr="00F27422">
        <w:rPr>
          <w:rFonts w:asciiTheme="minorBidi" w:hAnsiTheme="minorBidi"/>
          <w:b/>
          <w:bCs/>
          <w:sz w:val="32"/>
          <w:szCs w:val="32"/>
          <w:rtl/>
        </w:rPr>
        <w:t>كذلك؟!.</w:t>
      </w:r>
      <w:proofErr w:type="gramEnd"/>
      <w:r w:rsidRPr="00F27422">
        <w:rPr>
          <w:rFonts w:asciiTheme="minorBidi" w:hAnsiTheme="minorBidi"/>
          <w:b/>
          <w:bCs/>
          <w:sz w:val="32"/>
          <w:szCs w:val="32"/>
          <w:rtl/>
        </w:rPr>
        <w:t>).</w:t>
      </w:r>
    </w:p>
    <w:p w14:paraId="126836E8"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وتقريبه:</w:t>
      </w:r>
      <w:r w:rsidRPr="00F27422">
        <w:rPr>
          <w:rFonts w:asciiTheme="minorBidi" w:hAnsiTheme="minorBidi"/>
          <w:sz w:val="32"/>
          <w:szCs w:val="32"/>
          <w:rtl/>
        </w:rPr>
        <w:t xml:space="preserve"> أنّ مناط الصحّة هو اعتبار إمكان العمل في تمام مدّة الإجارة في ثبوت المِلكيَّة، فكون العمل ممكن التحقق بتمامه في بعض المدّة ليس كافياً في المِلكيَّة، بل لابُدّ من إمكانه في تمام المدّة بحيث يكون مخيراً في إيقاعه في أيّ جزء منها، لابتناء الملكية على تحمل مسؤولية تحقيقه لا على مجرد إدخاله في الذمّة، فإذا تعذر العمل في الأثناء لموتٍ أو عجزٍ بعد أنْ كان </w:t>
      </w:r>
      <w:r w:rsidRPr="00F27422">
        <w:rPr>
          <w:rFonts w:asciiTheme="minorBidi" w:hAnsiTheme="minorBidi"/>
          <w:sz w:val="32"/>
          <w:szCs w:val="32"/>
          <w:rtl/>
        </w:rPr>
        <w:lastRenderedPageBreak/>
        <w:t>ممكناً انكشف أنّ الأجير لم يكن مخيراً في إيقاع العمل في أيّ جزءٍ من الزمن؛ بل كان متعيناً عليه إيقاعه في أوّل الوقت، مما يعني عدم تحمله مسؤولية تحقيقه على كلّ حال.</w:t>
      </w:r>
    </w:p>
    <w:p w14:paraId="430F20FF"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b/>
          <w:bCs/>
          <w:sz w:val="32"/>
          <w:szCs w:val="32"/>
          <w:rtl/>
        </w:rPr>
        <w:t>ويلاحظ على ذلك</w:t>
      </w:r>
      <w:r w:rsidRPr="00F27422">
        <w:rPr>
          <w:rFonts w:asciiTheme="minorBidi" w:hAnsiTheme="minorBidi"/>
          <w:b/>
          <w:bCs/>
          <w:sz w:val="32"/>
          <w:szCs w:val="32"/>
        </w:rPr>
        <w:t>:</w:t>
      </w:r>
    </w:p>
    <w:p w14:paraId="3671B1C0" w14:textId="77777777" w:rsidR="00465B2B" w:rsidRPr="00F27422" w:rsidRDefault="00465B2B" w:rsidP="00122B70">
      <w:pPr>
        <w:bidi/>
        <w:rPr>
          <w:rFonts w:asciiTheme="minorBidi" w:hAnsiTheme="minorBidi"/>
          <w:sz w:val="32"/>
          <w:szCs w:val="32"/>
          <w:rtl/>
        </w:rPr>
      </w:pPr>
      <w:r w:rsidRPr="00F27422">
        <w:rPr>
          <w:rFonts w:asciiTheme="minorBidi" w:hAnsiTheme="minorBidi"/>
          <w:sz w:val="32"/>
          <w:szCs w:val="32"/>
          <w:rtl/>
        </w:rPr>
        <w:t>مَنْعُ تَقَوُّمِ المِلكيَّة للعمل لدى المرتكز العقلائي بتحمل مسؤولية تحقيقه؛ فإنّ ذلك أثر من آثار الملكية لا مقوم لمِلكيَّة العمل في ذمّته، فإنّ المناط في مِلكيَّة العمل في الذمّة بعقد الإجارة أنْ لا يكون الملك لغواً، ويكفي في صحّتها وعدم لغويتها ترتب أثرٍ على هذه المِلكيَّة كسائر الدُيون التي يتعذر على المَدين أداؤها حال حياته، ولو كان الأثر هو إمكان تمليكه للغير وضمانه أو الصلح عليه.</w:t>
      </w:r>
    </w:p>
    <w:p w14:paraId="42BCE7CB" w14:textId="77777777" w:rsidR="00465B2B" w:rsidRPr="00F27422" w:rsidRDefault="00465B2B" w:rsidP="00122B70">
      <w:pPr>
        <w:bidi/>
        <w:rPr>
          <w:rFonts w:asciiTheme="minorBidi" w:hAnsiTheme="minorBidi"/>
          <w:b/>
          <w:bCs/>
          <w:sz w:val="32"/>
          <w:szCs w:val="32"/>
          <w:rtl/>
          <w:lang w:bidi="ar-BH"/>
        </w:rPr>
      </w:pPr>
      <w:r w:rsidRPr="00F27422">
        <w:rPr>
          <w:rFonts w:asciiTheme="minorBidi" w:hAnsiTheme="minorBidi"/>
          <w:sz w:val="32"/>
          <w:szCs w:val="32"/>
          <w:rtl/>
        </w:rPr>
        <w:t>وفي طول تمامية الإجارة مَلَكَ المُستأجِرُ على ذمَته العمل فإذا مات فهو كسائر الدُيون التي تستخرج من تركته</w:t>
      </w:r>
      <w:r w:rsidRPr="00F27422">
        <w:rPr>
          <w:rFonts w:asciiTheme="minorBidi" w:hAnsiTheme="minorBidi"/>
          <w:sz w:val="32"/>
          <w:szCs w:val="32"/>
        </w:rPr>
        <w:t>.</w:t>
      </w:r>
    </w:p>
    <w:p w14:paraId="641536CD" w14:textId="77777777" w:rsidR="00465B2B" w:rsidRPr="00F27422" w:rsidRDefault="00465B2B" w:rsidP="00122B70">
      <w:pPr>
        <w:bidi/>
        <w:rPr>
          <w:rFonts w:asciiTheme="minorBidi" w:hAnsiTheme="minorBidi"/>
          <w:sz w:val="32"/>
          <w:szCs w:val="32"/>
          <w:rtl/>
        </w:rPr>
      </w:pPr>
      <w:r w:rsidRPr="00F27422">
        <w:rPr>
          <w:rFonts w:asciiTheme="minorBidi" w:hAnsiTheme="minorBidi"/>
          <w:b/>
          <w:bCs/>
          <w:sz w:val="32"/>
          <w:szCs w:val="32"/>
          <w:rtl/>
        </w:rPr>
        <w:t>الأمرُ الرابع:</w:t>
      </w:r>
      <w:r w:rsidRPr="00F27422">
        <w:rPr>
          <w:rFonts w:asciiTheme="minorBidi" w:hAnsiTheme="minorBidi"/>
          <w:sz w:val="32"/>
          <w:szCs w:val="32"/>
          <w:rtl/>
        </w:rPr>
        <w:t xml:space="preserve"> أنّه لا فرق في محلّ الكلام بين الموت والعجز التام، فإنّه لا موضوعية للموت؛ بل الموضوعية لتحقق العجز قبل العمل أو أثناءَهُ.</w:t>
      </w:r>
    </w:p>
    <w:p w14:paraId="1CE4516F" w14:textId="77777777" w:rsidR="00465B2B" w:rsidRPr="00F27422" w:rsidRDefault="00465B2B" w:rsidP="00122B70">
      <w:pPr>
        <w:bidi/>
        <w:rPr>
          <w:rFonts w:asciiTheme="minorBidi" w:hAnsiTheme="minorBidi"/>
          <w:sz w:val="32"/>
          <w:szCs w:val="32"/>
          <w:rtl/>
        </w:rPr>
      </w:pPr>
    </w:p>
    <w:p w14:paraId="7E14C592" w14:textId="77777777" w:rsidR="00465B2B" w:rsidRPr="00F27422" w:rsidRDefault="00465B2B" w:rsidP="00122B70">
      <w:pPr>
        <w:bidi/>
        <w:rPr>
          <w:rFonts w:asciiTheme="minorBidi" w:hAnsiTheme="minorBidi"/>
          <w:b/>
          <w:bCs/>
          <w:sz w:val="32"/>
          <w:szCs w:val="32"/>
          <w:rtl/>
        </w:rPr>
      </w:pPr>
      <w:r w:rsidRPr="00F27422">
        <w:rPr>
          <w:rFonts w:asciiTheme="minorBidi" w:hAnsiTheme="minorBidi"/>
          <w:b/>
          <w:bCs/>
          <w:sz w:val="32"/>
          <w:szCs w:val="32"/>
          <w:rtl/>
        </w:rPr>
        <w:t xml:space="preserve">والحمد لله رب العالمين </w:t>
      </w:r>
    </w:p>
    <w:p w14:paraId="25157DE3" w14:textId="77777777" w:rsidR="00F16915" w:rsidRPr="00F27422" w:rsidRDefault="00F16915" w:rsidP="00122B70">
      <w:pPr>
        <w:bidi/>
        <w:rPr>
          <w:rFonts w:asciiTheme="minorBidi" w:hAnsiTheme="minorBidi"/>
          <w:sz w:val="32"/>
          <w:szCs w:val="32"/>
          <w:rtl/>
        </w:rPr>
      </w:pPr>
    </w:p>
    <w:p w14:paraId="77796B90" w14:textId="77777777" w:rsidR="000379B0" w:rsidRPr="00F27422" w:rsidRDefault="000379B0" w:rsidP="00122B70">
      <w:pPr>
        <w:bidi/>
        <w:rPr>
          <w:rFonts w:asciiTheme="minorBidi" w:hAnsiTheme="minorBidi"/>
          <w:sz w:val="32"/>
          <w:szCs w:val="32"/>
          <w:rtl/>
        </w:rPr>
      </w:pPr>
    </w:p>
    <w:p w14:paraId="616F2FF1" w14:textId="3AD94011" w:rsidR="000379B0" w:rsidRPr="00F27422" w:rsidRDefault="000379B0" w:rsidP="00122B70">
      <w:pPr>
        <w:pStyle w:val="Heading3"/>
        <w:bidi/>
        <w:rPr>
          <w:rFonts w:asciiTheme="minorBidi" w:hAnsiTheme="minorBidi"/>
          <w:sz w:val="32"/>
          <w:szCs w:val="32"/>
          <w:rtl/>
        </w:rPr>
      </w:pPr>
      <w:r w:rsidRPr="00F27422">
        <w:rPr>
          <w:rFonts w:asciiTheme="minorBidi" w:hAnsiTheme="minorBidi" w:hint="cs"/>
          <w:sz w:val="32"/>
          <w:szCs w:val="32"/>
          <w:rtl/>
        </w:rPr>
        <w:t>038</w:t>
      </w:r>
    </w:p>
    <w:p w14:paraId="5679C68C" w14:textId="77777777" w:rsidR="00714FC7" w:rsidRPr="00F27422" w:rsidRDefault="00714FC7" w:rsidP="00122B70">
      <w:pPr>
        <w:bidi/>
        <w:spacing w:after="0" w:line="216" w:lineRule="auto"/>
        <w:ind w:firstLine="397"/>
        <w:rPr>
          <w:rFonts w:ascii="mylotus" w:eastAsia="Times New Roman" w:hAnsi="mylotus" w:cs="mylotus"/>
          <w:b/>
          <w:bCs/>
          <w:kern w:val="0"/>
          <w:sz w:val="32"/>
          <w:szCs w:val="32"/>
          <w:rtl/>
          <w14:ligatures w14:val="none"/>
        </w:rPr>
      </w:pPr>
      <w:r w:rsidRPr="00F27422">
        <w:rPr>
          <w:rFonts w:ascii="mylotus" w:eastAsia="Times New Roman" w:hAnsi="mylotus" w:cs="mylotus"/>
          <w:b/>
          <w:bCs/>
          <w:kern w:val="0"/>
          <w:sz w:val="32"/>
          <w:szCs w:val="32"/>
          <w:rtl/>
          <w14:ligatures w14:val="none"/>
        </w:rPr>
        <w:t>بسم الله الرحمن الرحيم</w:t>
      </w:r>
    </w:p>
    <w:p w14:paraId="18C2CADE" w14:textId="77777777" w:rsidR="00714FC7" w:rsidRPr="00F27422" w:rsidRDefault="00714FC7" w:rsidP="00122B70">
      <w:pPr>
        <w:bidi/>
        <w:spacing w:after="0" w:line="216" w:lineRule="auto"/>
        <w:ind w:firstLine="397"/>
        <w:rPr>
          <w:rFonts w:ascii="mylotus" w:eastAsia="Times New Roman" w:hAnsi="mylotus" w:cs="mylotus"/>
          <w:b/>
          <w:bCs/>
          <w:kern w:val="0"/>
          <w:sz w:val="32"/>
          <w:szCs w:val="32"/>
          <w:rtl/>
          <w14:ligatures w14:val="none"/>
        </w:rPr>
      </w:pPr>
      <w:r w:rsidRPr="00F27422">
        <w:rPr>
          <w:rFonts w:ascii="mylotus" w:eastAsia="Times New Roman" w:hAnsi="mylotus" w:cs="mylotus"/>
          <w:b/>
          <w:bCs/>
          <w:kern w:val="0"/>
          <w:sz w:val="32"/>
          <w:szCs w:val="32"/>
          <w:rtl/>
          <w14:ligatures w14:val="none"/>
        </w:rPr>
        <w:t>والصلاة والسلام على أشرف الأنبياء والمرسلين، محمد وآله الطيبين الطاهرين</w:t>
      </w:r>
    </w:p>
    <w:p w14:paraId="03ED709B"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واللعن الدائم على أعدائهم أجمعين إلى قيام يوم الدين</w:t>
      </w:r>
    </w:p>
    <w:p w14:paraId="4705A880"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p>
    <w:p w14:paraId="3F1E0733"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الوجه الرابع:</w:t>
      </w:r>
      <w:r w:rsidRPr="00F27422">
        <w:rPr>
          <w:rFonts w:ascii="mylotus" w:eastAsia="Times New Roman" w:hAnsi="mylotus" w:cs="mylotus"/>
          <w:kern w:val="0"/>
          <w:sz w:val="32"/>
          <w:szCs w:val="32"/>
          <w:rtl/>
          <w14:ligatures w14:val="none"/>
        </w:rPr>
        <w:t xml:space="preserve"> - الذي استدل به على بطلان الإجارة في فرض موت الم</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ستأجر قبل زمن الانتفاع مع تقييد متعلّق الإجارة بالانتفاع على نحو المباشر</w:t>
      </w:r>
      <w:r w:rsidRPr="00F27422">
        <w:rPr>
          <w:rFonts w:ascii="mylotus" w:eastAsia="Times New Roman" w:hAnsi="mylotus" w:cs="mylotus" w:hint="cs"/>
          <w:kern w:val="0"/>
          <w:sz w:val="32"/>
          <w:szCs w:val="32"/>
          <w:rtl/>
          <w14:ligatures w14:val="none"/>
        </w:rPr>
        <w:t>ة -</w:t>
      </w:r>
    </w:p>
    <w:p w14:paraId="7E06FB0D"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وحاصله:</w:t>
      </w:r>
      <w:r w:rsidRPr="00F27422">
        <w:rPr>
          <w:rFonts w:ascii="mylotus" w:eastAsia="Times New Roman" w:hAnsi="mylotus" w:cs="mylotus"/>
          <w:kern w:val="0"/>
          <w:sz w:val="32"/>
          <w:szCs w:val="32"/>
          <w:rtl/>
          <w14:ligatures w14:val="none"/>
        </w:rPr>
        <w:t xml:space="preserve"> انتفاء المالية، لا انتفاء نفس المنفعة ولا انتفاء المِلكيّ</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ة كما في الوجه الثاني؛ وإنّما المنتفي في هذا الفرض هو المالية</w:t>
      </w:r>
      <w:r w:rsidRPr="00F27422">
        <w:rPr>
          <w:rFonts w:ascii="mylotus" w:eastAsia="Times New Roman" w:hAnsi="mylotus" w:cs="mylotus"/>
          <w:kern w:val="0"/>
          <w:sz w:val="32"/>
          <w:szCs w:val="32"/>
          <w14:ligatures w14:val="none"/>
        </w:rPr>
        <w:t>.</w:t>
      </w:r>
    </w:p>
    <w:p w14:paraId="6CDA2585"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بتقريب:</w:t>
      </w:r>
      <w:r w:rsidRPr="00F27422">
        <w:rPr>
          <w:rFonts w:ascii="mylotus" w:eastAsia="Times New Roman" w:hAnsi="mylotus" w:cs="mylotus"/>
          <w:kern w:val="0"/>
          <w:sz w:val="32"/>
          <w:szCs w:val="32"/>
          <w:rtl/>
          <w14:ligatures w14:val="none"/>
        </w:rPr>
        <w:t xml:space="preserve"> أنّه في فرض عدم تمكن المُستأجر من س</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كنى الدار بنفسه لسببٍ سماوي كالموت أو الزلزلة أو نحو ذلك </w:t>
      </w:r>
      <w:r w:rsidRPr="00F27422">
        <w:rPr>
          <w:rFonts w:ascii="mylotus" w:eastAsia="Times New Roman" w:hAnsi="mylotus" w:cs="mylotus"/>
          <w:kern w:val="0"/>
          <w:sz w:val="32"/>
          <w:szCs w:val="32"/>
          <w:highlight w:val="yellow"/>
          <w:rtl/>
          <w14:ligatures w14:val="none"/>
        </w:rPr>
        <w:t>ينكشف أنّ المنفعة ليس لها مالية مِن أوّل الأمر</w:t>
      </w:r>
      <w:r w:rsidRPr="00F27422">
        <w:rPr>
          <w:rFonts w:ascii="mylotus" w:eastAsia="Times New Roman" w:hAnsi="mylotus" w:cs="mylotus"/>
          <w:kern w:val="0"/>
          <w:sz w:val="32"/>
          <w:szCs w:val="32"/>
          <w:rtl/>
          <w14:ligatures w14:val="none"/>
        </w:rPr>
        <w:t>، بخلاف فرض التمكن مع التعذر لسبب</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 طارئ كما لو</w:t>
      </w:r>
      <w:r w:rsidRPr="00F27422">
        <w:rPr>
          <w:rFonts w:ascii="mylotus" w:eastAsia="Times New Roman" w:hAnsi="mylotus" w:cs="mylotus" w:hint="cs"/>
          <w:kern w:val="0"/>
          <w:sz w:val="32"/>
          <w:szCs w:val="32"/>
          <w:rtl/>
          <w14:ligatures w14:val="none"/>
        </w:rPr>
        <w:t xml:space="preserve"> </w:t>
      </w:r>
      <w:r w:rsidRPr="00F27422">
        <w:rPr>
          <w:rFonts w:ascii="mylotus" w:eastAsia="Times New Roman" w:hAnsi="mylotus" w:cs="mylotus"/>
          <w:kern w:val="0"/>
          <w:sz w:val="32"/>
          <w:szCs w:val="32"/>
          <w:rtl/>
          <w14:ligatures w14:val="none"/>
        </w:rPr>
        <w:t>حبسه ظالم أو غصب الدار منه غاصب</w:t>
      </w:r>
      <w:r w:rsidRPr="00F27422">
        <w:rPr>
          <w:rFonts w:ascii="mylotus" w:eastAsia="Times New Roman" w:hAnsi="mylotus" w:cs="mylotus"/>
          <w:kern w:val="0"/>
          <w:sz w:val="32"/>
          <w:szCs w:val="32"/>
          <w14:ligatures w14:val="none"/>
        </w:rPr>
        <w:t>.</w:t>
      </w:r>
    </w:p>
    <w:p w14:paraId="07DE4CA4"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lastRenderedPageBreak/>
        <w:t>فمن الواضح الفرق بين الفرضين،</w:t>
      </w:r>
      <w:r w:rsidRPr="00F27422">
        <w:rPr>
          <w:rFonts w:ascii="mylotus" w:eastAsia="Times New Roman" w:hAnsi="mylotus" w:cs="mylotus"/>
          <w:kern w:val="0"/>
          <w:sz w:val="32"/>
          <w:szCs w:val="32"/>
          <w:rtl/>
          <w14:ligatures w14:val="none"/>
        </w:rPr>
        <w:t xml:space="preserve"> فرض عدم تمكنه من استيفاء المنفعة لسببٍ سماوي كالموت أو الزلزلة أو نحو ذلك من أو</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ل أزمنة الإجارة، </w:t>
      </w:r>
      <w:r w:rsidRPr="00F27422">
        <w:rPr>
          <w:rFonts w:ascii="mylotus" w:eastAsia="Times New Roman" w:hAnsi="mylotus" w:cs="mylotus"/>
          <w:b/>
          <w:bCs/>
          <w:kern w:val="0"/>
          <w:sz w:val="32"/>
          <w:szCs w:val="32"/>
          <w:rtl/>
          <w14:ligatures w14:val="none"/>
        </w:rPr>
        <w:t>فهذا يعني:</w:t>
      </w:r>
      <w:r w:rsidRPr="00F27422">
        <w:rPr>
          <w:rFonts w:ascii="mylotus" w:eastAsia="Times New Roman" w:hAnsi="mylotus" w:cs="mylotus"/>
          <w:kern w:val="0"/>
          <w:sz w:val="32"/>
          <w:szCs w:val="32"/>
          <w:rtl/>
          <w14:ligatures w14:val="none"/>
        </w:rPr>
        <w:t xml:space="preserve"> أنّ المنفعة المتعلّقة للإجارة مما لا مالية لها، وبين تعذر الاستيفاء لسببٍ آخر كسفره أو</w:t>
      </w:r>
      <w:r w:rsidRPr="00F27422">
        <w:rPr>
          <w:rFonts w:ascii="mylotus" w:eastAsia="Times New Roman" w:hAnsi="mylotus" w:cs="mylotus" w:hint="cs"/>
          <w:kern w:val="0"/>
          <w:sz w:val="32"/>
          <w:szCs w:val="32"/>
          <w:rtl/>
          <w14:ligatures w14:val="none"/>
        </w:rPr>
        <w:t xml:space="preserve"> </w:t>
      </w:r>
      <w:r w:rsidRPr="00F27422">
        <w:rPr>
          <w:rFonts w:ascii="mylotus" w:eastAsia="Times New Roman" w:hAnsi="mylotus" w:cs="mylotus"/>
          <w:kern w:val="0"/>
          <w:sz w:val="32"/>
          <w:szCs w:val="32"/>
          <w:rtl/>
          <w14:ligatures w14:val="none"/>
        </w:rPr>
        <w:t>حبسه أو غصب الغاصب له، فإنّه يصدق أنّه مالٌ أتلفه على نفسه أو أتلفه عليه الغاصب فيكون الغاصب ضامناً له</w:t>
      </w:r>
      <w:r w:rsidRPr="00F27422">
        <w:rPr>
          <w:rFonts w:ascii="mylotus" w:eastAsia="Times New Roman" w:hAnsi="mylotus" w:cs="mylotus"/>
          <w:kern w:val="0"/>
          <w:sz w:val="32"/>
          <w:szCs w:val="32"/>
          <w14:ligatures w14:val="none"/>
        </w:rPr>
        <w:t>.</w:t>
      </w:r>
    </w:p>
    <w:p w14:paraId="762EE3A6" w14:textId="77777777" w:rsidR="00714FC7" w:rsidRPr="00F27422" w:rsidRDefault="00714FC7" w:rsidP="00122B70">
      <w:pPr>
        <w:bidi/>
        <w:spacing w:after="0" w:line="216" w:lineRule="auto"/>
        <w:ind w:firstLine="397"/>
        <w:rPr>
          <w:rFonts w:ascii="mylotus" w:eastAsia="Times New Roman" w:hAnsi="mylotus" w:cs="mylotus"/>
          <w:b/>
          <w:bCs/>
          <w:kern w:val="0"/>
          <w:sz w:val="32"/>
          <w:szCs w:val="32"/>
          <w:rtl/>
          <w14:ligatures w14:val="none"/>
        </w:rPr>
      </w:pPr>
      <w:r w:rsidRPr="00F27422">
        <w:rPr>
          <w:rFonts w:ascii="mylotus" w:eastAsia="Times New Roman" w:hAnsi="mylotus" w:cs="mylotus"/>
          <w:kern w:val="0"/>
          <w:sz w:val="32"/>
          <w:szCs w:val="32"/>
          <w:rtl/>
          <w14:ligatures w14:val="none"/>
        </w:rPr>
        <w:t xml:space="preserve">وأُورد على ذلك من قبل بعض الأجلة (رحمه الله) في كتابه [الإجارة، ج1، ص231 </w:t>
      </w:r>
      <w:r w:rsidRPr="00F27422">
        <w:rPr>
          <w:rFonts w:ascii="Times New Roman" w:eastAsia="Times New Roman" w:hAnsi="Times New Roman" w:cs="Times New Roman" w:hint="cs"/>
          <w:kern w:val="0"/>
          <w:sz w:val="32"/>
          <w:szCs w:val="32"/>
          <w:rtl/>
          <w14:ligatures w14:val="none"/>
        </w:rPr>
        <w:t>–</w:t>
      </w:r>
      <w:r w:rsidRPr="00F27422">
        <w:rPr>
          <w:rFonts w:ascii="mylotus" w:eastAsia="Times New Roman" w:hAnsi="mylotus" w:cs="mylotus"/>
          <w:kern w:val="0"/>
          <w:sz w:val="32"/>
          <w:szCs w:val="32"/>
          <w:rtl/>
          <w14:ligatures w14:val="none"/>
        </w:rPr>
        <w:t xml:space="preserve"> 232] </w:t>
      </w:r>
      <w:r w:rsidRPr="00F27422">
        <w:rPr>
          <w:rFonts w:ascii="mylotus" w:eastAsia="Times New Roman" w:hAnsi="mylotus" w:cs="mylotus" w:hint="cs"/>
          <w:kern w:val="0"/>
          <w:sz w:val="32"/>
          <w:szCs w:val="32"/>
          <w:rtl/>
          <w14:ligatures w14:val="none"/>
        </w:rPr>
        <w:t>بقوله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b/>
          <w:bCs/>
          <w:kern w:val="0"/>
          <w:sz w:val="32"/>
          <w:szCs w:val="32"/>
          <w:rtl/>
          <w14:ligatures w14:val="none"/>
        </w:rPr>
        <w:t>(</w:t>
      </w:r>
      <w:r w:rsidRPr="00F27422">
        <w:rPr>
          <w:rFonts w:ascii="mylotus" w:eastAsia="Times New Roman" w:hAnsi="mylotus" w:cs="mylotus" w:hint="cs"/>
          <w:b/>
          <w:bCs/>
          <w:kern w:val="0"/>
          <w:sz w:val="32"/>
          <w:szCs w:val="32"/>
          <w:rtl/>
          <w14:ligatures w14:val="none"/>
        </w:rPr>
        <w:t>إلّا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أنّ</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هذا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الوجه</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أيضاً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لا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يمكن</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المساعدة</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عليه</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لأنّ</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العرف</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لا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يرى</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فرقاً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بينهما</w:t>
      </w:r>
      <w:r w:rsidRPr="00F27422">
        <w:rPr>
          <w:rFonts w:ascii="mylotus" w:eastAsia="Times New Roman" w:hAnsi="mylotus" w:cs="mylotus"/>
          <w:b/>
          <w:bCs/>
          <w:kern w:val="0"/>
          <w:sz w:val="32"/>
          <w:szCs w:val="32"/>
          <w:rtl/>
          <w14:ligatures w14:val="none"/>
        </w:rPr>
        <w:t>)</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أي</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بين</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فرض</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التعذر</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بسببٍ</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سماوي</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أو</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التعذر</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بسببٍ</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آخر</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b/>
          <w:bCs/>
          <w:kern w:val="0"/>
          <w:sz w:val="32"/>
          <w:szCs w:val="32"/>
          <w:rtl/>
          <w14:ligatures w14:val="none"/>
        </w:rPr>
        <w:t>(</w:t>
      </w:r>
      <w:r w:rsidRPr="00F27422">
        <w:rPr>
          <w:rFonts w:ascii="mylotus" w:eastAsia="Times New Roman" w:hAnsi="mylotus" w:cs="mylotus" w:hint="cs"/>
          <w:b/>
          <w:bCs/>
          <w:kern w:val="0"/>
          <w:sz w:val="32"/>
          <w:szCs w:val="32"/>
          <w:rtl/>
          <w14:ligatures w14:val="none"/>
        </w:rPr>
        <w:t>فإنّ</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المالية</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للأموال</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والمنافع</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لا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ترتبط</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بإمكان</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الاستيفاء</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والانتفاع</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بها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وعدمه</w:t>
      </w:r>
      <w:r w:rsidRPr="00F27422">
        <w:rPr>
          <w:rFonts w:ascii="mylotus" w:eastAsia="Times New Roman" w:hAnsi="mylotus" w:cs="mylotus"/>
          <w:b/>
          <w:bCs/>
          <w:kern w:val="0"/>
          <w:sz w:val="32"/>
          <w:szCs w:val="32"/>
          <w:rtl/>
          <w14:ligatures w14:val="none"/>
        </w:rPr>
        <w:t>)</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فمالية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المال</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شيءٌ</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وإمكان</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استيفاء</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منفعته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شيءٌ</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آخر،</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فليس</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المالية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منوطة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بإمكان</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الاستيفاء</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وعدمه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b/>
          <w:bCs/>
          <w:kern w:val="0"/>
          <w:sz w:val="32"/>
          <w:szCs w:val="32"/>
          <w:rtl/>
          <w14:ligatures w14:val="none"/>
        </w:rPr>
        <w:t>(</w:t>
      </w:r>
      <w:r w:rsidRPr="00F27422">
        <w:rPr>
          <w:rFonts w:ascii="mylotus" w:eastAsia="Times New Roman" w:hAnsi="mylotus" w:cs="mylotus" w:hint="cs"/>
          <w:b/>
          <w:bCs/>
          <w:kern w:val="0"/>
          <w:sz w:val="32"/>
          <w:szCs w:val="32"/>
          <w:rtl/>
          <w14:ligatures w14:val="none"/>
        </w:rPr>
        <w:t>ولذا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لا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ينبغي</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الشك</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في</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صحّة</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استئجار</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شخص</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داراً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يعلم</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أنّه</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لا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يتمكن</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من</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السكنى</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فيها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بقيد</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المباشرة</w:t>
      </w:r>
      <w:r w:rsidRPr="00F27422">
        <w:rPr>
          <w:rFonts w:ascii="mylotus" w:eastAsia="Times New Roman" w:hAnsi="mylotus" w:cs="mylotus"/>
          <w:b/>
          <w:bCs/>
          <w:kern w:val="0"/>
          <w:sz w:val="32"/>
          <w:szCs w:val="32"/>
          <w:rtl/>
          <w14:ligatures w14:val="none"/>
        </w:rPr>
        <w:t>)</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أو</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صحّة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استئجار</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شخصٍ</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سيارةً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ي</w:t>
      </w:r>
      <w:r w:rsidRPr="00F27422">
        <w:rPr>
          <w:rFonts w:ascii="mylotus" w:eastAsia="Times New Roman" w:hAnsi="mylotus" w:cs="mylotus"/>
          <w:kern w:val="0"/>
          <w:sz w:val="32"/>
          <w:szCs w:val="32"/>
          <w:rtl/>
          <w14:ligatures w14:val="none"/>
        </w:rPr>
        <w:t xml:space="preserve">علم أنّه لن يتمكن من سياقتها مع فرض تقيد متعلّق الإجارة بمباشرة السياقة بنفسه، فإنّ الإجارة لا إشكال في صحّتها؛ حيث يكفي في الصحّة عنوانُ المالكيّة، وإنْ كان عاجزاً عن استيفاء المنفعة </w:t>
      </w:r>
      <w:r w:rsidRPr="00F27422">
        <w:rPr>
          <w:rFonts w:ascii="mylotus" w:eastAsia="Times New Roman" w:hAnsi="mylotus" w:cs="mylotus"/>
          <w:b/>
          <w:bCs/>
          <w:kern w:val="0"/>
          <w:sz w:val="32"/>
          <w:szCs w:val="32"/>
          <w:rtl/>
          <w14:ligatures w14:val="none"/>
        </w:rPr>
        <w:t>(لمجرد أنّه يريد أن يكون مالكاً لهذه المنفعة في تلك الدار فيقال إنّه مالك لسكنى الدار)</w:t>
      </w:r>
      <w:r w:rsidRPr="00F27422">
        <w:rPr>
          <w:rFonts w:ascii="mylotus" w:eastAsia="Times New Roman" w:hAnsi="mylotus" w:cs="mylotus"/>
          <w:kern w:val="0"/>
          <w:sz w:val="32"/>
          <w:szCs w:val="32"/>
          <w:rtl/>
          <w14:ligatures w14:val="none"/>
        </w:rPr>
        <w:t xml:space="preserve"> عرفاً </w:t>
      </w:r>
      <w:r w:rsidRPr="00F27422">
        <w:rPr>
          <w:rFonts w:ascii="mylotus" w:eastAsia="Times New Roman" w:hAnsi="mylotus" w:cs="mylotus"/>
          <w:b/>
          <w:bCs/>
          <w:kern w:val="0"/>
          <w:sz w:val="32"/>
          <w:szCs w:val="32"/>
          <w:rtl/>
          <w14:ligatures w14:val="none"/>
        </w:rPr>
        <w:t>(وإن لم يكن قادراً عليه من أوّل الأمر فضلاً)</w:t>
      </w:r>
      <w:r w:rsidRPr="00F27422">
        <w:rPr>
          <w:rFonts w:ascii="mylotus" w:eastAsia="Times New Roman" w:hAnsi="mylotus" w:cs="mylotus"/>
          <w:kern w:val="0"/>
          <w:sz w:val="32"/>
          <w:szCs w:val="32"/>
          <w:rtl/>
          <w14:ligatures w14:val="none"/>
        </w:rPr>
        <w:t xml:space="preserve"> عما </w:t>
      </w:r>
      <w:r w:rsidRPr="00F27422">
        <w:rPr>
          <w:rFonts w:ascii="mylotus" w:eastAsia="Times New Roman" w:hAnsi="mylotus" w:cs="mylotus"/>
          <w:b/>
          <w:bCs/>
          <w:kern w:val="0"/>
          <w:sz w:val="32"/>
          <w:szCs w:val="32"/>
          <w:rtl/>
          <w14:ligatures w14:val="none"/>
        </w:rPr>
        <w:t>(إذا حصل سببه)</w:t>
      </w:r>
      <w:r w:rsidRPr="00F27422">
        <w:rPr>
          <w:rFonts w:ascii="mylotus" w:eastAsia="Times New Roman" w:hAnsi="mylotus" w:cs="mylotus"/>
          <w:kern w:val="0"/>
          <w:sz w:val="32"/>
          <w:szCs w:val="32"/>
          <w:rtl/>
          <w14:ligatures w14:val="none"/>
        </w:rPr>
        <w:t xml:space="preserve"> أي: سبب التعذر بسبب طارئٍ </w:t>
      </w:r>
      <w:r w:rsidRPr="00F27422">
        <w:rPr>
          <w:rFonts w:ascii="mylotus" w:eastAsia="Times New Roman" w:hAnsi="mylotus" w:cs="mylotus"/>
          <w:b/>
          <w:bCs/>
          <w:kern w:val="0"/>
          <w:sz w:val="32"/>
          <w:szCs w:val="32"/>
          <w:rtl/>
          <w14:ligatures w14:val="none"/>
        </w:rPr>
        <w:t>(بعد الإيجار كذلك</w:t>
      </w:r>
      <w:r w:rsidRPr="00F27422">
        <w:rPr>
          <w:rFonts w:ascii="mylotus" w:eastAsia="Times New Roman" w:hAnsi="mylotus" w:cs="mylotus"/>
          <w:b/>
          <w:bCs/>
          <w:kern w:val="0"/>
          <w:sz w:val="32"/>
          <w:szCs w:val="32"/>
          <w14:ligatures w14:val="none"/>
        </w:rPr>
        <w:t>.</w:t>
      </w:r>
    </w:p>
    <w:p w14:paraId="7FE060B8" w14:textId="77777777" w:rsidR="00714FC7" w:rsidRPr="00F27422" w:rsidRDefault="00714FC7" w:rsidP="00122B70">
      <w:pPr>
        <w:bidi/>
        <w:spacing w:after="0" w:line="216" w:lineRule="auto"/>
        <w:ind w:firstLine="397"/>
        <w:rPr>
          <w:rFonts w:ascii="mylotus" w:eastAsia="Times New Roman" w:hAnsi="mylotus" w:cs="mylotus"/>
          <w:b/>
          <w:bCs/>
          <w:kern w:val="0"/>
          <w:sz w:val="32"/>
          <w:szCs w:val="32"/>
          <w:rtl/>
          <w14:ligatures w14:val="none"/>
        </w:rPr>
      </w:pPr>
      <w:r w:rsidRPr="00F27422">
        <w:rPr>
          <w:rFonts w:ascii="mylotus" w:eastAsia="Times New Roman" w:hAnsi="mylotus" w:cs="mylotus"/>
          <w:b/>
          <w:bCs/>
          <w:kern w:val="0"/>
          <w:sz w:val="32"/>
          <w:szCs w:val="32"/>
          <w:rtl/>
          <w14:ligatures w14:val="none"/>
        </w:rPr>
        <w:t>فالصحيح هو الحكم بالصحة في الصورتين)</w:t>
      </w:r>
      <w:r w:rsidRPr="00F27422">
        <w:rPr>
          <w:rFonts w:ascii="mylotus" w:eastAsia="Times New Roman" w:hAnsi="mylotus" w:cs="mylotus"/>
          <w:kern w:val="0"/>
          <w:sz w:val="32"/>
          <w:szCs w:val="32"/>
          <w:rtl/>
          <w14:ligatures w14:val="none"/>
        </w:rPr>
        <w:t xml:space="preserve"> أي: في صورة موته قبل أنْ يتمكن من الانتفاع، وصورة علمه وهو حيّ بأنّه لن يتمكن من الاستيفاء لأيّ سببٍ كان </w:t>
      </w:r>
      <w:r w:rsidRPr="00F27422">
        <w:rPr>
          <w:rFonts w:ascii="mylotus" w:eastAsia="Times New Roman" w:hAnsi="mylotus" w:cs="mylotus"/>
          <w:b/>
          <w:bCs/>
          <w:kern w:val="0"/>
          <w:sz w:val="32"/>
          <w:szCs w:val="32"/>
          <w:rtl/>
          <w14:ligatures w14:val="none"/>
        </w:rPr>
        <w:t>(غاية الأمر تنتقل ملكية هذه المنفعة الخاصة)</w:t>
      </w:r>
      <w:r w:rsidRPr="00F27422">
        <w:rPr>
          <w:rFonts w:ascii="mylotus" w:eastAsia="Times New Roman" w:hAnsi="mylotus" w:cs="mylotus"/>
          <w:kern w:val="0"/>
          <w:sz w:val="32"/>
          <w:szCs w:val="32"/>
          <w:rtl/>
          <w14:ligatures w14:val="none"/>
        </w:rPr>
        <w:t xml:space="preserve"> بعد موته </w:t>
      </w:r>
      <w:r w:rsidRPr="00F27422">
        <w:rPr>
          <w:rFonts w:ascii="mylotus" w:eastAsia="Times New Roman" w:hAnsi="mylotus" w:cs="mylotus"/>
          <w:b/>
          <w:bCs/>
          <w:kern w:val="0"/>
          <w:sz w:val="32"/>
          <w:szCs w:val="32"/>
          <w:rtl/>
          <w14:ligatures w14:val="none"/>
        </w:rPr>
        <w:t xml:space="preserve">(للورثة فلا يجوز </w:t>
      </w:r>
      <w:r w:rsidRPr="00F27422">
        <w:rPr>
          <w:rFonts w:ascii="mylotus" w:eastAsia="Times New Roman" w:hAnsi="mylotus" w:cs="mylotus"/>
          <w:b/>
          <w:bCs/>
          <w:kern w:val="0"/>
          <w:sz w:val="32"/>
          <w:szCs w:val="32"/>
          <w:highlight w:val="yellow"/>
          <w:rtl/>
          <w14:ligatures w14:val="none"/>
        </w:rPr>
        <w:t>لهم تكليفاً استيفاؤها بدون إذن المالك)</w:t>
      </w:r>
      <w:r w:rsidRPr="00F27422">
        <w:rPr>
          <w:rFonts w:ascii="mylotus" w:eastAsia="Times New Roman" w:hAnsi="mylotus" w:cs="mylotus"/>
          <w:kern w:val="0"/>
          <w:sz w:val="32"/>
          <w:szCs w:val="32"/>
          <w:rtl/>
          <w14:ligatures w14:val="none"/>
        </w:rPr>
        <w:t xml:space="preserve"> لأنّ متعلّق الإجارة هو أنْ يسكن المُستأجر الدار بنفسه، فإذا مات المُستأجر فالمنفعة انتقلت للورثة بقيد عدم استيفائها </w:t>
      </w:r>
      <w:r w:rsidRPr="00F27422">
        <w:rPr>
          <w:rFonts w:ascii="mylotus" w:eastAsia="Times New Roman" w:hAnsi="mylotus" w:cs="mylotus"/>
          <w:b/>
          <w:bCs/>
          <w:kern w:val="0"/>
          <w:sz w:val="32"/>
          <w:szCs w:val="32"/>
          <w:rtl/>
          <w14:ligatures w14:val="none"/>
        </w:rPr>
        <w:t>(ولكن مع استيفائها)</w:t>
      </w:r>
      <w:r w:rsidRPr="00F27422">
        <w:rPr>
          <w:rFonts w:ascii="mylotus" w:eastAsia="Times New Roman" w:hAnsi="mylotus" w:cs="mylotus"/>
          <w:kern w:val="0"/>
          <w:sz w:val="32"/>
          <w:szCs w:val="32"/>
          <w:rtl/>
          <w14:ligatures w14:val="none"/>
        </w:rPr>
        <w:t xml:space="preserve"> تعديا</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b/>
          <w:bCs/>
          <w:kern w:val="0"/>
          <w:sz w:val="32"/>
          <w:szCs w:val="32"/>
          <w:rtl/>
          <w14:ligatures w14:val="none"/>
        </w:rPr>
        <w:t>(لا يضمنون شيئاً)</w:t>
      </w:r>
      <w:r w:rsidRPr="00F27422">
        <w:rPr>
          <w:rFonts w:ascii="mylotus" w:eastAsia="Times New Roman" w:hAnsi="mylotus" w:cs="mylotus"/>
          <w:kern w:val="0"/>
          <w:sz w:val="32"/>
          <w:szCs w:val="32"/>
          <w:rtl/>
          <w14:ligatures w14:val="none"/>
        </w:rPr>
        <w:t xml:space="preserve"> لأنّها مِلكٌ لهم </w:t>
      </w:r>
      <w:r w:rsidRPr="00F27422">
        <w:rPr>
          <w:rFonts w:ascii="mylotus" w:eastAsia="Times New Roman" w:hAnsi="mylotus" w:cs="mylotus"/>
          <w:b/>
          <w:bCs/>
          <w:kern w:val="0"/>
          <w:sz w:val="32"/>
          <w:szCs w:val="32"/>
          <w:rtl/>
          <w14:ligatures w14:val="none"/>
        </w:rPr>
        <w:t>(إذا لم يكن انتفاعهم أكثر قيمة من المسمّى)</w:t>
      </w:r>
      <w:r w:rsidRPr="00F27422">
        <w:rPr>
          <w:rFonts w:ascii="mylotus" w:eastAsia="Times New Roman" w:hAnsi="mylotus" w:cs="mylotus"/>
          <w:kern w:val="0"/>
          <w:sz w:val="32"/>
          <w:szCs w:val="32"/>
          <w:rtl/>
          <w14:ligatures w14:val="none"/>
        </w:rPr>
        <w:t xml:space="preserve"> أي: من الأُجرة المسماة بإزاء هذه المنفعة المملوكة لهم </w:t>
      </w:r>
      <w:r w:rsidRPr="00F27422">
        <w:rPr>
          <w:rFonts w:ascii="mylotus" w:eastAsia="Times New Roman" w:hAnsi="mylotus" w:cs="mylotus"/>
          <w:b/>
          <w:bCs/>
          <w:kern w:val="0"/>
          <w:sz w:val="32"/>
          <w:szCs w:val="32"/>
          <w:rtl/>
          <w14:ligatures w14:val="none"/>
        </w:rPr>
        <w:t>(لكونه من المنافع المضادة</w:t>
      </w:r>
      <w:r w:rsidRPr="00F27422">
        <w:rPr>
          <w:rFonts w:ascii="mylotus" w:eastAsia="Times New Roman" w:hAnsi="mylotus" w:cs="mylotus" w:hint="cs"/>
          <w:b/>
          <w:bCs/>
          <w:kern w:val="0"/>
          <w:sz w:val="32"/>
          <w:szCs w:val="32"/>
          <w:rtl/>
          <w14:ligatures w14:val="none"/>
        </w:rPr>
        <w:t>).</w:t>
      </w:r>
    </w:p>
    <w:p w14:paraId="5DEB7824" w14:textId="77777777" w:rsidR="00714FC7" w:rsidRPr="00F27422" w:rsidRDefault="00714FC7" w:rsidP="00122B70">
      <w:pPr>
        <w:bidi/>
        <w:spacing w:after="0" w:line="216" w:lineRule="auto"/>
        <w:ind w:firstLine="397"/>
        <w:rPr>
          <w:rFonts w:ascii="mylotus" w:eastAsia="Times New Roman" w:hAnsi="mylotus" w:cs="mylotus"/>
          <w:b/>
          <w:bCs/>
          <w:kern w:val="0"/>
          <w:sz w:val="32"/>
          <w:szCs w:val="32"/>
          <w:rtl/>
          <w14:ligatures w14:val="none"/>
        </w:rPr>
      </w:pPr>
      <w:r w:rsidRPr="00F27422">
        <w:rPr>
          <w:rFonts w:ascii="mylotus" w:eastAsia="Times New Roman" w:hAnsi="mylotus" w:cs="mylotus"/>
          <w:b/>
          <w:bCs/>
          <w:kern w:val="0"/>
          <w:sz w:val="32"/>
          <w:szCs w:val="32"/>
          <w:rtl/>
          <w14:ligatures w14:val="none"/>
        </w:rPr>
        <w:t>ولكن: ما ذكره (رحمه الله) غيرُ تامٍ</w:t>
      </w:r>
      <w:r w:rsidRPr="00F27422">
        <w:rPr>
          <w:rFonts w:ascii="mylotus" w:eastAsia="Times New Roman" w:hAnsi="mylotus" w:cs="mylotus"/>
          <w:b/>
          <w:bCs/>
          <w:kern w:val="0"/>
          <w:sz w:val="32"/>
          <w:szCs w:val="32"/>
          <w14:ligatures w14:val="none"/>
        </w:rPr>
        <w:t>.</w:t>
      </w:r>
    </w:p>
    <w:p w14:paraId="2D6CDC50"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 xml:space="preserve">والسر فيه: </w:t>
      </w:r>
      <w:r w:rsidRPr="00F27422">
        <w:rPr>
          <w:rFonts w:ascii="mylotus" w:eastAsia="Times New Roman" w:hAnsi="mylotus" w:cs="mylotus"/>
          <w:kern w:val="0"/>
          <w:sz w:val="32"/>
          <w:szCs w:val="32"/>
          <w:rtl/>
          <w14:ligatures w14:val="none"/>
        </w:rPr>
        <w:t>أنّ المناط في المالية بحسب النظر العقلائي ما يتنافس عليه للرغبة في أثره، سواء كان أثره قليلاً - كالعملة عندما تنزل قيمتها لمقدارٍ من المالية - أم كثيراً</w:t>
      </w:r>
      <w:r w:rsidRPr="00F27422">
        <w:rPr>
          <w:rFonts w:ascii="mylotus" w:eastAsia="Times New Roman" w:hAnsi="mylotus" w:cs="mylotus"/>
          <w:kern w:val="0"/>
          <w:sz w:val="32"/>
          <w:szCs w:val="32"/>
          <w14:ligatures w14:val="none"/>
        </w:rPr>
        <w:t>.</w:t>
      </w:r>
    </w:p>
    <w:p w14:paraId="444CBDBB"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kern w:val="0"/>
          <w:sz w:val="32"/>
          <w:szCs w:val="32"/>
          <w:rtl/>
          <w14:ligatures w14:val="none"/>
        </w:rPr>
        <w:t xml:space="preserve">وبناءً على ذلك، فما لا يعقل حصوله </w:t>
      </w:r>
      <w:r w:rsidRPr="00F27422">
        <w:rPr>
          <w:rFonts w:ascii="Times New Roman" w:eastAsia="Times New Roman" w:hAnsi="Times New Roman" w:cs="Times New Roman" w:hint="cs"/>
          <w:kern w:val="0"/>
          <w:sz w:val="32"/>
          <w:szCs w:val="32"/>
          <w:rtl/>
          <w14:ligatures w14:val="none"/>
        </w:rPr>
        <w:t>–</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لا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أنّه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يتعذر</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استيفاؤه</w:t>
      </w:r>
      <w:r w:rsidRPr="00F27422">
        <w:rPr>
          <w:rFonts w:ascii="mylotus" w:eastAsia="Times New Roman" w:hAnsi="mylotus" w:cs="mylotus"/>
          <w:kern w:val="0"/>
          <w:sz w:val="32"/>
          <w:szCs w:val="32"/>
          <w:rtl/>
          <w14:ligatures w14:val="none"/>
        </w:rPr>
        <w:t xml:space="preserve"> - </w:t>
      </w:r>
      <w:r w:rsidRPr="00F27422">
        <w:rPr>
          <w:rFonts w:ascii="mylotus" w:eastAsia="Times New Roman" w:hAnsi="mylotus" w:cs="mylotus" w:hint="cs"/>
          <w:kern w:val="0"/>
          <w:sz w:val="32"/>
          <w:szCs w:val="32"/>
          <w:rtl/>
          <w14:ligatures w14:val="none"/>
        </w:rPr>
        <w:t>لا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مالية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له؛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لفقدانه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تنافس</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العقلاء</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عليه،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والمفروض</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أنّ</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هو</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متعلّق</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الإجارة</w:t>
      </w:r>
      <w:r w:rsidRPr="00F27422">
        <w:rPr>
          <w:rFonts w:ascii="mylotus" w:eastAsia="Times New Roman" w:hAnsi="mylotus" w:cs="mylotus"/>
          <w:kern w:val="0"/>
          <w:sz w:val="32"/>
          <w:szCs w:val="32"/>
          <w:rtl/>
          <w14:ligatures w14:val="none"/>
        </w:rPr>
        <w:t xml:space="preserve"> - </w:t>
      </w:r>
      <w:r w:rsidRPr="00F27422">
        <w:rPr>
          <w:rFonts w:ascii="mylotus" w:eastAsia="Times New Roman" w:hAnsi="mylotus" w:cs="mylotus" w:hint="cs"/>
          <w:kern w:val="0"/>
          <w:sz w:val="32"/>
          <w:szCs w:val="32"/>
          <w:rtl/>
          <w14:ligatures w14:val="none"/>
        </w:rPr>
        <w:t>وهو</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سُكنى</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المُستأجر</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في</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الدار</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بنفسه</w:t>
      </w:r>
      <w:r w:rsidRPr="00F27422">
        <w:rPr>
          <w:rFonts w:ascii="mylotus" w:eastAsia="Times New Roman" w:hAnsi="mylotus" w:cs="mylotus"/>
          <w:kern w:val="0"/>
          <w:sz w:val="32"/>
          <w:szCs w:val="32"/>
          <w:rtl/>
          <w14:ligatures w14:val="none"/>
        </w:rPr>
        <w:t xml:space="preserve"> - </w:t>
      </w:r>
      <w:r w:rsidRPr="00F27422">
        <w:rPr>
          <w:rFonts w:ascii="mylotus" w:eastAsia="Times New Roman" w:hAnsi="mylotus" w:cs="mylotus" w:hint="cs"/>
          <w:kern w:val="0"/>
          <w:sz w:val="32"/>
          <w:szCs w:val="32"/>
          <w:rtl/>
          <w14:ligatures w14:val="none"/>
        </w:rPr>
        <w:t>أمرٌ</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لا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يعقل</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حصوله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إمّا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لموته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قبل</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ذلك</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أو</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لحصول</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مانعٍ</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سماوي</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كالزلزلة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أو</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نحو</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ذلك،</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وحيث</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كان</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مما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لا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يعقل</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حصوله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فمناط</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المالية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مفقودٌ</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فيه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على</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اختلاف</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المباني</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في</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متعلّق</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الإجارة،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فسواءً</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قلنا: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بأنّ</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متعلّق</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الإجارة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هو</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مِلك</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المنفعة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كما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هو</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المشهور</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ومنهم</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سيدنا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الخوئي</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قدس</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سره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الشريف</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فإنّ هذه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المنفعة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مما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لا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يعقل</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حصولها،</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أو</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b/>
          <w:bCs/>
          <w:kern w:val="0"/>
          <w:sz w:val="32"/>
          <w:szCs w:val="32"/>
          <w:rtl/>
          <w14:ligatures w14:val="none"/>
        </w:rPr>
        <w:t>قلنا:</w:t>
      </w:r>
      <w:r w:rsidRPr="00F27422">
        <w:rPr>
          <w:rFonts w:ascii="mylotus" w:eastAsia="Times New Roman" w:hAnsi="mylotus" w:cs="mylotus"/>
          <w:b/>
          <w:bCs/>
          <w:kern w:val="0"/>
          <w:sz w:val="32"/>
          <w:szCs w:val="32"/>
          <w:rtl/>
          <w14:ligatures w14:val="none"/>
        </w:rPr>
        <w:t xml:space="preserve"> </w:t>
      </w:r>
      <w:r w:rsidRPr="00F27422">
        <w:rPr>
          <w:rFonts w:ascii="mylotus" w:eastAsia="Times New Roman" w:hAnsi="mylotus" w:cs="mylotus" w:hint="cs"/>
          <w:kern w:val="0"/>
          <w:sz w:val="32"/>
          <w:szCs w:val="32"/>
          <w:rtl/>
          <w14:ligatures w14:val="none"/>
        </w:rPr>
        <w:t>بأنّ</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متعلّق</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الإجارة</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hint="cs"/>
          <w:kern w:val="0"/>
          <w:sz w:val="32"/>
          <w:szCs w:val="32"/>
          <w:rtl/>
          <w14:ligatures w14:val="none"/>
        </w:rPr>
        <w:t>كم</w:t>
      </w:r>
      <w:r w:rsidRPr="00F27422">
        <w:rPr>
          <w:rFonts w:ascii="mylotus" w:eastAsia="Times New Roman" w:hAnsi="mylotus" w:cs="mylotus"/>
          <w:kern w:val="0"/>
          <w:sz w:val="32"/>
          <w:szCs w:val="32"/>
          <w:rtl/>
          <w14:ligatures w14:val="none"/>
        </w:rPr>
        <w:t xml:space="preserve">ا اختاره بعض الأجلة (رحمه الله) هي القابلية المتحصصة فإنّ هذه الحصة من القابلية مما لا يعقل حصولها، </w:t>
      </w:r>
      <w:r w:rsidRPr="00F27422">
        <w:rPr>
          <w:rFonts w:ascii="mylotus" w:eastAsia="Times New Roman" w:hAnsi="mylotus" w:cs="mylotus"/>
          <w:b/>
          <w:bCs/>
          <w:kern w:val="0"/>
          <w:sz w:val="32"/>
          <w:szCs w:val="32"/>
          <w:rtl/>
          <w14:ligatures w14:val="none"/>
        </w:rPr>
        <w:t>أو ما هو المختار عندنا</w:t>
      </w:r>
      <w:r w:rsidRPr="00F27422">
        <w:rPr>
          <w:rFonts w:ascii="mylotus" w:eastAsia="Times New Roman" w:hAnsi="mylotus" w:cs="mylotus" w:hint="cs"/>
          <w:b/>
          <w:bCs/>
          <w:kern w:val="0"/>
          <w:sz w:val="32"/>
          <w:szCs w:val="32"/>
          <w:rtl/>
          <w14:ligatures w14:val="none"/>
        </w:rPr>
        <w:t>:</w:t>
      </w:r>
      <w:r w:rsidRPr="00F27422">
        <w:rPr>
          <w:rFonts w:ascii="mylotus" w:eastAsia="Times New Roman" w:hAnsi="mylotus" w:cs="mylotus"/>
          <w:kern w:val="0"/>
          <w:sz w:val="32"/>
          <w:szCs w:val="32"/>
          <w:rtl/>
          <w14:ligatures w14:val="none"/>
        </w:rPr>
        <w:t xml:space="preserve"> في متعلّق الإجارة من أنّه </w:t>
      </w:r>
      <w:r w:rsidRPr="00F27422">
        <w:rPr>
          <w:rFonts w:ascii="mylotus" w:eastAsia="Times New Roman" w:hAnsi="mylotus" w:cs="mylotus"/>
          <w:kern w:val="0"/>
          <w:sz w:val="32"/>
          <w:szCs w:val="32"/>
          <w:highlight w:val="yellow"/>
          <w:rtl/>
          <w14:ligatures w14:val="none"/>
        </w:rPr>
        <w:t>السلطنة على الانتفاع، فإنّ</w:t>
      </w:r>
      <w:r w:rsidRPr="00F27422">
        <w:rPr>
          <w:rFonts w:ascii="mylotus" w:eastAsia="Times New Roman" w:hAnsi="mylotus" w:cs="mylotus"/>
          <w:kern w:val="0"/>
          <w:sz w:val="32"/>
          <w:szCs w:val="32"/>
          <w:rtl/>
          <w14:ligatures w14:val="none"/>
        </w:rPr>
        <w:t xml:space="preserve"> هذا النحو من الانتفاع مما لا يعقل حصوله، وحيث لا يعقل فلا مالية له؛ إذ لا موضوع للتنافس عليه</w:t>
      </w:r>
      <w:r w:rsidRPr="00F27422">
        <w:rPr>
          <w:rFonts w:ascii="mylotus" w:eastAsia="Times New Roman" w:hAnsi="mylotus" w:cs="mylotus"/>
          <w:kern w:val="0"/>
          <w:sz w:val="32"/>
          <w:szCs w:val="32"/>
          <w14:ligatures w14:val="none"/>
        </w:rPr>
        <w:t>.</w:t>
      </w:r>
    </w:p>
    <w:p w14:paraId="4F179283"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kern w:val="0"/>
          <w:sz w:val="32"/>
          <w:szCs w:val="32"/>
          <w:rtl/>
          <w14:ligatures w14:val="none"/>
        </w:rPr>
        <w:t>نعم، يرد على هذا التعليل - أي تعليل البطلان بانتفاء المالية - أنّه تعليل من باب السالبة بانتفاء الموضوع</w:t>
      </w:r>
      <w:r w:rsidRPr="00F27422">
        <w:rPr>
          <w:rFonts w:ascii="mylotus" w:eastAsia="Times New Roman" w:hAnsi="mylotus" w:cs="mylotus" w:hint="cs"/>
          <w:kern w:val="0"/>
          <w:sz w:val="32"/>
          <w:szCs w:val="32"/>
          <w:rtl/>
          <w14:ligatures w14:val="none"/>
        </w:rPr>
        <w:t>.</w:t>
      </w:r>
    </w:p>
    <w:p w14:paraId="565C94CA"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 xml:space="preserve">فالصحيح في التعليل أنّ وجه البطلان: </w:t>
      </w:r>
      <w:r w:rsidRPr="00F27422">
        <w:rPr>
          <w:rFonts w:ascii="mylotus" w:eastAsia="Times New Roman" w:hAnsi="mylotus" w:cs="mylotus"/>
          <w:kern w:val="0"/>
          <w:sz w:val="32"/>
          <w:szCs w:val="32"/>
          <w:highlight w:val="cyan"/>
          <w:rtl/>
          <w14:ligatures w14:val="none"/>
        </w:rPr>
        <w:t>هو انتفاءُ المملوك أي انتفاء المال، ومن الطبيعي أنْ تنتفي المالية بانتفاء المال</w:t>
      </w:r>
      <w:r w:rsidRPr="00F27422">
        <w:rPr>
          <w:rFonts w:ascii="mylotus" w:eastAsia="Times New Roman" w:hAnsi="mylotus" w:cs="mylotus" w:hint="cs"/>
          <w:kern w:val="0"/>
          <w:sz w:val="32"/>
          <w:szCs w:val="32"/>
          <w:highlight w:val="cyan"/>
          <w:rtl/>
          <w14:ligatures w14:val="none"/>
        </w:rPr>
        <w:t>.</w:t>
      </w:r>
    </w:p>
    <w:p w14:paraId="38C4E41F"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lastRenderedPageBreak/>
        <w:t>فتلخص من جميع ما مضى:</w:t>
      </w:r>
      <w:r w:rsidRPr="00F27422">
        <w:rPr>
          <w:rFonts w:ascii="mylotus" w:eastAsia="Times New Roman" w:hAnsi="mylotus" w:cs="mylotus"/>
          <w:kern w:val="0"/>
          <w:sz w:val="32"/>
          <w:szCs w:val="32"/>
          <w:rtl/>
          <w14:ligatures w14:val="none"/>
        </w:rPr>
        <w:t xml:space="preserve"> أنّ الصحيح في المقام الأوّل وهو ما إذا أُخذت المباشرة قيداً في متعلّق الإجارة هو بطلان الإجارة</w:t>
      </w:r>
      <w:r w:rsidRPr="00F27422">
        <w:rPr>
          <w:rFonts w:ascii="mylotus" w:eastAsia="Times New Roman" w:hAnsi="mylotus" w:cs="mylotus"/>
          <w:kern w:val="0"/>
          <w:sz w:val="32"/>
          <w:szCs w:val="32"/>
          <w14:ligatures w14:val="none"/>
        </w:rPr>
        <w:t>.</w:t>
      </w:r>
    </w:p>
    <w:p w14:paraId="747051D3" w14:textId="77777777" w:rsidR="00714FC7" w:rsidRPr="00F27422" w:rsidRDefault="00714FC7" w:rsidP="00122B70">
      <w:pPr>
        <w:bidi/>
        <w:spacing w:after="0" w:line="216" w:lineRule="auto"/>
        <w:ind w:firstLine="397"/>
        <w:rPr>
          <w:rFonts w:ascii="mylotus" w:eastAsia="Times New Roman" w:hAnsi="mylotus" w:cs="mylotus"/>
          <w:b/>
          <w:bCs/>
          <w:kern w:val="0"/>
          <w:sz w:val="32"/>
          <w:szCs w:val="32"/>
          <w:rtl/>
          <w14:ligatures w14:val="none"/>
        </w:rPr>
      </w:pPr>
      <w:r w:rsidRPr="00F27422">
        <w:rPr>
          <w:rFonts w:ascii="mylotus" w:eastAsia="Times New Roman" w:hAnsi="mylotus" w:cs="mylotus"/>
          <w:b/>
          <w:bCs/>
          <w:kern w:val="0"/>
          <w:sz w:val="32"/>
          <w:szCs w:val="32"/>
          <w:rtl/>
          <w14:ligatures w14:val="none"/>
        </w:rPr>
        <w:t>المقام الثاني: وهو فرض الشرطية</w:t>
      </w:r>
      <w:r w:rsidRPr="00F27422">
        <w:rPr>
          <w:rFonts w:ascii="mylotus" w:eastAsia="Times New Roman" w:hAnsi="mylotus" w:cs="mylotus"/>
          <w:b/>
          <w:bCs/>
          <w:kern w:val="0"/>
          <w:sz w:val="32"/>
          <w:szCs w:val="32"/>
          <w14:ligatures w14:val="none"/>
        </w:rPr>
        <w:t>:</w:t>
      </w:r>
    </w:p>
    <w:p w14:paraId="14000052"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kern w:val="0"/>
          <w:sz w:val="32"/>
          <w:szCs w:val="32"/>
          <w:rtl/>
          <w14:ligatures w14:val="none"/>
        </w:rPr>
        <w:t xml:space="preserve">كأنْ يقول المؤجّر: "آجرتُكَ </w:t>
      </w:r>
      <w:proofErr w:type="gramStart"/>
      <w:r w:rsidRPr="00F27422">
        <w:rPr>
          <w:rFonts w:ascii="mylotus" w:eastAsia="Times New Roman" w:hAnsi="mylotus" w:cs="mylotus"/>
          <w:kern w:val="0"/>
          <w:sz w:val="32"/>
          <w:szCs w:val="32"/>
          <w:rtl/>
          <w14:ligatures w14:val="none"/>
        </w:rPr>
        <w:t>الدار</w:t>
      </w:r>
      <w:proofErr w:type="gramEnd"/>
      <w:r w:rsidRPr="00F27422">
        <w:rPr>
          <w:rFonts w:ascii="mylotus" w:eastAsia="Times New Roman" w:hAnsi="mylotus" w:cs="mylotus"/>
          <w:kern w:val="0"/>
          <w:sz w:val="32"/>
          <w:szCs w:val="32"/>
          <w:rtl/>
          <w14:ligatures w14:val="none"/>
        </w:rPr>
        <w:t xml:space="preserve"> ولكن أشترط عليك أنْ تسكنها بنفسك" أو قال: "آجرتُكَ </w:t>
      </w:r>
      <w:proofErr w:type="gramStart"/>
      <w:r w:rsidRPr="00F27422">
        <w:rPr>
          <w:rFonts w:ascii="mylotus" w:eastAsia="Times New Roman" w:hAnsi="mylotus" w:cs="mylotus"/>
          <w:kern w:val="0"/>
          <w:sz w:val="32"/>
          <w:szCs w:val="32"/>
          <w:rtl/>
          <w14:ligatures w14:val="none"/>
        </w:rPr>
        <w:t>السيارة</w:t>
      </w:r>
      <w:proofErr w:type="gramEnd"/>
      <w:r w:rsidRPr="00F27422">
        <w:rPr>
          <w:rFonts w:ascii="mylotus" w:eastAsia="Times New Roman" w:hAnsi="mylotus" w:cs="mylotus"/>
          <w:kern w:val="0"/>
          <w:sz w:val="32"/>
          <w:szCs w:val="32"/>
          <w:rtl/>
          <w14:ligatures w14:val="none"/>
        </w:rPr>
        <w:t xml:space="preserve"> ولكن أشترط عليك أنْ تقودها بنفسك" فالسُكنى المباشرية مجر</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د شرط لا قيد، فمات قبل أنْ يتمكن من استيفاء المنفعة</w:t>
      </w:r>
      <w:r w:rsidRPr="00F27422">
        <w:rPr>
          <w:rFonts w:ascii="mylotus" w:eastAsia="Times New Roman" w:hAnsi="mylotus" w:cs="mylotus"/>
          <w:kern w:val="0"/>
          <w:sz w:val="32"/>
          <w:szCs w:val="32"/>
          <w14:ligatures w14:val="none"/>
        </w:rPr>
        <w:t>.</w:t>
      </w:r>
    </w:p>
    <w:p w14:paraId="5F18F638" w14:textId="0D9F84C9"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فالصحيح:</w:t>
      </w:r>
      <w:r w:rsidRPr="00F27422">
        <w:rPr>
          <w:rFonts w:ascii="mylotus" w:eastAsia="Times New Roman" w:hAnsi="mylotus" w:cs="mylotus"/>
          <w:kern w:val="0"/>
          <w:sz w:val="32"/>
          <w:szCs w:val="32"/>
          <w:rtl/>
          <w14:ligatures w14:val="none"/>
        </w:rPr>
        <w:t xml:space="preserve"> أنّه لا م</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وجب لبطلان الإجارة؛ لتمامية المقتضي وهو مِلك المنفعة على نحو الـ "لا بشرط"، وفقد المانع؛ فإنّ المانع ليس إلّا عدم تمكن الورثة من استيفاء المنفعة بأنفسهم بمقتضى الشرط،</w:t>
      </w:r>
      <w:r w:rsidRPr="00F27422">
        <w:rPr>
          <w:rFonts w:ascii="mylotus" w:eastAsia="Times New Roman" w:hAnsi="mylotus" w:cs="mylotus" w:hint="cs"/>
          <w:kern w:val="0"/>
          <w:sz w:val="32"/>
          <w:szCs w:val="32"/>
          <w:rtl/>
          <w14:ligatures w14:val="none"/>
        </w:rPr>
        <w:t xml:space="preserve"> </w:t>
      </w:r>
      <w:r w:rsidRPr="00F27422">
        <w:rPr>
          <w:rFonts w:ascii="mylotus" w:eastAsia="Times New Roman" w:hAnsi="mylotus" w:cs="mylotus"/>
          <w:kern w:val="0"/>
          <w:sz w:val="32"/>
          <w:szCs w:val="32"/>
          <w:rtl/>
          <w14:ligatures w14:val="none"/>
        </w:rPr>
        <w:t xml:space="preserve">لكن عدم تمكن الورثة من استيفاء المنفعة بأنفسهم إلّا بإذن المؤجّر لا يلغي وجود المِلكيَّة؛ لإمكان التصرّف في هذه المِلكيَّة </w:t>
      </w:r>
      <w:proofErr w:type="spellStart"/>
      <w:r w:rsidRPr="00F27422">
        <w:rPr>
          <w:rFonts w:ascii="mylotus" w:eastAsia="Times New Roman" w:hAnsi="mylotus" w:cs="mylotus"/>
          <w:kern w:val="0"/>
          <w:sz w:val="32"/>
          <w:szCs w:val="32"/>
          <w:rtl/>
          <w14:ligatures w14:val="none"/>
        </w:rPr>
        <w:t>بالتقايل</w:t>
      </w:r>
      <w:proofErr w:type="spellEnd"/>
      <w:r w:rsidRPr="00F27422">
        <w:rPr>
          <w:rFonts w:ascii="mylotus" w:eastAsia="Times New Roman" w:hAnsi="mylotus" w:cs="mylotus"/>
          <w:kern w:val="0"/>
          <w:sz w:val="32"/>
          <w:szCs w:val="32"/>
          <w:rtl/>
          <w14:ligatures w14:val="none"/>
        </w:rPr>
        <w:t xml:space="preserve"> أو بنقلها إلى غيرهم بأيّ نحوٍ من الأنحاء</w:t>
      </w:r>
      <w:r w:rsidR="007F3DEE" w:rsidRPr="00F27422">
        <w:rPr>
          <w:rFonts w:ascii="mylotus" w:eastAsia="Times New Roman" w:hAnsi="mylotus" w:cs="mylotus" w:hint="cs"/>
          <w:kern w:val="0"/>
          <w:sz w:val="32"/>
          <w:szCs w:val="32"/>
          <w:rtl/>
          <w14:ligatures w14:val="none"/>
        </w:rPr>
        <w:t>.</w:t>
      </w:r>
    </w:p>
    <w:p w14:paraId="5BAAB788" w14:textId="77777777" w:rsidR="00714FC7" w:rsidRPr="00F27422" w:rsidRDefault="00714FC7" w:rsidP="00122B70">
      <w:pPr>
        <w:bidi/>
        <w:spacing w:after="0" w:line="216" w:lineRule="auto"/>
        <w:ind w:firstLine="397"/>
        <w:rPr>
          <w:rFonts w:ascii="mylotus" w:eastAsia="Times New Roman" w:hAnsi="mylotus" w:cs="mylotus"/>
          <w:b/>
          <w:bCs/>
          <w:kern w:val="0"/>
          <w:sz w:val="32"/>
          <w:szCs w:val="32"/>
          <w:rtl/>
          <w14:ligatures w14:val="none"/>
        </w:rPr>
      </w:pPr>
      <w:r w:rsidRPr="00F27422">
        <w:rPr>
          <w:rFonts w:ascii="mylotus" w:eastAsia="Times New Roman" w:hAnsi="mylotus" w:cs="mylotus"/>
          <w:b/>
          <w:bCs/>
          <w:kern w:val="0"/>
          <w:sz w:val="32"/>
          <w:szCs w:val="32"/>
          <w:rtl/>
          <w14:ligatures w14:val="none"/>
        </w:rPr>
        <w:t>ولكن في المقام تعليقتان</w:t>
      </w:r>
      <w:r w:rsidRPr="00F27422">
        <w:rPr>
          <w:rFonts w:ascii="mylotus" w:eastAsia="Times New Roman" w:hAnsi="mylotus" w:cs="mylotus"/>
          <w:b/>
          <w:bCs/>
          <w:kern w:val="0"/>
          <w:sz w:val="32"/>
          <w:szCs w:val="32"/>
          <w14:ligatures w14:val="none"/>
        </w:rPr>
        <w:t>:</w:t>
      </w:r>
    </w:p>
    <w:p w14:paraId="3F4FB98B" w14:textId="77777777" w:rsidR="00714FC7" w:rsidRPr="00F27422" w:rsidRDefault="00714FC7" w:rsidP="00122B70">
      <w:pPr>
        <w:bidi/>
        <w:spacing w:after="0" w:line="216" w:lineRule="auto"/>
        <w:ind w:firstLine="397"/>
        <w:rPr>
          <w:rFonts w:ascii="mylotus" w:eastAsia="Times New Roman" w:hAnsi="mylotus" w:cs="mylotus"/>
          <w:b/>
          <w:bCs/>
          <w:kern w:val="0"/>
          <w:sz w:val="32"/>
          <w:szCs w:val="32"/>
          <w:rtl/>
          <w14:ligatures w14:val="none"/>
        </w:rPr>
      </w:pPr>
      <w:r w:rsidRPr="00F27422">
        <w:rPr>
          <w:rFonts w:ascii="mylotus" w:eastAsia="Times New Roman" w:hAnsi="mylotus" w:cs="mylotus"/>
          <w:b/>
          <w:bCs/>
          <w:kern w:val="0"/>
          <w:sz w:val="32"/>
          <w:szCs w:val="32"/>
          <w:rtl/>
          <w14:ligatures w14:val="none"/>
        </w:rPr>
        <w:t>التعليقة الأُولى:</w:t>
      </w:r>
      <w:r w:rsidRPr="00F27422">
        <w:rPr>
          <w:rFonts w:ascii="mylotus" w:eastAsia="Times New Roman" w:hAnsi="mylotus" w:cs="mylotus"/>
          <w:kern w:val="0"/>
          <w:sz w:val="32"/>
          <w:szCs w:val="32"/>
          <w:rtl/>
          <w14:ligatures w14:val="none"/>
        </w:rPr>
        <w:t xml:space="preserve"> ما ذكره السيد البروجردي (قدس سره الشريف) كما في كتاب [العروة الوثقى، السيد اليزدي، تحقيق مؤسسة النشر الإسلامي التابعة لجماعة المدرسين بقم المشرفة، الطبعة الأولى، ج5، ص31] حيث قال: </w:t>
      </w:r>
      <w:r w:rsidRPr="00F27422">
        <w:rPr>
          <w:rFonts w:ascii="mylotus" w:eastAsia="Times New Roman" w:hAnsi="mylotus" w:cs="mylotus"/>
          <w:b/>
          <w:bCs/>
          <w:kern w:val="0"/>
          <w:sz w:val="32"/>
          <w:szCs w:val="32"/>
          <w:rtl/>
          <w14:ligatures w14:val="none"/>
        </w:rPr>
        <w:t xml:space="preserve">(الأقرب البطلان) </w:t>
      </w:r>
      <w:r w:rsidRPr="00F27422">
        <w:rPr>
          <w:rFonts w:ascii="mylotus" w:eastAsia="Times New Roman" w:hAnsi="mylotus" w:cs="mylotus"/>
          <w:kern w:val="0"/>
          <w:sz w:val="32"/>
          <w:szCs w:val="32"/>
          <w:rtl/>
          <w14:ligatures w14:val="none"/>
        </w:rPr>
        <w:t xml:space="preserve">مطلقاً قيداً أو شرطاً </w:t>
      </w:r>
      <w:r w:rsidRPr="00F27422">
        <w:rPr>
          <w:rFonts w:ascii="mylotus" w:eastAsia="Times New Roman" w:hAnsi="mylotus" w:cs="mylotus"/>
          <w:b/>
          <w:bCs/>
          <w:kern w:val="0"/>
          <w:sz w:val="32"/>
          <w:szCs w:val="32"/>
          <w:rtl/>
          <w14:ligatures w14:val="none"/>
        </w:rPr>
        <w:t>(إذ ملك الورثة لسكنى الدار مع عدم استحقاقهم لاستيفائها بأنفسهم وبغيرهم غير معقول)</w:t>
      </w:r>
      <w:r w:rsidRPr="00F27422">
        <w:rPr>
          <w:rFonts w:ascii="mylotus" w:eastAsia="Times New Roman" w:hAnsi="mylotus" w:cs="mylotus"/>
          <w:kern w:val="0"/>
          <w:sz w:val="32"/>
          <w:szCs w:val="32"/>
          <w:rtl/>
          <w14:ligatures w14:val="none"/>
        </w:rPr>
        <w:t xml:space="preserve"> بأنْ يملكوا شيئاً لا يمكنهم استيفاؤه لا هم ولا غيرهم </w:t>
      </w:r>
      <w:r w:rsidRPr="00F27422">
        <w:rPr>
          <w:rFonts w:ascii="mylotus" w:eastAsia="Times New Roman" w:hAnsi="mylotus" w:cs="mylotus"/>
          <w:b/>
          <w:bCs/>
          <w:kern w:val="0"/>
          <w:sz w:val="32"/>
          <w:szCs w:val="32"/>
          <w:rtl/>
          <w14:ligatures w14:val="none"/>
        </w:rPr>
        <w:t>(فالشرط بالنسبة إلى ما بعد الموت)</w:t>
      </w:r>
      <w:r w:rsidRPr="00F27422">
        <w:rPr>
          <w:rFonts w:ascii="mylotus" w:eastAsia="Times New Roman" w:hAnsi="mylotus" w:cs="mylotus"/>
          <w:kern w:val="0"/>
          <w:sz w:val="32"/>
          <w:szCs w:val="32"/>
          <w:rtl/>
          <w14:ligatures w14:val="none"/>
        </w:rPr>
        <w:t xml:space="preserve"> كأنْ يقول: "أشترطُ عليك أنْ لا يستوفي المنفعة إلّا أنتَ" </w:t>
      </w:r>
      <w:r w:rsidRPr="00F27422">
        <w:rPr>
          <w:rFonts w:ascii="mylotus" w:eastAsia="Times New Roman" w:hAnsi="mylotus" w:cs="mylotus"/>
          <w:b/>
          <w:bCs/>
          <w:kern w:val="0"/>
          <w:sz w:val="32"/>
          <w:szCs w:val="32"/>
          <w:rtl/>
          <w14:ligatures w14:val="none"/>
        </w:rPr>
        <w:t>(مناف لمقتضى العقد)</w:t>
      </w:r>
      <w:r w:rsidRPr="00F27422">
        <w:rPr>
          <w:rFonts w:ascii="mylotus" w:eastAsia="Times New Roman" w:hAnsi="mylotus" w:cs="mylotus"/>
          <w:kern w:val="0"/>
          <w:sz w:val="32"/>
          <w:szCs w:val="32"/>
          <w:rtl/>
          <w14:ligatures w14:val="none"/>
        </w:rPr>
        <w:t xml:space="preserve"> والشرط المنافي لمقتضى العقد مبطلٌ للعقد </w:t>
      </w:r>
      <w:r w:rsidRPr="00F27422">
        <w:rPr>
          <w:rFonts w:ascii="mylotus" w:eastAsia="Times New Roman" w:hAnsi="mylotus" w:cs="mylotus"/>
          <w:b/>
          <w:bCs/>
          <w:kern w:val="0"/>
          <w:sz w:val="32"/>
          <w:szCs w:val="32"/>
          <w:rtl/>
          <w14:ligatures w14:val="none"/>
        </w:rPr>
        <w:t xml:space="preserve">(ثم على تقدير الصحة لا وجه لخيار المؤجر إذ لا يتوجه عليه </w:t>
      </w:r>
      <w:proofErr w:type="spellStart"/>
      <w:r w:rsidRPr="00F27422">
        <w:rPr>
          <w:rFonts w:ascii="mylotus" w:eastAsia="Times New Roman" w:hAnsi="mylotus" w:cs="mylotus"/>
          <w:b/>
          <w:bCs/>
          <w:kern w:val="0"/>
          <w:sz w:val="32"/>
          <w:szCs w:val="32"/>
          <w:rtl/>
          <w14:ligatures w14:val="none"/>
        </w:rPr>
        <w:t>شئ</w:t>
      </w:r>
      <w:proofErr w:type="spellEnd"/>
      <w:r w:rsidRPr="00F27422">
        <w:rPr>
          <w:rFonts w:ascii="mylotus" w:eastAsia="Times New Roman" w:hAnsi="mylotus" w:cs="mylotus"/>
          <w:b/>
          <w:bCs/>
          <w:kern w:val="0"/>
          <w:sz w:val="32"/>
          <w:szCs w:val="32"/>
          <w:rtl/>
          <w14:ligatures w14:val="none"/>
        </w:rPr>
        <w:t xml:space="preserve"> في بقائها حتى يجبر بالخيار)</w:t>
      </w:r>
      <w:r w:rsidRPr="00F27422">
        <w:rPr>
          <w:rFonts w:ascii="mylotus" w:eastAsia="Times New Roman" w:hAnsi="mylotus" w:cs="mylotus"/>
          <w:b/>
          <w:bCs/>
          <w:kern w:val="0"/>
          <w:sz w:val="32"/>
          <w:szCs w:val="32"/>
          <w14:ligatures w14:val="none"/>
        </w:rPr>
        <w:t>.</w:t>
      </w:r>
    </w:p>
    <w:p w14:paraId="708DDADE"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kern w:val="0"/>
          <w:sz w:val="32"/>
          <w:szCs w:val="32"/>
          <w:rtl/>
          <w14:ligatures w14:val="none"/>
        </w:rPr>
        <w:t>هذا تمام كلامه زيد في علو مقامه</w:t>
      </w:r>
      <w:r w:rsidRPr="00F27422">
        <w:rPr>
          <w:rFonts w:ascii="mylotus" w:eastAsia="Times New Roman" w:hAnsi="mylotus" w:cs="mylotus"/>
          <w:kern w:val="0"/>
          <w:sz w:val="32"/>
          <w:szCs w:val="32"/>
          <w14:ligatures w14:val="none"/>
        </w:rPr>
        <w:t>.</w:t>
      </w:r>
    </w:p>
    <w:p w14:paraId="0D125A88"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 xml:space="preserve">ولكن يلاحظ عليه: </w:t>
      </w:r>
      <w:r w:rsidRPr="00F27422">
        <w:rPr>
          <w:rFonts w:ascii="mylotus" w:eastAsia="Times New Roman" w:hAnsi="mylotus" w:cs="mylotus"/>
          <w:kern w:val="0"/>
          <w:sz w:val="32"/>
          <w:szCs w:val="32"/>
          <w:rtl/>
          <w14:ligatures w14:val="none"/>
        </w:rPr>
        <w:t>أنّ المنافي لمقتضى العقد هل هو أصلُ الشرط أم المنافي لمقتضى العقد إطلاقُ الشرط لما بعد الموت؟</w:t>
      </w:r>
    </w:p>
    <w:p w14:paraId="1427CBD5"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فإنْ كان المُدعى هو الأول</w:t>
      </w:r>
      <w:r w:rsidRPr="00F27422">
        <w:rPr>
          <w:rFonts w:ascii="mylotus" w:eastAsia="Times New Roman" w:hAnsi="mylotus" w:cs="mylotus" w:hint="cs"/>
          <w:b/>
          <w:bCs/>
          <w:kern w:val="0"/>
          <w:sz w:val="32"/>
          <w:szCs w:val="32"/>
          <w:rtl/>
          <w14:ligatures w14:val="none"/>
        </w:rPr>
        <w:t>:</w:t>
      </w:r>
      <w:r w:rsidRPr="00F27422">
        <w:rPr>
          <w:rFonts w:ascii="mylotus" w:eastAsia="Times New Roman" w:hAnsi="mylotus" w:cs="mylotus"/>
          <w:b/>
          <w:bCs/>
          <w:kern w:val="0"/>
          <w:sz w:val="32"/>
          <w:szCs w:val="32"/>
          <w:rtl/>
          <w14:ligatures w14:val="none"/>
        </w:rPr>
        <w:t xml:space="preserve"> (وهو أنّ المنافي لمقتضى العقد نفس الشرط - بغض النظر عن إطلاقه لما بعد الموت -</w:t>
      </w:r>
      <w:r w:rsidRPr="00F27422">
        <w:rPr>
          <w:rFonts w:ascii="mylotus" w:eastAsia="Times New Roman" w:hAnsi="mylotus" w:cs="mylotus" w:hint="cs"/>
          <w:b/>
          <w:bCs/>
          <w:kern w:val="0"/>
          <w:sz w:val="32"/>
          <w:szCs w:val="32"/>
          <w:rtl/>
          <w14:ligatures w14:val="none"/>
        </w:rPr>
        <w:t>)</w:t>
      </w:r>
      <w:r w:rsidRPr="00F27422">
        <w:rPr>
          <w:rFonts w:ascii="mylotus" w:eastAsia="Times New Roman" w:hAnsi="mylotus" w:cs="mylotus"/>
          <w:kern w:val="0"/>
          <w:sz w:val="32"/>
          <w:szCs w:val="32"/>
          <w:rtl/>
          <w14:ligatures w14:val="none"/>
        </w:rPr>
        <w:t>، فهل المناقضة بلحاظ عالم الإنشاء أو بلحاظ عالم الأثر؟</w:t>
      </w:r>
    </w:p>
    <w:p w14:paraId="55C3553D"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وتوضيحه:</w:t>
      </w:r>
      <w:r w:rsidRPr="00F27422">
        <w:rPr>
          <w:rFonts w:ascii="mylotus" w:eastAsia="Times New Roman" w:hAnsi="mylotus" w:cs="mylotus"/>
          <w:kern w:val="0"/>
          <w:sz w:val="32"/>
          <w:szCs w:val="32"/>
          <w:rtl/>
          <w14:ligatures w14:val="none"/>
        </w:rPr>
        <w:t xml:space="preserve"> إنّ المناقضة تارةً تتصور بلحاظ وعاء الإنشاء، وتارةً أُخرى تتصور بلحاظ عالم الأثر</w:t>
      </w:r>
      <w:r w:rsidRPr="00F27422">
        <w:rPr>
          <w:rFonts w:ascii="mylotus" w:eastAsia="Times New Roman" w:hAnsi="mylotus" w:cs="mylotus"/>
          <w:kern w:val="0"/>
          <w:sz w:val="32"/>
          <w:szCs w:val="32"/>
          <w14:ligatures w14:val="none"/>
        </w:rPr>
        <w:t>.</w:t>
      </w:r>
    </w:p>
    <w:p w14:paraId="41A9DB1A"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فإنْ كان المنظور المناقضة بلحاظ وعاء الإنشاء،</w:t>
      </w:r>
      <w:r w:rsidRPr="00F27422">
        <w:rPr>
          <w:rFonts w:ascii="mylotus" w:eastAsia="Times New Roman" w:hAnsi="mylotus" w:cs="mylotus"/>
          <w:kern w:val="0"/>
          <w:sz w:val="32"/>
          <w:szCs w:val="32"/>
          <w:rtl/>
          <w14:ligatures w14:val="none"/>
        </w:rPr>
        <w:t xml:space="preserve"> بمعنى: أنّه في حال إنشاء العقد لا يتصور الجمع بين إنشاء المِلكيَّة وإنشاء الشرط،</w:t>
      </w:r>
      <w:r w:rsidRPr="00F27422">
        <w:rPr>
          <w:rFonts w:ascii="mylotus" w:eastAsia="Times New Roman" w:hAnsi="mylotus" w:cs="mylotus" w:hint="cs"/>
          <w:kern w:val="0"/>
          <w:sz w:val="32"/>
          <w:szCs w:val="32"/>
          <w:rtl/>
          <w14:ligatures w14:val="none"/>
        </w:rPr>
        <w:t xml:space="preserve"> </w:t>
      </w:r>
      <w:r w:rsidRPr="00F27422">
        <w:rPr>
          <w:rFonts w:ascii="mylotus" w:eastAsia="Times New Roman" w:hAnsi="mylotus" w:cs="mylotus"/>
          <w:kern w:val="0"/>
          <w:sz w:val="32"/>
          <w:szCs w:val="32"/>
          <w:rtl/>
          <w14:ligatures w14:val="none"/>
        </w:rPr>
        <w:t>أي: أنّ هناك تهافتاً في الإرادة الجدية بين أنْ يريد المالك جدّاً تمليك المنفعة -</w:t>
      </w:r>
      <w:r w:rsidRPr="00F27422">
        <w:rPr>
          <w:rFonts w:ascii="mylotus" w:eastAsia="Times New Roman" w:hAnsi="mylotus" w:cs="mylotus" w:hint="cs"/>
          <w:kern w:val="0"/>
          <w:sz w:val="32"/>
          <w:szCs w:val="32"/>
          <w:rtl/>
          <w14:ligatures w14:val="none"/>
        </w:rPr>
        <w:t xml:space="preserve"> </w:t>
      </w:r>
      <w:r w:rsidRPr="00F27422">
        <w:rPr>
          <w:rFonts w:ascii="mylotus" w:eastAsia="Times New Roman" w:hAnsi="mylotus" w:cs="mylotus"/>
          <w:kern w:val="0"/>
          <w:sz w:val="32"/>
          <w:szCs w:val="32"/>
          <w:rtl/>
          <w14:ligatures w14:val="none"/>
        </w:rPr>
        <w:t>لا بشرط</w:t>
      </w:r>
      <w:r w:rsidRPr="00F27422">
        <w:rPr>
          <w:rFonts w:ascii="mylotus" w:eastAsia="Times New Roman" w:hAnsi="mylotus" w:cs="mylotus" w:hint="cs"/>
          <w:kern w:val="0"/>
          <w:sz w:val="32"/>
          <w:szCs w:val="32"/>
          <w:rtl/>
          <w14:ligatures w14:val="none"/>
        </w:rPr>
        <w:t xml:space="preserve"> </w:t>
      </w:r>
      <w:r w:rsidRPr="00F27422">
        <w:rPr>
          <w:rFonts w:ascii="mylotus" w:eastAsia="Times New Roman" w:hAnsi="mylotus" w:cs="mylotus"/>
          <w:kern w:val="0"/>
          <w:sz w:val="32"/>
          <w:szCs w:val="32"/>
          <w:rtl/>
          <w14:ligatures w14:val="none"/>
        </w:rPr>
        <w:t>- للمُستأجر وبين أنْ يريد جدّاً اشتراط أنْ لا يستوفي المنفعة إلّا نفس المُستأجر</w:t>
      </w:r>
      <w:r w:rsidRPr="00F27422">
        <w:rPr>
          <w:rFonts w:ascii="mylotus" w:eastAsia="Times New Roman" w:hAnsi="mylotus" w:cs="mylotus"/>
          <w:kern w:val="0"/>
          <w:sz w:val="32"/>
          <w:szCs w:val="32"/>
          <w14:ligatures w14:val="none"/>
        </w:rPr>
        <w:t>.</w:t>
      </w:r>
    </w:p>
    <w:p w14:paraId="2C475B66"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kern w:val="0"/>
          <w:sz w:val="32"/>
          <w:szCs w:val="32"/>
          <w:rtl/>
          <w14:ligatures w14:val="none"/>
        </w:rPr>
        <w:t>فإذا كان هذا هو المنظور، فمن الواضح أنّه لا تهافت؛ إذ القصد الجدي حين وقوع الإجارة مما يتأتى للمالك؛ لأنّ المفروض أنّ المُستأجر ما زال حيّاً والحي يمكنه الوفاء بالشرط بمعنى أنْ لا يسكن الدار إلّا هو، فمن الممكن للمؤجّر أنْ يقصد جدّاً تمليكه المنفعة الـ "لا بشرط" وفي نفس الوقت يشترط عليه أنْ لا يستوفي المنفعة إلا هو، فالجمع بين التمليك والشرط بلحاظِ مُستأجرٍ حيٍّ قادرٍ حين الإجارة على أنْ يحقّق الشرط مما لا تهافت فيه بحسب الإرادة الجدية</w:t>
      </w:r>
      <w:r w:rsidRPr="00F27422">
        <w:rPr>
          <w:rFonts w:ascii="mylotus" w:eastAsia="Times New Roman" w:hAnsi="mylotus" w:cs="mylotus"/>
          <w:kern w:val="0"/>
          <w:sz w:val="32"/>
          <w:szCs w:val="32"/>
          <w14:ligatures w14:val="none"/>
        </w:rPr>
        <w:t>.</w:t>
      </w:r>
    </w:p>
    <w:p w14:paraId="488A218F"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وأمّا إنْ كان المنظور المناقضة بلحاظ وعاء الأثر،</w:t>
      </w:r>
      <w:r w:rsidRPr="00F27422">
        <w:rPr>
          <w:rFonts w:ascii="mylotus" w:eastAsia="Times New Roman" w:hAnsi="mylotus" w:cs="mylotus"/>
          <w:kern w:val="0"/>
          <w:sz w:val="32"/>
          <w:szCs w:val="32"/>
          <w:rtl/>
          <w14:ligatures w14:val="none"/>
        </w:rPr>
        <w:t xml:space="preserve"> بأنْ يُقال: إنّ الشرط مُوجبٌ لإلغاء الأثر المقصود نوعا</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 من الإجارة وهو أنْ يتمكن المالك من استيفاء هذه المنفعة المملوكة له، والمفروض أنّ المالك بعد الموت وهم الورثة لا يتمكنون من الاستيفاء، فهذا الشرط مُوجبٌ </w:t>
      </w:r>
      <w:r w:rsidRPr="00F27422">
        <w:rPr>
          <w:rFonts w:ascii="mylotus" w:eastAsia="Times New Roman" w:hAnsi="mylotus" w:cs="mylotus"/>
          <w:kern w:val="0"/>
          <w:sz w:val="32"/>
          <w:szCs w:val="32"/>
          <w:rtl/>
          <w14:ligatures w14:val="none"/>
        </w:rPr>
        <w:lastRenderedPageBreak/>
        <w:t>لإلغاء الأثر من الإجارة، وحيث إنّه مُوجبٌ لإلغاء الأثر من الإجارة كان منافياً لمقتضى العقد بلحا</w:t>
      </w:r>
      <w:r w:rsidRPr="00F27422">
        <w:rPr>
          <w:rFonts w:ascii="mylotus" w:eastAsia="Times New Roman" w:hAnsi="mylotus" w:cs="mylotus" w:hint="cs"/>
          <w:kern w:val="0"/>
          <w:sz w:val="32"/>
          <w:szCs w:val="32"/>
          <w:rtl/>
          <w14:ligatures w14:val="none"/>
        </w:rPr>
        <w:t>ظ</w:t>
      </w:r>
      <w:r w:rsidRPr="00F27422">
        <w:rPr>
          <w:rFonts w:ascii="mylotus" w:eastAsia="Times New Roman" w:hAnsi="mylotus" w:cs="mylotus"/>
          <w:kern w:val="0"/>
          <w:sz w:val="32"/>
          <w:szCs w:val="32"/>
          <w:rtl/>
          <w14:ligatures w14:val="none"/>
        </w:rPr>
        <w:t xml:space="preserve"> الأثر</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 لا بلحاظ الإرادة الجدية لنفس العقد.</w:t>
      </w:r>
    </w:p>
    <w:p w14:paraId="76364C0E"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وفيه:</w:t>
      </w:r>
      <w:r w:rsidRPr="00F27422">
        <w:rPr>
          <w:rFonts w:ascii="mylotus" w:eastAsia="Times New Roman" w:hAnsi="mylotus" w:cs="mylotus"/>
          <w:kern w:val="0"/>
          <w:sz w:val="32"/>
          <w:szCs w:val="32"/>
          <w:rtl/>
          <w14:ligatures w14:val="none"/>
        </w:rPr>
        <w:t xml:space="preserve"> أن</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 غاية ذلك بطلان الشرط - لا بطلان العقد -؛ إذ ما دام الشرط موجباً لمناقضة العقد من حيث آثاره فالشرط باطل والعقد صحيح</w:t>
      </w:r>
      <w:r w:rsidRPr="00F27422">
        <w:rPr>
          <w:rFonts w:ascii="mylotus" w:eastAsia="Times New Roman" w:hAnsi="mylotus" w:cs="mylotus"/>
          <w:kern w:val="0"/>
          <w:sz w:val="32"/>
          <w:szCs w:val="32"/>
          <w14:ligatures w14:val="none"/>
        </w:rPr>
        <w:t>.</w:t>
      </w:r>
    </w:p>
    <w:p w14:paraId="1C109E83"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وأمّا إذا كان المنظور هو الثاني:</w:t>
      </w:r>
      <w:r w:rsidRPr="00F27422">
        <w:rPr>
          <w:rFonts w:ascii="mylotus" w:eastAsia="Times New Roman" w:hAnsi="mylotus" w:cs="mylotus"/>
          <w:kern w:val="0"/>
          <w:sz w:val="32"/>
          <w:szCs w:val="32"/>
          <w:rtl/>
          <w14:ligatures w14:val="none"/>
        </w:rPr>
        <w:t xml:space="preserve"> أي أنّ إطلاق الشرط لما بعد موت المشترَط عليه - وهو المُستأجر - يتنافى مع مقتضى العقد.</w:t>
      </w:r>
    </w:p>
    <w:p w14:paraId="449DD0F2"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ففيه أيضاً:</w:t>
      </w:r>
      <w:r w:rsidRPr="00F27422">
        <w:rPr>
          <w:rFonts w:ascii="mylotus" w:eastAsia="Times New Roman" w:hAnsi="mylotus" w:cs="mylotus"/>
          <w:kern w:val="0"/>
          <w:sz w:val="32"/>
          <w:szCs w:val="32"/>
          <w:rtl/>
          <w14:ligatures w14:val="none"/>
        </w:rPr>
        <w:t xml:space="preserve"> أن</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 غايته سقوط إطلاق الشرط لا العقد؛ لأنّ الشرط متأخرٌ رتبةً عن العقد؛ فالشرط تابعٌ للعقد وليس العكس؛ فإن</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 التعامل الشرطي في طول التعامل العقدي، وبما أنّ التعامل الشرطي في طول التعامل العقدي فلو فرض أنّ الشرط ينافي مقتضى العقد كان ذلك مُوجباً لبطلان الشرط - لا بطلان العقد -، ولذلك فالشرط المحلل للحرام أو المحرم للحلال فاسد</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 لكنه لا يفسد العقد، ولذا اتفقوا على أنّ القرض الربوي صحيح وإنْ كان اشتراط الفائدة في العقد الربوي شرطاً فاسداً</w:t>
      </w:r>
      <w:r w:rsidRPr="00F27422">
        <w:rPr>
          <w:rFonts w:ascii="mylotus" w:eastAsia="Times New Roman" w:hAnsi="mylotus" w:cs="mylotus" w:hint="cs"/>
          <w:kern w:val="0"/>
          <w:sz w:val="32"/>
          <w:szCs w:val="32"/>
          <w:rtl/>
          <w14:ligatures w14:val="none"/>
        </w:rPr>
        <w:t>.</w:t>
      </w:r>
    </w:p>
    <w:p w14:paraId="7565A715"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التعليقة الثانية:</w:t>
      </w:r>
      <w:r w:rsidRPr="00F27422">
        <w:rPr>
          <w:rFonts w:ascii="mylotus" w:eastAsia="Times New Roman" w:hAnsi="mylotus" w:cs="mylotus"/>
          <w:kern w:val="0"/>
          <w:sz w:val="32"/>
          <w:szCs w:val="32"/>
          <w:rtl/>
          <w14:ligatures w14:val="none"/>
        </w:rPr>
        <w:t xml:space="preserve"> ما ذكره سيدنا الخوئي (قدس سره الشريف) كما في موسوعته المباركة في [كتاب الإجارة، ج30، ص133] حيث أفاد (قدس سره) أنّ اشتراط استيفاء المنفعة على نحو المباشرة يتصور على نحوين: الأول: إيجابي، والثاني: سلبي</w:t>
      </w:r>
      <w:r w:rsidRPr="00F27422">
        <w:rPr>
          <w:rFonts w:ascii="mylotus" w:eastAsia="Times New Roman" w:hAnsi="mylotus" w:cs="mylotus"/>
          <w:kern w:val="0"/>
          <w:sz w:val="32"/>
          <w:szCs w:val="32"/>
          <w14:ligatures w14:val="none"/>
        </w:rPr>
        <w:t>.</w:t>
      </w:r>
    </w:p>
    <w:p w14:paraId="57C7C24B" w14:textId="77777777" w:rsidR="00714FC7" w:rsidRPr="00F27422" w:rsidRDefault="00714FC7" w:rsidP="00122B70">
      <w:pPr>
        <w:bidi/>
        <w:spacing w:after="0" w:line="216" w:lineRule="auto"/>
        <w:ind w:firstLine="397"/>
        <w:rPr>
          <w:rFonts w:ascii="mylotus" w:eastAsia="Times New Roman" w:hAnsi="mylotus" w:cs="mylotus"/>
          <w:b/>
          <w:bCs/>
          <w:kern w:val="0"/>
          <w:sz w:val="32"/>
          <w:szCs w:val="32"/>
          <w:rtl/>
          <w14:ligatures w14:val="none"/>
        </w:rPr>
      </w:pPr>
      <w:r w:rsidRPr="00F27422">
        <w:rPr>
          <w:rFonts w:ascii="mylotus" w:eastAsia="Times New Roman" w:hAnsi="mylotus" w:cs="mylotus"/>
          <w:kern w:val="0"/>
          <w:sz w:val="32"/>
          <w:szCs w:val="32"/>
          <w:rtl/>
          <w14:ligatures w14:val="none"/>
        </w:rPr>
        <w:t xml:space="preserve">قال (قدس سره): </w:t>
      </w:r>
      <w:r w:rsidRPr="00F27422">
        <w:rPr>
          <w:rFonts w:ascii="mylotus" w:eastAsia="Times New Roman" w:hAnsi="mylotus" w:cs="mylotus"/>
          <w:b/>
          <w:bCs/>
          <w:kern w:val="0"/>
          <w:sz w:val="32"/>
          <w:szCs w:val="32"/>
          <w:rtl/>
          <w14:ligatures w14:val="none"/>
        </w:rPr>
        <w:t>(إذ تارةً يفرض تعلّق الغرض)</w:t>
      </w:r>
      <w:r w:rsidRPr="00F27422">
        <w:rPr>
          <w:rFonts w:ascii="mylotus" w:eastAsia="Times New Roman" w:hAnsi="mylotus" w:cs="mylotus"/>
          <w:kern w:val="0"/>
          <w:sz w:val="32"/>
          <w:szCs w:val="32"/>
          <w:rtl/>
          <w14:ligatures w14:val="none"/>
        </w:rPr>
        <w:t xml:space="preserve"> بالجانب الإيجابي، أي: </w:t>
      </w:r>
      <w:r w:rsidRPr="00F27422">
        <w:rPr>
          <w:rFonts w:ascii="mylotus" w:eastAsia="Times New Roman" w:hAnsi="mylotus" w:cs="mylotus"/>
          <w:b/>
          <w:bCs/>
          <w:kern w:val="0"/>
          <w:sz w:val="32"/>
          <w:szCs w:val="32"/>
          <w:rtl/>
          <w14:ligatures w14:val="none"/>
        </w:rPr>
        <w:t>(بسكونة شخص المستأجر بحيث لا يرضى المؤجّر ببقاء الدار فارغة وخليّة عن الساكن، كما لا يرضى بسكونة غير هذا الشخص</w:t>
      </w:r>
      <w:r w:rsidRPr="00F27422">
        <w:rPr>
          <w:rFonts w:ascii="mylotus" w:eastAsia="Times New Roman" w:hAnsi="mylotus" w:cs="mylotus" w:hint="cs"/>
          <w:b/>
          <w:bCs/>
          <w:kern w:val="0"/>
          <w:sz w:val="32"/>
          <w:szCs w:val="32"/>
          <w:rtl/>
          <w14:ligatures w14:val="none"/>
        </w:rPr>
        <w:t xml:space="preserve">... </w:t>
      </w:r>
      <w:proofErr w:type="spellStart"/>
      <w:r w:rsidRPr="00F27422">
        <w:rPr>
          <w:rFonts w:ascii="mylotus" w:eastAsia="Times New Roman" w:hAnsi="mylotus" w:cs="mylotus" w:hint="cs"/>
          <w:b/>
          <w:bCs/>
          <w:kern w:val="0"/>
          <w:sz w:val="32"/>
          <w:szCs w:val="32"/>
          <w:rtl/>
          <w14:ligatures w14:val="none"/>
        </w:rPr>
        <w:t>ألخ</w:t>
      </w:r>
      <w:proofErr w:type="spellEnd"/>
      <w:r w:rsidRPr="00F27422">
        <w:rPr>
          <w:rFonts w:ascii="mylotus" w:eastAsia="Times New Roman" w:hAnsi="mylotus" w:cs="mylotus"/>
          <w:b/>
          <w:bCs/>
          <w:kern w:val="0"/>
          <w:sz w:val="32"/>
          <w:szCs w:val="32"/>
          <w:rtl/>
          <w14:ligatures w14:val="none"/>
        </w:rPr>
        <w:t>)</w:t>
      </w:r>
      <w:r w:rsidRPr="00F27422">
        <w:rPr>
          <w:rFonts w:ascii="mylotus" w:eastAsia="Times New Roman" w:hAnsi="mylotus" w:cs="mylotus"/>
          <w:b/>
          <w:bCs/>
          <w:kern w:val="0"/>
          <w:sz w:val="32"/>
          <w:szCs w:val="32"/>
          <w14:ligatures w14:val="none"/>
        </w:rPr>
        <w:t>.</w:t>
      </w:r>
    </w:p>
    <w:p w14:paraId="2575A638" w14:textId="77777777" w:rsidR="00714FC7" w:rsidRPr="00F27422" w:rsidRDefault="00714FC7" w:rsidP="00122B70">
      <w:pPr>
        <w:bidi/>
        <w:spacing w:after="0" w:line="216" w:lineRule="auto"/>
        <w:ind w:firstLine="397"/>
        <w:rPr>
          <w:rFonts w:ascii="mylotus" w:eastAsia="Times New Roman" w:hAnsi="mylotus" w:cs="mylotus"/>
          <w:b/>
          <w:bCs/>
          <w:kern w:val="0"/>
          <w:sz w:val="32"/>
          <w:szCs w:val="32"/>
          <w:rtl/>
          <w14:ligatures w14:val="none"/>
        </w:rPr>
      </w:pPr>
      <w:r w:rsidRPr="00F27422">
        <w:rPr>
          <w:rFonts w:ascii="mylotus" w:eastAsia="Times New Roman" w:hAnsi="mylotus" w:cs="mylotus"/>
          <w:kern w:val="0"/>
          <w:sz w:val="32"/>
          <w:szCs w:val="32"/>
          <w:rtl/>
          <w14:ligatures w14:val="none"/>
        </w:rPr>
        <w:t>(</w:t>
      </w:r>
      <w:r w:rsidRPr="00F27422">
        <w:rPr>
          <w:rFonts w:ascii="mylotus" w:eastAsia="Times New Roman" w:hAnsi="mylotus" w:cs="mylotus"/>
          <w:b/>
          <w:bCs/>
          <w:kern w:val="0"/>
          <w:sz w:val="32"/>
          <w:szCs w:val="32"/>
          <w:rtl/>
          <w14:ligatures w14:val="none"/>
        </w:rPr>
        <w:t xml:space="preserve">واُخرى: يراد بالاشتراط المزبور ما هو المتعارف المرتكز من تعلّق الغرض بالعقد السلبي لا الإيجابي، فيكون المقصود </w:t>
      </w:r>
      <w:proofErr w:type="gramStart"/>
      <w:r w:rsidRPr="00F27422">
        <w:rPr>
          <w:rFonts w:ascii="mylotus" w:eastAsia="Times New Roman" w:hAnsi="mylotus" w:cs="mylotus"/>
          <w:b/>
          <w:bCs/>
          <w:kern w:val="0"/>
          <w:sz w:val="32"/>
          <w:szCs w:val="32"/>
          <w:rtl/>
          <w14:ligatures w14:val="none"/>
        </w:rPr>
        <w:t>أن لا</w:t>
      </w:r>
      <w:proofErr w:type="gramEnd"/>
      <w:r w:rsidRPr="00F27422">
        <w:rPr>
          <w:rFonts w:ascii="mylotus" w:eastAsia="Times New Roman" w:hAnsi="mylotus" w:cs="mylotus"/>
          <w:b/>
          <w:bCs/>
          <w:kern w:val="0"/>
          <w:sz w:val="32"/>
          <w:szCs w:val="32"/>
          <w:rtl/>
          <w14:ligatures w14:val="none"/>
        </w:rPr>
        <w:t xml:space="preserve"> يسكنها غيره)</w:t>
      </w:r>
      <w:r w:rsidRPr="00F27422">
        <w:rPr>
          <w:rFonts w:ascii="mylotus" w:eastAsia="Times New Roman" w:hAnsi="mylotus" w:cs="mylotus"/>
          <w:kern w:val="0"/>
          <w:sz w:val="32"/>
          <w:szCs w:val="32"/>
          <w:rtl/>
          <w14:ligatures w14:val="none"/>
        </w:rPr>
        <w:t xml:space="preserve"> وهذا هو المتعارف في باب الإجارات حفاظا</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 على العين من التلف </w:t>
      </w:r>
      <w:r w:rsidRPr="00F27422">
        <w:rPr>
          <w:rFonts w:ascii="mylotus" w:eastAsia="Times New Roman" w:hAnsi="mylotus" w:cs="mylotus"/>
          <w:b/>
          <w:bCs/>
          <w:kern w:val="0"/>
          <w:sz w:val="32"/>
          <w:szCs w:val="32"/>
          <w:rtl/>
          <w14:ligatures w14:val="none"/>
        </w:rPr>
        <w:t xml:space="preserve">(سواء أسكنها </w:t>
      </w:r>
      <w:proofErr w:type="gramStart"/>
      <w:r w:rsidRPr="00F27422">
        <w:rPr>
          <w:rFonts w:ascii="mylotus" w:eastAsia="Times New Roman" w:hAnsi="mylotus" w:cs="mylotus"/>
          <w:b/>
          <w:bCs/>
          <w:kern w:val="0"/>
          <w:sz w:val="32"/>
          <w:szCs w:val="32"/>
          <w:rtl/>
          <w14:ligatures w14:val="none"/>
        </w:rPr>
        <w:t>هو</w:t>
      </w:r>
      <w:proofErr w:type="gramEnd"/>
      <w:r w:rsidRPr="00F27422">
        <w:rPr>
          <w:rFonts w:ascii="mylotus" w:eastAsia="Times New Roman" w:hAnsi="mylotus" w:cs="mylotus"/>
          <w:b/>
          <w:bCs/>
          <w:kern w:val="0"/>
          <w:sz w:val="32"/>
          <w:szCs w:val="32"/>
          <w:rtl/>
          <w14:ligatures w14:val="none"/>
        </w:rPr>
        <w:t xml:space="preserve"> أم تركها خالية، أم جعلها محرزاً ومخزناً</w:t>
      </w:r>
      <w:r w:rsidRPr="00F27422">
        <w:rPr>
          <w:rFonts w:ascii="mylotus" w:eastAsia="Times New Roman" w:hAnsi="mylotus" w:cs="mylotus" w:hint="cs"/>
          <w:b/>
          <w:bCs/>
          <w:kern w:val="0"/>
          <w:sz w:val="32"/>
          <w:szCs w:val="32"/>
          <w:rtl/>
          <w14:ligatures w14:val="none"/>
        </w:rPr>
        <w:t xml:space="preserve">... </w:t>
      </w:r>
      <w:proofErr w:type="spellStart"/>
      <w:r w:rsidRPr="00F27422">
        <w:rPr>
          <w:rFonts w:ascii="mylotus" w:eastAsia="Times New Roman" w:hAnsi="mylotus" w:cs="mylotus" w:hint="cs"/>
          <w:b/>
          <w:bCs/>
          <w:kern w:val="0"/>
          <w:sz w:val="32"/>
          <w:szCs w:val="32"/>
          <w:rtl/>
          <w14:ligatures w14:val="none"/>
        </w:rPr>
        <w:t>ألخ</w:t>
      </w:r>
      <w:proofErr w:type="spellEnd"/>
      <w:r w:rsidRPr="00F27422">
        <w:rPr>
          <w:rFonts w:ascii="mylotus" w:eastAsia="Times New Roman" w:hAnsi="mylotus" w:cs="mylotus"/>
          <w:b/>
          <w:bCs/>
          <w:kern w:val="0"/>
          <w:sz w:val="32"/>
          <w:szCs w:val="32"/>
          <w:rtl/>
          <w14:ligatures w14:val="none"/>
        </w:rPr>
        <w:t>)</w:t>
      </w:r>
      <w:r w:rsidRPr="00F27422">
        <w:rPr>
          <w:rFonts w:ascii="mylotus" w:eastAsia="Times New Roman" w:hAnsi="mylotus" w:cs="mylotus"/>
          <w:b/>
          <w:bCs/>
          <w:kern w:val="0"/>
          <w:sz w:val="32"/>
          <w:szCs w:val="32"/>
          <w14:ligatures w14:val="none"/>
        </w:rPr>
        <w:t>.</w:t>
      </w:r>
    </w:p>
    <w:p w14:paraId="2D766632"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فعلى الأوّل،</w:t>
      </w:r>
      <w:r w:rsidRPr="00F27422">
        <w:rPr>
          <w:rFonts w:ascii="mylotus" w:eastAsia="Times New Roman" w:hAnsi="mylotus" w:cs="mylotus"/>
          <w:kern w:val="0"/>
          <w:sz w:val="32"/>
          <w:szCs w:val="32"/>
          <w:rtl/>
          <w14:ligatures w14:val="none"/>
        </w:rPr>
        <w:t xml:space="preserve"> وهو ما إذا اشترط بالنحو الإيجابي، يكون الشرط المذكور متعذراً بموته؛ لأنّه اشترط عليه أنْ يسكنها بنفسه فلا يكون مشمولاً لأدلة نفوذ الشرط، فيصحّ العقد ويفسد الشرط؛ لأنّ الشرط الفاسد ليس مفسداً، لا أنّه يثبت الخيار للمؤجّر</w:t>
      </w:r>
      <w:r w:rsidRPr="00F27422">
        <w:rPr>
          <w:rFonts w:ascii="mylotus" w:eastAsia="Times New Roman" w:hAnsi="mylotus" w:cs="mylotus"/>
          <w:kern w:val="0"/>
          <w:sz w:val="32"/>
          <w:szCs w:val="32"/>
          <w14:ligatures w14:val="none"/>
        </w:rPr>
        <w:t>.</w:t>
      </w:r>
    </w:p>
    <w:p w14:paraId="323B5A51"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b/>
          <w:bCs/>
          <w:kern w:val="0"/>
          <w:sz w:val="32"/>
          <w:szCs w:val="32"/>
          <w:rtl/>
          <w14:ligatures w14:val="none"/>
        </w:rPr>
        <w:t>وعلى الثاني،</w:t>
      </w:r>
      <w:r w:rsidRPr="00F27422">
        <w:rPr>
          <w:rFonts w:ascii="mylotus" w:eastAsia="Times New Roman" w:hAnsi="mylotus" w:cs="mylotus"/>
          <w:kern w:val="0"/>
          <w:sz w:val="32"/>
          <w:szCs w:val="32"/>
          <w:rtl/>
          <w14:ligatures w14:val="none"/>
        </w:rPr>
        <w:t xml:space="preserve"> وهو الجانب السلبي بمعنى أنْ لا يسكنها غيره ولو بقيت الدار خالية، فلو سكن غير المُستأجر الدار بعد موت المُستأجر ثبت للمؤجّر الخيار وهو خيار تخلّف الشرط</w:t>
      </w:r>
      <w:r w:rsidRPr="00F27422">
        <w:rPr>
          <w:rFonts w:ascii="mylotus" w:eastAsia="Times New Roman" w:hAnsi="mylotus" w:cs="mylotus"/>
          <w:kern w:val="0"/>
          <w:sz w:val="32"/>
          <w:szCs w:val="32"/>
          <w14:ligatures w14:val="none"/>
        </w:rPr>
        <w:t>.</w:t>
      </w:r>
    </w:p>
    <w:p w14:paraId="2A049A36"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r w:rsidRPr="00F27422">
        <w:rPr>
          <w:rFonts w:ascii="mylotus" w:eastAsia="Times New Roman" w:hAnsi="mylotus" w:cs="mylotus"/>
          <w:kern w:val="0"/>
          <w:sz w:val="32"/>
          <w:szCs w:val="32"/>
          <w:rtl/>
          <w14:ligatures w14:val="none"/>
        </w:rPr>
        <w:t>وما في متن العروة حيث قال</w:t>
      </w:r>
      <w:r w:rsidRPr="00F27422">
        <w:rPr>
          <w:rFonts w:ascii="mylotus" w:eastAsia="Times New Roman" w:hAnsi="mylotus" w:cs="mylotus" w:hint="cs"/>
          <w:kern w:val="0"/>
          <w:sz w:val="32"/>
          <w:szCs w:val="32"/>
          <w:rtl/>
          <w14:ligatures w14:val="none"/>
        </w:rPr>
        <w:t xml:space="preserve"> (قدس سره)</w:t>
      </w:r>
      <w:r w:rsidRPr="00F27422">
        <w:rPr>
          <w:rFonts w:ascii="mylotus" w:eastAsia="Times New Roman" w:hAnsi="mylotus" w:cs="mylotus"/>
          <w:kern w:val="0"/>
          <w:sz w:val="32"/>
          <w:szCs w:val="32"/>
          <w:rtl/>
          <w14:ligatures w14:val="none"/>
        </w:rPr>
        <w:t xml:space="preserve">: </w:t>
      </w:r>
      <w:r w:rsidRPr="00F27422">
        <w:rPr>
          <w:rFonts w:ascii="mylotus" w:eastAsia="Times New Roman" w:hAnsi="mylotus" w:cs="mylotus"/>
          <w:b/>
          <w:bCs/>
          <w:kern w:val="0"/>
          <w:sz w:val="32"/>
          <w:szCs w:val="32"/>
          <w:rtl/>
          <w14:ligatures w14:val="none"/>
        </w:rPr>
        <w:t>(وإذا آجر الدار واشترط على المستأجر سكناه بنفسه لا تبطل بموته ويكون للمؤجّر خيار الفسخ)</w:t>
      </w:r>
      <w:r w:rsidRPr="00F27422">
        <w:rPr>
          <w:rFonts w:ascii="mylotus" w:eastAsia="Times New Roman" w:hAnsi="mylotus" w:cs="mylotus" w:hint="cs"/>
          <w:b/>
          <w:bCs/>
          <w:kern w:val="0"/>
          <w:sz w:val="32"/>
          <w:szCs w:val="32"/>
          <w:rtl/>
          <w14:ligatures w14:val="none"/>
        </w:rPr>
        <w:t>،</w:t>
      </w:r>
      <w:r w:rsidRPr="00F27422">
        <w:rPr>
          <w:rFonts w:ascii="mylotus" w:eastAsia="Times New Roman" w:hAnsi="mylotus" w:cs="mylotus"/>
          <w:kern w:val="0"/>
          <w:sz w:val="32"/>
          <w:szCs w:val="32"/>
          <w:rtl/>
          <w14:ligatures w14:val="none"/>
        </w:rPr>
        <w:t xml:space="preserve"> فعبارته (قدس سره) لا تستقيم على إطلاقها</w:t>
      </w:r>
      <w:r w:rsidRPr="00F27422">
        <w:rPr>
          <w:rFonts w:ascii="mylotus" w:eastAsia="Times New Roman" w:hAnsi="mylotus" w:cs="mylotus" w:hint="cs"/>
          <w:kern w:val="0"/>
          <w:sz w:val="32"/>
          <w:szCs w:val="32"/>
          <w:rtl/>
          <w14:ligatures w14:val="none"/>
        </w:rPr>
        <w:t>؛</w:t>
      </w:r>
      <w:r w:rsidRPr="00F27422">
        <w:rPr>
          <w:rFonts w:ascii="mylotus" w:eastAsia="Times New Roman" w:hAnsi="mylotus" w:cs="mylotus"/>
          <w:kern w:val="0"/>
          <w:sz w:val="32"/>
          <w:szCs w:val="32"/>
          <w:rtl/>
          <w14:ligatures w14:val="none"/>
        </w:rPr>
        <w:t xml:space="preserve"> وإنّما يثبت له الخيار لو كان الشرط بالنحو السلبي، لا ما إذا كان بالنحو</w:t>
      </w:r>
      <w:r w:rsidRPr="00F27422">
        <w:rPr>
          <w:rFonts w:ascii="Cambria" w:eastAsia="Times New Roman" w:hAnsi="Cambria" w:cs="Cambria" w:hint="cs"/>
          <w:kern w:val="0"/>
          <w:sz w:val="32"/>
          <w:szCs w:val="32"/>
          <w:rtl/>
          <w14:ligatures w14:val="none"/>
        </w:rPr>
        <w:t> </w:t>
      </w:r>
      <w:r w:rsidRPr="00F27422">
        <w:rPr>
          <w:rFonts w:ascii="mylotus" w:eastAsia="Times New Roman" w:hAnsi="mylotus" w:cs="mylotus" w:hint="cs"/>
          <w:kern w:val="0"/>
          <w:sz w:val="32"/>
          <w:szCs w:val="32"/>
          <w:rtl/>
          <w14:ligatures w14:val="none"/>
        </w:rPr>
        <w:t>الإيجابي</w:t>
      </w:r>
      <w:r w:rsidRPr="00F27422">
        <w:rPr>
          <w:rFonts w:ascii="mylotus" w:eastAsia="Times New Roman" w:hAnsi="mylotus" w:cs="mylotus"/>
          <w:kern w:val="0"/>
          <w:sz w:val="32"/>
          <w:szCs w:val="32"/>
          <w:rtl/>
          <w14:ligatures w14:val="none"/>
        </w:rPr>
        <w:t>.</w:t>
      </w:r>
    </w:p>
    <w:p w14:paraId="0D9CD9B8" w14:textId="77777777" w:rsidR="00714FC7" w:rsidRPr="00F27422" w:rsidRDefault="00714FC7" w:rsidP="00122B70">
      <w:pPr>
        <w:bidi/>
        <w:spacing w:after="0" w:line="216" w:lineRule="auto"/>
        <w:ind w:firstLine="397"/>
        <w:rPr>
          <w:rFonts w:ascii="mylotus" w:eastAsia="Times New Roman" w:hAnsi="mylotus" w:cs="mylotus"/>
          <w:kern w:val="0"/>
          <w:sz w:val="32"/>
          <w:szCs w:val="32"/>
          <w:rtl/>
          <w14:ligatures w14:val="none"/>
        </w:rPr>
      </w:pPr>
    </w:p>
    <w:p w14:paraId="555921FD" w14:textId="77777777" w:rsidR="00714FC7" w:rsidRPr="00F27422" w:rsidRDefault="00714FC7" w:rsidP="00122B70">
      <w:pPr>
        <w:bidi/>
        <w:spacing w:after="0" w:line="216" w:lineRule="auto"/>
        <w:ind w:firstLine="397"/>
        <w:rPr>
          <w:rFonts w:ascii="mylotus" w:eastAsia="Times New Roman" w:hAnsi="mylotus" w:cs="mylotus"/>
          <w:b/>
          <w:bCs/>
          <w:kern w:val="0"/>
          <w:sz w:val="32"/>
          <w:szCs w:val="32"/>
          <w14:ligatures w14:val="none"/>
        </w:rPr>
      </w:pPr>
      <w:r w:rsidRPr="00F27422">
        <w:rPr>
          <w:rFonts w:ascii="mylotus" w:eastAsia="Times New Roman" w:hAnsi="mylotus" w:cs="mylotus"/>
          <w:b/>
          <w:bCs/>
          <w:kern w:val="0"/>
          <w:sz w:val="32"/>
          <w:szCs w:val="32"/>
          <w:rtl/>
          <w14:ligatures w14:val="none"/>
        </w:rPr>
        <w:t xml:space="preserve">والحمد لله رب العالمين </w:t>
      </w:r>
    </w:p>
    <w:p w14:paraId="0FB20A9F" w14:textId="77777777" w:rsidR="00714FC7" w:rsidRPr="00F27422" w:rsidRDefault="00714FC7" w:rsidP="00122B70">
      <w:pPr>
        <w:bidi/>
        <w:rPr>
          <w:sz w:val="32"/>
          <w:szCs w:val="32"/>
          <w:rtl/>
        </w:rPr>
      </w:pPr>
    </w:p>
    <w:p w14:paraId="1C20EB63" w14:textId="7C6FD544" w:rsidR="00714FC7" w:rsidRPr="00F27422" w:rsidRDefault="00714FC7" w:rsidP="00122B70">
      <w:pPr>
        <w:pStyle w:val="Heading3"/>
        <w:bidi/>
        <w:rPr>
          <w:sz w:val="32"/>
          <w:szCs w:val="32"/>
          <w:rtl/>
        </w:rPr>
      </w:pPr>
      <w:r w:rsidRPr="00F27422">
        <w:rPr>
          <w:rFonts w:hint="cs"/>
          <w:sz w:val="32"/>
          <w:szCs w:val="32"/>
          <w:rtl/>
        </w:rPr>
        <w:t>039</w:t>
      </w:r>
    </w:p>
    <w:p w14:paraId="439ACE9A" w14:textId="77777777" w:rsidR="00F92E99" w:rsidRPr="00F27422" w:rsidRDefault="00F92E99"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24F4CE5A" w14:textId="77777777" w:rsidR="00F92E99" w:rsidRPr="00F27422" w:rsidRDefault="00F92E99"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5E9D1574"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واللعن الدائم على أعدائهم أجمعين إلى قيام يوم الدين</w:t>
      </w:r>
    </w:p>
    <w:p w14:paraId="4B4CFD46" w14:textId="77777777" w:rsidR="00F92E99" w:rsidRPr="00F27422" w:rsidRDefault="00F92E99" w:rsidP="00122B70">
      <w:pPr>
        <w:pStyle w:val="a"/>
        <w:bidi/>
        <w:spacing w:line="216" w:lineRule="auto"/>
        <w:jc w:val="left"/>
        <w:rPr>
          <w:rFonts w:ascii="mylotus" w:hAnsi="mylotus"/>
          <w:sz w:val="32"/>
          <w:rtl/>
        </w:rPr>
      </w:pPr>
    </w:p>
    <w:p w14:paraId="639D431D"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والمتحصل مما سبق:</w:t>
      </w:r>
      <w:r w:rsidRPr="00F27422">
        <w:rPr>
          <w:rFonts w:ascii="mylotus" w:hAnsi="mylotus"/>
          <w:sz w:val="32"/>
          <w:rtl/>
        </w:rPr>
        <w:t xml:space="preserve"> أنّ سيدنا الخوئي (قدس سره الشريف) قد فصل في شرط س</w:t>
      </w:r>
      <w:r w:rsidRPr="00F27422">
        <w:rPr>
          <w:rFonts w:ascii="mylotus" w:hAnsi="mylotus" w:hint="cs"/>
          <w:sz w:val="32"/>
          <w:rtl/>
        </w:rPr>
        <w:t>ُ</w:t>
      </w:r>
      <w:r w:rsidRPr="00F27422">
        <w:rPr>
          <w:rFonts w:ascii="mylotus" w:hAnsi="mylotus"/>
          <w:sz w:val="32"/>
          <w:rtl/>
        </w:rPr>
        <w:t>كنى الم</w:t>
      </w:r>
      <w:r w:rsidRPr="00F27422">
        <w:rPr>
          <w:rFonts w:ascii="mylotus" w:hAnsi="mylotus" w:hint="cs"/>
          <w:sz w:val="32"/>
          <w:rtl/>
        </w:rPr>
        <w:t>ُ</w:t>
      </w:r>
      <w:r w:rsidRPr="00F27422">
        <w:rPr>
          <w:rFonts w:ascii="mylotus" w:hAnsi="mylotus"/>
          <w:sz w:val="32"/>
          <w:rtl/>
        </w:rPr>
        <w:t>ستأجر بنفسه بين المضمون الإيجابي والسلبي، فإذا كان مرجع الشرط إلى المضمون الإيجابي وهو أنْ يسكن الدار نفس المُستأجر لا غير، فمقتضى ذلك تعذر الشرط بعد موته، ومقتضى تعذر الشرط بطلانه، لكن العقد وهو الإجارة صحيحٌ ولا يثبت للمؤجّر الخيار، وإذا كان مضمون الشرط بنحو العقد السلبي بمعنى أنْ لا يسكن الدار غيره - ولو بقيت الدار خالية - فالشرط نافذٌ حتى بعد موته، ومقتضى نفوذ الشرط بعد موته أنّه لو سكن الدار غير المُستأجر لثبت للمؤجّر الخيار لتخلف الشرط</w:t>
      </w:r>
      <w:r w:rsidRPr="00F27422">
        <w:rPr>
          <w:rFonts w:ascii="mylotus" w:hAnsi="mylotus"/>
          <w:sz w:val="32"/>
        </w:rPr>
        <w:t>.</w:t>
      </w:r>
    </w:p>
    <w:p w14:paraId="2324A3D3"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والصحيح:</w:t>
      </w:r>
      <w:r w:rsidRPr="00F27422">
        <w:rPr>
          <w:rFonts w:ascii="mylotus" w:hAnsi="mylotus"/>
          <w:sz w:val="32"/>
          <w:rtl/>
        </w:rPr>
        <w:t xml:space="preserve"> عدم الفرق بين المضمون الإيجابي والمضمون السلبي من حيث عدم نفوذ الشرط بموت المُستأجر، وعدم ثبوت الخيار بس</w:t>
      </w:r>
      <w:r w:rsidRPr="00F27422">
        <w:rPr>
          <w:rFonts w:ascii="mylotus" w:hAnsi="mylotus" w:hint="cs"/>
          <w:sz w:val="32"/>
          <w:rtl/>
        </w:rPr>
        <w:t>ُ</w:t>
      </w:r>
      <w:r w:rsidRPr="00F27422">
        <w:rPr>
          <w:rFonts w:ascii="mylotus" w:hAnsi="mylotus"/>
          <w:sz w:val="32"/>
          <w:rtl/>
        </w:rPr>
        <w:t>كنى الورثة في الدار</w:t>
      </w:r>
      <w:r w:rsidRPr="00F27422">
        <w:rPr>
          <w:rFonts w:ascii="mylotus" w:hAnsi="mylotus"/>
          <w:sz w:val="32"/>
        </w:rPr>
        <w:t>.</w:t>
      </w:r>
    </w:p>
    <w:p w14:paraId="4FADABE5" w14:textId="77777777" w:rsidR="00F92E99" w:rsidRPr="00F27422" w:rsidRDefault="00F92E99" w:rsidP="00122B70">
      <w:pPr>
        <w:pStyle w:val="a"/>
        <w:bidi/>
        <w:spacing w:line="216" w:lineRule="auto"/>
        <w:jc w:val="left"/>
        <w:rPr>
          <w:rFonts w:ascii="mylotus" w:hAnsi="mylotus"/>
          <w:b/>
          <w:bCs/>
          <w:sz w:val="32"/>
          <w:rtl/>
        </w:rPr>
      </w:pPr>
      <w:r w:rsidRPr="00F27422">
        <w:rPr>
          <w:rFonts w:ascii="mylotus" w:hAnsi="mylotus"/>
          <w:b/>
          <w:bCs/>
          <w:sz w:val="32"/>
          <w:rtl/>
        </w:rPr>
        <w:t>وبيان ذلك: بذكر أربع نقاط سيالة في باب المعاملات:</w:t>
      </w:r>
    </w:p>
    <w:p w14:paraId="54A84CA7"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النقطة الأُولى:</w:t>
      </w:r>
      <w:r w:rsidRPr="00F27422">
        <w:rPr>
          <w:rFonts w:ascii="mylotus" w:hAnsi="mylotus"/>
          <w:sz w:val="32"/>
          <w:rtl/>
        </w:rPr>
        <w:t xml:space="preserve"> إنّ المختار في باب الشروط: أنّه يعتبر في نفوذ الشرط أنْ لا يكون فاقداً للغرض العقلائي، فلو اشترط المؤجّر على المُستأجر أنْ يدخل باب الدار بنحو القهقرى أو اشترط المؤجّر على المُستأجر تحريك إصبعه عندما يريد أنْ يدخل للدار - مثلاً - مما ليس فيه أيّ غرضٍ يُقْصد مِن قبل العقلاء، لم تشمله أدلّة النفوذ وهي قوله (صلى الله عليه وآله): </w:t>
      </w:r>
      <w:r w:rsidRPr="00F27422">
        <w:rPr>
          <w:rFonts w:ascii="mylotus" w:hAnsi="mylotus"/>
          <w:b/>
          <w:bCs/>
          <w:sz w:val="32"/>
          <w:rtl/>
        </w:rPr>
        <w:t>(المؤمنون عند شروطهم).</w:t>
      </w:r>
      <w:r w:rsidRPr="00F27422">
        <w:rPr>
          <w:rFonts w:ascii="mylotus" w:hAnsi="mylotus"/>
          <w:sz w:val="32"/>
          <w:rtl/>
        </w:rPr>
        <w:t xml:space="preserve"> [تهذيب الأحكام، شيخ الطائفة الطوسي، دار الكتب الإسلامية، ج7، كتاب النكاح، الباب 31 باب المهور والأجور وما ينعقد من النكاح من ذلك وما لا ينعقد، ح66]</w:t>
      </w:r>
      <w:r w:rsidRPr="00F27422">
        <w:rPr>
          <w:rFonts w:ascii="mylotus" w:hAnsi="mylotus" w:hint="cs"/>
          <w:sz w:val="32"/>
          <w:rtl/>
        </w:rPr>
        <w:t xml:space="preserve">. </w:t>
      </w:r>
      <w:r w:rsidRPr="00F27422">
        <w:rPr>
          <w:rFonts w:ascii="mylotus" w:hAnsi="mylotus"/>
          <w:sz w:val="32"/>
          <w:rtl/>
        </w:rPr>
        <w:t xml:space="preserve">لا </w:t>
      </w:r>
      <w:r w:rsidRPr="00F27422">
        <w:rPr>
          <w:rFonts w:ascii="mylotus" w:hAnsi="mylotus" w:cs="Cambria" w:hint="cs"/>
          <w:sz w:val="32"/>
          <w:rtl/>
        </w:rPr>
        <w:t>"</w:t>
      </w:r>
      <w:r w:rsidRPr="00F27422">
        <w:rPr>
          <w:rFonts w:ascii="mylotus" w:hAnsi="mylotus"/>
          <w:sz w:val="32"/>
          <w:rtl/>
        </w:rPr>
        <w:t xml:space="preserve">لأنّ الشارع لا يرى ذلك حقاً </w:t>
      </w:r>
      <w:proofErr w:type="spellStart"/>
      <w:r w:rsidRPr="00F27422">
        <w:rPr>
          <w:rFonts w:ascii="mylotus" w:hAnsi="mylotus"/>
          <w:sz w:val="32"/>
          <w:rtl/>
        </w:rPr>
        <w:t>للشارط</w:t>
      </w:r>
      <w:proofErr w:type="spellEnd"/>
      <w:r w:rsidRPr="00F27422">
        <w:rPr>
          <w:rFonts w:ascii="mylotus" w:hAnsi="mylotus"/>
          <w:sz w:val="32"/>
          <w:rtl/>
        </w:rPr>
        <w:t xml:space="preserve"> ولا يرى مخالفته ظلماً له؛ إذ ليس تركه مما يوجب ضرراً على الشارط</w:t>
      </w:r>
      <w:r w:rsidRPr="00F27422">
        <w:rPr>
          <w:rFonts w:ascii="mylotus" w:hAnsi="mylotus" w:cs="Cambria" w:hint="cs"/>
          <w:sz w:val="32"/>
          <w:rtl/>
        </w:rPr>
        <w:t>"</w:t>
      </w:r>
      <w:r w:rsidRPr="00F27422">
        <w:rPr>
          <w:rFonts w:ascii="mylotus" w:hAnsi="mylotus"/>
          <w:sz w:val="32"/>
          <w:rtl/>
        </w:rPr>
        <w:t xml:space="preserve"> كي يقال: بأنّ الشارط له السلطنة أنْ يشترط في مقام تمليكه ما يريد، وأنّه لا كاشف عن نظر الشارع إلّا المطلقات، والمطلقات عامّة، ومقتضى عمومها نفوذ الشروط وإنْ لم يكن فيها غرضٌ عقلائي كما قرره سيدنا الخوئي (قدس سره) في موسوعته المباركة في [التنقيح في شرح المكاسب، المجلد الخامس، ج40، ص24]؛ </w:t>
      </w:r>
      <w:r w:rsidRPr="00F27422">
        <w:rPr>
          <w:rFonts w:ascii="mylotus" w:hAnsi="mylotus"/>
          <w:sz w:val="32"/>
          <w:highlight w:val="yellow"/>
          <w:rtl/>
        </w:rPr>
        <w:t>بل لأنّ أدلة نفوذ الشروط</w:t>
      </w:r>
      <w:r w:rsidRPr="00F27422">
        <w:rPr>
          <w:rFonts w:ascii="mylotus" w:hAnsi="mylotus"/>
          <w:sz w:val="32"/>
          <w:rtl/>
        </w:rPr>
        <w:t xml:space="preserve"> كقوله (صلى الله عليه وآله): </w:t>
      </w:r>
      <w:r w:rsidRPr="00F27422">
        <w:rPr>
          <w:rFonts w:ascii="mylotus" w:hAnsi="mylotus"/>
          <w:b/>
          <w:bCs/>
          <w:sz w:val="32"/>
          <w:rtl/>
        </w:rPr>
        <w:t>(المؤمنون عند شروطهم)</w:t>
      </w:r>
      <w:r w:rsidRPr="00F27422">
        <w:rPr>
          <w:rFonts w:ascii="mylotus" w:hAnsi="mylotus"/>
          <w:sz w:val="32"/>
          <w:rtl/>
        </w:rPr>
        <w:t xml:space="preserve"> منصرفةٌ عن الشروط التي ليس فيها غرضٌ عقلائي حتى بالنسبة </w:t>
      </w:r>
      <w:proofErr w:type="spellStart"/>
      <w:r w:rsidRPr="00F27422">
        <w:rPr>
          <w:rFonts w:ascii="mylotus" w:hAnsi="mylotus"/>
          <w:sz w:val="32"/>
          <w:rtl/>
        </w:rPr>
        <w:t>للشارط</w:t>
      </w:r>
      <w:proofErr w:type="spellEnd"/>
      <w:r w:rsidRPr="00F27422">
        <w:rPr>
          <w:rFonts w:ascii="mylotus" w:hAnsi="mylotus"/>
          <w:sz w:val="32"/>
          <w:rtl/>
        </w:rPr>
        <w:t xml:space="preserve">؛ فإنّ أدلّة نفوذ الشرط كسائر أدلّة الإمضاء كقوله تبارك وتعالى: </w:t>
      </w:r>
      <w:r w:rsidRPr="00F27422">
        <w:rPr>
          <w:rFonts w:ascii="mylotus" w:hAnsi="mylotus"/>
          <w:b/>
          <w:bCs/>
          <w:sz w:val="32"/>
          <w:rtl/>
        </w:rPr>
        <w:t>(يَا أَيُّهَا الَّذِينَ آمَنُوا أَوْفُوا بِالْعُقُودِ)</w:t>
      </w:r>
      <w:r w:rsidRPr="00F27422">
        <w:rPr>
          <w:rFonts w:ascii="mylotus" w:hAnsi="mylotus"/>
          <w:sz w:val="32"/>
          <w:rtl/>
        </w:rPr>
        <w:t xml:space="preserve"> [سورة المائدة، 1] وقوله سبحانه: </w:t>
      </w:r>
      <w:r w:rsidRPr="00F27422">
        <w:rPr>
          <w:rFonts w:ascii="mylotus" w:hAnsi="mylotus"/>
          <w:b/>
          <w:bCs/>
          <w:sz w:val="32"/>
          <w:rtl/>
        </w:rPr>
        <w:t>(يَا أَيُّهَا الَّذِينَ آمَنُوا لَا تَأْكُلُوا أَمْوَالَكُم بَيْنَكُم بِالْبَاطِلِ إِلَّا أَن تَكُونَ تِجَارَةً عَن تَرَاضٍ مِّنكُمْ)</w:t>
      </w:r>
      <w:r w:rsidRPr="00F27422">
        <w:rPr>
          <w:rFonts w:ascii="mylotus" w:hAnsi="mylotus"/>
          <w:sz w:val="32"/>
          <w:rtl/>
        </w:rPr>
        <w:t xml:space="preserve"> [سورة النساء، 29] واردةٌ في مقام الإمضاء لما عليه المرتكزات العقلائية وليست في مقام التأسيس، ما لم يكن هناك قيدٌ تعبدي فيها، فبما أنّها في مقام الإمضاء لما عليه مجرى بناء العقلاء</w:t>
      </w:r>
      <w:r w:rsidRPr="00F27422">
        <w:rPr>
          <w:rFonts w:ascii="mylotus" w:hAnsi="mylotus" w:hint="cs"/>
          <w:sz w:val="32"/>
          <w:rtl/>
        </w:rPr>
        <w:t>،</w:t>
      </w:r>
      <w:r w:rsidRPr="00F27422">
        <w:rPr>
          <w:rFonts w:ascii="mylotus" w:hAnsi="mylotus"/>
          <w:sz w:val="32"/>
          <w:rtl/>
        </w:rPr>
        <w:t xml:space="preserve"> فما هو مجرى بناء العقلاء في باب المعاملات إنّما هو تنفيذ المعاملات والشروط التي تدخل ضمن إطار المصالح النوعية بأغراضها العقلائية لا مطلقاً، فمقتضى كون أدل</w:t>
      </w:r>
      <w:r w:rsidRPr="00F27422">
        <w:rPr>
          <w:rFonts w:ascii="mylotus" w:hAnsi="mylotus" w:hint="cs"/>
          <w:sz w:val="32"/>
          <w:rtl/>
        </w:rPr>
        <w:t>ّ</w:t>
      </w:r>
      <w:r w:rsidRPr="00F27422">
        <w:rPr>
          <w:rFonts w:ascii="mylotus" w:hAnsi="mylotus"/>
          <w:sz w:val="32"/>
          <w:rtl/>
        </w:rPr>
        <w:t>ة الشروط في مقام الإمضاء انصرافها عما ليس فيه غرضٌ عقلائي</w:t>
      </w:r>
      <w:r w:rsidRPr="00F27422">
        <w:rPr>
          <w:rFonts w:ascii="mylotus" w:hAnsi="mylotus"/>
          <w:sz w:val="32"/>
        </w:rPr>
        <w:t>.</w:t>
      </w:r>
    </w:p>
    <w:p w14:paraId="5791820D"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وفي المقام:</w:t>
      </w:r>
      <w:r w:rsidRPr="00F27422">
        <w:rPr>
          <w:rFonts w:ascii="mylotus" w:hAnsi="mylotus"/>
          <w:sz w:val="32"/>
          <w:rtl/>
        </w:rPr>
        <w:t xml:space="preserve"> إن</w:t>
      </w:r>
      <w:r w:rsidRPr="00F27422">
        <w:rPr>
          <w:rFonts w:ascii="mylotus" w:hAnsi="mylotus" w:hint="cs"/>
          <w:sz w:val="32"/>
          <w:rtl/>
        </w:rPr>
        <w:t>ْ</w:t>
      </w:r>
      <w:r w:rsidRPr="00F27422">
        <w:rPr>
          <w:rFonts w:ascii="mylotus" w:hAnsi="mylotus"/>
          <w:sz w:val="32"/>
          <w:rtl/>
        </w:rPr>
        <w:t xml:space="preserve"> كان للشرط غرض</w:t>
      </w:r>
      <w:r w:rsidRPr="00F27422">
        <w:rPr>
          <w:rFonts w:ascii="mylotus" w:hAnsi="mylotus" w:hint="cs"/>
          <w:sz w:val="32"/>
          <w:rtl/>
        </w:rPr>
        <w:t>ٌ</w:t>
      </w:r>
      <w:r w:rsidRPr="00F27422">
        <w:rPr>
          <w:rFonts w:ascii="mylotus" w:hAnsi="mylotus"/>
          <w:sz w:val="32"/>
          <w:rtl/>
        </w:rPr>
        <w:t xml:space="preserve"> عقلائي نحو كون الم</w:t>
      </w:r>
      <w:r w:rsidRPr="00F27422">
        <w:rPr>
          <w:rFonts w:ascii="mylotus" w:hAnsi="mylotus" w:hint="cs"/>
          <w:sz w:val="32"/>
          <w:rtl/>
        </w:rPr>
        <w:t>ُ</w:t>
      </w:r>
      <w:r w:rsidRPr="00F27422">
        <w:rPr>
          <w:rFonts w:ascii="mylotus" w:hAnsi="mylotus"/>
          <w:sz w:val="32"/>
          <w:rtl/>
        </w:rPr>
        <w:t>ستأجر أعرف وأخبر برعاية الدار وحفظها</w:t>
      </w:r>
      <w:r w:rsidRPr="00F27422">
        <w:rPr>
          <w:rFonts w:ascii="mylotus" w:hAnsi="mylotus" w:hint="cs"/>
          <w:sz w:val="32"/>
          <w:rtl/>
        </w:rPr>
        <w:t xml:space="preserve"> </w:t>
      </w:r>
      <w:r w:rsidRPr="00F27422">
        <w:rPr>
          <w:rFonts w:ascii="mylotus" w:hAnsi="mylotus"/>
          <w:sz w:val="32"/>
          <w:rtl/>
        </w:rPr>
        <w:t>فمقتضى ذلك نفوذ إطلاق الشرط لما بعد موت الم</w:t>
      </w:r>
      <w:r w:rsidRPr="00F27422">
        <w:rPr>
          <w:rFonts w:ascii="mylotus" w:hAnsi="mylotus" w:hint="cs"/>
          <w:sz w:val="32"/>
          <w:rtl/>
        </w:rPr>
        <w:t>ُ</w:t>
      </w:r>
      <w:r w:rsidRPr="00F27422">
        <w:rPr>
          <w:rFonts w:ascii="mylotus" w:hAnsi="mylotus"/>
          <w:sz w:val="32"/>
          <w:rtl/>
        </w:rPr>
        <w:t>ستأجر من دون تفصيل بين المضمون الإيجابي والسلبي، وإن</w:t>
      </w:r>
      <w:r w:rsidRPr="00F27422">
        <w:rPr>
          <w:rFonts w:ascii="mylotus" w:hAnsi="mylotus" w:hint="cs"/>
          <w:sz w:val="32"/>
          <w:rtl/>
        </w:rPr>
        <w:t>ْ</w:t>
      </w:r>
      <w:r w:rsidRPr="00F27422">
        <w:rPr>
          <w:rFonts w:ascii="mylotus" w:hAnsi="mylotus"/>
          <w:sz w:val="32"/>
          <w:rtl/>
        </w:rPr>
        <w:t xml:space="preserve"> لم يكن له غرض</w:t>
      </w:r>
      <w:r w:rsidRPr="00F27422">
        <w:rPr>
          <w:rFonts w:ascii="mylotus" w:hAnsi="mylotus" w:hint="cs"/>
          <w:sz w:val="32"/>
          <w:rtl/>
        </w:rPr>
        <w:t>ٌ</w:t>
      </w:r>
      <w:r w:rsidRPr="00F27422">
        <w:rPr>
          <w:rFonts w:ascii="mylotus" w:hAnsi="mylotus"/>
          <w:sz w:val="32"/>
          <w:rtl/>
        </w:rPr>
        <w:t xml:space="preserve"> عقلائي حتى بالنسبة </w:t>
      </w:r>
      <w:proofErr w:type="spellStart"/>
      <w:r w:rsidRPr="00F27422">
        <w:rPr>
          <w:rFonts w:ascii="mylotus" w:hAnsi="mylotus"/>
          <w:sz w:val="32"/>
          <w:rtl/>
        </w:rPr>
        <w:t>للشارط</w:t>
      </w:r>
      <w:proofErr w:type="spellEnd"/>
      <w:r w:rsidRPr="00F27422">
        <w:rPr>
          <w:rFonts w:ascii="mylotus" w:hAnsi="mylotus"/>
          <w:sz w:val="32"/>
          <w:rtl/>
        </w:rPr>
        <w:t xml:space="preserve"> فإطلاق الشرط لما بعد الموت ساقط - لا أصل نفوذ الشرط - وهو أنْ يسكن الدار خصوص طرف الإجارة أو أنْ لا يسكنها غيره بحيث يشمل الورثة</w:t>
      </w:r>
      <w:r w:rsidRPr="00F27422">
        <w:rPr>
          <w:rFonts w:ascii="mylotus" w:hAnsi="mylotus" w:hint="cs"/>
          <w:sz w:val="32"/>
          <w:rtl/>
        </w:rPr>
        <w:t>؛</w:t>
      </w:r>
      <w:r w:rsidRPr="00F27422">
        <w:rPr>
          <w:rFonts w:ascii="mylotus" w:hAnsi="mylotus"/>
          <w:sz w:val="32"/>
          <w:rtl/>
        </w:rPr>
        <w:t xml:space="preserve"> إذ ليس فيه غرضٌ عقلائي، حيث يستهجن العقلاء كون المنفعة مِلكاً </w:t>
      </w:r>
      <w:r w:rsidRPr="00F27422">
        <w:rPr>
          <w:rFonts w:ascii="mylotus" w:hAnsi="mylotus"/>
          <w:sz w:val="32"/>
          <w:highlight w:val="yellow"/>
          <w:rtl/>
        </w:rPr>
        <w:t>للورثة لكن ليس لهم الاستفادة منها أو استيفاؤها</w:t>
      </w:r>
      <w:r w:rsidRPr="00F27422">
        <w:rPr>
          <w:rFonts w:ascii="mylotus" w:hAnsi="mylotus"/>
          <w:sz w:val="32"/>
        </w:rPr>
        <w:t>.</w:t>
      </w:r>
    </w:p>
    <w:p w14:paraId="04370F55" w14:textId="77777777" w:rsidR="00F92E99" w:rsidRPr="00F27422" w:rsidRDefault="00F92E99" w:rsidP="00122B70">
      <w:pPr>
        <w:pStyle w:val="a"/>
        <w:bidi/>
        <w:spacing w:line="216" w:lineRule="auto"/>
        <w:jc w:val="left"/>
        <w:rPr>
          <w:rFonts w:ascii="mylotus" w:hAnsi="mylotus"/>
          <w:b/>
          <w:bCs/>
          <w:sz w:val="32"/>
          <w:rtl/>
        </w:rPr>
      </w:pPr>
      <w:r w:rsidRPr="00F27422">
        <w:rPr>
          <w:rFonts w:ascii="mylotus" w:hAnsi="mylotus"/>
          <w:sz w:val="32"/>
          <w:rtl/>
        </w:rPr>
        <w:t xml:space="preserve">خلافاً لما ذكره سيدنا الخوئي (قدس سره الشريف) في موسوعته المباركة في [التنقيح في شرح المكاسب، المجلد الخامس، ج40، ص24 </w:t>
      </w:r>
      <w:r w:rsidRPr="00F27422">
        <w:rPr>
          <w:rFonts w:ascii="Times New Roman" w:hAnsi="Times New Roman" w:cs="Times New Roman" w:hint="cs"/>
          <w:sz w:val="32"/>
          <w:rtl/>
        </w:rPr>
        <w:t>–</w:t>
      </w:r>
      <w:r w:rsidRPr="00F27422">
        <w:rPr>
          <w:rFonts w:ascii="mylotus" w:hAnsi="mylotus"/>
          <w:sz w:val="32"/>
          <w:rtl/>
        </w:rPr>
        <w:t xml:space="preserve"> 25] </w:t>
      </w:r>
      <w:r w:rsidRPr="00F27422">
        <w:rPr>
          <w:rFonts w:ascii="mylotus" w:hAnsi="mylotus" w:hint="cs"/>
          <w:sz w:val="32"/>
          <w:rtl/>
        </w:rPr>
        <w:t>بقوله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نعم،</w:t>
      </w:r>
      <w:r w:rsidRPr="00F27422">
        <w:rPr>
          <w:rFonts w:ascii="mylotus" w:hAnsi="mylotus"/>
          <w:b/>
          <w:bCs/>
          <w:sz w:val="32"/>
          <w:rtl/>
        </w:rPr>
        <w:t xml:space="preserve"> </w:t>
      </w:r>
      <w:r w:rsidRPr="00F27422">
        <w:rPr>
          <w:rFonts w:ascii="mylotus" w:hAnsi="mylotus" w:hint="cs"/>
          <w:b/>
          <w:bCs/>
          <w:sz w:val="32"/>
          <w:rtl/>
        </w:rPr>
        <w:t>ربما</w:t>
      </w:r>
      <w:r w:rsidRPr="00F27422">
        <w:rPr>
          <w:rFonts w:ascii="mylotus" w:hAnsi="mylotus"/>
          <w:b/>
          <w:bCs/>
          <w:sz w:val="32"/>
          <w:rtl/>
        </w:rPr>
        <w:t xml:space="preserve"> </w:t>
      </w:r>
      <w:r w:rsidRPr="00F27422">
        <w:rPr>
          <w:rFonts w:ascii="mylotus" w:hAnsi="mylotus" w:hint="cs"/>
          <w:b/>
          <w:bCs/>
          <w:sz w:val="32"/>
          <w:rtl/>
        </w:rPr>
        <w:t>يدّعى</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أدلّة</w:t>
      </w:r>
      <w:r w:rsidRPr="00F27422">
        <w:rPr>
          <w:rFonts w:ascii="mylotus" w:hAnsi="mylotus"/>
          <w:b/>
          <w:bCs/>
          <w:sz w:val="32"/>
          <w:rtl/>
        </w:rPr>
        <w:t xml:space="preserve"> </w:t>
      </w:r>
      <w:r w:rsidRPr="00F27422">
        <w:rPr>
          <w:rFonts w:ascii="mylotus" w:hAnsi="mylotus" w:hint="cs"/>
          <w:b/>
          <w:bCs/>
          <w:sz w:val="32"/>
          <w:rtl/>
        </w:rPr>
        <w:lastRenderedPageBreak/>
        <w:t>اعتبار</w:t>
      </w:r>
      <w:r w:rsidRPr="00F27422">
        <w:rPr>
          <w:rFonts w:ascii="mylotus" w:hAnsi="mylotus"/>
          <w:b/>
          <w:bCs/>
          <w:sz w:val="32"/>
          <w:rtl/>
        </w:rPr>
        <w:t xml:space="preserve"> </w:t>
      </w:r>
      <w:r w:rsidRPr="00F27422">
        <w:rPr>
          <w:rFonts w:ascii="mylotus" w:hAnsi="mylotus" w:hint="cs"/>
          <w:b/>
          <w:bCs/>
          <w:sz w:val="32"/>
          <w:rtl/>
        </w:rPr>
        <w:t>الشروط</w:t>
      </w:r>
      <w:r w:rsidRPr="00F27422">
        <w:rPr>
          <w:rFonts w:ascii="mylotus" w:hAnsi="mylotus"/>
          <w:b/>
          <w:bCs/>
          <w:sz w:val="32"/>
          <w:rtl/>
        </w:rPr>
        <w:t xml:space="preserve"> </w:t>
      </w:r>
      <w:r w:rsidRPr="00F27422">
        <w:rPr>
          <w:rFonts w:ascii="mylotus" w:hAnsi="mylotus" w:hint="cs"/>
          <w:b/>
          <w:bCs/>
          <w:sz w:val="32"/>
          <w:rtl/>
        </w:rPr>
        <w:t>كقوله</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 xml:space="preserve"> </w:t>
      </w:r>
      <w:r w:rsidRPr="00F27422">
        <w:rPr>
          <w:rFonts w:ascii="mylotus" w:hAnsi="mylotus" w:hint="cs"/>
          <w:b/>
          <w:bCs/>
          <w:sz w:val="32"/>
          <w:rtl/>
        </w:rPr>
        <w:t>السلام</w:t>
      </w:r>
      <w:r w:rsidRPr="00F27422">
        <w:rPr>
          <w:rFonts w:ascii="mylotus" w:hAnsi="mylotus"/>
          <w:b/>
          <w:bCs/>
          <w:sz w:val="32"/>
          <w:rtl/>
        </w:rPr>
        <w:t>): (</w:t>
      </w:r>
      <w:r w:rsidRPr="00F27422">
        <w:rPr>
          <w:rFonts w:ascii="mylotus" w:hAnsi="mylotus" w:hint="cs"/>
          <w:b/>
          <w:bCs/>
          <w:sz w:val="32"/>
          <w:rtl/>
        </w:rPr>
        <w:t>المؤمنون</w:t>
      </w:r>
      <w:r w:rsidRPr="00F27422">
        <w:rPr>
          <w:rFonts w:ascii="mylotus" w:hAnsi="mylotus"/>
          <w:b/>
          <w:bCs/>
          <w:sz w:val="32"/>
          <w:rtl/>
        </w:rPr>
        <w:t xml:space="preserve"> </w:t>
      </w:r>
      <w:r w:rsidRPr="00F27422">
        <w:rPr>
          <w:rFonts w:ascii="mylotus" w:hAnsi="mylotus" w:hint="cs"/>
          <w:b/>
          <w:bCs/>
          <w:sz w:val="32"/>
          <w:rtl/>
        </w:rPr>
        <w:t>عند</w:t>
      </w:r>
      <w:r w:rsidRPr="00F27422">
        <w:rPr>
          <w:rFonts w:ascii="mylotus" w:hAnsi="mylotus"/>
          <w:b/>
          <w:bCs/>
          <w:sz w:val="32"/>
          <w:rtl/>
        </w:rPr>
        <w:t xml:space="preserve"> </w:t>
      </w:r>
      <w:r w:rsidRPr="00F27422">
        <w:rPr>
          <w:rFonts w:ascii="mylotus" w:hAnsi="mylotus" w:hint="cs"/>
          <w:b/>
          <w:bCs/>
          <w:sz w:val="32"/>
          <w:rtl/>
        </w:rPr>
        <w:t>شروطهم</w:t>
      </w:r>
      <w:r w:rsidRPr="00F27422">
        <w:rPr>
          <w:rFonts w:ascii="mylotus" w:hAnsi="mylotus"/>
          <w:b/>
          <w:bCs/>
          <w:sz w:val="32"/>
          <w:rtl/>
        </w:rPr>
        <w:t xml:space="preserve">) </w:t>
      </w:r>
      <w:r w:rsidRPr="00F27422">
        <w:rPr>
          <w:rFonts w:ascii="mylotus" w:hAnsi="mylotus" w:hint="cs"/>
          <w:b/>
          <w:bCs/>
          <w:sz w:val="32"/>
          <w:rtl/>
        </w:rPr>
        <w:t>منصرفة</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الشروط</w:t>
      </w:r>
      <w:r w:rsidRPr="00F27422">
        <w:rPr>
          <w:rFonts w:ascii="mylotus" w:hAnsi="mylotus"/>
          <w:b/>
          <w:bCs/>
          <w:sz w:val="32"/>
          <w:rtl/>
        </w:rPr>
        <w:t xml:space="preserve"> </w:t>
      </w:r>
      <w:r w:rsidRPr="00F27422">
        <w:rPr>
          <w:rFonts w:ascii="mylotus" w:hAnsi="mylotus" w:hint="cs"/>
          <w:b/>
          <w:bCs/>
          <w:sz w:val="32"/>
          <w:rtl/>
        </w:rPr>
        <w:t>التي</w:t>
      </w:r>
      <w:r w:rsidRPr="00F27422">
        <w:rPr>
          <w:rFonts w:ascii="mylotus" w:hAnsi="mylotus"/>
          <w:b/>
          <w:bCs/>
          <w:sz w:val="32"/>
          <w:rtl/>
        </w:rPr>
        <w:t xml:space="preserve"> </w:t>
      </w:r>
      <w:r w:rsidRPr="00F27422">
        <w:rPr>
          <w:rFonts w:ascii="mylotus" w:hAnsi="mylotus" w:hint="cs"/>
          <w:b/>
          <w:bCs/>
          <w:sz w:val="32"/>
          <w:rtl/>
        </w:rPr>
        <w:t>يتعلّق</w:t>
      </w:r>
      <w:r w:rsidRPr="00F27422">
        <w:rPr>
          <w:rFonts w:ascii="mylotus" w:hAnsi="mylotus"/>
          <w:b/>
          <w:bCs/>
          <w:sz w:val="32"/>
          <w:rtl/>
        </w:rPr>
        <w:t xml:space="preserve"> </w:t>
      </w:r>
      <w:r w:rsidRPr="00F27422">
        <w:rPr>
          <w:rFonts w:ascii="mylotus" w:hAnsi="mylotus" w:hint="cs"/>
          <w:b/>
          <w:bCs/>
          <w:sz w:val="32"/>
          <w:rtl/>
        </w:rPr>
        <w:t>بها</w:t>
      </w:r>
      <w:r w:rsidRPr="00F27422">
        <w:rPr>
          <w:rFonts w:ascii="mylotus" w:hAnsi="mylotus"/>
          <w:b/>
          <w:bCs/>
          <w:sz w:val="32"/>
          <w:rtl/>
        </w:rPr>
        <w:t xml:space="preserve"> </w:t>
      </w:r>
      <w:r w:rsidRPr="00F27422">
        <w:rPr>
          <w:rFonts w:ascii="mylotus" w:hAnsi="mylotus" w:hint="cs"/>
          <w:b/>
          <w:bCs/>
          <w:sz w:val="32"/>
          <w:rtl/>
        </w:rPr>
        <w:t>غرض</w:t>
      </w:r>
      <w:r w:rsidRPr="00F27422">
        <w:rPr>
          <w:rFonts w:ascii="mylotus" w:hAnsi="mylotus"/>
          <w:b/>
          <w:bCs/>
          <w:sz w:val="32"/>
          <w:rtl/>
        </w:rPr>
        <w:t xml:space="preserve"> </w:t>
      </w:r>
      <w:r w:rsidRPr="00F27422">
        <w:rPr>
          <w:rFonts w:ascii="mylotus" w:hAnsi="mylotus" w:hint="cs"/>
          <w:b/>
          <w:bCs/>
          <w:sz w:val="32"/>
          <w:rtl/>
        </w:rPr>
        <w:t>عقلائي</w:t>
      </w:r>
      <w:r w:rsidRPr="00F27422">
        <w:rPr>
          <w:rFonts w:ascii="mylotus" w:hAnsi="mylotus"/>
          <w:b/>
          <w:bCs/>
          <w:sz w:val="32"/>
          <w:rtl/>
        </w:rPr>
        <w:t xml:space="preserve"> </w:t>
      </w:r>
      <w:r w:rsidRPr="00F27422">
        <w:rPr>
          <w:rFonts w:ascii="mylotus" w:hAnsi="mylotus" w:hint="cs"/>
          <w:b/>
          <w:bCs/>
          <w:sz w:val="32"/>
          <w:rtl/>
        </w:rPr>
        <w:t>ولا</w:t>
      </w:r>
      <w:r w:rsidRPr="00F27422">
        <w:rPr>
          <w:rFonts w:ascii="mylotus" w:hAnsi="mylotus"/>
          <w:b/>
          <w:bCs/>
          <w:sz w:val="32"/>
          <w:rtl/>
        </w:rPr>
        <w:t xml:space="preserve"> </w:t>
      </w:r>
      <w:r w:rsidRPr="00F27422">
        <w:rPr>
          <w:rFonts w:ascii="mylotus" w:hAnsi="mylotus" w:hint="cs"/>
          <w:b/>
          <w:bCs/>
          <w:sz w:val="32"/>
          <w:rtl/>
        </w:rPr>
        <w:t>تشمل</w:t>
      </w:r>
      <w:r w:rsidRPr="00F27422">
        <w:rPr>
          <w:rFonts w:ascii="mylotus" w:hAnsi="mylotus"/>
          <w:b/>
          <w:bCs/>
          <w:sz w:val="32"/>
          <w:rtl/>
        </w:rPr>
        <w:t xml:space="preserve"> </w:t>
      </w:r>
      <w:r w:rsidRPr="00F27422">
        <w:rPr>
          <w:rFonts w:ascii="mylotus" w:hAnsi="mylotus" w:hint="cs"/>
          <w:b/>
          <w:bCs/>
          <w:sz w:val="32"/>
          <w:rtl/>
        </w:rPr>
        <w:t>غيرها،</w:t>
      </w:r>
      <w:r w:rsidRPr="00F27422">
        <w:rPr>
          <w:rFonts w:ascii="mylotus" w:hAnsi="mylotus"/>
          <w:b/>
          <w:bCs/>
          <w:sz w:val="32"/>
          <w:rtl/>
        </w:rPr>
        <w:t xml:space="preserve"> </w:t>
      </w:r>
      <w:r w:rsidRPr="00F27422">
        <w:rPr>
          <w:rFonts w:ascii="mylotus" w:hAnsi="mylotus" w:hint="cs"/>
          <w:b/>
          <w:bCs/>
          <w:sz w:val="32"/>
          <w:rtl/>
        </w:rPr>
        <w:t>إلّا</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هذه</w:t>
      </w:r>
      <w:r w:rsidRPr="00F27422">
        <w:rPr>
          <w:rFonts w:ascii="mylotus" w:hAnsi="mylotus"/>
          <w:b/>
          <w:bCs/>
          <w:sz w:val="32"/>
          <w:rtl/>
        </w:rPr>
        <w:t xml:space="preserve"> </w:t>
      </w:r>
      <w:r w:rsidRPr="00F27422">
        <w:rPr>
          <w:rFonts w:ascii="mylotus" w:hAnsi="mylotus" w:hint="cs"/>
          <w:b/>
          <w:bCs/>
          <w:sz w:val="32"/>
          <w:rtl/>
        </w:rPr>
        <w:t>الدعوى</w:t>
      </w:r>
      <w:r w:rsidRPr="00F27422">
        <w:rPr>
          <w:rFonts w:ascii="mylotus" w:hAnsi="mylotus"/>
          <w:b/>
          <w:bCs/>
          <w:sz w:val="32"/>
          <w:rtl/>
        </w:rPr>
        <w:t xml:space="preserve"> </w:t>
      </w:r>
      <w:r w:rsidRPr="00F27422">
        <w:rPr>
          <w:rFonts w:ascii="mylotus" w:hAnsi="mylotus" w:hint="cs"/>
          <w:b/>
          <w:bCs/>
          <w:sz w:val="32"/>
          <w:rtl/>
        </w:rPr>
        <w:t>تحتاج</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دليل،</w:t>
      </w:r>
      <w:r w:rsidRPr="00F27422">
        <w:rPr>
          <w:rFonts w:ascii="mylotus" w:hAnsi="mylotus"/>
          <w:b/>
          <w:bCs/>
          <w:sz w:val="32"/>
          <w:rtl/>
        </w:rPr>
        <w:t xml:space="preserve"> </w:t>
      </w:r>
      <w:r w:rsidRPr="00F27422">
        <w:rPr>
          <w:rFonts w:ascii="mylotus" w:hAnsi="mylotus" w:hint="cs"/>
          <w:b/>
          <w:bCs/>
          <w:sz w:val="32"/>
          <w:rtl/>
        </w:rPr>
        <w:t>إذ</w:t>
      </w:r>
      <w:r w:rsidRPr="00F27422">
        <w:rPr>
          <w:rFonts w:ascii="mylotus" w:hAnsi="mylotus"/>
          <w:b/>
          <w:bCs/>
          <w:sz w:val="32"/>
          <w:rtl/>
        </w:rPr>
        <w:t xml:space="preserve">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وجه</w:t>
      </w:r>
      <w:r w:rsidRPr="00F27422">
        <w:rPr>
          <w:rFonts w:ascii="mylotus" w:hAnsi="mylotus"/>
          <w:b/>
          <w:bCs/>
          <w:sz w:val="32"/>
          <w:rtl/>
        </w:rPr>
        <w:t xml:space="preserve"> </w:t>
      </w:r>
      <w:r w:rsidRPr="00F27422">
        <w:rPr>
          <w:rFonts w:ascii="mylotus" w:hAnsi="mylotus" w:hint="cs"/>
          <w:b/>
          <w:bCs/>
          <w:sz w:val="32"/>
          <w:rtl/>
        </w:rPr>
        <w:t>لاختصاصها</w:t>
      </w:r>
      <w:r w:rsidRPr="00F27422">
        <w:rPr>
          <w:rFonts w:ascii="mylotus" w:hAnsi="mylotus"/>
          <w:b/>
          <w:bCs/>
          <w:sz w:val="32"/>
          <w:rtl/>
        </w:rPr>
        <w:t xml:space="preserve"> </w:t>
      </w:r>
      <w:r w:rsidRPr="00F27422">
        <w:rPr>
          <w:rFonts w:ascii="mylotus" w:hAnsi="mylotus" w:hint="cs"/>
          <w:b/>
          <w:bCs/>
          <w:sz w:val="32"/>
          <w:rtl/>
        </w:rPr>
        <w:t>بما</w:t>
      </w:r>
      <w:r w:rsidRPr="00F27422">
        <w:rPr>
          <w:rFonts w:ascii="mylotus" w:hAnsi="mylotus"/>
          <w:b/>
          <w:bCs/>
          <w:sz w:val="32"/>
          <w:rtl/>
        </w:rPr>
        <w:t xml:space="preserve"> </w:t>
      </w:r>
      <w:r w:rsidRPr="00F27422">
        <w:rPr>
          <w:rFonts w:ascii="mylotus" w:hAnsi="mylotus" w:hint="cs"/>
          <w:b/>
          <w:bCs/>
          <w:sz w:val="32"/>
          <w:rtl/>
        </w:rPr>
        <w:t>ذكر</w:t>
      </w:r>
      <w:r w:rsidRPr="00F27422">
        <w:rPr>
          <w:rFonts w:ascii="mylotus" w:hAnsi="mylotus"/>
          <w:b/>
          <w:bCs/>
          <w:sz w:val="32"/>
          <w:rtl/>
        </w:rPr>
        <w:t xml:space="preserve"> </w:t>
      </w:r>
      <w:r w:rsidRPr="00F27422">
        <w:rPr>
          <w:rFonts w:ascii="mylotus" w:hAnsi="mylotus" w:hint="cs"/>
          <w:b/>
          <w:bCs/>
          <w:sz w:val="32"/>
          <w:rtl/>
        </w:rPr>
        <w:t>بعد</w:t>
      </w:r>
      <w:r w:rsidRPr="00F27422">
        <w:rPr>
          <w:rFonts w:ascii="mylotus" w:hAnsi="mylotus"/>
          <w:b/>
          <w:bCs/>
          <w:sz w:val="32"/>
          <w:rtl/>
        </w:rPr>
        <w:t xml:space="preserve"> </w:t>
      </w:r>
      <w:r w:rsidRPr="00F27422">
        <w:rPr>
          <w:rFonts w:ascii="mylotus" w:hAnsi="mylotus" w:hint="cs"/>
          <w:b/>
          <w:bCs/>
          <w:sz w:val="32"/>
          <w:rtl/>
        </w:rPr>
        <w:t>كون</w:t>
      </w:r>
      <w:r w:rsidRPr="00F27422">
        <w:rPr>
          <w:rFonts w:ascii="mylotus" w:hAnsi="mylotus"/>
          <w:b/>
          <w:bCs/>
          <w:sz w:val="32"/>
          <w:rtl/>
        </w:rPr>
        <w:t xml:space="preserve"> </w:t>
      </w:r>
      <w:r w:rsidRPr="00F27422">
        <w:rPr>
          <w:rFonts w:ascii="mylotus" w:hAnsi="mylotus" w:hint="cs"/>
          <w:b/>
          <w:bCs/>
          <w:sz w:val="32"/>
          <w:rtl/>
        </w:rPr>
        <w:t>عمومها</w:t>
      </w:r>
      <w:r w:rsidRPr="00F27422">
        <w:rPr>
          <w:rFonts w:ascii="mylotus" w:hAnsi="mylotus"/>
          <w:b/>
          <w:bCs/>
          <w:sz w:val="32"/>
          <w:rtl/>
        </w:rPr>
        <w:t xml:space="preserve"> </w:t>
      </w:r>
      <w:r w:rsidRPr="00F27422">
        <w:rPr>
          <w:rFonts w:ascii="mylotus" w:hAnsi="mylotus" w:hint="cs"/>
          <w:b/>
          <w:bCs/>
          <w:sz w:val="32"/>
          <w:rtl/>
        </w:rPr>
        <w:t>انحلالياً</w:t>
      </w:r>
      <w:r w:rsidRPr="00F27422">
        <w:rPr>
          <w:rFonts w:ascii="mylotus" w:hAnsi="mylotus"/>
          <w:b/>
          <w:bCs/>
          <w:sz w:val="32"/>
          <w:rtl/>
        </w:rPr>
        <w:t xml:space="preserve"> </w:t>
      </w:r>
      <w:r w:rsidRPr="00F27422">
        <w:rPr>
          <w:rFonts w:ascii="mylotus" w:hAnsi="mylotus" w:hint="cs"/>
          <w:b/>
          <w:bCs/>
          <w:sz w:val="32"/>
          <w:rtl/>
        </w:rPr>
        <w:t>بحسب</w:t>
      </w:r>
      <w:r w:rsidRPr="00F27422">
        <w:rPr>
          <w:rFonts w:ascii="mylotus" w:hAnsi="mylotus"/>
          <w:b/>
          <w:bCs/>
          <w:sz w:val="32"/>
          <w:rtl/>
        </w:rPr>
        <w:t xml:space="preserve"> </w:t>
      </w:r>
      <w:r w:rsidRPr="00F27422">
        <w:rPr>
          <w:rFonts w:ascii="mylotus" w:hAnsi="mylotus" w:hint="cs"/>
          <w:b/>
          <w:bCs/>
          <w:sz w:val="32"/>
          <w:rtl/>
        </w:rPr>
        <w:t>الأشخاص</w:t>
      </w:r>
      <w:r w:rsidRPr="00F27422">
        <w:rPr>
          <w:rFonts w:ascii="mylotus" w:hAnsi="mylotus"/>
          <w:b/>
          <w:bCs/>
          <w:sz w:val="32"/>
          <w:rtl/>
        </w:rPr>
        <w:t>)</w:t>
      </w:r>
      <w:r w:rsidRPr="00F27422">
        <w:rPr>
          <w:rFonts w:ascii="mylotus" w:hAnsi="mylotus"/>
          <w:b/>
          <w:bCs/>
          <w:sz w:val="32"/>
        </w:rPr>
        <w:t>.</w:t>
      </w:r>
    </w:p>
    <w:p w14:paraId="4F53E4DA"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sz w:val="32"/>
          <w:rtl/>
        </w:rPr>
        <w:t>مع أن</w:t>
      </w:r>
      <w:r w:rsidRPr="00F27422">
        <w:rPr>
          <w:rFonts w:ascii="mylotus" w:hAnsi="mylotus" w:hint="cs"/>
          <w:sz w:val="32"/>
          <w:rtl/>
        </w:rPr>
        <w:t>ّ</w:t>
      </w:r>
      <w:r w:rsidRPr="00F27422">
        <w:rPr>
          <w:rFonts w:ascii="mylotus" w:hAnsi="mylotus"/>
          <w:sz w:val="32"/>
          <w:rtl/>
        </w:rPr>
        <w:t>ه ليس محل</w:t>
      </w:r>
      <w:r w:rsidRPr="00F27422">
        <w:rPr>
          <w:rFonts w:ascii="mylotus" w:hAnsi="mylotus" w:hint="cs"/>
          <w:sz w:val="32"/>
          <w:rtl/>
        </w:rPr>
        <w:t>ّ</w:t>
      </w:r>
      <w:r w:rsidRPr="00F27422">
        <w:rPr>
          <w:rFonts w:ascii="mylotus" w:hAnsi="mylotus"/>
          <w:sz w:val="32"/>
          <w:rtl/>
        </w:rPr>
        <w:t xml:space="preserve"> الكلام العموم بحسب الأشخاص؛ وإنّما الكلام في إطلاقها بحسب نوع الشروط، لا إطلاقها بحسب الأشخاص، وكونها في مقام الإمضاء أوجب انصرافها عما لا يمضي العقلاء نفوذه كالشروط التي ليس لها غرضٌ عقلائي</w:t>
      </w:r>
      <w:r w:rsidRPr="00F27422">
        <w:rPr>
          <w:rFonts w:ascii="mylotus" w:hAnsi="mylotus"/>
          <w:sz w:val="32"/>
        </w:rPr>
        <w:t>.</w:t>
      </w:r>
    </w:p>
    <w:p w14:paraId="607F6924"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النقطة الثانية:</w:t>
      </w:r>
      <w:r w:rsidRPr="00F27422">
        <w:rPr>
          <w:rFonts w:ascii="mylotus" w:hAnsi="mylotus"/>
          <w:sz w:val="32"/>
          <w:rtl/>
        </w:rPr>
        <w:t xml:space="preserve"> قد وقع البحث في باب الشروط - كما تعرض له الشيخ الأعظم (قدس سره الشريف) في باب الخيارات في قسم الشروط - في أنّ الشرط المنافي لمقتضى العقد شرطٌ باطلٌ كالشرط المخالف للكتاب أو الشرط المحلل للحرام أم لا؟</w:t>
      </w:r>
    </w:p>
    <w:p w14:paraId="12F18424"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وتوضيحه:</w:t>
      </w:r>
      <w:r w:rsidRPr="00F27422">
        <w:rPr>
          <w:rFonts w:ascii="mylotus" w:hAnsi="mylotus"/>
          <w:sz w:val="32"/>
          <w:rtl/>
        </w:rPr>
        <w:t xml:space="preserve"> أنّ لكلّ عقدٍ مقتضيين</w:t>
      </w:r>
      <w:r w:rsidRPr="00F27422">
        <w:rPr>
          <w:rFonts w:ascii="mylotus" w:hAnsi="mylotus" w:hint="cs"/>
          <w:sz w:val="32"/>
          <w:rtl/>
        </w:rPr>
        <w:t>:</w:t>
      </w:r>
      <w:r w:rsidRPr="00F27422">
        <w:rPr>
          <w:rFonts w:ascii="mylotus" w:hAnsi="mylotus"/>
          <w:sz w:val="32"/>
          <w:rtl/>
        </w:rPr>
        <w:t xml:space="preserve"> إمّا بلا واسطة أو مع الواسطة</w:t>
      </w:r>
      <w:r w:rsidRPr="00F27422">
        <w:rPr>
          <w:rFonts w:ascii="mylotus" w:hAnsi="mylotus"/>
          <w:sz w:val="32"/>
        </w:rPr>
        <w:t>.</w:t>
      </w:r>
    </w:p>
    <w:p w14:paraId="5667086F"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المقتضى الأوّل:</w:t>
      </w:r>
      <w:r w:rsidRPr="00F27422">
        <w:rPr>
          <w:rFonts w:ascii="mylotus" w:hAnsi="mylotus"/>
          <w:sz w:val="32"/>
          <w:rtl/>
        </w:rPr>
        <w:t xml:space="preserve"> هو ما يُنشئه العاقد ويوجده في وعاء الاعتبار بإنشائه، نظير المِلكيَّة في البيع للعين أو المِلكيَّة في الإجارة للمنفعة أو الزوجية في النكاح ونحوهما من المنشآت المتحقّقة بنفس العقد</w:t>
      </w:r>
      <w:r w:rsidRPr="00F27422">
        <w:rPr>
          <w:rFonts w:ascii="mylotus" w:hAnsi="mylotus"/>
          <w:sz w:val="32"/>
        </w:rPr>
        <w:t>.</w:t>
      </w:r>
    </w:p>
    <w:p w14:paraId="49BB5C5F"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sz w:val="32"/>
          <w:rtl/>
        </w:rPr>
        <w:t>ومن الواضح أن</w:t>
      </w:r>
      <w:r w:rsidRPr="00F27422">
        <w:rPr>
          <w:rFonts w:ascii="mylotus" w:hAnsi="mylotus" w:hint="cs"/>
          <w:sz w:val="32"/>
          <w:rtl/>
        </w:rPr>
        <w:t>ّ</w:t>
      </w:r>
      <w:r w:rsidRPr="00F27422">
        <w:rPr>
          <w:rFonts w:ascii="mylotus" w:hAnsi="mylotus"/>
          <w:sz w:val="32"/>
          <w:rtl/>
        </w:rPr>
        <w:t xml:space="preserve"> كلّ شرطٍ على خلاف المقتضى الأوّل يعد من الشروط المنافية لمقتضى العقد، كما لو باعه العين بشرط أنْ لا يملكها أو آجره الدار بشرط أنْ لا يملك المنفعة أو زوجتْ نفسها بشرط أنْ لا تتحقق الزوجية، فإن</w:t>
      </w:r>
      <w:r w:rsidRPr="00F27422">
        <w:rPr>
          <w:rFonts w:ascii="mylotus" w:hAnsi="mylotus" w:hint="cs"/>
          <w:sz w:val="32"/>
          <w:rtl/>
        </w:rPr>
        <w:t>ّ</w:t>
      </w:r>
      <w:r w:rsidRPr="00F27422">
        <w:rPr>
          <w:rFonts w:ascii="mylotus" w:hAnsi="mylotus"/>
          <w:sz w:val="32"/>
          <w:rtl/>
        </w:rPr>
        <w:t xml:space="preserve"> الشرط لاغي، بل إنّ اشتراطه ضمن العقد مُوجبٌ للتهافت بحسب المراد الجدي في مقام الإنشاء؛ إذ لا يتصور الجمع بين أنْ ينشئ المِلكيَّة للمشتري جدّاً وأنْ يشترط عليه عدم المِلكيَّة جدّاً، بل هما متهافتان بحسب المراد الجدّي، فالشرط باطل</w:t>
      </w:r>
      <w:r w:rsidRPr="00F27422">
        <w:rPr>
          <w:rFonts w:ascii="mylotus" w:hAnsi="mylotus" w:hint="cs"/>
          <w:sz w:val="32"/>
          <w:rtl/>
        </w:rPr>
        <w:t>ٌ</w:t>
      </w:r>
      <w:r w:rsidRPr="00F27422">
        <w:rPr>
          <w:rFonts w:ascii="mylotus" w:hAnsi="mylotus"/>
          <w:sz w:val="32"/>
          <w:rtl/>
        </w:rPr>
        <w:t xml:space="preserve"> ومبطل.</w:t>
      </w:r>
    </w:p>
    <w:p w14:paraId="33D37E61"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ومن أمثلة ذلك:</w:t>
      </w:r>
      <w:r w:rsidRPr="00F27422">
        <w:rPr>
          <w:rFonts w:ascii="mylotus" w:hAnsi="mylotus"/>
          <w:sz w:val="32"/>
          <w:rtl/>
        </w:rPr>
        <w:t xml:space="preserve"> إجارة العين بشرط أنْ لا سلطنة للمُستأجر على الانتفاع بها، فإنّ هذا منافٍ للمقتضى الأوّل للإجارة</w:t>
      </w:r>
      <w:r w:rsidRPr="00F27422">
        <w:rPr>
          <w:rFonts w:ascii="mylotus" w:hAnsi="mylotus"/>
          <w:sz w:val="32"/>
        </w:rPr>
        <w:t>.</w:t>
      </w:r>
    </w:p>
    <w:p w14:paraId="53A42F38"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المقتضى الثاني:</w:t>
      </w:r>
      <w:r w:rsidRPr="00F27422">
        <w:rPr>
          <w:rFonts w:ascii="mylotus" w:hAnsi="mylotus"/>
          <w:sz w:val="32"/>
          <w:rtl/>
        </w:rPr>
        <w:t xml:space="preserve"> وهو ما يترتب على العقد بواسطة المقتضى الأوّل، أي: بعد المفروغية عن تحقّق المُنشأ - وهو المقتضى الأوّل - فهناك آثارٌ عقلائية أعم من التكليفية والوضعية تترتب على العقود بواسطة المقتضى الأوّل، نظير جواز النظر إلى المرأة وجواز وطئها ونحوها من الاستمتاعات المترتبة على الزوجية الحاصلة بالعقد، ونظير جواز البيع وجواز الأكل وغيرهما من الآثار المترتبة على المبيع بعد المفروغية عن البيع، ونظير تصرّف المُستأجر في المنفعة المملوكة له بأنحاء التصرّفات الحسية والاعتبارية</w:t>
      </w:r>
      <w:r w:rsidRPr="00F27422">
        <w:rPr>
          <w:rFonts w:ascii="mylotus" w:hAnsi="mylotus"/>
          <w:sz w:val="32"/>
        </w:rPr>
        <w:t>.</w:t>
      </w:r>
    </w:p>
    <w:p w14:paraId="5CB46B55"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sz w:val="32"/>
          <w:rtl/>
        </w:rPr>
        <w:t>فلو أنّ المؤجّر أو البائع اشترط على الم</w:t>
      </w:r>
      <w:r w:rsidRPr="00F27422">
        <w:rPr>
          <w:rFonts w:ascii="mylotus" w:hAnsi="mylotus" w:hint="cs"/>
          <w:sz w:val="32"/>
          <w:rtl/>
        </w:rPr>
        <w:t>ُ</w:t>
      </w:r>
      <w:r w:rsidRPr="00F27422">
        <w:rPr>
          <w:rFonts w:ascii="mylotus" w:hAnsi="mylotus"/>
          <w:sz w:val="32"/>
          <w:rtl/>
        </w:rPr>
        <w:t>ستأجر أو الم</w:t>
      </w:r>
      <w:r w:rsidRPr="00F27422">
        <w:rPr>
          <w:rFonts w:ascii="mylotus" w:hAnsi="mylotus" w:hint="cs"/>
          <w:sz w:val="32"/>
          <w:rtl/>
        </w:rPr>
        <w:t>ُ</w:t>
      </w:r>
      <w:r w:rsidRPr="00F27422">
        <w:rPr>
          <w:rFonts w:ascii="mylotus" w:hAnsi="mylotus"/>
          <w:sz w:val="32"/>
          <w:rtl/>
        </w:rPr>
        <w:t>شتري أنْ لا تترتب هذه الآثار، فالمرأة زوجة لكن لا تترتب الآثار العقلائية للزوجية ومنها جواز الوطء، أو أنّ البيت مِلكٌ للمشتري لكن لا تترتب عليه آثار المِلكيَّة خصوصاً التصرّفات الحسية، أو أنّ المنفعة مِلكٌ للمُستأجر لكن لا يترتب عليها جواز استيفاء المنفعة، فإنّ هذا الشرط باطل؛ لمنافاته للمقتضى الثاني للعقد - لا للمقتضى الأوّل -.</w:t>
      </w:r>
    </w:p>
    <w:p w14:paraId="10867C9D"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والسر في ذلك:</w:t>
      </w:r>
      <w:r w:rsidRPr="00F27422">
        <w:rPr>
          <w:rFonts w:ascii="mylotus" w:hAnsi="mylotus"/>
          <w:sz w:val="32"/>
          <w:rtl/>
        </w:rPr>
        <w:t xml:space="preserve"> ما سبق من انصراف أدلّة الشروط عن الشرط الذي يكون مصادما</w:t>
      </w:r>
      <w:r w:rsidRPr="00F27422">
        <w:rPr>
          <w:rFonts w:ascii="mylotus" w:hAnsi="mylotus" w:hint="cs"/>
          <w:sz w:val="32"/>
          <w:rtl/>
        </w:rPr>
        <w:t>ً</w:t>
      </w:r>
      <w:r w:rsidRPr="00F27422">
        <w:rPr>
          <w:rFonts w:ascii="mylotus" w:hAnsi="mylotus"/>
          <w:sz w:val="32"/>
          <w:rtl/>
        </w:rPr>
        <w:t xml:space="preserve"> للآثار العقلائية المقصودة نوعا</w:t>
      </w:r>
      <w:r w:rsidRPr="00F27422">
        <w:rPr>
          <w:rFonts w:ascii="mylotus" w:hAnsi="mylotus" w:hint="cs"/>
          <w:sz w:val="32"/>
          <w:rtl/>
        </w:rPr>
        <w:t>ً</w:t>
      </w:r>
      <w:r w:rsidRPr="00F27422">
        <w:rPr>
          <w:rFonts w:ascii="mylotus" w:hAnsi="mylotus"/>
          <w:sz w:val="32"/>
          <w:rtl/>
        </w:rPr>
        <w:t xml:space="preserve"> من</w:t>
      </w:r>
      <w:r w:rsidRPr="00F27422">
        <w:rPr>
          <w:rFonts w:ascii="mylotus" w:hAnsi="mylotus" w:hint="cs"/>
          <w:sz w:val="32"/>
          <w:rtl/>
        </w:rPr>
        <w:t xml:space="preserve"> </w:t>
      </w:r>
      <w:r w:rsidRPr="00F27422">
        <w:rPr>
          <w:rFonts w:ascii="mylotus" w:hAnsi="mylotus"/>
          <w:sz w:val="32"/>
          <w:rtl/>
        </w:rPr>
        <w:t>العقد بلحاظ ورود أدلّة الشروط في مقام الإمضاء لما عليه البناء العقلائي.</w:t>
      </w:r>
    </w:p>
    <w:p w14:paraId="1267599F" w14:textId="77777777" w:rsidR="00F92E99" w:rsidRPr="00F27422" w:rsidRDefault="00F92E99" w:rsidP="00122B70">
      <w:pPr>
        <w:pStyle w:val="a"/>
        <w:bidi/>
        <w:spacing w:line="216" w:lineRule="auto"/>
        <w:jc w:val="left"/>
        <w:rPr>
          <w:rFonts w:ascii="mylotus" w:hAnsi="mylotus"/>
          <w:b/>
          <w:bCs/>
          <w:sz w:val="32"/>
          <w:rtl/>
        </w:rPr>
      </w:pPr>
      <w:r w:rsidRPr="00F27422">
        <w:rPr>
          <w:rFonts w:ascii="mylotus" w:hAnsi="mylotus"/>
          <w:sz w:val="32"/>
          <w:rtl/>
        </w:rPr>
        <w:t xml:space="preserve">لكن سيدنا الخوئي (قدس سره الشريف) في موسوعته المباركة في [التنقيح في شرح المكاسب، المجلد الخامس، ج40، ص56] قال: </w:t>
      </w:r>
      <w:r w:rsidRPr="00F27422">
        <w:rPr>
          <w:rFonts w:ascii="mylotus" w:hAnsi="mylotus"/>
          <w:b/>
          <w:bCs/>
          <w:sz w:val="32"/>
          <w:rtl/>
        </w:rPr>
        <w:t>(فإذا كان شرط على خلاف تلك المقتضيات الثانوية فلابدّ من ملاحظة أنه يرجع إلى ترك مباح أو فعله فيحكم بجوازه)</w:t>
      </w:r>
      <w:r w:rsidRPr="00F27422">
        <w:rPr>
          <w:rFonts w:ascii="mylotus" w:hAnsi="mylotus"/>
          <w:sz w:val="32"/>
          <w:rtl/>
        </w:rPr>
        <w:t xml:space="preserve"> أي: بنفوذه، كأنْ زوجت المرأة نفسها للرجل بشرط أنْ لا ينظر إليها فالنظر وعدمه أمرٌ مباح، أو اشترط عليه </w:t>
      </w:r>
      <w:r w:rsidRPr="00F27422">
        <w:rPr>
          <w:rFonts w:ascii="mylotus" w:hAnsi="mylotus"/>
          <w:sz w:val="32"/>
          <w:rtl/>
        </w:rPr>
        <w:lastRenderedPageBreak/>
        <w:t xml:space="preserve">مثلاً أنْ يدخل بزوجته بعد العقد مباشرةً، فقد اشترط عليه فعل مباح </w:t>
      </w:r>
      <w:r w:rsidRPr="00F27422">
        <w:rPr>
          <w:rFonts w:ascii="mylotus" w:hAnsi="mylotus"/>
          <w:b/>
          <w:bCs/>
          <w:sz w:val="32"/>
          <w:rtl/>
        </w:rPr>
        <w:t>(أو إلى ترك واجب أو فعل حرام فيحكم ببطلانه لأنه على خلاف الكتاب)</w:t>
      </w:r>
      <w:r w:rsidRPr="00F27422">
        <w:rPr>
          <w:rFonts w:ascii="mylotus" w:hAnsi="mylotus"/>
          <w:b/>
          <w:bCs/>
          <w:sz w:val="32"/>
        </w:rPr>
        <w:t>.</w:t>
      </w:r>
    </w:p>
    <w:p w14:paraId="21E5E049"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sz w:val="32"/>
          <w:rtl/>
        </w:rPr>
        <w:t>فأرجع (قدس سره) المنافي لمقتضى العقد الثاني للمنافي للكتاب، أي: أنّ الشرط المنافي لمقتضى العقد هو خصوص ما كان منافيا</w:t>
      </w:r>
      <w:r w:rsidRPr="00F27422">
        <w:rPr>
          <w:rFonts w:ascii="mylotus" w:hAnsi="mylotus" w:hint="cs"/>
          <w:sz w:val="32"/>
          <w:rtl/>
        </w:rPr>
        <w:t>ً</w:t>
      </w:r>
      <w:r w:rsidRPr="00F27422">
        <w:rPr>
          <w:rFonts w:ascii="mylotus" w:hAnsi="mylotus"/>
          <w:sz w:val="32"/>
          <w:rtl/>
        </w:rPr>
        <w:t xml:space="preserve"> للمقتضى الأوّل، وأمّا ما كان منافياً للمقتضى الثاني فلابُدّ مِن التفصيل فيه، فإنْ رجع لمخالفة الكتاب كان باطلاً مع صحّة العقد، وإلّا فلا</w:t>
      </w:r>
      <w:r w:rsidRPr="00F27422">
        <w:rPr>
          <w:rFonts w:ascii="mylotus" w:hAnsi="mylotus"/>
          <w:sz w:val="32"/>
        </w:rPr>
        <w:t>.</w:t>
      </w:r>
    </w:p>
    <w:p w14:paraId="0ADA1ADA"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لكن الصحيح:</w:t>
      </w:r>
      <w:r w:rsidRPr="00F27422">
        <w:rPr>
          <w:rFonts w:ascii="mylotus" w:hAnsi="mylotus"/>
          <w:sz w:val="32"/>
          <w:rtl/>
        </w:rPr>
        <w:t xml:space="preserve"> ما ذكرناه</w:t>
      </w:r>
      <w:r w:rsidRPr="00F27422">
        <w:rPr>
          <w:rFonts w:ascii="mylotus" w:hAnsi="mylotus" w:hint="cs"/>
          <w:sz w:val="32"/>
          <w:rtl/>
        </w:rPr>
        <w:t xml:space="preserve"> </w:t>
      </w:r>
      <w:r w:rsidRPr="00F27422">
        <w:rPr>
          <w:rFonts w:ascii="mylotus" w:hAnsi="mylotus"/>
          <w:sz w:val="32"/>
          <w:rtl/>
        </w:rPr>
        <w:t>من أنّ المنافي لمقتضى العقد الثاني إذا كان منافياً للآثار العقلائية التي يرى العقلاء أنّها غرضٌ نوعي من العقد بيعاً أو إجارةً أو نكاحاً، فالشرط باطلٌ وإنْ كان العقد صحيحاً؛ لعدم شمول أدلّة نفوذ الشرط له وإنْ كان المشترط فعل مباحٍ أو ترك مباح</w:t>
      </w:r>
      <w:r w:rsidRPr="00F27422">
        <w:rPr>
          <w:rFonts w:ascii="mylotus" w:hAnsi="mylotus"/>
          <w:sz w:val="32"/>
        </w:rPr>
        <w:t>.</w:t>
      </w:r>
    </w:p>
    <w:p w14:paraId="6C44D7DD"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وبهذا يتبين:</w:t>
      </w:r>
      <w:r w:rsidRPr="00F27422">
        <w:rPr>
          <w:rFonts w:ascii="mylotus" w:hAnsi="mylotus"/>
          <w:sz w:val="32"/>
          <w:rtl/>
        </w:rPr>
        <w:t xml:space="preserve"> أنّ إطلاق الشرط لما بعد الموت - أي اشتراط المؤجّر على المُستأجر أنْ يسكن الدار بنفسه أو أنْ لا يسكنها غيره بمن فيهم الورثة - منافٍ لمقتضى العقد فيكون باطلاً</w:t>
      </w:r>
      <w:r w:rsidRPr="00F27422">
        <w:rPr>
          <w:rFonts w:ascii="mylotus" w:hAnsi="mylotus"/>
          <w:sz w:val="32"/>
        </w:rPr>
        <w:t>.</w:t>
      </w:r>
    </w:p>
    <w:p w14:paraId="281A1BBE"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النقطة الثالثة:</w:t>
      </w:r>
      <w:r w:rsidRPr="00F27422">
        <w:rPr>
          <w:rFonts w:ascii="mylotus" w:hAnsi="mylotus"/>
          <w:sz w:val="32"/>
          <w:rtl/>
        </w:rPr>
        <w:t xml:space="preserve"> قد وقع الكلام في أنّ الشرط الفاسد مفسد أو ليس بمفسد</w:t>
      </w:r>
      <w:r w:rsidRPr="00F27422">
        <w:rPr>
          <w:rFonts w:ascii="mylotus" w:hAnsi="mylotus"/>
          <w:sz w:val="32"/>
        </w:rPr>
        <w:t>.</w:t>
      </w:r>
    </w:p>
    <w:p w14:paraId="0CA71594"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sz w:val="32"/>
          <w:rtl/>
        </w:rPr>
        <w:t xml:space="preserve">واستدل على أنّ الشرط الفاسد مفسدٌ، كما تعرض له سيدنا الخوئي (قدس سره الشريف) في موسوعته المباركة في [التنقيح في شرح المكاسب، المجلد الخامس، ج40، ص115] بناء على </w:t>
      </w:r>
      <w:proofErr w:type="gramStart"/>
      <w:r w:rsidRPr="00F27422">
        <w:rPr>
          <w:rFonts w:ascii="mylotus" w:hAnsi="mylotus"/>
          <w:sz w:val="32"/>
          <w:rtl/>
        </w:rPr>
        <w:t>أن  التراضي</w:t>
      </w:r>
      <w:proofErr w:type="gramEnd"/>
      <w:r w:rsidRPr="00F27422">
        <w:rPr>
          <w:rFonts w:ascii="mylotus" w:hAnsi="mylotus"/>
          <w:sz w:val="32"/>
          <w:rtl/>
        </w:rPr>
        <w:t xml:space="preserve"> في قوله تبارك وتعالى: </w:t>
      </w:r>
      <w:r w:rsidRPr="00F27422">
        <w:rPr>
          <w:rFonts w:ascii="mylotus" w:hAnsi="mylotus"/>
          <w:b/>
          <w:bCs/>
          <w:sz w:val="32"/>
          <w:rtl/>
        </w:rPr>
        <w:t xml:space="preserve">(يَا أَيُّهَا الَّذِينَ آمَنُوا لَا تَأْكُلُوا أَمْوَالَكُم بَيْنَكُم بِالْبَاطِلِ إِلَّا أَن تَكُونَ تِجَارَةً عَن تَرَاضٍ مِّنكُمْ) </w:t>
      </w:r>
      <w:r w:rsidRPr="00F27422">
        <w:rPr>
          <w:rFonts w:ascii="mylotus" w:hAnsi="mylotus"/>
          <w:sz w:val="32"/>
          <w:rtl/>
        </w:rPr>
        <w:t>[سورة النساء، 29] هو التراضي المعاملي، لا التراضي القلبي</w:t>
      </w:r>
      <w:r w:rsidRPr="00F27422">
        <w:rPr>
          <w:rFonts w:ascii="mylotus" w:hAnsi="mylotus"/>
          <w:sz w:val="32"/>
        </w:rPr>
        <w:t>.</w:t>
      </w:r>
    </w:p>
    <w:p w14:paraId="00F3822C"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sz w:val="32"/>
          <w:rtl/>
        </w:rPr>
        <w:t xml:space="preserve">قال (قدس سره الشريف): </w:t>
      </w:r>
      <w:r w:rsidRPr="00F27422">
        <w:rPr>
          <w:rFonts w:ascii="mylotus" w:hAnsi="mylotus"/>
          <w:b/>
          <w:bCs/>
          <w:sz w:val="32"/>
          <w:rtl/>
        </w:rPr>
        <w:t xml:space="preserve">(الوجه الثاني الذي هو المهم في المقام: هو أنّ التراضي المعتبر في المعاملات معلّق على المعاملة مع الاشتراط ولا يرضى البائع بالمعاملة المجرّدة عن الشرط، فإنّ المقيّد ينتفي بانتفاء قيده، فيكون العقد الواقع على ذات المبيع) </w:t>
      </w:r>
      <w:r w:rsidRPr="00F27422">
        <w:rPr>
          <w:rFonts w:ascii="mylotus" w:hAnsi="mylotus"/>
          <w:sz w:val="32"/>
          <w:rtl/>
        </w:rPr>
        <w:t xml:space="preserve">أو المنفعة المُستأجَر عليها </w:t>
      </w:r>
      <w:r w:rsidRPr="00F27422">
        <w:rPr>
          <w:rFonts w:ascii="mylotus" w:hAnsi="mylotus"/>
          <w:b/>
          <w:bCs/>
          <w:sz w:val="32"/>
          <w:rtl/>
        </w:rPr>
        <w:t xml:space="preserve">(من التجارة لا عن تراضٍ وهو باطل لقوله عزّ من قائل: (لَا تَأْكُلُوا أَمْوَالَكُم بَيْنَكُم بِالْبَاطِلِ إِلَّا أَن تَكُونَ تِجَارَةً عَن تَرَاضٍ مِّنكُمْ)). </w:t>
      </w:r>
      <w:r w:rsidRPr="00F27422">
        <w:rPr>
          <w:rFonts w:ascii="mylotus" w:hAnsi="mylotus"/>
          <w:sz w:val="32"/>
          <w:rtl/>
        </w:rPr>
        <w:t>لأنّ ما تراضى عليه المتعاملان المعاملة المشروطة - لا مطلّق المعاملة -، فإذا كان الشرط فاسداً استلزم فساده فساد المعاملة لانتفاء التراضي</w:t>
      </w:r>
      <w:r w:rsidRPr="00F27422">
        <w:rPr>
          <w:rFonts w:ascii="mylotus" w:hAnsi="mylotus"/>
          <w:sz w:val="32"/>
        </w:rPr>
        <w:t>.</w:t>
      </w:r>
    </w:p>
    <w:p w14:paraId="18D57654"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(والجواب عن ذلك يظهر ممّا أشرنا إليه سابقاً وحاصله: أنّ الرضا المعاملي عند الإنشاء لم يعلّق على وجود الشرط في الخارج)</w:t>
      </w:r>
      <w:r w:rsidRPr="00F27422">
        <w:rPr>
          <w:rFonts w:ascii="mylotus" w:hAnsi="mylotus"/>
          <w:sz w:val="32"/>
          <w:rtl/>
        </w:rPr>
        <w:t xml:space="preserve"> فإذا اشترط البائعُ على المشتري شرطاً من الشروط الفاسدة كأنْ قال البائع: "بعتُكَ الكتاب على أنْ تشرب الخمر" أو "على أنْ تكذب" أو اشترط شرطاً غير عقلائي "على أن</w:t>
      </w:r>
      <w:r w:rsidRPr="00F27422">
        <w:rPr>
          <w:rFonts w:ascii="mylotus" w:hAnsi="mylotus" w:hint="cs"/>
          <w:sz w:val="32"/>
          <w:rtl/>
        </w:rPr>
        <w:t>ْ</w:t>
      </w:r>
      <w:r w:rsidRPr="00F27422">
        <w:rPr>
          <w:rFonts w:ascii="mylotus" w:hAnsi="mylotus"/>
          <w:sz w:val="32"/>
          <w:rtl/>
        </w:rPr>
        <w:t xml:space="preserve"> لا تكون لك السلطنة على الكتاب"، فإنّ التراضي المعاملي - بمعنى المبادلة بين الكتاب وبين الثمن - لم يعلّق على وجود الشرط </w:t>
      </w:r>
      <w:r w:rsidRPr="00F27422">
        <w:rPr>
          <w:rFonts w:ascii="mylotus" w:hAnsi="mylotus"/>
          <w:b/>
          <w:bCs/>
          <w:sz w:val="32"/>
          <w:rtl/>
        </w:rPr>
        <w:t>(وإلّا لكانت المعاملة باطلة)</w:t>
      </w:r>
      <w:r w:rsidRPr="00F27422">
        <w:rPr>
          <w:rFonts w:ascii="mylotus" w:hAnsi="mylotus"/>
          <w:sz w:val="32"/>
          <w:rtl/>
        </w:rPr>
        <w:t xml:space="preserve"> بنفس التعليق </w:t>
      </w:r>
      <w:r w:rsidRPr="00F27422">
        <w:rPr>
          <w:rFonts w:ascii="mylotus" w:hAnsi="mylotus"/>
          <w:b/>
          <w:bCs/>
          <w:sz w:val="32"/>
          <w:rtl/>
        </w:rPr>
        <w:t>(لأنه من التعليق المبطل، أو فرضنا صحة التعليق أيضاً تكون المعاملة باطلة)</w:t>
      </w:r>
      <w:r w:rsidRPr="00F27422">
        <w:rPr>
          <w:rFonts w:ascii="mylotus" w:hAnsi="mylotus"/>
          <w:sz w:val="32"/>
          <w:rtl/>
        </w:rPr>
        <w:t xml:space="preserve"> عند تخلف الشرط ولو كان الشرط صحيحاً، وهذا مما لا يقول به أحد؛ إذ لو كان التراضي المعاملي معلّقاً على وجود الشرط للزم من ذلك بطلان كلّ المعاملات عند عدم تحقّق الشرط؛ لأنّ المعاملة علقت على الشرط مع أنّه لا يترتب على تخلف الشرط إلّا الخيار لا بطلان المعاملة</w:t>
      </w:r>
      <w:r w:rsidRPr="00F27422">
        <w:rPr>
          <w:rFonts w:ascii="mylotus" w:hAnsi="mylotus"/>
          <w:sz w:val="32"/>
        </w:rPr>
        <w:t>.</w:t>
      </w:r>
    </w:p>
    <w:p w14:paraId="50292BAA"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sz w:val="32"/>
          <w:rtl/>
        </w:rPr>
        <w:t xml:space="preserve">وهذا كاشفٌ عن أنّ المعلّق على الشرط ليس التراضي المعاملي؛ وإنّما لزوم المعاملة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أصل</w:t>
      </w:r>
      <w:r w:rsidRPr="00F27422">
        <w:rPr>
          <w:rFonts w:ascii="mylotus" w:hAnsi="mylotus"/>
          <w:sz w:val="32"/>
          <w:rtl/>
        </w:rPr>
        <w:t xml:space="preserve"> </w:t>
      </w:r>
      <w:r w:rsidRPr="00F27422">
        <w:rPr>
          <w:rFonts w:ascii="mylotus" w:hAnsi="mylotus" w:hint="cs"/>
          <w:sz w:val="32"/>
          <w:rtl/>
        </w:rPr>
        <w:t>المعاملة</w:t>
      </w:r>
      <w:r w:rsidRPr="00F27422">
        <w:rPr>
          <w:rFonts w:ascii="mylotus" w:hAnsi="mylotus"/>
          <w:sz w:val="32"/>
          <w:rtl/>
        </w:rPr>
        <w:t xml:space="preserve"> - </w:t>
      </w:r>
      <w:r w:rsidRPr="00F27422">
        <w:rPr>
          <w:rFonts w:ascii="mylotus" w:hAnsi="mylotus" w:hint="cs"/>
          <w:sz w:val="32"/>
          <w:rtl/>
        </w:rPr>
        <w:t>إمّا</w:t>
      </w:r>
      <w:r w:rsidRPr="00F27422">
        <w:rPr>
          <w:rFonts w:ascii="mylotus" w:hAnsi="mylotus"/>
          <w:sz w:val="32"/>
          <w:rtl/>
        </w:rPr>
        <w:t xml:space="preserve"> </w:t>
      </w:r>
      <w:r w:rsidRPr="00F27422">
        <w:rPr>
          <w:rFonts w:ascii="mylotus" w:hAnsi="mylotus" w:hint="cs"/>
          <w:sz w:val="32"/>
          <w:rtl/>
        </w:rPr>
        <w:t>لأنّ</w:t>
      </w:r>
      <w:r w:rsidRPr="00F27422">
        <w:rPr>
          <w:rFonts w:ascii="mylotus" w:hAnsi="mylotus"/>
          <w:sz w:val="32"/>
          <w:rtl/>
        </w:rPr>
        <w:t xml:space="preserve"> </w:t>
      </w:r>
      <w:r w:rsidRPr="00F27422">
        <w:rPr>
          <w:rFonts w:ascii="mylotus" w:hAnsi="mylotus" w:hint="cs"/>
          <w:sz w:val="32"/>
          <w:rtl/>
        </w:rPr>
        <w:t>الشارط</w:t>
      </w:r>
      <w:r w:rsidRPr="00F27422">
        <w:rPr>
          <w:rFonts w:ascii="mylotus" w:hAnsi="mylotus"/>
          <w:sz w:val="32"/>
          <w:rtl/>
        </w:rPr>
        <w:t xml:space="preserve"> </w:t>
      </w:r>
      <w:r w:rsidRPr="00F27422">
        <w:rPr>
          <w:rFonts w:ascii="mylotus" w:hAnsi="mylotus" w:hint="cs"/>
          <w:sz w:val="32"/>
          <w:rtl/>
        </w:rPr>
        <w:t>علّق</w:t>
      </w:r>
      <w:r w:rsidRPr="00F27422">
        <w:rPr>
          <w:rFonts w:ascii="mylotus" w:hAnsi="mylotus"/>
          <w:sz w:val="32"/>
          <w:rtl/>
        </w:rPr>
        <w:t xml:space="preserve"> </w:t>
      </w:r>
      <w:r w:rsidRPr="00F27422">
        <w:rPr>
          <w:rFonts w:ascii="mylotus" w:hAnsi="mylotus" w:hint="cs"/>
          <w:sz w:val="32"/>
          <w:rtl/>
        </w:rPr>
        <w:t>التزامه</w:t>
      </w:r>
      <w:r w:rsidRPr="00F27422">
        <w:rPr>
          <w:rFonts w:ascii="mylotus" w:hAnsi="mylotus"/>
          <w:sz w:val="32"/>
          <w:rtl/>
        </w:rPr>
        <w:t xml:space="preserve"> </w:t>
      </w:r>
      <w:r w:rsidRPr="00F27422">
        <w:rPr>
          <w:rFonts w:ascii="mylotus" w:hAnsi="mylotus" w:hint="cs"/>
          <w:sz w:val="32"/>
          <w:rtl/>
        </w:rPr>
        <w:t>بالمعاملة</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وجود</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w:t>
      </w:r>
      <w:r w:rsidRPr="00F27422">
        <w:rPr>
          <w:rFonts w:ascii="mylotus" w:hAnsi="mylotus" w:hint="cs"/>
          <w:sz w:val="32"/>
          <w:rtl/>
        </w:rPr>
        <w:t>فإنْ</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يكن</w:t>
      </w:r>
      <w:r w:rsidRPr="00F27422">
        <w:rPr>
          <w:rFonts w:ascii="mylotus" w:hAnsi="mylotus"/>
          <w:sz w:val="32"/>
          <w:rtl/>
        </w:rPr>
        <w:t xml:space="preserve"> </w:t>
      </w:r>
      <w:r w:rsidRPr="00F27422">
        <w:rPr>
          <w:rFonts w:ascii="mylotus" w:hAnsi="mylotus" w:hint="cs"/>
          <w:sz w:val="32"/>
          <w:rtl/>
        </w:rPr>
        <w:t>شرط</w:t>
      </w:r>
      <w:r w:rsidRPr="00F27422">
        <w:rPr>
          <w:rFonts w:ascii="mylotus" w:hAnsi="mylotus"/>
          <w:sz w:val="32"/>
          <w:rtl/>
        </w:rPr>
        <w:t xml:space="preserve"> </w:t>
      </w:r>
      <w:r w:rsidRPr="00F27422">
        <w:rPr>
          <w:rFonts w:ascii="mylotus" w:hAnsi="mylotus" w:hint="cs"/>
          <w:sz w:val="32"/>
          <w:rtl/>
        </w:rPr>
        <w:t>فلا</w:t>
      </w:r>
      <w:r w:rsidRPr="00F27422">
        <w:rPr>
          <w:rFonts w:ascii="mylotus" w:hAnsi="mylotus"/>
          <w:sz w:val="32"/>
          <w:rtl/>
        </w:rPr>
        <w:t xml:space="preserve"> </w:t>
      </w:r>
      <w:r w:rsidRPr="00F27422">
        <w:rPr>
          <w:rFonts w:ascii="mylotus" w:hAnsi="mylotus" w:hint="cs"/>
          <w:sz w:val="32"/>
          <w:rtl/>
        </w:rPr>
        <w:t>التزام</w:t>
      </w:r>
      <w:r w:rsidRPr="00F27422">
        <w:rPr>
          <w:rFonts w:ascii="mylotus" w:hAnsi="mylotus"/>
          <w:sz w:val="32"/>
          <w:rtl/>
        </w:rPr>
        <w:t xml:space="preserve"> </w:t>
      </w:r>
      <w:r w:rsidRPr="00F27422">
        <w:rPr>
          <w:rFonts w:ascii="mylotus" w:hAnsi="mylotus" w:hint="cs"/>
          <w:sz w:val="32"/>
          <w:rtl/>
        </w:rPr>
        <w:t>له،</w:t>
      </w:r>
      <w:r w:rsidRPr="00F27422">
        <w:rPr>
          <w:rFonts w:ascii="mylotus" w:hAnsi="mylotus"/>
          <w:sz w:val="32"/>
          <w:rtl/>
        </w:rPr>
        <w:t xml:space="preserve"> </w:t>
      </w:r>
      <w:r w:rsidRPr="00F27422">
        <w:rPr>
          <w:rFonts w:ascii="mylotus" w:hAnsi="mylotus" w:hint="cs"/>
          <w:sz w:val="32"/>
          <w:rtl/>
        </w:rPr>
        <w:t>وهذا</w:t>
      </w:r>
      <w:r w:rsidRPr="00F27422">
        <w:rPr>
          <w:rFonts w:ascii="mylotus" w:hAnsi="mylotus"/>
          <w:sz w:val="32"/>
          <w:rtl/>
        </w:rPr>
        <w:t xml:space="preserve"> </w:t>
      </w:r>
      <w:r w:rsidRPr="00F27422">
        <w:rPr>
          <w:rFonts w:ascii="mylotus" w:hAnsi="mylotus" w:hint="cs"/>
          <w:sz w:val="32"/>
          <w:rtl/>
        </w:rPr>
        <w:t>ما</w:t>
      </w:r>
      <w:r w:rsidRPr="00F27422">
        <w:rPr>
          <w:rFonts w:ascii="mylotus" w:hAnsi="mylotus"/>
          <w:sz w:val="32"/>
          <w:rtl/>
        </w:rPr>
        <w:t xml:space="preserve"> </w:t>
      </w:r>
      <w:r w:rsidRPr="00F27422">
        <w:rPr>
          <w:rFonts w:ascii="mylotus" w:hAnsi="mylotus" w:hint="cs"/>
          <w:sz w:val="32"/>
          <w:rtl/>
        </w:rPr>
        <w:t>يعبر</w:t>
      </w:r>
      <w:r w:rsidRPr="00F27422">
        <w:rPr>
          <w:rFonts w:ascii="mylotus" w:hAnsi="mylotus"/>
          <w:sz w:val="32"/>
          <w:rtl/>
        </w:rPr>
        <w:t xml:space="preserve"> </w:t>
      </w:r>
      <w:r w:rsidRPr="00F27422">
        <w:rPr>
          <w:rFonts w:ascii="mylotus" w:hAnsi="mylotus" w:hint="cs"/>
          <w:sz w:val="32"/>
          <w:rtl/>
        </w:rPr>
        <w:t>عنه</w:t>
      </w:r>
      <w:r w:rsidRPr="00F27422">
        <w:rPr>
          <w:rFonts w:ascii="mylotus" w:hAnsi="mylotus"/>
          <w:sz w:val="32"/>
          <w:rtl/>
        </w:rPr>
        <w:t xml:space="preserve"> </w:t>
      </w:r>
      <w:r w:rsidRPr="00F27422">
        <w:rPr>
          <w:rFonts w:ascii="mylotus" w:hAnsi="mylotus" w:hint="cs"/>
          <w:sz w:val="32"/>
          <w:rtl/>
        </w:rPr>
        <w:t>بـ</w:t>
      </w:r>
      <w:r w:rsidRPr="00F27422">
        <w:rPr>
          <w:rFonts w:ascii="mylotus" w:hAnsi="mylotus"/>
          <w:sz w:val="32"/>
          <w:rtl/>
        </w:rPr>
        <w:t xml:space="preserve"> "</w:t>
      </w:r>
      <w:r w:rsidRPr="00F27422">
        <w:rPr>
          <w:rFonts w:ascii="mylotus" w:hAnsi="mylotus" w:hint="cs"/>
          <w:sz w:val="32"/>
          <w:rtl/>
        </w:rPr>
        <w:t>الجواز</w:t>
      </w:r>
      <w:r w:rsidRPr="00F27422">
        <w:rPr>
          <w:rFonts w:ascii="mylotus" w:hAnsi="mylotus"/>
          <w:sz w:val="32"/>
          <w:rtl/>
        </w:rPr>
        <w:t xml:space="preserve"> </w:t>
      </w:r>
      <w:r w:rsidRPr="00F27422">
        <w:rPr>
          <w:rFonts w:ascii="mylotus" w:hAnsi="mylotus" w:hint="cs"/>
          <w:sz w:val="32"/>
          <w:rtl/>
        </w:rPr>
        <w:t>الحقي</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مبنى</w:t>
      </w:r>
      <w:r w:rsidRPr="00F27422">
        <w:rPr>
          <w:rFonts w:ascii="mylotus" w:hAnsi="mylotus"/>
          <w:sz w:val="32"/>
          <w:rtl/>
        </w:rPr>
        <w:t xml:space="preserve"> </w:t>
      </w:r>
      <w:r w:rsidRPr="00F27422">
        <w:rPr>
          <w:rFonts w:ascii="mylotus" w:hAnsi="mylotus" w:hint="cs"/>
          <w:sz w:val="32"/>
          <w:rtl/>
        </w:rPr>
        <w:t>المحقّق</w:t>
      </w:r>
      <w:r w:rsidRPr="00F27422">
        <w:rPr>
          <w:rFonts w:ascii="mylotus" w:hAnsi="mylotus"/>
          <w:sz w:val="32"/>
          <w:rtl/>
        </w:rPr>
        <w:t xml:space="preserve"> </w:t>
      </w:r>
      <w:r w:rsidRPr="00F27422">
        <w:rPr>
          <w:rFonts w:ascii="mylotus" w:hAnsi="mylotus" w:hint="cs"/>
          <w:sz w:val="32"/>
          <w:rtl/>
        </w:rPr>
        <w:t>النائيني</w:t>
      </w:r>
      <w:r w:rsidRPr="00F27422">
        <w:rPr>
          <w:rFonts w:ascii="mylotus" w:hAnsi="mylotus"/>
          <w:sz w:val="32"/>
          <w:rtl/>
        </w:rPr>
        <w:t xml:space="preserve"> </w:t>
      </w:r>
      <w:r w:rsidRPr="00F27422">
        <w:rPr>
          <w:rFonts w:ascii="mylotus" w:hAnsi="mylotus" w:hint="cs"/>
          <w:sz w:val="32"/>
          <w:rtl/>
        </w:rPr>
        <w:t>وسيدنا</w:t>
      </w:r>
      <w:r w:rsidRPr="00F27422">
        <w:rPr>
          <w:rFonts w:ascii="mylotus" w:hAnsi="mylotus"/>
          <w:sz w:val="32"/>
          <w:rtl/>
        </w:rPr>
        <w:t xml:space="preserve"> </w:t>
      </w:r>
      <w:r w:rsidRPr="00F27422">
        <w:rPr>
          <w:rFonts w:ascii="mylotus" w:hAnsi="mylotus" w:hint="cs"/>
          <w:sz w:val="32"/>
          <w:rtl/>
        </w:rPr>
        <w:t>الخوئي</w:t>
      </w:r>
      <w:r w:rsidRPr="00F27422">
        <w:rPr>
          <w:rFonts w:ascii="mylotus" w:hAnsi="mylotus"/>
          <w:sz w:val="32"/>
          <w:rtl/>
        </w:rPr>
        <w:t xml:space="preserve"> (</w:t>
      </w:r>
      <w:r w:rsidRPr="00F27422">
        <w:rPr>
          <w:rFonts w:ascii="mylotus" w:hAnsi="mylotus" w:hint="cs"/>
          <w:sz w:val="32"/>
          <w:rtl/>
        </w:rPr>
        <w:t>قدس</w:t>
      </w:r>
      <w:r w:rsidRPr="00F27422">
        <w:rPr>
          <w:rFonts w:ascii="mylotus" w:hAnsi="mylotus"/>
          <w:sz w:val="32"/>
          <w:rtl/>
        </w:rPr>
        <w:t xml:space="preserve"> </w:t>
      </w:r>
      <w:r w:rsidRPr="00F27422">
        <w:rPr>
          <w:rFonts w:ascii="mylotus" w:hAnsi="mylotus" w:hint="cs"/>
          <w:sz w:val="32"/>
          <w:rtl/>
        </w:rPr>
        <w:t>سرهما</w:t>
      </w:r>
      <w:r w:rsidRPr="00F27422">
        <w:rPr>
          <w:rFonts w:ascii="mylotus" w:hAnsi="mylotus"/>
          <w:sz w:val="32"/>
          <w:rtl/>
        </w:rPr>
        <w:t>)</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أو</w:t>
      </w:r>
      <w:r w:rsidRPr="00F27422">
        <w:rPr>
          <w:rFonts w:ascii="mylotus" w:hAnsi="mylotus"/>
          <w:sz w:val="32"/>
          <w:rtl/>
        </w:rPr>
        <w:t xml:space="preserve"> </w:t>
      </w:r>
      <w:r w:rsidRPr="00F27422">
        <w:rPr>
          <w:rFonts w:ascii="mylotus" w:hAnsi="mylotus" w:hint="cs"/>
          <w:sz w:val="32"/>
          <w:rtl/>
        </w:rPr>
        <w:t>لبناء</w:t>
      </w:r>
      <w:r w:rsidRPr="00F27422">
        <w:rPr>
          <w:rFonts w:ascii="mylotus" w:hAnsi="mylotus"/>
          <w:sz w:val="32"/>
          <w:rtl/>
        </w:rPr>
        <w:t xml:space="preserve"> </w:t>
      </w:r>
      <w:r w:rsidRPr="00F27422">
        <w:rPr>
          <w:rFonts w:ascii="mylotus" w:hAnsi="mylotus" w:hint="cs"/>
          <w:sz w:val="32"/>
          <w:rtl/>
        </w:rPr>
        <w:t>العقلاء</w:t>
      </w:r>
      <w:r w:rsidRPr="00F27422">
        <w:rPr>
          <w:rFonts w:ascii="mylotus" w:hAnsi="mylotus"/>
          <w:sz w:val="32"/>
          <w:rtl/>
        </w:rPr>
        <w:t xml:space="preserve"> </w:t>
      </w:r>
      <w:r w:rsidRPr="00F27422">
        <w:rPr>
          <w:rFonts w:ascii="mylotus" w:hAnsi="mylotus" w:hint="cs"/>
          <w:sz w:val="32"/>
          <w:rtl/>
        </w:rPr>
        <w:t>الممضى</w:t>
      </w:r>
      <w:r w:rsidRPr="00F27422">
        <w:rPr>
          <w:rFonts w:ascii="mylotus" w:hAnsi="mylotus"/>
          <w:sz w:val="32"/>
          <w:rtl/>
        </w:rPr>
        <w:t xml:space="preserve"> </w:t>
      </w:r>
      <w:r w:rsidRPr="00F27422">
        <w:rPr>
          <w:rFonts w:ascii="mylotus" w:hAnsi="mylotus" w:hint="cs"/>
          <w:sz w:val="32"/>
          <w:rtl/>
        </w:rPr>
        <w:t>شرعاً</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لزوم</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فرض</w:t>
      </w:r>
      <w:r w:rsidRPr="00F27422">
        <w:rPr>
          <w:rFonts w:ascii="mylotus" w:hAnsi="mylotus"/>
          <w:sz w:val="32"/>
          <w:rtl/>
        </w:rPr>
        <w:t xml:space="preserve"> </w:t>
      </w:r>
      <w:r w:rsidRPr="00F27422">
        <w:rPr>
          <w:rFonts w:ascii="mylotus" w:hAnsi="mylotus" w:hint="cs"/>
          <w:sz w:val="32"/>
          <w:rtl/>
        </w:rPr>
        <w:t>تخلف</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w:t>
      </w:r>
      <w:r w:rsidRPr="00F27422">
        <w:rPr>
          <w:rFonts w:ascii="mylotus" w:hAnsi="mylotus" w:hint="cs"/>
          <w:sz w:val="32"/>
          <w:rtl/>
        </w:rPr>
        <w:t>كما</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المختار</w:t>
      </w:r>
      <w:r w:rsidRPr="00F27422">
        <w:rPr>
          <w:rFonts w:ascii="mylotus" w:hAnsi="mylotus"/>
          <w:sz w:val="32"/>
          <w:rtl/>
        </w:rPr>
        <w:t>.</w:t>
      </w:r>
    </w:p>
    <w:p w14:paraId="567CF21C"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b/>
          <w:bCs/>
          <w:sz w:val="32"/>
          <w:rtl/>
        </w:rPr>
        <w:t>والنتيجة:</w:t>
      </w:r>
      <w:r w:rsidRPr="00F27422">
        <w:rPr>
          <w:rFonts w:ascii="mylotus" w:hAnsi="mylotus"/>
          <w:sz w:val="32"/>
          <w:rtl/>
        </w:rPr>
        <w:t xml:space="preserve"> أنْ لا ملازمة بين فساد الشرط وفساد العقد</w:t>
      </w:r>
      <w:r w:rsidRPr="00F27422">
        <w:rPr>
          <w:rFonts w:ascii="mylotus" w:hAnsi="mylotus"/>
          <w:sz w:val="32"/>
        </w:rPr>
        <w:t>.</w:t>
      </w:r>
    </w:p>
    <w:p w14:paraId="1260FA23" w14:textId="77777777" w:rsidR="00F92E99" w:rsidRPr="00F27422" w:rsidRDefault="00F92E99" w:rsidP="00122B70">
      <w:pPr>
        <w:pStyle w:val="a"/>
        <w:bidi/>
        <w:spacing w:line="216" w:lineRule="auto"/>
        <w:jc w:val="left"/>
        <w:rPr>
          <w:rFonts w:ascii="mylotus" w:hAnsi="mylotus"/>
          <w:sz w:val="32"/>
          <w:rtl/>
        </w:rPr>
      </w:pPr>
      <w:r w:rsidRPr="00F27422">
        <w:rPr>
          <w:rFonts w:ascii="mylotus" w:hAnsi="mylotus"/>
          <w:sz w:val="32"/>
          <w:rtl/>
        </w:rPr>
        <w:lastRenderedPageBreak/>
        <w:t>فالشرط في المقام - وهو أنْ لا يسكن الدار إلّا هو أو أنْ لا يسكن الدار غيره بما يشمل الورثة - شرطٌ فاسدٌ عند الموت لكن العقد صحيح.</w:t>
      </w:r>
    </w:p>
    <w:p w14:paraId="2D68BBA6" w14:textId="77777777" w:rsidR="00F92E99" w:rsidRPr="00F27422" w:rsidRDefault="00F92E99" w:rsidP="00122B70">
      <w:pPr>
        <w:pStyle w:val="a"/>
        <w:bidi/>
        <w:spacing w:line="216" w:lineRule="auto"/>
        <w:jc w:val="left"/>
        <w:rPr>
          <w:rFonts w:ascii="mylotus" w:hAnsi="mylotus"/>
          <w:sz w:val="32"/>
          <w:rtl/>
        </w:rPr>
      </w:pPr>
    </w:p>
    <w:p w14:paraId="25F3AC38" w14:textId="77777777" w:rsidR="00F92E99" w:rsidRPr="00F27422" w:rsidRDefault="00F92E99" w:rsidP="00122B70">
      <w:pPr>
        <w:pStyle w:val="a"/>
        <w:bidi/>
        <w:spacing w:line="216" w:lineRule="auto"/>
        <w:jc w:val="left"/>
        <w:rPr>
          <w:rFonts w:ascii="mylotus" w:hAnsi="mylotus"/>
          <w:sz w:val="32"/>
        </w:rPr>
      </w:pPr>
      <w:r w:rsidRPr="00F27422">
        <w:rPr>
          <w:rFonts w:ascii="mylotus" w:hAnsi="mylotus"/>
          <w:b/>
          <w:bCs/>
          <w:sz w:val="32"/>
          <w:rtl/>
        </w:rPr>
        <w:t>والحمد لله رب العالمين</w:t>
      </w:r>
    </w:p>
    <w:p w14:paraId="18EA9622" w14:textId="77777777" w:rsidR="009563DF" w:rsidRPr="00F27422" w:rsidRDefault="009563DF" w:rsidP="00122B70">
      <w:pPr>
        <w:bidi/>
        <w:rPr>
          <w:sz w:val="32"/>
          <w:szCs w:val="32"/>
          <w:rtl/>
        </w:rPr>
      </w:pPr>
    </w:p>
    <w:p w14:paraId="418A867A" w14:textId="0E49AD3A" w:rsidR="009563DF" w:rsidRPr="00F27422" w:rsidRDefault="009563DF" w:rsidP="00122B70">
      <w:pPr>
        <w:pStyle w:val="Heading3"/>
        <w:bidi/>
        <w:rPr>
          <w:sz w:val="32"/>
          <w:szCs w:val="32"/>
        </w:rPr>
      </w:pPr>
      <w:r w:rsidRPr="00F27422">
        <w:rPr>
          <w:sz w:val="32"/>
          <w:szCs w:val="32"/>
        </w:rPr>
        <w:t>040</w:t>
      </w:r>
    </w:p>
    <w:p w14:paraId="0F478B96" w14:textId="77777777" w:rsidR="00714FC7" w:rsidRPr="00F27422" w:rsidRDefault="00714FC7" w:rsidP="00122B70">
      <w:pPr>
        <w:bidi/>
        <w:rPr>
          <w:sz w:val="32"/>
          <w:szCs w:val="32"/>
        </w:rPr>
      </w:pPr>
    </w:p>
    <w:p w14:paraId="2AA3D20F" w14:textId="77777777" w:rsidR="00F8693E" w:rsidRPr="00F27422" w:rsidRDefault="00F8693E" w:rsidP="00122B70">
      <w:pPr>
        <w:pStyle w:val="a"/>
        <w:bidi/>
        <w:spacing w:line="216" w:lineRule="auto"/>
        <w:jc w:val="left"/>
        <w:rPr>
          <w:rFonts w:ascii="mylotus" w:hAnsi="mylotus"/>
          <w:b/>
          <w:bCs/>
          <w:sz w:val="32"/>
        </w:rPr>
      </w:pPr>
      <w:r w:rsidRPr="00F27422">
        <w:rPr>
          <w:rFonts w:ascii="mylotus" w:hAnsi="mylotus"/>
          <w:b/>
          <w:bCs/>
          <w:sz w:val="32"/>
          <w:rtl/>
        </w:rPr>
        <w:t>بسم الله الرحمن الرحيم</w:t>
      </w:r>
    </w:p>
    <w:p w14:paraId="69BE48B0" w14:textId="77777777" w:rsidR="00F8693E" w:rsidRPr="00F27422" w:rsidRDefault="00F8693E"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43F76D77"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b/>
          <w:bCs/>
          <w:sz w:val="32"/>
          <w:rtl/>
        </w:rPr>
        <w:t>واللعن الدائم على أعدائهم أجمعين إلى قيام يوم الدين</w:t>
      </w:r>
    </w:p>
    <w:p w14:paraId="062F4CCB" w14:textId="77777777" w:rsidR="00F8693E" w:rsidRPr="00F27422" w:rsidRDefault="00F8693E" w:rsidP="00122B70">
      <w:pPr>
        <w:pStyle w:val="a"/>
        <w:bidi/>
        <w:spacing w:line="216" w:lineRule="auto"/>
        <w:jc w:val="left"/>
        <w:rPr>
          <w:rFonts w:ascii="mylotus" w:hAnsi="mylotus"/>
          <w:sz w:val="32"/>
          <w:rtl/>
          <w:lang w:bidi="ar-BH"/>
        </w:rPr>
      </w:pPr>
    </w:p>
    <w:p w14:paraId="5FA1C410"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b/>
          <w:bCs/>
          <w:sz w:val="32"/>
          <w:rtl/>
        </w:rPr>
        <w:t>النقطة الرابعة:</w:t>
      </w:r>
      <w:r w:rsidRPr="00F27422">
        <w:rPr>
          <w:rFonts w:ascii="mylotus" w:hAnsi="mylotus"/>
          <w:sz w:val="32"/>
          <w:rtl/>
        </w:rPr>
        <w:t xml:space="preserve"> ذكر سيدنا الخوئي (قدس سره الشريف) أنّ اشتراط المؤجّر على المُستأجر أنْ يسكن الدارَ بنفسه على نحو المضمون الإيجابي وإنْ كان شرطاً باطلاً بعد موته لتعذر تحقيقه إلّا أنّه لا خيار للمؤجّر وإنْ</w:t>
      </w:r>
      <w:r w:rsidRPr="00F27422">
        <w:rPr>
          <w:rFonts w:ascii="mylotus" w:hAnsi="mylotus"/>
          <w:sz w:val="32"/>
        </w:rPr>
        <w:t xml:space="preserve"> </w:t>
      </w:r>
      <w:r w:rsidRPr="00F27422">
        <w:rPr>
          <w:rFonts w:ascii="mylotus" w:hAnsi="mylotus"/>
          <w:sz w:val="32"/>
          <w:rtl/>
        </w:rPr>
        <w:t>تخلف الشرط نتيجة تعذره</w:t>
      </w:r>
      <w:r w:rsidRPr="00F27422">
        <w:rPr>
          <w:rFonts w:ascii="mylotus" w:hAnsi="mylotus"/>
          <w:sz w:val="32"/>
        </w:rPr>
        <w:t>.</w:t>
      </w:r>
    </w:p>
    <w:p w14:paraId="5BEB7C1E"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b/>
          <w:bCs/>
          <w:sz w:val="32"/>
          <w:rtl/>
        </w:rPr>
        <w:t>وهذا المعنى وقع محلّ البحث وهو:</w:t>
      </w:r>
      <w:r w:rsidRPr="00F27422">
        <w:rPr>
          <w:rFonts w:ascii="mylotus" w:hAnsi="mylotus"/>
          <w:sz w:val="32"/>
          <w:rtl/>
        </w:rPr>
        <w:t xml:space="preserve"> هل أنّ الشرط الفاسد يثبت الخيار عند تخلفه أم لا؟ فهو وإنْ كان فاسداً والفاسد ليس مفسداً للعقد، ولكن لو تخلف المشروطُ عليه فلم يأتِ بالشرط الفاسد هل يثبت </w:t>
      </w:r>
      <w:proofErr w:type="spellStart"/>
      <w:r w:rsidRPr="00F27422">
        <w:rPr>
          <w:rFonts w:ascii="mylotus" w:hAnsi="mylotus"/>
          <w:sz w:val="32"/>
          <w:rtl/>
        </w:rPr>
        <w:t>للشارط</w:t>
      </w:r>
      <w:proofErr w:type="spellEnd"/>
      <w:r w:rsidRPr="00F27422">
        <w:rPr>
          <w:rFonts w:ascii="mylotus" w:hAnsi="mylotus"/>
          <w:sz w:val="32"/>
          <w:rtl/>
        </w:rPr>
        <w:t xml:space="preserve"> خيار تخلف الشرط؟</w:t>
      </w:r>
    </w:p>
    <w:p w14:paraId="740570B9" w14:textId="77777777" w:rsidR="00F8693E" w:rsidRPr="00F27422" w:rsidRDefault="00F8693E" w:rsidP="00122B70">
      <w:pPr>
        <w:pStyle w:val="a"/>
        <w:bidi/>
        <w:spacing w:line="216" w:lineRule="auto"/>
        <w:jc w:val="left"/>
        <w:rPr>
          <w:rFonts w:ascii="mylotus" w:hAnsi="mylotus"/>
          <w:sz w:val="32"/>
          <w:rtl/>
        </w:rPr>
      </w:pPr>
      <w:r w:rsidRPr="00F27422">
        <w:rPr>
          <w:rFonts w:ascii="mylotus" w:hAnsi="mylotus"/>
          <w:sz w:val="32"/>
          <w:rtl/>
        </w:rPr>
        <w:t>وقد بحث هذا الحكم الشيخ الأعظم (قدس سره الشريف) في باب الشروط في كتابه [المكاسب، الناشر: تراث الشيخ الأعظم، ج6، ص100].</w:t>
      </w:r>
    </w:p>
    <w:p w14:paraId="0FC263A5"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b/>
          <w:bCs/>
          <w:sz w:val="32"/>
          <w:rtl/>
        </w:rPr>
        <w:t>وبيان ذلك:</w:t>
      </w:r>
      <w:r w:rsidRPr="00F27422">
        <w:rPr>
          <w:rFonts w:ascii="mylotus" w:hAnsi="mylotus"/>
          <w:sz w:val="32"/>
          <w:rtl/>
        </w:rPr>
        <w:t xml:space="preserve"> أنّ محلّ البحث في الشرط الجدي لا في غيره، فلو كان الشرط متعذر الحصول وكلا الطرفين </w:t>
      </w:r>
      <w:r w:rsidRPr="00F27422">
        <w:rPr>
          <w:rFonts w:ascii="Times New Roman" w:hAnsi="Times New Roman" w:cs="Times New Roman"/>
          <w:sz w:val="32"/>
          <w:rtl/>
        </w:rPr>
        <w:t>-</w:t>
      </w:r>
      <w:r w:rsidRPr="00F27422">
        <w:rPr>
          <w:rFonts w:ascii="mylotus" w:hAnsi="mylotus"/>
          <w:sz w:val="32"/>
          <w:rtl/>
        </w:rPr>
        <w:t xml:space="preserve"> وهما الشارط والمشروط عليه - ملتفتٌ لتعذره، فمن الواضح أنّه ليس شرطاً جدياً، فحينئذ لا محلّ للبحث في أنّه هل يثبت الخيار بتخلفه أم لا؛ وإنّما البحث في ثبوت الخيار في فرض تخلف الشرط الجدي وإنْ كان مخالفاً للكتاب أو غير عقلائي، كما لو اشترط البائع على المشتري أو المؤجّر على المُستأجر أنْ يتملك الخمر على نحو شرط النتيجة أو اشترط عليه أنْ يكذب وهما من الشروط المخالفة للكتاب، أو اشترط عليه مثلاً أنْ يخرج إلى الناس بلباس الأطفال وهو شرطٌ غير عقلائي، ففي هذه الموارد لو تخلف المشروطُ عليه عن الشرط لكونه شرطاً فاسداً شرعاً أو بالنظر العقلائي، فهل يثبت الخيار </w:t>
      </w:r>
      <w:proofErr w:type="spellStart"/>
      <w:r w:rsidRPr="00F27422">
        <w:rPr>
          <w:rFonts w:ascii="mylotus" w:hAnsi="mylotus"/>
          <w:sz w:val="32"/>
          <w:rtl/>
        </w:rPr>
        <w:t>للشارط</w:t>
      </w:r>
      <w:proofErr w:type="spellEnd"/>
      <w:r w:rsidRPr="00F27422">
        <w:rPr>
          <w:rFonts w:ascii="mylotus" w:hAnsi="mylotus"/>
          <w:sz w:val="32"/>
          <w:rtl/>
        </w:rPr>
        <w:t>؟</w:t>
      </w:r>
    </w:p>
    <w:p w14:paraId="2F755CED" w14:textId="77777777" w:rsidR="00F8693E" w:rsidRPr="00F27422" w:rsidRDefault="00F8693E" w:rsidP="00122B70">
      <w:pPr>
        <w:pStyle w:val="a"/>
        <w:bidi/>
        <w:spacing w:line="216" w:lineRule="auto"/>
        <w:jc w:val="left"/>
        <w:rPr>
          <w:rFonts w:ascii="mylotus" w:hAnsi="mylotus"/>
          <w:b/>
          <w:bCs/>
          <w:sz w:val="32"/>
          <w:rtl/>
          <w:lang w:bidi="ar-BH"/>
        </w:rPr>
      </w:pPr>
      <w:r w:rsidRPr="00F27422">
        <w:rPr>
          <w:rFonts w:ascii="mylotus" w:hAnsi="mylotus"/>
          <w:b/>
          <w:bCs/>
          <w:sz w:val="32"/>
          <w:rtl/>
        </w:rPr>
        <w:t>وهنا اتجاهان</w:t>
      </w:r>
      <w:r w:rsidRPr="00F27422">
        <w:rPr>
          <w:rFonts w:ascii="mylotus" w:hAnsi="mylotus"/>
          <w:b/>
          <w:bCs/>
          <w:sz w:val="32"/>
        </w:rPr>
        <w:t>:</w:t>
      </w:r>
    </w:p>
    <w:p w14:paraId="447ABB7A"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b/>
          <w:bCs/>
          <w:sz w:val="32"/>
          <w:rtl/>
        </w:rPr>
        <w:t>الاتجاه الأوّل:</w:t>
      </w:r>
      <w:r w:rsidRPr="00F27422">
        <w:rPr>
          <w:rFonts w:ascii="mylotus" w:hAnsi="mylotus"/>
          <w:sz w:val="32"/>
          <w:rtl/>
        </w:rPr>
        <w:t xml:space="preserve"> القول بثبوت الخيار عند تخلف الشرط وإنْ كان الشرطُ فاسداً</w:t>
      </w:r>
      <w:r w:rsidRPr="00F27422">
        <w:rPr>
          <w:rFonts w:ascii="mylotus" w:hAnsi="mylotus"/>
          <w:sz w:val="32"/>
        </w:rPr>
        <w:t>.</w:t>
      </w:r>
    </w:p>
    <w:p w14:paraId="337706D2" w14:textId="77777777" w:rsidR="00F8693E" w:rsidRPr="00F27422" w:rsidRDefault="00F8693E" w:rsidP="00122B70">
      <w:pPr>
        <w:pStyle w:val="a"/>
        <w:bidi/>
        <w:spacing w:line="216" w:lineRule="auto"/>
        <w:jc w:val="left"/>
        <w:rPr>
          <w:rFonts w:ascii="mylotus" w:hAnsi="mylotus"/>
          <w:sz w:val="32"/>
          <w:rtl/>
        </w:rPr>
      </w:pPr>
      <w:r w:rsidRPr="00F27422">
        <w:rPr>
          <w:rFonts w:ascii="mylotus" w:hAnsi="mylotus"/>
          <w:sz w:val="32"/>
          <w:rtl/>
        </w:rPr>
        <w:t>وقد ذهب لهذا الاتجاه سيدنا الخوئي (قدس سره الشريف) كما في موسوعته المباركة في [التنقيح في شرح المكاسب، المجلد الخامس، ج40، ص121]، كما ذهب له أيضاً بعض الأكابر (قدس سره الشريف) في كتاب [البيع، ج5، ص370]، وهو أنّ تخلف الشرط موجبٌ للخيار ولو كان منشأ التخلف أنّ الشرط فاسد.</w:t>
      </w:r>
    </w:p>
    <w:p w14:paraId="784D7569" w14:textId="77777777" w:rsidR="00F8693E" w:rsidRPr="00F27422" w:rsidRDefault="00F8693E" w:rsidP="00122B70">
      <w:pPr>
        <w:pStyle w:val="a"/>
        <w:bidi/>
        <w:spacing w:line="216" w:lineRule="auto"/>
        <w:jc w:val="left"/>
        <w:rPr>
          <w:rFonts w:ascii="mylotus" w:hAnsi="mylotus"/>
          <w:b/>
          <w:bCs/>
          <w:sz w:val="32"/>
          <w:rtl/>
          <w:lang w:bidi="ar-BH"/>
        </w:rPr>
      </w:pPr>
      <w:r w:rsidRPr="00F27422">
        <w:rPr>
          <w:rFonts w:ascii="mylotus" w:hAnsi="mylotus"/>
          <w:b/>
          <w:bCs/>
          <w:sz w:val="32"/>
          <w:rtl/>
        </w:rPr>
        <w:t>وقد استند لثبوت الخيار في هذا الفرض لوجوهٍ</w:t>
      </w:r>
      <w:r w:rsidRPr="00F27422">
        <w:rPr>
          <w:rFonts w:ascii="mylotus" w:hAnsi="mylotus"/>
          <w:b/>
          <w:bCs/>
          <w:sz w:val="32"/>
        </w:rPr>
        <w:t>:</w:t>
      </w:r>
    </w:p>
    <w:p w14:paraId="4E9E3627"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b/>
          <w:bCs/>
          <w:sz w:val="32"/>
          <w:rtl/>
        </w:rPr>
        <w:lastRenderedPageBreak/>
        <w:t>الوجه الأوّل:</w:t>
      </w:r>
      <w:r w:rsidRPr="00F27422">
        <w:rPr>
          <w:rFonts w:ascii="mylotus" w:hAnsi="mylotus"/>
          <w:sz w:val="32"/>
          <w:rtl/>
        </w:rPr>
        <w:t xml:space="preserve"> قاعدة لا ضرر، </w:t>
      </w:r>
      <w:r w:rsidRPr="00F27422">
        <w:rPr>
          <w:rFonts w:ascii="mylotus" w:hAnsi="mylotus"/>
          <w:b/>
          <w:bCs/>
          <w:sz w:val="32"/>
          <w:rtl/>
        </w:rPr>
        <w:t>بدعوى:</w:t>
      </w:r>
      <w:r w:rsidRPr="00F27422">
        <w:rPr>
          <w:rFonts w:ascii="mylotus" w:hAnsi="mylotus"/>
          <w:sz w:val="32"/>
          <w:rtl/>
        </w:rPr>
        <w:t xml:space="preserve"> أنّ الشارط إنّما اشترط هذا الشرط لأنّه يتضرر بعدمه، فمقتضى قاعدة "لا ضرر" انتفاء اللزوم وثبوت الخيار؛ لأنّ لزوم العقد ضرري على الشارط</w:t>
      </w:r>
      <w:r w:rsidRPr="00F27422">
        <w:rPr>
          <w:rFonts w:ascii="mylotus" w:hAnsi="mylotus"/>
          <w:sz w:val="32"/>
        </w:rPr>
        <w:t>.</w:t>
      </w:r>
    </w:p>
    <w:p w14:paraId="26905D7F" w14:textId="77777777" w:rsidR="00F8693E" w:rsidRPr="00F27422" w:rsidRDefault="00F8693E" w:rsidP="00122B70">
      <w:pPr>
        <w:pStyle w:val="a"/>
        <w:bidi/>
        <w:spacing w:line="216" w:lineRule="auto"/>
        <w:jc w:val="left"/>
        <w:rPr>
          <w:rFonts w:ascii="mylotus" w:hAnsi="mylotus"/>
          <w:b/>
          <w:bCs/>
          <w:sz w:val="32"/>
          <w:rtl/>
          <w:lang w:bidi="ar-BH"/>
        </w:rPr>
      </w:pPr>
      <w:r w:rsidRPr="00F27422">
        <w:rPr>
          <w:rFonts w:ascii="mylotus" w:hAnsi="mylotus"/>
          <w:b/>
          <w:bCs/>
          <w:sz w:val="32"/>
          <w:rtl/>
        </w:rPr>
        <w:t>ولكن يلاحظ على ذلك</w:t>
      </w:r>
      <w:r w:rsidRPr="00F27422">
        <w:rPr>
          <w:rFonts w:ascii="mylotus" w:hAnsi="mylotus"/>
          <w:b/>
          <w:bCs/>
          <w:sz w:val="32"/>
        </w:rPr>
        <w:t>:</w:t>
      </w:r>
    </w:p>
    <w:p w14:paraId="0B5F9720"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b/>
          <w:bCs/>
          <w:sz w:val="32"/>
          <w:rtl/>
        </w:rPr>
        <w:t>أولاً:</w:t>
      </w:r>
      <w:r w:rsidRPr="00F27422">
        <w:rPr>
          <w:rFonts w:ascii="mylotus" w:hAnsi="mylotus"/>
          <w:sz w:val="32"/>
          <w:rtl/>
        </w:rPr>
        <w:t xml:space="preserve"> إنّ قاعدة "لا ضرر" تنفي الحكم الضرري، لا أنّها تجبر الضرر الموجود، وتخلف المشروط عليه عن العمل بالشرط أوجب الضرر، فهناك ضررٌ موجودٌ نتج عن التخلف، لا أنّ الحكم بلزوم العقد حكمٌ ضرري بعض النظر عن تخلف المشروط عليه، وقاعدة "لا ضرر" مضمونها نفي الحكم الضرري لا جبر الضرر الموجود الذي نشأ عن منشأ </w:t>
      </w:r>
      <w:proofErr w:type="gramStart"/>
      <w:r w:rsidRPr="00F27422">
        <w:rPr>
          <w:rFonts w:ascii="mylotus" w:hAnsi="mylotus"/>
          <w:sz w:val="32"/>
          <w:rtl/>
        </w:rPr>
        <w:t>خارجي  -</w:t>
      </w:r>
      <w:proofErr w:type="gramEnd"/>
      <w:r w:rsidRPr="00F27422">
        <w:rPr>
          <w:rFonts w:ascii="mylotus" w:hAnsi="mylotus"/>
          <w:sz w:val="32"/>
          <w:rtl/>
        </w:rPr>
        <w:t xml:space="preserve"> وهو تخلف المشروط عليه عن العمل بالشرط -.</w:t>
      </w:r>
    </w:p>
    <w:p w14:paraId="6D354CC3"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b/>
          <w:bCs/>
          <w:sz w:val="32"/>
          <w:rtl/>
        </w:rPr>
        <w:t>وثانياً:</w:t>
      </w:r>
      <w:r w:rsidRPr="00F27422">
        <w:rPr>
          <w:rFonts w:ascii="mylotus" w:hAnsi="mylotus"/>
          <w:sz w:val="32"/>
          <w:rtl/>
        </w:rPr>
        <w:t xml:space="preserve"> أنّ قاعدة "لا ضرر" تنفي اللزوم لكنها لا تثبت الخيار؛ فهناك فرقٌ بين نفي اللزوم المساوق لثبوت الجواز العام وإثبات الجواز الخاصّ وهو الجواز الناشئ عن سلطنة الخيار، ولا ملازمة بين انتفاء اللزوم كما في عقد الهبة - فإنّه عقدُ جائزٌ - وثبوت الخيار</w:t>
      </w:r>
      <w:r w:rsidRPr="00F27422">
        <w:rPr>
          <w:rFonts w:ascii="mylotus" w:hAnsi="mylotus"/>
          <w:sz w:val="32"/>
        </w:rPr>
        <w:t>.</w:t>
      </w:r>
    </w:p>
    <w:p w14:paraId="30CEC023"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b/>
          <w:bCs/>
          <w:sz w:val="32"/>
          <w:rtl/>
        </w:rPr>
        <w:t>الوجه الثاني:</w:t>
      </w:r>
      <w:r w:rsidRPr="00F27422">
        <w:rPr>
          <w:rFonts w:ascii="mylotus" w:hAnsi="mylotus"/>
          <w:sz w:val="32"/>
          <w:rtl/>
        </w:rPr>
        <w:t xml:space="preserve"> ما ذكره الشيخ الأعظم (قدس سره الشريف) في نفس المورد، من أنّ الممتنع شرعاً كالممتنع عقلاً، وبما أنّ هذا الشرط ممتنعٌ شرعاً لكونه مخالفاً للكتاب فهو كالممتنع عقلاً، والممتنعُ عقلاً مما لا يعقل إناطة العقد به فكذلك الممتنع شرعاً</w:t>
      </w:r>
      <w:r w:rsidRPr="00F27422">
        <w:rPr>
          <w:rFonts w:ascii="mylotus" w:hAnsi="mylotus"/>
          <w:sz w:val="32"/>
        </w:rPr>
        <w:t>.</w:t>
      </w:r>
    </w:p>
    <w:p w14:paraId="06ADDCC1"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sz w:val="32"/>
          <w:rtl/>
        </w:rPr>
        <w:t xml:space="preserve">وأورد عليه سيدنا الخوئي (قدس سره الشريف) في موسوعته المباركة في كتاب [التنقيح في شرح المكاسب، المجلد الخامس، ج40، ص123] بقوله: </w:t>
      </w:r>
      <w:r w:rsidRPr="00F27422">
        <w:rPr>
          <w:rFonts w:ascii="mylotus" w:hAnsi="mylotus"/>
          <w:b/>
          <w:bCs/>
          <w:sz w:val="32"/>
          <w:rtl/>
        </w:rPr>
        <w:t xml:space="preserve">(ومنه يظهر أنّ هذا الخيار ليس ثابتاً من ابتداء العقد بدعوى أنه متعذّر من الأول لأنّ الممنوع الشرعي كالممتنع العقلي) </w:t>
      </w:r>
      <w:r w:rsidRPr="00F27422">
        <w:rPr>
          <w:rFonts w:ascii="mylotus" w:hAnsi="mylotus"/>
          <w:sz w:val="32"/>
          <w:rtl/>
        </w:rPr>
        <w:t xml:space="preserve">أي: إذا قلنا أنّ الممتنع شرعاً كالممتنع عقلاً فلازمه أنّ الخيار قد ثبت من الأوّل، أي قبل أنْ يتخلف المشروط عليه؛ لأنّه مخالفٌ للكتاب والممتنع شرعاً كالممتنع عقلاً، لكن ليس هذا هو المُدعى </w:t>
      </w:r>
      <w:r w:rsidRPr="00F27422">
        <w:rPr>
          <w:rFonts w:ascii="mylotus" w:hAnsi="mylotus"/>
          <w:b/>
          <w:bCs/>
          <w:sz w:val="32"/>
          <w:rtl/>
        </w:rPr>
        <w:t>(بل إنما يثبت)</w:t>
      </w:r>
      <w:r w:rsidRPr="00F27422">
        <w:rPr>
          <w:rFonts w:ascii="mylotus" w:hAnsi="mylotus"/>
          <w:sz w:val="32"/>
          <w:rtl/>
        </w:rPr>
        <w:t xml:space="preserve"> الخيار </w:t>
      </w:r>
      <w:r w:rsidRPr="00F27422">
        <w:rPr>
          <w:rFonts w:ascii="mylotus" w:hAnsi="mylotus"/>
          <w:b/>
          <w:bCs/>
          <w:sz w:val="32"/>
          <w:rtl/>
        </w:rPr>
        <w:t xml:space="preserve">(له) </w:t>
      </w:r>
      <w:r w:rsidRPr="00F27422">
        <w:rPr>
          <w:rFonts w:ascii="mylotus" w:hAnsi="mylotus"/>
          <w:sz w:val="32"/>
          <w:rtl/>
        </w:rPr>
        <w:t xml:space="preserve">أي: </w:t>
      </w:r>
      <w:proofErr w:type="spellStart"/>
      <w:r w:rsidRPr="00F27422">
        <w:rPr>
          <w:rFonts w:ascii="mylotus" w:hAnsi="mylotus"/>
          <w:sz w:val="32"/>
          <w:rtl/>
        </w:rPr>
        <w:t>للشارط</w:t>
      </w:r>
      <w:proofErr w:type="spellEnd"/>
      <w:r w:rsidRPr="00F27422">
        <w:rPr>
          <w:rFonts w:ascii="mylotus" w:hAnsi="mylotus"/>
          <w:sz w:val="32"/>
          <w:rtl/>
        </w:rPr>
        <w:t xml:space="preserve"> </w:t>
      </w:r>
      <w:r w:rsidRPr="00F27422">
        <w:rPr>
          <w:rFonts w:ascii="mylotus" w:hAnsi="mylotus"/>
          <w:b/>
          <w:bCs/>
          <w:sz w:val="32"/>
          <w:rtl/>
        </w:rPr>
        <w:t>(</w:t>
      </w:r>
      <w:r w:rsidRPr="00F27422">
        <w:rPr>
          <w:rFonts w:ascii="mylotus" w:hAnsi="mylotus"/>
          <w:b/>
          <w:bCs/>
          <w:sz w:val="32"/>
          <w:highlight w:val="yellow"/>
          <w:rtl/>
        </w:rPr>
        <w:t>فيما إذا لم يفِ المشروط عليه بالشرط ولو كان)</w:t>
      </w:r>
      <w:r w:rsidRPr="00F27422">
        <w:rPr>
          <w:rFonts w:ascii="mylotus" w:hAnsi="mylotus"/>
          <w:b/>
          <w:bCs/>
          <w:sz w:val="32"/>
          <w:rtl/>
        </w:rPr>
        <w:t xml:space="preserve"> </w:t>
      </w:r>
      <w:r w:rsidRPr="00F27422">
        <w:rPr>
          <w:rFonts w:ascii="mylotus" w:hAnsi="mylotus"/>
          <w:sz w:val="32"/>
          <w:rtl/>
        </w:rPr>
        <w:t xml:space="preserve">الشرط </w:t>
      </w:r>
      <w:r w:rsidRPr="00F27422">
        <w:rPr>
          <w:rFonts w:ascii="mylotus" w:hAnsi="mylotus"/>
          <w:b/>
          <w:bCs/>
          <w:sz w:val="32"/>
          <w:rtl/>
        </w:rPr>
        <w:t>(فاسداً، فإذا فرضنا أنه ارتكب المحرّم)</w:t>
      </w:r>
      <w:r w:rsidRPr="00F27422">
        <w:rPr>
          <w:rFonts w:ascii="mylotus" w:hAnsi="mylotus"/>
          <w:sz w:val="32"/>
          <w:rtl/>
        </w:rPr>
        <w:t xml:space="preserve"> فكذب، أو مَلك الشارط الخمر </w:t>
      </w:r>
      <w:r w:rsidRPr="00F27422">
        <w:rPr>
          <w:rFonts w:ascii="mylotus" w:hAnsi="mylotus"/>
          <w:b/>
          <w:bCs/>
          <w:sz w:val="32"/>
          <w:rtl/>
        </w:rPr>
        <w:t>(عصياناً فلا يثبت للمشروط له الخيار لأنه)</w:t>
      </w:r>
      <w:r w:rsidRPr="00F27422">
        <w:rPr>
          <w:rFonts w:ascii="mylotus" w:hAnsi="mylotus"/>
          <w:sz w:val="32"/>
          <w:rtl/>
        </w:rPr>
        <w:t xml:space="preserve"> أي: المشروط له </w:t>
      </w:r>
      <w:r w:rsidRPr="00F27422">
        <w:rPr>
          <w:rFonts w:ascii="mylotus" w:hAnsi="mylotus"/>
          <w:b/>
          <w:bCs/>
          <w:sz w:val="32"/>
          <w:rtl/>
        </w:rPr>
        <w:t>(إنما جعله)</w:t>
      </w:r>
      <w:r w:rsidRPr="00F27422">
        <w:rPr>
          <w:rFonts w:ascii="mylotus" w:hAnsi="mylotus"/>
          <w:sz w:val="32"/>
          <w:rtl/>
        </w:rPr>
        <w:t xml:space="preserve"> أي: الخيار </w:t>
      </w:r>
      <w:r w:rsidRPr="00F27422">
        <w:rPr>
          <w:rFonts w:ascii="mylotus" w:hAnsi="mylotus"/>
          <w:b/>
          <w:bCs/>
          <w:sz w:val="32"/>
          <w:rtl/>
        </w:rPr>
        <w:t xml:space="preserve">(على تقدير عدم إتيانه به ولو معصية) </w:t>
      </w:r>
      <w:r w:rsidRPr="00F27422">
        <w:rPr>
          <w:rFonts w:ascii="mylotus" w:hAnsi="mylotus"/>
          <w:sz w:val="32"/>
          <w:rtl/>
        </w:rPr>
        <w:t xml:space="preserve">أي: على تقدير تخلف المشروط عليه عن العمل بالشرط، لا أنّه جعل الخيار مطلقاً </w:t>
      </w:r>
      <w:r w:rsidRPr="00F27422">
        <w:rPr>
          <w:rFonts w:ascii="mylotus" w:hAnsi="mylotus"/>
          <w:b/>
          <w:bCs/>
          <w:sz w:val="32"/>
          <w:rtl/>
        </w:rPr>
        <w:t>(وكون ذلك الفعل محرّماً مطلب آخر لا يمنع عن ثبوت الخيار)</w:t>
      </w:r>
      <w:r w:rsidRPr="00F27422">
        <w:rPr>
          <w:rFonts w:ascii="mylotus" w:hAnsi="mylotus"/>
          <w:sz w:val="32"/>
          <w:rtl/>
        </w:rPr>
        <w:t xml:space="preserve"> </w:t>
      </w:r>
      <w:proofErr w:type="spellStart"/>
      <w:r w:rsidRPr="00F27422">
        <w:rPr>
          <w:rFonts w:ascii="mylotus" w:hAnsi="mylotus"/>
          <w:sz w:val="32"/>
          <w:rtl/>
        </w:rPr>
        <w:t>للشارط</w:t>
      </w:r>
      <w:proofErr w:type="spellEnd"/>
      <w:r w:rsidRPr="00F27422">
        <w:rPr>
          <w:rFonts w:ascii="mylotus" w:hAnsi="mylotus"/>
          <w:sz w:val="32"/>
          <w:rtl/>
        </w:rPr>
        <w:t>، ما دام المشروط عليه قد تخلف عن العمل بالشرط، ولو أبانَ أنّه إنّما قد تخلف لأنّه حرامٌ شرعاً</w:t>
      </w:r>
      <w:r w:rsidRPr="00F27422">
        <w:rPr>
          <w:rFonts w:ascii="mylotus" w:hAnsi="mylotus"/>
          <w:sz w:val="32"/>
        </w:rPr>
        <w:t>.</w:t>
      </w:r>
    </w:p>
    <w:p w14:paraId="56FA8A04"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b/>
          <w:bCs/>
          <w:sz w:val="32"/>
          <w:rtl/>
        </w:rPr>
        <w:t>الوجه الثالث:</w:t>
      </w:r>
      <w:r w:rsidRPr="00F27422">
        <w:rPr>
          <w:rFonts w:ascii="mylotus" w:hAnsi="mylotus"/>
          <w:sz w:val="32"/>
          <w:rtl/>
        </w:rPr>
        <w:t xml:space="preserve"> ما ذكره بعض الأكابر (قدس سره الشريف) كما في كتابه [البيع، ج5، ص369 - 370]، من أنّ المناط لدى العقلاء لثبوت الخيار هو تخلف الشرط سواءً كان تخلفاً عمدياً أو تخلفاً لشرطٍ غير مشروع أو تخلفاً لشرط غير مقدور</w:t>
      </w:r>
      <w:r w:rsidRPr="00F27422">
        <w:rPr>
          <w:rFonts w:ascii="mylotus" w:hAnsi="mylotus"/>
          <w:sz w:val="32"/>
        </w:rPr>
        <w:t>.</w:t>
      </w:r>
    </w:p>
    <w:p w14:paraId="648D943E" w14:textId="77777777" w:rsidR="00F8693E" w:rsidRPr="00F27422" w:rsidRDefault="00F8693E" w:rsidP="00122B70">
      <w:pPr>
        <w:pStyle w:val="a"/>
        <w:bidi/>
        <w:spacing w:line="216" w:lineRule="auto"/>
        <w:jc w:val="left"/>
        <w:rPr>
          <w:rFonts w:ascii="mylotus" w:hAnsi="mylotus"/>
          <w:b/>
          <w:bCs/>
          <w:sz w:val="32"/>
          <w:rtl/>
          <w:lang w:bidi="ar-BH"/>
        </w:rPr>
      </w:pPr>
      <w:r w:rsidRPr="00F27422">
        <w:rPr>
          <w:rFonts w:ascii="mylotus" w:hAnsi="mylotus"/>
          <w:sz w:val="32"/>
          <w:rtl/>
        </w:rPr>
        <w:t xml:space="preserve">قال (قدس سره): </w:t>
      </w:r>
      <w:r w:rsidRPr="00F27422">
        <w:rPr>
          <w:rFonts w:ascii="mylotus" w:hAnsi="mylotus"/>
          <w:b/>
          <w:bCs/>
          <w:sz w:val="32"/>
          <w:rtl/>
        </w:rPr>
        <w:t>(</w:t>
      </w:r>
      <w:proofErr w:type="gramStart"/>
      <w:r w:rsidRPr="00F27422">
        <w:rPr>
          <w:rFonts w:ascii="mylotus" w:hAnsi="mylotus"/>
          <w:b/>
          <w:bCs/>
          <w:sz w:val="32"/>
          <w:rtl/>
        </w:rPr>
        <w:t>و على</w:t>
      </w:r>
      <w:proofErr w:type="gramEnd"/>
      <w:r w:rsidRPr="00F27422">
        <w:rPr>
          <w:rFonts w:ascii="mylotus" w:hAnsi="mylotus"/>
          <w:b/>
          <w:bCs/>
          <w:sz w:val="32"/>
          <w:rtl/>
        </w:rPr>
        <w:t xml:space="preserve"> الجملة: ما هو الموضوع للخيار، صرف تخلّف الشرط </w:t>
      </w:r>
      <w:proofErr w:type="gramStart"/>
      <w:r w:rsidRPr="00F27422">
        <w:rPr>
          <w:rFonts w:ascii="mylotus" w:hAnsi="mylotus"/>
          <w:b/>
          <w:bCs/>
          <w:sz w:val="32"/>
          <w:rtl/>
        </w:rPr>
        <w:t>و القرار</w:t>
      </w:r>
      <w:proofErr w:type="gramEnd"/>
      <w:r w:rsidRPr="00F27422">
        <w:rPr>
          <w:rFonts w:ascii="mylotus" w:hAnsi="mylotus"/>
          <w:b/>
          <w:bCs/>
          <w:sz w:val="32"/>
          <w:rtl/>
        </w:rPr>
        <w:t xml:space="preserve">، لا التخلّف العمدي </w:t>
      </w:r>
      <w:proofErr w:type="gramStart"/>
      <w:r w:rsidRPr="00F27422">
        <w:rPr>
          <w:rFonts w:ascii="mylotus" w:hAnsi="mylotus"/>
          <w:b/>
          <w:bCs/>
          <w:sz w:val="32"/>
          <w:rtl/>
        </w:rPr>
        <w:t>و الاختياري</w:t>
      </w:r>
      <w:proofErr w:type="gramEnd"/>
      <w:r w:rsidRPr="00F27422">
        <w:rPr>
          <w:rFonts w:ascii="mylotus" w:hAnsi="mylotus"/>
          <w:b/>
          <w:bCs/>
          <w:sz w:val="32"/>
          <w:rtl/>
        </w:rPr>
        <w:t xml:space="preserve">، </w:t>
      </w:r>
      <w:proofErr w:type="gramStart"/>
      <w:r w:rsidRPr="00F27422">
        <w:rPr>
          <w:rFonts w:ascii="mylotus" w:hAnsi="mylotus"/>
          <w:b/>
          <w:bCs/>
          <w:sz w:val="32"/>
          <w:rtl/>
        </w:rPr>
        <w:t>و لا</w:t>
      </w:r>
      <w:proofErr w:type="gramEnd"/>
      <w:r w:rsidRPr="00F27422">
        <w:rPr>
          <w:rFonts w:ascii="mylotus" w:hAnsi="mylotus"/>
          <w:b/>
          <w:bCs/>
          <w:sz w:val="32"/>
          <w:rtl/>
        </w:rPr>
        <w:t xml:space="preserve"> تخلّف الشرط المشروع، </w:t>
      </w:r>
      <w:proofErr w:type="gramStart"/>
      <w:r w:rsidRPr="00F27422">
        <w:rPr>
          <w:rFonts w:ascii="mylotus" w:hAnsi="mylotus"/>
          <w:b/>
          <w:bCs/>
          <w:sz w:val="32"/>
          <w:rtl/>
        </w:rPr>
        <w:t>و لا</w:t>
      </w:r>
      <w:proofErr w:type="gramEnd"/>
      <w:r w:rsidRPr="00F27422">
        <w:rPr>
          <w:rFonts w:ascii="mylotus" w:hAnsi="mylotus"/>
          <w:b/>
          <w:bCs/>
          <w:sz w:val="32"/>
          <w:rtl/>
        </w:rPr>
        <w:t xml:space="preserve"> المقدور، فالخيار ثابت حتّى في الشروط المخالفة للكتاب، إلّا أن يدلّ دليل على</w:t>
      </w:r>
      <w:r w:rsidRPr="00F27422">
        <w:rPr>
          <w:rFonts w:ascii="Times New Roman" w:hAnsi="Times New Roman" w:cs="Times New Roman"/>
          <w:b/>
          <w:bCs/>
          <w:sz w:val="32"/>
        </w:rPr>
        <w:t>‌</w:t>
      </w:r>
      <w:r w:rsidRPr="00F27422">
        <w:rPr>
          <w:rFonts w:ascii="mylotus" w:hAnsi="mylotus"/>
          <w:b/>
          <w:bCs/>
          <w:sz w:val="32"/>
          <w:rtl/>
        </w:rPr>
        <w:t xml:space="preserve"> عدم ثبوته، هذا على القول المختار)</w:t>
      </w:r>
      <w:r w:rsidRPr="00F27422">
        <w:rPr>
          <w:rFonts w:ascii="mylotus" w:hAnsi="mylotus"/>
          <w:b/>
          <w:bCs/>
          <w:sz w:val="32"/>
        </w:rPr>
        <w:t>.</w:t>
      </w:r>
    </w:p>
    <w:p w14:paraId="267CF1BB"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sz w:val="32"/>
          <w:rtl/>
        </w:rPr>
        <w:t>وستأتي المناقشة له في نقد الوجه الرابع</w:t>
      </w:r>
      <w:r w:rsidRPr="00F27422">
        <w:rPr>
          <w:rFonts w:ascii="mylotus" w:hAnsi="mylotus"/>
          <w:sz w:val="32"/>
        </w:rPr>
        <w:t>.</w:t>
      </w:r>
    </w:p>
    <w:p w14:paraId="2252594B" w14:textId="77777777" w:rsidR="00F8693E" w:rsidRPr="00F27422" w:rsidRDefault="00F8693E" w:rsidP="00122B70">
      <w:pPr>
        <w:pStyle w:val="a"/>
        <w:bidi/>
        <w:spacing w:line="216" w:lineRule="auto"/>
        <w:jc w:val="left"/>
        <w:rPr>
          <w:rFonts w:ascii="mylotus" w:hAnsi="mylotus"/>
          <w:sz w:val="32"/>
          <w:rtl/>
          <w:lang w:bidi="ar-BH"/>
        </w:rPr>
      </w:pPr>
      <w:r w:rsidRPr="00F27422">
        <w:rPr>
          <w:rFonts w:ascii="mylotus" w:hAnsi="mylotus"/>
          <w:b/>
          <w:bCs/>
          <w:sz w:val="32"/>
          <w:rtl/>
        </w:rPr>
        <w:t>الوجه الرابع:</w:t>
      </w:r>
      <w:r w:rsidRPr="00F27422">
        <w:rPr>
          <w:rFonts w:ascii="mylotus" w:hAnsi="mylotus"/>
          <w:sz w:val="32"/>
          <w:rtl/>
        </w:rPr>
        <w:t xml:space="preserve"> ما ذكره سيدنا الخوئي (قدس سره الشريف) في موسوعته المباركة في كتاب [التنقيح في شرح المكاسب، المجلد الخامس، ج40، ص121 - 122] حيث قال: </w:t>
      </w:r>
      <w:r w:rsidRPr="00F27422">
        <w:rPr>
          <w:rFonts w:ascii="mylotus" w:hAnsi="mylotus"/>
          <w:b/>
          <w:bCs/>
          <w:sz w:val="32"/>
          <w:rtl/>
        </w:rPr>
        <w:t xml:space="preserve">(ولكن الظاهر أنّ الخيار لا مانع عنه في المقام، وهذا لا لأجل قاعدة لا ضرر بل قدمنا في خيار الغبن أنّ قاعدة لا ضرر لا تكون مستنداً للخيار أصلاً، بل من جهة نفس اشتراط الخيار في المعاملة، وذلك لأنّ المتعاملين إذا اشترطا شرطاً في المعاملة فمعناه أنّهما جعلا الملكية </w:t>
      </w:r>
      <w:r w:rsidRPr="00F27422">
        <w:rPr>
          <w:rFonts w:ascii="mylotus" w:hAnsi="mylotus"/>
          <w:b/>
          <w:bCs/>
          <w:sz w:val="32"/>
          <w:rtl/>
        </w:rPr>
        <w:lastRenderedPageBreak/>
        <w:t>المقيّدة بزمان الفسخ دون الملكية المطلقة)</w:t>
      </w:r>
      <w:r w:rsidRPr="00F27422">
        <w:rPr>
          <w:rFonts w:ascii="mylotus" w:hAnsi="mylotus"/>
          <w:sz w:val="32"/>
          <w:rtl/>
        </w:rPr>
        <w:t xml:space="preserve"> ومقتضى أنّ المِلكيَّة المجعولة هي المِلكيَّة المقيّدة بزمان الفسخ ثبوت الخيار عند التخلف</w:t>
      </w:r>
      <w:r w:rsidRPr="00F27422">
        <w:rPr>
          <w:rFonts w:ascii="mylotus" w:hAnsi="mylotus"/>
          <w:sz w:val="32"/>
        </w:rPr>
        <w:t>.</w:t>
      </w:r>
    </w:p>
    <w:p w14:paraId="4C385B3A" w14:textId="77777777" w:rsidR="00F8693E" w:rsidRPr="00F27422" w:rsidRDefault="00F8693E" w:rsidP="00122B70">
      <w:pPr>
        <w:pStyle w:val="a"/>
        <w:bidi/>
        <w:spacing w:line="216" w:lineRule="auto"/>
        <w:jc w:val="left"/>
        <w:rPr>
          <w:rFonts w:ascii="mylotus" w:hAnsi="mylotus"/>
          <w:b/>
          <w:bCs/>
          <w:sz w:val="32"/>
          <w:rtl/>
          <w:lang w:bidi="ar-BH"/>
        </w:rPr>
      </w:pPr>
      <w:r w:rsidRPr="00F27422">
        <w:rPr>
          <w:rFonts w:ascii="mylotus" w:hAnsi="mylotus"/>
          <w:b/>
          <w:bCs/>
          <w:sz w:val="32"/>
          <w:rtl/>
        </w:rPr>
        <w:t>وذلك لمقدمتين كُبرى وصُغرى</w:t>
      </w:r>
      <w:r w:rsidRPr="00F27422">
        <w:rPr>
          <w:rFonts w:ascii="mylotus" w:hAnsi="mylotus"/>
          <w:b/>
          <w:bCs/>
          <w:sz w:val="32"/>
        </w:rPr>
        <w:t>:</w:t>
      </w:r>
    </w:p>
    <w:p w14:paraId="291096C4" w14:textId="77777777" w:rsidR="00F8693E" w:rsidRPr="00F27422" w:rsidRDefault="00F8693E" w:rsidP="00122B70">
      <w:pPr>
        <w:pStyle w:val="a"/>
        <w:bidi/>
        <w:spacing w:line="216" w:lineRule="auto"/>
        <w:jc w:val="left"/>
        <w:rPr>
          <w:rFonts w:ascii="mylotus" w:hAnsi="mylotus"/>
          <w:b/>
          <w:bCs/>
          <w:sz w:val="32"/>
          <w:rtl/>
          <w:lang w:bidi="ar-BH"/>
        </w:rPr>
      </w:pPr>
      <w:r w:rsidRPr="00F27422">
        <w:rPr>
          <w:rFonts w:ascii="mylotus" w:hAnsi="mylotus"/>
          <w:b/>
          <w:bCs/>
          <w:sz w:val="32"/>
          <w:rtl/>
        </w:rPr>
        <w:t>أمّا المقدمة الكُبروية:</w:t>
      </w:r>
      <w:r w:rsidRPr="00F27422">
        <w:rPr>
          <w:rFonts w:ascii="mylotus" w:hAnsi="mylotus"/>
          <w:sz w:val="32"/>
          <w:rtl/>
        </w:rPr>
        <w:t xml:space="preserve"> فإنّ </w:t>
      </w:r>
      <w:r w:rsidRPr="00F27422">
        <w:rPr>
          <w:rFonts w:ascii="mylotus" w:hAnsi="mylotus"/>
          <w:b/>
          <w:bCs/>
          <w:sz w:val="32"/>
          <w:rtl/>
        </w:rPr>
        <w:t>(أدلّة الإمضاء كقوله تعالى: (وَأَحَلَّ اللَّهُ الْبَيْعَ)</w:t>
      </w:r>
      <w:r w:rsidRPr="00F27422">
        <w:rPr>
          <w:rFonts w:ascii="mylotus" w:hAnsi="mylotus"/>
          <w:sz w:val="32"/>
          <w:rtl/>
        </w:rPr>
        <w:t xml:space="preserve"> [سورة البقرة، 275] </w:t>
      </w:r>
      <w:r w:rsidRPr="00F27422">
        <w:rPr>
          <w:rFonts w:ascii="mylotus" w:hAnsi="mylotus"/>
          <w:b/>
          <w:bCs/>
          <w:sz w:val="32"/>
          <w:rtl/>
        </w:rPr>
        <w:t xml:space="preserve">و (أَوْفُوا بِالْعُقُودِ) </w:t>
      </w:r>
      <w:r w:rsidRPr="00F27422">
        <w:rPr>
          <w:rFonts w:ascii="mylotus" w:hAnsi="mylotus"/>
          <w:sz w:val="32"/>
          <w:rtl/>
        </w:rPr>
        <w:t xml:space="preserve">[سورة المائدة، 1] </w:t>
      </w:r>
      <w:r w:rsidRPr="00F27422">
        <w:rPr>
          <w:rFonts w:ascii="mylotus" w:hAnsi="mylotus"/>
          <w:b/>
          <w:bCs/>
          <w:sz w:val="32"/>
          <w:rtl/>
        </w:rPr>
        <w:t>وغيرهما إنّما تمضي العقد على طبق ما أنشأه المتعاقدان، ولا يكون الممضى أوسع من المنشأ ولا أضيق منه دائرة إلّا في بعض الموارد التي قام فيها الدليل على أنّ الممضى أوسع ممّا أنشأه المتعاقدان أو أضيق منه وهذا كما في خياري المجلس والحيوان)</w:t>
      </w:r>
      <w:r w:rsidRPr="00F27422">
        <w:rPr>
          <w:rFonts w:ascii="mylotus" w:hAnsi="mylotus"/>
          <w:sz w:val="32"/>
          <w:rtl/>
        </w:rPr>
        <w:t xml:space="preserve"> فلو فرضنا أنّ المُنشأ في البيع هو المِلكيَّة اللازمة المطلقة لكن الشارع قد حدد المِلكيَّة اللازمة بما بعد مضي زمان خيار الحيوان أو خيار المجلس </w:t>
      </w:r>
      <w:r w:rsidRPr="00F27422">
        <w:rPr>
          <w:rFonts w:ascii="mylotus" w:hAnsi="mylotus"/>
          <w:b/>
          <w:bCs/>
          <w:sz w:val="32"/>
          <w:rtl/>
        </w:rPr>
        <w:t>(حيث الحكم باللزوم بعد ثلاثة أيام أو بعد الافتراق مع أنّ بناءهما اللزوم من ابتداء الأمر، وكما في بيع الصرف فإنّ المنشأ للمتعاقدين فيه هو الملكية من الابتداء ولكن الشارع أمضى الملكية بعد التقابض</w:t>
      </w:r>
      <w:r w:rsidRPr="00F27422">
        <w:rPr>
          <w:rFonts w:ascii="mylotus" w:hAnsi="mylotus"/>
          <w:b/>
          <w:bCs/>
          <w:sz w:val="32"/>
        </w:rPr>
        <w:t>.</w:t>
      </w:r>
    </w:p>
    <w:p w14:paraId="7C7496BF" w14:textId="77777777" w:rsidR="00F8693E" w:rsidRPr="00F27422" w:rsidRDefault="00F8693E" w:rsidP="00122B70">
      <w:pPr>
        <w:pStyle w:val="a"/>
        <w:bidi/>
        <w:spacing w:line="216" w:lineRule="auto"/>
        <w:jc w:val="left"/>
        <w:rPr>
          <w:rFonts w:ascii="mylotus" w:hAnsi="mylotus"/>
          <w:b/>
          <w:bCs/>
          <w:sz w:val="32"/>
          <w:rtl/>
        </w:rPr>
      </w:pPr>
      <w:r w:rsidRPr="00F27422">
        <w:rPr>
          <w:rFonts w:ascii="mylotus" w:hAnsi="mylotus"/>
          <w:b/>
          <w:bCs/>
          <w:sz w:val="32"/>
          <w:rtl/>
        </w:rPr>
        <w:t xml:space="preserve">وأمّا في غير الموارد التي قام فيها الدليل على التوسعة أو التضيّق في دائرة الممضى فلا محالة يكون الممضى هو) </w:t>
      </w:r>
      <w:r w:rsidRPr="00F27422">
        <w:rPr>
          <w:rFonts w:ascii="mylotus" w:hAnsi="mylotus"/>
          <w:sz w:val="32"/>
          <w:rtl/>
        </w:rPr>
        <w:t xml:space="preserve">خصوص </w:t>
      </w:r>
      <w:r w:rsidRPr="00F27422">
        <w:rPr>
          <w:rFonts w:ascii="mylotus" w:hAnsi="mylotus"/>
          <w:b/>
          <w:bCs/>
          <w:sz w:val="32"/>
          <w:rtl/>
        </w:rPr>
        <w:t>(ما أنشأه المتعاقدان لا أوسع منه ولا أضيق وحيث إنّ المتعاملين قد أنشآ الملكية المقيّدة دون المطلقة فلا محالة تكون أدلّة الإمضاء موجبة لإمضاء تلك الملكية المؤقّتة لا أوسع منها ولا أضيق).</w:t>
      </w:r>
    </w:p>
    <w:p w14:paraId="1FC80A69" w14:textId="77777777" w:rsidR="00F8693E" w:rsidRPr="00F27422" w:rsidRDefault="00F8693E" w:rsidP="00122B70">
      <w:pPr>
        <w:pStyle w:val="a"/>
        <w:bidi/>
        <w:spacing w:line="216" w:lineRule="auto"/>
        <w:jc w:val="left"/>
        <w:rPr>
          <w:rFonts w:ascii="mylotus" w:hAnsi="mylotus"/>
          <w:sz w:val="32"/>
          <w:rtl/>
        </w:rPr>
      </w:pPr>
      <w:r w:rsidRPr="00F27422">
        <w:rPr>
          <w:rFonts w:ascii="mylotus" w:hAnsi="mylotus"/>
          <w:b/>
          <w:bCs/>
          <w:sz w:val="32"/>
          <w:rtl/>
        </w:rPr>
        <w:t>وأمّا المقدمة الصغروية:</w:t>
      </w:r>
      <w:r w:rsidRPr="00F27422">
        <w:rPr>
          <w:rFonts w:ascii="mylotus" w:hAnsi="mylotus"/>
          <w:sz w:val="32"/>
          <w:rtl/>
        </w:rPr>
        <w:t xml:space="preserve"> وهي أنّ المتعاقدين قد أنشآ مِلكيَّة مقيّدة بعدم الفسخ:</w:t>
      </w:r>
    </w:p>
    <w:p w14:paraId="58441CB5" w14:textId="77777777" w:rsidR="00F8693E" w:rsidRPr="00F27422" w:rsidRDefault="00F8693E" w:rsidP="00122B70">
      <w:pPr>
        <w:pStyle w:val="a"/>
        <w:bidi/>
        <w:spacing w:line="216" w:lineRule="auto"/>
        <w:jc w:val="left"/>
        <w:rPr>
          <w:rFonts w:ascii="mylotus" w:hAnsi="mylotus"/>
          <w:sz w:val="32"/>
          <w:rtl/>
        </w:rPr>
      </w:pPr>
      <w:r w:rsidRPr="00F27422">
        <w:rPr>
          <w:rFonts w:ascii="mylotus" w:hAnsi="mylotus"/>
          <w:sz w:val="32"/>
          <w:rtl/>
        </w:rPr>
        <w:t xml:space="preserve">فقد قال (قدس سره الشريف): </w:t>
      </w:r>
      <w:r w:rsidRPr="00F27422">
        <w:rPr>
          <w:rFonts w:ascii="mylotus" w:hAnsi="mylotus"/>
          <w:b/>
          <w:bCs/>
          <w:sz w:val="32"/>
          <w:rtl/>
        </w:rPr>
        <w:t>(ومن الظاهر أنّ المنشأ هو الملكية المؤقّتة)</w:t>
      </w:r>
      <w:r w:rsidRPr="00F27422">
        <w:rPr>
          <w:rFonts w:ascii="mylotus" w:hAnsi="mylotus"/>
          <w:sz w:val="32"/>
          <w:rtl/>
        </w:rPr>
        <w:t xml:space="preserve"> فقولُ البائع للمُشتري أو المؤجّر للمُستأجر: "أشترطُ عليكَ أنْ تكذب" أو "أشترطُ عليكَ أنْ تشرب الخمر" أو "أشترطُ عليكَ أنْ تخرج بلباس الأطفال" - مثلاً - مما هو شرط غير عقلائي </w:t>
      </w:r>
      <w:r w:rsidRPr="00F27422">
        <w:rPr>
          <w:rFonts w:ascii="mylotus" w:hAnsi="mylotus"/>
          <w:b/>
          <w:bCs/>
          <w:sz w:val="32"/>
          <w:rtl/>
        </w:rPr>
        <w:t>(لأنه معنى اشتراط شيء في المعاملة وحيث إنّه بمعنى تعليق الالتزام)</w:t>
      </w:r>
      <w:r w:rsidRPr="00F27422">
        <w:rPr>
          <w:rFonts w:ascii="mylotus" w:hAnsi="mylotus"/>
          <w:sz w:val="32"/>
          <w:rtl/>
        </w:rPr>
        <w:t xml:space="preserve"> على تحقيق الشرط، فإنْ لم يحققه فلا التزام للبائعِ أو المؤجّرِ بالمعاملة، فإذا كان معنى الاشتراط تعليق الالتزام بالمعاملة على تحقيق الشرط، فمعنى ذلك أنّ المِلكيَّة التي أنشأها البائع للمشتري مِلكيَّة ضيقة محدودة بعدم الفسخ</w:t>
      </w:r>
      <w:r w:rsidRPr="00F27422">
        <w:rPr>
          <w:rFonts w:ascii="mylotus" w:hAnsi="mylotus"/>
          <w:sz w:val="32"/>
        </w:rPr>
        <w:t>.</w:t>
      </w:r>
    </w:p>
    <w:p w14:paraId="480E3F4B" w14:textId="77777777" w:rsidR="00F8693E" w:rsidRPr="00F27422" w:rsidRDefault="00F8693E" w:rsidP="00122B70">
      <w:pPr>
        <w:pStyle w:val="a"/>
        <w:bidi/>
        <w:spacing w:line="216" w:lineRule="auto"/>
        <w:jc w:val="left"/>
        <w:rPr>
          <w:rFonts w:ascii="mylotus" w:hAnsi="mylotus"/>
          <w:sz w:val="32"/>
          <w:rtl/>
        </w:rPr>
      </w:pPr>
      <w:r w:rsidRPr="00F27422">
        <w:rPr>
          <w:rFonts w:ascii="mylotus" w:hAnsi="mylotus"/>
          <w:b/>
          <w:bCs/>
          <w:sz w:val="32"/>
          <w:rtl/>
        </w:rPr>
        <w:t>(وإذا كان المنشأ هو الممضى شرعاً)</w:t>
      </w:r>
      <w:r w:rsidRPr="00F27422">
        <w:rPr>
          <w:rFonts w:ascii="mylotus" w:hAnsi="mylotus"/>
          <w:sz w:val="32"/>
          <w:rtl/>
        </w:rPr>
        <w:t xml:space="preserve"> والمُنشأ هو المِلكيَّة المؤقّتة </w:t>
      </w:r>
      <w:r w:rsidRPr="00F27422">
        <w:rPr>
          <w:rFonts w:ascii="mylotus" w:hAnsi="mylotus"/>
          <w:b/>
          <w:bCs/>
          <w:sz w:val="32"/>
          <w:rtl/>
        </w:rPr>
        <w:t>(فلا محالة ترتفع الملكية عند فسخها لأنها كانت مؤقّتة بالفسخ وهذا ممّا لا محذور فيه شرعاً، نعم إمضاء الشارع للشرط بمعنى إيجابه الوفاء به في الخارج مرتفع لأنه فاسد ولا يلزمه الشارع بإيجاد المحرّم في الخارج)</w:t>
      </w:r>
      <w:r w:rsidRPr="00F27422">
        <w:rPr>
          <w:rFonts w:ascii="mylotus" w:hAnsi="mylotus"/>
          <w:sz w:val="32"/>
          <w:rtl/>
        </w:rPr>
        <w:t xml:space="preserve"> فلا يجب الوفاءُ به، لكن عدم الوجوب بالوفاء به شيءٌ وثبوت الخيار عند تخلفه شيءٌ آخر</w:t>
      </w:r>
      <w:r w:rsidRPr="00F27422">
        <w:rPr>
          <w:rFonts w:ascii="mylotus" w:hAnsi="mylotus"/>
          <w:sz w:val="32"/>
        </w:rPr>
        <w:t>.</w:t>
      </w:r>
    </w:p>
    <w:p w14:paraId="659EFD88" w14:textId="77777777" w:rsidR="00F8693E" w:rsidRPr="00F27422" w:rsidRDefault="00F8693E" w:rsidP="00122B70">
      <w:pPr>
        <w:pStyle w:val="a"/>
        <w:bidi/>
        <w:spacing w:line="216" w:lineRule="auto"/>
        <w:jc w:val="left"/>
        <w:rPr>
          <w:rFonts w:ascii="mylotus" w:hAnsi="mylotus"/>
          <w:b/>
          <w:bCs/>
          <w:sz w:val="32"/>
          <w:rtl/>
        </w:rPr>
      </w:pPr>
      <w:r w:rsidRPr="00F27422">
        <w:rPr>
          <w:rFonts w:ascii="mylotus" w:hAnsi="mylotus"/>
          <w:b/>
          <w:bCs/>
          <w:sz w:val="32"/>
          <w:rtl/>
        </w:rPr>
        <w:t>ولكن هنا ملاحظتان</w:t>
      </w:r>
      <w:r w:rsidRPr="00F27422">
        <w:rPr>
          <w:rFonts w:ascii="mylotus" w:hAnsi="mylotus"/>
          <w:b/>
          <w:bCs/>
          <w:sz w:val="32"/>
        </w:rPr>
        <w:t>:</w:t>
      </w:r>
    </w:p>
    <w:p w14:paraId="1F7129B8" w14:textId="77777777" w:rsidR="00F8693E" w:rsidRPr="00F27422" w:rsidRDefault="00F8693E" w:rsidP="00122B70">
      <w:pPr>
        <w:pStyle w:val="a"/>
        <w:bidi/>
        <w:spacing w:line="216" w:lineRule="auto"/>
        <w:jc w:val="left"/>
        <w:rPr>
          <w:rFonts w:ascii="mylotus" w:hAnsi="mylotus"/>
          <w:sz w:val="32"/>
          <w:rtl/>
        </w:rPr>
      </w:pPr>
      <w:r w:rsidRPr="00F27422">
        <w:rPr>
          <w:rFonts w:ascii="mylotus" w:hAnsi="mylotus"/>
          <w:b/>
          <w:bCs/>
          <w:sz w:val="32"/>
          <w:rtl/>
        </w:rPr>
        <w:t>الملاحظة الأُولى:</w:t>
      </w:r>
      <w:r w:rsidRPr="00F27422">
        <w:rPr>
          <w:rFonts w:ascii="mylotus" w:hAnsi="mylotus"/>
          <w:sz w:val="32"/>
          <w:rtl/>
        </w:rPr>
        <w:t xml:space="preserve"> ما أفاده (قدس سره) في أصل المبنى وهو: أنّ مرجع اشتراط شيء في المعاملة إلى تضييق دائرة المِلكيَّة المنشئة بعدم الفسخ، مخالفٌ للمرتكزات العقلائية؛ فإنّ مرجع الاشتراط لدى المرتكزات العقلائية إلى أمرٍ خارجٍ عن إطار المُنشأ في المعاملة، فإذا قال البائع: "بعتُكَ هذا الكتاب بعشرين ألف دينارٍ عراقي واشترطتُ عليك أو على أنْ.." فإنّ المنشأ تمّ والشرطُ ضميمةٌ للمُنشأ خارجة عن إطار متعلّق المعاملة، لا أنّ الشرط تضييقٌ لدائرة المُنشأ والمجعول بالمِلكيَّة المؤقّتة بعدم الفسخ.</w:t>
      </w:r>
    </w:p>
    <w:p w14:paraId="535A2D1E" w14:textId="77777777" w:rsidR="00F8693E" w:rsidRPr="00F27422" w:rsidRDefault="00F8693E" w:rsidP="00122B70">
      <w:pPr>
        <w:pStyle w:val="a"/>
        <w:bidi/>
        <w:spacing w:line="216" w:lineRule="auto"/>
        <w:jc w:val="left"/>
        <w:rPr>
          <w:rFonts w:ascii="mylotus" w:hAnsi="mylotus"/>
          <w:sz w:val="32"/>
          <w:rtl/>
        </w:rPr>
      </w:pPr>
      <w:r w:rsidRPr="00F27422">
        <w:rPr>
          <w:rFonts w:ascii="mylotus" w:hAnsi="mylotus"/>
          <w:sz w:val="32"/>
          <w:rtl/>
        </w:rPr>
        <w:t xml:space="preserve">فأصل المبنى أنّ المِلكيَّة مؤقتة غير تامٍ، بل المِلكيَّة مطلقة - أي لا بشرط - وإنْ اشترط عليه شرطاً خارج إطار </w:t>
      </w:r>
      <w:proofErr w:type="gramStart"/>
      <w:r w:rsidRPr="00F27422">
        <w:rPr>
          <w:rFonts w:ascii="mylotus" w:hAnsi="mylotus"/>
          <w:sz w:val="32"/>
          <w:rtl/>
        </w:rPr>
        <w:t>المنشأ ،</w:t>
      </w:r>
      <w:proofErr w:type="gramEnd"/>
      <w:r w:rsidRPr="00F27422">
        <w:rPr>
          <w:rFonts w:ascii="mylotus" w:hAnsi="mylotus"/>
          <w:sz w:val="32"/>
          <w:rtl/>
        </w:rPr>
        <w:t xml:space="preserve"> فإنّ الشرط لا يسري للمنشأ ليوجب ضيقه.</w:t>
      </w:r>
    </w:p>
    <w:p w14:paraId="4581B75B" w14:textId="77777777" w:rsidR="00F8693E" w:rsidRPr="00F27422" w:rsidRDefault="00F8693E" w:rsidP="00122B70">
      <w:pPr>
        <w:pStyle w:val="a"/>
        <w:bidi/>
        <w:spacing w:line="216" w:lineRule="auto"/>
        <w:jc w:val="left"/>
        <w:rPr>
          <w:rFonts w:ascii="mylotus" w:hAnsi="mylotus"/>
          <w:sz w:val="32"/>
          <w:rtl/>
        </w:rPr>
      </w:pPr>
      <w:r w:rsidRPr="00F27422">
        <w:rPr>
          <w:rFonts w:ascii="mylotus" w:hAnsi="mylotus"/>
          <w:b/>
          <w:bCs/>
          <w:sz w:val="32"/>
          <w:rtl/>
        </w:rPr>
        <w:lastRenderedPageBreak/>
        <w:t>الملاحظة الثانية:</w:t>
      </w:r>
      <w:r w:rsidRPr="00F27422">
        <w:rPr>
          <w:rFonts w:ascii="mylotus" w:hAnsi="mylotus"/>
          <w:sz w:val="32"/>
          <w:rtl/>
        </w:rPr>
        <w:t xml:space="preserve"> أنّ الوجه في ثبوت الخيار عند تخلف المشروط عليه عن الشرط ليس تعليق الالتزام بالعقد على تحقق الشرط كما هو مبنى المحقّق النائيني ومبنى سيدنا الخوئي (قدس سرهما)، حيث أُفيد في مدرسة المحقّق النائيني (قدس سره الشريف) أنّ مرجع الاشتراط إلى تعليق الالتزام بالعقد على الشرط، فإنْ لم يكن هناك تحقيق للشرط فلا التزام بالعقد، فبما أنّ مرجع الاشتراط إلى تعليق الالتزام على تحقق الشرط فمن الواضح أنّه إذا تخلف الشرط يثبت </w:t>
      </w:r>
      <w:proofErr w:type="spellStart"/>
      <w:r w:rsidRPr="00F27422">
        <w:rPr>
          <w:rFonts w:ascii="mylotus" w:hAnsi="mylotus"/>
          <w:sz w:val="32"/>
          <w:rtl/>
        </w:rPr>
        <w:t>للشارط</w:t>
      </w:r>
      <w:proofErr w:type="spellEnd"/>
      <w:r w:rsidRPr="00F27422">
        <w:rPr>
          <w:rFonts w:ascii="mylotus" w:hAnsi="mylotus"/>
          <w:sz w:val="32"/>
          <w:rtl/>
        </w:rPr>
        <w:t xml:space="preserve"> رفع اليد عن التزامه، وهذا ما يعبر عنه بـ "الجواز الحقي" بحسب تعبير المحقّق النائيني (قدس سره) في مقابل "الجواز الحكمي" كجواز عقد الهبة فإنّه جوازٌ حكمي، ومقابله </w:t>
      </w:r>
      <w:r w:rsidRPr="00F27422">
        <w:rPr>
          <w:rFonts w:ascii="mylotus" w:hAnsi="mylotus" w:cs="Times New Roman"/>
          <w:sz w:val="32"/>
          <w:rtl/>
        </w:rPr>
        <w:t>"</w:t>
      </w:r>
      <w:r w:rsidRPr="00F27422">
        <w:rPr>
          <w:rFonts w:ascii="mylotus" w:hAnsi="mylotus"/>
          <w:sz w:val="32"/>
          <w:rtl/>
        </w:rPr>
        <w:t>الجواز الحقي</w:t>
      </w:r>
      <w:r w:rsidRPr="00F27422">
        <w:rPr>
          <w:rFonts w:ascii="mylotus" w:hAnsi="mylotus" w:cs="Times New Roman"/>
          <w:sz w:val="32"/>
          <w:rtl/>
        </w:rPr>
        <w:t>"</w:t>
      </w:r>
      <w:r w:rsidRPr="00F27422">
        <w:rPr>
          <w:rFonts w:ascii="mylotus" w:hAnsi="mylotus"/>
          <w:sz w:val="32"/>
          <w:rtl/>
        </w:rPr>
        <w:t xml:space="preserve"> وهو الجواز الناشئ عن ثبوت الخيار</w:t>
      </w:r>
      <w:r w:rsidRPr="00F27422">
        <w:rPr>
          <w:rFonts w:ascii="mylotus" w:hAnsi="mylotus"/>
          <w:sz w:val="32"/>
        </w:rPr>
        <w:t>.</w:t>
      </w:r>
    </w:p>
    <w:p w14:paraId="1C6407A3" w14:textId="77777777" w:rsidR="00F8693E" w:rsidRPr="00F27422" w:rsidRDefault="00F8693E" w:rsidP="00122B70">
      <w:pPr>
        <w:pStyle w:val="a"/>
        <w:bidi/>
        <w:spacing w:line="216" w:lineRule="auto"/>
        <w:jc w:val="left"/>
        <w:rPr>
          <w:rFonts w:ascii="mylotus" w:hAnsi="mylotus"/>
          <w:sz w:val="32"/>
          <w:rtl/>
        </w:rPr>
      </w:pPr>
      <w:r w:rsidRPr="00F27422">
        <w:rPr>
          <w:rFonts w:ascii="mylotus" w:hAnsi="mylotus"/>
          <w:sz w:val="32"/>
          <w:rtl/>
        </w:rPr>
        <w:t xml:space="preserve">وهذا المبنى للمحقّق النائيني (قدس سره) ليس تاماً؛ فإنّه لا يوجد في العقود </w:t>
      </w:r>
      <w:proofErr w:type="spellStart"/>
      <w:r w:rsidRPr="00F27422">
        <w:rPr>
          <w:rFonts w:ascii="mylotus" w:hAnsi="mylotus"/>
          <w:sz w:val="32"/>
          <w:rtl/>
        </w:rPr>
        <w:t>إنشآن</w:t>
      </w:r>
      <w:proofErr w:type="spellEnd"/>
      <w:r w:rsidRPr="00F27422">
        <w:rPr>
          <w:rFonts w:ascii="mylotus" w:hAnsi="mylotus"/>
          <w:sz w:val="32"/>
          <w:rtl/>
        </w:rPr>
        <w:t xml:space="preserve">: إنشاءٌ للمِلكيَّة وإنشاءٌ للالتزام، بحيث يكون مرجع قول البائع: "بعتُكَ هذا الكتاب بألف دينارٍ عراقي على أنْ تخيط لي ثوباً" إلى </w:t>
      </w:r>
      <w:proofErr w:type="spellStart"/>
      <w:r w:rsidRPr="00F27422">
        <w:rPr>
          <w:rFonts w:ascii="mylotus" w:hAnsi="mylotus"/>
          <w:sz w:val="32"/>
          <w:rtl/>
        </w:rPr>
        <w:t>إنشائين</w:t>
      </w:r>
      <w:proofErr w:type="spellEnd"/>
      <w:r w:rsidRPr="00F27422">
        <w:rPr>
          <w:rFonts w:ascii="mylotus" w:hAnsi="mylotus"/>
          <w:sz w:val="32"/>
          <w:rtl/>
        </w:rPr>
        <w:t xml:space="preserve"> إنشاءٍ للمِلكيَّة وإنشاءٍ للالتزام معلّقاً على تحقيق الشرط، فإنّ هذا أيضاً بعيد عن المرتكزات العقلائية في مقام المعاملات، بل غاية ما هناك أنّ العقلاء يرون أنّه إذا اشترط عليه في العقد شرطاً فله الخيار عند تخلف الشرط، فثبوت الخيار لبناءٍ عقلائيٍّ على ثبوته، لا لأنّ الشارط علّق التزامه بالعقد على تحقيق الشرط، فبما أنّ مرجع ثبوت الخيار عند التخلف لبناءٍ عقلائيٍّ فلا يحرز بناء العقلاء على ثبوت الخيار مطلقاً عند تخلف الشرط ولو كان المشترط قبيحاً عند العقلاء كالظلم والتعدي أو كان الشرط غير عقلائي، وبذلك تتضح المناقشة فيما ذكره بعض الأكابر (قدس سره) وما ذكره سيدنا الخوئي (قدس سره) في ما لو كان الشرط فاقداً للغرض العقلائي، كما هو محلّ البحث بأنْ يشترط المؤجّر على المُستأجر أنْ لا يسكن الدار إلّا هو وإنْ مات، فإنّ من الواضح أنّ هذا الشرط في حياة المؤجّر هو شرطٌ عقلائي لكن إطلاق هذا الشرط لما بعد موته بحيث يثبت للورثة مِلكيَّة المنفعة لكن ليس لهم استيفاؤها بأيّ وجهٍ،  يجعل الشرط شرطاً غير عقلائي في حقّ المالك الجديد للمنفعة ألّا وهو الورثة، فبما أنّه شرطٌ فاقدٌ للغرض العقلائي بلحاظ إطلاقه ولا مدرك للخيار إلّا البناء العقلائي فلا يحرز بناء العقلاء في هذه الموارد على ثبوت الخيار </w:t>
      </w:r>
      <w:proofErr w:type="spellStart"/>
      <w:r w:rsidRPr="00F27422">
        <w:rPr>
          <w:rFonts w:ascii="mylotus" w:hAnsi="mylotus"/>
          <w:sz w:val="32"/>
          <w:rtl/>
        </w:rPr>
        <w:t>للشارط</w:t>
      </w:r>
      <w:proofErr w:type="spellEnd"/>
      <w:r w:rsidRPr="00F27422">
        <w:rPr>
          <w:rFonts w:ascii="mylotus" w:hAnsi="mylotus"/>
          <w:sz w:val="32"/>
          <w:rtl/>
        </w:rPr>
        <w:t xml:space="preserve"> لو سكن الدار الورثة، بذريعة أنّه اشترط على والد الورثة أنْ لا يسكن الدار إلّا هو.</w:t>
      </w:r>
    </w:p>
    <w:p w14:paraId="4485A911" w14:textId="77777777" w:rsidR="00F8693E" w:rsidRPr="00F27422" w:rsidRDefault="00F8693E" w:rsidP="00122B70">
      <w:pPr>
        <w:pStyle w:val="a"/>
        <w:bidi/>
        <w:spacing w:line="216" w:lineRule="auto"/>
        <w:jc w:val="left"/>
        <w:rPr>
          <w:rFonts w:ascii="mylotus" w:hAnsi="mylotus"/>
          <w:sz w:val="32"/>
          <w:rtl/>
        </w:rPr>
      </w:pPr>
      <w:r w:rsidRPr="00F27422">
        <w:rPr>
          <w:rFonts w:ascii="mylotus" w:hAnsi="mylotus"/>
          <w:b/>
          <w:bCs/>
          <w:sz w:val="32"/>
          <w:rtl/>
        </w:rPr>
        <w:t>والنتيجة:</w:t>
      </w:r>
      <w:r w:rsidRPr="00F27422">
        <w:rPr>
          <w:rFonts w:ascii="mylotus" w:hAnsi="mylotus"/>
          <w:sz w:val="32"/>
          <w:rtl/>
        </w:rPr>
        <w:t xml:space="preserve"> أنّ ما ذكره سيدنا الخوئي (قدس سره الشريف) في موسوعته المباركة في كتاب [الإجارة، ج30، ص133] من صحة العقد وبطلان إطلاق الشرط وعدم ثبوت الخيار عند التخلف هو الصحيح، لا ما أفاده في كتابه [التنقيح في شرح المكاسب، المجلد الخامس، ج40، ص121] من إطلاق ثبوت الخيار عند تخلف الشرط ولو كان الشرط فاقداً للغرض العقلائي.</w:t>
      </w:r>
    </w:p>
    <w:p w14:paraId="56B3DB7F" w14:textId="77777777" w:rsidR="00F8693E" w:rsidRPr="00F27422" w:rsidRDefault="00F8693E" w:rsidP="00122B70">
      <w:pPr>
        <w:pStyle w:val="a"/>
        <w:bidi/>
        <w:spacing w:line="216" w:lineRule="auto"/>
        <w:jc w:val="left"/>
        <w:rPr>
          <w:rFonts w:ascii="mylotus" w:hAnsi="mylotus"/>
          <w:b/>
          <w:bCs/>
          <w:sz w:val="32"/>
          <w:rtl/>
        </w:rPr>
      </w:pPr>
    </w:p>
    <w:p w14:paraId="4CF88DAC" w14:textId="77777777" w:rsidR="00F8693E" w:rsidRPr="00F27422" w:rsidRDefault="00F8693E" w:rsidP="00122B70">
      <w:pPr>
        <w:pStyle w:val="a"/>
        <w:bidi/>
        <w:spacing w:line="216" w:lineRule="auto"/>
        <w:jc w:val="left"/>
        <w:rPr>
          <w:rFonts w:ascii="mylotus" w:hAnsi="mylotus"/>
          <w:b/>
          <w:bCs/>
          <w:sz w:val="32"/>
          <w:rtl/>
        </w:rPr>
      </w:pPr>
      <w:r w:rsidRPr="00F27422">
        <w:rPr>
          <w:rFonts w:ascii="mylotus" w:hAnsi="mylotus"/>
          <w:b/>
          <w:bCs/>
          <w:sz w:val="32"/>
          <w:rtl/>
        </w:rPr>
        <w:t xml:space="preserve">والحمد لله رب العالمين </w:t>
      </w:r>
    </w:p>
    <w:p w14:paraId="2A86273F" w14:textId="77777777" w:rsidR="00F8693E" w:rsidRPr="00F27422" w:rsidRDefault="00F8693E" w:rsidP="00122B70">
      <w:pPr>
        <w:bidi/>
        <w:rPr>
          <w:sz w:val="32"/>
          <w:szCs w:val="32"/>
        </w:rPr>
      </w:pPr>
    </w:p>
    <w:p w14:paraId="47EA376A" w14:textId="12196EB9" w:rsidR="00F8693E" w:rsidRPr="00F27422" w:rsidRDefault="00F8693E" w:rsidP="00122B70">
      <w:pPr>
        <w:pStyle w:val="Heading3"/>
        <w:bidi/>
        <w:rPr>
          <w:sz w:val="32"/>
          <w:szCs w:val="32"/>
        </w:rPr>
      </w:pPr>
      <w:r w:rsidRPr="00F27422">
        <w:rPr>
          <w:sz w:val="32"/>
          <w:szCs w:val="32"/>
        </w:rPr>
        <w:t>041</w:t>
      </w:r>
    </w:p>
    <w:p w14:paraId="63DC66CC" w14:textId="77777777" w:rsidR="00A960E5" w:rsidRPr="00F27422" w:rsidRDefault="00A960E5" w:rsidP="00122B70">
      <w:pPr>
        <w:bidi/>
        <w:rPr>
          <w:b/>
          <w:bCs/>
          <w:sz w:val="32"/>
          <w:szCs w:val="32"/>
        </w:rPr>
      </w:pPr>
      <w:r w:rsidRPr="00F27422">
        <w:rPr>
          <w:b/>
          <w:bCs/>
          <w:sz w:val="32"/>
          <w:szCs w:val="32"/>
          <w:rtl/>
        </w:rPr>
        <w:t>بسم الله الرحمن الرحيم</w:t>
      </w:r>
    </w:p>
    <w:p w14:paraId="19609B25" w14:textId="77777777" w:rsidR="00A960E5" w:rsidRPr="00F27422" w:rsidRDefault="00A960E5"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2A2CA54C" w14:textId="77777777" w:rsidR="00A960E5" w:rsidRPr="00F27422" w:rsidRDefault="00A960E5" w:rsidP="00122B70">
      <w:pPr>
        <w:bidi/>
        <w:rPr>
          <w:sz w:val="32"/>
          <w:szCs w:val="32"/>
          <w:rtl/>
          <w:lang w:bidi="ar-BH"/>
        </w:rPr>
      </w:pPr>
      <w:r w:rsidRPr="00F27422">
        <w:rPr>
          <w:b/>
          <w:bCs/>
          <w:sz w:val="32"/>
          <w:szCs w:val="32"/>
          <w:rtl/>
        </w:rPr>
        <w:t>واللعن الدائم على أعدائهم أجمعين إلى قيام يوم الدين</w:t>
      </w:r>
    </w:p>
    <w:p w14:paraId="0DCE19B2" w14:textId="77777777" w:rsidR="00A960E5" w:rsidRPr="00F27422" w:rsidRDefault="00A960E5" w:rsidP="00122B70">
      <w:pPr>
        <w:bidi/>
        <w:rPr>
          <w:sz w:val="32"/>
          <w:szCs w:val="32"/>
          <w:rtl/>
          <w:lang w:bidi="ar-BH"/>
        </w:rPr>
      </w:pPr>
    </w:p>
    <w:p w14:paraId="36BC8746" w14:textId="77777777" w:rsidR="00A960E5" w:rsidRPr="00F27422" w:rsidRDefault="00A960E5" w:rsidP="00122B70">
      <w:pPr>
        <w:bidi/>
        <w:rPr>
          <w:b/>
          <w:bCs/>
          <w:sz w:val="32"/>
          <w:szCs w:val="32"/>
          <w:rtl/>
          <w:lang w:bidi="ar-BH"/>
        </w:rPr>
      </w:pPr>
      <w:r w:rsidRPr="00F27422">
        <w:rPr>
          <w:b/>
          <w:bCs/>
          <w:sz w:val="32"/>
          <w:szCs w:val="32"/>
          <w:rtl/>
        </w:rPr>
        <w:t>المسألة الرابعة "من فصل أحكام الإجارة":</w:t>
      </w:r>
    </w:p>
    <w:p w14:paraId="799E5873" w14:textId="77777777" w:rsidR="00A960E5" w:rsidRPr="00F27422" w:rsidRDefault="00A960E5" w:rsidP="00122B70">
      <w:pPr>
        <w:bidi/>
        <w:rPr>
          <w:b/>
          <w:bCs/>
          <w:sz w:val="32"/>
          <w:szCs w:val="32"/>
          <w:rtl/>
          <w:lang w:bidi="ar-BH"/>
        </w:rPr>
      </w:pPr>
      <w:r w:rsidRPr="00F27422">
        <w:rPr>
          <w:sz w:val="32"/>
          <w:szCs w:val="32"/>
          <w:rtl/>
        </w:rPr>
        <w:t xml:space="preserve">قال سيد العروة (قدس سره الشريف): </w:t>
      </w:r>
      <w:r w:rsidRPr="00F27422">
        <w:rPr>
          <w:b/>
          <w:bCs/>
          <w:sz w:val="32"/>
          <w:szCs w:val="32"/>
          <w:rtl/>
        </w:rPr>
        <w:t xml:space="preserve">(مسألة 4: إذا آجر الوليّ أو الوصيّ الصبي المولّى عليه مدّة تزيد عن زمان بلوغه ورشده </w:t>
      </w:r>
      <w:r w:rsidRPr="00F27422">
        <w:rPr>
          <w:b/>
          <w:bCs/>
          <w:sz w:val="32"/>
          <w:szCs w:val="32"/>
          <w:highlight w:val="yellow"/>
          <w:rtl/>
        </w:rPr>
        <w:t>بطلت في المتيقّن بلوغه</w:t>
      </w:r>
      <w:r w:rsidRPr="00F27422">
        <w:rPr>
          <w:b/>
          <w:bCs/>
          <w:sz w:val="32"/>
          <w:szCs w:val="32"/>
          <w:rtl/>
        </w:rPr>
        <w:t xml:space="preserve"> فيه، بمعنى: أنّها موقوفة على إجازته، وصحّت واقعاً وظاهراً بالنسبة إلى المتيقّن صغره، وظاهراً بالنسبة إلى المحتمل، فإذا بلغ له أن يفسخ على الأقوى، أي لا يجيز، خلافاً لبعضهم فحكم بلزومها عليه، لوقوعها من أهلها في محلّها في وقتٍ لم يعلم لها مناف. وهو كما ترى)</w:t>
      </w:r>
      <w:r w:rsidRPr="00F27422">
        <w:rPr>
          <w:b/>
          <w:bCs/>
          <w:sz w:val="32"/>
          <w:szCs w:val="32"/>
        </w:rPr>
        <w:t>.</w:t>
      </w:r>
    </w:p>
    <w:p w14:paraId="4AB433AE" w14:textId="77777777" w:rsidR="00A960E5" w:rsidRPr="00F27422" w:rsidRDefault="00A960E5" w:rsidP="00122B70">
      <w:pPr>
        <w:bidi/>
        <w:rPr>
          <w:b/>
          <w:bCs/>
          <w:sz w:val="32"/>
          <w:szCs w:val="32"/>
          <w:rtl/>
          <w:lang w:bidi="ar-BH"/>
        </w:rPr>
      </w:pPr>
      <w:r w:rsidRPr="00F27422">
        <w:rPr>
          <w:b/>
          <w:bCs/>
          <w:sz w:val="32"/>
          <w:szCs w:val="32"/>
          <w:rtl/>
        </w:rPr>
        <w:t>والبحث هنا في مطالب</w:t>
      </w:r>
      <w:r w:rsidRPr="00F27422">
        <w:rPr>
          <w:b/>
          <w:bCs/>
          <w:sz w:val="32"/>
          <w:szCs w:val="32"/>
        </w:rPr>
        <w:t>:</w:t>
      </w:r>
    </w:p>
    <w:p w14:paraId="7E2F7672" w14:textId="77777777" w:rsidR="00A960E5" w:rsidRPr="00F27422" w:rsidRDefault="00A960E5" w:rsidP="00122B70">
      <w:pPr>
        <w:bidi/>
        <w:rPr>
          <w:b/>
          <w:bCs/>
          <w:sz w:val="32"/>
          <w:szCs w:val="32"/>
          <w:rtl/>
          <w:lang w:bidi="ar-BH"/>
        </w:rPr>
      </w:pPr>
      <w:r w:rsidRPr="00F27422">
        <w:rPr>
          <w:b/>
          <w:bCs/>
          <w:sz w:val="32"/>
          <w:szCs w:val="32"/>
          <w:rtl/>
        </w:rPr>
        <w:t xml:space="preserve">المطلب الأوّل: </w:t>
      </w:r>
      <w:r w:rsidRPr="00F27422">
        <w:rPr>
          <w:sz w:val="32"/>
          <w:szCs w:val="32"/>
          <w:rtl/>
        </w:rPr>
        <w:t>في سعة ولاية الأب والجد</w:t>
      </w:r>
      <w:r w:rsidRPr="00F27422">
        <w:rPr>
          <w:sz w:val="32"/>
          <w:szCs w:val="32"/>
        </w:rPr>
        <w:t>:</w:t>
      </w:r>
    </w:p>
    <w:p w14:paraId="7DDFE441" w14:textId="77777777" w:rsidR="00A960E5" w:rsidRPr="00F27422" w:rsidRDefault="00A960E5" w:rsidP="00122B70">
      <w:pPr>
        <w:bidi/>
        <w:rPr>
          <w:sz w:val="32"/>
          <w:szCs w:val="32"/>
          <w:rtl/>
          <w:lang w:bidi="ar-BH"/>
        </w:rPr>
      </w:pPr>
      <w:r w:rsidRPr="00F27422">
        <w:rPr>
          <w:sz w:val="32"/>
          <w:szCs w:val="32"/>
          <w:rtl/>
        </w:rPr>
        <w:t>ظاهر الكلمات هو المفروغية عن سعة الولاية لهما بالتصرّف في أموال الصبي وأملاكه بغض النظر عن حدود المدّة، وأنّ الجد أولى من الأب في مقام إعمال الولاية</w:t>
      </w:r>
      <w:r w:rsidRPr="00F27422">
        <w:rPr>
          <w:sz w:val="32"/>
          <w:szCs w:val="32"/>
        </w:rPr>
        <w:t>.</w:t>
      </w:r>
    </w:p>
    <w:p w14:paraId="114480BC" w14:textId="77777777" w:rsidR="00A960E5" w:rsidRPr="00F27422" w:rsidRDefault="00A960E5" w:rsidP="00122B70">
      <w:pPr>
        <w:bidi/>
        <w:rPr>
          <w:b/>
          <w:bCs/>
          <w:sz w:val="32"/>
          <w:szCs w:val="32"/>
          <w:rtl/>
          <w:lang w:bidi="ar-BH"/>
        </w:rPr>
      </w:pPr>
      <w:r w:rsidRPr="00F27422">
        <w:rPr>
          <w:b/>
          <w:bCs/>
          <w:sz w:val="32"/>
          <w:szCs w:val="32"/>
          <w:rtl/>
        </w:rPr>
        <w:t>وقد استند في ذلك إلى بعض الروايات الشريفة</w:t>
      </w:r>
      <w:r w:rsidRPr="00F27422">
        <w:rPr>
          <w:b/>
          <w:bCs/>
          <w:sz w:val="32"/>
          <w:szCs w:val="32"/>
        </w:rPr>
        <w:t>:</w:t>
      </w:r>
    </w:p>
    <w:p w14:paraId="0C0B6E2A" w14:textId="77777777" w:rsidR="00A960E5" w:rsidRPr="00F27422" w:rsidRDefault="00A960E5" w:rsidP="00122B70">
      <w:pPr>
        <w:bidi/>
        <w:rPr>
          <w:sz w:val="32"/>
          <w:szCs w:val="32"/>
          <w:rtl/>
          <w:lang w:bidi="ar-BH"/>
        </w:rPr>
      </w:pPr>
      <w:r w:rsidRPr="00F27422">
        <w:rPr>
          <w:b/>
          <w:bCs/>
          <w:sz w:val="32"/>
          <w:szCs w:val="32"/>
          <w:rtl/>
        </w:rPr>
        <w:t>منها:</w:t>
      </w:r>
      <w:r w:rsidRPr="00F27422">
        <w:rPr>
          <w:sz w:val="32"/>
          <w:szCs w:val="32"/>
          <w:rtl/>
        </w:rPr>
        <w:t xml:space="preserve"> صحيح محمّد بن مسلم: كما في الكافي: </w:t>
      </w:r>
      <w:r w:rsidRPr="00F27422">
        <w:rPr>
          <w:b/>
          <w:bCs/>
          <w:sz w:val="32"/>
          <w:szCs w:val="32"/>
          <w:rtl/>
        </w:rPr>
        <w:t xml:space="preserve">(محمّد بن يحيى، عن أحمد بن محمّد، عن علي بن الحكم، عن العلاء بن رزين، عن محمّد بن مسلم، عن أبي جعفر (عليه السلام) أنّه قال: في الرجل يتصدق على وُلدٍ قد أدركوا إذا لم يقبضوا حتى يموت فهو ميراثٌ فإنْ تصدق على من لم يُدرك من وُلدِهِ فهو جائزٌ </w:t>
      </w:r>
      <w:r w:rsidRPr="00F27422">
        <w:rPr>
          <w:b/>
          <w:bCs/>
          <w:sz w:val="32"/>
          <w:szCs w:val="32"/>
          <w:highlight w:val="yellow"/>
          <w:rtl/>
        </w:rPr>
        <w:t>لأنّ والدهُ هو الذي يلي أمره</w:t>
      </w:r>
      <w:r w:rsidRPr="00F27422">
        <w:rPr>
          <w:b/>
          <w:bCs/>
          <w:sz w:val="32"/>
          <w:szCs w:val="32"/>
          <w:rtl/>
        </w:rPr>
        <w:t>، وقال: لا يرجعُ في الصدقة إذا ابتغى وجه الله عزّ وجلّ، وقال: الهبة والنِّحلة يرجع فيها إنْ شاء حِيزتْ أو لم تُحَزْ إلّا لذِي رَحِمٍ فإنّهُ لا يرجع فيه).</w:t>
      </w:r>
      <w:r w:rsidRPr="00F27422">
        <w:rPr>
          <w:sz w:val="32"/>
          <w:szCs w:val="32"/>
          <w:rtl/>
        </w:rPr>
        <w:t xml:space="preserve"> [الكافي، للشيخ الكليني، دار الكتب الإسلامية، ج7، كتاب الوصايا، باب ما يجوز من الوقف والصدقة والنخل والهبة والسكنى </w:t>
      </w:r>
      <w:proofErr w:type="gramStart"/>
      <w:r w:rsidRPr="00F27422">
        <w:rPr>
          <w:sz w:val="32"/>
          <w:szCs w:val="32"/>
          <w:rtl/>
        </w:rPr>
        <w:t>والعمرى</w:t>
      </w:r>
      <w:proofErr w:type="gramEnd"/>
      <w:r w:rsidRPr="00F27422">
        <w:rPr>
          <w:sz w:val="32"/>
          <w:szCs w:val="32"/>
          <w:rtl/>
        </w:rPr>
        <w:t xml:space="preserve"> والرقبى وما لا يجوز من ذلك على الولد وغيره، ح7]</w:t>
      </w:r>
      <w:r w:rsidRPr="00F27422">
        <w:rPr>
          <w:sz w:val="32"/>
          <w:szCs w:val="32"/>
        </w:rPr>
        <w:t>.</w:t>
      </w:r>
    </w:p>
    <w:p w14:paraId="2D8DE7C6" w14:textId="77777777" w:rsidR="00A960E5" w:rsidRPr="00F27422" w:rsidRDefault="00A960E5" w:rsidP="00122B70">
      <w:pPr>
        <w:bidi/>
        <w:rPr>
          <w:sz w:val="32"/>
          <w:szCs w:val="32"/>
          <w:rtl/>
          <w:lang w:bidi="ar-BH"/>
        </w:rPr>
      </w:pPr>
      <w:r w:rsidRPr="00F27422">
        <w:rPr>
          <w:sz w:val="32"/>
          <w:szCs w:val="32"/>
          <w:rtl/>
        </w:rPr>
        <w:t xml:space="preserve">فقوله (عليه السلام): </w:t>
      </w:r>
      <w:r w:rsidRPr="00F27422">
        <w:rPr>
          <w:b/>
          <w:bCs/>
          <w:sz w:val="32"/>
          <w:szCs w:val="32"/>
          <w:rtl/>
        </w:rPr>
        <w:t xml:space="preserve">(يتصدق على وُلدٍ وقد أدركوا) </w:t>
      </w:r>
      <w:r w:rsidRPr="00F27422">
        <w:rPr>
          <w:sz w:val="32"/>
          <w:szCs w:val="32"/>
          <w:rtl/>
        </w:rPr>
        <w:t xml:space="preserve">أي بلغوا، وقوله (عليه السلام): </w:t>
      </w:r>
      <w:r w:rsidRPr="00F27422">
        <w:rPr>
          <w:b/>
          <w:bCs/>
          <w:sz w:val="32"/>
          <w:szCs w:val="32"/>
          <w:rtl/>
        </w:rPr>
        <w:t xml:space="preserve">(لم يقبضوا حتى يموت فهو ميراثٌ) </w:t>
      </w:r>
      <w:r w:rsidRPr="00F27422">
        <w:rPr>
          <w:sz w:val="32"/>
          <w:szCs w:val="32"/>
          <w:rtl/>
        </w:rPr>
        <w:t>أي إنْ لم يقبضوا الصدقة حتى يموت فهو ميراثٌ؛ لأنّ الصدقة إنّما تنفذ بالقبض، وقوله (عليه السلام): (</w:t>
      </w:r>
      <w:r w:rsidRPr="00F27422">
        <w:rPr>
          <w:b/>
          <w:bCs/>
          <w:sz w:val="32"/>
          <w:szCs w:val="32"/>
          <w:rtl/>
        </w:rPr>
        <w:t>فإنْ تصدق على من لم يُدرك من وُلدِهِ فهو جائزٌ)</w:t>
      </w:r>
      <w:r w:rsidRPr="00F27422">
        <w:rPr>
          <w:sz w:val="32"/>
          <w:szCs w:val="32"/>
          <w:rtl/>
        </w:rPr>
        <w:t xml:space="preserve"> أي إذا تصدق على القاصرين وقبض الولي نيابةً عنهم بمقتضى ولايته، فهو جائز</w:t>
      </w:r>
      <w:r w:rsidRPr="00F27422">
        <w:rPr>
          <w:sz w:val="32"/>
          <w:szCs w:val="32"/>
        </w:rPr>
        <w:t>.</w:t>
      </w:r>
    </w:p>
    <w:p w14:paraId="38015858" w14:textId="77777777" w:rsidR="00A960E5" w:rsidRPr="00F27422" w:rsidRDefault="00A960E5" w:rsidP="00122B70">
      <w:pPr>
        <w:bidi/>
        <w:rPr>
          <w:sz w:val="32"/>
          <w:szCs w:val="32"/>
          <w:rtl/>
        </w:rPr>
      </w:pPr>
      <w:r w:rsidRPr="00F27422">
        <w:rPr>
          <w:b/>
          <w:bCs/>
          <w:sz w:val="32"/>
          <w:szCs w:val="32"/>
          <w:rtl/>
        </w:rPr>
        <w:t>ومحلّ الشاهد</w:t>
      </w:r>
      <w:r w:rsidRPr="00F27422">
        <w:rPr>
          <w:sz w:val="32"/>
          <w:szCs w:val="32"/>
          <w:rtl/>
        </w:rPr>
        <w:t xml:space="preserve"> هو قوله (عليه السلام): </w:t>
      </w:r>
      <w:r w:rsidRPr="00F27422">
        <w:rPr>
          <w:b/>
          <w:bCs/>
          <w:sz w:val="32"/>
          <w:szCs w:val="32"/>
          <w:rtl/>
        </w:rPr>
        <w:t>(لأنّ والدهُ هو الذي يلي أمره).</w:t>
      </w:r>
    </w:p>
    <w:p w14:paraId="26A6F166" w14:textId="77777777" w:rsidR="00A960E5" w:rsidRPr="00F27422" w:rsidRDefault="00A960E5" w:rsidP="00122B70">
      <w:pPr>
        <w:bidi/>
        <w:rPr>
          <w:sz w:val="32"/>
          <w:szCs w:val="32"/>
          <w:rtl/>
          <w:lang w:bidi="ar-BH"/>
        </w:rPr>
      </w:pPr>
      <w:r w:rsidRPr="00F27422">
        <w:rPr>
          <w:b/>
          <w:bCs/>
          <w:sz w:val="32"/>
          <w:szCs w:val="32"/>
          <w:rtl/>
        </w:rPr>
        <w:t>بتقريب:</w:t>
      </w:r>
      <w:r w:rsidRPr="00F27422">
        <w:rPr>
          <w:sz w:val="32"/>
          <w:szCs w:val="32"/>
          <w:rtl/>
        </w:rPr>
        <w:t xml:space="preserve"> أنّ ظاهره بيان كُبرى الولاية التي تنطبق على المورد.</w:t>
      </w:r>
    </w:p>
    <w:p w14:paraId="6D87B031" w14:textId="77777777" w:rsidR="00A960E5" w:rsidRPr="00F27422" w:rsidRDefault="00A960E5" w:rsidP="00122B70">
      <w:pPr>
        <w:bidi/>
        <w:rPr>
          <w:sz w:val="32"/>
          <w:szCs w:val="32"/>
          <w:rtl/>
          <w:lang w:bidi="ar-BH"/>
        </w:rPr>
      </w:pPr>
      <w:r w:rsidRPr="00F27422">
        <w:rPr>
          <w:b/>
          <w:bCs/>
          <w:sz w:val="32"/>
          <w:szCs w:val="32"/>
          <w:rtl/>
        </w:rPr>
        <w:lastRenderedPageBreak/>
        <w:t>ولكن</w:t>
      </w:r>
      <w:r w:rsidRPr="00F27422">
        <w:rPr>
          <w:sz w:val="32"/>
          <w:szCs w:val="32"/>
          <w:rtl/>
        </w:rPr>
        <w:t xml:space="preserve"> </w:t>
      </w:r>
      <w:r w:rsidRPr="00F27422">
        <w:rPr>
          <w:b/>
          <w:bCs/>
          <w:sz w:val="32"/>
          <w:szCs w:val="32"/>
          <w:rtl/>
        </w:rPr>
        <w:t>فيه:</w:t>
      </w:r>
      <w:r w:rsidRPr="00F27422">
        <w:rPr>
          <w:sz w:val="32"/>
          <w:szCs w:val="32"/>
          <w:rtl/>
        </w:rPr>
        <w:t xml:space="preserve"> أنّه لا يستفاد منه أكثر من المفروغية عن أصل الولاية؛ لكونه في مقام تعليل نفوذ التصدق والقبض بقوله (عليه السلام): (لأنّ والدهُ هو الذي يلي أمره)، وأمّا أنّه في مقام بيان الولاية كي يستفاد من إطلاق الوصف سعتها وشمولها للتصرّف في أموال الصبي بغض النظر عن حدود المدّة فهذا أوّل الكلام</w:t>
      </w:r>
      <w:r w:rsidRPr="00F27422">
        <w:rPr>
          <w:sz w:val="32"/>
          <w:szCs w:val="32"/>
        </w:rPr>
        <w:t>.</w:t>
      </w:r>
    </w:p>
    <w:p w14:paraId="097F355A" w14:textId="77777777" w:rsidR="00A960E5" w:rsidRPr="00F27422" w:rsidRDefault="00A960E5" w:rsidP="00122B70">
      <w:pPr>
        <w:bidi/>
        <w:rPr>
          <w:sz w:val="32"/>
          <w:szCs w:val="32"/>
          <w:rtl/>
          <w:lang w:bidi="ar-BH"/>
        </w:rPr>
      </w:pPr>
      <w:r w:rsidRPr="00F27422">
        <w:rPr>
          <w:sz w:val="32"/>
          <w:szCs w:val="32"/>
          <w:rtl/>
        </w:rPr>
        <w:t>نعم، لو ضمّ لذلك المرتكز بين المتشرعة، ومّا دلّ من الروايات على نفوذ تصرّف الوصيّ المولّى على مال الصبي من قبل الأب فلا يبعد تمامية القول بسعة ولاية الأب، وسيأتي عرض بعض هذه الروايات</w:t>
      </w:r>
      <w:r w:rsidRPr="00F27422">
        <w:rPr>
          <w:sz w:val="32"/>
          <w:szCs w:val="32"/>
        </w:rPr>
        <w:t>.</w:t>
      </w:r>
    </w:p>
    <w:p w14:paraId="702E6062" w14:textId="77777777" w:rsidR="00A960E5" w:rsidRPr="00F27422" w:rsidRDefault="00A960E5" w:rsidP="00122B70">
      <w:pPr>
        <w:bidi/>
        <w:rPr>
          <w:sz w:val="32"/>
          <w:szCs w:val="32"/>
          <w:rtl/>
          <w:lang w:bidi="ar-BH"/>
        </w:rPr>
      </w:pPr>
      <w:r w:rsidRPr="00F27422">
        <w:rPr>
          <w:sz w:val="32"/>
          <w:szCs w:val="32"/>
          <w:rtl/>
        </w:rPr>
        <w:t xml:space="preserve">وأمّا ما استدل به على أولوية الجد من الأب فهو معتبرة عبيد بن زرارة، كما في الكافي: </w:t>
      </w:r>
      <w:r w:rsidRPr="00F27422">
        <w:rPr>
          <w:b/>
          <w:bCs/>
          <w:sz w:val="32"/>
          <w:szCs w:val="32"/>
          <w:rtl/>
        </w:rPr>
        <w:t xml:space="preserve">(محمّد بن يحيى، عن أحمد بن محمّد، عن ابن فضال، عن ابن بكير، عن عبيد بن زرارة قال: قلتُ لأبي </w:t>
      </w:r>
      <w:proofErr w:type="gramStart"/>
      <w:r w:rsidRPr="00F27422">
        <w:rPr>
          <w:b/>
          <w:bCs/>
          <w:sz w:val="32"/>
          <w:szCs w:val="32"/>
          <w:rtl/>
        </w:rPr>
        <w:t>عبدالله</w:t>
      </w:r>
      <w:proofErr w:type="gramEnd"/>
      <w:r w:rsidRPr="00F27422">
        <w:rPr>
          <w:b/>
          <w:bCs/>
          <w:sz w:val="32"/>
          <w:szCs w:val="32"/>
          <w:rtl/>
        </w:rPr>
        <w:t xml:space="preserve"> (عليه السلام) الجاريةُ يُريد أبوها أنْ يزوّجها من رجلٍ، ويريد جدُّها أنْ يزوّجها من رجلٍ آخر، فقال: الجدُّ أولى بذلك ما لم يكن مُضاراً إنْ لم يكن الأب زوّجها قبله ويجوز عليها تزويج الأب والجدِّ).</w:t>
      </w:r>
      <w:r w:rsidRPr="00F27422">
        <w:rPr>
          <w:sz w:val="32"/>
          <w:szCs w:val="32"/>
          <w:rtl/>
        </w:rPr>
        <w:t xml:space="preserve"> [الكافي، للشيخ الكليني، دار الكتب الإسلامية، ج5، كتاب النكاح، باب الرجل يريد أن يزوج ابنته ويريد أبوه أن يزوجها رجلا آخر، ح1].</w:t>
      </w:r>
    </w:p>
    <w:p w14:paraId="3E3493A0" w14:textId="77777777" w:rsidR="00A960E5" w:rsidRPr="00F27422" w:rsidRDefault="00A960E5" w:rsidP="00122B70">
      <w:pPr>
        <w:bidi/>
        <w:rPr>
          <w:sz w:val="32"/>
          <w:szCs w:val="32"/>
          <w:rtl/>
        </w:rPr>
      </w:pPr>
      <w:r w:rsidRPr="00F27422">
        <w:rPr>
          <w:b/>
          <w:bCs/>
          <w:sz w:val="32"/>
          <w:szCs w:val="32"/>
          <w:rtl/>
        </w:rPr>
        <w:t>بتقريب:</w:t>
      </w:r>
      <w:r w:rsidRPr="00F27422">
        <w:rPr>
          <w:sz w:val="32"/>
          <w:szCs w:val="32"/>
          <w:rtl/>
        </w:rPr>
        <w:t xml:space="preserve"> أنّه إذا كان الجدُّ أولى من الأب في مقام تزويج الجارية - الكبيرة - فهو أولى منه في تزويج الصغيرة، وإذا تمت الأولوية في الفروج تمت في سائر التصرّفات ومنها التصرّفات المالية.</w:t>
      </w:r>
    </w:p>
    <w:p w14:paraId="02103D11" w14:textId="77777777" w:rsidR="00A960E5" w:rsidRPr="00F27422" w:rsidRDefault="00A960E5" w:rsidP="00122B70">
      <w:pPr>
        <w:bidi/>
        <w:rPr>
          <w:sz w:val="32"/>
          <w:szCs w:val="32"/>
          <w:rtl/>
        </w:rPr>
      </w:pPr>
      <w:r w:rsidRPr="00F27422">
        <w:rPr>
          <w:b/>
          <w:bCs/>
          <w:sz w:val="32"/>
          <w:szCs w:val="32"/>
          <w:rtl/>
        </w:rPr>
        <w:t>إلّا أنْ يقال:</w:t>
      </w:r>
      <w:r w:rsidRPr="00F27422">
        <w:rPr>
          <w:sz w:val="32"/>
          <w:szCs w:val="32"/>
          <w:rtl/>
        </w:rPr>
        <w:t xml:space="preserve"> بأنّ قوله (عليه السلام) في الذيل: (</w:t>
      </w:r>
      <w:r w:rsidRPr="00F27422">
        <w:rPr>
          <w:b/>
          <w:bCs/>
          <w:sz w:val="32"/>
          <w:szCs w:val="32"/>
          <w:rtl/>
        </w:rPr>
        <w:t>ويجوز عليها تزويج الأب والجدِّ</w:t>
      </w:r>
      <w:r w:rsidRPr="00F27422">
        <w:rPr>
          <w:sz w:val="32"/>
          <w:szCs w:val="32"/>
          <w:rtl/>
        </w:rPr>
        <w:t xml:space="preserve">) معارضٌ بما دلّ على اعتبار رضاها نحو: معتبرة منصور بن حازم، كما في الوسائل: </w:t>
      </w:r>
      <w:r w:rsidRPr="00F27422">
        <w:rPr>
          <w:b/>
          <w:bCs/>
          <w:sz w:val="32"/>
          <w:szCs w:val="32"/>
          <w:rtl/>
        </w:rPr>
        <w:t xml:space="preserve">(محمّد بن الحسن، بإسناده عن محمّد بن علي بن محبوب، عن العباس، عن صفوان، عن منصور بن حازم، عن أبي </w:t>
      </w:r>
      <w:proofErr w:type="gramStart"/>
      <w:r w:rsidRPr="00F27422">
        <w:rPr>
          <w:b/>
          <w:bCs/>
          <w:sz w:val="32"/>
          <w:szCs w:val="32"/>
          <w:rtl/>
        </w:rPr>
        <w:t>عبدالله</w:t>
      </w:r>
      <w:proofErr w:type="gramEnd"/>
      <w:r w:rsidRPr="00F27422">
        <w:rPr>
          <w:b/>
          <w:bCs/>
          <w:sz w:val="32"/>
          <w:szCs w:val="32"/>
          <w:rtl/>
        </w:rPr>
        <w:t xml:space="preserve"> (عليه السلام) قال: تستأمر البكر وغيرها ولا تنكح إلا بأمرها).</w:t>
      </w:r>
      <w:r w:rsidRPr="00F27422">
        <w:rPr>
          <w:sz w:val="32"/>
          <w:szCs w:val="32"/>
          <w:rtl/>
        </w:rPr>
        <w:t xml:space="preserve"> [وسائل الشيعة، الحر العاملي، تحقيق مؤسسة أهل البيت (عليهم السلام) لإحياء التراث، ج20، كتاب النكاح، أبواب عقد النكاح وأولياء الأمر، الباب 3 باب أنّه لا ولاية لأحد من أخ ولا أب ولا غيرهما على الثيب البالغ </w:t>
      </w:r>
      <w:proofErr w:type="gramStart"/>
      <w:r w:rsidRPr="00F27422">
        <w:rPr>
          <w:sz w:val="32"/>
          <w:szCs w:val="32"/>
          <w:rtl/>
        </w:rPr>
        <w:t>الرشيدة</w:t>
      </w:r>
      <w:proofErr w:type="gramEnd"/>
      <w:r w:rsidRPr="00F27422">
        <w:rPr>
          <w:sz w:val="32"/>
          <w:szCs w:val="32"/>
          <w:rtl/>
        </w:rPr>
        <w:t xml:space="preserve"> بل أمرها بيدها، ح10].</w:t>
      </w:r>
    </w:p>
    <w:p w14:paraId="440363C8" w14:textId="77777777" w:rsidR="00A960E5" w:rsidRPr="00F27422" w:rsidRDefault="00A960E5" w:rsidP="00122B70">
      <w:pPr>
        <w:bidi/>
        <w:rPr>
          <w:sz w:val="32"/>
          <w:szCs w:val="32"/>
          <w:rtl/>
        </w:rPr>
      </w:pPr>
      <w:r w:rsidRPr="00F27422">
        <w:rPr>
          <w:sz w:val="32"/>
          <w:szCs w:val="32"/>
          <w:rtl/>
        </w:rPr>
        <w:t xml:space="preserve">ومعتبرة صفوان، كما في الوسائل: </w:t>
      </w:r>
      <w:r w:rsidRPr="00F27422">
        <w:rPr>
          <w:b/>
          <w:bCs/>
          <w:sz w:val="32"/>
          <w:szCs w:val="32"/>
          <w:rtl/>
        </w:rPr>
        <w:t xml:space="preserve">(وبإسناده عن أحمد بن محمّد بن عيسى، عن ابن فضال، عن صفوان قال: استشار </w:t>
      </w:r>
      <w:proofErr w:type="gramStart"/>
      <w:r w:rsidRPr="00F27422">
        <w:rPr>
          <w:b/>
          <w:bCs/>
          <w:sz w:val="32"/>
          <w:szCs w:val="32"/>
          <w:rtl/>
        </w:rPr>
        <w:t>عبدالرحمن</w:t>
      </w:r>
      <w:proofErr w:type="gramEnd"/>
      <w:r w:rsidRPr="00F27422">
        <w:rPr>
          <w:b/>
          <w:bCs/>
          <w:sz w:val="32"/>
          <w:szCs w:val="32"/>
          <w:rtl/>
        </w:rPr>
        <w:t xml:space="preserve"> موسى بن جعفر (عليه السلام) في تزويج ابنته لابن أخيه، فقال: افعل ويكون ذلك برضاها، فإنّ لها في نفسها نصيباً، قال: واستشار خالد بن داود موسى بن جعفر (عليه السلام) في تزويج ابنته عليّ بن جعفر، فقال: افعل ويكون ذلك برضاها فإن لها في نفسها حظاً).</w:t>
      </w:r>
      <w:r w:rsidRPr="00F27422">
        <w:rPr>
          <w:sz w:val="32"/>
          <w:szCs w:val="32"/>
          <w:rtl/>
        </w:rPr>
        <w:t xml:space="preserve"> [وسائل الشيعة، الحر العاملي، تحقيق مؤسسة أهل البيت </w:t>
      </w:r>
      <w:r w:rsidRPr="00F27422">
        <w:rPr>
          <w:sz w:val="32"/>
          <w:szCs w:val="32"/>
          <w:rtl/>
        </w:rPr>
        <w:lastRenderedPageBreak/>
        <w:t>(عليهم السلام) لإحياء التراث، ج20، كتاب النكاح، أبواب عقد النكاح وأولياء الأمر، الباب9 باب أن الولاية في عقد البكر البالغ الرشيد مشتركة بينها وبين أبيها فلابد من رضاهما إذا لم يعضلها، ح2].</w:t>
      </w:r>
    </w:p>
    <w:p w14:paraId="5117C8BF" w14:textId="1061679C" w:rsidR="00A960E5" w:rsidRPr="00F27422" w:rsidRDefault="00A960E5" w:rsidP="00122B70">
      <w:pPr>
        <w:bidi/>
        <w:rPr>
          <w:sz w:val="32"/>
          <w:szCs w:val="32"/>
          <w:rtl/>
        </w:rPr>
      </w:pPr>
      <w:r w:rsidRPr="00F27422">
        <w:rPr>
          <w:sz w:val="32"/>
          <w:szCs w:val="32"/>
          <w:rtl/>
        </w:rPr>
        <w:t xml:space="preserve">وحمل الجارية على الصغيرة غير عرفي، مع أنّ الذيل معارض في الصغيرة أيضاً بصحيح محمّد بن مسلم، كما في الوسائل: </w:t>
      </w:r>
      <w:r w:rsidRPr="00F27422">
        <w:rPr>
          <w:b/>
          <w:bCs/>
          <w:sz w:val="32"/>
          <w:szCs w:val="32"/>
          <w:rtl/>
        </w:rPr>
        <w:t>(وعنه، عن الحسن بن محبوب، عن العلاء، عن محمّد بن مسلم قال: سألت أبا جعفر (عليه السلام) عن الصبي يزوج ال</w:t>
      </w:r>
      <w:r w:rsidR="004019A9" w:rsidRPr="00F27422">
        <w:rPr>
          <w:rFonts w:hint="cs"/>
          <w:b/>
          <w:bCs/>
          <w:sz w:val="32"/>
          <w:szCs w:val="32"/>
          <w:rtl/>
        </w:rPr>
        <w:t>ص</w:t>
      </w:r>
      <w:r w:rsidRPr="00F27422">
        <w:rPr>
          <w:b/>
          <w:bCs/>
          <w:sz w:val="32"/>
          <w:szCs w:val="32"/>
          <w:rtl/>
        </w:rPr>
        <w:t>بية، قال: إن كان أبواهما اللذان زوجاهما فنعم جائز، ولكن لهما الخيار إذا أدركا فإن رضيا بعد ذلك فإن المهر على الأب، قلت له: فهل يجوز طلا</w:t>
      </w:r>
      <w:r w:rsidR="004019A9" w:rsidRPr="00F27422">
        <w:rPr>
          <w:rFonts w:hint="cs"/>
          <w:b/>
          <w:bCs/>
          <w:sz w:val="32"/>
          <w:szCs w:val="32"/>
          <w:rtl/>
        </w:rPr>
        <w:t>ق</w:t>
      </w:r>
      <w:r w:rsidRPr="00F27422">
        <w:rPr>
          <w:b/>
          <w:bCs/>
          <w:sz w:val="32"/>
          <w:szCs w:val="32"/>
          <w:rtl/>
        </w:rPr>
        <w:t xml:space="preserve"> الأب على ابنه في صغره؟ قال: لا).</w:t>
      </w:r>
      <w:r w:rsidRPr="00F27422">
        <w:rPr>
          <w:sz w:val="32"/>
          <w:szCs w:val="32"/>
          <w:rtl/>
        </w:rPr>
        <w:t xml:space="preserve"> [وسائل الشيعة، الحر العاملي، تحقيق مؤسسة أهل البيت (عليهم السلام) لإحياء التراث، ج20، كتاب النكاح، أبواب عقد النكاح وأولياء الأمر، الباب6 باب ثبوت الولاية للأب والجد للأب خاصة مع وجود الأب لا غيرهما على البنت غير البالغة الرشيدة وكذا الصبي، ح8].</w:t>
      </w:r>
    </w:p>
    <w:p w14:paraId="187D371C" w14:textId="77777777" w:rsidR="00A960E5" w:rsidRPr="00F27422" w:rsidRDefault="00A960E5" w:rsidP="00122B70">
      <w:pPr>
        <w:bidi/>
        <w:rPr>
          <w:sz w:val="32"/>
          <w:szCs w:val="32"/>
          <w:rtl/>
        </w:rPr>
      </w:pPr>
      <w:r w:rsidRPr="00F27422">
        <w:rPr>
          <w:sz w:val="32"/>
          <w:szCs w:val="32"/>
          <w:rtl/>
        </w:rPr>
        <w:t>نعم، بناءً على عرفية التبعيض في الحجية للمتن الواحد فإنّ سقوط الذيل بالمعارضة لا يوجب سقوط الصدر الدال على تقدم الجد على الأب في الولاية، كما تعضده عدّة روايات:</w:t>
      </w:r>
    </w:p>
    <w:p w14:paraId="16B7D9FB" w14:textId="77777777" w:rsidR="00A960E5" w:rsidRPr="00F27422" w:rsidRDefault="00A960E5" w:rsidP="00122B70">
      <w:pPr>
        <w:bidi/>
        <w:rPr>
          <w:sz w:val="32"/>
          <w:szCs w:val="32"/>
          <w:rtl/>
        </w:rPr>
      </w:pPr>
      <w:r w:rsidRPr="00F27422">
        <w:rPr>
          <w:sz w:val="32"/>
          <w:szCs w:val="32"/>
          <w:rtl/>
        </w:rPr>
        <w:t xml:space="preserve">منها: صحيح محمّد بن مسلم، كما في الوسائل: </w:t>
      </w:r>
      <w:r w:rsidRPr="00F27422">
        <w:rPr>
          <w:b/>
          <w:bCs/>
          <w:sz w:val="32"/>
          <w:szCs w:val="32"/>
          <w:rtl/>
        </w:rPr>
        <w:t>(محمد بن يعقوب، عن محمّد بن يحيى، عن أحمد بن محمّد، عن علي بن الحكم، عن علاء بن رزين، عن محمّد بن مسلم، عن أحدهما (عليهما السلام) قال: إذا زوج الرجل ابنة ابنه فهو جائز على ابنه، ولابنه أيضاً أن يزوجها، فقلت: فإن هوى أبوها رجلا وجدها رجلا فقال: الجد أولى بنكاحها).</w:t>
      </w:r>
      <w:r w:rsidRPr="00F27422">
        <w:rPr>
          <w:sz w:val="32"/>
          <w:szCs w:val="32"/>
          <w:rtl/>
        </w:rPr>
        <w:t xml:space="preserve"> [وسائل الشيعة، الحر العاملي، تحقيق مؤسسة أهل البيت (عليهم السلام) لإحياء التراث، ج20، كتاب النكاح، أبواب عقد النكاح وأولياء الأمر، الباب11 باب ثبوت الولاية للجد للأب في حياة الأب خاصة على الصغيرة فإن زوجاها صح عقد السابق وإن اقترنا صح عقد الجد، ح1].</w:t>
      </w:r>
    </w:p>
    <w:p w14:paraId="26323D7D" w14:textId="77777777" w:rsidR="00A960E5" w:rsidRPr="00F27422" w:rsidRDefault="00A960E5" w:rsidP="00122B70">
      <w:pPr>
        <w:bidi/>
        <w:rPr>
          <w:sz w:val="32"/>
          <w:szCs w:val="32"/>
          <w:rtl/>
        </w:rPr>
      </w:pPr>
      <w:r w:rsidRPr="00F27422">
        <w:rPr>
          <w:sz w:val="32"/>
          <w:szCs w:val="32"/>
          <w:rtl/>
        </w:rPr>
        <w:t xml:space="preserve">ومنها: صحيح عبيد بن زرارة، كما في الوسائل: </w:t>
      </w:r>
      <w:r w:rsidRPr="00F27422">
        <w:rPr>
          <w:b/>
          <w:bCs/>
          <w:sz w:val="32"/>
          <w:szCs w:val="32"/>
          <w:rtl/>
        </w:rPr>
        <w:t xml:space="preserve">(وبإسناده عن الحسين بن سعيد، عن النضر بن سويد، عن القاسم بن سليمان، عن عبيد بن زرارة، عن أبي </w:t>
      </w:r>
      <w:proofErr w:type="gramStart"/>
      <w:r w:rsidRPr="00F27422">
        <w:rPr>
          <w:b/>
          <w:bCs/>
          <w:sz w:val="32"/>
          <w:szCs w:val="32"/>
          <w:rtl/>
        </w:rPr>
        <w:t>عبدالله</w:t>
      </w:r>
      <w:proofErr w:type="gramEnd"/>
      <w:r w:rsidRPr="00F27422">
        <w:rPr>
          <w:b/>
          <w:bCs/>
          <w:sz w:val="32"/>
          <w:szCs w:val="32"/>
          <w:rtl/>
        </w:rPr>
        <w:t xml:space="preserve"> (عليه السلام) قال: (إذا زوج الرجل ابنة ابنه فهو جائز على ابنه، وقال: ولابنه أيضاً أن يزوجها، فإن هوى أبوها رجلا وجدها رجلا فالجد أولى بنكاحها، الحديث).</w:t>
      </w:r>
      <w:r w:rsidRPr="00F27422">
        <w:rPr>
          <w:sz w:val="32"/>
          <w:szCs w:val="32"/>
          <w:rtl/>
        </w:rPr>
        <w:t xml:space="preserve"> [وسائل الشيعة، الحر العاملي، تحقيق مؤسسة أهل البيت (عليهم السلام) لإحياء التراث، ج20، كتاب النكاح، أبواب عقد النكاح وأولياء الأمر، الباب11 باب ثبوت الولاية للجد للأب في حياة الأب خاصة على الصغيرة فإن زوجاها صح عقد السابق وإن اقترنا صح عقد الجد، ح7].</w:t>
      </w:r>
    </w:p>
    <w:p w14:paraId="706DACF0" w14:textId="77777777" w:rsidR="00A960E5" w:rsidRPr="00F27422" w:rsidRDefault="00A960E5" w:rsidP="00122B70">
      <w:pPr>
        <w:bidi/>
        <w:rPr>
          <w:sz w:val="32"/>
          <w:szCs w:val="32"/>
          <w:rtl/>
        </w:rPr>
      </w:pPr>
      <w:r w:rsidRPr="00F27422">
        <w:rPr>
          <w:sz w:val="32"/>
          <w:szCs w:val="32"/>
          <w:rtl/>
        </w:rPr>
        <w:lastRenderedPageBreak/>
        <w:t xml:space="preserve">ومنها: صحيح علي بن جعفر، كما في الوسائل: </w:t>
      </w:r>
      <w:r w:rsidRPr="00F27422">
        <w:rPr>
          <w:b/>
          <w:bCs/>
          <w:sz w:val="32"/>
          <w:szCs w:val="32"/>
          <w:rtl/>
        </w:rPr>
        <w:t>(</w:t>
      </w:r>
      <w:proofErr w:type="gramStart"/>
      <w:r w:rsidRPr="00F27422">
        <w:rPr>
          <w:b/>
          <w:bCs/>
          <w:sz w:val="32"/>
          <w:szCs w:val="32"/>
          <w:rtl/>
        </w:rPr>
        <w:t>عبدالله</w:t>
      </w:r>
      <w:proofErr w:type="gramEnd"/>
      <w:r w:rsidRPr="00F27422">
        <w:rPr>
          <w:b/>
          <w:bCs/>
          <w:sz w:val="32"/>
          <w:szCs w:val="32"/>
          <w:rtl/>
        </w:rPr>
        <w:t xml:space="preserve"> بن جعفر في (قرب الاسناد): عن </w:t>
      </w:r>
      <w:proofErr w:type="gramStart"/>
      <w:r w:rsidRPr="00F27422">
        <w:rPr>
          <w:b/>
          <w:bCs/>
          <w:sz w:val="32"/>
          <w:szCs w:val="32"/>
          <w:rtl/>
        </w:rPr>
        <w:t>عبدالله</w:t>
      </w:r>
      <w:proofErr w:type="gramEnd"/>
      <w:r w:rsidRPr="00F27422">
        <w:rPr>
          <w:b/>
          <w:bCs/>
          <w:sz w:val="32"/>
          <w:szCs w:val="32"/>
          <w:rtl/>
        </w:rPr>
        <w:t xml:space="preserve"> بن الحسن، عن علي بن جعفر، عن أخيه موسى بن جعفر (عليه السلام)، قال: سألته عن رجل أتاه رجلان يخطبان ابنته فهوى أن يزوج أحدهما وهوى أبوه الآخر، أيهما أحق أن ينكح؟ قال: الذي هو الجد (أحق بالجارية) لأنها وأباها للجد).</w:t>
      </w:r>
      <w:r w:rsidRPr="00F27422">
        <w:rPr>
          <w:sz w:val="32"/>
          <w:szCs w:val="32"/>
          <w:rtl/>
        </w:rPr>
        <w:t xml:space="preserve"> [وسائل الشيعة، الحر العاملي، تحقيق مؤسسة أهل البيت (عليهم السلام) لإحياء التراث، ج20، كتاب النكاح، أبواب عقد النكاح وأولياء الأمر، الباب11 باب ثبوت الولاية للجد للأب في حياة الأب خاصة على الصغيرة فإن زوجاها صح عقد السابق وإن اقترنا صح عقد الجد، ح8].</w:t>
      </w:r>
    </w:p>
    <w:p w14:paraId="3A906CCC" w14:textId="77777777" w:rsidR="00A960E5" w:rsidRPr="00F27422" w:rsidRDefault="00A960E5" w:rsidP="00122B70">
      <w:pPr>
        <w:bidi/>
        <w:rPr>
          <w:sz w:val="32"/>
          <w:szCs w:val="32"/>
          <w:rtl/>
          <w:lang w:bidi="ar-BH"/>
        </w:rPr>
      </w:pPr>
      <w:r w:rsidRPr="00F27422">
        <w:rPr>
          <w:b/>
          <w:bCs/>
          <w:sz w:val="32"/>
          <w:szCs w:val="32"/>
          <w:rtl/>
        </w:rPr>
        <w:t>المطلب الثاني:</w:t>
      </w:r>
      <w:r w:rsidRPr="00F27422">
        <w:rPr>
          <w:sz w:val="32"/>
          <w:szCs w:val="32"/>
          <w:rtl/>
        </w:rPr>
        <w:t xml:space="preserve"> ما دلّ على سعة ولاية الوصيّ من قبل الأب</w:t>
      </w:r>
      <w:r w:rsidRPr="00F27422">
        <w:rPr>
          <w:sz w:val="32"/>
          <w:szCs w:val="32"/>
        </w:rPr>
        <w:t>:</w:t>
      </w:r>
    </w:p>
    <w:p w14:paraId="51AAA074" w14:textId="77777777" w:rsidR="00A960E5" w:rsidRPr="00F27422" w:rsidRDefault="00A960E5" w:rsidP="00122B70">
      <w:pPr>
        <w:bidi/>
        <w:rPr>
          <w:sz w:val="32"/>
          <w:szCs w:val="32"/>
          <w:rtl/>
          <w:lang w:bidi="ar-BH"/>
        </w:rPr>
      </w:pPr>
      <w:r w:rsidRPr="00F27422">
        <w:rPr>
          <w:sz w:val="32"/>
          <w:szCs w:val="32"/>
          <w:rtl/>
        </w:rPr>
        <w:t>وهو عدّة روايات</w:t>
      </w:r>
      <w:r w:rsidRPr="00F27422">
        <w:rPr>
          <w:sz w:val="32"/>
          <w:szCs w:val="32"/>
        </w:rPr>
        <w:t>:</w:t>
      </w:r>
    </w:p>
    <w:p w14:paraId="19DA73E2" w14:textId="77777777" w:rsidR="00A960E5" w:rsidRPr="00F27422" w:rsidRDefault="00A960E5" w:rsidP="00122B70">
      <w:pPr>
        <w:bidi/>
        <w:rPr>
          <w:sz w:val="32"/>
          <w:szCs w:val="32"/>
          <w:rtl/>
          <w:lang w:bidi="ar-BH"/>
        </w:rPr>
      </w:pPr>
      <w:r w:rsidRPr="00F27422">
        <w:rPr>
          <w:b/>
          <w:bCs/>
          <w:sz w:val="32"/>
          <w:szCs w:val="32"/>
          <w:rtl/>
        </w:rPr>
        <w:t>الرواية الأُولى:</w:t>
      </w:r>
      <w:r w:rsidRPr="00F27422">
        <w:rPr>
          <w:sz w:val="32"/>
          <w:szCs w:val="32"/>
          <w:rtl/>
        </w:rPr>
        <w:t xml:space="preserve"> صحيح محمّد بن مسلم، كما في الوسائل: </w:t>
      </w:r>
      <w:r w:rsidRPr="00F27422">
        <w:rPr>
          <w:b/>
          <w:bCs/>
          <w:sz w:val="32"/>
          <w:szCs w:val="32"/>
          <w:rtl/>
        </w:rPr>
        <w:t xml:space="preserve">(محمّد بن يعقوب، عن أحمد بن محمّد، عن عليّ بن الحسن، عن الحسن بن علي بن يونس، عن مثنى بن وليد، عن محمّد بن مسلم، عن أبي </w:t>
      </w:r>
      <w:proofErr w:type="gramStart"/>
      <w:r w:rsidRPr="00F27422">
        <w:rPr>
          <w:b/>
          <w:bCs/>
          <w:sz w:val="32"/>
          <w:szCs w:val="32"/>
          <w:rtl/>
        </w:rPr>
        <w:t>عبدالله</w:t>
      </w:r>
      <w:proofErr w:type="gramEnd"/>
      <w:r w:rsidRPr="00F27422">
        <w:rPr>
          <w:b/>
          <w:bCs/>
          <w:sz w:val="32"/>
          <w:szCs w:val="32"/>
          <w:rtl/>
        </w:rPr>
        <w:t xml:space="preserve"> (عليه السلام) أنّه سُئل عن رجل أوصى إلى رجل بولده وبمال لهم وأذن له عند الوصية أن يعمل بالمال، وأن يكون الربح بينه وبينهم، فقال: لا بأس به من أجل أن أباه قد أذن له في ذلك وهو حي).</w:t>
      </w:r>
      <w:r w:rsidRPr="00F27422">
        <w:rPr>
          <w:sz w:val="32"/>
          <w:szCs w:val="32"/>
          <w:rtl/>
        </w:rPr>
        <w:t xml:space="preserve"> [وسائل الشيعة، الحر العاملي، تحقيق مؤسسة أهل البيت (عليهم السلام) لإحياء التراث، ج19، كتاب الوصايا، الباب92 باب أنّ من أذن لوصيّه في المضاربة بمال ولده الصغار من غير ضمان جاز له ذلك ولم يضمن، ح1]</w:t>
      </w:r>
      <w:r w:rsidRPr="00F27422">
        <w:rPr>
          <w:sz w:val="32"/>
          <w:szCs w:val="32"/>
        </w:rPr>
        <w:t>.</w:t>
      </w:r>
    </w:p>
    <w:p w14:paraId="6C9C7499" w14:textId="77777777" w:rsidR="00A960E5" w:rsidRPr="00F27422" w:rsidRDefault="00A960E5" w:rsidP="00122B70">
      <w:pPr>
        <w:bidi/>
        <w:rPr>
          <w:sz w:val="32"/>
          <w:szCs w:val="32"/>
          <w:rtl/>
          <w:lang w:bidi="ar-BH"/>
        </w:rPr>
      </w:pPr>
      <w:r w:rsidRPr="00F27422">
        <w:rPr>
          <w:b/>
          <w:bCs/>
          <w:sz w:val="32"/>
          <w:szCs w:val="32"/>
          <w:rtl/>
        </w:rPr>
        <w:t>وظاهرها:</w:t>
      </w:r>
      <w:r w:rsidRPr="00F27422">
        <w:rPr>
          <w:sz w:val="32"/>
          <w:szCs w:val="32"/>
          <w:rtl/>
        </w:rPr>
        <w:t xml:space="preserve"> تفرعُ ولاية الوصيّ عن ولاية الأب؛ وحيث أذن الأب في التصرّف في المال وهو حي ثبت للوصيّ الولاية في ذلك</w:t>
      </w:r>
      <w:r w:rsidRPr="00F27422">
        <w:rPr>
          <w:sz w:val="32"/>
          <w:szCs w:val="32"/>
        </w:rPr>
        <w:t>.</w:t>
      </w:r>
    </w:p>
    <w:p w14:paraId="49320712" w14:textId="77777777" w:rsidR="00A960E5" w:rsidRPr="00F27422" w:rsidRDefault="00A960E5" w:rsidP="00122B70">
      <w:pPr>
        <w:bidi/>
        <w:rPr>
          <w:sz w:val="32"/>
          <w:szCs w:val="32"/>
          <w:rtl/>
        </w:rPr>
      </w:pPr>
      <w:r w:rsidRPr="00F27422">
        <w:rPr>
          <w:b/>
          <w:bCs/>
          <w:sz w:val="32"/>
          <w:szCs w:val="32"/>
          <w:rtl/>
        </w:rPr>
        <w:t>ولكن قد يقال:</w:t>
      </w:r>
      <w:r w:rsidRPr="00F27422">
        <w:rPr>
          <w:sz w:val="32"/>
          <w:szCs w:val="32"/>
          <w:rtl/>
        </w:rPr>
        <w:t xml:space="preserve"> إنّ مورد الرواية هو المضاربة في مال الصبي بإذن الأب الذي هو صغرى من صغريات من ولاية الأب، وبالتالي فالاستدلال بها على سعة ولاية الوصيّ بغض النظر عن هذا المورد نحو من المصادرة.</w:t>
      </w:r>
    </w:p>
    <w:p w14:paraId="1F461030" w14:textId="77777777" w:rsidR="00A960E5" w:rsidRPr="00F27422" w:rsidRDefault="00A960E5" w:rsidP="00122B70">
      <w:pPr>
        <w:bidi/>
        <w:rPr>
          <w:sz w:val="32"/>
          <w:szCs w:val="32"/>
          <w:rtl/>
          <w:lang w:bidi="ar-BH"/>
        </w:rPr>
      </w:pPr>
      <w:r w:rsidRPr="00F27422">
        <w:rPr>
          <w:b/>
          <w:bCs/>
          <w:sz w:val="32"/>
          <w:szCs w:val="32"/>
          <w:rtl/>
        </w:rPr>
        <w:t>الرواية الثانية:</w:t>
      </w:r>
      <w:r w:rsidRPr="00F27422">
        <w:rPr>
          <w:sz w:val="32"/>
          <w:szCs w:val="32"/>
          <w:rtl/>
        </w:rPr>
        <w:t xml:space="preserve"> وهي صحيحة العيص بن القاسم، كما في الوسائل: (</w:t>
      </w:r>
      <w:r w:rsidRPr="00F27422">
        <w:rPr>
          <w:b/>
          <w:bCs/>
          <w:sz w:val="32"/>
          <w:szCs w:val="32"/>
          <w:rtl/>
        </w:rPr>
        <w:t xml:space="preserve">محمّد بن الحسن بإسناده عن صفوان بن يحيى، عن العيص ابن القاسم، عن أبي </w:t>
      </w:r>
      <w:proofErr w:type="gramStart"/>
      <w:r w:rsidRPr="00F27422">
        <w:rPr>
          <w:b/>
          <w:bCs/>
          <w:sz w:val="32"/>
          <w:szCs w:val="32"/>
          <w:rtl/>
        </w:rPr>
        <w:t>عبدالله</w:t>
      </w:r>
      <w:proofErr w:type="gramEnd"/>
      <w:r w:rsidRPr="00F27422">
        <w:rPr>
          <w:b/>
          <w:bCs/>
          <w:sz w:val="32"/>
          <w:szCs w:val="32"/>
          <w:rtl/>
        </w:rPr>
        <w:t xml:space="preserve"> (عليه السلام) قال: سألته عن اليتيمة متى يدفع إليها مالها؟ قال: إذا علمت أنّها لا تفسد ولا تضيّع، فسألته إن كانت قد تزوّجت؟ فقال: إذا تزوّجت فقد انقطع ملك الوصي عنها).</w:t>
      </w:r>
      <w:r w:rsidRPr="00F27422">
        <w:rPr>
          <w:sz w:val="32"/>
          <w:szCs w:val="32"/>
          <w:rtl/>
        </w:rPr>
        <w:t xml:space="preserve"> [وسائل الشيعة، الحر العاملي، تحقيق مؤسسة أهل البيت (عليهم السلام) لإحياء التراث، ج19، كتاب الوصايا، الباب45 باب عدم جواز دفع الوصي مال اليتيم إليه قبل البلوغ والرشد، ح1]</w:t>
      </w:r>
      <w:r w:rsidRPr="00F27422">
        <w:rPr>
          <w:sz w:val="32"/>
          <w:szCs w:val="32"/>
        </w:rPr>
        <w:t>.</w:t>
      </w:r>
    </w:p>
    <w:p w14:paraId="5DE7C253" w14:textId="77777777" w:rsidR="00A960E5" w:rsidRPr="00F27422" w:rsidRDefault="00A960E5" w:rsidP="00122B70">
      <w:pPr>
        <w:bidi/>
        <w:rPr>
          <w:sz w:val="32"/>
          <w:szCs w:val="32"/>
          <w:rtl/>
          <w:lang w:bidi="ar-BH"/>
        </w:rPr>
      </w:pPr>
      <w:r w:rsidRPr="00F27422">
        <w:rPr>
          <w:b/>
          <w:bCs/>
          <w:sz w:val="32"/>
          <w:szCs w:val="32"/>
          <w:rtl/>
        </w:rPr>
        <w:lastRenderedPageBreak/>
        <w:t xml:space="preserve">بتقريب: </w:t>
      </w:r>
      <w:r w:rsidRPr="00F27422">
        <w:rPr>
          <w:sz w:val="32"/>
          <w:szCs w:val="32"/>
          <w:rtl/>
        </w:rPr>
        <w:t xml:space="preserve">أنّ ظاهر الرواية في قوله (عليه السلام): </w:t>
      </w:r>
      <w:r w:rsidRPr="00F27422">
        <w:rPr>
          <w:b/>
          <w:bCs/>
          <w:sz w:val="32"/>
          <w:szCs w:val="32"/>
          <w:rtl/>
        </w:rPr>
        <w:t>(إذا تزوّجت فقد انقطع ملك الوصي عنها)،</w:t>
      </w:r>
      <w:r w:rsidRPr="00F27422">
        <w:rPr>
          <w:sz w:val="32"/>
          <w:szCs w:val="32"/>
          <w:rtl/>
        </w:rPr>
        <w:t xml:space="preserve"> بمقتضى مفهوم الشرط أنّها إنْ لم تتزوّج فللوصيّ الولاية على أموالها</w:t>
      </w:r>
      <w:r w:rsidRPr="00F27422">
        <w:rPr>
          <w:sz w:val="32"/>
          <w:szCs w:val="32"/>
        </w:rPr>
        <w:t>.</w:t>
      </w:r>
    </w:p>
    <w:p w14:paraId="1F16CF88" w14:textId="77777777" w:rsidR="00A960E5" w:rsidRPr="00F27422" w:rsidRDefault="00A960E5" w:rsidP="00122B70">
      <w:pPr>
        <w:bidi/>
        <w:rPr>
          <w:sz w:val="32"/>
          <w:szCs w:val="32"/>
          <w:rtl/>
          <w:lang w:bidi="ar-BH"/>
        </w:rPr>
      </w:pPr>
      <w:r w:rsidRPr="00F27422">
        <w:rPr>
          <w:b/>
          <w:bCs/>
          <w:sz w:val="32"/>
          <w:szCs w:val="32"/>
          <w:rtl/>
        </w:rPr>
        <w:t>ولكن:</w:t>
      </w:r>
      <w:r w:rsidRPr="00F27422">
        <w:rPr>
          <w:sz w:val="32"/>
          <w:szCs w:val="32"/>
          <w:rtl/>
        </w:rPr>
        <w:t xml:space="preserve"> غاية مفادها أنّها في </w:t>
      </w:r>
      <w:proofErr w:type="gramStart"/>
      <w:r w:rsidRPr="00F27422">
        <w:rPr>
          <w:sz w:val="32"/>
          <w:szCs w:val="32"/>
          <w:rtl/>
        </w:rPr>
        <w:t>مقام  بيان</w:t>
      </w:r>
      <w:proofErr w:type="gramEnd"/>
      <w:r w:rsidRPr="00F27422">
        <w:rPr>
          <w:sz w:val="32"/>
          <w:szCs w:val="32"/>
          <w:rtl/>
        </w:rPr>
        <w:t xml:space="preserve"> أصل الولاية، لا في مقام بيان حدود الولاية وسعتها</w:t>
      </w:r>
      <w:r w:rsidRPr="00F27422">
        <w:rPr>
          <w:sz w:val="32"/>
          <w:szCs w:val="32"/>
        </w:rPr>
        <w:t>.</w:t>
      </w:r>
    </w:p>
    <w:p w14:paraId="49246507" w14:textId="77777777" w:rsidR="00A960E5" w:rsidRPr="00F27422" w:rsidRDefault="00A960E5" w:rsidP="00122B70">
      <w:pPr>
        <w:bidi/>
        <w:rPr>
          <w:sz w:val="32"/>
          <w:szCs w:val="32"/>
          <w:rtl/>
          <w:lang w:bidi="ar-BH"/>
        </w:rPr>
      </w:pPr>
      <w:r w:rsidRPr="00F27422">
        <w:rPr>
          <w:b/>
          <w:bCs/>
          <w:sz w:val="32"/>
          <w:szCs w:val="32"/>
          <w:rtl/>
        </w:rPr>
        <w:t>الرواية الثالثة:</w:t>
      </w:r>
      <w:r w:rsidRPr="00F27422">
        <w:rPr>
          <w:sz w:val="32"/>
          <w:szCs w:val="32"/>
          <w:rtl/>
        </w:rPr>
        <w:t xml:space="preserve"> وهي معتبرة أبي الربيع، كما في الوسائل: </w:t>
      </w:r>
      <w:r w:rsidRPr="00F27422">
        <w:rPr>
          <w:b/>
          <w:bCs/>
          <w:sz w:val="32"/>
          <w:szCs w:val="32"/>
          <w:rtl/>
        </w:rPr>
        <w:t xml:space="preserve">(وبإسناده عن محمّد بن علي بن محبوب، عن أحمد، عن الحسن بن محبوب، عن خالد بن حريز، عن أبي الربيع، قال: سُئل أبو </w:t>
      </w:r>
      <w:proofErr w:type="gramStart"/>
      <w:r w:rsidRPr="00F27422">
        <w:rPr>
          <w:b/>
          <w:bCs/>
          <w:sz w:val="32"/>
          <w:szCs w:val="32"/>
          <w:rtl/>
        </w:rPr>
        <w:t>عبدالله</w:t>
      </w:r>
      <w:proofErr w:type="gramEnd"/>
      <w:r w:rsidRPr="00F27422">
        <w:rPr>
          <w:b/>
          <w:bCs/>
          <w:sz w:val="32"/>
          <w:szCs w:val="32"/>
          <w:rtl/>
        </w:rPr>
        <w:t xml:space="preserve"> (عليه السلام) عن الرجل يكون في يديه مال لأخ له يتيم وهو وصيّه، أيصلح له أن يعمل به؟ قال: نعم، كما يعمل بمال غيره والربح بينهما، قال: قلت: فهل عليه ضمان؟ قال: لا، إذا كان ناظراً له).</w:t>
      </w:r>
      <w:r w:rsidRPr="00F27422">
        <w:rPr>
          <w:sz w:val="32"/>
          <w:szCs w:val="32"/>
          <w:rtl/>
        </w:rPr>
        <w:t xml:space="preserve"> [وسائل الشيعة، الحر العاملي، تحقيق مؤسسة أهل البيت (عليهم السلام) لإحياء التراث، ج9، كتاب الزكاة، أبواب من تجب عليه الزكاة، الباب2 باب أنّ من اتّجر بمال الطفل وكان وليّاً له استحب له تزكيته، ح6]</w:t>
      </w:r>
      <w:r w:rsidRPr="00F27422">
        <w:rPr>
          <w:sz w:val="32"/>
          <w:szCs w:val="32"/>
        </w:rPr>
        <w:t>.</w:t>
      </w:r>
    </w:p>
    <w:p w14:paraId="1444A878" w14:textId="77777777" w:rsidR="00A960E5" w:rsidRPr="00F27422" w:rsidRDefault="00A960E5" w:rsidP="00122B70">
      <w:pPr>
        <w:bidi/>
        <w:rPr>
          <w:sz w:val="32"/>
          <w:szCs w:val="32"/>
          <w:rtl/>
          <w:lang w:bidi="ar-BH"/>
        </w:rPr>
      </w:pPr>
      <w:r w:rsidRPr="00F27422">
        <w:rPr>
          <w:b/>
          <w:bCs/>
          <w:sz w:val="32"/>
          <w:szCs w:val="32"/>
          <w:rtl/>
        </w:rPr>
        <w:t>وظاهرها:</w:t>
      </w:r>
      <w:r w:rsidRPr="00F27422">
        <w:rPr>
          <w:sz w:val="32"/>
          <w:szCs w:val="32"/>
          <w:rtl/>
        </w:rPr>
        <w:t xml:space="preserve"> سعة ولاية الوصيّ حتى لمورد المضاربة بمال الموصى عليه، وإذا تمت سعة ولاية الوصيّ تمت سعة ولاية الأب والجدّ على ذلك لكون ولايته في طول ولايتهما</w:t>
      </w:r>
      <w:r w:rsidRPr="00F27422">
        <w:rPr>
          <w:sz w:val="32"/>
          <w:szCs w:val="32"/>
        </w:rPr>
        <w:t>.</w:t>
      </w:r>
    </w:p>
    <w:p w14:paraId="28FFBECA" w14:textId="77777777" w:rsidR="00A960E5" w:rsidRPr="00F27422" w:rsidRDefault="00A960E5" w:rsidP="00122B70">
      <w:pPr>
        <w:bidi/>
        <w:rPr>
          <w:sz w:val="32"/>
          <w:szCs w:val="32"/>
          <w:rtl/>
          <w:lang w:bidi="ar-BH"/>
        </w:rPr>
      </w:pPr>
      <w:r w:rsidRPr="00F27422">
        <w:rPr>
          <w:sz w:val="32"/>
          <w:szCs w:val="32"/>
          <w:rtl/>
        </w:rPr>
        <w:t>ولا يبعد تمامية دلالة الرواية على المقام</w:t>
      </w:r>
      <w:r w:rsidRPr="00F27422">
        <w:rPr>
          <w:sz w:val="32"/>
          <w:szCs w:val="32"/>
        </w:rPr>
        <w:t>.</w:t>
      </w:r>
    </w:p>
    <w:p w14:paraId="764711E3" w14:textId="77777777" w:rsidR="00A960E5" w:rsidRPr="00F27422" w:rsidRDefault="00A960E5" w:rsidP="00122B70">
      <w:pPr>
        <w:bidi/>
        <w:rPr>
          <w:sz w:val="32"/>
          <w:szCs w:val="32"/>
          <w:rtl/>
          <w:lang w:bidi="ar-BH"/>
        </w:rPr>
      </w:pPr>
      <w:r w:rsidRPr="00F27422">
        <w:rPr>
          <w:b/>
          <w:bCs/>
          <w:sz w:val="32"/>
          <w:szCs w:val="32"/>
          <w:rtl/>
        </w:rPr>
        <w:t>المطلب الثالث:</w:t>
      </w:r>
      <w:r w:rsidRPr="00F27422">
        <w:rPr>
          <w:sz w:val="32"/>
          <w:szCs w:val="32"/>
          <w:rtl/>
        </w:rPr>
        <w:t xml:space="preserve"> إذا آجر الوليّ أو الوصيّ أموال الصبي أو آجر نفس الصبي مدّة تستوعب لما بعد البلوغ، مع مراعاة المصلحة والغبطة، فهل تكون الإجارة نافذة بالإضافة لما بعد البلوغ؟</w:t>
      </w:r>
    </w:p>
    <w:p w14:paraId="1F862EBF" w14:textId="77777777" w:rsidR="00A960E5" w:rsidRPr="00F27422" w:rsidRDefault="00A960E5" w:rsidP="00122B70">
      <w:pPr>
        <w:bidi/>
        <w:rPr>
          <w:sz w:val="32"/>
          <w:szCs w:val="32"/>
          <w:rtl/>
          <w:lang w:bidi="ar-BH"/>
        </w:rPr>
      </w:pPr>
      <w:r w:rsidRPr="00F27422">
        <w:rPr>
          <w:b/>
          <w:bCs/>
          <w:sz w:val="32"/>
          <w:szCs w:val="32"/>
          <w:rtl/>
        </w:rPr>
        <w:t>ومثاله:</w:t>
      </w:r>
      <w:r w:rsidRPr="00F27422">
        <w:rPr>
          <w:sz w:val="32"/>
          <w:szCs w:val="32"/>
          <w:rtl/>
        </w:rPr>
        <w:t xml:space="preserve"> ما إذا قام الوليّ أو الوصيّ بإجارة دار الصبي أو سيارته لمدّة عشرين سنة، مع أنّ الصبي يبلغ في هذه المدّة جزماً، فهل تنفذ الإجارة في حق الصبي بعد بلوغه أم هي فضولية وتتوقّف على إجازته؟</w:t>
      </w:r>
    </w:p>
    <w:p w14:paraId="79BC23D5" w14:textId="77777777" w:rsidR="00A960E5" w:rsidRPr="00F27422" w:rsidRDefault="00A960E5" w:rsidP="00122B70">
      <w:pPr>
        <w:bidi/>
        <w:rPr>
          <w:b/>
          <w:bCs/>
          <w:sz w:val="32"/>
          <w:szCs w:val="32"/>
          <w:rtl/>
          <w:lang w:bidi="ar-BH"/>
        </w:rPr>
      </w:pPr>
      <w:r w:rsidRPr="00F27422">
        <w:rPr>
          <w:b/>
          <w:bCs/>
          <w:sz w:val="32"/>
          <w:szCs w:val="32"/>
          <w:rtl/>
        </w:rPr>
        <w:t>وللبحث موردان</w:t>
      </w:r>
      <w:r w:rsidRPr="00F27422">
        <w:rPr>
          <w:b/>
          <w:bCs/>
          <w:sz w:val="32"/>
          <w:szCs w:val="32"/>
        </w:rPr>
        <w:t>:</w:t>
      </w:r>
    </w:p>
    <w:p w14:paraId="41B7A966" w14:textId="77777777" w:rsidR="00A960E5" w:rsidRPr="00F27422" w:rsidRDefault="00A960E5" w:rsidP="00122B70">
      <w:pPr>
        <w:bidi/>
        <w:rPr>
          <w:b/>
          <w:bCs/>
          <w:sz w:val="32"/>
          <w:szCs w:val="32"/>
          <w:rtl/>
          <w:lang w:bidi="ar-BH"/>
        </w:rPr>
      </w:pPr>
      <w:r w:rsidRPr="00F27422">
        <w:rPr>
          <w:b/>
          <w:bCs/>
          <w:sz w:val="32"/>
          <w:szCs w:val="32"/>
          <w:rtl/>
        </w:rPr>
        <w:t>المورد الأوّل: التصرّف في أمواله</w:t>
      </w:r>
      <w:r w:rsidRPr="00F27422">
        <w:rPr>
          <w:b/>
          <w:bCs/>
          <w:sz w:val="32"/>
          <w:szCs w:val="32"/>
        </w:rPr>
        <w:t>.</w:t>
      </w:r>
    </w:p>
    <w:p w14:paraId="3DEA942F" w14:textId="77777777" w:rsidR="00A960E5" w:rsidRPr="00F27422" w:rsidRDefault="00A960E5" w:rsidP="00122B70">
      <w:pPr>
        <w:bidi/>
        <w:rPr>
          <w:b/>
          <w:bCs/>
          <w:sz w:val="32"/>
          <w:szCs w:val="32"/>
          <w:rtl/>
          <w:lang w:bidi="ar-BH"/>
        </w:rPr>
      </w:pPr>
      <w:r w:rsidRPr="00F27422">
        <w:rPr>
          <w:b/>
          <w:bCs/>
          <w:sz w:val="32"/>
          <w:szCs w:val="32"/>
          <w:rtl/>
        </w:rPr>
        <w:t>والمورد الثاني: التصرّف في نفسه، بإجارة الصبي لمدّةٍ طويلة</w:t>
      </w:r>
      <w:r w:rsidRPr="00F27422">
        <w:rPr>
          <w:b/>
          <w:bCs/>
          <w:sz w:val="32"/>
          <w:szCs w:val="32"/>
        </w:rPr>
        <w:t>.</w:t>
      </w:r>
    </w:p>
    <w:p w14:paraId="6B4398A7" w14:textId="77777777" w:rsidR="00A960E5" w:rsidRPr="00F27422" w:rsidRDefault="00A960E5" w:rsidP="00122B70">
      <w:pPr>
        <w:bidi/>
        <w:rPr>
          <w:sz w:val="32"/>
          <w:szCs w:val="32"/>
          <w:rtl/>
          <w:lang w:bidi="ar-BH"/>
        </w:rPr>
      </w:pPr>
      <w:r w:rsidRPr="00F27422">
        <w:rPr>
          <w:b/>
          <w:bCs/>
          <w:sz w:val="32"/>
          <w:szCs w:val="32"/>
          <w:rtl/>
        </w:rPr>
        <w:t>أمّا المورد الأوّل:</w:t>
      </w:r>
      <w:r w:rsidRPr="00F27422">
        <w:rPr>
          <w:sz w:val="32"/>
          <w:szCs w:val="32"/>
          <w:rtl/>
        </w:rPr>
        <w:t xml:space="preserve"> وهو إجارة الأموال</w:t>
      </w:r>
      <w:r w:rsidRPr="00F27422">
        <w:rPr>
          <w:sz w:val="32"/>
          <w:szCs w:val="32"/>
        </w:rPr>
        <w:t>:</w:t>
      </w:r>
    </w:p>
    <w:p w14:paraId="1B4426BF" w14:textId="77777777" w:rsidR="00A960E5" w:rsidRPr="00F27422" w:rsidRDefault="00A960E5" w:rsidP="00122B70">
      <w:pPr>
        <w:bidi/>
        <w:rPr>
          <w:sz w:val="32"/>
          <w:szCs w:val="32"/>
          <w:rtl/>
          <w:lang w:bidi="ar-BH"/>
        </w:rPr>
      </w:pPr>
      <w:r w:rsidRPr="00F27422">
        <w:rPr>
          <w:sz w:val="32"/>
          <w:szCs w:val="32"/>
          <w:rtl/>
        </w:rPr>
        <w:t>فقد يقال في هذا المورد: بأنّ المنافع في زمان ما بعد البلوغ مملوكةٌ للكبير - لا للصغير -، ولا ولاية للوليّ أو الوصيّ على أموال الكبير، وإنّما ولايته على أموال الصغير، فمقتضى ذلك كون الإجارة بالنسبة لزمان ما بعد البلوغ فضوليّةٌ تتوقّف على إجازة المالك بعد بلوغه</w:t>
      </w:r>
      <w:r w:rsidRPr="00F27422">
        <w:rPr>
          <w:sz w:val="32"/>
          <w:szCs w:val="32"/>
        </w:rPr>
        <w:t>.</w:t>
      </w:r>
    </w:p>
    <w:p w14:paraId="208F2C67" w14:textId="77777777" w:rsidR="00A960E5" w:rsidRPr="00F27422" w:rsidRDefault="00A960E5" w:rsidP="00122B70">
      <w:pPr>
        <w:bidi/>
        <w:rPr>
          <w:b/>
          <w:bCs/>
          <w:sz w:val="32"/>
          <w:szCs w:val="32"/>
          <w:rtl/>
          <w:lang w:bidi="ar-BH"/>
        </w:rPr>
      </w:pPr>
      <w:r w:rsidRPr="00F27422">
        <w:rPr>
          <w:b/>
          <w:bCs/>
          <w:sz w:val="32"/>
          <w:szCs w:val="32"/>
          <w:rtl/>
        </w:rPr>
        <w:lastRenderedPageBreak/>
        <w:t>وقد أُجيب عن ذلك من قبل جملةٍ من الأعلام (أعلى الله مقامهم) بعدّة وجوه</w:t>
      </w:r>
      <w:r w:rsidRPr="00F27422">
        <w:rPr>
          <w:b/>
          <w:bCs/>
          <w:sz w:val="32"/>
          <w:szCs w:val="32"/>
        </w:rPr>
        <w:t>:</w:t>
      </w:r>
    </w:p>
    <w:p w14:paraId="2FA73C0B" w14:textId="77777777" w:rsidR="00A960E5" w:rsidRPr="00F27422" w:rsidRDefault="00A960E5" w:rsidP="00122B70">
      <w:pPr>
        <w:bidi/>
        <w:rPr>
          <w:sz w:val="32"/>
          <w:szCs w:val="32"/>
          <w:rtl/>
          <w:lang w:bidi="ar-BH"/>
        </w:rPr>
      </w:pPr>
      <w:r w:rsidRPr="00F27422">
        <w:rPr>
          <w:b/>
          <w:bCs/>
          <w:sz w:val="32"/>
          <w:szCs w:val="32"/>
          <w:rtl/>
        </w:rPr>
        <w:t>الوجه الأوّل:</w:t>
      </w:r>
      <w:r w:rsidRPr="00F27422">
        <w:rPr>
          <w:sz w:val="32"/>
          <w:szCs w:val="32"/>
          <w:rtl/>
        </w:rPr>
        <w:t xml:space="preserve"> ما ذكره السيد الحكيم السبط (قدس سره الشريف في كتابه [مصباح المنهاج، كتاب الشفعة والإجارة، ص233] بقوله: </w:t>
      </w:r>
      <w:r w:rsidRPr="00F27422">
        <w:rPr>
          <w:b/>
          <w:bCs/>
          <w:sz w:val="32"/>
          <w:szCs w:val="32"/>
          <w:rtl/>
        </w:rPr>
        <w:t xml:space="preserve">(على أن الظاهر شيوع بلوغ الصبي في أثناء مدة الإجارة) </w:t>
      </w:r>
      <w:r w:rsidRPr="00F27422">
        <w:rPr>
          <w:sz w:val="32"/>
          <w:szCs w:val="32"/>
          <w:rtl/>
        </w:rPr>
        <w:t xml:space="preserve">فهو فرضٌ متعارف </w:t>
      </w:r>
      <w:r w:rsidRPr="00F27422">
        <w:rPr>
          <w:b/>
          <w:bCs/>
          <w:sz w:val="32"/>
          <w:szCs w:val="32"/>
          <w:rtl/>
        </w:rPr>
        <w:t>(ومقتضى سيرة المتشرعة الارتكازية إلزام البالغ بإنفاذ الإجارة. لو كان البناء شرعاً على عدم إلزامه بإنفاذها لظهر وبان وكثر السؤال عنه وعن فروعه في النصوص)</w:t>
      </w:r>
      <w:r w:rsidRPr="00F27422">
        <w:rPr>
          <w:sz w:val="32"/>
          <w:szCs w:val="32"/>
          <w:rtl/>
        </w:rPr>
        <w:t xml:space="preserve"> ولم يرد شيء من ذلك، فهذا كاشفٌ عن نفوذ الإجارة في حقه</w:t>
      </w:r>
      <w:r w:rsidRPr="00F27422">
        <w:rPr>
          <w:sz w:val="32"/>
          <w:szCs w:val="32"/>
        </w:rPr>
        <w:t>.</w:t>
      </w:r>
    </w:p>
    <w:p w14:paraId="3DB7368E" w14:textId="77777777" w:rsidR="00A960E5" w:rsidRPr="00F27422" w:rsidRDefault="00A960E5" w:rsidP="00122B70">
      <w:pPr>
        <w:bidi/>
        <w:rPr>
          <w:sz w:val="32"/>
          <w:szCs w:val="32"/>
          <w:rtl/>
          <w:lang w:bidi="ar-BH"/>
        </w:rPr>
      </w:pPr>
      <w:r w:rsidRPr="00F27422">
        <w:rPr>
          <w:sz w:val="32"/>
          <w:szCs w:val="32"/>
          <w:rtl/>
        </w:rPr>
        <w:t xml:space="preserve">ثمّ قال: </w:t>
      </w:r>
      <w:r w:rsidRPr="00F27422">
        <w:rPr>
          <w:b/>
          <w:bCs/>
          <w:sz w:val="32"/>
          <w:szCs w:val="32"/>
          <w:rtl/>
        </w:rPr>
        <w:t xml:space="preserve">(نعم الإجارة مدة طويلة) </w:t>
      </w:r>
      <w:r w:rsidRPr="00F27422">
        <w:rPr>
          <w:sz w:val="32"/>
          <w:szCs w:val="32"/>
          <w:rtl/>
        </w:rPr>
        <w:t xml:space="preserve">كأنْ يؤجّر أمواله لمدّة عشرين سنة - مثلاً - </w:t>
      </w:r>
      <w:r w:rsidRPr="00F27422">
        <w:rPr>
          <w:b/>
          <w:bCs/>
          <w:sz w:val="32"/>
          <w:szCs w:val="32"/>
          <w:rtl/>
        </w:rPr>
        <w:t xml:space="preserve">(مما لا يقدم عليه ذوو العقل والحكمة إلا مع الضرورة العرفية، لابتناء الدنيا على تقلب الأحوال بنحو غير محتسب، فالالتزام بعقود طويلة الأمد تغرير عرفاً لا ينبغي للولي الإقدام عليه حتى مدة قصور المولى عليه وبقاء ولاية الولي.) </w:t>
      </w:r>
      <w:r w:rsidRPr="00F27422">
        <w:rPr>
          <w:sz w:val="32"/>
          <w:szCs w:val="32"/>
          <w:rtl/>
        </w:rPr>
        <w:t xml:space="preserve">كما لو افترض أنّ عقل المولى عليه قاصر والوليّ يعلم أنّه لن يطيب ولو بعد ثلاثين سنة، فقام بإجارة داره لمدّة ثلاثين سنة فإنّ نفوذ الإجارة محلّ إشكال؛ لأنّ الدنيا متقلبة </w:t>
      </w:r>
      <w:r w:rsidRPr="00F27422">
        <w:rPr>
          <w:b/>
          <w:bCs/>
          <w:sz w:val="32"/>
          <w:szCs w:val="32"/>
          <w:rtl/>
        </w:rPr>
        <w:t>(وإقدامه عليه في مورد الضرورة العرفية خروج عن مقتضى ولايته قصوراً أو تقصيراً، فلا ينفذ)</w:t>
      </w:r>
      <w:r w:rsidRPr="00F27422">
        <w:rPr>
          <w:b/>
          <w:bCs/>
          <w:sz w:val="32"/>
          <w:szCs w:val="32"/>
        </w:rPr>
        <w:t>.</w:t>
      </w:r>
    </w:p>
    <w:p w14:paraId="38B4C725" w14:textId="77777777" w:rsidR="00A960E5" w:rsidRPr="00F27422" w:rsidRDefault="00A960E5" w:rsidP="00122B70">
      <w:pPr>
        <w:bidi/>
        <w:rPr>
          <w:sz w:val="32"/>
          <w:szCs w:val="32"/>
          <w:rtl/>
          <w:lang w:bidi="ar-BH"/>
        </w:rPr>
      </w:pPr>
      <w:r w:rsidRPr="00F27422">
        <w:rPr>
          <w:b/>
          <w:bCs/>
          <w:sz w:val="32"/>
          <w:szCs w:val="32"/>
          <w:rtl/>
        </w:rPr>
        <w:t>ولكن:</w:t>
      </w:r>
      <w:r w:rsidRPr="00F27422">
        <w:rPr>
          <w:sz w:val="32"/>
          <w:szCs w:val="32"/>
          <w:rtl/>
        </w:rPr>
        <w:t xml:space="preserve"> قد يلاحظ على الاستدلال بالسيرة هنا ما مضى من عدم إحراز </w:t>
      </w:r>
      <w:proofErr w:type="spellStart"/>
      <w:r w:rsidRPr="00F27422">
        <w:rPr>
          <w:sz w:val="32"/>
          <w:szCs w:val="32"/>
          <w:rtl/>
        </w:rPr>
        <w:t>إتصالها</w:t>
      </w:r>
      <w:proofErr w:type="spellEnd"/>
      <w:r w:rsidRPr="00F27422">
        <w:rPr>
          <w:sz w:val="32"/>
          <w:szCs w:val="32"/>
          <w:rtl/>
        </w:rPr>
        <w:t xml:space="preserve"> بزمن المعصوم (عليه السلام)، ودعوى: أنّه لو كان لبان، محلّ تأملٍ؛ فإنّ ما غاب عنا من أحكام العبادات والمعاملات ممّا هو محلّ الابتلاءٍ كثيرٌ</w:t>
      </w:r>
      <w:r w:rsidRPr="00F27422">
        <w:rPr>
          <w:sz w:val="32"/>
          <w:szCs w:val="32"/>
        </w:rPr>
        <w:t>.</w:t>
      </w:r>
    </w:p>
    <w:p w14:paraId="0A489CF4" w14:textId="0A8ECA8C" w:rsidR="00A960E5" w:rsidRPr="00F27422" w:rsidRDefault="00A960E5" w:rsidP="00122B70">
      <w:pPr>
        <w:bidi/>
        <w:rPr>
          <w:sz w:val="32"/>
          <w:szCs w:val="32"/>
          <w:rtl/>
          <w:lang w:bidi="ar-BH"/>
        </w:rPr>
      </w:pPr>
      <w:r w:rsidRPr="00F27422">
        <w:rPr>
          <w:sz w:val="32"/>
          <w:szCs w:val="32"/>
          <w:rtl/>
        </w:rPr>
        <w:t>وأمّا ما ذكره (قدس سره الشريف) في الذيل فهو</w:t>
      </w:r>
      <w:r w:rsidR="00A11FFB" w:rsidRPr="00F27422">
        <w:rPr>
          <w:rFonts w:hint="cs"/>
          <w:sz w:val="32"/>
          <w:szCs w:val="32"/>
          <w:rtl/>
        </w:rPr>
        <w:t xml:space="preserve"> </w:t>
      </w:r>
      <w:r w:rsidRPr="00F27422">
        <w:rPr>
          <w:sz w:val="32"/>
          <w:szCs w:val="32"/>
          <w:rtl/>
        </w:rPr>
        <w:t xml:space="preserve">تامٌ إلّا أنّه خروجٌ عن موضوع البحث وليس </w:t>
      </w:r>
      <w:proofErr w:type="spellStart"/>
      <w:r w:rsidRPr="00F27422">
        <w:rPr>
          <w:sz w:val="32"/>
          <w:szCs w:val="32"/>
          <w:rtl/>
        </w:rPr>
        <w:t>استثناءاً</w:t>
      </w:r>
      <w:proofErr w:type="spellEnd"/>
      <w:r w:rsidRPr="00F27422">
        <w:rPr>
          <w:sz w:val="32"/>
          <w:szCs w:val="32"/>
          <w:rtl/>
        </w:rPr>
        <w:t xml:space="preserve"> من الحكم؛ لأنّ مورد البحث ما تصرّف فيه الوليّ عن رعاية المصلحة والغبطة بالنسبة إلى المولى عليه.</w:t>
      </w:r>
    </w:p>
    <w:p w14:paraId="1EB9ED32" w14:textId="77777777" w:rsidR="00A960E5" w:rsidRPr="00F27422" w:rsidRDefault="00A960E5" w:rsidP="00122B70">
      <w:pPr>
        <w:bidi/>
        <w:rPr>
          <w:sz w:val="32"/>
          <w:szCs w:val="32"/>
        </w:rPr>
      </w:pPr>
    </w:p>
    <w:p w14:paraId="5DCD659D" w14:textId="77777777" w:rsidR="00A960E5" w:rsidRPr="00F27422" w:rsidRDefault="00A960E5" w:rsidP="00122B70">
      <w:pPr>
        <w:bidi/>
        <w:rPr>
          <w:b/>
          <w:bCs/>
          <w:sz w:val="32"/>
          <w:szCs w:val="32"/>
          <w:rtl/>
        </w:rPr>
      </w:pPr>
      <w:r w:rsidRPr="00F27422">
        <w:rPr>
          <w:b/>
          <w:bCs/>
          <w:sz w:val="32"/>
          <w:szCs w:val="32"/>
          <w:rtl/>
        </w:rPr>
        <w:t xml:space="preserve">والحمد لله رب العالمين </w:t>
      </w:r>
    </w:p>
    <w:p w14:paraId="09F423C1" w14:textId="77777777" w:rsidR="00F8693E" w:rsidRPr="00F27422" w:rsidRDefault="00F8693E" w:rsidP="00122B70">
      <w:pPr>
        <w:bidi/>
        <w:rPr>
          <w:sz w:val="32"/>
          <w:szCs w:val="32"/>
          <w:rtl/>
        </w:rPr>
      </w:pPr>
    </w:p>
    <w:p w14:paraId="40F74899" w14:textId="77777777" w:rsidR="00A960E5" w:rsidRPr="00F27422" w:rsidRDefault="00A960E5" w:rsidP="00122B70">
      <w:pPr>
        <w:bidi/>
        <w:rPr>
          <w:sz w:val="32"/>
          <w:szCs w:val="32"/>
          <w:rtl/>
        </w:rPr>
      </w:pPr>
    </w:p>
    <w:p w14:paraId="12E9FD68" w14:textId="20669C14" w:rsidR="00A960E5" w:rsidRPr="00F27422" w:rsidRDefault="00A960E5" w:rsidP="00122B70">
      <w:pPr>
        <w:pStyle w:val="Heading3"/>
        <w:bidi/>
        <w:rPr>
          <w:sz w:val="32"/>
          <w:szCs w:val="32"/>
          <w:rtl/>
        </w:rPr>
      </w:pPr>
      <w:r w:rsidRPr="00F27422">
        <w:rPr>
          <w:rFonts w:hint="cs"/>
          <w:sz w:val="32"/>
          <w:szCs w:val="32"/>
          <w:rtl/>
        </w:rPr>
        <w:t>042</w:t>
      </w:r>
    </w:p>
    <w:p w14:paraId="0DBCE3D8" w14:textId="77777777" w:rsidR="00FB7D30" w:rsidRPr="00F27422" w:rsidRDefault="00FB7D30" w:rsidP="00122B70">
      <w:pPr>
        <w:bidi/>
        <w:rPr>
          <w:b/>
          <w:bCs/>
          <w:sz w:val="32"/>
          <w:szCs w:val="32"/>
        </w:rPr>
      </w:pPr>
      <w:r w:rsidRPr="00F27422">
        <w:rPr>
          <w:b/>
          <w:bCs/>
          <w:sz w:val="32"/>
          <w:szCs w:val="32"/>
          <w:rtl/>
        </w:rPr>
        <w:t>بسم الله الرحمن الرحيم</w:t>
      </w:r>
    </w:p>
    <w:p w14:paraId="227D8187" w14:textId="77777777" w:rsidR="00FB7D30" w:rsidRPr="00F27422" w:rsidRDefault="00FB7D30"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43DEEA64" w14:textId="77777777" w:rsidR="00FB7D30" w:rsidRPr="00F27422" w:rsidRDefault="00FB7D30" w:rsidP="00122B70">
      <w:pPr>
        <w:bidi/>
        <w:rPr>
          <w:sz w:val="32"/>
          <w:szCs w:val="32"/>
          <w:rtl/>
        </w:rPr>
      </w:pPr>
      <w:r w:rsidRPr="00F27422">
        <w:rPr>
          <w:b/>
          <w:bCs/>
          <w:sz w:val="32"/>
          <w:szCs w:val="32"/>
          <w:rtl/>
        </w:rPr>
        <w:lastRenderedPageBreak/>
        <w:t>واللعن الدائم على أعدائهم أجمعين إلى قيام يوم الدين</w:t>
      </w:r>
    </w:p>
    <w:p w14:paraId="59D2C9B4" w14:textId="77777777" w:rsidR="00FB7D30" w:rsidRPr="00F27422" w:rsidRDefault="00FB7D30" w:rsidP="00122B70">
      <w:pPr>
        <w:bidi/>
        <w:rPr>
          <w:sz w:val="32"/>
          <w:szCs w:val="32"/>
          <w:rtl/>
        </w:rPr>
      </w:pPr>
    </w:p>
    <w:p w14:paraId="0690F442" w14:textId="77777777" w:rsidR="00FB7D30" w:rsidRPr="00F27422" w:rsidRDefault="00FB7D30" w:rsidP="00122B70">
      <w:pPr>
        <w:bidi/>
        <w:rPr>
          <w:sz w:val="32"/>
          <w:szCs w:val="32"/>
          <w:rtl/>
        </w:rPr>
      </w:pPr>
      <w:r w:rsidRPr="00F27422">
        <w:rPr>
          <w:b/>
          <w:bCs/>
          <w:sz w:val="32"/>
          <w:szCs w:val="32"/>
          <w:rtl/>
        </w:rPr>
        <w:t>الوجه الثاني:</w:t>
      </w:r>
      <w:r w:rsidRPr="00F27422">
        <w:rPr>
          <w:sz w:val="32"/>
          <w:szCs w:val="32"/>
          <w:rtl/>
        </w:rPr>
        <w:t xml:space="preserve"> ما أفاده سيدنا الخوئي (قدس سره الشريف) في موسوعته المباركة في [كتاب الإجارة، ج30، ص135]</w:t>
      </w:r>
      <w:r w:rsidRPr="00F27422">
        <w:rPr>
          <w:sz w:val="32"/>
          <w:szCs w:val="32"/>
        </w:rPr>
        <w:t>.</w:t>
      </w:r>
    </w:p>
    <w:p w14:paraId="01F730BE" w14:textId="77777777" w:rsidR="00FB7D30" w:rsidRPr="00F27422" w:rsidRDefault="00FB7D30" w:rsidP="00122B70">
      <w:pPr>
        <w:bidi/>
        <w:rPr>
          <w:sz w:val="32"/>
          <w:szCs w:val="32"/>
          <w:rtl/>
        </w:rPr>
      </w:pPr>
      <w:r w:rsidRPr="00F27422">
        <w:rPr>
          <w:b/>
          <w:bCs/>
          <w:sz w:val="32"/>
          <w:szCs w:val="32"/>
          <w:rtl/>
        </w:rPr>
        <w:t>وحاصله:</w:t>
      </w:r>
      <w:r w:rsidRPr="00F27422">
        <w:rPr>
          <w:sz w:val="32"/>
          <w:szCs w:val="32"/>
          <w:rtl/>
        </w:rPr>
        <w:t xml:space="preserve"> أنّ ولاية الوليّ أو الوصيّ على أموال الصبي وإنْ كانت خاصّة بظرف الصبا؛ إذ لا ولاية على الكبير، إلّا أنّ متعلّق الولاية مطلقٌ؛ حيث إنّ البلوغ قيدٌ في الولاية لا في المولى عليه، والمفروض أنّ المولى عليه هو التصرّف في أملاك الصبي وهو مطلقٌ.</w:t>
      </w:r>
    </w:p>
    <w:p w14:paraId="0315954F" w14:textId="77777777" w:rsidR="00FB7D30" w:rsidRPr="00F27422" w:rsidRDefault="00FB7D30" w:rsidP="00122B70">
      <w:pPr>
        <w:bidi/>
        <w:rPr>
          <w:sz w:val="32"/>
          <w:szCs w:val="32"/>
          <w:rtl/>
        </w:rPr>
      </w:pPr>
      <w:r w:rsidRPr="00F27422">
        <w:rPr>
          <w:sz w:val="32"/>
          <w:szCs w:val="32"/>
          <w:rtl/>
        </w:rPr>
        <w:t>والسر في أنّ متعلّق الولاية مطلقٌ - وإنْ كانت الولاية مقيّدة – هو وحدّة المناط، فكما أنّ المناط في نفوذ تصرّفات الوليّ في زمن الصبا هو الغبطة والمصلحة فإنّ نفس هذا المناط يقتضي نفوذ تصرّفات الوليّ في مال الصبي بلحاظ ما بعد بلوغه إذا كان التصرّف فعلاً في مصلحة الصبي، فلو اقتضتْ مصلحة الصبي أنْ يقوم الوليّ ببيع سيارته كان البيع نافذاً، وكذلك إذا اقتضتْ مصلحة الصبي أنْ يُؤجّر الوليّ داره مدّة عشرين سنة مع بلوغ الصبي في هذه الفترة، والولاية في هذه الفترة وإنْ كانت تنتهي بعد بلوغه إلّا أنّ المولى عليه هو التصرّف في المال، والمدار في نفوذ التصرّف في المال المصلحة والغبطة والمفروض أنّ المناط متحقّقٌ، فحيث إنّ المناط - وهو رعاية المصلحة والغبطة - مطلقٌ فمقتضى إطلاق المناط إطلاقُ نفوذ التصرّف</w:t>
      </w:r>
      <w:r w:rsidRPr="00F27422">
        <w:rPr>
          <w:sz w:val="32"/>
          <w:szCs w:val="32"/>
        </w:rPr>
        <w:t>.</w:t>
      </w:r>
    </w:p>
    <w:p w14:paraId="6E0DB896" w14:textId="77777777" w:rsidR="00FB7D30" w:rsidRPr="00F27422" w:rsidRDefault="00FB7D30" w:rsidP="00122B70">
      <w:pPr>
        <w:bidi/>
        <w:rPr>
          <w:b/>
          <w:bCs/>
          <w:sz w:val="32"/>
          <w:szCs w:val="32"/>
          <w:rtl/>
        </w:rPr>
      </w:pPr>
      <w:r w:rsidRPr="00F27422">
        <w:rPr>
          <w:sz w:val="32"/>
          <w:szCs w:val="32"/>
          <w:rtl/>
        </w:rPr>
        <w:t xml:space="preserve">قال (قدس سره الشريف): </w:t>
      </w:r>
      <w:r w:rsidRPr="00F27422">
        <w:rPr>
          <w:b/>
          <w:bCs/>
          <w:sz w:val="32"/>
          <w:szCs w:val="32"/>
          <w:rtl/>
        </w:rPr>
        <w:t>(أمّا بالنسبة إلى الأموال: فلا ينبغي الإشكال في النفوذ)</w:t>
      </w:r>
      <w:r w:rsidRPr="00F27422">
        <w:rPr>
          <w:sz w:val="32"/>
          <w:szCs w:val="32"/>
          <w:rtl/>
        </w:rPr>
        <w:t xml:space="preserve"> مقابل ما أفاده سيد العروة (قدس سره الشريف) من الإشكال </w:t>
      </w:r>
      <w:r w:rsidRPr="00F27422">
        <w:rPr>
          <w:b/>
          <w:bCs/>
          <w:sz w:val="32"/>
          <w:szCs w:val="32"/>
          <w:rtl/>
        </w:rPr>
        <w:t>(وأنّه ليس للصبي الفسح عندما بلغ، وذلك للإطلاق في أدلّة الولاية، فإنّها وإن كانت مقيّدة بحال الصغر، فلا ولاية للولي بعدما بلغ الصبي، إلّا أنّ متعلّق هذه الولاية مطلق يشمل حال ما بعد البلوغ كما قبله بمناط واحد، وهو رعاية الغبطة وملاحظة المصلحة، والولي إنّما جُعِلَ وليّاً لذلك)</w:t>
      </w:r>
      <w:r w:rsidRPr="00F27422">
        <w:rPr>
          <w:sz w:val="32"/>
          <w:szCs w:val="32"/>
          <w:rtl/>
        </w:rPr>
        <w:t xml:space="preserve"> وهو رعاية </w:t>
      </w:r>
      <w:r w:rsidRPr="00F27422">
        <w:rPr>
          <w:b/>
          <w:bCs/>
          <w:sz w:val="32"/>
          <w:szCs w:val="32"/>
          <w:rtl/>
        </w:rPr>
        <w:t>الغبطة (فكما أنّ له البيع وإخراج المال عيناً ومنفعةً عن ملكه إلى الأبد إذا اقتضته المصلحة، فكذلك له أن يبقي العين ويخرج المنفعة خاصّة لمدّة قصيرة أو طويلة حسبما يجده من المصلحة وإن عمّت ما بعد البلوغ</w:t>
      </w:r>
      <w:r w:rsidRPr="00F27422">
        <w:rPr>
          <w:b/>
          <w:bCs/>
          <w:sz w:val="32"/>
          <w:szCs w:val="32"/>
        </w:rPr>
        <w:t>.</w:t>
      </w:r>
    </w:p>
    <w:p w14:paraId="1F6F4EDF" w14:textId="77777777" w:rsidR="00FB7D30" w:rsidRPr="00F27422" w:rsidRDefault="00FB7D30" w:rsidP="00122B70">
      <w:pPr>
        <w:bidi/>
        <w:rPr>
          <w:b/>
          <w:bCs/>
          <w:sz w:val="32"/>
          <w:szCs w:val="32"/>
          <w:rtl/>
        </w:rPr>
      </w:pPr>
      <w:r w:rsidRPr="00F27422">
        <w:rPr>
          <w:b/>
          <w:bCs/>
          <w:sz w:val="32"/>
          <w:szCs w:val="32"/>
          <w:rtl/>
        </w:rPr>
        <w:t>فإذا اقتضت الغبطة والمصلحة اللازمة المراعاة)</w:t>
      </w:r>
      <w:r w:rsidRPr="00F27422">
        <w:rPr>
          <w:sz w:val="32"/>
          <w:szCs w:val="32"/>
          <w:rtl/>
        </w:rPr>
        <w:t xml:space="preserve"> كما في تعبير السيد الحكيم السبط (قدس سره) بالضرورة العرفية، وليس المصلحة الكمالية </w:t>
      </w:r>
      <w:r w:rsidRPr="00F27422">
        <w:rPr>
          <w:b/>
          <w:bCs/>
          <w:sz w:val="32"/>
          <w:szCs w:val="32"/>
          <w:rtl/>
        </w:rPr>
        <w:t>(إيجارها عشرين سنة – مثلاً – صحّت الإجارة، عملاً بإطلاق أدلّة الولاية، ولا تبطل بموت المؤجّر – أعني: الولي -)</w:t>
      </w:r>
      <w:r w:rsidRPr="00F27422">
        <w:rPr>
          <w:sz w:val="32"/>
          <w:szCs w:val="32"/>
          <w:rtl/>
        </w:rPr>
        <w:t xml:space="preserve"> فالإجارة باقية </w:t>
      </w:r>
      <w:r w:rsidRPr="00F27422">
        <w:rPr>
          <w:b/>
          <w:bCs/>
          <w:sz w:val="32"/>
          <w:szCs w:val="32"/>
          <w:rtl/>
        </w:rPr>
        <w:t>(كما تقدّم نظيره في إجارة الوقف الخاصّ)</w:t>
      </w:r>
      <w:r w:rsidRPr="00F27422">
        <w:rPr>
          <w:sz w:val="32"/>
          <w:szCs w:val="32"/>
          <w:rtl/>
        </w:rPr>
        <w:t xml:space="preserve"> حيث إنّ المتولي للوقف لو آجر الوقف عشرين </w:t>
      </w:r>
      <w:r w:rsidRPr="00F27422">
        <w:rPr>
          <w:sz w:val="32"/>
          <w:szCs w:val="32"/>
          <w:rtl/>
        </w:rPr>
        <w:lastRenderedPageBreak/>
        <w:t xml:space="preserve">سنة ثم مات فإنّ إجارته نافذة </w:t>
      </w:r>
      <w:r w:rsidRPr="00F27422">
        <w:rPr>
          <w:b/>
          <w:bCs/>
          <w:sz w:val="32"/>
          <w:szCs w:val="32"/>
          <w:rtl/>
        </w:rPr>
        <w:t>(فتصحّ الإجارة المتعلّقة بالملّفق في عهدي البلوغ والصبا، بل تصحّ المتعلّقة بعهد البلوغ خاصّة)</w:t>
      </w:r>
      <w:r w:rsidRPr="00F27422">
        <w:rPr>
          <w:sz w:val="32"/>
          <w:szCs w:val="32"/>
          <w:rtl/>
        </w:rPr>
        <w:t xml:space="preserve"> كأنْ يكون هذا الصبي بعد سنتين بالغاً والوليّ يُؤجّر داره ليس الآن وإنّما يُؤجرها بعد السنتين، أي: بعد بلوغه، فالولاية فعلية وتصرّف المولى عليه مستقبلي وهو تمليك منفعة الدار للمُستأجر بعد البلوغ </w:t>
      </w:r>
      <w:r w:rsidRPr="00F27422">
        <w:rPr>
          <w:b/>
          <w:bCs/>
          <w:sz w:val="32"/>
          <w:szCs w:val="32"/>
          <w:rtl/>
        </w:rPr>
        <w:t>(إذا اقتضتها المصلحة، باعتبار أنّ الصبي كما أنّه مالكٌ للعين مالكٌ فعلاً لمنافعها الأبديّة أيضاً، فللولي أن يملك شيئاً من هذا المنافع بإجارة أو صلح ونحوهما إمّا مستقلّاً أو منضمّاً بشيء من منافع عهد الصبا حسبما يراه من المصلحة عملاً بإطلاق أدلّة الولاية).</w:t>
      </w:r>
    </w:p>
    <w:p w14:paraId="0C318114" w14:textId="77777777" w:rsidR="00FB7D30" w:rsidRPr="00F27422" w:rsidRDefault="00FB7D30" w:rsidP="00122B70">
      <w:pPr>
        <w:bidi/>
        <w:rPr>
          <w:sz w:val="32"/>
          <w:szCs w:val="32"/>
          <w:rtl/>
        </w:rPr>
      </w:pPr>
      <w:r w:rsidRPr="00F27422">
        <w:rPr>
          <w:b/>
          <w:bCs/>
          <w:sz w:val="32"/>
          <w:szCs w:val="32"/>
          <w:rtl/>
        </w:rPr>
        <w:t>الوجه الثالث:</w:t>
      </w:r>
      <w:r w:rsidRPr="00F27422">
        <w:rPr>
          <w:sz w:val="32"/>
          <w:szCs w:val="32"/>
          <w:rtl/>
        </w:rPr>
        <w:t xml:space="preserve"> ما ذكره المحقّق الأصفهاني (قدس سره الشريف) في كتابه [الإجارة، مؤسسة النشر الإسلامي التابعة لجماعة المدرسين بقم المشرفة، ص298]</w:t>
      </w:r>
      <w:r w:rsidRPr="00F27422">
        <w:rPr>
          <w:sz w:val="32"/>
          <w:szCs w:val="32"/>
        </w:rPr>
        <w:t>.</w:t>
      </w:r>
    </w:p>
    <w:p w14:paraId="62319B5A" w14:textId="77777777" w:rsidR="00FB7D30" w:rsidRPr="00F27422" w:rsidRDefault="00FB7D30" w:rsidP="00122B70">
      <w:pPr>
        <w:bidi/>
        <w:rPr>
          <w:sz w:val="32"/>
          <w:szCs w:val="32"/>
          <w:rtl/>
        </w:rPr>
      </w:pPr>
      <w:r w:rsidRPr="00F27422">
        <w:rPr>
          <w:b/>
          <w:bCs/>
          <w:sz w:val="32"/>
          <w:szCs w:val="32"/>
          <w:rtl/>
        </w:rPr>
        <w:t xml:space="preserve">وبيانه: </w:t>
      </w:r>
      <w:r w:rsidRPr="00F27422">
        <w:rPr>
          <w:sz w:val="32"/>
          <w:szCs w:val="32"/>
          <w:rtl/>
        </w:rPr>
        <w:t>أنّ النكتة في الصحّة في رتبةٍ سابقةٍ على الولاية وهي تحديد دائرة ما هو المملوك بالفعل، إذ الولاية فرعُ ثبوت المولى عليه في رتبةٍ سابقةٍ، وبما أنّ المولى عليه في الأموال ما كان ملكا لجهة أو شخص كانت سعة الولاية وضيقها منوطة بتحديد ما هو المملوك بالفعل، وحيث إنّ متعلّق الولاية في المقام هو مالُ الصبي فلابُدّ من إثبات أنّ المال المتعلّق للولاية مالُ الصبي بالفعل كي يكون للوليّ الولاية عليه، والمنافع المستقبلية - أي المنافع ما بعد البلوغ - هل هي ملك للصبي بالفعل كي يكون للوليّ ولاية عليها أم لا؟</w:t>
      </w:r>
    </w:p>
    <w:p w14:paraId="2421C9A7" w14:textId="77777777" w:rsidR="00FB7D30" w:rsidRPr="00F27422" w:rsidRDefault="00FB7D30" w:rsidP="00122B70">
      <w:pPr>
        <w:bidi/>
        <w:rPr>
          <w:sz w:val="32"/>
          <w:szCs w:val="32"/>
          <w:rtl/>
        </w:rPr>
      </w:pPr>
      <w:r w:rsidRPr="00F27422">
        <w:rPr>
          <w:sz w:val="32"/>
          <w:szCs w:val="32"/>
          <w:rtl/>
        </w:rPr>
        <w:t>وبالتالي فالحجر الأساسي في الجواب ليس كبروياً وهو تحديد دائرة الولاية بتحديد مناطها كما في الوجه الثاني؛ بل المحور الأساس هو إثبات الصغرى وهي: أنّ المنافع المستقبلية المقيّدة بما بعد البلوغ مِلكٌ للصبي بالفعل كي يكون للوليّ ولاية عليها</w:t>
      </w:r>
      <w:r w:rsidRPr="00F27422">
        <w:rPr>
          <w:sz w:val="32"/>
          <w:szCs w:val="32"/>
        </w:rPr>
        <w:t>.</w:t>
      </w:r>
    </w:p>
    <w:p w14:paraId="3F41CC1B" w14:textId="77777777" w:rsidR="00FB7D30" w:rsidRPr="00F27422" w:rsidRDefault="00FB7D30" w:rsidP="00122B70">
      <w:pPr>
        <w:bidi/>
        <w:rPr>
          <w:sz w:val="32"/>
          <w:szCs w:val="32"/>
          <w:rtl/>
        </w:rPr>
      </w:pPr>
      <w:r w:rsidRPr="00F27422">
        <w:rPr>
          <w:sz w:val="32"/>
          <w:szCs w:val="32"/>
          <w:rtl/>
        </w:rPr>
        <w:t>ومن هنا انطلق المحقّق الأصفهاني (قدس سره الشريف) لإثبات المِلكيَّة بالفعل، ولم يتحدث عن الولاية فإنّها أمرٌ متفرعٌ على ثبوت مِلكيَّة المنافع بالفعل، فما أفيد في الوجه الثالث بمثابة تحقيق الموضوع لما أفيد في الوجه الذي طرحه سيدنا الخوئي (قدس سره الشريف)</w:t>
      </w:r>
      <w:r w:rsidRPr="00F27422">
        <w:rPr>
          <w:sz w:val="32"/>
          <w:szCs w:val="32"/>
        </w:rPr>
        <w:t>.</w:t>
      </w:r>
    </w:p>
    <w:p w14:paraId="5A4009BD" w14:textId="77777777" w:rsidR="00FB7D30" w:rsidRPr="00F27422" w:rsidRDefault="00FB7D30" w:rsidP="00122B70">
      <w:pPr>
        <w:bidi/>
        <w:rPr>
          <w:b/>
          <w:bCs/>
          <w:sz w:val="32"/>
          <w:szCs w:val="32"/>
          <w:rtl/>
        </w:rPr>
      </w:pPr>
      <w:r w:rsidRPr="00F27422">
        <w:rPr>
          <w:sz w:val="32"/>
          <w:szCs w:val="32"/>
          <w:rtl/>
        </w:rPr>
        <w:t xml:space="preserve">قال المحقّق الأصفهاني (قدس سره الشريف): </w:t>
      </w:r>
      <w:r w:rsidRPr="00F27422">
        <w:rPr>
          <w:b/>
          <w:bCs/>
          <w:sz w:val="32"/>
          <w:szCs w:val="32"/>
          <w:rtl/>
        </w:rPr>
        <w:t>(ويندفع بما مر مرارا من أن المنافع المستقبلية للدار ونحوها مملوكة لمالك العين فعلا، وإنما المتأخر ذات المملوك لا أنّ الملكية لتدرجية المنافع لابد من أن تكون مقارنة لها، لئلا يلزم ملك المعدوم كما توهم)</w:t>
      </w:r>
      <w:r w:rsidRPr="00F27422">
        <w:rPr>
          <w:b/>
          <w:bCs/>
          <w:sz w:val="32"/>
          <w:szCs w:val="32"/>
        </w:rPr>
        <w:t>.</w:t>
      </w:r>
    </w:p>
    <w:p w14:paraId="65C28102" w14:textId="77777777" w:rsidR="00FB7D30" w:rsidRPr="00F27422" w:rsidRDefault="00FB7D30" w:rsidP="00122B70">
      <w:pPr>
        <w:bidi/>
        <w:rPr>
          <w:sz w:val="32"/>
          <w:szCs w:val="32"/>
          <w:rtl/>
        </w:rPr>
      </w:pPr>
      <w:r w:rsidRPr="00F27422">
        <w:rPr>
          <w:b/>
          <w:bCs/>
          <w:sz w:val="32"/>
          <w:szCs w:val="32"/>
          <w:rtl/>
        </w:rPr>
        <w:t>وتوضيح كلامه:</w:t>
      </w:r>
      <w:r w:rsidRPr="00F27422">
        <w:rPr>
          <w:sz w:val="32"/>
          <w:szCs w:val="32"/>
          <w:rtl/>
        </w:rPr>
        <w:t xml:space="preserve"> أنّ المتأخر لما بعد البلوغ هو المملوك لا المِلكيَّة، أي أنّ المنافع المقيّدة بزمان ما بعد البلوغ هي المتأخرة وأما ملكيتها فهي بالفعل، وكون المنافع تدريجية لا يقتضي كون المِلكيَّة استقبالية</w:t>
      </w:r>
      <w:r w:rsidRPr="00F27422">
        <w:rPr>
          <w:sz w:val="32"/>
          <w:szCs w:val="32"/>
        </w:rPr>
        <w:t>.</w:t>
      </w:r>
    </w:p>
    <w:p w14:paraId="71DC1266" w14:textId="77777777" w:rsidR="00FB7D30" w:rsidRPr="00F27422" w:rsidRDefault="00FB7D30" w:rsidP="00122B70">
      <w:pPr>
        <w:bidi/>
        <w:rPr>
          <w:b/>
          <w:bCs/>
          <w:sz w:val="32"/>
          <w:szCs w:val="32"/>
          <w:rtl/>
        </w:rPr>
      </w:pPr>
      <w:r w:rsidRPr="00F27422">
        <w:rPr>
          <w:b/>
          <w:bCs/>
          <w:sz w:val="32"/>
          <w:szCs w:val="32"/>
          <w:rtl/>
        </w:rPr>
        <w:lastRenderedPageBreak/>
        <w:t>وكأنّ هذا دفعُ دخلٍ، وحاصله:</w:t>
      </w:r>
    </w:p>
    <w:p w14:paraId="22BAC9BE" w14:textId="77777777" w:rsidR="00FB7D30" w:rsidRPr="00F27422" w:rsidRDefault="00FB7D30" w:rsidP="00122B70">
      <w:pPr>
        <w:bidi/>
        <w:rPr>
          <w:sz w:val="32"/>
          <w:szCs w:val="32"/>
          <w:rtl/>
        </w:rPr>
      </w:pPr>
      <w:r w:rsidRPr="00F27422">
        <w:rPr>
          <w:b/>
          <w:bCs/>
          <w:sz w:val="32"/>
          <w:szCs w:val="32"/>
          <w:rtl/>
        </w:rPr>
        <w:t>إنْ قلتَ:</w:t>
      </w:r>
      <w:r w:rsidRPr="00F27422">
        <w:rPr>
          <w:sz w:val="32"/>
          <w:szCs w:val="32"/>
          <w:rtl/>
        </w:rPr>
        <w:t xml:space="preserve"> إنّ المنافع المستقبلية لا وجود لها الآن فكيف يكون الصبي مالكاً لها، ولا يصحّ مِلكُ المعدوم؟</w:t>
      </w:r>
    </w:p>
    <w:p w14:paraId="72DA4D12" w14:textId="77777777" w:rsidR="00FB7D30" w:rsidRPr="00F27422" w:rsidRDefault="00FB7D30" w:rsidP="00122B70">
      <w:pPr>
        <w:bidi/>
        <w:rPr>
          <w:sz w:val="32"/>
          <w:szCs w:val="32"/>
          <w:rtl/>
        </w:rPr>
      </w:pPr>
      <w:r w:rsidRPr="00F27422">
        <w:rPr>
          <w:b/>
          <w:bCs/>
          <w:sz w:val="32"/>
          <w:szCs w:val="32"/>
          <w:rtl/>
        </w:rPr>
        <w:t>والجواب أنْ يُقال:</w:t>
      </w:r>
      <w:r w:rsidRPr="00F27422">
        <w:rPr>
          <w:sz w:val="32"/>
          <w:szCs w:val="32"/>
          <w:rtl/>
        </w:rPr>
        <w:t xml:space="preserve"> إنّ تدريجية المنافع بحيث لا توجد منفعة إلّا في طول انعدام المنفعة السابقة لا ينفي فعلية المِلكيَّة، والنكتة في ذلك: أنّ المنافع وإنْ كانت تدريجية لكنها موجودةٌ وجوداً استعدادياً عرفياً بوجود العين، فوجود الدار وجودٌ لسائر منافعها ما دامت الدار قائمة، وإنْ كان عمر هذه المنافع يمتد لما بعد </w:t>
      </w:r>
      <w:proofErr w:type="gramStart"/>
      <w:r w:rsidRPr="00F27422">
        <w:rPr>
          <w:sz w:val="32"/>
          <w:szCs w:val="32"/>
          <w:rtl/>
        </w:rPr>
        <w:t>مائة</w:t>
      </w:r>
      <w:proofErr w:type="gramEnd"/>
      <w:r w:rsidRPr="00F27422">
        <w:rPr>
          <w:sz w:val="32"/>
          <w:szCs w:val="32"/>
          <w:rtl/>
        </w:rPr>
        <w:t xml:space="preserve"> سنة، فلهذه المنافع وجودٌ بالنظر العقلائي وجوداً استعدادياً بوجود الدار، بحيث مَن مَلَكَ الدار مَلَكَ منافعها المستقبلية فعلاً، فالمتأخر هو المملوك لا الملكيَّة</w:t>
      </w:r>
      <w:r w:rsidRPr="00F27422">
        <w:rPr>
          <w:sz w:val="32"/>
          <w:szCs w:val="32"/>
        </w:rPr>
        <w:t>.</w:t>
      </w:r>
    </w:p>
    <w:p w14:paraId="3BCB9D95" w14:textId="77777777" w:rsidR="00FB7D30" w:rsidRPr="00F27422" w:rsidRDefault="00FB7D30" w:rsidP="00122B70">
      <w:pPr>
        <w:bidi/>
        <w:rPr>
          <w:sz w:val="32"/>
          <w:szCs w:val="32"/>
          <w:rtl/>
        </w:rPr>
      </w:pPr>
      <w:r w:rsidRPr="00F27422">
        <w:rPr>
          <w:sz w:val="32"/>
          <w:szCs w:val="32"/>
          <w:rtl/>
        </w:rPr>
        <w:t>وبما أنّ مِلكيَّة الصبي للمنافع المستقبلية فعليةٌ والوليّ وليٌّ على ما يملكه الصبي بالفعل، ومنه المنافع المستقبلية كان للوليّ ولاية عليها فتنفذ تصرّفاته فيها وإنْ كانت مستقبلية</w:t>
      </w:r>
      <w:r w:rsidRPr="00F27422">
        <w:rPr>
          <w:sz w:val="32"/>
          <w:szCs w:val="32"/>
        </w:rPr>
        <w:t>.</w:t>
      </w:r>
    </w:p>
    <w:p w14:paraId="0D69224B" w14:textId="77777777" w:rsidR="00FB7D30" w:rsidRPr="00F27422" w:rsidRDefault="00FB7D30" w:rsidP="00122B70">
      <w:pPr>
        <w:bidi/>
        <w:rPr>
          <w:sz w:val="32"/>
          <w:szCs w:val="32"/>
          <w:rtl/>
        </w:rPr>
      </w:pPr>
      <w:r w:rsidRPr="00F27422">
        <w:rPr>
          <w:sz w:val="32"/>
          <w:szCs w:val="32"/>
          <w:rtl/>
        </w:rPr>
        <w:t>وهذا هو الفارق بين جوابي العلمين الأصفهاني والخوئي (قدس سرهما)</w:t>
      </w:r>
      <w:r w:rsidRPr="00F27422">
        <w:rPr>
          <w:sz w:val="32"/>
          <w:szCs w:val="32"/>
        </w:rPr>
        <w:t>.</w:t>
      </w:r>
    </w:p>
    <w:p w14:paraId="15553D76" w14:textId="77777777" w:rsidR="00FB7D30" w:rsidRPr="00F27422" w:rsidRDefault="00FB7D30" w:rsidP="00122B70">
      <w:pPr>
        <w:bidi/>
        <w:rPr>
          <w:sz w:val="32"/>
          <w:szCs w:val="32"/>
          <w:rtl/>
        </w:rPr>
      </w:pPr>
      <w:r w:rsidRPr="00F27422">
        <w:rPr>
          <w:b/>
          <w:bCs/>
          <w:sz w:val="32"/>
          <w:szCs w:val="32"/>
          <w:rtl/>
        </w:rPr>
        <w:t>ولكن الإشكال على كلا الجوابين:</w:t>
      </w:r>
      <w:r w:rsidRPr="00F27422">
        <w:rPr>
          <w:sz w:val="32"/>
          <w:szCs w:val="32"/>
          <w:rtl/>
        </w:rPr>
        <w:t xml:space="preserve"> هو ما أشار إليه نفس المحقّق الأصفهاني (قدس سره الشريف) في كتابه [الإجارة، مؤسسة النشر الإسلامي التابعة لجماعة المدرسين بقم المشرفة، ص298]</w:t>
      </w:r>
      <w:r w:rsidRPr="00F27422">
        <w:rPr>
          <w:sz w:val="32"/>
          <w:szCs w:val="32"/>
        </w:rPr>
        <w:t>.</w:t>
      </w:r>
    </w:p>
    <w:p w14:paraId="0223A3C6" w14:textId="77777777" w:rsidR="00FB7D30" w:rsidRPr="00F27422" w:rsidRDefault="00FB7D30" w:rsidP="00122B70">
      <w:pPr>
        <w:bidi/>
        <w:rPr>
          <w:sz w:val="32"/>
          <w:szCs w:val="32"/>
          <w:rtl/>
        </w:rPr>
      </w:pPr>
      <w:r w:rsidRPr="00F27422">
        <w:rPr>
          <w:b/>
          <w:bCs/>
          <w:sz w:val="32"/>
          <w:szCs w:val="32"/>
          <w:rtl/>
        </w:rPr>
        <w:t>وحاصله:</w:t>
      </w:r>
      <w:r w:rsidRPr="00F27422">
        <w:rPr>
          <w:sz w:val="32"/>
          <w:szCs w:val="32"/>
          <w:rtl/>
        </w:rPr>
        <w:t xml:space="preserve"> أنّ مقتضى مناسبة الحكم للموضوع بطلانُ تصرّف الوليّ في المنافع ما بعد البلوغ</w:t>
      </w:r>
      <w:r w:rsidRPr="00F27422">
        <w:rPr>
          <w:sz w:val="32"/>
          <w:szCs w:val="32"/>
        </w:rPr>
        <w:t>.</w:t>
      </w:r>
    </w:p>
    <w:p w14:paraId="2C4E967B" w14:textId="77777777" w:rsidR="00FB7D30" w:rsidRPr="00F27422" w:rsidRDefault="00FB7D30" w:rsidP="00122B70">
      <w:pPr>
        <w:bidi/>
        <w:rPr>
          <w:sz w:val="32"/>
          <w:szCs w:val="32"/>
          <w:rtl/>
        </w:rPr>
      </w:pPr>
      <w:r w:rsidRPr="00F27422">
        <w:rPr>
          <w:b/>
          <w:bCs/>
          <w:sz w:val="32"/>
          <w:szCs w:val="32"/>
          <w:rtl/>
        </w:rPr>
        <w:t>والوجه في ذلك:</w:t>
      </w:r>
      <w:r w:rsidRPr="00F27422">
        <w:rPr>
          <w:sz w:val="32"/>
          <w:szCs w:val="32"/>
          <w:rtl/>
        </w:rPr>
        <w:t xml:space="preserve"> أنّ المناط في ثبوت الولاية للوليّ حفظ ما يفوت من المصالح على الصبي في أمواله حال صغره، فيقال: لو لم يتصرّف الوليّ في أموال الصبي لفاتت على الصبي منافعُ أمواله، فمِن أجل سد باب فوت المنافع على الصبي في أمواله جُعْلت الولاية لمن يحفظ هذه المنافع، وحيث إنّ المناط في ثبوت الولاية حفظ ما يفوت فلا تمتد لما بعد البلوغ؛ لأنّ الصبي لن تفوته المنافع في أمواله بعد بلوغه؛ فإنّه بعد بلوغه قادرٌ على التصرّف في أمواله بحفظ مصالحها وإحراز منافعها، فلا وجه لامتداد مناط الولاية ونفوذ التصرّف حتى لما بعد البلوغ، بل ربما يكون الحال أحسن بتأجيل التصرّف فيها لما بعد البلوغ، فلا مقتضي للتصرّف وثبوت الولاية</w:t>
      </w:r>
      <w:r w:rsidRPr="00F27422">
        <w:rPr>
          <w:sz w:val="32"/>
          <w:szCs w:val="32"/>
        </w:rPr>
        <w:t>.</w:t>
      </w:r>
    </w:p>
    <w:p w14:paraId="5DEFC553" w14:textId="77777777" w:rsidR="00FB7D30" w:rsidRPr="00F27422" w:rsidRDefault="00FB7D30" w:rsidP="00122B70">
      <w:pPr>
        <w:bidi/>
        <w:rPr>
          <w:b/>
          <w:bCs/>
          <w:sz w:val="32"/>
          <w:szCs w:val="32"/>
          <w:rtl/>
        </w:rPr>
      </w:pPr>
      <w:r w:rsidRPr="00F27422">
        <w:rPr>
          <w:sz w:val="32"/>
          <w:szCs w:val="32"/>
          <w:rtl/>
        </w:rPr>
        <w:t xml:space="preserve">قال المحقّق الأصفهاني (قدس سره الشريف): </w:t>
      </w:r>
      <w:r w:rsidRPr="00F27422">
        <w:rPr>
          <w:b/>
          <w:bCs/>
          <w:sz w:val="32"/>
          <w:szCs w:val="32"/>
          <w:rtl/>
        </w:rPr>
        <w:t xml:space="preserve">(إلا أن يقال بمناسبة الحكم والموضوع أن جعل الولي للصبي لئلا يفوت عليه ما يتعلق بنفسه وبماله من المصالح في صغره، والمصلحة </w:t>
      </w:r>
      <w:r w:rsidRPr="00F27422">
        <w:rPr>
          <w:b/>
          <w:bCs/>
          <w:sz w:val="32"/>
          <w:szCs w:val="32"/>
          <w:rtl/>
        </w:rPr>
        <w:lastRenderedPageBreak/>
        <w:t>الراجعة إلى منافع أملاكه زمان كبره لا تفوت بترك إجارة الولي، بل قابلة لأن يستوفيها الصغير بعد كبره، فلا مقتضي للولاية على مثل هذا التصرف)</w:t>
      </w:r>
      <w:r w:rsidRPr="00F27422">
        <w:rPr>
          <w:b/>
          <w:bCs/>
          <w:sz w:val="32"/>
          <w:szCs w:val="32"/>
        </w:rPr>
        <w:t>.</w:t>
      </w:r>
    </w:p>
    <w:p w14:paraId="5271ED6C" w14:textId="77777777" w:rsidR="00FB7D30" w:rsidRPr="00F27422" w:rsidRDefault="00FB7D30" w:rsidP="00122B70">
      <w:pPr>
        <w:bidi/>
        <w:rPr>
          <w:sz w:val="32"/>
          <w:szCs w:val="32"/>
          <w:rtl/>
        </w:rPr>
      </w:pPr>
      <w:r w:rsidRPr="00F27422">
        <w:rPr>
          <w:sz w:val="32"/>
          <w:szCs w:val="32"/>
          <w:rtl/>
        </w:rPr>
        <w:t>فكلا الجوابين - في الوجه الثاني والثالث - كانا معتمدين على ركنين</w:t>
      </w:r>
      <w:r w:rsidRPr="00F27422">
        <w:rPr>
          <w:sz w:val="32"/>
          <w:szCs w:val="32"/>
        </w:rPr>
        <w:t>:</w:t>
      </w:r>
    </w:p>
    <w:p w14:paraId="77AE3421" w14:textId="77777777" w:rsidR="00FB7D30" w:rsidRPr="00F27422" w:rsidRDefault="00FB7D30" w:rsidP="00122B70">
      <w:pPr>
        <w:bidi/>
        <w:rPr>
          <w:sz w:val="32"/>
          <w:szCs w:val="32"/>
          <w:rtl/>
        </w:rPr>
      </w:pPr>
      <w:r w:rsidRPr="00F27422">
        <w:rPr>
          <w:b/>
          <w:bCs/>
          <w:sz w:val="32"/>
          <w:szCs w:val="32"/>
          <w:rtl/>
        </w:rPr>
        <w:t>الركنُ الأوّل:</w:t>
      </w:r>
      <w:r w:rsidRPr="00F27422">
        <w:rPr>
          <w:sz w:val="32"/>
          <w:szCs w:val="32"/>
          <w:rtl/>
        </w:rPr>
        <w:t xml:space="preserve"> أنّ المِلكيَّة للمنافع المستقبلية فعليةٌ، وهذا صحيح</w:t>
      </w:r>
      <w:r w:rsidRPr="00F27422">
        <w:rPr>
          <w:sz w:val="32"/>
          <w:szCs w:val="32"/>
        </w:rPr>
        <w:t>.</w:t>
      </w:r>
    </w:p>
    <w:p w14:paraId="7112C567" w14:textId="77777777" w:rsidR="00FB7D30" w:rsidRPr="00F27422" w:rsidRDefault="00FB7D30" w:rsidP="00122B70">
      <w:pPr>
        <w:bidi/>
        <w:rPr>
          <w:sz w:val="32"/>
          <w:szCs w:val="32"/>
          <w:rtl/>
        </w:rPr>
      </w:pPr>
      <w:r w:rsidRPr="00F27422">
        <w:rPr>
          <w:b/>
          <w:bCs/>
          <w:sz w:val="32"/>
          <w:szCs w:val="32"/>
          <w:rtl/>
        </w:rPr>
        <w:t>الركنُ الثاني:</w:t>
      </w:r>
      <w:r w:rsidRPr="00F27422">
        <w:rPr>
          <w:sz w:val="32"/>
          <w:szCs w:val="32"/>
          <w:rtl/>
        </w:rPr>
        <w:t xml:space="preserve"> ثبوت الولاية على ما يملكه الصبي بالفعل، إلّا أنّ الإشكال في أصل المقتضي لثبوت الولاية على المنافع المستقبلية.</w:t>
      </w:r>
    </w:p>
    <w:p w14:paraId="782C0483" w14:textId="77777777" w:rsidR="00FB7D30" w:rsidRPr="00F27422" w:rsidRDefault="00FB7D30" w:rsidP="00122B70">
      <w:pPr>
        <w:bidi/>
        <w:rPr>
          <w:sz w:val="32"/>
          <w:szCs w:val="32"/>
          <w:rtl/>
          <w:lang w:bidi="ar-BH"/>
        </w:rPr>
      </w:pPr>
    </w:p>
    <w:p w14:paraId="4BB61EC8" w14:textId="77777777" w:rsidR="00FB7D30" w:rsidRPr="00F27422" w:rsidRDefault="00FB7D30" w:rsidP="00122B70">
      <w:pPr>
        <w:bidi/>
        <w:rPr>
          <w:b/>
          <w:bCs/>
          <w:sz w:val="32"/>
          <w:szCs w:val="32"/>
          <w:rtl/>
        </w:rPr>
      </w:pPr>
      <w:r w:rsidRPr="00F27422">
        <w:rPr>
          <w:b/>
          <w:bCs/>
          <w:sz w:val="32"/>
          <w:szCs w:val="32"/>
          <w:rtl/>
        </w:rPr>
        <w:t>والحمد لله رب العالمين</w:t>
      </w:r>
    </w:p>
    <w:p w14:paraId="5B10C4AB" w14:textId="77777777" w:rsidR="00A960E5" w:rsidRPr="00F27422" w:rsidRDefault="00A960E5" w:rsidP="00122B70">
      <w:pPr>
        <w:bidi/>
        <w:rPr>
          <w:sz w:val="32"/>
          <w:szCs w:val="32"/>
          <w:rtl/>
        </w:rPr>
      </w:pPr>
    </w:p>
    <w:p w14:paraId="0728837B" w14:textId="73056F90" w:rsidR="00FB7D30" w:rsidRPr="00F27422" w:rsidRDefault="00FB7D30" w:rsidP="00122B70">
      <w:pPr>
        <w:pStyle w:val="Heading3"/>
        <w:bidi/>
        <w:rPr>
          <w:sz w:val="32"/>
          <w:szCs w:val="32"/>
          <w:rtl/>
        </w:rPr>
      </w:pPr>
      <w:r w:rsidRPr="00F27422">
        <w:rPr>
          <w:rFonts w:hint="cs"/>
          <w:sz w:val="32"/>
          <w:szCs w:val="32"/>
          <w:rtl/>
        </w:rPr>
        <w:t>043</w:t>
      </w:r>
    </w:p>
    <w:p w14:paraId="022C0716" w14:textId="77777777" w:rsidR="00601296" w:rsidRPr="00F27422" w:rsidRDefault="00601296"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6E187CE7" w14:textId="77777777" w:rsidR="00601296" w:rsidRPr="00F27422" w:rsidRDefault="00601296"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3C7CA6AD"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واللعن الدائم على أعدائهم أجمعين إلى قيام يوم الدين</w:t>
      </w:r>
    </w:p>
    <w:p w14:paraId="151315E3" w14:textId="77777777" w:rsidR="00601296" w:rsidRPr="00F27422" w:rsidRDefault="00601296" w:rsidP="00122B70">
      <w:pPr>
        <w:pStyle w:val="a"/>
        <w:bidi/>
        <w:spacing w:line="216" w:lineRule="auto"/>
        <w:jc w:val="left"/>
        <w:rPr>
          <w:rFonts w:ascii="mylotus" w:hAnsi="mylotus"/>
          <w:sz w:val="32"/>
          <w:rtl/>
        </w:rPr>
      </w:pPr>
    </w:p>
    <w:p w14:paraId="183B738B"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والحاصل:</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ه قد أُورد على الوجوه السابقة لتصحيح إجارة الوليّ لأملاك الصبي بما يستغرق ما بعد بلوغه بعد</w:t>
      </w:r>
      <w:r w:rsidRPr="00F27422">
        <w:rPr>
          <w:rFonts w:ascii="mylotus" w:hAnsi="mylotus" w:hint="cs"/>
          <w:sz w:val="32"/>
          <w:rtl/>
        </w:rPr>
        <w:t>ّ</w:t>
      </w:r>
      <w:r w:rsidRPr="00F27422">
        <w:rPr>
          <w:rFonts w:ascii="mylotus" w:hAnsi="mylotus"/>
          <w:sz w:val="32"/>
          <w:rtl/>
        </w:rPr>
        <w:t>ة إيرادات</w:t>
      </w:r>
      <w:r w:rsidRPr="00F27422">
        <w:rPr>
          <w:rFonts w:ascii="mylotus" w:hAnsi="mylotus"/>
          <w:sz w:val="32"/>
        </w:rPr>
        <w:t>:</w:t>
      </w:r>
    </w:p>
    <w:p w14:paraId="3BCC5950"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الإيراد</w:t>
      </w:r>
      <w:r w:rsidRPr="00F27422">
        <w:rPr>
          <w:rFonts w:ascii="mylotus" w:hAnsi="mylotus" w:hint="cs"/>
          <w:b/>
          <w:bCs/>
          <w:sz w:val="32"/>
          <w:rtl/>
        </w:rPr>
        <w:t>ُ</w:t>
      </w:r>
      <w:r w:rsidRPr="00F27422">
        <w:rPr>
          <w:rFonts w:ascii="mylotus" w:hAnsi="mylotus"/>
          <w:b/>
          <w:bCs/>
          <w:sz w:val="32"/>
          <w:rtl/>
        </w:rPr>
        <w:t xml:space="preserve"> الأوّل: </w:t>
      </w:r>
      <w:r w:rsidRPr="00F27422">
        <w:rPr>
          <w:rFonts w:ascii="mylotus" w:hAnsi="mylotus"/>
          <w:sz w:val="32"/>
          <w:rtl/>
        </w:rPr>
        <w:t>ما</w:t>
      </w:r>
      <w:r w:rsidRPr="00F27422">
        <w:rPr>
          <w:rFonts w:ascii="mylotus" w:hAnsi="mylotus" w:hint="cs"/>
          <w:sz w:val="32"/>
          <w:rtl/>
        </w:rPr>
        <w:t xml:space="preserve"> </w:t>
      </w:r>
      <w:r w:rsidRPr="00F27422">
        <w:rPr>
          <w:rFonts w:ascii="mylotus" w:hAnsi="mylotus"/>
          <w:sz w:val="32"/>
          <w:rtl/>
        </w:rPr>
        <w:t xml:space="preserve">سبق نقله عن المحقّق الأصفهاني (قدس سره الشريف) في كتابه [الإجارة، مؤسسة النشر الإسلامي التابعة لجماعة المدرسين بقم المشرفة، ص298] من أنّ المناط في صحّة تصرّف الوليّ في أموال الصبي أنْ يكون في التصرّف حفظُ المنافع عن الفوت، </w:t>
      </w:r>
      <w:r w:rsidRPr="00F27422">
        <w:rPr>
          <w:rFonts w:ascii="mylotus" w:hAnsi="mylotus"/>
          <w:sz w:val="32"/>
          <w:highlight w:val="yellow"/>
          <w:rtl/>
        </w:rPr>
        <w:t>وبما أنّ المناط هو ذلك فلا</w:t>
      </w:r>
      <w:r w:rsidRPr="00F27422">
        <w:rPr>
          <w:rFonts w:ascii="mylotus" w:hAnsi="mylotus" w:hint="cs"/>
          <w:sz w:val="32"/>
          <w:highlight w:val="yellow"/>
          <w:rtl/>
        </w:rPr>
        <w:t xml:space="preserve"> </w:t>
      </w:r>
      <w:r w:rsidRPr="00F27422">
        <w:rPr>
          <w:rFonts w:ascii="mylotus" w:hAnsi="mylotus"/>
          <w:sz w:val="32"/>
          <w:highlight w:val="yellow"/>
          <w:rtl/>
        </w:rPr>
        <w:t>نفوذ للإجارة لما بعد البلوغ</w:t>
      </w:r>
      <w:r w:rsidRPr="00F27422">
        <w:rPr>
          <w:rFonts w:ascii="mylotus" w:hAnsi="mylotus" w:hint="cs"/>
          <w:sz w:val="32"/>
          <w:rtl/>
        </w:rPr>
        <w:t xml:space="preserve">؛ </w:t>
      </w:r>
      <w:r w:rsidRPr="00F27422">
        <w:rPr>
          <w:rFonts w:ascii="mylotus" w:hAnsi="mylotus"/>
          <w:sz w:val="32"/>
          <w:rtl/>
        </w:rPr>
        <w:t>فإن</w:t>
      </w:r>
      <w:r w:rsidRPr="00F27422">
        <w:rPr>
          <w:rFonts w:ascii="mylotus" w:hAnsi="mylotus" w:hint="cs"/>
          <w:sz w:val="32"/>
          <w:rtl/>
        </w:rPr>
        <w:t>ّ</w:t>
      </w:r>
      <w:r w:rsidRPr="00F27422">
        <w:rPr>
          <w:rFonts w:ascii="mylotus" w:hAnsi="mylotus"/>
          <w:sz w:val="32"/>
          <w:rtl/>
        </w:rPr>
        <w:t xml:space="preserve"> منافع أموال الصبي بعد بلوغه مما لا تفوت عليه؛ لأنّه بعد بلوغه رشيدٌ قادرٌ فلا يتوقّف حفظ منافع أمواله عن الفوت بعد بلوغه على تصرّف الولي كي يكون تصرّفه نافذاً</w:t>
      </w:r>
      <w:r w:rsidRPr="00F27422">
        <w:rPr>
          <w:rFonts w:ascii="mylotus" w:hAnsi="mylotus"/>
          <w:sz w:val="32"/>
        </w:rPr>
        <w:t>.</w:t>
      </w:r>
    </w:p>
    <w:p w14:paraId="298B2649" w14:textId="77777777" w:rsidR="00601296" w:rsidRPr="00F27422" w:rsidRDefault="00601296" w:rsidP="00122B70">
      <w:pPr>
        <w:pStyle w:val="a"/>
        <w:bidi/>
        <w:spacing w:line="216" w:lineRule="auto"/>
        <w:jc w:val="left"/>
        <w:rPr>
          <w:rFonts w:ascii="mylotus" w:hAnsi="mylotus"/>
          <w:b/>
          <w:bCs/>
          <w:sz w:val="32"/>
          <w:rtl/>
        </w:rPr>
      </w:pPr>
      <w:r w:rsidRPr="00F27422">
        <w:rPr>
          <w:rFonts w:ascii="mylotus" w:hAnsi="mylotus"/>
          <w:sz w:val="32"/>
          <w:rtl/>
        </w:rPr>
        <w:t xml:space="preserve">فقد قال (قدس سره الشريف): </w:t>
      </w:r>
      <w:r w:rsidRPr="00F27422">
        <w:rPr>
          <w:rFonts w:ascii="mylotus" w:hAnsi="mylotus"/>
          <w:b/>
          <w:bCs/>
          <w:sz w:val="32"/>
          <w:rtl/>
        </w:rPr>
        <w:t>(إلا أن يقال بمناسبة الحكم والموضوع أن جعل الولي للصبي لئلا يفوت عليه ما يتعلق بنفسه وبماله من المصالح في صغره، والمصلحة الراجعة إلى منافع أملاكه زمان كبره لا تفوت بترك إجارة الولي، بل قابلة لأن يستوفيها الصغير بعد كبره، فلا مقتضي للولاية على مثل هذا التصرف)</w:t>
      </w:r>
      <w:r w:rsidRPr="00F27422">
        <w:rPr>
          <w:rFonts w:ascii="mylotus" w:hAnsi="mylotus"/>
          <w:b/>
          <w:bCs/>
          <w:sz w:val="32"/>
        </w:rPr>
        <w:t>.</w:t>
      </w:r>
    </w:p>
    <w:p w14:paraId="5A48784A"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ويلاحظ عليه:</w:t>
      </w:r>
      <w:r w:rsidRPr="00F27422">
        <w:rPr>
          <w:rFonts w:ascii="mylotus" w:hAnsi="mylotus"/>
          <w:sz w:val="32"/>
          <w:rtl/>
        </w:rPr>
        <w:t xml:space="preserve"> أنّ المناط في ثبوت الولاية لو كان هو الضرورة بمعنى إحراز ما يفوت من المصالح لولا</w:t>
      </w:r>
      <w:r w:rsidRPr="00F27422">
        <w:rPr>
          <w:rFonts w:ascii="mylotus" w:hAnsi="mylotus" w:hint="cs"/>
          <w:sz w:val="32"/>
          <w:rtl/>
        </w:rPr>
        <w:t xml:space="preserve"> </w:t>
      </w:r>
      <w:r w:rsidRPr="00F27422">
        <w:rPr>
          <w:rFonts w:ascii="mylotus" w:hAnsi="mylotus"/>
          <w:sz w:val="32"/>
          <w:rtl/>
        </w:rPr>
        <w:t>التصر</w:t>
      </w:r>
      <w:r w:rsidRPr="00F27422">
        <w:rPr>
          <w:rFonts w:ascii="mylotus" w:hAnsi="mylotus" w:hint="cs"/>
          <w:sz w:val="32"/>
          <w:rtl/>
        </w:rPr>
        <w:t>ّ</w:t>
      </w:r>
      <w:r w:rsidRPr="00F27422">
        <w:rPr>
          <w:rFonts w:ascii="mylotus" w:hAnsi="mylotus"/>
          <w:sz w:val="32"/>
          <w:rtl/>
        </w:rPr>
        <w:t>ف لربما يتم كلامه (قدس سره)، وأمّا إذا كان المناط في الولاية المستفادُ من الأدلّة والمرتكزات المتشرعية استنادُ التصرّف للغبطة والمصلحة، لا الضرورة بحيث لو لم يتصرّف لفاتتْ منافع لازمة، فإذا شخص الوليُّ أنّ مصلحة الصبي في أمواله -</w:t>
      </w:r>
      <w:r w:rsidRPr="00F27422">
        <w:rPr>
          <w:rFonts w:ascii="mylotus" w:hAnsi="mylotus" w:hint="cs"/>
          <w:sz w:val="32"/>
          <w:rtl/>
        </w:rPr>
        <w:t xml:space="preserve"> </w:t>
      </w:r>
      <w:r w:rsidRPr="00F27422">
        <w:rPr>
          <w:rFonts w:ascii="mylotus" w:hAnsi="mylotus"/>
          <w:sz w:val="32"/>
          <w:rtl/>
        </w:rPr>
        <w:t xml:space="preserve">في مقابل عدم المصلحة - لا تتم بالفعل إلّا بإجارة الدار في مجموع الزمانين؛ لأنّ التبعيض بأنْ يُؤجّر دار الصبي في </w:t>
      </w:r>
      <w:r w:rsidRPr="00F27422">
        <w:rPr>
          <w:rFonts w:ascii="mylotus" w:hAnsi="mylotus"/>
          <w:sz w:val="32"/>
          <w:highlight w:val="yellow"/>
          <w:rtl/>
        </w:rPr>
        <w:t xml:space="preserve">فترة ما قبل البلوغ دون ما بعدها ليس فيه مصلحة للصبي فتصرّفه حينئذٍ نافذٌ؛ </w:t>
      </w:r>
      <w:r w:rsidRPr="00F27422">
        <w:rPr>
          <w:rFonts w:ascii="mylotus" w:hAnsi="mylotus"/>
          <w:sz w:val="32"/>
          <w:highlight w:val="yellow"/>
          <w:rtl/>
        </w:rPr>
        <w:lastRenderedPageBreak/>
        <w:t>لأنّه استند إلى الغبطة والمصلحة التي لا تتحقّق</w:t>
      </w:r>
      <w:r w:rsidRPr="00F27422">
        <w:rPr>
          <w:rFonts w:ascii="mylotus" w:hAnsi="mylotus"/>
          <w:sz w:val="32"/>
          <w:rtl/>
        </w:rPr>
        <w:t xml:space="preserve"> إلّا بالإجارة في مجموع الزمانين، أو يكون إجارة الدار مِن قِبَلِ الوليّ في خصوص زمن ما بعد البلوغ هو الصالح للصبي بالفعل، كما لو كان عمر الصبي بالفعل عشر سنوات </w:t>
      </w:r>
      <w:r w:rsidRPr="00F27422">
        <w:rPr>
          <w:rFonts w:ascii="mylotus" w:hAnsi="mylotus" w:hint="cs"/>
          <w:sz w:val="32"/>
          <w:rtl/>
        </w:rPr>
        <w:t>مع</w:t>
      </w:r>
      <w:r w:rsidRPr="00F27422">
        <w:rPr>
          <w:rFonts w:ascii="mylotus" w:hAnsi="mylotus"/>
          <w:sz w:val="32"/>
          <w:rtl/>
        </w:rPr>
        <w:t xml:space="preserve"> </w:t>
      </w:r>
      <w:r w:rsidRPr="00F27422">
        <w:rPr>
          <w:rFonts w:ascii="mylotus" w:hAnsi="mylotus" w:hint="cs"/>
          <w:sz w:val="32"/>
          <w:rtl/>
        </w:rPr>
        <w:t>القطع</w:t>
      </w:r>
      <w:r w:rsidRPr="00F27422">
        <w:rPr>
          <w:rFonts w:ascii="mylotus" w:hAnsi="mylotus"/>
          <w:sz w:val="32"/>
          <w:rtl/>
        </w:rPr>
        <w:t xml:space="preserve"> </w:t>
      </w:r>
      <w:r w:rsidRPr="00F27422">
        <w:rPr>
          <w:rFonts w:ascii="mylotus" w:hAnsi="mylotus" w:hint="cs"/>
          <w:sz w:val="32"/>
          <w:rtl/>
        </w:rPr>
        <w:t>ببلوغه</w:t>
      </w:r>
      <w:r w:rsidRPr="00F27422">
        <w:rPr>
          <w:rFonts w:ascii="mylotus" w:hAnsi="mylotus"/>
          <w:sz w:val="32"/>
          <w:rtl/>
        </w:rPr>
        <w:t xml:space="preserve"> </w:t>
      </w:r>
      <w:r w:rsidRPr="00F27422">
        <w:rPr>
          <w:rFonts w:ascii="mylotus" w:hAnsi="mylotus" w:hint="cs"/>
          <w:sz w:val="32"/>
          <w:rtl/>
        </w:rPr>
        <w:t>بعد</w:t>
      </w:r>
      <w:r w:rsidRPr="00F27422">
        <w:rPr>
          <w:rFonts w:ascii="mylotus" w:hAnsi="mylotus"/>
          <w:sz w:val="32"/>
          <w:rtl/>
        </w:rPr>
        <w:t xml:space="preserve"> </w:t>
      </w:r>
      <w:r w:rsidRPr="00F27422">
        <w:rPr>
          <w:rFonts w:ascii="mylotus" w:hAnsi="mylotus" w:hint="cs"/>
          <w:sz w:val="32"/>
          <w:rtl/>
        </w:rPr>
        <w:t>خمس</w:t>
      </w:r>
      <w:r w:rsidRPr="00F27422">
        <w:rPr>
          <w:rFonts w:ascii="mylotus" w:hAnsi="mylotus"/>
          <w:sz w:val="32"/>
          <w:rtl/>
        </w:rPr>
        <w:t xml:space="preserve"> </w:t>
      </w:r>
      <w:r w:rsidRPr="00F27422">
        <w:rPr>
          <w:rFonts w:ascii="mylotus" w:hAnsi="mylotus" w:hint="cs"/>
          <w:sz w:val="32"/>
          <w:rtl/>
        </w:rPr>
        <w:t>سنوات،</w:t>
      </w:r>
      <w:r w:rsidRPr="00F27422">
        <w:rPr>
          <w:rFonts w:ascii="mylotus" w:hAnsi="mylotus"/>
          <w:sz w:val="32"/>
          <w:rtl/>
        </w:rPr>
        <w:t xml:space="preserve"> </w:t>
      </w:r>
      <w:r w:rsidRPr="00F27422">
        <w:rPr>
          <w:rFonts w:ascii="mylotus" w:hAnsi="mylotus" w:hint="cs"/>
          <w:sz w:val="32"/>
          <w:rtl/>
        </w:rPr>
        <w:t>فقام</w:t>
      </w:r>
      <w:r w:rsidRPr="00F27422">
        <w:rPr>
          <w:rFonts w:ascii="mylotus" w:hAnsi="mylotus"/>
          <w:sz w:val="32"/>
          <w:rtl/>
        </w:rPr>
        <w:t xml:space="preserve"> </w:t>
      </w:r>
      <w:r w:rsidRPr="00F27422">
        <w:rPr>
          <w:rFonts w:ascii="mylotus" w:hAnsi="mylotus" w:hint="cs"/>
          <w:sz w:val="32"/>
          <w:highlight w:val="yellow"/>
          <w:rtl/>
        </w:rPr>
        <w:t>الوليّ</w:t>
      </w:r>
      <w:r w:rsidRPr="00F27422">
        <w:rPr>
          <w:rFonts w:ascii="mylotus" w:hAnsi="mylotus"/>
          <w:sz w:val="32"/>
          <w:highlight w:val="yellow"/>
          <w:rtl/>
        </w:rPr>
        <w:t xml:space="preserve"> </w:t>
      </w:r>
      <w:r w:rsidRPr="00F27422">
        <w:rPr>
          <w:rFonts w:ascii="mylotus" w:hAnsi="mylotus" w:hint="cs"/>
          <w:sz w:val="32"/>
          <w:highlight w:val="yellow"/>
          <w:rtl/>
        </w:rPr>
        <w:t>بإجارة</w:t>
      </w:r>
      <w:r w:rsidRPr="00F27422">
        <w:rPr>
          <w:rFonts w:ascii="mylotus" w:hAnsi="mylotus"/>
          <w:sz w:val="32"/>
          <w:highlight w:val="yellow"/>
          <w:rtl/>
        </w:rPr>
        <w:t xml:space="preserve"> </w:t>
      </w:r>
      <w:r w:rsidRPr="00F27422">
        <w:rPr>
          <w:rFonts w:ascii="mylotus" w:hAnsi="mylotus" w:hint="cs"/>
          <w:sz w:val="32"/>
          <w:highlight w:val="yellow"/>
          <w:rtl/>
        </w:rPr>
        <w:t>داره</w:t>
      </w:r>
      <w:r w:rsidRPr="00F27422">
        <w:rPr>
          <w:rFonts w:ascii="mylotus" w:hAnsi="mylotus"/>
          <w:sz w:val="32"/>
          <w:highlight w:val="yellow"/>
          <w:rtl/>
        </w:rPr>
        <w:t xml:space="preserve"> </w:t>
      </w:r>
      <w:r w:rsidRPr="00F27422">
        <w:rPr>
          <w:rFonts w:ascii="mylotus" w:hAnsi="mylotus" w:hint="cs"/>
          <w:sz w:val="32"/>
          <w:highlight w:val="yellow"/>
          <w:rtl/>
        </w:rPr>
        <w:t>ما</w:t>
      </w:r>
      <w:r w:rsidRPr="00F27422">
        <w:rPr>
          <w:rFonts w:ascii="mylotus" w:hAnsi="mylotus"/>
          <w:sz w:val="32"/>
          <w:highlight w:val="yellow"/>
          <w:rtl/>
        </w:rPr>
        <w:t xml:space="preserve"> </w:t>
      </w:r>
      <w:r w:rsidRPr="00F27422">
        <w:rPr>
          <w:rFonts w:ascii="mylotus" w:hAnsi="mylotus" w:hint="cs"/>
          <w:sz w:val="32"/>
          <w:highlight w:val="yellow"/>
          <w:rtl/>
        </w:rPr>
        <w:t>بعد</w:t>
      </w:r>
      <w:r w:rsidRPr="00F27422">
        <w:rPr>
          <w:rFonts w:ascii="mylotus" w:hAnsi="mylotus"/>
          <w:sz w:val="32"/>
          <w:highlight w:val="yellow"/>
          <w:rtl/>
        </w:rPr>
        <w:t xml:space="preserve"> </w:t>
      </w:r>
      <w:r w:rsidRPr="00F27422">
        <w:rPr>
          <w:rFonts w:ascii="mylotus" w:hAnsi="mylotus" w:hint="cs"/>
          <w:sz w:val="32"/>
          <w:highlight w:val="yellow"/>
          <w:rtl/>
        </w:rPr>
        <w:t>خمس</w:t>
      </w:r>
      <w:r w:rsidRPr="00F27422">
        <w:rPr>
          <w:rFonts w:ascii="mylotus" w:hAnsi="mylotus"/>
          <w:sz w:val="32"/>
          <w:highlight w:val="yellow"/>
          <w:rtl/>
        </w:rPr>
        <w:t xml:space="preserve"> </w:t>
      </w:r>
      <w:r w:rsidRPr="00F27422">
        <w:rPr>
          <w:rFonts w:ascii="mylotus" w:hAnsi="mylotus" w:hint="cs"/>
          <w:sz w:val="32"/>
          <w:highlight w:val="yellow"/>
          <w:rtl/>
        </w:rPr>
        <w:t>سنوات</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لاقتضاء</w:t>
      </w:r>
      <w:r w:rsidRPr="00F27422">
        <w:rPr>
          <w:rFonts w:ascii="mylotus" w:hAnsi="mylotus"/>
          <w:sz w:val="32"/>
          <w:rtl/>
        </w:rPr>
        <w:t xml:space="preserve"> </w:t>
      </w:r>
      <w:r w:rsidRPr="00F27422">
        <w:rPr>
          <w:rFonts w:ascii="mylotus" w:hAnsi="mylotus" w:hint="cs"/>
          <w:sz w:val="32"/>
          <w:rtl/>
        </w:rPr>
        <w:t>المصلحة</w:t>
      </w:r>
      <w:r w:rsidRPr="00F27422">
        <w:rPr>
          <w:rFonts w:ascii="mylotus" w:hAnsi="mylotus"/>
          <w:sz w:val="32"/>
          <w:rtl/>
        </w:rPr>
        <w:t xml:space="preserve"> </w:t>
      </w:r>
      <w:r w:rsidRPr="00F27422">
        <w:rPr>
          <w:rFonts w:ascii="mylotus" w:hAnsi="mylotus" w:hint="cs"/>
          <w:sz w:val="32"/>
          <w:rtl/>
        </w:rPr>
        <w:t>لذلك</w:t>
      </w:r>
      <w:r w:rsidRPr="00F27422">
        <w:rPr>
          <w:rFonts w:ascii="mylotus" w:hAnsi="mylotus"/>
          <w:sz w:val="32"/>
          <w:rtl/>
        </w:rPr>
        <w:t xml:space="preserve"> </w:t>
      </w:r>
      <w:r w:rsidRPr="00F27422">
        <w:rPr>
          <w:rFonts w:ascii="mylotus" w:hAnsi="mylotus" w:hint="cs"/>
          <w:sz w:val="32"/>
          <w:rtl/>
        </w:rPr>
        <w:t>بحسب</w:t>
      </w:r>
      <w:r w:rsidRPr="00F27422">
        <w:rPr>
          <w:rFonts w:ascii="mylotus" w:hAnsi="mylotus"/>
          <w:sz w:val="32"/>
          <w:rtl/>
        </w:rPr>
        <w:t xml:space="preserve"> </w:t>
      </w:r>
      <w:r w:rsidRPr="00F27422">
        <w:rPr>
          <w:rFonts w:ascii="mylotus" w:hAnsi="mylotus" w:hint="cs"/>
          <w:sz w:val="32"/>
          <w:rtl/>
        </w:rPr>
        <w:t>تشخيص</w:t>
      </w:r>
      <w:r w:rsidRPr="00F27422">
        <w:rPr>
          <w:rFonts w:ascii="mylotus" w:hAnsi="mylotus"/>
          <w:sz w:val="32"/>
          <w:rtl/>
        </w:rPr>
        <w:t xml:space="preserve"> </w:t>
      </w:r>
      <w:r w:rsidRPr="00F27422">
        <w:rPr>
          <w:rFonts w:ascii="mylotus" w:hAnsi="mylotus" w:hint="cs"/>
          <w:sz w:val="32"/>
          <w:rtl/>
        </w:rPr>
        <w:t>الوليّ</w:t>
      </w:r>
      <w:r w:rsidRPr="00F27422">
        <w:rPr>
          <w:rFonts w:ascii="mylotus" w:hAnsi="mylotus"/>
          <w:sz w:val="32"/>
          <w:rtl/>
        </w:rPr>
        <w:t xml:space="preserve"> </w:t>
      </w:r>
      <w:r w:rsidRPr="00F27422">
        <w:rPr>
          <w:rFonts w:ascii="mylotus" w:hAnsi="mylotus" w:hint="cs"/>
          <w:sz w:val="32"/>
          <w:rtl/>
        </w:rPr>
        <w:t>فإنّ</w:t>
      </w:r>
      <w:r w:rsidRPr="00F27422">
        <w:rPr>
          <w:rFonts w:ascii="mylotus" w:hAnsi="mylotus"/>
          <w:sz w:val="32"/>
          <w:rtl/>
        </w:rPr>
        <w:t xml:space="preserve"> </w:t>
      </w:r>
      <w:r w:rsidRPr="00F27422">
        <w:rPr>
          <w:rFonts w:ascii="mylotus" w:hAnsi="mylotus" w:hint="cs"/>
          <w:sz w:val="32"/>
          <w:rtl/>
        </w:rPr>
        <w:t>تصرّفه</w:t>
      </w:r>
      <w:r w:rsidRPr="00F27422">
        <w:rPr>
          <w:rFonts w:ascii="mylotus" w:hAnsi="mylotus"/>
          <w:sz w:val="32"/>
          <w:rtl/>
        </w:rPr>
        <w:t xml:space="preserve"> </w:t>
      </w:r>
      <w:r w:rsidRPr="00F27422">
        <w:rPr>
          <w:rFonts w:ascii="mylotus" w:hAnsi="mylotus" w:hint="cs"/>
          <w:sz w:val="32"/>
          <w:rtl/>
        </w:rPr>
        <w:t>نافذٌ</w:t>
      </w:r>
      <w:r w:rsidRPr="00F27422">
        <w:rPr>
          <w:rFonts w:ascii="mylotus" w:hAnsi="mylotus"/>
          <w:sz w:val="32"/>
          <w:rtl/>
        </w:rPr>
        <w:t xml:space="preserve">. </w:t>
      </w:r>
      <w:proofErr w:type="gramStart"/>
      <w:r w:rsidRPr="00F27422">
        <w:rPr>
          <w:rFonts w:ascii="mylotus" w:hAnsi="mylotus" w:hint="cs"/>
          <w:sz w:val="32"/>
          <w:rtl/>
        </w:rPr>
        <w:t>بل</w:t>
      </w:r>
      <w:proofErr w:type="gramEnd"/>
      <w:r w:rsidRPr="00F27422">
        <w:rPr>
          <w:rFonts w:ascii="mylotus" w:hAnsi="mylotus"/>
          <w:sz w:val="32"/>
          <w:rtl/>
        </w:rPr>
        <w:t xml:space="preserve"> </w:t>
      </w:r>
      <w:r w:rsidRPr="00F27422">
        <w:rPr>
          <w:rFonts w:ascii="mylotus" w:hAnsi="mylotus" w:hint="cs"/>
          <w:sz w:val="32"/>
          <w:rtl/>
        </w:rPr>
        <w:t>حتى</w:t>
      </w:r>
      <w:r w:rsidRPr="00F27422">
        <w:rPr>
          <w:rFonts w:ascii="mylotus" w:hAnsi="mylotus"/>
          <w:sz w:val="32"/>
          <w:rtl/>
        </w:rPr>
        <w:t xml:space="preserve"> </w:t>
      </w:r>
      <w:r w:rsidRPr="00F27422">
        <w:rPr>
          <w:rFonts w:ascii="mylotus" w:hAnsi="mylotus" w:hint="cs"/>
          <w:sz w:val="32"/>
          <w:rtl/>
        </w:rPr>
        <w:t>لو</w:t>
      </w:r>
      <w:r w:rsidRPr="00F27422">
        <w:rPr>
          <w:rFonts w:ascii="mylotus" w:hAnsi="mylotus"/>
          <w:sz w:val="32"/>
          <w:rtl/>
        </w:rPr>
        <w:t xml:space="preserve"> </w:t>
      </w:r>
      <w:r w:rsidRPr="00F27422">
        <w:rPr>
          <w:rFonts w:ascii="mylotus" w:hAnsi="mylotus" w:hint="cs"/>
          <w:sz w:val="32"/>
          <w:rtl/>
        </w:rPr>
        <w:t>قلنا</w:t>
      </w:r>
      <w:r w:rsidRPr="00F27422">
        <w:rPr>
          <w:rFonts w:ascii="mylotus" w:hAnsi="mylotus"/>
          <w:sz w:val="32"/>
          <w:rtl/>
        </w:rPr>
        <w:t xml:space="preserve"> </w:t>
      </w:r>
      <w:r w:rsidRPr="00F27422">
        <w:rPr>
          <w:rFonts w:ascii="mylotus" w:hAnsi="mylotus" w:hint="cs"/>
          <w:sz w:val="32"/>
          <w:rtl/>
        </w:rPr>
        <w:t>إنّ</w:t>
      </w:r>
      <w:r w:rsidRPr="00F27422">
        <w:rPr>
          <w:rFonts w:ascii="mylotus" w:hAnsi="mylotus"/>
          <w:sz w:val="32"/>
          <w:rtl/>
        </w:rPr>
        <w:t xml:space="preserve"> </w:t>
      </w:r>
      <w:r w:rsidRPr="00F27422">
        <w:rPr>
          <w:rFonts w:ascii="mylotus" w:hAnsi="mylotus" w:hint="cs"/>
          <w:sz w:val="32"/>
          <w:rtl/>
        </w:rPr>
        <w:t>المناط</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نفوذ</w:t>
      </w:r>
      <w:r w:rsidRPr="00F27422">
        <w:rPr>
          <w:rFonts w:ascii="mylotus" w:hAnsi="mylotus"/>
          <w:sz w:val="32"/>
          <w:rtl/>
        </w:rPr>
        <w:t xml:space="preserve"> </w:t>
      </w:r>
      <w:r w:rsidRPr="00F27422">
        <w:rPr>
          <w:rFonts w:ascii="mylotus" w:hAnsi="mylotus" w:hint="cs"/>
          <w:sz w:val="32"/>
          <w:rtl/>
        </w:rPr>
        <w:t>تصرّف</w:t>
      </w:r>
      <w:r w:rsidRPr="00F27422">
        <w:rPr>
          <w:rFonts w:ascii="mylotus" w:hAnsi="mylotus"/>
          <w:sz w:val="32"/>
          <w:rtl/>
        </w:rPr>
        <w:t xml:space="preserve"> </w:t>
      </w:r>
      <w:r w:rsidRPr="00F27422">
        <w:rPr>
          <w:rFonts w:ascii="mylotus" w:hAnsi="mylotus" w:hint="cs"/>
          <w:sz w:val="32"/>
          <w:rtl/>
        </w:rPr>
        <w:t>الوليّ</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الضرورة،</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حفظ</w:t>
      </w:r>
      <w:r w:rsidRPr="00F27422">
        <w:rPr>
          <w:rFonts w:ascii="mylotus" w:hAnsi="mylotus"/>
          <w:sz w:val="32"/>
          <w:rtl/>
        </w:rPr>
        <w:t xml:space="preserve"> </w:t>
      </w:r>
      <w:r w:rsidRPr="00F27422">
        <w:rPr>
          <w:rFonts w:ascii="mylotus" w:hAnsi="mylotus" w:hint="cs"/>
          <w:sz w:val="32"/>
          <w:rtl/>
        </w:rPr>
        <w:t>ما</w:t>
      </w:r>
      <w:r w:rsidRPr="00F27422">
        <w:rPr>
          <w:rFonts w:ascii="mylotus" w:hAnsi="mylotus"/>
          <w:sz w:val="32"/>
          <w:rtl/>
        </w:rPr>
        <w:t xml:space="preserve"> </w:t>
      </w:r>
      <w:r w:rsidRPr="00F27422">
        <w:rPr>
          <w:rFonts w:ascii="mylotus" w:hAnsi="mylotus" w:hint="cs"/>
          <w:sz w:val="32"/>
          <w:rtl/>
        </w:rPr>
        <w:t>يفوت</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المصالح</w:t>
      </w:r>
      <w:r w:rsidRPr="00F27422">
        <w:rPr>
          <w:rFonts w:ascii="mylotus" w:hAnsi="mylotus"/>
          <w:sz w:val="32"/>
          <w:rtl/>
        </w:rPr>
        <w:t xml:space="preserve"> </w:t>
      </w:r>
      <w:r w:rsidRPr="00F27422">
        <w:rPr>
          <w:rFonts w:ascii="mylotus" w:hAnsi="mylotus" w:hint="cs"/>
          <w:sz w:val="32"/>
          <w:rtl/>
        </w:rPr>
        <w:t>لولا</w:t>
      </w:r>
      <w:r w:rsidRPr="00F27422">
        <w:rPr>
          <w:rFonts w:ascii="mylotus" w:hAnsi="mylotus"/>
          <w:sz w:val="32"/>
          <w:rtl/>
        </w:rPr>
        <w:t xml:space="preserve"> </w:t>
      </w:r>
      <w:r w:rsidRPr="00F27422">
        <w:rPr>
          <w:rFonts w:ascii="mylotus" w:hAnsi="mylotus" w:hint="cs"/>
          <w:sz w:val="32"/>
          <w:rtl/>
        </w:rPr>
        <w:t>التصرّف</w:t>
      </w:r>
      <w:r w:rsidRPr="00F27422">
        <w:rPr>
          <w:rFonts w:ascii="mylotus" w:hAnsi="mylotus"/>
          <w:sz w:val="32"/>
          <w:rtl/>
        </w:rPr>
        <w:t xml:space="preserve"> </w:t>
      </w:r>
      <w:r w:rsidRPr="00F27422">
        <w:rPr>
          <w:rFonts w:ascii="mylotus" w:hAnsi="mylotus" w:hint="cs"/>
          <w:sz w:val="32"/>
          <w:rtl/>
        </w:rPr>
        <w:t>بحيث</w:t>
      </w:r>
      <w:r w:rsidRPr="00F27422">
        <w:rPr>
          <w:rFonts w:ascii="mylotus" w:hAnsi="mylotus"/>
          <w:sz w:val="32"/>
          <w:rtl/>
        </w:rPr>
        <w:t xml:space="preserve"> </w:t>
      </w:r>
      <w:r w:rsidRPr="00F27422">
        <w:rPr>
          <w:rFonts w:ascii="mylotus" w:hAnsi="mylotus" w:hint="cs"/>
          <w:sz w:val="32"/>
          <w:rtl/>
        </w:rPr>
        <w:t>لو</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يفعل</w:t>
      </w:r>
      <w:r w:rsidRPr="00F27422">
        <w:rPr>
          <w:rFonts w:ascii="mylotus" w:hAnsi="mylotus"/>
          <w:sz w:val="32"/>
          <w:rtl/>
        </w:rPr>
        <w:t xml:space="preserve"> </w:t>
      </w:r>
      <w:r w:rsidRPr="00F27422">
        <w:rPr>
          <w:rFonts w:ascii="mylotus" w:hAnsi="mylotus" w:hint="cs"/>
          <w:sz w:val="32"/>
          <w:rtl/>
        </w:rPr>
        <w:t>لكان</w:t>
      </w:r>
      <w:r w:rsidRPr="00F27422">
        <w:rPr>
          <w:rFonts w:ascii="mylotus" w:hAnsi="mylotus"/>
          <w:sz w:val="32"/>
          <w:rtl/>
        </w:rPr>
        <w:t xml:space="preserve"> </w:t>
      </w:r>
      <w:r w:rsidRPr="00F27422">
        <w:rPr>
          <w:rFonts w:ascii="mylotus" w:hAnsi="mylotus" w:hint="cs"/>
          <w:sz w:val="32"/>
          <w:rtl/>
        </w:rPr>
        <w:t>ملوماً</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قبل</w:t>
      </w:r>
      <w:r w:rsidRPr="00F27422">
        <w:rPr>
          <w:rFonts w:ascii="mylotus" w:hAnsi="mylotus"/>
          <w:sz w:val="32"/>
          <w:rtl/>
        </w:rPr>
        <w:t xml:space="preserve"> </w:t>
      </w:r>
      <w:r w:rsidRPr="00F27422">
        <w:rPr>
          <w:rFonts w:ascii="mylotus" w:hAnsi="mylotus" w:hint="cs"/>
          <w:sz w:val="32"/>
          <w:rtl/>
        </w:rPr>
        <w:t>العقلاء</w:t>
      </w:r>
      <w:r w:rsidRPr="00F27422">
        <w:rPr>
          <w:rFonts w:ascii="mylotus" w:hAnsi="mylotus"/>
          <w:sz w:val="32"/>
          <w:rtl/>
        </w:rPr>
        <w:t xml:space="preserve"> </w:t>
      </w:r>
      <w:r w:rsidRPr="00F27422">
        <w:rPr>
          <w:rFonts w:ascii="mylotus" w:hAnsi="mylotus" w:hint="cs"/>
          <w:sz w:val="32"/>
          <w:rtl/>
        </w:rPr>
        <w:t>فلا</w:t>
      </w:r>
      <w:r w:rsidRPr="00F27422">
        <w:rPr>
          <w:rFonts w:ascii="mylotus" w:hAnsi="mylotus"/>
          <w:sz w:val="32"/>
          <w:rtl/>
        </w:rPr>
        <w:t xml:space="preserve"> </w:t>
      </w:r>
      <w:r w:rsidRPr="00F27422">
        <w:rPr>
          <w:rFonts w:ascii="mylotus" w:hAnsi="mylotus" w:hint="cs"/>
          <w:sz w:val="32"/>
          <w:rtl/>
        </w:rPr>
        <w:t>محالة</w:t>
      </w:r>
      <w:r w:rsidRPr="00F27422">
        <w:rPr>
          <w:rFonts w:ascii="mylotus" w:hAnsi="mylotus"/>
          <w:sz w:val="32"/>
          <w:rtl/>
        </w:rPr>
        <w:t xml:space="preserve"> </w:t>
      </w:r>
      <w:r w:rsidRPr="00F27422">
        <w:rPr>
          <w:rFonts w:ascii="mylotus" w:hAnsi="mylotus" w:hint="cs"/>
          <w:sz w:val="32"/>
          <w:rtl/>
        </w:rPr>
        <w:t>يكون</w:t>
      </w:r>
      <w:r w:rsidRPr="00F27422">
        <w:rPr>
          <w:rFonts w:ascii="mylotus" w:hAnsi="mylotus"/>
          <w:sz w:val="32"/>
          <w:rtl/>
        </w:rPr>
        <w:t xml:space="preserve"> </w:t>
      </w:r>
      <w:r w:rsidRPr="00F27422">
        <w:rPr>
          <w:rFonts w:ascii="mylotus" w:hAnsi="mylotus" w:hint="cs"/>
          <w:sz w:val="32"/>
          <w:rtl/>
        </w:rPr>
        <w:t>تصرّفه</w:t>
      </w:r>
      <w:r w:rsidRPr="00F27422">
        <w:rPr>
          <w:rFonts w:ascii="mylotus" w:hAnsi="mylotus"/>
          <w:sz w:val="32"/>
          <w:rtl/>
        </w:rPr>
        <w:t xml:space="preserve"> </w:t>
      </w:r>
      <w:r w:rsidRPr="00F27422">
        <w:rPr>
          <w:rFonts w:ascii="mylotus" w:hAnsi="mylotus" w:hint="cs"/>
          <w:sz w:val="32"/>
          <w:rtl/>
        </w:rPr>
        <w:t>نافذاً</w:t>
      </w:r>
      <w:r w:rsidRPr="00F27422">
        <w:rPr>
          <w:rFonts w:ascii="mylotus" w:hAnsi="mylotus"/>
          <w:sz w:val="32"/>
        </w:rPr>
        <w:t>.</w:t>
      </w:r>
    </w:p>
    <w:p w14:paraId="293B8A72"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sz w:val="32"/>
          <w:rtl/>
        </w:rPr>
        <w:t>فإن</w:t>
      </w:r>
      <w:r w:rsidRPr="00F27422">
        <w:rPr>
          <w:rFonts w:ascii="mylotus" w:hAnsi="mylotus" w:hint="cs"/>
          <w:sz w:val="32"/>
          <w:rtl/>
        </w:rPr>
        <w:t>ّ</w:t>
      </w:r>
      <w:r w:rsidRPr="00F27422">
        <w:rPr>
          <w:rFonts w:ascii="mylotus" w:hAnsi="mylotus"/>
          <w:sz w:val="32"/>
          <w:rtl/>
        </w:rPr>
        <w:t xml:space="preserve"> المدار في نفوذ التصر</w:t>
      </w:r>
      <w:r w:rsidRPr="00F27422">
        <w:rPr>
          <w:rFonts w:ascii="mylotus" w:hAnsi="mylotus" w:hint="cs"/>
          <w:sz w:val="32"/>
          <w:rtl/>
        </w:rPr>
        <w:t>ّ</w:t>
      </w:r>
      <w:r w:rsidRPr="00F27422">
        <w:rPr>
          <w:rFonts w:ascii="mylotus" w:hAnsi="mylotus"/>
          <w:sz w:val="32"/>
          <w:rtl/>
        </w:rPr>
        <w:t>ف على المناط، سواء كان هو الغبطة والمصلحة أو</w:t>
      </w:r>
      <w:r w:rsidRPr="00F27422">
        <w:rPr>
          <w:rFonts w:ascii="mylotus" w:hAnsi="mylotus" w:hint="cs"/>
          <w:sz w:val="32"/>
          <w:rtl/>
        </w:rPr>
        <w:t xml:space="preserve"> </w:t>
      </w:r>
      <w:r w:rsidRPr="00F27422">
        <w:rPr>
          <w:rFonts w:ascii="mylotus" w:hAnsi="mylotus"/>
          <w:sz w:val="32"/>
          <w:rtl/>
        </w:rPr>
        <w:t xml:space="preserve">كان هو حفظ المصالح اللازمة، فإذا شخص الوليُّ أنّ مصلحة الصبي اللازمة بإجارة الدار </w:t>
      </w:r>
      <w:proofErr w:type="gramStart"/>
      <w:r w:rsidRPr="00F27422">
        <w:rPr>
          <w:rFonts w:ascii="mylotus" w:hAnsi="mylotus"/>
          <w:sz w:val="32"/>
          <w:rtl/>
        </w:rPr>
        <w:t>في ما</w:t>
      </w:r>
      <w:proofErr w:type="gramEnd"/>
      <w:r w:rsidRPr="00F27422">
        <w:rPr>
          <w:rFonts w:ascii="mylotus" w:hAnsi="mylotus"/>
          <w:sz w:val="32"/>
          <w:rtl/>
        </w:rPr>
        <w:t xml:space="preserve"> بعد خمس سنين - التي هي الفترة ما بعد البلوغ - لكانت إجارته نافذة</w:t>
      </w:r>
      <w:r w:rsidRPr="00F27422">
        <w:rPr>
          <w:rFonts w:ascii="mylotus" w:hAnsi="mylotus"/>
          <w:sz w:val="32"/>
        </w:rPr>
        <w:t>.</w:t>
      </w:r>
    </w:p>
    <w:p w14:paraId="6C3B0FE7"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الإيراد</w:t>
      </w:r>
      <w:r w:rsidRPr="00F27422">
        <w:rPr>
          <w:rFonts w:ascii="mylotus" w:hAnsi="mylotus" w:hint="cs"/>
          <w:b/>
          <w:bCs/>
          <w:sz w:val="32"/>
          <w:rtl/>
        </w:rPr>
        <w:t>ُ</w:t>
      </w:r>
      <w:r w:rsidRPr="00F27422">
        <w:rPr>
          <w:rFonts w:ascii="mylotus" w:hAnsi="mylotus"/>
          <w:b/>
          <w:bCs/>
          <w:sz w:val="32"/>
          <w:rtl/>
        </w:rPr>
        <w:t xml:space="preserve"> الثاني:</w:t>
      </w:r>
      <w:r w:rsidRPr="00F27422">
        <w:rPr>
          <w:rFonts w:ascii="mylotus" w:hAnsi="mylotus"/>
          <w:sz w:val="32"/>
          <w:rtl/>
        </w:rPr>
        <w:t xml:space="preserve"> ما</w:t>
      </w:r>
      <w:r w:rsidRPr="00F27422">
        <w:rPr>
          <w:rFonts w:ascii="mylotus" w:hAnsi="mylotus" w:hint="cs"/>
          <w:sz w:val="32"/>
          <w:rtl/>
        </w:rPr>
        <w:t xml:space="preserve"> </w:t>
      </w:r>
      <w:r w:rsidRPr="00F27422">
        <w:rPr>
          <w:rFonts w:ascii="mylotus" w:hAnsi="mylotus"/>
          <w:sz w:val="32"/>
          <w:rtl/>
        </w:rPr>
        <w:t>نقل في الجواهر عن الإرشاد [جواهر الكلام في شرح شرائع الإسلام، الشيخ محمد حسن الجواهري النجفي، دار إحياء التراث العربي، ج27، ص334]</w:t>
      </w:r>
      <w:r w:rsidRPr="00F27422">
        <w:rPr>
          <w:rFonts w:ascii="mylotus" w:hAnsi="mylotus" w:hint="cs"/>
          <w:sz w:val="32"/>
          <w:rtl/>
        </w:rPr>
        <w:t>،</w:t>
      </w:r>
      <w:r w:rsidRPr="00F27422">
        <w:rPr>
          <w:rFonts w:ascii="mylotus" w:hAnsi="mylotus"/>
          <w:sz w:val="32"/>
          <w:rtl/>
        </w:rPr>
        <w:t xml:space="preserve"> كما استعرضه بعض الأجلة (رحمه الله) في كتابه [تفصيل الشريعة - الإجارة، مركز فقه الأئمة الأطهار (عليهم السلام)، ص214 - 215]</w:t>
      </w:r>
      <w:r w:rsidRPr="00F27422">
        <w:rPr>
          <w:rFonts w:ascii="mylotus" w:hAnsi="mylotus"/>
          <w:sz w:val="32"/>
        </w:rPr>
        <w:t>.</w:t>
      </w:r>
    </w:p>
    <w:p w14:paraId="30DDFE9D"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وحاصله أنْ يُقال:</w:t>
      </w:r>
      <w:r w:rsidRPr="00F27422">
        <w:rPr>
          <w:rFonts w:ascii="mylotus" w:hAnsi="mylotus"/>
          <w:sz w:val="32"/>
          <w:rtl/>
        </w:rPr>
        <w:t xml:space="preserve"> إنّ الإجارة في المدّة المحتملة للبلوغ، اعتماداً على استصحاب عدم البلوغ فيه إجارةٌ </w:t>
      </w:r>
      <w:proofErr w:type="spellStart"/>
      <w:r w:rsidRPr="00F27422">
        <w:rPr>
          <w:rFonts w:ascii="mylotus" w:hAnsi="mylotus"/>
          <w:sz w:val="32"/>
          <w:rtl/>
        </w:rPr>
        <w:t>غررية</w:t>
      </w:r>
      <w:proofErr w:type="spellEnd"/>
      <w:r w:rsidRPr="00F27422">
        <w:rPr>
          <w:rFonts w:ascii="mylotus" w:hAnsi="mylotus" w:hint="cs"/>
          <w:sz w:val="32"/>
          <w:rtl/>
        </w:rPr>
        <w:t>؛</w:t>
      </w:r>
      <w:r w:rsidRPr="00F27422">
        <w:rPr>
          <w:rFonts w:ascii="mylotus" w:hAnsi="mylotus"/>
          <w:sz w:val="32"/>
          <w:rtl/>
        </w:rPr>
        <w:t xml:space="preserve"> لاحتمال مصادفة </w:t>
      </w:r>
      <w:proofErr w:type="spellStart"/>
      <w:r w:rsidRPr="00F27422">
        <w:rPr>
          <w:rFonts w:ascii="mylotus" w:hAnsi="mylotus"/>
          <w:sz w:val="32"/>
          <w:rtl/>
        </w:rPr>
        <w:t>بلوغة</w:t>
      </w:r>
      <w:proofErr w:type="spellEnd"/>
      <w:r w:rsidRPr="00F27422">
        <w:rPr>
          <w:rFonts w:ascii="mylotus" w:hAnsi="mylotus"/>
          <w:sz w:val="32"/>
          <w:rtl/>
        </w:rPr>
        <w:t xml:space="preserve"> في هذه الفترة</w:t>
      </w:r>
      <w:r w:rsidRPr="00F27422">
        <w:rPr>
          <w:rFonts w:ascii="mylotus" w:hAnsi="mylotus"/>
          <w:sz w:val="32"/>
        </w:rPr>
        <w:t>.</w:t>
      </w:r>
    </w:p>
    <w:p w14:paraId="4F7DA3E0"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sz w:val="32"/>
          <w:rtl/>
        </w:rPr>
        <w:t>كما لو كان عمر الصبي مثلاً اثني عشر سنة، والمتيقن من زمن البلوغ أن</w:t>
      </w:r>
      <w:r w:rsidRPr="00F27422">
        <w:rPr>
          <w:rFonts w:ascii="mylotus" w:hAnsi="mylotus" w:hint="cs"/>
          <w:sz w:val="32"/>
          <w:rtl/>
        </w:rPr>
        <w:t>ْ</w:t>
      </w:r>
      <w:r w:rsidRPr="00F27422">
        <w:rPr>
          <w:rFonts w:ascii="mylotus" w:hAnsi="mylotus"/>
          <w:sz w:val="32"/>
          <w:rtl/>
        </w:rPr>
        <w:t xml:space="preserve"> يتم</w:t>
      </w:r>
      <w:r w:rsidRPr="00F27422">
        <w:rPr>
          <w:rFonts w:ascii="mylotus" w:hAnsi="mylotus" w:hint="cs"/>
          <w:sz w:val="32"/>
          <w:rtl/>
        </w:rPr>
        <w:t>ّ</w:t>
      </w:r>
      <w:r w:rsidRPr="00F27422">
        <w:rPr>
          <w:rFonts w:ascii="mylotus" w:hAnsi="mylotus"/>
          <w:sz w:val="32"/>
          <w:rtl/>
        </w:rPr>
        <w:t xml:space="preserve"> خمسة عشر سنة، فآجر</w:t>
      </w:r>
      <w:r w:rsidRPr="00F27422">
        <w:rPr>
          <w:rFonts w:ascii="mylotus" w:hAnsi="mylotus" w:hint="cs"/>
          <w:sz w:val="32"/>
          <w:rtl/>
        </w:rPr>
        <w:t xml:space="preserve"> </w:t>
      </w:r>
      <w:r w:rsidRPr="00F27422">
        <w:rPr>
          <w:rFonts w:ascii="mylotus" w:hAnsi="mylotus"/>
          <w:sz w:val="32"/>
          <w:rtl/>
        </w:rPr>
        <w:t>الولي</w:t>
      </w:r>
      <w:r w:rsidRPr="00F27422">
        <w:rPr>
          <w:rFonts w:ascii="mylotus" w:hAnsi="mylotus" w:hint="cs"/>
          <w:sz w:val="32"/>
          <w:rtl/>
        </w:rPr>
        <w:t>ُّ</w:t>
      </w:r>
      <w:r w:rsidRPr="00F27422">
        <w:rPr>
          <w:rFonts w:ascii="mylotus" w:hAnsi="mylotus"/>
          <w:sz w:val="32"/>
          <w:rtl/>
        </w:rPr>
        <w:t xml:space="preserve"> داره ثلاث سنين إلّا شهراً باستصحاب عدم البلوغ في هذه </w:t>
      </w:r>
      <w:proofErr w:type="gramStart"/>
      <w:r w:rsidRPr="00F27422">
        <w:rPr>
          <w:rFonts w:ascii="mylotus" w:hAnsi="mylotus"/>
          <w:sz w:val="32"/>
          <w:rtl/>
        </w:rPr>
        <w:t>الفترة</w:t>
      </w:r>
      <w:r w:rsidRPr="00F27422">
        <w:rPr>
          <w:rFonts w:ascii="mylotus" w:hAnsi="mylotus"/>
          <w:sz w:val="32"/>
        </w:rPr>
        <w:t xml:space="preserve"> .</w:t>
      </w:r>
      <w:proofErr w:type="gramEnd"/>
    </w:p>
    <w:p w14:paraId="2204B639"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ويلاحظ على ذلك:</w:t>
      </w:r>
    </w:p>
    <w:p w14:paraId="29CF6720"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أولا</w:t>
      </w:r>
      <w:r w:rsidRPr="00F27422">
        <w:rPr>
          <w:rFonts w:ascii="mylotus" w:hAnsi="mylotus" w:hint="cs"/>
          <w:b/>
          <w:bCs/>
          <w:sz w:val="32"/>
          <w:rtl/>
        </w:rPr>
        <w:t>ً</w:t>
      </w:r>
      <w:r w:rsidRPr="00F27422">
        <w:rPr>
          <w:rFonts w:ascii="mylotus" w:hAnsi="mylotus"/>
          <w:b/>
          <w:bCs/>
          <w:sz w:val="32"/>
          <w:rtl/>
        </w:rPr>
        <w:t>:</w:t>
      </w:r>
      <w:r w:rsidRPr="00F27422">
        <w:rPr>
          <w:rFonts w:ascii="mylotus" w:hAnsi="mylotus" w:hint="cs"/>
          <w:sz w:val="32"/>
          <w:rtl/>
        </w:rPr>
        <w:t xml:space="preserve"> </w:t>
      </w:r>
      <w:r w:rsidRPr="00F27422">
        <w:rPr>
          <w:rFonts w:ascii="mylotus" w:hAnsi="mylotus"/>
          <w:sz w:val="32"/>
          <w:rtl/>
        </w:rPr>
        <w:t>أنّ الإشكال إنّما يرد على تقدير القول ببطلان الإجارة فيما بعد البلوغ، فحيث يحتمل مصادفة ذلك</w:t>
      </w:r>
      <w:r w:rsidRPr="00F27422">
        <w:rPr>
          <w:rFonts w:ascii="mylotus" w:hAnsi="mylotus"/>
          <w:sz w:val="32"/>
        </w:rPr>
        <w:t xml:space="preserve"> </w:t>
      </w:r>
      <w:r w:rsidRPr="00F27422">
        <w:rPr>
          <w:rFonts w:ascii="mylotus" w:hAnsi="mylotus"/>
          <w:sz w:val="32"/>
          <w:rtl/>
        </w:rPr>
        <w:t xml:space="preserve">تكون </w:t>
      </w:r>
      <w:proofErr w:type="spellStart"/>
      <w:r w:rsidRPr="00F27422">
        <w:rPr>
          <w:rFonts w:ascii="mylotus" w:hAnsi="mylotus"/>
          <w:sz w:val="32"/>
          <w:rtl/>
        </w:rPr>
        <w:t>غررية</w:t>
      </w:r>
      <w:proofErr w:type="spellEnd"/>
      <w:r w:rsidRPr="00F27422">
        <w:rPr>
          <w:rFonts w:ascii="mylotus" w:hAnsi="mylotus"/>
          <w:sz w:val="32"/>
          <w:rtl/>
        </w:rPr>
        <w:t>، بينما لو قلنا بصحّة الإجارة فيما بعد البلوغ فلا مورد للإشكال.</w:t>
      </w:r>
    </w:p>
    <w:p w14:paraId="14B3F5DE"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وثانيا</w:t>
      </w:r>
      <w:r w:rsidRPr="00F27422">
        <w:rPr>
          <w:rFonts w:ascii="mylotus" w:hAnsi="mylotus" w:hint="cs"/>
          <w:b/>
          <w:bCs/>
          <w:sz w:val="32"/>
          <w:rtl/>
        </w:rPr>
        <w:t>ً</w:t>
      </w:r>
      <w:r w:rsidRPr="00F27422">
        <w:rPr>
          <w:rFonts w:ascii="mylotus" w:hAnsi="mylotus"/>
          <w:b/>
          <w:bCs/>
          <w:sz w:val="32"/>
          <w:rtl/>
        </w:rPr>
        <w:t>:</w:t>
      </w:r>
      <w:r w:rsidRPr="00F27422">
        <w:rPr>
          <w:rFonts w:ascii="mylotus" w:hAnsi="mylotus"/>
          <w:sz w:val="32"/>
          <w:rtl/>
        </w:rPr>
        <w:t xml:space="preserve"> إن</w:t>
      </w:r>
      <w:r w:rsidRPr="00F27422">
        <w:rPr>
          <w:rFonts w:ascii="mylotus" w:hAnsi="mylotus" w:hint="cs"/>
          <w:sz w:val="32"/>
          <w:rtl/>
        </w:rPr>
        <w:t>ّ</w:t>
      </w:r>
      <w:r w:rsidRPr="00F27422">
        <w:rPr>
          <w:rFonts w:ascii="mylotus" w:hAnsi="mylotus"/>
          <w:sz w:val="32"/>
          <w:rtl/>
        </w:rPr>
        <w:t xml:space="preserve"> الغرر المانع من صح</w:t>
      </w:r>
      <w:r w:rsidRPr="00F27422">
        <w:rPr>
          <w:rFonts w:ascii="mylotus" w:hAnsi="mylotus" w:hint="cs"/>
          <w:sz w:val="32"/>
          <w:rtl/>
        </w:rPr>
        <w:t>ّ</w:t>
      </w:r>
      <w:r w:rsidRPr="00F27422">
        <w:rPr>
          <w:rFonts w:ascii="mylotus" w:hAnsi="mylotus"/>
          <w:sz w:val="32"/>
          <w:rtl/>
        </w:rPr>
        <w:t>ة المعاملة الجهالة المفضية للخطر المالي، ولا</w:t>
      </w:r>
      <w:r w:rsidRPr="00F27422">
        <w:rPr>
          <w:rFonts w:ascii="mylotus" w:hAnsi="mylotus" w:hint="cs"/>
          <w:sz w:val="32"/>
          <w:rtl/>
        </w:rPr>
        <w:t xml:space="preserve"> </w:t>
      </w:r>
      <w:r w:rsidRPr="00F27422">
        <w:rPr>
          <w:rFonts w:ascii="mylotus" w:hAnsi="mylotus"/>
          <w:sz w:val="32"/>
          <w:rtl/>
        </w:rPr>
        <w:t>خطر في المقام</w:t>
      </w:r>
      <w:r w:rsidRPr="00F27422">
        <w:rPr>
          <w:rFonts w:ascii="mylotus" w:hAnsi="mylotus" w:hint="cs"/>
          <w:sz w:val="32"/>
          <w:rtl/>
        </w:rPr>
        <w:t>؛</w:t>
      </w:r>
      <w:r w:rsidRPr="00F27422">
        <w:rPr>
          <w:rFonts w:ascii="mylotus" w:hAnsi="mylotus"/>
          <w:sz w:val="32"/>
          <w:rtl/>
        </w:rPr>
        <w:t xml:space="preserve"> إذ المفروض أنّ المدّة معلومة - وهي ثلاث سنوات إلّا شهر - والمُستأجر ملتفتٌ إلى أنّ الإجارة تامّةُ الشرائط غاية ما في الأمر أن</w:t>
      </w:r>
      <w:r w:rsidRPr="00F27422">
        <w:rPr>
          <w:rFonts w:ascii="mylotus" w:hAnsi="mylotus" w:hint="cs"/>
          <w:sz w:val="32"/>
          <w:rtl/>
        </w:rPr>
        <w:t>ّ</w:t>
      </w:r>
      <w:r w:rsidRPr="00F27422">
        <w:rPr>
          <w:rFonts w:ascii="mylotus" w:hAnsi="mylotus"/>
          <w:sz w:val="32"/>
          <w:rtl/>
        </w:rPr>
        <w:t xml:space="preserve">ه إنْ بلغ الصبي في الأثناء فهي فضوليّةٌ تتوقّف على إجازته، فإنْ لم يجز رجع له من الأجرة بمقدار ما بقي من المدّة، فلا غرر في </w:t>
      </w:r>
      <w:proofErr w:type="gramStart"/>
      <w:r w:rsidRPr="00F27422">
        <w:rPr>
          <w:rFonts w:ascii="mylotus" w:hAnsi="mylotus"/>
          <w:sz w:val="32"/>
          <w:rtl/>
        </w:rPr>
        <w:t>البين</w:t>
      </w:r>
      <w:r w:rsidRPr="00F27422">
        <w:rPr>
          <w:rFonts w:ascii="mylotus" w:hAnsi="mylotus"/>
          <w:sz w:val="32"/>
        </w:rPr>
        <w:t xml:space="preserve"> .</w:t>
      </w:r>
      <w:proofErr w:type="gramEnd"/>
    </w:p>
    <w:p w14:paraId="56EC04D0"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الإيراد</w:t>
      </w:r>
      <w:r w:rsidRPr="00F27422">
        <w:rPr>
          <w:rFonts w:ascii="mylotus" w:hAnsi="mylotus" w:hint="cs"/>
          <w:b/>
          <w:bCs/>
          <w:sz w:val="32"/>
          <w:rtl/>
        </w:rPr>
        <w:t>ُ</w:t>
      </w:r>
      <w:r w:rsidRPr="00F27422">
        <w:rPr>
          <w:rFonts w:ascii="mylotus" w:hAnsi="mylotus"/>
          <w:b/>
          <w:bCs/>
          <w:sz w:val="32"/>
          <w:rtl/>
        </w:rPr>
        <w:t xml:space="preserve"> الثالث:</w:t>
      </w:r>
      <w:r w:rsidRPr="00F27422">
        <w:rPr>
          <w:rFonts w:ascii="mylotus" w:hAnsi="mylotus"/>
          <w:sz w:val="32"/>
          <w:rtl/>
        </w:rPr>
        <w:t xml:space="preserve"> أنّ الحكم الظاهري ومنه الأصل العملي وهو استصحاب عدم البلوغ إنّما يُثبتُ الإجزاء كما ذكر</w:t>
      </w:r>
      <w:r w:rsidRPr="00F27422">
        <w:rPr>
          <w:rFonts w:ascii="mylotus" w:hAnsi="mylotus" w:hint="cs"/>
          <w:sz w:val="32"/>
          <w:rtl/>
        </w:rPr>
        <w:t xml:space="preserve"> - </w:t>
      </w:r>
      <w:r w:rsidRPr="00F27422">
        <w:rPr>
          <w:rFonts w:ascii="mylotus" w:hAnsi="mylotus"/>
          <w:sz w:val="32"/>
          <w:rtl/>
        </w:rPr>
        <w:t>في علم الأصول في بحث الإجزاء</w:t>
      </w:r>
      <w:r w:rsidRPr="00F27422">
        <w:rPr>
          <w:rFonts w:ascii="mylotus" w:hAnsi="mylotus" w:hint="cs"/>
          <w:sz w:val="32"/>
          <w:rtl/>
        </w:rPr>
        <w:t xml:space="preserve"> -</w:t>
      </w:r>
      <w:r w:rsidRPr="00F27422">
        <w:rPr>
          <w:rFonts w:ascii="mylotus" w:hAnsi="mylotus"/>
          <w:sz w:val="32"/>
          <w:rtl/>
        </w:rPr>
        <w:t xml:space="preserve"> في الحكم التكليفي لا في الحكم الوضعي، كما إذا قلّد العامي فقيهاً ثمّ توفي فقلّد فقيهاً آخر، وبتقليده للفقيه الآخر انكشف أن</w:t>
      </w:r>
      <w:r w:rsidRPr="00F27422">
        <w:rPr>
          <w:rFonts w:ascii="mylotus" w:hAnsi="mylotus" w:hint="cs"/>
          <w:sz w:val="32"/>
          <w:rtl/>
        </w:rPr>
        <w:t>ّ</w:t>
      </w:r>
      <w:r w:rsidRPr="00F27422">
        <w:rPr>
          <w:rFonts w:ascii="mylotus" w:hAnsi="mylotus"/>
          <w:sz w:val="32"/>
          <w:rtl/>
        </w:rPr>
        <w:t xml:space="preserve"> غسله وصلاته السابقة باطلة بنظر الفقيه الثاني، فهنا قد اِدُعي قيام الإجماع أو</w:t>
      </w:r>
      <w:r w:rsidRPr="00F27422">
        <w:rPr>
          <w:rFonts w:ascii="mylotus" w:hAnsi="mylotus" w:hint="cs"/>
          <w:sz w:val="32"/>
          <w:rtl/>
        </w:rPr>
        <w:t xml:space="preserve"> </w:t>
      </w:r>
      <w:r w:rsidRPr="00F27422">
        <w:rPr>
          <w:rFonts w:ascii="mylotus" w:hAnsi="mylotus"/>
          <w:sz w:val="32"/>
          <w:rtl/>
        </w:rPr>
        <w:t>المرتكز المتشرعي على الإجزاء والحكم بصح</w:t>
      </w:r>
      <w:r w:rsidRPr="00F27422">
        <w:rPr>
          <w:rFonts w:ascii="mylotus" w:hAnsi="mylotus" w:hint="cs"/>
          <w:sz w:val="32"/>
          <w:rtl/>
        </w:rPr>
        <w:t>ّ</w:t>
      </w:r>
      <w:r w:rsidRPr="00F27422">
        <w:rPr>
          <w:rFonts w:ascii="mylotus" w:hAnsi="mylotus"/>
          <w:sz w:val="32"/>
          <w:rtl/>
        </w:rPr>
        <w:t xml:space="preserve">ة أعماله وإنْ كانت بنظر الفقيه الثاني باطلة، </w:t>
      </w:r>
      <w:r w:rsidRPr="00F27422">
        <w:rPr>
          <w:rFonts w:ascii="mylotus" w:hAnsi="mylotus" w:hint="cs"/>
          <w:sz w:val="32"/>
          <w:rtl/>
        </w:rPr>
        <w:t>إ</w:t>
      </w:r>
      <w:r w:rsidRPr="00F27422">
        <w:rPr>
          <w:rFonts w:ascii="mylotus" w:hAnsi="mylotus"/>
          <w:sz w:val="32"/>
          <w:rtl/>
        </w:rPr>
        <w:t>ل</w:t>
      </w:r>
      <w:r w:rsidRPr="00F27422">
        <w:rPr>
          <w:rFonts w:ascii="mylotus" w:hAnsi="mylotus" w:hint="cs"/>
          <w:sz w:val="32"/>
          <w:rtl/>
        </w:rPr>
        <w:t>ّ</w:t>
      </w:r>
      <w:r w:rsidRPr="00F27422">
        <w:rPr>
          <w:rFonts w:ascii="mylotus" w:hAnsi="mylotus"/>
          <w:sz w:val="32"/>
          <w:rtl/>
        </w:rPr>
        <w:t>ا أن</w:t>
      </w:r>
      <w:r w:rsidRPr="00F27422">
        <w:rPr>
          <w:rFonts w:ascii="mylotus" w:hAnsi="mylotus" w:hint="cs"/>
          <w:sz w:val="32"/>
          <w:rtl/>
        </w:rPr>
        <w:t>ّ</w:t>
      </w:r>
      <w:r w:rsidRPr="00F27422">
        <w:rPr>
          <w:rFonts w:ascii="mylotus" w:hAnsi="mylotus"/>
          <w:sz w:val="32"/>
          <w:rtl/>
        </w:rPr>
        <w:t xml:space="preserve"> مورد دعوى الإجزاء هو الحكم التكليفي، أي: سقوط الأمر، وأمّا مورد الحكم الوضعي كما لو بني على جريان ال</w:t>
      </w:r>
      <w:r w:rsidRPr="00F27422">
        <w:rPr>
          <w:rFonts w:ascii="mylotus" w:hAnsi="mylotus" w:hint="cs"/>
          <w:sz w:val="32"/>
          <w:rtl/>
        </w:rPr>
        <w:t>ا</w:t>
      </w:r>
      <w:r w:rsidRPr="00F27422">
        <w:rPr>
          <w:rFonts w:ascii="mylotus" w:hAnsi="mylotus"/>
          <w:sz w:val="32"/>
          <w:rtl/>
        </w:rPr>
        <w:t>ستصحاب في الشبهات الحكمية، وبناء عليه جرى استصحاب الزوجية أو الم</w:t>
      </w:r>
      <w:r w:rsidRPr="00F27422">
        <w:rPr>
          <w:rFonts w:ascii="mylotus" w:hAnsi="mylotus" w:hint="cs"/>
          <w:sz w:val="32"/>
          <w:rtl/>
        </w:rPr>
        <w:t>ِ</w:t>
      </w:r>
      <w:r w:rsidRPr="00F27422">
        <w:rPr>
          <w:rFonts w:ascii="mylotus" w:hAnsi="mylotus"/>
          <w:sz w:val="32"/>
          <w:rtl/>
        </w:rPr>
        <w:t>لكي</w:t>
      </w:r>
      <w:r w:rsidRPr="00F27422">
        <w:rPr>
          <w:rFonts w:ascii="mylotus" w:hAnsi="mylotus" w:hint="cs"/>
          <w:sz w:val="32"/>
          <w:rtl/>
        </w:rPr>
        <w:t>َّ</w:t>
      </w:r>
      <w:r w:rsidRPr="00F27422">
        <w:rPr>
          <w:rFonts w:ascii="mylotus" w:hAnsi="mylotus"/>
          <w:sz w:val="32"/>
          <w:rtl/>
        </w:rPr>
        <w:t>ة في مورد</w:t>
      </w:r>
      <w:r w:rsidRPr="00F27422">
        <w:rPr>
          <w:rFonts w:ascii="mylotus" w:hAnsi="mylotus" w:hint="cs"/>
          <w:sz w:val="32"/>
          <w:rtl/>
        </w:rPr>
        <w:t>ٍ</w:t>
      </w:r>
      <w:r w:rsidRPr="00F27422">
        <w:rPr>
          <w:rFonts w:ascii="mylotus" w:hAnsi="mylotus"/>
          <w:sz w:val="32"/>
          <w:rtl/>
        </w:rPr>
        <w:t xml:space="preserve"> ما ثم</w:t>
      </w:r>
      <w:r w:rsidRPr="00F27422">
        <w:rPr>
          <w:rFonts w:ascii="mylotus" w:hAnsi="mylotus" w:hint="cs"/>
          <w:sz w:val="32"/>
          <w:rtl/>
        </w:rPr>
        <w:t>ّ</w:t>
      </w:r>
      <w:r w:rsidRPr="00F27422">
        <w:rPr>
          <w:rFonts w:ascii="mylotus" w:hAnsi="mylotus"/>
          <w:sz w:val="32"/>
          <w:rtl/>
        </w:rPr>
        <w:t xml:space="preserve"> انكشف أنّ الاستصحاب لا</w:t>
      </w:r>
      <w:r w:rsidRPr="00F27422">
        <w:rPr>
          <w:rFonts w:ascii="mylotus" w:hAnsi="mylotus" w:hint="cs"/>
          <w:sz w:val="32"/>
          <w:rtl/>
        </w:rPr>
        <w:t xml:space="preserve"> </w:t>
      </w:r>
      <w:r w:rsidRPr="00F27422">
        <w:rPr>
          <w:rFonts w:ascii="mylotus" w:hAnsi="mylotus"/>
          <w:sz w:val="32"/>
          <w:rtl/>
        </w:rPr>
        <w:t>يجري في الشبهات الحكمية، فلا إشكال في عدم الإجزاء، ومنه محلّ الكلام وهو نفوذ الإجارة وعدم نفوذها</w:t>
      </w:r>
      <w:r w:rsidRPr="00F27422">
        <w:rPr>
          <w:rFonts w:ascii="mylotus" w:hAnsi="mylotus"/>
          <w:sz w:val="32"/>
        </w:rPr>
        <w:t>.</w:t>
      </w:r>
    </w:p>
    <w:p w14:paraId="37817E1F"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والجواب عن ذلك:</w:t>
      </w:r>
      <w:r w:rsidRPr="00F27422">
        <w:rPr>
          <w:rFonts w:ascii="mylotus" w:hAnsi="mylotus"/>
          <w:sz w:val="32"/>
          <w:rtl/>
        </w:rPr>
        <w:t xml:space="preserve"> بأنّ المدعى في المقام أن</w:t>
      </w:r>
      <w:r w:rsidRPr="00F27422">
        <w:rPr>
          <w:rFonts w:ascii="mylotus" w:hAnsi="mylotus" w:hint="cs"/>
          <w:sz w:val="32"/>
          <w:rtl/>
        </w:rPr>
        <w:t>ّ</w:t>
      </w:r>
      <w:r w:rsidRPr="00F27422">
        <w:rPr>
          <w:rFonts w:ascii="mylotus" w:hAnsi="mylotus"/>
          <w:sz w:val="32"/>
          <w:rtl/>
        </w:rPr>
        <w:t xml:space="preserve"> مقتضى الإستصحاب هو الصح</w:t>
      </w:r>
      <w:r w:rsidRPr="00F27422">
        <w:rPr>
          <w:rFonts w:ascii="mylotus" w:hAnsi="mylotus" w:hint="cs"/>
          <w:sz w:val="32"/>
          <w:rtl/>
        </w:rPr>
        <w:t>ّ</w:t>
      </w:r>
      <w:r w:rsidRPr="00F27422">
        <w:rPr>
          <w:rFonts w:ascii="mylotus" w:hAnsi="mylotus"/>
          <w:sz w:val="32"/>
          <w:rtl/>
        </w:rPr>
        <w:t>ة الظاهرية لا الواقعية، فإن</w:t>
      </w:r>
      <w:r w:rsidRPr="00F27422">
        <w:rPr>
          <w:rFonts w:ascii="mylotus" w:hAnsi="mylotus" w:hint="cs"/>
          <w:sz w:val="32"/>
          <w:rtl/>
        </w:rPr>
        <w:t>ْ</w:t>
      </w:r>
      <w:r w:rsidRPr="00F27422">
        <w:rPr>
          <w:rFonts w:ascii="mylotus" w:hAnsi="mylotus"/>
          <w:sz w:val="32"/>
          <w:rtl/>
        </w:rPr>
        <w:t xml:space="preserve"> لم يبلغ فالإجارة نافذة، وإن</w:t>
      </w:r>
      <w:r w:rsidRPr="00F27422">
        <w:rPr>
          <w:rFonts w:ascii="mylotus" w:hAnsi="mylotus" w:hint="cs"/>
          <w:sz w:val="32"/>
          <w:rtl/>
        </w:rPr>
        <w:t>ْ</w:t>
      </w:r>
      <w:r w:rsidRPr="00F27422">
        <w:rPr>
          <w:rFonts w:ascii="mylotus" w:hAnsi="mylotus"/>
          <w:sz w:val="32"/>
          <w:rtl/>
        </w:rPr>
        <w:t xml:space="preserve"> بلغ كان نفوذها متوقفاً على إجازته، فلا</w:t>
      </w:r>
      <w:r w:rsidRPr="00F27422">
        <w:rPr>
          <w:rFonts w:ascii="mylotus" w:hAnsi="mylotus" w:hint="cs"/>
          <w:sz w:val="32"/>
          <w:rtl/>
        </w:rPr>
        <w:t xml:space="preserve"> </w:t>
      </w:r>
      <w:r w:rsidRPr="00F27422">
        <w:rPr>
          <w:rFonts w:ascii="mylotus" w:hAnsi="mylotus"/>
          <w:sz w:val="32"/>
          <w:rtl/>
        </w:rPr>
        <w:t>محل</w:t>
      </w:r>
      <w:r w:rsidRPr="00F27422">
        <w:rPr>
          <w:rFonts w:ascii="mylotus" w:hAnsi="mylotus" w:hint="cs"/>
          <w:sz w:val="32"/>
          <w:rtl/>
        </w:rPr>
        <w:t>ّ</w:t>
      </w:r>
      <w:r w:rsidRPr="00F27422">
        <w:rPr>
          <w:rFonts w:ascii="mylotus" w:hAnsi="mylotus"/>
          <w:sz w:val="32"/>
          <w:rtl/>
        </w:rPr>
        <w:t xml:space="preserve"> للإيراد بأنّ الأصل العملي لا ينتج الإجزاء في الأحكام الوضعية</w:t>
      </w:r>
      <w:r w:rsidRPr="00F27422">
        <w:rPr>
          <w:rFonts w:ascii="mylotus" w:hAnsi="mylotus"/>
          <w:sz w:val="32"/>
        </w:rPr>
        <w:t>.</w:t>
      </w:r>
    </w:p>
    <w:p w14:paraId="7DD04DF0"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lastRenderedPageBreak/>
        <w:t>الإيراد</w:t>
      </w:r>
      <w:r w:rsidRPr="00F27422">
        <w:rPr>
          <w:rFonts w:ascii="mylotus" w:hAnsi="mylotus" w:hint="cs"/>
          <w:b/>
          <w:bCs/>
          <w:sz w:val="32"/>
          <w:rtl/>
        </w:rPr>
        <w:t>ُ</w:t>
      </w:r>
      <w:r w:rsidRPr="00F27422">
        <w:rPr>
          <w:rFonts w:ascii="mylotus" w:hAnsi="mylotus"/>
          <w:b/>
          <w:bCs/>
          <w:sz w:val="32"/>
          <w:rtl/>
        </w:rPr>
        <w:t xml:space="preserve"> الرابع:</w:t>
      </w:r>
      <w:r w:rsidRPr="00F27422">
        <w:rPr>
          <w:rFonts w:ascii="mylotus" w:hAnsi="mylotus"/>
          <w:sz w:val="32"/>
          <w:rtl/>
        </w:rPr>
        <w:t xml:space="preserve"> ما ذكره صاحب الجواهر (قدس سره الشريف) في كتابه [جواهر الكلام في شرح شرائع الإسلام، الشيخ محمد حسن الجواهري النجفي، دار إحياء التراث العربي، ج27، ص334] من التفصيل في المقام</w:t>
      </w:r>
      <w:r w:rsidRPr="00F27422">
        <w:rPr>
          <w:rFonts w:ascii="mylotus" w:hAnsi="mylotus"/>
          <w:sz w:val="32"/>
        </w:rPr>
        <w:t>.</w:t>
      </w:r>
    </w:p>
    <w:p w14:paraId="3B4AF8DB" w14:textId="77777777" w:rsidR="00601296" w:rsidRPr="00F27422" w:rsidRDefault="00601296" w:rsidP="00122B70">
      <w:pPr>
        <w:pStyle w:val="a"/>
        <w:bidi/>
        <w:spacing w:line="216" w:lineRule="auto"/>
        <w:jc w:val="left"/>
        <w:rPr>
          <w:rFonts w:ascii="mylotus" w:hAnsi="mylotus"/>
          <w:b/>
          <w:bCs/>
          <w:sz w:val="32"/>
          <w:rtl/>
        </w:rPr>
      </w:pPr>
      <w:r w:rsidRPr="00F27422">
        <w:rPr>
          <w:rFonts w:ascii="mylotus" w:hAnsi="mylotus"/>
          <w:sz w:val="32"/>
          <w:rtl/>
        </w:rPr>
        <w:t xml:space="preserve">بقوله (قدس سره الشريف): </w:t>
      </w:r>
      <w:r w:rsidRPr="00F27422">
        <w:rPr>
          <w:rFonts w:ascii="mylotus" w:hAnsi="mylotus"/>
          <w:b/>
          <w:bCs/>
          <w:sz w:val="32"/>
          <w:rtl/>
        </w:rPr>
        <w:t>(وبذلك ظهر لك الحال في موضوع المسألة فلا يشكل بأن فرض موضوع الإجارة زائدا على مدة البلوغ إن كان في مصلحة الصبي صحت ولزمت عليه وإلا لم تصح من مثل الوصي حتى فيما قبل البلوغ)</w:t>
      </w:r>
      <w:r w:rsidRPr="00F27422">
        <w:rPr>
          <w:rFonts w:ascii="mylotus" w:hAnsi="mylotus"/>
          <w:sz w:val="32"/>
          <w:rtl/>
        </w:rPr>
        <w:t xml:space="preserve"> أي إن</w:t>
      </w:r>
      <w:r w:rsidRPr="00F27422">
        <w:rPr>
          <w:rFonts w:ascii="mylotus" w:hAnsi="mylotus" w:hint="cs"/>
          <w:sz w:val="32"/>
          <w:rtl/>
        </w:rPr>
        <w:t>ْ</w:t>
      </w:r>
      <w:r w:rsidRPr="00F27422">
        <w:rPr>
          <w:rFonts w:ascii="mylotus" w:hAnsi="mylotus"/>
          <w:sz w:val="32"/>
          <w:rtl/>
        </w:rPr>
        <w:t xml:space="preserve"> وجدت المصلحة صحّت حتى فيما بعد البلوغ، وإنْ لم تكن المصلحة موجودة لم تصح حتى فيما قبل البلوغ </w:t>
      </w:r>
      <w:r w:rsidRPr="00F27422">
        <w:rPr>
          <w:rFonts w:ascii="mylotus" w:hAnsi="mylotus"/>
          <w:b/>
          <w:bCs/>
          <w:sz w:val="32"/>
          <w:rtl/>
        </w:rPr>
        <w:t>(إذ قد عرفت الفرق بين المصلحة للصبي حال صباه وبينها مستمرة إلى ما بعد بلوغه، فالأولى هي التي ينفذ معها التصرف ولو كانت الإجارة فيما بعد البلوغ بسنين)</w:t>
      </w:r>
      <w:r w:rsidRPr="00F27422">
        <w:rPr>
          <w:rFonts w:ascii="mylotus" w:hAnsi="mylotus"/>
          <w:sz w:val="32"/>
          <w:rtl/>
        </w:rPr>
        <w:t xml:space="preserve"> لأنّ المناط فيها مصلحته حال الصبا، وقد اقتضت إجارته عشرين سنة مثلاً </w:t>
      </w:r>
      <w:r w:rsidRPr="00F27422">
        <w:rPr>
          <w:rFonts w:ascii="mylotus" w:hAnsi="mylotus"/>
          <w:b/>
          <w:bCs/>
          <w:sz w:val="32"/>
          <w:rtl/>
        </w:rPr>
        <w:t>(بخلاف الثانية فإنها تلزم حال عدم البلوغ ويبقى الباقي على الإجارة ، ولا يشكل صحتها حينئذ بالجهل بالمدة ضرورة الاكتفاء بالعلم في الجملة في دفع الغرر)</w:t>
      </w:r>
      <w:r w:rsidRPr="00F27422">
        <w:rPr>
          <w:rFonts w:ascii="mylotus" w:hAnsi="mylotus"/>
          <w:b/>
          <w:bCs/>
          <w:sz w:val="32"/>
        </w:rPr>
        <w:t>.</w:t>
      </w:r>
    </w:p>
    <w:p w14:paraId="4639CF63"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b/>
          <w:bCs/>
          <w:sz w:val="32"/>
          <w:rtl/>
        </w:rPr>
        <w:t>وظاهر كلامه (قدس سره):</w:t>
      </w:r>
      <w:r w:rsidRPr="00F27422">
        <w:rPr>
          <w:rFonts w:ascii="mylotus" w:hAnsi="mylotus"/>
          <w:sz w:val="32"/>
          <w:rtl/>
        </w:rPr>
        <w:t xml:space="preserve"> أنّ هناك فرقاً بين المصلحتين، فإذا كان المنظور في الإجارة مصلحة الصبي حال صباه صحّت الإجارة ولو تعلقت فيما بعد البلوغ، وإذا كان المنظور مصلحة الصبي ما بعد بلوغه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مصلحة</w:t>
      </w:r>
      <w:r w:rsidRPr="00F27422">
        <w:rPr>
          <w:rFonts w:ascii="mylotus" w:hAnsi="mylotus"/>
          <w:sz w:val="32"/>
          <w:rtl/>
        </w:rPr>
        <w:t xml:space="preserve"> </w:t>
      </w:r>
      <w:r w:rsidRPr="00F27422">
        <w:rPr>
          <w:rFonts w:ascii="mylotus" w:hAnsi="mylotus" w:hint="cs"/>
          <w:sz w:val="32"/>
          <w:rtl/>
        </w:rPr>
        <w:t>الصبي</w:t>
      </w:r>
      <w:r w:rsidRPr="00F27422">
        <w:rPr>
          <w:rFonts w:ascii="mylotus" w:hAnsi="mylotus"/>
          <w:sz w:val="32"/>
          <w:rtl/>
        </w:rPr>
        <w:t xml:space="preserve"> </w:t>
      </w:r>
      <w:r w:rsidRPr="00F27422">
        <w:rPr>
          <w:rFonts w:ascii="mylotus" w:hAnsi="mylotus" w:hint="cs"/>
          <w:sz w:val="32"/>
          <w:rtl/>
        </w:rPr>
        <w:t>حال</w:t>
      </w:r>
      <w:r w:rsidRPr="00F27422">
        <w:rPr>
          <w:rFonts w:ascii="mylotus" w:hAnsi="mylotus"/>
          <w:sz w:val="32"/>
          <w:rtl/>
        </w:rPr>
        <w:t xml:space="preserve"> </w:t>
      </w:r>
      <w:r w:rsidRPr="00F27422">
        <w:rPr>
          <w:rFonts w:ascii="mylotus" w:hAnsi="mylotus" w:hint="cs"/>
          <w:sz w:val="32"/>
          <w:rtl/>
        </w:rPr>
        <w:t>صباه</w:t>
      </w:r>
      <w:r w:rsidRPr="00F27422">
        <w:rPr>
          <w:rFonts w:ascii="mylotus" w:hAnsi="mylotus"/>
          <w:sz w:val="32"/>
          <w:rtl/>
        </w:rPr>
        <w:t xml:space="preserve"> - </w:t>
      </w:r>
      <w:r w:rsidRPr="00F27422">
        <w:rPr>
          <w:rFonts w:ascii="mylotus" w:hAnsi="mylotus" w:hint="cs"/>
          <w:sz w:val="32"/>
          <w:rtl/>
        </w:rPr>
        <w:t>فليس</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شأن</w:t>
      </w:r>
      <w:r w:rsidRPr="00F27422">
        <w:rPr>
          <w:rFonts w:ascii="mylotus" w:hAnsi="mylotus"/>
          <w:sz w:val="32"/>
          <w:rtl/>
        </w:rPr>
        <w:t xml:space="preserve"> </w:t>
      </w:r>
      <w:r w:rsidRPr="00F27422">
        <w:rPr>
          <w:rFonts w:ascii="mylotus" w:hAnsi="mylotus" w:hint="cs"/>
          <w:sz w:val="32"/>
          <w:rtl/>
        </w:rPr>
        <w:t>الوليّ</w:t>
      </w:r>
      <w:r w:rsidRPr="00F27422">
        <w:rPr>
          <w:rFonts w:ascii="mylotus" w:hAnsi="mylotus"/>
          <w:sz w:val="32"/>
          <w:rtl/>
        </w:rPr>
        <w:t xml:space="preserve"> </w:t>
      </w:r>
      <w:r w:rsidRPr="00F27422">
        <w:rPr>
          <w:rFonts w:ascii="mylotus" w:hAnsi="mylotus" w:hint="cs"/>
          <w:sz w:val="32"/>
          <w:rtl/>
        </w:rPr>
        <w:t>تقدير</w:t>
      </w:r>
      <w:r w:rsidRPr="00F27422">
        <w:rPr>
          <w:rFonts w:ascii="mylotus" w:hAnsi="mylotus"/>
          <w:sz w:val="32"/>
          <w:rtl/>
        </w:rPr>
        <w:t xml:space="preserve"> </w:t>
      </w:r>
      <w:r w:rsidRPr="00F27422">
        <w:rPr>
          <w:rFonts w:ascii="mylotus" w:hAnsi="mylotus" w:hint="cs"/>
          <w:sz w:val="32"/>
          <w:rtl/>
        </w:rPr>
        <w:t>المصلحة</w:t>
      </w:r>
      <w:r w:rsidRPr="00F27422">
        <w:rPr>
          <w:rFonts w:ascii="mylotus" w:hAnsi="mylotus"/>
          <w:sz w:val="32"/>
          <w:rtl/>
        </w:rPr>
        <w:t xml:space="preserve"> </w:t>
      </w:r>
      <w:r w:rsidRPr="00F27422">
        <w:rPr>
          <w:rFonts w:ascii="mylotus" w:hAnsi="mylotus" w:hint="cs"/>
          <w:sz w:val="32"/>
          <w:rtl/>
        </w:rPr>
        <w:t>ما</w:t>
      </w:r>
      <w:r w:rsidRPr="00F27422">
        <w:rPr>
          <w:rFonts w:ascii="mylotus" w:hAnsi="mylotus"/>
          <w:sz w:val="32"/>
          <w:rtl/>
        </w:rPr>
        <w:t xml:space="preserve"> </w:t>
      </w:r>
      <w:r w:rsidRPr="00F27422">
        <w:rPr>
          <w:rFonts w:ascii="mylotus" w:hAnsi="mylotus" w:hint="cs"/>
          <w:sz w:val="32"/>
          <w:rtl/>
        </w:rPr>
        <w:t>بعد</w:t>
      </w:r>
      <w:r w:rsidRPr="00F27422">
        <w:rPr>
          <w:rFonts w:ascii="mylotus" w:hAnsi="mylotus"/>
          <w:sz w:val="32"/>
          <w:rtl/>
        </w:rPr>
        <w:t xml:space="preserve"> </w:t>
      </w:r>
      <w:r w:rsidRPr="00F27422">
        <w:rPr>
          <w:rFonts w:ascii="mylotus" w:hAnsi="mylotus" w:hint="cs"/>
          <w:sz w:val="32"/>
          <w:rtl/>
        </w:rPr>
        <w:t>البلوغ؛</w:t>
      </w:r>
      <w:r w:rsidRPr="00F27422">
        <w:rPr>
          <w:rFonts w:ascii="mylotus" w:hAnsi="mylotus"/>
          <w:sz w:val="32"/>
          <w:rtl/>
        </w:rPr>
        <w:t xml:space="preserve"> </w:t>
      </w:r>
      <w:r w:rsidRPr="00F27422">
        <w:rPr>
          <w:rFonts w:ascii="mylotus" w:hAnsi="mylotus" w:hint="cs"/>
          <w:sz w:val="32"/>
          <w:rtl/>
        </w:rPr>
        <w:t>بل</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شأن</w:t>
      </w:r>
      <w:r w:rsidRPr="00F27422">
        <w:rPr>
          <w:rFonts w:ascii="mylotus" w:hAnsi="mylotus"/>
          <w:sz w:val="32"/>
          <w:rtl/>
        </w:rPr>
        <w:t xml:space="preserve"> </w:t>
      </w:r>
      <w:r w:rsidRPr="00F27422">
        <w:rPr>
          <w:rFonts w:ascii="mylotus" w:hAnsi="mylotus" w:hint="cs"/>
          <w:sz w:val="32"/>
          <w:rtl/>
        </w:rPr>
        <w:t>الوليّ</w:t>
      </w:r>
      <w:r w:rsidRPr="00F27422">
        <w:rPr>
          <w:rFonts w:ascii="mylotus" w:hAnsi="mylotus"/>
          <w:sz w:val="32"/>
          <w:rtl/>
        </w:rPr>
        <w:t xml:space="preserve"> </w:t>
      </w:r>
      <w:r w:rsidRPr="00F27422">
        <w:rPr>
          <w:rFonts w:ascii="mylotus" w:hAnsi="mylotus" w:hint="cs"/>
          <w:sz w:val="32"/>
          <w:rtl/>
        </w:rPr>
        <w:t>تقدير</w:t>
      </w:r>
      <w:r w:rsidRPr="00F27422">
        <w:rPr>
          <w:rFonts w:ascii="mylotus" w:hAnsi="mylotus"/>
          <w:sz w:val="32"/>
          <w:rtl/>
        </w:rPr>
        <w:t xml:space="preserve"> </w:t>
      </w:r>
      <w:r w:rsidRPr="00F27422">
        <w:rPr>
          <w:rFonts w:ascii="mylotus" w:hAnsi="mylotus" w:hint="cs"/>
          <w:sz w:val="32"/>
          <w:rtl/>
        </w:rPr>
        <w:t>مصلحة</w:t>
      </w:r>
      <w:r w:rsidRPr="00F27422">
        <w:rPr>
          <w:rFonts w:ascii="mylotus" w:hAnsi="mylotus"/>
          <w:sz w:val="32"/>
          <w:rtl/>
        </w:rPr>
        <w:t xml:space="preserve"> </w:t>
      </w:r>
      <w:r w:rsidRPr="00F27422">
        <w:rPr>
          <w:rFonts w:ascii="mylotus" w:hAnsi="mylotus" w:hint="cs"/>
          <w:sz w:val="32"/>
          <w:rtl/>
        </w:rPr>
        <w:t>الصبي</w:t>
      </w:r>
      <w:r w:rsidRPr="00F27422">
        <w:rPr>
          <w:rFonts w:ascii="mylotus" w:hAnsi="mylotus"/>
          <w:sz w:val="32"/>
          <w:rtl/>
        </w:rPr>
        <w:t xml:space="preserve"> </w:t>
      </w:r>
      <w:r w:rsidRPr="00F27422">
        <w:rPr>
          <w:rFonts w:ascii="mylotus" w:hAnsi="mylotus" w:hint="cs"/>
          <w:sz w:val="32"/>
          <w:rtl/>
        </w:rPr>
        <w:t>حال</w:t>
      </w:r>
      <w:r w:rsidRPr="00F27422">
        <w:rPr>
          <w:rFonts w:ascii="mylotus" w:hAnsi="mylotus"/>
          <w:sz w:val="32"/>
          <w:rtl/>
        </w:rPr>
        <w:t xml:space="preserve"> </w:t>
      </w:r>
      <w:r w:rsidRPr="00F27422">
        <w:rPr>
          <w:rFonts w:ascii="mylotus" w:hAnsi="mylotus" w:hint="cs"/>
          <w:sz w:val="32"/>
          <w:rtl/>
        </w:rPr>
        <w:t>صباه،</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شأن</w:t>
      </w:r>
      <w:r w:rsidRPr="00F27422">
        <w:rPr>
          <w:rFonts w:ascii="mylotus" w:hAnsi="mylotus"/>
          <w:sz w:val="32"/>
          <w:rtl/>
        </w:rPr>
        <w:t xml:space="preserve"> </w:t>
      </w:r>
      <w:r w:rsidRPr="00F27422">
        <w:rPr>
          <w:rFonts w:ascii="mylotus" w:hAnsi="mylotus" w:hint="cs"/>
          <w:sz w:val="32"/>
          <w:rtl/>
        </w:rPr>
        <w:t>الوليّ</w:t>
      </w:r>
      <w:r w:rsidRPr="00F27422">
        <w:rPr>
          <w:rFonts w:ascii="mylotus" w:hAnsi="mylotus"/>
          <w:sz w:val="32"/>
          <w:rtl/>
        </w:rPr>
        <w:t xml:space="preserve"> </w:t>
      </w:r>
      <w:r w:rsidRPr="00F27422">
        <w:rPr>
          <w:rFonts w:ascii="mylotus" w:hAnsi="mylotus" w:hint="cs"/>
          <w:sz w:val="32"/>
          <w:rtl/>
        </w:rPr>
        <w:t>تقدير</w:t>
      </w:r>
      <w:r w:rsidRPr="00F27422">
        <w:rPr>
          <w:rFonts w:ascii="mylotus" w:hAnsi="mylotus"/>
          <w:sz w:val="32"/>
          <w:rtl/>
        </w:rPr>
        <w:t xml:space="preserve"> </w:t>
      </w:r>
      <w:r w:rsidRPr="00F27422">
        <w:rPr>
          <w:rFonts w:ascii="mylotus" w:hAnsi="mylotus" w:hint="cs"/>
          <w:sz w:val="32"/>
          <w:rtl/>
        </w:rPr>
        <w:t>مصلحة</w:t>
      </w:r>
      <w:r w:rsidRPr="00F27422">
        <w:rPr>
          <w:rFonts w:ascii="mylotus" w:hAnsi="mylotus"/>
          <w:sz w:val="32"/>
          <w:rtl/>
        </w:rPr>
        <w:t xml:space="preserve"> </w:t>
      </w:r>
      <w:r w:rsidRPr="00F27422">
        <w:rPr>
          <w:rFonts w:ascii="mylotus" w:hAnsi="mylotus" w:hint="cs"/>
          <w:sz w:val="32"/>
          <w:rtl/>
        </w:rPr>
        <w:t>المولى</w:t>
      </w:r>
      <w:r w:rsidRPr="00F27422">
        <w:rPr>
          <w:rFonts w:ascii="mylotus" w:hAnsi="mylotus"/>
          <w:sz w:val="32"/>
          <w:rtl/>
        </w:rPr>
        <w:t xml:space="preserve"> </w:t>
      </w:r>
      <w:r w:rsidRPr="00F27422">
        <w:rPr>
          <w:rFonts w:ascii="mylotus" w:hAnsi="mylotus" w:hint="cs"/>
          <w:sz w:val="32"/>
          <w:rtl/>
        </w:rPr>
        <w:t>عليه</w:t>
      </w:r>
      <w:r w:rsidRPr="00F27422">
        <w:rPr>
          <w:rFonts w:ascii="mylotus" w:hAnsi="mylotus"/>
          <w:sz w:val="32"/>
          <w:rtl/>
        </w:rPr>
        <w:t xml:space="preserve"> </w:t>
      </w:r>
      <w:r w:rsidRPr="00F27422">
        <w:rPr>
          <w:rFonts w:ascii="mylotus" w:hAnsi="mylotus" w:hint="cs"/>
          <w:sz w:val="32"/>
          <w:rtl/>
        </w:rPr>
        <w:t>حال</w:t>
      </w:r>
      <w:r w:rsidRPr="00F27422">
        <w:rPr>
          <w:rFonts w:ascii="mylotus" w:hAnsi="mylotus"/>
          <w:sz w:val="32"/>
          <w:rtl/>
        </w:rPr>
        <w:t xml:space="preserve"> </w:t>
      </w:r>
      <w:r w:rsidRPr="00F27422">
        <w:rPr>
          <w:rFonts w:ascii="mylotus" w:hAnsi="mylotus" w:hint="cs"/>
          <w:sz w:val="32"/>
          <w:rtl/>
        </w:rPr>
        <w:t>كونه</w:t>
      </w:r>
      <w:r w:rsidRPr="00F27422">
        <w:rPr>
          <w:rFonts w:ascii="mylotus" w:hAnsi="mylotus"/>
          <w:sz w:val="32"/>
          <w:rtl/>
        </w:rPr>
        <w:t xml:space="preserve"> </w:t>
      </w:r>
      <w:r w:rsidRPr="00F27422">
        <w:rPr>
          <w:rFonts w:ascii="mylotus" w:hAnsi="mylotus" w:hint="cs"/>
          <w:sz w:val="32"/>
          <w:rtl/>
        </w:rPr>
        <w:t>مولى</w:t>
      </w:r>
      <w:r w:rsidRPr="00F27422">
        <w:rPr>
          <w:rFonts w:ascii="mylotus" w:hAnsi="mylotus"/>
          <w:sz w:val="32"/>
          <w:rtl/>
        </w:rPr>
        <w:t xml:space="preserve"> </w:t>
      </w:r>
      <w:r w:rsidRPr="00F27422">
        <w:rPr>
          <w:rFonts w:ascii="mylotus" w:hAnsi="mylotus" w:hint="cs"/>
          <w:sz w:val="32"/>
          <w:rtl/>
        </w:rPr>
        <w:t>عليه،</w:t>
      </w:r>
      <w:r w:rsidRPr="00F27422">
        <w:rPr>
          <w:rFonts w:ascii="mylotus" w:hAnsi="mylotus"/>
          <w:sz w:val="32"/>
          <w:rtl/>
        </w:rPr>
        <w:t xml:space="preserve"> </w:t>
      </w:r>
      <w:r w:rsidRPr="00F27422">
        <w:rPr>
          <w:rFonts w:ascii="mylotus" w:hAnsi="mylotus" w:hint="cs"/>
          <w:sz w:val="32"/>
          <w:rtl/>
        </w:rPr>
        <w:t>وليس</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شأنه</w:t>
      </w:r>
      <w:r w:rsidRPr="00F27422">
        <w:rPr>
          <w:rFonts w:ascii="mylotus" w:hAnsi="mylotus"/>
          <w:sz w:val="32"/>
          <w:rtl/>
        </w:rPr>
        <w:t xml:space="preserve"> </w:t>
      </w:r>
      <w:r w:rsidRPr="00F27422">
        <w:rPr>
          <w:rFonts w:ascii="mylotus" w:hAnsi="mylotus" w:hint="cs"/>
          <w:sz w:val="32"/>
          <w:rtl/>
        </w:rPr>
        <w:t>تقدير</w:t>
      </w:r>
      <w:r w:rsidRPr="00F27422">
        <w:rPr>
          <w:rFonts w:ascii="mylotus" w:hAnsi="mylotus"/>
          <w:sz w:val="32"/>
          <w:rtl/>
        </w:rPr>
        <w:t xml:space="preserve"> </w:t>
      </w:r>
      <w:r w:rsidRPr="00F27422">
        <w:rPr>
          <w:rFonts w:ascii="mylotus" w:hAnsi="mylotus" w:hint="cs"/>
          <w:sz w:val="32"/>
          <w:rtl/>
        </w:rPr>
        <w:t>المصلحة</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ظرف</w:t>
      </w:r>
      <w:r w:rsidRPr="00F27422">
        <w:rPr>
          <w:rFonts w:ascii="mylotus" w:hAnsi="mylotus"/>
          <w:sz w:val="32"/>
          <w:rtl/>
        </w:rPr>
        <w:t xml:space="preserve"> </w:t>
      </w:r>
      <w:r w:rsidRPr="00F27422">
        <w:rPr>
          <w:rFonts w:ascii="mylotus" w:hAnsi="mylotus" w:hint="cs"/>
          <w:sz w:val="32"/>
          <w:rtl/>
        </w:rPr>
        <w:t>ما</w:t>
      </w:r>
      <w:r w:rsidRPr="00F27422">
        <w:rPr>
          <w:rFonts w:ascii="mylotus" w:hAnsi="mylotus"/>
          <w:sz w:val="32"/>
          <w:rtl/>
        </w:rPr>
        <w:t xml:space="preserve"> </w:t>
      </w:r>
      <w:r w:rsidRPr="00F27422">
        <w:rPr>
          <w:rFonts w:ascii="mylotus" w:hAnsi="mylotus" w:hint="cs"/>
          <w:sz w:val="32"/>
          <w:rtl/>
        </w:rPr>
        <w:t>بعد</w:t>
      </w:r>
      <w:r w:rsidRPr="00F27422">
        <w:rPr>
          <w:rFonts w:ascii="mylotus" w:hAnsi="mylotus"/>
          <w:sz w:val="32"/>
          <w:rtl/>
        </w:rPr>
        <w:t xml:space="preserve"> </w:t>
      </w:r>
      <w:r w:rsidRPr="00F27422">
        <w:rPr>
          <w:rFonts w:ascii="mylotus" w:hAnsi="mylotus" w:hint="cs"/>
          <w:sz w:val="32"/>
          <w:rtl/>
        </w:rPr>
        <w:t>البلوغ</w:t>
      </w:r>
      <w:r w:rsidRPr="00F27422">
        <w:rPr>
          <w:rFonts w:ascii="mylotus" w:hAnsi="mylotus"/>
          <w:sz w:val="32"/>
          <w:rtl/>
        </w:rPr>
        <w:t xml:space="preserve"> </w:t>
      </w:r>
      <w:r w:rsidRPr="00F27422">
        <w:rPr>
          <w:rFonts w:ascii="mylotus" w:hAnsi="mylotus" w:hint="cs"/>
          <w:sz w:val="32"/>
          <w:rtl/>
        </w:rPr>
        <w:t>الذي</w:t>
      </w:r>
      <w:r w:rsidRPr="00F27422">
        <w:rPr>
          <w:rFonts w:ascii="mylotus" w:hAnsi="mylotus"/>
          <w:sz w:val="32"/>
          <w:rtl/>
        </w:rPr>
        <w:t xml:space="preserve"> </w:t>
      </w:r>
      <w:r w:rsidRPr="00F27422">
        <w:rPr>
          <w:rFonts w:ascii="mylotus" w:hAnsi="mylotus" w:hint="cs"/>
          <w:sz w:val="32"/>
          <w:rtl/>
        </w:rPr>
        <w:t>يخرج</w:t>
      </w:r>
      <w:r w:rsidRPr="00F27422">
        <w:rPr>
          <w:rFonts w:ascii="mylotus" w:hAnsi="mylotus"/>
          <w:sz w:val="32"/>
          <w:rtl/>
        </w:rPr>
        <w:t xml:space="preserve"> </w:t>
      </w:r>
      <w:r w:rsidRPr="00F27422">
        <w:rPr>
          <w:rFonts w:ascii="mylotus" w:hAnsi="mylotus" w:hint="cs"/>
          <w:sz w:val="32"/>
          <w:rtl/>
        </w:rPr>
        <w:t>به</w:t>
      </w:r>
      <w:r w:rsidRPr="00F27422">
        <w:rPr>
          <w:rFonts w:ascii="mylotus" w:hAnsi="mylotus"/>
          <w:sz w:val="32"/>
          <w:rtl/>
        </w:rPr>
        <w:t xml:space="preserve"> </w:t>
      </w:r>
      <w:r w:rsidRPr="00F27422">
        <w:rPr>
          <w:rFonts w:ascii="mylotus" w:hAnsi="mylotus" w:hint="cs"/>
          <w:sz w:val="32"/>
          <w:rtl/>
        </w:rPr>
        <w:t>الصبي</w:t>
      </w:r>
      <w:r w:rsidRPr="00F27422">
        <w:rPr>
          <w:rFonts w:ascii="mylotus" w:hAnsi="mylotus"/>
          <w:sz w:val="32"/>
          <w:rtl/>
        </w:rPr>
        <w:t xml:space="preserve"> </w:t>
      </w:r>
      <w:r w:rsidRPr="00F27422">
        <w:rPr>
          <w:rFonts w:ascii="mylotus" w:hAnsi="mylotus" w:hint="cs"/>
          <w:sz w:val="32"/>
          <w:rtl/>
        </w:rPr>
        <w:t>قطعاً</w:t>
      </w:r>
      <w:r w:rsidRPr="00F27422">
        <w:rPr>
          <w:rFonts w:ascii="mylotus" w:hAnsi="mylotus"/>
          <w:sz w:val="32"/>
          <w:rtl/>
        </w:rPr>
        <w:t xml:space="preserve"> </w:t>
      </w:r>
      <w:r w:rsidRPr="00F27422">
        <w:rPr>
          <w:rFonts w:ascii="mylotus" w:hAnsi="mylotus" w:hint="cs"/>
          <w:sz w:val="32"/>
          <w:rtl/>
        </w:rPr>
        <w:t>عن</w:t>
      </w:r>
      <w:r w:rsidRPr="00F27422">
        <w:rPr>
          <w:rFonts w:ascii="mylotus" w:hAnsi="mylotus"/>
          <w:sz w:val="32"/>
          <w:rtl/>
        </w:rPr>
        <w:t xml:space="preserve"> </w:t>
      </w:r>
      <w:r w:rsidRPr="00F27422">
        <w:rPr>
          <w:rFonts w:ascii="mylotus" w:hAnsi="mylotus" w:hint="cs"/>
          <w:sz w:val="32"/>
          <w:rtl/>
        </w:rPr>
        <w:t>كونه</w:t>
      </w:r>
      <w:r w:rsidRPr="00F27422">
        <w:rPr>
          <w:rFonts w:ascii="mylotus" w:hAnsi="mylotus"/>
          <w:sz w:val="32"/>
          <w:rtl/>
        </w:rPr>
        <w:t xml:space="preserve"> </w:t>
      </w:r>
      <w:r w:rsidRPr="00F27422">
        <w:rPr>
          <w:rFonts w:ascii="mylotus" w:hAnsi="mylotus" w:hint="cs"/>
          <w:sz w:val="32"/>
          <w:rtl/>
        </w:rPr>
        <w:t>مولى</w:t>
      </w:r>
      <w:r w:rsidRPr="00F27422">
        <w:rPr>
          <w:rFonts w:ascii="mylotus" w:hAnsi="mylotus"/>
          <w:sz w:val="32"/>
          <w:rtl/>
        </w:rPr>
        <w:t xml:space="preserve"> </w:t>
      </w:r>
      <w:r w:rsidRPr="00F27422">
        <w:rPr>
          <w:rFonts w:ascii="mylotus" w:hAnsi="mylotus" w:hint="cs"/>
          <w:sz w:val="32"/>
          <w:rtl/>
        </w:rPr>
        <w:t>عليه،</w:t>
      </w:r>
      <w:r w:rsidRPr="00F27422">
        <w:rPr>
          <w:rFonts w:ascii="mylotus" w:hAnsi="mylotus"/>
          <w:sz w:val="32"/>
          <w:rtl/>
        </w:rPr>
        <w:t xml:space="preserve"> </w:t>
      </w:r>
      <w:r w:rsidRPr="00F27422">
        <w:rPr>
          <w:rFonts w:ascii="mylotus" w:hAnsi="mylotus" w:hint="cs"/>
          <w:sz w:val="32"/>
          <w:rtl/>
        </w:rPr>
        <w:t>فلو</w:t>
      </w:r>
      <w:r w:rsidRPr="00F27422">
        <w:rPr>
          <w:rFonts w:ascii="mylotus" w:hAnsi="mylotus"/>
          <w:sz w:val="32"/>
          <w:rtl/>
        </w:rPr>
        <w:t xml:space="preserve"> </w:t>
      </w:r>
      <w:r w:rsidRPr="00F27422">
        <w:rPr>
          <w:rFonts w:ascii="mylotus" w:hAnsi="mylotus" w:hint="cs"/>
          <w:sz w:val="32"/>
          <w:rtl/>
        </w:rPr>
        <w:t>نظر</w:t>
      </w:r>
      <w:r w:rsidRPr="00F27422">
        <w:rPr>
          <w:rFonts w:ascii="mylotus" w:hAnsi="mylotus"/>
          <w:sz w:val="32"/>
          <w:rtl/>
        </w:rPr>
        <w:t xml:space="preserve"> </w:t>
      </w:r>
      <w:r w:rsidRPr="00F27422">
        <w:rPr>
          <w:rFonts w:ascii="mylotus" w:hAnsi="mylotus" w:hint="cs"/>
          <w:sz w:val="32"/>
          <w:rtl/>
        </w:rPr>
        <w:t>الوليّ</w:t>
      </w:r>
      <w:r w:rsidRPr="00F27422">
        <w:rPr>
          <w:rFonts w:ascii="mylotus" w:hAnsi="mylotus"/>
          <w:sz w:val="32"/>
          <w:rtl/>
        </w:rPr>
        <w:t xml:space="preserve"> </w:t>
      </w:r>
      <w:r w:rsidRPr="00F27422">
        <w:rPr>
          <w:rFonts w:ascii="mylotus" w:hAnsi="mylotus" w:hint="cs"/>
          <w:sz w:val="32"/>
          <w:rtl/>
        </w:rPr>
        <w:t>لمصلحة</w:t>
      </w:r>
      <w:r w:rsidRPr="00F27422">
        <w:rPr>
          <w:rFonts w:ascii="mylotus" w:hAnsi="mylotus"/>
          <w:sz w:val="32"/>
          <w:rtl/>
        </w:rPr>
        <w:t xml:space="preserve"> </w:t>
      </w:r>
      <w:r w:rsidRPr="00F27422">
        <w:rPr>
          <w:rFonts w:ascii="mylotus" w:hAnsi="mylotus" w:hint="cs"/>
          <w:sz w:val="32"/>
          <w:rtl/>
        </w:rPr>
        <w:t>الصبي</w:t>
      </w:r>
      <w:r w:rsidRPr="00F27422">
        <w:rPr>
          <w:rFonts w:ascii="mylotus" w:hAnsi="mylotus"/>
          <w:sz w:val="32"/>
          <w:rtl/>
        </w:rPr>
        <w:t xml:space="preserve"> </w:t>
      </w:r>
      <w:r w:rsidRPr="00F27422">
        <w:rPr>
          <w:rFonts w:ascii="mylotus" w:hAnsi="mylotus" w:hint="cs"/>
          <w:sz w:val="32"/>
          <w:rtl/>
        </w:rPr>
        <w:t>ما</w:t>
      </w:r>
      <w:r w:rsidRPr="00F27422">
        <w:rPr>
          <w:rFonts w:ascii="mylotus" w:hAnsi="mylotus"/>
          <w:sz w:val="32"/>
          <w:rtl/>
        </w:rPr>
        <w:t xml:space="preserve"> </w:t>
      </w:r>
      <w:r w:rsidRPr="00F27422">
        <w:rPr>
          <w:rFonts w:ascii="mylotus" w:hAnsi="mylotus" w:hint="cs"/>
          <w:sz w:val="32"/>
          <w:rtl/>
        </w:rPr>
        <w:t>بعد</w:t>
      </w:r>
      <w:r w:rsidRPr="00F27422">
        <w:rPr>
          <w:rFonts w:ascii="mylotus" w:hAnsi="mylotus"/>
          <w:sz w:val="32"/>
          <w:rtl/>
        </w:rPr>
        <w:t xml:space="preserve"> </w:t>
      </w:r>
      <w:r w:rsidRPr="00F27422">
        <w:rPr>
          <w:rFonts w:ascii="mylotus" w:hAnsi="mylotus" w:hint="cs"/>
          <w:sz w:val="32"/>
          <w:rtl/>
        </w:rPr>
        <w:t>البلوغ</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تك</w:t>
      </w:r>
      <w:r w:rsidRPr="00F27422">
        <w:rPr>
          <w:rFonts w:ascii="mylotus" w:hAnsi="mylotus"/>
          <w:sz w:val="32"/>
          <w:rtl/>
        </w:rPr>
        <w:t>ن إجارته نافذةٌ بالفعل</w:t>
      </w:r>
      <w:r w:rsidRPr="00F27422">
        <w:rPr>
          <w:rFonts w:ascii="mylotus" w:hAnsi="mylotus" w:hint="cs"/>
          <w:sz w:val="32"/>
          <w:rtl/>
        </w:rPr>
        <w:t>؛</w:t>
      </w:r>
      <w:r w:rsidRPr="00F27422">
        <w:rPr>
          <w:rFonts w:ascii="mylotus" w:hAnsi="mylotus"/>
          <w:sz w:val="32"/>
          <w:rtl/>
        </w:rPr>
        <w:t xml:space="preserve"> بل كانت متوقّفة على إجازة الصبي بعد بلوغه</w:t>
      </w:r>
      <w:r w:rsidRPr="00F27422">
        <w:rPr>
          <w:rFonts w:ascii="mylotus" w:hAnsi="mylotus"/>
          <w:sz w:val="32"/>
        </w:rPr>
        <w:t>.</w:t>
      </w:r>
    </w:p>
    <w:p w14:paraId="32D5DD09" w14:textId="77777777" w:rsidR="00601296" w:rsidRPr="00F27422" w:rsidRDefault="00601296" w:rsidP="00122B70">
      <w:pPr>
        <w:pStyle w:val="a"/>
        <w:bidi/>
        <w:spacing w:line="216" w:lineRule="auto"/>
        <w:jc w:val="left"/>
        <w:rPr>
          <w:rFonts w:ascii="mylotus" w:hAnsi="mylotus"/>
          <w:b/>
          <w:bCs/>
          <w:sz w:val="32"/>
          <w:rtl/>
        </w:rPr>
      </w:pPr>
      <w:r w:rsidRPr="00F27422">
        <w:rPr>
          <w:rFonts w:ascii="mylotus" w:hAnsi="mylotus"/>
          <w:b/>
          <w:bCs/>
          <w:sz w:val="32"/>
          <w:rtl/>
        </w:rPr>
        <w:t>ولكن أ</w:t>
      </w:r>
      <w:r w:rsidRPr="00F27422">
        <w:rPr>
          <w:rFonts w:ascii="mylotus" w:hAnsi="mylotus" w:hint="cs"/>
          <w:b/>
          <w:bCs/>
          <w:sz w:val="32"/>
          <w:rtl/>
        </w:rPr>
        <w:t>ُ</w:t>
      </w:r>
      <w:r w:rsidRPr="00F27422">
        <w:rPr>
          <w:rFonts w:ascii="mylotus" w:hAnsi="mylotus"/>
          <w:b/>
          <w:bCs/>
          <w:sz w:val="32"/>
          <w:rtl/>
        </w:rPr>
        <w:t>ورد عليه م</w:t>
      </w:r>
      <w:r w:rsidRPr="00F27422">
        <w:rPr>
          <w:rFonts w:ascii="mylotus" w:hAnsi="mylotus" w:hint="cs"/>
          <w:b/>
          <w:bCs/>
          <w:sz w:val="32"/>
          <w:rtl/>
        </w:rPr>
        <w:t>ِ</w:t>
      </w:r>
      <w:r w:rsidRPr="00F27422">
        <w:rPr>
          <w:rFonts w:ascii="mylotus" w:hAnsi="mylotus"/>
          <w:b/>
          <w:bCs/>
          <w:sz w:val="32"/>
          <w:rtl/>
        </w:rPr>
        <w:t>ن ق</w:t>
      </w:r>
      <w:r w:rsidRPr="00F27422">
        <w:rPr>
          <w:rFonts w:ascii="mylotus" w:hAnsi="mylotus" w:hint="cs"/>
          <w:b/>
          <w:bCs/>
          <w:sz w:val="32"/>
          <w:rtl/>
        </w:rPr>
        <w:t>ِ</w:t>
      </w:r>
      <w:r w:rsidRPr="00F27422">
        <w:rPr>
          <w:rFonts w:ascii="mylotus" w:hAnsi="mylotus"/>
          <w:b/>
          <w:bCs/>
          <w:sz w:val="32"/>
          <w:rtl/>
        </w:rPr>
        <w:t>ب</w:t>
      </w:r>
      <w:r w:rsidRPr="00F27422">
        <w:rPr>
          <w:rFonts w:ascii="mylotus" w:hAnsi="mylotus" w:hint="cs"/>
          <w:b/>
          <w:bCs/>
          <w:sz w:val="32"/>
          <w:rtl/>
        </w:rPr>
        <w:t>َ</w:t>
      </w:r>
      <w:r w:rsidRPr="00F27422">
        <w:rPr>
          <w:rFonts w:ascii="mylotus" w:hAnsi="mylotus"/>
          <w:b/>
          <w:bCs/>
          <w:sz w:val="32"/>
          <w:rtl/>
        </w:rPr>
        <w:t>ل</w:t>
      </w:r>
      <w:r w:rsidRPr="00F27422">
        <w:rPr>
          <w:rFonts w:ascii="mylotus" w:hAnsi="mylotus" w:hint="cs"/>
          <w:b/>
          <w:bCs/>
          <w:sz w:val="32"/>
          <w:rtl/>
        </w:rPr>
        <w:t>ِ</w:t>
      </w:r>
      <w:r w:rsidRPr="00F27422">
        <w:rPr>
          <w:rFonts w:ascii="mylotus" w:hAnsi="mylotus"/>
          <w:b/>
          <w:bCs/>
          <w:sz w:val="32"/>
          <w:rtl/>
        </w:rPr>
        <w:t xml:space="preserve"> السيد الحكيم السبط (قدس سره الشريف)</w:t>
      </w:r>
      <w:r w:rsidRPr="00F27422">
        <w:rPr>
          <w:rFonts w:ascii="mylotus" w:hAnsi="mylotus"/>
          <w:sz w:val="32"/>
          <w:rtl/>
        </w:rPr>
        <w:t xml:space="preserve"> في كتابه [مصباح المنهاج، كتاب الإجارة، ص233] حيث قال: </w:t>
      </w:r>
      <w:r w:rsidRPr="00F27422">
        <w:rPr>
          <w:rFonts w:ascii="mylotus" w:hAnsi="mylotus"/>
          <w:b/>
          <w:bCs/>
          <w:sz w:val="32"/>
          <w:rtl/>
        </w:rPr>
        <w:t>(هذا وقد فصّل في الجواهر بين ما إذا كان إجارة الولي مدة تزيد على زمان بلوغه لمصلحة الصبي حال صباه وما إذا كان لمصلحته بعد البلوغ، فلا تصح الإجارة في الأول دون الثاني</w:t>
      </w:r>
      <w:r w:rsidRPr="00F27422">
        <w:rPr>
          <w:rFonts w:ascii="mylotus" w:hAnsi="mylotus" w:hint="cs"/>
          <w:b/>
          <w:bCs/>
          <w:sz w:val="32"/>
          <w:rtl/>
        </w:rPr>
        <w:t>.</w:t>
      </w:r>
      <w:r w:rsidRPr="00F27422">
        <w:rPr>
          <w:rFonts w:ascii="mylotus" w:hAnsi="mylotus"/>
          <w:b/>
          <w:bCs/>
          <w:sz w:val="32"/>
          <w:rtl/>
        </w:rPr>
        <w:t xml:space="preserve"> وكأنه للبناء على أن مراعاة مصلحته بعد البلوغ ليست من وظيفة الولي</w:t>
      </w:r>
      <w:r w:rsidRPr="00F27422">
        <w:rPr>
          <w:rFonts w:ascii="mylotus" w:hAnsi="mylotus"/>
          <w:b/>
          <w:bCs/>
          <w:sz w:val="32"/>
        </w:rPr>
        <w:t>.</w:t>
      </w:r>
    </w:p>
    <w:p w14:paraId="518D7477" w14:textId="77777777" w:rsidR="00601296" w:rsidRPr="00F27422" w:rsidRDefault="00601296" w:rsidP="00122B70">
      <w:pPr>
        <w:pStyle w:val="a"/>
        <w:bidi/>
        <w:spacing w:line="216" w:lineRule="auto"/>
        <w:jc w:val="left"/>
        <w:rPr>
          <w:rFonts w:ascii="mylotus" w:hAnsi="mylotus"/>
          <w:b/>
          <w:bCs/>
          <w:sz w:val="32"/>
          <w:rtl/>
        </w:rPr>
      </w:pPr>
      <w:r w:rsidRPr="00F27422">
        <w:rPr>
          <w:rFonts w:ascii="mylotus" w:hAnsi="mylotus"/>
          <w:b/>
          <w:bCs/>
          <w:sz w:val="32"/>
          <w:rtl/>
        </w:rPr>
        <w:t>لكنه في غاية المنع بعد عموم دليل الولاية المتقدم، المعتضد بالمرتكزات المتشرعية، وبما دلّ على أنه من وظائف الأب تعليم ولده وتأديبه</w:t>
      </w:r>
      <w:r w:rsidRPr="00F27422">
        <w:rPr>
          <w:rFonts w:ascii="mylotus" w:hAnsi="mylotus" w:hint="cs"/>
          <w:b/>
          <w:bCs/>
          <w:sz w:val="32"/>
          <w:rtl/>
        </w:rPr>
        <w:t>)</w:t>
      </w:r>
      <w:r w:rsidRPr="00F27422">
        <w:rPr>
          <w:rFonts w:ascii="mylotus" w:hAnsi="mylotus"/>
          <w:b/>
          <w:bCs/>
          <w:sz w:val="32"/>
          <w:rtl/>
        </w:rPr>
        <w:t xml:space="preserve"> </w:t>
      </w:r>
      <w:r w:rsidRPr="00F27422">
        <w:rPr>
          <w:rFonts w:ascii="mylotus" w:hAnsi="mylotus"/>
          <w:sz w:val="32"/>
          <w:rtl/>
        </w:rPr>
        <w:t xml:space="preserve">كما ستأتي الإشارة إليه </w:t>
      </w:r>
      <w:r w:rsidRPr="00F27422">
        <w:rPr>
          <w:rFonts w:ascii="mylotus" w:hAnsi="mylotus" w:hint="cs"/>
          <w:b/>
          <w:bCs/>
          <w:sz w:val="32"/>
          <w:rtl/>
        </w:rPr>
        <w:t>(</w:t>
      </w:r>
      <w:r w:rsidRPr="00F27422">
        <w:rPr>
          <w:rFonts w:ascii="mylotus" w:hAnsi="mylotus"/>
          <w:b/>
          <w:bCs/>
          <w:sz w:val="32"/>
          <w:rtl/>
        </w:rPr>
        <w:t>وما تضمن بيان المكاسب التي ينبغي تعليم الصبي لها وتجنيبه إياها، كصحيح إسحاق بن عمار أو موث</w:t>
      </w:r>
      <w:r w:rsidRPr="00F27422">
        <w:rPr>
          <w:rFonts w:ascii="mylotus" w:hAnsi="mylotus" w:hint="cs"/>
          <w:b/>
          <w:bCs/>
          <w:sz w:val="32"/>
          <w:rtl/>
        </w:rPr>
        <w:t>ق</w:t>
      </w:r>
      <w:r w:rsidRPr="00F27422">
        <w:rPr>
          <w:rFonts w:ascii="mylotus" w:hAnsi="mylotus"/>
          <w:b/>
          <w:bCs/>
          <w:sz w:val="32"/>
          <w:rtl/>
        </w:rPr>
        <w:t xml:space="preserve">ه: (دخلت على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فخبرته أنه ولد لي </w:t>
      </w:r>
      <w:proofErr w:type="gramStart"/>
      <w:r w:rsidRPr="00F27422">
        <w:rPr>
          <w:rFonts w:ascii="mylotus" w:hAnsi="mylotus"/>
          <w:b/>
          <w:bCs/>
          <w:sz w:val="32"/>
          <w:rtl/>
        </w:rPr>
        <w:t>غلام .</w:t>
      </w:r>
      <w:proofErr w:type="gramEnd"/>
      <w:r w:rsidRPr="00F27422">
        <w:rPr>
          <w:rFonts w:ascii="mylotus" w:hAnsi="mylotus"/>
          <w:b/>
          <w:bCs/>
          <w:sz w:val="32"/>
          <w:rtl/>
        </w:rPr>
        <w:t xml:space="preserve">. قلت: جعلت فداك في أي الأعمال أضعه؟ قال: إذا عدلته [عزلته] عن خمسة أشياء فضعه حيث شئت. لا تسلمه </w:t>
      </w:r>
      <w:proofErr w:type="gramStart"/>
      <w:r w:rsidRPr="00F27422">
        <w:rPr>
          <w:rFonts w:ascii="mylotus" w:hAnsi="mylotus"/>
          <w:b/>
          <w:bCs/>
          <w:sz w:val="32"/>
          <w:rtl/>
        </w:rPr>
        <w:t>صيرفياً .</w:t>
      </w:r>
      <w:proofErr w:type="gramEnd"/>
      <w:r w:rsidRPr="00F27422">
        <w:rPr>
          <w:rFonts w:ascii="mylotus" w:hAnsi="mylotus"/>
          <w:b/>
          <w:bCs/>
          <w:sz w:val="32"/>
          <w:rtl/>
        </w:rPr>
        <w:t>.)) وغيره. لظهورها في المفروغية عن أن من شأن الأب أن يؤدب ولده ويعلمه صنعة يتعيش بها، وكلاهما مما ينتفع به غالباً إذا كبر واستقل</w:t>
      </w:r>
      <w:r w:rsidRPr="00F27422">
        <w:rPr>
          <w:rFonts w:ascii="mylotus" w:hAnsi="mylotus" w:hint="cs"/>
          <w:b/>
          <w:bCs/>
          <w:sz w:val="32"/>
          <w:rtl/>
        </w:rPr>
        <w:t>).</w:t>
      </w:r>
    </w:p>
    <w:p w14:paraId="3AB9DD09"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sz w:val="32"/>
          <w:rtl/>
        </w:rPr>
        <w:t>ويؤكده ما</w:t>
      </w:r>
      <w:r w:rsidRPr="00F27422">
        <w:rPr>
          <w:rFonts w:ascii="mylotus" w:hAnsi="mylotus" w:hint="cs"/>
          <w:sz w:val="32"/>
          <w:rtl/>
        </w:rPr>
        <w:t xml:space="preserve"> </w:t>
      </w:r>
      <w:r w:rsidRPr="00F27422">
        <w:rPr>
          <w:rFonts w:ascii="mylotus" w:hAnsi="mylotus"/>
          <w:sz w:val="32"/>
          <w:rtl/>
        </w:rPr>
        <w:t>ورد في الروايات الشريفة من أنّّ من وظائف الأب تعليم ولده وتأديبه، ومن الواضح أنّ التأديب والتعليم لمصلحته ما بعد البلوغ، فمن تلك الروايات</w:t>
      </w:r>
      <w:r w:rsidRPr="00F27422">
        <w:rPr>
          <w:rFonts w:ascii="mylotus" w:hAnsi="mylotus"/>
          <w:sz w:val="32"/>
        </w:rPr>
        <w:t>:</w:t>
      </w:r>
    </w:p>
    <w:p w14:paraId="07617A04"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sz w:val="32"/>
          <w:rtl/>
        </w:rPr>
        <w:t xml:space="preserve">ما في الوسائل: </w:t>
      </w:r>
      <w:r w:rsidRPr="00F27422">
        <w:rPr>
          <w:rFonts w:ascii="mylotus" w:hAnsi="mylotus"/>
          <w:b/>
          <w:bCs/>
          <w:sz w:val="32"/>
          <w:rtl/>
        </w:rPr>
        <w:t xml:space="preserve">(قال: وقال أمير المؤمنين (عليه السلام): يربى الصبي سبعا ويؤدب سبعا ويستخدم سبعا، ومنتهى طوله في ثلاث وعشرين سنة، وعقله في خمس </w:t>
      </w:r>
      <w:proofErr w:type="spellStart"/>
      <w:r w:rsidRPr="00F27422">
        <w:rPr>
          <w:rFonts w:ascii="mylotus" w:hAnsi="mylotus"/>
          <w:b/>
          <w:bCs/>
          <w:sz w:val="32"/>
          <w:rtl/>
        </w:rPr>
        <w:t>وثلاثسن</w:t>
      </w:r>
      <w:proofErr w:type="spellEnd"/>
      <w:r w:rsidRPr="00F27422">
        <w:rPr>
          <w:rFonts w:ascii="mylotus" w:hAnsi="mylotus"/>
          <w:b/>
          <w:bCs/>
          <w:sz w:val="32"/>
          <w:rtl/>
        </w:rPr>
        <w:t xml:space="preserve"> وما كان بعد ذلك فبالتجارب). </w:t>
      </w:r>
      <w:r w:rsidRPr="00F27422">
        <w:rPr>
          <w:rFonts w:ascii="mylotus" w:hAnsi="mylotus"/>
          <w:sz w:val="32"/>
          <w:rtl/>
        </w:rPr>
        <w:t>[وسائل الشيعة، الحر العاملي، تحقيق مؤسسة آل البيت (عليهم السلام) لإحياء التراث، كتاب النكاح، أبواب أحكام الأولاد، الباب 83 باب استحباب تعليم الصبي الكتابة والقرآن سبع سنين، ح5]</w:t>
      </w:r>
      <w:r w:rsidRPr="00F27422">
        <w:rPr>
          <w:rFonts w:ascii="mylotus" w:hAnsi="mylotus"/>
          <w:sz w:val="32"/>
        </w:rPr>
        <w:t>.</w:t>
      </w:r>
    </w:p>
    <w:p w14:paraId="41929377"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sz w:val="32"/>
          <w:rtl/>
        </w:rPr>
        <w:lastRenderedPageBreak/>
        <w:t>وفي الوسائل أيضا</w:t>
      </w:r>
      <w:r w:rsidRPr="00F27422">
        <w:rPr>
          <w:rFonts w:ascii="mylotus" w:hAnsi="mylotus" w:hint="cs"/>
          <w:sz w:val="32"/>
          <w:rtl/>
        </w:rPr>
        <w:t>ً</w:t>
      </w:r>
      <w:r w:rsidRPr="00F27422">
        <w:rPr>
          <w:rFonts w:ascii="mylotus" w:hAnsi="mylotus"/>
          <w:sz w:val="32"/>
          <w:rtl/>
        </w:rPr>
        <w:t xml:space="preserve"> عن أمير المؤمنين (عليه السلام)</w:t>
      </w:r>
      <w:r w:rsidRPr="00F27422">
        <w:rPr>
          <w:rFonts w:ascii="mylotus" w:hAnsi="mylotus" w:hint="cs"/>
          <w:sz w:val="32"/>
          <w:rtl/>
        </w:rPr>
        <w:t xml:space="preserve"> أيضاً</w:t>
      </w:r>
      <w:r w:rsidRPr="00F27422">
        <w:rPr>
          <w:rFonts w:ascii="mylotus" w:hAnsi="mylotus"/>
          <w:sz w:val="32"/>
          <w:rtl/>
        </w:rPr>
        <w:t xml:space="preserve">: </w:t>
      </w:r>
      <w:r w:rsidRPr="00F27422">
        <w:rPr>
          <w:rFonts w:ascii="mylotus" w:hAnsi="mylotus"/>
          <w:b/>
          <w:bCs/>
          <w:sz w:val="32"/>
          <w:rtl/>
        </w:rPr>
        <w:t>(وعنه (عليه السلام) قال: لئن يؤدب أحدكم ولده خير له من أن يتصدق بنصف صاع كل يوم).</w:t>
      </w:r>
      <w:r w:rsidRPr="00F27422">
        <w:rPr>
          <w:rFonts w:ascii="mylotus" w:hAnsi="mylotus"/>
          <w:sz w:val="32"/>
          <w:rtl/>
        </w:rPr>
        <w:t xml:space="preserve"> [وسائل الشيعة، الحر العاملي، تحقيق مؤسسة آل البيت (عليهم السلام) لإحياء التراث، كتاب النكاح، أبواب أحكام الأولاد، الباب 83 باب استحباب تعليم الصبي الكتابة والقرآن سبع سنين، ح8]</w:t>
      </w:r>
      <w:r w:rsidRPr="00F27422">
        <w:rPr>
          <w:rFonts w:ascii="mylotus" w:hAnsi="mylotus"/>
          <w:sz w:val="32"/>
        </w:rPr>
        <w:t>.</w:t>
      </w:r>
    </w:p>
    <w:p w14:paraId="2F3015EC"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sz w:val="32"/>
          <w:rtl/>
        </w:rPr>
        <w:t xml:space="preserve">وما ورد في موثقة اسحاق بن عمار، كما في الكافي: </w:t>
      </w:r>
      <w:r w:rsidRPr="00F27422">
        <w:rPr>
          <w:rFonts w:ascii="mylotus" w:hAnsi="mylotus"/>
          <w:b/>
          <w:bCs/>
          <w:sz w:val="32"/>
          <w:rtl/>
        </w:rPr>
        <w:t>(محمّد بن يحيى، عن أحمد بن محمّد، عن جعفر بن يحيى الخزاعي، عن أبيه يحيى بن أبي العلاء، عن إسحاق بن عمار قال: دخلتُ على أبي عبدالله (عليه السلام) فخبَّرتُهُ أنّه وُلِدَ لي غلامٌ، فقال: ألا سمَّيته محمداً، قال: قلتُ: قد فعلتُ، قال: فلا تضرب محمداً ولا تسبَّهُ جعله الله قُرّة عينٍ لك في حياتك وخلفَ صدقٍ من بعدك، فقلتُ: جعلت فداك في أي الأعمال أضعُهُ؟ قال: إذا عدلتَهُ عن خمسة أشياءَ فضعه حيثُ شئت، لا تُسلِمْهُ صيرفياً فإنّ الصيرفي لا يسلمُ من الرِّبا، ولا تُسلِمْهُ بيّاع الأكفان فإن صاحب الأكفان يَسُرُّهُ الوباءُ إذا كان، ولا تُسلِمْهُ بيّاع الطعام فإنّه لا يسلمُ من الاحتكار، ولا تُسلِمْهُ جزَّاراً فإنّ الجزَّار تُسلبُ منه الرحمة، ولا تُسلِمْهُ نخَّاساً فإنّ رسول الله (صلى الله عليه وآله) قال: شرُّ الناس من باع الناس).</w:t>
      </w:r>
      <w:r w:rsidRPr="00F27422">
        <w:rPr>
          <w:rFonts w:ascii="mylotus" w:hAnsi="mylotus"/>
          <w:sz w:val="32"/>
          <w:rtl/>
        </w:rPr>
        <w:t xml:space="preserve"> [الكافي، للشيخ الكلين، دار الكتب الإسلامية، ج5، كتاب المعيشة، باب الصناعات، ح4]</w:t>
      </w:r>
      <w:r w:rsidRPr="00F27422">
        <w:rPr>
          <w:rFonts w:ascii="mylotus" w:hAnsi="mylotus"/>
          <w:sz w:val="32"/>
        </w:rPr>
        <w:t>.</w:t>
      </w:r>
    </w:p>
    <w:p w14:paraId="62C5C278" w14:textId="77777777" w:rsidR="00601296" w:rsidRPr="00F27422" w:rsidRDefault="00601296" w:rsidP="00122B70">
      <w:pPr>
        <w:pStyle w:val="a"/>
        <w:bidi/>
        <w:spacing w:line="216" w:lineRule="auto"/>
        <w:jc w:val="left"/>
        <w:rPr>
          <w:rFonts w:ascii="mylotus" w:hAnsi="mylotus"/>
          <w:sz w:val="32"/>
          <w:rtl/>
        </w:rPr>
      </w:pPr>
      <w:r w:rsidRPr="00F27422">
        <w:rPr>
          <w:rFonts w:ascii="mylotus" w:hAnsi="mylotus"/>
          <w:sz w:val="32"/>
          <w:rtl/>
        </w:rPr>
        <w:t xml:space="preserve">فإنّ ظاهر قوله (عليه السلام): </w:t>
      </w:r>
      <w:r w:rsidRPr="00F27422">
        <w:rPr>
          <w:rFonts w:ascii="mylotus" w:hAnsi="mylotus"/>
          <w:b/>
          <w:bCs/>
          <w:sz w:val="32"/>
          <w:rtl/>
        </w:rPr>
        <w:t>(فضعه حيثُ شئت)</w:t>
      </w:r>
      <w:r w:rsidRPr="00F27422">
        <w:rPr>
          <w:rFonts w:ascii="mylotus" w:hAnsi="mylotus"/>
          <w:sz w:val="32"/>
          <w:rtl/>
        </w:rPr>
        <w:t xml:space="preserve"> أنّ للوليّ تقدير مصالح الصبي ما بعد البلوغ.</w:t>
      </w:r>
    </w:p>
    <w:p w14:paraId="57C25739" w14:textId="77777777" w:rsidR="00601296" w:rsidRPr="00F27422" w:rsidRDefault="00601296" w:rsidP="00122B70">
      <w:pPr>
        <w:pStyle w:val="a"/>
        <w:bidi/>
        <w:spacing w:line="216" w:lineRule="auto"/>
        <w:jc w:val="left"/>
        <w:rPr>
          <w:rFonts w:ascii="mylotus" w:hAnsi="mylotus"/>
          <w:b/>
          <w:bCs/>
          <w:sz w:val="32"/>
          <w:rtl/>
        </w:rPr>
      </w:pPr>
    </w:p>
    <w:p w14:paraId="5599198C" w14:textId="77777777" w:rsidR="00601296" w:rsidRPr="00F27422" w:rsidRDefault="00601296"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3BEDE3FB" w14:textId="77777777" w:rsidR="00FB7D30" w:rsidRPr="00F27422" w:rsidRDefault="00FB7D30" w:rsidP="00122B70">
      <w:pPr>
        <w:bidi/>
        <w:ind w:firstLine="720"/>
        <w:rPr>
          <w:sz w:val="32"/>
          <w:szCs w:val="32"/>
          <w:rtl/>
        </w:rPr>
      </w:pPr>
    </w:p>
    <w:p w14:paraId="375C81E1" w14:textId="686CD3FA" w:rsidR="00601296" w:rsidRPr="00F27422" w:rsidRDefault="00601296" w:rsidP="00122B70">
      <w:pPr>
        <w:pStyle w:val="Heading3"/>
        <w:bidi/>
        <w:rPr>
          <w:sz w:val="32"/>
          <w:szCs w:val="32"/>
          <w:rtl/>
        </w:rPr>
      </w:pPr>
      <w:r w:rsidRPr="00F27422">
        <w:rPr>
          <w:rFonts w:hint="cs"/>
          <w:sz w:val="32"/>
          <w:szCs w:val="32"/>
          <w:rtl/>
        </w:rPr>
        <w:t>044</w:t>
      </w:r>
    </w:p>
    <w:p w14:paraId="6957E707" w14:textId="11AE1218" w:rsidR="008E7A9C" w:rsidRPr="00F27422" w:rsidRDefault="00C23B20" w:rsidP="00122B70">
      <w:pPr>
        <w:bidi/>
        <w:rPr>
          <w:sz w:val="32"/>
          <w:szCs w:val="32"/>
          <w:rtl/>
        </w:rPr>
      </w:pPr>
      <w:r w:rsidRPr="00F27422">
        <w:rPr>
          <w:rFonts w:hint="cs"/>
          <w:b/>
          <w:bCs/>
          <w:sz w:val="32"/>
          <w:szCs w:val="32"/>
          <w:rtl/>
        </w:rPr>
        <w:t xml:space="preserve"> </w:t>
      </w:r>
    </w:p>
    <w:p w14:paraId="6C46EEC0" w14:textId="77777777" w:rsidR="008E7A9C" w:rsidRPr="00F27422" w:rsidRDefault="008E7A9C" w:rsidP="00122B70">
      <w:pPr>
        <w:bidi/>
        <w:rPr>
          <w:sz w:val="32"/>
          <w:szCs w:val="32"/>
          <w:rtl/>
        </w:rPr>
      </w:pPr>
    </w:p>
    <w:p w14:paraId="78423B93" w14:textId="77777777" w:rsidR="008E7A9C" w:rsidRPr="00F27422" w:rsidRDefault="008E7A9C" w:rsidP="00122B70">
      <w:pPr>
        <w:bidi/>
        <w:rPr>
          <w:b/>
          <w:bCs/>
          <w:sz w:val="32"/>
          <w:szCs w:val="32"/>
          <w:rtl/>
        </w:rPr>
      </w:pPr>
      <w:r w:rsidRPr="00F27422">
        <w:rPr>
          <w:b/>
          <w:bCs/>
          <w:sz w:val="32"/>
          <w:szCs w:val="32"/>
          <w:rtl/>
        </w:rPr>
        <w:t>ولكن يلاحظ على ما أورده السيد الحكيم السبط على صاحب الجواهر (قدس سرهما):</w:t>
      </w:r>
    </w:p>
    <w:p w14:paraId="1FF4721C" w14:textId="77777777" w:rsidR="008E7A9C" w:rsidRPr="00F27422" w:rsidRDefault="008E7A9C" w:rsidP="00122B70">
      <w:pPr>
        <w:bidi/>
        <w:rPr>
          <w:b/>
          <w:bCs/>
          <w:sz w:val="32"/>
          <w:szCs w:val="32"/>
          <w:rtl/>
        </w:rPr>
      </w:pPr>
      <w:r w:rsidRPr="00F27422">
        <w:rPr>
          <w:sz w:val="32"/>
          <w:szCs w:val="32"/>
          <w:rtl/>
        </w:rPr>
        <w:t>أنّ ما أُفيد ضمن كلامه من كون المستفاد من المرتكزات المتشرعية أنّ للوليّ - وهو الأب - تقدير مصالح الصبي بما بعد البلوغ هو الدليل الوحيد في المقام، وإلّا فبقية الوجوه المذكورة في كلامه (قدس سره الشريف) محل تأملٍ.</w:t>
      </w:r>
    </w:p>
    <w:p w14:paraId="7FCA71D0" w14:textId="60D38D82" w:rsidR="008E7A9C" w:rsidRPr="00F27422" w:rsidRDefault="008E7A9C" w:rsidP="00122B70">
      <w:pPr>
        <w:bidi/>
        <w:rPr>
          <w:sz w:val="32"/>
          <w:szCs w:val="32"/>
          <w:rtl/>
        </w:rPr>
      </w:pPr>
      <w:r w:rsidRPr="00F27422">
        <w:rPr>
          <w:sz w:val="32"/>
          <w:szCs w:val="32"/>
          <w:rtl/>
        </w:rPr>
        <w:t xml:space="preserve">أمّا المطلقات الدالة على ثبوت الولاية فالتامُ منها في حقّ الأب ما صح </w:t>
      </w:r>
      <w:r w:rsidRPr="00F27422">
        <w:rPr>
          <w:b/>
          <w:bCs/>
          <w:sz w:val="32"/>
          <w:szCs w:val="32"/>
          <w:rtl/>
        </w:rPr>
        <w:t>عن أبي جعفر (عليه السلام): (لأنّ والدهُ هو الذي يلي أمره).</w:t>
      </w:r>
      <w:r w:rsidR="00DB749D" w:rsidRPr="00F27422">
        <w:rPr>
          <w:rFonts w:hint="cs"/>
          <w:sz w:val="32"/>
          <w:szCs w:val="32"/>
          <w:rtl/>
        </w:rPr>
        <w:t xml:space="preserve"> </w:t>
      </w:r>
      <w:r w:rsidRPr="00F27422">
        <w:rPr>
          <w:sz w:val="32"/>
          <w:szCs w:val="32"/>
          <w:rtl/>
        </w:rPr>
        <w:t>ومن الواضح أنّ غاية ما يدل عليه المفروغية عن ثبوت الولاية للأب على الصبي، أي أنّ والده هو الذي يلي أمره ما دام صبياً، وأمّا مصالحه ما بعد بلوغه فلا دلالة في الرواية على أنّ تحديدها وتقديرها هو من شأن الأب، وأنّ نظره في تشخيصها حجةٌ معتبرة.</w:t>
      </w:r>
    </w:p>
    <w:p w14:paraId="147D2A02" w14:textId="77777777" w:rsidR="008E7A9C" w:rsidRPr="00F27422" w:rsidRDefault="008E7A9C" w:rsidP="00122B70">
      <w:pPr>
        <w:bidi/>
        <w:rPr>
          <w:b/>
          <w:bCs/>
          <w:sz w:val="32"/>
          <w:szCs w:val="32"/>
          <w:rtl/>
        </w:rPr>
      </w:pPr>
      <w:r w:rsidRPr="00F27422">
        <w:rPr>
          <w:sz w:val="32"/>
          <w:szCs w:val="32"/>
          <w:rtl/>
        </w:rPr>
        <w:lastRenderedPageBreak/>
        <w:t>وأمّا ما ورد من أنّ للأب الولاية على تعليم الصبي وتأديبه وتدريبه على صَنْعةٍ من الصنائع فهو أخص من المدعى في المقام؛ فإنّه مضافاً لاختصاصه بالأب دون الجدّ أو الوصي أو المأذون من قبل الحاكم الشرعي - بينما محلّ الكلام هو الأعم - أنّ المنظور في هذه الروايات الشريفة ما كان نفعاً محضاً للصبي قبل وبعد بلوغه كالعلم والأدب والصنعة، وأمّا تشخيص ما هو النافع له ولأملاكه بعد بلوغه مع اقتضاء العادة تقلب الأوضاع واختلاف الأنظار فمما لا يستفاد من هذه الأدلّة بوجه</w:t>
      </w:r>
      <w:r w:rsidRPr="00F27422">
        <w:rPr>
          <w:sz w:val="32"/>
          <w:szCs w:val="32"/>
        </w:rPr>
        <w:t>.</w:t>
      </w:r>
    </w:p>
    <w:p w14:paraId="20C14281" w14:textId="77777777" w:rsidR="008E7A9C" w:rsidRPr="00F27422" w:rsidRDefault="008E7A9C" w:rsidP="00122B70">
      <w:pPr>
        <w:bidi/>
        <w:rPr>
          <w:sz w:val="32"/>
          <w:szCs w:val="32"/>
          <w:rtl/>
        </w:rPr>
      </w:pPr>
      <w:r w:rsidRPr="00F27422">
        <w:rPr>
          <w:sz w:val="32"/>
          <w:szCs w:val="32"/>
          <w:rtl/>
        </w:rPr>
        <w:t>وحيث إنّ الدليل الوحيد هو المرتكز المتشرعي وهو دليلٌ لُبي، فإنّ القدر المتيقن منه أنّ للوليّ تشخيص مصلحة الصبي ما بعد البلوغ ما لم يكن الصبي في سن التمييز حاذقاً ماهراً في إدارة المعاملات المالية، فإنّه لا يستفاد من أمثال هذه الأدلّة أنّ تشخيص الوليّ لمصالحه ما بعد بلوغه نافذٌ عليه.</w:t>
      </w:r>
    </w:p>
    <w:p w14:paraId="3121160C" w14:textId="77777777" w:rsidR="008E7A9C" w:rsidRPr="00F27422" w:rsidRDefault="008E7A9C" w:rsidP="00122B70">
      <w:pPr>
        <w:bidi/>
        <w:rPr>
          <w:b/>
          <w:bCs/>
          <w:sz w:val="32"/>
          <w:szCs w:val="32"/>
          <w:rtl/>
        </w:rPr>
      </w:pPr>
      <w:r w:rsidRPr="00F27422">
        <w:rPr>
          <w:sz w:val="32"/>
          <w:szCs w:val="32"/>
          <w:rtl/>
        </w:rPr>
        <w:t>هذا تمام الكلام في المورد الأوّل، وهو تصرّف الوليّ في أملاك الصبي بإجارتها لما بعد البلوغ</w:t>
      </w:r>
      <w:r w:rsidRPr="00F27422">
        <w:rPr>
          <w:sz w:val="32"/>
          <w:szCs w:val="32"/>
        </w:rPr>
        <w:t>.</w:t>
      </w:r>
    </w:p>
    <w:p w14:paraId="5D579343" w14:textId="77777777" w:rsidR="008E7A9C" w:rsidRPr="00F27422" w:rsidRDefault="008E7A9C" w:rsidP="00122B70">
      <w:pPr>
        <w:pStyle w:val="Heading3"/>
        <w:bidi/>
        <w:rPr>
          <w:b/>
          <w:bCs/>
          <w:sz w:val="32"/>
          <w:szCs w:val="32"/>
          <w:rtl/>
        </w:rPr>
      </w:pPr>
      <w:r w:rsidRPr="00F27422">
        <w:rPr>
          <w:b/>
          <w:bCs/>
          <w:sz w:val="32"/>
          <w:szCs w:val="32"/>
          <w:rtl/>
        </w:rPr>
        <w:t>المورد الثاني: التصرّف في نفس الصبي بإجارته لمدّةٍ ما بعد البلوغ.</w:t>
      </w:r>
    </w:p>
    <w:p w14:paraId="03B9676E" w14:textId="77777777" w:rsidR="008E7A9C" w:rsidRPr="00F27422" w:rsidRDefault="008E7A9C" w:rsidP="00122B70">
      <w:pPr>
        <w:bidi/>
        <w:rPr>
          <w:b/>
          <w:bCs/>
          <w:sz w:val="32"/>
          <w:szCs w:val="32"/>
          <w:rtl/>
        </w:rPr>
      </w:pPr>
      <w:r w:rsidRPr="00F27422">
        <w:rPr>
          <w:sz w:val="32"/>
          <w:szCs w:val="32"/>
          <w:rtl/>
        </w:rPr>
        <w:t>كأنْ يسلم الوليُّ الصبيَّ لشركةٍ أو مؤسسةٍ ويتعاقد معها على أنّه أجيرٌ في هذه المؤسسة أو الشركة لعشر سنوات قادمة التي منها زمان بلوغه ورشده</w:t>
      </w:r>
      <w:r w:rsidRPr="00F27422">
        <w:rPr>
          <w:sz w:val="32"/>
          <w:szCs w:val="32"/>
        </w:rPr>
        <w:t>.</w:t>
      </w:r>
    </w:p>
    <w:p w14:paraId="7AC1A4A0" w14:textId="77777777" w:rsidR="008E7A9C" w:rsidRPr="00F27422" w:rsidRDefault="008E7A9C" w:rsidP="00122B70">
      <w:pPr>
        <w:bidi/>
        <w:rPr>
          <w:b/>
          <w:bCs/>
          <w:sz w:val="32"/>
          <w:szCs w:val="32"/>
          <w:rtl/>
        </w:rPr>
      </w:pPr>
      <w:r w:rsidRPr="00F27422">
        <w:rPr>
          <w:b/>
          <w:bCs/>
          <w:sz w:val="32"/>
          <w:szCs w:val="32"/>
          <w:rtl/>
        </w:rPr>
        <w:t>وقد وقع الكلام في نفوذ إجارة الوليّ له في الفترة ما بعد بلوغه</w:t>
      </w:r>
      <w:r w:rsidRPr="00F27422">
        <w:rPr>
          <w:b/>
          <w:bCs/>
          <w:sz w:val="32"/>
          <w:szCs w:val="32"/>
        </w:rPr>
        <w:t>.</w:t>
      </w:r>
    </w:p>
    <w:p w14:paraId="71D57AC5" w14:textId="2E6438A4" w:rsidR="008E7A9C" w:rsidRPr="00F27422" w:rsidRDefault="008E7A9C" w:rsidP="00122B70">
      <w:pPr>
        <w:bidi/>
        <w:rPr>
          <w:b/>
          <w:bCs/>
          <w:sz w:val="32"/>
          <w:szCs w:val="32"/>
          <w:rtl/>
        </w:rPr>
      </w:pPr>
      <w:r w:rsidRPr="00F27422">
        <w:rPr>
          <w:sz w:val="32"/>
          <w:szCs w:val="32"/>
          <w:rtl/>
        </w:rPr>
        <w:t>وربما يستدل على نفوذها بما ذكره المحقّق الأصفهاني (قدس سره الشريف) في كتاب [</w:t>
      </w:r>
      <w:proofErr w:type="gramStart"/>
      <w:r w:rsidRPr="00F27422">
        <w:rPr>
          <w:sz w:val="32"/>
          <w:szCs w:val="32"/>
          <w:rtl/>
        </w:rPr>
        <w:t>الإجارة</w:t>
      </w:r>
      <w:r w:rsidR="00563870" w:rsidRPr="00F27422">
        <w:rPr>
          <w:rFonts w:hint="cs"/>
          <w:sz w:val="32"/>
          <w:szCs w:val="32"/>
          <w:rtl/>
        </w:rPr>
        <w:t xml:space="preserve"> </w:t>
      </w:r>
      <w:r w:rsidRPr="00F27422">
        <w:rPr>
          <w:sz w:val="32"/>
          <w:szCs w:val="32"/>
          <w:rtl/>
        </w:rPr>
        <w:t xml:space="preserve"> ص</w:t>
      </w:r>
      <w:proofErr w:type="gramEnd"/>
      <w:r w:rsidRPr="00F27422">
        <w:rPr>
          <w:sz w:val="32"/>
          <w:szCs w:val="32"/>
          <w:rtl/>
        </w:rPr>
        <w:t xml:space="preserve">299] حيث قال: </w:t>
      </w:r>
      <w:r w:rsidRPr="00F27422">
        <w:rPr>
          <w:b/>
          <w:bCs/>
          <w:sz w:val="32"/>
          <w:szCs w:val="32"/>
          <w:rtl/>
        </w:rPr>
        <w:t>(إلا أن يقال إن الصغر لو لم يكن مانعا شرعا لكان للصغير فعلا تمليك جميع منافعه المصادفة لزمان صغره وكبره)</w:t>
      </w:r>
      <w:r w:rsidRPr="00F27422">
        <w:rPr>
          <w:sz w:val="32"/>
          <w:szCs w:val="32"/>
          <w:rtl/>
        </w:rPr>
        <w:t xml:space="preserve"> إذ لو فرض أنّ الصبي رشيدٌ مميزٌ ولم يكن هناك مانع شرعي لكان له السلطة على أن يُؤجّر نفسه لمدّةٍ تمتد لما بعد بلوغه </w:t>
      </w:r>
      <w:r w:rsidRPr="00F27422">
        <w:rPr>
          <w:b/>
          <w:bCs/>
          <w:sz w:val="32"/>
          <w:szCs w:val="32"/>
          <w:rtl/>
        </w:rPr>
        <w:t>(والشارع لمكان مانعية الصغر في نظره جعل هذه السلطنة لوليه)</w:t>
      </w:r>
      <w:r w:rsidRPr="00F27422">
        <w:rPr>
          <w:b/>
          <w:bCs/>
          <w:sz w:val="32"/>
          <w:szCs w:val="32"/>
        </w:rPr>
        <w:t>.</w:t>
      </w:r>
    </w:p>
    <w:p w14:paraId="25D3C018" w14:textId="77777777" w:rsidR="008E7A9C" w:rsidRPr="00F27422" w:rsidRDefault="008E7A9C" w:rsidP="00122B70">
      <w:pPr>
        <w:bidi/>
        <w:rPr>
          <w:b/>
          <w:bCs/>
          <w:sz w:val="32"/>
          <w:szCs w:val="32"/>
          <w:rtl/>
        </w:rPr>
      </w:pPr>
      <w:r w:rsidRPr="00F27422">
        <w:rPr>
          <w:sz w:val="32"/>
          <w:szCs w:val="32"/>
          <w:rtl/>
        </w:rPr>
        <w:t>أي: أنّ المشرع أقام الوليّ مقام الصبي في سلطنته على نفسه وأعماله ومنافعه التي لو لم يمنع الشارع من تصرفه فيها لكانت له السلطنة على تنفيذها، فهذا هو مدرك نفوذ إجارة الوليّ للصبي وإنْ كانت الإجارة تمتد لما بعد بلوغه</w:t>
      </w:r>
      <w:r w:rsidRPr="00F27422">
        <w:rPr>
          <w:sz w:val="32"/>
          <w:szCs w:val="32"/>
        </w:rPr>
        <w:t>.</w:t>
      </w:r>
    </w:p>
    <w:p w14:paraId="477D1B2E" w14:textId="77777777" w:rsidR="008E7A9C" w:rsidRPr="00F27422" w:rsidRDefault="008E7A9C" w:rsidP="00122B70">
      <w:pPr>
        <w:bidi/>
        <w:rPr>
          <w:b/>
          <w:bCs/>
          <w:sz w:val="32"/>
          <w:szCs w:val="32"/>
          <w:rtl/>
        </w:rPr>
      </w:pPr>
      <w:r w:rsidRPr="00F27422">
        <w:rPr>
          <w:b/>
          <w:bCs/>
          <w:sz w:val="32"/>
          <w:szCs w:val="32"/>
          <w:rtl/>
        </w:rPr>
        <w:t>ولكن في مقابل ذلك ذُكرتْ عدّة وجوهٍ لمنع نفوذ إجارة الوليّ للصبي، وأنّ هناك فرقاً بين إجارة الوليّ لأملاك الصبي وإجارة الوليّ لنفس الصبي</w:t>
      </w:r>
      <w:r w:rsidRPr="00F27422">
        <w:rPr>
          <w:b/>
          <w:bCs/>
          <w:sz w:val="32"/>
          <w:szCs w:val="32"/>
        </w:rPr>
        <w:t>:</w:t>
      </w:r>
    </w:p>
    <w:p w14:paraId="258891F9" w14:textId="77777777" w:rsidR="008E7A9C" w:rsidRPr="00F27422" w:rsidRDefault="008E7A9C" w:rsidP="00122B70">
      <w:pPr>
        <w:bidi/>
        <w:rPr>
          <w:b/>
          <w:bCs/>
          <w:sz w:val="32"/>
          <w:szCs w:val="32"/>
          <w:rtl/>
        </w:rPr>
      </w:pPr>
      <w:r w:rsidRPr="00F27422">
        <w:rPr>
          <w:b/>
          <w:bCs/>
          <w:sz w:val="32"/>
          <w:szCs w:val="32"/>
          <w:rtl/>
        </w:rPr>
        <w:lastRenderedPageBreak/>
        <w:t>الوجه الأوّل:</w:t>
      </w:r>
      <w:r w:rsidRPr="00F27422">
        <w:rPr>
          <w:sz w:val="32"/>
          <w:szCs w:val="32"/>
          <w:rtl/>
        </w:rPr>
        <w:t xml:space="preserve"> أنّ موضوع ولاية الوليّ ما كان مِن أموال الصبي؛ حيث إنّ الولاية على الصبي ولايةٌ على أمواله، ومنافع الصبي بعد البلوغ ليست مِن أمواله قبل البلوغ</w:t>
      </w:r>
      <w:r w:rsidRPr="00F27422">
        <w:rPr>
          <w:sz w:val="32"/>
          <w:szCs w:val="32"/>
        </w:rPr>
        <w:t>.</w:t>
      </w:r>
    </w:p>
    <w:p w14:paraId="0354C445" w14:textId="77777777" w:rsidR="008E7A9C" w:rsidRPr="00F27422" w:rsidRDefault="008E7A9C" w:rsidP="00122B70">
      <w:pPr>
        <w:bidi/>
        <w:rPr>
          <w:b/>
          <w:bCs/>
          <w:sz w:val="32"/>
          <w:szCs w:val="32"/>
          <w:rtl/>
        </w:rPr>
      </w:pPr>
      <w:r w:rsidRPr="00F27422">
        <w:rPr>
          <w:b/>
          <w:bCs/>
          <w:sz w:val="32"/>
          <w:szCs w:val="32"/>
          <w:rtl/>
        </w:rPr>
        <w:t>والوجه في ذلك: أنّ هناك فرقاً بين المِلكيَّة والمالية</w:t>
      </w:r>
      <w:r w:rsidRPr="00F27422">
        <w:rPr>
          <w:b/>
          <w:bCs/>
          <w:sz w:val="32"/>
          <w:szCs w:val="32"/>
        </w:rPr>
        <w:t>:</w:t>
      </w:r>
    </w:p>
    <w:p w14:paraId="65FA3121" w14:textId="77777777" w:rsidR="008E7A9C" w:rsidRPr="00F27422" w:rsidRDefault="008E7A9C" w:rsidP="00122B70">
      <w:pPr>
        <w:bidi/>
        <w:rPr>
          <w:b/>
          <w:bCs/>
          <w:sz w:val="32"/>
          <w:szCs w:val="32"/>
          <w:rtl/>
        </w:rPr>
      </w:pPr>
      <w:r w:rsidRPr="00F27422">
        <w:rPr>
          <w:sz w:val="32"/>
          <w:szCs w:val="32"/>
          <w:rtl/>
        </w:rPr>
        <w:t>فعلاقة المِلكيَّة بالمملوك علاقةٌ اعتباريةٌ، لذلك يعقل تقدم المِلكيَّة على المملوك، نظير أنّ الإنسان يملك منافع داره لمدّة عشرين سنة قادمة فالمِلكيَّة بالفعل وإنْ كان المملوك استقبالياً، أو يملك المُستأجر على ذمّة الأجير عملاً بعد شهر أو بعد سنة فإنّ المِلكيَّة فعلية وإنْ كان المملوك استقبالياً، فحيث إنّ علاقة المِلكيَّة بالمملوك علاقةٌ اعتبارية كان تقدم المِلكيَّة على المملوك أمراً معقولاً</w:t>
      </w:r>
      <w:r w:rsidRPr="00F27422">
        <w:rPr>
          <w:sz w:val="32"/>
          <w:szCs w:val="32"/>
        </w:rPr>
        <w:t>.</w:t>
      </w:r>
    </w:p>
    <w:p w14:paraId="4A3BA352" w14:textId="77777777" w:rsidR="008E7A9C" w:rsidRPr="00F27422" w:rsidRDefault="008E7A9C" w:rsidP="00122B70">
      <w:pPr>
        <w:bidi/>
        <w:rPr>
          <w:b/>
          <w:bCs/>
          <w:sz w:val="32"/>
          <w:szCs w:val="32"/>
          <w:rtl/>
        </w:rPr>
      </w:pPr>
      <w:r w:rsidRPr="00F27422">
        <w:rPr>
          <w:sz w:val="32"/>
          <w:szCs w:val="32"/>
          <w:rtl/>
        </w:rPr>
        <w:t>بينما علاقة المالية بالمال علاقةٌ انتزاعيةٌ - لا اعتبارية -، بمعنى: أنّ العين أو المنفعة أو العمل ينتزع منه المالية إذا كان مورداً للرغبة العقلائية، فانتزاع المالية فرعُ وجود المال وكونه مورداً بالرغبة النوعية، فلا مالية للمال قبل وجوده</w:t>
      </w:r>
      <w:r w:rsidRPr="00F27422">
        <w:rPr>
          <w:sz w:val="32"/>
          <w:szCs w:val="32"/>
        </w:rPr>
        <w:t>.</w:t>
      </w:r>
    </w:p>
    <w:p w14:paraId="6CF55395" w14:textId="77777777" w:rsidR="008E7A9C" w:rsidRPr="00F27422" w:rsidRDefault="008E7A9C" w:rsidP="00122B70">
      <w:pPr>
        <w:bidi/>
        <w:rPr>
          <w:b/>
          <w:bCs/>
          <w:sz w:val="32"/>
          <w:szCs w:val="32"/>
          <w:rtl/>
        </w:rPr>
      </w:pPr>
      <w:r w:rsidRPr="00F27422">
        <w:rPr>
          <w:b/>
          <w:bCs/>
          <w:sz w:val="32"/>
          <w:szCs w:val="32"/>
          <w:rtl/>
        </w:rPr>
        <w:t>والنتيجة:</w:t>
      </w:r>
      <w:r w:rsidRPr="00F27422">
        <w:rPr>
          <w:sz w:val="32"/>
          <w:szCs w:val="32"/>
          <w:rtl/>
        </w:rPr>
        <w:t xml:space="preserve"> أنّ منافعُ الصبي بعد البلوغ ليست مالاً للصبي كي يكون للوليّ ولايةٌ عليها فيجوزُ له إجارته بمدّةٍ تمتد لما بعد البلوغ</w:t>
      </w:r>
      <w:r w:rsidRPr="00F27422">
        <w:rPr>
          <w:sz w:val="32"/>
          <w:szCs w:val="32"/>
        </w:rPr>
        <w:t>.</w:t>
      </w:r>
    </w:p>
    <w:p w14:paraId="1A947052" w14:textId="77777777" w:rsidR="008E7A9C" w:rsidRPr="00F27422" w:rsidRDefault="008E7A9C" w:rsidP="00122B70">
      <w:pPr>
        <w:bidi/>
        <w:rPr>
          <w:b/>
          <w:bCs/>
          <w:sz w:val="32"/>
          <w:szCs w:val="32"/>
          <w:rtl/>
        </w:rPr>
      </w:pPr>
      <w:r w:rsidRPr="00F27422">
        <w:rPr>
          <w:b/>
          <w:bCs/>
          <w:sz w:val="32"/>
          <w:szCs w:val="32"/>
          <w:rtl/>
        </w:rPr>
        <w:t>لكن هذا الوجه ممنوعٌ نقضاً وحلّاً</w:t>
      </w:r>
      <w:r w:rsidRPr="00F27422">
        <w:rPr>
          <w:b/>
          <w:bCs/>
          <w:sz w:val="32"/>
          <w:szCs w:val="32"/>
        </w:rPr>
        <w:t>:</w:t>
      </w:r>
    </w:p>
    <w:p w14:paraId="4BA5B090" w14:textId="77777777" w:rsidR="008E7A9C" w:rsidRPr="00F27422" w:rsidRDefault="008E7A9C" w:rsidP="00122B70">
      <w:pPr>
        <w:bidi/>
        <w:rPr>
          <w:b/>
          <w:bCs/>
          <w:sz w:val="32"/>
          <w:szCs w:val="32"/>
          <w:rtl/>
        </w:rPr>
      </w:pPr>
      <w:r w:rsidRPr="00F27422">
        <w:rPr>
          <w:b/>
          <w:bCs/>
          <w:sz w:val="32"/>
          <w:szCs w:val="32"/>
          <w:rtl/>
        </w:rPr>
        <w:t>أمّا النقض:</w:t>
      </w:r>
      <w:r w:rsidRPr="00F27422">
        <w:rPr>
          <w:sz w:val="32"/>
          <w:szCs w:val="32"/>
          <w:rtl/>
        </w:rPr>
        <w:t xml:space="preserve"> فبصحّة إجارة الحرّ البالغ الرشيد لنفسه لمدّة سنة، فإنّه لا إشكال في أنّ للإنسان أنْ يُؤجّر نفسه لمدّة سنةٍ مع أنّ منافعه بعد شهر ليست مالاً بالفعل ومع ذلك صحّت إجارته، وكذلك صحّة إجارة الوليّ للصبي ما دام صبياً ولو لمدّة سنين، كأنْ يُؤجّره وهو ابن خمس سنين لمدّة خمس سنين قبل بلوغه، فإنّه لا إشكال في صحّة الإجارة مع أنّ المنافع بعد سنة ليست أموالاً بالفعل</w:t>
      </w:r>
      <w:r w:rsidRPr="00F27422">
        <w:rPr>
          <w:sz w:val="32"/>
          <w:szCs w:val="32"/>
        </w:rPr>
        <w:t>.</w:t>
      </w:r>
    </w:p>
    <w:p w14:paraId="2E7355B0" w14:textId="77777777" w:rsidR="008E7A9C" w:rsidRPr="00F27422" w:rsidRDefault="008E7A9C" w:rsidP="00122B70">
      <w:pPr>
        <w:bidi/>
        <w:rPr>
          <w:b/>
          <w:bCs/>
          <w:sz w:val="32"/>
          <w:szCs w:val="32"/>
          <w:rtl/>
        </w:rPr>
      </w:pPr>
      <w:r w:rsidRPr="00F27422">
        <w:rPr>
          <w:b/>
          <w:bCs/>
          <w:sz w:val="32"/>
          <w:szCs w:val="32"/>
          <w:rtl/>
        </w:rPr>
        <w:t>وأمّا الحل:</w:t>
      </w:r>
      <w:r w:rsidRPr="00F27422">
        <w:rPr>
          <w:sz w:val="32"/>
          <w:szCs w:val="32"/>
          <w:rtl/>
        </w:rPr>
        <w:t xml:space="preserve"> فهو أنّه لو سلمنا أنّ المنافع المستقبلية ليست مالاً بالفعل وعدم كفاية الوجود الاستعدادي لها في انتزاع المالية، فإنّ المناط في صحّة الإجارة على الشيء عملاً أو منفعةً كونه مالاً في ظرف الأداء - لا كونه مالاً حين الإجارة - الذي هو قوام الغرض النوعي من </w:t>
      </w:r>
      <w:proofErr w:type="gramStart"/>
      <w:r w:rsidRPr="00F27422">
        <w:rPr>
          <w:sz w:val="32"/>
          <w:szCs w:val="32"/>
          <w:rtl/>
        </w:rPr>
        <w:t>المعاوضة</w:t>
      </w:r>
      <w:r w:rsidRPr="00F27422">
        <w:rPr>
          <w:sz w:val="32"/>
          <w:szCs w:val="32"/>
        </w:rPr>
        <w:t xml:space="preserve"> .</w:t>
      </w:r>
      <w:proofErr w:type="gramEnd"/>
    </w:p>
    <w:p w14:paraId="19AAFE75" w14:textId="77777777" w:rsidR="008E7A9C" w:rsidRPr="00F27422" w:rsidRDefault="008E7A9C" w:rsidP="00122B70">
      <w:pPr>
        <w:bidi/>
        <w:rPr>
          <w:b/>
          <w:bCs/>
          <w:sz w:val="32"/>
          <w:szCs w:val="32"/>
          <w:rtl/>
        </w:rPr>
      </w:pPr>
      <w:r w:rsidRPr="00F27422">
        <w:rPr>
          <w:b/>
          <w:bCs/>
          <w:sz w:val="32"/>
          <w:szCs w:val="32"/>
          <w:rtl/>
        </w:rPr>
        <w:t>فالمهم في المقام تنقيح:</w:t>
      </w:r>
      <w:r w:rsidRPr="00F27422">
        <w:rPr>
          <w:sz w:val="32"/>
          <w:szCs w:val="32"/>
          <w:rtl/>
        </w:rPr>
        <w:t xml:space="preserve"> أنّ للوليّ الولاية على إجارة الصبي لمدّةٍ تمتد لما بعد البلوغ أم لا، وأمّا تعليل المنع بأنّ منافعه بعد البلوغ ليست مالاً بالفعل فهذا لا يجدي في عدم نفوذ الإجارة.</w:t>
      </w:r>
    </w:p>
    <w:p w14:paraId="4FF086D9" w14:textId="77777777" w:rsidR="008E7A9C" w:rsidRPr="00F27422" w:rsidRDefault="008E7A9C" w:rsidP="00122B70">
      <w:pPr>
        <w:bidi/>
        <w:rPr>
          <w:b/>
          <w:bCs/>
          <w:sz w:val="32"/>
          <w:szCs w:val="32"/>
          <w:rtl/>
        </w:rPr>
      </w:pPr>
      <w:r w:rsidRPr="00F27422">
        <w:rPr>
          <w:b/>
          <w:bCs/>
          <w:sz w:val="32"/>
          <w:szCs w:val="32"/>
          <w:rtl/>
        </w:rPr>
        <w:lastRenderedPageBreak/>
        <w:t>الوجه الثاني:</w:t>
      </w:r>
      <w:r w:rsidRPr="00F27422">
        <w:rPr>
          <w:sz w:val="32"/>
          <w:szCs w:val="32"/>
          <w:rtl/>
        </w:rPr>
        <w:t xml:space="preserve"> ما ذكره المحقّق الأصفهاني (قدس سره الشريف) في كتابه [الإجارة، الشيخ الأصفهاني، مؤسسة النشر الإسلامي التابعة لجماعة المدرسين بقم المشرفة، ص299] بقوله: </w:t>
      </w:r>
      <w:r w:rsidRPr="00F27422">
        <w:rPr>
          <w:b/>
          <w:bCs/>
          <w:sz w:val="32"/>
          <w:szCs w:val="32"/>
          <w:rtl/>
        </w:rPr>
        <w:t xml:space="preserve">(وأما المقام الثاني) </w:t>
      </w:r>
      <w:r w:rsidRPr="00F27422">
        <w:rPr>
          <w:sz w:val="32"/>
          <w:szCs w:val="32"/>
          <w:rtl/>
        </w:rPr>
        <w:t xml:space="preserve">أي: مقام إجارة الوليّ للصبي </w:t>
      </w:r>
      <w:r w:rsidRPr="00F27422">
        <w:rPr>
          <w:b/>
          <w:bCs/>
          <w:sz w:val="32"/>
          <w:szCs w:val="32"/>
          <w:rtl/>
        </w:rPr>
        <w:t>(فتحقيق القول فيه أن الحر لا يملك منافع بدنه على حد ملك المولى لمنافع عبده)</w:t>
      </w:r>
      <w:r w:rsidRPr="00F27422">
        <w:rPr>
          <w:sz w:val="32"/>
          <w:szCs w:val="32"/>
          <w:rtl/>
        </w:rPr>
        <w:t xml:space="preserve"> فإنّ المولى عندما ملك العبد ملك منافعه، وأمّا الحرّ فإنه لا يملك منافع بدنه شرعاً؛ وإنما له السلطنة على أنْ يملك عمله أو منفعته لغيره، لا أنّه يملك عمله مِلكيَّة اعتبارية، فالإنسان ليس لديه أملاك بعدد أعماله، بل له أملاك بعدد أمواله </w:t>
      </w:r>
      <w:r w:rsidRPr="00F27422">
        <w:rPr>
          <w:b/>
          <w:bCs/>
          <w:sz w:val="32"/>
          <w:szCs w:val="32"/>
          <w:rtl/>
        </w:rPr>
        <w:t>(كما له السلطنة على تمليك كلي عينا أو عملا بتعهده في ذمته كذلك له السلطنة على تمليك منافعه، والولي قائم مقام الصغير في هذه السلطنة، فله السلطنة على تمليك منافع الصغير، وأما المنافع المصادفة لزمان كبره فهي منافع الكبير، والمفروض عدم السلطنة للولي إلا على الصغير ومنافعه لا على الكبير ومنافعه، وهذا هو الوجه في المنع)</w:t>
      </w:r>
      <w:r w:rsidRPr="00F27422">
        <w:rPr>
          <w:sz w:val="32"/>
          <w:szCs w:val="32"/>
          <w:rtl/>
        </w:rPr>
        <w:t xml:space="preserve"> أي: منع النفوذ</w:t>
      </w:r>
      <w:r w:rsidRPr="00F27422">
        <w:rPr>
          <w:sz w:val="32"/>
          <w:szCs w:val="32"/>
        </w:rPr>
        <w:t>.</w:t>
      </w:r>
    </w:p>
    <w:p w14:paraId="59722373" w14:textId="77777777" w:rsidR="008E7A9C" w:rsidRPr="00F27422" w:rsidRDefault="008E7A9C" w:rsidP="00122B70">
      <w:pPr>
        <w:bidi/>
        <w:rPr>
          <w:b/>
          <w:bCs/>
          <w:sz w:val="32"/>
          <w:szCs w:val="32"/>
          <w:rtl/>
        </w:rPr>
      </w:pPr>
      <w:r w:rsidRPr="00F27422">
        <w:rPr>
          <w:b/>
          <w:bCs/>
          <w:sz w:val="32"/>
          <w:szCs w:val="32"/>
          <w:rtl/>
        </w:rPr>
        <w:t>وبعبارةٍ أُخرى:</w:t>
      </w:r>
      <w:r w:rsidRPr="00F27422">
        <w:rPr>
          <w:sz w:val="32"/>
          <w:szCs w:val="32"/>
          <w:rtl/>
        </w:rPr>
        <w:t xml:space="preserve"> إنّ ولاية الوليّ على عمل الصبي من شؤون ولاية الوليّ على الصبي نفسه، وحيث إنّ ولاية الوليّ على الصبي مقيّدةٌ بزمان الصبا فنفوذها على أعماله بعد البلوغ يحتاج إلى ولايته عليه حتى بعد البلوغ وهذا خلف تقييد الولاية بما قبل بلوغ</w:t>
      </w:r>
      <w:r w:rsidRPr="00F27422">
        <w:rPr>
          <w:sz w:val="32"/>
          <w:szCs w:val="32"/>
        </w:rPr>
        <w:t>.</w:t>
      </w:r>
    </w:p>
    <w:p w14:paraId="0AC6CCD8" w14:textId="77777777" w:rsidR="008E7A9C" w:rsidRPr="00F27422" w:rsidRDefault="008E7A9C" w:rsidP="00122B70">
      <w:pPr>
        <w:bidi/>
        <w:rPr>
          <w:b/>
          <w:bCs/>
          <w:sz w:val="32"/>
          <w:szCs w:val="32"/>
          <w:rtl/>
        </w:rPr>
      </w:pPr>
      <w:r w:rsidRPr="00F27422">
        <w:rPr>
          <w:b/>
          <w:bCs/>
          <w:sz w:val="32"/>
          <w:szCs w:val="32"/>
          <w:rtl/>
        </w:rPr>
        <w:t xml:space="preserve">وبعبارةٍ ثالثة: </w:t>
      </w:r>
      <w:r w:rsidRPr="00F27422">
        <w:rPr>
          <w:sz w:val="32"/>
          <w:szCs w:val="32"/>
          <w:rtl/>
        </w:rPr>
        <w:t xml:space="preserve">أنّ موضوع ولاية الوليّ هو الصبي وأملاكه، لا الصبي </w:t>
      </w:r>
      <w:proofErr w:type="gramStart"/>
      <w:r w:rsidRPr="00F27422">
        <w:rPr>
          <w:sz w:val="32"/>
          <w:szCs w:val="32"/>
          <w:rtl/>
        </w:rPr>
        <w:t>ومنافعه</w:t>
      </w:r>
      <w:r w:rsidRPr="00F27422">
        <w:rPr>
          <w:sz w:val="32"/>
          <w:szCs w:val="32"/>
        </w:rPr>
        <w:t xml:space="preserve"> .</w:t>
      </w:r>
      <w:proofErr w:type="gramEnd"/>
    </w:p>
    <w:p w14:paraId="07AD3AB0" w14:textId="77777777" w:rsidR="008E7A9C" w:rsidRPr="00F27422" w:rsidRDefault="008E7A9C" w:rsidP="00122B70">
      <w:pPr>
        <w:bidi/>
        <w:rPr>
          <w:b/>
          <w:bCs/>
          <w:sz w:val="32"/>
          <w:szCs w:val="32"/>
          <w:rtl/>
        </w:rPr>
      </w:pPr>
      <w:r w:rsidRPr="00F27422">
        <w:rPr>
          <w:sz w:val="32"/>
          <w:szCs w:val="32"/>
          <w:rtl/>
        </w:rPr>
        <w:t xml:space="preserve">وقد أورد على كلام المحقّق الأصفهاني بعضُ الأجلة (رحمه الله) في كتابه [الإجارة، ج1، ص236 - 237] بقوله: </w:t>
      </w:r>
      <w:r w:rsidRPr="00F27422">
        <w:rPr>
          <w:b/>
          <w:bCs/>
          <w:sz w:val="32"/>
          <w:szCs w:val="32"/>
          <w:rtl/>
        </w:rPr>
        <w:t>(وهذا البيان أيضاً غير تام، لأنّ عمل الحر ومنافعه وإن لم تكن مملوكة له وتحت سلطانه بالسلطنة الاعتبارية إلّا أنها تحت سلطانه واختياره الذاتي، ولهذا صح إيجار الولي للصبي بلحاظ منافعه وعمله قبل البلوغ)</w:t>
      </w:r>
      <w:r w:rsidRPr="00F27422">
        <w:rPr>
          <w:sz w:val="32"/>
          <w:szCs w:val="32"/>
          <w:rtl/>
        </w:rPr>
        <w:t xml:space="preserve"> لأنّ منافعه تحت اختيار الصبي الذاتي وإنْ لم تكن مملوكةً له بالمِلك الاعتباري، ولا تحت سلطنته بالسلطنة الاعتبارية </w:t>
      </w:r>
      <w:r w:rsidRPr="00F27422">
        <w:rPr>
          <w:b/>
          <w:bCs/>
          <w:sz w:val="32"/>
          <w:szCs w:val="32"/>
          <w:rtl/>
        </w:rPr>
        <w:t xml:space="preserve">(وعندئذٍ يقال: إنّ عمل الحرّ ومنافعه الاستقبالية كـ) </w:t>
      </w:r>
      <w:r w:rsidRPr="00F27422">
        <w:rPr>
          <w:sz w:val="32"/>
          <w:szCs w:val="32"/>
          <w:rtl/>
        </w:rPr>
        <w:t xml:space="preserve">منافعه </w:t>
      </w:r>
      <w:r w:rsidRPr="00F27422">
        <w:rPr>
          <w:b/>
          <w:bCs/>
          <w:sz w:val="32"/>
          <w:szCs w:val="32"/>
          <w:rtl/>
        </w:rPr>
        <w:t xml:space="preserve">(الحالية تحت سلطان الحرّ واختياره الذاتي، ولهذا يمكنه أن يؤجر الحرّ نفسه بلحاظ عمل يصدر منه في المستقبل بلا إشكال) </w:t>
      </w:r>
      <w:r w:rsidRPr="00F27422">
        <w:rPr>
          <w:sz w:val="32"/>
          <w:szCs w:val="32"/>
          <w:rtl/>
        </w:rPr>
        <w:t xml:space="preserve">مع أنّه لا يملك عمله، ولكن السر في صحّة إجارته أنّه تحت اختياره الذاتي </w:t>
      </w:r>
      <w:r w:rsidRPr="00F27422">
        <w:rPr>
          <w:b/>
          <w:bCs/>
          <w:sz w:val="32"/>
          <w:szCs w:val="32"/>
          <w:rtl/>
        </w:rPr>
        <w:t>(وهذا يعني أنّ الإضافة الذاتية المذكورة ثابتة بين الحرّ وبين منافعه وأعماله المستقبلية بالفعل أيضاً بحيث لولا الحجر على الصبي بملاك الصبا المانع عن نفوذ التصرف كان يمكنه أن يملكه للغير فكذلك الولي له ذلك بمقتضى ولايته على ما يكون للصبي من الولاية على نفسه لولا صباه)</w:t>
      </w:r>
      <w:r w:rsidRPr="00F27422">
        <w:rPr>
          <w:b/>
          <w:bCs/>
          <w:sz w:val="32"/>
          <w:szCs w:val="32"/>
        </w:rPr>
        <w:t>.</w:t>
      </w:r>
    </w:p>
    <w:p w14:paraId="1BB1189A" w14:textId="77777777" w:rsidR="008E7A9C" w:rsidRPr="00F27422" w:rsidRDefault="008E7A9C" w:rsidP="00122B70">
      <w:pPr>
        <w:bidi/>
        <w:rPr>
          <w:sz w:val="32"/>
          <w:szCs w:val="32"/>
          <w:rtl/>
        </w:rPr>
      </w:pPr>
      <w:r w:rsidRPr="00F27422">
        <w:rPr>
          <w:b/>
          <w:bCs/>
          <w:sz w:val="32"/>
          <w:szCs w:val="32"/>
          <w:rtl/>
        </w:rPr>
        <w:t>ويلاحظ عليه:</w:t>
      </w:r>
      <w:r w:rsidRPr="00F27422">
        <w:rPr>
          <w:sz w:val="32"/>
          <w:szCs w:val="32"/>
          <w:rtl/>
        </w:rPr>
        <w:t xml:space="preserve"> </w:t>
      </w:r>
      <w:r w:rsidRPr="00F27422">
        <w:rPr>
          <w:b/>
          <w:bCs/>
          <w:sz w:val="32"/>
          <w:szCs w:val="32"/>
          <w:rtl/>
        </w:rPr>
        <w:t>مضافاً</w:t>
      </w:r>
      <w:r w:rsidRPr="00F27422">
        <w:rPr>
          <w:sz w:val="32"/>
          <w:szCs w:val="32"/>
          <w:rtl/>
        </w:rPr>
        <w:t xml:space="preserve"> لعدم الربط بين السلطنة الذاتية والاختيار الذاتي للعمل وجعله متعلّقاً للإجارة، فإنّه لاريب أنّ للإنسان سلطنةً تكوينيةً على أعماله لكن ذلك لا دخل له في نفوذ </w:t>
      </w:r>
      <w:r w:rsidRPr="00F27422">
        <w:rPr>
          <w:sz w:val="32"/>
          <w:szCs w:val="32"/>
          <w:rtl/>
        </w:rPr>
        <w:lastRenderedPageBreak/>
        <w:t xml:space="preserve">تصرّفاته الاعتبارية؛ وإنّما الدخيل هو السلطنة الإعتبارية، فنفوذ إجارة الحرّ لنفسه أو إجارة الولي للصبي فرعُ السلطنة الاعتبارية، لا السلطنة التكوينية المعبر عنها بـ "الاختيار الذاتي"، والكاشف عن ثبوت هذه السلطنة في رتبة سابقة هو صحة الحجر؛ فإنّ الحجر على الصبي لصباه أو على السفيه لسفهه أو على المجنون لجنونه كاشفٌ عن وجود سلطنةٍ اعتباريةٍ لولا الحجر، وإلّا لا معنى لأنْ يستثنى الحجر من السلطنة التكوينية، فإنّ السلطنة التكوينية ثابتةٌ على كلّ حالٍ حجر عليه أم له يحجر. </w:t>
      </w:r>
      <w:r w:rsidRPr="00F27422">
        <w:rPr>
          <w:b/>
          <w:bCs/>
          <w:sz w:val="32"/>
          <w:szCs w:val="32"/>
          <w:rtl/>
        </w:rPr>
        <w:t>أنّ المُدعى للمحقّق الأصفهاني (قدس سره الشريف) في المقام</w:t>
      </w:r>
      <w:r w:rsidRPr="00F27422">
        <w:rPr>
          <w:sz w:val="32"/>
          <w:szCs w:val="32"/>
          <w:rtl/>
        </w:rPr>
        <w:t xml:space="preserve"> أنّ عدم نفوذ إجارة الوليّ للصبي لما بعد بلوغه لعدم المقتضي لهذه الولاية؛ فإنّ ما ثبت بالأدلّة أنّ موضوع الولاية هو الصبيُّ وما هو من شؤونه، والمفروض أنّ عملَهُ القابلٌ للتجزئة لما قبل البلوغ وما بعد البلوغ نوعان: ما قبل وما بعد، وما هو بعد البلوغ عملُ البالغ لا عملُ الصبي، ومالُ البالغ لا مالُ الصبي، وشأنُ البالغ لا شأنُ الصبي، فهو خارجٌ عن الولاية موضوعاً، وهذا ما نظر إليه المحقّق الأصفهاني (قدس سره الشريف).</w:t>
      </w:r>
    </w:p>
    <w:p w14:paraId="74099B4B" w14:textId="77777777" w:rsidR="008E7A9C" w:rsidRPr="00F27422" w:rsidRDefault="008E7A9C" w:rsidP="00122B70">
      <w:pPr>
        <w:bidi/>
        <w:rPr>
          <w:b/>
          <w:bCs/>
          <w:sz w:val="32"/>
          <w:szCs w:val="32"/>
          <w:rtl/>
        </w:rPr>
      </w:pPr>
    </w:p>
    <w:p w14:paraId="2F9773CC" w14:textId="77777777" w:rsidR="008E7A9C" w:rsidRPr="00F27422" w:rsidRDefault="008E7A9C" w:rsidP="00122B70">
      <w:pPr>
        <w:bidi/>
        <w:rPr>
          <w:b/>
          <w:bCs/>
          <w:sz w:val="32"/>
          <w:szCs w:val="32"/>
          <w:rtl/>
        </w:rPr>
      </w:pPr>
      <w:r w:rsidRPr="00F27422">
        <w:rPr>
          <w:b/>
          <w:bCs/>
          <w:sz w:val="32"/>
          <w:szCs w:val="32"/>
          <w:rtl/>
        </w:rPr>
        <w:t xml:space="preserve">والحمد لله رب العالمين </w:t>
      </w:r>
    </w:p>
    <w:p w14:paraId="39A7DBFC" w14:textId="77777777" w:rsidR="00601296" w:rsidRPr="00F27422" w:rsidRDefault="00601296" w:rsidP="00122B70">
      <w:pPr>
        <w:bidi/>
        <w:rPr>
          <w:sz w:val="32"/>
          <w:szCs w:val="32"/>
          <w:rtl/>
        </w:rPr>
      </w:pPr>
    </w:p>
    <w:p w14:paraId="411719A2" w14:textId="77777777" w:rsidR="008E7A9C" w:rsidRPr="00F27422" w:rsidRDefault="008E7A9C" w:rsidP="00122B70">
      <w:pPr>
        <w:bidi/>
        <w:rPr>
          <w:sz w:val="32"/>
          <w:szCs w:val="32"/>
          <w:rtl/>
        </w:rPr>
      </w:pPr>
    </w:p>
    <w:p w14:paraId="46D99D0E" w14:textId="3DDEA341" w:rsidR="008E7A9C" w:rsidRPr="00F27422" w:rsidRDefault="008E7A9C" w:rsidP="00122B70">
      <w:pPr>
        <w:pStyle w:val="Heading3"/>
        <w:bidi/>
        <w:rPr>
          <w:sz w:val="32"/>
          <w:szCs w:val="32"/>
          <w:rtl/>
        </w:rPr>
      </w:pPr>
      <w:r w:rsidRPr="00F27422">
        <w:rPr>
          <w:rFonts w:hint="cs"/>
          <w:sz w:val="32"/>
          <w:szCs w:val="32"/>
          <w:rtl/>
        </w:rPr>
        <w:t>045</w:t>
      </w:r>
    </w:p>
    <w:p w14:paraId="346BB0CF" w14:textId="77777777" w:rsidR="002D209B" w:rsidRPr="00F27422" w:rsidRDefault="002D209B" w:rsidP="00122B70">
      <w:pPr>
        <w:bidi/>
        <w:rPr>
          <w:b/>
          <w:bCs/>
          <w:sz w:val="32"/>
          <w:szCs w:val="32"/>
        </w:rPr>
      </w:pPr>
      <w:r w:rsidRPr="00F27422">
        <w:rPr>
          <w:b/>
          <w:bCs/>
          <w:sz w:val="32"/>
          <w:szCs w:val="32"/>
          <w:rtl/>
        </w:rPr>
        <w:t>بسم الله الرحمن الرحيم</w:t>
      </w:r>
    </w:p>
    <w:p w14:paraId="226AD1D0" w14:textId="77777777" w:rsidR="002D209B" w:rsidRPr="00F27422" w:rsidRDefault="002D209B"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76FFDF84" w14:textId="77777777" w:rsidR="002D209B" w:rsidRPr="00F27422" w:rsidRDefault="002D209B" w:rsidP="00122B70">
      <w:pPr>
        <w:bidi/>
        <w:rPr>
          <w:sz w:val="32"/>
          <w:szCs w:val="32"/>
          <w:rtl/>
          <w:lang w:bidi="ar-BH"/>
        </w:rPr>
      </w:pPr>
      <w:r w:rsidRPr="00F27422">
        <w:rPr>
          <w:b/>
          <w:bCs/>
          <w:sz w:val="32"/>
          <w:szCs w:val="32"/>
          <w:rtl/>
        </w:rPr>
        <w:t>واللعن الدائم على أعدائهم أجمعين إلى قيام يوم الدين</w:t>
      </w:r>
    </w:p>
    <w:p w14:paraId="512ECBAE" w14:textId="77777777" w:rsidR="002D209B" w:rsidRPr="00F27422" w:rsidRDefault="002D209B" w:rsidP="00122B70">
      <w:pPr>
        <w:bidi/>
        <w:rPr>
          <w:sz w:val="32"/>
          <w:szCs w:val="32"/>
          <w:rtl/>
          <w:lang w:bidi="ar-BH"/>
        </w:rPr>
      </w:pPr>
    </w:p>
    <w:p w14:paraId="0B48AE74" w14:textId="77777777" w:rsidR="002D209B" w:rsidRPr="00F27422" w:rsidRDefault="002D209B" w:rsidP="00122B70">
      <w:pPr>
        <w:bidi/>
        <w:rPr>
          <w:b/>
          <w:bCs/>
          <w:sz w:val="32"/>
          <w:szCs w:val="32"/>
          <w:rtl/>
          <w:lang w:bidi="ar-BH"/>
        </w:rPr>
      </w:pPr>
      <w:r w:rsidRPr="00F27422">
        <w:rPr>
          <w:b/>
          <w:bCs/>
          <w:sz w:val="32"/>
          <w:szCs w:val="32"/>
          <w:rtl/>
        </w:rPr>
        <w:t xml:space="preserve">الوجه الثالث: </w:t>
      </w:r>
      <w:r w:rsidRPr="00F27422">
        <w:rPr>
          <w:sz w:val="32"/>
          <w:szCs w:val="32"/>
          <w:rtl/>
        </w:rPr>
        <w:t>ما ذكره بعض الأجلة (رحمه الله) في كتابه [الإجارة، ج1، ص237]</w:t>
      </w:r>
      <w:r w:rsidRPr="00F27422">
        <w:rPr>
          <w:sz w:val="32"/>
          <w:szCs w:val="32"/>
        </w:rPr>
        <w:t>.</w:t>
      </w:r>
    </w:p>
    <w:p w14:paraId="7E593C41" w14:textId="77777777" w:rsidR="002D209B" w:rsidRPr="00F27422" w:rsidRDefault="002D209B" w:rsidP="00122B70">
      <w:pPr>
        <w:bidi/>
        <w:rPr>
          <w:sz w:val="32"/>
          <w:szCs w:val="32"/>
          <w:rtl/>
          <w:lang w:bidi="ar-BH"/>
        </w:rPr>
      </w:pPr>
      <w:r w:rsidRPr="00F27422">
        <w:rPr>
          <w:b/>
          <w:bCs/>
          <w:sz w:val="32"/>
          <w:szCs w:val="32"/>
          <w:rtl/>
        </w:rPr>
        <w:t>ويمكن تقريبه بأنْ يُقال:</w:t>
      </w:r>
      <w:r w:rsidRPr="00F27422">
        <w:rPr>
          <w:sz w:val="32"/>
          <w:szCs w:val="32"/>
          <w:rtl/>
        </w:rPr>
        <w:t xml:space="preserve"> إنّ أدلّة الولاية نحو قوله (عليه السلام): </w:t>
      </w:r>
      <w:r w:rsidRPr="00F27422">
        <w:rPr>
          <w:b/>
          <w:bCs/>
          <w:sz w:val="32"/>
          <w:szCs w:val="32"/>
          <w:rtl/>
        </w:rPr>
        <w:t>(لأنّ والدهُ هو الذي يلي أمره)</w:t>
      </w:r>
      <w:r w:rsidRPr="00F27422">
        <w:rPr>
          <w:sz w:val="32"/>
          <w:szCs w:val="32"/>
          <w:rtl/>
        </w:rPr>
        <w:t xml:space="preserve"> </w:t>
      </w:r>
      <w:r w:rsidRPr="00F27422">
        <w:rPr>
          <w:sz w:val="32"/>
          <w:szCs w:val="32"/>
          <w:highlight w:val="green"/>
          <w:rtl/>
        </w:rPr>
        <w:t>منزلةٌ على المرتكزات العرفية في شأن الولاية وحدودها</w:t>
      </w:r>
      <w:r w:rsidRPr="00F27422">
        <w:rPr>
          <w:sz w:val="32"/>
          <w:szCs w:val="32"/>
          <w:rtl/>
        </w:rPr>
        <w:t xml:space="preserve">؛ حيث لم تتعرض الروايات الشريفة لا إلى حقيقة الولاية ولا لحدودها، وإنّما أطلقت عنوان "ولاية الأمر ": </w:t>
      </w:r>
      <w:r w:rsidRPr="00F27422">
        <w:rPr>
          <w:b/>
          <w:bCs/>
          <w:sz w:val="32"/>
          <w:szCs w:val="32"/>
          <w:rtl/>
        </w:rPr>
        <w:t>(لأنّ والدهُ هو الذي يلي أمره)</w:t>
      </w:r>
      <w:r w:rsidRPr="00F27422">
        <w:rPr>
          <w:sz w:val="32"/>
          <w:szCs w:val="32"/>
          <w:rtl/>
        </w:rPr>
        <w:t xml:space="preserve">، وولاية الأمر لها مفهومٌ عرفي ولها حدود بنظر المرتكزات العرفية، </w:t>
      </w:r>
      <w:r w:rsidRPr="00F27422">
        <w:rPr>
          <w:color w:val="7030A0"/>
          <w:sz w:val="32"/>
          <w:szCs w:val="32"/>
          <w:rtl/>
        </w:rPr>
        <w:t xml:space="preserve">فمقتضى احتفاف هذه الروايات بهذه المرتكزات العرفية كونها منزلةً على ما يراه المرتكز </w:t>
      </w:r>
      <w:r w:rsidRPr="00F27422">
        <w:rPr>
          <w:color w:val="7030A0"/>
          <w:sz w:val="32"/>
          <w:szCs w:val="32"/>
          <w:rtl/>
        </w:rPr>
        <w:lastRenderedPageBreak/>
        <w:t xml:space="preserve">العرفي في المقام، والمرتكز العرفي في المقام يرى أنّ الولاية - كولاية الأب </w:t>
      </w:r>
      <w:r w:rsidRPr="00F27422">
        <w:rPr>
          <w:sz w:val="32"/>
          <w:szCs w:val="32"/>
          <w:rtl/>
        </w:rPr>
        <w:t xml:space="preserve">- على عمل الصبي هي ذات الولاية على نفس الصبي، لا أنّ هناك ولايتين: ولاية على نفس الصبي كولايته على تزويجه أو على التصرف في جسده بضربٍ غير مبرح مثلاً أو بحلق شعره أو بأخذه من مكانٍ إلى مكانٍ بغض النظر عن رضاه، وولاية على عمله، </w:t>
      </w:r>
      <w:r w:rsidRPr="00F27422">
        <w:rPr>
          <w:sz w:val="32"/>
          <w:szCs w:val="32"/>
          <w:highlight w:val="yellow"/>
          <w:rtl/>
        </w:rPr>
        <w:t>بل أنّ الولاية على العمل هي امتدادٌ للولاية على نفس الصبي فلا تفكيك بين الأمرين من حيث الولاية وحدودها</w:t>
      </w:r>
      <w:r w:rsidRPr="00F27422">
        <w:rPr>
          <w:sz w:val="32"/>
          <w:szCs w:val="32"/>
          <w:highlight w:val="yellow"/>
        </w:rPr>
        <w:t>.</w:t>
      </w:r>
    </w:p>
    <w:p w14:paraId="40697895" w14:textId="77777777" w:rsidR="002D209B" w:rsidRPr="00F27422" w:rsidRDefault="002D209B" w:rsidP="00122B70">
      <w:pPr>
        <w:bidi/>
        <w:rPr>
          <w:sz w:val="32"/>
          <w:szCs w:val="32"/>
          <w:rtl/>
          <w:lang w:bidi="ar-BH"/>
        </w:rPr>
      </w:pPr>
      <w:r w:rsidRPr="00F27422">
        <w:rPr>
          <w:sz w:val="32"/>
          <w:szCs w:val="32"/>
          <w:rtl/>
        </w:rPr>
        <w:t>وبناء على ذلك، فكما أنْ لا ولاية للأب على الصبي بعد بلوغه فلا ولاية له على عمله بعد بلوغه، فلو آجره مدّةً تمتد لما بعد البلوغ توقّف نفوذ الإجارة فيما بعد البلوغ على إذنه وإجازته كسائر العقود الفضوليّة</w:t>
      </w:r>
      <w:r w:rsidRPr="00F27422">
        <w:rPr>
          <w:sz w:val="32"/>
          <w:szCs w:val="32"/>
        </w:rPr>
        <w:t>.</w:t>
      </w:r>
    </w:p>
    <w:p w14:paraId="2943C66B" w14:textId="77777777" w:rsidR="002D209B" w:rsidRPr="00F27422" w:rsidRDefault="002D209B" w:rsidP="00122B70">
      <w:pPr>
        <w:bidi/>
        <w:rPr>
          <w:sz w:val="32"/>
          <w:szCs w:val="32"/>
          <w:rtl/>
          <w:lang w:bidi="ar-BH"/>
        </w:rPr>
      </w:pPr>
      <w:r w:rsidRPr="00F27422">
        <w:rPr>
          <w:sz w:val="32"/>
          <w:szCs w:val="32"/>
          <w:rtl/>
        </w:rPr>
        <w:t xml:space="preserve">قال (رحمه الله): </w:t>
      </w:r>
      <w:r w:rsidRPr="00F27422">
        <w:rPr>
          <w:b/>
          <w:bCs/>
          <w:sz w:val="32"/>
          <w:szCs w:val="32"/>
          <w:rtl/>
        </w:rPr>
        <w:t>(نعم لا تبعد دعوى عرفية هي أنّ نفوذ ولاية الولي على عمل الصبي بعد البلوغ مساوق لولايته على نفس الصبي بعد البلوغ، الذي هو من الولاية على الكبير لا الصغير، فالعرف لا يفكك بين العمل والحر نفسه في السلطنة والملكية كما يفكك بين العين ومنفعتها)</w:t>
      </w:r>
      <w:r w:rsidRPr="00F27422">
        <w:rPr>
          <w:sz w:val="32"/>
          <w:szCs w:val="32"/>
          <w:rtl/>
        </w:rPr>
        <w:t xml:space="preserve"> فيمكن بيع العين لشخصٍ وإجارة المنافع على شخصٍ آخر، بل يرى أنّ الولاية على عمل الصبي هي عين الولاية على نفس الصبي </w:t>
      </w:r>
      <w:r w:rsidRPr="00F27422">
        <w:rPr>
          <w:b/>
          <w:bCs/>
          <w:sz w:val="32"/>
          <w:szCs w:val="32"/>
          <w:rtl/>
        </w:rPr>
        <w:t xml:space="preserve">(وعليه يكون دليل تقييد الولاية) </w:t>
      </w:r>
      <w:r w:rsidRPr="00F27422">
        <w:rPr>
          <w:sz w:val="32"/>
          <w:szCs w:val="32"/>
          <w:rtl/>
        </w:rPr>
        <w:t xml:space="preserve">على الصبي </w:t>
      </w:r>
      <w:r w:rsidRPr="00F27422">
        <w:rPr>
          <w:b/>
          <w:bCs/>
          <w:sz w:val="32"/>
          <w:szCs w:val="32"/>
          <w:rtl/>
        </w:rPr>
        <w:t>(بالبلوغ نفسه مانعاً عن ثبوت الإطلاق في دليل الولاية للإيجار على الأعمال بلحاظ ما بعد البلوغ)</w:t>
      </w:r>
      <w:r w:rsidRPr="00F27422">
        <w:rPr>
          <w:b/>
          <w:bCs/>
          <w:sz w:val="32"/>
          <w:szCs w:val="32"/>
        </w:rPr>
        <w:t>.</w:t>
      </w:r>
    </w:p>
    <w:p w14:paraId="281FCBFE" w14:textId="77777777" w:rsidR="002D209B" w:rsidRPr="00F27422" w:rsidRDefault="002D209B" w:rsidP="00122B70">
      <w:pPr>
        <w:bidi/>
        <w:rPr>
          <w:sz w:val="32"/>
          <w:szCs w:val="32"/>
          <w:rtl/>
          <w:lang w:bidi="ar-BH"/>
        </w:rPr>
      </w:pPr>
      <w:r w:rsidRPr="00F27422">
        <w:rPr>
          <w:b/>
          <w:bCs/>
          <w:sz w:val="32"/>
          <w:szCs w:val="32"/>
          <w:rtl/>
        </w:rPr>
        <w:t>أو فقل بعبارةٍ صناعية:</w:t>
      </w:r>
      <w:r w:rsidRPr="00F27422">
        <w:rPr>
          <w:sz w:val="32"/>
          <w:szCs w:val="32"/>
          <w:rtl/>
        </w:rPr>
        <w:t xml:space="preserve"> إنّ دليل تقييد الولاية بالبلوغ حاكمٌ على شمول دليل الولاية للتصرف في الصبي بإجارة أو نحوها</w:t>
      </w:r>
      <w:r w:rsidRPr="00F27422">
        <w:rPr>
          <w:sz w:val="32"/>
          <w:szCs w:val="32"/>
        </w:rPr>
        <w:t>.</w:t>
      </w:r>
    </w:p>
    <w:p w14:paraId="66E18FEF" w14:textId="77777777" w:rsidR="002D209B" w:rsidRPr="00F27422" w:rsidRDefault="002D209B" w:rsidP="00122B70">
      <w:pPr>
        <w:bidi/>
        <w:rPr>
          <w:sz w:val="32"/>
          <w:szCs w:val="32"/>
          <w:rtl/>
          <w:lang w:bidi="ar-BH"/>
        </w:rPr>
      </w:pPr>
      <w:r w:rsidRPr="00F27422">
        <w:rPr>
          <w:sz w:val="32"/>
          <w:szCs w:val="32"/>
          <w:rtl/>
        </w:rPr>
        <w:t>وهذا الوجه ليس ببعيدٍ</w:t>
      </w:r>
      <w:r w:rsidRPr="00F27422">
        <w:rPr>
          <w:sz w:val="32"/>
          <w:szCs w:val="32"/>
        </w:rPr>
        <w:t>.</w:t>
      </w:r>
    </w:p>
    <w:p w14:paraId="765BBAA8" w14:textId="77777777" w:rsidR="002D209B" w:rsidRPr="00F27422" w:rsidRDefault="002D209B" w:rsidP="00122B70">
      <w:pPr>
        <w:bidi/>
        <w:rPr>
          <w:b/>
          <w:bCs/>
          <w:sz w:val="32"/>
          <w:szCs w:val="32"/>
          <w:rtl/>
        </w:rPr>
      </w:pPr>
      <w:r w:rsidRPr="00F27422">
        <w:rPr>
          <w:b/>
          <w:bCs/>
          <w:sz w:val="32"/>
          <w:szCs w:val="32"/>
          <w:rtl/>
        </w:rPr>
        <w:t>الوجه الرابع:</w:t>
      </w:r>
      <w:r w:rsidRPr="00F27422">
        <w:rPr>
          <w:sz w:val="32"/>
          <w:szCs w:val="32"/>
          <w:rtl/>
        </w:rPr>
        <w:t xml:space="preserve"> ما ذكره سيدنا الخوئي (قدس سره الشريف) في موسوعته المباركة في كتابه [الإجارة، ج30، ص135 – 136] بقوله: </w:t>
      </w:r>
      <w:r w:rsidRPr="00F27422">
        <w:rPr>
          <w:b/>
          <w:bCs/>
          <w:sz w:val="32"/>
          <w:szCs w:val="32"/>
          <w:rtl/>
        </w:rPr>
        <w:t>(وأمّا بالنسبة إلى الصبي نفسه: فلم يدلّ أيّ دليل على ولاية الولي حتى بالإضافة إلى ما بعد البلوغ.</w:t>
      </w:r>
    </w:p>
    <w:p w14:paraId="3814C262" w14:textId="77777777" w:rsidR="002D209B" w:rsidRPr="00F27422" w:rsidRDefault="002D209B" w:rsidP="00122B70">
      <w:pPr>
        <w:bidi/>
        <w:rPr>
          <w:b/>
          <w:bCs/>
          <w:sz w:val="32"/>
          <w:szCs w:val="32"/>
          <w:rtl/>
          <w:lang w:bidi="ar-BH"/>
        </w:rPr>
      </w:pPr>
      <w:r w:rsidRPr="00F27422">
        <w:rPr>
          <w:b/>
          <w:bCs/>
          <w:sz w:val="32"/>
          <w:szCs w:val="32"/>
          <w:rtl/>
        </w:rPr>
        <w:t>نعم، في خصوص النكاح قام الدليل على الولاية على تزويج الصبي أو الصبيّة ولو كان الزواج دائماً، وأمّا في غيره فلم تثبت له هذه الولاية بحيث يتمكّن من إيجاره للخدمة عشرين سنة – مثلاً – ولو تضمّن الغبطة والمصلحة. فلو آجره كذلك كانت الإجارة فيما زاد على البلوغ فضوليّة منوطة بإجازته بعدما بلغ، فإنّ مجرّد عدم الدليل على الولاية كافٍ في عدم النفوذ والافتقار إلى الإجازة)</w:t>
      </w:r>
      <w:r w:rsidRPr="00F27422">
        <w:rPr>
          <w:b/>
          <w:bCs/>
          <w:sz w:val="32"/>
          <w:szCs w:val="32"/>
        </w:rPr>
        <w:t>.</w:t>
      </w:r>
    </w:p>
    <w:p w14:paraId="0F71ED1E" w14:textId="77777777" w:rsidR="002D209B" w:rsidRPr="00F27422" w:rsidRDefault="002D209B" w:rsidP="00122B70">
      <w:pPr>
        <w:bidi/>
        <w:rPr>
          <w:sz w:val="32"/>
          <w:szCs w:val="32"/>
          <w:rtl/>
          <w:lang w:bidi="ar-BH"/>
        </w:rPr>
      </w:pPr>
      <w:r w:rsidRPr="00F27422">
        <w:rPr>
          <w:b/>
          <w:bCs/>
          <w:sz w:val="32"/>
          <w:szCs w:val="32"/>
          <w:rtl/>
        </w:rPr>
        <w:lastRenderedPageBreak/>
        <w:t>إلّا أنّ هذا:</w:t>
      </w:r>
      <w:r w:rsidRPr="00F27422">
        <w:rPr>
          <w:sz w:val="32"/>
          <w:szCs w:val="32"/>
          <w:rtl/>
        </w:rPr>
        <w:t xml:space="preserve"> قد يكونُ بمثابة دعوى في مقابل دعوى السيد الحكيم السبط (قدس سره الشريف) من التمسك بإطلاق دليل الولاية وهو قوله (عليه السلام): </w:t>
      </w:r>
      <w:r w:rsidRPr="00F27422">
        <w:rPr>
          <w:b/>
          <w:bCs/>
          <w:sz w:val="32"/>
          <w:szCs w:val="32"/>
          <w:rtl/>
        </w:rPr>
        <w:t>(لأنّ والدهُ هو الذي يلي أمره)،</w:t>
      </w:r>
      <w:r w:rsidRPr="00F27422">
        <w:rPr>
          <w:sz w:val="32"/>
          <w:szCs w:val="32"/>
          <w:rtl/>
        </w:rPr>
        <w:t xml:space="preserve"> ومقتضى إطلاق دليل الولاية نفوذ هذه الإجارة ما دامت في إطار مصلحة الصبي</w:t>
      </w:r>
      <w:r w:rsidRPr="00F27422">
        <w:rPr>
          <w:sz w:val="32"/>
          <w:szCs w:val="32"/>
        </w:rPr>
        <w:t>.</w:t>
      </w:r>
    </w:p>
    <w:p w14:paraId="20A23E44" w14:textId="77777777" w:rsidR="002D209B" w:rsidRPr="00F27422" w:rsidRDefault="002D209B" w:rsidP="00122B70">
      <w:pPr>
        <w:bidi/>
        <w:rPr>
          <w:sz w:val="32"/>
          <w:szCs w:val="32"/>
          <w:rtl/>
          <w:lang w:bidi="ar-BH"/>
        </w:rPr>
      </w:pPr>
      <w:r w:rsidRPr="00F27422">
        <w:rPr>
          <w:sz w:val="32"/>
          <w:szCs w:val="32"/>
          <w:rtl/>
        </w:rPr>
        <w:t xml:space="preserve">فالوجهُ المجدي في منع الولاية ما نقلناه عن المحقّق الأصفهاني (قدس سره الشريف) </w:t>
      </w:r>
      <w:proofErr w:type="spellStart"/>
      <w:r w:rsidRPr="00F27422">
        <w:rPr>
          <w:sz w:val="32"/>
          <w:szCs w:val="32"/>
          <w:rtl/>
        </w:rPr>
        <w:t>وماذكره</w:t>
      </w:r>
      <w:proofErr w:type="spellEnd"/>
      <w:r w:rsidRPr="00F27422">
        <w:rPr>
          <w:sz w:val="32"/>
          <w:szCs w:val="32"/>
          <w:rtl/>
        </w:rPr>
        <w:t xml:space="preserve"> بعض الأجلة (رحمه الله) بتقريبٍ سبق</w:t>
      </w:r>
      <w:r w:rsidRPr="00F27422">
        <w:rPr>
          <w:sz w:val="32"/>
          <w:szCs w:val="32"/>
        </w:rPr>
        <w:t>.</w:t>
      </w:r>
    </w:p>
    <w:p w14:paraId="0B3B6A2F" w14:textId="77777777" w:rsidR="002D209B" w:rsidRPr="00F27422" w:rsidRDefault="002D209B" w:rsidP="00122B70">
      <w:pPr>
        <w:bidi/>
        <w:rPr>
          <w:sz w:val="32"/>
          <w:szCs w:val="32"/>
          <w:rtl/>
          <w:lang w:bidi="ar-BH"/>
        </w:rPr>
      </w:pPr>
      <w:r w:rsidRPr="00F27422">
        <w:rPr>
          <w:b/>
          <w:bCs/>
          <w:sz w:val="32"/>
          <w:szCs w:val="32"/>
          <w:rtl/>
        </w:rPr>
        <w:t>فإنْ قلتَ:</w:t>
      </w:r>
      <w:r w:rsidRPr="00F27422">
        <w:rPr>
          <w:sz w:val="32"/>
          <w:szCs w:val="32"/>
          <w:rtl/>
        </w:rPr>
        <w:t xml:space="preserve"> بأنّه لا إشكال لدى المشهور في أنّ الأب لو زوج الصبي كان تزويجه نافذاً إذا كان التزويج في مصلحته وليس له بعد البلوغ أنْ يفسخ الزواج، وكذلك الأمرُ في الصبيّة، فإذا صحّ التزويج مع أنّه تصرّفٌ في رقبته صحت الإجارة لما بعد البلوغ، فإنّ العرف يستهجن التفكيك بينهما، وأنّه إذا كان للأب ولايةٌ على تزويجه زواجاً دائماً بحيث لا عبرة بإذنه بعد بلوغه، فللأب ولايةٌ على إجارته لمدّة عشرين سنة، وليس للصبي مجالٌ للفسخ أو الإمضاء</w:t>
      </w:r>
      <w:r w:rsidRPr="00F27422">
        <w:rPr>
          <w:sz w:val="32"/>
          <w:szCs w:val="32"/>
        </w:rPr>
        <w:t>.</w:t>
      </w:r>
    </w:p>
    <w:p w14:paraId="01653863" w14:textId="77777777" w:rsidR="002D209B" w:rsidRPr="00F27422" w:rsidRDefault="002D209B" w:rsidP="00122B70">
      <w:pPr>
        <w:bidi/>
        <w:rPr>
          <w:sz w:val="32"/>
          <w:szCs w:val="32"/>
          <w:rtl/>
          <w:lang w:bidi="ar-BH"/>
        </w:rPr>
      </w:pPr>
      <w:r w:rsidRPr="00F27422">
        <w:rPr>
          <w:b/>
          <w:bCs/>
          <w:sz w:val="32"/>
          <w:szCs w:val="32"/>
          <w:rtl/>
        </w:rPr>
        <w:t>قلتُ:</w:t>
      </w:r>
      <w:r w:rsidRPr="00F27422">
        <w:rPr>
          <w:sz w:val="32"/>
          <w:szCs w:val="32"/>
          <w:rtl/>
        </w:rPr>
        <w:t xml:space="preserve"> قد أُجيب عن هذا النقض بأحد وجوهٍ</w:t>
      </w:r>
      <w:r w:rsidRPr="00F27422">
        <w:rPr>
          <w:sz w:val="32"/>
          <w:szCs w:val="32"/>
        </w:rPr>
        <w:t>:</w:t>
      </w:r>
    </w:p>
    <w:p w14:paraId="2330E0FE" w14:textId="77777777" w:rsidR="002D209B" w:rsidRPr="00F27422" w:rsidRDefault="002D209B" w:rsidP="00122B70">
      <w:pPr>
        <w:bidi/>
        <w:rPr>
          <w:b/>
          <w:bCs/>
          <w:sz w:val="32"/>
          <w:szCs w:val="32"/>
          <w:rtl/>
          <w:lang w:bidi="ar-BH"/>
        </w:rPr>
      </w:pPr>
      <w:r w:rsidRPr="00F27422">
        <w:rPr>
          <w:b/>
          <w:bCs/>
          <w:sz w:val="32"/>
          <w:szCs w:val="32"/>
          <w:rtl/>
        </w:rPr>
        <w:t>الوجه الأوّل:</w:t>
      </w:r>
      <w:r w:rsidRPr="00F27422">
        <w:rPr>
          <w:sz w:val="32"/>
          <w:szCs w:val="32"/>
          <w:rtl/>
        </w:rPr>
        <w:t xml:space="preserve"> ما أشار إليه بعض الأجلة (رحمه الله) في كتابه [الإجارة، ص238] بقوله: </w:t>
      </w:r>
      <w:r w:rsidRPr="00F27422">
        <w:rPr>
          <w:b/>
          <w:bCs/>
          <w:sz w:val="32"/>
          <w:szCs w:val="32"/>
          <w:rtl/>
        </w:rPr>
        <w:t>(ولا ينقض بتزويج الصبي أو الصبية من قبل الولي دواماً)</w:t>
      </w:r>
      <w:r w:rsidRPr="00F27422">
        <w:rPr>
          <w:sz w:val="32"/>
          <w:szCs w:val="32"/>
          <w:rtl/>
        </w:rPr>
        <w:t xml:space="preserve"> أي: زواجاً دائماً </w:t>
      </w:r>
      <w:r w:rsidRPr="00F27422">
        <w:rPr>
          <w:b/>
          <w:bCs/>
          <w:sz w:val="32"/>
          <w:szCs w:val="32"/>
          <w:rtl/>
        </w:rPr>
        <w:t>(والذي يكون نافذاً بلا حاجة إلى إجازته بعد البلوغ – وإن كان له حق الفسخ – للدليل الخاص ولكون النكاح غير التمليك ومتعلقه رقبة الزوج والزوجة لا منافعهما فهو يشبه البيع)</w:t>
      </w:r>
      <w:r w:rsidRPr="00F27422">
        <w:rPr>
          <w:b/>
          <w:bCs/>
          <w:sz w:val="32"/>
          <w:szCs w:val="32"/>
        </w:rPr>
        <w:t>.</w:t>
      </w:r>
    </w:p>
    <w:p w14:paraId="25343E80" w14:textId="77777777" w:rsidR="002D209B" w:rsidRPr="00F27422" w:rsidRDefault="002D209B" w:rsidP="00122B70">
      <w:pPr>
        <w:bidi/>
        <w:rPr>
          <w:sz w:val="32"/>
          <w:szCs w:val="32"/>
          <w:rtl/>
          <w:lang w:bidi="ar-BH"/>
        </w:rPr>
      </w:pPr>
      <w:r w:rsidRPr="00F27422">
        <w:rPr>
          <w:sz w:val="32"/>
          <w:szCs w:val="32"/>
          <w:rtl/>
        </w:rPr>
        <w:t>فكما أنّ للأب ولاية على أموال الصبي ببيعها وليس للصبي بعد بلوغه في أنْ يفسخ البيع السابق إذا كان في مصلحته؛ لأنّ البيع تصرّفٌ في العين، والعينُ شخصية، فكذلك التصرّف في رقبة الصبي بتزويجها زواجاً دائماً، بخلاف التمليك فإنّه قابلٌ للانقطاع والانقضاء، فلذلك كان أمره بيد الصبي بعد بلوغه</w:t>
      </w:r>
      <w:r w:rsidRPr="00F27422">
        <w:rPr>
          <w:sz w:val="32"/>
          <w:szCs w:val="32"/>
        </w:rPr>
        <w:t>.</w:t>
      </w:r>
    </w:p>
    <w:p w14:paraId="604E8BC1" w14:textId="77777777" w:rsidR="002D209B" w:rsidRPr="00F27422" w:rsidRDefault="002D209B" w:rsidP="00122B70">
      <w:pPr>
        <w:bidi/>
        <w:rPr>
          <w:sz w:val="32"/>
          <w:szCs w:val="32"/>
          <w:rtl/>
          <w:lang w:bidi="ar-BH"/>
        </w:rPr>
      </w:pPr>
      <w:r w:rsidRPr="00F27422">
        <w:rPr>
          <w:b/>
          <w:bCs/>
          <w:sz w:val="32"/>
          <w:szCs w:val="32"/>
          <w:rtl/>
        </w:rPr>
        <w:t>ولكن يلاحظ عليه:</w:t>
      </w:r>
      <w:r w:rsidRPr="00F27422">
        <w:rPr>
          <w:sz w:val="32"/>
          <w:szCs w:val="32"/>
          <w:rtl/>
        </w:rPr>
        <w:t xml:space="preserve"> أنّ الرقبة موضوع لا متعلّق، والمناط في كون المنشأ انحلالياً </w:t>
      </w:r>
      <w:proofErr w:type="spellStart"/>
      <w:r w:rsidRPr="00F27422">
        <w:rPr>
          <w:sz w:val="32"/>
          <w:szCs w:val="32"/>
          <w:rtl/>
        </w:rPr>
        <w:t>أوشخصياً</w:t>
      </w:r>
      <w:proofErr w:type="spellEnd"/>
      <w:r w:rsidRPr="00F27422">
        <w:rPr>
          <w:sz w:val="32"/>
          <w:szCs w:val="32"/>
          <w:rtl/>
        </w:rPr>
        <w:t xml:space="preserve"> على المتعلّق للعقد لا على موضوع العقد، وموضوع عقد التزويج وإنْ كان هو الرقبة لكن المتعلّق هو الزوجية، فالمدارُ في كونه قابلاً للانحلال بحسب الزمن أو عدم قابليته عليه، والزوجية كالمِلكيَّة قابلةٌ للامتداد والانقطاع بحسب الزمن، فكما أنّ المِلكيَّة قابلة للانحلال بحسب الزمن كذلك الزوجية.</w:t>
      </w:r>
    </w:p>
    <w:p w14:paraId="405445BD" w14:textId="77777777" w:rsidR="002D209B" w:rsidRPr="00F27422" w:rsidRDefault="002D209B" w:rsidP="00122B70">
      <w:pPr>
        <w:bidi/>
        <w:rPr>
          <w:sz w:val="32"/>
          <w:szCs w:val="32"/>
          <w:rtl/>
          <w:lang w:bidi="ar-BH"/>
        </w:rPr>
      </w:pPr>
      <w:r w:rsidRPr="00F27422">
        <w:rPr>
          <w:b/>
          <w:bCs/>
          <w:sz w:val="32"/>
          <w:szCs w:val="32"/>
          <w:rtl/>
        </w:rPr>
        <w:t>فيمكن أنْ يقال:</w:t>
      </w:r>
      <w:r w:rsidRPr="00F27422">
        <w:rPr>
          <w:sz w:val="32"/>
          <w:szCs w:val="32"/>
          <w:rtl/>
        </w:rPr>
        <w:t xml:space="preserve"> أنّ تزويج الصبي منوطٌ به بعد بلوغه من حيث الإمضاء أو الفسخ</w:t>
      </w:r>
      <w:r w:rsidRPr="00F27422">
        <w:rPr>
          <w:sz w:val="32"/>
          <w:szCs w:val="32"/>
        </w:rPr>
        <w:t>.</w:t>
      </w:r>
    </w:p>
    <w:p w14:paraId="7C0444EA" w14:textId="77777777" w:rsidR="002D209B" w:rsidRPr="00F27422" w:rsidRDefault="002D209B" w:rsidP="00122B70">
      <w:pPr>
        <w:bidi/>
        <w:rPr>
          <w:b/>
          <w:bCs/>
          <w:sz w:val="32"/>
          <w:szCs w:val="32"/>
          <w:rtl/>
          <w:lang w:bidi="ar-BH"/>
        </w:rPr>
      </w:pPr>
      <w:r w:rsidRPr="00F27422">
        <w:rPr>
          <w:b/>
          <w:bCs/>
          <w:sz w:val="32"/>
          <w:szCs w:val="32"/>
          <w:rtl/>
        </w:rPr>
        <w:t xml:space="preserve">الوجه الثاني: </w:t>
      </w:r>
      <w:r w:rsidRPr="00F27422">
        <w:rPr>
          <w:sz w:val="32"/>
          <w:szCs w:val="32"/>
          <w:rtl/>
        </w:rPr>
        <w:t xml:space="preserve">ما ذكره المحقّق الأصفهاني (قدس سره الشريف) في كتابه [الإجارة، الشيخ الأصفهاني، مؤسسة النشر الإسلامي التابعة لجماعة المدرسين بقم المشرفة، ص299 – </w:t>
      </w:r>
      <w:r w:rsidRPr="00F27422">
        <w:rPr>
          <w:sz w:val="32"/>
          <w:szCs w:val="32"/>
          <w:rtl/>
        </w:rPr>
        <w:lastRenderedPageBreak/>
        <w:t xml:space="preserve">300]: </w:t>
      </w:r>
      <w:r w:rsidRPr="00F27422">
        <w:rPr>
          <w:b/>
          <w:bCs/>
          <w:sz w:val="32"/>
          <w:szCs w:val="32"/>
          <w:rtl/>
        </w:rPr>
        <w:t>(ولا ينتقض بالنكاح المنقطع زائدا على مدة صغرها)</w:t>
      </w:r>
      <w:r w:rsidRPr="00F27422">
        <w:rPr>
          <w:sz w:val="32"/>
          <w:szCs w:val="32"/>
          <w:rtl/>
        </w:rPr>
        <w:t xml:space="preserve"> كما لو زوج الأب ابنته زواجاً منقطعاً يمتد لعشر سنين زائداً على مدّة صغرها فبلغتْ في الأثناء، فلم لا يقال بتوقّف نفوذه على إذنها </w:t>
      </w:r>
      <w:r w:rsidRPr="00F27422">
        <w:rPr>
          <w:b/>
          <w:bCs/>
          <w:sz w:val="32"/>
          <w:szCs w:val="32"/>
          <w:rtl/>
        </w:rPr>
        <w:t>(نظراً إلى ما ورد من أنهن مستأجرات)</w:t>
      </w:r>
      <w:r w:rsidRPr="00F27422">
        <w:rPr>
          <w:b/>
          <w:bCs/>
          <w:sz w:val="32"/>
          <w:szCs w:val="32"/>
        </w:rPr>
        <w:t>.</w:t>
      </w:r>
    </w:p>
    <w:p w14:paraId="4AD4BC5E" w14:textId="77777777" w:rsidR="002D209B" w:rsidRPr="00F27422" w:rsidRDefault="002D209B" w:rsidP="00122B70">
      <w:pPr>
        <w:bidi/>
        <w:rPr>
          <w:sz w:val="32"/>
          <w:szCs w:val="32"/>
          <w:rtl/>
          <w:lang w:bidi="ar-BH"/>
        </w:rPr>
      </w:pPr>
      <w:r w:rsidRPr="00F27422">
        <w:rPr>
          <w:sz w:val="32"/>
          <w:szCs w:val="32"/>
          <w:rtl/>
        </w:rPr>
        <w:t xml:space="preserve">وهو إشارةٌ لما ورد في الرايات، كما في الكافي: </w:t>
      </w:r>
      <w:r w:rsidRPr="00F27422">
        <w:rPr>
          <w:b/>
          <w:bCs/>
          <w:sz w:val="32"/>
          <w:szCs w:val="32"/>
          <w:rtl/>
        </w:rPr>
        <w:t xml:space="preserve">(محمّد بن يحيى، عن أحمد بن محمّد بن عيسى، عن الحسين بن سعيد، ومحمّد بن خالد البرقي، عن القاسم بن عروة، عن </w:t>
      </w:r>
      <w:proofErr w:type="gramStart"/>
      <w:r w:rsidRPr="00F27422">
        <w:rPr>
          <w:b/>
          <w:bCs/>
          <w:sz w:val="32"/>
          <w:szCs w:val="32"/>
          <w:rtl/>
        </w:rPr>
        <w:t>عبدالحميد</w:t>
      </w:r>
      <w:proofErr w:type="gramEnd"/>
      <w:r w:rsidRPr="00F27422">
        <w:rPr>
          <w:b/>
          <w:bCs/>
          <w:sz w:val="32"/>
          <w:szCs w:val="32"/>
          <w:rtl/>
        </w:rPr>
        <w:t>، عن محمّد بن مسلم، عن أبي جعفر (عليه السلام) في المتعة قال: ليست من الأربع لأنها لا تُطَلَّق ولا ترث وإنما هي مستأجرة).</w:t>
      </w:r>
      <w:r w:rsidRPr="00F27422">
        <w:rPr>
          <w:sz w:val="32"/>
          <w:szCs w:val="32"/>
          <w:rtl/>
        </w:rPr>
        <w:t xml:space="preserve"> [الكافي، للشيخ الكليني، دار الكتب الإسلامية، ج5، كتاب النكاح، أبواب المتعة، باب أنهن بمنزلة الإماء وليست من الأربع، ح5]</w:t>
      </w:r>
      <w:r w:rsidRPr="00F27422">
        <w:rPr>
          <w:sz w:val="32"/>
          <w:szCs w:val="32"/>
        </w:rPr>
        <w:t>.</w:t>
      </w:r>
    </w:p>
    <w:p w14:paraId="5E4B499F" w14:textId="77777777" w:rsidR="002D209B" w:rsidRPr="00F27422" w:rsidRDefault="002D209B" w:rsidP="00122B70">
      <w:pPr>
        <w:bidi/>
        <w:rPr>
          <w:sz w:val="32"/>
          <w:szCs w:val="32"/>
          <w:rtl/>
          <w:lang w:bidi="ar-BH"/>
        </w:rPr>
      </w:pPr>
      <w:r w:rsidRPr="00F27422">
        <w:rPr>
          <w:sz w:val="32"/>
          <w:szCs w:val="32"/>
          <w:rtl/>
        </w:rPr>
        <w:t xml:space="preserve">وفي الكافي أيضاً: </w:t>
      </w:r>
      <w:r w:rsidRPr="00F27422">
        <w:rPr>
          <w:b/>
          <w:bCs/>
          <w:sz w:val="32"/>
          <w:szCs w:val="32"/>
          <w:rtl/>
        </w:rPr>
        <w:t xml:space="preserve">(الحسين بن محمّد، عن أحمد بن إسحاق، عن سعدان بن مسلم، عن عبيد بن زرارة، عن أبيه، عن أبي </w:t>
      </w:r>
      <w:proofErr w:type="gramStart"/>
      <w:r w:rsidRPr="00F27422">
        <w:rPr>
          <w:b/>
          <w:bCs/>
          <w:sz w:val="32"/>
          <w:szCs w:val="32"/>
          <w:rtl/>
        </w:rPr>
        <w:t>عبدالله</w:t>
      </w:r>
      <w:proofErr w:type="gramEnd"/>
      <w:r w:rsidRPr="00F27422">
        <w:rPr>
          <w:b/>
          <w:bCs/>
          <w:sz w:val="32"/>
          <w:szCs w:val="32"/>
          <w:rtl/>
        </w:rPr>
        <w:t xml:space="preserve"> (عليه السلام) قال: ذكرتُ له المتعة أَ هي من الأربع؟ فقال: تزوَّج منهُنَّ ألفاً فإنَّهنَّ مُستأجراتٌ).</w:t>
      </w:r>
      <w:r w:rsidRPr="00F27422">
        <w:rPr>
          <w:sz w:val="32"/>
          <w:szCs w:val="32"/>
          <w:rtl/>
        </w:rPr>
        <w:t xml:space="preserve"> [الكافي، للشيخ الكليني، دار الكتب الإسلامية، ج5، كتاب النكاح، أبواب المتعة، باب أنهن بمنزلة الإماء وليست من الأربع، ح7]</w:t>
      </w:r>
      <w:r w:rsidRPr="00F27422">
        <w:rPr>
          <w:sz w:val="32"/>
          <w:szCs w:val="32"/>
        </w:rPr>
        <w:t>.</w:t>
      </w:r>
    </w:p>
    <w:p w14:paraId="0954530C" w14:textId="77777777" w:rsidR="002D209B" w:rsidRPr="00F27422" w:rsidRDefault="002D209B" w:rsidP="00122B70">
      <w:pPr>
        <w:bidi/>
        <w:rPr>
          <w:b/>
          <w:bCs/>
          <w:sz w:val="32"/>
          <w:szCs w:val="32"/>
          <w:rtl/>
          <w:lang w:bidi="ar-BH"/>
        </w:rPr>
      </w:pPr>
      <w:r w:rsidRPr="00F27422">
        <w:rPr>
          <w:sz w:val="32"/>
          <w:szCs w:val="32"/>
          <w:rtl/>
        </w:rPr>
        <w:t xml:space="preserve">فإنّ مقتضى هذه الروايات أنّ الزواج المنقطع كالإجارة، فكما أنّ الإجارة قابلةٌ للفسخ والإمضاء، فكذلك الزواج المنقطع، </w:t>
      </w:r>
      <w:r w:rsidRPr="00F27422">
        <w:rPr>
          <w:b/>
          <w:bCs/>
          <w:sz w:val="32"/>
          <w:szCs w:val="32"/>
          <w:rtl/>
        </w:rPr>
        <w:t>(فمرجعه)</w:t>
      </w:r>
      <w:r w:rsidRPr="00F27422">
        <w:rPr>
          <w:sz w:val="32"/>
          <w:szCs w:val="32"/>
          <w:rtl/>
        </w:rPr>
        <w:t xml:space="preserve"> أي: الزواج المنقطع </w:t>
      </w:r>
      <w:r w:rsidRPr="00F27422">
        <w:rPr>
          <w:b/>
          <w:bCs/>
          <w:sz w:val="32"/>
          <w:szCs w:val="32"/>
          <w:rtl/>
        </w:rPr>
        <w:t>(إلى تمليك المنافع)</w:t>
      </w:r>
      <w:r w:rsidRPr="00F27422">
        <w:rPr>
          <w:sz w:val="32"/>
          <w:szCs w:val="32"/>
          <w:rtl/>
        </w:rPr>
        <w:t xml:space="preserve"> أي: منافع هذه الفتاة </w:t>
      </w:r>
      <w:r w:rsidRPr="00F27422">
        <w:rPr>
          <w:b/>
          <w:bCs/>
          <w:sz w:val="32"/>
          <w:szCs w:val="32"/>
          <w:rtl/>
        </w:rPr>
        <w:t>(المصادفة لزمان كبرها)</w:t>
      </w:r>
      <w:r w:rsidRPr="00F27422">
        <w:rPr>
          <w:sz w:val="32"/>
          <w:szCs w:val="32"/>
          <w:rtl/>
        </w:rPr>
        <w:t xml:space="preserve"> فلماذا لا يتوقّف على إجازة الصبيّة كما في الإجارة؟ وأجاب (قدس سره) عن ذلك بقوله: </w:t>
      </w:r>
      <w:r w:rsidRPr="00F27422">
        <w:rPr>
          <w:b/>
          <w:bCs/>
          <w:sz w:val="32"/>
          <w:szCs w:val="32"/>
          <w:rtl/>
        </w:rPr>
        <w:t>(فإن النكاح مغاير للتمليك</w:t>
      </w:r>
      <w:r w:rsidRPr="00F27422">
        <w:rPr>
          <w:b/>
          <w:bCs/>
          <w:sz w:val="32"/>
          <w:szCs w:val="32"/>
        </w:rPr>
        <w:t>.</w:t>
      </w:r>
    </w:p>
    <w:p w14:paraId="0302B7A0" w14:textId="77777777" w:rsidR="002D209B" w:rsidRPr="00F27422" w:rsidRDefault="002D209B" w:rsidP="00122B70">
      <w:pPr>
        <w:bidi/>
        <w:rPr>
          <w:b/>
          <w:bCs/>
          <w:sz w:val="32"/>
          <w:szCs w:val="32"/>
          <w:rtl/>
        </w:rPr>
      </w:pPr>
      <w:r w:rsidRPr="00F27422">
        <w:rPr>
          <w:b/>
          <w:bCs/>
          <w:sz w:val="32"/>
          <w:szCs w:val="32"/>
          <w:rtl/>
        </w:rPr>
        <w:t>ونظير هذه العبارة)</w:t>
      </w:r>
      <w:r w:rsidRPr="00F27422">
        <w:rPr>
          <w:sz w:val="32"/>
          <w:szCs w:val="32"/>
          <w:rtl/>
        </w:rPr>
        <w:t xml:space="preserve"> في الزواج المنقطع </w:t>
      </w:r>
      <w:r w:rsidRPr="00F27422">
        <w:rPr>
          <w:b/>
          <w:bCs/>
          <w:sz w:val="32"/>
          <w:szCs w:val="32"/>
          <w:rtl/>
        </w:rPr>
        <w:t>(ورد في الدائم أيضاً كقولهم (عليهم السلام): "قد اشتراها بأغلى ثمن").</w:t>
      </w:r>
    </w:p>
    <w:p w14:paraId="1A4B1473" w14:textId="77777777" w:rsidR="002D209B" w:rsidRPr="00F27422" w:rsidRDefault="002D209B" w:rsidP="00122B70">
      <w:pPr>
        <w:bidi/>
        <w:rPr>
          <w:sz w:val="32"/>
          <w:szCs w:val="32"/>
          <w:rtl/>
          <w:lang w:bidi="ar-BH"/>
        </w:rPr>
      </w:pPr>
      <w:r w:rsidRPr="00F27422">
        <w:rPr>
          <w:sz w:val="32"/>
          <w:szCs w:val="32"/>
          <w:rtl/>
        </w:rPr>
        <w:t xml:space="preserve">وهذا إشارةٌ لما ورد في الكافي: </w:t>
      </w:r>
      <w:r w:rsidRPr="00F27422">
        <w:rPr>
          <w:b/>
          <w:bCs/>
          <w:sz w:val="32"/>
          <w:szCs w:val="32"/>
          <w:rtl/>
        </w:rPr>
        <w:t>(عليّ بن إبراهيم، عن أبيه، عن ابن أبي عمير، عن أيوب الخزَّاز، عن محمد بن مسلم قال: سألت أبا جعفر (عليه السلام) عن الرجل يريد أن يتزوج المرأة أَ ينظر إليها؟ قال: نعم، إنمّا يشتريها بأغلى ثمن).</w:t>
      </w:r>
      <w:r w:rsidRPr="00F27422">
        <w:rPr>
          <w:sz w:val="32"/>
          <w:szCs w:val="32"/>
          <w:rtl/>
        </w:rPr>
        <w:t xml:space="preserve"> [الكافي، للشيخ الكليني، دار الكتب الإسلامية، ج5، كتاب النكاح، باب النظر لمن أراد التزويج، ح1]</w:t>
      </w:r>
      <w:r w:rsidRPr="00F27422">
        <w:rPr>
          <w:sz w:val="32"/>
          <w:szCs w:val="32"/>
        </w:rPr>
        <w:t>.</w:t>
      </w:r>
    </w:p>
    <w:p w14:paraId="4D5C3068" w14:textId="77777777" w:rsidR="002D209B" w:rsidRPr="00F27422" w:rsidRDefault="002D209B" w:rsidP="00122B70">
      <w:pPr>
        <w:bidi/>
        <w:rPr>
          <w:b/>
          <w:bCs/>
          <w:sz w:val="32"/>
          <w:szCs w:val="32"/>
          <w:rtl/>
          <w:lang w:bidi="ar-BH"/>
        </w:rPr>
      </w:pPr>
      <w:r w:rsidRPr="00F27422">
        <w:rPr>
          <w:sz w:val="32"/>
          <w:szCs w:val="32"/>
          <w:rtl/>
        </w:rPr>
        <w:t xml:space="preserve">فكما أنّ المعاوضة متصورةٌ في النكاح المنقطع فالمعاوضة أيضاً متصورةٌ في النكاح الدائم، ومع ذلك </w:t>
      </w:r>
      <w:r w:rsidRPr="00F27422">
        <w:rPr>
          <w:b/>
          <w:bCs/>
          <w:sz w:val="32"/>
          <w:szCs w:val="32"/>
          <w:rtl/>
        </w:rPr>
        <w:t>(فالزوجية مرسلة كانت أو مؤقتة)</w:t>
      </w:r>
      <w:r w:rsidRPr="00F27422">
        <w:rPr>
          <w:sz w:val="32"/>
          <w:szCs w:val="32"/>
          <w:rtl/>
        </w:rPr>
        <w:t xml:space="preserve"> أي: زواجاً دائماً أو منقطعاً </w:t>
      </w:r>
      <w:r w:rsidRPr="00F27422">
        <w:rPr>
          <w:b/>
          <w:bCs/>
          <w:sz w:val="32"/>
          <w:szCs w:val="32"/>
          <w:rtl/>
        </w:rPr>
        <w:t>(متعلقة بشخصها لا بمنافعها</w:t>
      </w:r>
      <w:r w:rsidRPr="00F27422">
        <w:rPr>
          <w:b/>
          <w:bCs/>
          <w:sz w:val="32"/>
          <w:szCs w:val="32"/>
        </w:rPr>
        <w:t>.</w:t>
      </w:r>
    </w:p>
    <w:p w14:paraId="64B9F233" w14:textId="77777777" w:rsidR="002D209B" w:rsidRPr="00F27422" w:rsidRDefault="002D209B" w:rsidP="00122B70">
      <w:pPr>
        <w:bidi/>
        <w:rPr>
          <w:b/>
          <w:bCs/>
          <w:sz w:val="32"/>
          <w:szCs w:val="32"/>
          <w:rtl/>
          <w:lang w:bidi="ar-BH"/>
        </w:rPr>
      </w:pPr>
      <w:r w:rsidRPr="00F27422">
        <w:rPr>
          <w:b/>
          <w:bCs/>
          <w:sz w:val="32"/>
          <w:szCs w:val="32"/>
          <w:rtl/>
        </w:rPr>
        <w:t xml:space="preserve">والمفروض أن الولي له السلطنة على تزويج الصغيرة. وليس التزويج كالتمليك المتعلق بالمنافع بحيث ينحل إلى </w:t>
      </w:r>
      <w:proofErr w:type="spellStart"/>
      <w:r w:rsidRPr="00F27422">
        <w:rPr>
          <w:b/>
          <w:bCs/>
          <w:sz w:val="32"/>
          <w:szCs w:val="32"/>
          <w:rtl/>
        </w:rPr>
        <w:t>تزويجات</w:t>
      </w:r>
      <w:proofErr w:type="spellEnd"/>
      <w:r w:rsidRPr="00F27422">
        <w:rPr>
          <w:b/>
          <w:bCs/>
          <w:sz w:val="32"/>
          <w:szCs w:val="32"/>
          <w:rtl/>
        </w:rPr>
        <w:t xml:space="preserve"> كانحلال التمليك إلى </w:t>
      </w:r>
      <w:proofErr w:type="spellStart"/>
      <w:r w:rsidRPr="00F27422">
        <w:rPr>
          <w:b/>
          <w:bCs/>
          <w:sz w:val="32"/>
          <w:szCs w:val="32"/>
          <w:rtl/>
        </w:rPr>
        <w:t>تمليكات</w:t>
      </w:r>
      <w:proofErr w:type="spellEnd"/>
      <w:r w:rsidRPr="00F27422">
        <w:rPr>
          <w:b/>
          <w:bCs/>
          <w:sz w:val="32"/>
          <w:szCs w:val="32"/>
          <w:rtl/>
        </w:rPr>
        <w:t xml:space="preserve"> لئلا يكون للولي السلطنة </w:t>
      </w:r>
      <w:r w:rsidRPr="00F27422">
        <w:rPr>
          <w:b/>
          <w:bCs/>
          <w:sz w:val="32"/>
          <w:szCs w:val="32"/>
          <w:rtl/>
        </w:rPr>
        <w:lastRenderedPageBreak/>
        <w:t>على بعض ما ينحل إليه التزويج المنقطع، كما ليس له السلطنة على ما ينحل إليه التمليك بالنسبة الى زمان الكبر)</w:t>
      </w:r>
      <w:r w:rsidRPr="00F27422">
        <w:rPr>
          <w:sz w:val="32"/>
          <w:szCs w:val="32"/>
          <w:rtl/>
        </w:rPr>
        <w:t xml:space="preserve"> وخلاصة الوجه والنكتة في ذيل العبارة: </w:t>
      </w:r>
      <w:r w:rsidRPr="00F27422">
        <w:rPr>
          <w:b/>
          <w:bCs/>
          <w:sz w:val="32"/>
          <w:szCs w:val="32"/>
          <w:rtl/>
        </w:rPr>
        <w:t>(بل الزوجية الحادثة بالعقد زوجية واحدة شخصا لا نوعا أولا وآخرا. فتدبر جيدا).</w:t>
      </w:r>
    </w:p>
    <w:p w14:paraId="4C8D885C" w14:textId="77777777" w:rsidR="002D209B" w:rsidRPr="00F27422" w:rsidRDefault="002D209B" w:rsidP="00122B70">
      <w:pPr>
        <w:bidi/>
        <w:rPr>
          <w:sz w:val="32"/>
          <w:szCs w:val="32"/>
          <w:rtl/>
          <w:lang w:bidi="ar-BH"/>
        </w:rPr>
      </w:pPr>
      <w:r w:rsidRPr="00F27422">
        <w:rPr>
          <w:sz w:val="32"/>
          <w:szCs w:val="32"/>
          <w:rtl/>
        </w:rPr>
        <w:t xml:space="preserve">وكأنّ منظور المحقّق الأصفهاني (قدس سره الشريف) أنّ المنشأ بعقد النكاح منقطعاً أو دائماً هو واحد شخصي في عالم الاعتبار وهو شخص الزوجية، متقوماً بهذين الطرفين "خالد وخالدة" أو "خير وخيرية" مثلاً، لا أنّ المنشأ طبيعي الزوجية كي يكون منحلاً </w:t>
      </w:r>
      <w:proofErr w:type="spellStart"/>
      <w:r w:rsidRPr="00F27422">
        <w:rPr>
          <w:sz w:val="32"/>
          <w:szCs w:val="32"/>
          <w:rtl/>
        </w:rPr>
        <w:t>لتزويجات</w:t>
      </w:r>
      <w:proofErr w:type="spellEnd"/>
      <w:r w:rsidRPr="00F27422">
        <w:rPr>
          <w:sz w:val="32"/>
          <w:szCs w:val="32"/>
          <w:rtl/>
        </w:rPr>
        <w:t xml:space="preserve"> كما تكون الِملكيَّة منحلة </w:t>
      </w:r>
      <w:proofErr w:type="spellStart"/>
      <w:r w:rsidRPr="00F27422">
        <w:rPr>
          <w:sz w:val="32"/>
          <w:szCs w:val="32"/>
          <w:rtl/>
        </w:rPr>
        <w:t>لتمليكات</w:t>
      </w:r>
      <w:proofErr w:type="spellEnd"/>
      <w:r w:rsidRPr="00F27422">
        <w:rPr>
          <w:sz w:val="32"/>
          <w:szCs w:val="32"/>
          <w:rtl/>
        </w:rPr>
        <w:t>، فليس للصبي أو الصبيّة بعد بلوغه الولاية على الفسخ أو الإمضاء</w:t>
      </w:r>
      <w:r w:rsidRPr="00F27422">
        <w:rPr>
          <w:sz w:val="32"/>
          <w:szCs w:val="32"/>
        </w:rPr>
        <w:t>.</w:t>
      </w:r>
    </w:p>
    <w:p w14:paraId="6CB51899" w14:textId="77777777" w:rsidR="002D209B" w:rsidRPr="00F27422" w:rsidRDefault="002D209B" w:rsidP="00122B70">
      <w:pPr>
        <w:bidi/>
        <w:rPr>
          <w:b/>
          <w:bCs/>
          <w:sz w:val="32"/>
          <w:szCs w:val="32"/>
          <w:rtl/>
        </w:rPr>
      </w:pPr>
      <w:r w:rsidRPr="00F27422">
        <w:rPr>
          <w:b/>
          <w:bCs/>
          <w:sz w:val="32"/>
          <w:szCs w:val="32"/>
          <w:rtl/>
        </w:rPr>
        <w:t>ويلاحظ عليه:</w:t>
      </w:r>
    </w:p>
    <w:p w14:paraId="7A7D83FD" w14:textId="77777777" w:rsidR="002D209B" w:rsidRPr="00F27422" w:rsidRDefault="002D209B" w:rsidP="00122B70">
      <w:pPr>
        <w:bidi/>
        <w:rPr>
          <w:sz w:val="32"/>
          <w:szCs w:val="32"/>
          <w:rtl/>
          <w:lang w:bidi="ar-BH"/>
        </w:rPr>
      </w:pPr>
      <w:r w:rsidRPr="00F27422">
        <w:rPr>
          <w:sz w:val="32"/>
          <w:szCs w:val="32"/>
          <w:rtl/>
        </w:rPr>
        <w:t xml:space="preserve">أنّه بعد فرض أنّ الزوجية نوعان بلحاظ الزمن: زوجية منقطعة وزوجية دائمة، فمفهوم الزوجية أمرٌ قابلٌ للانحلال بلحاظ </w:t>
      </w:r>
      <w:proofErr w:type="gramStart"/>
      <w:r w:rsidRPr="00F27422">
        <w:rPr>
          <w:sz w:val="32"/>
          <w:szCs w:val="32"/>
          <w:rtl/>
        </w:rPr>
        <w:t>الزمن</w:t>
      </w:r>
      <w:proofErr w:type="gramEnd"/>
      <w:r w:rsidRPr="00F27422">
        <w:rPr>
          <w:sz w:val="32"/>
          <w:szCs w:val="32"/>
          <w:rtl/>
        </w:rPr>
        <w:t xml:space="preserve"> حتى لو كانت شخصية؛ فإنّ الزوجية الشخصية المنشأة بالعقد قابلة لأنْ تستمر وأنْ تنقطع، فليس المناط في الفرق بين المِلكيَّة والزوجية في المقام أنّ المنشأ شخص الزوجية لا نوع الزوجية، بل المناط أنّ المنشأ بلحاظ الزمن قابلٌ للاستمرار والانقطاع أم لا؟</w:t>
      </w:r>
    </w:p>
    <w:p w14:paraId="3C3D7C05" w14:textId="77777777" w:rsidR="002D209B" w:rsidRPr="00F27422" w:rsidRDefault="002D209B" w:rsidP="00122B70">
      <w:pPr>
        <w:bidi/>
        <w:rPr>
          <w:sz w:val="32"/>
          <w:szCs w:val="32"/>
          <w:rtl/>
          <w:lang w:bidi="ar-BH"/>
        </w:rPr>
      </w:pPr>
      <w:r w:rsidRPr="00F27422">
        <w:rPr>
          <w:b/>
          <w:bCs/>
          <w:sz w:val="32"/>
          <w:szCs w:val="32"/>
          <w:rtl/>
        </w:rPr>
        <w:t>فلذلك قد يقال:</w:t>
      </w:r>
      <w:r w:rsidRPr="00F27422">
        <w:rPr>
          <w:sz w:val="32"/>
          <w:szCs w:val="32"/>
          <w:rtl/>
        </w:rPr>
        <w:t xml:space="preserve"> بما أنّ الزوجية نوعان: دائم ومنقطع، فالزوجية قابلةٌ للاستمرار والانقطاع بلحاظ الزمن، ويؤكده ما في موارد العيوب الموجبة للفسخ لأحد الزوجين من الولاية على الفسخ، أي: قطع الزوجية مع أنّ المنشأ كان زوجيةً دائمةً، فكما تصور الفسخ في العيوب الموجبة للفسخ يتصور الفسخ بالنسبة إلى تزويج الصبي أو الصبيّة لما بعد بلوغه</w:t>
      </w:r>
      <w:r w:rsidRPr="00F27422">
        <w:rPr>
          <w:sz w:val="32"/>
          <w:szCs w:val="32"/>
        </w:rPr>
        <w:t>.</w:t>
      </w:r>
    </w:p>
    <w:p w14:paraId="1DCB9014" w14:textId="77777777" w:rsidR="002D209B" w:rsidRPr="00F27422" w:rsidRDefault="002D209B" w:rsidP="00122B70">
      <w:pPr>
        <w:bidi/>
        <w:rPr>
          <w:sz w:val="32"/>
          <w:szCs w:val="32"/>
          <w:rtl/>
          <w:lang w:bidi="ar-BH"/>
        </w:rPr>
      </w:pPr>
      <w:r w:rsidRPr="00F27422">
        <w:rPr>
          <w:sz w:val="32"/>
          <w:szCs w:val="32"/>
          <w:rtl/>
        </w:rPr>
        <w:t>فلا جواب عن هذا الإشكال إلّا التعبد، وأنّ الحاسم للمسألة هو النصُّ الوارد، حيث ورد النصّ في باب التزويج ولم يرد في باب التمليك.</w:t>
      </w:r>
    </w:p>
    <w:p w14:paraId="256314F3" w14:textId="77777777" w:rsidR="002D209B" w:rsidRPr="00F27422" w:rsidRDefault="002D209B" w:rsidP="00122B70">
      <w:pPr>
        <w:bidi/>
        <w:rPr>
          <w:sz w:val="32"/>
          <w:szCs w:val="32"/>
          <w:rtl/>
          <w:lang w:bidi="ar-BH"/>
        </w:rPr>
      </w:pPr>
    </w:p>
    <w:p w14:paraId="65278544" w14:textId="77777777" w:rsidR="002D209B" w:rsidRPr="00F27422" w:rsidRDefault="002D209B" w:rsidP="00122B70">
      <w:pPr>
        <w:bidi/>
        <w:rPr>
          <w:b/>
          <w:bCs/>
          <w:sz w:val="32"/>
          <w:szCs w:val="32"/>
          <w:rtl/>
        </w:rPr>
      </w:pPr>
      <w:r w:rsidRPr="00F27422">
        <w:rPr>
          <w:b/>
          <w:bCs/>
          <w:sz w:val="32"/>
          <w:szCs w:val="32"/>
          <w:rtl/>
        </w:rPr>
        <w:t>والحمد لله رب العالمين</w:t>
      </w:r>
    </w:p>
    <w:p w14:paraId="58F6AB70" w14:textId="77777777" w:rsidR="008E7A9C" w:rsidRPr="00F27422" w:rsidRDefault="008E7A9C" w:rsidP="00122B70">
      <w:pPr>
        <w:bidi/>
        <w:rPr>
          <w:sz w:val="32"/>
          <w:szCs w:val="32"/>
          <w:rtl/>
        </w:rPr>
      </w:pPr>
    </w:p>
    <w:p w14:paraId="0C41E346" w14:textId="77777777" w:rsidR="002D209B" w:rsidRPr="00F27422" w:rsidRDefault="002D209B" w:rsidP="00122B70">
      <w:pPr>
        <w:bidi/>
        <w:rPr>
          <w:sz w:val="32"/>
          <w:szCs w:val="32"/>
          <w:rtl/>
        </w:rPr>
      </w:pPr>
    </w:p>
    <w:p w14:paraId="050B6116" w14:textId="6302E3BC" w:rsidR="002D209B" w:rsidRPr="00F27422" w:rsidRDefault="002D209B" w:rsidP="00122B70">
      <w:pPr>
        <w:pStyle w:val="Heading3"/>
        <w:bidi/>
        <w:rPr>
          <w:sz w:val="32"/>
          <w:szCs w:val="32"/>
          <w:rtl/>
        </w:rPr>
      </w:pPr>
      <w:r w:rsidRPr="00F27422">
        <w:rPr>
          <w:rFonts w:hint="cs"/>
          <w:sz w:val="32"/>
          <w:szCs w:val="32"/>
          <w:rtl/>
        </w:rPr>
        <w:t>046</w:t>
      </w:r>
    </w:p>
    <w:p w14:paraId="779316A1" w14:textId="77777777" w:rsidR="00A71B3A" w:rsidRPr="00F27422" w:rsidRDefault="00A71B3A" w:rsidP="00122B70">
      <w:pPr>
        <w:bidi/>
        <w:rPr>
          <w:b/>
          <w:bCs/>
          <w:sz w:val="32"/>
          <w:szCs w:val="32"/>
        </w:rPr>
      </w:pPr>
      <w:r w:rsidRPr="00F27422">
        <w:rPr>
          <w:b/>
          <w:bCs/>
          <w:sz w:val="32"/>
          <w:szCs w:val="32"/>
          <w:rtl/>
        </w:rPr>
        <w:t>بسم الله الرحمن الرحيم</w:t>
      </w:r>
    </w:p>
    <w:p w14:paraId="60D80417" w14:textId="77777777" w:rsidR="00A71B3A" w:rsidRPr="00F27422" w:rsidRDefault="00A71B3A" w:rsidP="00122B70">
      <w:pPr>
        <w:bidi/>
        <w:rPr>
          <w:b/>
          <w:bCs/>
          <w:sz w:val="32"/>
          <w:szCs w:val="32"/>
          <w:rtl/>
        </w:rPr>
      </w:pPr>
      <w:r w:rsidRPr="00F27422">
        <w:rPr>
          <w:b/>
          <w:bCs/>
          <w:sz w:val="32"/>
          <w:szCs w:val="32"/>
          <w:rtl/>
        </w:rPr>
        <w:lastRenderedPageBreak/>
        <w:t>والصلاة والسلام على أشرف الأنبياء والمرسلين، محمد وآله الطيبين الطاهرين</w:t>
      </w:r>
    </w:p>
    <w:p w14:paraId="5A21CBE2" w14:textId="77777777" w:rsidR="00A71B3A" w:rsidRPr="00F27422" w:rsidRDefault="00A71B3A" w:rsidP="00122B70">
      <w:pPr>
        <w:bidi/>
        <w:rPr>
          <w:sz w:val="32"/>
          <w:szCs w:val="32"/>
          <w:rtl/>
        </w:rPr>
      </w:pPr>
      <w:r w:rsidRPr="00F27422">
        <w:rPr>
          <w:b/>
          <w:bCs/>
          <w:sz w:val="32"/>
          <w:szCs w:val="32"/>
          <w:rtl/>
        </w:rPr>
        <w:t>واللعن الدائم على أعدائهم أجمعين إلى قيام يوم الدين</w:t>
      </w:r>
    </w:p>
    <w:p w14:paraId="5D977BA9" w14:textId="77777777" w:rsidR="00A71B3A" w:rsidRPr="00F27422" w:rsidRDefault="00A71B3A" w:rsidP="00122B70">
      <w:pPr>
        <w:bidi/>
        <w:rPr>
          <w:sz w:val="32"/>
          <w:szCs w:val="32"/>
          <w:rtl/>
        </w:rPr>
      </w:pPr>
    </w:p>
    <w:p w14:paraId="176FE514" w14:textId="77777777" w:rsidR="00A71B3A" w:rsidRPr="00F27422" w:rsidRDefault="00A71B3A" w:rsidP="00122B70">
      <w:pPr>
        <w:bidi/>
        <w:rPr>
          <w:sz w:val="32"/>
          <w:szCs w:val="32"/>
          <w:rtl/>
        </w:rPr>
      </w:pPr>
      <w:r w:rsidRPr="00F27422">
        <w:rPr>
          <w:b/>
          <w:bCs/>
          <w:sz w:val="32"/>
          <w:szCs w:val="32"/>
          <w:rtl/>
        </w:rPr>
        <w:t>والمتحصل مما سبق:</w:t>
      </w:r>
      <w:r w:rsidRPr="00F27422">
        <w:rPr>
          <w:sz w:val="32"/>
          <w:szCs w:val="32"/>
          <w:rtl/>
        </w:rPr>
        <w:t xml:space="preserve"> أنّ الفارق بين إجارة الوليّ للصبي لمدّةٍ تمتدُ لما بعد البلوغ وبين تزويج الوليّ للصبي بدعوى عدم نفوذ الإجارة ونفوذ التزويج هو النصّ، ومقتضى التعبد به أنّه ليس للصبي الخيار في الفسخ والإمضاء إنْ بلغ</w:t>
      </w:r>
      <w:r w:rsidRPr="00F27422">
        <w:rPr>
          <w:sz w:val="32"/>
          <w:szCs w:val="32"/>
        </w:rPr>
        <w:t>.</w:t>
      </w:r>
    </w:p>
    <w:p w14:paraId="3AB3EC35" w14:textId="77777777" w:rsidR="00A71B3A" w:rsidRPr="00F27422" w:rsidRDefault="00A71B3A" w:rsidP="00122B70">
      <w:pPr>
        <w:bidi/>
        <w:rPr>
          <w:sz w:val="32"/>
          <w:szCs w:val="32"/>
          <w:rtl/>
        </w:rPr>
      </w:pPr>
      <w:r w:rsidRPr="00F27422">
        <w:rPr>
          <w:b/>
          <w:bCs/>
          <w:sz w:val="32"/>
          <w:szCs w:val="32"/>
          <w:rtl/>
        </w:rPr>
        <w:t>ولكن قد يقال:</w:t>
      </w:r>
      <w:r w:rsidRPr="00F27422">
        <w:rPr>
          <w:sz w:val="32"/>
          <w:szCs w:val="32"/>
          <w:rtl/>
        </w:rPr>
        <w:t xml:space="preserve"> إنّ النصّ معارضٌ بما دلّ على أنّ للصبي أو للصبيّة أو لكلّيهما الخيار عند البلوغ</w:t>
      </w:r>
      <w:r w:rsidRPr="00F27422">
        <w:rPr>
          <w:sz w:val="32"/>
          <w:szCs w:val="32"/>
        </w:rPr>
        <w:t>.</w:t>
      </w:r>
    </w:p>
    <w:p w14:paraId="23799315" w14:textId="77777777" w:rsidR="00A71B3A" w:rsidRPr="00F27422" w:rsidRDefault="00A71B3A" w:rsidP="00122B70">
      <w:pPr>
        <w:bidi/>
        <w:rPr>
          <w:b/>
          <w:bCs/>
          <w:sz w:val="32"/>
          <w:szCs w:val="32"/>
          <w:rtl/>
        </w:rPr>
      </w:pPr>
      <w:r w:rsidRPr="00F27422">
        <w:rPr>
          <w:b/>
          <w:bCs/>
          <w:sz w:val="32"/>
          <w:szCs w:val="32"/>
          <w:rtl/>
        </w:rPr>
        <w:t>وفي المقام طائفتان من الروايات</w:t>
      </w:r>
      <w:r w:rsidRPr="00F27422">
        <w:rPr>
          <w:b/>
          <w:bCs/>
          <w:sz w:val="32"/>
          <w:szCs w:val="32"/>
        </w:rPr>
        <w:t>:</w:t>
      </w:r>
    </w:p>
    <w:p w14:paraId="0A0C60B4" w14:textId="77777777" w:rsidR="00A71B3A" w:rsidRPr="00F27422" w:rsidRDefault="00A71B3A" w:rsidP="00122B70">
      <w:pPr>
        <w:bidi/>
        <w:rPr>
          <w:b/>
          <w:bCs/>
          <w:sz w:val="32"/>
          <w:szCs w:val="32"/>
          <w:rtl/>
        </w:rPr>
      </w:pPr>
      <w:r w:rsidRPr="00F27422">
        <w:rPr>
          <w:b/>
          <w:bCs/>
          <w:sz w:val="32"/>
          <w:szCs w:val="32"/>
          <w:rtl/>
        </w:rPr>
        <w:t>الطائفةُ الأُولى: ما دلّ على نفوذ تزويج الولّي للصبي وإنْ بلغ.</w:t>
      </w:r>
    </w:p>
    <w:p w14:paraId="17E6853A" w14:textId="77777777" w:rsidR="00A71B3A" w:rsidRPr="00F27422" w:rsidRDefault="00A71B3A" w:rsidP="00122B70">
      <w:pPr>
        <w:bidi/>
        <w:rPr>
          <w:sz w:val="32"/>
          <w:szCs w:val="32"/>
          <w:rtl/>
        </w:rPr>
      </w:pPr>
      <w:r w:rsidRPr="00F27422">
        <w:rPr>
          <w:sz w:val="32"/>
          <w:szCs w:val="32"/>
          <w:rtl/>
        </w:rPr>
        <w:t>وقد تعرض لذلك صاحب الوسائل (عليه الرحمة) في كتاب النكاح في باب ثبوت الولاية للأب والجد للأب خاصة مع وجود الأب لا غيرهما على البنت غير البالغة الرشيدة وكذا الصبي، وقد ذكر أربع روايات تدل على نفوذ تزويج الوليّ للصغير وإنْ بلغ.</w:t>
      </w:r>
    </w:p>
    <w:p w14:paraId="0191BF84" w14:textId="77777777" w:rsidR="00A71B3A" w:rsidRPr="00F27422" w:rsidRDefault="00A71B3A" w:rsidP="00122B70">
      <w:pPr>
        <w:bidi/>
        <w:rPr>
          <w:sz w:val="32"/>
          <w:szCs w:val="32"/>
          <w:rtl/>
        </w:rPr>
      </w:pPr>
      <w:r w:rsidRPr="00F27422">
        <w:rPr>
          <w:b/>
          <w:bCs/>
          <w:sz w:val="32"/>
          <w:szCs w:val="32"/>
          <w:rtl/>
        </w:rPr>
        <w:t>الروايةُ الأُولى:</w:t>
      </w:r>
      <w:r w:rsidRPr="00F27422">
        <w:rPr>
          <w:sz w:val="32"/>
          <w:szCs w:val="32"/>
          <w:rtl/>
        </w:rPr>
        <w:t xml:space="preserve"> معتبرة محمد بن إسماعيل بن بزيع: </w:t>
      </w:r>
      <w:r w:rsidRPr="00F27422">
        <w:rPr>
          <w:b/>
          <w:bCs/>
          <w:sz w:val="32"/>
          <w:szCs w:val="32"/>
          <w:rtl/>
        </w:rPr>
        <w:t>(محمّد بن يعقوب، عن محمّد بن يحيى، عن أحمد بن محمّد، عن محمّد بن إسماعيل بن بزيع قال: سألت أبا الحسن (عليه السلام) عن الصبية يزوّجها أبوها ثم يموت وهي صغيرة فتكبر قبل أن يدخل بها زوجها، يجوز عليها التزويج أو الأمر إليها؟ قال: يجوز تزويج أبيها).</w:t>
      </w:r>
      <w:r w:rsidRPr="00F27422">
        <w:rPr>
          <w:sz w:val="32"/>
          <w:szCs w:val="32"/>
          <w:rtl/>
        </w:rPr>
        <w:t xml:space="preserve"> [وسائل الشيعة، الحر العاملي، تحقيق مؤسسة أهل البيت (عليهم السلام) لإحياء التراث، ج20، كتاب النكاح، أبواب عقد النكاح وأولياء العقد، الباب 6 باب ثبوت الولاية للأب والجد للأب خاصة مع وجود الأب لا غيرهما على البنت غير البالغة الرشيدة وكذا الصبي، ح1]</w:t>
      </w:r>
      <w:r w:rsidRPr="00F27422">
        <w:rPr>
          <w:sz w:val="32"/>
          <w:szCs w:val="32"/>
        </w:rPr>
        <w:t>.</w:t>
      </w:r>
    </w:p>
    <w:p w14:paraId="4F6CDC55" w14:textId="77777777" w:rsidR="00A71B3A" w:rsidRPr="00F27422" w:rsidRDefault="00A71B3A" w:rsidP="00122B70">
      <w:pPr>
        <w:bidi/>
        <w:rPr>
          <w:sz w:val="32"/>
          <w:szCs w:val="32"/>
          <w:rtl/>
        </w:rPr>
      </w:pPr>
      <w:r w:rsidRPr="00F27422">
        <w:rPr>
          <w:sz w:val="32"/>
          <w:szCs w:val="32"/>
          <w:rtl/>
        </w:rPr>
        <w:t xml:space="preserve">وقوله (عليه السلام): </w:t>
      </w:r>
      <w:r w:rsidRPr="00F27422">
        <w:rPr>
          <w:b/>
          <w:bCs/>
          <w:sz w:val="32"/>
          <w:szCs w:val="32"/>
          <w:rtl/>
        </w:rPr>
        <w:t>(يجوز تزويج أبيها)</w:t>
      </w:r>
      <w:r w:rsidRPr="00F27422">
        <w:rPr>
          <w:sz w:val="32"/>
          <w:szCs w:val="32"/>
          <w:rtl/>
        </w:rPr>
        <w:t xml:space="preserve"> يعني أنّه لا خيار لها</w:t>
      </w:r>
      <w:r w:rsidRPr="00F27422">
        <w:rPr>
          <w:sz w:val="32"/>
          <w:szCs w:val="32"/>
        </w:rPr>
        <w:t>.</w:t>
      </w:r>
    </w:p>
    <w:p w14:paraId="1E4D7742" w14:textId="77777777" w:rsidR="00A71B3A" w:rsidRPr="00F27422" w:rsidRDefault="00A71B3A" w:rsidP="00122B70">
      <w:pPr>
        <w:bidi/>
        <w:rPr>
          <w:sz w:val="32"/>
          <w:szCs w:val="32"/>
          <w:rtl/>
        </w:rPr>
      </w:pPr>
      <w:r w:rsidRPr="00F27422">
        <w:rPr>
          <w:b/>
          <w:bCs/>
          <w:sz w:val="32"/>
          <w:szCs w:val="32"/>
          <w:rtl/>
        </w:rPr>
        <w:t>الروايةُ الثانية:</w:t>
      </w:r>
      <w:r w:rsidRPr="00F27422">
        <w:rPr>
          <w:sz w:val="32"/>
          <w:szCs w:val="32"/>
          <w:rtl/>
        </w:rPr>
        <w:t xml:space="preserve"> معتبرة </w:t>
      </w:r>
      <w:proofErr w:type="gramStart"/>
      <w:r w:rsidRPr="00F27422">
        <w:rPr>
          <w:sz w:val="32"/>
          <w:szCs w:val="32"/>
          <w:rtl/>
        </w:rPr>
        <w:t>عبدالله</w:t>
      </w:r>
      <w:proofErr w:type="gramEnd"/>
      <w:r w:rsidRPr="00F27422">
        <w:rPr>
          <w:sz w:val="32"/>
          <w:szCs w:val="32"/>
          <w:rtl/>
        </w:rPr>
        <w:t xml:space="preserve"> بن الصلت: </w:t>
      </w:r>
      <w:r w:rsidRPr="00F27422">
        <w:rPr>
          <w:b/>
          <w:bCs/>
          <w:sz w:val="32"/>
          <w:szCs w:val="32"/>
          <w:rtl/>
        </w:rPr>
        <w:t xml:space="preserve">(وعن عدة من أصحابنا، عن أحمد بن محمّد، عن الحسين بن سعيد، عن </w:t>
      </w:r>
      <w:proofErr w:type="gramStart"/>
      <w:r w:rsidRPr="00F27422">
        <w:rPr>
          <w:b/>
          <w:bCs/>
          <w:sz w:val="32"/>
          <w:szCs w:val="32"/>
          <w:rtl/>
        </w:rPr>
        <w:t>عبدالله</w:t>
      </w:r>
      <w:proofErr w:type="gramEnd"/>
      <w:r w:rsidRPr="00F27422">
        <w:rPr>
          <w:b/>
          <w:bCs/>
          <w:sz w:val="32"/>
          <w:szCs w:val="32"/>
          <w:rtl/>
        </w:rPr>
        <w:t xml:space="preserve"> بن الصلت قال: سألت أبا </w:t>
      </w:r>
      <w:proofErr w:type="gramStart"/>
      <w:r w:rsidRPr="00F27422">
        <w:rPr>
          <w:b/>
          <w:bCs/>
          <w:sz w:val="32"/>
          <w:szCs w:val="32"/>
          <w:rtl/>
        </w:rPr>
        <w:t>عبدالله</w:t>
      </w:r>
      <w:proofErr w:type="gramEnd"/>
      <w:r w:rsidRPr="00F27422">
        <w:rPr>
          <w:b/>
          <w:bCs/>
          <w:sz w:val="32"/>
          <w:szCs w:val="32"/>
          <w:rtl/>
        </w:rPr>
        <w:t xml:space="preserve"> (عليه السلام) عن الجارية الصغيرة يزوّجها أبوها، لها أمر إذا بلغت؟ قال: لا ليس لها مع أبيها أمر، قال: وسألته عن البكر إذا بلغت مبلغ النساء، ألها مع أبيها أمر؟ قال: ليس لها مع أبيها أمر ما لم تكبر)</w:t>
      </w:r>
      <w:r w:rsidRPr="00F27422">
        <w:rPr>
          <w:sz w:val="32"/>
          <w:szCs w:val="32"/>
          <w:rtl/>
        </w:rPr>
        <w:t>. [المصدر السابق، ح3]</w:t>
      </w:r>
      <w:r w:rsidRPr="00F27422">
        <w:rPr>
          <w:sz w:val="32"/>
          <w:szCs w:val="32"/>
        </w:rPr>
        <w:t>.</w:t>
      </w:r>
    </w:p>
    <w:p w14:paraId="1CE4DDC5" w14:textId="77777777" w:rsidR="00A71B3A" w:rsidRPr="00F27422" w:rsidRDefault="00A71B3A" w:rsidP="00122B70">
      <w:pPr>
        <w:bidi/>
        <w:rPr>
          <w:sz w:val="32"/>
          <w:szCs w:val="32"/>
          <w:rtl/>
        </w:rPr>
      </w:pPr>
      <w:r w:rsidRPr="00F27422">
        <w:rPr>
          <w:sz w:val="32"/>
          <w:szCs w:val="32"/>
          <w:rtl/>
        </w:rPr>
        <w:lastRenderedPageBreak/>
        <w:t>والفقرةُ الثانية في الرواية وإنْ كانت مضطربة الدلالة؛ حيث إنّ مورد السؤال البكر البالغة، بينما الجواب أنّه: (</w:t>
      </w:r>
      <w:r w:rsidRPr="00F27422">
        <w:rPr>
          <w:b/>
          <w:bCs/>
          <w:sz w:val="32"/>
          <w:szCs w:val="32"/>
          <w:rtl/>
        </w:rPr>
        <w:t>ليس لها مع أبيها أمر ما لم تكبر</w:t>
      </w:r>
      <w:r w:rsidRPr="00F27422">
        <w:rPr>
          <w:sz w:val="32"/>
          <w:szCs w:val="32"/>
          <w:rtl/>
        </w:rPr>
        <w:t>)، إلّا أنّ مقتضى التبعيض في الحجية باعتبار أنّ الرواية اشتملت على سؤالين وجوابين هو حجية مفادها في الأوّل: وهو أنّ الجارية الصغيرة ليس لها مع أبيها أمر إذا بلغتْ</w:t>
      </w:r>
      <w:r w:rsidRPr="00F27422">
        <w:rPr>
          <w:sz w:val="32"/>
          <w:szCs w:val="32"/>
        </w:rPr>
        <w:t>.</w:t>
      </w:r>
    </w:p>
    <w:p w14:paraId="131C8A4A" w14:textId="77777777" w:rsidR="00A71B3A" w:rsidRPr="00F27422" w:rsidRDefault="00A71B3A" w:rsidP="00122B70">
      <w:pPr>
        <w:bidi/>
        <w:rPr>
          <w:sz w:val="32"/>
          <w:szCs w:val="32"/>
          <w:rtl/>
        </w:rPr>
      </w:pPr>
      <w:r w:rsidRPr="00F27422">
        <w:rPr>
          <w:b/>
          <w:bCs/>
          <w:sz w:val="32"/>
          <w:szCs w:val="32"/>
          <w:rtl/>
        </w:rPr>
        <w:t xml:space="preserve">الروايةُ الثالثة: </w:t>
      </w:r>
      <w:r w:rsidRPr="00F27422">
        <w:rPr>
          <w:sz w:val="32"/>
          <w:szCs w:val="32"/>
          <w:rtl/>
        </w:rPr>
        <w:t xml:space="preserve">معتبرة الفضل بن عبد الملك: </w:t>
      </w:r>
      <w:r w:rsidRPr="00F27422">
        <w:rPr>
          <w:b/>
          <w:bCs/>
          <w:sz w:val="32"/>
          <w:szCs w:val="32"/>
          <w:rtl/>
        </w:rPr>
        <w:t xml:space="preserve">(وعن محمّد بن يحيى، عن </w:t>
      </w:r>
      <w:proofErr w:type="gramStart"/>
      <w:r w:rsidRPr="00F27422">
        <w:rPr>
          <w:b/>
          <w:bCs/>
          <w:sz w:val="32"/>
          <w:szCs w:val="32"/>
          <w:rtl/>
        </w:rPr>
        <w:t>عبدالله</w:t>
      </w:r>
      <w:proofErr w:type="gramEnd"/>
      <w:r w:rsidRPr="00F27422">
        <w:rPr>
          <w:b/>
          <w:bCs/>
          <w:sz w:val="32"/>
          <w:szCs w:val="32"/>
          <w:rtl/>
        </w:rPr>
        <w:t xml:space="preserve"> بن محمّد، عن علي بن الحكم، عن أبان بن عثمان، عن الفضل بن </w:t>
      </w:r>
      <w:proofErr w:type="gramStart"/>
      <w:r w:rsidRPr="00F27422">
        <w:rPr>
          <w:b/>
          <w:bCs/>
          <w:sz w:val="32"/>
          <w:szCs w:val="32"/>
          <w:rtl/>
        </w:rPr>
        <w:t>عبدالملك</w:t>
      </w:r>
      <w:proofErr w:type="gramEnd"/>
      <w:r w:rsidRPr="00F27422">
        <w:rPr>
          <w:b/>
          <w:bCs/>
          <w:sz w:val="32"/>
          <w:szCs w:val="32"/>
          <w:rtl/>
        </w:rPr>
        <w:t xml:space="preserve">، عن أبي </w:t>
      </w:r>
      <w:proofErr w:type="gramStart"/>
      <w:r w:rsidRPr="00F27422">
        <w:rPr>
          <w:b/>
          <w:bCs/>
          <w:sz w:val="32"/>
          <w:szCs w:val="32"/>
          <w:rtl/>
        </w:rPr>
        <w:t>عبدالله</w:t>
      </w:r>
      <w:proofErr w:type="gramEnd"/>
      <w:r w:rsidRPr="00F27422">
        <w:rPr>
          <w:b/>
          <w:bCs/>
          <w:sz w:val="32"/>
          <w:szCs w:val="32"/>
          <w:rtl/>
        </w:rPr>
        <w:t xml:space="preserve"> (عليه السلام) - في حديث - قال: إذا زوّج الرجل ابنه فذاك إلى ابنه وإذا زوّج الابنة جاز).</w:t>
      </w:r>
      <w:r w:rsidRPr="00F27422">
        <w:rPr>
          <w:sz w:val="32"/>
          <w:szCs w:val="32"/>
          <w:rtl/>
        </w:rPr>
        <w:t xml:space="preserve"> [المصدر السابق، ح4]</w:t>
      </w:r>
      <w:r w:rsidRPr="00F27422">
        <w:rPr>
          <w:sz w:val="32"/>
          <w:szCs w:val="32"/>
        </w:rPr>
        <w:t>.</w:t>
      </w:r>
    </w:p>
    <w:p w14:paraId="48F1E371" w14:textId="77777777" w:rsidR="00A71B3A" w:rsidRPr="00F27422" w:rsidRDefault="00A71B3A" w:rsidP="00122B70">
      <w:pPr>
        <w:bidi/>
        <w:rPr>
          <w:sz w:val="32"/>
          <w:szCs w:val="32"/>
          <w:rtl/>
        </w:rPr>
      </w:pPr>
      <w:r w:rsidRPr="00F27422">
        <w:rPr>
          <w:b/>
          <w:bCs/>
          <w:sz w:val="32"/>
          <w:szCs w:val="32"/>
          <w:rtl/>
        </w:rPr>
        <w:t>وظاهرها:</w:t>
      </w:r>
      <w:r w:rsidRPr="00F27422">
        <w:rPr>
          <w:sz w:val="32"/>
          <w:szCs w:val="32"/>
          <w:rtl/>
        </w:rPr>
        <w:t xml:space="preserve"> أنّ تزويج الوليّ للصبيّة نافذٌ عليها وإنْ بلغت، بينما تزويج الوليّ للصبي منوطٌ بكبره وبلوغه</w:t>
      </w:r>
      <w:r w:rsidRPr="00F27422">
        <w:rPr>
          <w:sz w:val="32"/>
          <w:szCs w:val="32"/>
        </w:rPr>
        <w:t>.</w:t>
      </w:r>
    </w:p>
    <w:p w14:paraId="02AF467D" w14:textId="77777777" w:rsidR="00A71B3A" w:rsidRPr="00F27422" w:rsidRDefault="00A71B3A" w:rsidP="00122B70">
      <w:pPr>
        <w:bidi/>
        <w:rPr>
          <w:sz w:val="32"/>
          <w:szCs w:val="32"/>
          <w:rtl/>
        </w:rPr>
      </w:pPr>
      <w:r w:rsidRPr="00F27422">
        <w:rPr>
          <w:b/>
          <w:bCs/>
          <w:sz w:val="32"/>
          <w:szCs w:val="32"/>
          <w:rtl/>
        </w:rPr>
        <w:t>الروايةُ الرابعة:</w:t>
      </w:r>
      <w:r w:rsidRPr="00F27422">
        <w:rPr>
          <w:sz w:val="32"/>
          <w:szCs w:val="32"/>
          <w:rtl/>
        </w:rPr>
        <w:t xml:space="preserve"> معتبرة عليّ بن يقطين: (</w:t>
      </w:r>
      <w:r w:rsidRPr="00F27422">
        <w:rPr>
          <w:b/>
          <w:bCs/>
          <w:sz w:val="32"/>
          <w:szCs w:val="32"/>
          <w:rtl/>
        </w:rPr>
        <w:t>محمّد بن الحسن بإسناده عن أحمد بن محمّد بن عيسى، عن الحسن بن علي بن يقطين، عن أخيه الحسين، عن علي بن يقطين قال: سألت أبا الحسن (عليه السلام): أَ تُزوّجُ الجارية وهي بنت ثلاث سنين أو يُزوّجُ الغلام وهو ابن ثلاث سنين وما أدنى حد ذلك الذي يزوّجان فيه، فإذا بلغت الجارية فلم ترضَ، فما حالها؟ قال: لا بأس بذلك إذا رضي أبوها أو وليها).</w:t>
      </w:r>
      <w:r w:rsidRPr="00F27422">
        <w:rPr>
          <w:sz w:val="32"/>
          <w:szCs w:val="32"/>
          <w:rtl/>
        </w:rPr>
        <w:t xml:space="preserve"> [المصدر السابق، ح7]</w:t>
      </w:r>
      <w:r w:rsidRPr="00F27422">
        <w:rPr>
          <w:sz w:val="32"/>
          <w:szCs w:val="32"/>
        </w:rPr>
        <w:t>.</w:t>
      </w:r>
    </w:p>
    <w:p w14:paraId="192FD41F" w14:textId="77777777" w:rsidR="00A71B3A" w:rsidRPr="00F27422" w:rsidRDefault="00A71B3A" w:rsidP="00122B70">
      <w:pPr>
        <w:bidi/>
        <w:rPr>
          <w:sz w:val="32"/>
          <w:szCs w:val="32"/>
          <w:rtl/>
        </w:rPr>
      </w:pPr>
      <w:r w:rsidRPr="00F27422">
        <w:rPr>
          <w:b/>
          <w:bCs/>
          <w:sz w:val="32"/>
          <w:szCs w:val="32"/>
          <w:rtl/>
        </w:rPr>
        <w:t>وظاهرها:</w:t>
      </w:r>
      <w:r w:rsidRPr="00F27422">
        <w:rPr>
          <w:sz w:val="32"/>
          <w:szCs w:val="32"/>
          <w:rtl/>
        </w:rPr>
        <w:t xml:space="preserve"> أنّ رضا أبيها أو وليها بالزواج نافذٌ عليها</w:t>
      </w:r>
      <w:r w:rsidRPr="00F27422">
        <w:rPr>
          <w:sz w:val="32"/>
          <w:szCs w:val="32"/>
        </w:rPr>
        <w:t>.</w:t>
      </w:r>
    </w:p>
    <w:p w14:paraId="5AE97145" w14:textId="77777777" w:rsidR="00A71B3A" w:rsidRPr="00F27422" w:rsidRDefault="00A71B3A" w:rsidP="00122B70">
      <w:pPr>
        <w:bidi/>
        <w:rPr>
          <w:sz w:val="32"/>
          <w:szCs w:val="32"/>
          <w:rtl/>
        </w:rPr>
      </w:pPr>
      <w:r w:rsidRPr="00F27422">
        <w:rPr>
          <w:b/>
          <w:bCs/>
          <w:sz w:val="32"/>
          <w:szCs w:val="32"/>
          <w:rtl/>
        </w:rPr>
        <w:t>فمقتضى هذه الطائفة من الروايات هو:</w:t>
      </w:r>
      <w:r w:rsidRPr="00F27422">
        <w:rPr>
          <w:sz w:val="32"/>
          <w:szCs w:val="32"/>
          <w:rtl/>
        </w:rPr>
        <w:t xml:space="preserve"> أنّ تزويج الوليّ للصغير نافذٌ عليه وإنْ بلغ، ولم نجد في هذا الباب غير هذه الروايات الأربع</w:t>
      </w:r>
      <w:r w:rsidRPr="00F27422">
        <w:rPr>
          <w:sz w:val="32"/>
          <w:szCs w:val="32"/>
        </w:rPr>
        <w:t>.</w:t>
      </w:r>
    </w:p>
    <w:p w14:paraId="48AB43E6" w14:textId="77777777" w:rsidR="00A71B3A" w:rsidRPr="00F27422" w:rsidRDefault="00A71B3A" w:rsidP="00122B70">
      <w:pPr>
        <w:bidi/>
        <w:rPr>
          <w:sz w:val="32"/>
          <w:szCs w:val="32"/>
          <w:rtl/>
        </w:rPr>
      </w:pPr>
      <w:r w:rsidRPr="00F27422">
        <w:rPr>
          <w:sz w:val="32"/>
          <w:szCs w:val="32"/>
          <w:rtl/>
        </w:rPr>
        <w:t xml:space="preserve">فما ذكره سيدنا الخوئي (قدس سره الشريف) في موسوعته المباركة في كتابه [المباني في شرح العروة الوثقى، كتاب النكاح، ج33، ص225] بقوله: </w:t>
      </w:r>
      <w:r w:rsidRPr="00F27422">
        <w:rPr>
          <w:b/>
          <w:bCs/>
          <w:sz w:val="32"/>
          <w:szCs w:val="32"/>
          <w:rtl/>
        </w:rPr>
        <w:t>(إلى غيرهما من النصوص التي تكاد تبلغ حد التظافر)</w:t>
      </w:r>
      <w:r w:rsidRPr="00F27422">
        <w:rPr>
          <w:sz w:val="32"/>
          <w:szCs w:val="32"/>
          <w:rtl/>
        </w:rPr>
        <w:t xml:space="preserve"> محلّ تأملٍ</w:t>
      </w:r>
      <w:r w:rsidRPr="00F27422">
        <w:rPr>
          <w:sz w:val="32"/>
          <w:szCs w:val="32"/>
        </w:rPr>
        <w:t>.</w:t>
      </w:r>
    </w:p>
    <w:p w14:paraId="6D58B49B" w14:textId="77777777" w:rsidR="00A71B3A" w:rsidRPr="00F27422" w:rsidRDefault="00A71B3A" w:rsidP="00122B70">
      <w:pPr>
        <w:bidi/>
        <w:rPr>
          <w:b/>
          <w:bCs/>
          <w:sz w:val="32"/>
          <w:szCs w:val="32"/>
          <w:rtl/>
        </w:rPr>
      </w:pPr>
      <w:r w:rsidRPr="00F27422">
        <w:rPr>
          <w:b/>
          <w:bCs/>
          <w:sz w:val="32"/>
          <w:szCs w:val="32"/>
          <w:rtl/>
        </w:rPr>
        <w:t>الطائفةُ الثانية: ما دلّ على أنّ للصغير إذا كبر شأناً في تزويجه وأنّ له الفسخ أو الإمضاء، وهي عدّة روايات، منها</w:t>
      </w:r>
      <w:r w:rsidRPr="00F27422">
        <w:rPr>
          <w:b/>
          <w:bCs/>
          <w:sz w:val="32"/>
          <w:szCs w:val="32"/>
        </w:rPr>
        <w:t>:</w:t>
      </w:r>
    </w:p>
    <w:p w14:paraId="7F158748" w14:textId="77777777" w:rsidR="00A71B3A" w:rsidRPr="00F27422" w:rsidRDefault="00A71B3A" w:rsidP="00122B70">
      <w:pPr>
        <w:bidi/>
        <w:rPr>
          <w:b/>
          <w:bCs/>
          <w:sz w:val="32"/>
          <w:szCs w:val="32"/>
          <w:rtl/>
        </w:rPr>
      </w:pPr>
      <w:r w:rsidRPr="00F27422">
        <w:rPr>
          <w:b/>
          <w:bCs/>
          <w:sz w:val="32"/>
          <w:szCs w:val="32"/>
          <w:rtl/>
        </w:rPr>
        <w:t>الروايةُ الأُولى:</w:t>
      </w:r>
      <w:r w:rsidRPr="00F27422">
        <w:rPr>
          <w:sz w:val="32"/>
          <w:szCs w:val="32"/>
          <w:rtl/>
        </w:rPr>
        <w:t xml:space="preserve"> رواية يزيد الكناسي، كما في الوسائل: </w:t>
      </w:r>
      <w:r w:rsidRPr="00F27422">
        <w:rPr>
          <w:b/>
          <w:bCs/>
          <w:sz w:val="32"/>
          <w:szCs w:val="32"/>
          <w:rtl/>
        </w:rPr>
        <w:t>(وعنه، عن الحسن بن محبوب، عن أبي أيوب الخزاز، عن بريد الكناسيّ</w:t>
      </w:r>
      <w:r w:rsidRPr="00F27422">
        <w:rPr>
          <w:sz w:val="32"/>
          <w:szCs w:val="32"/>
          <w:rtl/>
        </w:rPr>
        <w:t xml:space="preserve"> [وفي نسخة: يزيد] </w:t>
      </w:r>
      <w:r w:rsidRPr="00F27422">
        <w:rPr>
          <w:b/>
          <w:bCs/>
          <w:sz w:val="32"/>
          <w:szCs w:val="32"/>
          <w:rtl/>
        </w:rPr>
        <w:t xml:space="preserve">قال: قلتُ لأبي جعفر (عليه السلام): متى يجوز للأب أن يزوج ابنته ولا </w:t>
      </w:r>
      <w:proofErr w:type="spellStart"/>
      <w:r w:rsidRPr="00F27422">
        <w:rPr>
          <w:b/>
          <w:bCs/>
          <w:sz w:val="32"/>
          <w:szCs w:val="32"/>
          <w:rtl/>
        </w:rPr>
        <w:t>يستأمرها</w:t>
      </w:r>
      <w:proofErr w:type="spellEnd"/>
      <w:r w:rsidRPr="00F27422">
        <w:rPr>
          <w:b/>
          <w:bCs/>
          <w:sz w:val="32"/>
          <w:szCs w:val="32"/>
          <w:rtl/>
        </w:rPr>
        <w:t xml:space="preserve">؟ قال: إذا جازت تسع سنين فإن زوّجها قبل بلوغ التسع سنين كان الخيار لها إذا بلغت تسع سنين... </w:t>
      </w:r>
      <w:proofErr w:type="spellStart"/>
      <w:r w:rsidRPr="00F27422">
        <w:rPr>
          <w:b/>
          <w:bCs/>
          <w:sz w:val="32"/>
          <w:szCs w:val="32"/>
          <w:rtl/>
        </w:rPr>
        <w:t>ألخ</w:t>
      </w:r>
      <w:proofErr w:type="spellEnd"/>
      <w:r w:rsidRPr="00F27422">
        <w:rPr>
          <w:b/>
          <w:bCs/>
          <w:sz w:val="32"/>
          <w:szCs w:val="32"/>
          <w:rtl/>
        </w:rPr>
        <w:t>).</w:t>
      </w:r>
      <w:r w:rsidRPr="00F27422">
        <w:rPr>
          <w:sz w:val="32"/>
          <w:szCs w:val="32"/>
          <w:rtl/>
        </w:rPr>
        <w:t xml:space="preserve"> [وسائل الشيعة، الحر العاملي، </w:t>
      </w:r>
      <w:r w:rsidRPr="00F27422">
        <w:rPr>
          <w:sz w:val="32"/>
          <w:szCs w:val="32"/>
          <w:rtl/>
        </w:rPr>
        <w:lastRenderedPageBreak/>
        <w:t>تحقيق مؤسسة أهل البيت (عليهم السلام) لإحياء التراث، ج20، كتاب النكاح، أبواب عقد النكاح وأولياء العقد، الباب 6 باب ثبوت الولاية للأب والجد للأب خاصة مع وجود الأب لا غيرهما على البنت غير البالغة الرشيدة وكذا الصبي، ح9]</w:t>
      </w:r>
      <w:r w:rsidRPr="00F27422">
        <w:rPr>
          <w:sz w:val="32"/>
          <w:szCs w:val="32"/>
        </w:rPr>
        <w:t>.</w:t>
      </w:r>
    </w:p>
    <w:p w14:paraId="77F3C16D" w14:textId="77777777" w:rsidR="00A71B3A" w:rsidRPr="00F27422" w:rsidRDefault="00A71B3A" w:rsidP="00122B70">
      <w:pPr>
        <w:bidi/>
        <w:rPr>
          <w:b/>
          <w:bCs/>
          <w:sz w:val="32"/>
          <w:szCs w:val="32"/>
          <w:rtl/>
        </w:rPr>
      </w:pPr>
      <w:r w:rsidRPr="00F27422">
        <w:rPr>
          <w:b/>
          <w:bCs/>
          <w:sz w:val="32"/>
          <w:szCs w:val="32"/>
          <w:rtl/>
        </w:rPr>
        <w:t>وهذه الرواية الشريفة محلّ تأملٍ سنداً ودلالةً</w:t>
      </w:r>
      <w:r w:rsidRPr="00F27422">
        <w:rPr>
          <w:b/>
          <w:bCs/>
          <w:sz w:val="32"/>
          <w:szCs w:val="32"/>
        </w:rPr>
        <w:t>:</w:t>
      </w:r>
    </w:p>
    <w:p w14:paraId="5D505E91" w14:textId="77777777" w:rsidR="00A71B3A" w:rsidRPr="00F27422" w:rsidRDefault="00A71B3A" w:rsidP="00122B70">
      <w:pPr>
        <w:bidi/>
        <w:rPr>
          <w:b/>
          <w:bCs/>
          <w:sz w:val="32"/>
          <w:szCs w:val="32"/>
          <w:rtl/>
        </w:rPr>
      </w:pPr>
      <w:r w:rsidRPr="00F27422">
        <w:rPr>
          <w:b/>
          <w:bCs/>
          <w:sz w:val="32"/>
          <w:szCs w:val="32"/>
          <w:rtl/>
        </w:rPr>
        <w:t>أمّا من حيث السند:</w:t>
      </w:r>
      <w:r w:rsidRPr="00F27422">
        <w:rPr>
          <w:sz w:val="32"/>
          <w:szCs w:val="32"/>
          <w:rtl/>
        </w:rPr>
        <w:t xml:space="preserve"> فهو أنّه لم يثبت وثاقة يزيد الكناسيّ</w:t>
      </w:r>
      <w:r w:rsidRPr="00F27422">
        <w:rPr>
          <w:sz w:val="32"/>
          <w:szCs w:val="32"/>
        </w:rPr>
        <w:t>.</w:t>
      </w:r>
    </w:p>
    <w:p w14:paraId="6F48D723" w14:textId="77777777" w:rsidR="00A71B3A" w:rsidRPr="00F27422" w:rsidRDefault="00A71B3A" w:rsidP="00122B70">
      <w:pPr>
        <w:bidi/>
        <w:rPr>
          <w:b/>
          <w:bCs/>
          <w:sz w:val="32"/>
          <w:szCs w:val="32"/>
          <w:rtl/>
        </w:rPr>
      </w:pPr>
      <w:r w:rsidRPr="00F27422">
        <w:rPr>
          <w:sz w:val="32"/>
          <w:szCs w:val="32"/>
          <w:rtl/>
        </w:rPr>
        <w:t xml:space="preserve">فإنّ النجاشي ذكر في مصنفه يزيد أبا خالد القماط، ووصفه بأنّه كوفي ووثقه بقوله: </w:t>
      </w:r>
      <w:r w:rsidRPr="00F27422">
        <w:rPr>
          <w:b/>
          <w:bCs/>
          <w:sz w:val="32"/>
          <w:szCs w:val="32"/>
          <w:rtl/>
        </w:rPr>
        <w:t xml:space="preserve">([1223] يزيد أبو خالد القماط: مولى بني عجل بن لجيم، كوفي، ثقة، روى عن أبي </w:t>
      </w:r>
      <w:proofErr w:type="gramStart"/>
      <w:r w:rsidRPr="00F27422">
        <w:rPr>
          <w:b/>
          <w:bCs/>
          <w:sz w:val="32"/>
          <w:szCs w:val="32"/>
          <w:rtl/>
        </w:rPr>
        <w:t>عبدالله</w:t>
      </w:r>
      <w:proofErr w:type="gramEnd"/>
      <w:r w:rsidRPr="00F27422">
        <w:rPr>
          <w:b/>
          <w:bCs/>
          <w:sz w:val="32"/>
          <w:szCs w:val="32"/>
          <w:rtl/>
        </w:rPr>
        <w:t xml:space="preserve"> (عليه السلام). له كتاب يرويه جماعة. أخبرنا أبو </w:t>
      </w:r>
      <w:proofErr w:type="gramStart"/>
      <w:r w:rsidRPr="00F27422">
        <w:rPr>
          <w:b/>
          <w:bCs/>
          <w:sz w:val="32"/>
          <w:szCs w:val="32"/>
          <w:rtl/>
        </w:rPr>
        <w:t>عبدالله</w:t>
      </w:r>
      <w:proofErr w:type="gramEnd"/>
      <w:r w:rsidRPr="00F27422">
        <w:rPr>
          <w:b/>
          <w:bCs/>
          <w:sz w:val="32"/>
          <w:szCs w:val="32"/>
          <w:rtl/>
        </w:rPr>
        <w:t xml:space="preserve"> بن شاذان قال: حدثنا أبو الحسن علي بن حاتم، عن محمّد بن أحمد بن ثابت قال: حدثنا محمّد بن بكر بن جناح، عن صفوان، عنه به).</w:t>
      </w:r>
      <w:r w:rsidRPr="00F27422">
        <w:rPr>
          <w:sz w:val="32"/>
          <w:szCs w:val="32"/>
          <w:rtl/>
        </w:rPr>
        <w:t xml:space="preserve"> [رجال النجاشي، أبو العبّاس النجاشي، الناشر: مؤسسة النشر الإسلامي، ص452]</w:t>
      </w:r>
      <w:r w:rsidRPr="00F27422">
        <w:rPr>
          <w:sz w:val="32"/>
          <w:szCs w:val="32"/>
        </w:rPr>
        <w:t>.</w:t>
      </w:r>
    </w:p>
    <w:p w14:paraId="58723A39" w14:textId="77777777" w:rsidR="00A71B3A" w:rsidRPr="00F27422" w:rsidRDefault="00A71B3A" w:rsidP="00122B70">
      <w:pPr>
        <w:bidi/>
        <w:rPr>
          <w:b/>
          <w:bCs/>
          <w:sz w:val="32"/>
          <w:szCs w:val="32"/>
          <w:rtl/>
        </w:rPr>
      </w:pPr>
      <w:r w:rsidRPr="00F27422">
        <w:rPr>
          <w:sz w:val="32"/>
          <w:szCs w:val="32"/>
          <w:rtl/>
        </w:rPr>
        <w:t xml:space="preserve">إلّا أنّ ظاهر رجال البرقي حيث ذكر العنوانين كلا على حِدة فترجم: </w:t>
      </w:r>
      <w:r w:rsidRPr="00F27422">
        <w:rPr>
          <w:b/>
          <w:bCs/>
          <w:sz w:val="32"/>
          <w:szCs w:val="32"/>
          <w:rtl/>
        </w:rPr>
        <w:t>(يزيد أبو خالد القماط، كوفي)</w:t>
      </w:r>
      <w:r w:rsidRPr="00F27422">
        <w:rPr>
          <w:sz w:val="32"/>
          <w:szCs w:val="32"/>
          <w:rtl/>
        </w:rPr>
        <w:t xml:space="preserve"> وترجم: </w:t>
      </w:r>
      <w:r w:rsidRPr="00F27422">
        <w:rPr>
          <w:b/>
          <w:bCs/>
          <w:sz w:val="32"/>
          <w:szCs w:val="32"/>
          <w:rtl/>
        </w:rPr>
        <w:t>(أبو خالد الكناسي).</w:t>
      </w:r>
      <w:r w:rsidRPr="00F27422">
        <w:rPr>
          <w:sz w:val="32"/>
          <w:szCs w:val="32"/>
          <w:rtl/>
        </w:rPr>
        <w:t xml:space="preserve"> [رجال البرقي – الطبقات، أبو جعفر البرقي، منشورات جامعة طهران، ص31 - 32]</w:t>
      </w:r>
      <w:r w:rsidRPr="00F27422">
        <w:rPr>
          <w:sz w:val="32"/>
          <w:szCs w:val="32"/>
        </w:rPr>
        <w:t>.</w:t>
      </w:r>
      <w:r w:rsidRPr="00F27422">
        <w:rPr>
          <w:b/>
          <w:bCs/>
          <w:sz w:val="32"/>
          <w:szCs w:val="32"/>
          <w:rtl/>
        </w:rPr>
        <w:t xml:space="preserve"> </w:t>
      </w:r>
      <w:r w:rsidRPr="00F27422">
        <w:rPr>
          <w:sz w:val="32"/>
          <w:szCs w:val="32"/>
          <w:rtl/>
        </w:rPr>
        <w:t>هو</w:t>
      </w:r>
      <w:r w:rsidRPr="00F27422">
        <w:rPr>
          <w:b/>
          <w:bCs/>
          <w:sz w:val="32"/>
          <w:szCs w:val="32"/>
          <w:rtl/>
        </w:rPr>
        <w:t xml:space="preserve"> </w:t>
      </w:r>
      <w:r w:rsidRPr="00F27422">
        <w:rPr>
          <w:sz w:val="32"/>
          <w:szCs w:val="32"/>
          <w:rtl/>
        </w:rPr>
        <w:t>تعدد الشخصية، فلا ينفع توثيق النجاشي ليزيد القماط في إثبات وثاقة يزيد الكناسي الذي هو راوٍ لهذه الرواية</w:t>
      </w:r>
      <w:r w:rsidRPr="00F27422">
        <w:rPr>
          <w:sz w:val="32"/>
          <w:szCs w:val="32"/>
        </w:rPr>
        <w:t>.</w:t>
      </w:r>
    </w:p>
    <w:p w14:paraId="313074C0" w14:textId="77777777" w:rsidR="00A71B3A" w:rsidRPr="00F27422" w:rsidRDefault="00A71B3A" w:rsidP="00122B70">
      <w:pPr>
        <w:bidi/>
        <w:rPr>
          <w:b/>
          <w:bCs/>
          <w:sz w:val="32"/>
          <w:szCs w:val="32"/>
          <w:rtl/>
        </w:rPr>
      </w:pPr>
      <w:r w:rsidRPr="00F27422">
        <w:rPr>
          <w:b/>
          <w:bCs/>
          <w:sz w:val="32"/>
          <w:szCs w:val="32"/>
          <w:rtl/>
        </w:rPr>
        <w:t>وأمّا من حيث الدلالة:</w:t>
      </w:r>
      <w:r w:rsidRPr="00F27422">
        <w:rPr>
          <w:sz w:val="32"/>
          <w:szCs w:val="32"/>
          <w:rtl/>
        </w:rPr>
        <w:t xml:space="preserve"> فقد أفاد سيدنا الخوئي (قدس سره الشريف) في موسوعته المباركة في كتابه [المباني في شرح العروة الوثقى، كتاب النكاح، ج33، ص225] بقوله: </w:t>
      </w:r>
      <w:r w:rsidRPr="00F27422">
        <w:rPr>
          <w:b/>
          <w:bCs/>
          <w:sz w:val="32"/>
          <w:szCs w:val="32"/>
          <w:rtl/>
        </w:rPr>
        <w:t>(إلّا أن هذه الرواية لا يمكن العمل بها من جهة بُعد التفصيل المذكور فيها، فإنّه لا يحتمل ثبوت الخيار للتي زوّجها الأب قبل تسع سنين، وعدم ثبوته للتي زوجها بعد ذلك، مع معارضتها للنصوص الكثيرة الدالة على نفوذ إنكاح الأب، وأنه ليس لها من الأمر شيء. وفي مقام حلّ المعارضة لا ينبغي الشك في تقدّم تلك عليها)</w:t>
      </w:r>
      <w:r w:rsidRPr="00F27422">
        <w:rPr>
          <w:b/>
          <w:bCs/>
          <w:sz w:val="32"/>
          <w:szCs w:val="32"/>
        </w:rPr>
        <w:t>.</w:t>
      </w:r>
    </w:p>
    <w:p w14:paraId="2AFBADA3" w14:textId="77777777" w:rsidR="00A71B3A" w:rsidRPr="00F27422" w:rsidRDefault="00A71B3A" w:rsidP="00122B70">
      <w:pPr>
        <w:bidi/>
        <w:rPr>
          <w:b/>
          <w:bCs/>
          <w:sz w:val="32"/>
          <w:szCs w:val="32"/>
          <w:rtl/>
        </w:rPr>
      </w:pPr>
      <w:r w:rsidRPr="00F27422">
        <w:rPr>
          <w:b/>
          <w:bCs/>
          <w:sz w:val="32"/>
          <w:szCs w:val="32"/>
          <w:rtl/>
        </w:rPr>
        <w:t>وتوضيحه:</w:t>
      </w:r>
      <w:r w:rsidRPr="00F27422">
        <w:rPr>
          <w:sz w:val="32"/>
          <w:szCs w:val="32"/>
          <w:rtl/>
        </w:rPr>
        <w:t xml:space="preserve"> حيث إنّ ظاهر سياق الرواية تعلّق السؤال بالزمن الذي يكون للأب الولاية على التزويج فيه ولا تستأمر البنت، فمقتضى تطابق الجواب والسؤال أنّ الجواب عن ذلك ما ذكره الإمام (عليه السلام) بقوله: </w:t>
      </w:r>
      <w:r w:rsidRPr="00F27422">
        <w:rPr>
          <w:b/>
          <w:bCs/>
          <w:sz w:val="32"/>
          <w:szCs w:val="32"/>
          <w:rtl/>
        </w:rPr>
        <w:t>(إذا جازت تسع سنين)</w:t>
      </w:r>
      <w:r w:rsidRPr="00F27422">
        <w:rPr>
          <w:sz w:val="32"/>
          <w:szCs w:val="32"/>
          <w:rtl/>
        </w:rPr>
        <w:t xml:space="preserve"> أي: إذا جازت تسع سنين نفذ عليها تزويج أبيها من دون أمرٍ لها، فما عطفه بقوله (عليه السلام): </w:t>
      </w:r>
      <w:r w:rsidRPr="00F27422">
        <w:rPr>
          <w:b/>
          <w:bCs/>
          <w:sz w:val="32"/>
          <w:szCs w:val="32"/>
          <w:rtl/>
        </w:rPr>
        <w:t>(فإن زوّجها قبل بلوغ التسع سنين كان الخيار لها إذا بلغت تسع سنين)</w:t>
      </w:r>
      <w:r w:rsidRPr="00F27422">
        <w:rPr>
          <w:sz w:val="32"/>
          <w:szCs w:val="32"/>
          <w:rtl/>
        </w:rPr>
        <w:t xml:space="preserve"> غيرُ محتمل.</w:t>
      </w:r>
    </w:p>
    <w:p w14:paraId="14410F6C" w14:textId="77777777" w:rsidR="00A71B3A" w:rsidRPr="00F27422" w:rsidRDefault="00A71B3A" w:rsidP="00122B70">
      <w:pPr>
        <w:bidi/>
        <w:rPr>
          <w:b/>
          <w:bCs/>
          <w:sz w:val="32"/>
          <w:szCs w:val="32"/>
          <w:rtl/>
        </w:rPr>
      </w:pPr>
      <w:r w:rsidRPr="00F27422">
        <w:rPr>
          <w:sz w:val="32"/>
          <w:szCs w:val="32"/>
          <w:rtl/>
        </w:rPr>
        <w:lastRenderedPageBreak/>
        <w:t xml:space="preserve">نعم، يحتمل أنْ يكون مقصود الإمام (عليه السلام) في قوله: </w:t>
      </w:r>
      <w:r w:rsidRPr="00F27422">
        <w:rPr>
          <w:b/>
          <w:bCs/>
          <w:sz w:val="32"/>
          <w:szCs w:val="32"/>
          <w:rtl/>
        </w:rPr>
        <w:t>(إذا جازت تسع سنين)</w:t>
      </w:r>
      <w:r w:rsidRPr="00F27422">
        <w:rPr>
          <w:sz w:val="32"/>
          <w:szCs w:val="32"/>
          <w:rtl/>
        </w:rPr>
        <w:t xml:space="preserve"> أي: إذا لم تجز تسع سنين، وبه يكون الجوابُ منسجماً مع السؤال وما ذكر في الفقرة الثانية، لكن متن الرواية لا يساعد عليه.</w:t>
      </w:r>
    </w:p>
    <w:p w14:paraId="1EF96778" w14:textId="77777777" w:rsidR="00A71B3A" w:rsidRPr="00F27422" w:rsidRDefault="00A71B3A" w:rsidP="00122B70">
      <w:pPr>
        <w:bidi/>
        <w:rPr>
          <w:b/>
          <w:bCs/>
          <w:sz w:val="32"/>
          <w:szCs w:val="32"/>
          <w:rtl/>
        </w:rPr>
      </w:pPr>
      <w:r w:rsidRPr="00F27422">
        <w:rPr>
          <w:b/>
          <w:bCs/>
          <w:sz w:val="32"/>
          <w:szCs w:val="32"/>
          <w:rtl/>
        </w:rPr>
        <w:t>الروايةُ الثانية:</w:t>
      </w:r>
      <w:r w:rsidRPr="00F27422">
        <w:rPr>
          <w:sz w:val="32"/>
          <w:szCs w:val="32"/>
          <w:rtl/>
        </w:rPr>
        <w:t xml:space="preserve"> صحيحة محمّد بن مسلم، كما في الوسائل: </w:t>
      </w:r>
      <w:r w:rsidRPr="00F27422">
        <w:rPr>
          <w:b/>
          <w:bCs/>
          <w:sz w:val="32"/>
          <w:szCs w:val="32"/>
          <w:rtl/>
        </w:rPr>
        <w:t>(وعنه، عن الحسن بن محبوب، عن العلاء، عن محمّد بن مسلم قال: سألت أبا جعفر (عليه السلام) عن الصبي يزوج الصبية، قال: إن كان أبواهما اللذان زوجاهما فنعم جائز، ولكن لهما الخيار إذا أدركا فإن رضيا بعد ذلك فإن المهر على الأب، قلت له: فهل يجوز طلاق الأب على ابنه في صغره؟ قال: لا).</w:t>
      </w:r>
      <w:r w:rsidRPr="00F27422">
        <w:rPr>
          <w:sz w:val="32"/>
          <w:szCs w:val="32"/>
          <w:rtl/>
        </w:rPr>
        <w:t xml:space="preserve"> [وسائل الشيعة، الحر العاملي، تحقيق مؤسسة أهل البيت (عليهم السلام) لإحياء التراث، ج20، كتاب النكاح، أبواب عقد النكاح وأولياء العقد، الباب 6 باب ثبوت الولاية للأب والجد للأب خاصة مع وجود الأب لا غيرهما على البنت غير البالغة الرشيدة وكذا الصبي، ح8]</w:t>
      </w:r>
      <w:r w:rsidRPr="00F27422">
        <w:rPr>
          <w:sz w:val="32"/>
          <w:szCs w:val="32"/>
        </w:rPr>
        <w:t>.</w:t>
      </w:r>
    </w:p>
    <w:p w14:paraId="61033A23" w14:textId="77777777" w:rsidR="00A71B3A" w:rsidRPr="00F27422" w:rsidRDefault="00A71B3A" w:rsidP="00122B70">
      <w:pPr>
        <w:bidi/>
        <w:rPr>
          <w:b/>
          <w:bCs/>
          <w:sz w:val="32"/>
          <w:szCs w:val="32"/>
          <w:rtl/>
        </w:rPr>
      </w:pPr>
      <w:r w:rsidRPr="00F27422">
        <w:rPr>
          <w:b/>
          <w:bCs/>
          <w:sz w:val="32"/>
          <w:szCs w:val="32"/>
          <w:rtl/>
        </w:rPr>
        <w:t xml:space="preserve">والرواية واضحة الدلالة: </w:t>
      </w:r>
      <w:r w:rsidRPr="00F27422">
        <w:rPr>
          <w:sz w:val="32"/>
          <w:szCs w:val="32"/>
          <w:rtl/>
        </w:rPr>
        <w:t>في أنّه لا يجوز على الصغير ولا على الصغيرة تزويج الوليّ، بل لهما الخيار إذا أدركا</w:t>
      </w:r>
      <w:r w:rsidRPr="00F27422">
        <w:rPr>
          <w:sz w:val="32"/>
          <w:szCs w:val="32"/>
        </w:rPr>
        <w:t>.</w:t>
      </w:r>
    </w:p>
    <w:p w14:paraId="53DA3EDC" w14:textId="77777777" w:rsidR="00A71B3A" w:rsidRPr="00F27422" w:rsidRDefault="00A71B3A" w:rsidP="00122B70">
      <w:pPr>
        <w:bidi/>
        <w:rPr>
          <w:b/>
          <w:bCs/>
          <w:sz w:val="32"/>
          <w:szCs w:val="32"/>
          <w:rtl/>
        </w:rPr>
      </w:pPr>
      <w:r w:rsidRPr="00F27422">
        <w:rPr>
          <w:sz w:val="32"/>
          <w:szCs w:val="32"/>
          <w:rtl/>
        </w:rPr>
        <w:t xml:space="preserve">ولذلك أفاد سيدنا الخوئي (قدس سره الشريف) في موسوعته المباركة في كتابه [المباني في شرح العروة الوثقى، كتاب النكاح، ج33، ص226] معلقاً على صحيحة محمّد بن مسلم بقوله: </w:t>
      </w:r>
      <w:r w:rsidRPr="00F27422">
        <w:rPr>
          <w:b/>
          <w:bCs/>
          <w:sz w:val="32"/>
          <w:szCs w:val="32"/>
          <w:rtl/>
        </w:rPr>
        <w:t xml:space="preserve">(وهي كما ترى واضحة </w:t>
      </w:r>
      <w:proofErr w:type="gramStart"/>
      <w:r w:rsidRPr="00F27422">
        <w:rPr>
          <w:b/>
          <w:bCs/>
          <w:sz w:val="32"/>
          <w:szCs w:val="32"/>
          <w:rtl/>
        </w:rPr>
        <w:t>الدلالة</w:t>
      </w:r>
      <w:proofErr w:type="gramEnd"/>
      <w:r w:rsidRPr="00F27422">
        <w:rPr>
          <w:b/>
          <w:bCs/>
          <w:sz w:val="32"/>
          <w:szCs w:val="32"/>
          <w:rtl/>
        </w:rPr>
        <w:t xml:space="preserve"> بل صريحة الدلالة في عدم لزوم العقد الصادر من الولي، وثبوت الخيار لهما بعد البلوغ، فإنّ حمل الخيار على الطّلاق - كما أفاده الشيخ (قدس سره)</w:t>
      </w:r>
      <w:r w:rsidRPr="00F27422">
        <w:rPr>
          <w:sz w:val="32"/>
          <w:szCs w:val="32"/>
          <w:rtl/>
        </w:rPr>
        <w:t xml:space="preserve"> [في: التهذيب، ج7، ص382] - </w:t>
      </w:r>
      <w:r w:rsidRPr="00F27422">
        <w:rPr>
          <w:b/>
          <w:bCs/>
          <w:sz w:val="32"/>
          <w:szCs w:val="32"/>
          <w:rtl/>
        </w:rPr>
        <w:t>بعيد غايته، ولا وجه للمصير له)</w:t>
      </w:r>
      <w:r w:rsidRPr="00F27422">
        <w:rPr>
          <w:b/>
          <w:bCs/>
          <w:sz w:val="32"/>
          <w:szCs w:val="32"/>
        </w:rPr>
        <w:t>.</w:t>
      </w:r>
    </w:p>
    <w:p w14:paraId="76AA5835" w14:textId="77777777" w:rsidR="00A71B3A" w:rsidRPr="00F27422" w:rsidRDefault="00A71B3A" w:rsidP="00122B70">
      <w:pPr>
        <w:bidi/>
        <w:rPr>
          <w:b/>
          <w:bCs/>
          <w:sz w:val="32"/>
          <w:szCs w:val="32"/>
          <w:rtl/>
        </w:rPr>
      </w:pPr>
      <w:r w:rsidRPr="00F27422">
        <w:rPr>
          <w:b/>
          <w:bCs/>
          <w:sz w:val="32"/>
          <w:szCs w:val="32"/>
          <w:rtl/>
        </w:rPr>
        <w:t>الروايةُ الثالثة:</w:t>
      </w:r>
      <w:r w:rsidRPr="00F27422">
        <w:rPr>
          <w:sz w:val="32"/>
          <w:szCs w:val="32"/>
          <w:rtl/>
        </w:rPr>
        <w:t xml:space="preserve"> معتبرة الفضل بن </w:t>
      </w:r>
      <w:proofErr w:type="gramStart"/>
      <w:r w:rsidRPr="00F27422">
        <w:rPr>
          <w:sz w:val="32"/>
          <w:szCs w:val="32"/>
          <w:rtl/>
        </w:rPr>
        <w:t>عبدالملك</w:t>
      </w:r>
      <w:proofErr w:type="gramEnd"/>
      <w:r w:rsidRPr="00F27422">
        <w:rPr>
          <w:sz w:val="32"/>
          <w:szCs w:val="32"/>
          <w:rtl/>
        </w:rPr>
        <w:t xml:space="preserve"> التي سبق ذكرها: </w:t>
      </w:r>
      <w:r w:rsidRPr="00F27422">
        <w:rPr>
          <w:b/>
          <w:bCs/>
          <w:sz w:val="32"/>
          <w:szCs w:val="32"/>
          <w:rtl/>
        </w:rPr>
        <w:t xml:space="preserve">(وعن محمّد بن يحيى، عن </w:t>
      </w:r>
      <w:proofErr w:type="gramStart"/>
      <w:r w:rsidRPr="00F27422">
        <w:rPr>
          <w:b/>
          <w:bCs/>
          <w:sz w:val="32"/>
          <w:szCs w:val="32"/>
          <w:rtl/>
        </w:rPr>
        <w:t>عبدالله</w:t>
      </w:r>
      <w:proofErr w:type="gramEnd"/>
      <w:r w:rsidRPr="00F27422">
        <w:rPr>
          <w:b/>
          <w:bCs/>
          <w:sz w:val="32"/>
          <w:szCs w:val="32"/>
          <w:rtl/>
        </w:rPr>
        <w:t xml:space="preserve"> بن محمّد، عن علي بن الحكم، عن أبان بن عثمان، عن الفضل بن </w:t>
      </w:r>
      <w:proofErr w:type="gramStart"/>
      <w:r w:rsidRPr="00F27422">
        <w:rPr>
          <w:b/>
          <w:bCs/>
          <w:sz w:val="32"/>
          <w:szCs w:val="32"/>
          <w:rtl/>
        </w:rPr>
        <w:t>عبدالملك</w:t>
      </w:r>
      <w:proofErr w:type="gramEnd"/>
      <w:r w:rsidRPr="00F27422">
        <w:rPr>
          <w:b/>
          <w:bCs/>
          <w:sz w:val="32"/>
          <w:szCs w:val="32"/>
          <w:rtl/>
        </w:rPr>
        <w:t xml:space="preserve">، عن أبي </w:t>
      </w:r>
      <w:proofErr w:type="gramStart"/>
      <w:r w:rsidRPr="00F27422">
        <w:rPr>
          <w:b/>
          <w:bCs/>
          <w:sz w:val="32"/>
          <w:szCs w:val="32"/>
          <w:rtl/>
        </w:rPr>
        <w:t>عبدالله</w:t>
      </w:r>
      <w:proofErr w:type="gramEnd"/>
      <w:r w:rsidRPr="00F27422">
        <w:rPr>
          <w:b/>
          <w:bCs/>
          <w:sz w:val="32"/>
          <w:szCs w:val="32"/>
          <w:rtl/>
        </w:rPr>
        <w:t xml:space="preserve"> (عليه السلام) - في حديث - قال: إذا زوّج الرجل ابنه فذاك إلى ابنه وإذا زوّج الابنة جاز)</w:t>
      </w:r>
      <w:r w:rsidRPr="00F27422">
        <w:rPr>
          <w:b/>
          <w:bCs/>
          <w:sz w:val="32"/>
          <w:szCs w:val="32"/>
        </w:rPr>
        <w:t>.</w:t>
      </w:r>
    </w:p>
    <w:p w14:paraId="0006E4BD" w14:textId="77777777" w:rsidR="00A71B3A" w:rsidRPr="00F27422" w:rsidRDefault="00A71B3A" w:rsidP="00122B70">
      <w:pPr>
        <w:bidi/>
        <w:rPr>
          <w:b/>
          <w:bCs/>
          <w:sz w:val="32"/>
          <w:szCs w:val="32"/>
          <w:rtl/>
        </w:rPr>
      </w:pPr>
      <w:r w:rsidRPr="00F27422">
        <w:rPr>
          <w:b/>
          <w:bCs/>
          <w:sz w:val="32"/>
          <w:szCs w:val="32"/>
          <w:rtl/>
        </w:rPr>
        <w:t>وظاهرها:</w:t>
      </w:r>
      <w:r w:rsidRPr="00F27422">
        <w:rPr>
          <w:sz w:val="32"/>
          <w:szCs w:val="32"/>
          <w:rtl/>
        </w:rPr>
        <w:t xml:space="preserve"> التفصيل بين الولد والبنت، فإنّ تزويج الوليّ للولد لا ينفذ عليه بعد </w:t>
      </w:r>
      <w:proofErr w:type="gramStart"/>
      <w:r w:rsidRPr="00F27422">
        <w:rPr>
          <w:sz w:val="32"/>
          <w:szCs w:val="32"/>
          <w:rtl/>
        </w:rPr>
        <w:t>البلوغ</w:t>
      </w:r>
      <w:proofErr w:type="gramEnd"/>
      <w:r w:rsidRPr="00F27422">
        <w:rPr>
          <w:sz w:val="32"/>
          <w:szCs w:val="32"/>
          <w:rtl/>
        </w:rPr>
        <w:t xml:space="preserve"> بل له الخيار، ولكن تزويج الوليّ للبنت نافذٌ عليها وإنْ بلغتْ</w:t>
      </w:r>
      <w:r w:rsidRPr="00F27422">
        <w:rPr>
          <w:sz w:val="32"/>
          <w:szCs w:val="32"/>
        </w:rPr>
        <w:t>.</w:t>
      </w:r>
    </w:p>
    <w:p w14:paraId="2381E753" w14:textId="77777777" w:rsidR="00A71B3A" w:rsidRPr="00F27422" w:rsidRDefault="00A71B3A" w:rsidP="00122B70">
      <w:pPr>
        <w:bidi/>
        <w:rPr>
          <w:b/>
          <w:bCs/>
          <w:sz w:val="32"/>
          <w:szCs w:val="32"/>
          <w:rtl/>
        </w:rPr>
      </w:pPr>
      <w:r w:rsidRPr="00F27422">
        <w:rPr>
          <w:sz w:val="32"/>
          <w:szCs w:val="32"/>
          <w:rtl/>
        </w:rPr>
        <w:t xml:space="preserve">وأعقب سيدنا الخوئي (قدس سره الشريف) [في نفس المصدر السابق، ص226] تعليقه على صحيحة محمّد بن مسلم بقوله: </w:t>
      </w:r>
      <w:r w:rsidRPr="00F27422">
        <w:rPr>
          <w:b/>
          <w:bCs/>
          <w:sz w:val="32"/>
          <w:szCs w:val="32"/>
          <w:rtl/>
        </w:rPr>
        <w:t xml:space="preserve">(ومن هنا فهي صالحة لتقييد ما تقدّم من النصوص، الدالة </w:t>
      </w:r>
      <w:r w:rsidRPr="00F27422">
        <w:rPr>
          <w:b/>
          <w:bCs/>
          <w:sz w:val="32"/>
          <w:szCs w:val="32"/>
          <w:rtl/>
        </w:rPr>
        <w:lastRenderedPageBreak/>
        <w:t>على نفوذ عقد الأب أو الجد بغير هذا الفرض، أعني ما لو كان كل من الزوجين صغيراً. إلّا أنه لم يعلم قائل به من فقهائنا).</w:t>
      </w:r>
    </w:p>
    <w:p w14:paraId="49942BA0" w14:textId="77777777" w:rsidR="00A71B3A" w:rsidRPr="00F27422" w:rsidRDefault="00A71B3A" w:rsidP="00122B70">
      <w:pPr>
        <w:bidi/>
        <w:rPr>
          <w:sz w:val="32"/>
          <w:szCs w:val="32"/>
          <w:rtl/>
        </w:rPr>
      </w:pPr>
      <w:r w:rsidRPr="00F27422">
        <w:rPr>
          <w:sz w:val="32"/>
          <w:szCs w:val="32"/>
          <w:rtl/>
        </w:rPr>
        <w:t>ولكن تخصيص الخيار بعد البلوغ بفرض كون الزوجين صغيرين بعيدٌ عرفاً؛ فإنّ ظاهر الذيل أنّ للمرء عند كبره الخيار في تزويجه من دون فرقٍ في ذلك بين كون الطرف الآخر للعقد صغيراً أم كبيراً، وإنْ كان مورد الرواية تزويج الصغيرين.</w:t>
      </w:r>
    </w:p>
    <w:p w14:paraId="545A83BF" w14:textId="77777777" w:rsidR="00A71B3A" w:rsidRPr="00F27422" w:rsidRDefault="00A71B3A" w:rsidP="00122B70">
      <w:pPr>
        <w:bidi/>
        <w:rPr>
          <w:b/>
          <w:bCs/>
          <w:sz w:val="32"/>
          <w:szCs w:val="32"/>
          <w:rtl/>
        </w:rPr>
      </w:pPr>
      <w:r w:rsidRPr="00F27422">
        <w:rPr>
          <w:sz w:val="32"/>
          <w:szCs w:val="32"/>
          <w:rtl/>
        </w:rPr>
        <w:t xml:space="preserve">ثمّ أفاد (قدس سره): </w:t>
      </w:r>
      <w:r w:rsidRPr="00F27422">
        <w:rPr>
          <w:b/>
          <w:bCs/>
          <w:sz w:val="32"/>
          <w:szCs w:val="32"/>
          <w:rtl/>
        </w:rPr>
        <w:t>(وعليه فإن تمّ إجماع على عدم ثبوت الخيار لها فهو، وبه يتعيّن رفع اليد عن هذه الصحيحة وردّ علمها إلى أهله، وإلّا فيتعين العمل بها، حيث قد عرفت مراراً أن إعراض المشهور عن الرواية المعتبرة لا يوجب وهنها وسقوطها عن الحجية</w:t>
      </w:r>
      <w:r w:rsidRPr="00F27422">
        <w:rPr>
          <w:b/>
          <w:bCs/>
          <w:sz w:val="32"/>
          <w:szCs w:val="32"/>
        </w:rPr>
        <w:t>.</w:t>
      </w:r>
    </w:p>
    <w:p w14:paraId="2F7D226F" w14:textId="77777777" w:rsidR="00A71B3A" w:rsidRPr="00F27422" w:rsidRDefault="00A71B3A" w:rsidP="00122B70">
      <w:pPr>
        <w:bidi/>
        <w:rPr>
          <w:b/>
          <w:bCs/>
          <w:sz w:val="32"/>
          <w:szCs w:val="32"/>
          <w:rtl/>
        </w:rPr>
      </w:pPr>
      <w:r w:rsidRPr="00F27422">
        <w:rPr>
          <w:b/>
          <w:bCs/>
          <w:sz w:val="32"/>
          <w:szCs w:val="32"/>
          <w:rtl/>
        </w:rPr>
        <w:t>وحينئذ فلا أقلّ من الالتزام بالاحتياط بالطلاق عند عدم رضاها بالعقد بعد البلوغ).</w:t>
      </w:r>
    </w:p>
    <w:p w14:paraId="6E9ED350" w14:textId="77777777" w:rsidR="00A71B3A" w:rsidRPr="00F27422" w:rsidRDefault="00A71B3A" w:rsidP="00122B70">
      <w:pPr>
        <w:bidi/>
        <w:rPr>
          <w:b/>
          <w:bCs/>
          <w:sz w:val="32"/>
          <w:szCs w:val="32"/>
          <w:rtl/>
        </w:rPr>
      </w:pPr>
      <w:r w:rsidRPr="00F27422">
        <w:rPr>
          <w:b/>
          <w:bCs/>
          <w:sz w:val="32"/>
          <w:szCs w:val="32"/>
          <w:rtl/>
        </w:rPr>
        <w:t>لكن:</w:t>
      </w:r>
      <w:r w:rsidRPr="00F27422">
        <w:rPr>
          <w:sz w:val="32"/>
          <w:szCs w:val="32"/>
          <w:rtl/>
        </w:rPr>
        <w:t xml:space="preserve"> الإعراض بحسب المبنى المختار قادحٌ في الوثوق النوعي الذي هو موضوع الحجية.</w:t>
      </w:r>
    </w:p>
    <w:p w14:paraId="5E1D9FD8" w14:textId="77777777" w:rsidR="00A71B3A" w:rsidRPr="00F27422" w:rsidRDefault="00A71B3A" w:rsidP="00122B70">
      <w:pPr>
        <w:bidi/>
        <w:rPr>
          <w:sz w:val="32"/>
          <w:szCs w:val="32"/>
          <w:rtl/>
        </w:rPr>
      </w:pPr>
    </w:p>
    <w:p w14:paraId="3189FE02" w14:textId="77777777" w:rsidR="00A71B3A" w:rsidRPr="00F27422" w:rsidRDefault="00A71B3A" w:rsidP="00122B70">
      <w:pPr>
        <w:bidi/>
        <w:rPr>
          <w:b/>
          <w:bCs/>
          <w:sz w:val="32"/>
          <w:szCs w:val="32"/>
          <w:rtl/>
        </w:rPr>
      </w:pPr>
      <w:r w:rsidRPr="00F27422">
        <w:rPr>
          <w:b/>
          <w:bCs/>
          <w:sz w:val="32"/>
          <w:szCs w:val="32"/>
          <w:rtl/>
        </w:rPr>
        <w:t>والحمد لله رب العالمين</w:t>
      </w:r>
    </w:p>
    <w:p w14:paraId="4CBB2DBF" w14:textId="77777777" w:rsidR="002D209B" w:rsidRPr="00F27422" w:rsidRDefault="002D209B" w:rsidP="00122B70">
      <w:pPr>
        <w:bidi/>
        <w:rPr>
          <w:sz w:val="32"/>
          <w:szCs w:val="32"/>
          <w:rtl/>
        </w:rPr>
      </w:pPr>
    </w:p>
    <w:p w14:paraId="6135CA8A" w14:textId="77777777" w:rsidR="00A71B3A" w:rsidRPr="00F27422" w:rsidRDefault="00A71B3A" w:rsidP="00122B70">
      <w:pPr>
        <w:bidi/>
        <w:rPr>
          <w:sz w:val="32"/>
          <w:szCs w:val="32"/>
          <w:rtl/>
        </w:rPr>
      </w:pPr>
    </w:p>
    <w:p w14:paraId="30070449" w14:textId="75000419" w:rsidR="00A71B3A" w:rsidRPr="00F27422" w:rsidRDefault="00A71B3A" w:rsidP="00122B70">
      <w:pPr>
        <w:pStyle w:val="Heading3"/>
        <w:bidi/>
        <w:rPr>
          <w:sz w:val="32"/>
          <w:szCs w:val="32"/>
          <w:rtl/>
        </w:rPr>
      </w:pPr>
      <w:r w:rsidRPr="00F27422">
        <w:rPr>
          <w:rFonts w:hint="cs"/>
          <w:sz w:val="32"/>
          <w:szCs w:val="32"/>
          <w:rtl/>
        </w:rPr>
        <w:t>047</w:t>
      </w:r>
    </w:p>
    <w:p w14:paraId="17912F97"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37DB7904"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79BE5B07" w14:textId="77777777" w:rsidR="00C36591" w:rsidRPr="00F27422" w:rsidRDefault="00C36591" w:rsidP="00122B70">
      <w:pPr>
        <w:pStyle w:val="a"/>
        <w:bidi/>
        <w:spacing w:line="216" w:lineRule="auto"/>
        <w:jc w:val="left"/>
        <w:rPr>
          <w:rFonts w:ascii="mylotus" w:hAnsi="mylotus"/>
          <w:sz w:val="32"/>
          <w:rtl/>
          <w:lang w:bidi="ar-BH"/>
        </w:rPr>
      </w:pPr>
      <w:r w:rsidRPr="00F27422">
        <w:rPr>
          <w:rFonts w:ascii="mylotus" w:hAnsi="mylotus"/>
          <w:b/>
          <w:bCs/>
          <w:sz w:val="32"/>
          <w:rtl/>
        </w:rPr>
        <w:t>واللعن الدائم على أعدائهم أجمعين إلى قيام يوم الدين</w:t>
      </w:r>
    </w:p>
    <w:p w14:paraId="16B70DD0" w14:textId="77777777" w:rsidR="00C36591" w:rsidRPr="00F27422" w:rsidRDefault="00C36591" w:rsidP="00122B70">
      <w:pPr>
        <w:pStyle w:val="a"/>
        <w:bidi/>
        <w:spacing w:line="216" w:lineRule="auto"/>
        <w:jc w:val="left"/>
        <w:rPr>
          <w:rFonts w:ascii="mylotus" w:hAnsi="mylotus"/>
          <w:sz w:val="32"/>
          <w:rtl/>
          <w:lang w:bidi="ar-BH"/>
        </w:rPr>
      </w:pPr>
    </w:p>
    <w:p w14:paraId="07999831"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hint="cs"/>
          <w:b/>
          <w:bCs/>
          <w:sz w:val="32"/>
          <w:rtl/>
        </w:rPr>
        <w:t>[</w:t>
      </w:r>
      <w:r w:rsidRPr="00F27422">
        <w:rPr>
          <w:rFonts w:ascii="mylotus" w:hAnsi="mylotus"/>
          <w:b/>
          <w:bCs/>
          <w:sz w:val="32"/>
          <w:rtl/>
        </w:rPr>
        <w:t>تحقيق مسألة تزويج الصغير أو الصغيرة ونفوذ التزويج بعد بلوغهما</w:t>
      </w:r>
      <w:r w:rsidRPr="00F27422">
        <w:rPr>
          <w:rFonts w:ascii="mylotus" w:hAnsi="mylotus" w:hint="cs"/>
          <w:b/>
          <w:bCs/>
          <w:sz w:val="32"/>
          <w:rtl/>
        </w:rPr>
        <w:t>].</w:t>
      </w:r>
    </w:p>
    <w:p w14:paraId="2A70490C"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sz w:val="32"/>
          <w:rtl/>
        </w:rPr>
        <w:t>قد يتمسك لنفوذ العقد على الصغيرين عند بلوغهما تارةً بالكتاب، وأُخرى بالروايات الشريفة</w:t>
      </w:r>
      <w:r w:rsidRPr="00F27422">
        <w:rPr>
          <w:rFonts w:ascii="mylotus" w:hAnsi="mylotus"/>
          <w:sz w:val="32"/>
        </w:rPr>
        <w:t>.</w:t>
      </w:r>
    </w:p>
    <w:p w14:paraId="30AF2282"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b/>
          <w:bCs/>
          <w:sz w:val="32"/>
          <w:rtl/>
        </w:rPr>
        <w:t>وهنا مقامان</w:t>
      </w:r>
      <w:r w:rsidRPr="00F27422">
        <w:rPr>
          <w:rFonts w:ascii="mylotus" w:hAnsi="mylotus"/>
          <w:b/>
          <w:bCs/>
          <w:sz w:val="32"/>
        </w:rPr>
        <w:t>:</w:t>
      </w:r>
    </w:p>
    <w:p w14:paraId="49CBA433"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b/>
          <w:bCs/>
          <w:sz w:val="32"/>
          <w:rtl/>
        </w:rPr>
        <w:t>المقامُ الأوّل:</w:t>
      </w:r>
      <w:r w:rsidRPr="00F27422">
        <w:rPr>
          <w:rFonts w:ascii="mylotus" w:hAnsi="mylotus"/>
          <w:sz w:val="32"/>
          <w:rtl/>
        </w:rPr>
        <w:t xml:space="preserve"> </w:t>
      </w:r>
      <w:r w:rsidRPr="00F27422">
        <w:rPr>
          <w:rFonts w:ascii="mylotus" w:hAnsi="mylotus"/>
          <w:b/>
          <w:bCs/>
          <w:sz w:val="32"/>
          <w:rtl/>
        </w:rPr>
        <w:t>التمسك بالكتاب</w:t>
      </w:r>
      <w:r w:rsidRPr="00F27422">
        <w:rPr>
          <w:rFonts w:ascii="mylotus" w:hAnsi="mylotus"/>
          <w:b/>
          <w:bCs/>
          <w:sz w:val="32"/>
        </w:rPr>
        <w:t>.</w:t>
      </w:r>
    </w:p>
    <w:p w14:paraId="2467239A" w14:textId="77777777" w:rsidR="00C36591" w:rsidRPr="00F27422" w:rsidRDefault="00C36591" w:rsidP="00122B70">
      <w:pPr>
        <w:pStyle w:val="a"/>
        <w:tabs>
          <w:tab w:val="left" w:pos="4142"/>
        </w:tabs>
        <w:bidi/>
        <w:spacing w:line="216" w:lineRule="auto"/>
        <w:jc w:val="left"/>
        <w:rPr>
          <w:rFonts w:ascii="mylotus" w:hAnsi="mylotus"/>
          <w:b/>
          <w:bCs/>
          <w:sz w:val="32"/>
          <w:rtl/>
        </w:rPr>
      </w:pPr>
      <w:r w:rsidRPr="00F27422">
        <w:rPr>
          <w:rFonts w:ascii="mylotus" w:hAnsi="mylotus"/>
          <w:b/>
          <w:bCs/>
          <w:sz w:val="32"/>
          <w:rtl/>
        </w:rPr>
        <w:t>وفي المقام عدّةُ آيات</w:t>
      </w:r>
      <w:r w:rsidRPr="00F27422">
        <w:rPr>
          <w:rFonts w:ascii="mylotus" w:hAnsi="mylotus"/>
          <w:b/>
          <w:bCs/>
          <w:sz w:val="32"/>
        </w:rPr>
        <w:t>:</w:t>
      </w:r>
      <w:r w:rsidRPr="00F27422">
        <w:rPr>
          <w:rFonts w:ascii="mylotus" w:hAnsi="mylotus"/>
          <w:b/>
          <w:bCs/>
          <w:sz w:val="32"/>
        </w:rPr>
        <w:tab/>
      </w:r>
    </w:p>
    <w:p w14:paraId="23CD9414"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الآية الأُولى: (يَا أَيُّهَا الَّذِينَ آمَنُوا أَوْفُوا بِالْعُقُودِ)</w:t>
      </w:r>
      <w:r w:rsidRPr="00F27422">
        <w:rPr>
          <w:rFonts w:ascii="mylotus" w:hAnsi="mylotus"/>
          <w:sz w:val="32"/>
          <w:rtl/>
        </w:rPr>
        <w:t xml:space="preserve"> [سورة المائدة، 1]</w:t>
      </w:r>
      <w:r w:rsidRPr="00F27422">
        <w:rPr>
          <w:rFonts w:ascii="mylotus" w:hAnsi="mylotus"/>
          <w:sz w:val="32"/>
        </w:rPr>
        <w:t>.</w:t>
      </w:r>
    </w:p>
    <w:p w14:paraId="20B68189"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 xml:space="preserve">الآية الثانية: (وَإِن طَلَّقْتُمُوهُنَّ مِن قَبْلِ أَن تَمَسُّوهُنَّ وَقَدْ فَرَضْتُمْ لَهُنَّ فَرِيضَةً فَنِصْفُ مَا فَرَضْتُمْ إِلَّا أَن </w:t>
      </w:r>
      <w:proofErr w:type="gramStart"/>
      <w:r w:rsidRPr="00F27422">
        <w:rPr>
          <w:rFonts w:ascii="mylotus" w:hAnsi="mylotus"/>
          <w:b/>
          <w:bCs/>
          <w:sz w:val="32"/>
          <w:rtl/>
        </w:rPr>
        <w:t>يَعْفُونَ</w:t>
      </w:r>
      <w:proofErr w:type="gramEnd"/>
      <w:r w:rsidRPr="00F27422">
        <w:rPr>
          <w:rFonts w:ascii="mylotus" w:hAnsi="mylotus"/>
          <w:b/>
          <w:bCs/>
          <w:sz w:val="32"/>
          <w:rtl/>
        </w:rPr>
        <w:t xml:space="preserve"> أَوْ يَعْفُوَ الَّذِي بِيَدِهِ عُقْدَةُ النِّكَاحِ)</w:t>
      </w:r>
      <w:r w:rsidRPr="00F27422">
        <w:rPr>
          <w:rFonts w:ascii="mylotus" w:hAnsi="mylotus"/>
          <w:sz w:val="32"/>
          <w:rtl/>
        </w:rPr>
        <w:t xml:space="preserve"> [سورة البقرة، 237]</w:t>
      </w:r>
      <w:r w:rsidRPr="00F27422">
        <w:rPr>
          <w:rFonts w:ascii="mylotus" w:hAnsi="mylotus"/>
          <w:sz w:val="32"/>
        </w:rPr>
        <w:t>.</w:t>
      </w:r>
    </w:p>
    <w:p w14:paraId="14941613"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lastRenderedPageBreak/>
        <w:t>الآية الثالثة: (وَاللَّائِي يَئِسْنَ مِنَ الْمَحِيضِ مِن نِّسَائِكُمْ إِنِ ارْتَبْتُمْ فَعِدَّتُهُنَّ ثَلَاثَةُ أَشْهُرٍ وَاللَّائِي لَمْ يَحِضْنَ وَأُولَاتُ الْأَحْمَالِ أَجَلُهُنَّ أَن يَضَعْنَ حَمْلَهُنَّ وَمَن يَتَّقِ اللَّهَ يَجْعَل لَّهُ مِنْ أَمْرِهِ يُسْرًا)</w:t>
      </w:r>
      <w:r w:rsidRPr="00F27422">
        <w:rPr>
          <w:rFonts w:ascii="mylotus" w:hAnsi="mylotus"/>
          <w:sz w:val="32"/>
          <w:rtl/>
        </w:rPr>
        <w:t xml:space="preserve"> [سورة الطلاق، 4]</w:t>
      </w:r>
      <w:r w:rsidRPr="00F27422">
        <w:rPr>
          <w:rFonts w:ascii="mylotus" w:hAnsi="mylotus"/>
          <w:sz w:val="32"/>
        </w:rPr>
        <w:t>.</w:t>
      </w:r>
    </w:p>
    <w:p w14:paraId="101F9E50"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أمّا بالنسبة للآية الأُولى:</w:t>
      </w:r>
      <w:r w:rsidRPr="00F27422">
        <w:rPr>
          <w:rFonts w:ascii="mylotus" w:hAnsi="mylotus"/>
          <w:sz w:val="32"/>
          <w:rtl/>
        </w:rPr>
        <w:t xml:space="preserve"> وهي قوله تعالى: </w:t>
      </w:r>
      <w:r w:rsidRPr="00F27422">
        <w:rPr>
          <w:rFonts w:ascii="mylotus" w:hAnsi="mylotus"/>
          <w:b/>
          <w:bCs/>
          <w:sz w:val="32"/>
          <w:rtl/>
        </w:rPr>
        <w:t>(يَا أَيُّهَا الَّذِينَ آمَنُوا أَوْفُوا بِالْعُقُودِ)</w:t>
      </w:r>
      <w:r w:rsidRPr="00F27422">
        <w:rPr>
          <w:rFonts w:ascii="mylotus" w:hAnsi="mylotus"/>
          <w:sz w:val="32"/>
          <w:rtl/>
        </w:rPr>
        <w:t xml:space="preserve"> [سورة المائدة، 1]</w:t>
      </w:r>
      <w:r w:rsidRPr="00F27422">
        <w:rPr>
          <w:rFonts w:ascii="mylotus" w:hAnsi="mylotus"/>
          <w:sz w:val="32"/>
        </w:rPr>
        <w:t>.</w:t>
      </w:r>
    </w:p>
    <w:p w14:paraId="28091A83"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فقد يدعى:</w:t>
      </w:r>
      <w:r w:rsidRPr="00F27422">
        <w:rPr>
          <w:rFonts w:ascii="mylotus" w:hAnsi="mylotus"/>
          <w:sz w:val="32"/>
          <w:rtl/>
        </w:rPr>
        <w:t xml:space="preserve"> التمسك بإطلاقها في حقّ الصغير بعد بلوغه</w:t>
      </w:r>
      <w:r w:rsidRPr="00F27422">
        <w:rPr>
          <w:rFonts w:ascii="mylotus" w:hAnsi="mylotus"/>
          <w:sz w:val="32"/>
        </w:rPr>
        <w:t>.</w:t>
      </w:r>
    </w:p>
    <w:p w14:paraId="004AD6F4"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بأنْ يُقال:</w:t>
      </w:r>
      <w:r w:rsidRPr="00F27422">
        <w:rPr>
          <w:rFonts w:ascii="mylotus" w:hAnsi="mylotus"/>
          <w:sz w:val="32"/>
          <w:rtl/>
        </w:rPr>
        <w:t xml:space="preserve"> إنّ الصادر مِن وليّه في حقّه عقدٌ، ومقتضى إطلاق </w:t>
      </w:r>
      <w:r w:rsidRPr="00F27422">
        <w:rPr>
          <w:rFonts w:ascii="mylotus" w:hAnsi="mylotus"/>
          <w:b/>
          <w:bCs/>
          <w:sz w:val="32"/>
          <w:rtl/>
        </w:rPr>
        <w:t>(أَوْفُوا بِالْعُقُودِ)</w:t>
      </w:r>
      <w:r w:rsidRPr="00F27422">
        <w:rPr>
          <w:rFonts w:ascii="mylotus" w:hAnsi="mylotus"/>
          <w:sz w:val="32"/>
          <w:rtl/>
        </w:rPr>
        <w:t xml:space="preserve"> أنّ العقد لازمٌ في حقه بعد بلوغه</w:t>
      </w:r>
      <w:r w:rsidRPr="00F27422">
        <w:rPr>
          <w:rFonts w:ascii="mylotus" w:hAnsi="mylotus"/>
          <w:sz w:val="32"/>
        </w:rPr>
        <w:t>.</w:t>
      </w:r>
    </w:p>
    <w:p w14:paraId="52250D6E"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b/>
          <w:bCs/>
          <w:sz w:val="32"/>
          <w:rtl/>
        </w:rPr>
        <w:t>ويلاحظ على ذلك:</w:t>
      </w:r>
      <w:r w:rsidRPr="00F27422">
        <w:rPr>
          <w:rFonts w:ascii="mylotus" w:hAnsi="mylotus"/>
          <w:sz w:val="32"/>
          <w:rtl/>
        </w:rPr>
        <w:t xml:space="preserve"> أنّ مفاد </w:t>
      </w:r>
      <w:r w:rsidRPr="00F27422">
        <w:rPr>
          <w:rFonts w:ascii="mylotus" w:hAnsi="mylotus"/>
          <w:b/>
          <w:bCs/>
          <w:sz w:val="32"/>
          <w:rtl/>
        </w:rPr>
        <w:t>(أَوْفُوا بِالْعُقُودِ)</w:t>
      </w:r>
      <w:r w:rsidRPr="00F27422">
        <w:rPr>
          <w:rFonts w:ascii="mylotus" w:hAnsi="mylotus"/>
          <w:sz w:val="32"/>
          <w:rtl/>
        </w:rPr>
        <w:t xml:space="preserve"> إمّا الحكم التكليفي، أي: الأمر بترتيب آثار العقد عليه، وهو ما يعبر عنه في كلماتهم بـ "الوفاء العملي"، أو الأمر بعدم فسخه وهو ما يعبر عنه بـ "الوفاء الحقيقي العقد</w:t>
      </w:r>
      <w:r w:rsidRPr="00F27422">
        <w:rPr>
          <w:rFonts w:ascii="mylotus" w:hAnsi="mylotus" w:hint="cs"/>
          <w:sz w:val="32"/>
          <w:rtl/>
        </w:rPr>
        <w:t>ي</w:t>
      </w:r>
      <w:r w:rsidRPr="00F27422">
        <w:rPr>
          <w:rFonts w:ascii="mylotus" w:hAnsi="mylotus" w:cs="Cambria" w:hint="cs"/>
          <w:sz w:val="32"/>
          <w:rtl/>
        </w:rPr>
        <w:t>"</w:t>
      </w:r>
      <w:r w:rsidRPr="00F27422">
        <w:rPr>
          <w:rFonts w:ascii="mylotus" w:hAnsi="mylotus" w:hint="cs"/>
          <w:sz w:val="32"/>
          <w:rtl/>
        </w:rPr>
        <w:t>.</w:t>
      </w:r>
    </w:p>
    <w:p w14:paraId="7281170A"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sz w:val="32"/>
          <w:rtl/>
        </w:rPr>
        <w:t xml:space="preserve">ومِن الواضح أنّه لو كان مفاد </w:t>
      </w:r>
      <w:r w:rsidRPr="00F27422">
        <w:rPr>
          <w:rFonts w:ascii="mylotus" w:hAnsi="mylotus"/>
          <w:b/>
          <w:bCs/>
          <w:sz w:val="32"/>
          <w:rtl/>
        </w:rPr>
        <w:t>(أَوْفُوا بِالْعُقُودِ)</w:t>
      </w:r>
      <w:r w:rsidRPr="00F27422">
        <w:rPr>
          <w:rFonts w:ascii="mylotus" w:hAnsi="mylotus"/>
          <w:sz w:val="32"/>
          <w:rtl/>
        </w:rPr>
        <w:t xml:space="preserve"> </w:t>
      </w:r>
      <w:r w:rsidRPr="00F27422">
        <w:rPr>
          <w:rFonts w:ascii="mylotus" w:hAnsi="mylotus"/>
          <w:b/>
          <w:bCs/>
          <w:sz w:val="32"/>
          <w:rtl/>
        </w:rPr>
        <w:t>الحكم التكليفي</w:t>
      </w:r>
      <w:r w:rsidRPr="00F27422">
        <w:rPr>
          <w:rFonts w:ascii="mylotus" w:hAnsi="mylotus"/>
          <w:sz w:val="32"/>
          <w:rtl/>
        </w:rPr>
        <w:t xml:space="preserve"> فليس بشاملٍ للصغير بعد كبره؛ فإنّ ظاهر الآية في قوله عزّ وجلّ: </w:t>
      </w:r>
      <w:r w:rsidRPr="00F27422">
        <w:rPr>
          <w:rFonts w:ascii="mylotus" w:hAnsi="mylotus"/>
          <w:b/>
          <w:bCs/>
          <w:sz w:val="32"/>
          <w:rtl/>
        </w:rPr>
        <w:t xml:space="preserve">(أَوْفُوا بِالْعُقُودِ) </w:t>
      </w:r>
      <w:r w:rsidRPr="00F27422">
        <w:rPr>
          <w:rFonts w:ascii="mylotus" w:hAnsi="mylotus"/>
          <w:sz w:val="32"/>
          <w:rtl/>
        </w:rPr>
        <w:t>أي: أوفوا بعقودكم، والصغيرُ مَن عُقِدَ له لا مَن عَقَدَ، فهو ليس مِن المتعاقدين بالنظر العرفي كي يكون مشمولا</w:t>
      </w:r>
      <w:r w:rsidRPr="00F27422">
        <w:rPr>
          <w:rFonts w:ascii="mylotus" w:hAnsi="mylotus" w:hint="cs"/>
          <w:sz w:val="32"/>
          <w:rtl/>
        </w:rPr>
        <w:t>ً</w:t>
      </w:r>
      <w:r w:rsidRPr="00F27422">
        <w:rPr>
          <w:rFonts w:ascii="mylotus" w:hAnsi="mylotus"/>
          <w:sz w:val="32"/>
          <w:rtl/>
        </w:rPr>
        <w:t xml:space="preserve"> لقوله تعالى: </w:t>
      </w:r>
      <w:r w:rsidRPr="00F27422">
        <w:rPr>
          <w:rFonts w:ascii="mylotus" w:hAnsi="mylotus"/>
          <w:b/>
          <w:bCs/>
          <w:sz w:val="32"/>
          <w:rtl/>
        </w:rPr>
        <w:t>(أَوْفُوا بِالْعُقُودِ)؛</w:t>
      </w:r>
      <w:r w:rsidRPr="00F27422">
        <w:rPr>
          <w:rFonts w:ascii="mylotus" w:hAnsi="mylotus"/>
          <w:sz w:val="32"/>
          <w:rtl/>
        </w:rPr>
        <w:t xml:space="preserve"> لكونها خطاباً في حقّ المتعاقدين</w:t>
      </w:r>
      <w:r w:rsidRPr="00F27422">
        <w:rPr>
          <w:rFonts w:ascii="mylotus" w:hAnsi="mylotus"/>
          <w:sz w:val="32"/>
        </w:rPr>
        <w:t>.</w:t>
      </w:r>
    </w:p>
    <w:p w14:paraId="5D5DE04E"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sz w:val="32"/>
          <w:rtl/>
        </w:rPr>
        <w:t xml:space="preserve">وإنْ كان مفادها </w:t>
      </w:r>
      <w:r w:rsidRPr="00F27422">
        <w:rPr>
          <w:rFonts w:ascii="mylotus" w:hAnsi="mylotus"/>
          <w:b/>
          <w:bCs/>
          <w:sz w:val="32"/>
          <w:rtl/>
        </w:rPr>
        <w:t>الحكم الوضعي</w:t>
      </w:r>
      <w:r w:rsidRPr="00F27422">
        <w:rPr>
          <w:rFonts w:ascii="mylotus" w:hAnsi="mylotus"/>
          <w:sz w:val="32"/>
          <w:rtl/>
        </w:rPr>
        <w:t>، أي: الإرشاد إلى نفوذ العقد أو لزومه، بمعنى: أنّ الأمر بالوفاء بحسب النظر العرفي كنايةٌ عن نفوذ العقد ولزومه، لا أنّها في مقام الخطاب والأمر، فمِن الواضح حينئذٍ أنّ سياقها الإرشاد إلى نفوذ العقد بعد المفروغية عن ثبوت الولاية على إبرامه</w:t>
      </w:r>
      <w:r w:rsidRPr="00F27422">
        <w:rPr>
          <w:rFonts w:ascii="mylotus" w:hAnsi="mylotus"/>
          <w:sz w:val="32"/>
        </w:rPr>
        <w:t>.</w:t>
      </w:r>
    </w:p>
    <w:p w14:paraId="7572EBF8"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sz w:val="32"/>
          <w:rtl/>
        </w:rPr>
        <w:t xml:space="preserve">فلو شك في أصل الولاية، وأنّه هل للولي الولاية على أنْ يُبرم عقداً لازماً على الصغير بعد كبره أم لا؟ فلا يصحّ التمسك حينئذٍ بـ </w:t>
      </w:r>
      <w:r w:rsidRPr="00F27422">
        <w:rPr>
          <w:rFonts w:ascii="mylotus" w:hAnsi="mylotus"/>
          <w:b/>
          <w:bCs/>
          <w:sz w:val="32"/>
          <w:rtl/>
        </w:rPr>
        <w:t>(أَوْفُوا بِالْعُقُودِ)</w:t>
      </w:r>
      <w:r w:rsidRPr="00F27422">
        <w:rPr>
          <w:rFonts w:ascii="mylotus" w:hAnsi="mylotus"/>
          <w:sz w:val="32"/>
          <w:rtl/>
        </w:rPr>
        <w:t>، نظير ما إذا شك في ولاية المتولي للوقف على بيعه عند ترتب مصلحةٍ كماليةٍ عليه م</w:t>
      </w:r>
      <w:r w:rsidRPr="00F27422">
        <w:rPr>
          <w:rFonts w:ascii="mylotus" w:hAnsi="mylotus" w:hint="cs"/>
          <w:sz w:val="32"/>
          <w:rtl/>
        </w:rPr>
        <w:t>ِ</w:t>
      </w:r>
      <w:r w:rsidRPr="00F27422">
        <w:rPr>
          <w:rFonts w:ascii="mylotus" w:hAnsi="mylotus"/>
          <w:sz w:val="32"/>
          <w:rtl/>
        </w:rPr>
        <w:t>ن دون ضرورة، لكون الشك في أصل الولاية</w:t>
      </w:r>
      <w:r w:rsidRPr="00F27422">
        <w:rPr>
          <w:rFonts w:ascii="mylotus" w:hAnsi="mylotus"/>
          <w:sz w:val="32"/>
        </w:rPr>
        <w:t>.</w:t>
      </w:r>
    </w:p>
    <w:p w14:paraId="54D38EEA"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b/>
          <w:bCs/>
          <w:sz w:val="32"/>
          <w:rtl/>
        </w:rPr>
        <w:t>وبعبارةٍ أُخرى:</w:t>
      </w:r>
      <w:r w:rsidRPr="00F27422">
        <w:rPr>
          <w:rFonts w:ascii="mylotus" w:hAnsi="mylotus"/>
          <w:sz w:val="32"/>
          <w:rtl/>
        </w:rPr>
        <w:t xml:space="preserve"> المنصرف مِن </w:t>
      </w:r>
      <w:r w:rsidRPr="00F27422">
        <w:rPr>
          <w:rFonts w:ascii="mylotus" w:hAnsi="mylotus"/>
          <w:b/>
          <w:bCs/>
          <w:sz w:val="32"/>
          <w:rtl/>
        </w:rPr>
        <w:t>(أَوْفُوا بِالْعُقُودِ)</w:t>
      </w:r>
      <w:r w:rsidRPr="00F27422">
        <w:rPr>
          <w:rFonts w:ascii="mylotus" w:hAnsi="mylotus"/>
          <w:sz w:val="32"/>
          <w:rtl/>
        </w:rPr>
        <w:t xml:space="preserve"> بقرينة كونه في مقام الإمضاء للعقود العقلائية العقدُ الصادرُ عن التراضي ممن يملك الاستقلال بالتصرّف، ولذا لا يتمسك بـ </w:t>
      </w:r>
      <w:r w:rsidRPr="00F27422">
        <w:rPr>
          <w:rFonts w:ascii="mylotus" w:hAnsi="mylotus"/>
          <w:b/>
          <w:bCs/>
          <w:sz w:val="32"/>
          <w:rtl/>
        </w:rPr>
        <w:t>(أَوْفُوا بِالْعُقُودِ)</w:t>
      </w:r>
      <w:r w:rsidRPr="00F27422">
        <w:rPr>
          <w:rFonts w:ascii="mylotus" w:hAnsi="mylotus"/>
          <w:sz w:val="32"/>
          <w:rtl/>
        </w:rPr>
        <w:t xml:space="preserve"> عند الشك في أهلية المتعاقدين، وإنّما يتمسك بها عند الشك في شرائط العوضين أو شرائط نفس المعاملة، وأمّا عند الشك في شرائط المتعاقدين فلا</w:t>
      </w:r>
      <w:r w:rsidRPr="00F27422">
        <w:rPr>
          <w:rFonts w:ascii="mylotus" w:hAnsi="mylotus"/>
          <w:sz w:val="32"/>
        </w:rPr>
        <w:t>.</w:t>
      </w:r>
    </w:p>
    <w:p w14:paraId="531E90BB"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sz w:val="32"/>
          <w:rtl/>
        </w:rPr>
        <w:t xml:space="preserve">فلذلك لا معنى للتمسك بـ </w:t>
      </w:r>
      <w:r w:rsidRPr="00F27422">
        <w:rPr>
          <w:rFonts w:ascii="mylotus" w:hAnsi="mylotus"/>
          <w:b/>
          <w:bCs/>
          <w:sz w:val="32"/>
          <w:rtl/>
        </w:rPr>
        <w:t xml:space="preserve">(أَوْفُوا بِالْعُقُودِ) </w:t>
      </w:r>
      <w:r w:rsidRPr="00F27422">
        <w:rPr>
          <w:rFonts w:ascii="mylotus" w:hAnsi="mylotus"/>
          <w:sz w:val="32"/>
          <w:rtl/>
        </w:rPr>
        <w:t>في المقام مع الشك في أصل ولاية الأب أو الجد على إبرامِ عقدٍ ملزمٍ للصغير عند كبره</w:t>
      </w:r>
      <w:r w:rsidRPr="00F27422">
        <w:rPr>
          <w:rFonts w:ascii="mylotus" w:hAnsi="mylotus"/>
          <w:sz w:val="32"/>
        </w:rPr>
        <w:t>.</w:t>
      </w:r>
    </w:p>
    <w:p w14:paraId="56A33B16"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b/>
          <w:bCs/>
          <w:sz w:val="32"/>
          <w:rtl/>
        </w:rPr>
        <w:t>وأما بالنسبة للآية الثانية:</w:t>
      </w:r>
      <w:r w:rsidRPr="00F27422">
        <w:rPr>
          <w:rFonts w:ascii="mylotus" w:hAnsi="mylotus"/>
          <w:sz w:val="32"/>
          <w:rtl/>
        </w:rPr>
        <w:t xml:space="preserve"> وهي قوله عزّ وجلّ: </w:t>
      </w:r>
      <w:r w:rsidRPr="00F27422">
        <w:rPr>
          <w:rFonts w:ascii="mylotus" w:hAnsi="mylotus"/>
          <w:b/>
          <w:bCs/>
          <w:sz w:val="32"/>
          <w:rtl/>
        </w:rPr>
        <w:t xml:space="preserve">(وَإِن طَلَّقْتُمُوهُنَّ مِن قَبْلِ أَن تَمَسُّوهُنَّ وَقَدْ فَرَضْتُمْ لَهُنَّ فَرِيضَةً فَنِصْفُ مَا فَرَضْتُمْ إِلَّا أَن </w:t>
      </w:r>
      <w:proofErr w:type="gramStart"/>
      <w:r w:rsidRPr="00F27422">
        <w:rPr>
          <w:rFonts w:ascii="mylotus" w:hAnsi="mylotus"/>
          <w:b/>
          <w:bCs/>
          <w:sz w:val="32"/>
          <w:rtl/>
        </w:rPr>
        <w:t>يَعْفُونَ</w:t>
      </w:r>
      <w:proofErr w:type="gramEnd"/>
      <w:r w:rsidRPr="00F27422">
        <w:rPr>
          <w:rFonts w:ascii="mylotus" w:hAnsi="mylotus"/>
          <w:b/>
          <w:bCs/>
          <w:sz w:val="32"/>
          <w:rtl/>
        </w:rPr>
        <w:t xml:space="preserve"> أَوْ يَعْفُوَ الَّذِي بِيَدِهِ عُقْدَةُ النِّكَاحِ)</w:t>
      </w:r>
      <w:r w:rsidRPr="00F27422">
        <w:rPr>
          <w:rFonts w:ascii="mylotus" w:hAnsi="mylotus"/>
          <w:sz w:val="32"/>
          <w:rtl/>
        </w:rPr>
        <w:t xml:space="preserve"> [سورة البقرة، 237]</w:t>
      </w:r>
      <w:r w:rsidRPr="00F27422">
        <w:rPr>
          <w:rFonts w:ascii="mylotus" w:hAnsi="mylotus"/>
          <w:sz w:val="32"/>
        </w:rPr>
        <w:t>.</w:t>
      </w:r>
    </w:p>
    <w:p w14:paraId="4F1E9D13" w14:textId="77777777" w:rsidR="00C36591" w:rsidRPr="00F27422" w:rsidRDefault="00C36591" w:rsidP="00122B70">
      <w:pPr>
        <w:pStyle w:val="a"/>
        <w:bidi/>
        <w:spacing w:line="216" w:lineRule="auto"/>
        <w:jc w:val="left"/>
        <w:rPr>
          <w:rFonts w:ascii="mylotus" w:hAnsi="mylotus" w:cs="Times New Roman"/>
          <w:b/>
          <w:bCs/>
          <w:sz w:val="32"/>
          <w:rtl/>
        </w:rPr>
      </w:pPr>
      <w:r w:rsidRPr="00F27422">
        <w:rPr>
          <w:rFonts w:ascii="mylotus" w:hAnsi="mylotus"/>
          <w:b/>
          <w:bCs/>
          <w:sz w:val="32"/>
          <w:rtl/>
        </w:rPr>
        <w:t>بتقريب:</w:t>
      </w:r>
      <w:r w:rsidRPr="00F27422">
        <w:rPr>
          <w:rFonts w:ascii="mylotus" w:hAnsi="mylotus"/>
          <w:sz w:val="32"/>
          <w:rtl/>
        </w:rPr>
        <w:t xml:space="preserve"> أنّ ظاهر الآية الشريفة لزوم أن يُدفع للمطلقة بعد فرض المهر وقبل الدخول بها نِصْفُ المهر المسمى، إلّا على تقدير صدور العفو إمّا من المطلقة أو مِن وليها وهو معنى قوله تعالى: </w:t>
      </w:r>
      <w:r w:rsidRPr="00F27422">
        <w:rPr>
          <w:rFonts w:ascii="mylotus" w:hAnsi="mylotus"/>
          <w:b/>
          <w:bCs/>
          <w:sz w:val="32"/>
          <w:rtl/>
        </w:rPr>
        <w:t>(أَوْ يَعْفُوَ الَّذِي بِيَدِهِ عُقْدَةُ النِّكَاحِ)</w:t>
      </w:r>
      <w:r w:rsidRPr="00F27422">
        <w:rPr>
          <w:rFonts w:ascii="mylotus" w:hAnsi="mylotus"/>
          <w:b/>
          <w:bCs/>
          <w:sz w:val="32"/>
        </w:rPr>
        <w:t>.</w:t>
      </w:r>
    </w:p>
    <w:p w14:paraId="647CB2D3"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sz w:val="32"/>
          <w:rtl/>
        </w:rPr>
        <w:t xml:space="preserve">وقد ورد في صحيحة عبد الله بن سنان، كما في الوسائل: </w:t>
      </w:r>
      <w:r w:rsidRPr="00F27422">
        <w:rPr>
          <w:rFonts w:ascii="mylotus" w:hAnsi="mylotus"/>
          <w:b/>
          <w:bCs/>
          <w:sz w:val="32"/>
          <w:rtl/>
        </w:rPr>
        <w:t xml:space="preserve">(وبإسناده عن الحسين بن سعيد، عن النضر بن سويد، عن </w:t>
      </w:r>
      <w:proofErr w:type="gramStart"/>
      <w:r w:rsidRPr="00F27422">
        <w:rPr>
          <w:rFonts w:ascii="mylotus" w:hAnsi="mylotus"/>
          <w:b/>
          <w:bCs/>
          <w:sz w:val="32"/>
          <w:rtl/>
        </w:rPr>
        <w:t>عبدالله</w:t>
      </w:r>
      <w:proofErr w:type="gramEnd"/>
      <w:r w:rsidRPr="00F27422">
        <w:rPr>
          <w:rFonts w:ascii="mylotus" w:hAnsi="mylotus"/>
          <w:b/>
          <w:bCs/>
          <w:sz w:val="32"/>
          <w:rtl/>
        </w:rPr>
        <w:t xml:space="preserve"> بن سنان، 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قال: الذي بيده عقدة النكاح هو وليّ أمرها).</w:t>
      </w:r>
      <w:r w:rsidRPr="00F27422">
        <w:rPr>
          <w:rFonts w:ascii="mylotus" w:hAnsi="mylotus"/>
          <w:sz w:val="32"/>
          <w:rtl/>
        </w:rPr>
        <w:t xml:space="preserve"> [وسائل الشيعة، الحر العاملي، تحقيق مؤسسة أهل البيت </w:t>
      </w:r>
      <w:r w:rsidRPr="00F27422">
        <w:rPr>
          <w:rFonts w:ascii="mylotus" w:hAnsi="mylotus"/>
          <w:sz w:val="32"/>
          <w:rtl/>
        </w:rPr>
        <w:lastRenderedPageBreak/>
        <w:t>(عليهم السلام) لإحياء التراث، ج20، كتاب النكاح، أبواب عقد النكاح وأولياء العقد، الباب 8 باب أنه لا ولاية للوصي في عقد الصغيرة، وأنه يستحب للمرأة أن توكل أخاها الأكبر، ح2]</w:t>
      </w:r>
      <w:r w:rsidRPr="00F27422">
        <w:rPr>
          <w:rFonts w:ascii="mylotus" w:hAnsi="mylotus"/>
          <w:sz w:val="32"/>
        </w:rPr>
        <w:t>.</w:t>
      </w:r>
    </w:p>
    <w:p w14:paraId="1EE52916"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sz w:val="32"/>
          <w:rtl/>
        </w:rPr>
        <w:t>والقدر المتيقن مِن وليّ النكاح أو مَن بيده عقدة النكاح هو الأب أو الجد للأب</w:t>
      </w:r>
      <w:r w:rsidRPr="00F27422">
        <w:rPr>
          <w:rFonts w:ascii="mylotus" w:hAnsi="mylotus"/>
          <w:sz w:val="32"/>
        </w:rPr>
        <w:t>.</w:t>
      </w:r>
    </w:p>
    <w:p w14:paraId="58660210"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b/>
          <w:bCs/>
          <w:sz w:val="32"/>
          <w:rtl/>
        </w:rPr>
        <w:t>فيقال:</w:t>
      </w:r>
      <w:r w:rsidRPr="00F27422">
        <w:rPr>
          <w:rFonts w:ascii="mylotus" w:hAnsi="mylotus"/>
          <w:sz w:val="32"/>
          <w:rtl/>
        </w:rPr>
        <w:t xml:space="preserve"> إنّ مقتضى ذلك أنّ مَن بيده العفو عن المهر فبيده إبرام العقد في حقّ الصغير وإنْ كبر</w:t>
      </w:r>
      <w:r w:rsidRPr="00F27422">
        <w:rPr>
          <w:rFonts w:ascii="mylotus" w:hAnsi="mylotus"/>
          <w:sz w:val="32"/>
        </w:rPr>
        <w:t>.</w:t>
      </w:r>
    </w:p>
    <w:p w14:paraId="5C6A0E2E"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b/>
          <w:bCs/>
          <w:sz w:val="32"/>
          <w:rtl/>
        </w:rPr>
        <w:t>ويلاحظ عليه:</w:t>
      </w:r>
      <w:r w:rsidRPr="00F27422">
        <w:rPr>
          <w:rFonts w:ascii="mylotus" w:hAnsi="mylotus"/>
          <w:sz w:val="32"/>
          <w:rtl/>
        </w:rPr>
        <w:t xml:space="preserve"> أنّ الشك في المقام في الصُغرى؛ إذ لا إشكال في أنّ مَن بيده عقدة النكاح فله العفو عن نِصْف المهر المسمى عند الطلاق، وإنّما الكلام في ثبوت الولاية للأب أو الجد على إبرام</w:t>
      </w:r>
      <w:r w:rsidRPr="00F27422">
        <w:rPr>
          <w:rFonts w:ascii="mylotus" w:hAnsi="mylotus" w:hint="cs"/>
          <w:sz w:val="32"/>
          <w:rtl/>
        </w:rPr>
        <w:t>ِ</w:t>
      </w:r>
      <w:r w:rsidRPr="00F27422">
        <w:rPr>
          <w:rFonts w:ascii="mylotus" w:hAnsi="mylotus"/>
          <w:sz w:val="32"/>
          <w:rtl/>
        </w:rPr>
        <w:t xml:space="preserve"> عقد النكاح في حقّ الصغير بنحوٍ يُلزم الصغير بعد بلوغه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إبرام</w:t>
      </w:r>
      <w:r w:rsidRPr="00F27422">
        <w:rPr>
          <w:rFonts w:ascii="mylotus" w:hAnsi="mylotus"/>
          <w:sz w:val="32"/>
          <w:rtl/>
        </w:rPr>
        <w:t xml:space="preserve"> </w:t>
      </w:r>
      <w:r w:rsidRPr="00F27422">
        <w:rPr>
          <w:rFonts w:ascii="mylotus" w:hAnsi="mylotus" w:hint="cs"/>
          <w:sz w:val="32"/>
          <w:rtl/>
        </w:rPr>
        <w:t>أصل</w:t>
      </w:r>
      <w:r w:rsidRPr="00F27422">
        <w:rPr>
          <w:rFonts w:ascii="mylotus" w:hAnsi="mylotus"/>
          <w:sz w:val="32"/>
          <w:rtl/>
        </w:rPr>
        <w:t xml:space="preserve"> </w:t>
      </w:r>
      <w:r w:rsidRPr="00F27422">
        <w:rPr>
          <w:rFonts w:ascii="mylotus" w:hAnsi="mylotus" w:hint="cs"/>
          <w:sz w:val="32"/>
          <w:rtl/>
        </w:rPr>
        <w:t>العقد -.</w:t>
      </w:r>
    </w:p>
    <w:p w14:paraId="6BAEE9E7"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sz w:val="32"/>
          <w:rtl/>
        </w:rPr>
        <w:t>والتمسك بالآية الشريفة حينئذٍ تمسك بالدليل في الشبهة المصداقية</w:t>
      </w:r>
      <w:r w:rsidRPr="00F27422">
        <w:rPr>
          <w:rFonts w:ascii="mylotus" w:hAnsi="mylotus"/>
          <w:sz w:val="32"/>
        </w:rPr>
        <w:t>.</w:t>
      </w:r>
    </w:p>
    <w:p w14:paraId="3050320A"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b/>
          <w:bCs/>
          <w:sz w:val="32"/>
          <w:rtl/>
        </w:rPr>
        <w:t>وأمّا بالنسبة للآية الثالثة:</w:t>
      </w:r>
      <w:r w:rsidRPr="00F27422">
        <w:rPr>
          <w:rFonts w:ascii="mylotus" w:hAnsi="mylotus"/>
          <w:sz w:val="32"/>
          <w:rtl/>
        </w:rPr>
        <w:t xml:space="preserve"> وهي قوله عزّ وجلّ: </w:t>
      </w:r>
      <w:r w:rsidRPr="00F27422">
        <w:rPr>
          <w:rFonts w:ascii="mylotus" w:hAnsi="mylotus"/>
          <w:b/>
          <w:bCs/>
          <w:sz w:val="32"/>
          <w:rtl/>
        </w:rPr>
        <w:t>(وَاللَّائِي يَئِسْنَ مِنَ الْمَحِيضِ مِن نِّسَائِكُمْ إِنِ ارْتَبْتُمْ فَعِدَّتُهُنَّ ثَلَاثَةُ أَشْهُرٍ وَاللَّائِي لَمْ يَحِضْنَ وَأُولَاتُ الْأَحْمَالِ أَجَلُهُنَّ أَن يَضَعْنَ حَمْلَهُنَّ وَمَن يَتَّقِ اللَّهَ يَجْعَل لَّهُ مِنْ أَمْرِهِ يُسْرًا)</w:t>
      </w:r>
      <w:r w:rsidRPr="00F27422">
        <w:rPr>
          <w:rFonts w:ascii="mylotus" w:hAnsi="mylotus"/>
          <w:sz w:val="32"/>
          <w:rtl/>
        </w:rPr>
        <w:t xml:space="preserve"> [سورة الطلاق، 4]</w:t>
      </w:r>
      <w:r w:rsidRPr="00F27422">
        <w:rPr>
          <w:rFonts w:ascii="mylotus" w:hAnsi="mylotus"/>
          <w:sz w:val="32"/>
        </w:rPr>
        <w:t>.</w:t>
      </w:r>
    </w:p>
    <w:p w14:paraId="0F9C6B80"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sz w:val="32"/>
          <w:rtl/>
        </w:rPr>
        <w:t>وقد تمسك بها جمهور العامّة في محلّ الكلام</w:t>
      </w:r>
      <w:r w:rsidRPr="00F27422">
        <w:rPr>
          <w:rFonts w:ascii="mylotus" w:hAnsi="mylotus"/>
          <w:sz w:val="32"/>
        </w:rPr>
        <w:t>.</w:t>
      </w:r>
    </w:p>
    <w:p w14:paraId="7ED4B402"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b/>
          <w:bCs/>
          <w:sz w:val="32"/>
          <w:rtl/>
        </w:rPr>
        <w:t>بتقريب:</w:t>
      </w:r>
      <w:r w:rsidRPr="00F27422">
        <w:rPr>
          <w:rFonts w:ascii="mylotus" w:hAnsi="mylotus"/>
          <w:sz w:val="32"/>
          <w:rtl/>
        </w:rPr>
        <w:t xml:space="preserve"> أنّ ظاهر عطف الجملة الثانية وهي قوله تعالى: </w:t>
      </w:r>
      <w:r w:rsidRPr="00F27422">
        <w:rPr>
          <w:rFonts w:ascii="mylotus" w:hAnsi="mylotus"/>
          <w:b/>
          <w:bCs/>
          <w:sz w:val="32"/>
          <w:rtl/>
        </w:rPr>
        <w:t>(وَاللَّائِي لَمْ يَحِضْنَ)</w:t>
      </w:r>
      <w:r w:rsidRPr="00F27422">
        <w:rPr>
          <w:rFonts w:ascii="mylotus" w:hAnsi="mylotus"/>
          <w:sz w:val="32"/>
          <w:rtl/>
        </w:rPr>
        <w:t xml:space="preserve"> على الجملة الأُولى وهي قوله تعالى: </w:t>
      </w:r>
      <w:r w:rsidRPr="00F27422">
        <w:rPr>
          <w:rFonts w:ascii="mylotus" w:hAnsi="mylotus"/>
          <w:b/>
          <w:bCs/>
          <w:sz w:val="32"/>
          <w:rtl/>
        </w:rPr>
        <w:t>(وَاللَّائِي يَئِسْنَ مِنَ الْمَحِيضِ مِن نِّسَائِكُمْ إِنِ ارْتَبْتُمْ فَعِدَّتُهُنَّ ثَلَاثَةُ أَشْهُرٍ)</w:t>
      </w:r>
      <w:r w:rsidRPr="00F27422">
        <w:rPr>
          <w:rFonts w:ascii="mylotus" w:hAnsi="mylotus"/>
          <w:sz w:val="32"/>
          <w:rtl/>
        </w:rPr>
        <w:t xml:space="preserve"> اشتراكُ الثانية مع الأُولى في كون العدَّة ثلاثة أشهر، وحيث أنّ مَن لا تحيض مطلق يشملُ مَن لا تحيض لمرضٍ أو</w:t>
      </w:r>
      <w:r w:rsidRPr="00F27422">
        <w:rPr>
          <w:rFonts w:ascii="mylotus" w:hAnsi="mylotus" w:hint="cs"/>
          <w:sz w:val="32"/>
          <w:rtl/>
        </w:rPr>
        <w:t xml:space="preserve"> </w:t>
      </w:r>
      <w:r w:rsidRPr="00F27422">
        <w:rPr>
          <w:rFonts w:ascii="mylotus" w:hAnsi="mylotus"/>
          <w:sz w:val="32"/>
          <w:rtl/>
        </w:rPr>
        <w:t>تجاوز سن الحيض ومَن لا تحيض لصغرٍ، فيشمل الصغيرة قبل البلوغ؛ لصدق أنّها ممن لا تحيض، فمقتضى الآية الشريفة أنّ عدَّةَ المطلقة المدخول بها ممن لا تحيض لصغرها ثلاثة أشهر كعدّةِ اليائس</w:t>
      </w:r>
      <w:r w:rsidRPr="00F27422">
        <w:rPr>
          <w:rFonts w:ascii="mylotus" w:hAnsi="mylotus"/>
          <w:sz w:val="32"/>
        </w:rPr>
        <w:t>.</w:t>
      </w:r>
    </w:p>
    <w:p w14:paraId="410ABEDE"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sz w:val="32"/>
          <w:rtl/>
        </w:rPr>
        <w:t>وم</w:t>
      </w:r>
      <w:r w:rsidRPr="00F27422">
        <w:rPr>
          <w:rFonts w:ascii="mylotus" w:hAnsi="mylotus" w:hint="cs"/>
          <w:sz w:val="32"/>
          <w:rtl/>
        </w:rPr>
        <w:t>ِ</w:t>
      </w:r>
      <w:r w:rsidRPr="00F27422">
        <w:rPr>
          <w:rFonts w:ascii="mylotus" w:hAnsi="mylotus"/>
          <w:sz w:val="32"/>
          <w:rtl/>
        </w:rPr>
        <w:t>ن الواضح أنّ ثبوت العدَّة فرعُ كون النكاح صحيحاً؛ إذ لا معنى لثبوت العدَّة مِن طلاقٍ أو فسخٍ ما لم يكن النكاح صحيحاً، فالآيةُ الشريفة بالمدلول الالتزامي العرفي ترشد إلى ثبوت ولاية الأب أو الجد على إبرامِ النكاح للصغيرة إذ لا مورد للنكاح الصحيح إلّا هذا الفرض وهو النكاح الصادر مِن الأب أو الجد للأب حال الصغر</w:t>
      </w:r>
      <w:r w:rsidRPr="00F27422">
        <w:rPr>
          <w:rFonts w:ascii="mylotus" w:hAnsi="mylotus"/>
          <w:sz w:val="32"/>
        </w:rPr>
        <w:t>.</w:t>
      </w:r>
    </w:p>
    <w:p w14:paraId="54491427" w14:textId="77777777" w:rsidR="00C36591" w:rsidRPr="00F27422" w:rsidRDefault="00C36591" w:rsidP="00122B70">
      <w:pPr>
        <w:pStyle w:val="a"/>
        <w:bidi/>
        <w:spacing w:line="216" w:lineRule="auto"/>
        <w:jc w:val="left"/>
        <w:rPr>
          <w:rFonts w:ascii="mylotus" w:hAnsi="mylotus" w:cs="Times New Roman"/>
          <w:sz w:val="32"/>
          <w:rtl/>
        </w:rPr>
      </w:pPr>
      <w:r w:rsidRPr="00F27422">
        <w:rPr>
          <w:rFonts w:ascii="mylotus" w:hAnsi="mylotus"/>
          <w:sz w:val="32"/>
          <w:rtl/>
        </w:rPr>
        <w:t xml:space="preserve">هذا بناء على تفسير العامّة للآية الشريفة، وقد وافقهم في الاستدلال السيد المرتضى (قدس سره) في كتابه [الانتصار في </w:t>
      </w:r>
      <w:proofErr w:type="spellStart"/>
      <w:r w:rsidRPr="00F27422">
        <w:rPr>
          <w:rFonts w:ascii="mylotus" w:hAnsi="mylotus"/>
          <w:sz w:val="32"/>
          <w:rtl/>
        </w:rPr>
        <w:t>انفرادات</w:t>
      </w:r>
      <w:proofErr w:type="spellEnd"/>
      <w:r w:rsidRPr="00F27422">
        <w:rPr>
          <w:rFonts w:ascii="mylotus" w:hAnsi="mylotus"/>
          <w:sz w:val="32"/>
          <w:rtl/>
        </w:rPr>
        <w:t xml:space="preserve"> الإمامية، السيد الشريف المرتضى، مؤسسة النشر الإسلامي التابعة لجماعة المدرسين بقم المشرفة، مسألة [188] [عدة الآئسة والصغيرة]، ص334]</w:t>
      </w:r>
      <w:r w:rsidRPr="00F27422">
        <w:rPr>
          <w:rFonts w:ascii="mylotus" w:hAnsi="mylotus"/>
          <w:sz w:val="32"/>
        </w:rPr>
        <w:t>.</w:t>
      </w:r>
    </w:p>
    <w:p w14:paraId="1296FD47"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وكذا بناء على التفسير المشهور لدى الإمامية:</w:t>
      </w:r>
      <w:r w:rsidRPr="00F27422">
        <w:rPr>
          <w:rFonts w:ascii="mylotus" w:hAnsi="mylotus"/>
          <w:sz w:val="32"/>
          <w:rtl/>
        </w:rPr>
        <w:t xml:space="preserve"> م</w:t>
      </w:r>
      <w:r w:rsidRPr="00F27422">
        <w:rPr>
          <w:rFonts w:ascii="mylotus" w:hAnsi="mylotus" w:hint="cs"/>
          <w:sz w:val="32"/>
          <w:rtl/>
        </w:rPr>
        <w:t>ِ</w:t>
      </w:r>
      <w:r w:rsidRPr="00F27422">
        <w:rPr>
          <w:rFonts w:ascii="mylotus" w:hAnsi="mylotus"/>
          <w:sz w:val="32"/>
          <w:rtl/>
        </w:rPr>
        <w:t>ن أنّ الجملة الثانية وهي قوله تعالى:</w:t>
      </w:r>
      <w:r w:rsidRPr="00F27422">
        <w:rPr>
          <w:rFonts w:ascii="mylotus" w:hAnsi="mylotus"/>
          <w:b/>
          <w:bCs/>
          <w:sz w:val="32"/>
          <w:rtl/>
        </w:rPr>
        <w:t xml:space="preserve"> (وَاللَّائِي لَمْ يَحِضْنَ)</w:t>
      </w:r>
      <w:r w:rsidRPr="00F27422">
        <w:rPr>
          <w:rFonts w:ascii="mylotus" w:hAnsi="mylotus"/>
          <w:sz w:val="32"/>
          <w:rtl/>
        </w:rPr>
        <w:t xml:space="preserve"> في مقام بيان عدم العد</w:t>
      </w:r>
      <w:r w:rsidRPr="00F27422">
        <w:rPr>
          <w:rFonts w:ascii="mylotus" w:hAnsi="mylotus" w:hint="cs"/>
          <w:sz w:val="32"/>
          <w:rtl/>
        </w:rPr>
        <w:t>َّ</w:t>
      </w:r>
      <w:r w:rsidRPr="00F27422">
        <w:rPr>
          <w:rFonts w:ascii="mylotus" w:hAnsi="mylotus"/>
          <w:sz w:val="32"/>
          <w:rtl/>
        </w:rPr>
        <w:t>ة عليها</w:t>
      </w:r>
      <w:r w:rsidRPr="00F27422">
        <w:rPr>
          <w:rFonts w:ascii="mylotus" w:hAnsi="mylotus" w:hint="cs"/>
          <w:sz w:val="32"/>
          <w:rtl/>
        </w:rPr>
        <w:t>.</w:t>
      </w:r>
    </w:p>
    <w:p w14:paraId="457F4FDB"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وتوضيح ذلك:</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مفاد الجملة الأ</w:t>
      </w:r>
      <w:r w:rsidRPr="00F27422">
        <w:rPr>
          <w:rFonts w:ascii="mylotus" w:hAnsi="mylotus" w:hint="cs"/>
          <w:sz w:val="32"/>
          <w:rtl/>
        </w:rPr>
        <w:t>ُ</w:t>
      </w:r>
      <w:r w:rsidRPr="00F27422">
        <w:rPr>
          <w:rFonts w:ascii="mylotus" w:hAnsi="mylotus"/>
          <w:sz w:val="32"/>
          <w:rtl/>
        </w:rPr>
        <w:t>ولى أن</w:t>
      </w:r>
      <w:r w:rsidRPr="00F27422">
        <w:rPr>
          <w:rFonts w:ascii="mylotus" w:hAnsi="mylotus" w:hint="cs"/>
          <w:sz w:val="32"/>
          <w:rtl/>
        </w:rPr>
        <w:t>ّ</w:t>
      </w:r>
      <w:r w:rsidRPr="00F27422">
        <w:rPr>
          <w:rFonts w:ascii="mylotus" w:hAnsi="mylotus"/>
          <w:sz w:val="32"/>
          <w:rtl/>
        </w:rPr>
        <w:t xml:space="preserve"> التي انقطع عنها الحيض لا</w:t>
      </w:r>
      <w:r w:rsidRPr="00F27422">
        <w:rPr>
          <w:rFonts w:ascii="mylotus" w:hAnsi="mylotus" w:hint="cs"/>
          <w:sz w:val="32"/>
          <w:rtl/>
        </w:rPr>
        <w:t xml:space="preserve"> </w:t>
      </w:r>
      <w:r w:rsidRPr="00F27422">
        <w:rPr>
          <w:rFonts w:ascii="mylotus" w:hAnsi="mylotus"/>
          <w:sz w:val="32"/>
          <w:rtl/>
        </w:rPr>
        <w:t>عد</w:t>
      </w:r>
      <w:r w:rsidRPr="00F27422">
        <w:rPr>
          <w:rFonts w:ascii="mylotus" w:hAnsi="mylotus" w:hint="cs"/>
          <w:sz w:val="32"/>
          <w:rtl/>
        </w:rPr>
        <w:t>َّ</w:t>
      </w:r>
      <w:r w:rsidRPr="00F27422">
        <w:rPr>
          <w:rFonts w:ascii="mylotus" w:hAnsi="mylotus"/>
          <w:sz w:val="32"/>
          <w:rtl/>
        </w:rPr>
        <w:t>ة عليها بحسب التشريع الأولي</w:t>
      </w:r>
      <w:r w:rsidRPr="00F27422">
        <w:rPr>
          <w:rFonts w:ascii="mylotus" w:hAnsi="mylotus" w:hint="cs"/>
          <w:sz w:val="32"/>
          <w:rtl/>
        </w:rPr>
        <w:t>؛</w:t>
      </w:r>
      <w:r w:rsidRPr="00F27422">
        <w:rPr>
          <w:rFonts w:ascii="mylotus" w:hAnsi="mylotus"/>
          <w:sz w:val="32"/>
          <w:rtl/>
        </w:rPr>
        <w:t xml:space="preserve"> وإن</w:t>
      </w:r>
      <w:r w:rsidRPr="00F27422">
        <w:rPr>
          <w:rFonts w:ascii="mylotus" w:hAnsi="mylotus" w:hint="cs"/>
          <w:sz w:val="32"/>
          <w:rtl/>
        </w:rPr>
        <w:t>ّ</w:t>
      </w:r>
      <w:r w:rsidRPr="00F27422">
        <w:rPr>
          <w:rFonts w:ascii="mylotus" w:hAnsi="mylotus"/>
          <w:sz w:val="32"/>
          <w:rtl/>
        </w:rPr>
        <w:t>ما إذا حصل ارتياب وشك في تجدد الحيض لها فعليها حينئذ</w:t>
      </w:r>
      <w:r w:rsidRPr="00F27422">
        <w:rPr>
          <w:rFonts w:ascii="mylotus" w:hAnsi="mylotus" w:hint="cs"/>
          <w:sz w:val="32"/>
          <w:rtl/>
        </w:rPr>
        <w:t>ٍ</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تعتد ثلاثة أشهر لقطع الشك في الحمل، ومقتضى عطف الثانية على الأ</w:t>
      </w:r>
      <w:r w:rsidRPr="00F27422">
        <w:rPr>
          <w:rFonts w:ascii="mylotus" w:hAnsi="mylotus" w:hint="cs"/>
          <w:sz w:val="32"/>
          <w:rtl/>
        </w:rPr>
        <w:t>ُ</w:t>
      </w:r>
      <w:r w:rsidRPr="00F27422">
        <w:rPr>
          <w:rFonts w:ascii="mylotus" w:hAnsi="mylotus"/>
          <w:sz w:val="32"/>
          <w:rtl/>
        </w:rPr>
        <w:t>ولى أن</w:t>
      </w:r>
      <w:r w:rsidRPr="00F27422">
        <w:rPr>
          <w:rFonts w:ascii="mylotus" w:hAnsi="mylotus" w:hint="cs"/>
          <w:sz w:val="32"/>
          <w:rtl/>
        </w:rPr>
        <w:t>ّ</w:t>
      </w:r>
      <w:r w:rsidRPr="00F27422">
        <w:rPr>
          <w:rFonts w:ascii="mylotus" w:hAnsi="mylotus"/>
          <w:sz w:val="32"/>
          <w:rtl/>
        </w:rPr>
        <w:t>ها أيضا لا</w:t>
      </w:r>
      <w:r w:rsidRPr="00F27422">
        <w:rPr>
          <w:rFonts w:ascii="mylotus" w:hAnsi="mylotus" w:hint="cs"/>
          <w:sz w:val="32"/>
          <w:rtl/>
        </w:rPr>
        <w:t xml:space="preserve"> </w:t>
      </w:r>
      <w:r w:rsidRPr="00F27422">
        <w:rPr>
          <w:rFonts w:ascii="mylotus" w:hAnsi="mylotus"/>
          <w:sz w:val="32"/>
          <w:rtl/>
        </w:rPr>
        <w:t>عد</w:t>
      </w:r>
      <w:r w:rsidRPr="00F27422">
        <w:rPr>
          <w:rFonts w:ascii="mylotus" w:hAnsi="mylotus" w:hint="cs"/>
          <w:sz w:val="32"/>
          <w:rtl/>
        </w:rPr>
        <w:t>َّ</w:t>
      </w:r>
      <w:r w:rsidRPr="00F27422">
        <w:rPr>
          <w:rFonts w:ascii="mylotus" w:hAnsi="mylotus"/>
          <w:sz w:val="32"/>
          <w:rtl/>
        </w:rPr>
        <w:t>ة عليها</w:t>
      </w:r>
      <w:r w:rsidRPr="00F27422">
        <w:rPr>
          <w:rFonts w:ascii="mylotus" w:hAnsi="mylotus" w:hint="cs"/>
          <w:sz w:val="32"/>
          <w:rtl/>
        </w:rPr>
        <w:t>؛</w:t>
      </w:r>
      <w:r w:rsidRPr="00F27422">
        <w:rPr>
          <w:rFonts w:ascii="mylotus" w:hAnsi="mylotus"/>
          <w:sz w:val="32"/>
          <w:rtl/>
        </w:rPr>
        <w:t xml:space="preserve"> لأن</w:t>
      </w:r>
      <w:r w:rsidRPr="00F27422">
        <w:rPr>
          <w:rFonts w:ascii="mylotus" w:hAnsi="mylotus" w:hint="cs"/>
          <w:sz w:val="32"/>
          <w:rtl/>
        </w:rPr>
        <w:t>ّ</w:t>
      </w:r>
      <w:r w:rsidRPr="00F27422">
        <w:rPr>
          <w:rFonts w:ascii="mylotus" w:hAnsi="mylotus"/>
          <w:sz w:val="32"/>
          <w:rtl/>
        </w:rPr>
        <w:t>ها من الأساس لا</w:t>
      </w:r>
      <w:r w:rsidRPr="00F27422">
        <w:rPr>
          <w:rFonts w:ascii="mylotus" w:hAnsi="mylotus" w:hint="cs"/>
          <w:sz w:val="32"/>
          <w:rtl/>
        </w:rPr>
        <w:t xml:space="preserve"> </w:t>
      </w:r>
      <w:r w:rsidRPr="00F27422">
        <w:rPr>
          <w:rFonts w:ascii="mylotus" w:hAnsi="mylotus"/>
          <w:sz w:val="32"/>
          <w:rtl/>
        </w:rPr>
        <w:t>تحيض كي يحتمل فيها الحمل، وإنما حذف الخبر وهو بيان عدم العد</w:t>
      </w:r>
      <w:r w:rsidRPr="00F27422">
        <w:rPr>
          <w:rFonts w:ascii="mylotus" w:hAnsi="mylotus" w:hint="cs"/>
          <w:sz w:val="32"/>
          <w:rtl/>
        </w:rPr>
        <w:t>َّ</w:t>
      </w:r>
      <w:r w:rsidRPr="00F27422">
        <w:rPr>
          <w:rFonts w:ascii="mylotus" w:hAnsi="mylotus"/>
          <w:sz w:val="32"/>
          <w:rtl/>
        </w:rPr>
        <w:t>ة عليها لدلالة سياق الكلام عليه</w:t>
      </w:r>
      <w:r w:rsidRPr="00F27422">
        <w:rPr>
          <w:rFonts w:ascii="mylotus" w:hAnsi="mylotus" w:hint="cs"/>
          <w:sz w:val="32"/>
          <w:rtl/>
        </w:rPr>
        <w:t>.</w:t>
      </w:r>
    </w:p>
    <w:p w14:paraId="40274DD7"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sz w:val="32"/>
          <w:rtl/>
        </w:rPr>
        <w:t>وعلى كلا التفسيرين فإن</w:t>
      </w:r>
      <w:r w:rsidRPr="00F27422">
        <w:rPr>
          <w:rFonts w:ascii="mylotus" w:hAnsi="mylotus" w:hint="cs"/>
          <w:sz w:val="32"/>
          <w:rtl/>
        </w:rPr>
        <w:t>ّ</w:t>
      </w:r>
      <w:r w:rsidRPr="00F27422">
        <w:rPr>
          <w:rFonts w:ascii="mylotus" w:hAnsi="mylotus"/>
          <w:sz w:val="32"/>
          <w:rtl/>
        </w:rPr>
        <w:t xml:space="preserve"> المدلول ال</w:t>
      </w:r>
      <w:r w:rsidRPr="00F27422">
        <w:rPr>
          <w:rFonts w:ascii="mylotus" w:hAnsi="mylotus" w:hint="cs"/>
          <w:sz w:val="32"/>
          <w:rtl/>
        </w:rPr>
        <w:t>ا</w:t>
      </w:r>
      <w:r w:rsidRPr="00F27422">
        <w:rPr>
          <w:rFonts w:ascii="mylotus" w:hAnsi="mylotus"/>
          <w:sz w:val="32"/>
          <w:rtl/>
        </w:rPr>
        <w:t xml:space="preserve">لتزامي للآية </w:t>
      </w:r>
      <w:r w:rsidRPr="00F27422">
        <w:rPr>
          <w:rFonts w:ascii="mylotus" w:hAnsi="mylotus" w:hint="cs"/>
          <w:sz w:val="32"/>
          <w:rtl/>
        </w:rPr>
        <w:t xml:space="preserve">الشريفة </w:t>
      </w:r>
      <w:r w:rsidRPr="00F27422">
        <w:rPr>
          <w:rFonts w:ascii="mylotus" w:hAnsi="mylotus"/>
          <w:sz w:val="32"/>
          <w:rtl/>
        </w:rPr>
        <w:t>هو صح</w:t>
      </w:r>
      <w:r w:rsidRPr="00F27422">
        <w:rPr>
          <w:rFonts w:ascii="mylotus" w:hAnsi="mylotus" w:hint="cs"/>
          <w:sz w:val="32"/>
          <w:rtl/>
        </w:rPr>
        <w:t>ّ</w:t>
      </w:r>
      <w:r w:rsidRPr="00F27422">
        <w:rPr>
          <w:rFonts w:ascii="mylotus" w:hAnsi="mylotus"/>
          <w:sz w:val="32"/>
          <w:rtl/>
        </w:rPr>
        <w:t>ة النكاح</w:t>
      </w:r>
      <w:r w:rsidRPr="00F27422">
        <w:rPr>
          <w:rFonts w:ascii="mylotus" w:hAnsi="mylotus" w:hint="cs"/>
          <w:sz w:val="32"/>
          <w:rtl/>
        </w:rPr>
        <w:t>؛</w:t>
      </w:r>
      <w:r w:rsidRPr="00F27422">
        <w:rPr>
          <w:rFonts w:ascii="mylotus" w:hAnsi="mylotus"/>
          <w:sz w:val="32"/>
          <w:rtl/>
        </w:rPr>
        <w:t xml:space="preserve"> فإن</w:t>
      </w:r>
      <w:r w:rsidRPr="00F27422">
        <w:rPr>
          <w:rFonts w:ascii="mylotus" w:hAnsi="mylotus" w:hint="cs"/>
          <w:sz w:val="32"/>
          <w:rtl/>
        </w:rPr>
        <w:t>ّ</w:t>
      </w:r>
      <w:r w:rsidRPr="00F27422">
        <w:rPr>
          <w:rFonts w:ascii="mylotus" w:hAnsi="mylotus"/>
          <w:sz w:val="32"/>
          <w:rtl/>
        </w:rPr>
        <w:t xml:space="preserve"> النكاح الذي يكون موردا</w:t>
      </w:r>
      <w:r w:rsidRPr="00F27422">
        <w:rPr>
          <w:rFonts w:ascii="mylotus" w:hAnsi="mylotus" w:hint="cs"/>
          <w:sz w:val="32"/>
          <w:rtl/>
        </w:rPr>
        <w:t>ً</w:t>
      </w:r>
      <w:r w:rsidRPr="00F27422">
        <w:rPr>
          <w:rFonts w:ascii="mylotus" w:hAnsi="mylotus"/>
          <w:sz w:val="32"/>
          <w:rtl/>
        </w:rPr>
        <w:t xml:space="preserve"> للعد</w:t>
      </w:r>
      <w:r w:rsidRPr="00F27422">
        <w:rPr>
          <w:rFonts w:ascii="mylotus" w:hAnsi="mylotus" w:hint="cs"/>
          <w:sz w:val="32"/>
          <w:rtl/>
        </w:rPr>
        <w:t>َّ</w:t>
      </w:r>
      <w:r w:rsidRPr="00F27422">
        <w:rPr>
          <w:rFonts w:ascii="mylotus" w:hAnsi="mylotus"/>
          <w:sz w:val="32"/>
          <w:rtl/>
        </w:rPr>
        <w:t>ة وعدمها هو النكاح الصحيح، وصح</w:t>
      </w:r>
      <w:r w:rsidRPr="00F27422">
        <w:rPr>
          <w:rFonts w:ascii="mylotus" w:hAnsi="mylotus" w:hint="cs"/>
          <w:sz w:val="32"/>
          <w:rtl/>
        </w:rPr>
        <w:t>ّ</w:t>
      </w:r>
      <w:r w:rsidRPr="00F27422">
        <w:rPr>
          <w:rFonts w:ascii="mylotus" w:hAnsi="mylotus"/>
          <w:sz w:val="32"/>
          <w:rtl/>
        </w:rPr>
        <w:t>ة نكاح م</w:t>
      </w:r>
      <w:r w:rsidRPr="00F27422">
        <w:rPr>
          <w:rFonts w:ascii="mylotus" w:hAnsi="mylotus" w:hint="cs"/>
          <w:sz w:val="32"/>
          <w:rtl/>
        </w:rPr>
        <w:t>َ</w:t>
      </w:r>
      <w:r w:rsidRPr="00F27422">
        <w:rPr>
          <w:rFonts w:ascii="mylotus" w:hAnsi="mylotus"/>
          <w:sz w:val="32"/>
          <w:rtl/>
        </w:rPr>
        <w:t>ن لا</w:t>
      </w:r>
      <w:r w:rsidRPr="00F27422">
        <w:rPr>
          <w:rFonts w:ascii="mylotus" w:hAnsi="mylotus" w:hint="cs"/>
          <w:sz w:val="32"/>
          <w:rtl/>
        </w:rPr>
        <w:t xml:space="preserve"> </w:t>
      </w:r>
      <w:r w:rsidRPr="00F27422">
        <w:rPr>
          <w:rFonts w:ascii="mylotus" w:hAnsi="mylotus"/>
          <w:sz w:val="32"/>
          <w:rtl/>
        </w:rPr>
        <w:t>تحيض لصغر دال بالالتزام على ولاية الولي</w:t>
      </w:r>
      <w:r w:rsidRPr="00F27422">
        <w:rPr>
          <w:rFonts w:ascii="mylotus" w:hAnsi="mylotus" w:hint="cs"/>
          <w:sz w:val="32"/>
          <w:rtl/>
        </w:rPr>
        <w:t>ّ</w:t>
      </w:r>
      <w:r w:rsidRPr="00F27422">
        <w:rPr>
          <w:rFonts w:ascii="mylotus" w:hAnsi="mylotus"/>
          <w:sz w:val="32"/>
          <w:rtl/>
        </w:rPr>
        <w:t xml:space="preserve"> على إبرام</w:t>
      </w:r>
      <w:r w:rsidRPr="00F27422">
        <w:rPr>
          <w:rFonts w:ascii="mylotus" w:hAnsi="mylotus" w:hint="cs"/>
          <w:sz w:val="32"/>
          <w:rtl/>
        </w:rPr>
        <w:t>ِ</w:t>
      </w:r>
      <w:r w:rsidRPr="00F27422">
        <w:rPr>
          <w:rFonts w:ascii="mylotus" w:hAnsi="mylotus"/>
          <w:sz w:val="32"/>
          <w:rtl/>
        </w:rPr>
        <w:t xml:space="preserve"> عقد النكاح عليه</w:t>
      </w:r>
      <w:r w:rsidRPr="00F27422">
        <w:rPr>
          <w:rFonts w:ascii="mylotus" w:hAnsi="mylotus" w:hint="cs"/>
          <w:sz w:val="32"/>
          <w:rtl/>
        </w:rPr>
        <w:t>ا.</w:t>
      </w:r>
    </w:p>
    <w:p w14:paraId="3EE1FD4F"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b/>
          <w:bCs/>
          <w:sz w:val="32"/>
          <w:rtl/>
        </w:rPr>
        <w:t>ويلاحظ على ذلك:</w:t>
      </w:r>
    </w:p>
    <w:p w14:paraId="7EBF8F1F"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lastRenderedPageBreak/>
        <w:t>أولا</w:t>
      </w:r>
      <w:r w:rsidRPr="00F27422">
        <w:rPr>
          <w:rFonts w:ascii="mylotus" w:hAnsi="mylotus" w:hint="cs"/>
          <w:b/>
          <w:bCs/>
          <w:sz w:val="32"/>
          <w:rtl/>
        </w:rPr>
        <w:t>ً:</w:t>
      </w:r>
      <w:r w:rsidRPr="00F27422">
        <w:rPr>
          <w:rFonts w:ascii="mylotus" w:hAnsi="mylotus"/>
          <w:sz w:val="32"/>
          <w:rtl/>
        </w:rPr>
        <w:t xml:space="preserve"> لو سلمنا دلالة الآية </w:t>
      </w:r>
      <w:r w:rsidRPr="00F27422">
        <w:rPr>
          <w:rFonts w:ascii="mylotus" w:hAnsi="mylotus" w:hint="cs"/>
          <w:sz w:val="32"/>
          <w:rtl/>
        </w:rPr>
        <w:t xml:space="preserve">الشريفة </w:t>
      </w:r>
      <w:r w:rsidRPr="00F27422">
        <w:rPr>
          <w:rFonts w:ascii="mylotus" w:hAnsi="mylotus"/>
          <w:sz w:val="32"/>
          <w:rtl/>
        </w:rPr>
        <w:t>على اشتراك الجملتين في ثبوت العد</w:t>
      </w:r>
      <w:r w:rsidRPr="00F27422">
        <w:rPr>
          <w:rFonts w:ascii="mylotus" w:hAnsi="mylotus" w:hint="cs"/>
          <w:sz w:val="32"/>
          <w:rtl/>
        </w:rPr>
        <w:t>َّ</w:t>
      </w:r>
      <w:r w:rsidRPr="00F27422">
        <w:rPr>
          <w:rFonts w:ascii="mylotus" w:hAnsi="mylotus"/>
          <w:sz w:val="32"/>
          <w:rtl/>
        </w:rPr>
        <w:t>ة فمن المحتمل عرفا</w:t>
      </w:r>
      <w:r w:rsidRPr="00F27422">
        <w:rPr>
          <w:rFonts w:ascii="mylotus" w:hAnsi="mylotus" w:hint="cs"/>
          <w:sz w:val="32"/>
          <w:rtl/>
        </w:rPr>
        <w:t>ً</w:t>
      </w:r>
      <w:r w:rsidRPr="00F27422">
        <w:rPr>
          <w:rFonts w:ascii="mylotus" w:hAnsi="mylotus"/>
          <w:sz w:val="32"/>
          <w:rtl/>
        </w:rPr>
        <w:t xml:space="preserve"> عدم شمول عنوان </w:t>
      </w:r>
      <w:r w:rsidRPr="00F27422">
        <w:rPr>
          <w:rFonts w:ascii="mylotus" w:hAnsi="mylotus" w:cs="Cambria" w:hint="cs"/>
          <w:sz w:val="32"/>
          <w:rtl/>
        </w:rPr>
        <w:t>"</w:t>
      </w:r>
      <w:r w:rsidRPr="00F27422">
        <w:rPr>
          <w:rFonts w:ascii="mylotus" w:hAnsi="mylotus"/>
          <w:sz w:val="32"/>
          <w:rtl/>
        </w:rPr>
        <w:t>اللَّائِي لَمْ يَحِضْنَ</w:t>
      </w:r>
      <w:r w:rsidRPr="00F27422">
        <w:rPr>
          <w:rFonts w:ascii="mylotus" w:hAnsi="mylotus" w:cs="Cambria" w:hint="cs"/>
          <w:sz w:val="32"/>
          <w:rtl/>
        </w:rPr>
        <w:t>"</w:t>
      </w:r>
      <w:r w:rsidRPr="00F27422">
        <w:rPr>
          <w:rFonts w:ascii="mylotus" w:hAnsi="mylotus"/>
          <w:sz w:val="32"/>
          <w:rtl/>
        </w:rPr>
        <w:t xml:space="preserve"> للصغيرة م</w:t>
      </w:r>
      <w:r w:rsidRPr="00F27422">
        <w:rPr>
          <w:rFonts w:ascii="mylotus" w:hAnsi="mylotus" w:hint="cs"/>
          <w:sz w:val="32"/>
          <w:rtl/>
        </w:rPr>
        <w:t>ِ</w:t>
      </w:r>
      <w:r w:rsidRPr="00F27422">
        <w:rPr>
          <w:rFonts w:ascii="mylotus" w:hAnsi="mylotus"/>
          <w:sz w:val="32"/>
          <w:rtl/>
        </w:rPr>
        <w:t>ن الأساس</w:t>
      </w:r>
      <w:r w:rsidRPr="00F27422">
        <w:rPr>
          <w:rFonts w:ascii="mylotus" w:hAnsi="mylotus" w:hint="cs"/>
          <w:sz w:val="32"/>
          <w:rtl/>
        </w:rPr>
        <w:t>.</w:t>
      </w:r>
    </w:p>
    <w:p w14:paraId="15E286C9"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بتقريب</w:t>
      </w:r>
      <w:r w:rsidRPr="00F27422">
        <w:rPr>
          <w:rFonts w:ascii="mylotus" w:hAnsi="mylotus" w:hint="cs"/>
          <w:b/>
          <w:bCs/>
          <w:sz w:val="32"/>
          <w:rtl/>
        </w:rPr>
        <w:t>:</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الجملة الثانية معطوفة على (يَئِسْنَ) في قوله تعالى: </w:t>
      </w:r>
      <w:r w:rsidRPr="00F27422">
        <w:rPr>
          <w:rFonts w:ascii="mylotus" w:hAnsi="mylotus"/>
          <w:b/>
          <w:bCs/>
          <w:sz w:val="32"/>
          <w:rtl/>
        </w:rPr>
        <w:t>(وَاللَّائِي يَئِسْنَ مِنَ الْمَحِيضِ مِن نِّسَائِكُمْ إِنِ ارْتَبْتُمْ فَعِدَّتُهُنَّ ثَلَاثَةُ أَشْهُرٍ)</w:t>
      </w:r>
      <w:r w:rsidRPr="00F27422">
        <w:rPr>
          <w:rFonts w:ascii="mylotus" w:hAnsi="mylotus"/>
          <w:sz w:val="32"/>
          <w:rtl/>
        </w:rPr>
        <w:t>، فكأنّه قسم النساء إلى مَن يئست</w:t>
      </w:r>
      <w:r w:rsidRPr="00F27422">
        <w:rPr>
          <w:rFonts w:ascii="mylotus" w:hAnsi="mylotus" w:hint="cs"/>
          <w:sz w:val="32"/>
          <w:rtl/>
        </w:rPr>
        <w:t>ْ</w:t>
      </w:r>
      <w:r w:rsidRPr="00F27422">
        <w:rPr>
          <w:rFonts w:ascii="mylotus" w:hAnsi="mylotus"/>
          <w:sz w:val="32"/>
          <w:rtl/>
        </w:rPr>
        <w:t xml:space="preserve"> مِن الحيض ومَن لا تحيض وهي في سن مَن تحيض، وجعل للقسم الأوّل العدَّة، ويؤكده التعبير عن المقسم بـ </w:t>
      </w:r>
      <w:r w:rsidRPr="00F27422">
        <w:rPr>
          <w:rFonts w:ascii="mylotus" w:hAnsi="mylotus"/>
          <w:b/>
          <w:bCs/>
          <w:sz w:val="32"/>
          <w:rtl/>
        </w:rPr>
        <w:t>(نِّسَائِكُمْ)</w:t>
      </w:r>
      <w:r w:rsidRPr="00F27422">
        <w:rPr>
          <w:rFonts w:ascii="mylotus" w:hAnsi="mylotus"/>
          <w:sz w:val="32"/>
          <w:rtl/>
        </w:rPr>
        <w:t xml:space="preserve"> الظاهر في الكبيرة، كما يؤيده نفس التقسيم لمن يئسن ومن لم يحضن لظهوره في النظر للسن المترقب فيه الحيض، فلا</w:t>
      </w:r>
      <w:r w:rsidRPr="00F27422">
        <w:rPr>
          <w:rFonts w:ascii="mylotus" w:hAnsi="mylotus" w:hint="cs"/>
          <w:sz w:val="32"/>
          <w:rtl/>
        </w:rPr>
        <w:t xml:space="preserve"> </w:t>
      </w:r>
      <w:r w:rsidRPr="00F27422">
        <w:rPr>
          <w:rFonts w:ascii="mylotus" w:hAnsi="mylotus"/>
          <w:sz w:val="32"/>
          <w:rtl/>
        </w:rPr>
        <w:t>شمول فيه للصغيرة م</w:t>
      </w:r>
      <w:r w:rsidRPr="00F27422">
        <w:rPr>
          <w:rFonts w:ascii="mylotus" w:hAnsi="mylotus" w:hint="cs"/>
          <w:sz w:val="32"/>
          <w:rtl/>
        </w:rPr>
        <w:t>ِ</w:t>
      </w:r>
      <w:r w:rsidRPr="00F27422">
        <w:rPr>
          <w:rFonts w:ascii="mylotus" w:hAnsi="mylotus"/>
          <w:sz w:val="32"/>
          <w:rtl/>
        </w:rPr>
        <w:t xml:space="preserve">ن </w:t>
      </w:r>
      <w:proofErr w:type="gramStart"/>
      <w:r w:rsidRPr="00F27422">
        <w:rPr>
          <w:rFonts w:ascii="mylotus" w:hAnsi="mylotus"/>
          <w:sz w:val="32"/>
          <w:rtl/>
        </w:rPr>
        <w:t>الأساس</w:t>
      </w:r>
      <w:r w:rsidRPr="00F27422">
        <w:rPr>
          <w:rFonts w:ascii="mylotus" w:hAnsi="mylotus"/>
          <w:sz w:val="32"/>
        </w:rPr>
        <w:t xml:space="preserve"> .</w:t>
      </w:r>
      <w:proofErr w:type="gramEnd"/>
    </w:p>
    <w:p w14:paraId="2E597D80"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وثانياً:</w:t>
      </w:r>
      <w:r w:rsidRPr="00F27422">
        <w:rPr>
          <w:rFonts w:ascii="mylotus" w:hAnsi="mylotus"/>
          <w:sz w:val="32"/>
          <w:rtl/>
        </w:rPr>
        <w:t xml:space="preserve"> أنّ البحث ليس في صحّة نكاح مَن لا تحيض لصغرها في الجملة ولو كان نكاحاً منقطعاً، وإنّما محلّ البحث في ولاية الأب أو الجد على إبرام</w:t>
      </w:r>
      <w:r w:rsidRPr="00F27422">
        <w:rPr>
          <w:rFonts w:ascii="mylotus" w:hAnsi="mylotus" w:hint="cs"/>
          <w:sz w:val="32"/>
          <w:rtl/>
        </w:rPr>
        <w:t>ِ</w:t>
      </w:r>
      <w:r w:rsidRPr="00F27422">
        <w:rPr>
          <w:rFonts w:ascii="mylotus" w:hAnsi="mylotus"/>
          <w:sz w:val="32"/>
          <w:rtl/>
        </w:rPr>
        <w:t xml:space="preserve"> نكاحٍ مُلزمٍ عند البلوغ، لا في الولاية على أصل النكاح كي يقال بأنّ الآية الشريفة لها دلالةٌ عرفيةٌ على أنّ النكاح الصادر بالنسبة للصغيرة نكاحٌ صحيحٌ، فمِن الواضح أنّ الآية الشريفة ليست في مقام البيان من هذه الجهة وهي سعة ولاية الأب أو الجد أو عدم سعة ولايتهما</w:t>
      </w:r>
      <w:r w:rsidRPr="00F27422">
        <w:rPr>
          <w:rFonts w:ascii="mylotus" w:hAnsi="mylotus"/>
          <w:sz w:val="32"/>
        </w:rPr>
        <w:t>.</w:t>
      </w:r>
    </w:p>
    <w:p w14:paraId="3A305EFB"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المقامُ الثاني:</w:t>
      </w:r>
      <w:r w:rsidRPr="00F27422">
        <w:rPr>
          <w:rFonts w:ascii="mylotus" w:hAnsi="mylotus"/>
          <w:sz w:val="32"/>
          <w:rtl/>
        </w:rPr>
        <w:t xml:space="preserve"> </w:t>
      </w:r>
      <w:r w:rsidRPr="00F27422">
        <w:rPr>
          <w:rFonts w:ascii="mylotus" w:hAnsi="mylotus"/>
          <w:b/>
          <w:bCs/>
          <w:sz w:val="32"/>
          <w:rtl/>
        </w:rPr>
        <w:t>وهو التمسك بالأخبار الشريفة لإثبات نفوذ العقد على الصغير أو الصغيرة حتى بعد بلوغهما وعدم ثبوت الخيار لهما</w:t>
      </w:r>
      <w:r w:rsidRPr="00F27422">
        <w:rPr>
          <w:rFonts w:ascii="mylotus" w:hAnsi="mylotus"/>
          <w:b/>
          <w:bCs/>
          <w:sz w:val="32"/>
        </w:rPr>
        <w:t>.</w:t>
      </w:r>
    </w:p>
    <w:p w14:paraId="6CB8A7F6"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sz w:val="32"/>
          <w:rtl/>
        </w:rPr>
        <w:t>وأحسنُ الوجوه في المقام أنْ يتمسك بالإطلاق المقامي لمجموع الروايات الواردة في هذا المورد، فإنّ الأخبار الواردة في هذا المورد على طوائف</w:t>
      </w:r>
      <w:r w:rsidRPr="00F27422">
        <w:rPr>
          <w:rFonts w:ascii="mylotus" w:hAnsi="mylotus"/>
          <w:sz w:val="32"/>
        </w:rPr>
        <w:t>:</w:t>
      </w:r>
    </w:p>
    <w:p w14:paraId="03106DF9"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b/>
          <w:bCs/>
          <w:sz w:val="32"/>
          <w:rtl/>
        </w:rPr>
        <w:t>الطائفةُ الأُولى: ما دلّ على نفوذ العقد وعدم ثبوت الخيار</w:t>
      </w:r>
      <w:r w:rsidRPr="00F27422">
        <w:rPr>
          <w:rFonts w:ascii="mylotus" w:hAnsi="mylotus"/>
          <w:b/>
          <w:bCs/>
          <w:sz w:val="32"/>
        </w:rPr>
        <w:t>.</w:t>
      </w:r>
    </w:p>
    <w:p w14:paraId="2857A8A0"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b/>
          <w:bCs/>
          <w:sz w:val="32"/>
          <w:rtl/>
        </w:rPr>
        <w:t>الروايةُ الأُولى:</w:t>
      </w:r>
      <w:r w:rsidRPr="00F27422">
        <w:rPr>
          <w:rFonts w:ascii="mylotus" w:hAnsi="mylotus"/>
          <w:sz w:val="32"/>
          <w:rtl/>
        </w:rPr>
        <w:t xml:space="preserve"> صحيحة ابن بزيع التي رواها المشائخ الثلاثة، كما في الوسائل</w:t>
      </w:r>
      <w:r w:rsidRPr="00F27422">
        <w:rPr>
          <w:rFonts w:ascii="mylotus" w:hAnsi="mylotus"/>
          <w:b/>
          <w:bCs/>
          <w:sz w:val="32"/>
          <w:rtl/>
        </w:rPr>
        <w:t>: (محمد بن إسماعيل بن بزيع: (محمّد بن يعقوب، عن محمّد بن يحيى، عن أحمد بن محمّد، عن محمّد بن إسماعيل بن بزيع قال: سألت أبا الحسن (عليه السلام) عن الصبية يزوّجها أبوها ثم يموت وهي صغيرة فتكبر قبل أن يدخل بها زوجها، يجوز عليها التزويج أو الأمر إليها؟ قال: يجوز تزويج أبيها</w:t>
      </w:r>
      <w:r w:rsidRPr="00F27422">
        <w:rPr>
          <w:rFonts w:ascii="mylotus" w:hAnsi="mylotus" w:hint="cs"/>
          <w:b/>
          <w:bCs/>
          <w:sz w:val="32"/>
          <w:rtl/>
        </w:rPr>
        <w:t>).</w:t>
      </w:r>
    </w:p>
    <w:p w14:paraId="45ECBA53"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b/>
          <w:bCs/>
          <w:sz w:val="32"/>
          <w:rtl/>
        </w:rPr>
        <w:t>ورواه الصدوق بإسناده، عن محمّد بن إسماعيل بن بزيع</w:t>
      </w:r>
      <w:r w:rsidRPr="00F27422">
        <w:rPr>
          <w:rFonts w:ascii="mylotus" w:hAnsi="mylotus"/>
          <w:b/>
          <w:bCs/>
          <w:sz w:val="32"/>
        </w:rPr>
        <w:t>.</w:t>
      </w:r>
    </w:p>
    <w:p w14:paraId="25B4D579"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b/>
          <w:bCs/>
          <w:sz w:val="32"/>
          <w:rtl/>
        </w:rPr>
        <w:t>ورواه في (عيون الاخبار) عن جعفر بن نعيم بن شاذان، عن محمّد بن شاذان، عن الفضل بن شاذان، عن محمّد بن إسماعيل</w:t>
      </w:r>
      <w:r w:rsidRPr="00F27422">
        <w:rPr>
          <w:rFonts w:ascii="mylotus" w:hAnsi="mylotus"/>
          <w:b/>
          <w:bCs/>
          <w:sz w:val="32"/>
        </w:rPr>
        <w:t>.</w:t>
      </w:r>
    </w:p>
    <w:p w14:paraId="256E5C33"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ورواه الشيخ بإسناده عن أحمد بن محمّد بن عيسى، مثله).</w:t>
      </w:r>
      <w:r w:rsidRPr="00F27422">
        <w:rPr>
          <w:rFonts w:ascii="mylotus" w:hAnsi="mylotus"/>
          <w:sz w:val="32"/>
          <w:rtl/>
        </w:rPr>
        <w:t xml:space="preserve"> [وسائل الشيعة، الحر العاملي، تحقيق مؤسسة أهل البيت (عليهم السلام) لإحياء التراث، ج20، كتاب النكاح، أبواب عقد النكاح وأولياء العقد، الباب 6 باب ثبوت الولاية للأب والجد للأب خاصة مع وجود الأب لا غيرهما على البنت غير البالغة الرشيدة وكذا الصبي، ح</w:t>
      </w:r>
      <w:r w:rsidRPr="00F27422">
        <w:rPr>
          <w:rFonts w:ascii="mylotus" w:hAnsi="mylotus" w:hint="cs"/>
          <w:sz w:val="32"/>
          <w:rtl/>
        </w:rPr>
        <w:t>1].</w:t>
      </w:r>
    </w:p>
    <w:p w14:paraId="15D3D0D2"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الروايةُ الثانية:</w:t>
      </w:r>
      <w:r w:rsidRPr="00F27422">
        <w:rPr>
          <w:rFonts w:ascii="mylotus" w:hAnsi="mylotus"/>
          <w:sz w:val="32"/>
          <w:rtl/>
        </w:rPr>
        <w:t xml:space="preserve"> صحيح </w:t>
      </w:r>
      <w:proofErr w:type="gramStart"/>
      <w:r w:rsidRPr="00F27422">
        <w:rPr>
          <w:rFonts w:ascii="mylotus" w:hAnsi="mylotus"/>
          <w:sz w:val="32"/>
          <w:rtl/>
        </w:rPr>
        <w:t>عبدالله</w:t>
      </w:r>
      <w:proofErr w:type="gramEnd"/>
      <w:r w:rsidRPr="00F27422">
        <w:rPr>
          <w:rFonts w:ascii="mylotus" w:hAnsi="mylotus"/>
          <w:sz w:val="32"/>
          <w:rtl/>
        </w:rPr>
        <w:t xml:space="preserve"> بن الصلت، كما في الوسائل: </w:t>
      </w:r>
      <w:r w:rsidRPr="00F27422">
        <w:rPr>
          <w:rFonts w:ascii="mylotus" w:hAnsi="mylotus"/>
          <w:b/>
          <w:bCs/>
          <w:sz w:val="32"/>
          <w:rtl/>
        </w:rPr>
        <w:t xml:space="preserve">(وعن عدة من أصحابنا، عن أحمد بن محمّد، عن الحسين بن سعيد، عن </w:t>
      </w:r>
      <w:proofErr w:type="gramStart"/>
      <w:r w:rsidRPr="00F27422">
        <w:rPr>
          <w:rFonts w:ascii="mylotus" w:hAnsi="mylotus"/>
          <w:b/>
          <w:bCs/>
          <w:sz w:val="32"/>
          <w:rtl/>
        </w:rPr>
        <w:t>عبدالله</w:t>
      </w:r>
      <w:proofErr w:type="gramEnd"/>
      <w:r w:rsidRPr="00F27422">
        <w:rPr>
          <w:rFonts w:ascii="mylotus" w:hAnsi="mylotus"/>
          <w:b/>
          <w:bCs/>
          <w:sz w:val="32"/>
          <w:rtl/>
        </w:rPr>
        <w:t xml:space="preserve"> بن الصلت قال: سألت أبا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عن الجارية الصغيرة يزوّجها أبوها، لها أمر إذا بلغت؟ قال: لا ليس لها مع أبيها أمر، قال: وسألته عن البكر إذا بلغت مبلغ النساء، ألها مع أبيها أمر؟ قال: ليس لها مع أبيها أمر ما لم تكبر).</w:t>
      </w:r>
      <w:r w:rsidRPr="00F27422">
        <w:rPr>
          <w:rFonts w:ascii="mylotus" w:hAnsi="mylotus"/>
          <w:sz w:val="32"/>
          <w:rtl/>
        </w:rPr>
        <w:t xml:space="preserve"> [المصدر السابق، ح3]</w:t>
      </w:r>
      <w:r w:rsidRPr="00F27422">
        <w:rPr>
          <w:rFonts w:ascii="mylotus" w:hAnsi="mylotus"/>
          <w:sz w:val="32"/>
        </w:rPr>
        <w:t>.</w:t>
      </w:r>
    </w:p>
    <w:p w14:paraId="79FEB5EB"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sz w:val="32"/>
          <w:rtl/>
        </w:rPr>
        <w:t>وبحسب نسخة التهذيبين، كما في تهذيب الأحكام: (</w:t>
      </w:r>
      <w:r w:rsidRPr="00F27422">
        <w:rPr>
          <w:rFonts w:ascii="mylotus" w:hAnsi="mylotus"/>
          <w:b/>
          <w:bCs/>
          <w:sz w:val="32"/>
          <w:rtl/>
        </w:rPr>
        <w:t>وعنه</w:t>
      </w:r>
      <w:r w:rsidRPr="00F27422">
        <w:rPr>
          <w:rFonts w:ascii="mylotus" w:hAnsi="mylotus" w:hint="cs"/>
          <w:b/>
          <w:bCs/>
          <w:sz w:val="32"/>
          <w:rtl/>
        </w:rPr>
        <w:t>،</w:t>
      </w:r>
      <w:r w:rsidRPr="00F27422">
        <w:rPr>
          <w:rFonts w:ascii="mylotus" w:hAnsi="mylotus"/>
          <w:b/>
          <w:bCs/>
          <w:sz w:val="32"/>
          <w:rtl/>
        </w:rPr>
        <w:t xml:space="preserve"> عن </w:t>
      </w:r>
      <w:proofErr w:type="gramStart"/>
      <w:r w:rsidRPr="00F27422">
        <w:rPr>
          <w:rFonts w:ascii="mylotus" w:hAnsi="mylotus"/>
          <w:b/>
          <w:bCs/>
          <w:sz w:val="32"/>
          <w:rtl/>
        </w:rPr>
        <w:t>عبدالله</w:t>
      </w:r>
      <w:proofErr w:type="gramEnd"/>
      <w:r w:rsidRPr="00F27422">
        <w:rPr>
          <w:rFonts w:ascii="mylotus" w:hAnsi="mylotus"/>
          <w:b/>
          <w:bCs/>
          <w:sz w:val="32"/>
          <w:rtl/>
        </w:rPr>
        <w:t xml:space="preserve"> بن الصلت، قال: سألتُ أبا الحسن (عليه السلام) عن الجارية الصغيرة يزوّجها أبوها ألها أمر إذا بلغت؟ قال: لا، وسألته عن البكر إذا بلغت مبلغ النساء ألها مع أبيها أمر؟ فقال: ليس لها مع أبيها أمر ما لم تثيب).</w:t>
      </w:r>
      <w:r w:rsidRPr="00F27422">
        <w:rPr>
          <w:rFonts w:ascii="mylotus" w:hAnsi="mylotus"/>
          <w:sz w:val="32"/>
          <w:rtl/>
        </w:rPr>
        <w:t xml:space="preserve"> [تهذيب الأحكام، شيخ الطائفة الطوسي، دار الكتب الإسلامية، ج7، كتاب النكاح، الباب 32 باب عقد المرأة على نفسها النكاح وأولياء الصبية وأحقهم بالعقد عليها، ح16]</w:t>
      </w:r>
      <w:r w:rsidRPr="00F27422">
        <w:rPr>
          <w:rFonts w:ascii="mylotus" w:hAnsi="mylotus"/>
          <w:sz w:val="32"/>
        </w:rPr>
        <w:t>.</w:t>
      </w:r>
    </w:p>
    <w:p w14:paraId="3B95E9F7"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sz w:val="32"/>
          <w:rtl/>
        </w:rPr>
        <w:lastRenderedPageBreak/>
        <w:t xml:space="preserve">وقوله (عليه السلام): </w:t>
      </w:r>
      <w:r w:rsidRPr="00F27422">
        <w:rPr>
          <w:rFonts w:ascii="mylotus" w:hAnsi="mylotus"/>
          <w:b/>
          <w:bCs/>
          <w:sz w:val="32"/>
          <w:rtl/>
        </w:rPr>
        <w:t>(ما لم تثيب)</w:t>
      </w:r>
      <w:r w:rsidRPr="00F27422">
        <w:rPr>
          <w:rFonts w:ascii="mylotus" w:hAnsi="mylotus"/>
          <w:sz w:val="32"/>
          <w:rtl/>
        </w:rPr>
        <w:t xml:space="preserve"> أي: ما لم تصبح ثيباً، وهو الأنسبُ بالسياق</w:t>
      </w:r>
      <w:r w:rsidRPr="00F27422">
        <w:rPr>
          <w:rFonts w:ascii="mylotus" w:hAnsi="mylotus"/>
          <w:sz w:val="32"/>
        </w:rPr>
        <w:t>.</w:t>
      </w:r>
    </w:p>
    <w:p w14:paraId="013D6A4C"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الروايةُ الثالثة:</w:t>
      </w:r>
      <w:r w:rsidRPr="00F27422">
        <w:rPr>
          <w:rFonts w:ascii="mylotus" w:hAnsi="mylotus"/>
          <w:sz w:val="32"/>
          <w:rtl/>
        </w:rPr>
        <w:t xml:space="preserve"> معتبرة عليّ بن يقطين، كما في الوسائل: </w:t>
      </w:r>
      <w:r w:rsidRPr="00F27422">
        <w:rPr>
          <w:rFonts w:ascii="mylotus" w:hAnsi="mylotus"/>
          <w:b/>
          <w:bCs/>
          <w:sz w:val="32"/>
          <w:rtl/>
        </w:rPr>
        <w:t>(محمّد بن الحسن بإسناده عن أحمد بن محمّد بن عيسى، عن الحسن بن علي بن يقطين، عن أخيه الحسين، عن علي بن يقطين قال: سألت أبا الحسن (عليه السلام): أَ تُزوّجُ الجارية وهي بنت ثلاث سنين أو يُزوّجُ الغلام وهو ابن ثلاث سنين وما أدنى حد ذلك الذي يزوّجان فيه، فإذا بلغت الجارية فلم ترضَ، فما حالها؟ قال: لا بأس بذلك إذا رضي أبوها أو وليها).</w:t>
      </w:r>
      <w:r w:rsidRPr="00F27422">
        <w:rPr>
          <w:rFonts w:ascii="mylotus" w:hAnsi="mylotus"/>
          <w:sz w:val="32"/>
          <w:rtl/>
        </w:rPr>
        <w:t xml:space="preserve"> [وسائل الشيعة، الحر العاملي، تحقيق مؤسسة أهل البيت (عليهم السلام) لإحياء التراث، ج20، كتاب النكاح، أبواب عقد النكاح وأولياء العقد، الباب 6 باب ثبوت الولاية للأب والجد للأب خاصة مع وجود الأب لا غيرهما على البنت غير البالغة الرشيدة وكذا الصبي، ح7]</w:t>
      </w:r>
      <w:r w:rsidRPr="00F27422">
        <w:rPr>
          <w:rFonts w:ascii="mylotus" w:hAnsi="mylotus"/>
          <w:sz w:val="32"/>
        </w:rPr>
        <w:t>.</w:t>
      </w:r>
    </w:p>
    <w:p w14:paraId="2C23969D"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الروايةُ الرابعة:</w:t>
      </w:r>
      <w:r w:rsidRPr="00F27422">
        <w:rPr>
          <w:rFonts w:ascii="mylotus" w:hAnsi="mylotus"/>
          <w:sz w:val="32"/>
          <w:rtl/>
        </w:rPr>
        <w:t xml:space="preserve"> صحيحة الحلبي، كما في الوسائل: </w:t>
      </w:r>
      <w:r w:rsidRPr="00F27422">
        <w:rPr>
          <w:rFonts w:ascii="mylotus" w:hAnsi="mylotus"/>
          <w:b/>
          <w:bCs/>
          <w:sz w:val="32"/>
          <w:rtl/>
        </w:rPr>
        <w:t xml:space="preserve">(وبإسناده عن الحسين بن سعيد، عن ابن أبي عمير، عن حماد، عن الحلبي، 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في الجارية يزوجها أبوها بغير رضاء منها، قال: ليس لها مع أبيها أمر إذا أنكحها جاز نكاحه وإن كانت كارهة).</w:t>
      </w:r>
      <w:r w:rsidRPr="00F27422">
        <w:rPr>
          <w:rFonts w:ascii="mylotus" w:hAnsi="mylotus"/>
          <w:sz w:val="32"/>
          <w:rtl/>
        </w:rPr>
        <w:t xml:space="preserve"> [وسائل الشيعة، الحر العاملي، تحقيق مؤسسة أهل البيت (عليهم السلام) لإحياء التراث، ج20، كتاب النكاح، أبواب عقد النكاح وأولياء العقد، الباب 9 باب أن الولاية في عقد البكر البالغ الرشيدة مشتركة بينها وبين أبيها فلا بد من رضاها إذا لم يعضلها، ح7]</w:t>
      </w:r>
      <w:r w:rsidRPr="00F27422">
        <w:rPr>
          <w:rFonts w:ascii="mylotus" w:hAnsi="mylotus"/>
          <w:sz w:val="32"/>
        </w:rPr>
        <w:t>.</w:t>
      </w:r>
    </w:p>
    <w:p w14:paraId="6C55D6EE"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b/>
          <w:bCs/>
          <w:sz w:val="32"/>
          <w:rtl/>
        </w:rPr>
        <w:t>الطائفةُ الثانية: ما دلّ على التوارث بينهما، فإنْ تزوجها فمات ورثته أو تزوجته فماتت ورثها</w:t>
      </w:r>
      <w:r w:rsidRPr="00F27422">
        <w:rPr>
          <w:rFonts w:ascii="mylotus" w:hAnsi="mylotus"/>
          <w:b/>
          <w:bCs/>
          <w:sz w:val="32"/>
        </w:rPr>
        <w:t>.</w:t>
      </w:r>
    </w:p>
    <w:p w14:paraId="34236242"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الروايةُ الأُولى:</w:t>
      </w:r>
      <w:r w:rsidRPr="00F27422">
        <w:rPr>
          <w:rFonts w:ascii="mylotus" w:hAnsi="mylotus"/>
          <w:sz w:val="32"/>
          <w:rtl/>
        </w:rPr>
        <w:t xml:space="preserve"> صحيحة محمد بن مسلم، كما في الوسائل: </w:t>
      </w:r>
      <w:r w:rsidRPr="00F27422">
        <w:rPr>
          <w:rFonts w:ascii="mylotus" w:hAnsi="mylotus"/>
          <w:b/>
          <w:bCs/>
          <w:sz w:val="32"/>
          <w:rtl/>
        </w:rPr>
        <w:t xml:space="preserve">(محمّد بن الحسن بإسناده، عن أحمد بن محمّد بن عيسى، عن محمّد بن أبي عمير، عن صفوان، عن علاء، عن محمّد بن مسلم، عن أبي جعفر (عليه السلام) في الصبي يتزوج الصبية يتوارثان؟ فقال: إذا كان أبواهما اللذان زوجاهما فنعم، قلتُ: فهل يجوز طلاق الأب؟ قال: لا). </w:t>
      </w:r>
      <w:r w:rsidRPr="00F27422">
        <w:rPr>
          <w:rFonts w:ascii="mylotus" w:hAnsi="mylotus"/>
          <w:sz w:val="32"/>
          <w:rtl/>
        </w:rPr>
        <w:t xml:space="preserve">[وسائل الشيعة، الحر العاملي، تحقيق مؤسسة أهل البيت (عليهم السلام) لإحياء التراث، ج20، كتاب النكاح، أبواب عقد النكاح وأولياء العقد، الباب 12 باب أن الصغير ذكرا كان أو انثى إذا زوجه الأب أو الجد صح العقد، وإذا زوجه غيرهما كان موقوفاً على رضاه بعد البلوغ </w:t>
      </w:r>
      <w:proofErr w:type="gramStart"/>
      <w:r w:rsidRPr="00F27422">
        <w:rPr>
          <w:rFonts w:ascii="mylotus" w:hAnsi="mylotus"/>
          <w:sz w:val="32"/>
          <w:rtl/>
        </w:rPr>
        <w:t>والرشد ،</w:t>
      </w:r>
      <w:proofErr w:type="gramEnd"/>
      <w:r w:rsidRPr="00F27422">
        <w:rPr>
          <w:rFonts w:ascii="mylotus" w:hAnsi="mylotus"/>
          <w:sz w:val="32"/>
          <w:rtl/>
        </w:rPr>
        <w:t xml:space="preserve"> ح1]</w:t>
      </w:r>
      <w:r w:rsidRPr="00F27422">
        <w:rPr>
          <w:rFonts w:ascii="mylotus" w:hAnsi="mylotus"/>
          <w:sz w:val="32"/>
        </w:rPr>
        <w:t>.</w:t>
      </w:r>
    </w:p>
    <w:p w14:paraId="4C7D4E86"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sz w:val="32"/>
          <w:rtl/>
        </w:rPr>
        <w:t xml:space="preserve">ونحوها موثقة عبيد بن زرارة، كما في الوسائل: </w:t>
      </w:r>
      <w:r w:rsidRPr="00F27422">
        <w:rPr>
          <w:rFonts w:ascii="mylotus" w:hAnsi="mylotus"/>
          <w:b/>
          <w:bCs/>
          <w:sz w:val="32"/>
          <w:rtl/>
        </w:rPr>
        <w:t xml:space="preserve">(وعن محمّد بن يحيى، عن أحمد بن محمّد، عن ابن فضّال، عن القاسم بن عروة، عن أبي بكر، عن عبيد بن زرارة، 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قال: سألته عن الصبيّ يزوّج الصبيّة، هل يتوارثان؟ قال: إن كان أبواهما اللذان زوّجاهما فنعم، قلنا: يجوز طلاق الأب؟ قال: لا). </w:t>
      </w:r>
      <w:r w:rsidRPr="00F27422">
        <w:rPr>
          <w:rFonts w:ascii="mylotus" w:hAnsi="mylotus"/>
          <w:sz w:val="32"/>
          <w:rtl/>
        </w:rPr>
        <w:t>[وسائل الشيعة، الحر العاملي، تحقيق مؤسسة أهل البيت (عليهم السلام) لإحياء التراث، ج26، كتاب الفرائض والمواريث، أبواب ميراث الأزواج، الباب 11 باب حكم ميراث الصغيرين إذا زوّجهما وليّان، أو غيرهما، ح3]</w:t>
      </w:r>
      <w:r w:rsidRPr="00F27422">
        <w:rPr>
          <w:rFonts w:ascii="mylotus" w:hAnsi="mylotus"/>
          <w:sz w:val="32"/>
        </w:rPr>
        <w:t>.</w:t>
      </w:r>
    </w:p>
    <w:p w14:paraId="7E3A4EA1"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sz w:val="32"/>
          <w:rtl/>
        </w:rPr>
        <w:t>ولكن يتوارثان لو مات أحدهما حال الصغر</w:t>
      </w:r>
      <w:r w:rsidRPr="00F27422">
        <w:rPr>
          <w:rFonts w:ascii="mylotus" w:hAnsi="mylotus"/>
          <w:sz w:val="32"/>
        </w:rPr>
        <w:t>.</w:t>
      </w:r>
    </w:p>
    <w:p w14:paraId="1DE78288" w14:textId="77777777" w:rsidR="00C36591" w:rsidRPr="00F27422" w:rsidRDefault="00C36591" w:rsidP="00122B70">
      <w:pPr>
        <w:pStyle w:val="a"/>
        <w:bidi/>
        <w:spacing w:line="216" w:lineRule="auto"/>
        <w:jc w:val="left"/>
        <w:rPr>
          <w:rFonts w:ascii="mylotus" w:hAnsi="mylotus"/>
          <w:b/>
          <w:bCs/>
          <w:sz w:val="32"/>
          <w:rtl/>
        </w:rPr>
      </w:pPr>
      <w:r w:rsidRPr="00F27422">
        <w:rPr>
          <w:rFonts w:ascii="mylotus" w:hAnsi="mylotus"/>
          <w:b/>
          <w:bCs/>
          <w:sz w:val="32"/>
          <w:rtl/>
        </w:rPr>
        <w:t>الطائفةُ الثالثة: ما دلّ على ثبوت المهر على الأب أو الابن الصغير، فإنّ ثبوت المهر فرعُ صحّة النكاح، وصحّة النكاح فرعُ ثبوت الولاية</w:t>
      </w:r>
      <w:r w:rsidRPr="00F27422">
        <w:rPr>
          <w:rFonts w:ascii="mylotus" w:hAnsi="mylotus"/>
          <w:b/>
          <w:bCs/>
          <w:sz w:val="32"/>
        </w:rPr>
        <w:t>.</w:t>
      </w:r>
    </w:p>
    <w:p w14:paraId="5587619D"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الروايةُ الأُولى:</w:t>
      </w:r>
      <w:r w:rsidRPr="00F27422">
        <w:rPr>
          <w:rFonts w:ascii="mylotus" w:hAnsi="mylotus"/>
          <w:sz w:val="32"/>
          <w:rtl/>
        </w:rPr>
        <w:t xml:space="preserve"> موثقة عبيد بن زرارة، كما في الوسائل: </w:t>
      </w:r>
      <w:r w:rsidRPr="00F27422">
        <w:rPr>
          <w:rFonts w:ascii="mylotus" w:hAnsi="mylotus"/>
          <w:b/>
          <w:bCs/>
          <w:sz w:val="32"/>
          <w:rtl/>
        </w:rPr>
        <w:t xml:space="preserve">(محمّد بن يعقوب، عن محمّد بن يحيى، عن أحمد بن محمّد، عن الحسن بن علي بن فضال، عن </w:t>
      </w:r>
      <w:proofErr w:type="gramStart"/>
      <w:r w:rsidRPr="00F27422">
        <w:rPr>
          <w:rFonts w:ascii="mylotus" w:hAnsi="mylotus"/>
          <w:b/>
          <w:bCs/>
          <w:sz w:val="32"/>
          <w:rtl/>
        </w:rPr>
        <w:t>عبدالله</w:t>
      </w:r>
      <w:proofErr w:type="gramEnd"/>
      <w:r w:rsidRPr="00F27422">
        <w:rPr>
          <w:rFonts w:ascii="mylotus" w:hAnsi="mylotus"/>
          <w:b/>
          <w:bCs/>
          <w:sz w:val="32"/>
          <w:rtl/>
        </w:rPr>
        <w:t xml:space="preserve"> بن بكير، عن عبيد بن </w:t>
      </w:r>
      <w:proofErr w:type="spellStart"/>
      <w:r w:rsidRPr="00F27422">
        <w:rPr>
          <w:rFonts w:ascii="mylotus" w:hAnsi="mylotus"/>
          <w:b/>
          <w:bCs/>
          <w:sz w:val="32"/>
          <w:rtl/>
        </w:rPr>
        <w:t>زراة</w:t>
      </w:r>
      <w:proofErr w:type="spellEnd"/>
      <w:r w:rsidRPr="00F27422">
        <w:rPr>
          <w:rFonts w:ascii="mylotus" w:hAnsi="mylotus"/>
          <w:b/>
          <w:bCs/>
          <w:sz w:val="32"/>
          <w:rtl/>
        </w:rPr>
        <w:t xml:space="preserve"> قال: سألت أبا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عن الرجل يزوج ابنه وهو صغير؟ قال: إن كان لابنه مال فعليه المهر، وإن لم يكن للابن مال فالأب ضامن المهر، ضمن أو لم يضمن). </w:t>
      </w:r>
      <w:r w:rsidRPr="00F27422">
        <w:rPr>
          <w:rFonts w:ascii="mylotus" w:hAnsi="mylotus"/>
          <w:sz w:val="32"/>
          <w:rtl/>
        </w:rPr>
        <w:t xml:space="preserve">[وسائل الشيعة، الحر العاملي، تحقيق مؤسسة أهل البيت (عليهم السلام) لإحياء التراث، </w:t>
      </w:r>
      <w:r w:rsidRPr="00F27422">
        <w:rPr>
          <w:rFonts w:ascii="mylotus" w:hAnsi="mylotus"/>
          <w:sz w:val="32"/>
          <w:rtl/>
        </w:rPr>
        <w:lastRenderedPageBreak/>
        <w:t>ج21، كتاب النكاح، أبواب المهور، الباب 28 باب أنّ من زوج ابنه الصغير وضمن المهر أو لم يكن للابن مال فالمهر على الأب وإلا فعلى الابن، ح1]</w:t>
      </w:r>
      <w:r w:rsidRPr="00F27422">
        <w:rPr>
          <w:rFonts w:ascii="mylotus" w:hAnsi="mylotus"/>
          <w:sz w:val="32"/>
        </w:rPr>
        <w:t>.</w:t>
      </w:r>
    </w:p>
    <w:p w14:paraId="45B8A571"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sz w:val="32"/>
          <w:rtl/>
        </w:rPr>
        <w:t xml:space="preserve">ومعنى قوله (عليه السلام): </w:t>
      </w:r>
      <w:r w:rsidRPr="00F27422">
        <w:rPr>
          <w:rFonts w:ascii="mylotus" w:hAnsi="mylotus"/>
          <w:b/>
          <w:bCs/>
          <w:sz w:val="32"/>
          <w:rtl/>
        </w:rPr>
        <w:t>(ضمن أو لم يضمن)</w:t>
      </w:r>
      <w:r w:rsidRPr="00F27422">
        <w:rPr>
          <w:rFonts w:ascii="mylotus" w:hAnsi="mylotus"/>
          <w:sz w:val="32"/>
          <w:rtl/>
        </w:rPr>
        <w:t xml:space="preserve"> أي: تعهد أو لم يتعهد</w:t>
      </w:r>
      <w:r w:rsidRPr="00F27422">
        <w:rPr>
          <w:rFonts w:ascii="mylotus" w:hAnsi="mylotus"/>
          <w:sz w:val="32"/>
        </w:rPr>
        <w:t>.</w:t>
      </w:r>
    </w:p>
    <w:p w14:paraId="57AFBEFC"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الروايةُ الثانية:</w:t>
      </w:r>
      <w:r w:rsidRPr="00F27422">
        <w:rPr>
          <w:rFonts w:ascii="mylotus" w:hAnsi="mylotus"/>
          <w:sz w:val="32"/>
          <w:rtl/>
        </w:rPr>
        <w:t xml:space="preserve"> رواية الفضل بن </w:t>
      </w:r>
      <w:proofErr w:type="gramStart"/>
      <w:r w:rsidRPr="00F27422">
        <w:rPr>
          <w:rFonts w:ascii="mylotus" w:hAnsi="mylotus"/>
          <w:sz w:val="32"/>
          <w:rtl/>
        </w:rPr>
        <w:t>عبدالملك</w:t>
      </w:r>
      <w:proofErr w:type="gramEnd"/>
      <w:r w:rsidRPr="00F27422">
        <w:rPr>
          <w:rFonts w:ascii="mylotus" w:hAnsi="mylotus"/>
          <w:sz w:val="32"/>
          <w:rtl/>
        </w:rPr>
        <w:t xml:space="preserve">، كما في الوسائل: </w:t>
      </w:r>
      <w:r w:rsidRPr="00F27422">
        <w:rPr>
          <w:rFonts w:ascii="mylotus" w:hAnsi="mylotus"/>
          <w:b/>
          <w:bCs/>
          <w:sz w:val="32"/>
          <w:rtl/>
        </w:rPr>
        <w:t xml:space="preserve">(وعنه، عن </w:t>
      </w:r>
      <w:proofErr w:type="gramStart"/>
      <w:r w:rsidRPr="00F27422">
        <w:rPr>
          <w:rFonts w:ascii="mylotus" w:hAnsi="mylotus"/>
          <w:b/>
          <w:bCs/>
          <w:sz w:val="32"/>
          <w:rtl/>
        </w:rPr>
        <w:t>عبدالله</w:t>
      </w:r>
      <w:proofErr w:type="gramEnd"/>
      <w:r w:rsidRPr="00F27422">
        <w:rPr>
          <w:rFonts w:ascii="mylotus" w:hAnsi="mylotus"/>
          <w:b/>
          <w:bCs/>
          <w:sz w:val="32"/>
          <w:rtl/>
        </w:rPr>
        <w:t xml:space="preserve"> بن محمّد، عن علي بن الحكم، عن أبان بن عثمان، عن الفضل بن </w:t>
      </w:r>
      <w:proofErr w:type="gramStart"/>
      <w:r w:rsidRPr="00F27422">
        <w:rPr>
          <w:rFonts w:ascii="mylotus" w:hAnsi="mylotus"/>
          <w:b/>
          <w:bCs/>
          <w:sz w:val="32"/>
          <w:rtl/>
        </w:rPr>
        <w:t>عبدالملك</w:t>
      </w:r>
      <w:proofErr w:type="gramEnd"/>
      <w:r w:rsidRPr="00F27422">
        <w:rPr>
          <w:rFonts w:ascii="mylotus" w:hAnsi="mylotus"/>
          <w:b/>
          <w:bCs/>
          <w:sz w:val="32"/>
          <w:rtl/>
        </w:rPr>
        <w:t xml:space="preserve"> قال: سألتُ أبا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عن الرجل يزوج ابنه وهو صغير؟ قال: لا بأس، قلتُ: يجوز طلاق الأب؟ قال: لا، قلتُ: على من الصداق؟ قال: على الأب إن كان ضمنه لهم، وإن لم يكن ضمنه، فهو على الغلام، إلّا </w:t>
      </w:r>
      <w:proofErr w:type="gramStart"/>
      <w:r w:rsidRPr="00F27422">
        <w:rPr>
          <w:rFonts w:ascii="mylotus" w:hAnsi="mylotus"/>
          <w:b/>
          <w:bCs/>
          <w:sz w:val="32"/>
          <w:rtl/>
        </w:rPr>
        <w:t>أن لا</w:t>
      </w:r>
      <w:proofErr w:type="gramEnd"/>
      <w:r w:rsidRPr="00F27422">
        <w:rPr>
          <w:rFonts w:ascii="mylotus" w:hAnsi="mylotus"/>
          <w:b/>
          <w:bCs/>
          <w:sz w:val="32"/>
          <w:rtl/>
        </w:rPr>
        <w:t xml:space="preserve"> يكون للغلام مال فهو ضامن له وإن لم يكن ضمن، وقال: إذا زوج الرجل ابنه فذاك إلى ابنه، وإن زوج الابنة جاز). </w:t>
      </w:r>
      <w:r w:rsidRPr="00F27422">
        <w:rPr>
          <w:rFonts w:ascii="mylotus" w:hAnsi="mylotus"/>
          <w:sz w:val="32"/>
          <w:rtl/>
        </w:rPr>
        <w:t>[المصدر السابق، ح2]</w:t>
      </w:r>
      <w:r w:rsidRPr="00F27422">
        <w:rPr>
          <w:rFonts w:ascii="mylotus" w:hAnsi="mylotus"/>
          <w:sz w:val="32"/>
        </w:rPr>
        <w:t>.</w:t>
      </w:r>
    </w:p>
    <w:p w14:paraId="0C3EA8B6"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b/>
          <w:bCs/>
          <w:sz w:val="32"/>
          <w:rtl/>
        </w:rPr>
        <w:t>فيقال:</w:t>
      </w:r>
      <w:r w:rsidRPr="00F27422">
        <w:rPr>
          <w:rFonts w:ascii="mylotus" w:hAnsi="mylotus"/>
          <w:sz w:val="32"/>
          <w:rtl/>
        </w:rPr>
        <w:t xml:space="preserve"> المستفاد مِن المجموع أنّ العقد نافذٌ على الصغير بعد كبره ولا خيار له، وإلّا لتعرضت هذه الروايات الشريفة بطوائفها المختلفة إلى حال بلوغه ورفضه للعقد مع أنّه مِن الأُمور الابتلائية، ومع ذلك لم تتعرض له مع كثرتها، بل إنّ الطائفة الأُولى نفت ثبوت الخيار للصغيرة</w:t>
      </w:r>
      <w:r w:rsidRPr="00F27422">
        <w:rPr>
          <w:rFonts w:ascii="mylotus" w:hAnsi="mylotus"/>
          <w:sz w:val="32"/>
        </w:rPr>
        <w:t>.</w:t>
      </w:r>
    </w:p>
    <w:p w14:paraId="5ADAF574" w14:textId="77777777" w:rsidR="00C36591" w:rsidRPr="00F27422" w:rsidRDefault="00C36591" w:rsidP="00122B70">
      <w:pPr>
        <w:pStyle w:val="a"/>
        <w:bidi/>
        <w:spacing w:line="216" w:lineRule="auto"/>
        <w:jc w:val="left"/>
        <w:rPr>
          <w:rFonts w:ascii="mylotus" w:hAnsi="mylotus"/>
          <w:sz w:val="32"/>
          <w:rtl/>
        </w:rPr>
      </w:pPr>
      <w:r w:rsidRPr="00F27422">
        <w:rPr>
          <w:rFonts w:ascii="mylotus" w:hAnsi="mylotus"/>
          <w:sz w:val="32"/>
          <w:rtl/>
        </w:rPr>
        <w:t>وأمّا الاستدلال بالإجماع كما في السرائر والناصريات والغنية والتذكرة وجامع المقاصد والرياض ونحوه، فمِن الواضح أنّه إجماعٌ مدركي؛ لورود الأخبار بذلك، فهو عبارةٌ عن شهرة العمل بهذه الأخبار المساوق للإعراض عن العمل بالطائفة المعارضة</w:t>
      </w:r>
      <w:r w:rsidRPr="00F27422">
        <w:rPr>
          <w:rFonts w:ascii="mylotus" w:hAnsi="mylotus"/>
          <w:sz w:val="32"/>
        </w:rPr>
        <w:t>.</w:t>
      </w:r>
    </w:p>
    <w:p w14:paraId="1D074AD8" w14:textId="77777777" w:rsidR="00C36591" w:rsidRPr="00F27422" w:rsidRDefault="00C36591" w:rsidP="00122B70">
      <w:pPr>
        <w:pStyle w:val="a"/>
        <w:bidi/>
        <w:spacing w:line="216" w:lineRule="auto"/>
        <w:jc w:val="left"/>
        <w:rPr>
          <w:rFonts w:ascii="mylotus" w:hAnsi="mylotus"/>
          <w:sz w:val="32"/>
          <w:rtl/>
        </w:rPr>
      </w:pPr>
    </w:p>
    <w:p w14:paraId="3BCF02EE" w14:textId="77777777" w:rsidR="00C36591" w:rsidRPr="00F27422" w:rsidRDefault="00C36591"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72E6B3EB" w14:textId="77777777" w:rsidR="00C36591" w:rsidRPr="00F27422" w:rsidRDefault="00C36591" w:rsidP="00122B70">
      <w:pPr>
        <w:bidi/>
        <w:rPr>
          <w:sz w:val="32"/>
          <w:szCs w:val="32"/>
          <w:rtl/>
        </w:rPr>
      </w:pPr>
    </w:p>
    <w:p w14:paraId="5C47D5DE" w14:textId="77777777" w:rsidR="00C36591" w:rsidRPr="00F27422" w:rsidRDefault="00C36591" w:rsidP="00122B70">
      <w:pPr>
        <w:bidi/>
        <w:rPr>
          <w:sz w:val="32"/>
          <w:szCs w:val="32"/>
          <w:rtl/>
        </w:rPr>
      </w:pPr>
    </w:p>
    <w:p w14:paraId="3DECCE33" w14:textId="47D4CAD3" w:rsidR="00C36591" w:rsidRPr="00F27422" w:rsidRDefault="00696A9A" w:rsidP="00122B70">
      <w:pPr>
        <w:pStyle w:val="Heading3"/>
        <w:bidi/>
        <w:rPr>
          <w:sz w:val="32"/>
          <w:szCs w:val="32"/>
          <w:rtl/>
        </w:rPr>
      </w:pPr>
      <w:r w:rsidRPr="00F27422">
        <w:rPr>
          <w:rFonts w:hint="cs"/>
          <w:sz w:val="32"/>
          <w:szCs w:val="32"/>
          <w:rtl/>
        </w:rPr>
        <w:t>048</w:t>
      </w:r>
    </w:p>
    <w:p w14:paraId="4778B4F6" w14:textId="77777777" w:rsidR="00A71B3A" w:rsidRPr="00F27422" w:rsidRDefault="00A71B3A" w:rsidP="00122B70">
      <w:pPr>
        <w:bidi/>
        <w:rPr>
          <w:sz w:val="32"/>
          <w:szCs w:val="32"/>
          <w:rtl/>
        </w:rPr>
      </w:pPr>
    </w:p>
    <w:p w14:paraId="6B66FBF6" w14:textId="77777777" w:rsidR="007230EA" w:rsidRPr="00F27422" w:rsidRDefault="007230EA" w:rsidP="00122B70">
      <w:pPr>
        <w:bidi/>
        <w:rPr>
          <w:b/>
          <w:bCs/>
          <w:sz w:val="32"/>
          <w:szCs w:val="32"/>
        </w:rPr>
      </w:pPr>
      <w:r w:rsidRPr="00F27422">
        <w:rPr>
          <w:b/>
          <w:bCs/>
          <w:sz w:val="32"/>
          <w:szCs w:val="32"/>
          <w:rtl/>
        </w:rPr>
        <w:t>بسم الله الرحمن الرحيم</w:t>
      </w:r>
    </w:p>
    <w:p w14:paraId="68DD096C" w14:textId="77777777" w:rsidR="007230EA" w:rsidRPr="00F27422" w:rsidRDefault="007230EA"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02BF5439" w14:textId="77777777" w:rsidR="007230EA" w:rsidRPr="00F27422" w:rsidRDefault="007230EA" w:rsidP="00122B70">
      <w:pPr>
        <w:bidi/>
        <w:rPr>
          <w:b/>
          <w:bCs/>
          <w:sz w:val="32"/>
          <w:szCs w:val="32"/>
          <w:rtl/>
        </w:rPr>
      </w:pPr>
      <w:r w:rsidRPr="00F27422">
        <w:rPr>
          <w:b/>
          <w:bCs/>
          <w:sz w:val="32"/>
          <w:szCs w:val="32"/>
          <w:rtl/>
        </w:rPr>
        <w:t>واللعن الدائم على أعدائهم أجمعين إلى قيام يوم الدين</w:t>
      </w:r>
    </w:p>
    <w:p w14:paraId="010EB5F9" w14:textId="77777777" w:rsidR="007230EA" w:rsidRPr="00F27422" w:rsidRDefault="007230EA" w:rsidP="00122B70">
      <w:pPr>
        <w:bidi/>
        <w:rPr>
          <w:b/>
          <w:bCs/>
          <w:sz w:val="32"/>
          <w:szCs w:val="32"/>
          <w:rtl/>
        </w:rPr>
      </w:pPr>
    </w:p>
    <w:p w14:paraId="2C67CBD4" w14:textId="77777777" w:rsidR="007230EA" w:rsidRPr="00F27422" w:rsidRDefault="007230EA" w:rsidP="00122B70">
      <w:pPr>
        <w:bidi/>
        <w:rPr>
          <w:b/>
          <w:bCs/>
          <w:sz w:val="32"/>
          <w:szCs w:val="32"/>
          <w:rtl/>
        </w:rPr>
      </w:pPr>
      <w:r w:rsidRPr="00F27422">
        <w:rPr>
          <w:b/>
          <w:bCs/>
          <w:sz w:val="32"/>
          <w:szCs w:val="32"/>
          <w:rtl/>
        </w:rPr>
        <w:t>إنّ البحث في نفوذ عقد الوليّ بعد بلوغ الصغير المولى عليه من جهاتٍ ثلاث</w:t>
      </w:r>
      <w:r w:rsidRPr="00F27422">
        <w:rPr>
          <w:b/>
          <w:bCs/>
          <w:sz w:val="32"/>
          <w:szCs w:val="32"/>
        </w:rPr>
        <w:t>:</w:t>
      </w:r>
    </w:p>
    <w:p w14:paraId="25036199" w14:textId="77777777" w:rsidR="007230EA" w:rsidRPr="00F27422" w:rsidRDefault="007230EA" w:rsidP="00122B70">
      <w:pPr>
        <w:bidi/>
        <w:rPr>
          <w:sz w:val="32"/>
          <w:szCs w:val="32"/>
          <w:rtl/>
        </w:rPr>
      </w:pPr>
      <w:r w:rsidRPr="00F27422">
        <w:rPr>
          <w:b/>
          <w:bCs/>
          <w:sz w:val="32"/>
          <w:szCs w:val="32"/>
          <w:rtl/>
        </w:rPr>
        <w:t>الجهةُ الأُولى:</w:t>
      </w:r>
      <w:r w:rsidRPr="00F27422">
        <w:rPr>
          <w:sz w:val="32"/>
          <w:szCs w:val="32"/>
          <w:rtl/>
        </w:rPr>
        <w:t xml:space="preserve"> هل أنّ العقد لازمٌ في حقّ المولى عليه عند بلوغه أم هو جائز؟</w:t>
      </w:r>
    </w:p>
    <w:p w14:paraId="0DC3EC43" w14:textId="77777777" w:rsidR="007230EA" w:rsidRPr="00F27422" w:rsidRDefault="007230EA" w:rsidP="00122B70">
      <w:pPr>
        <w:bidi/>
        <w:rPr>
          <w:sz w:val="32"/>
          <w:szCs w:val="32"/>
          <w:rtl/>
        </w:rPr>
      </w:pPr>
      <w:r w:rsidRPr="00F27422">
        <w:rPr>
          <w:b/>
          <w:bCs/>
          <w:sz w:val="32"/>
          <w:szCs w:val="32"/>
          <w:rtl/>
        </w:rPr>
        <w:t>الجهةُ الثانية:</w:t>
      </w:r>
      <w:r w:rsidRPr="00F27422">
        <w:rPr>
          <w:sz w:val="32"/>
          <w:szCs w:val="32"/>
          <w:rtl/>
        </w:rPr>
        <w:t xml:space="preserve"> هل الجواز بمعنى الصحّة التأهلية بنحوٍ يكون النفوذ منوطاً بإذن المولى عليه عند بلوغه، كما هو الشأن في عقد الفضولي، حيث إنّ عقد الفضولي صحيحٌ بمعنى الصحّة </w:t>
      </w:r>
      <w:r w:rsidRPr="00F27422">
        <w:rPr>
          <w:sz w:val="32"/>
          <w:szCs w:val="32"/>
          <w:rtl/>
        </w:rPr>
        <w:lastRenderedPageBreak/>
        <w:t>التأهلية - لا الفعلية - ونفوذه بالفعل منوطٌ بإذن الوليّ أو المالك أو المولى عليه عند بلوغه، أم أنّ الجواز بمعنى الصحّة الفعلية، لكن بنحوٍ يكون اللزوم وعدم اللزوم منوطاً بالإمضاء وعدمه مِن قِبَلِ المولى عليه عند بلوغه، كما هو الشأن في العقود الخيارية، فإنّها عقودٌ صحيحةٌ بالفعل ولكن لزومها وعدمه يتوقّف على الإمضاء وعدم الإمضاء، فهل أنّ جواز عقد النكاح في حقّ المولى عليه مِن قبيل عقد الفضولي أو من قبيل العقد الخياري؟</w:t>
      </w:r>
    </w:p>
    <w:p w14:paraId="304B6E9D" w14:textId="77777777" w:rsidR="007230EA" w:rsidRPr="00F27422" w:rsidRDefault="007230EA" w:rsidP="00122B70">
      <w:pPr>
        <w:bidi/>
        <w:rPr>
          <w:sz w:val="32"/>
          <w:szCs w:val="32"/>
          <w:rtl/>
        </w:rPr>
      </w:pPr>
      <w:r w:rsidRPr="00F27422">
        <w:rPr>
          <w:b/>
          <w:bCs/>
          <w:sz w:val="32"/>
          <w:szCs w:val="32"/>
          <w:rtl/>
        </w:rPr>
        <w:t>الجهةُ الثالثة:</w:t>
      </w:r>
      <w:r w:rsidRPr="00F27422">
        <w:rPr>
          <w:sz w:val="32"/>
          <w:szCs w:val="32"/>
          <w:rtl/>
        </w:rPr>
        <w:t xml:space="preserve"> هل هناك تفصيلٌ بين الذكر والأُنثى في المقام؟</w:t>
      </w:r>
    </w:p>
    <w:p w14:paraId="58DF5BEE" w14:textId="77777777" w:rsidR="007230EA" w:rsidRPr="00F27422" w:rsidRDefault="007230EA" w:rsidP="00122B70">
      <w:pPr>
        <w:bidi/>
        <w:rPr>
          <w:sz w:val="32"/>
          <w:szCs w:val="32"/>
          <w:rtl/>
        </w:rPr>
      </w:pPr>
      <w:r w:rsidRPr="00F27422">
        <w:rPr>
          <w:sz w:val="32"/>
          <w:szCs w:val="32"/>
          <w:rtl/>
        </w:rPr>
        <w:t xml:space="preserve">حيث ذهب الشيخ (رحمه الله) في التهذيبين والنهاية وابن </w:t>
      </w:r>
      <w:proofErr w:type="spellStart"/>
      <w:r w:rsidRPr="00F27422">
        <w:rPr>
          <w:sz w:val="32"/>
          <w:szCs w:val="32"/>
          <w:rtl/>
        </w:rPr>
        <w:t>البراج</w:t>
      </w:r>
      <w:proofErr w:type="spellEnd"/>
      <w:r w:rsidRPr="00F27422">
        <w:rPr>
          <w:sz w:val="32"/>
          <w:szCs w:val="32"/>
          <w:rtl/>
        </w:rPr>
        <w:t xml:space="preserve"> في المهذب وابن إدريس في السرائر وابن حمزة في الوسيلة لثبوت الخيار للصبي عند بلوغه دون الصبيّة</w:t>
      </w:r>
      <w:r w:rsidRPr="00F27422">
        <w:rPr>
          <w:sz w:val="32"/>
          <w:szCs w:val="32"/>
        </w:rPr>
        <w:t>.</w:t>
      </w:r>
    </w:p>
    <w:p w14:paraId="0BD6A852" w14:textId="77777777" w:rsidR="007230EA" w:rsidRPr="00F27422" w:rsidRDefault="007230EA" w:rsidP="00122B70">
      <w:pPr>
        <w:bidi/>
        <w:rPr>
          <w:sz w:val="32"/>
          <w:szCs w:val="32"/>
          <w:rtl/>
        </w:rPr>
      </w:pPr>
      <w:r w:rsidRPr="00F27422">
        <w:rPr>
          <w:sz w:val="32"/>
          <w:szCs w:val="32"/>
          <w:rtl/>
        </w:rPr>
        <w:t>كما أنّ هناك بحثاً في ثبوت التوارث بينهما، أو اختصاص الإرث بموت الصبي.</w:t>
      </w:r>
    </w:p>
    <w:p w14:paraId="45040E55" w14:textId="77777777" w:rsidR="007230EA" w:rsidRPr="00F27422" w:rsidRDefault="007230EA" w:rsidP="00122B70">
      <w:pPr>
        <w:bidi/>
        <w:rPr>
          <w:b/>
          <w:bCs/>
          <w:sz w:val="32"/>
          <w:szCs w:val="32"/>
          <w:rtl/>
        </w:rPr>
      </w:pPr>
      <w:r w:rsidRPr="00F27422">
        <w:rPr>
          <w:b/>
          <w:bCs/>
          <w:sz w:val="32"/>
          <w:szCs w:val="32"/>
          <w:rtl/>
        </w:rPr>
        <w:t>والروايات في المقام على طوائف</w:t>
      </w:r>
      <w:r w:rsidRPr="00F27422">
        <w:rPr>
          <w:b/>
          <w:bCs/>
          <w:sz w:val="32"/>
          <w:szCs w:val="32"/>
        </w:rPr>
        <w:t>:</w:t>
      </w:r>
    </w:p>
    <w:p w14:paraId="47A6A3BA" w14:textId="77777777" w:rsidR="007230EA" w:rsidRPr="00F27422" w:rsidRDefault="007230EA" w:rsidP="00122B70">
      <w:pPr>
        <w:bidi/>
        <w:rPr>
          <w:sz w:val="32"/>
          <w:szCs w:val="32"/>
          <w:rtl/>
        </w:rPr>
      </w:pPr>
      <w:r w:rsidRPr="00F27422">
        <w:rPr>
          <w:b/>
          <w:bCs/>
          <w:sz w:val="32"/>
          <w:szCs w:val="32"/>
          <w:rtl/>
        </w:rPr>
        <w:t>الطائفةُ الأُولى:</w:t>
      </w:r>
      <w:r w:rsidRPr="00F27422">
        <w:rPr>
          <w:sz w:val="32"/>
          <w:szCs w:val="32"/>
          <w:rtl/>
        </w:rPr>
        <w:t xml:space="preserve"> ما دلّ على لزوم العقد في حق الصغيرة، كصحيحة محمّد بن إسماعيل بن بزيع، وصحيحة علي بن يقطين، وصحيحة </w:t>
      </w:r>
      <w:proofErr w:type="gramStart"/>
      <w:r w:rsidRPr="00F27422">
        <w:rPr>
          <w:sz w:val="32"/>
          <w:szCs w:val="32"/>
          <w:rtl/>
        </w:rPr>
        <w:t>عبدالله</w:t>
      </w:r>
      <w:proofErr w:type="gramEnd"/>
      <w:r w:rsidRPr="00F27422">
        <w:rPr>
          <w:sz w:val="32"/>
          <w:szCs w:val="32"/>
          <w:rtl/>
        </w:rPr>
        <w:t xml:space="preserve"> بن الصلت، وقد سبق بحثها مفصلاً</w:t>
      </w:r>
      <w:r w:rsidRPr="00F27422">
        <w:rPr>
          <w:sz w:val="32"/>
          <w:szCs w:val="32"/>
        </w:rPr>
        <w:t>.</w:t>
      </w:r>
    </w:p>
    <w:p w14:paraId="5EE3F008" w14:textId="77777777" w:rsidR="007230EA" w:rsidRPr="00F27422" w:rsidRDefault="007230EA" w:rsidP="00122B70">
      <w:pPr>
        <w:bidi/>
        <w:rPr>
          <w:sz w:val="32"/>
          <w:szCs w:val="32"/>
          <w:rtl/>
        </w:rPr>
      </w:pPr>
      <w:r w:rsidRPr="00F27422">
        <w:rPr>
          <w:b/>
          <w:bCs/>
          <w:sz w:val="32"/>
          <w:szCs w:val="32"/>
          <w:rtl/>
        </w:rPr>
        <w:t>الطائفةُ الثانية:</w:t>
      </w:r>
      <w:r w:rsidRPr="00F27422">
        <w:rPr>
          <w:sz w:val="32"/>
          <w:szCs w:val="32"/>
          <w:rtl/>
        </w:rPr>
        <w:t xml:space="preserve"> ما دلّ على التوارث بينهما عند موت أيٍّ منهما، كصحيح محمّد بن مسلم، ومعتبرة عبيد بن زرارة، وقد مضى البحث فيهما أيضاً</w:t>
      </w:r>
      <w:r w:rsidRPr="00F27422">
        <w:rPr>
          <w:sz w:val="32"/>
          <w:szCs w:val="32"/>
        </w:rPr>
        <w:t>.</w:t>
      </w:r>
    </w:p>
    <w:p w14:paraId="697C5E76" w14:textId="77777777" w:rsidR="007230EA" w:rsidRPr="00F27422" w:rsidRDefault="007230EA" w:rsidP="00122B70">
      <w:pPr>
        <w:bidi/>
        <w:rPr>
          <w:sz w:val="32"/>
          <w:szCs w:val="32"/>
          <w:rtl/>
        </w:rPr>
      </w:pPr>
      <w:r w:rsidRPr="00F27422">
        <w:rPr>
          <w:b/>
          <w:bCs/>
          <w:sz w:val="32"/>
          <w:szCs w:val="32"/>
          <w:rtl/>
        </w:rPr>
        <w:t>الطائفةُ الثالثة:</w:t>
      </w:r>
      <w:r w:rsidRPr="00F27422">
        <w:rPr>
          <w:sz w:val="32"/>
          <w:szCs w:val="32"/>
          <w:rtl/>
        </w:rPr>
        <w:t xml:space="preserve"> ما دلّ على ثبوت المهر</w:t>
      </w:r>
      <w:r w:rsidRPr="00F27422">
        <w:rPr>
          <w:sz w:val="32"/>
          <w:szCs w:val="32"/>
        </w:rPr>
        <w:t>.</w:t>
      </w:r>
    </w:p>
    <w:p w14:paraId="6340C2DC" w14:textId="215088A1" w:rsidR="007230EA" w:rsidRPr="00F27422" w:rsidRDefault="007230EA" w:rsidP="00122B70">
      <w:pPr>
        <w:bidi/>
        <w:rPr>
          <w:sz w:val="32"/>
          <w:szCs w:val="32"/>
          <w:rtl/>
        </w:rPr>
      </w:pPr>
      <w:r w:rsidRPr="00F27422">
        <w:rPr>
          <w:sz w:val="32"/>
          <w:szCs w:val="32"/>
          <w:rtl/>
        </w:rPr>
        <w:t xml:space="preserve">كموثقة عبيد بن زرارة، كما في الوسائل: </w:t>
      </w:r>
      <w:r w:rsidRPr="00F27422">
        <w:rPr>
          <w:b/>
          <w:bCs/>
          <w:sz w:val="32"/>
          <w:szCs w:val="32"/>
          <w:rtl/>
        </w:rPr>
        <w:t xml:space="preserve">(محمّد بن يعقوب، عن محمّد بن يحيى، عن أحمد بن محمّد، عن الحسن بن علي بن فضال، عن </w:t>
      </w:r>
      <w:proofErr w:type="gramStart"/>
      <w:r w:rsidRPr="00F27422">
        <w:rPr>
          <w:b/>
          <w:bCs/>
          <w:sz w:val="32"/>
          <w:szCs w:val="32"/>
          <w:rtl/>
        </w:rPr>
        <w:t>عبدالله</w:t>
      </w:r>
      <w:proofErr w:type="gramEnd"/>
      <w:r w:rsidRPr="00F27422">
        <w:rPr>
          <w:b/>
          <w:bCs/>
          <w:sz w:val="32"/>
          <w:szCs w:val="32"/>
          <w:rtl/>
        </w:rPr>
        <w:t xml:space="preserve"> بن بكير، عن عبيد بن </w:t>
      </w:r>
      <w:r w:rsidR="005B3F32" w:rsidRPr="00F27422">
        <w:rPr>
          <w:rFonts w:hint="cs"/>
          <w:b/>
          <w:bCs/>
          <w:sz w:val="32"/>
          <w:szCs w:val="32"/>
          <w:rtl/>
        </w:rPr>
        <w:t>زرارة</w:t>
      </w:r>
      <w:r w:rsidRPr="00F27422">
        <w:rPr>
          <w:b/>
          <w:bCs/>
          <w:sz w:val="32"/>
          <w:szCs w:val="32"/>
          <w:rtl/>
        </w:rPr>
        <w:t xml:space="preserve"> قال: سألت أبا </w:t>
      </w:r>
      <w:proofErr w:type="gramStart"/>
      <w:r w:rsidRPr="00F27422">
        <w:rPr>
          <w:b/>
          <w:bCs/>
          <w:sz w:val="32"/>
          <w:szCs w:val="32"/>
          <w:rtl/>
        </w:rPr>
        <w:t>عبدالله</w:t>
      </w:r>
      <w:proofErr w:type="gramEnd"/>
      <w:r w:rsidRPr="00F27422">
        <w:rPr>
          <w:b/>
          <w:bCs/>
          <w:sz w:val="32"/>
          <w:szCs w:val="32"/>
          <w:rtl/>
        </w:rPr>
        <w:t xml:space="preserve"> (عليه السلام) عن الرجل يزوج ابنه وهو صغير؟ قال: إن كان لابنه مال فعليه المهر، وإن لم يكن للابن مال فالأب ضامن المهر، ضمن أو لم يضمن).</w:t>
      </w:r>
      <w:r w:rsidRPr="00F27422">
        <w:rPr>
          <w:sz w:val="32"/>
          <w:szCs w:val="32"/>
          <w:rtl/>
        </w:rPr>
        <w:t xml:space="preserve"> [وسائل الشيعة، الحر العاملي، تحقيق مؤسسة أهل البيت (عليهم السلام) لإحياء التراث، ج21، كتاب النكاح، أبواب المهور، الباب 28 باب أنّ من زوج ابنه الصغير وضمن المهر أو لم يكن للابن مال فالمهر على الأب وإلا فعلى الابن، ح1]</w:t>
      </w:r>
      <w:r w:rsidRPr="00F27422">
        <w:rPr>
          <w:sz w:val="32"/>
          <w:szCs w:val="32"/>
        </w:rPr>
        <w:t>.</w:t>
      </w:r>
    </w:p>
    <w:p w14:paraId="468064A3" w14:textId="77777777" w:rsidR="007230EA" w:rsidRPr="00F27422" w:rsidRDefault="007230EA" w:rsidP="00122B70">
      <w:pPr>
        <w:bidi/>
        <w:rPr>
          <w:sz w:val="32"/>
          <w:szCs w:val="32"/>
          <w:rtl/>
        </w:rPr>
      </w:pPr>
      <w:r w:rsidRPr="00F27422">
        <w:rPr>
          <w:sz w:val="32"/>
          <w:szCs w:val="32"/>
          <w:rtl/>
        </w:rPr>
        <w:t xml:space="preserve">ومعنى قوله (عليه السلام): </w:t>
      </w:r>
      <w:r w:rsidRPr="00F27422">
        <w:rPr>
          <w:b/>
          <w:bCs/>
          <w:sz w:val="32"/>
          <w:szCs w:val="32"/>
          <w:rtl/>
        </w:rPr>
        <w:t>(ضمن أو لم يضمن)</w:t>
      </w:r>
      <w:r w:rsidRPr="00F27422">
        <w:rPr>
          <w:sz w:val="32"/>
          <w:szCs w:val="32"/>
          <w:rtl/>
        </w:rPr>
        <w:t xml:space="preserve"> أي: تعهد بذلك أم لم يتعهد</w:t>
      </w:r>
      <w:r w:rsidRPr="00F27422">
        <w:rPr>
          <w:sz w:val="32"/>
          <w:szCs w:val="32"/>
        </w:rPr>
        <w:t>.</w:t>
      </w:r>
    </w:p>
    <w:p w14:paraId="46A19E93" w14:textId="177FBBF7" w:rsidR="007230EA" w:rsidRPr="00F27422" w:rsidRDefault="007230EA" w:rsidP="00122B70">
      <w:pPr>
        <w:bidi/>
        <w:rPr>
          <w:sz w:val="32"/>
          <w:szCs w:val="32"/>
          <w:rtl/>
        </w:rPr>
      </w:pPr>
      <w:r w:rsidRPr="00F27422">
        <w:rPr>
          <w:sz w:val="32"/>
          <w:szCs w:val="32"/>
          <w:rtl/>
        </w:rPr>
        <w:t xml:space="preserve">ومعتبرة الفضل بن </w:t>
      </w:r>
      <w:r w:rsidR="00A25667" w:rsidRPr="00F27422">
        <w:rPr>
          <w:rFonts w:hint="cs"/>
          <w:sz w:val="32"/>
          <w:szCs w:val="32"/>
          <w:rtl/>
        </w:rPr>
        <w:t>عبد الملك</w:t>
      </w:r>
      <w:r w:rsidRPr="00F27422">
        <w:rPr>
          <w:sz w:val="32"/>
          <w:szCs w:val="32"/>
          <w:rtl/>
        </w:rPr>
        <w:t xml:space="preserve"> على بعض المباني، كما في الوسائل: </w:t>
      </w:r>
      <w:r w:rsidRPr="00F27422">
        <w:rPr>
          <w:b/>
          <w:bCs/>
          <w:sz w:val="32"/>
          <w:szCs w:val="32"/>
          <w:rtl/>
        </w:rPr>
        <w:t xml:space="preserve">(وعنه، عن </w:t>
      </w:r>
      <w:proofErr w:type="gramStart"/>
      <w:r w:rsidRPr="00F27422">
        <w:rPr>
          <w:b/>
          <w:bCs/>
          <w:sz w:val="32"/>
          <w:szCs w:val="32"/>
          <w:rtl/>
        </w:rPr>
        <w:t>عبدالله</w:t>
      </w:r>
      <w:proofErr w:type="gramEnd"/>
      <w:r w:rsidRPr="00F27422">
        <w:rPr>
          <w:b/>
          <w:bCs/>
          <w:sz w:val="32"/>
          <w:szCs w:val="32"/>
          <w:rtl/>
        </w:rPr>
        <w:t xml:space="preserve"> بن محمّد، عن علي بن الحكم، عن أبان بن عثمان، عن الفضل بن </w:t>
      </w:r>
      <w:proofErr w:type="gramStart"/>
      <w:r w:rsidRPr="00F27422">
        <w:rPr>
          <w:b/>
          <w:bCs/>
          <w:sz w:val="32"/>
          <w:szCs w:val="32"/>
          <w:rtl/>
        </w:rPr>
        <w:t>عبدالملك</w:t>
      </w:r>
      <w:proofErr w:type="gramEnd"/>
      <w:r w:rsidRPr="00F27422">
        <w:rPr>
          <w:b/>
          <w:bCs/>
          <w:sz w:val="32"/>
          <w:szCs w:val="32"/>
          <w:rtl/>
        </w:rPr>
        <w:t xml:space="preserve"> قال: سألتُ أبا </w:t>
      </w:r>
      <w:proofErr w:type="gramStart"/>
      <w:r w:rsidRPr="00F27422">
        <w:rPr>
          <w:b/>
          <w:bCs/>
          <w:sz w:val="32"/>
          <w:szCs w:val="32"/>
          <w:rtl/>
        </w:rPr>
        <w:t>عبدالله</w:t>
      </w:r>
      <w:proofErr w:type="gramEnd"/>
      <w:r w:rsidRPr="00F27422">
        <w:rPr>
          <w:b/>
          <w:bCs/>
          <w:sz w:val="32"/>
          <w:szCs w:val="32"/>
          <w:rtl/>
        </w:rPr>
        <w:t xml:space="preserve"> (عليه السلام) عن الرجل يزوج ابنه وهو صغير؟ قال: لا بأس، قلتُ: يجوز طلاق </w:t>
      </w:r>
      <w:r w:rsidRPr="00F27422">
        <w:rPr>
          <w:b/>
          <w:bCs/>
          <w:sz w:val="32"/>
          <w:szCs w:val="32"/>
          <w:rtl/>
        </w:rPr>
        <w:lastRenderedPageBreak/>
        <w:t xml:space="preserve">الأب؟ قال: لا، قلتُ: على من الصداق؟ قال: على الأب </w:t>
      </w:r>
      <w:r w:rsidRPr="00F27422">
        <w:rPr>
          <w:b/>
          <w:bCs/>
          <w:sz w:val="32"/>
          <w:szCs w:val="32"/>
          <w:highlight w:val="red"/>
          <w:rtl/>
        </w:rPr>
        <w:t>إن كان ضمنه لهم</w:t>
      </w:r>
      <w:r w:rsidRPr="00F27422">
        <w:rPr>
          <w:b/>
          <w:bCs/>
          <w:sz w:val="32"/>
          <w:szCs w:val="32"/>
          <w:rtl/>
        </w:rPr>
        <w:t xml:space="preserve">، وإن لم يكن ضمنه، فهو على الغلام، إلّا </w:t>
      </w:r>
      <w:proofErr w:type="gramStart"/>
      <w:r w:rsidRPr="00F27422">
        <w:rPr>
          <w:b/>
          <w:bCs/>
          <w:sz w:val="32"/>
          <w:szCs w:val="32"/>
          <w:rtl/>
        </w:rPr>
        <w:t>أن لا</w:t>
      </w:r>
      <w:proofErr w:type="gramEnd"/>
      <w:r w:rsidRPr="00F27422">
        <w:rPr>
          <w:b/>
          <w:bCs/>
          <w:sz w:val="32"/>
          <w:szCs w:val="32"/>
          <w:rtl/>
        </w:rPr>
        <w:t xml:space="preserve"> يكون للغلام مال فهو ضامن له وإن لم يكن ضمن، وقال: إذا زوج الرجل ابنه فذاك إلى ابنه، وإن زوج الابنة جاز).</w:t>
      </w:r>
      <w:r w:rsidRPr="00F27422">
        <w:rPr>
          <w:sz w:val="32"/>
          <w:szCs w:val="32"/>
          <w:rtl/>
        </w:rPr>
        <w:t xml:space="preserve"> [المصدر السابق، ح2]</w:t>
      </w:r>
      <w:r w:rsidRPr="00F27422">
        <w:rPr>
          <w:sz w:val="32"/>
          <w:szCs w:val="32"/>
        </w:rPr>
        <w:t>.</w:t>
      </w:r>
    </w:p>
    <w:p w14:paraId="414D53AE" w14:textId="77777777" w:rsidR="007230EA" w:rsidRPr="00F27422" w:rsidRDefault="007230EA" w:rsidP="00122B70">
      <w:pPr>
        <w:bidi/>
        <w:rPr>
          <w:sz w:val="32"/>
          <w:szCs w:val="32"/>
          <w:rtl/>
        </w:rPr>
      </w:pPr>
      <w:r w:rsidRPr="00F27422">
        <w:rPr>
          <w:sz w:val="32"/>
          <w:szCs w:val="32"/>
          <w:rtl/>
        </w:rPr>
        <w:t xml:space="preserve">وقد استفاد صاحب الحدائق (رضوان الله عليه) في [الحدائق الناضرة في أحكام العترة الطاهرة، الشيخ يوسف البحراني، مؤسسة النشر الإسلامي التابعة لجماعة المدرسين بقم المشرفة، ج23، ص206]، من عدّة روايات لزوم العقد في حقّ الصبي بعد بلوغه، قائلاً في التعليق على رواية الحلبي كما في الفقيه: </w:t>
      </w:r>
      <w:r w:rsidRPr="00F27422">
        <w:rPr>
          <w:b/>
          <w:bCs/>
          <w:sz w:val="32"/>
          <w:szCs w:val="32"/>
          <w:rtl/>
        </w:rPr>
        <w:t>(وروى الحسن بن محبوب، عن عليّ بن الحسن بن رباط، عن ابن مسكان، عن الحلبي قال: قلتُ لأبي عبدالله (عليه السلام): الغلام له عشر سنين فيزوجه أبوه في صغره أَ يجوزُ طلاقُهُ وهو ابن عشر سنين؟ قال: فقال: أمّا التَّزويج فصحيحٌ وأمّا طلاقه فينبغي أنْ تُحْبَسَ عليه امرأتُهُ حتى يُدْرك فيُعْلَمَ أنّه كان قد طلَّقَ فإنْ أقرَّ بذلك وأمضاه فهي واحدةٌ بائنةٌ وهو خاطِبٌ من الخُطَّاب وإنْ أنكر ذلك وأبي أنْ يُمضيَهُ فهي امرأتُهُ، قلتُ: فإنْ ماتتْ أو ماتَ؟ فقال: يُوقَفُ الميراث حتى يُدْرك أيُّهُما بقيَ ثُمَّ يُحَلَّفُ بالله ما دعاهُ إلى أخذ الميراث إلَّا الرِّضا بالنكاح ويُدفع إليه الميراث).</w:t>
      </w:r>
      <w:r w:rsidRPr="00F27422">
        <w:rPr>
          <w:sz w:val="32"/>
          <w:szCs w:val="32"/>
          <w:rtl/>
        </w:rPr>
        <w:t xml:space="preserve"> [من لا يحضره الفقيه، الشيخ الصدوق، مؤسسة النشر الإسلامي التابعة لجماعة المدرسين بقم المشرفة، ج4، كتاب الفرائض والمواريث، باب ميراث الصبيين يُزوَّجان ثمّ يموت أحدهما، ح3].</w:t>
      </w:r>
    </w:p>
    <w:p w14:paraId="4E9011BA" w14:textId="77777777" w:rsidR="007230EA" w:rsidRPr="00F27422" w:rsidRDefault="007230EA" w:rsidP="00122B70">
      <w:pPr>
        <w:bidi/>
        <w:rPr>
          <w:sz w:val="32"/>
          <w:szCs w:val="32"/>
          <w:rtl/>
        </w:rPr>
      </w:pPr>
      <w:r w:rsidRPr="00F27422">
        <w:rPr>
          <w:sz w:val="32"/>
          <w:szCs w:val="32"/>
          <w:rtl/>
        </w:rPr>
        <w:t xml:space="preserve">قال في الحدائق: </w:t>
      </w:r>
      <w:r w:rsidRPr="00F27422">
        <w:rPr>
          <w:b/>
          <w:bCs/>
          <w:sz w:val="32"/>
          <w:szCs w:val="32"/>
          <w:rtl/>
        </w:rPr>
        <w:t>(وهو ظاهر في المراد).</w:t>
      </w:r>
    </w:p>
    <w:p w14:paraId="0804EC68" w14:textId="77777777" w:rsidR="007230EA" w:rsidRPr="00F27422" w:rsidRDefault="007230EA" w:rsidP="00122B70">
      <w:pPr>
        <w:bidi/>
        <w:rPr>
          <w:sz w:val="32"/>
          <w:szCs w:val="32"/>
          <w:rtl/>
        </w:rPr>
      </w:pPr>
      <w:r w:rsidRPr="00F27422">
        <w:rPr>
          <w:sz w:val="32"/>
          <w:szCs w:val="32"/>
          <w:rtl/>
        </w:rPr>
        <w:t>وقال في التعليق على صحيح محمّد بن مسلم الدال على ثبوت التوارث بينهما في قوله (عليه السلام): (</w:t>
      </w:r>
      <w:r w:rsidRPr="00F27422">
        <w:rPr>
          <w:b/>
          <w:bCs/>
          <w:sz w:val="32"/>
          <w:szCs w:val="32"/>
          <w:rtl/>
        </w:rPr>
        <w:t xml:space="preserve">إذا كان أبواهما اللذان زوجاهما فنعم)، </w:t>
      </w:r>
      <w:r w:rsidRPr="00F27422">
        <w:rPr>
          <w:sz w:val="32"/>
          <w:szCs w:val="32"/>
          <w:rtl/>
        </w:rPr>
        <w:t xml:space="preserve">وخبر عبيد بن زرارة، فقال في الحدائق [ص206 – 207]: </w:t>
      </w:r>
      <w:r w:rsidRPr="00F27422">
        <w:rPr>
          <w:b/>
          <w:bCs/>
          <w:sz w:val="32"/>
          <w:szCs w:val="32"/>
          <w:rtl/>
        </w:rPr>
        <w:t>(والتقريب فيهما أنه رتب (عليه السلام) التوارث الذي هو ثمرة النكاح الصحيح – ولو كان التوارث قبل بلوغ كل منهما بأن ماتا صغيرين – على مجرد كون تزويجهما من الأبوين، ولو توقف صحته على الاختيار بعد البلوغ كما يدعيه ذلك القائل لما حسن ذلك ولا صح، وهذا بحمد الله سبحانه ظاهر للناظرين).</w:t>
      </w:r>
    </w:p>
    <w:p w14:paraId="3FEE1178" w14:textId="77777777" w:rsidR="007230EA" w:rsidRPr="00F27422" w:rsidRDefault="007230EA" w:rsidP="00122B70">
      <w:pPr>
        <w:bidi/>
        <w:rPr>
          <w:sz w:val="32"/>
          <w:szCs w:val="32"/>
          <w:rtl/>
        </w:rPr>
      </w:pPr>
      <w:r w:rsidRPr="00F27422">
        <w:rPr>
          <w:sz w:val="32"/>
          <w:szCs w:val="32"/>
          <w:rtl/>
        </w:rPr>
        <w:t>ويضاف إليه أنّ تعبيره بـ "عليه المهر" و "جائز " ظاهرٌ كذلك في أنّ العقد لازمٌ من دون توقف على إجازة.</w:t>
      </w:r>
    </w:p>
    <w:p w14:paraId="2B211192" w14:textId="77777777" w:rsidR="007230EA" w:rsidRPr="00F27422" w:rsidRDefault="007230EA" w:rsidP="00122B70">
      <w:pPr>
        <w:bidi/>
        <w:rPr>
          <w:sz w:val="32"/>
          <w:szCs w:val="32"/>
          <w:rtl/>
        </w:rPr>
      </w:pPr>
      <w:r w:rsidRPr="00F27422">
        <w:rPr>
          <w:sz w:val="32"/>
          <w:szCs w:val="32"/>
          <w:rtl/>
        </w:rPr>
        <w:t>وقد ناقش ذلك الفقيه النبيه سيد المستمسك السيد الحكيم (أعلى الله مقامه) في كتابه [مستمسك العروة الوثقى، دار إحياء التراث العربي، الطبعة الرابعة، ج14، ص454] بأنّ غاية ما تدل عليه الروايات هو أصل الصحّة وهو مما لا يتنافى مع ثبوت الخيار.</w:t>
      </w:r>
    </w:p>
    <w:p w14:paraId="2EABD3E0" w14:textId="77777777" w:rsidR="007230EA" w:rsidRPr="00F27422" w:rsidRDefault="007230EA" w:rsidP="00122B70">
      <w:pPr>
        <w:bidi/>
        <w:rPr>
          <w:sz w:val="32"/>
          <w:szCs w:val="32"/>
          <w:rtl/>
        </w:rPr>
      </w:pPr>
      <w:r w:rsidRPr="00F27422">
        <w:rPr>
          <w:sz w:val="32"/>
          <w:szCs w:val="32"/>
          <w:rtl/>
        </w:rPr>
        <w:lastRenderedPageBreak/>
        <w:t xml:space="preserve">قال (قدس سره الشريف): </w:t>
      </w:r>
      <w:r w:rsidRPr="00F27422">
        <w:rPr>
          <w:b/>
          <w:bCs/>
          <w:sz w:val="32"/>
          <w:szCs w:val="32"/>
          <w:rtl/>
        </w:rPr>
        <w:t>(بذلك استدل في الحدائق. لكن دلالته على نفي الخيار غير ظاهرة، لأن صحة العقد لا تنافي الخيار، بل هي موضوع للخيار. ومثله ما دل على توارثهما إذا زوجهما الأبوان، فإن التوارث إنما يدل على الصحة لا غير، وهي لا تنافي الخيار. وعلى هذا ينحصر دليل نفي الخيار في الصغير بما دل على اللزوم)</w:t>
      </w:r>
      <w:r w:rsidRPr="00F27422">
        <w:rPr>
          <w:sz w:val="32"/>
          <w:szCs w:val="32"/>
          <w:rtl/>
        </w:rPr>
        <w:t xml:space="preserve"> أي: بالمدلول المطابقي، وإلّا فمجرد وجود دليل على الصحّة لا ينافي أنّه صحيحٌ صحّة متزلزلة بحيث يتوقّف لزومه على الإمضاء وعدم الخيار</w:t>
      </w:r>
      <w:r w:rsidRPr="00F27422">
        <w:rPr>
          <w:sz w:val="32"/>
          <w:szCs w:val="32"/>
        </w:rPr>
        <w:t>.</w:t>
      </w:r>
    </w:p>
    <w:p w14:paraId="10EBF6F1" w14:textId="77777777" w:rsidR="007230EA" w:rsidRPr="00F27422" w:rsidRDefault="007230EA" w:rsidP="00122B70">
      <w:pPr>
        <w:bidi/>
        <w:rPr>
          <w:sz w:val="32"/>
          <w:szCs w:val="32"/>
          <w:rtl/>
        </w:rPr>
      </w:pPr>
      <w:r w:rsidRPr="00F27422">
        <w:rPr>
          <w:sz w:val="32"/>
          <w:szCs w:val="32"/>
          <w:rtl/>
        </w:rPr>
        <w:t xml:space="preserve">وانتصر سيدنا الخوئي (قدس سره الشريف) لدعوى صاحب الحدائق (رضوان الله عليه) كما في موسوعته المباركة في كتابه [المباني في شرح العروة الوثقى، كتاب النكاح، ج33، ص227] حيث قال: </w:t>
      </w:r>
      <w:r w:rsidRPr="00F27422">
        <w:rPr>
          <w:b/>
          <w:bCs/>
          <w:sz w:val="32"/>
          <w:szCs w:val="32"/>
          <w:rtl/>
        </w:rPr>
        <w:t>(ودعوى أنّ الصحّة لا تنافي عدم اللزوم وثبوت الخيار، نظراً إلى أن موضوع الخيار هو العقد المحكوم بالصحّة)</w:t>
      </w:r>
      <w:r w:rsidRPr="00F27422">
        <w:rPr>
          <w:sz w:val="32"/>
          <w:szCs w:val="32"/>
          <w:rtl/>
        </w:rPr>
        <w:t xml:space="preserve"> فلا يتصور الخيار أصلاً إلّا في العقد الصحيح </w:t>
      </w:r>
      <w:r w:rsidRPr="00F27422">
        <w:rPr>
          <w:b/>
          <w:bCs/>
          <w:sz w:val="32"/>
          <w:szCs w:val="32"/>
          <w:rtl/>
        </w:rPr>
        <w:t>(إذ لا مجال للبحث عن الخيار في العقد المحكوم بالبطلان)</w:t>
      </w:r>
      <w:r w:rsidRPr="00F27422">
        <w:rPr>
          <w:sz w:val="32"/>
          <w:szCs w:val="32"/>
          <w:rtl/>
        </w:rPr>
        <w:t xml:space="preserve"> هذه الدعوى: </w:t>
      </w:r>
      <w:r w:rsidRPr="00F27422">
        <w:rPr>
          <w:b/>
          <w:bCs/>
          <w:sz w:val="32"/>
          <w:szCs w:val="32"/>
          <w:rtl/>
        </w:rPr>
        <w:t>(مدفوعة بأن موضوع الخيار إنما هو نفس الصحّة، وعدم الخيار) هنا (مستفاد من إطلاقها لا منها بنفسها، فلا يكون هناك أي محذور)</w:t>
      </w:r>
      <w:r w:rsidRPr="00F27422">
        <w:rPr>
          <w:b/>
          <w:bCs/>
          <w:sz w:val="32"/>
          <w:szCs w:val="32"/>
        </w:rPr>
        <w:t>.</w:t>
      </w:r>
    </w:p>
    <w:p w14:paraId="476D48BA" w14:textId="77777777" w:rsidR="007230EA" w:rsidRPr="00F27422" w:rsidRDefault="007230EA" w:rsidP="00122B70">
      <w:pPr>
        <w:bidi/>
        <w:rPr>
          <w:sz w:val="32"/>
          <w:szCs w:val="32"/>
          <w:rtl/>
        </w:rPr>
      </w:pPr>
      <w:r w:rsidRPr="00F27422">
        <w:rPr>
          <w:sz w:val="32"/>
          <w:szCs w:val="32"/>
          <w:rtl/>
        </w:rPr>
        <w:t>بمعنى: أنّ صاحب الحدائق (رضوان الله عليه) لَمْ يستفد اللزوم وعدم الخيار مِن أصل التعبير بـ "الجواز" أو الـ "صحيح" وإنّما استفاد اللزوم مِن الإطلاق</w:t>
      </w:r>
      <w:r w:rsidRPr="00F27422">
        <w:rPr>
          <w:sz w:val="32"/>
          <w:szCs w:val="32"/>
        </w:rPr>
        <w:t>.</w:t>
      </w:r>
    </w:p>
    <w:p w14:paraId="468BE4DB" w14:textId="77777777" w:rsidR="007230EA" w:rsidRPr="00F27422" w:rsidRDefault="007230EA" w:rsidP="00122B70">
      <w:pPr>
        <w:bidi/>
        <w:rPr>
          <w:sz w:val="32"/>
          <w:szCs w:val="32"/>
          <w:rtl/>
        </w:rPr>
      </w:pPr>
      <w:r w:rsidRPr="00F27422">
        <w:rPr>
          <w:b/>
          <w:bCs/>
          <w:sz w:val="32"/>
          <w:szCs w:val="32"/>
          <w:rtl/>
        </w:rPr>
        <w:t>ولكن:</w:t>
      </w:r>
      <w:r w:rsidRPr="00F27422">
        <w:rPr>
          <w:sz w:val="32"/>
          <w:szCs w:val="32"/>
          <w:rtl/>
        </w:rPr>
        <w:t xml:space="preserve"> إنْ كان منظورُ سيدنا الخوئي (قدس سره الشريف) في انتصاره لصاحب الحدائق (رضوان الله عليه) هو التمسك بالإطلاق المقامي، بمعنى: أنّ هذه الروايات إذا لوحظ مجموعها وهي في مقام البيان والتنبيه ومع ذلك لَمْ تنبه على أنّ للصبي إذا بلغ الخيار، مع كون البلوغ من الأحوال والملابسات العرفية الواضحة التي يلتفت إليها العرف عند السؤال والجواب، فعدمُ التنبيه موجبٌ لانعقاد الإطلاق المقامي، ومقتضى الإطلاق المقامي هو اللزوم وعدم التوقّف على إمضائه بحيث لو فسخ ففسخه لا أثر له، فإذا كان هذا هو منظور سيدنا الخوئي (قدس سره الشريف) فنعم</w:t>
      </w:r>
      <w:r w:rsidRPr="00F27422">
        <w:rPr>
          <w:sz w:val="32"/>
          <w:szCs w:val="32"/>
        </w:rPr>
        <w:t>.</w:t>
      </w:r>
    </w:p>
    <w:p w14:paraId="7FD784DD" w14:textId="77777777" w:rsidR="007230EA" w:rsidRPr="00F27422" w:rsidRDefault="007230EA" w:rsidP="00122B70">
      <w:pPr>
        <w:bidi/>
        <w:rPr>
          <w:sz w:val="32"/>
          <w:szCs w:val="32"/>
          <w:rtl/>
        </w:rPr>
      </w:pPr>
      <w:r w:rsidRPr="00F27422">
        <w:rPr>
          <w:sz w:val="32"/>
          <w:szCs w:val="32"/>
          <w:rtl/>
        </w:rPr>
        <w:t xml:space="preserve">وأمّا إذا كان المنظورُ هو الإطلاق اللفظي </w:t>
      </w:r>
      <w:proofErr w:type="spellStart"/>
      <w:r w:rsidRPr="00F27422">
        <w:rPr>
          <w:sz w:val="32"/>
          <w:szCs w:val="32"/>
          <w:rtl/>
        </w:rPr>
        <w:t>لعنوان"لا</w:t>
      </w:r>
      <w:proofErr w:type="spellEnd"/>
      <w:r w:rsidRPr="00F27422">
        <w:rPr>
          <w:sz w:val="32"/>
          <w:szCs w:val="32"/>
          <w:rtl/>
        </w:rPr>
        <w:t xml:space="preserve"> بأس به" </w:t>
      </w:r>
      <w:proofErr w:type="gramStart"/>
      <w:r w:rsidRPr="00F27422">
        <w:rPr>
          <w:sz w:val="32"/>
          <w:szCs w:val="32"/>
          <w:rtl/>
        </w:rPr>
        <w:t>أو  "</w:t>
      </w:r>
      <w:proofErr w:type="gramEnd"/>
      <w:r w:rsidRPr="00F27422">
        <w:rPr>
          <w:sz w:val="32"/>
          <w:szCs w:val="32"/>
          <w:rtl/>
        </w:rPr>
        <w:t>صحيح" فالإنصافُ مع السيد الحكيم (قدس سره الشريف)؛ فإنّ مجرد بيان الصحة مما ليس له إطلاقٌ أزماني لفرض بلوغه وفسخه كي يستفاد مِن الإطلاق لزومه وإنْ فسخ بعد بلوغه</w:t>
      </w:r>
      <w:r w:rsidRPr="00F27422">
        <w:rPr>
          <w:sz w:val="32"/>
          <w:szCs w:val="32"/>
        </w:rPr>
        <w:t>.</w:t>
      </w:r>
    </w:p>
    <w:p w14:paraId="0A11144A" w14:textId="77777777" w:rsidR="007230EA" w:rsidRPr="00F27422" w:rsidRDefault="007230EA" w:rsidP="00122B70">
      <w:pPr>
        <w:bidi/>
        <w:rPr>
          <w:sz w:val="32"/>
          <w:szCs w:val="32"/>
          <w:rtl/>
        </w:rPr>
      </w:pPr>
      <w:r w:rsidRPr="00F27422">
        <w:rPr>
          <w:b/>
          <w:bCs/>
          <w:sz w:val="32"/>
          <w:szCs w:val="32"/>
          <w:rtl/>
        </w:rPr>
        <w:t>الطائفةُ الرابعة:</w:t>
      </w:r>
      <w:r w:rsidRPr="00F27422">
        <w:rPr>
          <w:sz w:val="32"/>
          <w:szCs w:val="32"/>
          <w:rtl/>
        </w:rPr>
        <w:t xml:space="preserve"> ما دلّ على ثبوت الخيار لهما إذا أدركا، وهي عدّة روايات:</w:t>
      </w:r>
    </w:p>
    <w:p w14:paraId="4C44140D" w14:textId="77777777" w:rsidR="007230EA" w:rsidRPr="00F27422" w:rsidRDefault="007230EA" w:rsidP="00122B70">
      <w:pPr>
        <w:bidi/>
        <w:rPr>
          <w:sz w:val="32"/>
          <w:szCs w:val="32"/>
          <w:rtl/>
        </w:rPr>
      </w:pPr>
      <w:r w:rsidRPr="00F27422">
        <w:rPr>
          <w:sz w:val="32"/>
          <w:szCs w:val="32"/>
          <w:rtl/>
        </w:rPr>
        <w:lastRenderedPageBreak/>
        <w:t xml:space="preserve">الروايةُ الأُولى: صحيحة محمّد بن مسلم، كما في الوسائل: </w:t>
      </w:r>
      <w:r w:rsidRPr="00F27422">
        <w:rPr>
          <w:b/>
          <w:bCs/>
          <w:sz w:val="32"/>
          <w:szCs w:val="32"/>
          <w:rtl/>
        </w:rPr>
        <w:t xml:space="preserve">(وعنه، عن الحسن بن محبوب، عن العلاء، عن محمّد بن مسلم قال: سألت أبا جعفر (عليه السلام) عن الصبي يزوج الصبية، قال: إن كان أبواهما اللذان زوجاهما فنعم جائز، ولكن لهما الخيار إذا أدركا فإن رضيا بعد ذلك فإن المهر على الأب، قلت له: فهل يجوز طلاق الأب على ابنه في صغره؟ قال: لا). </w:t>
      </w:r>
      <w:r w:rsidRPr="00F27422">
        <w:rPr>
          <w:sz w:val="32"/>
          <w:szCs w:val="32"/>
          <w:rtl/>
        </w:rPr>
        <w:t>[وسائل الشيعة، الحر العاملي، تحقيق مؤسسة أهل البيت (عليهم السلام) لإحياء التراث، ج20، كتاب النكاح، أبواب عقد النكاح وأولياء العقد، الباب 6 باب ثبوت الولاية للأب والجد للأب خاصة مع وجود الأب لا غيرهما على البنت غير البالغة الرشيدة وكذا الصبي، ح8]</w:t>
      </w:r>
      <w:r w:rsidRPr="00F27422">
        <w:rPr>
          <w:sz w:val="32"/>
          <w:szCs w:val="32"/>
        </w:rPr>
        <w:t>.</w:t>
      </w:r>
    </w:p>
    <w:p w14:paraId="6AC22743" w14:textId="77777777" w:rsidR="007230EA" w:rsidRPr="00F27422" w:rsidRDefault="007230EA" w:rsidP="00122B70">
      <w:pPr>
        <w:bidi/>
        <w:rPr>
          <w:sz w:val="32"/>
          <w:szCs w:val="32"/>
          <w:rtl/>
        </w:rPr>
      </w:pPr>
      <w:r w:rsidRPr="00F27422">
        <w:rPr>
          <w:sz w:val="32"/>
          <w:szCs w:val="32"/>
          <w:rtl/>
        </w:rPr>
        <w:t xml:space="preserve">الروايةُ الثانية: صحيحة أبي عبيدة الحذاء، كما في الكافي: </w:t>
      </w:r>
      <w:r w:rsidRPr="00F27422">
        <w:rPr>
          <w:b/>
          <w:bCs/>
          <w:sz w:val="32"/>
          <w:szCs w:val="32"/>
          <w:rtl/>
        </w:rPr>
        <w:t>(عِدَّةٌ مِنْ أَصْحَابِنَا، عَنْ سَهْلِ بْنِ زِيَادٍ وَمُحَمَّدُ بْنُ يَحْيَى، عَنْ أَحْمَدَ بْنِ مُحَمَّدٍ وَعَلِيُ</w:t>
      </w:r>
      <w:r w:rsidRPr="00F27422">
        <w:rPr>
          <w:b/>
          <w:bCs/>
          <w:sz w:val="32"/>
          <w:szCs w:val="32"/>
        </w:rPr>
        <w:t>‌</w:t>
      </w:r>
      <w:r w:rsidRPr="00F27422">
        <w:rPr>
          <w:b/>
          <w:bCs/>
          <w:sz w:val="32"/>
          <w:szCs w:val="32"/>
          <w:rtl/>
        </w:rPr>
        <w:t xml:space="preserve"> بْنُ إِبْرَاهِيمَ، عَنْ أَبِيهِ جَمِيعاً، عَنِ الْحَسَنِ بْنِ مَحْبُوبٍ، عَنْ عَلِيِّ بْنِ رِئَابٍ، عَنْ أَبِي عُبَيْدَةَ قَالَ: سَأَلْتُ أَبَا جَعْفَرٍ (عليه السلام) عَنْ غُلَامٍ وَجَارِيَةٍ زَوَّجَهُمَا </w:t>
      </w:r>
      <w:r w:rsidRPr="00F27422">
        <w:rPr>
          <w:b/>
          <w:bCs/>
          <w:sz w:val="32"/>
          <w:szCs w:val="32"/>
          <w:highlight w:val="yellow"/>
          <w:rtl/>
        </w:rPr>
        <w:t>وَلِيَّانِ لَهُمَا</w:t>
      </w:r>
      <w:r w:rsidRPr="00F27422">
        <w:rPr>
          <w:b/>
          <w:bCs/>
          <w:sz w:val="32"/>
          <w:szCs w:val="32"/>
          <w:rtl/>
        </w:rPr>
        <w:t xml:space="preserve"> وَهُمَا غَيْرُ مُدْرِكَيْنِ؟ قَالَ: فَقَالَ: النِّكَاحُ جَائِزٌ، وَأَيُّهُمَا أَدْرَكَ كَانَ لَهُ الْخِيَارُ </w:t>
      </w:r>
      <w:r w:rsidRPr="00F27422">
        <w:rPr>
          <w:b/>
          <w:bCs/>
          <w:sz w:val="32"/>
          <w:szCs w:val="32"/>
          <w:highlight w:val="red"/>
          <w:rtl/>
        </w:rPr>
        <w:t>فَإِنْ مَاتَا قَبْلَ أَنْ يُدْرِكَا فَلَا مِيرَاثَ بَيْنَهُمَا وَلَا مَهْرَ</w:t>
      </w:r>
      <w:r w:rsidRPr="00F27422">
        <w:rPr>
          <w:b/>
          <w:bCs/>
          <w:sz w:val="32"/>
          <w:szCs w:val="32"/>
          <w:rtl/>
        </w:rPr>
        <w:t xml:space="preserve">، </w:t>
      </w:r>
      <w:r w:rsidRPr="00F27422">
        <w:rPr>
          <w:b/>
          <w:bCs/>
          <w:color w:val="7030A0"/>
          <w:sz w:val="32"/>
          <w:szCs w:val="32"/>
          <w:rtl/>
        </w:rPr>
        <w:t>إِلَّا أَنْ يَكُونَا قَدْ أَدْرَكَا وَرَضِيَا</w:t>
      </w:r>
      <w:r w:rsidRPr="00F27422">
        <w:rPr>
          <w:b/>
          <w:bCs/>
          <w:sz w:val="32"/>
          <w:szCs w:val="32"/>
          <w:rtl/>
        </w:rPr>
        <w:t>، قُلْتُ: فَإِنْ أَدْرَكَ أَحَدُهُمَا قَبْلَ الْآخَرِ؟ قَالَ: يَجُوزُ ذَلِكَ عَلَيْهِ إِنْ هُوَ رَضِيَ، قُلْتُ: فَإِنْ كَانَ الرَّجُلُ الَّذِي أَدْرَكَ قَبْلَ الْجَارِيَةَ وَرَضِيَ بِالنِّكَاحِ ثُمَّ مَاتَ قَبْلَ أَنْ تُدْرِكَ الْجَارِيَةُ أَ تَرِثُهُ؟ قَالَ: نَعَمْ، يُعْزَلُ مِيرَاثُهَا مِنْهُ حَتَّى تُدْرِكَ وَتَحْلِفَ بِاللَّهِ مَا ادَّعَاهَا إِلَى أَخْذِ الْمِيرَاثِ إِلَّا رِضَاهَا بِالتَّزْوِيجِ ثُمَّ يُدْفَعُ إِلَيْهَا الْمِيرَاثُ وَنِصْفُ الْمَهْرِ، قُلْتُ: فَإِنْ مَاتَتِ الْجَارِيَةُ وَلَمْ تَكُنْ أَدْرَكَتْ أَ يَرِثُهَا الزَّوْجُ الْمُدْرِكُ؟ قَالَ: لَا، لِأَنَّ لَهَا الْخِيَارَ إِذَا أَدْرَكَتْ، قُلْتُ: فَإِنْ كَانَ أَبُوهَا هُوَ الَّذِي زَوَّجَهَا قَبْلَ أَنْ تُدْرِكَ؟ قَالَ: يَجُوزُ عَلَيْهَا تَزْوِيجُ الْأَبِ وَيَجُوزُ عَلَى الْغُلَامِ وَالْمَهْرُ عَلَى الْأَبِ لِلْجَارِيَةِ).</w:t>
      </w:r>
      <w:r w:rsidRPr="00F27422">
        <w:rPr>
          <w:sz w:val="32"/>
          <w:szCs w:val="32"/>
          <w:rtl/>
        </w:rPr>
        <w:t xml:space="preserve"> [الكافي، للشيخ الكليني، دار الكتب الإسلامية، ج7، كتاب المواريث، باب ميراث الغلام والجارية يتزوجان وهما غير مدركين، ح1 / تهذيب الأحكام، لشيخ الطائفة الطوسي، دار الكتب الإسلامية، ج7، كتاب النكاح، الباب 32 باب عقد المرأة على نفسها النكاح وأولياء الصبية وأحقهم بالعقد عليها، ح31، رقم</w:t>
      </w:r>
      <w:r w:rsidRPr="00F27422">
        <w:rPr>
          <w:sz w:val="32"/>
          <w:szCs w:val="32"/>
        </w:rPr>
        <w:t xml:space="preserve"> (1555)</w:t>
      </w:r>
      <w:r w:rsidRPr="00F27422">
        <w:rPr>
          <w:sz w:val="32"/>
          <w:szCs w:val="32"/>
          <w:rtl/>
        </w:rPr>
        <w:t>]</w:t>
      </w:r>
      <w:r w:rsidRPr="00F27422">
        <w:rPr>
          <w:sz w:val="32"/>
          <w:szCs w:val="32"/>
        </w:rPr>
        <w:t>.</w:t>
      </w:r>
    </w:p>
    <w:p w14:paraId="35692ECD" w14:textId="77777777" w:rsidR="007230EA" w:rsidRPr="00F27422" w:rsidRDefault="007230EA" w:rsidP="00122B70">
      <w:pPr>
        <w:bidi/>
        <w:rPr>
          <w:b/>
          <w:bCs/>
          <w:sz w:val="32"/>
          <w:szCs w:val="32"/>
          <w:rtl/>
        </w:rPr>
      </w:pPr>
      <w:r w:rsidRPr="00F27422">
        <w:rPr>
          <w:b/>
          <w:bCs/>
          <w:sz w:val="32"/>
          <w:szCs w:val="32"/>
          <w:rtl/>
        </w:rPr>
        <w:t>وقد وقع البحث فيها مِن عدّة جهات</w:t>
      </w:r>
      <w:r w:rsidRPr="00F27422">
        <w:rPr>
          <w:b/>
          <w:bCs/>
          <w:sz w:val="32"/>
          <w:szCs w:val="32"/>
        </w:rPr>
        <w:t>:</w:t>
      </w:r>
    </w:p>
    <w:p w14:paraId="1F3532CF" w14:textId="77777777" w:rsidR="007230EA" w:rsidRPr="00F27422" w:rsidRDefault="007230EA" w:rsidP="00122B70">
      <w:pPr>
        <w:bidi/>
        <w:rPr>
          <w:b/>
          <w:bCs/>
          <w:sz w:val="32"/>
          <w:szCs w:val="32"/>
          <w:rtl/>
        </w:rPr>
      </w:pPr>
      <w:r w:rsidRPr="00F27422">
        <w:rPr>
          <w:b/>
          <w:bCs/>
          <w:sz w:val="32"/>
          <w:szCs w:val="32"/>
          <w:rtl/>
        </w:rPr>
        <w:t>الجهةُ الأُولى:</w:t>
      </w:r>
      <w:r w:rsidRPr="00F27422">
        <w:rPr>
          <w:sz w:val="32"/>
          <w:szCs w:val="32"/>
          <w:rtl/>
        </w:rPr>
        <w:t xml:space="preserve"> ما هو المراد من عنوان "وليّان" في صدر الرواية في قول الراوي: </w:t>
      </w:r>
      <w:r w:rsidRPr="00F27422">
        <w:rPr>
          <w:b/>
          <w:bCs/>
          <w:sz w:val="32"/>
          <w:szCs w:val="32"/>
          <w:rtl/>
        </w:rPr>
        <w:t>(عَنْ غُلَامٍ وَجَارِيَةٍ زَوَّجَهُمَا وَلِيَّانِ لَهُمَا)؟</w:t>
      </w:r>
      <w:r w:rsidRPr="00F27422">
        <w:rPr>
          <w:sz w:val="32"/>
          <w:szCs w:val="32"/>
          <w:rtl/>
        </w:rPr>
        <w:t xml:space="preserve"> هل هو إرادة الوليّ الشرعي، أو إرادة الولي العرفي؟</w:t>
      </w:r>
    </w:p>
    <w:p w14:paraId="56EAFBDA" w14:textId="77777777" w:rsidR="007230EA" w:rsidRPr="00F27422" w:rsidRDefault="007230EA" w:rsidP="00122B70">
      <w:pPr>
        <w:bidi/>
        <w:rPr>
          <w:b/>
          <w:bCs/>
          <w:sz w:val="32"/>
          <w:szCs w:val="32"/>
          <w:rtl/>
        </w:rPr>
      </w:pPr>
      <w:r w:rsidRPr="00F27422">
        <w:rPr>
          <w:sz w:val="32"/>
          <w:szCs w:val="32"/>
          <w:rtl/>
        </w:rPr>
        <w:t xml:space="preserve">قال صاحب الحدائق (رضوان الله عليه) في كتابه [الحدائق الناضرة في أحكام العترة الطاهرة، الشيخ يوسف البحراني، مؤسسة النشر الإسلامي التابعة لجماعة المدرسين بقم المشرفة، </w:t>
      </w:r>
      <w:r w:rsidRPr="00F27422">
        <w:rPr>
          <w:sz w:val="32"/>
          <w:szCs w:val="32"/>
          <w:rtl/>
        </w:rPr>
        <w:lastRenderedPageBreak/>
        <w:t xml:space="preserve">ج23، ص210] : </w:t>
      </w:r>
      <w:r w:rsidRPr="00F27422">
        <w:rPr>
          <w:b/>
          <w:bCs/>
          <w:sz w:val="32"/>
          <w:szCs w:val="32"/>
          <w:rtl/>
        </w:rPr>
        <w:t>(ويمكن أن يقال ولعله الظاهر أن المراد بالوليين في صدر الخبر غير الشرعيين فإن إطلاق الولي في الأخبار على هذا المعنى غير عزيز، وحينئذ يكون من قبيل الفضولي، ولا إشكال حينئذ فيما ترتب عليه من الأحكام، لأن العقد الفضولي في النكاح صحيح عندنا، وأما ما عداه فالأظهر بطلانه كما تقدم تحقيقه في كتاب البيع وعلى هذا فلا إشكال في الخبر)</w:t>
      </w:r>
      <w:r w:rsidRPr="00F27422">
        <w:rPr>
          <w:b/>
          <w:bCs/>
          <w:sz w:val="32"/>
          <w:szCs w:val="32"/>
        </w:rPr>
        <w:t>.</w:t>
      </w:r>
    </w:p>
    <w:p w14:paraId="0FCCAD12" w14:textId="77777777" w:rsidR="007230EA" w:rsidRPr="00F27422" w:rsidRDefault="007230EA" w:rsidP="00122B70">
      <w:pPr>
        <w:bidi/>
        <w:rPr>
          <w:b/>
          <w:bCs/>
          <w:sz w:val="32"/>
          <w:szCs w:val="32"/>
          <w:rtl/>
        </w:rPr>
      </w:pPr>
      <w:r w:rsidRPr="00F27422">
        <w:rPr>
          <w:b/>
          <w:bCs/>
          <w:sz w:val="32"/>
          <w:szCs w:val="32"/>
          <w:rtl/>
        </w:rPr>
        <w:t>ومفادُ كلامه (رضوان الله عليه):</w:t>
      </w:r>
      <w:r w:rsidRPr="00F27422">
        <w:rPr>
          <w:sz w:val="32"/>
          <w:szCs w:val="32"/>
          <w:rtl/>
        </w:rPr>
        <w:t xml:space="preserve"> أنّ مقتضى الجمع بين الصدر والذيل أنّ المقصود بالوليين في الصدر الولي العرفي كالخال والعم والأخ الكبير ونحو ذلك، لا الولي الشرعي، فكأنّ الرواية تفيد أنّه إنْ زوجهما الوليَّان العرفيان فالعقد فضولي، وإنْ زوجهما الوليّ الشرعي كالأب - كما في الذيل - فالعقد لازم ولا خيار لهما، فهذا هو وجه التفصيل</w:t>
      </w:r>
      <w:r w:rsidRPr="00F27422">
        <w:rPr>
          <w:sz w:val="32"/>
          <w:szCs w:val="32"/>
        </w:rPr>
        <w:t>.</w:t>
      </w:r>
    </w:p>
    <w:p w14:paraId="3A183AF8" w14:textId="77777777" w:rsidR="007230EA" w:rsidRPr="00F27422" w:rsidRDefault="007230EA" w:rsidP="00122B70">
      <w:pPr>
        <w:bidi/>
        <w:rPr>
          <w:b/>
          <w:bCs/>
          <w:sz w:val="32"/>
          <w:szCs w:val="32"/>
          <w:rtl/>
        </w:rPr>
      </w:pPr>
      <w:r w:rsidRPr="00F27422">
        <w:rPr>
          <w:b/>
          <w:bCs/>
          <w:sz w:val="32"/>
          <w:szCs w:val="32"/>
          <w:rtl/>
        </w:rPr>
        <w:t>ولكنه غيرُ عرفي؛</w:t>
      </w:r>
      <w:r w:rsidRPr="00F27422">
        <w:rPr>
          <w:sz w:val="32"/>
          <w:szCs w:val="32"/>
          <w:rtl/>
        </w:rPr>
        <w:t xml:space="preserve"> باعتبار أنّ ظاهر الوليين عند الإطلاق هو مَن له الولاية بالفعل ألّا وهو الوليّ الشرعي، ومجرد التنافي بين الصدر والذيل ليس قرينةً على إرادة الوليّ العرفي من صدر الرواية</w:t>
      </w:r>
      <w:r w:rsidRPr="00F27422">
        <w:rPr>
          <w:sz w:val="32"/>
          <w:szCs w:val="32"/>
        </w:rPr>
        <w:t>.</w:t>
      </w:r>
    </w:p>
    <w:p w14:paraId="4E9B151C" w14:textId="77777777" w:rsidR="007230EA" w:rsidRPr="00F27422" w:rsidRDefault="007230EA" w:rsidP="00122B70">
      <w:pPr>
        <w:bidi/>
        <w:rPr>
          <w:sz w:val="32"/>
          <w:szCs w:val="32"/>
          <w:rtl/>
        </w:rPr>
      </w:pPr>
      <w:r w:rsidRPr="00F27422">
        <w:rPr>
          <w:b/>
          <w:bCs/>
          <w:sz w:val="32"/>
          <w:szCs w:val="32"/>
          <w:rtl/>
        </w:rPr>
        <w:t>وبالتالي يمكن أنْ يُقال في وجه الجمع بينهما:</w:t>
      </w:r>
      <w:r w:rsidRPr="00F27422">
        <w:rPr>
          <w:sz w:val="32"/>
          <w:szCs w:val="32"/>
          <w:rtl/>
        </w:rPr>
        <w:t xml:space="preserve"> أنّ المنظور في الذيل خصوصية الأب بالذات مِن بين الأولياء الشرعيين، فإنّ الوليّ الشرعي قد يكون هو الجدّ، وقد يكون هو الوصي مِن قبل الأب، وقد يكون هو الحاكم الشرعي.</w:t>
      </w:r>
    </w:p>
    <w:p w14:paraId="2E85A4EC" w14:textId="77777777" w:rsidR="007230EA" w:rsidRPr="00F27422" w:rsidRDefault="007230EA" w:rsidP="00122B70">
      <w:pPr>
        <w:bidi/>
        <w:rPr>
          <w:b/>
          <w:bCs/>
          <w:sz w:val="32"/>
          <w:szCs w:val="32"/>
          <w:rtl/>
        </w:rPr>
      </w:pPr>
      <w:r w:rsidRPr="00F27422">
        <w:rPr>
          <w:sz w:val="32"/>
          <w:szCs w:val="32"/>
          <w:rtl/>
        </w:rPr>
        <w:t>والمقصود: أنّه إذا زوجها الأب وماتتْ قبل أنْ تُدْرك ورثها الزوجُ المدرك - حيث إنّ مورد الرواية ما إذا ماتتْ قبل أنْ تدرك -، فثبوتُ خصوصيةٍ لتزويج الأب مِن حيث هذا الأثر وهو أثر الميراث لا ينافي ما في صدر الرواية من أنّها لو زوجها وليّها ثمّ بلغتْ كان لها الخيار، كما هو مفاد عدّة روايات.</w:t>
      </w:r>
    </w:p>
    <w:p w14:paraId="5814ABBA" w14:textId="77777777" w:rsidR="007230EA" w:rsidRPr="00F27422" w:rsidRDefault="007230EA" w:rsidP="00122B70">
      <w:pPr>
        <w:bidi/>
        <w:rPr>
          <w:b/>
          <w:bCs/>
          <w:sz w:val="32"/>
          <w:szCs w:val="32"/>
          <w:rtl/>
        </w:rPr>
      </w:pPr>
      <w:r w:rsidRPr="00F27422">
        <w:rPr>
          <w:b/>
          <w:bCs/>
          <w:sz w:val="32"/>
          <w:szCs w:val="32"/>
          <w:rtl/>
        </w:rPr>
        <w:t>والحمد لله رب العالمين</w:t>
      </w:r>
    </w:p>
    <w:p w14:paraId="5531F528" w14:textId="77777777" w:rsidR="007230EA" w:rsidRPr="00F27422" w:rsidRDefault="007230EA" w:rsidP="00122B70">
      <w:pPr>
        <w:bidi/>
        <w:rPr>
          <w:sz w:val="32"/>
          <w:szCs w:val="32"/>
          <w:rtl/>
        </w:rPr>
      </w:pPr>
    </w:p>
    <w:p w14:paraId="4F06B8B5" w14:textId="0F7B8D0A" w:rsidR="007230EA" w:rsidRPr="00F27422" w:rsidRDefault="007230EA" w:rsidP="00122B70">
      <w:pPr>
        <w:pStyle w:val="Heading3"/>
        <w:bidi/>
        <w:rPr>
          <w:sz w:val="32"/>
          <w:szCs w:val="32"/>
          <w:rtl/>
        </w:rPr>
      </w:pPr>
      <w:r w:rsidRPr="00F27422">
        <w:rPr>
          <w:rFonts w:hint="cs"/>
          <w:sz w:val="32"/>
          <w:szCs w:val="32"/>
          <w:rtl/>
        </w:rPr>
        <w:t>049</w:t>
      </w:r>
    </w:p>
    <w:p w14:paraId="2B6E4BA4" w14:textId="033EE457" w:rsidR="003A6E31" w:rsidRPr="00F27422" w:rsidRDefault="003A6E31" w:rsidP="00122B70">
      <w:pPr>
        <w:pStyle w:val="a"/>
        <w:bidi/>
        <w:spacing w:line="216" w:lineRule="auto"/>
        <w:jc w:val="left"/>
        <w:rPr>
          <w:rFonts w:ascii="mylotus" w:hAnsi="mylotus"/>
          <w:sz w:val="32"/>
          <w:rtl/>
        </w:rPr>
      </w:pPr>
      <w:r w:rsidRPr="00F27422">
        <w:rPr>
          <w:rFonts w:ascii="mylotus" w:hAnsi="mylotus" w:hint="cs"/>
          <w:b/>
          <w:bCs/>
          <w:sz w:val="32"/>
          <w:rtl/>
        </w:rPr>
        <w:t xml:space="preserve"> </w:t>
      </w:r>
    </w:p>
    <w:p w14:paraId="4158ACF1" w14:textId="77777777" w:rsidR="003A6E31" w:rsidRPr="00F27422" w:rsidRDefault="003A6E31" w:rsidP="00122B70">
      <w:pPr>
        <w:pStyle w:val="a"/>
        <w:bidi/>
        <w:spacing w:line="216" w:lineRule="auto"/>
        <w:jc w:val="left"/>
        <w:rPr>
          <w:rFonts w:ascii="mylotus" w:hAnsi="mylotus"/>
          <w:sz w:val="32"/>
          <w:rtl/>
        </w:rPr>
      </w:pPr>
    </w:p>
    <w:p w14:paraId="01EF75A4"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b/>
          <w:bCs/>
          <w:sz w:val="32"/>
          <w:rtl/>
        </w:rPr>
        <w:t>والحاصل:</w:t>
      </w:r>
      <w:r w:rsidRPr="00F27422">
        <w:rPr>
          <w:rFonts w:ascii="mylotus" w:hAnsi="mylotus"/>
          <w:sz w:val="32"/>
          <w:rtl/>
        </w:rPr>
        <w:t xml:space="preserve"> إن</w:t>
      </w:r>
      <w:r w:rsidRPr="00F27422">
        <w:rPr>
          <w:rFonts w:ascii="mylotus" w:hAnsi="mylotus" w:hint="cs"/>
          <w:sz w:val="32"/>
          <w:rtl/>
        </w:rPr>
        <w:t>ّ</w:t>
      </w:r>
      <w:r w:rsidRPr="00F27422">
        <w:rPr>
          <w:rFonts w:ascii="mylotus" w:hAnsi="mylotus"/>
          <w:sz w:val="32"/>
          <w:rtl/>
        </w:rPr>
        <w:t xml:space="preserve"> ظاهر إطلاق عنوان الوليّ إرادةُ الولي الشرعي - لا الولي العرفي -، وأمّا ما ذُكر في الذيل من أنّ الأب إذا زوج الصغير مضى التزويج فلا يستفاد منه أكثر من أنّه إذا كان الأب هو المتولي للتزويج فإنّ تزويجه محقّقٌ للإرث بينهما لو مات أحدهما، ولكن الخيار </w:t>
      </w:r>
      <w:r w:rsidRPr="00F27422">
        <w:rPr>
          <w:rFonts w:ascii="mylotus" w:hAnsi="mylotus"/>
          <w:sz w:val="32"/>
          <w:rtl/>
        </w:rPr>
        <w:lastRenderedPageBreak/>
        <w:t>باقٍ للصغير إذا أدرك، فللأب خصوصيةٌ مِن حيث هذا الأثر وهو أنّه لو كان هو المتولي لعقد التزويج كان الأثر المترتب على ذلك هو ثبوت الإرث إذا مات</w:t>
      </w:r>
      <w:r w:rsidRPr="00F27422">
        <w:rPr>
          <w:rFonts w:ascii="mylotus" w:hAnsi="mylotus" w:hint="cs"/>
          <w:sz w:val="32"/>
          <w:rtl/>
        </w:rPr>
        <w:t>َ</w:t>
      </w:r>
      <w:r w:rsidRPr="00F27422">
        <w:rPr>
          <w:rFonts w:ascii="mylotus" w:hAnsi="mylotus"/>
          <w:sz w:val="32"/>
          <w:rtl/>
        </w:rPr>
        <w:t xml:space="preserve"> أحدهما</w:t>
      </w:r>
      <w:r w:rsidRPr="00F27422">
        <w:rPr>
          <w:rFonts w:ascii="mylotus" w:hAnsi="mylotus"/>
          <w:sz w:val="32"/>
        </w:rPr>
        <w:t>.</w:t>
      </w:r>
    </w:p>
    <w:p w14:paraId="5A80D11E"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b/>
          <w:bCs/>
          <w:sz w:val="32"/>
          <w:rtl/>
        </w:rPr>
        <w:t>ومما يؤيد ذلك،</w:t>
      </w:r>
      <w:r w:rsidRPr="00F27422">
        <w:rPr>
          <w:rFonts w:ascii="mylotus" w:hAnsi="mylotus"/>
          <w:sz w:val="32"/>
          <w:rtl/>
        </w:rPr>
        <w:t xml:space="preserve"> ما ورد في صحيحة محمّد بن مسلم التي ذكرها الحر العاملي (عليه الرحمة) في الوسائل مقطعةً في موردين</w:t>
      </w:r>
      <w:r w:rsidRPr="00F27422">
        <w:rPr>
          <w:rFonts w:ascii="mylotus" w:hAnsi="mylotus"/>
          <w:sz w:val="32"/>
        </w:rPr>
        <w:t>:</w:t>
      </w:r>
    </w:p>
    <w:p w14:paraId="1AE3631D"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b/>
          <w:bCs/>
          <w:sz w:val="32"/>
          <w:rtl/>
        </w:rPr>
        <w:t>المورد الأول:</w:t>
      </w:r>
      <w:r w:rsidRPr="00F27422">
        <w:rPr>
          <w:rFonts w:ascii="mylotus" w:hAnsi="mylotus"/>
          <w:sz w:val="32"/>
          <w:rtl/>
        </w:rPr>
        <w:t xml:space="preserve"> </w:t>
      </w:r>
      <w:r w:rsidRPr="00F27422">
        <w:rPr>
          <w:rFonts w:ascii="mylotus" w:hAnsi="mylotus"/>
          <w:b/>
          <w:bCs/>
          <w:sz w:val="32"/>
          <w:rtl/>
        </w:rPr>
        <w:t>(وعنه، عن الحسن بن محبوب، عن العلاء، عن محمّد بن مسلم قال: سألت أبا جعفر (عليه السلام) عن الصبي يزوج الصبية، قال: إن كان أبواهما اللذان زوجاهما فنعم جائز، ولكن لهما الخيار إذا أدركا فإن رضيا بعد ذلك فإن المهر على الأب، قلت له: فهل يجوز طلاق الأب على ابنه في صغره؟ قال: لا).</w:t>
      </w:r>
      <w:r w:rsidRPr="00F27422">
        <w:rPr>
          <w:rFonts w:ascii="mylotus" w:hAnsi="mylotus"/>
          <w:sz w:val="32"/>
          <w:rtl/>
        </w:rPr>
        <w:t xml:space="preserve"> [وسائل الشيعة، الحر العاملي، مؤسسة آل البيت (عليهم السلام</w:t>
      </w:r>
      <w:r w:rsidRPr="00F27422">
        <w:rPr>
          <w:rFonts w:ascii="mylotus" w:hAnsi="mylotus" w:hint="cs"/>
          <w:sz w:val="32"/>
          <w:rtl/>
        </w:rPr>
        <w:t>)</w:t>
      </w:r>
      <w:r w:rsidRPr="00F27422">
        <w:rPr>
          <w:rFonts w:ascii="mylotus" w:hAnsi="mylotus"/>
          <w:sz w:val="32"/>
          <w:rtl/>
        </w:rPr>
        <w:t xml:space="preserve"> لإحياء التراث</w:t>
      </w:r>
      <w:r w:rsidRPr="00F27422">
        <w:rPr>
          <w:rFonts w:ascii="mylotus" w:hAnsi="mylotus" w:hint="cs"/>
          <w:sz w:val="32"/>
          <w:rtl/>
        </w:rPr>
        <w:t xml:space="preserve">، </w:t>
      </w:r>
      <w:r w:rsidRPr="00F27422">
        <w:rPr>
          <w:rFonts w:ascii="mylotus" w:hAnsi="mylotus"/>
          <w:sz w:val="32"/>
          <w:rtl/>
        </w:rPr>
        <w:t>ج20، كتاب النكاح، أبواب عقد النكاح وأولياء العقد، الباب 6 باب ثبوت الولاية للأب والجد للأب خاصة مع وجود الأب لا غيرهما على البنت غير البالغة الرشيدة وكذا الصبي، ح8]</w:t>
      </w:r>
      <w:r w:rsidRPr="00F27422">
        <w:rPr>
          <w:rFonts w:ascii="mylotus" w:hAnsi="mylotus"/>
          <w:sz w:val="32"/>
        </w:rPr>
        <w:t>.</w:t>
      </w:r>
    </w:p>
    <w:p w14:paraId="205E19A4"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sz w:val="32"/>
          <w:rtl/>
        </w:rPr>
        <w:t>وهذا المقطع قد جمع بين جواز العقد وبين ثبوت الخيار عند الإدراك</w:t>
      </w:r>
      <w:r w:rsidRPr="00F27422">
        <w:rPr>
          <w:rFonts w:ascii="mylotus" w:hAnsi="mylotus"/>
          <w:sz w:val="32"/>
        </w:rPr>
        <w:t>.</w:t>
      </w:r>
    </w:p>
    <w:p w14:paraId="550A74B4"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b/>
          <w:bCs/>
          <w:sz w:val="32"/>
          <w:rtl/>
        </w:rPr>
        <w:t>المورد الثاني:</w:t>
      </w:r>
      <w:r w:rsidRPr="00F27422">
        <w:rPr>
          <w:rFonts w:ascii="mylotus" w:hAnsi="mylotus"/>
          <w:sz w:val="32"/>
          <w:rtl/>
        </w:rPr>
        <w:t xml:space="preserve"> </w:t>
      </w:r>
      <w:r w:rsidRPr="00F27422">
        <w:rPr>
          <w:rFonts w:ascii="mylotus" w:hAnsi="mylotus"/>
          <w:b/>
          <w:bCs/>
          <w:sz w:val="32"/>
          <w:rtl/>
        </w:rPr>
        <w:t>(محمد بن الحسن بإسناده، عن أحمد بن محمّد بن عيسى، عن محمّد بن أبي عمير، عن صفوان، عن علاء، عن محمّد بن مسلم، عن أبي جعفر (عليه السلام) في الصبي يتزوج الصبية يتوارثان؟ فقال: إذا كان أبواهما اللذان زوجاهما فنعم، قلت: فهل يجوز طلاق الأب؟ قال: لا).</w:t>
      </w:r>
      <w:r w:rsidRPr="00F27422">
        <w:rPr>
          <w:rFonts w:ascii="mylotus" w:hAnsi="mylotus"/>
          <w:sz w:val="32"/>
          <w:rtl/>
        </w:rPr>
        <w:t xml:space="preserve"> [وسائل الشيعة، الحر العاملي، مؤسسة آل البيت (عليهم السلام</w:t>
      </w:r>
      <w:r w:rsidRPr="00F27422">
        <w:rPr>
          <w:rFonts w:ascii="mylotus" w:hAnsi="mylotus" w:hint="cs"/>
          <w:sz w:val="32"/>
          <w:rtl/>
        </w:rPr>
        <w:t>)</w:t>
      </w:r>
      <w:r w:rsidRPr="00F27422">
        <w:rPr>
          <w:rFonts w:ascii="mylotus" w:hAnsi="mylotus"/>
          <w:sz w:val="32"/>
          <w:rtl/>
        </w:rPr>
        <w:t xml:space="preserve"> لإحياء التراث</w:t>
      </w:r>
      <w:r w:rsidRPr="00F27422">
        <w:rPr>
          <w:rFonts w:ascii="mylotus" w:hAnsi="mylotus" w:hint="cs"/>
          <w:sz w:val="32"/>
          <w:rtl/>
        </w:rPr>
        <w:t>،</w:t>
      </w:r>
      <w:r w:rsidRPr="00F27422">
        <w:rPr>
          <w:rFonts w:ascii="mylotus" w:hAnsi="mylotus"/>
          <w:sz w:val="32"/>
          <w:rtl/>
        </w:rPr>
        <w:t xml:space="preserve"> ج20، كتاب النكاح، أبواب عقد النكاح وأولياء العقد، الباب 12 باب أن الصغير ذكرا كان أو أنثى إذا زوجه الأب أو الجد صح العقد، وإذا زوجه غيرهما كان موقوفا على رضاه بعد البلوغ والرشد، ح1]</w:t>
      </w:r>
      <w:r w:rsidRPr="00F27422">
        <w:rPr>
          <w:rFonts w:ascii="mylotus" w:hAnsi="mylotus"/>
          <w:sz w:val="32"/>
        </w:rPr>
        <w:t>.</w:t>
      </w:r>
    </w:p>
    <w:p w14:paraId="0D2C0C37"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sz w:val="32"/>
          <w:rtl/>
        </w:rPr>
        <w:t xml:space="preserve">فلو نُظر </w:t>
      </w:r>
      <w:proofErr w:type="spellStart"/>
      <w:r w:rsidRPr="00F27422">
        <w:rPr>
          <w:rFonts w:ascii="mylotus" w:hAnsi="mylotus"/>
          <w:sz w:val="32"/>
          <w:rtl/>
        </w:rPr>
        <w:t>لماروي</w:t>
      </w:r>
      <w:proofErr w:type="spellEnd"/>
      <w:r w:rsidRPr="00F27422">
        <w:rPr>
          <w:rFonts w:ascii="mylotus" w:hAnsi="mylotus"/>
          <w:sz w:val="32"/>
          <w:rtl/>
        </w:rPr>
        <w:t xml:space="preserve"> على أنّه روايتان فربما يقال: إن</w:t>
      </w:r>
      <w:r w:rsidRPr="00F27422">
        <w:rPr>
          <w:rFonts w:ascii="mylotus" w:hAnsi="mylotus" w:hint="cs"/>
          <w:sz w:val="32"/>
          <w:rtl/>
        </w:rPr>
        <w:t>ّ</w:t>
      </w:r>
      <w:r w:rsidRPr="00F27422">
        <w:rPr>
          <w:rFonts w:ascii="mylotus" w:hAnsi="mylotus"/>
          <w:sz w:val="32"/>
          <w:rtl/>
        </w:rPr>
        <w:t xml:space="preserve"> المقطع الثاني وهو ما دل</w:t>
      </w:r>
      <w:r w:rsidRPr="00F27422">
        <w:rPr>
          <w:rFonts w:ascii="mylotus" w:hAnsi="mylotus" w:hint="cs"/>
          <w:sz w:val="32"/>
          <w:rtl/>
        </w:rPr>
        <w:t>ّ</w:t>
      </w:r>
      <w:r w:rsidRPr="00F27422">
        <w:rPr>
          <w:rFonts w:ascii="mylotus" w:hAnsi="mylotus"/>
          <w:sz w:val="32"/>
          <w:rtl/>
        </w:rPr>
        <w:t xml:space="preserve"> على ثبوت الإرث بينهما مندرج</w:t>
      </w:r>
      <w:r w:rsidRPr="00F27422">
        <w:rPr>
          <w:rFonts w:ascii="mylotus" w:hAnsi="mylotus" w:hint="cs"/>
          <w:sz w:val="32"/>
          <w:rtl/>
        </w:rPr>
        <w:t>ٌ</w:t>
      </w:r>
      <w:r w:rsidRPr="00F27422">
        <w:rPr>
          <w:rFonts w:ascii="mylotus" w:hAnsi="mylotus"/>
          <w:sz w:val="32"/>
          <w:rtl/>
        </w:rPr>
        <w:t xml:space="preserve"> في إطار المعارضة لما دل</w:t>
      </w:r>
      <w:r w:rsidRPr="00F27422">
        <w:rPr>
          <w:rFonts w:ascii="mylotus" w:hAnsi="mylotus" w:hint="cs"/>
          <w:sz w:val="32"/>
          <w:rtl/>
        </w:rPr>
        <w:t>ّ</w:t>
      </w:r>
      <w:r w:rsidRPr="00F27422">
        <w:rPr>
          <w:rFonts w:ascii="mylotus" w:hAnsi="mylotus"/>
          <w:sz w:val="32"/>
          <w:rtl/>
        </w:rPr>
        <w:t xml:space="preserve"> على ثبوت الخيار لهما</w:t>
      </w:r>
      <w:r w:rsidRPr="00F27422">
        <w:rPr>
          <w:rFonts w:ascii="mylotus" w:hAnsi="mylotus" w:hint="cs"/>
          <w:sz w:val="32"/>
          <w:rtl/>
        </w:rPr>
        <w:t>؛</w:t>
      </w:r>
      <w:r w:rsidRPr="00F27422">
        <w:rPr>
          <w:rFonts w:ascii="mylotus" w:hAnsi="mylotus"/>
          <w:sz w:val="32"/>
          <w:rtl/>
        </w:rPr>
        <w:t xml:space="preserve"> فإن</w:t>
      </w:r>
      <w:r w:rsidRPr="00F27422">
        <w:rPr>
          <w:rFonts w:ascii="mylotus" w:hAnsi="mylotus" w:hint="cs"/>
          <w:sz w:val="32"/>
          <w:rtl/>
        </w:rPr>
        <w:t>ّ</w:t>
      </w:r>
      <w:r w:rsidRPr="00F27422">
        <w:rPr>
          <w:rFonts w:ascii="mylotus" w:hAnsi="mylotus"/>
          <w:sz w:val="32"/>
          <w:rtl/>
        </w:rPr>
        <w:t xml:space="preserve"> مدلوله ال</w:t>
      </w:r>
      <w:r w:rsidRPr="00F27422">
        <w:rPr>
          <w:rFonts w:ascii="mylotus" w:hAnsi="mylotus" w:hint="cs"/>
          <w:sz w:val="32"/>
          <w:rtl/>
        </w:rPr>
        <w:t>ا</w:t>
      </w:r>
      <w:r w:rsidRPr="00F27422">
        <w:rPr>
          <w:rFonts w:ascii="mylotus" w:hAnsi="mylotus"/>
          <w:sz w:val="32"/>
          <w:rtl/>
        </w:rPr>
        <w:t>لتزامي هو لزوم العقد</w:t>
      </w:r>
      <w:r w:rsidRPr="00F27422">
        <w:rPr>
          <w:rFonts w:ascii="mylotus" w:hAnsi="mylotus" w:hint="cs"/>
          <w:sz w:val="32"/>
          <w:rtl/>
        </w:rPr>
        <w:t>.</w:t>
      </w:r>
    </w:p>
    <w:p w14:paraId="6DDD3FE4"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b/>
          <w:bCs/>
          <w:sz w:val="32"/>
          <w:rtl/>
        </w:rPr>
        <w:t>ولكن الحقيقة:</w:t>
      </w:r>
      <w:r w:rsidRPr="00F27422">
        <w:rPr>
          <w:rFonts w:ascii="mylotus" w:hAnsi="mylotus"/>
          <w:sz w:val="32"/>
          <w:rtl/>
        </w:rPr>
        <w:t xml:space="preserve"> أنّهما روايةٌ واحدةٌ بقرينة وحدة الطريق إليهما، وبما أنّهما روايةٌ واحدةٌ وقد جَمَعَ في هذه الرواية بين ثبوت الخيار إذا أدركا وبين ثبوت التوارث بينهما فهذا شاهدٌ على أنّ لتزويج الأب خصوصية وهي ثبوت التوارث، لا أنّ الخصوصية أنّ العقد لازمٌ على الصبي وإنْ بلغ وأدرك، وهذا كافٍ لتحقيق انسجام الصدر مع الذيل في صحيحة أبي عبيدة الحذاء</w:t>
      </w:r>
      <w:r w:rsidRPr="00F27422">
        <w:rPr>
          <w:rFonts w:ascii="mylotus" w:hAnsi="mylotus" w:hint="cs"/>
          <w:sz w:val="32"/>
          <w:rtl/>
        </w:rPr>
        <w:t>.</w:t>
      </w:r>
    </w:p>
    <w:p w14:paraId="5BE90A95"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sz w:val="32"/>
          <w:rtl/>
        </w:rPr>
        <w:t>وقد ذُكر في كلمات بعض السادة الأعلام (مد ظله) في قم المقدسة في كتاب النكاح أنّ الوليّ يستعمل عرفاً بمعنى الوليّ العرفي، كما يستعمل في الروايات كذلك، مما يعني أن</w:t>
      </w:r>
      <w:r w:rsidRPr="00F27422">
        <w:rPr>
          <w:rFonts w:ascii="mylotus" w:hAnsi="mylotus" w:hint="cs"/>
          <w:sz w:val="32"/>
          <w:rtl/>
        </w:rPr>
        <w:t>ّ</w:t>
      </w:r>
      <w:r w:rsidRPr="00F27422">
        <w:rPr>
          <w:rFonts w:ascii="mylotus" w:hAnsi="mylotus"/>
          <w:sz w:val="32"/>
          <w:rtl/>
        </w:rPr>
        <w:t xml:space="preserve"> الجمع بين الصدر والذيل بأنْ يراد من الوليّ في الصدر "الولي العرفي"، ويراد منه في الذيل "الولي الشرعي"، وأن</w:t>
      </w:r>
      <w:r w:rsidRPr="00F27422">
        <w:rPr>
          <w:rFonts w:ascii="mylotus" w:hAnsi="mylotus" w:hint="cs"/>
          <w:sz w:val="32"/>
          <w:rtl/>
        </w:rPr>
        <w:t>ّ</w:t>
      </w:r>
      <w:r w:rsidRPr="00F27422">
        <w:rPr>
          <w:rFonts w:ascii="mylotus" w:hAnsi="mylotus"/>
          <w:sz w:val="32"/>
          <w:rtl/>
        </w:rPr>
        <w:t xml:space="preserve"> التزويج إنْ صدر من الوليّ العرفي كان موقوفاً على رضا الصبي أو الصبيّة إذا بلغ، وإن</w:t>
      </w:r>
      <w:r w:rsidRPr="00F27422">
        <w:rPr>
          <w:rFonts w:ascii="mylotus" w:hAnsi="mylotus" w:hint="cs"/>
          <w:sz w:val="32"/>
          <w:rtl/>
        </w:rPr>
        <w:t>ْ</w:t>
      </w:r>
      <w:r w:rsidRPr="00F27422">
        <w:rPr>
          <w:rFonts w:ascii="mylotus" w:hAnsi="mylotus"/>
          <w:sz w:val="32"/>
          <w:rtl/>
        </w:rPr>
        <w:t xml:space="preserve"> كان صادراً من الوليّ الشرعي فتزويجه نافذٌ ولا خيار لهما</w:t>
      </w:r>
      <w:r w:rsidRPr="00F27422">
        <w:rPr>
          <w:rFonts w:ascii="mylotus" w:hAnsi="mylotus" w:hint="cs"/>
          <w:sz w:val="32"/>
          <w:rtl/>
        </w:rPr>
        <w:t>.</w:t>
      </w:r>
    </w:p>
    <w:p w14:paraId="1647E09B"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فمن تلك الروايات</w:t>
      </w:r>
      <w:r w:rsidRPr="00F27422">
        <w:rPr>
          <w:rFonts w:ascii="mylotus" w:hAnsi="mylotus"/>
          <w:b/>
          <w:bCs/>
          <w:sz w:val="32"/>
        </w:rPr>
        <w:t>:</w:t>
      </w:r>
    </w:p>
    <w:p w14:paraId="5E80520E"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hint="cs"/>
          <w:b/>
          <w:bCs/>
          <w:sz w:val="32"/>
          <w:rtl/>
        </w:rPr>
        <w:t>الأُولى:</w:t>
      </w:r>
      <w:r w:rsidRPr="00F27422">
        <w:rPr>
          <w:rFonts w:ascii="mylotus" w:hAnsi="mylotus" w:hint="cs"/>
          <w:sz w:val="32"/>
          <w:rtl/>
        </w:rPr>
        <w:t xml:space="preserve"> </w:t>
      </w:r>
      <w:r w:rsidRPr="00F27422">
        <w:rPr>
          <w:rFonts w:ascii="mylotus" w:hAnsi="mylotus"/>
          <w:sz w:val="32"/>
          <w:rtl/>
        </w:rPr>
        <w:t>ما في الكافي في حديث</w:t>
      </w:r>
      <w:r w:rsidRPr="00F27422">
        <w:rPr>
          <w:rFonts w:ascii="mylotus" w:hAnsi="mylotus" w:hint="cs"/>
          <w:sz w:val="32"/>
          <w:rtl/>
        </w:rPr>
        <w:t>ٍ</w:t>
      </w:r>
      <w:r w:rsidRPr="00F27422">
        <w:rPr>
          <w:rFonts w:ascii="mylotus" w:hAnsi="mylotus"/>
          <w:sz w:val="32"/>
          <w:rtl/>
        </w:rPr>
        <w:t xml:space="preserve"> طويل: </w:t>
      </w:r>
      <w:r w:rsidRPr="00F27422">
        <w:rPr>
          <w:rFonts w:ascii="mylotus" w:hAnsi="mylotus"/>
          <w:b/>
          <w:bCs/>
          <w:sz w:val="32"/>
          <w:rtl/>
        </w:rPr>
        <w:t xml:space="preserve">(فقالَ عليٌّ (عليه السلام): لأَقضينَّ اليومَ بقضيةٍ بينكُما هيَ مرضاةُ الرَّبِّ من فوق عرشه </w:t>
      </w:r>
      <w:proofErr w:type="spellStart"/>
      <w:r w:rsidRPr="00F27422">
        <w:rPr>
          <w:rFonts w:ascii="mylotus" w:hAnsi="mylotus"/>
          <w:b/>
          <w:bCs/>
          <w:sz w:val="32"/>
          <w:rtl/>
        </w:rPr>
        <w:t>علَّمَنِيها</w:t>
      </w:r>
      <w:proofErr w:type="spellEnd"/>
      <w:r w:rsidRPr="00F27422">
        <w:rPr>
          <w:rFonts w:ascii="mylotus" w:hAnsi="mylotus"/>
          <w:b/>
          <w:bCs/>
          <w:sz w:val="32"/>
          <w:rtl/>
        </w:rPr>
        <w:t xml:space="preserve"> حبيبي رسولُ الله (صلى الله عليه وآله)، ثُمّ قال لها: أَ لكِ وليٌّ؟ قالتْ: نعم هؤلاء إخوتي، فقالَ لإخوتها: أمري فيكُم وفي أُختكم جائزٌ؟ فقالوا: نعم يا ابن عم محمد (صلى الله عليه وآله) أمرُكَ فينا وفي أُخْتِنا جائزٌ...)</w:t>
      </w:r>
      <w:r w:rsidRPr="00F27422">
        <w:rPr>
          <w:rFonts w:ascii="mylotus" w:hAnsi="mylotus"/>
          <w:sz w:val="32"/>
          <w:rtl/>
        </w:rPr>
        <w:t xml:space="preserve"> </w:t>
      </w:r>
      <w:proofErr w:type="spellStart"/>
      <w:r w:rsidRPr="00F27422">
        <w:rPr>
          <w:rFonts w:ascii="mylotus" w:hAnsi="mylotus"/>
          <w:sz w:val="32"/>
          <w:rtl/>
        </w:rPr>
        <w:t>ألخ</w:t>
      </w:r>
      <w:proofErr w:type="spellEnd"/>
      <w:r w:rsidRPr="00F27422">
        <w:rPr>
          <w:rFonts w:ascii="mylotus" w:hAnsi="mylotus"/>
          <w:sz w:val="32"/>
          <w:rtl/>
        </w:rPr>
        <w:t>. [الكافي، للشيخ الكليني، دار الكتب الإسلامية، ج7، كتاب القضاء والأحكام، باب النوادر، ح6]</w:t>
      </w:r>
      <w:r w:rsidRPr="00F27422">
        <w:rPr>
          <w:rFonts w:ascii="mylotus" w:hAnsi="mylotus"/>
          <w:sz w:val="32"/>
        </w:rPr>
        <w:t>.</w:t>
      </w:r>
    </w:p>
    <w:p w14:paraId="7BD8C251"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sz w:val="32"/>
          <w:rtl/>
        </w:rPr>
        <w:t>فإنّ ذيلها ظاهرٌ في استعمال الوليّ في الروايات بمعنى الوليّ غير الشرعي</w:t>
      </w:r>
      <w:r w:rsidRPr="00F27422">
        <w:rPr>
          <w:rFonts w:ascii="mylotus" w:hAnsi="mylotus"/>
          <w:sz w:val="32"/>
        </w:rPr>
        <w:t>.</w:t>
      </w:r>
    </w:p>
    <w:p w14:paraId="45A39875"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hint="cs"/>
          <w:b/>
          <w:bCs/>
          <w:sz w:val="32"/>
          <w:rtl/>
        </w:rPr>
        <w:lastRenderedPageBreak/>
        <w:t>الثانية:</w:t>
      </w:r>
      <w:r w:rsidRPr="00F27422">
        <w:rPr>
          <w:rFonts w:ascii="mylotus" w:hAnsi="mylotus" w:hint="cs"/>
          <w:sz w:val="32"/>
          <w:rtl/>
        </w:rPr>
        <w:t xml:space="preserve"> </w:t>
      </w:r>
      <w:r w:rsidRPr="00F27422">
        <w:rPr>
          <w:rFonts w:ascii="mylotus" w:hAnsi="mylotus"/>
          <w:sz w:val="32"/>
          <w:rtl/>
        </w:rPr>
        <w:t xml:space="preserve">معتبرة الحلبي على مبنى سيدنا الخوئي (قدس سره الشريف)، كما في الفقيه: </w:t>
      </w:r>
      <w:r w:rsidRPr="00F27422">
        <w:rPr>
          <w:rFonts w:ascii="mylotus" w:hAnsi="mylotus"/>
          <w:b/>
          <w:bCs/>
          <w:sz w:val="32"/>
          <w:rtl/>
        </w:rPr>
        <w:t xml:space="preserve">(ورَوَى الْحَلَبِيُّ عَنْ أَبِي عَبْدِالله (عليه السلام) فِي رَجُلٍ يُخَيِّرُ </w:t>
      </w:r>
      <w:proofErr w:type="gramStart"/>
      <w:r w:rsidRPr="00F27422">
        <w:rPr>
          <w:rFonts w:ascii="mylotus" w:hAnsi="mylotus"/>
          <w:b/>
          <w:bCs/>
          <w:sz w:val="32"/>
          <w:rtl/>
        </w:rPr>
        <w:t>امْرَأَتَهُ</w:t>
      </w:r>
      <w:proofErr w:type="gramEnd"/>
      <w:r w:rsidRPr="00F27422">
        <w:rPr>
          <w:rFonts w:ascii="mylotus" w:hAnsi="mylotus"/>
          <w:b/>
          <w:bCs/>
          <w:sz w:val="32"/>
          <w:rtl/>
        </w:rPr>
        <w:t xml:space="preserve"> أَوْ أَبَاهَا أَوْ أَخَاهَا أَوْ وَلِيَّهَا، فَقَالَ: كُلُّهُمْ بِمَنْزِلَةٍ وَاحِدَةٍ إِذَا رَضِيَتْ).</w:t>
      </w:r>
      <w:r w:rsidRPr="00F27422">
        <w:rPr>
          <w:rFonts w:ascii="mylotus" w:hAnsi="mylotus"/>
          <w:sz w:val="32"/>
          <w:rtl/>
        </w:rPr>
        <w:t xml:space="preserve"> [من لا يحضره الفقيه، الشيخ الصدوق، مؤسسة النشر الإسلامي التابعة لجماعة المدرسين بقم المشرفة، ج3، كتاب الطَّلاق، باب التَّخيير، ح4، رقم</w:t>
      </w:r>
      <w:r w:rsidRPr="00F27422">
        <w:rPr>
          <w:rFonts w:ascii="mylotus" w:hAnsi="mylotus" w:hint="cs"/>
          <w:sz w:val="32"/>
          <w:rtl/>
        </w:rPr>
        <w:t xml:space="preserve"> (4813)].</w:t>
      </w:r>
    </w:p>
    <w:p w14:paraId="301CA43C"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b/>
          <w:bCs/>
          <w:sz w:val="32"/>
          <w:rtl/>
        </w:rPr>
        <w:t>بتقريب:</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عطف الوليّ على الأب في سؤال الراوي،</w:t>
      </w:r>
      <w:r w:rsidRPr="00F27422">
        <w:rPr>
          <w:rFonts w:ascii="mylotus" w:hAnsi="mylotus" w:hint="cs"/>
          <w:sz w:val="32"/>
          <w:rtl/>
        </w:rPr>
        <w:t xml:space="preserve"> </w:t>
      </w:r>
      <w:r w:rsidRPr="00F27422">
        <w:rPr>
          <w:rFonts w:ascii="mylotus" w:hAnsi="mylotus"/>
          <w:sz w:val="32"/>
          <w:rtl/>
        </w:rPr>
        <w:t>وجواب الإمام (عليه السلام) بأنّهم على منزلةٍ واحدة مِن موارد إطلاق الوليّ على الوليّ العرفي</w:t>
      </w:r>
      <w:r w:rsidRPr="00F27422">
        <w:rPr>
          <w:rFonts w:ascii="mylotus" w:hAnsi="mylotus"/>
          <w:sz w:val="32"/>
        </w:rPr>
        <w:t>.</w:t>
      </w:r>
    </w:p>
    <w:p w14:paraId="55D56292"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hint="cs"/>
          <w:b/>
          <w:bCs/>
          <w:sz w:val="32"/>
          <w:rtl/>
        </w:rPr>
        <w:t>الثالثة:</w:t>
      </w:r>
      <w:r w:rsidRPr="00F27422">
        <w:rPr>
          <w:rFonts w:ascii="mylotus" w:hAnsi="mylotus" w:hint="cs"/>
          <w:sz w:val="32"/>
          <w:rtl/>
        </w:rPr>
        <w:t xml:space="preserve"> </w:t>
      </w:r>
      <w:r w:rsidRPr="00F27422">
        <w:rPr>
          <w:rFonts w:ascii="mylotus" w:hAnsi="mylotus"/>
          <w:sz w:val="32"/>
          <w:rtl/>
        </w:rPr>
        <w:t xml:space="preserve">صحيحة عليّ بن يقطين، كما في الوسائل: </w:t>
      </w:r>
      <w:r w:rsidRPr="00F27422">
        <w:rPr>
          <w:rFonts w:ascii="mylotus" w:hAnsi="mylotus"/>
          <w:b/>
          <w:bCs/>
          <w:sz w:val="32"/>
          <w:rtl/>
        </w:rPr>
        <w:t>(محمد بن الحسن بإسناده، عن أحمد بن محمّد بن عيسى، عن الحسن بن عليّ بن يقطين، عن أخيه الحسين، عن عليّ بن يقطين قال: سألتُ أبا الحسن (عليه السلام): أَ تزوّج الجارية وهي بنت ثلاث سنين أو يزوّج الغلام وهو ابن ثلاث سنين وما أدنى حد ذلك الذي يزوجان فيه، فإذا بلغت الجارية فلم ترضَ، فما حالها؟ قال: لا بأس بذلك إذا رضي أبوها أو وليها).</w:t>
      </w:r>
      <w:r w:rsidRPr="00F27422">
        <w:rPr>
          <w:rFonts w:ascii="mylotus" w:hAnsi="mylotus"/>
          <w:sz w:val="32"/>
          <w:rtl/>
        </w:rPr>
        <w:t xml:space="preserve"> [وسائل الشيعة، الحر العاملي، مؤسسة آل البيت (عليهم السلام</w:t>
      </w:r>
      <w:r w:rsidRPr="00F27422">
        <w:rPr>
          <w:rFonts w:ascii="mylotus" w:hAnsi="mylotus" w:hint="cs"/>
          <w:sz w:val="32"/>
          <w:rtl/>
        </w:rPr>
        <w:t>)</w:t>
      </w:r>
      <w:r w:rsidRPr="00F27422">
        <w:rPr>
          <w:rFonts w:ascii="mylotus" w:hAnsi="mylotus"/>
          <w:sz w:val="32"/>
          <w:rtl/>
        </w:rPr>
        <w:t xml:space="preserve"> لإحياء التراث</w:t>
      </w:r>
      <w:r w:rsidRPr="00F27422">
        <w:rPr>
          <w:rFonts w:ascii="mylotus" w:hAnsi="mylotus" w:hint="cs"/>
          <w:sz w:val="32"/>
          <w:rtl/>
        </w:rPr>
        <w:t>،</w:t>
      </w:r>
      <w:r w:rsidRPr="00F27422">
        <w:rPr>
          <w:rFonts w:ascii="mylotus" w:hAnsi="mylotus"/>
          <w:sz w:val="32"/>
          <w:rtl/>
        </w:rPr>
        <w:t xml:space="preserve"> ج20، كتاب النكاح، أبواب عقد النكاح وأولياء العقد، الباب 6 باب ثبوت الولاية للأب والجد للأب خاصة مع وجود الأب لا غيرهما على البنت غير البالغة الرشيدة وكذا الصبي، ح7]</w:t>
      </w:r>
      <w:r w:rsidRPr="00F27422">
        <w:rPr>
          <w:rFonts w:ascii="mylotus" w:hAnsi="mylotus"/>
          <w:sz w:val="32"/>
        </w:rPr>
        <w:t>.</w:t>
      </w:r>
    </w:p>
    <w:p w14:paraId="76334D88"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b/>
          <w:bCs/>
          <w:sz w:val="32"/>
          <w:rtl/>
        </w:rPr>
        <w:t>بتقريب:</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عطف الوليّ على الأب ظاهر في أنّه قد يطلق الوليّ ويرادُ به الوليّ العرفي</w:t>
      </w:r>
      <w:r w:rsidRPr="00F27422">
        <w:rPr>
          <w:rFonts w:ascii="mylotus" w:hAnsi="mylotus"/>
          <w:sz w:val="32"/>
        </w:rPr>
        <w:t>.</w:t>
      </w:r>
    </w:p>
    <w:p w14:paraId="29325A16"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ولكن يلاحظ على ذلك</w:t>
      </w:r>
      <w:r w:rsidRPr="00F27422">
        <w:rPr>
          <w:rFonts w:ascii="mylotus" w:hAnsi="mylotus"/>
          <w:b/>
          <w:bCs/>
          <w:sz w:val="32"/>
        </w:rPr>
        <w:t>:</w:t>
      </w:r>
    </w:p>
    <w:p w14:paraId="0BB6C541"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أولاً:</w:t>
      </w:r>
      <w:r w:rsidRPr="00F27422">
        <w:rPr>
          <w:rFonts w:ascii="mylotus" w:hAnsi="mylotus"/>
          <w:sz w:val="32"/>
          <w:rtl/>
        </w:rPr>
        <w:t xml:space="preserve"> بأنّه مِن المحتمل أنّ المراد بالوليّ في هذه الروايات هو الوليّ الشرعي وهو الوصي مِن قِبَلِ الأب أو الجد؛ بل هو ظاهر ذيل صحيحة علي بن يقطين فإن</w:t>
      </w:r>
      <w:r w:rsidRPr="00F27422">
        <w:rPr>
          <w:rFonts w:ascii="mylotus" w:hAnsi="mylotus" w:hint="cs"/>
          <w:sz w:val="32"/>
          <w:rtl/>
        </w:rPr>
        <w:t>ّ</w:t>
      </w:r>
      <w:r w:rsidRPr="00F27422">
        <w:rPr>
          <w:rFonts w:ascii="mylotus" w:hAnsi="mylotus"/>
          <w:sz w:val="32"/>
          <w:rtl/>
        </w:rPr>
        <w:t xml:space="preserve"> مقتضى مناسبة الحكم للموضوع وهو إناطة نفوذ العقد برضا وليها أن</w:t>
      </w:r>
      <w:r w:rsidRPr="00F27422">
        <w:rPr>
          <w:rFonts w:ascii="mylotus" w:hAnsi="mylotus" w:hint="cs"/>
          <w:sz w:val="32"/>
          <w:rtl/>
        </w:rPr>
        <w:t>ّ</w:t>
      </w:r>
      <w:r w:rsidRPr="00F27422">
        <w:rPr>
          <w:rFonts w:ascii="mylotus" w:hAnsi="mylotus"/>
          <w:sz w:val="32"/>
          <w:rtl/>
        </w:rPr>
        <w:t xml:space="preserve"> المراد بالولي</w:t>
      </w:r>
      <w:r w:rsidRPr="00F27422">
        <w:rPr>
          <w:rFonts w:ascii="mylotus" w:hAnsi="mylotus" w:hint="cs"/>
          <w:sz w:val="32"/>
          <w:rtl/>
        </w:rPr>
        <w:t>ّ</w:t>
      </w:r>
      <w:r w:rsidRPr="00F27422">
        <w:rPr>
          <w:rFonts w:ascii="mylotus" w:hAnsi="mylotus"/>
          <w:sz w:val="32"/>
          <w:rtl/>
        </w:rPr>
        <w:t xml:space="preserve"> هو الولي</w:t>
      </w:r>
      <w:r w:rsidRPr="00F27422">
        <w:rPr>
          <w:rFonts w:ascii="mylotus" w:hAnsi="mylotus" w:hint="cs"/>
          <w:sz w:val="32"/>
          <w:rtl/>
        </w:rPr>
        <w:t>ّ</w:t>
      </w:r>
      <w:r w:rsidRPr="00F27422">
        <w:rPr>
          <w:rFonts w:ascii="mylotus" w:hAnsi="mylotus"/>
          <w:sz w:val="32"/>
          <w:rtl/>
        </w:rPr>
        <w:t xml:space="preserve"> </w:t>
      </w:r>
      <w:proofErr w:type="gramStart"/>
      <w:r w:rsidRPr="00F27422">
        <w:rPr>
          <w:rFonts w:ascii="mylotus" w:hAnsi="mylotus"/>
          <w:sz w:val="32"/>
          <w:rtl/>
        </w:rPr>
        <w:t>الشرعي</w:t>
      </w:r>
      <w:r w:rsidRPr="00F27422">
        <w:rPr>
          <w:rFonts w:ascii="mylotus" w:hAnsi="mylotus"/>
          <w:sz w:val="32"/>
        </w:rPr>
        <w:t xml:space="preserve"> .</w:t>
      </w:r>
      <w:proofErr w:type="gramEnd"/>
    </w:p>
    <w:p w14:paraId="7DB9F81F"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وثانيا</w:t>
      </w:r>
      <w:r w:rsidRPr="00F27422">
        <w:rPr>
          <w:rFonts w:ascii="mylotus" w:hAnsi="mylotus" w:hint="cs"/>
          <w:b/>
          <w:bCs/>
          <w:sz w:val="32"/>
          <w:rtl/>
        </w:rPr>
        <w:t>ً</w:t>
      </w:r>
      <w:r w:rsidRPr="00F27422">
        <w:rPr>
          <w:rFonts w:ascii="mylotus" w:hAnsi="mylotus"/>
          <w:b/>
          <w:bCs/>
          <w:sz w:val="32"/>
          <w:rtl/>
        </w:rPr>
        <w:t>:</w:t>
      </w:r>
      <w:r w:rsidRPr="00F27422">
        <w:rPr>
          <w:rFonts w:ascii="mylotus" w:hAnsi="mylotus"/>
          <w:sz w:val="32"/>
          <w:rtl/>
        </w:rPr>
        <w:t xml:space="preserve"> على فرض استعمال الوليّ في الروايات في الوليّ العرفي فالاستعمال استناداً لقرينة لا ينقح ظهوراً ولا</w:t>
      </w:r>
      <w:r w:rsidRPr="00F27422">
        <w:rPr>
          <w:rFonts w:ascii="mylotus" w:hAnsi="mylotus" w:hint="cs"/>
          <w:sz w:val="32"/>
          <w:rtl/>
        </w:rPr>
        <w:t xml:space="preserve"> </w:t>
      </w:r>
      <w:r w:rsidRPr="00F27422">
        <w:rPr>
          <w:rFonts w:ascii="mylotus" w:hAnsi="mylotus"/>
          <w:sz w:val="32"/>
          <w:rtl/>
        </w:rPr>
        <w:t xml:space="preserve">يحدث إجمالاً في أنّ لفظ </w:t>
      </w:r>
      <w:r w:rsidRPr="00F27422">
        <w:rPr>
          <w:rFonts w:ascii="mylotus" w:hAnsi="mylotus" w:cs="Cambria" w:hint="cs"/>
          <w:sz w:val="32"/>
          <w:rtl/>
        </w:rPr>
        <w:t>"</w:t>
      </w:r>
      <w:r w:rsidRPr="00F27422">
        <w:rPr>
          <w:rFonts w:ascii="mylotus" w:hAnsi="mylotus"/>
          <w:sz w:val="32"/>
          <w:rtl/>
        </w:rPr>
        <w:t>الوليّ</w:t>
      </w:r>
      <w:r w:rsidRPr="00F27422">
        <w:rPr>
          <w:rFonts w:ascii="mylotus" w:hAnsi="mylotus" w:cs="Cambria" w:hint="cs"/>
          <w:sz w:val="32"/>
          <w:rtl/>
        </w:rPr>
        <w:t>"</w:t>
      </w:r>
      <w:r w:rsidRPr="00F27422">
        <w:rPr>
          <w:rFonts w:ascii="mylotus" w:hAnsi="mylotus"/>
          <w:sz w:val="32"/>
          <w:rtl/>
        </w:rPr>
        <w:t xml:space="preserve"> إذا أُطلق بلا قرينة</w:t>
      </w:r>
      <w:r w:rsidRPr="00F27422">
        <w:rPr>
          <w:rFonts w:ascii="mylotus" w:hAnsi="mylotus" w:hint="cs"/>
          <w:sz w:val="32"/>
          <w:rtl/>
        </w:rPr>
        <w:t>ٍ</w:t>
      </w:r>
      <w:r w:rsidRPr="00F27422">
        <w:rPr>
          <w:rFonts w:ascii="mylotus" w:hAnsi="mylotus"/>
          <w:sz w:val="32"/>
          <w:rtl/>
        </w:rPr>
        <w:t xml:space="preserve"> كان منصرفاً للوليّ العرفي أو مجملاً بينهما، بل إنّ ظاهر لفظ </w:t>
      </w:r>
      <w:r w:rsidRPr="00F27422">
        <w:rPr>
          <w:rFonts w:ascii="mylotus" w:hAnsi="mylotus" w:cs="Cambria" w:hint="cs"/>
          <w:sz w:val="32"/>
          <w:rtl/>
        </w:rPr>
        <w:t>"</w:t>
      </w:r>
      <w:r w:rsidRPr="00F27422">
        <w:rPr>
          <w:rFonts w:ascii="mylotus" w:hAnsi="mylotus"/>
          <w:sz w:val="32"/>
          <w:rtl/>
        </w:rPr>
        <w:t>الوليّ</w:t>
      </w:r>
      <w:r w:rsidRPr="00F27422">
        <w:rPr>
          <w:rFonts w:ascii="mylotus" w:hAnsi="mylotus" w:cs="Cambria" w:hint="cs"/>
          <w:sz w:val="32"/>
          <w:rtl/>
        </w:rPr>
        <w:t>"</w:t>
      </w:r>
      <w:r w:rsidRPr="00F27422">
        <w:rPr>
          <w:rFonts w:ascii="mylotus" w:hAnsi="mylotus"/>
          <w:sz w:val="32"/>
          <w:rtl/>
        </w:rPr>
        <w:t xml:space="preserve"> عند إطلاقه خصوصا</w:t>
      </w:r>
      <w:r w:rsidRPr="00F27422">
        <w:rPr>
          <w:rFonts w:ascii="mylotus" w:hAnsi="mylotus" w:hint="cs"/>
          <w:sz w:val="32"/>
          <w:rtl/>
        </w:rPr>
        <w:t>ً</w:t>
      </w:r>
      <w:r w:rsidRPr="00F27422">
        <w:rPr>
          <w:rFonts w:ascii="mylotus" w:hAnsi="mylotus"/>
          <w:sz w:val="32"/>
          <w:rtl/>
        </w:rPr>
        <w:t xml:space="preserve"> مِن قِبَلِ الرواة أمثال أبي عبيدة الحذاء نفسه أنّ المراد به الوليّ الشرعي، ولَمْ تقم قرينة واضحة على خلافه</w:t>
      </w:r>
      <w:r w:rsidRPr="00F27422">
        <w:rPr>
          <w:rFonts w:ascii="mylotus" w:hAnsi="mylotus" w:hint="cs"/>
          <w:sz w:val="32"/>
          <w:rtl/>
        </w:rPr>
        <w:t>.</w:t>
      </w:r>
    </w:p>
    <w:p w14:paraId="6270AF3A"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الجهة الثانية:</w:t>
      </w:r>
      <w:r w:rsidRPr="00F27422">
        <w:rPr>
          <w:rFonts w:ascii="mylotus" w:hAnsi="mylotus"/>
          <w:sz w:val="32"/>
          <w:rtl/>
        </w:rPr>
        <w:t xml:space="preserve"> - في رواية أبي عبيدة الحذاء - إنّ التعبير في الرواية بقوله (عليه السلام): </w:t>
      </w:r>
      <w:r w:rsidRPr="00F27422">
        <w:rPr>
          <w:rFonts w:ascii="mylotus" w:hAnsi="mylotus"/>
          <w:b/>
          <w:bCs/>
          <w:sz w:val="32"/>
          <w:rtl/>
        </w:rPr>
        <w:t>(النِّكَاحُ جَائِزٌ)</w:t>
      </w:r>
      <w:r w:rsidRPr="00F27422">
        <w:rPr>
          <w:rFonts w:ascii="mylotus" w:hAnsi="mylotus"/>
          <w:sz w:val="32"/>
          <w:rtl/>
        </w:rPr>
        <w:t xml:space="preserve"> هل هو ظاهرٌ في نفوذ العقد وصحّته الفعلية، وأنّ المراد بالخيار معناه الاصطلاحي وهو القدرة على الفسخ أو الإمضاء، أم أنّ المراد بـ "جائز" في المقام هو الجواز بمعنى الصحّة التأهلية وأنّ المراد بـ "الخيار" الاختيار أي: أنْ يكون أمرُ العقد بيده، وهذا يعني أنّ العقد عقدٌ فضولي وأنّ نفوذه بعد البلوغ بيد الصبي أو الصبيّة إذا بلغ</w:t>
      </w:r>
      <w:r w:rsidRPr="00F27422">
        <w:rPr>
          <w:rFonts w:ascii="mylotus" w:hAnsi="mylotus"/>
          <w:sz w:val="32"/>
        </w:rPr>
        <w:t>.</w:t>
      </w:r>
    </w:p>
    <w:p w14:paraId="17FF288D"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sz w:val="32"/>
          <w:rtl/>
        </w:rPr>
        <w:t xml:space="preserve">وقد ذُكر في كلمات بعض السادة الأعلام (مد ظله) في قم المقدسة في كتاب النكاح أنّه مِن المحتمل أنّ المراد بـ "الجواز" هنا الجوازُ </w:t>
      </w:r>
      <w:proofErr w:type="spellStart"/>
      <w:r w:rsidRPr="00F27422">
        <w:rPr>
          <w:rFonts w:ascii="mylotus" w:hAnsi="mylotus"/>
          <w:sz w:val="32"/>
          <w:rtl/>
        </w:rPr>
        <w:t>التأهلي</w:t>
      </w:r>
      <w:proofErr w:type="spellEnd"/>
      <w:r w:rsidRPr="00F27422">
        <w:rPr>
          <w:rFonts w:ascii="mylotus" w:hAnsi="mylotus"/>
          <w:sz w:val="32"/>
          <w:rtl/>
        </w:rPr>
        <w:t>، وهذا ما يستظهر مِن عبائر جملة من الفقهاء</w:t>
      </w:r>
      <w:r w:rsidRPr="00F27422">
        <w:rPr>
          <w:rFonts w:ascii="mylotus" w:hAnsi="mylotus"/>
          <w:sz w:val="32"/>
        </w:rPr>
        <w:t>.</w:t>
      </w:r>
    </w:p>
    <w:p w14:paraId="32C372F4"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ولكن في مقابل ذلك يمكن أن</w:t>
      </w:r>
      <w:r w:rsidRPr="00F27422">
        <w:rPr>
          <w:rFonts w:ascii="mylotus" w:hAnsi="mylotus" w:hint="cs"/>
          <w:b/>
          <w:bCs/>
          <w:sz w:val="32"/>
          <w:rtl/>
        </w:rPr>
        <w:t>ْ</w:t>
      </w:r>
      <w:r w:rsidRPr="00F27422">
        <w:rPr>
          <w:rFonts w:ascii="mylotus" w:hAnsi="mylotus"/>
          <w:b/>
          <w:bCs/>
          <w:sz w:val="32"/>
          <w:rtl/>
        </w:rPr>
        <w:t xml:space="preserve"> ي</w:t>
      </w:r>
      <w:r w:rsidRPr="00F27422">
        <w:rPr>
          <w:rFonts w:ascii="mylotus" w:hAnsi="mylotus" w:hint="cs"/>
          <w:b/>
          <w:bCs/>
          <w:sz w:val="32"/>
          <w:rtl/>
        </w:rPr>
        <w:t>ُ</w:t>
      </w:r>
      <w:r w:rsidRPr="00F27422">
        <w:rPr>
          <w:rFonts w:ascii="mylotus" w:hAnsi="mylotus"/>
          <w:b/>
          <w:bCs/>
          <w:sz w:val="32"/>
          <w:rtl/>
        </w:rPr>
        <w:t>قال:</w:t>
      </w:r>
      <w:r w:rsidRPr="00F27422">
        <w:rPr>
          <w:rFonts w:ascii="mylotus" w:hAnsi="mylotus"/>
          <w:sz w:val="32"/>
          <w:rtl/>
        </w:rPr>
        <w:t xml:space="preserve"> إنّ ظاهر عبائِر جملةٍ من الفقهاء (أعلى الله مقامهم) أنّ التعبير بـ "الجواز" ظاهرٌ في الصحّة الفعلية، وأنّ عنوان "الخيار" ظاهرٌ في الخيار الاصطلاحي بمعنى القدرة على الفسخ والإمضاء، ومن تلك العبارات</w:t>
      </w:r>
      <w:r w:rsidRPr="00F27422">
        <w:rPr>
          <w:rFonts w:ascii="mylotus" w:hAnsi="mylotus"/>
          <w:sz w:val="32"/>
        </w:rPr>
        <w:t>:</w:t>
      </w:r>
    </w:p>
    <w:p w14:paraId="0F1DCA4B"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sz w:val="32"/>
          <w:rtl/>
        </w:rPr>
        <w:t xml:space="preserve">قال الشيخ (رحمه الله) في النهاية: </w:t>
      </w:r>
      <w:r w:rsidRPr="00F27422">
        <w:rPr>
          <w:rFonts w:ascii="mylotus" w:hAnsi="mylotus"/>
          <w:b/>
          <w:bCs/>
          <w:sz w:val="32"/>
          <w:rtl/>
        </w:rPr>
        <w:t>(ومتى عقد الأبوان على ولديهما قبل أن يبلغا، ثم ماتا، فإنهما يتوارثان: ترث الجارية الصبي، والصبي الجارية).</w:t>
      </w:r>
      <w:r w:rsidRPr="00F27422">
        <w:rPr>
          <w:rFonts w:ascii="mylotus" w:hAnsi="mylotus"/>
          <w:sz w:val="32"/>
          <w:rtl/>
        </w:rPr>
        <w:t xml:space="preserve"> [النهاية، الشيخ الطوسي، دار الكتاب العربي، ص466]</w:t>
      </w:r>
      <w:r w:rsidRPr="00F27422">
        <w:rPr>
          <w:rFonts w:ascii="mylotus" w:hAnsi="mylotus"/>
          <w:sz w:val="32"/>
        </w:rPr>
        <w:t>.</w:t>
      </w:r>
    </w:p>
    <w:p w14:paraId="04E655F3"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sz w:val="32"/>
          <w:rtl/>
        </w:rPr>
        <w:lastRenderedPageBreak/>
        <w:t xml:space="preserve">وقال أيضاً: </w:t>
      </w:r>
      <w:r w:rsidRPr="00F27422">
        <w:rPr>
          <w:rFonts w:ascii="mylotus" w:hAnsi="mylotus"/>
          <w:b/>
          <w:bCs/>
          <w:sz w:val="32"/>
          <w:rtl/>
        </w:rPr>
        <w:t>(ومتى عقد الرجل لابنه على جارية، وهو غير بالغ، كان له الخيار إذا بلغ).</w:t>
      </w:r>
      <w:r w:rsidRPr="00F27422">
        <w:rPr>
          <w:rFonts w:ascii="mylotus" w:hAnsi="mylotus"/>
          <w:sz w:val="32"/>
          <w:rtl/>
        </w:rPr>
        <w:t xml:space="preserve"> [المصدر السابق، ص467]</w:t>
      </w:r>
      <w:r w:rsidRPr="00F27422">
        <w:rPr>
          <w:rFonts w:ascii="mylotus" w:hAnsi="mylotus"/>
          <w:sz w:val="32"/>
        </w:rPr>
        <w:t>.</w:t>
      </w:r>
    </w:p>
    <w:p w14:paraId="137BEF52"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sz w:val="32"/>
          <w:rtl/>
        </w:rPr>
        <w:t xml:space="preserve">فقوله (عليه الرحمة): </w:t>
      </w:r>
      <w:r w:rsidRPr="00F27422">
        <w:rPr>
          <w:rFonts w:ascii="mylotus" w:hAnsi="mylotus"/>
          <w:b/>
          <w:bCs/>
          <w:sz w:val="32"/>
          <w:rtl/>
        </w:rPr>
        <w:t>(فإنهما يتوارثان)</w:t>
      </w:r>
      <w:r w:rsidRPr="00F27422">
        <w:rPr>
          <w:rFonts w:ascii="mylotus" w:hAnsi="mylotus"/>
          <w:sz w:val="32"/>
          <w:rtl/>
        </w:rPr>
        <w:t xml:space="preserve"> ظاهر</w:t>
      </w:r>
      <w:r w:rsidRPr="00F27422">
        <w:rPr>
          <w:rFonts w:ascii="mylotus" w:hAnsi="mylotus" w:hint="cs"/>
          <w:sz w:val="32"/>
          <w:rtl/>
        </w:rPr>
        <w:t>ٌ</w:t>
      </w:r>
      <w:r w:rsidRPr="00F27422">
        <w:rPr>
          <w:rFonts w:ascii="mylotus" w:hAnsi="mylotus"/>
          <w:sz w:val="32"/>
          <w:rtl/>
        </w:rPr>
        <w:t xml:space="preserve"> في إرادة الصح</w:t>
      </w:r>
      <w:r w:rsidRPr="00F27422">
        <w:rPr>
          <w:rFonts w:ascii="mylotus" w:hAnsi="mylotus" w:hint="cs"/>
          <w:sz w:val="32"/>
          <w:rtl/>
        </w:rPr>
        <w:t>ّ</w:t>
      </w:r>
      <w:r w:rsidRPr="00F27422">
        <w:rPr>
          <w:rFonts w:ascii="mylotus" w:hAnsi="mylotus"/>
          <w:sz w:val="32"/>
          <w:rtl/>
        </w:rPr>
        <w:t>ة الفعلية،</w:t>
      </w:r>
      <w:r w:rsidRPr="00F27422">
        <w:rPr>
          <w:rFonts w:ascii="mylotus" w:hAnsi="mylotus" w:hint="cs"/>
          <w:sz w:val="32"/>
          <w:rtl/>
        </w:rPr>
        <w:t xml:space="preserve"> </w:t>
      </w:r>
      <w:r w:rsidRPr="00F27422">
        <w:rPr>
          <w:rFonts w:ascii="mylotus" w:hAnsi="mylotus"/>
          <w:sz w:val="32"/>
          <w:rtl/>
        </w:rPr>
        <w:t>فإنّ التوارث فرع صحّة العقد صحّةً فعلية، وهو قرينة على أن</w:t>
      </w:r>
      <w:r w:rsidRPr="00F27422">
        <w:rPr>
          <w:rFonts w:ascii="mylotus" w:hAnsi="mylotus" w:hint="cs"/>
          <w:sz w:val="32"/>
          <w:rtl/>
        </w:rPr>
        <w:t>ّ</w:t>
      </w:r>
      <w:r w:rsidRPr="00F27422">
        <w:rPr>
          <w:rFonts w:ascii="mylotus" w:hAnsi="mylotus"/>
          <w:sz w:val="32"/>
          <w:rtl/>
        </w:rPr>
        <w:t xml:space="preserve"> مراده بالخيار القدرة على الفسخ</w:t>
      </w:r>
      <w:r w:rsidRPr="00F27422">
        <w:rPr>
          <w:rFonts w:ascii="mylotus" w:hAnsi="mylotus" w:hint="cs"/>
          <w:sz w:val="32"/>
          <w:rtl/>
        </w:rPr>
        <w:t>.</w:t>
      </w:r>
    </w:p>
    <w:p w14:paraId="1498DE6E"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sz w:val="32"/>
          <w:rtl/>
        </w:rPr>
        <w:t xml:space="preserve">وقال محمد بن إدريس (رحمه الله) في السرائر معلقاً على كلام الشيخ في النهاية من أنّهما يتوارثان: </w:t>
      </w:r>
      <w:r w:rsidRPr="00F27422">
        <w:rPr>
          <w:rFonts w:ascii="mylotus" w:hAnsi="mylotus"/>
          <w:b/>
          <w:bCs/>
          <w:sz w:val="32"/>
          <w:rtl/>
        </w:rPr>
        <w:t>(وهذا صحيح بغير خلاف بين أصحابنا).</w:t>
      </w:r>
      <w:r w:rsidRPr="00F27422">
        <w:rPr>
          <w:rFonts w:ascii="mylotus" w:hAnsi="mylotus"/>
          <w:sz w:val="32"/>
          <w:rtl/>
        </w:rPr>
        <w:t xml:space="preserve"> [السرائر الحاوي لتحرير الفتاوي، ابن إدريس الحلي، مؤسسة النشر الإسلامي التابعة لجماعة المدرسين بقم المشرفة، ج2، ص566]</w:t>
      </w:r>
      <w:r w:rsidRPr="00F27422">
        <w:rPr>
          <w:rFonts w:ascii="mylotus" w:hAnsi="mylotus"/>
          <w:sz w:val="32"/>
        </w:rPr>
        <w:t>.</w:t>
      </w:r>
    </w:p>
    <w:p w14:paraId="4799D9EF"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sz w:val="32"/>
          <w:rtl/>
        </w:rPr>
        <w:t xml:space="preserve">وقال ابن </w:t>
      </w:r>
      <w:proofErr w:type="spellStart"/>
      <w:r w:rsidRPr="00F27422">
        <w:rPr>
          <w:rFonts w:ascii="mylotus" w:hAnsi="mylotus"/>
          <w:sz w:val="32"/>
          <w:rtl/>
        </w:rPr>
        <w:t>البراج</w:t>
      </w:r>
      <w:proofErr w:type="spellEnd"/>
      <w:r w:rsidRPr="00F27422">
        <w:rPr>
          <w:rFonts w:ascii="mylotus" w:hAnsi="mylotus"/>
          <w:sz w:val="32"/>
          <w:rtl/>
        </w:rPr>
        <w:t xml:space="preserve"> (رحمه الله) في المهذب: </w:t>
      </w:r>
      <w:r w:rsidRPr="00F27422">
        <w:rPr>
          <w:rFonts w:ascii="mylotus" w:hAnsi="mylotus"/>
          <w:b/>
          <w:bCs/>
          <w:sz w:val="32"/>
          <w:rtl/>
        </w:rPr>
        <w:t>(إذا عقد الأبوان على ولديهما، وهما صغيران، ثم ماتا قبل البلوغ فإنهما يتوارثان، يرث الصبي الصبية، وترث الصبية الصبي).</w:t>
      </w:r>
      <w:r w:rsidRPr="00F27422">
        <w:rPr>
          <w:rFonts w:ascii="mylotus" w:hAnsi="mylotus"/>
          <w:sz w:val="32"/>
          <w:rtl/>
        </w:rPr>
        <w:t xml:space="preserve"> [المهذب، القاضي ابن </w:t>
      </w:r>
      <w:proofErr w:type="spellStart"/>
      <w:r w:rsidRPr="00F27422">
        <w:rPr>
          <w:rFonts w:ascii="mylotus" w:hAnsi="mylotus"/>
          <w:sz w:val="32"/>
          <w:rtl/>
        </w:rPr>
        <w:t>البراج</w:t>
      </w:r>
      <w:proofErr w:type="spellEnd"/>
      <w:r w:rsidRPr="00F27422">
        <w:rPr>
          <w:rFonts w:ascii="mylotus" w:hAnsi="mylotus"/>
          <w:sz w:val="32"/>
          <w:rtl/>
        </w:rPr>
        <w:t>، مؤسسة النشر الإسلامي التابعة لجماعة المدرسين بقم المشرفة، ج2، ص197]</w:t>
      </w:r>
      <w:r w:rsidRPr="00F27422">
        <w:rPr>
          <w:rFonts w:ascii="mylotus" w:hAnsi="mylotus" w:hint="cs"/>
          <w:sz w:val="32"/>
          <w:rtl/>
        </w:rPr>
        <w:t>.</w:t>
      </w:r>
    </w:p>
    <w:p w14:paraId="744A7399"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sz w:val="32"/>
          <w:rtl/>
        </w:rPr>
        <w:t>وهو كسابقه</w:t>
      </w:r>
      <w:r w:rsidRPr="00F27422">
        <w:rPr>
          <w:rFonts w:ascii="mylotus" w:hAnsi="mylotus" w:hint="cs"/>
          <w:sz w:val="32"/>
          <w:rtl/>
        </w:rPr>
        <w:t>.</w:t>
      </w:r>
    </w:p>
    <w:p w14:paraId="6741A340"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sz w:val="32"/>
          <w:rtl/>
        </w:rPr>
        <w:t xml:space="preserve">وقال البيهقي </w:t>
      </w:r>
      <w:proofErr w:type="spellStart"/>
      <w:r w:rsidRPr="00F27422">
        <w:rPr>
          <w:rFonts w:ascii="mylotus" w:hAnsi="mylotus"/>
          <w:sz w:val="32"/>
          <w:rtl/>
        </w:rPr>
        <w:t>الكيدري</w:t>
      </w:r>
      <w:proofErr w:type="spellEnd"/>
      <w:r w:rsidRPr="00F27422">
        <w:rPr>
          <w:rFonts w:ascii="mylotus" w:hAnsi="mylotus"/>
          <w:sz w:val="32"/>
          <w:rtl/>
        </w:rPr>
        <w:t xml:space="preserve"> (رحمه الله) في إصباح الشيعة: </w:t>
      </w:r>
      <w:r w:rsidRPr="00F27422">
        <w:rPr>
          <w:rFonts w:ascii="mylotus" w:hAnsi="mylotus"/>
          <w:b/>
          <w:bCs/>
          <w:sz w:val="32"/>
          <w:rtl/>
        </w:rPr>
        <w:t xml:space="preserve">(إذا عقد أبوان على ولديهما قبل بلوغهما، صح، وللصبي الخيار إذا بلغ دون الصبية، وإن كان العاقد غير الأبوين أو الجد مع وجود الأب، فلكل منهما الخيار إذا بلغ). </w:t>
      </w:r>
      <w:r w:rsidRPr="00F27422">
        <w:rPr>
          <w:rFonts w:ascii="mylotus" w:hAnsi="mylotus"/>
          <w:sz w:val="32"/>
          <w:rtl/>
        </w:rPr>
        <w:t xml:space="preserve">[إصباح الشيعة بمصباح الشريعة، قطب الدين البيهقي </w:t>
      </w:r>
      <w:proofErr w:type="spellStart"/>
      <w:r w:rsidRPr="00F27422">
        <w:rPr>
          <w:rFonts w:ascii="mylotus" w:hAnsi="mylotus"/>
          <w:sz w:val="32"/>
          <w:rtl/>
        </w:rPr>
        <w:t>الكيدري</w:t>
      </w:r>
      <w:proofErr w:type="spellEnd"/>
      <w:r w:rsidRPr="00F27422">
        <w:rPr>
          <w:rFonts w:ascii="mylotus" w:hAnsi="mylotus"/>
          <w:sz w:val="32"/>
          <w:rtl/>
        </w:rPr>
        <w:t>، مؤسسة الإمام الصادق (عليه السلام)، ج1، ص406]</w:t>
      </w:r>
      <w:r w:rsidRPr="00F27422">
        <w:rPr>
          <w:rFonts w:ascii="mylotus" w:hAnsi="mylotus" w:hint="cs"/>
          <w:sz w:val="32"/>
          <w:rtl/>
        </w:rPr>
        <w:t>.</w:t>
      </w:r>
    </w:p>
    <w:p w14:paraId="5C20B307"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sz w:val="32"/>
          <w:rtl/>
        </w:rPr>
        <w:t>وظاهر</w:t>
      </w:r>
      <w:r w:rsidRPr="00F27422">
        <w:rPr>
          <w:rFonts w:ascii="mylotus" w:hAnsi="mylotus" w:hint="cs"/>
          <w:sz w:val="32"/>
          <w:rtl/>
        </w:rPr>
        <w:t>ُ</w:t>
      </w:r>
      <w:r w:rsidRPr="00F27422">
        <w:rPr>
          <w:rFonts w:ascii="mylotus" w:hAnsi="mylotus"/>
          <w:sz w:val="32"/>
          <w:rtl/>
        </w:rPr>
        <w:t xml:space="preserve"> التفصيل والمقابلة بين حكم الصبي والصبي</w:t>
      </w:r>
      <w:r w:rsidRPr="00F27422">
        <w:rPr>
          <w:rFonts w:ascii="mylotus" w:hAnsi="mylotus" w:hint="cs"/>
          <w:sz w:val="32"/>
          <w:rtl/>
        </w:rPr>
        <w:t>ّ</w:t>
      </w:r>
      <w:r w:rsidRPr="00F27422">
        <w:rPr>
          <w:rFonts w:ascii="mylotus" w:hAnsi="mylotus"/>
          <w:sz w:val="32"/>
          <w:rtl/>
        </w:rPr>
        <w:t>ة بلزوم العقد في حق</w:t>
      </w:r>
      <w:r w:rsidRPr="00F27422">
        <w:rPr>
          <w:rFonts w:ascii="mylotus" w:hAnsi="mylotus" w:hint="cs"/>
          <w:sz w:val="32"/>
          <w:rtl/>
        </w:rPr>
        <w:t>ّ</w:t>
      </w:r>
      <w:r w:rsidRPr="00F27422">
        <w:rPr>
          <w:rFonts w:ascii="mylotus" w:hAnsi="mylotus"/>
          <w:sz w:val="32"/>
          <w:rtl/>
        </w:rPr>
        <w:t xml:space="preserve"> الصبي</w:t>
      </w:r>
      <w:r w:rsidRPr="00F27422">
        <w:rPr>
          <w:rFonts w:ascii="mylotus" w:hAnsi="mylotus" w:hint="cs"/>
          <w:sz w:val="32"/>
          <w:rtl/>
        </w:rPr>
        <w:t>ّ</w:t>
      </w:r>
      <w:r w:rsidRPr="00F27422">
        <w:rPr>
          <w:rFonts w:ascii="mylotus" w:hAnsi="mylotus"/>
          <w:sz w:val="32"/>
          <w:rtl/>
        </w:rPr>
        <w:t xml:space="preserve">ة دون الصبي إرادة الخيار بمعنى القدرة على الفسخ </w:t>
      </w:r>
      <w:proofErr w:type="gramStart"/>
      <w:r w:rsidRPr="00F27422">
        <w:rPr>
          <w:rFonts w:ascii="mylotus" w:hAnsi="mylotus"/>
          <w:sz w:val="32"/>
          <w:rtl/>
        </w:rPr>
        <w:t>والإمضاء</w:t>
      </w:r>
      <w:r w:rsidRPr="00F27422">
        <w:rPr>
          <w:rFonts w:ascii="mylotus" w:hAnsi="mylotus"/>
          <w:sz w:val="32"/>
        </w:rPr>
        <w:t xml:space="preserve"> .</w:t>
      </w:r>
      <w:proofErr w:type="gramEnd"/>
    </w:p>
    <w:p w14:paraId="6D80F925"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b/>
          <w:bCs/>
          <w:sz w:val="32"/>
          <w:rtl/>
        </w:rPr>
        <w:t>والمتحصل:</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حمل الجواز على الصحّة التأهلية وحمل الخيار على الإجازة لإثبات أنّه عقدٌ فضولي خلافُ الظاهر، كما أنّ حمل الجواز على النفوذ المعلّق على الإمضاء بمعنى أنّ النفوذ مِن حين العقد هو نفوذ </w:t>
      </w:r>
      <w:proofErr w:type="gramStart"/>
      <w:r w:rsidRPr="00F27422">
        <w:rPr>
          <w:rFonts w:ascii="mylotus" w:hAnsi="mylotus"/>
          <w:sz w:val="32"/>
          <w:rtl/>
        </w:rPr>
        <w:t>معلّق  بلا</w:t>
      </w:r>
      <w:proofErr w:type="gramEnd"/>
      <w:r w:rsidRPr="00F27422">
        <w:rPr>
          <w:rFonts w:ascii="mylotus" w:hAnsi="mylotus"/>
          <w:sz w:val="32"/>
          <w:rtl/>
        </w:rPr>
        <w:t xml:space="preserve"> قرينة؛ فإنّ ظاهر السياق أنّه نفوذٌ تنجيزي لا تعليقي</w:t>
      </w:r>
      <w:r w:rsidRPr="00F27422">
        <w:rPr>
          <w:rFonts w:ascii="mylotus" w:hAnsi="mylotus" w:hint="cs"/>
          <w:sz w:val="32"/>
          <w:rtl/>
        </w:rPr>
        <w:t>.</w:t>
      </w:r>
    </w:p>
    <w:p w14:paraId="07E2E5F9"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ومما يؤكد ذلك،</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اختلاف تعبير الروايات عن العقد الفضولي والعقد الخياري ترشدنا إلى أنّ التعبير بـ "جائز" منهما منضما</w:t>
      </w:r>
      <w:r w:rsidRPr="00F27422">
        <w:rPr>
          <w:rFonts w:ascii="mylotus" w:hAnsi="mylotus" w:hint="cs"/>
          <w:sz w:val="32"/>
          <w:rtl/>
        </w:rPr>
        <w:t>ً</w:t>
      </w:r>
      <w:r w:rsidRPr="00F27422">
        <w:rPr>
          <w:rFonts w:ascii="mylotus" w:hAnsi="mylotus"/>
          <w:sz w:val="32"/>
          <w:rtl/>
        </w:rPr>
        <w:t xml:space="preserve"> إلى عبارة "له الخيار" ظاهر</w:t>
      </w:r>
      <w:r w:rsidRPr="00F27422">
        <w:rPr>
          <w:rFonts w:ascii="mylotus" w:hAnsi="mylotus" w:hint="cs"/>
          <w:sz w:val="32"/>
          <w:rtl/>
        </w:rPr>
        <w:t>ٌ</w:t>
      </w:r>
      <w:r w:rsidRPr="00F27422">
        <w:rPr>
          <w:rFonts w:ascii="mylotus" w:hAnsi="mylotus"/>
          <w:sz w:val="32"/>
          <w:rtl/>
        </w:rPr>
        <w:t xml:space="preserve"> في العقد الخياري بمعنى القدرة على الفسخ والإمضاء</w:t>
      </w:r>
      <w:r w:rsidRPr="00F27422">
        <w:rPr>
          <w:rFonts w:ascii="mylotus" w:hAnsi="mylotus"/>
          <w:sz w:val="32"/>
        </w:rPr>
        <w:t>.</w:t>
      </w:r>
    </w:p>
    <w:p w14:paraId="269D39BB"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فمن تلك الروايات</w:t>
      </w:r>
      <w:r w:rsidRPr="00F27422">
        <w:rPr>
          <w:rFonts w:ascii="mylotus" w:hAnsi="mylotus"/>
          <w:b/>
          <w:bCs/>
          <w:sz w:val="32"/>
        </w:rPr>
        <w:t>:</w:t>
      </w:r>
    </w:p>
    <w:p w14:paraId="78BC7E37"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الروايةُ الأُولى:</w:t>
      </w:r>
      <w:r w:rsidRPr="00F27422">
        <w:rPr>
          <w:rFonts w:ascii="mylotus" w:hAnsi="mylotus"/>
          <w:sz w:val="32"/>
          <w:rtl/>
        </w:rPr>
        <w:t xml:space="preserve"> رواية محمّد بن مسلم، كما في الوسائل: </w:t>
      </w:r>
      <w:r w:rsidRPr="00F27422">
        <w:rPr>
          <w:rFonts w:ascii="mylotus" w:hAnsi="mylotus"/>
          <w:b/>
          <w:bCs/>
          <w:sz w:val="32"/>
          <w:rtl/>
        </w:rPr>
        <w:t xml:space="preserve">(وعن أبي عليّ الأشعري، عن محمّد بن </w:t>
      </w:r>
      <w:proofErr w:type="gramStart"/>
      <w:r w:rsidRPr="00F27422">
        <w:rPr>
          <w:rFonts w:ascii="mylotus" w:hAnsi="mylotus"/>
          <w:b/>
          <w:bCs/>
          <w:sz w:val="32"/>
          <w:rtl/>
        </w:rPr>
        <w:t>عبدالجبار</w:t>
      </w:r>
      <w:proofErr w:type="gramEnd"/>
      <w:r w:rsidRPr="00F27422">
        <w:rPr>
          <w:rFonts w:ascii="mylotus" w:hAnsi="mylotus"/>
          <w:b/>
          <w:bCs/>
          <w:sz w:val="32"/>
          <w:rtl/>
        </w:rPr>
        <w:t>، عن إسماعيل بن سهل، عن الحسن بن محمّد الحضرمي، عن الكاهلي، عن محمّد بن مسلم، عن أبي جعفر (عليه السلام)، أنه سأله عن رجل زوجته أمه وهو غائب؟ قال: النكاح جائز، إن شاء المتزوج قبل، وإن شاء ترك فإن ترك المتزوج تزويجه فالمهر لازم لأمه).</w:t>
      </w:r>
      <w:r w:rsidRPr="00F27422">
        <w:rPr>
          <w:rFonts w:ascii="mylotus" w:hAnsi="mylotus"/>
          <w:sz w:val="32"/>
          <w:rtl/>
        </w:rPr>
        <w:t xml:space="preserve"> [وسائل الشيعة، الحر العاملي، مؤسسة آل البيت (عليهم السلام لإحياء التراث) ج20، كتاب النكاح، أبواب عقد النكاح وأولياء العقد، الباب 7 باب أنه لا </w:t>
      </w:r>
      <w:proofErr w:type="gramStart"/>
      <w:r w:rsidRPr="00F27422">
        <w:rPr>
          <w:rFonts w:ascii="mylotus" w:hAnsi="mylotus"/>
          <w:sz w:val="32"/>
          <w:rtl/>
        </w:rPr>
        <w:t xml:space="preserve">ولاية للعم </w:t>
      </w:r>
      <w:proofErr w:type="gramEnd"/>
      <w:r w:rsidRPr="00F27422">
        <w:rPr>
          <w:rFonts w:ascii="mylotus" w:hAnsi="mylotus"/>
          <w:sz w:val="32"/>
          <w:rtl/>
        </w:rPr>
        <w:t>ولا الخال ولا للأخ ولا للأم في العقد مطلقا إلا مع الوكالة بشروطها، فإن زوجها أحدهم كان موقوفا على رضاها، وحكم ما لو وكلت اثنين فزوجاها برجلين، ح3]</w:t>
      </w:r>
      <w:r w:rsidRPr="00F27422">
        <w:rPr>
          <w:rFonts w:ascii="mylotus" w:hAnsi="mylotus"/>
          <w:sz w:val="32"/>
        </w:rPr>
        <w:t>.</w:t>
      </w:r>
    </w:p>
    <w:p w14:paraId="72430887"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sz w:val="32"/>
          <w:rtl/>
        </w:rPr>
        <w:t>فإن</w:t>
      </w:r>
      <w:r w:rsidRPr="00F27422">
        <w:rPr>
          <w:rFonts w:ascii="mylotus" w:hAnsi="mylotus" w:hint="cs"/>
          <w:sz w:val="32"/>
          <w:rtl/>
        </w:rPr>
        <w:t>ّ</w:t>
      </w:r>
      <w:r w:rsidRPr="00F27422">
        <w:rPr>
          <w:rFonts w:ascii="mylotus" w:hAnsi="mylotus"/>
          <w:sz w:val="32"/>
          <w:rtl/>
        </w:rPr>
        <w:t xml:space="preserve"> التعبير: </w:t>
      </w:r>
      <w:r w:rsidRPr="00F27422">
        <w:rPr>
          <w:rFonts w:ascii="mylotus" w:hAnsi="mylotus"/>
          <w:b/>
          <w:bCs/>
          <w:sz w:val="32"/>
          <w:rtl/>
        </w:rPr>
        <w:t>(إن شاء المتزوج قبل، وإن شاء ترك)</w:t>
      </w:r>
      <w:r w:rsidRPr="00F27422">
        <w:rPr>
          <w:rFonts w:ascii="mylotus" w:hAnsi="mylotus"/>
          <w:sz w:val="32"/>
          <w:rtl/>
        </w:rPr>
        <w:t xml:space="preserve"> ولم يعبر (عليه السلام) بالخيار ظاهرٌ في العقد الفضولي</w:t>
      </w:r>
      <w:r w:rsidRPr="00F27422">
        <w:rPr>
          <w:rFonts w:ascii="mylotus" w:hAnsi="mylotus"/>
          <w:sz w:val="32"/>
        </w:rPr>
        <w:t>.</w:t>
      </w:r>
    </w:p>
    <w:p w14:paraId="10AB0953"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الروايةُ الثانية:</w:t>
      </w:r>
      <w:r w:rsidRPr="00F27422">
        <w:rPr>
          <w:rFonts w:ascii="mylotus" w:hAnsi="mylotus"/>
          <w:sz w:val="32"/>
          <w:rtl/>
        </w:rPr>
        <w:t xml:space="preserve"> صحيحة زرارة، كما في الوسائل: </w:t>
      </w:r>
      <w:r w:rsidRPr="00F27422">
        <w:rPr>
          <w:rFonts w:ascii="mylotus" w:hAnsi="mylotus"/>
          <w:b/>
          <w:bCs/>
          <w:sz w:val="32"/>
          <w:rtl/>
        </w:rPr>
        <w:t xml:space="preserve">(محمّد بن يعقوب، عن علي بن إبراهيم، عن أبيه، عن ابن أبي عمير، عن عمر بن أُذينة، عن زرارة، عن أبي جعفر (عليه السلام)، قال: سألته عن مملوك تزوج بغير إذن سيده، فقال: ذاك إلى سيده إن شاء أجازه </w:t>
      </w:r>
      <w:r w:rsidRPr="00F27422">
        <w:rPr>
          <w:rFonts w:ascii="mylotus" w:hAnsi="mylotus"/>
          <w:b/>
          <w:bCs/>
          <w:sz w:val="32"/>
          <w:rtl/>
        </w:rPr>
        <w:lastRenderedPageBreak/>
        <w:t>وإن شاء فرق بينهما، قلت: أصلحك الله، إن الحكم بن عتيبة وإبراهيم النخعي وأصحابهما يقولون: إن أصل النكاح فاسد، ولا تحل إجازة السيد له، فقال أبو جعفر (عليه السلام): إنه لم يعصِ الله، وإنما عصى سيده، فإذا أجازه فهو له جائز).</w:t>
      </w:r>
      <w:r w:rsidRPr="00F27422">
        <w:rPr>
          <w:rFonts w:ascii="mylotus" w:hAnsi="mylotus"/>
          <w:sz w:val="32"/>
          <w:rtl/>
        </w:rPr>
        <w:t xml:space="preserve"> [وسائل الشيعة، الحر العاملي، مؤسسة آل البيت (عليهم السلام لإحياء التراث) ج21، كتاب النكاح، أبواب نكاح العبيد والإماء، الباب 24 باب أن العبد إذا تزوج بغير إذن مولاه كان العقد موقوفا على الإجازة منه، فإن أجازه صح ولا يحتاج إلى تجديد العقد وحكم المهر، ح1]</w:t>
      </w:r>
      <w:r w:rsidRPr="00F27422">
        <w:rPr>
          <w:rFonts w:ascii="mylotus" w:hAnsi="mylotus"/>
          <w:sz w:val="32"/>
        </w:rPr>
        <w:t>.</w:t>
      </w:r>
    </w:p>
    <w:p w14:paraId="0C916662"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sz w:val="32"/>
          <w:rtl/>
        </w:rPr>
        <w:t>والرواية تامةٌ سنداً</w:t>
      </w:r>
      <w:r w:rsidRPr="00F27422">
        <w:rPr>
          <w:rFonts w:ascii="mylotus" w:hAnsi="mylotus"/>
          <w:sz w:val="32"/>
        </w:rPr>
        <w:t>.</w:t>
      </w:r>
    </w:p>
    <w:p w14:paraId="41117E0A"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sz w:val="32"/>
          <w:rtl/>
        </w:rPr>
        <w:t>وقوله</w:t>
      </w:r>
      <w:r w:rsidRPr="00F27422">
        <w:rPr>
          <w:rFonts w:ascii="mylotus" w:hAnsi="mylotus" w:hint="cs"/>
          <w:sz w:val="32"/>
          <w:rtl/>
        </w:rPr>
        <w:t xml:space="preserve"> </w:t>
      </w:r>
      <w:r w:rsidRPr="00F27422">
        <w:rPr>
          <w:rFonts w:ascii="mylotus" w:hAnsi="mylotus"/>
          <w:sz w:val="32"/>
          <w:rtl/>
        </w:rPr>
        <w:t xml:space="preserve">(عليه السلام): </w:t>
      </w:r>
      <w:r w:rsidRPr="00F27422">
        <w:rPr>
          <w:rFonts w:ascii="mylotus" w:hAnsi="mylotus"/>
          <w:b/>
          <w:bCs/>
          <w:sz w:val="32"/>
          <w:rtl/>
        </w:rPr>
        <w:t>(ذاك إلى سيده إن شاء أجازه وإن شاء فرق بينهما)</w:t>
      </w:r>
      <w:r w:rsidRPr="00F27422">
        <w:rPr>
          <w:rFonts w:ascii="mylotus" w:hAnsi="mylotus"/>
          <w:sz w:val="32"/>
          <w:rtl/>
        </w:rPr>
        <w:t xml:space="preserve"> تعبيرٌ عن العقد الفضولي</w:t>
      </w:r>
      <w:r w:rsidRPr="00F27422">
        <w:rPr>
          <w:rFonts w:ascii="mylotus" w:hAnsi="mylotus"/>
          <w:sz w:val="32"/>
        </w:rPr>
        <w:t>.</w:t>
      </w:r>
    </w:p>
    <w:p w14:paraId="571D2790"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sz w:val="32"/>
          <w:rtl/>
        </w:rPr>
        <w:t>فاختلاف التعبير بي</w:t>
      </w:r>
      <w:r w:rsidRPr="00F27422">
        <w:rPr>
          <w:rFonts w:ascii="mylotus" w:hAnsi="mylotus" w:hint="cs"/>
          <w:sz w:val="32"/>
          <w:rtl/>
        </w:rPr>
        <w:t>ن (</w:t>
      </w:r>
      <w:r w:rsidRPr="00F27422">
        <w:rPr>
          <w:rFonts w:ascii="mylotus" w:hAnsi="mylotus"/>
          <w:sz w:val="32"/>
          <w:rtl/>
        </w:rPr>
        <w:t>إن شاء أجازه) وبين (لهما الخيار) ظاهرٌ في الخيار بمعنى القدرة على الفسخ والإمضاء</w:t>
      </w:r>
      <w:r w:rsidRPr="00F27422">
        <w:rPr>
          <w:rFonts w:ascii="mylotus" w:hAnsi="mylotus"/>
          <w:sz w:val="32"/>
        </w:rPr>
        <w:t>.</w:t>
      </w:r>
    </w:p>
    <w:p w14:paraId="1483A8AA"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ولكن:</w:t>
      </w:r>
      <w:r w:rsidRPr="00F27422">
        <w:rPr>
          <w:rFonts w:ascii="mylotus" w:hAnsi="mylotus"/>
          <w:sz w:val="32"/>
          <w:rtl/>
        </w:rPr>
        <w:t xml:space="preserve"> في المقابل ذُكرتْ بعض القرائن على أنّ المنظور في المقام عقد الفضولي لا العقد الخياري</w:t>
      </w:r>
      <w:r w:rsidRPr="00F27422">
        <w:rPr>
          <w:rFonts w:ascii="mylotus" w:hAnsi="mylotus"/>
          <w:sz w:val="32"/>
        </w:rPr>
        <w:t>.</w:t>
      </w:r>
    </w:p>
    <w:p w14:paraId="19EA4412"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b/>
          <w:bCs/>
          <w:sz w:val="32"/>
          <w:rtl/>
        </w:rPr>
        <w:t xml:space="preserve">القرينةُ الأُولى: </w:t>
      </w:r>
      <w:r w:rsidRPr="00F27422">
        <w:rPr>
          <w:rFonts w:ascii="mylotus" w:hAnsi="mylotus"/>
          <w:sz w:val="32"/>
          <w:rtl/>
        </w:rPr>
        <w:t xml:space="preserve">إنّ ظاهر قوله (عليه السلام) في صحيحة أبي عبيدة الحذاء: </w:t>
      </w:r>
      <w:r w:rsidRPr="00F27422">
        <w:rPr>
          <w:rFonts w:ascii="mylotus" w:hAnsi="mylotus"/>
          <w:b/>
          <w:bCs/>
          <w:sz w:val="32"/>
          <w:rtl/>
        </w:rPr>
        <w:t>(فَإِنْ مَاتَا قَبْلَ أَنْ يُدْرِكَا فَلَا مِيرَاثَ بَيْنَهُمَا وَلَا مَهْرَ، إِلَّا أَنْ يَكُونَا قَدْ أَدْرَكَا وَرَضِيَا)</w:t>
      </w:r>
      <w:r w:rsidRPr="00F27422">
        <w:rPr>
          <w:rFonts w:ascii="mylotus" w:hAnsi="mylotus"/>
          <w:sz w:val="32"/>
          <w:rtl/>
        </w:rPr>
        <w:t xml:space="preserve"> كون النكاح نكاحاً فضولياً، إذ لو كان نكاحاً خيارياً لكان بينهما ميراثٌ، فعدم ثبوت الميراث بينهما ظاهرٌ في أنّ النكاح كان فضولياً</w:t>
      </w:r>
      <w:r w:rsidRPr="00F27422">
        <w:rPr>
          <w:rFonts w:ascii="mylotus" w:hAnsi="mylotus"/>
          <w:sz w:val="32"/>
        </w:rPr>
        <w:t>.</w:t>
      </w:r>
    </w:p>
    <w:p w14:paraId="4B4236DD" w14:textId="77777777" w:rsidR="003A6E31" w:rsidRPr="00F27422" w:rsidRDefault="003A6E31" w:rsidP="00122B70">
      <w:pPr>
        <w:pStyle w:val="a"/>
        <w:bidi/>
        <w:spacing w:line="216" w:lineRule="auto"/>
        <w:jc w:val="left"/>
        <w:rPr>
          <w:rFonts w:ascii="mylotus" w:hAnsi="mylotus"/>
          <w:sz w:val="32"/>
          <w:rtl/>
        </w:rPr>
      </w:pPr>
      <w:r w:rsidRPr="00F27422">
        <w:rPr>
          <w:rFonts w:ascii="mylotus" w:hAnsi="mylotus"/>
          <w:b/>
          <w:bCs/>
          <w:sz w:val="32"/>
          <w:rtl/>
        </w:rPr>
        <w:t>والجوابُ عن هذه القرينة:</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ه مِن المحتمل: أنّ النكاح الخياري إنْ صدر من الأب ثبت التوارث إذا ماتا قبل البلوغ، وإنْ صدر من غير الأب وإن</w:t>
      </w:r>
      <w:r w:rsidRPr="00F27422">
        <w:rPr>
          <w:rFonts w:ascii="mylotus" w:hAnsi="mylotus" w:hint="cs"/>
          <w:sz w:val="32"/>
          <w:rtl/>
        </w:rPr>
        <w:t>ْ</w:t>
      </w:r>
      <w:r w:rsidRPr="00F27422">
        <w:rPr>
          <w:rFonts w:ascii="mylotus" w:hAnsi="mylotus"/>
          <w:sz w:val="32"/>
          <w:rtl/>
        </w:rPr>
        <w:t xml:space="preserve"> كان وليا</w:t>
      </w:r>
      <w:r w:rsidRPr="00F27422">
        <w:rPr>
          <w:rFonts w:ascii="mylotus" w:hAnsi="mylotus" w:hint="cs"/>
          <w:sz w:val="32"/>
          <w:rtl/>
        </w:rPr>
        <w:t>ً</w:t>
      </w:r>
      <w:r w:rsidRPr="00F27422">
        <w:rPr>
          <w:rFonts w:ascii="mylotus" w:hAnsi="mylotus"/>
          <w:sz w:val="32"/>
          <w:rtl/>
        </w:rPr>
        <w:t xml:space="preserve"> شرعيا</w:t>
      </w:r>
      <w:r w:rsidRPr="00F27422">
        <w:rPr>
          <w:rFonts w:ascii="mylotus" w:hAnsi="mylotus" w:hint="cs"/>
          <w:sz w:val="32"/>
          <w:rtl/>
        </w:rPr>
        <w:t>ً</w:t>
      </w:r>
      <w:r w:rsidRPr="00F27422">
        <w:rPr>
          <w:rFonts w:ascii="mylotus" w:hAnsi="mylotus"/>
          <w:sz w:val="32"/>
          <w:rtl/>
        </w:rPr>
        <w:t xml:space="preserve"> لم يثبت التوارث كما هو ظاهر صحيحة محم</w:t>
      </w:r>
      <w:r w:rsidRPr="00F27422">
        <w:rPr>
          <w:rFonts w:ascii="mylotus" w:hAnsi="mylotus" w:hint="cs"/>
          <w:sz w:val="32"/>
          <w:rtl/>
        </w:rPr>
        <w:t>ّ</w:t>
      </w:r>
      <w:r w:rsidRPr="00F27422">
        <w:rPr>
          <w:rFonts w:ascii="mylotus" w:hAnsi="mylotus"/>
          <w:sz w:val="32"/>
          <w:rtl/>
        </w:rPr>
        <w:t>د بن مسلم السابقة</w:t>
      </w:r>
      <w:r w:rsidRPr="00F27422">
        <w:rPr>
          <w:rFonts w:ascii="mylotus" w:hAnsi="mylotus" w:hint="cs"/>
          <w:sz w:val="32"/>
          <w:rtl/>
        </w:rPr>
        <w:t>.</w:t>
      </w:r>
    </w:p>
    <w:p w14:paraId="463F8B56" w14:textId="77777777" w:rsidR="003A6E31" w:rsidRPr="00F27422" w:rsidRDefault="003A6E31" w:rsidP="00122B70">
      <w:pPr>
        <w:pStyle w:val="a"/>
        <w:bidi/>
        <w:spacing w:line="216" w:lineRule="auto"/>
        <w:jc w:val="left"/>
        <w:rPr>
          <w:rFonts w:ascii="mylotus" w:hAnsi="mylotus"/>
          <w:b/>
          <w:bCs/>
          <w:sz w:val="32"/>
          <w:rtl/>
        </w:rPr>
      </w:pPr>
      <w:r w:rsidRPr="00F27422">
        <w:rPr>
          <w:rFonts w:ascii="mylotus" w:hAnsi="mylotus"/>
          <w:sz w:val="32"/>
          <w:rtl/>
        </w:rPr>
        <w:t>فلا</w:t>
      </w:r>
      <w:r w:rsidRPr="00F27422">
        <w:rPr>
          <w:rFonts w:ascii="mylotus" w:hAnsi="mylotus" w:hint="cs"/>
          <w:sz w:val="32"/>
          <w:rtl/>
        </w:rPr>
        <w:t xml:space="preserve"> </w:t>
      </w:r>
      <w:r w:rsidRPr="00F27422">
        <w:rPr>
          <w:rFonts w:ascii="mylotus" w:hAnsi="mylotus"/>
          <w:sz w:val="32"/>
          <w:rtl/>
        </w:rPr>
        <w:t>يصلح ما</w:t>
      </w:r>
      <w:r w:rsidRPr="00F27422">
        <w:rPr>
          <w:rFonts w:ascii="mylotus" w:hAnsi="mylotus" w:hint="cs"/>
          <w:sz w:val="32"/>
          <w:rtl/>
        </w:rPr>
        <w:t xml:space="preserve"> </w:t>
      </w:r>
      <w:r w:rsidRPr="00F27422">
        <w:rPr>
          <w:rFonts w:ascii="mylotus" w:hAnsi="mylotus"/>
          <w:sz w:val="32"/>
          <w:rtl/>
        </w:rPr>
        <w:t>ذكر قرينة على كون النكاح في صدر الرواية نكاحاً</w:t>
      </w:r>
      <w:r w:rsidRPr="00F27422">
        <w:rPr>
          <w:rFonts w:ascii="Cambria" w:hAnsi="Cambria" w:cs="Cambria" w:hint="cs"/>
          <w:sz w:val="32"/>
          <w:rtl/>
        </w:rPr>
        <w:t> </w:t>
      </w:r>
      <w:r w:rsidRPr="00F27422">
        <w:rPr>
          <w:rFonts w:ascii="mylotus" w:hAnsi="mylotus" w:hint="cs"/>
          <w:sz w:val="32"/>
          <w:rtl/>
        </w:rPr>
        <w:t>فضولياً</w:t>
      </w:r>
      <w:r w:rsidRPr="00F27422">
        <w:rPr>
          <w:rFonts w:ascii="mylotus" w:hAnsi="mylotus"/>
          <w:sz w:val="32"/>
          <w:rtl/>
        </w:rPr>
        <w:t>.</w:t>
      </w:r>
    </w:p>
    <w:p w14:paraId="0ED12DEC" w14:textId="77777777" w:rsidR="003A6E31" w:rsidRPr="00F27422" w:rsidRDefault="003A6E31" w:rsidP="00122B70">
      <w:pPr>
        <w:pStyle w:val="a"/>
        <w:bidi/>
        <w:spacing w:line="216" w:lineRule="auto"/>
        <w:jc w:val="left"/>
        <w:rPr>
          <w:rFonts w:ascii="mylotus" w:hAnsi="mylotus"/>
          <w:sz w:val="32"/>
          <w:rtl/>
        </w:rPr>
      </w:pPr>
    </w:p>
    <w:p w14:paraId="09DB7BBF" w14:textId="77777777" w:rsidR="003A6E31" w:rsidRPr="00F27422" w:rsidRDefault="003A6E31"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1DB81668" w14:textId="77777777" w:rsidR="007230EA" w:rsidRPr="00F27422" w:rsidRDefault="007230EA" w:rsidP="00122B70">
      <w:pPr>
        <w:bidi/>
        <w:rPr>
          <w:sz w:val="32"/>
          <w:szCs w:val="32"/>
          <w:rtl/>
        </w:rPr>
      </w:pPr>
    </w:p>
    <w:p w14:paraId="6786A006" w14:textId="77777777" w:rsidR="003A6E31" w:rsidRPr="00F27422" w:rsidRDefault="003A6E31" w:rsidP="00122B70">
      <w:pPr>
        <w:bidi/>
        <w:rPr>
          <w:sz w:val="32"/>
          <w:szCs w:val="32"/>
          <w:rtl/>
        </w:rPr>
      </w:pPr>
    </w:p>
    <w:p w14:paraId="0B05FBF3" w14:textId="672E80B1" w:rsidR="003A6E31" w:rsidRPr="00F27422" w:rsidRDefault="003A6E31" w:rsidP="00122B70">
      <w:pPr>
        <w:pStyle w:val="Heading3"/>
        <w:bidi/>
        <w:rPr>
          <w:sz w:val="32"/>
          <w:szCs w:val="32"/>
          <w:rtl/>
        </w:rPr>
      </w:pPr>
      <w:r w:rsidRPr="00F27422">
        <w:rPr>
          <w:rFonts w:hint="cs"/>
          <w:sz w:val="32"/>
          <w:szCs w:val="32"/>
          <w:rtl/>
        </w:rPr>
        <w:t>050</w:t>
      </w:r>
    </w:p>
    <w:p w14:paraId="7A1E07A2" w14:textId="77777777" w:rsidR="00B76E3F" w:rsidRPr="00F27422" w:rsidRDefault="00B76E3F" w:rsidP="00122B70">
      <w:pPr>
        <w:bidi/>
        <w:rPr>
          <w:b/>
          <w:bCs/>
          <w:sz w:val="32"/>
          <w:szCs w:val="32"/>
        </w:rPr>
      </w:pPr>
      <w:r w:rsidRPr="00F27422">
        <w:rPr>
          <w:b/>
          <w:bCs/>
          <w:sz w:val="32"/>
          <w:szCs w:val="32"/>
          <w:rtl/>
        </w:rPr>
        <w:t>بسم الله الرحمن الرحيم</w:t>
      </w:r>
    </w:p>
    <w:p w14:paraId="6D17DB0B" w14:textId="77777777" w:rsidR="00B76E3F" w:rsidRPr="00F27422" w:rsidRDefault="00B76E3F"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473B2550" w14:textId="77777777" w:rsidR="00B76E3F" w:rsidRPr="00F27422" w:rsidRDefault="00B76E3F" w:rsidP="00122B70">
      <w:pPr>
        <w:bidi/>
        <w:rPr>
          <w:sz w:val="32"/>
          <w:szCs w:val="32"/>
          <w:rtl/>
        </w:rPr>
      </w:pPr>
      <w:r w:rsidRPr="00F27422">
        <w:rPr>
          <w:b/>
          <w:bCs/>
          <w:sz w:val="32"/>
          <w:szCs w:val="32"/>
          <w:rtl/>
        </w:rPr>
        <w:t>واللعن الدائم على أعدائهم أجمعين إلى قيام يوم الدين</w:t>
      </w:r>
    </w:p>
    <w:p w14:paraId="431352B1" w14:textId="77777777" w:rsidR="00B76E3F" w:rsidRPr="00F27422" w:rsidRDefault="00B76E3F" w:rsidP="00122B70">
      <w:pPr>
        <w:bidi/>
        <w:rPr>
          <w:sz w:val="32"/>
          <w:szCs w:val="32"/>
          <w:rtl/>
        </w:rPr>
      </w:pPr>
    </w:p>
    <w:p w14:paraId="575827F7" w14:textId="77777777" w:rsidR="00B76E3F" w:rsidRPr="00F27422" w:rsidRDefault="00B76E3F" w:rsidP="00122B70">
      <w:pPr>
        <w:bidi/>
        <w:rPr>
          <w:b/>
          <w:bCs/>
          <w:sz w:val="32"/>
          <w:szCs w:val="32"/>
          <w:rtl/>
        </w:rPr>
      </w:pPr>
      <w:r w:rsidRPr="00F27422">
        <w:rPr>
          <w:b/>
          <w:bCs/>
          <w:sz w:val="32"/>
          <w:szCs w:val="32"/>
          <w:rtl/>
        </w:rPr>
        <w:t>القرينةُ الثانية:</w:t>
      </w:r>
      <w:r w:rsidRPr="00F27422">
        <w:rPr>
          <w:sz w:val="32"/>
          <w:szCs w:val="32"/>
          <w:rtl/>
        </w:rPr>
        <w:t xml:space="preserve"> قوله (عليه السلام) في صحيحة أبي عبيدة الحذاء: </w:t>
      </w:r>
      <w:r w:rsidRPr="00F27422">
        <w:rPr>
          <w:b/>
          <w:bCs/>
          <w:sz w:val="32"/>
          <w:szCs w:val="32"/>
          <w:rtl/>
        </w:rPr>
        <w:t>(إِلَّا أَنْ يَكُونَا قَدْ أَدْرَكَا وَرَضِيَا)</w:t>
      </w:r>
      <w:r w:rsidRPr="00F27422">
        <w:rPr>
          <w:b/>
          <w:bCs/>
          <w:sz w:val="32"/>
          <w:szCs w:val="32"/>
        </w:rPr>
        <w:t>.</w:t>
      </w:r>
    </w:p>
    <w:p w14:paraId="6C021C80" w14:textId="77777777" w:rsidR="00B76E3F" w:rsidRPr="00F27422" w:rsidRDefault="00B76E3F" w:rsidP="00122B70">
      <w:pPr>
        <w:bidi/>
        <w:rPr>
          <w:sz w:val="32"/>
          <w:szCs w:val="32"/>
          <w:rtl/>
        </w:rPr>
      </w:pPr>
      <w:r w:rsidRPr="00F27422">
        <w:rPr>
          <w:b/>
          <w:bCs/>
          <w:sz w:val="32"/>
          <w:szCs w:val="32"/>
          <w:rtl/>
        </w:rPr>
        <w:lastRenderedPageBreak/>
        <w:t>بتقريب:</w:t>
      </w:r>
      <w:r w:rsidRPr="00F27422">
        <w:rPr>
          <w:sz w:val="32"/>
          <w:szCs w:val="32"/>
          <w:rtl/>
        </w:rPr>
        <w:t xml:space="preserve"> أنّ الرضا كنايةٌ عرفيةٌ عن الإجازة والتنفيذ، فهو ظاهرٌ في كون العقد فضولياً والرضا به إجازة له</w:t>
      </w:r>
      <w:r w:rsidRPr="00F27422">
        <w:rPr>
          <w:sz w:val="32"/>
          <w:szCs w:val="32"/>
        </w:rPr>
        <w:t>.</w:t>
      </w:r>
    </w:p>
    <w:p w14:paraId="280C3850" w14:textId="77777777" w:rsidR="00B76E3F" w:rsidRPr="00F27422" w:rsidRDefault="00B76E3F" w:rsidP="00122B70">
      <w:pPr>
        <w:bidi/>
        <w:rPr>
          <w:sz w:val="32"/>
          <w:szCs w:val="32"/>
          <w:rtl/>
        </w:rPr>
      </w:pPr>
      <w:r w:rsidRPr="00F27422">
        <w:rPr>
          <w:b/>
          <w:bCs/>
          <w:sz w:val="32"/>
          <w:szCs w:val="32"/>
          <w:rtl/>
        </w:rPr>
        <w:t>وفي ذلك تأملٌ واضحٌ؛</w:t>
      </w:r>
      <w:r w:rsidRPr="00F27422">
        <w:rPr>
          <w:sz w:val="32"/>
          <w:szCs w:val="32"/>
          <w:rtl/>
        </w:rPr>
        <w:t xml:space="preserve"> باعتبار أنّ التعبير بـ "الرضا" كما يجتمع مع أنْ يكون إجازةً فإنّه يجتمع مع أنْ يكون </w:t>
      </w:r>
      <w:proofErr w:type="spellStart"/>
      <w:r w:rsidRPr="00F27422">
        <w:rPr>
          <w:sz w:val="32"/>
          <w:szCs w:val="32"/>
          <w:rtl/>
        </w:rPr>
        <w:t>إمضاءاً</w:t>
      </w:r>
      <w:proofErr w:type="spellEnd"/>
      <w:r w:rsidRPr="00F27422">
        <w:rPr>
          <w:sz w:val="32"/>
          <w:szCs w:val="32"/>
          <w:rtl/>
        </w:rPr>
        <w:t>، فإنّ مجرد التعبير بـ "الرضا" لا دلالة له على كون المنظور الإجازة للعقد الفضولي بلحاظ استعماله في الروايات في موارد الخيار</w:t>
      </w:r>
      <w:r w:rsidRPr="00F27422">
        <w:rPr>
          <w:sz w:val="32"/>
          <w:szCs w:val="32"/>
        </w:rPr>
        <w:t>.</w:t>
      </w:r>
    </w:p>
    <w:p w14:paraId="77D9186C" w14:textId="77777777" w:rsidR="00B76E3F" w:rsidRPr="00F27422" w:rsidRDefault="00B76E3F" w:rsidP="00122B70">
      <w:pPr>
        <w:bidi/>
        <w:rPr>
          <w:b/>
          <w:bCs/>
          <w:sz w:val="32"/>
          <w:szCs w:val="32"/>
          <w:rtl/>
        </w:rPr>
      </w:pPr>
      <w:r w:rsidRPr="00F27422">
        <w:rPr>
          <w:b/>
          <w:bCs/>
          <w:sz w:val="32"/>
          <w:szCs w:val="32"/>
          <w:rtl/>
        </w:rPr>
        <w:t>فمن الأحاديث الدالة على ذلك:</w:t>
      </w:r>
    </w:p>
    <w:p w14:paraId="5E8ACC63" w14:textId="77777777" w:rsidR="00B76E3F" w:rsidRPr="00F27422" w:rsidRDefault="00B76E3F" w:rsidP="00122B70">
      <w:pPr>
        <w:bidi/>
        <w:rPr>
          <w:sz w:val="32"/>
          <w:szCs w:val="32"/>
          <w:rtl/>
        </w:rPr>
      </w:pPr>
      <w:r w:rsidRPr="00F27422">
        <w:rPr>
          <w:b/>
          <w:bCs/>
          <w:sz w:val="32"/>
          <w:szCs w:val="32"/>
          <w:rtl/>
        </w:rPr>
        <w:t>الحديثُ الأوّل:</w:t>
      </w:r>
      <w:r w:rsidRPr="00F27422">
        <w:rPr>
          <w:sz w:val="32"/>
          <w:szCs w:val="32"/>
          <w:rtl/>
        </w:rPr>
        <w:t xml:space="preserve"> كما في الوسائل: </w:t>
      </w:r>
      <w:r w:rsidRPr="00F27422">
        <w:rPr>
          <w:b/>
          <w:bCs/>
          <w:sz w:val="32"/>
          <w:szCs w:val="32"/>
          <w:rtl/>
        </w:rPr>
        <w:t xml:space="preserve">(وعن محمّد بن يحيى، عن أحمد بن محمّد، عن ابن محبوب، عن جميل، عن فضيل، عن أبي </w:t>
      </w:r>
      <w:proofErr w:type="gramStart"/>
      <w:r w:rsidRPr="00F27422">
        <w:rPr>
          <w:b/>
          <w:bCs/>
          <w:sz w:val="32"/>
          <w:szCs w:val="32"/>
          <w:rtl/>
        </w:rPr>
        <w:t>عبدالله</w:t>
      </w:r>
      <w:proofErr w:type="gramEnd"/>
      <w:r w:rsidRPr="00F27422">
        <w:rPr>
          <w:b/>
          <w:bCs/>
          <w:sz w:val="32"/>
          <w:szCs w:val="32"/>
          <w:rtl/>
        </w:rPr>
        <w:t xml:space="preserve"> (عليه السلام) – في حديث – قال: قلتُ له: ما الشرط في غير الحيوان؟ قال: البيعان بالخيار ما لم يفترقا، فإذا افترقا فلا خيار بعد الرضا منهما).</w:t>
      </w:r>
      <w:r w:rsidRPr="00F27422">
        <w:rPr>
          <w:sz w:val="32"/>
          <w:szCs w:val="32"/>
          <w:rtl/>
        </w:rPr>
        <w:t xml:space="preserve"> [وسائل الشيعة، الحر العاملي، تحقيق مؤسسة آل البيت (عليهم السلام) لإحياء التراث، ج18، كتاب التجارة، أبواب الخيار، الباب 1 باب ثبوت خيار المجلس للبائع والمشتري ما لم يتفرقا، ح3]</w:t>
      </w:r>
      <w:r w:rsidRPr="00F27422">
        <w:rPr>
          <w:sz w:val="32"/>
          <w:szCs w:val="32"/>
        </w:rPr>
        <w:t>.</w:t>
      </w:r>
    </w:p>
    <w:p w14:paraId="0DCFD433" w14:textId="77777777" w:rsidR="00B76E3F" w:rsidRPr="00F27422" w:rsidRDefault="00B76E3F" w:rsidP="00122B70">
      <w:pPr>
        <w:bidi/>
        <w:rPr>
          <w:sz w:val="32"/>
          <w:szCs w:val="32"/>
          <w:rtl/>
        </w:rPr>
      </w:pPr>
      <w:r w:rsidRPr="00F27422">
        <w:rPr>
          <w:sz w:val="32"/>
          <w:szCs w:val="32"/>
          <w:rtl/>
        </w:rPr>
        <w:t xml:space="preserve">فإنّ قول الراوي: </w:t>
      </w:r>
      <w:r w:rsidRPr="00F27422">
        <w:rPr>
          <w:b/>
          <w:bCs/>
          <w:sz w:val="32"/>
          <w:szCs w:val="32"/>
          <w:rtl/>
        </w:rPr>
        <w:t>(ما الشرط)</w:t>
      </w:r>
      <w:r w:rsidRPr="00F27422">
        <w:rPr>
          <w:sz w:val="32"/>
          <w:szCs w:val="32"/>
          <w:rtl/>
        </w:rPr>
        <w:t xml:space="preserve"> عبارةٌ عن الخيار</w:t>
      </w:r>
      <w:r w:rsidRPr="00F27422">
        <w:rPr>
          <w:sz w:val="32"/>
          <w:szCs w:val="32"/>
        </w:rPr>
        <w:t>.</w:t>
      </w:r>
    </w:p>
    <w:p w14:paraId="790C6105" w14:textId="77777777" w:rsidR="00B76E3F" w:rsidRPr="00F27422" w:rsidRDefault="00B76E3F" w:rsidP="00122B70">
      <w:pPr>
        <w:bidi/>
        <w:rPr>
          <w:sz w:val="32"/>
          <w:szCs w:val="32"/>
          <w:rtl/>
        </w:rPr>
      </w:pPr>
      <w:r w:rsidRPr="00F27422">
        <w:rPr>
          <w:sz w:val="32"/>
          <w:szCs w:val="32"/>
          <w:rtl/>
        </w:rPr>
        <w:t>وهذا ظاهرٌ في استعمال "الرضا" مكان إمضاء العقد في مورد الخيار</w:t>
      </w:r>
      <w:r w:rsidRPr="00F27422">
        <w:rPr>
          <w:sz w:val="32"/>
          <w:szCs w:val="32"/>
        </w:rPr>
        <w:t>.</w:t>
      </w:r>
    </w:p>
    <w:p w14:paraId="6AF2FB5E" w14:textId="77777777" w:rsidR="00B76E3F" w:rsidRPr="00F27422" w:rsidRDefault="00B76E3F" w:rsidP="00122B70">
      <w:pPr>
        <w:bidi/>
        <w:rPr>
          <w:sz w:val="32"/>
          <w:szCs w:val="32"/>
          <w:rtl/>
        </w:rPr>
      </w:pPr>
      <w:r w:rsidRPr="00F27422">
        <w:rPr>
          <w:b/>
          <w:bCs/>
          <w:sz w:val="32"/>
          <w:szCs w:val="32"/>
          <w:rtl/>
        </w:rPr>
        <w:t>الحديثُ الثاني:</w:t>
      </w:r>
      <w:r w:rsidRPr="00F27422">
        <w:rPr>
          <w:sz w:val="32"/>
          <w:szCs w:val="32"/>
          <w:rtl/>
        </w:rPr>
        <w:t xml:space="preserve"> كما في الوسائل: </w:t>
      </w:r>
      <w:r w:rsidRPr="00F27422">
        <w:rPr>
          <w:b/>
          <w:bCs/>
          <w:sz w:val="32"/>
          <w:szCs w:val="32"/>
          <w:rtl/>
        </w:rPr>
        <w:t xml:space="preserve">(وبإسناده عن محمّد بن أحمد بن يحيى، عن أبي إسحاق، عن الحسن بن أبي الحسن الفارسي، عن </w:t>
      </w:r>
      <w:proofErr w:type="gramStart"/>
      <w:r w:rsidRPr="00F27422">
        <w:rPr>
          <w:b/>
          <w:bCs/>
          <w:sz w:val="32"/>
          <w:szCs w:val="32"/>
          <w:rtl/>
        </w:rPr>
        <w:t>عبدالله</w:t>
      </w:r>
      <w:proofErr w:type="gramEnd"/>
      <w:r w:rsidRPr="00F27422">
        <w:rPr>
          <w:b/>
          <w:bCs/>
          <w:sz w:val="32"/>
          <w:szCs w:val="32"/>
          <w:rtl/>
        </w:rPr>
        <w:t xml:space="preserve"> بن الحسن بن زيد بن عليّ بن الحسين، عن أبيه، عن جعفر بن محمد (عليهم السلام) قال: قال رسول الله (صلى الله عليه وآله) في رجل اشترى عبداً بشرط ثلاثة أيام فمات العبد في الشرط، قال: يستحلف بالله ما رضيه ثم هو بريء من الضمان).</w:t>
      </w:r>
      <w:r w:rsidRPr="00F27422">
        <w:rPr>
          <w:sz w:val="32"/>
          <w:szCs w:val="32"/>
          <w:rtl/>
        </w:rPr>
        <w:t xml:space="preserve"> [وسائل الشيعة، الحر العاملي، تحقيق مؤسسة آل البيت (عليهم السلام) لإحياء التراث، ج18، كتاب التجارة، أبواب الخيار، الباب 5 باب أن الحيوان إذا تلف أو حدث فيه عيب في الثلاثة كان من مال البائع ويستحلف المشتري على عدم الرضا إن ادعى عليه، ح3]</w:t>
      </w:r>
      <w:r w:rsidRPr="00F27422">
        <w:rPr>
          <w:sz w:val="32"/>
          <w:szCs w:val="32"/>
        </w:rPr>
        <w:t>.</w:t>
      </w:r>
    </w:p>
    <w:p w14:paraId="06A23D6A" w14:textId="77777777" w:rsidR="00B76E3F" w:rsidRPr="00F27422" w:rsidRDefault="00B76E3F" w:rsidP="00122B70">
      <w:pPr>
        <w:bidi/>
        <w:rPr>
          <w:sz w:val="32"/>
          <w:szCs w:val="32"/>
          <w:rtl/>
        </w:rPr>
      </w:pPr>
      <w:r w:rsidRPr="00F27422">
        <w:rPr>
          <w:sz w:val="32"/>
          <w:szCs w:val="32"/>
          <w:rtl/>
        </w:rPr>
        <w:t xml:space="preserve">وقوله (صلى الله عليه وآله): </w:t>
      </w:r>
      <w:r w:rsidRPr="00F27422">
        <w:rPr>
          <w:b/>
          <w:bCs/>
          <w:sz w:val="32"/>
          <w:szCs w:val="32"/>
          <w:rtl/>
        </w:rPr>
        <w:t>(يستحلف بالله ما رضيه)</w:t>
      </w:r>
      <w:r w:rsidRPr="00F27422">
        <w:rPr>
          <w:sz w:val="32"/>
          <w:szCs w:val="32"/>
          <w:rtl/>
        </w:rPr>
        <w:t xml:space="preserve"> أي: يستحلف بالله أنّه </w:t>
      </w:r>
      <w:proofErr w:type="spellStart"/>
      <w:r w:rsidRPr="00F27422">
        <w:rPr>
          <w:sz w:val="32"/>
          <w:szCs w:val="32"/>
          <w:rtl/>
        </w:rPr>
        <w:t>أنه</w:t>
      </w:r>
      <w:proofErr w:type="spellEnd"/>
      <w:r w:rsidRPr="00F27422">
        <w:rPr>
          <w:sz w:val="32"/>
          <w:szCs w:val="32"/>
          <w:rtl/>
        </w:rPr>
        <w:t xml:space="preserve"> لم يمض العقد</w:t>
      </w:r>
      <w:r w:rsidRPr="00F27422">
        <w:rPr>
          <w:sz w:val="32"/>
          <w:szCs w:val="32"/>
        </w:rPr>
        <w:t>.</w:t>
      </w:r>
    </w:p>
    <w:p w14:paraId="191AAD27" w14:textId="77777777" w:rsidR="00B76E3F" w:rsidRPr="00F27422" w:rsidRDefault="00B76E3F" w:rsidP="00122B70">
      <w:pPr>
        <w:bidi/>
        <w:rPr>
          <w:sz w:val="32"/>
          <w:szCs w:val="32"/>
          <w:rtl/>
        </w:rPr>
      </w:pPr>
      <w:r w:rsidRPr="00F27422">
        <w:rPr>
          <w:sz w:val="32"/>
          <w:szCs w:val="32"/>
          <w:rtl/>
        </w:rPr>
        <w:t>ومن الواضح أنّ مورده هو مورد خيار الشرط، ومع ذلك عبر عن الرفض بأنّه "ما رضيه".</w:t>
      </w:r>
    </w:p>
    <w:p w14:paraId="2F717A00" w14:textId="77777777" w:rsidR="00B76E3F" w:rsidRPr="00F27422" w:rsidRDefault="00B76E3F" w:rsidP="00122B70">
      <w:pPr>
        <w:bidi/>
        <w:rPr>
          <w:sz w:val="32"/>
          <w:szCs w:val="32"/>
          <w:rtl/>
        </w:rPr>
      </w:pPr>
      <w:r w:rsidRPr="00F27422">
        <w:rPr>
          <w:b/>
          <w:bCs/>
          <w:sz w:val="32"/>
          <w:szCs w:val="32"/>
          <w:rtl/>
        </w:rPr>
        <w:t>فإنْ قلتَ:</w:t>
      </w:r>
      <w:r w:rsidRPr="00F27422">
        <w:rPr>
          <w:sz w:val="32"/>
          <w:szCs w:val="32"/>
          <w:rtl/>
        </w:rPr>
        <w:t xml:space="preserve"> إنّ </w:t>
      </w:r>
      <w:proofErr w:type="gramStart"/>
      <w:r w:rsidRPr="00F27422">
        <w:rPr>
          <w:sz w:val="32"/>
          <w:szCs w:val="32"/>
          <w:rtl/>
        </w:rPr>
        <w:t>الحديث  غيرُ</w:t>
      </w:r>
      <w:proofErr w:type="gramEnd"/>
      <w:r w:rsidRPr="00F27422">
        <w:rPr>
          <w:sz w:val="32"/>
          <w:szCs w:val="32"/>
          <w:rtl/>
        </w:rPr>
        <w:t xml:space="preserve"> تامٍ سنداً، فلا يمكن الاستشهاد به</w:t>
      </w:r>
      <w:r w:rsidRPr="00F27422">
        <w:rPr>
          <w:sz w:val="32"/>
          <w:szCs w:val="32"/>
        </w:rPr>
        <w:t>.</w:t>
      </w:r>
    </w:p>
    <w:p w14:paraId="2F621AC2" w14:textId="77777777" w:rsidR="00B76E3F" w:rsidRPr="00F27422" w:rsidRDefault="00B76E3F" w:rsidP="00122B70">
      <w:pPr>
        <w:bidi/>
        <w:rPr>
          <w:sz w:val="32"/>
          <w:szCs w:val="32"/>
          <w:rtl/>
        </w:rPr>
      </w:pPr>
      <w:r w:rsidRPr="00F27422">
        <w:rPr>
          <w:b/>
          <w:bCs/>
          <w:sz w:val="32"/>
          <w:szCs w:val="32"/>
          <w:rtl/>
        </w:rPr>
        <w:lastRenderedPageBreak/>
        <w:t>قلتُ:</w:t>
      </w:r>
      <w:r w:rsidRPr="00F27422">
        <w:rPr>
          <w:sz w:val="32"/>
          <w:szCs w:val="32"/>
          <w:rtl/>
        </w:rPr>
        <w:t xml:space="preserve"> إنّه لا يُشترطُ في الاستشهاد في مقام إثبات الاستعمال أنْ يكون الحديثُ صحيحاً سنداً، بل يكفي أنْ يثبت الاستعمال في زمان تداول النصوص ولو لم يثبت صحّة الحديث</w:t>
      </w:r>
      <w:r w:rsidRPr="00F27422">
        <w:rPr>
          <w:sz w:val="32"/>
          <w:szCs w:val="32"/>
        </w:rPr>
        <w:t>.</w:t>
      </w:r>
    </w:p>
    <w:p w14:paraId="61A94643" w14:textId="77777777" w:rsidR="00B76E3F" w:rsidRPr="00F27422" w:rsidRDefault="00B76E3F" w:rsidP="00122B70">
      <w:pPr>
        <w:bidi/>
        <w:rPr>
          <w:sz w:val="32"/>
          <w:szCs w:val="32"/>
          <w:rtl/>
        </w:rPr>
      </w:pPr>
      <w:r w:rsidRPr="00F27422">
        <w:rPr>
          <w:b/>
          <w:bCs/>
          <w:sz w:val="32"/>
          <w:szCs w:val="32"/>
          <w:rtl/>
        </w:rPr>
        <w:t>الحديثُ الثالث:</w:t>
      </w:r>
      <w:r w:rsidRPr="00F27422">
        <w:rPr>
          <w:sz w:val="32"/>
          <w:szCs w:val="32"/>
          <w:rtl/>
        </w:rPr>
        <w:t xml:space="preserve"> كما في الوسائل: </w:t>
      </w:r>
      <w:r w:rsidRPr="00F27422">
        <w:rPr>
          <w:b/>
          <w:bCs/>
          <w:sz w:val="32"/>
          <w:szCs w:val="32"/>
          <w:rtl/>
        </w:rPr>
        <w:t xml:space="preserve">(محمّد بن يعقوب، عن عليّ بن إبراهيم، عن أبيه، عن النوفلي، عن السكوني، عن أبي </w:t>
      </w:r>
      <w:proofErr w:type="gramStart"/>
      <w:r w:rsidRPr="00F27422">
        <w:rPr>
          <w:b/>
          <w:bCs/>
          <w:sz w:val="32"/>
          <w:szCs w:val="32"/>
          <w:rtl/>
        </w:rPr>
        <w:t>عبدالله</w:t>
      </w:r>
      <w:proofErr w:type="gramEnd"/>
      <w:r w:rsidRPr="00F27422">
        <w:rPr>
          <w:b/>
          <w:bCs/>
          <w:sz w:val="32"/>
          <w:szCs w:val="32"/>
          <w:rtl/>
        </w:rPr>
        <w:t xml:space="preserve"> (عليه السلام): إنّ أمير المؤمنين (عليه السلام) قضى في رجل اشترى ثوباً بشرطٍ إلى نصف النهار فعرض له ربحٌ فأراد بيعه، قال: ليشهد أنّه قد رضيه </w:t>
      </w:r>
      <w:proofErr w:type="spellStart"/>
      <w:r w:rsidRPr="00F27422">
        <w:rPr>
          <w:b/>
          <w:bCs/>
          <w:sz w:val="32"/>
          <w:szCs w:val="32"/>
          <w:rtl/>
        </w:rPr>
        <w:t>فاستوجبه</w:t>
      </w:r>
      <w:proofErr w:type="spellEnd"/>
      <w:r w:rsidRPr="00F27422">
        <w:rPr>
          <w:b/>
          <w:bCs/>
          <w:sz w:val="32"/>
          <w:szCs w:val="32"/>
          <w:rtl/>
        </w:rPr>
        <w:t xml:space="preserve"> ثمّ </w:t>
      </w:r>
      <w:proofErr w:type="spellStart"/>
      <w:r w:rsidRPr="00F27422">
        <w:rPr>
          <w:b/>
          <w:bCs/>
          <w:sz w:val="32"/>
          <w:szCs w:val="32"/>
          <w:rtl/>
        </w:rPr>
        <w:t>ليبعه</w:t>
      </w:r>
      <w:proofErr w:type="spellEnd"/>
      <w:r w:rsidRPr="00F27422">
        <w:rPr>
          <w:b/>
          <w:bCs/>
          <w:sz w:val="32"/>
          <w:szCs w:val="32"/>
          <w:rtl/>
        </w:rPr>
        <w:t xml:space="preserve"> إن شاء، فإن أقامه في السوق ولم يبع فقد وجب عليه).</w:t>
      </w:r>
      <w:r w:rsidRPr="00F27422">
        <w:rPr>
          <w:sz w:val="32"/>
          <w:szCs w:val="32"/>
          <w:rtl/>
        </w:rPr>
        <w:t xml:space="preserve"> [وسائل الشيعة، الحر العاملي، تحقيق مؤسسة آل البيت (عليهم السلام) لإحياء التراث، ج18، كتاب التجارة، أبواب الخيار، الباب 12 باب أن صاحب الخيار إذا أوجب البيع على نفسه ورضي به سقط خياره، وأنه ينبغي أن يوجب المشتري البيع قبل أن يبيع، ح1]</w:t>
      </w:r>
      <w:r w:rsidRPr="00F27422">
        <w:rPr>
          <w:sz w:val="32"/>
          <w:szCs w:val="32"/>
        </w:rPr>
        <w:t>.</w:t>
      </w:r>
    </w:p>
    <w:p w14:paraId="35F9649D" w14:textId="77777777" w:rsidR="00B76E3F" w:rsidRPr="00F27422" w:rsidRDefault="00B76E3F" w:rsidP="00122B70">
      <w:pPr>
        <w:bidi/>
        <w:rPr>
          <w:sz w:val="32"/>
          <w:szCs w:val="32"/>
          <w:rtl/>
        </w:rPr>
      </w:pPr>
      <w:r w:rsidRPr="00F27422">
        <w:rPr>
          <w:sz w:val="32"/>
          <w:szCs w:val="32"/>
          <w:rtl/>
        </w:rPr>
        <w:t>والنوفلي الوارد في سند هذا الحديث ثقةٌ على مبنى سيدنا الخوئي (قدس سره الشريف)، والمختارُ عندنا عدمُ وثاقته إلّا أنّه لا يضر بالاستشهاد به.</w:t>
      </w:r>
    </w:p>
    <w:p w14:paraId="3B95A092" w14:textId="77777777" w:rsidR="00B76E3F" w:rsidRPr="00F27422" w:rsidRDefault="00B76E3F" w:rsidP="00122B70">
      <w:pPr>
        <w:bidi/>
        <w:rPr>
          <w:sz w:val="32"/>
          <w:szCs w:val="32"/>
          <w:rtl/>
        </w:rPr>
      </w:pPr>
      <w:r w:rsidRPr="00F27422">
        <w:rPr>
          <w:sz w:val="32"/>
          <w:szCs w:val="32"/>
          <w:rtl/>
        </w:rPr>
        <w:t xml:space="preserve">فقوله (عليه السلام): </w:t>
      </w:r>
      <w:r w:rsidRPr="00F27422">
        <w:rPr>
          <w:b/>
          <w:bCs/>
          <w:sz w:val="32"/>
          <w:szCs w:val="32"/>
          <w:rtl/>
        </w:rPr>
        <w:t>(ليشهد أنّه قد رضيه)</w:t>
      </w:r>
      <w:r w:rsidRPr="00F27422">
        <w:rPr>
          <w:sz w:val="32"/>
          <w:szCs w:val="32"/>
          <w:rtl/>
        </w:rPr>
        <w:t xml:space="preserve"> مما استعمل فيه الرضا مكان الإمضاء في مورد الخيار</w:t>
      </w:r>
      <w:r w:rsidRPr="00F27422">
        <w:rPr>
          <w:sz w:val="32"/>
          <w:szCs w:val="32"/>
        </w:rPr>
        <w:t>.</w:t>
      </w:r>
    </w:p>
    <w:p w14:paraId="763DCA17" w14:textId="77777777" w:rsidR="00B76E3F" w:rsidRPr="00F27422" w:rsidRDefault="00B76E3F" w:rsidP="00122B70">
      <w:pPr>
        <w:bidi/>
        <w:rPr>
          <w:sz w:val="32"/>
          <w:szCs w:val="32"/>
          <w:rtl/>
        </w:rPr>
      </w:pPr>
      <w:r w:rsidRPr="00F27422">
        <w:rPr>
          <w:b/>
          <w:bCs/>
          <w:sz w:val="32"/>
          <w:szCs w:val="32"/>
          <w:rtl/>
        </w:rPr>
        <w:t>والحاصل:</w:t>
      </w:r>
      <w:r w:rsidRPr="00F27422">
        <w:rPr>
          <w:sz w:val="32"/>
          <w:szCs w:val="32"/>
          <w:rtl/>
        </w:rPr>
        <w:t xml:space="preserve"> هو ظهور صحيحة أبي عبيدة الحذاء في كون العقد في المقام عقداً خيارياً، خلافاً لما استظهره جملةٌ مِن الأعلام ومنهم العلمان سيدنا الخوئي وبعض الأكابر (قدس سرهما)</w:t>
      </w:r>
      <w:r w:rsidRPr="00F27422">
        <w:rPr>
          <w:sz w:val="32"/>
          <w:szCs w:val="32"/>
        </w:rPr>
        <w:t>.</w:t>
      </w:r>
    </w:p>
    <w:p w14:paraId="3B7ED861" w14:textId="77777777" w:rsidR="00B76E3F" w:rsidRPr="00F27422" w:rsidRDefault="00B76E3F" w:rsidP="00122B70">
      <w:pPr>
        <w:bidi/>
        <w:rPr>
          <w:b/>
          <w:bCs/>
          <w:sz w:val="32"/>
          <w:szCs w:val="32"/>
          <w:rtl/>
        </w:rPr>
      </w:pPr>
      <w:r w:rsidRPr="00F27422">
        <w:rPr>
          <w:sz w:val="32"/>
          <w:szCs w:val="32"/>
          <w:rtl/>
        </w:rPr>
        <w:t xml:space="preserve">فقد أفاد سيدنا الخوئي (قدس سره الشريف) في كتابه [مصباح الفقاهة، تقرير أبحاث آية الله العظمى السيد أبو القاسم الموسوي الخوئي (قدس سره) بقلم محمد علي التوحيدي التبريزي، مكتبة الداوري، ج3، ص338]، عند كلامه في العقد الفضولي عن أنّ الإجازة ناقلة أو كاشفة الاستدلال على أنّ الإجازة كاشفة بصحيحة أبي عبيدة الحذاء، فقال: </w:t>
      </w:r>
      <w:r w:rsidRPr="00F27422">
        <w:rPr>
          <w:b/>
          <w:bCs/>
          <w:sz w:val="32"/>
          <w:szCs w:val="32"/>
          <w:rtl/>
        </w:rPr>
        <w:t xml:space="preserve">(أما بحسب الدليل الاجتهادي فقد ذهب المصنف) </w:t>
      </w:r>
      <w:r w:rsidRPr="00F27422">
        <w:rPr>
          <w:sz w:val="32"/>
          <w:szCs w:val="32"/>
          <w:rtl/>
        </w:rPr>
        <w:t xml:space="preserve">أي: الشيخ الأعظم (قدس سره) </w:t>
      </w:r>
      <w:r w:rsidRPr="00F27422">
        <w:rPr>
          <w:b/>
          <w:bCs/>
          <w:sz w:val="32"/>
          <w:szCs w:val="32"/>
          <w:rtl/>
        </w:rPr>
        <w:t>(إلى القول بالكشف من جهة ما ورد في تزويج الصغيرين حيث حكم الإمام (ع) بالتوارث)</w:t>
      </w:r>
      <w:r w:rsidRPr="00F27422">
        <w:rPr>
          <w:sz w:val="32"/>
          <w:szCs w:val="32"/>
          <w:rtl/>
        </w:rPr>
        <w:t xml:space="preserve"> واستشهد على ذلك سيدنا الخوئي (قدس سره) بصحيحة أبي عبيدة الحذاء </w:t>
      </w:r>
      <w:r w:rsidRPr="00F27422">
        <w:rPr>
          <w:b/>
          <w:bCs/>
          <w:sz w:val="32"/>
          <w:szCs w:val="32"/>
          <w:rtl/>
        </w:rPr>
        <w:t>(عن أبي عبيدة الحذاء قال: سألت أبا جعفر (ع) عن غلام وجارية زوجهما وليان لهما وهما غير مدركين؟ فقال: النكاح جائز، وأيهما أدرك كان له الخيار... قلت: فإن كان الرجل الذي أدرك قبل الجارية ورضى بالنكاح ثم مات قبل أن تدرك الجارية أَ ترثه؟ قال: نعم يعزل ميراثها منه حتى تدرك فتحلف بالله ما دعاها إلى أخذ الميراث إلا رضاها بالتزويج ثم يدفع إليها الميراث ونصف المهر... صحيح).</w:t>
      </w:r>
    </w:p>
    <w:p w14:paraId="0C3FDD2E" w14:textId="77777777" w:rsidR="00B76E3F" w:rsidRPr="00F27422" w:rsidRDefault="00B76E3F" w:rsidP="00122B70">
      <w:pPr>
        <w:bidi/>
        <w:rPr>
          <w:sz w:val="32"/>
          <w:szCs w:val="32"/>
          <w:rtl/>
        </w:rPr>
      </w:pPr>
      <w:r w:rsidRPr="00F27422">
        <w:rPr>
          <w:b/>
          <w:bCs/>
          <w:sz w:val="32"/>
          <w:szCs w:val="32"/>
          <w:rtl/>
        </w:rPr>
        <w:t>بتقريب:</w:t>
      </w:r>
      <w:r w:rsidRPr="00F27422">
        <w:rPr>
          <w:sz w:val="32"/>
          <w:szCs w:val="32"/>
          <w:rtl/>
        </w:rPr>
        <w:t xml:space="preserve"> أنّ الحكم بالتوارث إنْ ماتَ أحدهما قبل الإجازة يعني أنّ الإجازة كاشفة وليست ناقلة، وهذا يتضمن موافقة سيدنا (قدس سره الشريف) لما يستظهره الشيخ الأعظم (قدس سره </w:t>
      </w:r>
      <w:r w:rsidRPr="00F27422">
        <w:rPr>
          <w:sz w:val="32"/>
          <w:szCs w:val="32"/>
          <w:rtl/>
        </w:rPr>
        <w:lastRenderedPageBreak/>
        <w:t>الشريف) من صحيحة أبي عبيدة الحذاء بكونها واردةٌ في العقد الفضولي، لا في العقد الخياري.</w:t>
      </w:r>
    </w:p>
    <w:p w14:paraId="0914DC52" w14:textId="77777777" w:rsidR="00B76E3F" w:rsidRPr="00F27422" w:rsidRDefault="00B76E3F" w:rsidP="00122B70">
      <w:pPr>
        <w:bidi/>
        <w:rPr>
          <w:b/>
          <w:bCs/>
          <w:sz w:val="32"/>
          <w:szCs w:val="32"/>
          <w:rtl/>
        </w:rPr>
      </w:pPr>
      <w:r w:rsidRPr="00F27422">
        <w:rPr>
          <w:sz w:val="32"/>
          <w:szCs w:val="32"/>
          <w:rtl/>
        </w:rPr>
        <w:t xml:space="preserve">وأعقب ذلك بقوله (قدس سره الشريف): </w:t>
      </w:r>
      <w:r w:rsidRPr="00F27422">
        <w:rPr>
          <w:b/>
          <w:bCs/>
          <w:sz w:val="32"/>
          <w:szCs w:val="32"/>
          <w:rtl/>
        </w:rPr>
        <w:t>(ورواه الشيخ في باب توارث الأزواج من الصبيان من كتاب الميراث، في ص440. عن علي بن فضال، عن محمد بن علي، عن السراد، عن ابن رئاب عن أبي جعفر (ع). ولكن الظاهر: أن ابن رئاب يروي عن الحذاء، وهو يروي عن أبي جعفر (ع) - كما عرفته في المصادر المتقدمة - لأن ابن رئاب من اصحاب الصادق (ع) لا الباقر (ع) فالسقط إنما هو من قلم النساخ)</w:t>
      </w:r>
      <w:r w:rsidRPr="00F27422">
        <w:rPr>
          <w:b/>
          <w:bCs/>
          <w:sz w:val="32"/>
          <w:szCs w:val="32"/>
        </w:rPr>
        <w:t>.</w:t>
      </w:r>
    </w:p>
    <w:p w14:paraId="0054E885" w14:textId="77777777" w:rsidR="00B76E3F" w:rsidRPr="00F27422" w:rsidRDefault="00B76E3F" w:rsidP="00122B70">
      <w:pPr>
        <w:bidi/>
        <w:rPr>
          <w:b/>
          <w:bCs/>
          <w:sz w:val="32"/>
          <w:szCs w:val="32"/>
          <w:rtl/>
        </w:rPr>
      </w:pPr>
      <w:r w:rsidRPr="00F27422">
        <w:rPr>
          <w:sz w:val="32"/>
          <w:szCs w:val="32"/>
          <w:rtl/>
        </w:rPr>
        <w:t xml:space="preserve">وقد أفاد بعض الأكابر (قدس سره الشريف) في كتابه [البيع، ج2، ص160 – 161] بعد أنْ ذكر صحيحة أبي عبيدة الحذاء، بقوله: </w:t>
      </w:r>
      <w:r w:rsidRPr="00F27422">
        <w:rPr>
          <w:b/>
          <w:bCs/>
          <w:sz w:val="32"/>
          <w:szCs w:val="32"/>
          <w:rtl/>
        </w:rPr>
        <w:t>(بأن يقال: الوليّان في الصحيحة هما الوليّان العرفيّان؛ بقرينة الحكم، وبقرينة قوله في ذيلها: فإن كان أبوها هو الذي زوّجها، الظاهر منه أنّ السؤال في الأوّل عن غير الوليّ الشرعيّ. واحتمال كون المراد بالوليّين جدّهما أو وصيّ أبيهما، ضعيف</w:t>
      </w:r>
      <w:r w:rsidRPr="00F27422">
        <w:rPr>
          <w:b/>
          <w:bCs/>
          <w:sz w:val="32"/>
          <w:szCs w:val="32"/>
        </w:rPr>
        <w:t>.</w:t>
      </w:r>
    </w:p>
    <w:p w14:paraId="5468E8AB" w14:textId="77777777" w:rsidR="00B76E3F" w:rsidRPr="00F27422" w:rsidRDefault="00B76E3F" w:rsidP="00122B70">
      <w:pPr>
        <w:bidi/>
        <w:rPr>
          <w:b/>
          <w:bCs/>
          <w:sz w:val="32"/>
          <w:szCs w:val="32"/>
          <w:rtl/>
        </w:rPr>
      </w:pPr>
      <w:r w:rsidRPr="00F27422">
        <w:rPr>
          <w:b/>
          <w:bCs/>
          <w:sz w:val="32"/>
          <w:szCs w:val="32"/>
          <w:rtl/>
        </w:rPr>
        <w:t xml:space="preserve">ثمّ إنّ المراد بقوله (عليه السّلام) النكاح جائز ليس الجواز مقابل اللزوم كالبيع الخياريّ، وإن كان يوهمه قوله (عليه السّلام) كان له </w:t>
      </w:r>
      <w:proofErr w:type="gramStart"/>
      <w:r w:rsidRPr="00F27422">
        <w:rPr>
          <w:b/>
          <w:bCs/>
          <w:sz w:val="32"/>
          <w:szCs w:val="32"/>
          <w:rtl/>
        </w:rPr>
        <w:t>الخيار</w:t>
      </w:r>
      <w:proofErr w:type="gramEnd"/>
      <w:r w:rsidRPr="00F27422">
        <w:rPr>
          <w:b/>
          <w:bCs/>
          <w:sz w:val="32"/>
          <w:szCs w:val="32"/>
          <w:rtl/>
        </w:rPr>
        <w:t xml:space="preserve"> بل المراد الجواز في البيع الفضوليّ؛ بقرينة الحكم بعدم التوارث بينهما إلّا إذا أدركا ورضيا</w:t>
      </w:r>
      <w:r w:rsidRPr="00F27422">
        <w:rPr>
          <w:b/>
          <w:bCs/>
          <w:sz w:val="32"/>
          <w:szCs w:val="32"/>
        </w:rPr>
        <w:t>.</w:t>
      </w:r>
    </w:p>
    <w:p w14:paraId="57B2C45C" w14:textId="77777777" w:rsidR="00B76E3F" w:rsidRPr="00F27422" w:rsidRDefault="00B76E3F" w:rsidP="00122B70">
      <w:pPr>
        <w:bidi/>
        <w:rPr>
          <w:b/>
          <w:bCs/>
          <w:sz w:val="32"/>
          <w:szCs w:val="32"/>
          <w:rtl/>
        </w:rPr>
      </w:pPr>
      <w:r w:rsidRPr="00F27422">
        <w:rPr>
          <w:b/>
          <w:bCs/>
          <w:sz w:val="32"/>
          <w:szCs w:val="32"/>
          <w:rtl/>
        </w:rPr>
        <w:t>وتوهّم: تعبّدية الحكم بعدم التوارث في زمان الخيار، نظير تلف المبيع قبل القبض الذي هو من مال بائعه، ويراد بالرضا ما يوجب إسقاط الخيار لا تنفيذ النكاح، ضعيف مخالف للنصّ والفتوى</w:t>
      </w:r>
      <w:r w:rsidRPr="00F27422">
        <w:rPr>
          <w:b/>
          <w:bCs/>
          <w:sz w:val="32"/>
          <w:szCs w:val="32"/>
        </w:rPr>
        <w:t>‌.</w:t>
      </w:r>
    </w:p>
    <w:p w14:paraId="0023D64B" w14:textId="77777777" w:rsidR="00B76E3F" w:rsidRPr="00F27422" w:rsidRDefault="00B76E3F" w:rsidP="00122B70">
      <w:pPr>
        <w:bidi/>
        <w:rPr>
          <w:b/>
          <w:bCs/>
          <w:sz w:val="32"/>
          <w:szCs w:val="32"/>
          <w:rtl/>
        </w:rPr>
      </w:pPr>
      <w:r w:rsidRPr="00F27422">
        <w:rPr>
          <w:b/>
          <w:bCs/>
          <w:sz w:val="32"/>
          <w:szCs w:val="32"/>
          <w:rtl/>
        </w:rPr>
        <w:t>وقوله (عليه السّلام) يجوز ذلك عليه إن هو رضي لا يراد به تحقّق النكاح من جانب الراضي، حتّى تلزم الزوجيّة من أحد الطرفين دون الآخر؛ فإنّ ذلك غير معقول، وترتّب الآثار تعبّداً من أحد الطرفين دون الآخر وإن أمكن، إلّا أنّه مقطوع الخلاف</w:t>
      </w:r>
      <w:r w:rsidRPr="00F27422">
        <w:rPr>
          <w:b/>
          <w:bCs/>
          <w:sz w:val="32"/>
          <w:szCs w:val="32"/>
        </w:rPr>
        <w:t>.</w:t>
      </w:r>
    </w:p>
    <w:p w14:paraId="79E098B1" w14:textId="77777777" w:rsidR="00B76E3F" w:rsidRPr="00F27422" w:rsidRDefault="00B76E3F" w:rsidP="00122B70">
      <w:pPr>
        <w:bidi/>
        <w:rPr>
          <w:b/>
          <w:bCs/>
          <w:sz w:val="32"/>
          <w:szCs w:val="32"/>
          <w:rtl/>
        </w:rPr>
      </w:pPr>
      <w:r w:rsidRPr="00F27422">
        <w:rPr>
          <w:b/>
          <w:bCs/>
          <w:sz w:val="32"/>
          <w:szCs w:val="32"/>
          <w:rtl/>
        </w:rPr>
        <w:t>بل المراد منه أنّ الراضي يجب عليه الوفاء بالعقد؛ بمعنى أنّه بعد رضاه لا يجوز له التخلّف، بل لا بدّ له من الالتزام بالعقد وانتظار إدراك الآخر، فإن أدرك ولم يرض جاز له التخلّف</w:t>
      </w:r>
      <w:r w:rsidRPr="00F27422">
        <w:rPr>
          <w:b/>
          <w:bCs/>
          <w:sz w:val="32"/>
          <w:szCs w:val="32"/>
        </w:rPr>
        <w:t>.</w:t>
      </w:r>
    </w:p>
    <w:p w14:paraId="384EA6E7" w14:textId="77777777" w:rsidR="00B76E3F" w:rsidRPr="00F27422" w:rsidRDefault="00B76E3F" w:rsidP="00122B70">
      <w:pPr>
        <w:bidi/>
        <w:rPr>
          <w:b/>
          <w:bCs/>
          <w:sz w:val="32"/>
          <w:szCs w:val="32"/>
          <w:rtl/>
        </w:rPr>
      </w:pPr>
      <w:r w:rsidRPr="00F27422">
        <w:rPr>
          <w:b/>
          <w:bCs/>
          <w:sz w:val="32"/>
          <w:szCs w:val="32"/>
          <w:rtl/>
        </w:rPr>
        <w:t>والشاهد عليه: وجوب عزل الميراث إلى</w:t>
      </w:r>
      <w:r w:rsidRPr="00F27422">
        <w:rPr>
          <w:b/>
          <w:bCs/>
          <w:sz w:val="32"/>
          <w:szCs w:val="32"/>
        </w:rPr>
        <w:t>‌</w:t>
      </w:r>
      <w:r w:rsidRPr="00F27422">
        <w:rPr>
          <w:b/>
          <w:bCs/>
          <w:sz w:val="32"/>
          <w:szCs w:val="32"/>
          <w:rtl/>
        </w:rPr>
        <w:t xml:space="preserve"> زمان الإدراك، ودفع الميراث والمهر إليها إذا حلفت</w:t>
      </w:r>
      <w:r w:rsidRPr="00F27422">
        <w:rPr>
          <w:b/>
          <w:bCs/>
          <w:sz w:val="32"/>
          <w:szCs w:val="32"/>
        </w:rPr>
        <w:t>.</w:t>
      </w:r>
    </w:p>
    <w:p w14:paraId="3C65C3A9" w14:textId="77777777" w:rsidR="00B76E3F" w:rsidRPr="00F27422" w:rsidRDefault="00B76E3F" w:rsidP="00122B70">
      <w:pPr>
        <w:bidi/>
        <w:rPr>
          <w:b/>
          <w:bCs/>
          <w:sz w:val="32"/>
          <w:szCs w:val="32"/>
          <w:rtl/>
        </w:rPr>
      </w:pPr>
      <w:r w:rsidRPr="00F27422">
        <w:rPr>
          <w:b/>
          <w:bCs/>
          <w:sz w:val="32"/>
          <w:szCs w:val="32"/>
          <w:rtl/>
        </w:rPr>
        <w:t>وكيف كان: تدلّ على</w:t>
      </w:r>
      <w:r w:rsidRPr="00F27422">
        <w:rPr>
          <w:b/>
          <w:bCs/>
          <w:sz w:val="32"/>
          <w:szCs w:val="32"/>
        </w:rPr>
        <w:t>‌</w:t>
      </w:r>
      <w:r w:rsidRPr="00F27422">
        <w:rPr>
          <w:b/>
          <w:bCs/>
          <w:sz w:val="32"/>
          <w:szCs w:val="32"/>
          <w:rtl/>
        </w:rPr>
        <w:t xml:space="preserve"> صحّة الفضوليّ في النكاح).</w:t>
      </w:r>
    </w:p>
    <w:p w14:paraId="270FF8C5" w14:textId="77777777" w:rsidR="00B76E3F" w:rsidRPr="00F27422" w:rsidRDefault="00B76E3F" w:rsidP="00122B70">
      <w:pPr>
        <w:bidi/>
        <w:rPr>
          <w:b/>
          <w:bCs/>
          <w:sz w:val="32"/>
          <w:szCs w:val="32"/>
          <w:rtl/>
        </w:rPr>
      </w:pPr>
      <w:r w:rsidRPr="00F27422">
        <w:rPr>
          <w:b/>
          <w:bCs/>
          <w:sz w:val="32"/>
          <w:szCs w:val="32"/>
          <w:rtl/>
        </w:rPr>
        <w:lastRenderedPageBreak/>
        <w:t xml:space="preserve">ويمكن التعليق على كلامه بجملة من </w:t>
      </w:r>
      <w:proofErr w:type="gramStart"/>
      <w:r w:rsidRPr="00F27422">
        <w:rPr>
          <w:b/>
          <w:bCs/>
          <w:sz w:val="32"/>
          <w:szCs w:val="32"/>
          <w:rtl/>
        </w:rPr>
        <w:t>الملاحظات</w:t>
      </w:r>
      <w:r w:rsidRPr="00F27422">
        <w:rPr>
          <w:b/>
          <w:bCs/>
          <w:sz w:val="32"/>
          <w:szCs w:val="32"/>
        </w:rPr>
        <w:t xml:space="preserve"> :</w:t>
      </w:r>
      <w:proofErr w:type="gramEnd"/>
    </w:p>
    <w:p w14:paraId="2AC77742" w14:textId="77777777" w:rsidR="00B76E3F" w:rsidRPr="00F27422" w:rsidRDefault="00B76E3F" w:rsidP="00122B70">
      <w:pPr>
        <w:bidi/>
        <w:rPr>
          <w:sz w:val="32"/>
          <w:szCs w:val="32"/>
          <w:rtl/>
        </w:rPr>
      </w:pPr>
      <w:r w:rsidRPr="00F27422">
        <w:rPr>
          <w:b/>
          <w:bCs/>
          <w:sz w:val="32"/>
          <w:szCs w:val="32"/>
          <w:rtl/>
        </w:rPr>
        <w:t xml:space="preserve">الملاحظةُ الأُولى: </w:t>
      </w:r>
      <w:r w:rsidRPr="00F27422">
        <w:rPr>
          <w:sz w:val="32"/>
          <w:szCs w:val="32"/>
          <w:rtl/>
        </w:rPr>
        <w:t xml:space="preserve">إنّ قوله: </w:t>
      </w:r>
      <w:r w:rsidRPr="00F27422">
        <w:rPr>
          <w:b/>
          <w:bCs/>
          <w:sz w:val="32"/>
          <w:szCs w:val="32"/>
          <w:rtl/>
        </w:rPr>
        <w:t>(واحتمال كون المراد بالوليّين جدّهما أو وصيّ أبيهما، ضعيف)</w:t>
      </w:r>
      <w:r w:rsidRPr="00F27422">
        <w:rPr>
          <w:sz w:val="32"/>
          <w:szCs w:val="32"/>
          <w:rtl/>
        </w:rPr>
        <w:t xml:space="preserve"> مصادرةٌ حيث لم يذكر وجه الضعف في ذلك مع أنّه مقتضى الجمع العرفي بين ظهور الصدر والذبل.</w:t>
      </w:r>
    </w:p>
    <w:p w14:paraId="4136E2B6" w14:textId="77777777" w:rsidR="00B76E3F" w:rsidRPr="00F27422" w:rsidRDefault="00B76E3F" w:rsidP="00122B70">
      <w:pPr>
        <w:bidi/>
        <w:rPr>
          <w:sz w:val="32"/>
          <w:szCs w:val="32"/>
          <w:rtl/>
        </w:rPr>
      </w:pPr>
      <w:r w:rsidRPr="00F27422">
        <w:rPr>
          <w:b/>
          <w:bCs/>
          <w:sz w:val="32"/>
          <w:szCs w:val="32"/>
          <w:rtl/>
        </w:rPr>
        <w:t xml:space="preserve">الملاحظةُ الثانية: </w:t>
      </w:r>
      <w:r w:rsidRPr="00F27422">
        <w:rPr>
          <w:sz w:val="32"/>
          <w:szCs w:val="32"/>
          <w:rtl/>
        </w:rPr>
        <w:t xml:space="preserve">إنّ قوله: </w:t>
      </w:r>
      <w:r w:rsidRPr="00F27422">
        <w:rPr>
          <w:b/>
          <w:bCs/>
          <w:sz w:val="32"/>
          <w:szCs w:val="32"/>
          <w:rtl/>
        </w:rPr>
        <w:t xml:space="preserve">(المراد الجواز في البيع الفضوليّ؛ بقرينة الحكم بعدم التوارث بينهما إلّا إذا أدركا ورضيا) </w:t>
      </w:r>
      <w:r w:rsidRPr="00F27422">
        <w:rPr>
          <w:sz w:val="32"/>
          <w:szCs w:val="32"/>
          <w:rtl/>
        </w:rPr>
        <w:t>أي: أنّ إناطة الحكم بتوارثهما بما إذا أدرك أحدهما ورضي بالعقد معناه أنّ العقدَ فضولي وإلّا لو كان العقدُ خيارياً لتوارثا بلا حاجةٍ لأنْ يتوقّف التوارث على إدراك أحدهما وإمضاء العقد.</w:t>
      </w:r>
    </w:p>
    <w:p w14:paraId="71A441BF" w14:textId="77777777" w:rsidR="00B76E3F" w:rsidRPr="00F27422" w:rsidRDefault="00B76E3F" w:rsidP="00122B70">
      <w:pPr>
        <w:bidi/>
        <w:rPr>
          <w:b/>
          <w:bCs/>
          <w:sz w:val="32"/>
          <w:szCs w:val="32"/>
          <w:rtl/>
        </w:rPr>
      </w:pPr>
      <w:r w:rsidRPr="00F27422">
        <w:rPr>
          <w:b/>
          <w:bCs/>
          <w:sz w:val="32"/>
          <w:szCs w:val="32"/>
          <w:rtl/>
        </w:rPr>
        <w:t>ويلاحظُ عليه:</w:t>
      </w:r>
      <w:r w:rsidRPr="00F27422">
        <w:rPr>
          <w:sz w:val="32"/>
          <w:szCs w:val="32"/>
          <w:rtl/>
        </w:rPr>
        <w:t xml:space="preserve"> ما مضى من أنّ مفاد صحيح محمّد بن مسلم هو الجمع بين كون العقد الصادر من الأب موجباً للإرث بينهما وكون العقد خيارياً، ومقتضى مفهوم الشرط فيه أنّه إنْ لم يكن الوليّ هو الأب وإن كان وليّاً شرعياً إلّا أنّ عقده ليس محقّقاً للتوارث بينهما، ومفاده يصلح أنْ يكون منشأ للجمع العرفي بين صدر صحيحة أبي عبيدة وذيلها.</w:t>
      </w:r>
    </w:p>
    <w:p w14:paraId="457B303A" w14:textId="77777777" w:rsidR="00B76E3F" w:rsidRPr="00F27422" w:rsidRDefault="00B76E3F" w:rsidP="00122B70">
      <w:pPr>
        <w:bidi/>
        <w:rPr>
          <w:sz w:val="32"/>
          <w:szCs w:val="32"/>
          <w:rtl/>
        </w:rPr>
      </w:pPr>
      <w:r w:rsidRPr="00F27422">
        <w:rPr>
          <w:b/>
          <w:bCs/>
          <w:sz w:val="32"/>
          <w:szCs w:val="32"/>
          <w:rtl/>
        </w:rPr>
        <w:t xml:space="preserve">الملاحظةُ الثالثة: </w:t>
      </w:r>
      <w:r w:rsidRPr="00F27422">
        <w:rPr>
          <w:sz w:val="32"/>
          <w:szCs w:val="32"/>
          <w:rtl/>
        </w:rPr>
        <w:t xml:space="preserve">إنّ قوله: </w:t>
      </w:r>
      <w:r w:rsidRPr="00F27422">
        <w:rPr>
          <w:b/>
          <w:bCs/>
          <w:sz w:val="32"/>
          <w:szCs w:val="32"/>
          <w:rtl/>
        </w:rPr>
        <w:t>(ويراد بالرضا ما يوجب إسقاط الخيار لا تنفيذ النكاح، ضعيف مخالف للنصّ والفتوى</w:t>
      </w:r>
      <w:r w:rsidRPr="00F27422">
        <w:rPr>
          <w:b/>
          <w:bCs/>
          <w:sz w:val="32"/>
          <w:szCs w:val="32"/>
        </w:rPr>
        <w:t>‌</w:t>
      </w:r>
      <w:r w:rsidRPr="00F27422">
        <w:rPr>
          <w:sz w:val="32"/>
          <w:szCs w:val="32"/>
          <w:rtl/>
        </w:rPr>
        <w:t>).</w:t>
      </w:r>
    </w:p>
    <w:p w14:paraId="21F5F405" w14:textId="77777777" w:rsidR="00B76E3F" w:rsidRPr="00F27422" w:rsidRDefault="00B76E3F" w:rsidP="00122B70">
      <w:pPr>
        <w:bidi/>
        <w:rPr>
          <w:b/>
          <w:bCs/>
          <w:sz w:val="32"/>
          <w:szCs w:val="32"/>
          <w:rtl/>
        </w:rPr>
      </w:pPr>
      <w:r w:rsidRPr="00F27422">
        <w:rPr>
          <w:b/>
          <w:bCs/>
          <w:sz w:val="32"/>
          <w:szCs w:val="32"/>
          <w:rtl/>
        </w:rPr>
        <w:t>مما يمكن التعليق عليه بأنّه:</w:t>
      </w:r>
      <w:r w:rsidRPr="00F27422">
        <w:rPr>
          <w:sz w:val="32"/>
          <w:szCs w:val="32"/>
          <w:rtl/>
        </w:rPr>
        <w:t xml:space="preserve"> أمّا كون العقد خيارياً مخالفاً للفتوى، فنعم، فإنّه مخالفٌ لفتوى جملةٍ مِن الأعلام، وأمّا أنّه مخالفٌ للنصّ فلَمْ نجد نصّاً دالّاً على خلاف ذلك كي يكون مخالفاً له</w:t>
      </w:r>
      <w:r w:rsidRPr="00F27422">
        <w:rPr>
          <w:sz w:val="32"/>
          <w:szCs w:val="32"/>
        </w:rPr>
        <w:t>.</w:t>
      </w:r>
    </w:p>
    <w:p w14:paraId="739F1A36" w14:textId="77777777" w:rsidR="00B76E3F" w:rsidRPr="00F27422" w:rsidRDefault="00B76E3F" w:rsidP="00122B70">
      <w:pPr>
        <w:bidi/>
        <w:rPr>
          <w:b/>
          <w:bCs/>
          <w:sz w:val="32"/>
          <w:szCs w:val="32"/>
          <w:rtl/>
        </w:rPr>
      </w:pPr>
      <w:r w:rsidRPr="00F27422">
        <w:rPr>
          <w:b/>
          <w:bCs/>
          <w:sz w:val="32"/>
          <w:szCs w:val="32"/>
          <w:rtl/>
        </w:rPr>
        <w:t xml:space="preserve">الملاحظةُ الرابعة: </w:t>
      </w:r>
      <w:r w:rsidRPr="00F27422">
        <w:rPr>
          <w:sz w:val="32"/>
          <w:szCs w:val="32"/>
          <w:rtl/>
        </w:rPr>
        <w:t xml:space="preserve">إنّ قوله: </w:t>
      </w:r>
      <w:r w:rsidRPr="00F27422">
        <w:rPr>
          <w:b/>
          <w:bCs/>
          <w:sz w:val="32"/>
          <w:szCs w:val="32"/>
          <w:rtl/>
        </w:rPr>
        <w:t>(وقوله (عليه السّلام) يجوز ذلك عليه إن هو رضي لا يراد به تحقّق النكاح من جانب الراضي حتّى تلزم الزوجيّة من أحد الطرفين دون الآخر فإنّ ذلك غير معقول).</w:t>
      </w:r>
    </w:p>
    <w:p w14:paraId="39BD84E0" w14:textId="77777777" w:rsidR="00B76E3F" w:rsidRPr="00F27422" w:rsidRDefault="00B76E3F" w:rsidP="00122B70">
      <w:pPr>
        <w:bidi/>
        <w:rPr>
          <w:b/>
          <w:bCs/>
          <w:sz w:val="32"/>
          <w:szCs w:val="32"/>
          <w:rtl/>
        </w:rPr>
      </w:pPr>
      <w:r w:rsidRPr="00F27422">
        <w:rPr>
          <w:sz w:val="32"/>
          <w:szCs w:val="32"/>
          <w:rtl/>
        </w:rPr>
        <w:t>ظاهره أنّه (قدس سره) يرى أنّ التفكيك في اللزوم بأنْ يكون العقد جائزاً من طرفٍ ولازماً من طرفٍ آخر غير معقول، مع أنّه لا محذور عقلي في البين؛ إذ لا معنى للزوم إلّا لزوم ترتيب الآثار، فمن أمضى العقد لزمه ترتيب الآثار، فالتفكيك في اللزوم أمرٌ عقلائي وليس أمراً غير معقول</w:t>
      </w:r>
      <w:r w:rsidRPr="00F27422">
        <w:rPr>
          <w:sz w:val="32"/>
          <w:szCs w:val="32"/>
        </w:rPr>
        <w:t>.</w:t>
      </w:r>
    </w:p>
    <w:p w14:paraId="369F5792" w14:textId="77777777" w:rsidR="00B76E3F" w:rsidRPr="00F27422" w:rsidRDefault="00B76E3F" w:rsidP="00122B70">
      <w:pPr>
        <w:bidi/>
        <w:rPr>
          <w:b/>
          <w:bCs/>
          <w:sz w:val="32"/>
          <w:szCs w:val="32"/>
          <w:rtl/>
        </w:rPr>
      </w:pPr>
      <w:r w:rsidRPr="00F27422">
        <w:rPr>
          <w:b/>
          <w:bCs/>
          <w:sz w:val="32"/>
          <w:szCs w:val="32"/>
          <w:rtl/>
        </w:rPr>
        <w:t xml:space="preserve">الملاحظةُ الخامسة: </w:t>
      </w:r>
      <w:r w:rsidRPr="00F27422">
        <w:rPr>
          <w:sz w:val="32"/>
          <w:szCs w:val="32"/>
          <w:rtl/>
        </w:rPr>
        <w:t xml:space="preserve">إنّ قوله: </w:t>
      </w:r>
      <w:r w:rsidRPr="00F27422">
        <w:rPr>
          <w:b/>
          <w:bCs/>
          <w:sz w:val="32"/>
          <w:szCs w:val="32"/>
          <w:rtl/>
        </w:rPr>
        <w:t>(وترتّب الآثار تعبّداً من أحد الطرفين دون الآخر وإن أمكن، إلّا أنّه مقطوع الخلاف)</w:t>
      </w:r>
      <w:r w:rsidRPr="00F27422">
        <w:rPr>
          <w:b/>
          <w:bCs/>
          <w:sz w:val="32"/>
          <w:szCs w:val="32"/>
        </w:rPr>
        <w:t>.</w:t>
      </w:r>
    </w:p>
    <w:p w14:paraId="19EF5FD9" w14:textId="77777777" w:rsidR="00B76E3F" w:rsidRPr="00F27422" w:rsidRDefault="00B76E3F" w:rsidP="00122B70">
      <w:pPr>
        <w:bidi/>
        <w:rPr>
          <w:sz w:val="32"/>
          <w:szCs w:val="32"/>
        </w:rPr>
      </w:pPr>
      <w:r w:rsidRPr="00F27422">
        <w:rPr>
          <w:b/>
          <w:bCs/>
          <w:sz w:val="32"/>
          <w:szCs w:val="32"/>
          <w:rtl/>
        </w:rPr>
        <w:lastRenderedPageBreak/>
        <w:t>فيه:</w:t>
      </w:r>
      <w:r w:rsidRPr="00F27422">
        <w:rPr>
          <w:sz w:val="32"/>
          <w:szCs w:val="32"/>
          <w:rtl/>
        </w:rPr>
        <w:t xml:space="preserve"> إنّه ما هو وجه القطع بالخلاف، وراء مخالفته بعض فتاوى القدماء لا أكثر من ذلك</w:t>
      </w:r>
      <w:r w:rsidRPr="00F27422">
        <w:rPr>
          <w:sz w:val="32"/>
          <w:szCs w:val="32"/>
        </w:rPr>
        <w:t>.</w:t>
      </w:r>
    </w:p>
    <w:p w14:paraId="0F3CB937" w14:textId="77777777" w:rsidR="00B76E3F" w:rsidRPr="00F27422" w:rsidRDefault="00B76E3F" w:rsidP="00122B70">
      <w:pPr>
        <w:bidi/>
        <w:rPr>
          <w:sz w:val="32"/>
          <w:szCs w:val="32"/>
          <w:rtl/>
        </w:rPr>
      </w:pPr>
      <w:r w:rsidRPr="00F27422">
        <w:rPr>
          <w:b/>
          <w:bCs/>
          <w:sz w:val="32"/>
          <w:szCs w:val="32"/>
          <w:rtl/>
        </w:rPr>
        <w:t>الملاحظةُ السادسة:</w:t>
      </w:r>
      <w:r w:rsidRPr="00F27422">
        <w:rPr>
          <w:sz w:val="32"/>
          <w:szCs w:val="32"/>
          <w:rtl/>
        </w:rPr>
        <w:t xml:space="preserve"> إنّ قوله: </w:t>
      </w:r>
      <w:r w:rsidRPr="00F27422">
        <w:rPr>
          <w:b/>
          <w:bCs/>
          <w:sz w:val="32"/>
          <w:szCs w:val="32"/>
          <w:rtl/>
        </w:rPr>
        <w:t>(بل المراد منه أنّ الراضي يجب عليه الوفاء بالعقد؛ بمعنى أنّه بعد رضاه لا يجوز له التخلّف، بل لا بدّ له من الالتزام بالعقد وانتظار إدراك الآخر، فإن أدرك ولم يرض جاز له التخلّف)</w:t>
      </w:r>
      <w:r w:rsidRPr="00F27422">
        <w:rPr>
          <w:b/>
          <w:bCs/>
          <w:sz w:val="32"/>
          <w:szCs w:val="32"/>
        </w:rPr>
        <w:t>.</w:t>
      </w:r>
    </w:p>
    <w:p w14:paraId="279A1AFE" w14:textId="77777777" w:rsidR="00B76E3F" w:rsidRPr="00F27422" w:rsidRDefault="00B76E3F" w:rsidP="00122B70">
      <w:pPr>
        <w:bidi/>
        <w:rPr>
          <w:sz w:val="32"/>
          <w:szCs w:val="32"/>
          <w:rtl/>
        </w:rPr>
      </w:pPr>
      <w:r w:rsidRPr="00F27422">
        <w:rPr>
          <w:b/>
          <w:bCs/>
          <w:sz w:val="32"/>
          <w:szCs w:val="32"/>
          <w:rtl/>
        </w:rPr>
        <w:t xml:space="preserve">فيه: </w:t>
      </w:r>
      <w:r w:rsidRPr="00F27422">
        <w:rPr>
          <w:sz w:val="32"/>
          <w:szCs w:val="32"/>
          <w:rtl/>
        </w:rPr>
        <w:t>أنّ عدم جواز التخلف من آثار اللزوم، أي: ليس له أنْ يتخلف عن العقد بعد رضاه، وهذا أثرٌ من آثار لزوم العقد.</w:t>
      </w:r>
    </w:p>
    <w:p w14:paraId="5E0A5BF6" w14:textId="77777777" w:rsidR="00B76E3F" w:rsidRPr="00F27422" w:rsidRDefault="00B76E3F" w:rsidP="00122B70">
      <w:pPr>
        <w:bidi/>
        <w:rPr>
          <w:b/>
          <w:bCs/>
          <w:sz w:val="32"/>
          <w:szCs w:val="32"/>
          <w:rtl/>
        </w:rPr>
      </w:pPr>
      <w:r w:rsidRPr="00F27422">
        <w:rPr>
          <w:sz w:val="32"/>
          <w:szCs w:val="32"/>
          <w:rtl/>
        </w:rPr>
        <w:t xml:space="preserve">وهذا الذي ذكره (قدس سره) في المقام تراجع عنه في نفس كتابه [البيع، ج2، ص237 – 238] واستبعد هناك أنْ تكون الرواية ناظرة لعقد الفضولي واستقرب أنْ تكون ناظرةً للعقد الخياري، فقال بعد عرضه لصحيحة أبي عبيدة الحذاء: </w:t>
      </w:r>
      <w:r w:rsidRPr="00F27422">
        <w:rPr>
          <w:b/>
          <w:bCs/>
          <w:sz w:val="32"/>
          <w:szCs w:val="32"/>
          <w:rtl/>
        </w:rPr>
        <w:t>(فلا بدّ في القول بدلالتها على المقصود من ارتكاب خلاف الظاهر فيها من جهات</w:t>
      </w:r>
      <w:r w:rsidRPr="00F27422">
        <w:rPr>
          <w:b/>
          <w:bCs/>
          <w:sz w:val="32"/>
          <w:szCs w:val="32"/>
        </w:rPr>
        <w:t>:</w:t>
      </w:r>
    </w:p>
    <w:p w14:paraId="4E76D677" w14:textId="77777777" w:rsidR="00B76E3F" w:rsidRPr="00F27422" w:rsidRDefault="00B76E3F" w:rsidP="00122B70">
      <w:pPr>
        <w:bidi/>
        <w:rPr>
          <w:b/>
          <w:bCs/>
          <w:sz w:val="32"/>
          <w:szCs w:val="32"/>
          <w:rtl/>
        </w:rPr>
      </w:pPr>
      <w:r w:rsidRPr="00F27422">
        <w:rPr>
          <w:b/>
          <w:bCs/>
          <w:sz w:val="32"/>
          <w:szCs w:val="32"/>
          <w:rtl/>
        </w:rPr>
        <w:t>حمل الـ «وليّان» على</w:t>
      </w:r>
      <w:r w:rsidRPr="00F27422">
        <w:rPr>
          <w:b/>
          <w:bCs/>
          <w:sz w:val="32"/>
          <w:szCs w:val="32"/>
        </w:rPr>
        <w:t>‌</w:t>
      </w:r>
      <w:r w:rsidRPr="00F27422">
        <w:rPr>
          <w:b/>
          <w:bCs/>
          <w:sz w:val="32"/>
          <w:szCs w:val="32"/>
          <w:rtl/>
        </w:rPr>
        <w:t xml:space="preserve"> خصوص الأولياء العرفيّين غير الشرعيّين، مع أنّ الأب </w:t>
      </w:r>
      <w:proofErr w:type="gramStart"/>
      <w:r w:rsidRPr="00F27422">
        <w:rPr>
          <w:b/>
          <w:bCs/>
          <w:sz w:val="32"/>
          <w:szCs w:val="32"/>
          <w:rtl/>
        </w:rPr>
        <w:t>والجدّ</w:t>
      </w:r>
      <w:proofErr w:type="gramEnd"/>
      <w:r w:rsidRPr="00F27422">
        <w:rPr>
          <w:b/>
          <w:bCs/>
          <w:sz w:val="32"/>
          <w:szCs w:val="32"/>
          <w:rtl/>
        </w:rPr>
        <w:t xml:space="preserve"> بل والوصيّ على القول بولايته في باب النكاح من الأولياء العرفيّين، فالحمل على</w:t>
      </w:r>
      <w:r w:rsidRPr="00F27422">
        <w:rPr>
          <w:b/>
          <w:bCs/>
          <w:sz w:val="32"/>
          <w:szCs w:val="32"/>
        </w:rPr>
        <w:t>‌</w:t>
      </w:r>
      <w:r w:rsidRPr="00F27422">
        <w:rPr>
          <w:b/>
          <w:bCs/>
          <w:sz w:val="32"/>
          <w:szCs w:val="32"/>
          <w:rtl/>
        </w:rPr>
        <w:t xml:space="preserve"> غير الشرعيّين خلاف الظاهر</w:t>
      </w:r>
      <w:r w:rsidRPr="00F27422">
        <w:rPr>
          <w:b/>
          <w:bCs/>
          <w:sz w:val="32"/>
          <w:szCs w:val="32"/>
        </w:rPr>
        <w:t>.</w:t>
      </w:r>
    </w:p>
    <w:p w14:paraId="400E74DD" w14:textId="77777777" w:rsidR="00B76E3F" w:rsidRPr="00F27422" w:rsidRDefault="00B76E3F" w:rsidP="00122B70">
      <w:pPr>
        <w:bidi/>
        <w:rPr>
          <w:b/>
          <w:bCs/>
          <w:sz w:val="32"/>
          <w:szCs w:val="32"/>
          <w:rtl/>
        </w:rPr>
      </w:pPr>
      <w:r w:rsidRPr="00F27422">
        <w:rPr>
          <w:b/>
          <w:bCs/>
          <w:sz w:val="32"/>
          <w:szCs w:val="32"/>
          <w:rtl/>
        </w:rPr>
        <w:t>وكحمل جائز على</w:t>
      </w:r>
      <w:r w:rsidRPr="00F27422">
        <w:rPr>
          <w:b/>
          <w:bCs/>
          <w:sz w:val="32"/>
          <w:szCs w:val="32"/>
        </w:rPr>
        <w:t>‌</w:t>
      </w:r>
      <w:r w:rsidRPr="00F27422">
        <w:rPr>
          <w:b/>
          <w:bCs/>
          <w:sz w:val="32"/>
          <w:szCs w:val="32"/>
          <w:rtl/>
        </w:rPr>
        <w:t xml:space="preserve"> باب الفضوليّ والصحّة التأهّلية، أو الجواز على</w:t>
      </w:r>
      <w:r w:rsidRPr="00F27422">
        <w:rPr>
          <w:b/>
          <w:bCs/>
          <w:sz w:val="32"/>
          <w:szCs w:val="32"/>
        </w:rPr>
        <w:t>‌</w:t>
      </w:r>
      <w:r w:rsidRPr="00F27422">
        <w:rPr>
          <w:b/>
          <w:bCs/>
          <w:sz w:val="32"/>
          <w:szCs w:val="32"/>
          <w:rtl/>
        </w:rPr>
        <w:t xml:space="preserve"> فرض؛ أي معلّقاً على الإجازة، وهو ارتكاب خلاف ظاهر آخر؛ فإنّ الجائز ظاهر في النفوذ فعلًا</w:t>
      </w:r>
      <w:r w:rsidRPr="00F27422">
        <w:rPr>
          <w:b/>
          <w:bCs/>
          <w:sz w:val="32"/>
          <w:szCs w:val="32"/>
        </w:rPr>
        <w:t>.</w:t>
      </w:r>
    </w:p>
    <w:p w14:paraId="05A60FC4" w14:textId="77777777" w:rsidR="00B76E3F" w:rsidRPr="00F27422" w:rsidRDefault="00B76E3F" w:rsidP="00122B70">
      <w:pPr>
        <w:bidi/>
        <w:rPr>
          <w:b/>
          <w:bCs/>
          <w:sz w:val="32"/>
          <w:szCs w:val="32"/>
          <w:rtl/>
        </w:rPr>
      </w:pPr>
      <w:r w:rsidRPr="00F27422">
        <w:rPr>
          <w:b/>
          <w:bCs/>
          <w:sz w:val="32"/>
          <w:szCs w:val="32"/>
          <w:rtl/>
        </w:rPr>
        <w:t>وكحمل الخيار على اختيار الإجازة والردّ، دون خيار الفسخ</w:t>
      </w:r>
      <w:r w:rsidRPr="00F27422">
        <w:rPr>
          <w:b/>
          <w:bCs/>
          <w:sz w:val="32"/>
          <w:szCs w:val="32"/>
        </w:rPr>
        <w:t>.</w:t>
      </w:r>
    </w:p>
    <w:p w14:paraId="4EB77EA3" w14:textId="77777777" w:rsidR="00B76E3F" w:rsidRPr="00F27422" w:rsidRDefault="00B76E3F" w:rsidP="00122B70">
      <w:pPr>
        <w:bidi/>
        <w:rPr>
          <w:b/>
          <w:bCs/>
          <w:sz w:val="32"/>
          <w:szCs w:val="32"/>
          <w:rtl/>
        </w:rPr>
      </w:pPr>
      <w:r w:rsidRPr="00F27422">
        <w:rPr>
          <w:b/>
          <w:bCs/>
          <w:sz w:val="32"/>
          <w:szCs w:val="32"/>
          <w:rtl/>
        </w:rPr>
        <w:t>والظاهر إلى</w:t>
      </w:r>
      <w:r w:rsidRPr="00F27422">
        <w:rPr>
          <w:b/>
          <w:bCs/>
          <w:sz w:val="32"/>
          <w:szCs w:val="32"/>
        </w:rPr>
        <w:t>‌</w:t>
      </w:r>
      <w:r w:rsidRPr="00F27422">
        <w:rPr>
          <w:b/>
          <w:bCs/>
          <w:sz w:val="32"/>
          <w:szCs w:val="32"/>
          <w:rtl/>
        </w:rPr>
        <w:t xml:space="preserve"> ها هنا أنّ العقد الصادر من الأولياء هو عقد صحيح فعليّ خياريّ).</w:t>
      </w:r>
    </w:p>
    <w:p w14:paraId="70820209" w14:textId="77777777" w:rsidR="00B76E3F" w:rsidRPr="00F27422" w:rsidRDefault="00B76E3F" w:rsidP="00122B70">
      <w:pPr>
        <w:bidi/>
        <w:rPr>
          <w:sz w:val="32"/>
          <w:szCs w:val="32"/>
          <w:rtl/>
        </w:rPr>
      </w:pPr>
      <w:r w:rsidRPr="00F27422">
        <w:rPr>
          <w:sz w:val="32"/>
          <w:szCs w:val="32"/>
          <w:rtl/>
        </w:rPr>
        <w:t>ومما يشهدُ على أنّ العقد في الصحيحة عقدٌ خياري - لا عقدٌ فضولي – قرينتان</w:t>
      </w:r>
      <w:r w:rsidRPr="00F27422">
        <w:rPr>
          <w:sz w:val="32"/>
          <w:szCs w:val="32"/>
        </w:rPr>
        <w:t>:</w:t>
      </w:r>
    </w:p>
    <w:p w14:paraId="469516C5" w14:textId="77777777" w:rsidR="00B76E3F" w:rsidRPr="00F27422" w:rsidRDefault="00B76E3F" w:rsidP="00122B70">
      <w:pPr>
        <w:bidi/>
        <w:rPr>
          <w:b/>
          <w:bCs/>
          <w:sz w:val="32"/>
          <w:szCs w:val="32"/>
          <w:rtl/>
        </w:rPr>
      </w:pPr>
      <w:r w:rsidRPr="00F27422">
        <w:rPr>
          <w:b/>
          <w:bCs/>
          <w:sz w:val="32"/>
          <w:szCs w:val="32"/>
          <w:rtl/>
        </w:rPr>
        <w:t xml:space="preserve">القرينةُ الأُولى: </w:t>
      </w:r>
      <w:r w:rsidRPr="00F27422">
        <w:rPr>
          <w:sz w:val="32"/>
          <w:szCs w:val="32"/>
          <w:rtl/>
        </w:rPr>
        <w:t xml:space="preserve">قوله (عليه السلام): </w:t>
      </w:r>
      <w:r w:rsidRPr="00F27422">
        <w:rPr>
          <w:b/>
          <w:bCs/>
          <w:sz w:val="32"/>
          <w:szCs w:val="32"/>
          <w:rtl/>
        </w:rPr>
        <w:t>(يَجُوزُ ذَلِكَ عَلَيْهِ إِنْ هُوَ رَضِيَ)</w:t>
      </w:r>
      <w:r w:rsidRPr="00F27422">
        <w:rPr>
          <w:b/>
          <w:bCs/>
          <w:sz w:val="32"/>
          <w:szCs w:val="32"/>
        </w:rPr>
        <w:t>.</w:t>
      </w:r>
    </w:p>
    <w:p w14:paraId="60975503" w14:textId="77777777" w:rsidR="00B76E3F" w:rsidRPr="00F27422" w:rsidRDefault="00B76E3F" w:rsidP="00122B70">
      <w:pPr>
        <w:bidi/>
        <w:rPr>
          <w:sz w:val="32"/>
          <w:szCs w:val="32"/>
          <w:rtl/>
        </w:rPr>
      </w:pPr>
      <w:r w:rsidRPr="00F27422">
        <w:rPr>
          <w:sz w:val="32"/>
          <w:szCs w:val="32"/>
          <w:rtl/>
        </w:rPr>
        <w:t>فإنّ التعبير بـ "يجوز ذلك عليه" لا ينسجم مع عقد الفضولي، حيث لا جواز إلّا بإذنه، لا أنّه يجوز ذلك عليه إنْ رضي، وإنّما ينسجم هذا التعبير مع العقد الخياري وهو عقدٌ تمّت صحّته بالفعل، فمتى رضي لزمه ترتيب آثاره</w:t>
      </w:r>
      <w:r w:rsidRPr="00F27422">
        <w:rPr>
          <w:sz w:val="32"/>
          <w:szCs w:val="32"/>
        </w:rPr>
        <w:t>.</w:t>
      </w:r>
    </w:p>
    <w:p w14:paraId="28A53EF0" w14:textId="77777777" w:rsidR="00B76E3F" w:rsidRPr="00F27422" w:rsidRDefault="00B76E3F" w:rsidP="00122B70">
      <w:pPr>
        <w:bidi/>
        <w:rPr>
          <w:sz w:val="32"/>
          <w:szCs w:val="32"/>
          <w:rtl/>
        </w:rPr>
      </w:pPr>
      <w:r w:rsidRPr="00F27422">
        <w:rPr>
          <w:b/>
          <w:bCs/>
          <w:sz w:val="32"/>
          <w:szCs w:val="32"/>
          <w:rtl/>
        </w:rPr>
        <w:t>القرينةُ الثانية:</w:t>
      </w:r>
      <w:r w:rsidRPr="00F27422">
        <w:rPr>
          <w:sz w:val="32"/>
          <w:szCs w:val="32"/>
          <w:rtl/>
        </w:rPr>
        <w:t xml:space="preserve"> هي عزل الميراث، حيث إنّ الرواية تضمنت عزل الميراث حتى تدرك المرأة وتقسم، والعزل قرينة على إرادة النكاح الخياري؛ إذ لو كان المراد هو العقد الفضولي لم يكن موجب للعزل من الأساس</w:t>
      </w:r>
      <w:r w:rsidRPr="00F27422">
        <w:rPr>
          <w:sz w:val="32"/>
          <w:szCs w:val="32"/>
        </w:rPr>
        <w:t>.</w:t>
      </w:r>
    </w:p>
    <w:p w14:paraId="666C57C6" w14:textId="77777777" w:rsidR="00B76E3F" w:rsidRPr="00F27422" w:rsidRDefault="00B76E3F" w:rsidP="00122B70">
      <w:pPr>
        <w:bidi/>
        <w:rPr>
          <w:sz w:val="32"/>
          <w:szCs w:val="32"/>
          <w:rtl/>
        </w:rPr>
      </w:pPr>
      <w:r w:rsidRPr="00F27422">
        <w:rPr>
          <w:b/>
          <w:bCs/>
          <w:sz w:val="32"/>
          <w:szCs w:val="32"/>
          <w:rtl/>
        </w:rPr>
        <w:lastRenderedPageBreak/>
        <w:t>الجهة الثالثة:</w:t>
      </w:r>
      <w:r w:rsidRPr="00F27422">
        <w:rPr>
          <w:sz w:val="32"/>
          <w:szCs w:val="32"/>
          <w:rtl/>
        </w:rPr>
        <w:t xml:space="preserve"> - في صحيحة أبي عبيدة الحذاء - إنّ ظاهر قوله (عليه السلام) في جواب السؤال: </w:t>
      </w:r>
      <w:r w:rsidRPr="00F27422">
        <w:rPr>
          <w:b/>
          <w:bCs/>
          <w:sz w:val="32"/>
          <w:szCs w:val="32"/>
          <w:rtl/>
        </w:rPr>
        <w:t>(قُلْتُ: فَإِنْ مَاتَتِ الْجَارِيَةُ وَلَمْ تَكُنْ أَدْرَكَتْ أَ يَرِثُهَا الزَّوْجُ الْمُدْرِكُ؟ قَالَ: لَا، لِأَنَّ لَهَا الْخِيَارَ إِذَا أَدْرَكَتْ)</w:t>
      </w:r>
      <w:r w:rsidRPr="00F27422">
        <w:rPr>
          <w:sz w:val="32"/>
          <w:szCs w:val="32"/>
          <w:rtl/>
        </w:rPr>
        <w:t xml:space="preserve"> ظاهرٌ في أنّ ثبوت الخيار هو الذي منع الإرث، لا أنّ عدم الإرث لأنّ العقد لا اقتضاء فيه، ولو كان عقداً فضولياً لكان عدم الإرث لعدم المقتضي لا لوجود المانع ألّا وهو أنّ لها الخيار، فهذا مما يؤكد أنّ المورد مورد العقد الخياري.</w:t>
      </w:r>
    </w:p>
    <w:p w14:paraId="657037EB" w14:textId="77777777" w:rsidR="00B76E3F" w:rsidRPr="00F27422" w:rsidRDefault="00B76E3F" w:rsidP="00122B70">
      <w:pPr>
        <w:bidi/>
        <w:rPr>
          <w:b/>
          <w:bCs/>
          <w:sz w:val="32"/>
          <w:szCs w:val="32"/>
          <w:rtl/>
        </w:rPr>
      </w:pPr>
    </w:p>
    <w:p w14:paraId="1D1E2F47" w14:textId="77777777" w:rsidR="00B76E3F" w:rsidRPr="00F27422" w:rsidRDefault="00B76E3F" w:rsidP="00122B70">
      <w:pPr>
        <w:bidi/>
        <w:rPr>
          <w:b/>
          <w:bCs/>
          <w:sz w:val="32"/>
          <w:szCs w:val="32"/>
          <w:rtl/>
        </w:rPr>
      </w:pPr>
      <w:r w:rsidRPr="00F27422">
        <w:rPr>
          <w:b/>
          <w:bCs/>
          <w:sz w:val="32"/>
          <w:szCs w:val="32"/>
          <w:rtl/>
        </w:rPr>
        <w:t xml:space="preserve">والحمد لله رب العالمين </w:t>
      </w:r>
    </w:p>
    <w:p w14:paraId="2C4E8C76" w14:textId="77777777" w:rsidR="003A6E31" w:rsidRPr="00F27422" w:rsidRDefault="003A6E31" w:rsidP="00122B70">
      <w:pPr>
        <w:bidi/>
        <w:rPr>
          <w:sz w:val="32"/>
          <w:szCs w:val="32"/>
        </w:rPr>
      </w:pPr>
    </w:p>
    <w:p w14:paraId="792465D1" w14:textId="77777777" w:rsidR="009274E8" w:rsidRPr="00F27422" w:rsidRDefault="009274E8" w:rsidP="00122B70">
      <w:pPr>
        <w:bidi/>
        <w:rPr>
          <w:sz w:val="32"/>
          <w:szCs w:val="32"/>
          <w:rtl/>
        </w:rPr>
      </w:pPr>
    </w:p>
    <w:p w14:paraId="653F7D86" w14:textId="1373194D" w:rsidR="009274E8" w:rsidRPr="00F27422" w:rsidRDefault="009274E8" w:rsidP="00122B70">
      <w:pPr>
        <w:pStyle w:val="Heading3"/>
        <w:bidi/>
        <w:rPr>
          <w:sz w:val="32"/>
          <w:szCs w:val="32"/>
          <w:rtl/>
        </w:rPr>
      </w:pPr>
      <w:r w:rsidRPr="00F27422">
        <w:rPr>
          <w:rFonts w:hint="cs"/>
          <w:sz w:val="32"/>
          <w:szCs w:val="32"/>
          <w:rtl/>
        </w:rPr>
        <w:t>051</w:t>
      </w:r>
    </w:p>
    <w:p w14:paraId="48A2EA99" w14:textId="77777777" w:rsidR="008E226B" w:rsidRPr="00F27422" w:rsidRDefault="008E226B"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2D0ED749" w14:textId="77777777" w:rsidR="008E226B" w:rsidRPr="00F27422" w:rsidRDefault="008E226B"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2D65CDFB"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واللعن الدائم على أعدائهم أجمعين إلى قيام يوم الدين</w:t>
      </w:r>
    </w:p>
    <w:p w14:paraId="359BF472" w14:textId="77777777" w:rsidR="008E226B" w:rsidRPr="00F27422" w:rsidRDefault="008E226B" w:rsidP="00122B70">
      <w:pPr>
        <w:pStyle w:val="a"/>
        <w:bidi/>
        <w:spacing w:line="216" w:lineRule="auto"/>
        <w:jc w:val="left"/>
        <w:rPr>
          <w:rFonts w:ascii="mylotus" w:hAnsi="mylotus"/>
          <w:sz w:val="32"/>
          <w:rtl/>
        </w:rPr>
      </w:pPr>
    </w:p>
    <w:p w14:paraId="3AFD8039"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 xml:space="preserve">وقد أوضح بعض السادة الأعلام (مد ظله) ذلك في كتابه [النكاح، باللغة الفارسية، ج12، ص4159 - 4160] </w:t>
      </w:r>
      <w:r w:rsidRPr="00F27422">
        <w:rPr>
          <w:rFonts w:ascii="mylotus" w:hAnsi="mylotus" w:hint="cs"/>
          <w:sz w:val="32"/>
          <w:rtl/>
        </w:rPr>
        <w:t>مترجماً</w:t>
      </w:r>
      <w:r w:rsidRPr="00F27422">
        <w:rPr>
          <w:rFonts w:ascii="mylotus" w:hAnsi="mylotus"/>
          <w:sz w:val="32"/>
          <w:rtl/>
        </w:rPr>
        <w:t xml:space="preserve"> </w:t>
      </w:r>
      <w:r w:rsidRPr="00F27422">
        <w:rPr>
          <w:rFonts w:ascii="mylotus" w:hAnsi="mylotus" w:hint="cs"/>
          <w:sz w:val="32"/>
          <w:rtl/>
        </w:rPr>
        <w:t>بما</w:t>
      </w:r>
      <w:r w:rsidRPr="00F27422">
        <w:rPr>
          <w:rFonts w:ascii="mylotus" w:hAnsi="mylotus"/>
          <w:sz w:val="32"/>
          <w:rtl/>
        </w:rPr>
        <w:t xml:space="preserve"> </w:t>
      </w:r>
      <w:r w:rsidRPr="00F27422">
        <w:rPr>
          <w:rFonts w:ascii="mylotus" w:hAnsi="mylotus" w:hint="cs"/>
          <w:sz w:val="32"/>
          <w:rtl/>
        </w:rPr>
        <w:t>حاصله: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قد</w:t>
      </w:r>
      <w:r w:rsidRPr="00F27422">
        <w:rPr>
          <w:rFonts w:ascii="mylotus" w:hAnsi="mylotus"/>
          <w:b/>
          <w:bCs/>
          <w:sz w:val="32"/>
          <w:rtl/>
        </w:rPr>
        <w:t xml:space="preserve"> </w:t>
      </w:r>
      <w:r w:rsidRPr="00F27422">
        <w:rPr>
          <w:rFonts w:ascii="mylotus" w:hAnsi="mylotus" w:hint="cs"/>
          <w:b/>
          <w:bCs/>
          <w:sz w:val="32"/>
          <w:rtl/>
        </w:rPr>
        <w:t>أشرنا</w:t>
      </w:r>
      <w:r w:rsidRPr="00F27422">
        <w:rPr>
          <w:rFonts w:ascii="mylotus" w:hAnsi="mylotus"/>
          <w:b/>
          <w:bCs/>
          <w:sz w:val="32"/>
          <w:rtl/>
        </w:rPr>
        <w:t xml:space="preserve"> </w:t>
      </w:r>
      <w:r w:rsidRPr="00F27422">
        <w:rPr>
          <w:rFonts w:ascii="mylotus" w:hAnsi="mylotus" w:hint="cs"/>
          <w:b/>
          <w:bCs/>
          <w:sz w:val="32"/>
          <w:rtl/>
        </w:rPr>
        <w:t>سابقاً</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المفهوم</w:t>
      </w:r>
      <w:r w:rsidRPr="00F27422">
        <w:rPr>
          <w:rFonts w:ascii="mylotus" w:hAnsi="mylotus"/>
          <w:b/>
          <w:bCs/>
          <w:sz w:val="32"/>
          <w:rtl/>
        </w:rPr>
        <w:t xml:space="preserve"> </w:t>
      </w:r>
      <w:r w:rsidRPr="00F27422">
        <w:rPr>
          <w:rFonts w:ascii="mylotus" w:hAnsi="mylotus" w:hint="cs"/>
          <w:b/>
          <w:bCs/>
          <w:sz w:val="32"/>
          <w:rtl/>
        </w:rPr>
        <w:t>قد</w:t>
      </w:r>
      <w:r w:rsidRPr="00F27422">
        <w:rPr>
          <w:rFonts w:ascii="mylotus" w:hAnsi="mylotus"/>
          <w:b/>
          <w:bCs/>
          <w:sz w:val="32"/>
          <w:rtl/>
        </w:rPr>
        <w:t xml:space="preserve"> </w:t>
      </w:r>
      <w:r w:rsidRPr="00F27422">
        <w:rPr>
          <w:rFonts w:ascii="mylotus" w:hAnsi="mylotus" w:hint="cs"/>
          <w:b/>
          <w:bCs/>
          <w:sz w:val="32"/>
          <w:rtl/>
        </w:rPr>
        <w:t>يكون</w:t>
      </w:r>
      <w:r w:rsidRPr="00F27422">
        <w:rPr>
          <w:rFonts w:ascii="mylotus" w:hAnsi="mylotus"/>
          <w:b/>
          <w:bCs/>
          <w:sz w:val="32"/>
          <w:rtl/>
        </w:rPr>
        <w:t xml:space="preserve"> </w:t>
      </w:r>
      <w:r w:rsidRPr="00F27422">
        <w:rPr>
          <w:rFonts w:ascii="mylotus" w:hAnsi="mylotus" w:hint="cs"/>
          <w:b/>
          <w:bCs/>
          <w:sz w:val="32"/>
          <w:rtl/>
        </w:rPr>
        <w:t>له</w:t>
      </w:r>
      <w:r w:rsidRPr="00F27422">
        <w:rPr>
          <w:rFonts w:ascii="mylotus" w:hAnsi="mylotus"/>
          <w:b/>
          <w:bCs/>
          <w:sz w:val="32"/>
          <w:rtl/>
        </w:rPr>
        <w:t xml:space="preserve"> </w:t>
      </w:r>
      <w:r w:rsidRPr="00F27422">
        <w:rPr>
          <w:rFonts w:ascii="mylotus" w:hAnsi="mylotus" w:hint="cs"/>
          <w:b/>
          <w:bCs/>
          <w:sz w:val="32"/>
          <w:rtl/>
        </w:rPr>
        <w:t>مصاديق</w:t>
      </w:r>
      <w:r w:rsidRPr="00F27422">
        <w:rPr>
          <w:rFonts w:ascii="mylotus" w:hAnsi="mylotus"/>
          <w:b/>
          <w:bCs/>
          <w:sz w:val="32"/>
          <w:rtl/>
        </w:rPr>
        <w:t xml:space="preserve"> </w:t>
      </w:r>
      <w:r w:rsidRPr="00F27422">
        <w:rPr>
          <w:rFonts w:ascii="mylotus" w:hAnsi="mylotus" w:hint="cs"/>
          <w:b/>
          <w:bCs/>
          <w:sz w:val="32"/>
          <w:rtl/>
        </w:rPr>
        <w:t>مختلفة،</w:t>
      </w:r>
      <w:r w:rsidRPr="00F27422">
        <w:rPr>
          <w:rFonts w:ascii="mylotus" w:hAnsi="mylotus"/>
          <w:b/>
          <w:bCs/>
          <w:sz w:val="32"/>
          <w:rtl/>
        </w:rPr>
        <w:t xml:space="preserve"> </w:t>
      </w:r>
      <w:r w:rsidRPr="00F27422">
        <w:rPr>
          <w:rFonts w:ascii="mylotus" w:hAnsi="mylotus" w:hint="cs"/>
          <w:b/>
          <w:bCs/>
          <w:sz w:val="32"/>
          <w:rtl/>
        </w:rPr>
        <w:t>بعض</w:t>
      </w:r>
      <w:r w:rsidRPr="00F27422">
        <w:rPr>
          <w:rFonts w:ascii="mylotus" w:hAnsi="mylotus"/>
          <w:b/>
          <w:bCs/>
          <w:sz w:val="32"/>
          <w:rtl/>
        </w:rPr>
        <w:t xml:space="preserve"> </w:t>
      </w:r>
      <w:r w:rsidRPr="00F27422">
        <w:rPr>
          <w:rFonts w:ascii="mylotus" w:hAnsi="mylotus" w:hint="cs"/>
          <w:b/>
          <w:bCs/>
          <w:sz w:val="32"/>
          <w:rtl/>
        </w:rPr>
        <w:t>هذه</w:t>
      </w:r>
      <w:r w:rsidRPr="00F27422">
        <w:rPr>
          <w:rFonts w:ascii="mylotus" w:hAnsi="mylotus"/>
          <w:b/>
          <w:bCs/>
          <w:sz w:val="32"/>
          <w:rtl/>
        </w:rPr>
        <w:t xml:space="preserve"> </w:t>
      </w:r>
      <w:r w:rsidRPr="00F27422">
        <w:rPr>
          <w:rFonts w:ascii="mylotus" w:hAnsi="mylotus" w:hint="cs"/>
          <w:b/>
          <w:bCs/>
          <w:sz w:val="32"/>
          <w:rtl/>
        </w:rPr>
        <w:t>المصاديق</w:t>
      </w:r>
      <w:r w:rsidRPr="00F27422">
        <w:rPr>
          <w:rFonts w:ascii="mylotus" w:hAnsi="mylotus"/>
          <w:b/>
          <w:bCs/>
          <w:sz w:val="32"/>
          <w:rtl/>
        </w:rPr>
        <w:t xml:space="preserve"> </w:t>
      </w:r>
      <w:r w:rsidRPr="00F27422">
        <w:rPr>
          <w:rFonts w:ascii="mylotus" w:hAnsi="mylotus" w:hint="cs"/>
          <w:b/>
          <w:bCs/>
          <w:sz w:val="32"/>
          <w:rtl/>
        </w:rPr>
        <w:t>تتمتع</w:t>
      </w:r>
      <w:r w:rsidRPr="00F27422">
        <w:rPr>
          <w:rFonts w:ascii="mylotus" w:hAnsi="mylotus"/>
          <w:b/>
          <w:bCs/>
          <w:sz w:val="32"/>
          <w:rtl/>
        </w:rPr>
        <w:t xml:space="preserve"> </w:t>
      </w:r>
      <w:r w:rsidRPr="00F27422">
        <w:rPr>
          <w:rFonts w:ascii="mylotus" w:hAnsi="mylotus" w:hint="cs"/>
          <w:b/>
          <w:bCs/>
          <w:sz w:val="32"/>
          <w:rtl/>
        </w:rPr>
        <w:t>بخاصية</w:t>
      </w:r>
      <w:r w:rsidRPr="00F27422">
        <w:rPr>
          <w:rFonts w:ascii="mylotus" w:hAnsi="mylotus"/>
          <w:b/>
          <w:bCs/>
          <w:sz w:val="32"/>
          <w:rtl/>
        </w:rPr>
        <w:t xml:space="preserve"> </w:t>
      </w:r>
      <w:r w:rsidRPr="00F27422">
        <w:rPr>
          <w:rFonts w:ascii="mylotus" w:hAnsi="mylotus" w:hint="cs"/>
          <w:b/>
          <w:bCs/>
          <w:sz w:val="32"/>
          <w:rtl/>
        </w:rPr>
        <w:t>وبروز</w:t>
      </w:r>
      <w:r w:rsidRPr="00F27422">
        <w:rPr>
          <w:rFonts w:ascii="mylotus" w:hAnsi="mylotus"/>
          <w:b/>
          <w:bCs/>
          <w:sz w:val="32"/>
          <w:rtl/>
        </w:rPr>
        <w:t xml:space="preserve"> </w:t>
      </w:r>
      <w:r w:rsidRPr="00F27422">
        <w:rPr>
          <w:rFonts w:ascii="mylotus" w:hAnsi="mylotus" w:hint="cs"/>
          <w:b/>
          <w:bCs/>
          <w:sz w:val="32"/>
          <w:rtl/>
        </w:rPr>
        <w:t>خاص</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مثل</w:t>
      </w:r>
      <w:r w:rsidRPr="00F27422">
        <w:rPr>
          <w:rFonts w:ascii="mylotus" w:hAnsi="mylotus"/>
          <w:b/>
          <w:bCs/>
          <w:sz w:val="32"/>
          <w:rtl/>
        </w:rPr>
        <w:t xml:space="preserve"> </w:t>
      </w:r>
      <w:r w:rsidRPr="00F27422">
        <w:rPr>
          <w:rFonts w:ascii="mylotus" w:hAnsi="mylotus" w:hint="cs"/>
          <w:b/>
          <w:bCs/>
          <w:sz w:val="32"/>
          <w:rtl/>
        </w:rPr>
        <w:t>هذه</w:t>
      </w:r>
      <w:r w:rsidRPr="00F27422">
        <w:rPr>
          <w:rFonts w:ascii="mylotus" w:hAnsi="mylotus"/>
          <w:b/>
          <w:bCs/>
          <w:sz w:val="32"/>
          <w:rtl/>
        </w:rPr>
        <w:t xml:space="preserve"> </w:t>
      </w:r>
      <w:r w:rsidRPr="00F27422">
        <w:rPr>
          <w:rFonts w:ascii="mylotus" w:hAnsi="mylotus" w:hint="cs"/>
          <w:b/>
          <w:bCs/>
          <w:sz w:val="32"/>
          <w:rtl/>
        </w:rPr>
        <w:t>الموارد</w:t>
      </w:r>
      <w:r w:rsidRPr="00F27422">
        <w:rPr>
          <w:rFonts w:ascii="mylotus" w:hAnsi="mylotus"/>
          <w:b/>
          <w:bCs/>
          <w:sz w:val="32"/>
          <w:rtl/>
        </w:rPr>
        <w:t xml:space="preserve"> </w:t>
      </w:r>
      <w:r w:rsidRPr="00F27422">
        <w:rPr>
          <w:rFonts w:ascii="mylotus" w:hAnsi="mylotus" w:hint="cs"/>
          <w:b/>
          <w:bCs/>
          <w:sz w:val="32"/>
          <w:rtl/>
        </w:rPr>
        <w:t>إذا</w:t>
      </w:r>
      <w:r w:rsidRPr="00F27422">
        <w:rPr>
          <w:rFonts w:ascii="mylotus" w:hAnsi="mylotus"/>
          <w:b/>
          <w:bCs/>
          <w:sz w:val="32"/>
          <w:rtl/>
        </w:rPr>
        <w:t xml:space="preserve"> </w:t>
      </w:r>
      <w:r w:rsidRPr="00F27422">
        <w:rPr>
          <w:rFonts w:ascii="mylotus" w:hAnsi="mylotus" w:hint="cs"/>
          <w:b/>
          <w:bCs/>
          <w:sz w:val="32"/>
          <w:rtl/>
        </w:rPr>
        <w:t>وقعت</w:t>
      </w:r>
      <w:r w:rsidRPr="00F27422">
        <w:rPr>
          <w:rFonts w:ascii="mylotus" w:hAnsi="mylotus"/>
          <w:b/>
          <w:bCs/>
          <w:sz w:val="32"/>
          <w:rtl/>
        </w:rPr>
        <w:t xml:space="preserve"> </w:t>
      </w:r>
      <w:r w:rsidRPr="00F27422">
        <w:rPr>
          <w:rFonts w:ascii="mylotus" w:hAnsi="mylotus" w:hint="cs"/>
          <w:b/>
          <w:bCs/>
          <w:sz w:val="32"/>
          <w:rtl/>
        </w:rPr>
        <w:t>قضية</w:t>
      </w:r>
      <w:r w:rsidRPr="00F27422">
        <w:rPr>
          <w:rFonts w:ascii="mylotus" w:hAnsi="mylotus"/>
          <w:b/>
          <w:bCs/>
          <w:sz w:val="32"/>
          <w:rtl/>
        </w:rPr>
        <w:t xml:space="preserve"> </w:t>
      </w:r>
      <w:r w:rsidRPr="00F27422">
        <w:rPr>
          <w:rFonts w:ascii="mylotus" w:hAnsi="mylotus" w:hint="cs"/>
          <w:b/>
          <w:bCs/>
          <w:sz w:val="32"/>
          <w:rtl/>
        </w:rPr>
        <w:t>تتعلق</w:t>
      </w:r>
      <w:r w:rsidRPr="00F27422">
        <w:rPr>
          <w:rFonts w:ascii="mylotus" w:hAnsi="mylotus"/>
          <w:b/>
          <w:bCs/>
          <w:sz w:val="32"/>
          <w:rtl/>
        </w:rPr>
        <w:t xml:space="preserve"> </w:t>
      </w:r>
      <w:r w:rsidRPr="00F27422">
        <w:rPr>
          <w:rFonts w:ascii="mylotus" w:hAnsi="mylotus" w:hint="cs"/>
          <w:b/>
          <w:bCs/>
          <w:sz w:val="32"/>
          <w:rtl/>
        </w:rPr>
        <w:t>بتلك</w:t>
      </w:r>
      <w:r w:rsidRPr="00F27422">
        <w:rPr>
          <w:rFonts w:ascii="mylotus" w:hAnsi="mylotus"/>
          <w:b/>
          <w:bCs/>
          <w:sz w:val="32"/>
          <w:rtl/>
        </w:rPr>
        <w:t xml:space="preserve"> </w:t>
      </w:r>
      <w:r w:rsidRPr="00F27422">
        <w:rPr>
          <w:rFonts w:ascii="mylotus" w:hAnsi="mylotus" w:hint="cs"/>
          <w:b/>
          <w:bCs/>
          <w:sz w:val="32"/>
          <w:rtl/>
        </w:rPr>
        <w:t>المصاديق</w:t>
      </w:r>
      <w:r w:rsidRPr="00F27422">
        <w:rPr>
          <w:rFonts w:ascii="mylotus" w:hAnsi="mylotus"/>
          <w:b/>
          <w:bCs/>
          <w:sz w:val="32"/>
          <w:rtl/>
        </w:rPr>
        <w:t xml:space="preserve"> </w:t>
      </w:r>
      <w:r w:rsidRPr="00F27422">
        <w:rPr>
          <w:rFonts w:ascii="mylotus" w:hAnsi="mylotus" w:hint="cs"/>
          <w:b/>
          <w:bCs/>
          <w:sz w:val="32"/>
          <w:rtl/>
        </w:rPr>
        <w:t>الممتازة</w:t>
      </w:r>
      <w:r w:rsidRPr="00F27422">
        <w:rPr>
          <w:rFonts w:ascii="mylotus" w:hAnsi="mylotus"/>
          <w:b/>
          <w:bCs/>
          <w:sz w:val="32"/>
          <w:rtl/>
        </w:rPr>
        <w:t xml:space="preserve"> </w:t>
      </w:r>
      <w:r w:rsidRPr="00F27422">
        <w:rPr>
          <w:rFonts w:ascii="mylotus" w:hAnsi="mylotus" w:hint="cs"/>
          <w:b/>
          <w:bCs/>
          <w:sz w:val="32"/>
          <w:rtl/>
        </w:rPr>
        <w:t>والبارزة</w:t>
      </w:r>
      <w:r w:rsidRPr="00F27422">
        <w:rPr>
          <w:rFonts w:ascii="mylotus" w:hAnsi="mylotus"/>
          <w:b/>
          <w:bCs/>
          <w:sz w:val="32"/>
          <w:rtl/>
        </w:rPr>
        <w:t xml:space="preserve"> </w:t>
      </w:r>
      <w:r w:rsidRPr="00F27422">
        <w:rPr>
          <w:rFonts w:ascii="mylotus" w:hAnsi="mylotus" w:hint="cs"/>
          <w:b/>
          <w:bCs/>
          <w:sz w:val="32"/>
          <w:rtl/>
        </w:rPr>
        <w:t>للمفهوم،</w:t>
      </w:r>
      <w:r w:rsidRPr="00F27422">
        <w:rPr>
          <w:rFonts w:ascii="mylotus" w:hAnsi="mylotus"/>
          <w:b/>
          <w:bCs/>
          <w:sz w:val="32"/>
          <w:rtl/>
        </w:rPr>
        <w:t xml:space="preserve"> </w:t>
      </w:r>
      <w:r w:rsidRPr="00F27422">
        <w:rPr>
          <w:rFonts w:ascii="mylotus" w:hAnsi="mylotus" w:hint="cs"/>
          <w:b/>
          <w:bCs/>
          <w:sz w:val="32"/>
          <w:rtl/>
        </w:rPr>
        <w:t>فالمعتاد</w:t>
      </w:r>
      <w:r w:rsidRPr="00F27422">
        <w:rPr>
          <w:rFonts w:ascii="mylotus" w:hAnsi="mylotus"/>
          <w:b/>
          <w:bCs/>
          <w:sz w:val="32"/>
          <w:rtl/>
        </w:rPr>
        <w:t xml:space="preserve"> </w:t>
      </w:r>
      <w:r w:rsidRPr="00F27422">
        <w:rPr>
          <w:rFonts w:ascii="mylotus" w:hAnsi="mylotus" w:hint="cs"/>
          <w:b/>
          <w:bCs/>
          <w:sz w:val="32"/>
          <w:rtl/>
        </w:rPr>
        <w:t>هنا</w:t>
      </w:r>
      <w:r w:rsidRPr="00F27422">
        <w:rPr>
          <w:rFonts w:ascii="mylotus" w:hAnsi="mylotus"/>
          <w:b/>
          <w:bCs/>
          <w:sz w:val="32"/>
          <w:rtl/>
        </w:rPr>
        <w:t xml:space="preserve"> </w:t>
      </w:r>
      <w:r w:rsidRPr="00F27422">
        <w:rPr>
          <w:rFonts w:ascii="mylotus" w:hAnsi="mylotus" w:hint="cs"/>
          <w:b/>
          <w:bCs/>
          <w:sz w:val="32"/>
          <w:rtl/>
        </w:rPr>
        <w:t>هو</w:t>
      </w:r>
      <w:r w:rsidRPr="00F27422">
        <w:rPr>
          <w:rFonts w:ascii="mylotus" w:hAnsi="mylotus"/>
          <w:b/>
          <w:bCs/>
          <w:sz w:val="32"/>
          <w:rtl/>
        </w:rPr>
        <w:t xml:space="preserve"> </w:t>
      </w:r>
      <w:proofErr w:type="gramStart"/>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لا</w:t>
      </w:r>
      <w:proofErr w:type="gramEnd"/>
      <w:r w:rsidRPr="00F27422">
        <w:rPr>
          <w:rFonts w:ascii="mylotus" w:hAnsi="mylotus"/>
          <w:b/>
          <w:bCs/>
          <w:sz w:val="32"/>
          <w:rtl/>
        </w:rPr>
        <w:t xml:space="preserve"> </w:t>
      </w:r>
      <w:r w:rsidRPr="00F27422">
        <w:rPr>
          <w:rFonts w:ascii="mylotus" w:hAnsi="mylotus" w:hint="cs"/>
          <w:b/>
          <w:bCs/>
          <w:sz w:val="32"/>
          <w:rtl/>
        </w:rPr>
        <w:t>يُطرح</w:t>
      </w:r>
      <w:r w:rsidRPr="00F27422">
        <w:rPr>
          <w:rFonts w:ascii="mylotus" w:hAnsi="mylotus"/>
          <w:b/>
          <w:bCs/>
          <w:sz w:val="32"/>
          <w:rtl/>
        </w:rPr>
        <w:t xml:space="preserve"> </w:t>
      </w:r>
      <w:r w:rsidRPr="00F27422">
        <w:rPr>
          <w:rFonts w:ascii="mylotus" w:hAnsi="mylotus" w:hint="cs"/>
          <w:b/>
          <w:bCs/>
          <w:sz w:val="32"/>
          <w:rtl/>
        </w:rPr>
        <w:t>السؤال</w:t>
      </w:r>
      <w:r w:rsidRPr="00F27422">
        <w:rPr>
          <w:rFonts w:ascii="mylotus" w:hAnsi="mylotus"/>
          <w:b/>
          <w:bCs/>
          <w:sz w:val="32"/>
          <w:rtl/>
        </w:rPr>
        <w:t xml:space="preserve"> </w:t>
      </w:r>
      <w:r w:rsidRPr="00F27422">
        <w:rPr>
          <w:rFonts w:ascii="mylotus" w:hAnsi="mylotus" w:hint="cs"/>
          <w:b/>
          <w:bCs/>
          <w:sz w:val="32"/>
          <w:rtl/>
        </w:rPr>
        <w:t>عن</w:t>
      </w:r>
      <w:r w:rsidRPr="00F27422">
        <w:rPr>
          <w:rFonts w:ascii="mylotus" w:hAnsi="mylotus"/>
          <w:b/>
          <w:bCs/>
          <w:sz w:val="32"/>
          <w:rtl/>
        </w:rPr>
        <w:t xml:space="preserve"> </w:t>
      </w:r>
      <w:r w:rsidRPr="00F27422">
        <w:rPr>
          <w:rFonts w:ascii="mylotus" w:hAnsi="mylotus" w:hint="cs"/>
          <w:b/>
          <w:bCs/>
          <w:sz w:val="32"/>
          <w:rtl/>
        </w:rPr>
        <w:t>المفهوم</w:t>
      </w:r>
      <w:r w:rsidRPr="00F27422">
        <w:rPr>
          <w:rFonts w:ascii="mylotus" w:hAnsi="mylotus"/>
          <w:b/>
          <w:bCs/>
          <w:sz w:val="32"/>
          <w:rtl/>
        </w:rPr>
        <w:t xml:space="preserve"> </w:t>
      </w:r>
      <w:r w:rsidRPr="00F27422">
        <w:rPr>
          <w:rFonts w:ascii="mylotus" w:hAnsi="mylotus" w:hint="cs"/>
          <w:b/>
          <w:bCs/>
          <w:sz w:val="32"/>
          <w:rtl/>
        </w:rPr>
        <w:t>بشكل</w:t>
      </w:r>
      <w:r w:rsidRPr="00F27422">
        <w:rPr>
          <w:rFonts w:ascii="mylotus" w:hAnsi="mylotus"/>
          <w:b/>
          <w:bCs/>
          <w:sz w:val="32"/>
          <w:rtl/>
        </w:rPr>
        <w:t xml:space="preserve"> </w:t>
      </w:r>
      <w:r w:rsidRPr="00F27422">
        <w:rPr>
          <w:rFonts w:ascii="mylotus" w:hAnsi="mylotus" w:hint="cs"/>
          <w:b/>
          <w:bCs/>
          <w:sz w:val="32"/>
          <w:rtl/>
        </w:rPr>
        <w:t>مطلق،</w:t>
      </w:r>
      <w:r w:rsidRPr="00F27422">
        <w:rPr>
          <w:rFonts w:ascii="mylotus" w:hAnsi="mylotus"/>
          <w:b/>
          <w:bCs/>
          <w:sz w:val="32"/>
          <w:rtl/>
        </w:rPr>
        <w:t xml:space="preserve"> </w:t>
      </w:r>
      <w:r w:rsidRPr="00F27422">
        <w:rPr>
          <w:rFonts w:ascii="mylotus" w:hAnsi="mylotus" w:hint="cs"/>
          <w:b/>
          <w:bCs/>
          <w:sz w:val="32"/>
          <w:rtl/>
        </w:rPr>
        <w:t>بل</w:t>
      </w:r>
      <w:r w:rsidRPr="00F27422">
        <w:rPr>
          <w:rFonts w:ascii="mylotus" w:hAnsi="mylotus"/>
          <w:b/>
          <w:bCs/>
          <w:sz w:val="32"/>
          <w:rtl/>
        </w:rPr>
        <w:t xml:space="preserve"> </w:t>
      </w:r>
      <w:r w:rsidRPr="00F27422">
        <w:rPr>
          <w:rFonts w:ascii="mylotus" w:hAnsi="mylotus" w:hint="cs"/>
          <w:b/>
          <w:bCs/>
          <w:sz w:val="32"/>
          <w:rtl/>
        </w:rPr>
        <w:t>يُسأل</w:t>
      </w:r>
      <w:r w:rsidRPr="00F27422">
        <w:rPr>
          <w:rFonts w:ascii="mylotus" w:hAnsi="mylotus"/>
          <w:b/>
          <w:bCs/>
          <w:sz w:val="32"/>
          <w:rtl/>
        </w:rPr>
        <w:t xml:space="preserve"> </w:t>
      </w:r>
      <w:r w:rsidRPr="00F27422">
        <w:rPr>
          <w:rFonts w:ascii="mylotus" w:hAnsi="mylotus" w:hint="cs"/>
          <w:b/>
          <w:bCs/>
          <w:sz w:val="32"/>
          <w:rtl/>
        </w:rPr>
        <w:t>عن</w:t>
      </w:r>
      <w:r w:rsidRPr="00F27422">
        <w:rPr>
          <w:rFonts w:ascii="mylotus" w:hAnsi="mylotus"/>
          <w:b/>
          <w:bCs/>
          <w:sz w:val="32"/>
          <w:rtl/>
        </w:rPr>
        <w:t xml:space="preserve"> </w:t>
      </w:r>
      <w:r w:rsidRPr="00F27422">
        <w:rPr>
          <w:rFonts w:ascii="mylotus" w:hAnsi="mylotus" w:hint="cs"/>
          <w:b/>
          <w:bCs/>
          <w:sz w:val="32"/>
          <w:rtl/>
        </w:rPr>
        <w:t>تلك</w:t>
      </w:r>
      <w:r w:rsidRPr="00F27422">
        <w:rPr>
          <w:rFonts w:ascii="mylotus" w:hAnsi="mylotus"/>
          <w:b/>
          <w:bCs/>
          <w:sz w:val="32"/>
          <w:rtl/>
        </w:rPr>
        <w:t xml:space="preserve"> </w:t>
      </w:r>
      <w:r w:rsidRPr="00F27422">
        <w:rPr>
          <w:rFonts w:ascii="mylotus" w:hAnsi="mylotus" w:hint="cs"/>
          <w:b/>
          <w:bCs/>
          <w:sz w:val="32"/>
          <w:rtl/>
        </w:rPr>
        <w:t>المصاديق</w:t>
      </w:r>
      <w:r w:rsidRPr="00F27422">
        <w:rPr>
          <w:rFonts w:ascii="mylotus" w:hAnsi="mylotus"/>
          <w:b/>
          <w:bCs/>
          <w:sz w:val="32"/>
          <w:rtl/>
        </w:rPr>
        <w:t xml:space="preserve"> </w:t>
      </w:r>
      <w:r w:rsidRPr="00F27422">
        <w:rPr>
          <w:rFonts w:ascii="mylotus" w:hAnsi="mylotus" w:hint="cs"/>
          <w:b/>
          <w:bCs/>
          <w:sz w:val="32"/>
          <w:rtl/>
        </w:rPr>
        <w:t>الخاصة</w:t>
      </w:r>
      <w:r w:rsidRPr="00F27422">
        <w:rPr>
          <w:rFonts w:ascii="mylotus" w:hAnsi="mylotus"/>
          <w:b/>
          <w:bCs/>
          <w:sz w:val="32"/>
          <w:rtl/>
        </w:rPr>
        <w:t xml:space="preserve">. </w:t>
      </w:r>
      <w:r w:rsidRPr="00F27422">
        <w:rPr>
          <w:rFonts w:ascii="mylotus" w:hAnsi="mylotus" w:hint="cs"/>
          <w:b/>
          <w:bCs/>
          <w:sz w:val="32"/>
          <w:rtl/>
        </w:rPr>
        <w:t>مثلاً</w:t>
      </w:r>
      <w:r w:rsidRPr="00F27422">
        <w:rPr>
          <w:rFonts w:ascii="mylotus" w:hAnsi="mylotus"/>
          <w:b/>
          <w:bCs/>
          <w:sz w:val="32"/>
          <w:rtl/>
        </w:rPr>
        <w:t xml:space="preserve">: </w:t>
      </w:r>
      <w:r w:rsidRPr="00F27422">
        <w:rPr>
          <w:rFonts w:ascii="mylotus" w:hAnsi="mylotus" w:hint="cs"/>
          <w:b/>
          <w:bCs/>
          <w:sz w:val="32"/>
          <w:rtl/>
        </w:rPr>
        <w:t>مفهوم</w:t>
      </w:r>
      <w:r w:rsidRPr="00F27422">
        <w:rPr>
          <w:rFonts w:ascii="mylotus" w:hAnsi="mylotus"/>
          <w:b/>
          <w:bCs/>
          <w:sz w:val="32"/>
          <w:rtl/>
        </w:rPr>
        <w:t xml:space="preserve"> "</w:t>
      </w:r>
      <w:r w:rsidRPr="00F27422">
        <w:rPr>
          <w:rFonts w:ascii="mylotus" w:hAnsi="mylotus" w:hint="cs"/>
          <w:b/>
          <w:bCs/>
          <w:sz w:val="32"/>
          <w:rtl/>
        </w:rPr>
        <w:t>القريب</w:t>
      </w:r>
      <w:r w:rsidRPr="00F27422">
        <w:rPr>
          <w:rFonts w:ascii="mylotus" w:hAnsi="mylotus"/>
          <w:b/>
          <w:bCs/>
          <w:sz w:val="32"/>
          <w:rtl/>
        </w:rPr>
        <w:t xml:space="preserve">" </w:t>
      </w:r>
      <w:r w:rsidRPr="00F27422">
        <w:rPr>
          <w:rFonts w:ascii="mylotus" w:hAnsi="mylotus" w:hint="cs"/>
          <w:b/>
          <w:bCs/>
          <w:sz w:val="32"/>
          <w:rtl/>
        </w:rPr>
        <w:t>هو</w:t>
      </w:r>
      <w:r w:rsidRPr="00F27422">
        <w:rPr>
          <w:rFonts w:ascii="mylotus" w:hAnsi="mylotus"/>
          <w:b/>
          <w:bCs/>
          <w:sz w:val="32"/>
          <w:rtl/>
        </w:rPr>
        <w:t xml:space="preserve"> </w:t>
      </w:r>
      <w:r w:rsidRPr="00F27422">
        <w:rPr>
          <w:rFonts w:ascii="mylotus" w:hAnsi="mylotus" w:hint="cs"/>
          <w:b/>
          <w:bCs/>
          <w:sz w:val="32"/>
          <w:rtl/>
        </w:rPr>
        <w:t>معنى</w:t>
      </w:r>
      <w:r w:rsidRPr="00F27422">
        <w:rPr>
          <w:rFonts w:ascii="mylotus" w:hAnsi="mylotus"/>
          <w:b/>
          <w:bCs/>
          <w:sz w:val="32"/>
          <w:rtl/>
        </w:rPr>
        <w:t xml:space="preserve"> </w:t>
      </w:r>
      <w:r w:rsidRPr="00F27422">
        <w:rPr>
          <w:rFonts w:ascii="mylotus" w:hAnsi="mylotus" w:hint="cs"/>
          <w:b/>
          <w:bCs/>
          <w:sz w:val="32"/>
          <w:rtl/>
        </w:rPr>
        <w:t>عام</w:t>
      </w:r>
      <w:r w:rsidRPr="00F27422">
        <w:rPr>
          <w:rFonts w:ascii="mylotus" w:hAnsi="mylotus"/>
          <w:b/>
          <w:bCs/>
          <w:sz w:val="32"/>
          <w:rtl/>
        </w:rPr>
        <w:t xml:space="preserve"> </w:t>
      </w:r>
      <w:r w:rsidRPr="00F27422">
        <w:rPr>
          <w:rFonts w:ascii="mylotus" w:hAnsi="mylotus" w:hint="cs"/>
          <w:b/>
          <w:bCs/>
          <w:sz w:val="32"/>
          <w:rtl/>
        </w:rPr>
        <w:t>يشمل</w:t>
      </w:r>
      <w:r w:rsidRPr="00F27422">
        <w:rPr>
          <w:rFonts w:ascii="mylotus" w:hAnsi="mylotus"/>
          <w:b/>
          <w:bCs/>
          <w:sz w:val="32"/>
          <w:rtl/>
        </w:rPr>
        <w:t xml:space="preserve"> </w:t>
      </w:r>
      <w:r w:rsidRPr="00F27422">
        <w:rPr>
          <w:rFonts w:ascii="mylotus" w:hAnsi="mylotus" w:hint="cs"/>
          <w:b/>
          <w:bCs/>
          <w:sz w:val="32"/>
          <w:rtl/>
        </w:rPr>
        <w:t>الأب</w:t>
      </w:r>
      <w:r w:rsidRPr="00F27422">
        <w:rPr>
          <w:rFonts w:ascii="mylotus" w:hAnsi="mylotus"/>
          <w:b/>
          <w:bCs/>
          <w:sz w:val="32"/>
          <w:rtl/>
        </w:rPr>
        <w:t xml:space="preserve"> </w:t>
      </w:r>
      <w:r w:rsidRPr="00F27422">
        <w:rPr>
          <w:rFonts w:ascii="mylotus" w:hAnsi="mylotus" w:hint="cs"/>
          <w:b/>
          <w:bCs/>
          <w:sz w:val="32"/>
          <w:rtl/>
        </w:rPr>
        <w:t>والأم</w:t>
      </w:r>
      <w:r w:rsidRPr="00F27422">
        <w:rPr>
          <w:rFonts w:ascii="mylotus" w:hAnsi="mylotus"/>
          <w:b/>
          <w:bCs/>
          <w:sz w:val="32"/>
          <w:rtl/>
        </w:rPr>
        <w:t xml:space="preserve"> </w:t>
      </w:r>
      <w:r w:rsidRPr="00F27422">
        <w:rPr>
          <w:rFonts w:ascii="mylotus" w:hAnsi="mylotus" w:hint="cs"/>
          <w:b/>
          <w:bCs/>
          <w:sz w:val="32"/>
          <w:rtl/>
        </w:rPr>
        <w:t>أيضاً</w:t>
      </w:r>
      <w:r w:rsidRPr="00F27422">
        <w:rPr>
          <w:rFonts w:ascii="mylotus" w:hAnsi="mylotus"/>
          <w:b/>
          <w:bCs/>
          <w:sz w:val="32"/>
          <w:rtl/>
        </w:rPr>
        <w:t xml:space="preserve">. </w:t>
      </w:r>
      <w:r w:rsidRPr="00F27422">
        <w:rPr>
          <w:rFonts w:ascii="mylotus" w:hAnsi="mylotus" w:hint="cs"/>
          <w:b/>
          <w:bCs/>
          <w:sz w:val="32"/>
          <w:rtl/>
        </w:rPr>
        <w:t>فإذا</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سؤال</w:t>
      </w:r>
      <w:r w:rsidRPr="00F27422">
        <w:rPr>
          <w:rFonts w:ascii="mylotus" w:hAnsi="mylotus"/>
          <w:b/>
          <w:bCs/>
          <w:sz w:val="32"/>
          <w:rtl/>
        </w:rPr>
        <w:t xml:space="preserve"> </w:t>
      </w:r>
      <w:r w:rsidRPr="00F27422">
        <w:rPr>
          <w:rFonts w:ascii="mylotus" w:hAnsi="mylotus" w:hint="cs"/>
          <w:b/>
          <w:bCs/>
          <w:sz w:val="32"/>
          <w:rtl/>
        </w:rPr>
        <w:t>الشخص</w:t>
      </w:r>
      <w:r w:rsidRPr="00F27422">
        <w:rPr>
          <w:rFonts w:ascii="mylotus" w:hAnsi="mylotus"/>
          <w:b/>
          <w:bCs/>
          <w:sz w:val="32"/>
          <w:rtl/>
        </w:rPr>
        <w:t xml:space="preserve"> </w:t>
      </w:r>
      <w:r w:rsidRPr="00F27422">
        <w:rPr>
          <w:rFonts w:ascii="mylotus" w:hAnsi="mylotus" w:hint="cs"/>
          <w:b/>
          <w:bCs/>
          <w:sz w:val="32"/>
          <w:rtl/>
        </w:rPr>
        <w:t>يتعلق</w:t>
      </w:r>
      <w:r w:rsidRPr="00F27422">
        <w:rPr>
          <w:rFonts w:ascii="mylotus" w:hAnsi="mylotus"/>
          <w:b/>
          <w:bCs/>
          <w:sz w:val="32"/>
          <w:rtl/>
        </w:rPr>
        <w:t xml:space="preserve"> </w:t>
      </w:r>
      <w:r w:rsidRPr="00F27422">
        <w:rPr>
          <w:rFonts w:ascii="mylotus" w:hAnsi="mylotus" w:hint="cs"/>
          <w:b/>
          <w:bCs/>
          <w:sz w:val="32"/>
          <w:rtl/>
        </w:rPr>
        <w:t>بلزوم</w:t>
      </w:r>
      <w:r w:rsidRPr="00F27422">
        <w:rPr>
          <w:rFonts w:ascii="mylotus" w:hAnsi="mylotus"/>
          <w:b/>
          <w:bCs/>
          <w:sz w:val="32"/>
          <w:rtl/>
        </w:rPr>
        <w:t xml:space="preserve"> </w:t>
      </w:r>
      <w:r w:rsidRPr="00F27422">
        <w:rPr>
          <w:rFonts w:ascii="mylotus" w:hAnsi="mylotus" w:hint="cs"/>
          <w:b/>
          <w:bCs/>
          <w:sz w:val="32"/>
          <w:rtl/>
        </w:rPr>
        <w:t>إطاعة</w:t>
      </w:r>
      <w:r w:rsidRPr="00F27422">
        <w:rPr>
          <w:rFonts w:ascii="mylotus" w:hAnsi="mylotus"/>
          <w:b/>
          <w:bCs/>
          <w:sz w:val="32"/>
          <w:rtl/>
        </w:rPr>
        <w:t xml:space="preserve"> </w:t>
      </w:r>
      <w:r w:rsidRPr="00F27422">
        <w:rPr>
          <w:rFonts w:ascii="mylotus" w:hAnsi="mylotus" w:hint="cs"/>
          <w:b/>
          <w:bCs/>
          <w:sz w:val="32"/>
          <w:rtl/>
        </w:rPr>
        <w:t>أمر</w:t>
      </w:r>
      <w:r w:rsidRPr="00F27422">
        <w:rPr>
          <w:rFonts w:ascii="mylotus" w:hAnsi="mylotus"/>
          <w:b/>
          <w:bCs/>
          <w:sz w:val="32"/>
          <w:rtl/>
        </w:rPr>
        <w:t xml:space="preserve"> </w:t>
      </w:r>
      <w:r w:rsidRPr="00F27422">
        <w:rPr>
          <w:rFonts w:ascii="mylotus" w:hAnsi="mylotus" w:hint="cs"/>
          <w:b/>
          <w:bCs/>
          <w:sz w:val="32"/>
          <w:rtl/>
        </w:rPr>
        <w:t>الأب</w:t>
      </w:r>
      <w:r w:rsidRPr="00F27422">
        <w:rPr>
          <w:rFonts w:ascii="mylotus" w:hAnsi="mylotus"/>
          <w:b/>
          <w:bCs/>
          <w:sz w:val="32"/>
          <w:rtl/>
        </w:rPr>
        <w:t xml:space="preserve"> </w:t>
      </w:r>
      <w:r w:rsidRPr="00F27422">
        <w:rPr>
          <w:rFonts w:ascii="mylotus" w:hAnsi="mylotus" w:hint="cs"/>
          <w:b/>
          <w:bCs/>
          <w:sz w:val="32"/>
          <w:rtl/>
        </w:rPr>
        <w:t>والأم</w:t>
      </w:r>
      <w:r w:rsidRPr="00F27422">
        <w:rPr>
          <w:rFonts w:ascii="mylotus" w:hAnsi="mylotus"/>
          <w:b/>
          <w:bCs/>
          <w:sz w:val="32"/>
          <w:rtl/>
        </w:rPr>
        <w:t xml:space="preserve"> </w:t>
      </w:r>
      <w:r w:rsidRPr="00F27422">
        <w:rPr>
          <w:rFonts w:ascii="mylotus" w:hAnsi="mylotus" w:hint="cs"/>
          <w:b/>
          <w:bCs/>
          <w:sz w:val="32"/>
          <w:rtl/>
        </w:rPr>
        <w:t>فإنّه</w:t>
      </w:r>
      <w:r w:rsidRPr="00F27422">
        <w:rPr>
          <w:rFonts w:ascii="mylotus" w:hAnsi="mylotus"/>
          <w:b/>
          <w:bCs/>
          <w:sz w:val="32"/>
          <w:rtl/>
        </w:rPr>
        <w:t xml:space="preserve">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يطرح</w:t>
      </w:r>
      <w:r w:rsidRPr="00F27422">
        <w:rPr>
          <w:rFonts w:ascii="mylotus" w:hAnsi="mylotus"/>
          <w:b/>
          <w:bCs/>
          <w:sz w:val="32"/>
          <w:rtl/>
        </w:rPr>
        <w:t xml:space="preserve"> السؤال بهذا الشكل: هل إطاعة أمر القريب واجبة؟ بل يُركِّز السؤال على الأب والأم ويسأل: هل يجب إطاعة أمر الأب والأم؟ في هذا المثال، إذا طُرح السؤال بالشكل الأوّل، فإن طريقة طرح السؤال نفسها فيها قرينة عرفا</w:t>
      </w:r>
      <w:r w:rsidRPr="00F27422">
        <w:rPr>
          <w:rFonts w:ascii="mylotus" w:hAnsi="mylotus" w:hint="cs"/>
          <w:b/>
          <w:bCs/>
          <w:sz w:val="32"/>
          <w:rtl/>
        </w:rPr>
        <w:t>ً</w:t>
      </w:r>
      <w:r w:rsidRPr="00F27422">
        <w:rPr>
          <w:rFonts w:ascii="mylotus" w:hAnsi="mylotus"/>
          <w:b/>
          <w:bCs/>
          <w:sz w:val="32"/>
          <w:rtl/>
        </w:rPr>
        <w:t xml:space="preserve"> على أنّ المراد هو غير الأب والأم، والمجيب هنا يمكنه الاكتفاء بهذه القرينة ولا يأخذ حكم الأب والأم في جوابه أصلاً. هنا المراد من "القريب" يبدو هو الأقارب الأبعد من الأب والأم)</w:t>
      </w:r>
      <w:r w:rsidRPr="00F27422">
        <w:rPr>
          <w:rFonts w:ascii="mylotus" w:hAnsi="mylotus"/>
          <w:b/>
          <w:bCs/>
          <w:sz w:val="32"/>
        </w:rPr>
        <w:t>.</w:t>
      </w:r>
    </w:p>
    <w:p w14:paraId="2A2CD723"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 xml:space="preserve">ثمّ طبق (مد ظله) الكلام على ما في صحيحة أبي عبيدة الحذاء، من أنّ السؤال إنّما وقع على العنوان العام وهو قول الراوي: </w:t>
      </w:r>
      <w:r w:rsidRPr="00F27422">
        <w:rPr>
          <w:rFonts w:ascii="mylotus" w:hAnsi="mylotus"/>
          <w:b/>
          <w:bCs/>
          <w:sz w:val="32"/>
          <w:rtl/>
        </w:rPr>
        <w:t>(عَنْ غُلَامٍ وَجَارِيَةٍ زَوَّجَهُمَا وَلِيَّانِ لَهُمَا)</w:t>
      </w:r>
      <w:r w:rsidRPr="00F27422">
        <w:rPr>
          <w:rFonts w:ascii="mylotus" w:hAnsi="mylotus"/>
          <w:sz w:val="32"/>
          <w:rtl/>
        </w:rPr>
        <w:t xml:space="preserve"> وتوجه السؤال للعنوان العام مع التفات السائل إلى أنّ لبعض مصاديق هذا العنوان تميزا</w:t>
      </w:r>
      <w:r w:rsidRPr="00F27422">
        <w:rPr>
          <w:rFonts w:ascii="mylotus" w:hAnsi="mylotus" w:hint="cs"/>
          <w:sz w:val="32"/>
          <w:rtl/>
        </w:rPr>
        <w:t>ً</w:t>
      </w:r>
      <w:r w:rsidRPr="00F27422">
        <w:rPr>
          <w:rFonts w:ascii="mylotus" w:hAnsi="mylotus"/>
          <w:sz w:val="32"/>
          <w:rtl/>
        </w:rPr>
        <w:t xml:space="preserve"> يُوجبُ اِنصراف السؤال عن المصداق المتميز، فلو كان منظوره المصداق لوجه السؤال نحوه</w:t>
      </w:r>
      <w:r w:rsidRPr="00F27422">
        <w:rPr>
          <w:rFonts w:ascii="mylotus" w:hAnsi="mylotus" w:hint="cs"/>
          <w:sz w:val="32"/>
          <w:rtl/>
        </w:rPr>
        <w:t>.</w:t>
      </w:r>
    </w:p>
    <w:p w14:paraId="154617AF"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ويلاحظ عليه:</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مناط ا</w:t>
      </w:r>
      <w:r w:rsidRPr="00F27422">
        <w:rPr>
          <w:rFonts w:ascii="mylotus" w:hAnsi="mylotus" w:hint="cs"/>
          <w:sz w:val="32"/>
          <w:rtl/>
        </w:rPr>
        <w:t>ِ</w:t>
      </w:r>
      <w:r w:rsidRPr="00F27422">
        <w:rPr>
          <w:rFonts w:ascii="mylotus" w:hAnsi="mylotus"/>
          <w:sz w:val="32"/>
          <w:rtl/>
        </w:rPr>
        <w:t>نصراف السؤال المتعلق بالجامع عن المصداق المتميز إحدى نكتتين:</w:t>
      </w:r>
    </w:p>
    <w:p w14:paraId="3D07505E"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hint="cs"/>
          <w:b/>
          <w:bCs/>
          <w:sz w:val="32"/>
          <w:rtl/>
        </w:rPr>
        <w:t>الأُولى:</w:t>
      </w:r>
      <w:r w:rsidRPr="00F27422">
        <w:rPr>
          <w:rFonts w:ascii="mylotus" w:hAnsi="mylotus" w:hint="cs"/>
          <w:sz w:val="32"/>
          <w:rtl/>
        </w:rPr>
        <w:t xml:space="preserve"> </w:t>
      </w:r>
      <w:r w:rsidRPr="00F27422">
        <w:rPr>
          <w:rFonts w:ascii="mylotus" w:hAnsi="mylotus"/>
          <w:b/>
          <w:bCs/>
          <w:sz w:val="32"/>
          <w:rtl/>
        </w:rPr>
        <w:t>ا</w:t>
      </w:r>
      <w:r w:rsidRPr="00F27422">
        <w:rPr>
          <w:rFonts w:ascii="mylotus" w:hAnsi="mylotus" w:hint="cs"/>
          <w:b/>
          <w:bCs/>
          <w:sz w:val="32"/>
          <w:rtl/>
        </w:rPr>
        <w:t>ِ</w:t>
      </w:r>
      <w:r w:rsidRPr="00F27422">
        <w:rPr>
          <w:rFonts w:ascii="mylotus" w:hAnsi="mylotus"/>
          <w:b/>
          <w:bCs/>
          <w:sz w:val="32"/>
          <w:rtl/>
        </w:rPr>
        <w:t>رتكازية</w:t>
      </w:r>
      <w:r w:rsidRPr="00F27422">
        <w:rPr>
          <w:rFonts w:ascii="mylotus" w:hAnsi="mylotus" w:hint="cs"/>
          <w:b/>
          <w:bCs/>
          <w:sz w:val="32"/>
          <w:rtl/>
        </w:rPr>
        <w:t>ٌ</w:t>
      </w:r>
      <w:r w:rsidRPr="00F27422">
        <w:rPr>
          <w:rFonts w:ascii="mylotus" w:hAnsi="mylotus"/>
          <w:b/>
          <w:bCs/>
          <w:sz w:val="32"/>
          <w:rtl/>
        </w:rPr>
        <w:t xml:space="preserve"> عرفية:</w:t>
      </w:r>
      <w:r w:rsidRPr="00F27422">
        <w:rPr>
          <w:rFonts w:ascii="mylotus" w:hAnsi="mylotus"/>
          <w:sz w:val="32"/>
          <w:rtl/>
        </w:rPr>
        <w:t xml:space="preserve"> وفحواها</w:t>
      </w:r>
      <w:r w:rsidRPr="00F27422">
        <w:rPr>
          <w:rFonts w:ascii="mylotus" w:hAnsi="mylotus" w:hint="cs"/>
          <w:sz w:val="32"/>
          <w:rtl/>
        </w:rPr>
        <w:t>:</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مقتضى التفات السائل للمصداق المتميز توجه السؤال نحوه لو كان هو مراده فتوجه السؤال نحو الجامع كاشف عن عدم إرادته</w:t>
      </w:r>
      <w:r w:rsidRPr="00F27422">
        <w:rPr>
          <w:rFonts w:ascii="mylotus" w:hAnsi="mylotus" w:hint="cs"/>
          <w:sz w:val="32"/>
          <w:rtl/>
        </w:rPr>
        <w:t>.</w:t>
      </w:r>
    </w:p>
    <w:p w14:paraId="5CA2FE0A"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lastRenderedPageBreak/>
        <w:t>ويلاحظ على ذلك:</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غاية هذا الوجه عدم إرادة السائل لخصوص المصداق، لا</w:t>
      </w:r>
      <w:r w:rsidRPr="00F27422">
        <w:rPr>
          <w:rFonts w:ascii="mylotus" w:hAnsi="mylotus" w:hint="cs"/>
          <w:sz w:val="32"/>
          <w:rtl/>
        </w:rPr>
        <w:t xml:space="preserve"> </w:t>
      </w:r>
      <w:r w:rsidRPr="00F27422">
        <w:rPr>
          <w:rFonts w:ascii="mylotus" w:hAnsi="mylotus"/>
          <w:sz w:val="32"/>
          <w:rtl/>
        </w:rPr>
        <w:t>عدم إرادة شمول الجامع له مع فرض عدم ا</w:t>
      </w:r>
      <w:r w:rsidRPr="00F27422">
        <w:rPr>
          <w:rFonts w:ascii="mylotus" w:hAnsi="mylotus" w:hint="cs"/>
          <w:sz w:val="32"/>
          <w:rtl/>
        </w:rPr>
        <w:t>ِ</w:t>
      </w:r>
      <w:r w:rsidRPr="00F27422">
        <w:rPr>
          <w:rFonts w:ascii="mylotus" w:hAnsi="mylotus"/>
          <w:sz w:val="32"/>
          <w:rtl/>
        </w:rPr>
        <w:t>نصرافه عنه عند الإطلاق، وبالتالي فإن</w:t>
      </w:r>
      <w:r w:rsidRPr="00F27422">
        <w:rPr>
          <w:rFonts w:ascii="mylotus" w:hAnsi="mylotus" w:hint="cs"/>
          <w:sz w:val="32"/>
          <w:rtl/>
        </w:rPr>
        <w:t>ّ</w:t>
      </w:r>
      <w:r w:rsidRPr="00F27422">
        <w:rPr>
          <w:rFonts w:ascii="mylotus" w:hAnsi="mylotus"/>
          <w:sz w:val="32"/>
          <w:rtl/>
        </w:rPr>
        <w:t xml:space="preserve"> السؤال عن الجامع وإنْ كان سؤالاً عن الحيثية المشتركة بين المصاديق الشاملة للمصداق المتميز، ولكن العمدة في الجواب الصادر عن الإمام (عليه السلام)؛ فإنّه لو كان للمصداق المتميز أثرٌ خاص لزومي مختلف عن أثر الجامع فمقتضى كون المولى في مقام بيان الوظيفة الفعلية هو التنبيه، وهو أنّ ما ذكر إنّما هو جوابٌ عن الجامع، أي: الحيثية المشتركة بين الأفراد، وأمّا المصداق الكذائي فإنّ له أثراً آخر؛ إذ محلّ البحث ما إذا احتمل أن</w:t>
      </w:r>
      <w:r w:rsidRPr="00F27422">
        <w:rPr>
          <w:rFonts w:ascii="mylotus" w:hAnsi="mylotus" w:hint="cs"/>
          <w:sz w:val="32"/>
          <w:rtl/>
        </w:rPr>
        <w:t>ّ</w:t>
      </w:r>
      <w:r w:rsidRPr="00F27422">
        <w:rPr>
          <w:rFonts w:ascii="mylotus" w:hAnsi="mylotus"/>
          <w:sz w:val="32"/>
          <w:rtl/>
        </w:rPr>
        <w:t xml:space="preserve"> للمصداق أثرا</w:t>
      </w:r>
      <w:r w:rsidRPr="00F27422">
        <w:rPr>
          <w:rFonts w:ascii="mylotus" w:hAnsi="mylotus" w:hint="cs"/>
          <w:sz w:val="32"/>
          <w:rtl/>
        </w:rPr>
        <w:t>ً</w:t>
      </w:r>
      <w:r w:rsidRPr="00F27422">
        <w:rPr>
          <w:rFonts w:ascii="mylotus" w:hAnsi="mylotus"/>
          <w:sz w:val="32"/>
          <w:rtl/>
        </w:rPr>
        <w:t xml:space="preserve"> لزوميا</w:t>
      </w:r>
      <w:r w:rsidRPr="00F27422">
        <w:rPr>
          <w:rFonts w:ascii="mylotus" w:hAnsi="mylotus" w:hint="cs"/>
          <w:sz w:val="32"/>
          <w:rtl/>
        </w:rPr>
        <w:t>ً</w:t>
      </w:r>
      <w:r w:rsidRPr="00F27422">
        <w:rPr>
          <w:rFonts w:ascii="mylotus" w:hAnsi="mylotus"/>
          <w:sz w:val="32"/>
          <w:rtl/>
        </w:rPr>
        <w:t xml:space="preserve"> كما في محلّ الكلام </w:t>
      </w:r>
      <w:r w:rsidRPr="00F27422">
        <w:rPr>
          <w:rFonts w:ascii="mylotus" w:hAnsi="mylotus" w:hint="cs"/>
          <w:sz w:val="32"/>
          <w:rtl/>
        </w:rPr>
        <w:t xml:space="preserve">وهو </w:t>
      </w:r>
      <w:r w:rsidRPr="00F27422">
        <w:rPr>
          <w:rFonts w:ascii="mylotus" w:hAnsi="mylotus"/>
          <w:b/>
          <w:bCs/>
          <w:sz w:val="32"/>
          <w:rtl/>
        </w:rPr>
        <w:t>"أنّ عقد التزويج إذا صدر م</w:t>
      </w:r>
      <w:r w:rsidRPr="00F27422">
        <w:rPr>
          <w:rFonts w:ascii="mylotus" w:hAnsi="mylotus" w:hint="cs"/>
          <w:b/>
          <w:bCs/>
          <w:sz w:val="32"/>
          <w:rtl/>
        </w:rPr>
        <w:t>ِ</w:t>
      </w:r>
      <w:r w:rsidRPr="00F27422">
        <w:rPr>
          <w:rFonts w:ascii="mylotus" w:hAnsi="mylotus"/>
          <w:b/>
          <w:bCs/>
          <w:sz w:val="32"/>
          <w:rtl/>
        </w:rPr>
        <w:t>ن الأبوين كان عقداً لازماً لا خيار فيه"</w:t>
      </w:r>
      <w:r w:rsidRPr="00F27422">
        <w:rPr>
          <w:rFonts w:ascii="mylotus" w:hAnsi="mylotus"/>
          <w:sz w:val="32"/>
          <w:rtl/>
        </w:rPr>
        <w:t>، فعدم الإشارة إليه منشأ عرفاً لدلالة الإطلاق على ثبوت الحكم في الجواب حتى للمصداق الخاص</w:t>
      </w:r>
      <w:r w:rsidRPr="00F27422">
        <w:rPr>
          <w:rFonts w:ascii="mylotus" w:hAnsi="mylotus"/>
          <w:sz w:val="32"/>
        </w:rPr>
        <w:t>.</w:t>
      </w:r>
    </w:p>
    <w:p w14:paraId="73F8A1F1"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فلو فُرض أنّ سؤالاً توجه نحو عنوان "</w:t>
      </w:r>
      <w:r w:rsidRPr="00F27422">
        <w:rPr>
          <w:rFonts w:ascii="mylotus" w:hAnsi="mylotus" w:hint="cs"/>
          <w:sz w:val="32"/>
          <w:rtl/>
        </w:rPr>
        <w:t>الفقيه</w:t>
      </w:r>
      <w:r w:rsidRPr="00F27422">
        <w:rPr>
          <w:rFonts w:ascii="mylotus" w:hAnsi="mylotus"/>
          <w:sz w:val="32"/>
          <w:rtl/>
        </w:rPr>
        <w:t xml:space="preserve">" </w:t>
      </w:r>
      <w:r w:rsidRPr="00F27422">
        <w:rPr>
          <w:rFonts w:ascii="mylotus" w:hAnsi="mylotus" w:hint="cs"/>
          <w:sz w:val="32"/>
          <w:rtl/>
        </w:rPr>
        <w:t>بأنْ</w:t>
      </w:r>
      <w:r w:rsidRPr="00F27422">
        <w:rPr>
          <w:rFonts w:ascii="mylotus" w:hAnsi="mylotus"/>
          <w:sz w:val="32"/>
          <w:rtl/>
        </w:rPr>
        <w:t xml:space="preserve"> </w:t>
      </w:r>
      <w:r w:rsidRPr="00F27422">
        <w:rPr>
          <w:rFonts w:ascii="mylotus" w:hAnsi="mylotus" w:hint="cs"/>
          <w:sz w:val="32"/>
          <w:rtl/>
        </w:rPr>
        <w:t>قال</w:t>
      </w:r>
      <w:r w:rsidRPr="00F27422">
        <w:rPr>
          <w:rFonts w:ascii="mylotus" w:hAnsi="mylotus"/>
          <w:sz w:val="32"/>
          <w:rtl/>
        </w:rPr>
        <w:t xml:space="preserve"> </w:t>
      </w:r>
      <w:r w:rsidRPr="00F27422">
        <w:rPr>
          <w:rFonts w:ascii="mylotus" w:hAnsi="mylotus" w:hint="cs"/>
          <w:sz w:val="32"/>
          <w:rtl/>
        </w:rPr>
        <w:t>المستفتي</w:t>
      </w:r>
      <w:r w:rsidRPr="00F27422">
        <w:rPr>
          <w:rFonts w:ascii="mylotus" w:hAnsi="mylotus"/>
          <w:sz w:val="32"/>
          <w:rtl/>
        </w:rPr>
        <w:t>: "</w:t>
      </w:r>
      <w:r w:rsidRPr="00F27422">
        <w:rPr>
          <w:rFonts w:ascii="mylotus" w:hAnsi="mylotus" w:hint="cs"/>
          <w:sz w:val="32"/>
          <w:rtl/>
        </w:rPr>
        <w:t>هل</w:t>
      </w:r>
      <w:r w:rsidRPr="00F27422">
        <w:rPr>
          <w:rFonts w:ascii="mylotus" w:hAnsi="mylotus"/>
          <w:sz w:val="32"/>
          <w:rtl/>
        </w:rPr>
        <w:t xml:space="preserve"> </w:t>
      </w:r>
      <w:r w:rsidRPr="00F27422">
        <w:rPr>
          <w:rFonts w:ascii="mylotus" w:hAnsi="mylotus" w:hint="cs"/>
          <w:sz w:val="32"/>
          <w:rtl/>
        </w:rPr>
        <w:t>ألتزمُ</w:t>
      </w:r>
      <w:r w:rsidRPr="00F27422">
        <w:rPr>
          <w:rFonts w:ascii="mylotus" w:hAnsi="mylotus"/>
          <w:sz w:val="32"/>
          <w:rtl/>
        </w:rPr>
        <w:t xml:space="preserve"> </w:t>
      </w:r>
      <w:r w:rsidRPr="00F27422">
        <w:rPr>
          <w:rFonts w:ascii="mylotus" w:hAnsi="mylotus" w:hint="cs"/>
          <w:sz w:val="32"/>
          <w:rtl/>
        </w:rPr>
        <w:t>بما</w:t>
      </w:r>
      <w:r w:rsidRPr="00F27422">
        <w:rPr>
          <w:rFonts w:ascii="mylotus" w:hAnsi="mylotus"/>
          <w:sz w:val="32"/>
          <w:rtl/>
        </w:rPr>
        <w:t xml:space="preserve"> </w:t>
      </w:r>
      <w:r w:rsidRPr="00F27422">
        <w:rPr>
          <w:rFonts w:ascii="mylotus" w:hAnsi="mylotus" w:hint="cs"/>
          <w:sz w:val="32"/>
          <w:rtl/>
        </w:rPr>
        <w:t>يصدر</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الفقيه</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أوامر؟</w:t>
      </w:r>
      <w:r w:rsidRPr="00F27422">
        <w:rPr>
          <w:rFonts w:ascii="mylotus" w:hAnsi="mylotus"/>
          <w:sz w:val="32"/>
          <w:rtl/>
        </w:rPr>
        <w:t xml:space="preserve">" </w:t>
      </w:r>
      <w:r w:rsidRPr="00F27422">
        <w:rPr>
          <w:rFonts w:ascii="mylotus" w:hAnsi="mylotus" w:hint="cs"/>
          <w:sz w:val="32"/>
          <w:rtl/>
        </w:rPr>
        <w:t>وكان</w:t>
      </w:r>
      <w:r w:rsidRPr="00F27422">
        <w:rPr>
          <w:rFonts w:ascii="mylotus" w:hAnsi="mylotus"/>
          <w:sz w:val="32"/>
          <w:rtl/>
        </w:rPr>
        <w:t xml:space="preserve"> </w:t>
      </w:r>
      <w:r w:rsidRPr="00F27422">
        <w:rPr>
          <w:rFonts w:ascii="mylotus" w:hAnsi="mylotus" w:hint="cs"/>
          <w:sz w:val="32"/>
          <w:rtl/>
        </w:rPr>
        <w:t>لبعض</w:t>
      </w:r>
      <w:r w:rsidRPr="00F27422">
        <w:rPr>
          <w:rFonts w:ascii="mylotus" w:hAnsi="mylotus"/>
          <w:sz w:val="32"/>
          <w:rtl/>
        </w:rPr>
        <w:t xml:space="preserve"> </w:t>
      </w:r>
      <w:r w:rsidRPr="00F27422">
        <w:rPr>
          <w:rFonts w:ascii="mylotus" w:hAnsi="mylotus" w:hint="cs"/>
          <w:sz w:val="32"/>
          <w:rtl/>
        </w:rPr>
        <w:t>مصاديق</w:t>
      </w:r>
      <w:r w:rsidRPr="00F27422">
        <w:rPr>
          <w:rFonts w:ascii="mylotus" w:hAnsi="mylotus"/>
          <w:sz w:val="32"/>
          <w:rtl/>
        </w:rPr>
        <w:t xml:space="preserve"> "</w:t>
      </w:r>
      <w:r w:rsidRPr="00F27422">
        <w:rPr>
          <w:rFonts w:ascii="mylotus" w:hAnsi="mylotus" w:hint="cs"/>
          <w:sz w:val="32"/>
          <w:rtl/>
        </w:rPr>
        <w:t>الفقيه</w:t>
      </w:r>
      <w:r w:rsidRPr="00F27422">
        <w:rPr>
          <w:rFonts w:ascii="mylotus" w:hAnsi="mylotus"/>
          <w:sz w:val="32"/>
          <w:rtl/>
        </w:rPr>
        <w:t xml:space="preserve">" </w:t>
      </w:r>
      <w:r w:rsidRPr="00F27422">
        <w:rPr>
          <w:rFonts w:ascii="mylotus" w:hAnsi="mylotus" w:hint="cs"/>
          <w:sz w:val="32"/>
          <w:rtl/>
        </w:rPr>
        <w:t>أثرٌ</w:t>
      </w:r>
      <w:r w:rsidRPr="00F27422">
        <w:rPr>
          <w:rFonts w:ascii="mylotus" w:hAnsi="mylotus"/>
          <w:sz w:val="32"/>
          <w:rtl/>
        </w:rPr>
        <w:t xml:space="preserve"> </w:t>
      </w:r>
      <w:r w:rsidRPr="00F27422">
        <w:rPr>
          <w:rFonts w:ascii="mylotus" w:hAnsi="mylotus" w:hint="cs"/>
          <w:sz w:val="32"/>
          <w:rtl/>
        </w:rPr>
        <w:t>متميزٌ</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بعض</w:t>
      </w:r>
      <w:r w:rsidRPr="00F27422">
        <w:rPr>
          <w:rFonts w:ascii="mylotus" w:hAnsi="mylotus"/>
          <w:sz w:val="32"/>
          <w:rtl/>
        </w:rPr>
        <w:t xml:space="preserve"> </w:t>
      </w:r>
      <w:r w:rsidRPr="00F27422">
        <w:rPr>
          <w:rFonts w:ascii="mylotus" w:hAnsi="mylotus" w:hint="cs"/>
          <w:sz w:val="32"/>
          <w:rtl/>
        </w:rPr>
        <w:t>مصاديق</w:t>
      </w:r>
      <w:r w:rsidRPr="00F27422">
        <w:rPr>
          <w:rFonts w:ascii="mylotus" w:hAnsi="mylotus"/>
          <w:sz w:val="32"/>
          <w:rtl/>
        </w:rPr>
        <w:t xml:space="preserve"> "</w:t>
      </w:r>
      <w:r w:rsidRPr="00F27422">
        <w:rPr>
          <w:rFonts w:ascii="mylotus" w:hAnsi="mylotus" w:hint="cs"/>
          <w:sz w:val="32"/>
          <w:rtl/>
        </w:rPr>
        <w:t>الفقيه</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المرجعُ</w:t>
      </w:r>
      <w:r w:rsidRPr="00F27422">
        <w:rPr>
          <w:rFonts w:ascii="mylotus" w:hAnsi="mylotus"/>
          <w:sz w:val="32"/>
          <w:rtl/>
        </w:rPr>
        <w:t xml:space="preserve"> </w:t>
      </w:r>
      <w:r w:rsidRPr="00F27422">
        <w:rPr>
          <w:rFonts w:ascii="mylotus" w:hAnsi="mylotus" w:hint="cs"/>
          <w:sz w:val="32"/>
          <w:rtl/>
        </w:rPr>
        <w:t>الأعلى</w:t>
      </w:r>
      <w:r w:rsidRPr="00F27422">
        <w:rPr>
          <w:rFonts w:ascii="mylotus" w:hAnsi="mylotus"/>
          <w:sz w:val="32"/>
          <w:rtl/>
        </w:rPr>
        <w:t xml:space="preserve"> </w:t>
      </w:r>
      <w:r w:rsidRPr="00F27422">
        <w:rPr>
          <w:rFonts w:ascii="mylotus" w:hAnsi="mylotus" w:hint="cs"/>
          <w:sz w:val="32"/>
          <w:rtl/>
        </w:rPr>
        <w:t>الذي</w:t>
      </w:r>
      <w:r w:rsidRPr="00F27422">
        <w:rPr>
          <w:rFonts w:ascii="mylotus" w:hAnsi="mylotus"/>
          <w:sz w:val="32"/>
          <w:rtl/>
        </w:rPr>
        <w:t xml:space="preserve"> </w:t>
      </w:r>
      <w:r w:rsidRPr="00F27422">
        <w:rPr>
          <w:rFonts w:ascii="mylotus" w:hAnsi="mylotus" w:hint="cs"/>
          <w:sz w:val="32"/>
          <w:rtl/>
        </w:rPr>
        <w:t>له</w:t>
      </w:r>
      <w:r w:rsidRPr="00F27422">
        <w:rPr>
          <w:rFonts w:ascii="mylotus" w:hAnsi="mylotus"/>
          <w:sz w:val="32"/>
          <w:rtl/>
        </w:rPr>
        <w:t xml:space="preserve"> </w:t>
      </w:r>
      <w:r w:rsidRPr="00F27422">
        <w:rPr>
          <w:rFonts w:ascii="mylotus" w:hAnsi="mylotus" w:hint="cs"/>
          <w:sz w:val="32"/>
          <w:rtl/>
        </w:rPr>
        <w:t>نحو</w:t>
      </w:r>
      <w:r w:rsidRPr="00F27422">
        <w:rPr>
          <w:rFonts w:ascii="mylotus" w:hAnsi="mylotus"/>
          <w:sz w:val="32"/>
          <w:rtl/>
        </w:rPr>
        <w:t xml:space="preserve"> </w:t>
      </w:r>
      <w:r w:rsidRPr="00F27422">
        <w:rPr>
          <w:rFonts w:ascii="mylotus" w:hAnsi="mylotus" w:hint="cs"/>
          <w:sz w:val="32"/>
          <w:rtl/>
        </w:rPr>
        <w:t>قيادةٍ</w:t>
      </w:r>
      <w:r w:rsidRPr="00F27422">
        <w:rPr>
          <w:rFonts w:ascii="mylotus" w:hAnsi="mylotus"/>
          <w:sz w:val="32"/>
          <w:rtl/>
        </w:rPr>
        <w:t xml:space="preserve"> </w:t>
      </w:r>
      <w:r w:rsidRPr="00F27422">
        <w:rPr>
          <w:rFonts w:ascii="mylotus" w:hAnsi="mylotus" w:hint="cs"/>
          <w:sz w:val="32"/>
          <w:rtl/>
        </w:rPr>
        <w:t>لأُمور</w:t>
      </w:r>
      <w:r w:rsidRPr="00F27422">
        <w:rPr>
          <w:rFonts w:ascii="mylotus" w:hAnsi="mylotus"/>
          <w:sz w:val="32"/>
          <w:rtl/>
        </w:rPr>
        <w:t xml:space="preserve"> </w:t>
      </w:r>
      <w:r w:rsidRPr="00F27422">
        <w:rPr>
          <w:rFonts w:ascii="mylotus" w:hAnsi="mylotus" w:hint="cs"/>
          <w:sz w:val="32"/>
          <w:rtl/>
        </w:rPr>
        <w:t>الشيعة</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العالم</w:t>
      </w:r>
      <w:r w:rsidRPr="00F27422">
        <w:rPr>
          <w:rFonts w:ascii="mylotus" w:hAnsi="mylotus"/>
          <w:sz w:val="32"/>
          <w:rtl/>
        </w:rPr>
        <w:t xml:space="preserve">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مثلاً</w:t>
      </w:r>
      <w:r w:rsidRPr="00F27422">
        <w:rPr>
          <w:rFonts w:ascii="mylotus" w:hAnsi="mylotus"/>
          <w:sz w:val="32"/>
          <w:rtl/>
        </w:rPr>
        <w:t xml:space="preserve"> - </w:t>
      </w:r>
      <w:r w:rsidRPr="00F27422">
        <w:rPr>
          <w:rFonts w:ascii="mylotus" w:hAnsi="mylotus" w:hint="cs"/>
          <w:sz w:val="32"/>
          <w:rtl/>
        </w:rPr>
        <w:t>فمقتضى</w:t>
      </w:r>
      <w:r w:rsidRPr="00F27422">
        <w:rPr>
          <w:rFonts w:ascii="mylotus" w:hAnsi="mylotus"/>
          <w:sz w:val="32"/>
          <w:rtl/>
        </w:rPr>
        <w:t xml:space="preserve"> </w:t>
      </w:r>
      <w:r w:rsidRPr="00F27422">
        <w:rPr>
          <w:rFonts w:ascii="mylotus" w:hAnsi="mylotus" w:hint="cs"/>
          <w:sz w:val="32"/>
          <w:rtl/>
        </w:rPr>
        <w:t>كون</w:t>
      </w:r>
      <w:r w:rsidRPr="00F27422">
        <w:rPr>
          <w:rFonts w:ascii="mylotus" w:hAnsi="mylotus"/>
          <w:sz w:val="32"/>
          <w:rtl/>
        </w:rPr>
        <w:t xml:space="preserve"> </w:t>
      </w:r>
      <w:r w:rsidRPr="00F27422">
        <w:rPr>
          <w:rFonts w:ascii="mylotus" w:hAnsi="mylotus" w:hint="cs"/>
          <w:sz w:val="32"/>
          <w:rtl/>
        </w:rPr>
        <w:t>الجواب</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مقام</w:t>
      </w:r>
      <w:r w:rsidRPr="00F27422">
        <w:rPr>
          <w:rFonts w:ascii="mylotus" w:hAnsi="mylotus"/>
          <w:sz w:val="32"/>
          <w:rtl/>
        </w:rPr>
        <w:t xml:space="preserve"> </w:t>
      </w:r>
      <w:r w:rsidRPr="00F27422">
        <w:rPr>
          <w:rFonts w:ascii="mylotus" w:hAnsi="mylotus" w:hint="cs"/>
          <w:sz w:val="32"/>
          <w:rtl/>
        </w:rPr>
        <w:t>بيان</w:t>
      </w:r>
      <w:r w:rsidRPr="00F27422">
        <w:rPr>
          <w:rFonts w:ascii="mylotus" w:hAnsi="mylotus"/>
          <w:sz w:val="32"/>
          <w:rtl/>
        </w:rPr>
        <w:t xml:space="preserve"> </w:t>
      </w:r>
      <w:r w:rsidRPr="00F27422">
        <w:rPr>
          <w:rFonts w:ascii="mylotus" w:hAnsi="mylotus" w:hint="cs"/>
          <w:sz w:val="32"/>
          <w:rtl/>
        </w:rPr>
        <w:t>الوظيفة</w:t>
      </w:r>
      <w:r w:rsidRPr="00F27422">
        <w:rPr>
          <w:rFonts w:ascii="mylotus" w:hAnsi="mylotus"/>
          <w:sz w:val="32"/>
          <w:rtl/>
        </w:rPr>
        <w:t xml:space="preserve"> </w:t>
      </w:r>
      <w:r w:rsidRPr="00F27422">
        <w:rPr>
          <w:rFonts w:ascii="mylotus" w:hAnsi="mylotus" w:hint="cs"/>
          <w:sz w:val="32"/>
          <w:rtl/>
        </w:rPr>
        <w:t>الفعلية</w:t>
      </w:r>
      <w:r w:rsidRPr="00F27422">
        <w:rPr>
          <w:rFonts w:ascii="mylotus" w:hAnsi="mylotus"/>
          <w:sz w:val="32"/>
          <w:rtl/>
        </w:rPr>
        <w:t xml:space="preserve"> </w:t>
      </w:r>
      <w:r w:rsidRPr="00F27422">
        <w:rPr>
          <w:rFonts w:ascii="mylotus" w:hAnsi="mylotus" w:hint="cs"/>
          <w:sz w:val="32"/>
          <w:rtl/>
        </w:rPr>
        <w:t>الإشارة</w:t>
      </w:r>
      <w:r w:rsidRPr="00F27422">
        <w:rPr>
          <w:rFonts w:ascii="mylotus" w:hAnsi="mylotus"/>
          <w:sz w:val="32"/>
          <w:rtl/>
        </w:rPr>
        <w:t xml:space="preserve"> </w:t>
      </w:r>
      <w:r w:rsidRPr="00F27422">
        <w:rPr>
          <w:rFonts w:ascii="mylotus" w:hAnsi="mylotus" w:hint="cs"/>
          <w:sz w:val="32"/>
          <w:rtl/>
        </w:rPr>
        <w:t>إلى</w:t>
      </w:r>
      <w:r w:rsidRPr="00F27422">
        <w:rPr>
          <w:rFonts w:ascii="mylotus" w:hAnsi="mylotus"/>
          <w:sz w:val="32"/>
          <w:rtl/>
        </w:rPr>
        <w:t xml:space="preserve"> </w:t>
      </w:r>
      <w:r w:rsidRPr="00F27422">
        <w:rPr>
          <w:rFonts w:ascii="mylotus" w:hAnsi="mylotus" w:hint="cs"/>
          <w:sz w:val="32"/>
          <w:rtl/>
        </w:rPr>
        <w:t>ذلك</w:t>
      </w:r>
      <w:r w:rsidRPr="00F27422">
        <w:rPr>
          <w:rFonts w:ascii="mylotus" w:hAnsi="mylotus"/>
          <w:sz w:val="32"/>
          <w:rtl/>
        </w:rPr>
        <w:t xml:space="preserve"> </w:t>
      </w:r>
      <w:r w:rsidRPr="00F27422">
        <w:rPr>
          <w:rFonts w:ascii="mylotus" w:hAnsi="mylotus" w:hint="cs"/>
          <w:sz w:val="32"/>
          <w:rtl/>
        </w:rPr>
        <w:t>الأثر</w:t>
      </w:r>
      <w:r w:rsidRPr="00F27422">
        <w:rPr>
          <w:rFonts w:ascii="mylotus" w:hAnsi="mylotus"/>
          <w:sz w:val="32"/>
          <w:rtl/>
        </w:rPr>
        <w:t xml:space="preserve"> </w:t>
      </w:r>
      <w:r w:rsidRPr="00F27422">
        <w:rPr>
          <w:rFonts w:ascii="mylotus" w:hAnsi="mylotus" w:hint="cs"/>
          <w:sz w:val="32"/>
          <w:rtl/>
        </w:rPr>
        <w:t>اللزومي</w:t>
      </w:r>
      <w:r w:rsidRPr="00F27422">
        <w:rPr>
          <w:rFonts w:ascii="mylotus" w:hAnsi="mylotus"/>
          <w:sz w:val="32"/>
          <w:rtl/>
        </w:rPr>
        <w:t xml:space="preserve"> </w:t>
      </w:r>
      <w:r w:rsidRPr="00F27422">
        <w:rPr>
          <w:rFonts w:ascii="mylotus" w:hAnsi="mylotus" w:hint="cs"/>
          <w:sz w:val="32"/>
          <w:rtl/>
        </w:rPr>
        <w:t>المتميز،</w:t>
      </w:r>
      <w:r w:rsidRPr="00F27422">
        <w:rPr>
          <w:rFonts w:ascii="mylotus" w:hAnsi="mylotus"/>
          <w:sz w:val="32"/>
          <w:rtl/>
        </w:rPr>
        <w:t xml:space="preserve"> </w:t>
      </w:r>
      <w:r w:rsidRPr="00F27422">
        <w:rPr>
          <w:rFonts w:ascii="mylotus" w:hAnsi="mylotus" w:hint="cs"/>
          <w:sz w:val="32"/>
          <w:rtl/>
        </w:rPr>
        <w:t>وعدمُ</w:t>
      </w:r>
      <w:r w:rsidRPr="00F27422">
        <w:rPr>
          <w:rFonts w:ascii="mylotus" w:hAnsi="mylotus"/>
          <w:sz w:val="32"/>
          <w:rtl/>
        </w:rPr>
        <w:t xml:space="preserve"> </w:t>
      </w:r>
      <w:r w:rsidRPr="00F27422">
        <w:rPr>
          <w:rFonts w:ascii="mylotus" w:hAnsi="mylotus" w:hint="cs"/>
          <w:sz w:val="32"/>
          <w:rtl/>
        </w:rPr>
        <w:t>البيان</w:t>
      </w:r>
      <w:r w:rsidRPr="00F27422">
        <w:rPr>
          <w:rFonts w:ascii="mylotus" w:hAnsi="mylotus"/>
          <w:sz w:val="32"/>
          <w:rtl/>
        </w:rPr>
        <w:t xml:space="preserve"> </w:t>
      </w:r>
      <w:r w:rsidRPr="00F27422">
        <w:rPr>
          <w:rFonts w:ascii="mylotus" w:hAnsi="mylotus" w:hint="cs"/>
          <w:sz w:val="32"/>
          <w:rtl/>
        </w:rPr>
        <w:t>محقّقٌ</w:t>
      </w:r>
      <w:r w:rsidRPr="00F27422">
        <w:rPr>
          <w:rFonts w:ascii="mylotus" w:hAnsi="mylotus"/>
          <w:sz w:val="32"/>
          <w:rtl/>
        </w:rPr>
        <w:t xml:space="preserve"> </w:t>
      </w:r>
      <w:r w:rsidRPr="00F27422">
        <w:rPr>
          <w:rFonts w:ascii="mylotus" w:hAnsi="mylotus" w:hint="cs"/>
          <w:sz w:val="32"/>
          <w:rtl/>
        </w:rPr>
        <w:t>لإطلاق</w:t>
      </w:r>
      <w:r w:rsidRPr="00F27422">
        <w:rPr>
          <w:rFonts w:ascii="mylotus" w:hAnsi="mylotus"/>
          <w:sz w:val="32"/>
          <w:rtl/>
        </w:rPr>
        <w:t xml:space="preserve"> </w:t>
      </w:r>
      <w:r w:rsidRPr="00F27422">
        <w:rPr>
          <w:rFonts w:ascii="mylotus" w:hAnsi="mylotus" w:hint="cs"/>
          <w:sz w:val="32"/>
          <w:rtl/>
        </w:rPr>
        <w:t>الجواب</w:t>
      </w:r>
      <w:r w:rsidRPr="00F27422">
        <w:rPr>
          <w:rFonts w:ascii="mylotus" w:hAnsi="mylotus"/>
          <w:sz w:val="32"/>
          <w:rtl/>
        </w:rPr>
        <w:t xml:space="preserve"> </w:t>
      </w:r>
      <w:r w:rsidRPr="00F27422">
        <w:rPr>
          <w:rFonts w:ascii="mylotus" w:hAnsi="mylotus" w:hint="cs"/>
          <w:sz w:val="32"/>
          <w:rtl/>
        </w:rPr>
        <w:t>بما</w:t>
      </w:r>
      <w:r w:rsidRPr="00F27422">
        <w:rPr>
          <w:rFonts w:ascii="mylotus" w:hAnsi="mylotus"/>
          <w:sz w:val="32"/>
          <w:rtl/>
        </w:rPr>
        <w:t xml:space="preserve"> </w:t>
      </w:r>
      <w:r w:rsidRPr="00F27422">
        <w:rPr>
          <w:rFonts w:ascii="mylotus" w:hAnsi="mylotus" w:hint="cs"/>
          <w:sz w:val="32"/>
          <w:rtl/>
        </w:rPr>
        <w:t>يشمل</w:t>
      </w:r>
      <w:r w:rsidRPr="00F27422">
        <w:rPr>
          <w:rFonts w:ascii="mylotus" w:hAnsi="mylotus"/>
          <w:sz w:val="32"/>
          <w:rtl/>
        </w:rPr>
        <w:t xml:space="preserve"> </w:t>
      </w:r>
      <w:r w:rsidRPr="00F27422">
        <w:rPr>
          <w:rFonts w:ascii="mylotus" w:hAnsi="mylotus" w:hint="cs"/>
          <w:sz w:val="32"/>
          <w:rtl/>
        </w:rPr>
        <w:t>المصداق</w:t>
      </w:r>
      <w:r w:rsidRPr="00F27422">
        <w:rPr>
          <w:rFonts w:ascii="mylotus" w:hAnsi="mylotus"/>
          <w:sz w:val="32"/>
          <w:rtl/>
        </w:rPr>
        <w:t xml:space="preserve"> </w:t>
      </w:r>
      <w:r w:rsidRPr="00F27422">
        <w:rPr>
          <w:rFonts w:ascii="mylotus" w:hAnsi="mylotus" w:hint="cs"/>
          <w:sz w:val="32"/>
          <w:rtl/>
        </w:rPr>
        <w:t>المتميز</w:t>
      </w:r>
      <w:r w:rsidRPr="00F27422">
        <w:rPr>
          <w:rFonts w:ascii="mylotus" w:hAnsi="mylotus"/>
          <w:sz w:val="32"/>
        </w:rPr>
        <w:t>.</w:t>
      </w:r>
    </w:p>
    <w:p w14:paraId="2469925D"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وفي المقام كذلك؛</w:t>
      </w:r>
      <w:r w:rsidRPr="00F27422">
        <w:rPr>
          <w:rFonts w:ascii="mylotus" w:hAnsi="mylotus"/>
          <w:sz w:val="32"/>
          <w:rtl/>
        </w:rPr>
        <w:t xml:space="preserve"> إذ لولا الاستثناء في الذيل بأنْ نبه (عليه السلام) على اختلاف تزويج الأب عن سائر الأولياء لشمله إطلاق صدر الرواية: </w:t>
      </w:r>
      <w:r w:rsidRPr="00F27422">
        <w:rPr>
          <w:rFonts w:ascii="mylotus" w:hAnsi="mylotus"/>
          <w:b/>
          <w:bCs/>
          <w:sz w:val="32"/>
          <w:rtl/>
        </w:rPr>
        <w:t>(عَنْ غُلَامٍ وَجَارِيَةٍ زَوَّجَهُمَا وَلِيَّانِ لَهُمَا)</w:t>
      </w:r>
      <w:r w:rsidRPr="00F27422">
        <w:rPr>
          <w:rFonts w:ascii="mylotus" w:hAnsi="mylotus" w:hint="cs"/>
          <w:sz w:val="32"/>
          <w:rtl/>
        </w:rPr>
        <w:t>؛</w:t>
      </w:r>
      <w:r w:rsidRPr="00F27422">
        <w:rPr>
          <w:rFonts w:ascii="mylotus" w:hAnsi="mylotus"/>
          <w:sz w:val="32"/>
          <w:rtl/>
        </w:rPr>
        <w:t xml:space="preserve"> إذ ظاهر الوليين الوليان الشرعيان الشامل للأب والجد</w:t>
      </w:r>
      <w:r w:rsidRPr="00F27422">
        <w:rPr>
          <w:rFonts w:ascii="mylotus" w:hAnsi="mylotus"/>
          <w:sz w:val="32"/>
        </w:rPr>
        <w:t>.</w:t>
      </w:r>
    </w:p>
    <w:p w14:paraId="0120BE59"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hint="cs"/>
          <w:b/>
          <w:bCs/>
          <w:sz w:val="32"/>
          <w:rtl/>
        </w:rPr>
        <w:t xml:space="preserve">الثانية: </w:t>
      </w:r>
      <w:r w:rsidRPr="00F27422">
        <w:rPr>
          <w:rFonts w:ascii="mylotus" w:hAnsi="mylotus"/>
          <w:b/>
          <w:bCs/>
          <w:sz w:val="32"/>
          <w:rtl/>
        </w:rPr>
        <w:t>نكتة</w:t>
      </w:r>
      <w:r w:rsidRPr="00F27422">
        <w:rPr>
          <w:rFonts w:ascii="mylotus" w:hAnsi="mylotus" w:hint="cs"/>
          <w:b/>
          <w:bCs/>
          <w:sz w:val="32"/>
          <w:rtl/>
        </w:rPr>
        <w:t>ٌ</w:t>
      </w:r>
      <w:r w:rsidRPr="00F27422">
        <w:rPr>
          <w:rFonts w:ascii="mylotus" w:hAnsi="mylotus"/>
          <w:b/>
          <w:bCs/>
          <w:sz w:val="32"/>
          <w:rtl/>
        </w:rPr>
        <w:t xml:space="preserve"> لفظية</w:t>
      </w:r>
      <w:r w:rsidRPr="00F27422">
        <w:rPr>
          <w:rFonts w:ascii="mylotus" w:hAnsi="mylotus" w:hint="cs"/>
          <w:b/>
          <w:bCs/>
          <w:sz w:val="32"/>
          <w:rtl/>
        </w:rPr>
        <w:t>:</w:t>
      </w:r>
      <w:r w:rsidRPr="00F27422">
        <w:rPr>
          <w:rFonts w:ascii="mylotus" w:hAnsi="mylotus" w:hint="cs"/>
          <w:sz w:val="32"/>
          <w:rtl/>
        </w:rPr>
        <w:t xml:space="preserve"> </w:t>
      </w:r>
      <w:r w:rsidRPr="00F27422">
        <w:rPr>
          <w:rFonts w:ascii="mylotus" w:hAnsi="mylotus"/>
          <w:sz w:val="32"/>
          <w:rtl/>
        </w:rPr>
        <w:t>وهي ا</w:t>
      </w:r>
      <w:r w:rsidRPr="00F27422">
        <w:rPr>
          <w:rFonts w:ascii="mylotus" w:hAnsi="mylotus" w:hint="cs"/>
          <w:sz w:val="32"/>
          <w:rtl/>
        </w:rPr>
        <w:t>ِ</w:t>
      </w:r>
      <w:r w:rsidRPr="00F27422">
        <w:rPr>
          <w:rFonts w:ascii="mylotus" w:hAnsi="mylotus"/>
          <w:sz w:val="32"/>
          <w:rtl/>
        </w:rPr>
        <w:t>نصراف عنوان الجامع عن المصداق الخاص</w:t>
      </w:r>
      <w:r w:rsidRPr="00F27422">
        <w:rPr>
          <w:rFonts w:ascii="mylotus" w:hAnsi="mylotus" w:hint="cs"/>
          <w:sz w:val="32"/>
          <w:rtl/>
        </w:rPr>
        <w:t>.</w:t>
      </w:r>
    </w:p>
    <w:p w14:paraId="60331786"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وفيه:</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السؤال عن الجامع إنّما ينصرف عرفاً لغير المصداق المتميز لو كثُر استعمال لفظ الجامع في غير المصداق، كما إذا قال: "صِلِّ الرحم" حيث كثُر استعمال "الرحم" في غير الأبوين، أو قال: "صِلِّ القريب" حيث كثُر استعمال القريب في غير الأبوين، فلو كثر استعمال العنوان في غير المصداق المتميز لكان منشأ الا</w:t>
      </w:r>
      <w:r w:rsidRPr="00F27422">
        <w:rPr>
          <w:rFonts w:ascii="mylotus" w:hAnsi="mylotus" w:hint="cs"/>
          <w:sz w:val="32"/>
          <w:rtl/>
        </w:rPr>
        <w:t>ِ</w:t>
      </w:r>
      <w:r w:rsidRPr="00F27422">
        <w:rPr>
          <w:rFonts w:ascii="mylotus" w:hAnsi="mylotus"/>
          <w:sz w:val="32"/>
          <w:rtl/>
        </w:rPr>
        <w:t>نصراف هو كثرة الاستعمال، لا مجرد تميز المصداق فإن</w:t>
      </w:r>
      <w:r w:rsidRPr="00F27422">
        <w:rPr>
          <w:rFonts w:ascii="mylotus" w:hAnsi="mylotus" w:hint="cs"/>
          <w:sz w:val="32"/>
          <w:rtl/>
        </w:rPr>
        <w:t>ّ</w:t>
      </w:r>
      <w:r w:rsidRPr="00F27422">
        <w:rPr>
          <w:rFonts w:ascii="mylotus" w:hAnsi="mylotus"/>
          <w:sz w:val="32"/>
          <w:rtl/>
        </w:rPr>
        <w:t xml:space="preserve"> التميز لا يوجب اِنصراف الجامع عنه عرفا</w:t>
      </w:r>
      <w:r w:rsidRPr="00F27422">
        <w:rPr>
          <w:rFonts w:ascii="mylotus" w:hAnsi="mylotus" w:hint="cs"/>
          <w:sz w:val="32"/>
          <w:rtl/>
        </w:rPr>
        <w:t>ً.</w:t>
      </w:r>
    </w:p>
    <w:p w14:paraId="231A5C8E"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والمفروضُ في المقام</w:t>
      </w:r>
      <w:r w:rsidRPr="00F27422">
        <w:rPr>
          <w:rFonts w:ascii="mylotus" w:hAnsi="mylotus"/>
          <w:sz w:val="32"/>
          <w:rtl/>
        </w:rPr>
        <w:t xml:space="preserve"> أنّ عنوان "الوليّ" لَمْ يكثُر استعماله في غير الأب والجد كي يقال بانصرافه عنه</w:t>
      </w:r>
      <w:r w:rsidRPr="00F27422">
        <w:rPr>
          <w:rFonts w:ascii="mylotus" w:hAnsi="mylotus"/>
          <w:sz w:val="32"/>
        </w:rPr>
        <w:t>.</w:t>
      </w:r>
    </w:p>
    <w:p w14:paraId="455D6F9A"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فتلخص من ذلك:</w:t>
      </w:r>
      <w:r w:rsidRPr="00F27422">
        <w:rPr>
          <w:rFonts w:ascii="mylotus" w:hAnsi="mylotus"/>
          <w:sz w:val="32"/>
          <w:rtl/>
        </w:rPr>
        <w:t xml:space="preserve"> أنّ صحيحة أبي عبيدة الحذاء تامةُ الدلالة على أنّ العقد على الصغيرين عقدٌ خياري منوطٌ بِبُلوغهما وإِدراكهما فإنْ شَاءَا أَمْضَيَا وإنْ شَاءَا رَفَضَا، لا أنّ العقد على الصغيرين </w:t>
      </w:r>
      <w:proofErr w:type="gramStart"/>
      <w:r w:rsidRPr="00F27422">
        <w:rPr>
          <w:rFonts w:ascii="mylotus" w:hAnsi="mylotus"/>
          <w:sz w:val="32"/>
          <w:rtl/>
        </w:rPr>
        <w:t>عقدٌ  لازمٌ</w:t>
      </w:r>
      <w:proofErr w:type="gramEnd"/>
      <w:r w:rsidRPr="00F27422">
        <w:rPr>
          <w:rFonts w:ascii="mylotus" w:hAnsi="mylotus"/>
          <w:sz w:val="32"/>
        </w:rPr>
        <w:t>.</w:t>
      </w:r>
    </w:p>
    <w:p w14:paraId="2C8F53BE"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تمّ الكلامُ في صحيحة أبي عبيدة الحذاء</w:t>
      </w:r>
      <w:r w:rsidRPr="00F27422">
        <w:rPr>
          <w:rFonts w:ascii="mylotus" w:hAnsi="mylotus"/>
          <w:sz w:val="32"/>
        </w:rPr>
        <w:t>.</w:t>
      </w:r>
    </w:p>
    <w:p w14:paraId="118C6FFA"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 xml:space="preserve">الصحيحةُ الثانية: </w:t>
      </w:r>
      <w:r w:rsidRPr="00F27422">
        <w:rPr>
          <w:rFonts w:ascii="mylotus" w:hAnsi="mylotus"/>
          <w:sz w:val="32"/>
          <w:rtl/>
        </w:rPr>
        <w:t xml:space="preserve">صحيحة محمّد مسلم، التي دلت على عدم النفوذ، كما في التهذيب: </w:t>
      </w:r>
      <w:r w:rsidRPr="00F27422">
        <w:rPr>
          <w:rFonts w:ascii="mylotus" w:hAnsi="mylotus"/>
          <w:b/>
          <w:bCs/>
          <w:sz w:val="32"/>
          <w:rtl/>
        </w:rPr>
        <w:t>(ما رواه أحمد بن محمّد بن عيسى، عن الحسن بن محبوب، عن العلاء، عن محمّد بن مسلم قال: سألت أبا جعفر (عليه السلام) عن الصبي يتزوج الصبية؟ قال: إذا كان أبواهما اللذان زوجاهما فنعم جائز، ولكن لهما الخيار إذا أدركا، فإن رضيا بعد ذلك فإن المهر على الأب، قلت له: فهل يجوز طلاق الأب على ابنه في صغره؟ قال: لا).</w:t>
      </w:r>
      <w:r w:rsidRPr="00F27422">
        <w:rPr>
          <w:rFonts w:ascii="mylotus" w:hAnsi="mylotus"/>
          <w:sz w:val="32"/>
          <w:rtl/>
        </w:rPr>
        <w:t xml:space="preserve"> [تهذيب الأحكام، شيخ الطائفة الطوسي، دار الكتب الإسلامية، ج7، كتاب النكاح، الباب 32 باب عقد المرأة على نفسها النكاح وأولياء الصبية وأحقهم بالعقد عليها، ح19، رقم</w:t>
      </w:r>
      <w:r w:rsidRPr="00F27422">
        <w:rPr>
          <w:rFonts w:ascii="mylotus" w:hAnsi="mylotus"/>
          <w:sz w:val="32"/>
        </w:rPr>
        <w:t xml:space="preserve"> (1543)</w:t>
      </w:r>
      <w:r w:rsidRPr="00F27422">
        <w:rPr>
          <w:rFonts w:ascii="mylotus" w:hAnsi="mylotus"/>
          <w:sz w:val="32"/>
          <w:rtl/>
        </w:rPr>
        <w:t>]</w:t>
      </w:r>
      <w:r w:rsidRPr="00F27422">
        <w:rPr>
          <w:rFonts w:ascii="mylotus" w:hAnsi="mylotus"/>
          <w:sz w:val="32"/>
        </w:rPr>
        <w:t>.</w:t>
      </w:r>
    </w:p>
    <w:p w14:paraId="53B07607"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 xml:space="preserve">وفي التهذيب أيضاً: </w:t>
      </w:r>
      <w:r w:rsidRPr="00F27422">
        <w:rPr>
          <w:rFonts w:ascii="mylotus" w:hAnsi="mylotus"/>
          <w:b/>
          <w:bCs/>
          <w:sz w:val="32"/>
          <w:rtl/>
        </w:rPr>
        <w:t xml:space="preserve">(ما رواه أحمد بن محمّد بن عيسى، عن محمّد بن أبي عمير، عن صفوان، عن العلاء، عن محمّد بن مسلم، عن أبي جعفر (عليه السلام) في الصبي يتزوج </w:t>
      </w:r>
      <w:r w:rsidRPr="00F27422">
        <w:rPr>
          <w:rFonts w:ascii="mylotus" w:hAnsi="mylotus"/>
          <w:b/>
          <w:bCs/>
          <w:sz w:val="32"/>
          <w:rtl/>
        </w:rPr>
        <w:lastRenderedPageBreak/>
        <w:t>الصبية يتوارثان؟ قال: إذا كان أبواهما اللذان زوجاهما فنعم، قلت: فهل يجوز طلاق الأب؟ قال: لا).</w:t>
      </w:r>
      <w:r w:rsidRPr="00F27422">
        <w:rPr>
          <w:rFonts w:ascii="mylotus" w:hAnsi="mylotus"/>
          <w:sz w:val="32"/>
          <w:rtl/>
        </w:rPr>
        <w:t xml:space="preserve"> [المصدر السابق، ح32، رقم</w:t>
      </w:r>
      <w:r w:rsidRPr="00F27422">
        <w:rPr>
          <w:rFonts w:ascii="mylotus" w:hAnsi="mylotus"/>
          <w:sz w:val="32"/>
        </w:rPr>
        <w:t xml:space="preserve"> (1556)</w:t>
      </w:r>
      <w:r w:rsidRPr="00F27422">
        <w:rPr>
          <w:rFonts w:ascii="mylotus" w:hAnsi="mylotus"/>
          <w:sz w:val="32"/>
          <w:rtl/>
        </w:rPr>
        <w:t>]</w:t>
      </w:r>
      <w:r w:rsidRPr="00F27422">
        <w:rPr>
          <w:rFonts w:ascii="mylotus" w:hAnsi="mylotus"/>
          <w:sz w:val="32"/>
        </w:rPr>
        <w:t>.</w:t>
      </w:r>
    </w:p>
    <w:p w14:paraId="33ACCAD4"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وم</w:t>
      </w:r>
      <w:r w:rsidRPr="00F27422">
        <w:rPr>
          <w:rFonts w:ascii="mylotus" w:hAnsi="mylotus" w:hint="cs"/>
          <w:sz w:val="32"/>
          <w:rtl/>
        </w:rPr>
        <w:t>ِ</w:t>
      </w:r>
      <w:r w:rsidRPr="00F27422">
        <w:rPr>
          <w:rFonts w:ascii="mylotus" w:hAnsi="mylotus"/>
          <w:sz w:val="32"/>
          <w:rtl/>
        </w:rPr>
        <w:t>ن الواضح أنّهما روايةٌ واحدةٌ</w:t>
      </w:r>
      <w:r w:rsidRPr="00F27422">
        <w:rPr>
          <w:rFonts w:ascii="mylotus" w:hAnsi="mylotus"/>
          <w:sz w:val="32"/>
        </w:rPr>
        <w:t>.</w:t>
      </w:r>
    </w:p>
    <w:p w14:paraId="06EDEA28"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وظاهرُ الرواية</w:t>
      </w:r>
      <w:r w:rsidRPr="00F27422">
        <w:rPr>
          <w:rFonts w:ascii="mylotus" w:hAnsi="mylotus" w:hint="cs"/>
          <w:b/>
          <w:bCs/>
          <w:sz w:val="32"/>
          <w:rtl/>
        </w:rPr>
        <w:t>:</w:t>
      </w:r>
      <w:r w:rsidRPr="00F27422">
        <w:rPr>
          <w:rFonts w:ascii="mylotus" w:hAnsi="mylotus"/>
          <w:sz w:val="32"/>
          <w:rtl/>
        </w:rPr>
        <w:t xml:space="preserve"> أنّ تزويج الصغيرين ليس لازماً، بل لهما الخيار إذا أدركا</w:t>
      </w:r>
      <w:r w:rsidRPr="00F27422">
        <w:rPr>
          <w:rFonts w:ascii="mylotus" w:hAnsi="mylotus"/>
          <w:sz w:val="32"/>
        </w:rPr>
        <w:t>.</w:t>
      </w:r>
    </w:p>
    <w:p w14:paraId="703CAA6A" w14:textId="77777777" w:rsidR="008E226B" w:rsidRPr="00F27422" w:rsidRDefault="008E226B" w:rsidP="00122B70">
      <w:pPr>
        <w:pStyle w:val="a"/>
        <w:bidi/>
        <w:spacing w:line="216" w:lineRule="auto"/>
        <w:jc w:val="left"/>
        <w:rPr>
          <w:rFonts w:ascii="mylotus" w:hAnsi="mylotus"/>
          <w:b/>
          <w:bCs/>
          <w:sz w:val="32"/>
          <w:rtl/>
        </w:rPr>
      </w:pPr>
      <w:r w:rsidRPr="00F27422">
        <w:rPr>
          <w:rFonts w:ascii="mylotus" w:hAnsi="mylotus"/>
          <w:b/>
          <w:bCs/>
          <w:sz w:val="32"/>
          <w:rtl/>
        </w:rPr>
        <w:t>ولكن في ال</w:t>
      </w:r>
      <w:r w:rsidRPr="00F27422">
        <w:rPr>
          <w:rFonts w:ascii="mylotus" w:hAnsi="mylotus" w:hint="cs"/>
          <w:b/>
          <w:bCs/>
          <w:sz w:val="32"/>
          <w:rtl/>
        </w:rPr>
        <w:t>ا</w:t>
      </w:r>
      <w:r w:rsidRPr="00F27422">
        <w:rPr>
          <w:rFonts w:ascii="mylotus" w:hAnsi="mylotus"/>
          <w:b/>
          <w:bCs/>
          <w:sz w:val="32"/>
          <w:rtl/>
        </w:rPr>
        <w:t>ستدلال بها على المقام طُرحتْ عدّة اعتراضات</w:t>
      </w:r>
      <w:r w:rsidRPr="00F27422">
        <w:rPr>
          <w:rFonts w:ascii="mylotus" w:hAnsi="mylotus" w:hint="cs"/>
          <w:b/>
          <w:bCs/>
          <w:sz w:val="32"/>
          <w:rtl/>
        </w:rPr>
        <w:t>:</w:t>
      </w:r>
    </w:p>
    <w:p w14:paraId="626292F3" w14:textId="77777777" w:rsidR="008E226B" w:rsidRPr="00F27422" w:rsidRDefault="008E226B" w:rsidP="00122B70">
      <w:pPr>
        <w:pStyle w:val="a"/>
        <w:bidi/>
        <w:spacing w:line="216" w:lineRule="auto"/>
        <w:jc w:val="left"/>
        <w:rPr>
          <w:rFonts w:ascii="mylotus" w:hAnsi="mylotus"/>
          <w:b/>
          <w:bCs/>
          <w:sz w:val="32"/>
          <w:rtl/>
        </w:rPr>
      </w:pPr>
      <w:r w:rsidRPr="00F27422">
        <w:rPr>
          <w:rFonts w:ascii="mylotus" w:hAnsi="mylotus"/>
          <w:b/>
          <w:bCs/>
          <w:sz w:val="32"/>
          <w:rtl/>
        </w:rPr>
        <w:t>الاعتراضُ الأوّل:</w:t>
      </w:r>
      <w:r w:rsidRPr="00F27422">
        <w:rPr>
          <w:rFonts w:ascii="mylotus" w:hAnsi="mylotus"/>
          <w:sz w:val="32"/>
          <w:rtl/>
        </w:rPr>
        <w:t xml:space="preserve"> ما ذكره سيدنا الخوئي (قدس سره الشريف) في موسوعته المباركة من كتابه [المباني في شرح العروة الوثقى، كتاب النكاح، ج33، ص226] حيث قال: </w:t>
      </w:r>
      <w:r w:rsidRPr="00F27422">
        <w:rPr>
          <w:rFonts w:ascii="mylotus" w:hAnsi="mylotus"/>
          <w:b/>
          <w:bCs/>
          <w:sz w:val="32"/>
          <w:rtl/>
        </w:rPr>
        <w:t xml:space="preserve">(وهي كما ترى واضحة </w:t>
      </w:r>
      <w:proofErr w:type="gramStart"/>
      <w:r w:rsidRPr="00F27422">
        <w:rPr>
          <w:rFonts w:ascii="mylotus" w:hAnsi="mylotus"/>
          <w:b/>
          <w:bCs/>
          <w:sz w:val="32"/>
          <w:rtl/>
        </w:rPr>
        <w:t>الدلالة</w:t>
      </w:r>
      <w:proofErr w:type="gramEnd"/>
      <w:r w:rsidRPr="00F27422">
        <w:rPr>
          <w:rFonts w:ascii="mylotus" w:hAnsi="mylotus"/>
          <w:b/>
          <w:bCs/>
          <w:sz w:val="32"/>
          <w:rtl/>
        </w:rPr>
        <w:t xml:space="preserve"> بل صريحة الدلالة في عدم لزوم العقد الصادر من الولي، وثبوت الخيار لهما بعد البلوغ، فإن حمل الخيار على الطّلاق كما أفاده الشيخ (قدس سره) بعيد غايته، ولا وجه للمصير إليه</w:t>
      </w:r>
      <w:r w:rsidRPr="00F27422">
        <w:rPr>
          <w:rFonts w:ascii="mylotus" w:hAnsi="mylotus"/>
          <w:b/>
          <w:bCs/>
          <w:sz w:val="32"/>
        </w:rPr>
        <w:t>.</w:t>
      </w:r>
    </w:p>
    <w:p w14:paraId="7AAC6A96" w14:textId="77777777" w:rsidR="008E226B" w:rsidRPr="00F27422" w:rsidRDefault="008E226B" w:rsidP="00122B70">
      <w:pPr>
        <w:pStyle w:val="a"/>
        <w:bidi/>
        <w:spacing w:line="216" w:lineRule="auto"/>
        <w:jc w:val="left"/>
        <w:rPr>
          <w:rFonts w:ascii="mylotus" w:hAnsi="mylotus"/>
          <w:b/>
          <w:bCs/>
          <w:sz w:val="32"/>
          <w:rtl/>
        </w:rPr>
      </w:pPr>
      <w:r w:rsidRPr="00F27422">
        <w:rPr>
          <w:rFonts w:ascii="mylotus" w:hAnsi="mylotus"/>
          <w:b/>
          <w:bCs/>
          <w:sz w:val="32"/>
          <w:rtl/>
        </w:rPr>
        <w:t>ومن هنا فهي صالحة لتقييد ما تقدّم من النصوص، الدالة على نفوذ عقد الأب أو الجد بغير هذا الفرض، أعني ما لو كان كل من الزوجين صغيراً. إلّا أنه لم يعلم قائل به من فقهائنا</w:t>
      </w:r>
      <w:r w:rsidRPr="00F27422">
        <w:rPr>
          <w:rFonts w:ascii="mylotus" w:hAnsi="mylotus" w:hint="cs"/>
          <w:b/>
          <w:bCs/>
          <w:sz w:val="32"/>
          <w:rtl/>
        </w:rPr>
        <w:t>).</w:t>
      </w:r>
    </w:p>
    <w:p w14:paraId="4381F56D"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أي: أنّ مقتضى الجمع العرفي بينها وبين ما تقدّم من النصوص الدالة على اللزوم وأنّ عقد الوليّ لازمٌ في حق</w:t>
      </w:r>
      <w:r w:rsidRPr="00F27422">
        <w:rPr>
          <w:rFonts w:ascii="mylotus" w:hAnsi="mylotus" w:hint="cs"/>
          <w:sz w:val="32"/>
          <w:rtl/>
        </w:rPr>
        <w:t>ّ</w:t>
      </w:r>
      <w:r w:rsidRPr="00F27422">
        <w:rPr>
          <w:rFonts w:ascii="mylotus" w:hAnsi="mylotus"/>
          <w:sz w:val="32"/>
          <w:rtl/>
        </w:rPr>
        <w:t xml:space="preserve"> الصغير وإنْ بلغ تقيد تلك النصوص بما إذا كان التزويج لصغيرين، أي: إنْ كان التزويج لصغيرٍ من كبيرٍ فالعقدُ لازمٌ، وأمّّا إذا كان التزويج لصغيرين فالعقدُ ليس </w:t>
      </w:r>
      <w:proofErr w:type="gramStart"/>
      <w:r w:rsidRPr="00F27422">
        <w:rPr>
          <w:rFonts w:ascii="mylotus" w:hAnsi="mylotus"/>
          <w:sz w:val="32"/>
          <w:rtl/>
        </w:rPr>
        <w:t>لازماً</w:t>
      </w:r>
      <w:proofErr w:type="gramEnd"/>
      <w:r w:rsidRPr="00F27422">
        <w:rPr>
          <w:rFonts w:ascii="mylotus" w:hAnsi="mylotus"/>
          <w:sz w:val="32"/>
          <w:rtl/>
        </w:rPr>
        <w:t xml:space="preserve"> بل يكون خيارياً</w:t>
      </w:r>
      <w:r w:rsidRPr="00F27422">
        <w:rPr>
          <w:rFonts w:ascii="mylotus" w:hAnsi="mylotus"/>
          <w:sz w:val="32"/>
        </w:rPr>
        <w:t>.</w:t>
      </w:r>
    </w:p>
    <w:p w14:paraId="6BB13707"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 xml:space="preserve">ولذلك احتاط (قدس سره الشريف) في فتواه كما في [منهاج الصالحين، الإمام السيد </w:t>
      </w:r>
      <w:proofErr w:type="spellStart"/>
      <w:r w:rsidRPr="00F27422">
        <w:rPr>
          <w:rFonts w:ascii="mylotus" w:hAnsi="mylotus"/>
          <w:sz w:val="32"/>
          <w:rtl/>
        </w:rPr>
        <w:t>أبوالقاسم</w:t>
      </w:r>
      <w:proofErr w:type="spellEnd"/>
      <w:r w:rsidRPr="00F27422">
        <w:rPr>
          <w:rFonts w:ascii="mylotus" w:hAnsi="mylotus"/>
          <w:sz w:val="32"/>
          <w:rtl/>
        </w:rPr>
        <w:t xml:space="preserve"> الموسوي الخوئي، مؤسسة الخوئي الإسلامية، ج2، كتاب النكاح، الفصل الثاني في الأولياء، ص261] في هذه الصورة، حيث قال: </w:t>
      </w:r>
      <w:r w:rsidRPr="00F27422">
        <w:rPr>
          <w:rFonts w:ascii="mylotus" w:hAnsi="mylotus"/>
          <w:b/>
          <w:bCs/>
          <w:sz w:val="32"/>
          <w:rtl/>
        </w:rPr>
        <w:t>((مسألة 1236): للأب الولاية على الصغيرين والمجنونين البالغين كذلك</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ولا</w:t>
      </w:r>
      <w:r w:rsidRPr="00F27422">
        <w:rPr>
          <w:rFonts w:ascii="mylotus" w:hAnsi="mylotus"/>
          <w:b/>
          <w:bCs/>
          <w:sz w:val="32"/>
          <w:rtl/>
        </w:rPr>
        <w:t xml:space="preserve"> </w:t>
      </w:r>
      <w:r w:rsidRPr="00F27422">
        <w:rPr>
          <w:rFonts w:ascii="mylotus" w:hAnsi="mylotus" w:hint="cs"/>
          <w:b/>
          <w:bCs/>
          <w:sz w:val="32"/>
          <w:rtl/>
        </w:rPr>
        <w:t>خيار</w:t>
      </w:r>
      <w:r w:rsidRPr="00F27422">
        <w:rPr>
          <w:rFonts w:ascii="mylotus" w:hAnsi="mylotus"/>
          <w:b/>
          <w:bCs/>
          <w:sz w:val="32"/>
          <w:rtl/>
        </w:rPr>
        <w:t xml:space="preserve"> </w:t>
      </w:r>
      <w:r w:rsidRPr="00F27422">
        <w:rPr>
          <w:rFonts w:ascii="mylotus" w:hAnsi="mylotus" w:hint="cs"/>
          <w:b/>
          <w:bCs/>
          <w:sz w:val="32"/>
          <w:rtl/>
        </w:rPr>
        <w:t>لهما</w:t>
      </w:r>
      <w:r w:rsidRPr="00F27422">
        <w:rPr>
          <w:rFonts w:ascii="mylotus" w:hAnsi="mylotus"/>
          <w:b/>
          <w:bCs/>
          <w:sz w:val="32"/>
          <w:rtl/>
        </w:rPr>
        <w:t xml:space="preserve"> </w:t>
      </w:r>
      <w:r w:rsidRPr="00F27422">
        <w:rPr>
          <w:rFonts w:ascii="mylotus" w:hAnsi="mylotus" w:hint="cs"/>
          <w:b/>
          <w:bCs/>
          <w:sz w:val="32"/>
          <w:rtl/>
        </w:rPr>
        <w:t>بعد</w:t>
      </w:r>
      <w:r w:rsidRPr="00F27422">
        <w:rPr>
          <w:rFonts w:ascii="mylotus" w:hAnsi="mylotus"/>
          <w:b/>
          <w:bCs/>
          <w:sz w:val="32"/>
          <w:rtl/>
        </w:rPr>
        <w:t xml:space="preserve"> </w:t>
      </w:r>
      <w:r w:rsidRPr="00F27422">
        <w:rPr>
          <w:rFonts w:ascii="mylotus" w:hAnsi="mylotus" w:hint="cs"/>
          <w:b/>
          <w:bCs/>
          <w:sz w:val="32"/>
          <w:rtl/>
        </w:rPr>
        <w:t>زوال</w:t>
      </w:r>
      <w:r w:rsidRPr="00F27422">
        <w:rPr>
          <w:rFonts w:ascii="mylotus" w:hAnsi="mylotus"/>
          <w:b/>
          <w:bCs/>
          <w:sz w:val="32"/>
          <w:rtl/>
        </w:rPr>
        <w:t xml:space="preserve"> </w:t>
      </w:r>
      <w:r w:rsidRPr="00F27422">
        <w:rPr>
          <w:rFonts w:ascii="mylotus" w:hAnsi="mylotus" w:hint="cs"/>
          <w:b/>
          <w:bCs/>
          <w:sz w:val="32"/>
          <w:rtl/>
        </w:rPr>
        <w:t>الوصفين</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إلا</w:t>
      </w:r>
      <w:r w:rsidRPr="00F27422">
        <w:rPr>
          <w:rFonts w:ascii="mylotus" w:hAnsi="mylotus"/>
          <w:b/>
          <w:bCs/>
          <w:sz w:val="32"/>
          <w:rtl/>
        </w:rPr>
        <w:t xml:space="preserve"> </w:t>
      </w:r>
      <w:r w:rsidRPr="00F27422">
        <w:rPr>
          <w:rFonts w:ascii="mylotus" w:hAnsi="mylotus" w:hint="cs"/>
          <w:b/>
          <w:bCs/>
          <w:sz w:val="32"/>
          <w:rtl/>
        </w:rPr>
        <w:t>إذا</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العقد</w:t>
      </w:r>
      <w:r w:rsidRPr="00F27422">
        <w:rPr>
          <w:rFonts w:ascii="mylotus" w:hAnsi="mylotus"/>
          <w:b/>
          <w:bCs/>
          <w:sz w:val="32"/>
          <w:rtl/>
        </w:rPr>
        <w:t xml:space="preserve"> </w:t>
      </w:r>
      <w:r w:rsidRPr="00F27422">
        <w:rPr>
          <w:rFonts w:ascii="mylotus" w:hAnsi="mylotus" w:hint="cs"/>
          <w:b/>
          <w:bCs/>
          <w:sz w:val="32"/>
          <w:rtl/>
        </w:rPr>
        <w:t>حين</w:t>
      </w:r>
      <w:r w:rsidRPr="00F27422">
        <w:rPr>
          <w:rFonts w:ascii="mylotus" w:hAnsi="mylotus"/>
          <w:b/>
          <w:bCs/>
          <w:sz w:val="32"/>
          <w:rtl/>
        </w:rPr>
        <w:t xml:space="preserve"> </w:t>
      </w:r>
      <w:r w:rsidRPr="00F27422">
        <w:rPr>
          <w:rFonts w:ascii="mylotus" w:hAnsi="mylotus" w:hint="cs"/>
          <w:b/>
          <w:bCs/>
          <w:sz w:val="32"/>
          <w:rtl/>
        </w:rPr>
        <w:t>وقوعه</w:t>
      </w:r>
      <w:r w:rsidRPr="00F27422">
        <w:rPr>
          <w:rFonts w:ascii="mylotus" w:hAnsi="mylotus"/>
          <w:b/>
          <w:bCs/>
          <w:sz w:val="32"/>
          <w:rtl/>
        </w:rPr>
        <w:t xml:space="preserve"> </w:t>
      </w:r>
      <w:r w:rsidRPr="00F27422">
        <w:rPr>
          <w:rFonts w:ascii="mylotus" w:hAnsi="mylotus" w:hint="cs"/>
          <w:b/>
          <w:bCs/>
          <w:sz w:val="32"/>
          <w:rtl/>
        </w:rPr>
        <w:t>مفسدة</w:t>
      </w:r>
      <w:r w:rsidRPr="00F27422">
        <w:rPr>
          <w:rFonts w:ascii="mylotus" w:hAnsi="mylotus"/>
          <w:b/>
          <w:bCs/>
          <w:sz w:val="32"/>
          <w:rtl/>
        </w:rPr>
        <w:t xml:space="preserve"> </w:t>
      </w:r>
      <w:r w:rsidRPr="00F27422">
        <w:rPr>
          <w:rFonts w:ascii="mylotus" w:hAnsi="mylotus" w:hint="cs"/>
          <w:b/>
          <w:bCs/>
          <w:sz w:val="32"/>
          <w:rtl/>
        </w:rPr>
        <w:t>عند</w:t>
      </w:r>
      <w:r w:rsidRPr="00F27422">
        <w:rPr>
          <w:rFonts w:ascii="mylotus" w:hAnsi="mylotus"/>
          <w:b/>
          <w:bCs/>
          <w:sz w:val="32"/>
          <w:rtl/>
        </w:rPr>
        <w:t xml:space="preserve"> </w:t>
      </w:r>
      <w:r w:rsidRPr="00F27422">
        <w:rPr>
          <w:rFonts w:ascii="mylotus" w:hAnsi="mylotus" w:hint="cs"/>
          <w:b/>
          <w:bCs/>
          <w:sz w:val="32"/>
          <w:rtl/>
        </w:rPr>
        <w:t>العقلاء</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وهذا</w:t>
      </w:r>
      <w:r w:rsidRPr="00F27422">
        <w:rPr>
          <w:rFonts w:ascii="mylotus" w:hAnsi="mylotus"/>
          <w:sz w:val="32"/>
          <w:rtl/>
        </w:rPr>
        <w:t xml:space="preserve"> </w:t>
      </w:r>
      <w:r w:rsidRPr="00F27422">
        <w:rPr>
          <w:rFonts w:ascii="mylotus" w:hAnsi="mylotus" w:hint="cs"/>
          <w:sz w:val="32"/>
          <w:rtl/>
        </w:rPr>
        <w:t>واضح؛</w:t>
      </w:r>
      <w:r w:rsidRPr="00F27422">
        <w:rPr>
          <w:rFonts w:ascii="mylotus" w:hAnsi="mylotus"/>
          <w:sz w:val="32"/>
          <w:rtl/>
        </w:rPr>
        <w:t xml:space="preserve"> </w:t>
      </w:r>
      <w:r w:rsidRPr="00F27422">
        <w:rPr>
          <w:rFonts w:ascii="mylotus" w:hAnsi="mylotus" w:hint="cs"/>
          <w:sz w:val="32"/>
          <w:rtl/>
        </w:rPr>
        <w:t>لأنّه</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ولاية</w:t>
      </w:r>
      <w:r w:rsidRPr="00F27422">
        <w:rPr>
          <w:rFonts w:ascii="mylotus" w:hAnsi="mylotus"/>
          <w:sz w:val="32"/>
          <w:rtl/>
        </w:rPr>
        <w:t xml:space="preserve"> </w:t>
      </w:r>
      <w:r w:rsidRPr="00F27422">
        <w:rPr>
          <w:rFonts w:ascii="mylotus" w:hAnsi="mylotus" w:hint="cs"/>
          <w:sz w:val="32"/>
          <w:rtl/>
        </w:rPr>
        <w:t>للوليّ</w:t>
      </w:r>
      <w:r w:rsidRPr="00F27422">
        <w:rPr>
          <w:rFonts w:ascii="mylotus" w:hAnsi="mylotus"/>
          <w:sz w:val="32"/>
          <w:rtl/>
        </w:rPr>
        <w:t xml:space="preserve"> </w:t>
      </w:r>
      <w:r w:rsidRPr="00F27422">
        <w:rPr>
          <w:rFonts w:ascii="mylotus" w:hAnsi="mylotus" w:hint="cs"/>
          <w:sz w:val="32"/>
          <w:rtl/>
        </w:rPr>
        <w:t>إلا</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فرض</w:t>
      </w:r>
      <w:r w:rsidRPr="00F27422">
        <w:rPr>
          <w:rFonts w:ascii="mylotus" w:hAnsi="mylotus"/>
          <w:sz w:val="32"/>
          <w:rtl/>
        </w:rPr>
        <w:t xml:space="preserve"> </w:t>
      </w:r>
      <w:r w:rsidRPr="00F27422">
        <w:rPr>
          <w:rFonts w:ascii="mylotus" w:hAnsi="mylotus" w:hint="cs"/>
          <w:sz w:val="32"/>
          <w:rtl/>
        </w:rPr>
        <w:t>المصلحة</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فلا</w:t>
      </w:r>
      <w:r w:rsidRPr="00F27422">
        <w:rPr>
          <w:rFonts w:ascii="mylotus" w:hAnsi="mylotus"/>
          <w:b/>
          <w:bCs/>
          <w:sz w:val="32"/>
          <w:rtl/>
        </w:rPr>
        <w:t xml:space="preserve"> </w:t>
      </w:r>
      <w:r w:rsidRPr="00F27422">
        <w:rPr>
          <w:rFonts w:ascii="mylotus" w:hAnsi="mylotus" w:hint="cs"/>
          <w:b/>
          <w:bCs/>
          <w:sz w:val="32"/>
          <w:rtl/>
        </w:rPr>
        <w:t>يصح</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إلا</w:t>
      </w:r>
      <w:r w:rsidRPr="00F27422">
        <w:rPr>
          <w:rFonts w:ascii="mylotus" w:hAnsi="mylotus"/>
          <w:b/>
          <w:bCs/>
          <w:sz w:val="32"/>
          <w:rtl/>
        </w:rPr>
        <w:t xml:space="preserve"> </w:t>
      </w:r>
      <w:r w:rsidRPr="00F27422">
        <w:rPr>
          <w:rFonts w:ascii="mylotus" w:hAnsi="mylotus" w:hint="cs"/>
          <w:b/>
          <w:bCs/>
          <w:sz w:val="32"/>
          <w:rtl/>
        </w:rPr>
        <w:t>بالإجازة</w:t>
      </w:r>
      <w:r w:rsidRPr="00F27422">
        <w:rPr>
          <w:rFonts w:ascii="mylotus" w:hAnsi="mylotus"/>
          <w:b/>
          <w:bCs/>
          <w:sz w:val="32"/>
          <w:rtl/>
        </w:rPr>
        <w:t xml:space="preserve"> </w:t>
      </w:r>
      <w:r w:rsidRPr="00F27422">
        <w:rPr>
          <w:rFonts w:ascii="mylotus" w:hAnsi="mylotus" w:hint="cs"/>
          <w:b/>
          <w:bCs/>
          <w:sz w:val="32"/>
          <w:rtl/>
        </w:rPr>
        <w:t>بعد</w:t>
      </w:r>
      <w:r w:rsidRPr="00F27422">
        <w:rPr>
          <w:rFonts w:ascii="mylotus" w:hAnsi="mylotus"/>
          <w:b/>
          <w:bCs/>
          <w:sz w:val="32"/>
          <w:rtl/>
        </w:rPr>
        <w:t xml:space="preserve"> </w:t>
      </w:r>
      <w:r w:rsidRPr="00F27422">
        <w:rPr>
          <w:rFonts w:ascii="mylotus" w:hAnsi="mylotus" w:hint="cs"/>
          <w:b/>
          <w:bCs/>
          <w:sz w:val="32"/>
          <w:rtl/>
        </w:rPr>
        <w:t>البلوغ</w:t>
      </w:r>
      <w:r w:rsidRPr="00F27422">
        <w:rPr>
          <w:rFonts w:ascii="mylotus" w:hAnsi="mylotus"/>
          <w:b/>
          <w:bCs/>
          <w:sz w:val="32"/>
          <w:rtl/>
        </w:rPr>
        <w:t xml:space="preserve"> </w:t>
      </w:r>
      <w:r w:rsidRPr="00F27422">
        <w:rPr>
          <w:rFonts w:ascii="mylotus" w:hAnsi="mylotus" w:hint="cs"/>
          <w:b/>
          <w:bCs/>
          <w:sz w:val="32"/>
          <w:rtl/>
        </w:rPr>
        <w:t>والعقل</w:t>
      </w:r>
      <w:r w:rsidRPr="00F27422">
        <w:rPr>
          <w:rFonts w:ascii="mylotus" w:hAnsi="mylotus"/>
          <w:b/>
          <w:bCs/>
          <w:sz w:val="32"/>
          <w:rtl/>
        </w:rPr>
        <w:t>.</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نعم</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ولا يبعد</w:t>
      </w:r>
      <w:r w:rsidRPr="00F27422">
        <w:rPr>
          <w:rFonts w:ascii="mylotus" w:hAnsi="mylotus"/>
          <w:sz w:val="32"/>
          <w:rtl/>
        </w:rPr>
        <w:t xml:space="preserve"> </w:t>
      </w:r>
      <w:r w:rsidRPr="00F27422">
        <w:rPr>
          <w:rFonts w:ascii="mylotus" w:hAnsi="mylotus" w:hint="cs"/>
          <w:sz w:val="32"/>
          <w:rtl/>
        </w:rPr>
        <w:t>نظره</w:t>
      </w:r>
      <w:r w:rsidRPr="00F27422">
        <w:rPr>
          <w:rFonts w:ascii="mylotus" w:hAnsi="mylotus"/>
          <w:sz w:val="32"/>
          <w:rtl/>
        </w:rPr>
        <w:t xml:space="preserve"> </w:t>
      </w:r>
      <w:r w:rsidRPr="00F27422">
        <w:rPr>
          <w:rFonts w:ascii="mylotus" w:hAnsi="mylotus" w:hint="cs"/>
          <w:sz w:val="32"/>
          <w:rtl/>
        </w:rPr>
        <w:t>لصحيحة</w:t>
      </w:r>
      <w:r w:rsidRPr="00F27422">
        <w:rPr>
          <w:rFonts w:ascii="mylotus" w:hAnsi="mylotus"/>
          <w:sz w:val="32"/>
          <w:rtl/>
        </w:rPr>
        <w:t xml:space="preserve"> </w:t>
      </w:r>
      <w:r w:rsidRPr="00F27422">
        <w:rPr>
          <w:rFonts w:ascii="mylotus" w:hAnsi="mylotus" w:hint="cs"/>
          <w:sz w:val="32"/>
          <w:rtl/>
        </w:rPr>
        <w:t>محمّد</w:t>
      </w:r>
      <w:r w:rsidRPr="00F27422">
        <w:rPr>
          <w:rFonts w:ascii="mylotus" w:hAnsi="mylotus"/>
          <w:sz w:val="32"/>
          <w:rtl/>
        </w:rPr>
        <w:t xml:space="preserve"> </w:t>
      </w:r>
      <w:r w:rsidRPr="00F27422">
        <w:rPr>
          <w:rFonts w:ascii="mylotus" w:hAnsi="mylotus" w:hint="cs"/>
          <w:sz w:val="32"/>
          <w:rtl/>
        </w:rPr>
        <w:t>بن</w:t>
      </w:r>
      <w:r w:rsidRPr="00F27422">
        <w:rPr>
          <w:rFonts w:ascii="mylotus" w:hAnsi="mylotus"/>
          <w:sz w:val="32"/>
          <w:rtl/>
        </w:rPr>
        <w:t xml:space="preserve"> </w:t>
      </w:r>
      <w:r w:rsidRPr="00F27422">
        <w:rPr>
          <w:rFonts w:ascii="mylotus" w:hAnsi="mylotus" w:hint="cs"/>
          <w:sz w:val="32"/>
          <w:rtl/>
        </w:rPr>
        <w:t>مسلم</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إذا</w:t>
      </w:r>
      <w:r w:rsidRPr="00F27422">
        <w:rPr>
          <w:rFonts w:ascii="mylotus" w:hAnsi="mylotus"/>
          <w:b/>
          <w:bCs/>
          <w:sz w:val="32"/>
          <w:rtl/>
        </w:rPr>
        <w:t xml:space="preserve"> </w:t>
      </w:r>
      <w:r w:rsidRPr="00F27422">
        <w:rPr>
          <w:rFonts w:ascii="mylotus" w:hAnsi="mylotus" w:hint="cs"/>
          <w:b/>
          <w:bCs/>
          <w:sz w:val="32"/>
          <w:rtl/>
        </w:rPr>
        <w:t>زوج</w:t>
      </w:r>
      <w:r w:rsidRPr="00F27422">
        <w:rPr>
          <w:rFonts w:ascii="mylotus" w:hAnsi="mylotus"/>
          <w:b/>
          <w:bCs/>
          <w:sz w:val="32"/>
          <w:rtl/>
        </w:rPr>
        <w:t xml:space="preserve"> </w:t>
      </w:r>
      <w:r w:rsidRPr="00F27422">
        <w:rPr>
          <w:rFonts w:ascii="mylotus" w:hAnsi="mylotus" w:hint="cs"/>
          <w:b/>
          <w:bCs/>
          <w:sz w:val="32"/>
          <w:rtl/>
        </w:rPr>
        <w:t>الأبوان</w:t>
      </w:r>
      <w:r w:rsidRPr="00F27422">
        <w:rPr>
          <w:rFonts w:ascii="mylotus" w:hAnsi="mylotus"/>
          <w:b/>
          <w:bCs/>
          <w:sz w:val="32"/>
          <w:rtl/>
        </w:rPr>
        <w:t xml:space="preserve"> </w:t>
      </w:r>
      <w:r w:rsidRPr="00F27422">
        <w:rPr>
          <w:rFonts w:ascii="mylotus" w:hAnsi="mylotus" w:hint="cs"/>
          <w:b/>
          <w:bCs/>
          <w:sz w:val="32"/>
          <w:rtl/>
        </w:rPr>
        <w:t>الصغيرين</w:t>
      </w:r>
      <w:r w:rsidRPr="00F27422">
        <w:rPr>
          <w:rFonts w:ascii="mylotus" w:hAnsi="mylotus"/>
          <w:b/>
          <w:bCs/>
          <w:sz w:val="32"/>
          <w:rtl/>
        </w:rPr>
        <w:t xml:space="preserve"> </w:t>
      </w:r>
      <w:r w:rsidRPr="00F27422">
        <w:rPr>
          <w:rFonts w:ascii="mylotus" w:hAnsi="mylotus" w:hint="cs"/>
          <w:b/>
          <w:bCs/>
          <w:sz w:val="32"/>
          <w:rtl/>
        </w:rPr>
        <w:t>ولاية</w:t>
      </w:r>
      <w:r w:rsidRPr="00F27422">
        <w:rPr>
          <w:rFonts w:ascii="mylotus" w:hAnsi="mylotus"/>
          <w:b/>
          <w:bCs/>
          <w:sz w:val="32"/>
          <w:rtl/>
        </w:rPr>
        <w:t xml:space="preserve"> </w:t>
      </w:r>
      <w:r w:rsidRPr="00F27422">
        <w:rPr>
          <w:rFonts w:ascii="mylotus" w:hAnsi="mylotus" w:hint="cs"/>
          <w:b/>
          <w:bCs/>
          <w:sz w:val="32"/>
          <w:rtl/>
        </w:rPr>
        <w:t>ف</w:t>
      </w:r>
      <w:r w:rsidRPr="00F27422">
        <w:rPr>
          <w:rFonts w:ascii="mylotus" w:hAnsi="mylotus"/>
          <w:b/>
          <w:bCs/>
          <w:sz w:val="32"/>
          <w:rtl/>
        </w:rPr>
        <w:t>العقد وإن كان صحيحا إلا أن في لزومه عليهما بعد بلوغهما إشكالا)</w:t>
      </w:r>
      <w:r w:rsidRPr="00F27422">
        <w:rPr>
          <w:rFonts w:ascii="mylotus" w:hAnsi="mylotus"/>
          <w:sz w:val="32"/>
          <w:rtl/>
        </w:rPr>
        <w:t xml:space="preserve"> ووجه الإشكال هو:</w:t>
      </w:r>
      <w:r w:rsidRPr="00F27422">
        <w:rPr>
          <w:rFonts w:ascii="mylotus" w:hAnsi="mylotus" w:hint="cs"/>
          <w:sz w:val="32"/>
          <w:rtl/>
        </w:rPr>
        <w:t xml:space="preserve"> </w:t>
      </w:r>
      <w:r w:rsidRPr="00F27422">
        <w:rPr>
          <w:rFonts w:ascii="mylotus" w:hAnsi="mylotus"/>
          <w:sz w:val="32"/>
          <w:rtl/>
        </w:rPr>
        <w:t xml:space="preserve">تمامية دلالة الرواية </w:t>
      </w:r>
      <w:r w:rsidRPr="00F27422">
        <w:rPr>
          <w:rFonts w:ascii="mylotus" w:hAnsi="mylotus"/>
          <w:b/>
          <w:bCs/>
          <w:sz w:val="32"/>
          <w:rtl/>
        </w:rPr>
        <w:t>(فالاحتياط لا يترك)</w:t>
      </w:r>
      <w:r w:rsidRPr="00F27422">
        <w:rPr>
          <w:rFonts w:ascii="mylotus" w:hAnsi="mylotus"/>
          <w:b/>
          <w:bCs/>
          <w:sz w:val="32"/>
        </w:rPr>
        <w:t>.</w:t>
      </w:r>
    </w:p>
    <w:p w14:paraId="0898FEFB"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ولكن:</w:t>
      </w:r>
      <w:r w:rsidRPr="00F27422">
        <w:rPr>
          <w:rFonts w:ascii="mylotus" w:hAnsi="mylotus"/>
          <w:sz w:val="32"/>
          <w:rtl/>
        </w:rPr>
        <w:t xml:space="preserve"> الجمع بين الأدلّة بالتقييد غير عرفي؛ فإنّ مفاد الأدلّة السابقة أنّ تزويج الأب للصغير أو الصغيرة لازمٌ عليه وليس له خيار، فإذا وردت رواية أنّه إذا زُوّج الصغيران كان لهما الخيار فالجمعُ بالتقييد جمعٌ غيرُ عرفي؛ إذ لا يحتمل العرف خصوصية لكون طرف الزواج المقابل صغيرة أو</w:t>
      </w:r>
      <w:r w:rsidRPr="00F27422">
        <w:rPr>
          <w:rFonts w:ascii="mylotus" w:hAnsi="mylotus" w:hint="cs"/>
          <w:sz w:val="32"/>
          <w:rtl/>
        </w:rPr>
        <w:t xml:space="preserve"> </w:t>
      </w:r>
      <w:r w:rsidRPr="00F27422">
        <w:rPr>
          <w:rFonts w:ascii="mylotus" w:hAnsi="mylotus"/>
          <w:sz w:val="32"/>
          <w:rtl/>
        </w:rPr>
        <w:t>صغيراً أو</w:t>
      </w:r>
      <w:r w:rsidRPr="00F27422">
        <w:rPr>
          <w:rFonts w:ascii="mylotus" w:hAnsi="mylotus" w:hint="cs"/>
          <w:sz w:val="32"/>
          <w:rtl/>
        </w:rPr>
        <w:t xml:space="preserve"> </w:t>
      </w:r>
      <w:r w:rsidRPr="00F27422">
        <w:rPr>
          <w:rFonts w:ascii="mylotus" w:hAnsi="mylotus"/>
          <w:sz w:val="32"/>
          <w:rtl/>
        </w:rPr>
        <w:t>غيرهما، بل مقتضى مناسبة الحكم للموضوع أنّ العقد على مَن يَبْلُغ غيرُ لازم</w:t>
      </w:r>
      <w:r w:rsidRPr="00F27422">
        <w:rPr>
          <w:rFonts w:ascii="mylotus" w:hAnsi="mylotus" w:hint="cs"/>
          <w:sz w:val="32"/>
          <w:rtl/>
        </w:rPr>
        <w:t>ٍ</w:t>
      </w:r>
      <w:r w:rsidRPr="00F27422">
        <w:rPr>
          <w:rFonts w:ascii="mylotus" w:hAnsi="mylotus"/>
          <w:sz w:val="32"/>
          <w:rtl/>
        </w:rPr>
        <w:t>، فلا فرق في هذه النكتة بين كونهما صغيرين أو كون أحدهما صغيراً</w:t>
      </w:r>
      <w:r w:rsidRPr="00F27422">
        <w:rPr>
          <w:rFonts w:ascii="mylotus" w:hAnsi="mylotus"/>
          <w:sz w:val="32"/>
        </w:rPr>
        <w:t>.</w:t>
      </w:r>
    </w:p>
    <w:p w14:paraId="707AAB56" w14:textId="77777777" w:rsidR="008E226B" w:rsidRPr="00F27422" w:rsidRDefault="008E226B" w:rsidP="00122B70">
      <w:pPr>
        <w:pStyle w:val="a"/>
        <w:bidi/>
        <w:spacing w:line="216" w:lineRule="auto"/>
        <w:jc w:val="left"/>
        <w:rPr>
          <w:rFonts w:ascii="mylotus" w:hAnsi="mylotus"/>
          <w:b/>
          <w:bCs/>
          <w:sz w:val="32"/>
          <w:rtl/>
        </w:rPr>
      </w:pPr>
      <w:r w:rsidRPr="00F27422">
        <w:rPr>
          <w:rFonts w:ascii="mylotus" w:hAnsi="mylotus"/>
          <w:sz w:val="32"/>
          <w:rtl/>
        </w:rPr>
        <w:t>ولذلك نرى أن</w:t>
      </w:r>
      <w:r w:rsidRPr="00F27422">
        <w:rPr>
          <w:rFonts w:ascii="mylotus" w:hAnsi="mylotus" w:hint="cs"/>
          <w:sz w:val="32"/>
          <w:rtl/>
        </w:rPr>
        <w:t>ّ</w:t>
      </w:r>
      <w:r w:rsidRPr="00F27422">
        <w:rPr>
          <w:rFonts w:ascii="mylotus" w:hAnsi="mylotus"/>
          <w:sz w:val="32"/>
          <w:rtl/>
        </w:rPr>
        <w:t xml:space="preserve"> السيد الأُستاذ (مد ظله) لَمْ يقيد نفوذ العقد بالصغيرين، كما في [منهاج الصالحين، فتاوى المرجع الديني الأعلى السيد علي الحسيني السيستاني (دام ظله)، الطبعة المصححة 1445هـ.، ج3، كتاب النكاح، الفصل الرابع في أولياء العقد، ص32] حيث قال: </w:t>
      </w:r>
      <w:r w:rsidRPr="00F27422">
        <w:rPr>
          <w:rFonts w:ascii="mylotus" w:hAnsi="mylotus"/>
          <w:b/>
          <w:bCs/>
          <w:sz w:val="32"/>
          <w:rtl/>
        </w:rPr>
        <w:t>((مسألة 60): إذا زوّج الأب أو الجدّ للأب الصغير أو الصغيرة مع مراعاة ما تقدّم)</w:t>
      </w:r>
      <w:r w:rsidRPr="00F27422">
        <w:rPr>
          <w:rFonts w:ascii="mylotus" w:hAnsi="mylotus"/>
          <w:sz w:val="32"/>
          <w:rtl/>
        </w:rPr>
        <w:t xml:space="preserve"> أي: مراعاة المصلحة التي هي دخيلة في أصل الولاية </w:t>
      </w:r>
      <w:r w:rsidRPr="00F27422">
        <w:rPr>
          <w:rFonts w:ascii="mylotus" w:hAnsi="mylotus"/>
          <w:b/>
          <w:bCs/>
          <w:sz w:val="32"/>
          <w:rtl/>
        </w:rPr>
        <w:t>(فهو وإن كان)</w:t>
      </w:r>
      <w:r w:rsidRPr="00F27422">
        <w:rPr>
          <w:rFonts w:ascii="mylotus" w:hAnsi="mylotus"/>
          <w:sz w:val="32"/>
          <w:rtl/>
        </w:rPr>
        <w:t xml:space="preserve"> الزواجُ </w:t>
      </w:r>
      <w:r w:rsidRPr="00F27422">
        <w:rPr>
          <w:rFonts w:ascii="mylotus" w:hAnsi="mylotus"/>
          <w:b/>
          <w:bCs/>
          <w:sz w:val="32"/>
          <w:rtl/>
        </w:rPr>
        <w:t>(صحيحاً، ولكن يحتمل معه ثبوت الخيار للمعقود عليه بعد البلوغ والرشد، فلو فسخ فلا يترك مراعاة مقتضى الاحتياط بتجديد العقد أو الطلاق)</w:t>
      </w:r>
      <w:r w:rsidRPr="00F27422">
        <w:rPr>
          <w:rFonts w:ascii="mylotus" w:hAnsi="mylotus"/>
          <w:b/>
          <w:bCs/>
          <w:sz w:val="32"/>
        </w:rPr>
        <w:t>.</w:t>
      </w:r>
    </w:p>
    <w:p w14:paraId="2D0BFF60"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ومعناه: إن</w:t>
      </w:r>
      <w:r w:rsidRPr="00F27422">
        <w:rPr>
          <w:rFonts w:ascii="mylotus" w:hAnsi="mylotus" w:hint="cs"/>
          <w:sz w:val="32"/>
          <w:rtl/>
        </w:rPr>
        <w:t>ْ</w:t>
      </w:r>
      <w:r w:rsidRPr="00F27422">
        <w:rPr>
          <w:rFonts w:ascii="mylotus" w:hAnsi="mylotus"/>
          <w:sz w:val="32"/>
          <w:rtl/>
        </w:rPr>
        <w:t xml:space="preserve"> رضي بعد الفسخ فالاحتياط يقتضي تجديد العقد، وإنْ لم يرضَ فالاحتياط يقتضي الطلاق</w:t>
      </w:r>
      <w:r w:rsidRPr="00F27422">
        <w:rPr>
          <w:rFonts w:ascii="mylotus" w:hAnsi="mylotus"/>
          <w:sz w:val="32"/>
        </w:rPr>
        <w:t>.</w:t>
      </w:r>
    </w:p>
    <w:p w14:paraId="4050C68A"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lastRenderedPageBreak/>
        <w:t>فإن</w:t>
      </w:r>
      <w:r w:rsidRPr="00F27422">
        <w:rPr>
          <w:rFonts w:ascii="mylotus" w:hAnsi="mylotus" w:hint="cs"/>
          <w:sz w:val="32"/>
          <w:rtl/>
        </w:rPr>
        <w:t>ّ</w:t>
      </w:r>
      <w:r w:rsidRPr="00F27422">
        <w:rPr>
          <w:rFonts w:ascii="mylotus" w:hAnsi="mylotus"/>
          <w:sz w:val="32"/>
          <w:rtl/>
        </w:rPr>
        <w:t>ه ناظرٌ للرواية الشريفة ولا مجال للفتوى على خلافها</w:t>
      </w:r>
      <w:r w:rsidRPr="00F27422">
        <w:rPr>
          <w:rFonts w:ascii="mylotus" w:hAnsi="mylotus"/>
          <w:sz w:val="32"/>
        </w:rPr>
        <w:t>.</w:t>
      </w:r>
    </w:p>
    <w:p w14:paraId="75DD6C9A"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 xml:space="preserve">الاعتراضُ الثاني: </w:t>
      </w:r>
      <w:r w:rsidRPr="00F27422">
        <w:rPr>
          <w:rFonts w:ascii="mylotus" w:hAnsi="mylotus"/>
          <w:sz w:val="32"/>
          <w:rtl/>
        </w:rPr>
        <w:t xml:space="preserve">ما أفاده بعض السادة الأعلام (مد ظله) في كتابه [النكاح، باللغة الفارسية، ج12، ص4156]، مِن أنّ مفاد الفقرة الثانية ناظرٌ لفرضٍ مغايرٍ لفرضِ الفقرة الأُولى، فالفرضُ المنظورُ في الفقرة الأُولى - وهي قوله: </w:t>
      </w:r>
      <w:r w:rsidRPr="00F27422">
        <w:rPr>
          <w:rFonts w:ascii="mylotus" w:hAnsi="mylotus"/>
          <w:b/>
          <w:bCs/>
          <w:sz w:val="32"/>
          <w:rtl/>
        </w:rPr>
        <w:t>(عن الصبي يتزوج الصبية؟ قال: إذا كان أبواهما اللذان زوجاهما فنعم جائز)</w:t>
      </w:r>
      <w:r w:rsidRPr="00F27422">
        <w:rPr>
          <w:rFonts w:ascii="mylotus" w:hAnsi="mylotus"/>
          <w:sz w:val="32"/>
          <w:rtl/>
        </w:rPr>
        <w:t xml:space="preserve"> - أنّهما صغيران، وأمّا الفرضُ المنظورُ في الفقرة الثانية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وهي</w:t>
      </w:r>
      <w:r w:rsidRPr="00F27422">
        <w:rPr>
          <w:rFonts w:ascii="mylotus" w:hAnsi="mylotus"/>
          <w:sz w:val="32"/>
          <w:rtl/>
        </w:rPr>
        <w:t xml:space="preserve"> </w:t>
      </w:r>
      <w:r w:rsidRPr="00F27422">
        <w:rPr>
          <w:rFonts w:ascii="mylotus" w:hAnsi="mylotus" w:hint="cs"/>
          <w:sz w:val="32"/>
          <w:rtl/>
        </w:rPr>
        <w:t>قوله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ولكن</w:t>
      </w:r>
      <w:r w:rsidRPr="00F27422">
        <w:rPr>
          <w:rFonts w:ascii="mylotus" w:hAnsi="mylotus"/>
          <w:b/>
          <w:bCs/>
          <w:sz w:val="32"/>
          <w:rtl/>
        </w:rPr>
        <w:t xml:space="preserve"> </w:t>
      </w:r>
      <w:r w:rsidRPr="00F27422">
        <w:rPr>
          <w:rFonts w:ascii="mylotus" w:hAnsi="mylotus" w:hint="cs"/>
          <w:b/>
          <w:bCs/>
          <w:sz w:val="32"/>
          <w:rtl/>
        </w:rPr>
        <w:t>لهما</w:t>
      </w:r>
      <w:r w:rsidRPr="00F27422">
        <w:rPr>
          <w:rFonts w:ascii="mylotus" w:hAnsi="mylotus"/>
          <w:b/>
          <w:bCs/>
          <w:sz w:val="32"/>
          <w:rtl/>
        </w:rPr>
        <w:t xml:space="preserve"> </w:t>
      </w:r>
      <w:r w:rsidRPr="00F27422">
        <w:rPr>
          <w:rFonts w:ascii="mylotus" w:hAnsi="mylotus" w:hint="cs"/>
          <w:b/>
          <w:bCs/>
          <w:sz w:val="32"/>
          <w:rtl/>
        </w:rPr>
        <w:t>الخيار</w:t>
      </w:r>
      <w:r w:rsidRPr="00F27422">
        <w:rPr>
          <w:rFonts w:ascii="mylotus" w:hAnsi="mylotus"/>
          <w:b/>
          <w:bCs/>
          <w:sz w:val="32"/>
          <w:rtl/>
        </w:rPr>
        <w:t xml:space="preserve"> </w:t>
      </w:r>
      <w:r w:rsidRPr="00F27422">
        <w:rPr>
          <w:rFonts w:ascii="mylotus" w:hAnsi="mylotus" w:hint="cs"/>
          <w:b/>
          <w:bCs/>
          <w:sz w:val="32"/>
          <w:rtl/>
        </w:rPr>
        <w:t>إذا</w:t>
      </w:r>
      <w:r w:rsidRPr="00F27422">
        <w:rPr>
          <w:rFonts w:ascii="mylotus" w:hAnsi="mylotus"/>
          <w:b/>
          <w:bCs/>
          <w:sz w:val="32"/>
          <w:rtl/>
        </w:rPr>
        <w:t xml:space="preserve"> </w:t>
      </w:r>
      <w:r w:rsidRPr="00F27422">
        <w:rPr>
          <w:rFonts w:ascii="mylotus" w:hAnsi="mylotus" w:hint="cs"/>
          <w:b/>
          <w:bCs/>
          <w:sz w:val="32"/>
          <w:rtl/>
        </w:rPr>
        <w:t>أدركا</w:t>
      </w:r>
      <w:r w:rsidRPr="00F27422">
        <w:rPr>
          <w:rFonts w:ascii="mylotus" w:hAnsi="mylotus"/>
          <w:b/>
          <w:bCs/>
          <w:sz w:val="32"/>
          <w:rtl/>
        </w:rPr>
        <w:t>)</w:t>
      </w:r>
      <w:r w:rsidRPr="00F27422">
        <w:rPr>
          <w:rFonts w:ascii="mylotus" w:hAnsi="mylotus"/>
          <w:sz w:val="32"/>
          <w:rtl/>
        </w:rPr>
        <w:t xml:space="preserve"> - </w:t>
      </w:r>
      <w:r w:rsidRPr="00F27422">
        <w:rPr>
          <w:rFonts w:ascii="mylotus" w:hAnsi="mylotus" w:hint="cs"/>
          <w:sz w:val="32"/>
          <w:rtl/>
        </w:rPr>
        <w:t>إذا</w:t>
      </w:r>
      <w:r w:rsidRPr="00F27422">
        <w:rPr>
          <w:rFonts w:ascii="mylotus" w:hAnsi="mylotus"/>
          <w:sz w:val="32"/>
          <w:rtl/>
        </w:rPr>
        <w:t xml:space="preserve"> </w:t>
      </w:r>
      <w:r w:rsidRPr="00F27422">
        <w:rPr>
          <w:rFonts w:ascii="mylotus" w:hAnsi="mylotus" w:hint="cs"/>
          <w:sz w:val="32"/>
          <w:rtl/>
        </w:rPr>
        <w:t>زوجهما</w:t>
      </w:r>
      <w:r w:rsidRPr="00F27422">
        <w:rPr>
          <w:rFonts w:ascii="mylotus" w:hAnsi="mylotus"/>
          <w:sz w:val="32"/>
          <w:rtl/>
        </w:rPr>
        <w:t xml:space="preserve"> </w:t>
      </w:r>
      <w:r w:rsidRPr="00F27422">
        <w:rPr>
          <w:rFonts w:ascii="mylotus" w:hAnsi="mylotus" w:hint="cs"/>
          <w:sz w:val="32"/>
          <w:rtl/>
        </w:rPr>
        <w:t>وهما</w:t>
      </w:r>
      <w:r w:rsidRPr="00F27422">
        <w:rPr>
          <w:rFonts w:ascii="mylotus" w:hAnsi="mylotus"/>
          <w:sz w:val="32"/>
          <w:rtl/>
        </w:rPr>
        <w:t xml:space="preserve"> </w:t>
      </w:r>
      <w:r w:rsidRPr="00F27422">
        <w:rPr>
          <w:rFonts w:ascii="mylotus" w:hAnsi="mylotus" w:hint="cs"/>
          <w:sz w:val="32"/>
          <w:rtl/>
        </w:rPr>
        <w:t>قد</w:t>
      </w:r>
      <w:r w:rsidRPr="00F27422">
        <w:rPr>
          <w:rFonts w:ascii="mylotus" w:hAnsi="mylotus"/>
          <w:sz w:val="32"/>
          <w:rtl/>
        </w:rPr>
        <w:t xml:space="preserve"> </w:t>
      </w:r>
      <w:r w:rsidRPr="00F27422">
        <w:rPr>
          <w:rFonts w:ascii="mylotus" w:hAnsi="mylotus" w:hint="cs"/>
          <w:sz w:val="32"/>
          <w:rtl/>
        </w:rPr>
        <w:t>بَلغا،</w:t>
      </w:r>
      <w:r w:rsidRPr="00F27422">
        <w:rPr>
          <w:rFonts w:ascii="mylotus" w:hAnsi="mylotus"/>
          <w:sz w:val="32"/>
          <w:rtl/>
        </w:rPr>
        <w:t xml:space="preserve"> </w:t>
      </w:r>
      <w:r w:rsidRPr="00F27422">
        <w:rPr>
          <w:rFonts w:ascii="mylotus" w:hAnsi="mylotus" w:hint="cs"/>
          <w:sz w:val="32"/>
          <w:rtl/>
        </w:rPr>
        <w:t>فكأنّه</w:t>
      </w:r>
      <w:r w:rsidRPr="00F27422">
        <w:rPr>
          <w:rFonts w:ascii="mylotus" w:hAnsi="mylotus"/>
          <w:sz w:val="32"/>
          <w:rtl/>
        </w:rPr>
        <w:t xml:space="preserve"> </w:t>
      </w:r>
      <w:r w:rsidRPr="00F27422">
        <w:rPr>
          <w:rFonts w:ascii="mylotus" w:hAnsi="mylotus" w:hint="cs"/>
          <w:sz w:val="32"/>
          <w:rtl/>
        </w:rPr>
        <w:t>قال</w:t>
      </w:r>
      <w:r w:rsidRPr="00F27422">
        <w:rPr>
          <w:rFonts w:ascii="mylotus" w:hAnsi="mylotus"/>
          <w:sz w:val="32"/>
          <w:rtl/>
        </w:rPr>
        <w:t xml:space="preserve">: </w:t>
      </w:r>
      <w:r w:rsidRPr="00F27422">
        <w:rPr>
          <w:rFonts w:ascii="mylotus" w:hAnsi="mylotus" w:hint="cs"/>
          <w:sz w:val="32"/>
          <w:rtl/>
        </w:rPr>
        <w:t>ولكن</w:t>
      </w:r>
      <w:r w:rsidRPr="00F27422">
        <w:rPr>
          <w:rFonts w:ascii="mylotus" w:hAnsi="mylotus"/>
          <w:sz w:val="32"/>
          <w:rtl/>
        </w:rPr>
        <w:t xml:space="preserve"> </w:t>
      </w:r>
      <w:r w:rsidRPr="00F27422">
        <w:rPr>
          <w:rFonts w:ascii="mylotus" w:hAnsi="mylotus" w:hint="cs"/>
          <w:sz w:val="32"/>
          <w:rtl/>
        </w:rPr>
        <w:t>لو</w:t>
      </w:r>
      <w:r w:rsidRPr="00F27422">
        <w:rPr>
          <w:rFonts w:ascii="mylotus" w:hAnsi="mylotus"/>
          <w:sz w:val="32"/>
          <w:rtl/>
        </w:rPr>
        <w:t xml:space="preserve"> </w:t>
      </w:r>
      <w:r w:rsidRPr="00F27422">
        <w:rPr>
          <w:rFonts w:ascii="mylotus" w:hAnsi="mylotus" w:hint="cs"/>
          <w:sz w:val="32"/>
          <w:rtl/>
        </w:rPr>
        <w:t>زوجهما</w:t>
      </w:r>
      <w:r w:rsidRPr="00F27422">
        <w:rPr>
          <w:rFonts w:ascii="mylotus" w:hAnsi="mylotus"/>
          <w:sz w:val="32"/>
          <w:rtl/>
        </w:rPr>
        <w:t xml:space="preserve"> </w:t>
      </w:r>
      <w:r w:rsidRPr="00F27422">
        <w:rPr>
          <w:rFonts w:ascii="mylotus" w:hAnsi="mylotus" w:hint="cs"/>
          <w:sz w:val="32"/>
          <w:rtl/>
        </w:rPr>
        <w:t>بعد</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أدركا</w:t>
      </w:r>
      <w:r w:rsidRPr="00F27422">
        <w:rPr>
          <w:rFonts w:ascii="mylotus" w:hAnsi="mylotus"/>
          <w:sz w:val="32"/>
          <w:rtl/>
        </w:rPr>
        <w:t xml:space="preserve"> </w:t>
      </w:r>
      <w:r w:rsidRPr="00F27422">
        <w:rPr>
          <w:rFonts w:ascii="mylotus" w:hAnsi="mylotus" w:hint="cs"/>
          <w:sz w:val="32"/>
          <w:rtl/>
        </w:rPr>
        <w:t>فلهما</w:t>
      </w:r>
      <w:r w:rsidRPr="00F27422">
        <w:rPr>
          <w:rFonts w:ascii="mylotus" w:hAnsi="mylotus"/>
          <w:sz w:val="32"/>
          <w:rtl/>
        </w:rPr>
        <w:t xml:space="preserve"> </w:t>
      </w:r>
      <w:r w:rsidRPr="00F27422">
        <w:rPr>
          <w:rFonts w:ascii="mylotus" w:hAnsi="mylotus" w:hint="cs"/>
          <w:sz w:val="32"/>
          <w:rtl/>
        </w:rPr>
        <w:t>الخيار،</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زوجهما</w:t>
      </w:r>
      <w:r w:rsidRPr="00F27422">
        <w:rPr>
          <w:rFonts w:ascii="mylotus" w:hAnsi="mylotus"/>
          <w:sz w:val="32"/>
          <w:rtl/>
        </w:rPr>
        <w:t xml:space="preserve"> </w:t>
      </w:r>
      <w:r w:rsidRPr="00F27422">
        <w:rPr>
          <w:rFonts w:ascii="mylotus" w:hAnsi="mylotus" w:hint="cs"/>
          <w:sz w:val="32"/>
          <w:rtl/>
        </w:rPr>
        <w:t>وهما</w:t>
      </w:r>
      <w:r w:rsidRPr="00F27422">
        <w:rPr>
          <w:rFonts w:ascii="mylotus" w:hAnsi="mylotus"/>
          <w:sz w:val="32"/>
          <w:rtl/>
        </w:rPr>
        <w:t xml:space="preserve"> </w:t>
      </w:r>
      <w:r w:rsidRPr="00F27422">
        <w:rPr>
          <w:rFonts w:ascii="mylotus" w:hAnsi="mylotus" w:hint="cs"/>
          <w:sz w:val="32"/>
          <w:rtl/>
        </w:rPr>
        <w:t>كبيران</w:t>
      </w:r>
      <w:r w:rsidRPr="00F27422">
        <w:rPr>
          <w:rFonts w:ascii="mylotus" w:hAnsi="mylotus"/>
          <w:sz w:val="32"/>
          <w:rtl/>
        </w:rPr>
        <w:t xml:space="preserve"> -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صغيران -.</w:t>
      </w:r>
    </w:p>
    <w:p w14:paraId="4A9C534B"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 xml:space="preserve">قال (مد ظله): </w:t>
      </w:r>
      <w:r w:rsidRPr="00F27422">
        <w:rPr>
          <w:rFonts w:ascii="mylotus" w:hAnsi="mylotus"/>
          <w:b/>
          <w:bCs/>
          <w:sz w:val="32"/>
          <w:rtl/>
        </w:rPr>
        <w:t>(كلمة "إذا أدركا" ناظرة إلى فرض آخر غير الفرض السابق. ومفاد الرواية هو أنه إذا عُقد على الصغير والصغيرة فلا خيار في الأمر، ولكن إذا أُجري العقد في وقت بلوغهما (كونهما مدركين) فلهما الخيار)</w:t>
      </w:r>
      <w:r w:rsidRPr="00F27422">
        <w:rPr>
          <w:rFonts w:ascii="mylotus" w:hAnsi="mylotus"/>
          <w:b/>
          <w:bCs/>
          <w:sz w:val="32"/>
        </w:rPr>
        <w:t>.</w:t>
      </w:r>
    </w:p>
    <w:p w14:paraId="6A344E1E"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وبالتالي لا تكون هذه الرواية معارضةً للروايات الدال</w:t>
      </w:r>
      <w:r w:rsidRPr="00F27422">
        <w:rPr>
          <w:rFonts w:ascii="mylotus" w:hAnsi="mylotus" w:hint="cs"/>
          <w:sz w:val="32"/>
          <w:rtl/>
        </w:rPr>
        <w:t>ّ</w:t>
      </w:r>
      <w:r w:rsidRPr="00F27422">
        <w:rPr>
          <w:rFonts w:ascii="mylotus" w:hAnsi="mylotus"/>
          <w:sz w:val="32"/>
          <w:rtl/>
        </w:rPr>
        <w:t>ة على لزوم العقد الصادر م</w:t>
      </w:r>
      <w:r w:rsidRPr="00F27422">
        <w:rPr>
          <w:rFonts w:ascii="mylotus" w:hAnsi="mylotus" w:hint="cs"/>
          <w:sz w:val="32"/>
          <w:rtl/>
        </w:rPr>
        <w:t>ِ</w:t>
      </w:r>
      <w:r w:rsidRPr="00F27422">
        <w:rPr>
          <w:rFonts w:ascii="mylotus" w:hAnsi="mylotus"/>
          <w:sz w:val="32"/>
          <w:rtl/>
        </w:rPr>
        <w:t>ن الأب أو الجد للأب</w:t>
      </w:r>
      <w:r w:rsidRPr="00F27422">
        <w:rPr>
          <w:rFonts w:ascii="mylotus" w:hAnsi="mylotus"/>
          <w:sz w:val="32"/>
        </w:rPr>
        <w:t>.</w:t>
      </w:r>
    </w:p>
    <w:p w14:paraId="73A5C7FC"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ولكن يلاحظ عليه:</w:t>
      </w:r>
      <w:r w:rsidRPr="00F27422">
        <w:rPr>
          <w:rFonts w:ascii="mylotus" w:hAnsi="mylotus"/>
          <w:sz w:val="32"/>
          <w:rtl/>
        </w:rPr>
        <w:t xml:space="preserve"> أنّه منافٍ لسياق الرواية؛ حيث </w:t>
      </w:r>
      <w:proofErr w:type="gramStart"/>
      <w:r w:rsidRPr="00F27422">
        <w:rPr>
          <w:rFonts w:ascii="mylotus" w:hAnsi="mylotus"/>
          <w:sz w:val="32"/>
          <w:rtl/>
        </w:rPr>
        <w:t>أنّ</w:t>
      </w:r>
      <w:proofErr w:type="gramEnd"/>
      <w:r w:rsidRPr="00F27422">
        <w:rPr>
          <w:rFonts w:ascii="mylotus" w:hAnsi="mylotus"/>
          <w:sz w:val="32"/>
          <w:rtl/>
        </w:rPr>
        <w:t xml:space="preserve"> الاستدراك بـ "لكن" ظاهرٌ في كونه استثناء من الحكم وهو قوله (عليه السلام): </w:t>
      </w:r>
      <w:r w:rsidRPr="00F27422">
        <w:rPr>
          <w:rFonts w:ascii="mylotus" w:hAnsi="mylotus"/>
          <w:b/>
          <w:bCs/>
          <w:sz w:val="32"/>
          <w:rtl/>
        </w:rPr>
        <w:t>(فنعم جائز، ولكن)</w:t>
      </w:r>
      <w:r w:rsidRPr="00F27422">
        <w:rPr>
          <w:rFonts w:ascii="mylotus" w:hAnsi="mylotus"/>
          <w:sz w:val="32"/>
          <w:rtl/>
        </w:rPr>
        <w:t>، لا استثناءٌ من الموضوع أي: ولكن إنْ كانا كبيرين فالزواج موقوف على الخيار، فهذا خلافُ ظاهر الاستدراك</w:t>
      </w:r>
      <w:r w:rsidRPr="00F27422">
        <w:rPr>
          <w:rFonts w:ascii="mylotus" w:hAnsi="mylotus"/>
          <w:sz w:val="32"/>
        </w:rPr>
        <w:t>.</w:t>
      </w:r>
    </w:p>
    <w:p w14:paraId="39F60EC0"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مضافاً:</w:t>
      </w:r>
      <w:r w:rsidRPr="00F27422">
        <w:rPr>
          <w:rFonts w:ascii="mylotus" w:hAnsi="mylotus"/>
          <w:sz w:val="32"/>
          <w:rtl/>
        </w:rPr>
        <w:t xml:space="preserve"> لاشتمال سائر فقراتها على النظر لتزويج صغيرين في حكم المهر والتوارث</w:t>
      </w:r>
      <w:r w:rsidRPr="00F27422">
        <w:rPr>
          <w:rFonts w:ascii="mylotus" w:hAnsi="mylotus" w:hint="cs"/>
          <w:sz w:val="32"/>
          <w:rtl/>
        </w:rPr>
        <w:t>.</w:t>
      </w:r>
    </w:p>
    <w:p w14:paraId="2FA0AD80"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 xml:space="preserve">كما أنّ ظاهر الروايات عدم استقلال الأب حتى بالنسبة للصغيرة حال بلوغها، نحو معتبرة صفوان، كما في التهذيب: </w:t>
      </w:r>
      <w:r w:rsidRPr="00F27422">
        <w:rPr>
          <w:rFonts w:ascii="mylotus" w:hAnsi="mylotus"/>
          <w:b/>
          <w:bCs/>
          <w:sz w:val="32"/>
          <w:rtl/>
        </w:rPr>
        <w:t xml:space="preserve">(أحمد بن محمّد بن عيسى، عن ابن فضال، عن صفوان قال: استشار </w:t>
      </w:r>
      <w:proofErr w:type="gramStart"/>
      <w:r w:rsidRPr="00F27422">
        <w:rPr>
          <w:rFonts w:ascii="mylotus" w:hAnsi="mylotus"/>
          <w:b/>
          <w:bCs/>
          <w:sz w:val="32"/>
          <w:rtl/>
        </w:rPr>
        <w:t>عبدالرحمن</w:t>
      </w:r>
      <w:proofErr w:type="gramEnd"/>
      <w:r w:rsidRPr="00F27422">
        <w:rPr>
          <w:rFonts w:ascii="mylotus" w:hAnsi="mylotus"/>
          <w:b/>
          <w:bCs/>
          <w:sz w:val="32"/>
          <w:rtl/>
        </w:rPr>
        <w:t xml:space="preserve"> موسى بن جعفر (عليه </w:t>
      </w:r>
      <w:r w:rsidRPr="00F27422">
        <w:rPr>
          <w:rFonts w:ascii="Times New Roman" w:hAnsi="Times New Roman" w:cs="Times New Roman" w:hint="cs"/>
          <w:b/>
          <w:bCs/>
          <w:sz w:val="32"/>
          <w:rtl/>
        </w:rPr>
        <w:t>‌</w:t>
      </w:r>
      <w:r w:rsidRPr="00F27422">
        <w:rPr>
          <w:rFonts w:ascii="mylotus" w:hAnsi="mylotus" w:hint="cs"/>
          <w:b/>
          <w:bCs/>
          <w:sz w:val="32"/>
          <w:rtl/>
        </w:rPr>
        <w:t>السلام</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تزويج</w:t>
      </w:r>
      <w:r w:rsidRPr="00F27422">
        <w:rPr>
          <w:rFonts w:ascii="mylotus" w:hAnsi="mylotus"/>
          <w:b/>
          <w:bCs/>
          <w:sz w:val="32"/>
          <w:rtl/>
        </w:rPr>
        <w:t xml:space="preserve"> </w:t>
      </w:r>
      <w:r w:rsidRPr="00F27422">
        <w:rPr>
          <w:rFonts w:ascii="mylotus" w:hAnsi="mylotus" w:hint="cs"/>
          <w:b/>
          <w:bCs/>
          <w:sz w:val="32"/>
          <w:rtl/>
        </w:rPr>
        <w:t>ابنته</w:t>
      </w:r>
      <w:r w:rsidRPr="00F27422">
        <w:rPr>
          <w:rFonts w:ascii="mylotus" w:hAnsi="mylotus"/>
          <w:b/>
          <w:bCs/>
          <w:sz w:val="32"/>
          <w:rtl/>
        </w:rPr>
        <w:t xml:space="preserve"> </w:t>
      </w:r>
      <w:r w:rsidRPr="00F27422">
        <w:rPr>
          <w:rFonts w:ascii="mylotus" w:hAnsi="mylotus" w:hint="cs"/>
          <w:b/>
          <w:bCs/>
          <w:sz w:val="32"/>
          <w:rtl/>
        </w:rPr>
        <w:t>لابن</w:t>
      </w:r>
      <w:r w:rsidRPr="00F27422">
        <w:rPr>
          <w:rFonts w:ascii="mylotus" w:hAnsi="mylotus"/>
          <w:b/>
          <w:bCs/>
          <w:sz w:val="32"/>
          <w:rtl/>
        </w:rPr>
        <w:t xml:space="preserve"> </w:t>
      </w:r>
      <w:r w:rsidRPr="00F27422">
        <w:rPr>
          <w:rFonts w:ascii="mylotus" w:hAnsi="mylotus" w:hint="cs"/>
          <w:b/>
          <w:bCs/>
          <w:sz w:val="32"/>
          <w:rtl/>
        </w:rPr>
        <w:t>أخيه</w:t>
      </w:r>
      <w:r w:rsidRPr="00F27422">
        <w:rPr>
          <w:rFonts w:ascii="mylotus" w:hAnsi="mylotus"/>
          <w:b/>
          <w:bCs/>
          <w:sz w:val="32"/>
          <w:rtl/>
        </w:rPr>
        <w:t xml:space="preserve"> </w:t>
      </w:r>
      <w:r w:rsidRPr="00F27422">
        <w:rPr>
          <w:rFonts w:ascii="mylotus" w:hAnsi="mylotus" w:hint="cs"/>
          <w:b/>
          <w:bCs/>
          <w:sz w:val="32"/>
          <w:rtl/>
        </w:rPr>
        <w:t>فقال</w:t>
      </w:r>
      <w:r w:rsidRPr="00F27422">
        <w:rPr>
          <w:rFonts w:ascii="mylotus" w:hAnsi="mylotus"/>
          <w:b/>
          <w:bCs/>
          <w:sz w:val="32"/>
          <w:rtl/>
        </w:rPr>
        <w:t xml:space="preserve">: </w:t>
      </w:r>
      <w:r w:rsidRPr="00F27422">
        <w:rPr>
          <w:rFonts w:ascii="mylotus" w:hAnsi="mylotus" w:hint="cs"/>
          <w:b/>
          <w:bCs/>
          <w:sz w:val="32"/>
          <w:rtl/>
        </w:rPr>
        <w:t>افعل</w:t>
      </w:r>
      <w:r w:rsidRPr="00F27422">
        <w:rPr>
          <w:rFonts w:ascii="mylotus" w:hAnsi="mylotus"/>
          <w:b/>
          <w:bCs/>
          <w:sz w:val="32"/>
          <w:rtl/>
        </w:rPr>
        <w:t xml:space="preserve"> </w:t>
      </w:r>
      <w:r w:rsidRPr="00F27422">
        <w:rPr>
          <w:rFonts w:ascii="mylotus" w:hAnsi="mylotus" w:hint="cs"/>
          <w:b/>
          <w:bCs/>
          <w:sz w:val="32"/>
          <w:rtl/>
        </w:rPr>
        <w:t>ويكون</w:t>
      </w:r>
      <w:r w:rsidRPr="00F27422">
        <w:rPr>
          <w:rFonts w:ascii="mylotus" w:hAnsi="mylotus"/>
          <w:b/>
          <w:bCs/>
          <w:sz w:val="32"/>
          <w:rtl/>
        </w:rPr>
        <w:t xml:space="preserve"> </w:t>
      </w:r>
      <w:r w:rsidRPr="00F27422">
        <w:rPr>
          <w:rFonts w:ascii="mylotus" w:hAnsi="mylotus" w:hint="cs"/>
          <w:b/>
          <w:bCs/>
          <w:sz w:val="32"/>
          <w:rtl/>
        </w:rPr>
        <w:t>ذلك</w:t>
      </w:r>
      <w:r w:rsidRPr="00F27422">
        <w:rPr>
          <w:rFonts w:ascii="mylotus" w:hAnsi="mylotus"/>
          <w:b/>
          <w:bCs/>
          <w:sz w:val="32"/>
          <w:rtl/>
        </w:rPr>
        <w:t xml:space="preserve"> </w:t>
      </w:r>
      <w:r w:rsidRPr="00F27422">
        <w:rPr>
          <w:rFonts w:ascii="mylotus" w:hAnsi="mylotus" w:hint="cs"/>
          <w:b/>
          <w:bCs/>
          <w:sz w:val="32"/>
          <w:rtl/>
        </w:rPr>
        <w:t>برضاها</w:t>
      </w:r>
      <w:r w:rsidRPr="00F27422">
        <w:rPr>
          <w:rFonts w:ascii="mylotus" w:hAnsi="mylotus"/>
          <w:b/>
          <w:bCs/>
          <w:sz w:val="32"/>
          <w:rtl/>
        </w:rPr>
        <w:t xml:space="preserve"> </w:t>
      </w:r>
      <w:r w:rsidRPr="00F27422">
        <w:rPr>
          <w:rFonts w:ascii="mylotus" w:hAnsi="mylotus" w:hint="cs"/>
          <w:b/>
          <w:bCs/>
          <w:sz w:val="32"/>
          <w:rtl/>
        </w:rPr>
        <w:t>فإنّ</w:t>
      </w:r>
      <w:r w:rsidRPr="00F27422">
        <w:rPr>
          <w:rFonts w:ascii="mylotus" w:hAnsi="mylotus"/>
          <w:b/>
          <w:bCs/>
          <w:sz w:val="32"/>
          <w:rtl/>
        </w:rPr>
        <w:t xml:space="preserve"> </w:t>
      </w:r>
      <w:r w:rsidRPr="00F27422">
        <w:rPr>
          <w:rFonts w:ascii="mylotus" w:hAnsi="mylotus" w:hint="cs"/>
          <w:b/>
          <w:bCs/>
          <w:sz w:val="32"/>
          <w:rtl/>
        </w:rPr>
        <w:t>لها</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نفسها</w:t>
      </w:r>
      <w:r w:rsidRPr="00F27422">
        <w:rPr>
          <w:rFonts w:ascii="mylotus" w:hAnsi="mylotus"/>
          <w:b/>
          <w:bCs/>
          <w:sz w:val="32"/>
          <w:rtl/>
        </w:rPr>
        <w:t xml:space="preserve"> </w:t>
      </w:r>
      <w:r w:rsidRPr="00F27422">
        <w:rPr>
          <w:rFonts w:ascii="mylotus" w:hAnsi="mylotus" w:hint="cs"/>
          <w:b/>
          <w:bCs/>
          <w:sz w:val="32"/>
          <w:rtl/>
        </w:rPr>
        <w:t>نصيباً،</w:t>
      </w:r>
      <w:r w:rsidRPr="00F27422">
        <w:rPr>
          <w:rFonts w:ascii="mylotus" w:hAnsi="mylotus"/>
          <w:b/>
          <w:bCs/>
          <w:sz w:val="32"/>
          <w:rtl/>
        </w:rPr>
        <w:t xml:space="preserve"> </w:t>
      </w:r>
      <w:r w:rsidRPr="00F27422">
        <w:rPr>
          <w:rFonts w:ascii="mylotus" w:hAnsi="mylotus" w:hint="cs"/>
          <w:b/>
          <w:bCs/>
          <w:sz w:val="32"/>
          <w:rtl/>
        </w:rPr>
        <w:t>قال</w:t>
      </w:r>
      <w:r w:rsidRPr="00F27422">
        <w:rPr>
          <w:rFonts w:ascii="mylotus" w:hAnsi="mylotus"/>
          <w:b/>
          <w:bCs/>
          <w:sz w:val="32"/>
          <w:rtl/>
        </w:rPr>
        <w:t xml:space="preserve">: </w:t>
      </w:r>
      <w:r w:rsidRPr="00F27422">
        <w:rPr>
          <w:rFonts w:ascii="mylotus" w:hAnsi="mylotus" w:hint="cs"/>
          <w:b/>
          <w:bCs/>
          <w:sz w:val="32"/>
          <w:rtl/>
        </w:rPr>
        <w:t>فاستشار</w:t>
      </w:r>
      <w:r w:rsidRPr="00F27422">
        <w:rPr>
          <w:rFonts w:ascii="mylotus" w:hAnsi="mylotus"/>
          <w:b/>
          <w:bCs/>
          <w:sz w:val="32"/>
          <w:rtl/>
        </w:rPr>
        <w:t xml:space="preserve"> </w:t>
      </w:r>
      <w:r w:rsidRPr="00F27422">
        <w:rPr>
          <w:rFonts w:ascii="mylotus" w:hAnsi="mylotus" w:hint="cs"/>
          <w:b/>
          <w:bCs/>
          <w:sz w:val="32"/>
          <w:rtl/>
        </w:rPr>
        <w:t>خالد</w:t>
      </w:r>
      <w:r w:rsidRPr="00F27422">
        <w:rPr>
          <w:rFonts w:ascii="mylotus" w:hAnsi="mylotus"/>
          <w:b/>
          <w:bCs/>
          <w:sz w:val="32"/>
          <w:rtl/>
        </w:rPr>
        <w:t xml:space="preserve"> </w:t>
      </w:r>
      <w:r w:rsidRPr="00F27422">
        <w:rPr>
          <w:rFonts w:ascii="mylotus" w:hAnsi="mylotus" w:hint="cs"/>
          <w:b/>
          <w:bCs/>
          <w:sz w:val="32"/>
          <w:rtl/>
        </w:rPr>
        <w:t>بن</w:t>
      </w:r>
      <w:r w:rsidRPr="00F27422">
        <w:rPr>
          <w:rFonts w:ascii="mylotus" w:hAnsi="mylotus"/>
          <w:b/>
          <w:bCs/>
          <w:sz w:val="32"/>
          <w:rtl/>
        </w:rPr>
        <w:t xml:space="preserve"> </w:t>
      </w:r>
      <w:r w:rsidRPr="00F27422">
        <w:rPr>
          <w:rFonts w:ascii="mylotus" w:hAnsi="mylotus" w:hint="cs"/>
          <w:b/>
          <w:bCs/>
          <w:sz w:val="32"/>
          <w:rtl/>
        </w:rPr>
        <w:t>داود</w:t>
      </w:r>
      <w:r w:rsidRPr="00F27422">
        <w:rPr>
          <w:rFonts w:ascii="mylotus" w:hAnsi="mylotus"/>
          <w:b/>
          <w:bCs/>
          <w:sz w:val="32"/>
          <w:rtl/>
        </w:rPr>
        <w:t xml:space="preserve"> </w:t>
      </w:r>
      <w:r w:rsidRPr="00F27422">
        <w:rPr>
          <w:rFonts w:ascii="mylotus" w:hAnsi="mylotus" w:hint="cs"/>
          <w:b/>
          <w:bCs/>
          <w:sz w:val="32"/>
          <w:rtl/>
        </w:rPr>
        <w:t>موسى</w:t>
      </w:r>
      <w:r w:rsidRPr="00F27422">
        <w:rPr>
          <w:rFonts w:ascii="mylotus" w:hAnsi="mylotus"/>
          <w:b/>
          <w:bCs/>
          <w:sz w:val="32"/>
          <w:rtl/>
        </w:rPr>
        <w:t xml:space="preserve"> </w:t>
      </w:r>
      <w:r w:rsidRPr="00F27422">
        <w:rPr>
          <w:rFonts w:ascii="mylotus" w:hAnsi="mylotus" w:hint="cs"/>
          <w:b/>
          <w:bCs/>
          <w:sz w:val="32"/>
          <w:rtl/>
        </w:rPr>
        <w:t>بن</w:t>
      </w:r>
      <w:r w:rsidRPr="00F27422">
        <w:rPr>
          <w:rFonts w:ascii="mylotus" w:hAnsi="mylotus"/>
          <w:b/>
          <w:bCs/>
          <w:sz w:val="32"/>
          <w:rtl/>
        </w:rPr>
        <w:t xml:space="preserve"> </w:t>
      </w:r>
      <w:r w:rsidRPr="00F27422">
        <w:rPr>
          <w:rFonts w:ascii="mylotus" w:hAnsi="mylotus" w:hint="cs"/>
          <w:b/>
          <w:bCs/>
          <w:sz w:val="32"/>
          <w:rtl/>
        </w:rPr>
        <w:t>جعفر</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hint="cs"/>
          <w:b/>
          <w:bCs/>
          <w:sz w:val="32"/>
          <w:rtl/>
        </w:rPr>
        <w:t>السلام</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تزويج</w:t>
      </w:r>
      <w:r w:rsidRPr="00F27422">
        <w:rPr>
          <w:rFonts w:ascii="mylotus" w:hAnsi="mylotus"/>
          <w:b/>
          <w:bCs/>
          <w:sz w:val="32"/>
          <w:rtl/>
        </w:rPr>
        <w:t xml:space="preserve"> </w:t>
      </w:r>
      <w:r w:rsidRPr="00F27422">
        <w:rPr>
          <w:rFonts w:ascii="mylotus" w:hAnsi="mylotus" w:hint="cs"/>
          <w:b/>
          <w:bCs/>
          <w:sz w:val="32"/>
          <w:rtl/>
        </w:rPr>
        <w:t>ابنته</w:t>
      </w:r>
      <w:r w:rsidRPr="00F27422">
        <w:rPr>
          <w:rFonts w:ascii="mylotus" w:hAnsi="mylotus"/>
          <w:b/>
          <w:bCs/>
          <w:sz w:val="32"/>
          <w:rtl/>
        </w:rPr>
        <w:t xml:space="preserve"> </w:t>
      </w:r>
      <w:r w:rsidRPr="00F27422">
        <w:rPr>
          <w:rFonts w:ascii="mylotus" w:hAnsi="mylotus" w:hint="cs"/>
          <w:b/>
          <w:bCs/>
          <w:sz w:val="32"/>
          <w:rtl/>
        </w:rPr>
        <w:t>عليَّ</w:t>
      </w:r>
      <w:r w:rsidRPr="00F27422">
        <w:rPr>
          <w:rFonts w:ascii="mylotus" w:hAnsi="mylotus"/>
          <w:b/>
          <w:bCs/>
          <w:sz w:val="32"/>
          <w:rtl/>
        </w:rPr>
        <w:t xml:space="preserve"> </w:t>
      </w:r>
      <w:r w:rsidRPr="00F27422">
        <w:rPr>
          <w:rFonts w:ascii="mylotus" w:hAnsi="mylotus" w:hint="cs"/>
          <w:b/>
          <w:bCs/>
          <w:sz w:val="32"/>
          <w:rtl/>
        </w:rPr>
        <w:t>بن</w:t>
      </w:r>
      <w:r w:rsidRPr="00F27422">
        <w:rPr>
          <w:rFonts w:ascii="mylotus" w:hAnsi="mylotus"/>
          <w:b/>
          <w:bCs/>
          <w:sz w:val="32"/>
          <w:rtl/>
        </w:rPr>
        <w:t xml:space="preserve"> </w:t>
      </w:r>
      <w:r w:rsidRPr="00F27422">
        <w:rPr>
          <w:rFonts w:ascii="mylotus" w:hAnsi="mylotus" w:hint="cs"/>
          <w:b/>
          <w:bCs/>
          <w:sz w:val="32"/>
          <w:rtl/>
        </w:rPr>
        <w:t>جعفر</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hint="cs"/>
          <w:b/>
          <w:bCs/>
          <w:sz w:val="32"/>
          <w:rtl/>
        </w:rPr>
        <w:t>السلام</w:t>
      </w:r>
      <w:r w:rsidRPr="00F27422">
        <w:rPr>
          <w:rFonts w:ascii="mylotus" w:hAnsi="mylotus"/>
          <w:b/>
          <w:bCs/>
          <w:sz w:val="32"/>
          <w:rtl/>
        </w:rPr>
        <w:t xml:space="preserve">) </w:t>
      </w:r>
      <w:r w:rsidRPr="00F27422">
        <w:rPr>
          <w:rFonts w:ascii="mylotus" w:hAnsi="mylotus" w:hint="cs"/>
          <w:b/>
          <w:bCs/>
          <w:sz w:val="32"/>
          <w:rtl/>
        </w:rPr>
        <w:t>فقال</w:t>
      </w:r>
      <w:r w:rsidRPr="00F27422">
        <w:rPr>
          <w:rFonts w:ascii="mylotus" w:hAnsi="mylotus"/>
          <w:b/>
          <w:bCs/>
          <w:sz w:val="32"/>
          <w:rtl/>
        </w:rPr>
        <w:t xml:space="preserve">: </w:t>
      </w:r>
      <w:r w:rsidRPr="00F27422">
        <w:rPr>
          <w:rFonts w:ascii="mylotus" w:hAnsi="mylotus" w:hint="cs"/>
          <w:b/>
          <w:bCs/>
          <w:sz w:val="32"/>
          <w:rtl/>
        </w:rPr>
        <w:t>افعل</w:t>
      </w:r>
      <w:r w:rsidRPr="00F27422">
        <w:rPr>
          <w:rFonts w:ascii="mylotus" w:hAnsi="mylotus"/>
          <w:b/>
          <w:bCs/>
          <w:sz w:val="32"/>
          <w:rtl/>
        </w:rPr>
        <w:t xml:space="preserve"> </w:t>
      </w:r>
      <w:r w:rsidRPr="00F27422">
        <w:rPr>
          <w:rFonts w:ascii="mylotus" w:hAnsi="mylotus" w:hint="cs"/>
          <w:b/>
          <w:bCs/>
          <w:sz w:val="32"/>
          <w:rtl/>
        </w:rPr>
        <w:t>ويكون</w:t>
      </w:r>
      <w:r w:rsidRPr="00F27422">
        <w:rPr>
          <w:rFonts w:ascii="mylotus" w:hAnsi="mylotus"/>
          <w:b/>
          <w:bCs/>
          <w:sz w:val="32"/>
          <w:rtl/>
        </w:rPr>
        <w:t xml:space="preserve"> </w:t>
      </w:r>
      <w:r w:rsidRPr="00F27422">
        <w:rPr>
          <w:rFonts w:ascii="mylotus" w:hAnsi="mylotus" w:hint="cs"/>
          <w:b/>
          <w:bCs/>
          <w:sz w:val="32"/>
          <w:rtl/>
        </w:rPr>
        <w:t>ذلك</w:t>
      </w:r>
      <w:r w:rsidRPr="00F27422">
        <w:rPr>
          <w:rFonts w:ascii="mylotus" w:hAnsi="mylotus"/>
          <w:b/>
          <w:bCs/>
          <w:sz w:val="32"/>
          <w:rtl/>
        </w:rPr>
        <w:t xml:space="preserve"> </w:t>
      </w:r>
      <w:r w:rsidRPr="00F27422">
        <w:rPr>
          <w:rFonts w:ascii="mylotus" w:hAnsi="mylotus" w:hint="cs"/>
          <w:b/>
          <w:bCs/>
          <w:sz w:val="32"/>
          <w:rtl/>
        </w:rPr>
        <w:t>برضاها</w:t>
      </w:r>
      <w:r w:rsidRPr="00F27422">
        <w:rPr>
          <w:rFonts w:ascii="mylotus" w:hAnsi="mylotus"/>
          <w:b/>
          <w:bCs/>
          <w:sz w:val="32"/>
          <w:rtl/>
        </w:rPr>
        <w:t xml:space="preserve"> </w:t>
      </w:r>
      <w:r w:rsidRPr="00F27422">
        <w:rPr>
          <w:rFonts w:ascii="mylotus" w:hAnsi="mylotus" w:hint="cs"/>
          <w:b/>
          <w:bCs/>
          <w:sz w:val="32"/>
          <w:rtl/>
        </w:rPr>
        <w:t>فإنّ</w:t>
      </w:r>
      <w:r w:rsidRPr="00F27422">
        <w:rPr>
          <w:rFonts w:ascii="mylotus" w:hAnsi="mylotus"/>
          <w:b/>
          <w:bCs/>
          <w:sz w:val="32"/>
          <w:rtl/>
        </w:rPr>
        <w:t xml:space="preserve"> </w:t>
      </w:r>
      <w:r w:rsidRPr="00F27422">
        <w:rPr>
          <w:rFonts w:ascii="mylotus" w:hAnsi="mylotus" w:hint="cs"/>
          <w:b/>
          <w:bCs/>
          <w:sz w:val="32"/>
          <w:rtl/>
        </w:rPr>
        <w:t>لها</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نفسها</w:t>
      </w:r>
      <w:r w:rsidRPr="00F27422">
        <w:rPr>
          <w:rFonts w:ascii="mylotus" w:hAnsi="mylotus"/>
          <w:b/>
          <w:bCs/>
          <w:sz w:val="32"/>
          <w:rtl/>
        </w:rPr>
        <w:t xml:space="preserve"> </w:t>
      </w:r>
      <w:r w:rsidRPr="00F27422">
        <w:rPr>
          <w:rFonts w:ascii="mylotus" w:hAnsi="mylotus" w:hint="cs"/>
          <w:b/>
          <w:bCs/>
          <w:sz w:val="32"/>
          <w:rtl/>
        </w:rPr>
        <w:t>حظاً</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تهذيب</w:t>
      </w:r>
      <w:r w:rsidRPr="00F27422">
        <w:rPr>
          <w:rFonts w:ascii="mylotus" w:hAnsi="mylotus"/>
          <w:sz w:val="32"/>
          <w:rtl/>
        </w:rPr>
        <w:t xml:space="preserve"> </w:t>
      </w:r>
      <w:r w:rsidRPr="00F27422">
        <w:rPr>
          <w:rFonts w:ascii="mylotus" w:hAnsi="mylotus" w:hint="cs"/>
          <w:sz w:val="32"/>
          <w:rtl/>
        </w:rPr>
        <w:t>الأحكام،</w:t>
      </w:r>
      <w:r w:rsidRPr="00F27422">
        <w:rPr>
          <w:rFonts w:ascii="mylotus" w:hAnsi="mylotus"/>
          <w:sz w:val="32"/>
          <w:rtl/>
        </w:rPr>
        <w:t xml:space="preserve"> </w:t>
      </w:r>
      <w:r w:rsidRPr="00F27422">
        <w:rPr>
          <w:rFonts w:ascii="mylotus" w:hAnsi="mylotus" w:hint="cs"/>
          <w:sz w:val="32"/>
          <w:rtl/>
        </w:rPr>
        <w:t>شيخ</w:t>
      </w:r>
      <w:r w:rsidRPr="00F27422">
        <w:rPr>
          <w:rFonts w:ascii="mylotus" w:hAnsi="mylotus"/>
          <w:sz w:val="32"/>
          <w:rtl/>
        </w:rPr>
        <w:t xml:space="preserve"> </w:t>
      </w:r>
      <w:r w:rsidRPr="00F27422">
        <w:rPr>
          <w:rFonts w:ascii="mylotus" w:hAnsi="mylotus" w:hint="cs"/>
          <w:sz w:val="32"/>
          <w:rtl/>
        </w:rPr>
        <w:t>الطائفة</w:t>
      </w:r>
      <w:r w:rsidRPr="00F27422">
        <w:rPr>
          <w:rFonts w:ascii="mylotus" w:hAnsi="mylotus"/>
          <w:sz w:val="32"/>
          <w:rtl/>
        </w:rPr>
        <w:t xml:space="preserve"> </w:t>
      </w:r>
      <w:r w:rsidRPr="00F27422">
        <w:rPr>
          <w:rFonts w:ascii="mylotus" w:hAnsi="mylotus" w:hint="cs"/>
          <w:sz w:val="32"/>
          <w:rtl/>
        </w:rPr>
        <w:t>الطوسي،</w:t>
      </w:r>
      <w:r w:rsidRPr="00F27422">
        <w:rPr>
          <w:rFonts w:ascii="mylotus" w:hAnsi="mylotus"/>
          <w:sz w:val="32"/>
          <w:rtl/>
        </w:rPr>
        <w:t xml:space="preserve"> </w:t>
      </w:r>
      <w:r w:rsidRPr="00F27422">
        <w:rPr>
          <w:rFonts w:ascii="mylotus" w:hAnsi="mylotus" w:hint="cs"/>
          <w:sz w:val="32"/>
          <w:rtl/>
        </w:rPr>
        <w:t>دار</w:t>
      </w:r>
      <w:r w:rsidRPr="00F27422">
        <w:rPr>
          <w:rFonts w:ascii="mylotus" w:hAnsi="mylotus"/>
          <w:sz w:val="32"/>
          <w:rtl/>
        </w:rPr>
        <w:t xml:space="preserve"> </w:t>
      </w:r>
      <w:r w:rsidRPr="00F27422">
        <w:rPr>
          <w:rFonts w:ascii="mylotus" w:hAnsi="mylotus" w:hint="cs"/>
          <w:sz w:val="32"/>
          <w:rtl/>
        </w:rPr>
        <w:t>الكتب</w:t>
      </w:r>
      <w:r w:rsidRPr="00F27422">
        <w:rPr>
          <w:rFonts w:ascii="mylotus" w:hAnsi="mylotus"/>
          <w:sz w:val="32"/>
          <w:rtl/>
        </w:rPr>
        <w:t xml:space="preserve"> </w:t>
      </w:r>
      <w:r w:rsidRPr="00F27422">
        <w:rPr>
          <w:rFonts w:ascii="mylotus" w:hAnsi="mylotus" w:hint="cs"/>
          <w:sz w:val="32"/>
          <w:rtl/>
        </w:rPr>
        <w:t>الإسلامية،</w:t>
      </w:r>
      <w:r w:rsidRPr="00F27422">
        <w:rPr>
          <w:rFonts w:ascii="mylotus" w:hAnsi="mylotus"/>
          <w:sz w:val="32"/>
          <w:rtl/>
        </w:rPr>
        <w:t xml:space="preserve"> </w:t>
      </w:r>
      <w:r w:rsidRPr="00F27422">
        <w:rPr>
          <w:rFonts w:ascii="mylotus" w:hAnsi="mylotus" w:hint="cs"/>
          <w:sz w:val="32"/>
          <w:rtl/>
        </w:rPr>
        <w:t>ج</w:t>
      </w:r>
      <w:r w:rsidRPr="00F27422">
        <w:rPr>
          <w:rFonts w:ascii="mylotus" w:hAnsi="mylotus"/>
          <w:sz w:val="32"/>
          <w:rtl/>
        </w:rPr>
        <w:t>7</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كتاب</w:t>
      </w:r>
      <w:r w:rsidRPr="00F27422">
        <w:rPr>
          <w:rFonts w:ascii="mylotus" w:hAnsi="mylotus"/>
          <w:sz w:val="32"/>
          <w:rtl/>
        </w:rPr>
        <w:t xml:space="preserve"> </w:t>
      </w:r>
      <w:r w:rsidRPr="00F27422">
        <w:rPr>
          <w:rFonts w:ascii="mylotus" w:hAnsi="mylotus" w:hint="cs"/>
          <w:sz w:val="32"/>
          <w:rtl/>
        </w:rPr>
        <w:t>النكاح،</w:t>
      </w:r>
      <w:r w:rsidRPr="00F27422">
        <w:rPr>
          <w:rFonts w:ascii="mylotus" w:hAnsi="mylotus"/>
          <w:sz w:val="32"/>
          <w:rtl/>
        </w:rPr>
        <w:t xml:space="preserve"> </w:t>
      </w:r>
      <w:r w:rsidRPr="00F27422">
        <w:rPr>
          <w:rFonts w:ascii="mylotus" w:hAnsi="mylotus" w:hint="cs"/>
          <w:sz w:val="32"/>
          <w:rtl/>
        </w:rPr>
        <w:t>الباب</w:t>
      </w:r>
      <w:r w:rsidRPr="00F27422">
        <w:rPr>
          <w:rFonts w:ascii="mylotus" w:hAnsi="mylotus"/>
          <w:sz w:val="32"/>
          <w:rtl/>
        </w:rPr>
        <w:t xml:space="preserve"> 32 باب عقد المرأة على نفسها النكاح وأولياء الصبية وأحقهم بالعقد عليها، ح10، </w:t>
      </w:r>
      <w:proofErr w:type="gramStart"/>
      <w:r w:rsidRPr="00F27422">
        <w:rPr>
          <w:rFonts w:ascii="mylotus" w:hAnsi="mylotus"/>
          <w:sz w:val="32"/>
          <w:rtl/>
        </w:rPr>
        <w:t>رقم</w:t>
      </w:r>
      <w:r w:rsidRPr="00F27422">
        <w:rPr>
          <w:rFonts w:ascii="mylotus" w:hAnsi="mylotus" w:hint="cs"/>
          <w:sz w:val="32"/>
          <w:rtl/>
        </w:rPr>
        <w:t xml:space="preserve"> </w:t>
      </w:r>
      <w:r w:rsidRPr="00F27422">
        <w:rPr>
          <w:rFonts w:ascii="mylotus" w:hAnsi="mylotus"/>
          <w:sz w:val="32"/>
        </w:rPr>
        <w:t xml:space="preserve"> (</w:t>
      </w:r>
      <w:proofErr w:type="gramEnd"/>
      <w:r w:rsidRPr="00F27422">
        <w:rPr>
          <w:rFonts w:ascii="mylotus" w:hAnsi="mylotus"/>
          <w:sz w:val="32"/>
        </w:rPr>
        <w:t>1534)</w:t>
      </w:r>
      <w:r w:rsidRPr="00F27422">
        <w:rPr>
          <w:rFonts w:ascii="mylotus" w:hAnsi="mylotus" w:hint="cs"/>
          <w:sz w:val="32"/>
          <w:rtl/>
        </w:rPr>
        <w:t>].</w:t>
      </w:r>
    </w:p>
    <w:p w14:paraId="422CC17F"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فإن حمل الحظ أو النصيب على الحكم الأخلاقي بمعنى: أنّ الأحسن أنْ يأخذ رضاها وإلّا فهو غير لازم</w:t>
      </w:r>
      <w:r w:rsidRPr="00F27422">
        <w:rPr>
          <w:rFonts w:ascii="mylotus" w:hAnsi="mylotus" w:hint="cs"/>
          <w:sz w:val="32"/>
          <w:rtl/>
        </w:rPr>
        <w:t>ٍ</w:t>
      </w:r>
      <w:r w:rsidRPr="00F27422">
        <w:rPr>
          <w:rFonts w:ascii="mylotus" w:hAnsi="mylotus"/>
          <w:sz w:val="32"/>
          <w:rtl/>
        </w:rPr>
        <w:t xml:space="preserve"> شرعا</w:t>
      </w:r>
      <w:r w:rsidRPr="00F27422">
        <w:rPr>
          <w:rFonts w:ascii="mylotus" w:hAnsi="mylotus" w:hint="cs"/>
          <w:sz w:val="32"/>
          <w:rtl/>
        </w:rPr>
        <w:t>ً</w:t>
      </w:r>
      <w:r w:rsidRPr="00F27422">
        <w:rPr>
          <w:rFonts w:ascii="mylotus" w:hAnsi="mylotus"/>
          <w:sz w:val="32"/>
          <w:rtl/>
        </w:rPr>
        <w:t xml:space="preserve"> غير</w:t>
      </w:r>
      <w:r w:rsidRPr="00F27422">
        <w:rPr>
          <w:rFonts w:ascii="mylotus" w:hAnsi="mylotus" w:hint="cs"/>
          <w:sz w:val="32"/>
          <w:rtl/>
        </w:rPr>
        <w:t xml:space="preserve">ُ </w:t>
      </w:r>
      <w:r w:rsidRPr="00F27422">
        <w:rPr>
          <w:rFonts w:ascii="mylotus" w:hAnsi="mylotus"/>
          <w:sz w:val="32"/>
          <w:rtl/>
        </w:rPr>
        <w:t>عرفي</w:t>
      </w:r>
      <w:r w:rsidRPr="00F27422">
        <w:rPr>
          <w:rFonts w:ascii="mylotus" w:hAnsi="mylotus" w:hint="cs"/>
          <w:sz w:val="32"/>
          <w:rtl/>
        </w:rPr>
        <w:t>.</w:t>
      </w:r>
    </w:p>
    <w:p w14:paraId="4A07EF3E" w14:textId="77777777" w:rsidR="008E226B" w:rsidRPr="00F27422" w:rsidRDefault="008E226B" w:rsidP="00122B70">
      <w:pPr>
        <w:pStyle w:val="a"/>
        <w:bidi/>
        <w:spacing w:line="216" w:lineRule="auto"/>
        <w:jc w:val="left"/>
        <w:rPr>
          <w:rFonts w:ascii="mylotus" w:hAnsi="mylotus"/>
          <w:b/>
          <w:bCs/>
          <w:sz w:val="32"/>
          <w:rtl/>
        </w:rPr>
      </w:pPr>
      <w:r w:rsidRPr="00F27422">
        <w:rPr>
          <w:rFonts w:ascii="mylotus" w:hAnsi="mylotus"/>
          <w:sz w:val="32"/>
          <w:rtl/>
        </w:rPr>
        <w:t>الاعتراض</w:t>
      </w:r>
      <w:r w:rsidRPr="00F27422">
        <w:rPr>
          <w:rFonts w:ascii="mylotus" w:hAnsi="mylotus" w:hint="cs"/>
          <w:sz w:val="32"/>
          <w:rtl/>
        </w:rPr>
        <w:t>ُ</w:t>
      </w:r>
      <w:r w:rsidRPr="00F27422">
        <w:rPr>
          <w:rFonts w:ascii="mylotus" w:hAnsi="mylotus"/>
          <w:sz w:val="32"/>
          <w:rtl/>
        </w:rPr>
        <w:t xml:space="preserve"> الثالث: ما ذكره أيضاً بعض السادة الأعلام (مد ظله) في كتابه [النكاح، باللغة الفارسية، ج12، ص4157] بقوله </w:t>
      </w:r>
      <w:r w:rsidRPr="00F27422">
        <w:rPr>
          <w:rFonts w:ascii="mylotus" w:hAnsi="mylotus" w:hint="cs"/>
          <w:sz w:val="32"/>
          <w:rtl/>
        </w:rPr>
        <w:t>مترجماً بما حاصله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تحمل</w:t>
      </w:r>
      <w:r w:rsidRPr="00F27422">
        <w:rPr>
          <w:rFonts w:ascii="mylotus" w:hAnsi="mylotus"/>
          <w:b/>
          <w:bCs/>
          <w:sz w:val="32"/>
          <w:rtl/>
        </w:rPr>
        <w:t xml:space="preserve"> </w:t>
      </w:r>
      <w:r w:rsidRPr="00F27422">
        <w:rPr>
          <w:rFonts w:ascii="mylotus" w:hAnsi="mylotus" w:hint="cs"/>
          <w:b/>
          <w:bCs/>
          <w:sz w:val="32"/>
          <w:rtl/>
        </w:rPr>
        <w:t>صحيحة</w:t>
      </w:r>
      <w:r w:rsidRPr="00F27422">
        <w:rPr>
          <w:rFonts w:ascii="mylotus" w:hAnsi="mylotus"/>
          <w:b/>
          <w:bCs/>
          <w:sz w:val="32"/>
          <w:rtl/>
        </w:rPr>
        <w:t xml:space="preserve"> </w:t>
      </w:r>
      <w:r w:rsidRPr="00F27422">
        <w:rPr>
          <w:rFonts w:ascii="mylotus" w:hAnsi="mylotus" w:hint="cs"/>
          <w:b/>
          <w:bCs/>
          <w:sz w:val="32"/>
          <w:rtl/>
        </w:rPr>
        <w:t>محمّد</w:t>
      </w:r>
      <w:r w:rsidRPr="00F27422">
        <w:rPr>
          <w:rFonts w:ascii="mylotus" w:hAnsi="mylotus"/>
          <w:b/>
          <w:bCs/>
          <w:sz w:val="32"/>
          <w:rtl/>
        </w:rPr>
        <w:t xml:space="preserve"> </w:t>
      </w:r>
      <w:r w:rsidRPr="00F27422">
        <w:rPr>
          <w:rFonts w:ascii="mylotus" w:hAnsi="mylotus" w:hint="cs"/>
          <w:b/>
          <w:bCs/>
          <w:sz w:val="32"/>
          <w:rtl/>
        </w:rPr>
        <w:t>بن</w:t>
      </w:r>
      <w:r w:rsidRPr="00F27422">
        <w:rPr>
          <w:rFonts w:ascii="mylotus" w:hAnsi="mylotus"/>
          <w:b/>
          <w:bCs/>
          <w:sz w:val="32"/>
          <w:rtl/>
        </w:rPr>
        <w:t xml:space="preserve"> </w:t>
      </w:r>
      <w:r w:rsidRPr="00F27422">
        <w:rPr>
          <w:rFonts w:ascii="mylotus" w:hAnsi="mylotus" w:hint="cs"/>
          <w:b/>
          <w:bCs/>
          <w:sz w:val="32"/>
          <w:rtl/>
        </w:rPr>
        <w:t>مسلم</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المورد</w:t>
      </w:r>
      <w:r w:rsidRPr="00F27422">
        <w:rPr>
          <w:rFonts w:ascii="mylotus" w:hAnsi="mylotus"/>
          <w:b/>
          <w:bCs/>
          <w:sz w:val="32"/>
          <w:rtl/>
        </w:rPr>
        <w:t xml:space="preserve"> </w:t>
      </w:r>
      <w:r w:rsidRPr="00F27422">
        <w:rPr>
          <w:rFonts w:ascii="mylotus" w:hAnsi="mylotus" w:hint="cs"/>
          <w:b/>
          <w:bCs/>
          <w:sz w:val="32"/>
          <w:rtl/>
        </w:rPr>
        <w:t>الذي</w:t>
      </w:r>
      <w:r w:rsidRPr="00F27422">
        <w:rPr>
          <w:rFonts w:ascii="mylotus" w:hAnsi="mylotus"/>
          <w:b/>
          <w:bCs/>
          <w:sz w:val="32"/>
          <w:rtl/>
        </w:rPr>
        <w:t xml:space="preserve"> </w:t>
      </w:r>
      <w:r w:rsidRPr="00F27422">
        <w:rPr>
          <w:rFonts w:ascii="mylotus" w:hAnsi="mylotus" w:hint="cs"/>
          <w:b/>
          <w:bCs/>
          <w:sz w:val="32"/>
          <w:rtl/>
        </w:rPr>
        <w:t>أجرى</w:t>
      </w:r>
      <w:r w:rsidRPr="00F27422">
        <w:rPr>
          <w:rFonts w:ascii="mylotus" w:hAnsi="mylotus"/>
          <w:b/>
          <w:bCs/>
          <w:sz w:val="32"/>
          <w:rtl/>
        </w:rPr>
        <w:t xml:space="preserve"> </w:t>
      </w:r>
      <w:r w:rsidRPr="00F27422">
        <w:rPr>
          <w:rFonts w:ascii="mylotus" w:hAnsi="mylotus" w:hint="cs"/>
          <w:b/>
          <w:bCs/>
          <w:sz w:val="32"/>
          <w:rtl/>
        </w:rPr>
        <w:t>فيه</w:t>
      </w:r>
      <w:r w:rsidRPr="00F27422">
        <w:rPr>
          <w:rFonts w:ascii="mylotus" w:hAnsi="mylotus"/>
          <w:b/>
          <w:bCs/>
          <w:sz w:val="32"/>
          <w:rtl/>
        </w:rPr>
        <w:t xml:space="preserve"> </w:t>
      </w:r>
      <w:r w:rsidRPr="00F27422">
        <w:rPr>
          <w:rFonts w:ascii="mylotus" w:hAnsi="mylotus" w:hint="cs"/>
          <w:b/>
          <w:bCs/>
          <w:sz w:val="32"/>
          <w:rtl/>
        </w:rPr>
        <w:t>الوليّ</w:t>
      </w:r>
      <w:r w:rsidRPr="00F27422">
        <w:rPr>
          <w:rFonts w:ascii="mylotus" w:hAnsi="mylotus"/>
          <w:b/>
          <w:bCs/>
          <w:sz w:val="32"/>
          <w:rtl/>
        </w:rPr>
        <w:t xml:space="preserve"> </w:t>
      </w:r>
      <w:r w:rsidRPr="00F27422">
        <w:rPr>
          <w:rFonts w:ascii="mylotus" w:hAnsi="mylotus" w:hint="cs"/>
          <w:b/>
          <w:bCs/>
          <w:sz w:val="32"/>
          <w:rtl/>
        </w:rPr>
        <w:t>العقد</w:t>
      </w:r>
      <w:r w:rsidRPr="00F27422">
        <w:rPr>
          <w:rFonts w:ascii="mylotus" w:hAnsi="mylotus"/>
          <w:b/>
          <w:bCs/>
          <w:sz w:val="32"/>
          <w:rtl/>
        </w:rPr>
        <w:t xml:space="preserve"> </w:t>
      </w:r>
      <w:r w:rsidRPr="00F27422">
        <w:rPr>
          <w:rFonts w:ascii="mylotus" w:hAnsi="mylotus" w:hint="cs"/>
          <w:b/>
          <w:bCs/>
          <w:sz w:val="32"/>
          <w:rtl/>
        </w:rPr>
        <w:t>خلافاً</w:t>
      </w:r>
      <w:r w:rsidRPr="00F27422">
        <w:rPr>
          <w:rFonts w:ascii="mylotus" w:hAnsi="mylotus"/>
          <w:b/>
          <w:bCs/>
          <w:sz w:val="32"/>
          <w:rtl/>
        </w:rPr>
        <w:t xml:space="preserve"> </w:t>
      </w:r>
      <w:r w:rsidRPr="00F27422">
        <w:rPr>
          <w:rFonts w:ascii="mylotus" w:hAnsi="mylotus" w:hint="cs"/>
          <w:b/>
          <w:bCs/>
          <w:sz w:val="32"/>
          <w:rtl/>
        </w:rPr>
        <w:t>لمصلحة</w:t>
      </w:r>
      <w:r w:rsidRPr="00F27422">
        <w:rPr>
          <w:rFonts w:ascii="mylotus" w:hAnsi="mylotus"/>
          <w:b/>
          <w:bCs/>
          <w:sz w:val="32"/>
          <w:rtl/>
        </w:rPr>
        <w:t xml:space="preserve"> </w:t>
      </w:r>
      <w:r w:rsidRPr="00F27422">
        <w:rPr>
          <w:rFonts w:ascii="mylotus" w:hAnsi="mylotus" w:hint="cs"/>
          <w:b/>
          <w:bCs/>
          <w:sz w:val="32"/>
          <w:rtl/>
        </w:rPr>
        <w:t>الصبيّ</w:t>
      </w:r>
      <w:r w:rsidRPr="00F27422">
        <w:rPr>
          <w:rFonts w:ascii="mylotus" w:hAnsi="mylotus"/>
          <w:b/>
          <w:bCs/>
          <w:sz w:val="32"/>
          <w:rtl/>
        </w:rPr>
        <w:t xml:space="preserve"> </w:t>
      </w:r>
      <w:r w:rsidRPr="00F27422">
        <w:rPr>
          <w:rFonts w:ascii="mylotus" w:hAnsi="mylotus" w:hint="cs"/>
          <w:b/>
          <w:bCs/>
          <w:sz w:val="32"/>
          <w:rtl/>
        </w:rPr>
        <w:t>والصبيّة</w:t>
      </w:r>
      <w:r w:rsidRPr="00F27422">
        <w:rPr>
          <w:rFonts w:ascii="mylotus" w:hAnsi="mylotus"/>
          <w:b/>
          <w:bCs/>
          <w:sz w:val="32"/>
          <w:rtl/>
        </w:rPr>
        <w:t xml:space="preserve"> </w:t>
      </w:r>
      <w:r w:rsidRPr="00F27422">
        <w:rPr>
          <w:rFonts w:ascii="mylotus" w:hAnsi="mylotus" w:hint="cs"/>
          <w:b/>
          <w:bCs/>
          <w:sz w:val="32"/>
          <w:rtl/>
        </w:rPr>
        <w:t>لأسباب</w:t>
      </w:r>
      <w:r w:rsidRPr="00F27422">
        <w:rPr>
          <w:rFonts w:ascii="mylotus" w:hAnsi="mylotus"/>
          <w:b/>
          <w:bCs/>
          <w:sz w:val="32"/>
          <w:rtl/>
        </w:rPr>
        <w:t xml:space="preserve"> </w:t>
      </w:r>
      <w:r w:rsidRPr="00F27422">
        <w:rPr>
          <w:rFonts w:ascii="mylotus" w:hAnsi="mylotus" w:hint="cs"/>
          <w:b/>
          <w:bCs/>
          <w:sz w:val="32"/>
          <w:rtl/>
        </w:rPr>
        <w:t>مثل</w:t>
      </w:r>
      <w:r w:rsidRPr="00F27422">
        <w:rPr>
          <w:rFonts w:ascii="mylotus" w:hAnsi="mylotus"/>
          <w:b/>
          <w:bCs/>
          <w:sz w:val="32"/>
          <w:rtl/>
        </w:rPr>
        <w:t xml:space="preserve"> </w:t>
      </w:r>
      <w:r w:rsidRPr="00F27422">
        <w:rPr>
          <w:rFonts w:ascii="mylotus" w:hAnsi="mylotus" w:hint="cs"/>
          <w:b/>
          <w:bCs/>
          <w:sz w:val="32"/>
          <w:rtl/>
        </w:rPr>
        <w:t>إيجاد</w:t>
      </w:r>
      <w:r w:rsidRPr="00F27422">
        <w:rPr>
          <w:rFonts w:ascii="mylotus" w:hAnsi="mylotus"/>
          <w:b/>
          <w:bCs/>
          <w:sz w:val="32"/>
          <w:rtl/>
        </w:rPr>
        <w:t xml:space="preserve"> </w:t>
      </w:r>
      <w:r w:rsidRPr="00F27422">
        <w:rPr>
          <w:rFonts w:ascii="mylotus" w:hAnsi="mylotus" w:hint="cs"/>
          <w:b/>
          <w:bCs/>
          <w:sz w:val="32"/>
          <w:rtl/>
        </w:rPr>
        <w:t>المحرمية،</w:t>
      </w:r>
      <w:r w:rsidRPr="00F27422">
        <w:rPr>
          <w:rFonts w:ascii="mylotus" w:hAnsi="mylotus"/>
          <w:b/>
          <w:bCs/>
          <w:sz w:val="32"/>
          <w:rtl/>
        </w:rPr>
        <w:t xml:space="preserve"> </w:t>
      </w:r>
      <w:r w:rsidRPr="00F27422">
        <w:rPr>
          <w:rFonts w:ascii="mylotus" w:hAnsi="mylotus" w:hint="cs"/>
          <w:b/>
          <w:bCs/>
          <w:sz w:val="32"/>
          <w:rtl/>
        </w:rPr>
        <w:t>حيث</w:t>
      </w:r>
      <w:r w:rsidRPr="00F27422">
        <w:rPr>
          <w:rFonts w:ascii="mylotus" w:hAnsi="mylotus"/>
          <w:b/>
          <w:bCs/>
          <w:sz w:val="32"/>
          <w:rtl/>
        </w:rPr>
        <w:t xml:space="preserve"> </w:t>
      </w:r>
      <w:r w:rsidRPr="00F27422">
        <w:rPr>
          <w:rFonts w:ascii="mylotus" w:hAnsi="mylotus" w:hint="cs"/>
          <w:b/>
          <w:bCs/>
          <w:sz w:val="32"/>
          <w:rtl/>
        </w:rPr>
        <w:t>يعقد</w:t>
      </w:r>
      <w:r w:rsidRPr="00F27422">
        <w:rPr>
          <w:rFonts w:ascii="mylotus" w:hAnsi="mylotus"/>
          <w:b/>
          <w:bCs/>
          <w:sz w:val="32"/>
          <w:rtl/>
        </w:rPr>
        <w:t xml:space="preserve"> </w:t>
      </w:r>
      <w:r w:rsidRPr="00F27422">
        <w:rPr>
          <w:rFonts w:ascii="mylotus" w:hAnsi="mylotus" w:hint="cs"/>
          <w:b/>
          <w:bCs/>
          <w:sz w:val="32"/>
          <w:rtl/>
        </w:rPr>
        <w:t>للفتاة</w:t>
      </w:r>
      <w:r w:rsidRPr="00F27422">
        <w:rPr>
          <w:rFonts w:ascii="mylotus" w:hAnsi="mylotus"/>
          <w:b/>
          <w:bCs/>
          <w:sz w:val="32"/>
          <w:rtl/>
        </w:rPr>
        <w:t xml:space="preserve"> </w:t>
      </w:r>
      <w:r w:rsidRPr="00F27422">
        <w:rPr>
          <w:rFonts w:ascii="mylotus" w:hAnsi="mylotus" w:hint="cs"/>
          <w:b/>
          <w:bCs/>
          <w:sz w:val="32"/>
          <w:rtl/>
        </w:rPr>
        <w:t>الصغيرة</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الصبيّ</w:t>
      </w:r>
      <w:r w:rsidRPr="00F27422">
        <w:rPr>
          <w:rFonts w:ascii="mylotus" w:hAnsi="mylotus"/>
          <w:b/>
          <w:bCs/>
          <w:sz w:val="32"/>
          <w:rtl/>
        </w:rPr>
        <w:t xml:space="preserve"> </w:t>
      </w:r>
      <w:r w:rsidRPr="00F27422">
        <w:rPr>
          <w:rFonts w:ascii="mylotus" w:hAnsi="mylotus" w:hint="cs"/>
          <w:b/>
          <w:bCs/>
          <w:sz w:val="32"/>
          <w:rtl/>
        </w:rPr>
        <w:t>أو</w:t>
      </w:r>
      <w:r w:rsidRPr="00F27422">
        <w:rPr>
          <w:rFonts w:ascii="mylotus" w:hAnsi="mylotus"/>
          <w:b/>
          <w:bCs/>
          <w:sz w:val="32"/>
          <w:rtl/>
        </w:rPr>
        <w:t xml:space="preserve"> </w:t>
      </w:r>
      <w:r w:rsidRPr="00F27422">
        <w:rPr>
          <w:rFonts w:ascii="mylotus" w:hAnsi="mylotus" w:hint="cs"/>
          <w:b/>
          <w:bCs/>
          <w:sz w:val="32"/>
          <w:rtl/>
        </w:rPr>
        <w:t>العكس</w:t>
      </w:r>
      <w:r w:rsidRPr="00F27422">
        <w:rPr>
          <w:rFonts w:ascii="mylotus" w:hAnsi="mylotus"/>
          <w:b/>
          <w:bCs/>
          <w:sz w:val="32"/>
          <w:rtl/>
        </w:rPr>
        <w:t xml:space="preserve">. </w:t>
      </w:r>
      <w:r w:rsidRPr="00F27422">
        <w:rPr>
          <w:rFonts w:ascii="mylotus" w:hAnsi="mylotus" w:hint="cs"/>
          <w:b/>
          <w:bCs/>
          <w:sz w:val="32"/>
          <w:rtl/>
        </w:rPr>
        <w:t>مثل</w:t>
      </w:r>
      <w:r w:rsidRPr="00F27422">
        <w:rPr>
          <w:rFonts w:ascii="mylotus" w:hAnsi="mylotus"/>
          <w:b/>
          <w:bCs/>
          <w:sz w:val="32"/>
          <w:rtl/>
        </w:rPr>
        <w:t xml:space="preserve"> </w:t>
      </w:r>
      <w:r w:rsidRPr="00F27422">
        <w:rPr>
          <w:rFonts w:ascii="mylotus" w:hAnsi="mylotus" w:hint="cs"/>
          <w:b/>
          <w:bCs/>
          <w:sz w:val="32"/>
          <w:rtl/>
        </w:rPr>
        <w:t>هذا</w:t>
      </w:r>
      <w:r w:rsidRPr="00F27422">
        <w:rPr>
          <w:rFonts w:ascii="mylotus" w:hAnsi="mylotus"/>
          <w:b/>
          <w:bCs/>
          <w:sz w:val="32"/>
          <w:rtl/>
        </w:rPr>
        <w:t xml:space="preserve"> </w:t>
      </w:r>
      <w:r w:rsidRPr="00F27422">
        <w:rPr>
          <w:rFonts w:ascii="mylotus" w:hAnsi="mylotus" w:hint="cs"/>
          <w:b/>
          <w:bCs/>
          <w:sz w:val="32"/>
          <w:rtl/>
        </w:rPr>
        <w:t>العقد</w:t>
      </w:r>
      <w:r w:rsidRPr="00F27422">
        <w:rPr>
          <w:rFonts w:ascii="mylotus" w:hAnsi="mylotus"/>
          <w:b/>
          <w:bCs/>
          <w:sz w:val="32"/>
          <w:rtl/>
        </w:rPr>
        <w:t xml:space="preserve"> </w:t>
      </w:r>
      <w:r w:rsidRPr="00F27422">
        <w:rPr>
          <w:rFonts w:ascii="mylotus" w:hAnsi="mylotus" w:hint="cs"/>
          <w:b/>
          <w:bCs/>
          <w:sz w:val="32"/>
          <w:rtl/>
        </w:rPr>
        <w:t>ليس</w:t>
      </w:r>
      <w:r w:rsidRPr="00F27422">
        <w:rPr>
          <w:rFonts w:ascii="mylotus" w:hAnsi="mylotus"/>
          <w:b/>
          <w:bCs/>
          <w:sz w:val="32"/>
          <w:rtl/>
        </w:rPr>
        <w:t xml:space="preserve"> </w:t>
      </w:r>
      <w:r w:rsidRPr="00F27422">
        <w:rPr>
          <w:rFonts w:ascii="mylotus" w:hAnsi="mylotus" w:hint="cs"/>
          <w:b/>
          <w:bCs/>
          <w:sz w:val="32"/>
          <w:rtl/>
        </w:rPr>
        <w:t>نادراً</w:t>
      </w:r>
      <w:r w:rsidRPr="00F27422">
        <w:rPr>
          <w:rFonts w:ascii="mylotus" w:hAnsi="mylotus"/>
          <w:b/>
          <w:bCs/>
          <w:sz w:val="32"/>
          <w:rtl/>
        </w:rPr>
        <w:t xml:space="preserve"> </w:t>
      </w:r>
      <w:r w:rsidRPr="00F27422">
        <w:rPr>
          <w:rFonts w:ascii="mylotus" w:hAnsi="mylotus" w:hint="cs"/>
          <w:b/>
          <w:bCs/>
          <w:sz w:val="32"/>
          <w:rtl/>
        </w:rPr>
        <w:t>بين</w:t>
      </w:r>
      <w:r w:rsidRPr="00F27422">
        <w:rPr>
          <w:rFonts w:ascii="mylotus" w:hAnsi="mylotus"/>
          <w:b/>
          <w:bCs/>
          <w:sz w:val="32"/>
          <w:rtl/>
        </w:rPr>
        <w:t xml:space="preserve"> </w:t>
      </w:r>
      <w:r w:rsidRPr="00F27422">
        <w:rPr>
          <w:rFonts w:ascii="mylotus" w:hAnsi="mylotus" w:hint="cs"/>
          <w:b/>
          <w:bCs/>
          <w:sz w:val="32"/>
          <w:rtl/>
        </w:rPr>
        <w:t>الناس،</w:t>
      </w:r>
      <w:r w:rsidRPr="00F27422">
        <w:rPr>
          <w:rFonts w:ascii="mylotus" w:hAnsi="mylotus"/>
          <w:b/>
          <w:bCs/>
          <w:sz w:val="32"/>
          <w:rtl/>
        </w:rPr>
        <w:t xml:space="preserve"> </w:t>
      </w:r>
      <w:r w:rsidRPr="00F27422">
        <w:rPr>
          <w:rFonts w:ascii="mylotus" w:hAnsi="mylotus" w:hint="cs"/>
          <w:b/>
          <w:bCs/>
          <w:sz w:val="32"/>
          <w:rtl/>
        </w:rPr>
        <w:t>بل</w:t>
      </w:r>
      <w:r w:rsidRPr="00F27422">
        <w:rPr>
          <w:rFonts w:ascii="mylotus" w:hAnsi="mylotus"/>
          <w:b/>
          <w:bCs/>
          <w:sz w:val="32"/>
          <w:rtl/>
        </w:rPr>
        <w:t xml:space="preserve"> </w:t>
      </w:r>
      <w:r w:rsidRPr="00F27422">
        <w:rPr>
          <w:rFonts w:ascii="mylotus" w:hAnsi="mylotus" w:hint="cs"/>
          <w:b/>
          <w:bCs/>
          <w:sz w:val="32"/>
          <w:rtl/>
        </w:rPr>
        <w:t>يتم</w:t>
      </w:r>
      <w:r w:rsidRPr="00F27422">
        <w:rPr>
          <w:rFonts w:ascii="mylotus" w:hAnsi="mylotus"/>
          <w:b/>
          <w:bCs/>
          <w:sz w:val="32"/>
          <w:rtl/>
        </w:rPr>
        <w:t xml:space="preserve"> </w:t>
      </w:r>
      <w:r w:rsidRPr="00F27422">
        <w:rPr>
          <w:rFonts w:ascii="mylotus" w:hAnsi="mylotus" w:hint="cs"/>
          <w:b/>
          <w:bCs/>
          <w:sz w:val="32"/>
          <w:rtl/>
        </w:rPr>
        <w:t>بشكل</w:t>
      </w:r>
      <w:r w:rsidRPr="00F27422">
        <w:rPr>
          <w:rFonts w:ascii="mylotus" w:hAnsi="mylotus"/>
          <w:b/>
          <w:bCs/>
          <w:sz w:val="32"/>
          <w:rtl/>
        </w:rPr>
        <w:t xml:space="preserve"> </w:t>
      </w:r>
      <w:r w:rsidRPr="00F27422">
        <w:rPr>
          <w:rFonts w:ascii="mylotus" w:hAnsi="mylotus" w:hint="cs"/>
          <w:b/>
          <w:bCs/>
          <w:sz w:val="32"/>
          <w:rtl/>
        </w:rPr>
        <w:t>معتاد</w:t>
      </w:r>
      <w:r w:rsidRPr="00F27422">
        <w:rPr>
          <w:rFonts w:ascii="mylotus" w:hAnsi="mylotus"/>
          <w:b/>
          <w:bCs/>
          <w:sz w:val="32"/>
          <w:rtl/>
        </w:rPr>
        <w:t xml:space="preserve"> </w:t>
      </w:r>
      <w:r w:rsidRPr="00F27422">
        <w:rPr>
          <w:rFonts w:ascii="mylotus" w:hAnsi="mylotus" w:hint="cs"/>
          <w:b/>
          <w:bCs/>
          <w:sz w:val="32"/>
          <w:rtl/>
        </w:rPr>
        <w:t>وخاصة</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الأزمنة</w:t>
      </w:r>
      <w:r w:rsidRPr="00F27422">
        <w:rPr>
          <w:rFonts w:ascii="mylotus" w:hAnsi="mylotus"/>
          <w:b/>
          <w:bCs/>
          <w:sz w:val="32"/>
          <w:rtl/>
        </w:rPr>
        <w:t xml:space="preserve"> </w:t>
      </w:r>
      <w:r w:rsidRPr="00F27422">
        <w:rPr>
          <w:rFonts w:ascii="mylotus" w:hAnsi="mylotus" w:hint="cs"/>
          <w:b/>
          <w:bCs/>
          <w:sz w:val="32"/>
          <w:rtl/>
        </w:rPr>
        <w:t>الماضية</w:t>
      </w:r>
      <w:r w:rsidRPr="00F27422">
        <w:rPr>
          <w:rFonts w:ascii="mylotus" w:hAnsi="mylotus"/>
          <w:b/>
          <w:bCs/>
          <w:sz w:val="32"/>
          <w:rtl/>
        </w:rPr>
        <w:t xml:space="preserve"> </w:t>
      </w:r>
      <w:r w:rsidRPr="00F27422">
        <w:rPr>
          <w:rFonts w:ascii="mylotus" w:hAnsi="mylotus" w:hint="cs"/>
          <w:b/>
          <w:bCs/>
          <w:sz w:val="32"/>
          <w:rtl/>
        </w:rPr>
        <w:t>وبين</w:t>
      </w:r>
      <w:r w:rsidRPr="00F27422">
        <w:rPr>
          <w:rFonts w:ascii="mylotus" w:hAnsi="mylotus"/>
          <w:b/>
          <w:bCs/>
          <w:sz w:val="32"/>
          <w:rtl/>
        </w:rPr>
        <w:t xml:space="preserve"> </w:t>
      </w:r>
      <w:r w:rsidRPr="00F27422">
        <w:rPr>
          <w:rFonts w:ascii="mylotus" w:hAnsi="mylotus" w:hint="cs"/>
          <w:b/>
          <w:bCs/>
          <w:sz w:val="32"/>
          <w:rtl/>
        </w:rPr>
        <w:t>القبائل</w:t>
      </w:r>
      <w:r w:rsidRPr="00F27422">
        <w:rPr>
          <w:rFonts w:ascii="mylotus" w:hAnsi="mylotus"/>
          <w:b/>
          <w:bCs/>
          <w:sz w:val="32"/>
          <w:rtl/>
        </w:rPr>
        <w:t xml:space="preserve"> </w:t>
      </w:r>
      <w:r w:rsidRPr="00F27422">
        <w:rPr>
          <w:rFonts w:ascii="mylotus" w:hAnsi="mylotus" w:hint="cs"/>
          <w:b/>
          <w:bCs/>
          <w:sz w:val="32"/>
          <w:rtl/>
        </w:rPr>
        <w:t xml:space="preserve">العربية </w:t>
      </w:r>
      <w:r w:rsidRPr="00F27422">
        <w:rPr>
          <w:rFonts w:ascii="mylotus" w:hAnsi="mylotus"/>
          <w:b/>
          <w:bCs/>
          <w:sz w:val="32"/>
          <w:rtl/>
        </w:rPr>
        <w:t>في هذه الحالة، أي عقد الوليّ خلافاً للمصلحة، وكما سيطرحُ لاحقاً، توجد ثلاثة آراء: الرأي الأول: هو الصحّة والخيارية، والرأي الثاني: هو الفضولية، والرأي الثالث: هو لزوم العقد</w:t>
      </w:r>
      <w:r w:rsidRPr="00F27422">
        <w:rPr>
          <w:rFonts w:ascii="mylotus" w:hAnsi="mylotus"/>
          <w:b/>
          <w:bCs/>
          <w:sz w:val="32"/>
        </w:rPr>
        <w:t>.</w:t>
      </w:r>
    </w:p>
    <w:p w14:paraId="2D71E9A7" w14:textId="77777777" w:rsidR="008E226B" w:rsidRPr="00F27422" w:rsidRDefault="008E226B" w:rsidP="00122B70">
      <w:pPr>
        <w:pStyle w:val="a"/>
        <w:bidi/>
        <w:spacing w:line="216" w:lineRule="auto"/>
        <w:jc w:val="left"/>
        <w:rPr>
          <w:rFonts w:ascii="mylotus" w:hAnsi="mylotus"/>
          <w:b/>
          <w:bCs/>
          <w:sz w:val="32"/>
          <w:rtl/>
        </w:rPr>
      </w:pPr>
      <w:r w:rsidRPr="00F27422">
        <w:rPr>
          <w:rFonts w:ascii="mylotus" w:hAnsi="mylotus"/>
          <w:b/>
          <w:bCs/>
          <w:sz w:val="32"/>
          <w:rtl/>
        </w:rPr>
        <w:t>من بين هذه الآراء الثلاثة الرأي الثالث لا يعتد به بسبب ضعف دليله، ويجب تطبيق معنى الرواية على الرأيين الآخرين</w:t>
      </w:r>
      <w:r w:rsidRPr="00F27422">
        <w:rPr>
          <w:rFonts w:ascii="mylotus" w:hAnsi="mylotus"/>
          <w:b/>
          <w:bCs/>
          <w:sz w:val="32"/>
        </w:rPr>
        <w:t>.</w:t>
      </w:r>
    </w:p>
    <w:p w14:paraId="061D7421" w14:textId="77777777" w:rsidR="008E226B" w:rsidRPr="00F27422" w:rsidRDefault="008E226B" w:rsidP="00122B70">
      <w:pPr>
        <w:pStyle w:val="a"/>
        <w:bidi/>
        <w:spacing w:line="216" w:lineRule="auto"/>
        <w:jc w:val="left"/>
        <w:rPr>
          <w:rFonts w:ascii="mylotus" w:hAnsi="mylotus"/>
          <w:b/>
          <w:bCs/>
          <w:sz w:val="32"/>
          <w:rtl/>
        </w:rPr>
      </w:pPr>
      <w:r w:rsidRPr="00F27422">
        <w:rPr>
          <w:rFonts w:ascii="mylotus" w:hAnsi="mylotus"/>
          <w:b/>
          <w:bCs/>
          <w:sz w:val="32"/>
          <w:rtl/>
        </w:rPr>
        <w:t xml:space="preserve">بناءً على القول بالصحّة والخيارية في مثل هذا العقد يكون مفاد صحيحة محمّد بن مسلم هو أنّ عقد الوليّ على الرغم من أنّه عقد خلافاً لمصلحة الصبيّ أو الصبيّة، </w:t>
      </w:r>
      <w:proofErr w:type="gramStart"/>
      <w:r w:rsidRPr="00F27422">
        <w:rPr>
          <w:rFonts w:ascii="mylotus" w:hAnsi="mylotus"/>
          <w:b/>
          <w:bCs/>
          <w:sz w:val="32"/>
          <w:rtl/>
        </w:rPr>
        <w:t>صحيح</w:t>
      </w:r>
      <w:proofErr w:type="gramEnd"/>
      <w:r w:rsidRPr="00F27422">
        <w:rPr>
          <w:rFonts w:ascii="mylotus" w:hAnsi="mylotus"/>
          <w:b/>
          <w:bCs/>
          <w:sz w:val="32"/>
          <w:rtl/>
        </w:rPr>
        <w:t xml:space="preserve"> ولكنه خياري وبعد البلوغ يمكنهم فسخه. وإذا لم يفسخوا تجعل هذه الرواية المهر على عهدة </w:t>
      </w:r>
      <w:r w:rsidRPr="00F27422">
        <w:rPr>
          <w:rFonts w:ascii="mylotus" w:hAnsi="mylotus"/>
          <w:b/>
          <w:bCs/>
          <w:sz w:val="32"/>
          <w:rtl/>
        </w:rPr>
        <w:lastRenderedPageBreak/>
        <w:t>الأب، ولكن جمعاً بين هذه الرواية والروايات الأُخرى إذا كان للصبيّ مال فإن المهر يكون على عاتقه هو، وفقط في حال عدم وجود ثروة للصبيّ يكون المهر على عاتق الوليّ</w:t>
      </w:r>
      <w:r w:rsidRPr="00F27422">
        <w:rPr>
          <w:rFonts w:ascii="mylotus" w:hAnsi="mylotus" w:hint="cs"/>
          <w:b/>
          <w:bCs/>
          <w:sz w:val="32"/>
          <w:rtl/>
        </w:rPr>
        <w:t>).</w:t>
      </w:r>
    </w:p>
    <w:p w14:paraId="32FCBBE7"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 xml:space="preserve">ومؤدى كلامه (مد ظله): هو أنّ نظر الصحيحة في قوله (عليه السلام): </w:t>
      </w:r>
      <w:r w:rsidRPr="00F27422">
        <w:rPr>
          <w:rFonts w:ascii="mylotus" w:hAnsi="mylotus"/>
          <w:b/>
          <w:bCs/>
          <w:sz w:val="32"/>
          <w:rtl/>
        </w:rPr>
        <w:t>(إذا كان أبواهما اللذان زوجاهما فنعم جائز، ولكن لهما الخيار إذا أدركا)</w:t>
      </w:r>
      <w:r w:rsidRPr="00F27422">
        <w:rPr>
          <w:rFonts w:ascii="mylotus" w:hAnsi="mylotus"/>
          <w:sz w:val="32"/>
          <w:rtl/>
        </w:rPr>
        <w:t xml:space="preserve"> لفرض كون العقد عليهما خلاف مصلحتهما، ولا إطلاق لها لفرض ما إذا كان العقد عليهما مناسباً لمصلحتهما</w:t>
      </w:r>
      <w:r w:rsidRPr="00F27422">
        <w:rPr>
          <w:rFonts w:ascii="mylotus" w:hAnsi="mylotus"/>
          <w:sz w:val="32"/>
        </w:rPr>
        <w:t>.</w:t>
      </w:r>
    </w:p>
    <w:p w14:paraId="24C16350"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ولكن يلاحظ عليه:</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الحمل المذكور منافٍ لكون العقد خيارياً؛ فإنّ مقتضى كون العقد خيارياً أنّه وقع صحيحاً، ولا معنى لصحته إذا كان خلاف مصلحتهما، فإنّ مقتضى ذلك كون العقد فضولياً لا خيارياً وحمل "الخيار" على أصل الاختيار و "الجواز" على الصحّة التأهلية خلافُ الظاهر، كما سبق في البحث عن مفاد صحيحة أبي عبيدة الحذاء</w:t>
      </w:r>
      <w:r w:rsidRPr="00F27422">
        <w:rPr>
          <w:rFonts w:ascii="mylotus" w:hAnsi="mylotus"/>
          <w:sz w:val="32"/>
        </w:rPr>
        <w:t>.</w:t>
      </w:r>
    </w:p>
    <w:p w14:paraId="2A0BB819"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 xml:space="preserve">مضافاً </w:t>
      </w:r>
      <w:r w:rsidRPr="00F27422">
        <w:rPr>
          <w:rFonts w:ascii="mylotus" w:hAnsi="mylotus"/>
          <w:sz w:val="32"/>
          <w:rtl/>
        </w:rPr>
        <w:t xml:space="preserve">لمنافاة ذلك لسياق الرواية الدالة على ثبوت التوارث بينهما، حيث ذكر في ذيل الرواية: </w:t>
      </w:r>
      <w:r w:rsidRPr="00F27422">
        <w:rPr>
          <w:rFonts w:ascii="mylotus" w:hAnsi="mylotus"/>
          <w:b/>
          <w:bCs/>
          <w:sz w:val="32"/>
          <w:rtl/>
        </w:rPr>
        <w:t>(عن أبي جعفر (عليه السلام) في الصبي يتزوج الصبية يتوارثان؟ قال: إذا كان أبواهما اللذان زوجاهما فنعم)</w:t>
      </w:r>
      <w:r w:rsidRPr="00F27422">
        <w:rPr>
          <w:rFonts w:ascii="mylotus" w:hAnsi="mylotus" w:hint="cs"/>
          <w:sz w:val="32"/>
          <w:rtl/>
        </w:rPr>
        <w:t xml:space="preserve"> </w:t>
      </w:r>
      <w:r w:rsidRPr="00F27422">
        <w:rPr>
          <w:rFonts w:ascii="mylotus" w:hAnsi="mylotus"/>
          <w:sz w:val="32"/>
          <w:rtl/>
        </w:rPr>
        <w:t>فإن</w:t>
      </w:r>
      <w:r w:rsidRPr="00F27422">
        <w:rPr>
          <w:rFonts w:ascii="mylotus" w:hAnsi="mylotus" w:hint="cs"/>
          <w:sz w:val="32"/>
          <w:rtl/>
        </w:rPr>
        <w:t>ّ</w:t>
      </w:r>
      <w:r w:rsidRPr="00F27422">
        <w:rPr>
          <w:rFonts w:ascii="mylotus" w:hAnsi="mylotus"/>
          <w:sz w:val="32"/>
          <w:rtl/>
        </w:rPr>
        <w:t xml:space="preserve"> حَمْل التزويج في صدر الرواية على فرض خلاف المصلحة، وحمل التزويج في ذيل الرواية على فرض مناسب للمصلحة تفكيكٌ غيرُ عرفي البتة</w:t>
      </w:r>
      <w:r w:rsidRPr="00F27422">
        <w:rPr>
          <w:rFonts w:ascii="mylotus" w:hAnsi="mylotus"/>
          <w:sz w:val="32"/>
        </w:rPr>
        <w:t>.</w:t>
      </w:r>
    </w:p>
    <w:p w14:paraId="1EA26E3A"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الاعتراض</w:t>
      </w:r>
      <w:r w:rsidRPr="00F27422">
        <w:rPr>
          <w:rFonts w:ascii="mylotus" w:hAnsi="mylotus" w:hint="cs"/>
          <w:b/>
          <w:bCs/>
          <w:sz w:val="32"/>
          <w:rtl/>
        </w:rPr>
        <w:t>ُ</w:t>
      </w:r>
      <w:r w:rsidRPr="00F27422">
        <w:rPr>
          <w:rFonts w:ascii="mylotus" w:hAnsi="mylotus"/>
          <w:b/>
          <w:bCs/>
          <w:sz w:val="32"/>
          <w:rtl/>
        </w:rPr>
        <w:t xml:space="preserve"> الرابع: </w:t>
      </w:r>
      <w:r w:rsidRPr="00F27422">
        <w:rPr>
          <w:rFonts w:ascii="mylotus" w:hAnsi="mylotus"/>
          <w:sz w:val="32"/>
          <w:rtl/>
        </w:rPr>
        <w:t>ما ذكره أيضاً بعض السادة الأعلام (مد ظله) في كتابه [النكاح، باللغة الفارسية، ج12، ص4157 - 4158]، م</w:t>
      </w:r>
      <w:r w:rsidRPr="00F27422">
        <w:rPr>
          <w:rFonts w:ascii="mylotus" w:hAnsi="mylotus" w:hint="cs"/>
          <w:sz w:val="32"/>
          <w:rtl/>
        </w:rPr>
        <w:t>ِ</w:t>
      </w:r>
      <w:r w:rsidRPr="00F27422">
        <w:rPr>
          <w:rFonts w:ascii="mylotus" w:hAnsi="mylotus"/>
          <w:sz w:val="32"/>
          <w:rtl/>
        </w:rPr>
        <w:t>ن أنّه يمكن حمل "الخيار" في الرواية على المعنى الجامع بين الإلزامي الحقوقي والحكم الأخلاقي</w:t>
      </w:r>
      <w:r w:rsidRPr="00F27422">
        <w:rPr>
          <w:rFonts w:ascii="mylotus" w:hAnsi="mylotus"/>
          <w:sz w:val="32"/>
        </w:rPr>
        <w:t>.</w:t>
      </w:r>
    </w:p>
    <w:p w14:paraId="586B6410" w14:textId="77777777" w:rsidR="008E226B" w:rsidRPr="00F27422" w:rsidRDefault="008E226B" w:rsidP="00122B70">
      <w:pPr>
        <w:pStyle w:val="a"/>
        <w:bidi/>
        <w:spacing w:line="216" w:lineRule="auto"/>
        <w:jc w:val="left"/>
        <w:rPr>
          <w:rFonts w:ascii="mylotus" w:hAnsi="mylotus"/>
          <w:b/>
          <w:bCs/>
          <w:sz w:val="32"/>
          <w:rtl/>
        </w:rPr>
      </w:pPr>
      <w:r w:rsidRPr="00F27422">
        <w:rPr>
          <w:rFonts w:ascii="mylotus" w:hAnsi="mylotus"/>
          <w:sz w:val="32"/>
          <w:rtl/>
        </w:rPr>
        <w:t xml:space="preserve">ونقل كلامه (مد ظله) مترجماً: </w:t>
      </w:r>
      <w:r w:rsidRPr="00F27422">
        <w:rPr>
          <w:rFonts w:ascii="mylotus" w:hAnsi="mylotus"/>
          <w:b/>
          <w:bCs/>
          <w:sz w:val="32"/>
          <w:rtl/>
        </w:rPr>
        <w:t>(أمّا التعبير بـ "لهما الخيار" في الرواية وإثبات الخيار للبنت والابن دون تفرقة، فتوجيهه أنّ لفظ "الخيار" قد استعمل في المعنى الجامع، ولذا ففي شأن الابن يكون الخيار ذا جانبٍ إلزامي وحقوقي)</w:t>
      </w:r>
      <w:r w:rsidRPr="00F27422">
        <w:rPr>
          <w:rFonts w:ascii="mylotus" w:hAnsi="mylotus"/>
          <w:sz w:val="32"/>
          <w:rtl/>
        </w:rPr>
        <w:t xml:space="preserve"> أي: م</w:t>
      </w:r>
      <w:r w:rsidRPr="00F27422">
        <w:rPr>
          <w:rFonts w:ascii="mylotus" w:hAnsi="mylotus" w:hint="cs"/>
          <w:sz w:val="32"/>
          <w:rtl/>
        </w:rPr>
        <w:t>ِ</w:t>
      </w:r>
      <w:r w:rsidRPr="00F27422">
        <w:rPr>
          <w:rFonts w:ascii="mylotus" w:hAnsi="mylotus"/>
          <w:sz w:val="32"/>
          <w:rtl/>
        </w:rPr>
        <w:t>ن حق</w:t>
      </w:r>
      <w:r w:rsidRPr="00F27422">
        <w:rPr>
          <w:rFonts w:ascii="mylotus" w:hAnsi="mylotus" w:hint="cs"/>
          <w:sz w:val="32"/>
          <w:rtl/>
        </w:rPr>
        <w:t>ّ</w:t>
      </w:r>
      <w:r w:rsidRPr="00F27422">
        <w:rPr>
          <w:rFonts w:ascii="mylotus" w:hAnsi="mylotus"/>
          <w:sz w:val="32"/>
          <w:rtl/>
        </w:rPr>
        <w:t xml:space="preserve"> الابن إذا بلغ أنْ لا ينفذ تزويج إلّا بخياره </w:t>
      </w:r>
      <w:r w:rsidRPr="00F27422">
        <w:rPr>
          <w:rFonts w:ascii="mylotus" w:hAnsi="mylotus"/>
          <w:b/>
          <w:bCs/>
          <w:sz w:val="32"/>
          <w:rtl/>
        </w:rPr>
        <w:t>(وفي شأن البنت يكون ذا جانبٍ أخلاقي)</w:t>
      </w:r>
      <w:r w:rsidRPr="00F27422">
        <w:rPr>
          <w:rFonts w:ascii="mylotus" w:hAnsi="mylotus"/>
          <w:sz w:val="32"/>
          <w:rtl/>
        </w:rPr>
        <w:t xml:space="preserve"> أي: ينفذ التزويج عليها ولكن من الجانب الأخلاقي لها الخيار </w:t>
      </w:r>
      <w:r w:rsidRPr="00F27422">
        <w:rPr>
          <w:rFonts w:ascii="mylotus" w:hAnsi="mylotus"/>
          <w:b/>
          <w:bCs/>
          <w:sz w:val="32"/>
          <w:rtl/>
        </w:rPr>
        <w:t>(ومثلُ هذه الاستعمالات)</w:t>
      </w:r>
      <w:r w:rsidRPr="00F27422">
        <w:rPr>
          <w:rFonts w:ascii="mylotus" w:hAnsi="mylotus"/>
          <w:sz w:val="32"/>
          <w:rtl/>
        </w:rPr>
        <w:t xml:space="preserve"> أي: استعمال اللفظ في الجامع </w:t>
      </w:r>
      <w:r w:rsidRPr="00F27422">
        <w:rPr>
          <w:rFonts w:ascii="mylotus" w:hAnsi="mylotus"/>
          <w:b/>
          <w:bCs/>
          <w:sz w:val="32"/>
          <w:rtl/>
        </w:rPr>
        <w:t>(لها نظائر مثل: "اغتسل للجمعة والجنابة" في هذا الحديث الأمر بالغُسل استخدم في القدر المشترك بين الوجوب والاستحباب، حيث يكون بالنسبة للجمعة استحبابياً وبالنسبة للجنابة وجوبياً)</w:t>
      </w:r>
      <w:r w:rsidRPr="00F27422">
        <w:rPr>
          <w:rFonts w:ascii="mylotus" w:hAnsi="mylotus"/>
          <w:sz w:val="32"/>
          <w:rtl/>
        </w:rPr>
        <w:t xml:space="preserve"> أي</w:t>
      </w:r>
      <w:r w:rsidRPr="00F27422">
        <w:rPr>
          <w:rFonts w:ascii="mylotus" w:hAnsi="mylotus" w:hint="cs"/>
          <w:sz w:val="32"/>
          <w:rtl/>
        </w:rPr>
        <w:t>:</w:t>
      </w:r>
      <w:r w:rsidRPr="00F27422">
        <w:rPr>
          <w:rFonts w:ascii="mylotus" w:hAnsi="mylotus"/>
          <w:sz w:val="32"/>
          <w:rtl/>
        </w:rPr>
        <w:t xml:space="preserve"> استعمل صيغة "اِفعل" في الجامع وهو طبيعي الطلب </w:t>
      </w:r>
      <w:r w:rsidRPr="00F27422">
        <w:rPr>
          <w:rFonts w:ascii="mylotus" w:hAnsi="mylotus"/>
          <w:b/>
          <w:bCs/>
          <w:sz w:val="32"/>
          <w:rtl/>
        </w:rPr>
        <w:t>(وفي موردنا أيضاً خيارية الابن والبنت ستكون بمعنى القدر المشترك بين الحقّ الإلزامي والحقّ الأخلاقي. في مورد الابن الكبير هو حقّ إلزامي وفي مورد الباكرة الكبيرة هو حقّ أخلاقي غير إلزامي)</w:t>
      </w:r>
      <w:r w:rsidRPr="00F27422">
        <w:rPr>
          <w:rFonts w:ascii="mylotus" w:hAnsi="mylotus"/>
          <w:b/>
          <w:bCs/>
          <w:sz w:val="32"/>
        </w:rPr>
        <w:t>.</w:t>
      </w:r>
    </w:p>
    <w:p w14:paraId="2AEA8E1C" w14:textId="77777777" w:rsidR="008E226B" w:rsidRPr="00F27422" w:rsidRDefault="008E226B" w:rsidP="00122B70">
      <w:pPr>
        <w:pStyle w:val="a"/>
        <w:bidi/>
        <w:spacing w:line="216" w:lineRule="auto"/>
        <w:jc w:val="left"/>
        <w:rPr>
          <w:rFonts w:ascii="mylotus" w:hAnsi="mylotus"/>
          <w:b/>
          <w:bCs/>
          <w:sz w:val="32"/>
          <w:rtl/>
        </w:rPr>
      </w:pPr>
      <w:r w:rsidRPr="00F27422">
        <w:rPr>
          <w:rFonts w:ascii="mylotus" w:hAnsi="mylotus"/>
          <w:sz w:val="32"/>
          <w:rtl/>
        </w:rPr>
        <w:t>ثم</w:t>
      </w:r>
      <w:r w:rsidRPr="00F27422">
        <w:rPr>
          <w:rFonts w:ascii="mylotus" w:hAnsi="mylotus" w:hint="cs"/>
          <w:sz w:val="32"/>
          <w:rtl/>
        </w:rPr>
        <w:t>ّ</w:t>
      </w:r>
      <w:r w:rsidRPr="00F27422">
        <w:rPr>
          <w:rFonts w:ascii="mylotus" w:hAnsi="mylotus"/>
          <w:sz w:val="32"/>
          <w:rtl/>
        </w:rPr>
        <w:t xml:space="preserve"> قال: </w:t>
      </w:r>
      <w:r w:rsidRPr="00F27422">
        <w:rPr>
          <w:rFonts w:ascii="mylotus" w:hAnsi="mylotus"/>
          <w:b/>
          <w:bCs/>
          <w:sz w:val="32"/>
          <w:rtl/>
        </w:rPr>
        <w:t>(وباختصار يجب توجيه رواية محمّد بن مسلم بأحد هذه الأوجه التي تعرضنا لها، لأنّها تتعارضُ مع خمس رواياتٍ: أربعٌ منها صحيحة)</w:t>
      </w:r>
      <w:r w:rsidRPr="00F27422">
        <w:rPr>
          <w:rFonts w:ascii="mylotus" w:hAnsi="mylotus"/>
          <w:sz w:val="32"/>
          <w:rtl/>
        </w:rPr>
        <w:t xml:space="preserve"> وهي التي أشرنا لها في الطائفة الأُولى التي تدل على لزوم العقد على الصغيرة وأنّه لا خيار لها إذا كبُرتْ </w:t>
      </w:r>
      <w:r w:rsidRPr="00F27422">
        <w:rPr>
          <w:rFonts w:ascii="mylotus" w:hAnsi="mylotus"/>
          <w:b/>
          <w:bCs/>
          <w:sz w:val="32"/>
          <w:rtl/>
        </w:rPr>
        <w:t>(وواحدةٌ منها محلّ الكلام، وبالإضافة إلى ذلك)</w:t>
      </w:r>
      <w:r w:rsidRPr="00F27422">
        <w:rPr>
          <w:rFonts w:ascii="mylotus" w:hAnsi="mylotus"/>
          <w:sz w:val="32"/>
          <w:rtl/>
        </w:rPr>
        <w:t xml:space="preserve"> أي: إلى أنّها معارضة لأربع رواياتٍ صحيحة </w:t>
      </w:r>
      <w:r w:rsidRPr="00F27422">
        <w:rPr>
          <w:rFonts w:ascii="mylotus" w:hAnsi="mylotus"/>
          <w:b/>
          <w:bCs/>
          <w:sz w:val="32"/>
          <w:rtl/>
        </w:rPr>
        <w:t xml:space="preserve">(فإنّ الأغلبية الساحقة من الفقهاء قد أفتوا وفقاً لتلك الروايات) </w:t>
      </w:r>
      <w:r w:rsidRPr="00F27422">
        <w:rPr>
          <w:rFonts w:ascii="mylotus" w:hAnsi="mylotus"/>
          <w:sz w:val="32"/>
          <w:rtl/>
        </w:rPr>
        <w:t xml:space="preserve">أي: قالوا يلزم العقد على الصغيرة ولا خيار لها </w:t>
      </w:r>
      <w:r w:rsidRPr="00F27422">
        <w:rPr>
          <w:rFonts w:ascii="mylotus" w:hAnsi="mylotus"/>
          <w:b/>
          <w:bCs/>
          <w:sz w:val="32"/>
          <w:rtl/>
        </w:rPr>
        <w:t>(والبعض ممن لم يفتِ لم يخالف صراحةً بل مجرد شكك في الحكم، علاوةً على ذلك فإنّ روايات كثيرة تدل على صحّة عقد الأب على الصغير أو الصغيرة، والإنسانُ يطمئن من كثرة هذه الروايات بأنّها صادرة عن المعصوم (عليه السلام) بالنظر إلى أنّ هذه الروايات تثبت الصحّة)</w:t>
      </w:r>
      <w:r w:rsidRPr="00F27422">
        <w:rPr>
          <w:rFonts w:ascii="mylotus" w:hAnsi="mylotus"/>
          <w:b/>
          <w:bCs/>
          <w:sz w:val="32"/>
        </w:rPr>
        <w:t>.</w:t>
      </w:r>
    </w:p>
    <w:p w14:paraId="035A88EA"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ويلاحظ على ذلك:</w:t>
      </w:r>
      <w:r w:rsidRPr="00F27422">
        <w:rPr>
          <w:rFonts w:ascii="mylotus" w:hAnsi="mylotus"/>
          <w:sz w:val="32"/>
          <w:rtl/>
        </w:rPr>
        <w:t xml:space="preserve"> أنّ ما</w:t>
      </w:r>
      <w:r w:rsidRPr="00F27422">
        <w:rPr>
          <w:rFonts w:ascii="mylotus" w:hAnsi="mylotus" w:hint="cs"/>
          <w:sz w:val="32"/>
          <w:rtl/>
        </w:rPr>
        <w:t xml:space="preserve"> </w:t>
      </w:r>
      <w:r w:rsidRPr="00F27422">
        <w:rPr>
          <w:rFonts w:ascii="mylotus" w:hAnsi="mylotus"/>
          <w:sz w:val="32"/>
          <w:rtl/>
        </w:rPr>
        <w:t>ذ</w:t>
      </w:r>
      <w:r w:rsidRPr="00F27422">
        <w:rPr>
          <w:rFonts w:ascii="mylotus" w:hAnsi="mylotus" w:hint="cs"/>
          <w:sz w:val="32"/>
          <w:rtl/>
        </w:rPr>
        <w:t>ُ</w:t>
      </w:r>
      <w:r w:rsidRPr="00F27422">
        <w:rPr>
          <w:rFonts w:ascii="mylotus" w:hAnsi="mylotus"/>
          <w:sz w:val="32"/>
          <w:rtl/>
        </w:rPr>
        <w:t>كر متضمن لعد</w:t>
      </w:r>
      <w:r w:rsidRPr="00F27422">
        <w:rPr>
          <w:rFonts w:ascii="mylotus" w:hAnsi="mylotus" w:hint="cs"/>
          <w:sz w:val="32"/>
          <w:rtl/>
        </w:rPr>
        <w:t>ّ</w:t>
      </w:r>
      <w:r w:rsidRPr="00F27422">
        <w:rPr>
          <w:rFonts w:ascii="mylotus" w:hAnsi="mylotus"/>
          <w:sz w:val="32"/>
          <w:rtl/>
        </w:rPr>
        <w:t>ة دعاوى لا</w:t>
      </w:r>
      <w:r w:rsidRPr="00F27422">
        <w:rPr>
          <w:rFonts w:ascii="mylotus" w:hAnsi="mylotus" w:hint="cs"/>
          <w:sz w:val="32"/>
          <w:rtl/>
        </w:rPr>
        <w:t xml:space="preserve"> </w:t>
      </w:r>
      <w:r w:rsidRPr="00F27422">
        <w:rPr>
          <w:rFonts w:ascii="mylotus" w:hAnsi="mylotus"/>
          <w:sz w:val="32"/>
          <w:rtl/>
        </w:rPr>
        <w:t>يحسن بحسب الصناعة سوقها في عرض</w:t>
      </w:r>
      <w:r w:rsidRPr="00F27422">
        <w:rPr>
          <w:rFonts w:ascii="mylotus" w:hAnsi="mylotus" w:hint="cs"/>
          <w:sz w:val="32"/>
          <w:rtl/>
        </w:rPr>
        <w:t>ٍ</w:t>
      </w:r>
      <w:r w:rsidRPr="00F27422">
        <w:rPr>
          <w:rFonts w:ascii="mylotus" w:hAnsi="mylotus"/>
          <w:sz w:val="32"/>
          <w:rtl/>
        </w:rPr>
        <w:t xml:space="preserve"> واحد</w:t>
      </w:r>
      <w:r w:rsidRPr="00F27422">
        <w:rPr>
          <w:rFonts w:ascii="mylotus" w:hAnsi="mylotus" w:hint="cs"/>
          <w:sz w:val="32"/>
          <w:rtl/>
        </w:rPr>
        <w:t>:</w:t>
      </w:r>
    </w:p>
    <w:p w14:paraId="43432A16"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hint="cs"/>
          <w:b/>
          <w:bCs/>
          <w:sz w:val="32"/>
          <w:rtl/>
        </w:rPr>
        <w:lastRenderedPageBreak/>
        <w:t>الدعوى الأُولى:</w:t>
      </w:r>
      <w:r w:rsidRPr="00F27422">
        <w:rPr>
          <w:rFonts w:ascii="mylotus" w:hAnsi="mylotus" w:hint="cs"/>
          <w:sz w:val="32"/>
          <w:rtl/>
        </w:rPr>
        <w:t xml:space="preserve"> أنّ</w:t>
      </w:r>
      <w:r w:rsidRPr="00F27422">
        <w:rPr>
          <w:rFonts w:ascii="mylotus" w:hAnsi="mylotus"/>
          <w:sz w:val="32"/>
          <w:rtl/>
        </w:rPr>
        <w:t xml:space="preserve"> </w:t>
      </w:r>
      <w:r w:rsidRPr="00F27422">
        <w:rPr>
          <w:rFonts w:ascii="mylotus" w:hAnsi="mylotus" w:hint="cs"/>
          <w:sz w:val="32"/>
          <w:rtl/>
        </w:rPr>
        <w:t>عنوان</w:t>
      </w:r>
      <w:r w:rsidRPr="00F27422">
        <w:rPr>
          <w:rFonts w:ascii="mylotus" w:hAnsi="mylotus"/>
          <w:sz w:val="32"/>
          <w:rtl/>
        </w:rPr>
        <w:t xml:space="preserve"> </w:t>
      </w:r>
      <w:r w:rsidRPr="00F27422">
        <w:rPr>
          <w:rFonts w:ascii="mylotus" w:hAnsi="mylotus" w:cs="Cambria" w:hint="cs"/>
          <w:sz w:val="32"/>
          <w:rtl/>
        </w:rPr>
        <w:t>"</w:t>
      </w:r>
      <w:r w:rsidRPr="00F27422">
        <w:rPr>
          <w:rFonts w:ascii="mylotus" w:hAnsi="mylotus" w:hint="cs"/>
          <w:sz w:val="32"/>
          <w:rtl/>
        </w:rPr>
        <w:t>الخيار</w:t>
      </w:r>
      <w:r w:rsidRPr="00F27422">
        <w:rPr>
          <w:rFonts w:ascii="mylotus" w:hAnsi="mylotus" w:cs="Cambria" w:hint="cs"/>
          <w:sz w:val="32"/>
          <w:rtl/>
        </w:rPr>
        <w:t>"</w:t>
      </w:r>
      <w:r w:rsidRPr="00F27422">
        <w:rPr>
          <w:rFonts w:ascii="mylotus" w:hAnsi="mylotus"/>
          <w:sz w:val="32"/>
          <w:rtl/>
        </w:rPr>
        <w:t xml:space="preserve"> </w:t>
      </w:r>
      <w:r w:rsidRPr="00F27422">
        <w:rPr>
          <w:rFonts w:ascii="mylotus" w:hAnsi="mylotus" w:hint="cs"/>
          <w:sz w:val="32"/>
          <w:rtl/>
        </w:rPr>
        <w:t>مما</w:t>
      </w:r>
      <w:r w:rsidRPr="00F27422">
        <w:rPr>
          <w:rFonts w:ascii="mylotus" w:hAnsi="mylotus"/>
          <w:sz w:val="32"/>
          <w:rtl/>
        </w:rPr>
        <w:t xml:space="preserve"> </w:t>
      </w:r>
      <w:r w:rsidRPr="00F27422">
        <w:rPr>
          <w:rFonts w:ascii="mylotus" w:hAnsi="mylotus" w:hint="cs"/>
          <w:sz w:val="32"/>
          <w:rtl/>
        </w:rPr>
        <w:t>لا ظهور</w:t>
      </w:r>
      <w:r w:rsidRPr="00F27422">
        <w:rPr>
          <w:rFonts w:ascii="mylotus" w:hAnsi="mylotus"/>
          <w:sz w:val="32"/>
          <w:rtl/>
        </w:rPr>
        <w:t xml:space="preserve"> </w:t>
      </w:r>
      <w:r w:rsidRPr="00F27422">
        <w:rPr>
          <w:rFonts w:ascii="mylotus" w:hAnsi="mylotus" w:hint="cs"/>
          <w:sz w:val="32"/>
          <w:rtl/>
        </w:rPr>
        <w:t>له</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الحقّ</w:t>
      </w:r>
      <w:r w:rsidRPr="00F27422">
        <w:rPr>
          <w:rFonts w:ascii="mylotus" w:hAnsi="mylotus"/>
          <w:sz w:val="32"/>
          <w:rtl/>
        </w:rPr>
        <w:t xml:space="preserve"> </w:t>
      </w:r>
      <w:r w:rsidRPr="00F27422">
        <w:rPr>
          <w:rFonts w:ascii="mylotus" w:hAnsi="mylotus" w:hint="cs"/>
          <w:sz w:val="32"/>
          <w:rtl/>
        </w:rPr>
        <w:t>الإلزامي،</w:t>
      </w:r>
      <w:r w:rsidRPr="00F27422">
        <w:rPr>
          <w:rFonts w:ascii="mylotus" w:hAnsi="mylotus"/>
          <w:sz w:val="32"/>
          <w:rtl/>
        </w:rPr>
        <w:t xml:space="preserve"> </w:t>
      </w:r>
      <w:r w:rsidRPr="00F27422">
        <w:rPr>
          <w:rFonts w:ascii="mylotus" w:hAnsi="mylotus" w:hint="cs"/>
          <w:sz w:val="32"/>
          <w:rtl/>
        </w:rPr>
        <w:t>بل</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المحتمل</w:t>
      </w:r>
      <w:r w:rsidRPr="00F27422">
        <w:rPr>
          <w:rFonts w:ascii="mylotus" w:hAnsi="mylotus"/>
          <w:sz w:val="32"/>
          <w:rtl/>
        </w:rPr>
        <w:t xml:space="preserve"> </w:t>
      </w:r>
      <w:r w:rsidRPr="00F27422">
        <w:rPr>
          <w:rFonts w:ascii="mylotus" w:hAnsi="mylotus" w:hint="cs"/>
          <w:sz w:val="32"/>
          <w:rtl/>
        </w:rPr>
        <w:t>استعماله</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الجامع</w:t>
      </w:r>
      <w:r w:rsidRPr="00F27422">
        <w:rPr>
          <w:rFonts w:ascii="mylotus" w:hAnsi="mylotus"/>
          <w:sz w:val="32"/>
          <w:rtl/>
        </w:rPr>
        <w:t xml:space="preserve"> </w:t>
      </w:r>
      <w:r w:rsidRPr="00F27422">
        <w:rPr>
          <w:rFonts w:ascii="mylotus" w:hAnsi="mylotus" w:hint="cs"/>
          <w:sz w:val="32"/>
          <w:rtl/>
        </w:rPr>
        <w:t>بين</w:t>
      </w:r>
      <w:r w:rsidRPr="00F27422">
        <w:rPr>
          <w:rFonts w:ascii="mylotus" w:hAnsi="mylotus"/>
          <w:sz w:val="32"/>
          <w:rtl/>
        </w:rPr>
        <w:t xml:space="preserve"> </w:t>
      </w:r>
      <w:r w:rsidRPr="00F27422">
        <w:rPr>
          <w:rFonts w:ascii="mylotus" w:hAnsi="mylotus" w:hint="cs"/>
          <w:sz w:val="32"/>
          <w:rtl/>
        </w:rPr>
        <w:t>الإلزامي</w:t>
      </w:r>
      <w:r w:rsidRPr="00F27422">
        <w:rPr>
          <w:rFonts w:ascii="mylotus" w:hAnsi="mylotus"/>
          <w:sz w:val="32"/>
          <w:rtl/>
        </w:rPr>
        <w:t xml:space="preserve"> </w:t>
      </w:r>
      <w:r w:rsidRPr="00F27422">
        <w:rPr>
          <w:rFonts w:ascii="mylotus" w:hAnsi="mylotus" w:hint="cs"/>
          <w:sz w:val="32"/>
          <w:rtl/>
        </w:rPr>
        <w:t>الحقوقي</w:t>
      </w:r>
      <w:r w:rsidRPr="00F27422">
        <w:rPr>
          <w:rFonts w:ascii="mylotus" w:hAnsi="mylotus"/>
          <w:sz w:val="32"/>
          <w:rtl/>
        </w:rPr>
        <w:t xml:space="preserve"> </w:t>
      </w:r>
      <w:r w:rsidRPr="00F27422">
        <w:rPr>
          <w:rFonts w:ascii="mylotus" w:hAnsi="mylotus" w:hint="cs"/>
          <w:sz w:val="32"/>
          <w:rtl/>
        </w:rPr>
        <w:t>والأخلاقي،</w:t>
      </w:r>
      <w:r w:rsidRPr="00F27422">
        <w:rPr>
          <w:rFonts w:ascii="mylotus" w:hAnsi="mylotus"/>
          <w:sz w:val="32"/>
          <w:rtl/>
        </w:rPr>
        <w:t xml:space="preserve"> </w:t>
      </w:r>
      <w:r w:rsidRPr="00F27422">
        <w:rPr>
          <w:rFonts w:ascii="mylotus" w:hAnsi="mylotus" w:hint="cs"/>
          <w:sz w:val="32"/>
          <w:rtl/>
        </w:rPr>
        <w:t>فلا</w:t>
      </w:r>
      <w:r w:rsidRPr="00F27422">
        <w:rPr>
          <w:rFonts w:ascii="mylotus" w:hAnsi="mylotus"/>
          <w:sz w:val="32"/>
          <w:rtl/>
        </w:rPr>
        <w:t xml:space="preserve"> </w:t>
      </w:r>
      <w:r w:rsidRPr="00F27422">
        <w:rPr>
          <w:rFonts w:ascii="mylotus" w:hAnsi="mylotus" w:hint="cs"/>
          <w:sz w:val="32"/>
          <w:rtl/>
        </w:rPr>
        <w:t>ظهور</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صحيح</w:t>
      </w:r>
      <w:r w:rsidRPr="00F27422">
        <w:rPr>
          <w:rFonts w:ascii="mylotus" w:hAnsi="mylotus"/>
          <w:sz w:val="32"/>
          <w:rtl/>
        </w:rPr>
        <w:t xml:space="preserve"> </w:t>
      </w:r>
      <w:r w:rsidRPr="00F27422">
        <w:rPr>
          <w:rFonts w:ascii="mylotus" w:hAnsi="mylotus" w:hint="cs"/>
          <w:sz w:val="32"/>
          <w:rtl/>
        </w:rPr>
        <w:t>محمّد</w:t>
      </w:r>
      <w:r w:rsidRPr="00F27422">
        <w:rPr>
          <w:rFonts w:ascii="mylotus" w:hAnsi="mylotus"/>
          <w:sz w:val="32"/>
          <w:rtl/>
        </w:rPr>
        <w:t xml:space="preserve"> </w:t>
      </w:r>
      <w:r w:rsidRPr="00F27422">
        <w:rPr>
          <w:rFonts w:ascii="mylotus" w:hAnsi="mylotus" w:hint="cs"/>
          <w:sz w:val="32"/>
          <w:rtl/>
        </w:rPr>
        <w:t>بن</w:t>
      </w:r>
      <w:r w:rsidRPr="00F27422">
        <w:rPr>
          <w:rFonts w:ascii="mylotus" w:hAnsi="mylotus"/>
          <w:sz w:val="32"/>
          <w:rtl/>
        </w:rPr>
        <w:t xml:space="preserve"> </w:t>
      </w:r>
      <w:r w:rsidRPr="00F27422">
        <w:rPr>
          <w:rFonts w:ascii="mylotus" w:hAnsi="mylotus" w:hint="cs"/>
          <w:sz w:val="32"/>
          <w:rtl/>
        </w:rPr>
        <w:t>مسلم</w:t>
      </w:r>
      <w:r w:rsidRPr="00F27422">
        <w:rPr>
          <w:rFonts w:ascii="mylotus" w:hAnsi="mylotus"/>
          <w:sz w:val="32"/>
          <w:rtl/>
        </w:rPr>
        <w:t xml:space="preserve"> </w:t>
      </w:r>
      <w:r w:rsidRPr="00F27422">
        <w:rPr>
          <w:rFonts w:ascii="mylotus" w:hAnsi="mylotus" w:hint="cs"/>
          <w:sz w:val="32"/>
          <w:rtl/>
        </w:rPr>
        <w:t>معارض</w:t>
      </w:r>
      <w:r w:rsidRPr="00F27422">
        <w:rPr>
          <w:rFonts w:ascii="mylotus" w:hAnsi="mylotus"/>
          <w:sz w:val="32"/>
          <w:rtl/>
        </w:rPr>
        <w:t xml:space="preserve"> </w:t>
      </w:r>
      <w:r w:rsidRPr="00F27422">
        <w:rPr>
          <w:rFonts w:ascii="mylotus" w:hAnsi="mylotus" w:hint="cs"/>
          <w:sz w:val="32"/>
          <w:rtl/>
        </w:rPr>
        <w:t>لما دلّ</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عدم</w:t>
      </w:r>
      <w:r w:rsidRPr="00F27422">
        <w:rPr>
          <w:rFonts w:ascii="mylotus" w:hAnsi="mylotus"/>
          <w:sz w:val="32"/>
          <w:rtl/>
        </w:rPr>
        <w:t xml:space="preserve"> </w:t>
      </w:r>
      <w:r w:rsidRPr="00F27422">
        <w:rPr>
          <w:rFonts w:ascii="mylotus" w:hAnsi="mylotus" w:hint="cs"/>
          <w:sz w:val="32"/>
          <w:rtl/>
        </w:rPr>
        <w:t>الخيار</w:t>
      </w:r>
      <w:r w:rsidRPr="00F27422">
        <w:rPr>
          <w:rFonts w:ascii="mylotus" w:hAnsi="mylotus"/>
          <w:sz w:val="32"/>
          <w:rtl/>
        </w:rPr>
        <w:t xml:space="preserve"> </w:t>
      </w:r>
      <w:r w:rsidRPr="00F27422">
        <w:rPr>
          <w:rFonts w:ascii="mylotus" w:hAnsi="mylotus" w:hint="cs"/>
          <w:sz w:val="32"/>
          <w:rtl/>
        </w:rPr>
        <w:t>للصغيرة</w:t>
      </w:r>
      <w:r w:rsidRPr="00F27422">
        <w:rPr>
          <w:rFonts w:ascii="mylotus" w:hAnsi="mylotus"/>
          <w:sz w:val="32"/>
          <w:rtl/>
        </w:rPr>
        <w:t xml:space="preserve"> </w:t>
      </w:r>
      <w:r w:rsidRPr="00F27422">
        <w:rPr>
          <w:rFonts w:ascii="mylotus" w:hAnsi="mylotus" w:hint="cs"/>
          <w:sz w:val="32"/>
          <w:rtl/>
        </w:rPr>
        <w:t>إنْ</w:t>
      </w:r>
      <w:r w:rsidRPr="00F27422">
        <w:rPr>
          <w:rFonts w:ascii="mylotus" w:hAnsi="mylotus"/>
          <w:sz w:val="32"/>
          <w:rtl/>
        </w:rPr>
        <w:t xml:space="preserve"> </w:t>
      </w:r>
      <w:r w:rsidRPr="00F27422">
        <w:rPr>
          <w:rFonts w:ascii="mylotus" w:hAnsi="mylotus" w:hint="cs"/>
          <w:sz w:val="32"/>
          <w:rtl/>
        </w:rPr>
        <w:t>بلغتْ</w:t>
      </w:r>
      <w:r w:rsidRPr="00F27422">
        <w:rPr>
          <w:rFonts w:ascii="mylotus" w:hAnsi="mylotus"/>
          <w:sz w:val="32"/>
          <w:rtl/>
        </w:rPr>
        <w:t xml:space="preserve"> </w:t>
      </w:r>
      <w:r w:rsidRPr="00F27422">
        <w:rPr>
          <w:rFonts w:ascii="mylotus" w:hAnsi="mylotus" w:hint="cs"/>
          <w:sz w:val="32"/>
          <w:rtl/>
        </w:rPr>
        <w:t>وهي</w:t>
      </w:r>
      <w:r w:rsidRPr="00F27422">
        <w:rPr>
          <w:rFonts w:ascii="mylotus" w:hAnsi="mylotus"/>
          <w:sz w:val="32"/>
          <w:rtl/>
        </w:rPr>
        <w:t xml:space="preserve"> </w:t>
      </w:r>
      <w:r w:rsidRPr="00F27422">
        <w:rPr>
          <w:rFonts w:ascii="mylotus" w:hAnsi="mylotus" w:hint="cs"/>
          <w:sz w:val="32"/>
          <w:rtl/>
        </w:rPr>
        <w:t>الصحاح</w:t>
      </w:r>
      <w:r w:rsidRPr="00F27422">
        <w:rPr>
          <w:rFonts w:ascii="mylotus" w:hAnsi="mylotus"/>
          <w:sz w:val="32"/>
          <w:rtl/>
        </w:rPr>
        <w:t xml:space="preserve"> </w:t>
      </w:r>
      <w:r w:rsidRPr="00F27422">
        <w:rPr>
          <w:rFonts w:ascii="mylotus" w:hAnsi="mylotus" w:hint="cs"/>
          <w:sz w:val="32"/>
          <w:rtl/>
        </w:rPr>
        <w:t>السابقة.</w:t>
      </w:r>
    </w:p>
    <w:p w14:paraId="02B266DC"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hint="cs"/>
          <w:b/>
          <w:bCs/>
          <w:sz w:val="32"/>
          <w:rtl/>
        </w:rPr>
        <w:t>الدعوى الثانية:</w:t>
      </w:r>
      <w:r w:rsidRPr="00F27422">
        <w:rPr>
          <w:rFonts w:ascii="mylotus" w:hAnsi="mylotus" w:hint="cs"/>
          <w:sz w:val="32"/>
          <w:rtl/>
        </w:rPr>
        <w:t xml:space="preserve"> أنّ</w:t>
      </w:r>
      <w:r w:rsidRPr="00F27422">
        <w:rPr>
          <w:rFonts w:ascii="mylotus" w:hAnsi="mylotus"/>
          <w:sz w:val="32"/>
          <w:rtl/>
        </w:rPr>
        <w:t xml:space="preserve"> </w:t>
      </w:r>
      <w:r w:rsidRPr="00F27422">
        <w:rPr>
          <w:rFonts w:ascii="mylotus" w:hAnsi="mylotus" w:hint="cs"/>
          <w:sz w:val="32"/>
          <w:rtl/>
        </w:rPr>
        <w:t>عنوان</w:t>
      </w:r>
      <w:r w:rsidRPr="00F27422">
        <w:rPr>
          <w:rFonts w:ascii="mylotus" w:hAnsi="mylotus"/>
          <w:sz w:val="32"/>
          <w:rtl/>
        </w:rPr>
        <w:t xml:space="preserve"> </w:t>
      </w:r>
      <w:r w:rsidRPr="00F27422">
        <w:rPr>
          <w:rFonts w:ascii="mylotus" w:hAnsi="mylotus" w:cs="Cambria" w:hint="cs"/>
          <w:sz w:val="32"/>
          <w:rtl/>
        </w:rPr>
        <w:t>"</w:t>
      </w:r>
      <w:r w:rsidRPr="00F27422">
        <w:rPr>
          <w:rFonts w:ascii="mylotus" w:hAnsi="mylotus" w:hint="cs"/>
          <w:sz w:val="32"/>
          <w:rtl/>
        </w:rPr>
        <w:t>الخيار</w:t>
      </w:r>
      <w:r w:rsidRPr="00F27422">
        <w:rPr>
          <w:rFonts w:ascii="mylotus" w:hAnsi="mylotus" w:cs="Cambria" w:hint="cs"/>
          <w:sz w:val="32"/>
          <w:rtl/>
        </w:rPr>
        <w:t>"</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الصحيحة</w:t>
      </w:r>
      <w:r w:rsidRPr="00F27422">
        <w:rPr>
          <w:rFonts w:ascii="mylotus" w:hAnsi="mylotus"/>
          <w:sz w:val="32"/>
          <w:rtl/>
        </w:rPr>
        <w:t xml:space="preserve"> </w:t>
      </w:r>
      <w:r w:rsidRPr="00F27422">
        <w:rPr>
          <w:rFonts w:ascii="mylotus" w:hAnsi="mylotus" w:hint="cs"/>
          <w:sz w:val="32"/>
          <w:rtl/>
        </w:rPr>
        <w:t>ظاهرٌ</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الإلزامي</w:t>
      </w:r>
      <w:r w:rsidRPr="00F27422">
        <w:rPr>
          <w:rFonts w:ascii="mylotus" w:hAnsi="mylotus"/>
          <w:sz w:val="32"/>
          <w:rtl/>
        </w:rPr>
        <w:t xml:space="preserve"> </w:t>
      </w:r>
      <w:r w:rsidRPr="00F27422">
        <w:rPr>
          <w:rFonts w:ascii="mylotus" w:hAnsi="mylotus" w:hint="cs"/>
          <w:sz w:val="32"/>
          <w:rtl/>
        </w:rPr>
        <w:t>الحقوقي،</w:t>
      </w:r>
      <w:r w:rsidRPr="00F27422">
        <w:rPr>
          <w:rFonts w:ascii="mylotus" w:hAnsi="mylotus"/>
          <w:sz w:val="32"/>
          <w:rtl/>
        </w:rPr>
        <w:t xml:space="preserve"> </w:t>
      </w:r>
      <w:r w:rsidRPr="00F27422">
        <w:rPr>
          <w:rFonts w:ascii="mylotus" w:hAnsi="mylotus" w:hint="cs"/>
          <w:sz w:val="32"/>
          <w:rtl/>
        </w:rPr>
        <w:t>لكن</w:t>
      </w:r>
      <w:r w:rsidRPr="00F27422">
        <w:rPr>
          <w:rFonts w:ascii="mylotus" w:hAnsi="mylotus"/>
          <w:sz w:val="32"/>
          <w:rtl/>
        </w:rPr>
        <w:t xml:space="preserve"> </w:t>
      </w:r>
      <w:r w:rsidRPr="00F27422">
        <w:rPr>
          <w:rFonts w:ascii="mylotus" w:hAnsi="mylotus" w:hint="cs"/>
          <w:sz w:val="32"/>
          <w:rtl/>
        </w:rPr>
        <w:t>الصحاح</w:t>
      </w:r>
      <w:r w:rsidRPr="00F27422">
        <w:rPr>
          <w:rFonts w:ascii="mylotus" w:hAnsi="mylotus"/>
          <w:sz w:val="32"/>
          <w:rtl/>
        </w:rPr>
        <w:t xml:space="preserve"> </w:t>
      </w:r>
      <w:r w:rsidRPr="00F27422">
        <w:rPr>
          <w:rFonts w:ascii="mylotus" w:hAnsi="mylotus" w:hint="cs"/>
          <w:sz w:val="32"/>
          <w:rtl/>
        </w:rPr>
        <w:t>الدالة</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عدمه</w:t>
      </w:r>
      <w:r w:rsidRPr="00F27422">
        <w:rPr>
          <w:rFonts w:ascii="mylotus" w:hAnsi="mylotus"/>
          <w:sz w:val="32"/>
          <w:rtl/>
        </w:rPr>
        <w:t xml:space="preserve"> </w:t>
      </w:r>
      <w:r w:rsidRPr="00F27422">
        <w:rPr>
          <w:rFonts w:ascii="mylotus" w:hAnsi="mylotus" w:hint="cs"/>
          <w:sz w:val="32"/>
          <w:rtl/>
        </w:rPr>
        <w:t>مقدمة</w:t>
      </w:r>
      <w:r w:rsidRPr="00F27422">
        <w:rPr>
          <w:rFonts w:ascii="mylotus" w:hAnsi="mylotus"/>
          <w:sz w:val="32"/>
          <w:rtl/>
        </w:rPr>
        <w:t xml:space="preserve"> </w:t>
      </w:r>
      <w:r w:rsidRPr="00F27422">
        <w:rPr>
          <w:rFonts w:ascii="mylotus" w:hAnsi="mylotus" w:hint="cs"/>
          <w:sz w:val="32"/>
          <w:rtl/>
        </w:rPr>
        <w:t>عند</w:t>
      </w:r>
      <w:r w:rsidRPr="00F27422">
        <w:rPr>
          <w:rFonts w:ascii="mylotus" w:hAnsi="mylotus"/>
          <w:sz w:val="32"/>
          <w:rtl/>
        </w:rPr>
        <w:t xml:space="preserve"> </w:t>
      </w:r>
      <w:r w:rsidRPr="00F27422">
        <w:rPr>
          <w:rFonts w:ascii="mylotus" w:hAnsi="mylotus" w:hint="cs"/>
          <w:sz w:val="32"/>
          <w:rtl/>
        </w:rPr>
        <w:t>التعارض</w:t>
      </w:r>
      <w:r w:rsidRPr="00F27422">
        <w:rPr>
          <w:rFonts w:ascii="mylotus" w:hAnsi="mylotus"/>
          <w:sz w:val="32"/>
          <w:rtl/>
        </w:rPr>
        <w:t xml:space="preserve"> </w:t>
      </w:r>
      <w:r w:rsidRPr="00F27422">
        <w:rPr>
          <w:rFonts w:ascii="mylotus" w:hAnsi="mylotus" w:hint="cs"/>
          <w:sz w:val="32"/>
          <w:rtl/>
        </w:rPr>
        <w:t>لفتوى</w:t>
      </w:r>
      <w:r w:rsidRPr="00F27422">
        <w:rPr>
          <w:rFonts w:ascii="mylotus" w:hAnsi="mylotus"/>
          <w:sz w:val="32"/>
          <w:rtl/>
        </w:rPr>
        <w:t xml:space="preserve"> </w:t>
      </w:r>
      <w:proofErr w:type="gramStart"/>
      <w:r w:rsidRPr="00F27422">
        <w:rPr>
          <w:rFonts w:ascii="mylotus" w:hAnsi="mylotus" w:hint="cs"/>
          <w:sz w:val="32"/>
          <w:rtl/>
        </w:rPr>
        <w:t>المشهور</w:t>
      </w:r>
      <w:proofErr w:type="gramEnd"/>
      <w:r w:rsidRPr="00F27422">
        <w:rPr>
          <w:rFonts w:ascii="mylotus" w:hAnsi="mylotus"/>
          <w:sz w:val="32"/>
          <w:rtl/>
        </w:rPr>
        <w:t xml:space="preserve"> </w:t>
      </w:r>
      <w:r w:rsidRPr="00F27422">
        <w:rPr>
          <w:rFonts w:ascii="mylotus" w:hAnsi="mylotus" w:hint="cs"/>
          <w:sz w:val="32"/>
          <w:rtl/>
        </w:rPr>
        <w:t>بل</w:t>
      </w:r>
      <w:r w:rsidRPr="00F27422">
        <w:rPr>
          <w:rFonts w:ascii="mylotus" w:hAnsi="mylotus"/>
          <w:sz w:val="32"/>
          <w:rtl/>
        </w:rPr>
        <w:t xml:space="preserve"> </w:t>
      </w:r>
      <w:r w:rsidRPr="00F27422">
        <w:rPr>
          <w:rFonts w:ascii="mylotus" w:hAnsi="mylotus" w:hint="cs"/>
          <w:sz w:val="32"/>
          <w:rtl/>
        </w:rPr>
        <w:t>ادعي</w:t>
      </w:r>
      <w:r w:rsidRPr="00F27422">
        <w:rPr>
          <w:rFonts w:ascii="mylotus" w:hAnsi="mylotus"/>
          <w:sz w:val="32"/>
          <w:rtl/>
        </w:rPr>
        <w:t xml:space="preserve"> </w:t>
      </w:r>
      <w:r w:rsidRPr="00F27422">
        <w:rPr>
          <w:rFonts w:ascii="mylotus" w:hAnsi="mylotus" w:hint="cs"/>
          <w:sz w:val="32"/>
          <w:rtl/>
        </w:rPr>
        <w:t>عليه</w:t>
      </w:r>
      <w:r w:rsidRPr="00F27422">
        <w:rPr>
          <w:rFonts w:ascii="mylotus" w:hAnsi="mylotus"/>
          <w:sz w:val="32"/>
          <w:rtl/>
        </w:rPr>
        <w:t xml:space="preserve"> </w:t>
      </w:r>
      <w:r w:rsidRPr="00F27422">
        <w:rPr>
          <w:rFonts w:ascii="mylotus" w:hAnsi="mylotus" w:hint="cs"/>
          <w:sz w:val="32"/>
          <w:rtl/>
        </w:rPr>
        <w:t>الإجماع</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الخلاف</w:t>
      </w:r>
      <w:r w:rsidRPr="00F27422">
        <w:rPr>
          <w:rFonts w:ascii="mylotus" w:hAnsi="mylotus"/>
          <w:sz w:val="32"/>
          <w:rtl/>
        </w:rPr>
        <w:t>.</w:t>
      </w:r>
    </w:p>
    <w:p w14:paraId="1120C9BC"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hint="cs"/>
          <w:b/>
          <w:bCs/>
          <w:sz w:val="32"/>
          <w:rtl/>
        </w:rPr>
        <w:t>الدعوى الثالثة:</w:t>
      </w:r>
      <w:r w:rsidRPr="00F27422">
        <w:rPr>
          <w:rFonts w:ascii="mylotus" w:hAnsi="mylotus" w:hint="cs"/>
          <w:sz w:val="32"/>
          <w:rtl/>
        </w:rPr>
        <w:t xml:space="preserve"> أنّ</w:t>
      </w:r>
      <w:r w:rsidRPr="00F27422">
        <w:rPr>
          <w:rFonts w:ascii="mylotus" w:hAnsi="mylotus"/>
          <w:sz w:val="32"/>
          <w:rtl/>
        </w:rPr>
        <w:t xml:space="preserve"> </w:t>
      </w:r>
      <w:r w:rsidRPr="00F27422">
        <w:rPr>
          <w:rFonts w:ascii="mylotus" w:hAnsi="mylotus" w:hint="cs"/>
          <w:sz w:val="32"/>
          <w:rtl/>
        </w:rPr>
        <w:t>مفاد</w:t>
      </w:r>
      <w:r w:rsidRPr="00F27422">
        <w:rPr>
          <w:rFonts w:ascii="mylotus" w:hAnsi="mylotus"/>
          <w:sz w:val="32"/>
          <w:rtl/>
        </w:rPr>
        <w:t xml:space="preserve"> </w:t>
      </w:r>
      <w:r w:rsidRPr="00F27422">
        <w:rPr>
          <w:rFonts w:ascii="mylotus" w:hAnsi="mylotus" w:hint="cs"/>
          <w:sz w:val="32"/>
          <w:rtl/>
        </w:rPr>
        <w:t>الصحاح</w:t>
      </w:r>
      <w:r w:rsidRPr="00F27422">
        <w:rPr>
          <w:rFonts w:ascii="mylotus" w:hAnsi="mylotus"/>
          <w:sz w:val="32"/>
          <w:rtl/>
        </w:rPr>
        <w:t xml:space="preserve"> </w:t>
      </w:r>
      <w:r w:rsidRPr="00F27422">
        <w:rPr>
          <w:rFonts w:ascii="mylotus" w:hAnsi="mylotus" w:hint="cs"/>
          <w:sz w:val="32"/>
          <w:rtl/>
        </w:rPr>
        <w:t>النافية</w:t>
      </w:r>
      <w:r w:rsidRPr="00F27422">
        <w:rPr>
          <w:rFonts w:ascii="mylotus" w:hAnsi="mylotus"/>
          <w:sz w:val="32"/>
          <w:rtl/>
        </w:rPr>
        <w:t xml:space="preserve"> </w:t>
      </w:r>
      <w:r w:rsidRPr="00F27422">
        <w:rPr>
          <w:rFonts w:ascii="mylotus" w:hAnsi="mylotus" w:hint="cs"/>
          <w:sz w:val="32"/>
          <w:rtl/>
        </w:rPr>
        <w:t>للخيار</w:t>
      </w:r>
      <w:r w:rsidRPr="00F27422">
        <w:rPr>
          <w:rFonts w:ascii="mylotus" w:hAnsi="mylotus"/>
          <w:sz w:val="32"/>
          <w:rtl/>
        </w:rPr>
        <w:t xml:space="preserve"> </w:t>
      </w:r>
      <w:r w:rsidRPr="00F27422">
        <w:rPr>
          <w:rFonts w:ascii="mylotus" w:hAnsi="mylotus" w:hint="cs"/>
          <w:sz w:val="32"/>
          <w:rtl/>
        </w:rPr>
        <w:t>سُنة</w:t>
      </w:r>
      <w:r w:rsidRPr="00F27422">
        <w:rPr>
          <w:rFonts w:ascii="mylotus" w:hAnsi="mylotus"/>
          <w:sz w:val="32"/>
          <w:rtl/>
        </w:rPr>
        <w:t xml:space="preserve"> </w:t>
      </w:r>
      <w:r w:rsidRPr="00F27422">
        <w:rPr>
          <w:rFonts w:ascii="mylotus" w:hAnsi="mylotus" w:hint="cs"/>
          <w:sz w:val="32"/>
          <w:rtl/>
        </w:rPr>
        <w:t>ثابتة</w:t>
      </w:r>
      <w:r w:rsidRPr="00F27422">
        <w:rPr>
          <w:rFonts w:ascii="mylotus" w:hAnsi="mylotus"/>
          <w:sz w:val="32"/>
          <w:rtl/>
        </w:rPr>
        <w:t xml:space="preserve"> </w:t>
      </w:r>
      <w:proofErr w:type="spellStart"/>
      <w:r w:rsidRPr="00F27422">
        <w:rPr>
          <w:rFonts w:ascii="mylotus" w:hAnsi="mylotus" w:hint="cs"/>
          <w:sz w:val="32"/>
          <w:rtl/>
        </w:rPr>
        <w:t>للإطمئنان</w:t>
      </w:r>
      <w:proofErr w:type="spellEnd"/>
      <w:r w:rsidRPr="00F27422">
        <w:rPr>
          <w:rFonts w:ascii="mylotus" w:hAnsi="mylotus"/>
          <w:sz w:val="32"/>
          <w:rtl/>
        </w:rPr>
        <w:t xml:space="preserve"> </w:t>
      </w:r>
      <w:r w:rsidRPr="00F27422">
        <w:rPr>
          <w:rFonts w:ascii="mylotus" w:hAnsi="mylotus" w:hint="cs"/>
          <w:sz w:val="32"/>
          <w:rtl/>
        </w:rPr>
        <w:t>بصدورها</w:t>
      </w:r>
      <w:r w:rsidRPr="00F27422">
        <w:rPr>
          <w:rFonts w:ascii="mylotus" w:hAnsi="mylotus"/>
          <w:sz w:val="32"/>
          <w:rtl/>
        </w:rPr>
        <w:t xml:space="preserve"> </w:t>
      </w:r>
      <w:r w:rsidRPr="00F27422">
        <w:rPr>
          <w:rFonts w:ascii="mylotus" w:hAnsi="mylotus" w:hint="cs"/>
          <w:sz w:val="32"/>
          <w:rtl/>
        </w:rPr>
        <w:t xml:space="preserve">فلا </w:t>
      </w:r>
      <w:r w:rsidRPr="00F27422">
        <w:rPr>
          <w:rFonts w:ascii="mylotus" w:hAnsi="mylotus"/>
          <w:sz w:val="32"/>
          <w:rtl/>
        </w:rPr>
        <w:t>تصلح صحيحة محم</w:t>
      </w:r>
      <w:r w:rsidRPr="00F27422">
        <w:rPr>
          <w:rFonts w:ascii="mylotus" w:hAnsi="mylotus" w:hint="cs"/>
          <w:sz w:val="32"/>
          <w:rtl/>
        </w:rPr>
        <w:t>ّ</w:t>
      </w:r>
      <w:r w:rsidRPr="00F27422">
        <w:rPr>
          <w:rFonts w:ascii="mylotus" w:hAnsi="mylotus"/>
          <w:sz w:val="32"/>
          <w:rtl/>
        </w:rPr>
        <w:t>د بن مسلم لمعارضتها، بل هي مطروحة لمعارضتها للس</w:t>
      </w:r>
      <w:r w:rsidRPr="00F27422">
        <w:rPr>
          <w:rFonts w:ascii="mylotus" w:hAnsi="mylotus" w:hint="cs"/>
          <w:sz w:val="32"/>
          <w:rtl/>
        </w:rPr>
        <w:t>ُ</w:t>
      </w:r>
      <w:r w:rsidRPr="00F27422">
        <w:rPr>
          <w:rFonts w:ascii="mylotus" w:hAnsi="mylotus"/>
          <w:sz w:val="32"/>
          <w:rtl/>
        </w:rPr>
        <w:t>نة</w:t>
      </w:r>
      <w:r w:rsidRPr="00F27422">
        <w:rPr>
          <w:rFonts w:ascii="mylotus" w:hAnsi="mylotus" w:hint="cs"/>
          <w:sz w:val="32"/>
          <w:rtl/>
        </w:rPr>
        <w:t>.</w:t>
      </w:r>
    </w:p>
    <w:p w14:paraId="31E7F389"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وم</w:t>
      </w:r>
      <w:r w:rsidRPr="00F27422">
        <w:rPr>
          <w:rFonts w:ascii="mylotus" w:hAnsi="mylotus" w:hint="cs"/>
          <w:sz w:val="32"/>
          <w:rtl/>
        </w:rPr>
        <w:t>ِ</w:t>
      </w:r>
      <w:r w:rsidRPr="00F27422">
        <w:rPr>
          <w:rFonts w:ascii="mylotus" w:hAnsi="mylotus"/>
          <w:sz w:val="32"/>
          <w:rtl/>
        </w:rPr>
        <w:t>ن الواضح أن</w:t>
      </w:r>
      <w:r w:rsidRPr="00F27422">
        <w:rPr>
          <w:rFonts w:ascii="mylotus" w:hAnsi="mylotus" w:hint="cs"/>
          <w:sz w:val="32"/>
          <w:rtl/>
        </w:rPr>
        <w:t>ّ</w:t>
      </w:r>
      <w:r w:rsidRPr="00F27422">
        <w:rPr>
          <w:rFonts w:ascii="mylotus" w:hAnsi="mylotus"/>
          <w:sz w:val="32"/>
          <w:rtl/>
        </w:rPr>
        <w:t xml:space="preserve"> محلّ البحث فعلا</w:t>
      </w:r>
      <w:r w:rsidRPr="00F27422">
        <w:rPr>
          <w:rFonts w:ascii="mylotus" w:hAnsi="mylotus" w:hint="cs"/>
          <w:sz w:val="32"/>
          <w:rtl/>
        </w:rPr>
        <w:t>ً</w:t>
      </w:r>
      <w:r w:rsidRPr="00F27422">
        <w:rPr>
          <w:rFonts w:ascii="mylotus" w:hAnsi="mylotus"/>
          <w:sz w:val="32"/>
          <w:rtl/>
        </w:rPr>
        <w:t xml:space="preserve"> في المدعى الأول، فإن</w:t>
      </w:r>
      <w:r w:rsidRPr="00F27422">
        <w:rPr>
          <w:rFonts w:ascii="mylotus" w:hAnsi="mylotus" w:hint="cs"/>
          <w:sz w:val="32"/>
          <w:rtl/>
        </w:rPr>
        <w:t>ّ</w:t>
      </w:r>
      <w:r w:rsidRPr="00F27422">
        <w:rPr>
          <w:rFonts w:ascii="mylotus" w:hAnsi="mylotus"/>
          <w:sz w:val="32"/>
          <w:rtl/>
        </w:rPr>
        <w:t xml:space="preserve"> المصير للثاني والثالث فرع تعذر الجمع العرفي بين الروايات.</w:t>
      </w:r>
    </w:p>
    <w:p w14:paraId="2A76AF21"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والمنظور</w:t>
      </w:r>
      <w:r w:rsidRPr="00F27422">
        <w:rPr>
          <w:rFonts w:ascii="mylotus" w:hAnsi="mylotus" w:hint="cs"/>
          <w:b/>
          <w:bCs/>
          <w:sz w:val="32"/>
          <w:rtl/>
        </w:rPr>
        <w:t>ُ</w:t>
      </w:r>
      <w:r w:rsidRPr="00F27422">
        <w:rPr>
          <w:rFonts w:ascii="mylotus" w:hAnsi="mylotus"/>
          <w:b/>
          <w:bCs/>
          <w:sz w:val="32"/>
          <w:rtl/>
        </w:rPr>
        <w:t xml:space="preserve"> في المدعى الأول:</w:t>
      </w:r>
      <w:r w:rsidRPr="00F27422">
        <w:rPr>
          <w:rFonts w:ascii="mylotus" w:hAnsi="mylotus"/>
          <w:sz w:val="32"/>
          <w:rtl/>
        </w:rPr>
        <w:t xml:space="preserve"> أنّ لدينا طرفين متعارضين، أربع رواياتٍ نافية للخيار مِن جهة</w:t>
      </w:r>
      <w:r w:rsidRPr="00F27422">
        <w:rPr>
          <w:rFonts w:ascii="mylotus" w:hAnsi="mylotus" w:hint="cs"/>
          <w:sz w:val="32"/>
          <w:rtl/>
        </w:rPr>
        <w:t>ٍ</w:t>
      </w:r>
      <w:r w:rsidRPr="00F27422">
        <w:rPr>
          <w:rFonts w:ascii="mylotus" w:hAnsi="mylotus"/>
          <w:sz w:val="32"/>
          <w:rtl/>
        </w:rPr>
        <w:t xml:space="preserve"> ورواية دلتْ على ثبوت الخيار للبنت إذا بلغتْ م</w:t>
      </w:r>
      <w:r w:rsidRPr="00F27422">
        <w:rPr>
          <w:rFonts w:ascii="mylotus" w:hAnsi="mylotus" w:hint="cs"/>
          <w:sz w:val="32"/>
          <w:rtl/>
        </w:rPr>
        <w:t>ِ</w:t>
      </w:r>
      <w:r w:rsidRPr="00F27422">
        <w:rPr>
          <w:rFonts w:ascii="mylotus" w:hAnsi="mylotus"/>
          <w:sz w:val="32"/>
          <w:rtl/>
        </w:rPr>
        <w:t>ن جهة</w:t>
      </w:r>
      <w:r w:rsidRPr="00F27422">
        <w:rPr>
          <w:rFonts w:ascii="mylotus" w:hAnsi="mylotus" w:hint="cs"/>
          <w:sz w:val="32"/>
          <w:rtl/>
        </w:rPr>
        <w:t>ٍ</w:t>
      </w:r>
      <w:r w:rsidRPr="00F27422">
        <w:rPr>
          <w:rFonts w:ascii="mylotus" w:hAnsi="mylotus"/>
          <w:sz w:val="32"/>
          <w:rtl/>
        </w:rPr>
        <w:t xml:space="preserve"> أ</w:t>
      </w:r>
      <w:r w:rsidRPr="00F27422">
        <w:rPr>
          <w:rFonts w:ascii="mylotus" w:hAnsi="mylotus" w:hint="cs"/>
          <w:sz w:val="32"/>
          <w:rtl/>
        </w:rPr>
        <w:t>ُ</w:t>
      </w:r>
      <w:r w:rsidRPr="00F27422">
        <w:rPr>
          <w:rFonts w:ascii="mylotus" w:hAnsi="mylotus"/>
          <w:sz w:val="32"/>
          <w:rtl/>
        </w:rPr>
        <w:t xml:space="preserve">خرى، وظاهر عنوان </w:t>
      </w:r>
      <w:r w:rsidRPr="00F27422">
        <w:rPr>
          <w:rFonts w:ascii="mylotus" w:hAnsi="mylotus" w:cs="Cambria" w:hint="cs"/>
          <w:sz w:val="32"/>
          <w:rtl/>
        </w:rPr>
        <w:t>"</w:t>
      </w:r>
      <w:r w:rsidRPr="00F27422">
        <w:rPr>
          <w:rFonts w:ascii="mylotus" w:hAnsi="mylotus"/>
          <w:sz w:val="32"/>
          <w:rtl/>
        </w:rPr>
        <w:t>الخيار</w:t>
      </w:r>
      <w:r w:rsidRPr="00F27422">
        <w:rPr>
          <w:rFonts w:ascii="mylotus" w:hAnsi="mylotus" w:cs="Cambria" w:hint="cs"/>
          <w:sz w:val="32"/>
          <w:rtl/>
        </w:rPr>
        <w:t>"</w:t>
      </w:r>
      <w:r w:rsidRPr="00F27422">
        <w:rPr>
          <w:rFonts w:ascii="mylotus" w:hAnsi="mylotus"/>
          <w:sz w:val="32"/>
          <w:rtl/>
        </w:rPr>
        <w:t xml:space="preserve"> ثبوت الخيار الحقيقي، فحمل كلمة "الخيار" على الجامع بين الإلزامي والأخلاقي إشكالٌ أضعفُ من سابقيه؛ لمنافاته لظاهر السياق جداً</w:t>
      </w:r>
      <w:r w:rsidRPr="00F27422">
        <w:rPr>
          <w:rFonts w:ascii="mylotus" w:hAnsi="mylotus"/>
          <w:sz w:val="32"/>
        </w:rPr>
        <w:t>.</w:t>
      </w:r>
    </w:p>
    <w:p w14:paraId="26294F18"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sz w:val="32"/>
          <w:rtl/>
        </w:rPr>
        <w:t>فإن</w:t>
      </w:r>
      <w:r w:rsidRPr="00F27422">
        <w:rPr>
          <w:rFonts w:ascii="mylotus" w:hAnsi="mylotus" w:hint="cs"/>
          <w:sz w:val="32"/>
          <w:rtl/>
        </w:rPr>
        <w:t>ّ</w:t>
      </w:r>
      <w:r w:rsidRPr="00F27422">
        <w:rPr>
          <w:rFonts w:ascii="mylotus" w:hAnsi="mylotus"/>
          <w:sz w:val="32"/>
          <w:rtl/>
        </w:rPr>
        <w:t xml:space="preserve"> ظاهر السياق في قوله (عليه السلام): </w:t>
      </w:r>
      <w:r w:rsidRPr="00F27422">
        <w:rPr>
          <w:rFonts w:ascii="mylotus" w:hAnsi="mylotus"/>
          <w:b/>
          <w:bCs/>
          <w:sz w:val="32"/>
          <w:rtl/>
        </w:rPr>
        <w:t>(ولكن لهما الخيار إذا أدركا، فإن رضيا بعد ذلك فإن المهر على الأب)</w:t>
      </w:r>
      <w:r w:rsidRPr="00F27422">
        <w:rPr>
          <w:rFonts w:ascii="mylotus" w:hAnsi="mylotus"/>
          <w:sz w:val="32"/>
          <w:rtl/>
        </w:rPr>
        <w:t xml:space="preserve"> أنّه حكمٌ واحدٌ في حقّ الابن </w:t>
      </w:r>
      <w:proofErr w:type="gramStart"/>
      <w:r w:rsidRPr="00F27422">
        <w:rPr>
          <w:rFonts w:ascii="mylotus" w:hAnsi="mylotus"/>
          <w:sz w:val="32"/>
          <w:rtl/>
        </w:rPr>
        <w:t>والبنت  إمّا</w:t>
      </w:r>
      <w:proofErr w:type="gramEnd"/>
      <w:r w:rsidRPr="00F27422">
        <w:rPr>
          <w:rFonts w:ascii="mylotus" w:hAnsi="mylotus"/>
          <w:sz w:val="32"/>
          <w:rtl/>
        </w:rPr>
        <w:t xml:space="preserve"> اخلاقي أو حقوقي في كليهما، وحيث فرع عليه ثبوت المهر على الأب ظهر أن</w:t>
      </w:r>
      <w:r w:rsidRPr="00F27422">
        <w:rPr>
          <w:rFonts w:ascii="mylotus" w:hAnsi="mylotus" w:hint="cs"/>
          <w:sz w:val="32"/>
          <w:rtl/>
        </w:rPr>
        <w:t>ّ</w:t>
      </w:r>
      <w:r w:rsidRPr="00F27422">
        <w:rPr>
          <w:rFonts w:ascii="mylotus" w:hAnsi="mylotus"/>
          <w:sz w:val="32"/>
          <w:rtl/>
        </w:rPr>
        <w:t>ه حقيقي، مضافا</w:t>
      </w:r>
      <w:r w:rsidRPr="00F27422">
        <w:rPr>
          <w:rFonts w:ascii="mylotus" w:hAnsi="mylotus" w:hint="cs"/>
          <w:sz w:val="32"/>
          <w:rtl/>
        </w:rPr>
        <w:t>ً</w:t>
      </w:r>
      <w:r w:rsidRPr="00F27422">
        <w:rPr>
          <w:rFonts w:ascii="mylotus" w:hAnsi="mylotus"/>
          <w:sz w:val="32"/>
          <w:rtl/>
        </w:rPr>
        <w:t xml:space="preserve"> لعدم ورود رواية بهذا اللفظ</w:t>
      </w:r>
      <w:r w:rsidRPr="00F27422">
        <w:rPr>
          <w:rFonts w:ascii="mylotus" w:hAnsi="mylotus" w:hint="cs"/>
          <w:sz w:val="32"/>
          <w:rtl/>
        </w:rPr>
        <w:t>:</w:t>
      </w:r>
      <w:r w:rsidRPr="00F27422">
        <w:rPr>
          <w:rFonts w:ascii="mylotus" w:hAnsi="mylotus"/>
          <w:sz w:val="32"/>
          <w:rtl/>
        </w:rPr>
        <w:t xml:space="preserve"> </w:t>
      </w:r>
      <w:r w:rsidRPr="00F27422">
        <w:rPr>
          <w:rFonts w:ascii="mylotus" w:hAnsi="mylotus" w:cs="Cambria" w:hint="cs"/>
          <w:sz w:val="32"/>
          <w:rtl/>
        </w:rPr>
        <w:t>"</w:t>
      </w:r>
      <w:r w:rsidRPr="00F27422">
        <w:rPr>
          <w:rFonts w:ascii="mylotus" w:hAnsi="mylotus"/>
          <w:sz w:val="32"/>
          <w:rtl/>
        </w:rPr>
        <w:t>اغتسل للجمعة والجنابة</w:t>
      </w:r>
      <w:r w:rsidRPr="00F27422">
        <w:rPr>
          <w:rFonts w:ascii="mylotus" w:hAnsi="mylotus" w:cs="Cambria" w:hint="cs"/>
          <w:sz w:val="32"/>
          <w:rtl/>
        </w:rPr>
        <w:t>"</w:t>
      </w:r>
      <w:r w:rsidRPr="00F27422">
        <w:rPr>
          <w:rFonts w:ascii="mylotus" w:hAnsi="mylotus"/>
          <w:sz w:val="32"/>
          <w:rtl/>
        </w:rPr>
        <w:t xml:space="preserve"> كي تكون شاهدا</w:t>
      </w:r>
      <w:r w:rsidRPr="00F27422">
        <w:rPr>
          <w:rFonts w:ascii="mylotus" w:hAnsi="mylotus" w:hint="cs"/>
          <w:sz w:val="32"/>
          <w:rtl/>
        </w:rPr>
        <w:t>ً</w:t>
      </w:r>
      <w:r w:rsidRPr="00F27422">
        <w:rPr>
          <w:rFonts w:ascii="mylotus" w:hAnsi="mylotus"/>
          <w:sz w:val="32"/>
          <w:rtl/>
        </w:rPr>
        <w:t xml:space="preserve"> على ال</w:t>
      </w:r>
      <w:r w:rsidRPr="00F27422">
        <w:rPr>
          <w:rFonts w:ascii="mylotus" w:hAnsi="mylotus" w:hint="cs"/>
          <w:sz w:val="32"/>
          <w:rtl/>
        </w:rPr>
        <w:t>ا</w:t>
      </w:r>
      <w:r w:rsidRPr="00F27422">
        <w:rPr>
          <w:rFonts w:ascii="mylotus" w:hAnsi="mylotus"/>
          <w:sz w:val="32"/>
          <w:rtl/>
        </w:rPr>
        <w:t>ستعمال في الجامع، ولو</w:t>
      </w:r>
      <w:r w:rsidRPr="00F27422">
        <w:rPr>
          <w:rFonts w:ascii="mylotus" w:hAnsi="mylotus" w:hint="cs"/>
          <w:sz w:val="32"/>
          <w:rtl/>
        </w:rPr>
        <w:t xml:space="preserve"> </w:t>
      </w:r>
      <w:r w:rsidRPr="00F27422">
        <w:rPr>
          <w:rFonts w:ascii="mylotus" w:hAnsi="mylotus"/>
          <w:sz w:val="32"/>
          <w:rtl/>
        </w:rPr>
        <w:t>وردت</w:t>
      </w:r>
      <w:r w:rsidRPr="00F27422">
        <w:rPr>
          <w:rFonts w:ascii="mylotus" w:hAnsi="mylotus" w:hint="cs"/>
          <w:sz w:val="32"/>
          <w:rtl/>
        </w:rPr>
        <w:t>ْ</w:t>
      </w:r>
      <w:r w:rsidRPr="00F27422">
        <w:rPr>
          <w:rFonts w:ascii="mylotus" w:hAnsi="mylotus"/>
          <w:sz w:val="32"/>
          <w:rtl/>
        </w:rPr>
        <w:t xml:space="preserve"> فالمبنى المختار أن</w:t>
      </w:r>
      <w:r w:rsidRPr="00F27422">
        <w:rPr>
          <w:rFonts w:ascii="mylotus" w:hAnsi="mylotus" w:hint="cs"/>
          <w:sz w:val="32"/>
          <w:rtl/>
        </w:rPr>
        <w:t>ّ</w:t>
      </w:r>
      <w:r w:rsidRPr="00F27422">
        <w:rPr>
          <w:rFonts w:ascii="mylotus" w:hAnsi="mylotus"/>
          <w:sz w:val="32"/>
          <w:rtl/>
        </w:rPr>
        <w:t xml:space="preserve"> استفادة الإلزام م</w:t>
      </w:r>
      <w:r w:rsidRPr="00F27422">
        <w:rPr>
          <w:rFonts w:ascii="mylotus" w:hAnsi="mylotus" w:hint="cs"/>
          <w:sz w:val="32"/>
          <w:rtl/>
        </w:rPr>
        <w:t>ِ</w:t>
      </w:r>
      <w:r w:rsidRPr="00F27422">
        <w:rPr>
          <w:rFonts w:ascii="mylotus" w:hAnsi="mylotus"/>
          <w:sz w:val="32"/>
          <w:rtl/>
        </w:rPr>
        <w:t>ن الإطلاق لا</w:t>
      </w:r>
      <w:r w:rsidRPr="00F27422">
        <w:rPr>
          <w:rFonts w:ascii="mylotus" w:hAnsi="mylotus" w:hint="cs"/>
          <w:sz w:val="32"/>
          <w:rtl/>
        </w:rPr>
        <w:t xml:space="preserve"> </w:t>
      </w:r>
      <w:r w:rsidRPr="00F27422">
        <w:rPr>
          <w:rFonts w:ascii="mylotus" w:hAnsi="mylotus"/>
          <w:sz w:val="32"/>
          <w:rtl/>
        </w:rPr>
        <w:t>من مدلول صيغة ا</w:t>
      </w:r>
      <w:r w:rsidRPr="00F27422">
        <w:rPr>
          <w:rFonts w:ascii="mylotus" w:hAnsi="mylotus" w:hint="cs"/>
          <w:sz w:val="32"/>
          <w:rtl/>
        </w:rPr>
        <w:t>ِ</w:t>
      </w:r>
      <w:r w:rsidRPr="00F27422">
        <w:rPr>
          <w:rFonts w:ascii="mylotus" w:hAnsi="mylotus"/>
          <w:sz w:val="32"/>
          <w:rtl/>
        </w:rPr>
        <w:t>فعل، فلا</w:t>
      </w:r>
      <w:r w:rsidRPr="00F27422">
        <w:rPr>
          <w:rFonts w:ascii="mylotus" w:hAnsi="mylotus" w:hint="cs"/>
          <w:sz w:val="32"/>
          <w:rtl/>
        </w:rPr>
        <w:t xml:space="preserve"> </w:t>
      </w:r>
      <w:r w:rsidRPr="00F27422">
        <w:rPr>
          <w:rFonts w:ascii="mylotus" w:hAnsi="mylotus"/>
          <w:sz w:val="32"/>
          <w:rtl/>
        </w:rPr>
        <w:t>تصلح لل</w:t>
      </w:r>
      <w:r w:rsidRPr="00F27422">
        <w:rPr>
          <w:rFonts w:ascii="mylotus" w:hAnsi="mylotus" w:hint="cs"/>
          <w:sz w:val="32"/>
          <w:rtl/>
        </w:rPr>
        <w:t>ا</w:t>
      </w:r>
      <w:r w:rsidRPr="00F27422">
        <w:rPr>
          <w:rFonts w:ascii="mylotus" w:hAnsi="mylotus"/>
          <w:sz w:val="32"/>
          <w:rtl/>
        </w:rPr>
        <w:t>ستشهاد بها على محل</w:t>
      </w:r>
      <w:r w:rsidRPr="00F27422">
        <w:rPr>
          <w:rFonts w:ascii="mylotus" w:hAnsi="mylotus" w:hint="cs"/>
          <w:sz w:val="32"/>
          <w:rtl/>
        </w:rPr>
        <w:t>ّ</w:t>
      </w:r>
      <w:r w:rsidRPr="00F27422">
        <w:rPr>
          <w:rFonts w:ascii="mylotus" w:hAnsi="mylotus"/>
          <w:sz w:val="32"/>
          <w:rtl/>
        </w:rPr>
        <w:t xml:space="preserve"> الكلام</w:t>
      </w:r>
      <w:r w:rsidRPr="00F27422">
        <w:rPr>
          <w:rFonts w:ascii="mylotus" w:hAnsi="mylotus" w:hint="cs"/>
          <w:sz w:val="32"/>
          <w:rtl/>
        </w:rPr>
        <w:t>.</w:t>
      </w:r>
    </w:p>
    <w:p w14:paraId="19CC17D9" w14:textId="77777777" w:rsidR="008E226B" w:rsidRPr="00F27422" w:rsidRDefault="008E226B" w:rsidP="00122B70">
      <w:pPr>
        <w:pStyle w:val="a"/>
        <w:bidi/>
        <w:spacing w:line="216" w:lineRule="auto"/>
        <w:jc w:val="left"/>
        <w:rPr>
          <w:rFonts w:ascii="mylotus" w:hAnsi="mylotus"/>
          <w:sz w:val="32"/>
          <w:rtl/>
        </w:rPr>
      </w:pPr>
      <w:r w:rsidRPr="00F27422">
        <w:rPr>
          <w:rFonts w:ascii="mylotus" w:hAnsi="mylotus"/>
          <w:b/>
          <w:bCs/>
          <w:sz w:val="32"/>
          <w:rtl/>
        </w:rPr>
        <w:t>والنتيجة:</w:t>
      </w:r>
      <w:r w:rsidRPr="00F27422">
        <w:rPr>
          <w:rFonts w:ascii="mylotus" w:hAnsi="mylotus"/>
          <w:sz w:val="32"/>
          <w:rtl/>
        </w:rPr>
        <w:t xml:space="preserve"> تمامية مفاد صحيحة محمّد بن مسلم على ثبوت الخيار للصغير عند</w:t>
      </w:r>
      <w:r w:rsidRPr="00F27422">
        <w:rPr>
          <w:rFonts w:ascii="mylotus" w:hAnsi="mylotus" w:hint="cs"/>
          <w:sz w:val="32"/>
          <w:rtl/>
        </w:rPr>
        <w:t xml:space="preserve"> </w:t>
      </w:r>
      <w:r w:rsidRPr="00F27422">
        <w:rPr>
          <w:rFonts w:ascii="mylotus" w:hAnsi="mylotus"/>
          <w:sz w:val="32"/>
          <w:rtl/>
        </w:rPr>
        <w:t>بلوغه.</w:t>
      </w:r>
    </w:p>
    <w:p w14:paraId="45BBA84A" w14:textId="77777777" w:rsidR="008E226B" w:rsidRPr="00F27422" w:rsidRDefault="008E226B" w:rsidP="00122B70">
      <w:pPr>
        <w:pStyle w:val="a"/>
        <w:bidi/>
        <w:spacing w:line="216" w:lineRule="auto"/>
        <w:jc w:val="left"/>
        <w:rPr>
          <w:rFonts w:ascii="mylotus" w:hAnsi="mylotus"/>
          <w:b/>
          <w:bCs/>
          <w:sz w:val="32"/>
          <w:rtl/>
        </w:rPr>
      </w:pPr>
    </w:p>
    <w:p w14:paraId="4B33EB29" w14:textId="77777777" w:rsidR="008E226B" w:rsidRPr="00F27422" w:rsidRDefault="008E226B"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7046E909" w14:textId="77777777" w:rsidR="009274E8" w:rsidRPr="00F27422" w:rsidRDefault="009274E8" w:rsidP="00122B70">
      <w:pPr>
        <w:bidi/>
        <w:rPr>
          <w:sz w:val="32"/>
          <w:szCs w:val="32"/>
          <w:rtl/>
        </w:rPr>
      </w:pPr>
    </w:p>
    <w:p w14:paraId="7EBEE937" w14:textId="2F81E871" w:rsidR="00F573CB" w:rsidRPr="00F27422" w:rsidRDefault="00F573CB" w:rsidP="00122B70">
      <w:pPr>
        <w:pStyle w:val="Heading3"/>
        <w:bidi/>
        <w:rPr>
          <w:sz w:val="32"/>
          <w:szCs w:val="32"/>
          <w:rtl/>
        </w:rPr>
      </w:pPr>
      <w:r w:rsidRPr="00F27422">
        <w:rPr>
          <w:rFonts w:hint="cs"/>
          <w:sz w:val="32"/>
          <w:szCs w:val="32"/>
          <w:rtl/>
        </w:rPr>
        <w:t>052</w:t>
      </w:r>
    </w:p>
    <w:p w14:paraId="2E56A83C" w14:textId="77777777" w:rsidR="00F573CB" w:rsidRPr="00F27422" w:rsidRDefault="00F573CB" w:rsidP="00122B70">
      <w:pPr>
        <w:bidi/>
        <w:rPr>
          <w:sz w:val="32"/>
          <w:szCs w:val="32"/>
          <w:rtl/>
        </w:rPr>
      </w:pPr>
    </w:p>
    <w:p w14:paraId="5F72BE94"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50061CD0"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158C4ABB"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b/>
          <w:bCs/>
          <w:sz w:val="32"/>
          <w:rtl/>
        </w:rPr>
        <w:t>واللعن الدائم على أعدائهم أجمعين إلى قيام يوم الدين</w:t>
      </w:r>
    </w:p>
    <w:p w14:paraId="421BA261" w14:textId="77777777" w:rsidR="007C105B" w:rsidRPr="00F27422" w:rsidRDefault="007C105B" w:rsidP="00122B70">
      <w:pPr>
        <w:pStyle w:val="a"/>
        <w:bidi/>
        <w:spacing w:line="216" w:lineRule="auto"/>
        <w:jc w:val="left"/>
        <w:rPr>
          <w:rFonts w:ascii="mylotus" w:hAnsi="mylotus"/>
          <w:sz w:val="32"/>
          <w:rtl/>
        </w:rPr>
      </w:pPr>
    </w:p>
    <w:p w14:paraId="393130CA"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b/>
          <w:bCs/>
          <w:sz w:val="32"/>
          <w:rtl/>
        </w:rPr>
        <w:t>الروايةُ الثالثة مِن الطائفة الرابعة التي يستدل بها على ثبوت الخيار للصبي والصبيّة إذا بلغا</w:t>
      </w:r>
      <w:r w:rsidRPr="00F27422">
        <w:rPr>
          <w:rFonts w:ascii="mylotus" w:hAnsi="mylotus"/>
          <w:b/>
          <w:bCs/>
          <w:sz w:val="32"/>
        </w:rPr>
        <w:t>:</w:t>
      </w:r>
    </w:p>
    <w:p w14:paraId="2F298F26"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sz w:val="32"/>
          <w:rtl/>
        </w:rPr>
        <w:t>رواية</w:t>
      </w:r>
      <w:r w:rsidRPr="00F27422">
        <w:rPr>
          <w:rFonts w:ascii="mylotus" w:hAnsi="mylotus" w:hint="cs"/>
          <w:sz w:val="32"/>
          <w:rtl/>
        </w:rPr>
        <w:t>ُ</w:t>
      </w:r>
      <w:r w:rsidRPr="00F27422">
        <w:rPr>
          <w:rFonts w:ascii="mylotus" w:hAnsi="mylotus"/>
          <w:sz w:val="32"/>
          <w:rtl/>
        </w:rPr>
        <w:t xml:space="preserve"> يزيد الكناسي: كما في التهذيب: </w:t>
      </w:r>
      <w:r w:rsidRPr="00F27422">
        <w:rPr>
          <w:rFonts w:ascii="mylotus" w:hAnsi="mylotus"/>
          <w:b/>
          <w:bCs/>
          <w:sz w:val="32"/>
          <w:rtl/>
        </w:rPr>
        <w:t xml:space="preserve">(وأما ما رواه أحمد بن محمّد بن عيسى، عن الحسن بن محبوب، عن أبي أيوب الخزاز، عن يزيد الكناسي قال: قلتُ لأبي جعفر (عليه السلام): متى يجوز للأب أنْ يزوج ابنته ولا </w:t>
      </w:r>
      <w:proofErr w:type="spellStart"/>
      <w:r w:rsidRPr="00F27422">
        <w:rPr>
          <w:rFonts w:ascii="mylotus" w:hAnsi="mylotus"/>
          <w:b/>
          <w:bCs/>
          <w:sz w:val="32"/>
          <w:rtl/>
        </w:rPr>
        <w:t>يستأمرها</w:t>
      </w:r>
      <w:proofErr w:type="spellEnd"/>
      <w:r w:rsidRPr="00F27422">
        <w:rPr>
          <w:rFonts w:ascii="mylotus" w:hAnsi="mylotus"/>
          <w:b/>
          <w:bCs/>
          <w:sz w:val="32"/>
          <w:rtl/>
        </w:rPr>
        <w:t>؟ قال: إذا جازت تسع سنين فإنْ زوجها قبل بلوغ التسع سنين كان الخيار لها إذا بلغت تسع سنين</w:t>
      </w:r>
      <w:r w:rsidRPr="00F27422">
        <w:rPr>
          <w:rFonts w:ascii="mylotus" w:hAnsi="mylotus"/>
          <w:b/>
          <w:bCs/>
          <w:sz w:val="32"/>
        </w:rPr>
        <w:t>.</w:t>
      </w:r>
    </w:p>
    <w:p w14:paraId="68656F82"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b/>
          <w:bCs/>
          <w:sz w:val="32"/>
          <w:rtl/>
        </w:rPr>
        <w:lastRenderedPageBreak/>
        <w:t xml:space="preserve">وهذه الزيادة وجدتها في كتاب المشيخة - أي المشيخة للحسن بن محبوب - عن يزيد الكناسي: قلتُ: فإنْ زوجها أبوها ولم تبلغ تسع سنين فبلغها ذلك فسكتت ولم تأب ذلك أيجوز عليها؟ قال: ليس يجوز عليها رضى في نفسها ولا يجوز لها تأب ولا سخط في نفسها حتى تستكمل تسع سنين، وإذا بلغت تسع سنين جاز لها القول في نفسها بالرضا </w:t>
      </w:r>
      <w:proofErr w:type="spellStart"/>
      <w:r w:rsidRPr="00F27422">
        <w:rPr>
          <w:rFonts w:ascii="mylotus" w:hAnsi="mylotus"/>
          <w:b/>
          <w:bCs/>
          <w:sz w:val="32"/>
          <w:rtl/>
        </w:rPr>
        <w:t>والتأبي</w:t>
      </w:r>
      <w:proofErr w:type="spellEnd"/>
      <w:r w:rsidRPr="00F27422">
        <w:rPr>
          <w:rFonts w:ascii="mylotus" w:hAnsi="mylotus"/>
          <w:b/>
          <w:bCs/>
          <w:sz w:val="32"/>
          <w:rtl/>
        </w:rPr>
        <w:t xml:space="preserve"> وجاز عليها بعد ذلك، وإنْ لم تكن أدركت مدرك النساء، قلتُ: أَ فيقامُ عليها الحدود وتؤخذ بها وهي في تلك الحال وإنّما لها تسع سنين ولم تدرك مدرك النساء في الحيض؟ قال: نعم إذا دخلت على زوجها ولها تسع سنين ذهب عنها اليتم ودفع إليها مالها واُقيمت الحدود التامة عليها ولها، قلتُ: فالغلام يجري في ذلك مجرى الجارية؟ فقال: يا أبا خالد إنْ الغلام إذا زوجه أبوه ولم يدرك كان له الخيار إذا أدرك وبلغ خمس عشرة سنة أو يشعر في وجهه أو ينبت في عانته قبل ذلك، قلتُ: فإنْ اُدخلت عليه امرأته قبل أنْ يدرك فمكث معها ما شاء الله ثمّ أدرك بعد فكرهها </w:t>
      </w:r>
      <w:proofErr w:type="spellStart"/>
      <w:r w:rsidRPr="00F27422">
        <w:rPr>
          <w:rFonts w:ascii="mylotus" w:hAnsi="mylotus"/>
          <w:b/>
          <w:bCs/>
          <w:sz w:val="32"/>
          <w:rtl/>
        </w:rPr>
        <w:t>وتأباها</w:t>
      </w:r>
      <w:proofErr w:type="spellEnd"/>
      <w:r w:rsidRPr="00F27422">
        <w:rPr>
          <w:rFonts w:ascii="mylotus" w:hAnsi="mylotus"/>
          <w:b/>
          <w:bCs/>
          <w:sz w:val="32"/>
          <w:rtl/>
        </w:rPr>
        <w:t xml:space="preserve"> قال: إذا كان أبوه الذي زوجه ودخل بها ولذّ منها وأقام معها سنة فلا خيار له إذا أدرك ولا ينبغي له أنْ يرد على أبيه ما صنع ولا يحل له ذلك، قلتُ له: فإنْ زوجه أبوه ودخل بها وهو غير مدرك أَ تقامُ عليه الحدود وهو في تلك الحال؟ قال: أمّا الحدود الكاملة التي يؤخذ بها الرجل فلا ولكن يجلد في الحدود كلها على قدر مبلغ سنه فيؤخذ بذلك ما بينه وبين خمس عشرة سنة، فلا تبطل حدود الله في خلقه ولا تبطل حقوق المسلمين بينهم، قلتُ له: جعلتُ فداك فإنْ طلقها في تلك الحال ولم يكن أدرك أَ يجوزُ طلاقه؟ قال: إنْ كان مسها في الفرج فإنّ طلاقها جائز عليها وعليه، وإنْ لم يمسها في الفرج ولم تلذّ منه فإنّها تعزل عنه وتصير إلى أهلها فلا يراها ولا تقربه حتى يدرك </w:t>
      </w:r>
      <w:proofErr w:type="spellStart"/>
      <w:r w:rsidRPr="00F27422">
        <w:rPr>
          <w:rFonts w:ascii="mylotus" w:hAnsi="mylotus"/>
          <w:b/>
          <w:bCs/>
          <w:sz w:val="32"/>
          <w:rtl/>
        </w:rPr>
        <w:t>فيسئل</w:t>
      </w:r>
      <w:proofErr w:type="spellEnd"/>
      <w:r w:rsidRPr="00F27422">
        <w:rPr>
          <w:rFonts w:ascii="mylotus" w:hAnsi="mylotus"/>
          <w:b/>
          <w:bCs/>
          <w:sz w:val="32"/>
          <w:rtl/>
        </w:rPr>
        <w:t xml:space="preserve"> ويقال له: إنّك كنت طلقت امرأتك فلانة، فإنْ هو أقر بذلك وأجاز الطلاق كانت تطليقة بائنة، وكان خاطباً من الخطاب).</w:t>
      </w:r>
      <w:r w:rsidRPr="00F27422">
        <w:rPr>
          <w:rFonts w:ascii="mylotus" w:hAnsi="mylotus"/>
          <w:sz w:val="32"/>
          <w:rtl/>
        </w:rPr>
        <w:t xml:space="preserve"> [تهذيب الأحكام، لشيخ الطائفة الطوسي، ج7، كتاب النكاح، الباب 32 باب عقد المرأة على نفسها النكاح وأولياء الصبيّة وأحقهم بالعقد عليها، ح20، رقم (154</w:t>
      </w:r>
      <w:r w:rsidRPr="00F27422">
        <w:rPr>
          <w:rFonts w:ascii="mylotus" w:hAnsi="mylotus" w:hint="cs"/>
          <w:sz w:val="32"/>
          <w:rtl/>
        </w:rPr>
        <w:t>4)].</w:t>
      </w:r>
    </w:p>
    <w:p w14:paraId="1673ABBD"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ورواه عنهُ الحرُ العاملي عن نسخةٍ فيها "بريد الكناسي" كما في الوسائل: [وسائل الشيعة، الحر العاملي، تحقيق مؤسسة آل البيت (عليهم السلام) لإحياء التراث، ج20، كتاب النكاح، أبواب عقد النكاح وأولياء العقد، الباب 6 باب ثبوت الولاية للأب والجد للأب خاصة مع وجود الأب لا غيرهما على البنت غير البالغة الرشيدة وكذا الصبي، ح9]</w:t>
      </w:r>
      <w:r w:rsidRPr="00F27422">
        <w:rPr>
          <w:rFonts w:ascii="mylotus" w:hAnsi="mylotus"/>
          <w:sz w:val="32"/>
        </w:rPr>
        <w:t>.</w:t>
      </w:r>
    </w:p>
    <w:p w14:paraId="6E903F82"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b/>
          <w:bCs/>
          <w:sz w:val="32"/>
          <w:rtl/>
        </w:rPr>
        <w:t>والكلام في هذه الرواية من جهتين: الأُولى:</w:t>
      </w:r>
      <w:r w:rsidRPr="00F27422">
        <w:rPr>
          <w:rFonts w:ascii="mylotus" w:hAnsi="mylotus"/>
          <w:sz w:val="32"/>
          <w:rtl/>
        </w:rPr>
        <w:t xml:space="preserve"> من ناحية السند. </w:t>
      </w:r>
      <w:r w:rsidRPr="00F27422">
        <w:rPr>
          <w:rFonts w:ascii="mylotus" w:hAnsi="mylotus"/>
          <w:b/>
          <w:bCs/>
          <w:sz w:val="32"/>
          <w:rtl/>
        </w:rPr>
        <w:t xml:space="preserve">والثانية: </w:t>
      </w:r>
      <w:r w:rsidRPr="00F27422">
        <w:rPr>
          <w:rFonts w:ascii="mylotus" w:hAnsi="mylotus"/>
          <w:sz w:val="32"/>
          <w:rtl/>
        </w:rPr>
        <w:t>من ناحية الدلالة</w:t>
      </w:r>
      <w:r w:rsidRPr="00F27422">
        <w:rPr>
          <w:rFonts w:ascii="mylotus" w:hAnsi="mylotus"/>
          <w:sz w:val="32"/>
        </w:rPr>
        <w:t>.</w:t>
      </w:r>
    </w:p>
    <w:p w14:paraId="2EE153DE"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b/>
          <w:bCs/>
          <w:sz w:val="32"/>
          <w:rtl/>
        </w:rPr>
        <w:t>الجهة الأُولى: من ناحية السند</w:t>
      </w:r>
      <w:r w:rsidRPr="00F27422">
        <w:rPr>
          <w:rFonts w:ascii="mylotus" w:hAnsi="mylotus"/>
          <w:b/>
          <w:bCs/>
          <w:sz w:val="32"/>
        </w:rPr>
        <w:t>:</w:t>
      </w:r>
    </w:p>
    <w:p w14:paraId="155B2605"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فمِن الواضح أنّ يزيد الكناسي مجهولٌ، لَمْ يوثق</w:t>
      </w:r>
      <w:r w:rsidRPr="00F27422">
        <w:rPr>
          <w:rFonts w:ascii="mylotus" w:hAnsi="mylotus"/>
          <w:sz w:val="32"/>
        </w:rPr>
        <w:t>.</w:t>
      </w:r>
    </w:p>
    <w:p w14:paraId="64CE5466"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ولكن أف</w:t>
      </w:r>
      <w:r w:rsidRPr="00F27422">
        <w:rPr>
          <w:rFonts w:ascii="mylotus" w:hAnsi="mylotus" w:hint="cs"/>
          <w:sz w:val="32"/>
          <w:rtl/>
        </w:rPr>
        <w:t>اد سيدنا الخوئي (قدس سره الشريف)</w:t>
      </w:r>
      <w:r w:rsidRPr="00F27422">
        <w:rPr>
          <w:rFonts w:ascii="mylotus" w:hAnsi="mylotus"/>
          <w:sz w:val="32"/>
          <w:rtl/>
        </w:rPr>
        <w:t xml:space="preserve"> في موسوعته المباركة في كتابه [المباني في شرح العروة الوثقى، كتاب النكاح، ج</w:t>
      </w:r>
      <w:r w:rsidRPr="00F27422">
        <w:rPr>
          <w:rFonts w:ascii="mylotus" w:hAnsi="mylotus" w:hint="cs"/>
          <w:sz w:val="32"/>
          <w:rtl/>
        </w:rPr>
        <w:t>32</w:t>
      </w:r>
      <w:r w:rsidRPr="00F27422">
        <w:rPr>
          <w:rFonts w:ascii="mylotus" w:hAnsi="mylotus"/>
          <w:sz w:val="32"/>
          <w:rtl/>
        </w:rPr>
        <w:t>، ص</w:t>
      </w:r>
      <w:r w:rsidRPr="00F27422">
        <w:rPr>
          <w:rFonts w:ascii="mylotus" w:hAnsi="mylotus" w:hint="cs"/>
          <w:sz w:val="32"/>
          <w:rtl/>
        </w:rPr>
        <w:t>311</w:t>
      </w:r>
      <w:r w:rsidRPr="00F27422">
        <w:rPr>
          <w:rFonts w:ascii="mylotus" w:hAnsi="mylotus"/>
          <w:sz w:val="32"/>
          <w:rtl/>
        </w:rPr>
        <w:t>] أن</w:t>
      </w:r>
      <w:r w:rsidRPr="00F27422">
        <w:rPr>
          <w:rFonts w:ascii="mylotus" w:hAnsi="mylotus" w:hint="cs"/>
          <w:sz w:val="32"/>
          <w:rtl/>
        </w:rPr>
        <w:t>ّ</w:t>
      </w:r>
      <w:r w:rsidRPr="00F27422">
        <w:rPr>
          <w:rFonts w:ascii="mylotus" w:hAnsi="mylotus"/>
          <w:sz w:val="32"/>
          <w:rtl/>
        </w:rPr>
        <w:t xml:space="preserve"> الصحيح اتحاده مع أبي خالد القماط الذي وثقه النجاشي</w:t>
      </w:r>
      <w:r w:rsidRPr="00F27422">
        <w:rPr>
          <w:rFonts w:ascii="mylotus" w:hAnsi="mylotus" w:hint="cs"/>
          <w:sz w:val="32"/>
          <w:rtl/>
        </w:rPr>
        <w:t xml:space="preserve">، </w:t>
      </w:r>
      <w:r w:rsidRPr="00F27422">
        <w:rPr>
          <w:rFonts w:ascii="mylotus" w:hAnsi="mylotus"/>
          <w:sz w:val="32"/>
          <w:rtl/>
        </w:rPr>
        <w:t>و</w:t>
      </w:r>
      <w:r w:rsidRPr="00F27422">
        <w:rPr>
          <w:rFonts w:ascii="mylotus" w:hAnsi="mylotus" w:hint="cs"/>
          <w:sz w:val="32"/>
          <w:rtl/>
        </w:rPr>
        <w:t xml:space="preserve">أفاد </w:t>
      </w:r>
      <w:r w:rsidRPr="00F27422">
        <w:rPr>
          <w:rFonts w:ascii="mylotus" w:hAnsi="mylotus"/>
          <w:sz w:val="32"/>
          <w:rtl/>
        </w:rPr>
        <w:t>في</w:t>
      </w:r>
      <w:r w:rsidRPr="00F27422">
        <w:rPr>
          <w:rFonts w:ascii="mylotus" w:hAnsi="mylotus" w:hint="cs"/>
          <w:sz w:val="32"/>
          <w:rtl/>
        </w:rPr>
        <w:t xml:space="preserve"> كتابه المعجم</w:t>
      </w:r>
      <w:r w:rsidRPr="00F27422">
        <w:rPr>
          <w:rFonts w:ascii="mylotus" w:hAnsi="mylotus"/>
          <w:sz w:val="32"/>
          <w:rtl/>
        </w:rPr>
        <w:t xml:space="preserve"> </w:t>
      </w:r>
      <w:r w:rsidRPr="00F27422">
        <w:rPr>
          <w:rFonts w:ascii="mylotus" w:hAnsi="mylotus" w:hint="cs"/>
          <w:sz w:val="32"/>
          <w:rtl/>
        </w:rPr>
        <w:t>[</w:t>
      </w:r>
      <w:r w:rsidRPr="00F27422">
        <w:rPr>
          <w:rFonts w:ascii="mylotus" w:hAnsi="mylotus"/>
          <w:sz w:val="32"/>
          <w:rtl/>
        </w:rPr>
        <w:t>معجم رجال الحديث</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 xml:space="preserve">مؤسسة الإمام الخوئي الإسلامية، ج21، ص111]، </w:t>
      </w:r>
      <w:r w:rsidRPr="00F27422">
        <w:rPr>
          <w:rFonts w:ascii="mylotus" w:hAnsi="mylotus"/>
          <w:sz w:val="32"/>
          <w:rtl/>
        </w:rPr>
        <w:t>أولا</w:t>
      </w:r>
      <w:r w:rsidRPr="00F27422">
        <w:rPr>
          <w:rFonts w:ascii="mylotus" w:hAnsi="mylotus" w:hint="cs"/>
          <w:sz w:val="32"/>
          <w:rtl/>
        </w:rPr>
        <w:t>ً</w:t>
      </w:r>
      <w:r w:rsidRPr="00F27422">
        <w:rPr>
          <w:rFonts w:ascii="mylotus" w:hAnsi="mylotus"/>
          <w:sz w:val="32"/>
          <w:rtl/>
        </w:rPr>
        <w:t>: أن</w:t>
      </w:r>
      <w:r w:rsidRPr="00F27422">
        <w:rPr>
          <w:rFonts w:ascii="mylotus" w:hAnsi="mylotus" w:hint="cs"/>
          <w:sz w:val="32"/>
          <w:rtl/>
        </w:rPr>
        <w:t>ّ</w:t>
      </w:r>
      <w:r w:rsidRPr="00F27422">
        <w:rPr>
          <w:rFonts w:ascii="mylotus" w:hAnsi="mylotus"/>
          <w:sz w:val="32"/>
          <w:rtl/>
        </w:rPr>
        <w:t xml:space="preserve"> اتحاد الكناسي مع أبي خالد القماط غير</w:t>
      </w:r>
      <w:r w:rsidRPr="00F27422">
        <w:rPr>
          <w:rFonts w:ascii="mylotus" w:hAnsi="mylotus" w:hint="cs"/>
          <w:sz w:val="32"/>
          <w:rtl/>
        </w:rPr>
        <w:t>ُ</w:t>
      </w:r>
      <w:r w:rsidRPr="00F27422">
        <w:rPr>
          <w:rFonts w:ascii="mylotus" w:hAnsi="mylotus"/>
          <w:sz w:val="32"/>
          <w:rtl/>
        </w:rPr>
        <w:t xml:space="preserve"> بعيد</w:t>
      </w:r>
      <w:r w:rsidRPr="00F27422">
        <w:rPr>
          <w:rFonts w:ascii="mylotus" w:hAnsi="mylotus" w:hint="cs"/>
          <w:sz w:val="32"/>
          <w:rtl/>
        </w:rPr>
        <w:t>ٍ؛</w:t>
      </w:r>
      <w:r w:rsidRPr="00F27422">
        <w:rPr>
          <w:rFonts w:ascii="mylotus" w:hAnsi="mylotus"/>
          <w:sz w:val="32"/>
          <w:rtl/>
        </w:rPr>
        <w:t xml:space="preserve"> فإن</w:t>
      </w:r>
      <w:r w:rsidRPr="00F27422">
        <w:rPr>
          <w:rFonts w:ascii="mylotus" w:hAnsi="mylotus" w:hint="cs"/>
          <w:sz w:val="32"/>
          <w:rtl/>
        </w:rPr>
        <w:t>ّ</w:t>
      </w:r>
      <w:r w:rsidRPr="00F27422">
        <w:rPr>
          <w:rFonts w:ascii="mylotus" w:hAnsi="mylotus"/>
          <w:sz w:val="32"/>
          <w:rtl/>
        </w:rPr>
        <w:t xml:space="preserve"> النجاشي ذكر القماط صاحب الكتاب، ولم يذكر الكناسي، وذكر الشيخ في رجاله أبا</w:t>
      </w:r>
      <w:r w:rsidRPr="00F27422">
        <w:rPr>
          <w:rFonts w:ascii="mylotus" w:hAnsi="mylotus" w:hint="cs"/>
          <w:sz w:val="32"/>
          <w:rtl/>
        </w:rPr>
        <w:t xml:space="preserve"> </w:t>
      </w:r>
      <w:r w:rsidRPr="00F27422">
        <w:rPr>
          <w:rFonts w:ascii="mylotus" w:hAnsi="mylotus"/>
          <w:sz w:val="32"/>
          <w:rtl/>
        </w:rPr>
        <w:t>خالد الكناسي ولم يذكر القماط، فلو لم يكونا واحدا</w:t>
      </w:r>
      <w:r w:rsidRPr="00F27422">
        <w:rPr>
          <w:rFonts w:ascii="mylotus" w:hAnsi="mylotus" w:hint="cs"/>
          <w:sz w:val="32"/>
          <w:rtl/>
        </w:rPr>
        <w:t>ً</w:t>
      </w:r>
      <w:r w:rsidRPr="00F27422">
        <w:rPr>
          <w:rFonts w:ascii="mylotus" w:hAnsi="mylotus"/>
          <w:sz w:val="32"/>
          <w:rtl/>
        </w:rPr>
        <w:t xml:space="preserve"> ل</w:t>
      </w:r>
      <w:r w:rsidRPr="00F27422">
        <w:rPr>
          <w:rFonts w:ascii="mylotus" w:hAnsi="mylotus" w:hint="cs"/>
          <w:sz w:val="32"/>
          <w:rtl/>
        </w:rPr>
        <w:t>َ</w:t>
      </w:r>
      <w:r w:rsidRPr="00F27422">
        <w:rPr>
          <w:rFonts w:ascii="mylotus" w:hAnsi="mylotus"/>
          <w:sz w:val="32"/>
          <w:rtl/>
        </w:rPr>
        <w:t>م</w:t>
      </w:r>
      <w:r w:rsidRPr="00F27422">
        <w:rPr>
          <w:rFonts w:ascii="mylotus" w:hAnsi="mylotus" w:hint="cs"/>
          <w:sz w:val="32"/>
          <w:rtl/>
        </w:rPr>
        <w:t>ْ</w:t>
      </w:r>
      <w:r w:rsidRPr="00F27422">
        <w:rPr>
          <w:rFonts w:ascii="mylotus" w:hAnsi="mylotus"/>
          <w:sz w:val="32"/>
          <w:rtl/>
        </w:rPr>
        <w:t xml:space="preserve"> يكن وجه لإهماله مِن قِبل الشيخ، ويؤيد ذلك أن</w:t>
      </w:r>
      <w:r w:rsidRPr="00F27422">
        <w:rPr>
          <w:rFonts w:ascii="mylotus" w:hAnsi="mylotus" w:hint="cs"/>
          <w:sz w:val="32"/>
          <w:rtl/>
        </w:rPr>
        <w:t>ّ</w:t>
      </w:r>
      <w:r w:rsidRPr="00F27422">
        <w:rPr>
          <w:rFonts w:ascii="mylotus" w:hAnsi="mylotus"/>
          <w:sz w:val="32"/>
          <w:rtl/>
        </w:rPr>
        <w:t xml:space="preserve"> كليهما أبو خالد، وأن</w:t>
      </w:r>
      <w:r w:rsidRPr="00F27422">
        <w:rPr>
          <w:rFonts w:ascii="mylotus" w:hAnsi="mylotus" w:hint="cs"/>
          <w:sz w:val="32"/>
          <w:rtl/>
        </w:rPr>
        <w:t>ّ</w:t>
      </w:r>
      <w:r w:rsidRPr="00F27422">
        <w:rPr>
          <w:rFonts w:ascii="mylotus" w:hAnsi="mylotus"/>
          <w:sz w:val="32"/>
          <w:rtl/>
        </w:rPr>
        <w:t xml:space="preserve"> القماط كوفي كما ذكر النجاشي والكناسة محلة في الكوفة</w:t>
      </w:r>
      <w:r w:rsidRPr="00F27422">
        <w:rPr>
          <w:rFonts w:ascii="mylotus" w:hAnsi="mylotus" w:hint="cs"/>
          <w:sz w:val="32"/>
          <w:rtl/>
        </w:rPr>
        <w:t>.</w:t>
      </w:r>
    </w:p>
    <w:p w14:paraId="5A88AAF0"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ثم</w:t>
      </w:r>
      <w:r w:rsidRPr="00F27422">
        <w:rPr>
          <w:rFonts w:ascii="mylotus" w:hAnsi="mylotus" w:hint="cs"/>
          <w:sz w:val="32"/>
          <w:rtl/>
        </w:rPr>
        <w:t>ّ</w:t>
      </w:r>
      <w:r w:rsidRPr="00F27422">
        <w:rPr>
          <w:rFonts w:ascii="mylotus" w:hAnsi="mylotus"/>
          <w:sz w:val="32"/>
          <w:rtl/>
        </w:rPr>
        <w:t xml:space="preserve"> أعقب: </w:t>
      </w:r>
      <w:proofErr w:type="gramStart"/>
      <w:r w:rsidRPr="00F27422">
        <w:rPr>
          <w:rFonts w:ascii="mylotus" w:hAnsi="mylotus"/>
          <w:sz w:val="32"/>
          <w:rtl/>
        </w:rPr>
        <w:t>أن</w:t>
      </w:r>
      <w:r w:rsidRPr="00F27422">
        <w:rPr>
          <w:rFonts w:ascii="mylotus" w:hAnsi="mylotus" w:hint="cs"/>
          <w:sz w:val="32"/>
          <w:rtl/>
        </w:rPr>
        <w:t>ّ</w:t>
      </w:r>
      <w:r w:rsidRPr="00F27422">
        <w:rPr>
          <w:rFonts w:ascii="mylotus" w:hAnsi="mylotus"/>
          <w:sz w:val="32"/>
          <w:rtl/>
        </w:rPr>
        <w:t xml:space="preserve">  المانع</w:t>
      </w:r>
      <w:proofErr w:type="gramEnd"/>
      <w:r w:rsidRPr="00F27422">
        <w:rPr>
          <w:rFonts w:ascii="mylotus" w:hAnsi="mylotus"/>
          <w:sz w:val="32"/>
          <w:rtl/>
        </w:rPr>
        <w:t xml:space="preserve"> من القول بال</w:t>
      </w:r>
      <w:r w:rsidRPr="00F27422">
        <w:rPr>
          <w:rFonts w:ascii="mylotus" w:hAnsi="mylotus" w:hint="cs"/>
          <w:sz w:val="32"/>
          <w:rtl/>
        </w:rPr>
        <w:t>ا</w:t>
      </w:r>
      <w:r w:rsidRPr="00F27422">
        <w:rPr>
          <w:rFonts w:ascii="mylotus" w:hAnsi="mylotus"/>
          <w:sz w:val="32"/>
          <w:rtl/>
        </w:rPr>
        <w:t>تحاد أن</w:t>
      </w:r>
      <w:r w:rsidRPr="00F27422">
        <w:rPr>
          <w:rFonts w:ascii="mylotus" w:hAnsi="mylotus" w:hint="cs"/>
          <w:sz w:val="32"/>
          <w:rtl/>
        </w:rPr>
        <w:t>ّ</w:t>
      </w:r>
      <w:r w:rsidRPr="00F27422">
        <w:rPr>
          <w:rFonts w:ascii="mylotus" w:hAnsi="mylotus"/>
          <w:sz w:val="32"/>
          <w:rtl/>
        </w:rPr>
        <w:t xml:space="preserve"> البرقي </w:t>
      </w:r>
      <w:r w:rsidRPr="00F27422">
        <w:rPr>
          <w:rFonts w:ascii="mylotus" w:hAnsi="mylotus" w:hint="cs"/>
          <w:sz w:val="32"/>
          <w:rtl/>
        </w:rPr>
        <w:t xml:space="preserve">(عليه الرحمة) </w:t>
      </w:r>
      <w:r w:rsidRPr="00F27422">
        <w:rPr>
          <w:rFonts w:ascii="mylotus" w:hAnsi="mylotus"/>
          <w:sz w:val="32"/>
          <w:rtl/>
        </w:rPr>
        <w:t xml:space="preserve">وهو أسبق من الشيخ </w:t>
      </w:r>
      <w:r w:rsidRPr="00F27422">
        <w:rPr>
          <w:rFonts w:ascii="mylotus" w:hAnsi="mylotus" w:hint="cs"/>
          <w:sz w:val="32"/>
          <w:rtl/>
        </w:rPr>
        <w:t xml:space="preserve">(رحمه الله) </w:t>
      </w:r>
      <w:r w:rsidRPr="00F27422">
        <w:rPr>
          <w:rFonts w:ascii="mylotus" w:hAnsi="mylotus"/>
          <w:sz w:val="32"/>
          <w:rtl/>
        </w:rPr>
        <w:t>ذكر العنوانين في أصحاب الصادق</w:t>
      </w:r>
      <w:r w:rsidRPr="00F27422">
        <w:rPr>
          <w:rFonts w:ascii="mylotus" w:hAnsi="mylotus" w:hint="cs"/>
          <w:sz w:val="32"/>
          <w:rtl/>
        </w:rPr>
        <w:t xml:space="preserve"> (عليه السلام).</w:t>
      </w:r>
    </w:p>
    <w:p w14:paraId="4812A9E1"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ولذا قد عدل عن التصحيح في موضع</w:t>
      </w:r>
      <w:r w:rsidRPr="00F27422">
        <w:rPr>
          <w:rFonts w:ascii="mylotus" w:hAnsi="mylotus" w:hint="cs"/>
          <w:sz w:val="32"/>
          <w:rtl/>
        </w:rPr>
        <w:t>ٍ</w:t>
      </w:r>
      <w:r w:rsidRPr="00F27422">
        <w:rPr>
          <w:rFonts w:ascii="mylotus" w:hAnsi="mylotus"/>
          <w:sz w:val="32"/>
          <w:rtl/>
        </w:rPr>
        <w:t xml:space="preserve"> آخر</w:t>
      </w:r>
      <w:r w:rsidRPr="00F27422">
        <w:rPr>
          <w:rFonts w:ascii="mylotus" w:hAnsi="mylotus" w:hint="cs"/>
          <w:sz w:val="32"/>
          <w:rtl/>
        </w:rPr>
        <w:t>ٍ</w:t>
      </w:r>
      <w:r w:rsidRPr="00F27422">
        <w:rPr>
          <w:rFonts w:ascii="mylotus" w:hAnsi="mylotus"/>
          <w:sz w:val="32"/>
          <w:rtl/>
        </w:rPr>
        <w:t xml:space="preserve"> م</w:t>
      </w:r>
      <w:r w:rsidRPr="00F27422">
        <w:rPr>
          <w:rFonts w:ascii="mylotus" w:hAnsi="mylotus" w:hint="cs"/>
          <w:sz w:val="32"/>
          <w:rtl/>
        </w:rPr>
        <w:t>ِ</w:t>
      </w:r>
      <w:r w:rsidRPr="00F27422">
        <w:rPr>
          <w:rFonts w:ascii="mylotus" w:hAnsi="mylotus"/>
          <w:sz w:val="32"/>
          <w:rtl/>
        </w:rPr>
        <w:t>ن موسوعته المباركة في كتابه [المباني في شرح العروة الوثقى، كتاب النكاح،</w:t>
      </w:r>
      <w:r w:rsidRPr="00F27422">
        <w:rPr>
          <w:rFonts w:ascii="mylotus" w:hAnsi="mylotus" w:hint="cs"/>
          <w:sz w:val="32"/>
          <w:rtl/>
        </w:rPr>
        <w:t xml:space="preserve"> ج33، ص225].</w:t>
      </w:r>
    </w:p>
    <w:p w14:paraId="0F0BFDC6"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lastRenderedPageBreak/>
        <w:t>ون</w:t>
      </w:r>
      <w:r w:rsidRPr="00F27422">
        <w:rPr>
          <w:rFonts w:ascii="mylotus" w:hAnsi="mylotus" w:hint="cs"/>
          <w:sz w:val="32"/>
          <w:rtl/>
        </w:rPr>
        <w:t>ُ</w:t>
      </w:r>
      <w:r w:rsidRPr="00F27422">
        <w:rPr>
          <w:rFonts w:ascii="mylotus" w:hAnsi="mylotus"/>
          <w:sz w:val="32"/>
          <w:rtl/>
        </w:rPr>
        <w:t xml:space="preserve">وقش </w:t>
      </w:r>
      <w:proofErr w:type="gramStart"/>
      <w:r w:rsidRPr="00F27422">
        <w:rPr>
          <w:rFonts w:ascii="mylotus" w:hAnsi="mylotus"/>
          <w:sz w:val="32"/>
          <w:rtl/>
        </w:rPr>
        <w:t>في ما</w:t>
      </w:r>
      <w:proofErr w:type="gramEnd"/>
      <w:r w:rsidRPr="00F27422">
        <w:rPr>
          <w:rFonts w:ascii="mylotus" w:hAnsi="mylotus" w:hint="cs"/>
          <w:sz w:val="32"/>
          <w:rtl/>
        </w:rPr>
        <w:t xml:space="preserve"> </w:t>
      </w:r>
      <w:r w:rsidRPr="00F27422">
        <w:rPr>
          <w:rFonts w:ascii="mylotus" w:hAnsi="mylotus"/>
          <w:sz w:val="32"/>
          <w:rtl/>
        </w:rPr>
        <w:t>ذكره أولا</w:t>
      </w:r>
      <w:r w:rsidRPr="00F27422">
        <w:rPr>
          <w:rFonts w:ascii="mylotus" w:hAnsi="mylotus" w:hint="cs"/>
          <w:sz w:val="32"/>
          <w:rtl/>
        </w:rPr>
        <w:t>ً</w:t>
      </w:r>
      <w:r w:rsidRPr="00F27422">
        <w:rPr>
          <w:rFonts w:ascii="mylotus" w:hAnsi="mylotus"/>
          <w:sz w:val="32"/>
          <w:rtl/>
        </w:rPr>
        <w:t xml:space="preserve"> م</w:t>
      </w:r>
      <w:r w:rsidRPr="00F27422">
        <w:rPr>
          <w:rFonts w:ascii="mylotus" w:hAnsi="mylotus" w:hint="cs"/>
          <w:sz w:val="32"/>
          <w:rtl/>
        </w:rPr>
        <w:t>ِ</w:t>
      </w:r>
      <w:r w:rsidRPr="00F27422">
        <w:rPr>
          <w:rFonts w:ascii="mylotus" w:hAnsi="mylotus"/>
          <w:sz w:val="32"/>
          <w:rtl/>
        </w:rPr>
        <w:t>ن دعوى ال</w:t>
      </w:r>
      <w:r w:rsidRPr="00F27422">
        <w:rPr>
          <w:rFonts w:ascii="mylotus" w:hAnsi="mylotus" w:hint="cs"/>
          <w:sz w:val="32"/>
          <w:rtl/>
        </w:rPr>
        <w:t>ا</w:t>
      </w:r>
      <w:r w:rsidRPr="00F27422">
        <w:rPr>
          <w:rFonts w:ascii="mylotus" w:hAnsi="mylotus"/>
          <w:sz w:val="32"/>
          <w:rtl/>
        </w:rPr>
        <w:t>تحاد اعتمادا</w:t>
      </w:r>
      <w:r w:rsidRPr="00F27422">
        <w:rPr>
          <w:rFonts w:ascii="mylotus" w:hAnsi="mylotus" w:hint="cs"/>
          <w:sz w:val="32"/>
          <w:rtl/>
        </w:rPr>
        <w:t>ً</w:t>
      </w:r>
      <w:r w:rsidRPr="00F27422">
        <w:rPr>
          <w:rFonts w:ascii="mylotus" w:hAnsi="mylotus"/>
          <w:sz w:val="32"/>
          <w:rtl/>
        </w:rPr>
        <w:t xml:space="preserve"> على اقتصار الشيخ </w:t>
      </w:r>
      <w:r w:rsidRPr="00F27422">
        <w:rPr>
          <w:rFonts w:ascii="mylotus" w:hAnsi="mylotus" w:hint="cs"/>
          <w:sz w:val="32"/>
          <w:rtl/>
        </w:rPr>
        <w:t xml:space="preserve">(رحمه الله) </w:t>
      </w:r>
      <w:r w:rsidRPr="00F27422">
        <w:rPr>
          <w:rFonts w:ascii="mylotus" w:hAnsi="mylotus"/>
          <w:sz w:val="32"/>
          <w:rtl/>
        </w:rPr>
        <w:t>على ذكر الكناسي دون القماط في رجاله</w:t>
      </w:r>
      <w:r w:rsidRPr="00F27422">
        <w:rPr>
          <w:rFonts w:ascii="mylotus" w:hAnsi="mylotus" w:hint="cs"/>
          <w:sz w:val="32"/>
          <w:rtl/>
        </w:rPr>
        <w:t xml:space="preserve"> [رجال الطوسي، تحقيق جواد </w:t>
      </w:r>
      <w:proofErr w:type="spellStart"/>
      <w:r w:rsidRPr="00F27422">
        <w:rPr>
          <w:rFonts w:ascii="mylotus" w:hAnsi="mylotus" w:hint="cs"/>
          <w:sz w:val="32"/>
          <w:rtl/>
        </w:rPr>
        <w:t>القيومي</w:t>
      </w:r>
      <w:proofErr w:type="spellEnd"/>
      <w:r w:rsidRPr="00F27422">
        <w:rPr>
          <w:rFonts w:ascii="mylotus" w:hAnsi="mylotus" w:hint="cs"/>
          <w:sz w:val="32"/>
          <w:rtl/>
        </w:rPr>
        <w:t xml:space="preserve"> الإصفهاني، مؤسسة النشر الإسلامي التابعة لجماعة المدرسين بقم المشرفة، ص325]،</w:t>
      </w:r>
      <w:r w:rsidRPr="00F27422">
        <w:rPr>
          <w:rFonts w:ascii="mylotus" w:hAnsi="mylotus"/>
          <w:sz w:val="32"/>
          <w:rtl/>
        </w:rPr>
        <w:t xml:space="preserve"> بأن</w:t>
      </w:r>
      <w:r w:rsidRPr="00F27422">
        <w:rPr>
          <w:rFonts w:ascii="mylotus" w:hAnsi="mylotus" w:hint="cs"/>
          <w:sz w:val="32"/>
          <w:rtl/>
        </w:rPr>
        <w:t>ّ</w:t>
      </w:r>
      <w:r w:rsidRPr="00F27422">
        <w:rPr>
          <w:rFonts w:ascii="mylotus" w:hAnsi="mylotus"/>
          <w:sz w:val="32"/>
          <w:rtl/>
        </w:rPr>
        <w:t>ه قد ذكر في باب الكنى "</w:t>
      </w:r>
      <w:r w:rsidRPr="00F27422">
        <w:rPr>
          <w:rFonts w:ascii="mylotus" w:hAnsi="mylotus"/>
          <w:b/>
          <w:bCs/>
          <w:sz w:val="32"/>
          <w:rtl/>
        </w:rPr>
        <w:t>أبو خالد القماط</w:t>
      </w:r>
      <w:r w:rsidRPr="00F27422">
        <w:rPr>
          <w:rFonts w:ascii="mylotus" w:hAnsi="mylotus" w:cs="Cambria" w:hint="cs"/>
          <w:sz w:val="32"/>
          <w:rtl/>
        </w:rPr>
        <w:t>"</w:t>
      </w:r>
      <w:r w:rsidRPr="00F27422">
        <w:rPr>
          <w:rFonts w:ascii="mylotus" w:hAnsi="mylotus" w:hint="cs"/>
          <w:sz w:val="32"/>
          <w:rtl/>
        </w:rPr>
        <w:t>.</w:t>
      </w:r>
    </w:p>
    <w:p w14:paraId="5A135105"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sz w:val="32"/>
          <w:rtl/>
        </w:rPr>
        <w:t>مضافا</w:t>
      </w:r>
      <w:r w:rsidRPr="00F27422">
        <w:rPr>
          <w:rFonts w:ascii="mylotus" w:hAnsi="mylotus" w:hint="cs"/>
          <w:sz w:val="32"/>
          <w:rtl/>
        </w:rPr>
        <w:t>ً</w:t>
      </w:r>
      <w:r w:rsidRPr="00F27422">
        <w:rPr>
          <w:rFonts w:ascii="mylotus" w:hAnsi="mylotus"/>
          <w:sz w:val="32"/>
          <w:rtl/>
        </w:rPr>
        <w:t xml:space="preserve"> لما في قاموس الرجال</w:t>
      </w:r>
      <w:r w:rsidRPr="00F27422">
        <w:rPr>
          <w:rFonts w:ascii="mylotus" w:hAnsi="mylotus" w:hint="cs"/>
          <w:sz w:val="32"/>
          <w:rtl/>
        </w:rPr>
        <w:t xml:space="preserve"> [قاموس الرجال، تأليف العلامة المحقّق آية الله العظمى الشيخ محمّد تقي التُستري، مؤسسة النشر الإسلامي التابعة لجماعة المدرسين بقم المشرفة، ج4، 152]</w:t>
      </w:r>
      <w:r w:rsidRPr="00F27422">
        <w:rPr>
          <w:rFonts w:ascii="mylotus" w:hAnsi="mylotus"/>
          <w:sz w:val="32"/>
          <w:rtl/>
        </w:rPr>
        <w:t xml:space="preserve"> م</w:t>
      </w:r>
      <w:r w:rsidRPr="00F27422">
        <w:rPr>
          <w:rFonts w:ascii="mylotus" w:hAnsi="mylotus" w:hint="cs"/>
          <w:sz w:val="32"/>
          <w:rtl/>
        </w:rPr>
        <w:t>ِ</w:t>
      </w:r>
      <w:r w:rsidRPr="00F27422">
        <w:rPr>
          <w:rFonts w:ascii="mylotus" w:hAnsi="mylotus"/>
          <w:sz w:val="32"/>
          <w:rtl/>
        </w:rPr>
        <w:t>ن أن</w:t>
      </w:r>
      <w:r w:rsidRPr="00F27422">
        <w:rPr>
          <w:rFonts w:ascii="mylotus" w:hAnsi="mylotus" w:hint="cs"/>
          <w:sz w:val="32"/>
          <w:rtl/>
        </w:rPr>
        <w:t>ّ</w:t>
      </w:r>
      <w:r w:rsidRPr="00F27422">
        <w:rPr>
          <w:rFonts w:ascii="mylotus" w:hAnsi="mylotus"/>
          <w:sz w:val="32"/>
          <w:rtl/>
        </w:rPr>
        <w:t>ه لا</w:t>
      </w:r>
      <w:r w:rsidRPr="00F27422">
        <w:rPr>
          <w:rFonts w:ascii="mylotus" w:hAnsi="mylotus" w:hint="cs"/>
          <w:sz w:val="32"/>
          <w:rtl/>
        </w:rPr>
        <w:t xml:space="preserve"> </w:t>
      </w:r>
      <w:r w:rsidRPr="00F27422">
        <w:rPr>
          <w:rFonts w:ascii="mylotus" w:hAnsi="mylotus"/>
          <w:sz w:val="32"/>
          <w:rtl/>
        </w:rPr>
        <w:t xml:space="preserve">يبعد ذكر الشيخ </w:t>
      </w:r>
      <w:r w:rsidRPr="00F27422">
        <w:rPr>
          <w:rFonts w:ascii="mylotus" w:hAnsi="mylotus" w:hint="cs"/>
          <w:sz w:val="32"/>
          <w:rtl/>
        </w:rPr>
        <w:t xml:space="preserve">(رحمه الله) </w:t>
      </w:r>
      <w:r w:rsidRPr="00F27422">
        <w:rPr>
          <w:rFonts w:ascii="mylotus" w:hAnsi="mylotus"/>
          <w:sz w:val="32"/>
          <w:rtl/>
        </w:rPr>
        <w:t>في كتاب</w:t>
      </w:r>
      <w:r w:rsidRPr="00F27422">
        <w:rPr>
          <w:rFonts w:ascii="mylotus" w:hAnsi="mylotus" w:hint="cs"/>
          <w:sz w:val="32"/>
          <w:rtl/>
        </w:rPr>
        <w:t>ه</w:t>
      </w:r>
      <w:r w:rsidRPr="00F27422">
        <w:rPr>
          <w:rFonts w:ascii="mylotus" w:hAnsi="mylotus"/>
          <w:sz w:val="32"/>
          <w:rtl/>
        </w:rPr>
        <w:t xml:space="preserve"> </w:t>
      </w:r>
      <w:r w:rsidRPr="00F27422">
        <w:rPr>
          <w:rFonts w:ascii="mylotus" w:hAnsi="mylotus" w:hint="cs"/>
          <w:sz w:val="32"/>
          <w:rtl/>
        </w:rPr>
        <w:t xml:space="preserve">[رجال الطوسي، تحقيق جواد </w:t>
      </w:r>
      <w:proofErr w:type="spellStart"/>
      <w:r w:rsidRPr="00F27422">
        <w:rPr>
          <w:rFonts w:ascii="mylotus" w:hAnsi="mylotus" w:hint="cs"/>
          <w:sz w:val="32"/>
          <w:rtl/>
        </w:rPr>
        <w:t>القيومي</w:t>
      </w:r>
      <w:proofErr w:type="spellEnd"/>
      <w:r w:rsidRPr="00F27422">
        <w:rPr>
          <w:rFonts w:ascii="mylotus" w:hAnsi="mylotus" w:hint="cs"/>
          <w:sz w:val="32"/>
          <w:rtl/>
        </w:rPr>
        <w:t xml:space="preserve"> الإصفهاني، مؤسسة النشر الإسلامي التابعة لجماعة المدرسين بقم المشرفة، ص201]</w:t>
      </w:r>
      <w:r w:rsidRPr="00F27422">
        <w:rPr>
          <w:rFonts w:ascii="mylotus" w:hAnsi="mylotus"/>
          <w:sz w:val="32"/>
          <w:rtl/>
        </w:rPr>
        <w:t xml:space="preserve"> لأبي خالد القماط أيضا</w:t>
      </w:r>
      <w:r w:rsidRPr="00F27422">
        <w:rPr>
          <w:rFonts w:ascii="mylotus" w:hAnsi="mylotus" w:hint="cs"/>
          <w:sz w:val="32"/>
          <w:rtl/>
        </w:rPr>
        <w:t>ً</w:t>
      </w:r>
      <w:r w:rsidRPr="00F27422">
        <w:rPr>
          <w:rFonts w:ascii="mylotus" w:hAnsi="mylotus"/>
          <w:sz w:val="32"/>
          <w:rtl/>
        </w:rPr>
        <w:t xml:space="preserve"> في قوله</w:t>
      </w:r>
      <w:r w:rsidRPr="00F27422">
        <w:rPr>
          <w:rFonts w:ascii="mylotus" w:hAnsi="mylotus" w:hint="cs"/>
          <w:sz w:val="32"/>
          <w:rtl/>
        </w:rPr>
        <w:t>:</w:t>
      </w:r>
      <w:r w:rsidRPr="00F27422">
        <w:rPr>
          <w:rFonts w:ascii="mylotus" w:hAnsi="mylotus"/>
          <w:sz w:val="32"/>
          <w:rtl/>
        </w:rPr>
        <w:t xml:space="preserve"> </w:t>
      </w:r>
      <w:r w:rsidRPr="00F27422">
        <w:rPr>
          <w:rFonts w:ascii="mylotus" w:hAnsi="mylotus"/>
          <w:b/>
          <w:bCs/>
          <w:sz w:val="32"/>
          <w:rtl/>
        </w:rPr>
        <w:t>"خالد بن يزيد يكنى أبو خالد القماط"</w:t>
      </w:r>
      <w:r w:rsidRPr="00F27422">
        <w:rPr>
          <w:rFonts w:ascii="mylotus" w:hAnsi="mylotus"/>
          <w:sz w:val="32"/>
          <w:rtl/>
        </w:rPr>
        <w:t xml:space="preserve"> فمن القريب التحريف بأن يكون اللفظ </w:t>
      </w:r>
      <w:r w:rsidRPr="00F27422">
        <w:rPr>
          <w:rFonts w:ascii="mylotus" w:hAnsi="mylotus"/>
          <w:b/>
          <w:bCs/>
          <w:sz w:val="32"/>
          <w:rtl/>
        </w:rPr>
        <w:t>"يزيد بن خالد يكنى أبو خالد القماط"</w:t>
      </w:r>
      <w:r w:rsidRPr="00F27422">
        <w:rPr>
          <w:rFonts w:ascii="mylotus" w:hAnsi="mylotus" w:hint="cs"/>
          <w:b/>
          <w:bCs/>
          <w:sz w:val="32"/>
          <w:rtl/>
        </w:rPr>
        <w:t>.</w:t>
      </w:r>
    </w:p>
    <w:p w14:paraId="32182095"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sz w:val="32"/>
          <w:rtl/>
        </w:rPr>
        <w:t>فدعوى ال</w:t>
      </w:r>
      <w:r w:rsidRPr="00F27422">
        <w:rPr>
          <w:rFonts w:ascii="mylotus" w:hAnsi="mylotus" w:hint="cs"/>
          <w:sz w:val="32"/>
          <w:rtl/>
        </w:rPr>
        <w:t>ا</w:t>
      </w:r>
      <w:r w:rsidRPr="00F27422">
        <w:rPr>
          <w:rFonts w:ascii="mylotus" w:hAnsi="mylotus"/>
          <w:sz w:val="32"/>
          <w:rtl/>
        </w:rPr>
        <w:t>تحاد مجازفة</w:t>
      </w:r>
      <w:r w:rsidRPr="00F27422">
        <w:rPr>
          <w:rFonts w:ascii="mylotus" w:hAnsi="mylotus" w:hint="cs"/>
          <w:sz w:val="32"/>
          <w:rtl/>
        </w:rPr>
        <w:t>ٌ</w:t>
      </w:r>
      <w:r w:rsidRPr="00F27422">
        <w:rPr>
          <w:rFonts w:ascii="mylotus" w:hAnsi="mylotus"/>
          <w:sz w:val="32"/>
          <w:rtl/>
        </w:rPr>
        <w:t xml:space="preserve">، </w:t>
      </w:r>
      <w:r w:rsidRPr="00F27422">
        <w:rPr>
          <w:rFonts w:ascii="mylotus" w:hAnsi="mylotus"/>
          <w:b/>
          <w:bCs/>
          <w:sz w:val="32"/>
          <w:rtl/>
        </w:rPr>
        <w:t>والنتيجة</w:t>
      </w:r>
      <w:r w:rsidRPr="00F27422">
        <w:rPr>
          <w:rFonts w:ascii="mylotus" w:hAnsi="mylotus" w:hint="cs"/>
          <w:b/>
          <w:bCs/>
          <w:sz w:val="32"/>
          <w:rtl/>
        </w:rPr>
        <w:t>ُ:</w:t>
      </w:r>
      <w:r w:rsidRPr="00F27422">
        <w:rPr>
          <w:rFonts w:ascii="mylotus" w:hAnsi="mylotus"/>
          <w:b/>
          <w:bCs/>
          <w:sz w:val="32"/>
          <w:rtl/>
        </w:rPr>
        <w:t xml:space="preserve"> </w:t>
      </w:r>
      <w:r w:rsidRPr="00F27422">
        <w:rPr>
          <w:rFonts w:ascii="mylotus" w:hAnsi="mylotus"/>
          <w:sz w:val="32"/>
          <w:rtl/>
        </w:rPr>
        <w:t>عدم ثبوت وثاقة الكناسي</w:t>
      </w:r>
      <w:r w:rsidRPr="00F27422">
        <w:rPr>
          <w:rFonts w:ascii="mylotus" w:hAnsi="mylotus" w:hint="cs"/>
          <w:sz w:val="32"/>
          <w:rtl/>
        </w:rPr>
        <w:t>.</w:t>
      </w:r>
    </w:p>
    <w:p w14:paraId="62A6BFF4"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ولكن بعض السادة الأعلام (مد ظله) في كتابه [النكاح، باللغة الفارسية، ج12</w:t>
      </w:r>
      <w:r w:rsidRPr="00F27422">
        <w:rPr>
          <w:rFonts w:ascii="mylotus" w:hAnsi="mylotus" w:hint="cs"/>
          <w:sz w:val="32"/>
          <w:rtl/>
        </w:rPr>
        <w:t>،</w:t>
      </w:r>
      <w:r w:rsidRPr="00F27422">
        <w:rPr>
          <w:rFonts w:ascii="mylotus" w:hAnsi="mylotus"/>
          <w:sz w:val="32"/>
          <w:rtl/>
        </w:rPr>
        <w:t xml:space="preserve"> ص4146] ذكر</w:t>
      </w:r>
      <w:r w:rsidRPr="00F27422">
        <w:rPr>
          <w:rFonts w:ascii="mylotus" w:hAnsi="mylotus" w:hint="cs"/>
          <w:sz w:val="32"/>
          <w:rtl/>
        </w:rPr>
        <w:t xml:space="preserve"> </w:t>
      </w:r>
      <w:r w:rsidRPr="00F27422">
        <w:rPr>
          <w:rFonts w:ascii="mylotus" w:hAnsi="mylotus"/>
          <w:sz w:val="32"/>
          <w:rtl/>
        </w:rPr>
        <w:t xml:space="preserve">أنّهُ يمكنُ الاعتماد على الرواية وإنْ كان الراوي مما لا توثيق له، وذلك بقوله مترجماً بما حاصله: </w:t>
      </w:r>
      <w:r w:rsidRPr="00F27422">
        <w:rPr>
          <w:rFonts w:ascii="mylotus" w:hAnsi="mylotus"/>
          <w:b/>
          <w:bCs/>
          <w:sz w:val="32"/>
          <w:rtl/>
        </w:rPr>
        <w:t>(إذا ذَكر الأجلاءُ روايةً في كتبٍ معدّةٍ للعمل، ولَمْ ينتقدوها فهذا دليلٌ على اعتمادهم على الرواية)</w:t>
      </w:r>
      <w:r w:rsidRPr="00F27422">
        <w:rPr>
          <w:rFonts w:ascii="mylotus" w:hAnsi="mylotus"/>
          <w:sz w:val="32"/>
          <w:rtl/>
        </w:rPr>
        <w:t xml:space="preserve"> حيث إنّها ذكرت في كتاب معدٍّ للعمل ولَمْ يخدش في سندها، بل ذُكرتْ ضمن الروايات المستدل بها</w:t>
      </w:r>
      <w:r w:rsidRPr="00F27422">
        <w:rPr>
          <w:rFonts w:ascii="mylotus" w:hAnsi="mylotus"/>
          <w:sz w:val="32"/>
        </w:rPr>
        <w:t>.</w:t>
      </w:r>
    </w:p>
    <w:p w14:paraId="321EECF3"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ثم انتقل (مد ظله) م</w:t>
      </w:r>
      <w:r w:rsidRPr="00F27422">
        <w:rPr>
          <w:rFonts w:ascii="mylotus" w:hAnsi="mylotus" w:hint="cs"/>
          <w:sz w:val="32"/>
          <w:rtl/>
        </w:rPr>
        <w:t>ِ</w:t>
      </w:r>
      <w:r w:rsidRPr="00F27422">
        <w:rPr>
          <w:rFonts w:ascii="mylotus" w:hAnsi="mylotus"/>
          <w:sz w:val="32"/>
          <w:rtl/>
        </w:rPr>
        <w:t xml:space="preserve">ن الكُبرى للتطبيق على المقام: </w:t>
      </w:r>
      <w:r w:rsidRPr="00F27422">
        <w:rPr>
          <w:rFonts w:ascii="mylotus" w:hAnsi="mylotus"/>
          <w:b/>
          <w:bCs/>
          <w:sz w:val="32"/>
          <w:rtl/>
        </w:rPr>
        <w:t>(ولذلك فإنّ الشيخ (رحمه الله) في التهذيب والاستبصار إذا كانت الروايةُ مخالفةً لمختاره يطعنُ في سندها أو دلالتها أو يوجه الرواية، في حين أنّ الشيخ (رحمه الله) بعد أنْ نقل رواية يزيد الكناسي في هذه المسألة المهمة والتي هي محلّ الابتلاء)</w:t>
      </w:r>
      <w:r w:rsidRPr="00F27422">
        <w:rPr>
          <w:rFonts w:ascii="mylotus" w:hAnsi="mylotus"/>
          <w:sz w:val="32"/>
          <w:rtl/>
        </w:rPr>
        <w:t xml:space="preserve"> وهو تزويج الصبيّة </w:t>
      </w:r>
      <w:r w:rsidRPr="00F27422">
        <w:rPr>
          <w:rFonts w:ascii="mylotus" w:hAnsi="mylotus"/>
          <w:b/>
          <w:bCs/>
          <w:sz w:val="32"/>
          <w:rtl/>
        </w:rPr>
        <w:t>(لم يذكر أيّ كلامٍ حول عدم إمكان الاستناد إلى الرواية، بل تعرض فقط لدلالة الرواية، وبما أنّ الرواية قد نقلها الأجلاء في كتبٍ معدةٍ للإفتاء فهذا الأمر علامةٌ على اعتمادهم، كما أنّ التضعيف لَمْ يرد في حق الراوي)</w:t>
      </w:r>
      <w:r w:rsidRPr="00F27422">
        <w:rPr>
          <w:rFonts w:ascii="mylotus" w:hAnsi="mylotus"/>
          <w:b/>
          <w:bCs/>
          <w:sz w:val="32"/>
        </w:rPr>
        <w:t>.</w:t>
      </w:r>
    </w:p>
    <w:p w14:paraId="67750309"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b/>
          <w:bCs/>
          <w:sz w:val="32"/>
          <w:rtl/>
        </w:rPr>
        <w:t xml:space="preserve">والنتيجة: </w:t>
      </w:r>
      <w:r w:rsidRPr="00F27422">
        <w:rPr>
          <w:rFonts w:ascii="mylotus" w:hAnsi="mylotus"/>
          <w:sz w:val="32"/>
          <w:rtl/>
        </w:rPr>
        <w:t>أنّ الرواية مما يمكن الاعتماد عليها</w:t>
      </w:r>
      <w:r w:rsidRPr="00F27422">
        <w:rPr>
          <w:rFonts w:ascii="mylotus" w:hAnsi="mylotus"/>
          <w:sz w:val="32"/>
        </w:rPr>
        <w:t>.</w:t>
      </w:r>
    </w:p>
    <w:p w14:paraId="0F026B88"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b/>
          <w:bCs/>
          <w:sz w:val="32"/>
          <w:rtl/>
        </w:rPr>
        <w:t>ويلاحظ على ذلك</w:t>
      </w:r>
      <w:r w:rsidRPr="00F27422">
        <w:rPr>
          <w:rFonts w:ascii="mylotus" w:hAnsi="mylotus"/>
          <w:b/>
          <w:bCs/>
          <w:sz w:val="32"/>
        </w:rPr>
        <w:t>:</w:t>
      </w:r>
    </w:p>
    <w:p w14:paraId="6AE3EC29"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 xml:space="preserve">مضافاً إلى أنّ: </w:t>
      </w:r>
      <w:r w:rsidRPr="00F27422">
        <w:rPr>
          <w:rFonts w:ascii="mylotus" w:hAnsi="mylotus" w:cs="Cambria" w:hint="cs"/>
          <w:sz w:val="32"/>
          <w:rtl/>
        </w:rPr>
        <w:t>"</w:t>
      </w:r>
      <w:r w:rsidRPr="00F27422">
        <w:rPr>
          <w:rFonts w:ascii="mylotus" w:hAnsi="mylotus"/>
          <w:sz w:val="32"/>
          <w:rtl/>
        </w:rPr>
        <w:t>التهذيبين لَمْ يكونا م</w:t>
      </w:r>
      <w:r w:rsidRPr="00F27422">
        <w:rPr>
          <w:rFonts w:ascii="mylotus" w:hAnsi="mylotus" w:hint="cs"/>
          <w:sz w:val="32"/>
          <w:rtl/>
        </w:rPr>
        <w:t>ِ</w:t>
      </w:r>
      <w:r w:rsidRPr="00F27422">
        <w:rPr>
          <w:rFonts w:ascii="mylotus" w:hAnsi="mylotus"/>
          <w:sz w:val="32"/>
          <w:rtl/>
        </w:rPr>
        <w:t>ن الكتب المعدّة للعمل بل هما من مصنفات تدوين الحديث، كما لَمْ تثبتْ قاعدة مطردة بأنّ الشيخ (رحمه الله) في التهذيبين في كلّ مورد تكون الرواية مخالفةً لمبناه أن يطعنُ في سندها أو دلالتها كي يُستند على ذلك في كلّ موردٍ، وإنْ كان قد تصدى لذلك في بعض الموارد الجزئية" أنّ ذكر الروايات في الكتاب المعدّ للعمل وعدم الطعن فيها أعم م</w:t>
      </w:r>
      <w:r w:rsidRPr="00F27422">
        <w:rPr>
          <w:rFonts w:ascii="mylotus" w:hAnsi="mylotus" w:hint="cs"/>
          <w:sz w:val="32"/>
          <w:rtl/>
        </w:rPr>
        <w:t>ِ</w:t>
      </w:r>
      <w:r w:rsidRPr="00F27422">
        <w:rPr>
          <w:rFonts w:ascii="mylotus" w:hAnsi="mylotus"/>
          <w:sz w:val="32"/>
          <w:rtl/>
        </w:rPr>
        <w:t>ن الاعتماد والاستناد إليها في مقام الإفتاء، فقد يكون ذِكرُها وعدم الطعن فيها لموافقة مضمونها للروايات المعتبرة التامة سنداً ودلالةً، كما في هذه الرواية الموافقة لصحيحة محمّد بن مسلم التامة سنداً ودلالةً، أو أنّ ذكرها وعدم الطعن فيها لكونها قرينةً مِن قرائن الوثوق بصدور المضمون عن المعصوم (عليه السلام)، فإنّ كثرة عدد الروايات وإنْ كانتْ ضعيفة سنداً فضلاً عن جهالة الراوي مما يسهم في تحقيق الوثوق بصدور المضمون عن المعصوم (عليه السلام)، فمجرد ذكر الرواية في كتابٍ معدٍّ للعمل مما يحتمل أنّه اتكأ على الرواية ولو مِن باب أنّها قرينةٌ مِن قرائن الوثوق، لا أنّ الرواية هي المعتمد في مقام تحقيق رأيه كي يقال بأنّ مجرد ذكرها وعدم الطعن فيها في كتابٍ معدٍّ للعمل يعني أنّها محلّ اعتماد مِن قِبله</w:t>
      </w:r>
      <w:r w:rsidRPr="00F27422">
        <w:rPr>
          <w:rFonts w:ascii="mylotus" w:hAnsi="mylotus" w:hint="cs"/>
          <w:sz w:val="32"/>
          <w:rtl/>
        </w:rPr>
        <w:t>.</w:t>
      </w:r>
    </w:p>
    <w:p w14:paraId="44E7E418"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ولذا فإنّ السند مشكلٌ</w:t>
      </w:r>
      <w:r w:rsidRPr="00F27422">
        <w:rPr>
          <w:rFonts w:ascii="mylotus" w:hAnsi="mylotus"/>
          <w:sz w:val="32"/>
        </w:rPr>
        <w:t>.</w:t>
      </w:r>
    </w:p>
    <w:p w14:paraId="0F2648A9"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b/>
          <w:bCs/>
          <w:sz w:val="32"/>
          <w:rtl/>
        </w:rPr>
        <w:lastRenderedPageBreak/>
        <w:t>الجهةُ الثانية: من ناحية الدلالة</w:t>
      </w:r>
      <w:r w:rsidRPr="00F27422">
        <w:rPr>
          <w:rFonts w:ascii="mylotus" w:hAnsi="mylotus"/>
          <w:b/>
          <w:bCs/>
          <w:sz w:val="32"/>
        </w:rPr>
        <w:t>:</w:t>
      </w:r>
    </w:p>
    <w:p w14:paraId="4ABE2A00"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قد أُفيد مِن قِبل سيدنا الخوئي (قدس سره الشريف) في موسوعته المباركة في كتابه [المباني في شرح العروة الوثقى، كتاب النكاح، ج33، ص225] ومِن قِبل بعض السادة الأعلام (مد ظله) في كتابه [النكاح، باللغة الفارسية، ج12 ص 4150]، أنّ مفاد رواية الكناسي متضمنٌ للشذوذ - بحسب تعبير بعض السادة الأعلام - مِن عدّة جهات</w:t>
      </w:r>
      <w:r w:rsidRPr="00F27422">
        <w:rPr>
          <w:rFonts w:ascii="mylotus" w:hAnsi="mylotus"/>
          <w:sz w:val="32"/>
        </w:rPr>
        <w:t>:</w:t>
      </w:r>
    </w:p>
    <w:p w14:paraId="7C5E1B16"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b/>
          <w:bCs/>
          <w:sz w:val="32"/>
          <w:rtl/>
        </w:rPr>
        <w:t>الشذوذ الأوّل:</w:t>
      </w:r>
      <w:r w:rsidRPr="00F27422">
        <w:rPr>
          <w:rFonts w:ascii="mylotus" w:hAnsi="mylotus"/>
          <w:sz w:val="32"/>
          <w:rtl/>
        </w:rPr>
        <w:t xml:space="preserve"> ما ذكره سيدنا الخوئي (قدس سره) - وأيضاً ذكره بعض السادة الأعلام </w:t>
      </w:r>
      <w:r w:rsidRPr="00F27422">
        <w:rPr>
          <w:rFonts w:ascii="mylotus" w:hAnsi="mylotus" w:hint="cs"/>
          <w:sz w:val="32"/>
          <w:rtl/>
        </w:rPr>
        <w:t>(</w:t>
      </w:r>
      <w:r w:rsidRPr="00F27422">
        <w:rPr>
          <w:rFonts w:ascii="mylotus" w:hAnsi="mylotus"/>
          <w:sz w:val="32"/>
          <w:rtl/>
        </w:rPr>
        <w:t>مد</w:t>
      </w:r>
      <w:r w:rsidRPr="00F27422">
        <w:rPr>
          <w:rFonts w:ascii="mylotus" w:hAnsi="mylotus" w:hint="cs"/>
          <w:sz w:val="32"/>
          <w:rtl/>
        </w:rPr>
        <w:t xml:space="preserve"> </w:t>
      </w:r>
      <w:r w:rsidRPr="00F27422">
        <w:rPr>
          <w:rFonts w:ascii="mylotus" w:hAnsi="mylotus"/>
          <w:sz w:val="32"/>
          <w:rtl/>
        </w:rPr>
        <w:t>ظله</w:t>
      </w:r>
      <w:r w:rsidRPr="00F27422">
        <w:rPr>
          <w:rFonts w:ascii="mylotus" w:hAnsi="mylotus" w:hint="cs"/>
          <w:sz w:val="32"/>
          <w:rtl/>
        </w:rPr>
        <w:t>)</w:t>
      </w:r>
      <w:r w:rsidRPr="00F27422">
        <w:rPr>
          <w:rFonts w:ascii="mylotus" w:hAnsi="mylotus"/>
          <w:sz w:val="32"/>
          <w:rtl/>
        </w:rPr>
        <w:t xml:space="preserve"> - قال: </w:t>
      </w:r>
      <w:r w:rsidRPr="00F27422">
        <w:rPr>
          <w:rFonts w:ascii="mylotus" w:hAnsi="mylotus"/>
          <w:b/>
          <w:bCs/>
          <w:sz w:val="32"/>
          <w:rtl/>
        </w:rPr>
        <w:t xml:space="preserve">(إلّا أن هذه الرواية لا يمكن العمل بها من جهة بُعد التفصيل المذكور فيها، فإنّه لا يحتمل ثبوت الخيار للتي زوّجها الأب قبل تسع سنين) </w:t>
      </w:r>
      <w:r w:rsidRPr="00F27422">
        <w:rPr>
          <w:rFonts w:ascii="mylotus" w:hAnsi="mylotus"/>
          <w:sz w:val="32"/>
          <w:rtl/>
        </w:rPr>
        <w:t xml:space="preserve">إنْ بلغتْ </w:t>
      </w:r>
      <w:r w:rsidRPr="00F27422">
        <w:rPr>
          <w:rFonts w:ascii="mylotus" w:hAnsi="mylotus"/>
          <w:b/>
          <w:bCs/>
          <w:sz w:val="32"/>
          <w:rtl/>
        </w:rPr>
        <w:t xml:space="preserve">(وعدم ثبوته للتي زوجها بعد ذلك) </w:t>
      </w:r>
      <w:r w:rsidRPr="00F27422">
        <w:rPr>
          <w:rFonts w:ascii="mylotus" w:hAnsi="mylotus"/>
          <w:sz w:val="32"/>
          <w:rtl/>
        </w:rPr>
        <w:t xml:space="preserve">أي: بعد بلوغها </w:t>
      </w:r>
      <w:r w:rsidRPr="00F27422">
        <w:rPr>
          <w:rFonts w:ascii="mylotus" w:hAnsi="mylotus"/>
          <w:b/>
          <w:bCs/>
          <w:sz w:val="32"/>
          <w:rtl/>
        </w:rPr>
        <w:t>(مع معارضتها للنصوص الكثيرة الدالة على نفوذ إنكاح الأب، وأنه ليس لها من الأمر شيء. وفي مقام حلّ المعارضة لا ينبغي الشك في تقدّم تلك عليها)</w:t>
      </w:r>
      <w:r w:rsidRPr="00F27422">
        <w:rPr>
          <w:rFonts w:ascii="mylotus" w:hAnsi="mylotus"/>
          <w:b/>
          <w:bCs/>
          <w:sz w:val="32"/>
        </w:rPr>
        <w:t>.</w:t>
      </w:r>
    </w:p>
    <w:p w14:paraId="41421A12"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b/>
          <w:bCs/>
          <w:sz w:val="32"/>
          <w:rtl/>
        </w:rPr>
        <w:t>وتوضيح ذلك</w:t>
      </w:r>
      <w:r w:rsidRPr="00F27422">
        <w:rPr>
          <w:rFonts w:ascii="mylotus" w:hAnsi="mylotus" w:hint="cs"/>
          <w:b/>
          <w:bCs/>
          <w:sz w:val="32"/>
          <w:rtl/>
        </w:rPr>
        <w:t>:</w:t>
      </w:r>
    </w:p>
    <w:p w14:paraId="1FEF00C7"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أن</w:t>
      </w:r>
      <w:r w:rsidRPr="00F27422">
        <w:rPr>
          <w:rFonts w:ascii="mylotus" w:hAnsi="mylotus" w:hint="cs"/>
          <w:sz w:val="32"/>
          <w:rtl/>
        </w:rPr>
        <w:t>ّ</w:t>
      </w:r>
      <w:r w:rsidRPr="00F27422">
        <w:rPr>
          <w:rFonts w:ascii="mylotus" w:hAnsi="mylotus"/>
          <w:sz w:val="32"/>
          <w:rtl/>
        </w:rPr>
        <w:t xml:space="preserve"> يزيد الكناسي قال: </w:t>
      </w:r>
      <w:r w:rsidRPr="00F27422">
        <w:rPr>
          <w:rFonts w:ascii="mylotus" w:hAnsi="mylotus"/>
          <w:b/>
          <w:bCs/>
          <w:sz w:val="32"/>
          <w:rtl/>
        </w:rPr>
        <w:t xml:space="preserve">(قلتُ لأبي جعفر (عليه السلام): متى يجوز للأب أنْ يزوج ابنته ولا </w:t>
      </w:r>
      <w:proofErr w:type="spellStart"/>
      <w:r w:rsidRPr="00F27422">
        <w:rPr>
          <w:rFonts w:ascii="mylotus" w:hAnsi="mylotus"/>
          <w:b/>
          <w:bCs/>
          <w:sz w:val="32"/>
          <w:rtl/>
        </w:rPr>
        <w:t>يستأمرها</w:t>
      </w:r>
      <w:proofErr w:type="spellEnd"/>
      <w:r w:rsidRPr="00F27422">
        <w:rPr>
          <w:rFonts w:ascii="mylotus" w:hAnsi="mylotus"/>
          <w:b/>
          <w:bCs/>
          <w:sz w:val="32"/>
          <w:rtl/>
        </w:rPr>
        <w:t xml:space="preserve">؟ قال: إذا جازت تسع </w:t>
      </w:r>
      <w:proofErr w:type="gramStart"/>
      <w:r w:rsidRPr="00F27422">
        <w:rPr>
          <w:rFonts w:ascii="mylotus" w:hAnsi="mylotus"/>
          <w:b/>
          <w:bCs/>
          <w:sz w:val="32"/>
          <w:rtl/>
        </w:rPr>
        <w:t>سنين )</w:t>
      </w:r>
      <w:proofErr w:type="gramEnd"/>
      <w:r w:rsidRPr="00F27422">
        <w:rPr>
          <w:rFonts w:ascii="mylotus" w:hAnsi="mylotus"/>
          <w:b/>
          <w:bCs/>
          <w:sz w:val="32"/>
        </w:rPr>
        <w:t>.</w:t>
      </w:r>
    </w:p>
    <w:p w14:paraId="2EFD9CC6"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 xml:space="preserve">فقولُ الراوي: </w:t>
      </w:r>
      <w:r w:rsidRPr="00F27422">
        <w:rPr>
          <w:rFonts w:ascii="mylotus" w:hAnsi="mylotus"/>
          <w:b/>
          <w:bCs/>
          <w:sz w:val="32"/>
          <w:rtl/>
        </w:rPr>
        <w:t xml:space="preserve">(ولا </w:t>
      </w:r>
      <w:proofErr w:type="spellStart"/>
      <w:r w:rsidRPr="00F27422">
        <w:rPr>
          <w:rFonts w:ascii="mylotus" w:hAnsi="mylotus"/>
          <w:b/>
          <w:bCs/>
          <w:sz w:val="32"/>
          <w:rtl/>
        </w:rPr>
        <w:t>يستأمرها</w:t>
      </w:r>
      <w:proofErr w:type="spellEnd"/>
      <w:r w:rsidRPr="00F27422">
        <w:rPr>
          <w:rFonts w:ascii="mylotus" w:hAnsi="mylotus"/>
          <w:b/>
          <w:bCs/>
          <w:sz w:val="32"/>
          <w:rtl/>
        </w:rPr>
        <w:t xml:space="preserve">) </w:t>
      </w:r>
      <w:r w:rsidRPr="00F27422">
        <w:rPr>
          <w:rFonts w:ascii="mylotus" w:hAnsi="mylotus"/>
          <w:sz w:val="32"/>
          <w:rtl/>
        </w:rPr>
        <w:t>أي: لا يأخذُ إذنها ورأيها</w:t>
      </w:r>
      <w:r w:rsidRPr="00F27422">
        <w:rPr>
          <w:rFonts w:ascii="mylotus" w:hAnsi="mylotus"/>
          <w:sz w:val="32"/>
        </w:rPr>
        <w:t>.</w:t>
      </w:r>
    </w:p>
    <w:p w14:paraId="52742089"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 xml:space="preserve">وقول الإمام (عليه السلام): </w:t>
      </w:r>
      <w:r w:rsidRPr="00F27422">
        <w:rPr>
          <w:rFonts w:ascii="mylotus" w:hAnsi="mylotus"/>
          <w:b/>
          <w:bCs/>
          <w:sz w:val="32"/>
          <w:rtl/>
        </w:rPr>
        <w:t>(إذا جازت تسع سنين)</w:t>
      </w:r>
      <w:r w:rsidRPr="00F27422">
        <w:rPr>
          <w:rFonts w:ascii="mylotus" w:hAnsi="mylotus"/>
          <w:sz w:val="32"/>
          <w:rtl/>
        </w:rPr>
        <w:t xml:space="preserve"> أي: إذا بلغتْ تسع سنين فإنه يستطيع تزويجها مِن دون أنْ يأخُذ رأيها</w:t>
      </w:r>
      <w:r w:rsidRPr="00F27422">
        <w:rPr>
          <w:rFonts w:ascii="mylotus" w:hAnsi="mylotus"/>
          <w:sz w:val="32"/>
        </w:rPr>
        <w:t>.</w:t>
      </w:r>
    </w:p>
    <w:p w14:paraId="4C1101FC"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 xml:space="preserve">ثمّ قال (عليه السلام): </w:t>
      </w:r>
      <w:r w:rsidRPr="00F27422">
        <w:rPr>
          <w:rFonts w:ascii="mylotus" w:hAnsi="mylotus"/>
          <w:b/>
          <w:bCs/>
          <w:sz w:val="32"/>
          <w:rtl/>
        </w:rPr>
        <w:t>(فإنْ زوجها قبل بلوغ التسع سنين كان الخيار لها إذا بلغت تسع سنين)</w:t>
      </w:r>
      <w:r w:rsidRPr="00F27422">
        <w:rPr>
          <w:rFonts w:ascii="mylotus" w:hAnsi="mylotus"/>
          <w:b/>
          <w:bCs/>
          <w:sz w:val="32"/>
        </w:rPr>
        <w:t>.</w:t>
      </w:r>
    </w:p>
    <w:p w14:paraId="4385EEB2"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b/>
          <w:bCs/>
          <w:sz w:val="32"/>
          <w:rtl/>
        </w:rPr>
        <w:t>وواضحٌ مِن خلال السياق أنّ مفاد الرواية:</w:t>
      </w:r>
      <w:r w:rsidRPr="00F27422">
        <w:rPr>
          <w:rFonts w:ascii="mylotus" w:hAnsi="mylotus"/>
          <w:sz w:val="32"/>
          <w:rtl/>
        </w:rPr>
        <w:t xml:space="preserve"> هو التفصيلُ بين أنْ يزوجها بعد أنْ بلغتْ تسع سنين فلا خيار لها، أو أنْ يزوجها قبل بلوغ التسع سنين فإنّ لها الخيار إذا بلغتْ وأدركتْ، وهذا التفصيلُ غيرُ محتملٍ؛ بأنْ يكون لا رأي لها إنْ كانت بالغةً رشيدةً بينما إذا زُوّجتْ وهي ليست بالغةً رشيدةً ثمّ بلغتْ كان لها الخيار</w:t>
      </w:r>
      <w:r w:rsidRPr="00F27422">
        <w:rPr>
          <w:rFonts w:ascii="mylotus" w:hAnsi="mylotus" w:hint="cs"/>
          <w:sz w:val="32"/>
          <w:rtl/>
        </w:rPr>
        <w:t xml:space="preserve">، </w:t>
      </w:r>
      <w:r w:rsidRPr="00F27422">
        <w:rPr>
          <w:rFonts w:ascii="mylotus" w:hAnsi="mylotus"/>
          <w:sz w:val="32"/>
          <w:rtl/>
        </w:rPr>
        <w:t>فالتفصيلُ مستهجن</w:t>
      </w:r>
      <w:r w:rsidRPr="00F27422">
        <w:rPr>
          <w:rFonts w:ascii="mylotus" w:hAnsi="mylotus" w:hint="cs"/>
          <w:sz w:val="32"/>
          <w:rtl/>
        </w:rPr>
        <w:t>.</w:t>
      </w:r>
    </w:p>
    <w:p w14:paraId="04230DD1"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b/>
          <w:bCs/>
          <w:sz w:val="32"/>
          <w:rtl/>
        </w:rPr>
        <w:t>ولكن يمكنُ القول:</w:t>
      </w:r>
      <w:r w:rsidRPr="00F27422">
        <w:rPr>
          <w:rFonts w:ascii="mylotus" w:hAnsi="mylotus"/>
          <w:sz w:val="32"/>
          <w:rtl/>
        </w:rPr>
        <w:t xml:space="preserve"> بأنّ المقصود بقوله: </w:t>
      </w:r>
      <w:r w:rsidRPr="00F27422">
        <w:rPr>
          <w:rFonts w:ascii="mylotus" w:hAnsi="mylotus" w:hint="cs"/>
          <w:b/>
          <w:bCs/>
          <w:sz w:val="32"/>
          <w:rtl/>
        </w:rPr>
        <w:t>(</w:t>
      </w:r>
      <w:r w:rsidRPr="00F27422">
        <w:rPr>
          <w:rFonts w:ascii="mylotus" w:hAnsi="mylotus"/>
          <w:b/>
          <w:bCs/>
          <w:sz w:val="32"/>
          <w:rtl/>
        </w:rPr>
        <w:t>ولا</w:t>
      </w:r>
      <w:r w:rsidRPr="00F27422">
        <w:rPr>
          <w:rFonts w:ascii="mylotus" w:hAnsi="mylotus" w:hint="cs"/>
          <w:b/>
          <w:bCs/>
          <w:sz w:val="32"/>
          <w:rtl/>
        </w:rPr>
        <w:t xml:space="preserve"> </w:t>
      </w:r>
      <w:proofErr w:type="spellStart"/>
      <w:r w:rsidRPr="00F27422">
        <w:rPr>
          <w:rFonts w:ascii="mylotus" w:hAnsi="mylotus"/>
          <w:b/>
          <w:bCs/>
          <w:sz w:val="32"/>
          <w:rtl/>
        </w:rPr>
        <w:t>يستأمرها</w:t>
      </w:r>
      <w:proofErr w:type="spellEnd"/>
      <w:r w:rsidRPr="00F27422">
        <w:rPr>
          <w:rFonts w:ascii="mylotus" w:hAnsi="mylotus" w:hint="cs"/>
          <w:b/>
          <w:bCs/>
          <w:sz w:val="32"/>
          <w:rtl/>
        </w:rPr>
        <w:t>)</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له أن</w:t>
      </w:r>
      <w:r w:rsidRPr="00F27422">
        <w:rPr>
          <w:rFonts w:ascii="mylotus" w:hAnsi="mylotus" w:hint="cs"/>
          <w:sz w:val="32"/>
          <w:rtl/>
        </w:rPr>
        <w:t>ْ</w:t>
      </w:r>
      <w:r w:rsidRPr="00F27422">
        <w:rPr>
          <w:rFonts w:ascii="mylotus" w:hAnsi="mylotus"/>
          <w:sz w:val="32"/>
          <w:rtl/>
        </w:rPr>
        <w:t xml:space="preserve"> يزوجها م</w:t>
      </w:r>
      <w:r w:rsidRPr="00F27422">
        <w:rPr>
          <w:rFonts w:ascii="mylotus" w:hAnsi="mylotus" w:hint="cs"/>
          <w:sz w:val="32"/>
          <w:rtl/>
        </w:rPr>
        <w:t>ِ</w:t>
      </w:r>
      <w:r w:rsidRPr="00F27422">
        <w:rPr>
          <w:rFonts w:ascii="mylotus" w:hAnsi="mylotus"/>
          <w:sz w:val="32"/>
          <w:rtl/>
        </w:rPr>
        <w:t>ن دون رجوع</w:t>
      </w:r>
      <w:r w:rsidRPr="00F27422">
        <w:rPr>
          <w:rFonts w:ascii="mylotus" w:hAnsi="mylotus" w:hint="cs"/>
          <w:sz w:val="32"/>
          <w:rtl/>
        </w:rPr>
        <w:t>ٍ</w:t>
      </w:r>
      <w:r w:rsidRPr="00F27422">
        <w:rPr>
          <w:rFonts w:ascii="mylotus" w:hAnsi="mylotus"/>
          <w:sz w:val="32"/>
          <w:rtl/>
        </w:rPr>
        <w:t xml:space="preserve"> لها، ولكن ذلك لا</w:t>
      </w:r>
      <w:r w:rsidRPr="00F27422">
        <w:rPr>
          <w:rFonts w:ascii="mylotus" w:hAnsi="mylotus" w:hint="cs"/>
          <w:sz w:val="32"/>
          <w:rtl/>
        </w:rPr>
        <w:t xml:space="preserve"> </w:t>
      </w:r>
      <w:r w:rsidRPr="00F27422">
        <w:rPr>
          <w:rFonts w:ascii="mylotus" w:hAnsi="mylotus"/>
          <w:sz w:val="32"/>
          <w:rtl/>
        </w:rPr>
        <w:t>ينافي ثبوت الخيار لها إذا علمت</w:t>
      </w:r>
      <w:r w:rsidRPr="00F27422">
        <w:rPr>
          <w:rFonts w:ascii="mylotus" w:hAnsi="mylotus" w:hint="cs"/>
          <w:sz w:val="32"/>
          <w:rtl/>
        </w:rPr>
        <w:t>ْ</w:t>
      </w:r>
      <w:r w:rsidRPr="00F27422">
        <w:rPr>
          <w:rFonts w:ascii="mylotus" w:hAnsi="mylotus"/>
          <w:sz w:val="32"/>
          <w:rtl/>
        </w:rPr>
        <w:t xml:space="preserve"> بالعقد، أو يقال: لا يبعُد الخطأ في نقل متن الفقرة الأُولى مِن الجواب وهي قوله (عليه السلام): </w:t>
      </w:r>
      <w:r w:rsidRPr="00F27422">
        <w:rPr>
          <w:rFonts w:ascii="mylotus" w:hAnsi="mylotus"/>
          <w:b/>
          <w:bCs/>
          <w:sz w:val="32"/>
          <w:rtl/>
        </w:rPr>
        <w:t xml:space="preserve">(إذا جازت تسع سنين) </w:t>
      </w:r>
      <w:r w:rsidRPr="00F27422">
        <w:rPr>
          <w:rFonts w:ascii="mylotus" w:hAnsi="mylotus"/>
          <w:sz w:val="32"/>
          <w:rtl/>
        </w:rPr>
        <w:t>الذي يظهرُ منهُ أنْ لا خيار لها إذا جازت تسع سنين، ولعلّ الفقرة هكذا: "إذا قصُرتْ عن تسع سنين" أي: أن</w:t>
      </w:r>
      <w:r w:rsidRPr="00F27422">
        <w:rPr>
          <w:rFonts w:ascii="mylotus" w:hAnsi="mylotus" w:hint="cs"/>
          <w:sz w:val="32"/>
          <w:rtl/>
        </w:rPr>
        <w:t>ّ</w:t>
      </w:r>
      <w:r w:rsidRPr="00F27422">
        <w:rPr>
          <w:rFonts w:ascii="mylotus" w:hAnsi="mylotus"/>
          <w:sz w:val="32"/>
          <w:rtl/>
        </w:rPr>
        <w:t xml:space="preserve"> له أن</w:t>
      </w:r>
      <w:r w:rsidRPr="00F27422">
        <w:rPr>
          <w:rFonts w:ascii="mylotus" w:hAnsi="mylotus" w:hint="cs"/>
          <w:sz w:val="32"/>
          <w:rtl/>
        </w:rPr>
        <w:t>ْ</w:t>
      </w:r>
      <w:r w:rsidRPr="00F27422">
        <w:rPr>
          <w:rFonts w:ascii="mylotus" w:hAnsi="mylotus"/>
          <w:sz w:val="32"/>
          <w:rtl/>
        </w:rPr>
        <w:t xml:space="preserve"> يزوجها مِن دون استئمار لها إذا قصرت عن تسع سنين، فإذا زوجها في هذا الحال فإنْ بلغتْ وأدركتْ كان لها الخيار، وذلك لتأكيد عدّةِ فقراتٍ مِن هذه الرواية على مفاد الفقرة الثانية وهي ثبوت الخيار</w:t>
      </w:r>
      <w:r w:rsidRPr="00F27422">
        <w:rPr>
          <w:rFonts w:ascii="mylotus" w:hAnsi="mylotus"/>
          <w:sz w:val="32"/>
        </w:rPr>
        <w:t>.</w:t>
      </w:r>
    </w:p>
    <w:p w14:paraId="4FD5B4A9"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 xml:space="preserve">منها: </w:t>
      </w:r>
      <w:r w:rsidRPr="00F27422">
        <w:rPr>
          <w:rFonts w:ascii="mylotus" w:hAnsi="mylotus"/>
          <w:b/>
          <w:bCs/>
          <w:sz w:val="32"/>
          <w:rtl/>
        </w:rPr>
        <w:t>(قلتُ: فإنْ زوجها أبوها ولم تبلغ تسع سنين فبلغها ذلك فسكتت ولم تأب ذلك أَ يجوزُ عليها؟ قال (عليه السلام)</w:t>
      </w:r>
      <w:r w:rsidRPr="00F27422">
        <w:rPr>
          <w:rFonts w:ascii="mylotus" w:hAnsi="mylotus" w:hint="cs"/>
          <w:b/>
          <w:bCs/>
          <w:sz w:val="32"/>
          <w:rtl/>
        </w:rPr>
        <w:t>:</w:t>
      </w:r>
      <w:r w:rsidRPr="00F27422">
        <w:rPr>
          <w:rFonts w:ascii="mylotus" w:hAnsi="mylotus"/>
          <w:b/>
          <w:bCs/>
          <w:sz w:val="32"/>
          <w:rtl/>
        </w:rPr>
        <w:t xml:space="preserve"> ليس يجوز عليها رضى في نفسها ولا يجوز لها تأب ولا سخط في نفسها حتى تستكمل تسع سنين، وإذا بلغت تسع سنين جاز لها القول في نفسها بالرضا </w:t>
      </w:r>
      <w:proofErr w:type="spellStart"/>
      <w:r w:rsidRPr="00F27422">
        <w:rPr>
          <w:rFonts w:ascii="mylotus" w:hAnsi="mylotus"/>
          <w:b/>
          <w:bCs/>
          <w:sz w:val="32"/>
          <w:rtl/>
        </w:rPr>
        <w:t>والتأبي</w:t>
      </w:r>
      <w:proofErr w:type="spellEnd"/>
      <w:r w:rsidRPr="00F27422">
        <w:rPr>
          <w:rFonts w:ascii="mylotus" w:hAnsi="mylotus"/>
          <w:b/>
          <w:bCs/>
          <w:sz w:val="32"/>
          <w:rtl/>
        </w:rPr>
        <w:t xml:space="preserve"> وجاز عليها بعد ذلك) </w:t>
      </w:r>
      <w:r w:rsidRPr="00F27422">
        <w:rPr>
          <w:rFonts w:ascii="mylotus" w:hAnsi="mylotus"/>
          <w:sz w:val="32"/>
          <w:rtl/>
        </w:rPr>
        <w:t>أي: إذا سكتت ولم تأبَ جاز عليها بعد ذلك</w:t>
      </w:r>
      <w:r w:rsidRPr="00F27422">
        <w:rPr>
          <w:rFonts w:ascii="mylotus" w:hAnsi="mylotus"/>
          <w:sz w:val="32"/>
        </w:rPr>
        <w:t>.</w:t>
      </w:r>
    </w:p>
    <w:p w14:paraId="548097E7"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فإن</w:t>
      </w:r>
      <w:r w:rsidRPr="00F27422">
        <w:rPr>
          <w:rFonts w:ascii="mylotus" w:hAnsi="mylotus" w:hint="cs"/>
          <w:sz w:val="32"/>
          <w:rtl/>
        </w:rPr>
        <w:t>ّ</w:t>
      </w:r>
      <w:r w:rsidRPr="00F27422">
        <w:rPr>
          <w:rFonts w:ascii="mylotus" w:hAnsi="mylotus"/>
          <w:sz w:val="32"/>
          <w:rtl/>
        </w:rPr>
        <w:t xml:space="preserve"> التفصيل في فقرات الرواية بين سكوتها قبل البلوغ وسكوتها بعد البلوغ مما يقرب أنّ المنظور في الفقرة الأُولى في قوله (عليه السلام): </w:t>
      </w:r>
      <w:r w:rsidRPr="00F27422">
        <w:rPr>
          <w:rFonts w:ascii="mylotus" w:hAnsi="mylotus"/>
          <w:b/>
          <w:bCs/>
          <w:sz w:val="32"/>
          <w:rtl/>
        </w:rPr>
        <w:t>(إذا جازت تسع سنين)</w:t>
      </w:r>
      <w:r w:rsidRPr="00F27422">
        <w:rPr>
          <w:rFonts w:ascii="mylotus" w:hAnsi="mylotus"/>
          <w:sz w:val="32"/>
          <w:rtl/>
        </w:rPr>
        <w:t xml:space="preserve"> أي: إذا قَصُرتْ عن تسع سنين فإنّ لهُ أنْ يزوجها دون أنْ </w:t>
      </w:r>
      <w:proofErr w:type="spellStart"/>
      <w:r w:rsidRPr="00F27422">
        <w:rPr>
          <w:rFonts w:ascii="mylotus" w:hAnsi="mylotus"/>
          <w:sz w:val="32"/>
          <w:rtl/>
        </w:rPr>
        <w:t>يستأمرها</w:t>
      </w:r>
      <w:proofErr w:type="spellEnd"/>
      <w:r w:rsidRPr="00F27422">
        <w:rPr>
          <w:rFonts w:ascii="mylotus" w:hAnsi="mylotus"/>
          <w:sz w:val="32"/>
          <w:rtl/>
        </w:rPr>
        <w:t xml:space="preserve">، في مقابل ما إذا زوجها بعد أنْ بلغتْ تسع سنين فإنّه </w:t>
      </w:r>
      <w:proofErr w:type="spellStart"/>
      <w:r w:rsidRPr="00F27422">
        <w:rPr>
          <w:rFonts w:ascii="mylotus" w:hAnsi="mylotus"/>
          <w:sz w:val="32"/>
          <w:rtl/>
        </w:rPr>
        <w:t>يستأمرها</w:t>
      </w:r>
      <w:proofErr w:type="spellEnd"/>
      <w:r w:rsidRPr="00F27422">
        <w:rPr>
          <w:rFonts w:ascii="mylotus" w:hAnsi="mylotus"/>
          <w:sz w:val="32"/>
        </w:rPr>
        <w:t>.</w:t>
      </w:r>
    </w:p>
    <w:p w14:paraId="645050F5"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lastRenderedPageBreak/>
        <w:t>مع أن</w:t>
      </w:r>
      <w:r w:rsidRPr="00F27422">
        <w:rPr>
          <w:rFonts w:ascii="mylotus" w:hAnsi="mylotus" w:hint="cs"/>
          <w:sz w:val="32"/>
          <w:rtl/>
        </w:rPr>
        <w:t>ّ</w:t>
      </w:r>
      <w:r w:rsidRPr="00F27422">
        <w:rPr>
          <w:rFonts w:ascii="mylotus" w:hAnsi="mylotus"/>
          <w:sz w:val="32"/>
          <w:rtl/>
        </w:rPr>
        <w:t xml:space="preserve"> اشتمال الرواية على هذه الفقرة المُشكلة لا يُسقط حجية دلالة بقية فقراتها على </w:t>
      </w:r>
      <w:r w:rsidRPr="00F27422">
        <w:rPr>
          <w:rFonts w:ascii="mylotus" w:hAnsi="mylotus" w:cs="Cambria" w:hint="cs"/>
          <w:sz w:val="32"/>
          <w:rtl/>
        </w:rPr>
        <w:t>"</w:t>
      </w:r>
      <w:r w:rsidRPr="00F27422">
        <w:rPr>
          <w:rFonts w:ascii="mylotus" w:hAnsi="mylotus"/>
          <w:sz w:val="32"/>
          <w:rtl/>
        </w:rPr>
        <w:t>أنّ الجارية لها الخيار إذا بلغت</w:t>
      </w:r>
      <w:r w:rsidRPr="00F27422">
        <w:rPr>
          <w:rFonts w:ascii="mylotus" w:hAnsi="mylotus" w:hint="cs"/>
          <w:sz w:val="32"/>
          <w:rtl/>
        </w:rPr>
        <w:t>ْ</w:t>
      </w:r>
      <w:r w:rsidRPr="00F27422">
        <w:rPr>
          <w:rFonts w:ascii="mylotus" w:hAnsi="mylotus"/>
          <w:sz w:val="32"/>
          <w:rtl/>
        </w:rPr>
        <w:t xml:space="preserve"> في عقدها الذي تمّ قبل بلوغها تسع سنين</w:t>
      </w:r>
      <w:r w:rsidRPr="00F27422">
        <w:rPr>
          <w:rFonts w:ascii="mylotus" w:hAnsi="mylotus" w:cs="Cambria" w:hint="cs"/>
          <w:sz w:val="32"/>
          <w:rtl/>
        </w:rPr>
        <w:t>"</w:t>
      </w:r>
      <w:r w:rsidRPr="00F27422">
        <w:rPr>
          <w:rFonts w:ascii="mylotus" w:hAnsi="mylotus"/>
          <w:sz w:val="32"/>
          <w:rtl/>
        </w:rPr>
        <w:t xml:space="preserve"> فإنّ التفكيك بين الفقرات مِن حيث الحُجية مقتضى الصناعة</w:t>
      </w:r>
      <w:r w:rsidRPr="00F27422">
        <w:rPr>
          <w:rFonts w:ascii="mylotus" w:hAnsi="mylotus"/>
          <w:sz w:val="32"/>
        </w:rPr>
        <w:t>.</w:t>
      </w:r>
    </w:p>
    <w:p w14:paraId="783EB140"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b/>
          <w:bCs/>
          <w:sz w:val="32"/>
          <w:rtl/>
        </w:rPr>
        <w:t>الشذوذ الثاني:</w:t>
      </w:r>
      <w:r w:rsidRPr="00F27422">
        <w:rPr>
          <w:rFonts w:ascii="mylotus" w:hAnsi="mylotus"/>
          <w:sz w:val="32"/>
          <w:rtl/>
        </w:rPr>
        <w:t xml:space="preserve"> قوله في الراوية: </w:t>
      </w:r>
      <w:r w:rsidRPr="00F27422">
        <w:rPr>
          <w:rFonts w:ascii="mylotus" w:hAnsi="mylotus"/>
          <w:b/>
          <w:bCs/>
          <w:sz w:val="32"/>
          <w:rtl/>
        </w:rPr>
        <w:t xml:space="preserve">(قلتُ: أَ فيقامُ عليها الحدود وتؤخذ بها وهي في تلك الحال وإنّما لها تسع سنين) </w:t>
      </w:r>
      <w:r w:rsidRPr="00F27422">
        <w:rPr>
          <w:rFonts w:ascii="mylotus" w:hAnsi="mylotus"/>
          <w:sz w:val="32"/>
          <w:rtl/>
        </w:rPr>
        <w:t xml:space="preserve">أي: هل تقام عليها الحدود بمجرد أنْ تبلغ تسع سنين؟ </w:t>
      </w:r>
      <w:r w:rsidRPr="00F27422">
        <w:rPr>
          <w:rFonts w:ascii="mylotus" w:hAnsi="mylotus"/>
          <w:b/>
          <w:bCs/>
          <w:sz w:val="32"/>
          <w:rtl/>
        </w:rPr>
        <w:t>(ولم تدرك مدرك النساء في الحيض؟ قال: نعم إذا دخلت على زوجها ولها تسع سنين ذهب عنها اليتم ودفع إليها مالها واُقيمت الحدود التامة عليها ولها، قلتُ: فالغلام يجري في ذلك مجرى الجارية؟ فقال: يا أبا خالد إنْ الغلام إذا زوجه أبوه ولم يدرك كان له الخيار إذا أدرك وبلغ خمس عشرة سنة أو يشعر في وجهه أو ينبت في عانته قبل ذلك)</w:t>
      </w:r>
      <w:r w:rsidRPr="00F27422">
        <w:rPr>
          <w:rFonts w:ascii="mylotus" w:hAnsi="mylotus"/>
          <w:b/>
          <w:bCs/>
          <w:sz w:val="32"/>
        </w:rPr>
        <w:t>.</w:t>
      </w:r>
    </w:p>
    <w:p w14:paraId="1822D3D2"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 xml:space="preserve">وهنا أفاد في بعض </w:t>
      </w:r>
      <w:r w:rsidRPr="00F27422">
        <w:rPr>
          <w:rFonts w:ascii="mylotus" w:hAnsi="mylotus" w:hint="cs"/>
          <w:sz w:val="32"/>
          <w:rtl/>
        </w:rPr>
        <w:t xml:space="preserve">السادة </w:t>
      </w:r>
      <w:r w:rsidRPr="00F27422">
        <w:rPr>
          <w:rFonts w:ascii="mylotus" w:hAnsi="mylotus"/>
          <w:sz w:val="32"/>
          <w:rtl/>
        </w:rPr>
        <w:t>الأعلام في كتابه [النكاح، باللغة الفارسية، ج12</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ص</w:t>
      </w:r>
      <w:r w:rsidRPr="00F27422">
        <w:rPr>
          <w:rFonts w:ascii="mylotus" w:hAnsi="mylotus"/>
          <w:sz w:val="32"/>
          <w:rtl/>
        </w:rPr>
        <w:t>4150] مترجماً بما حاصله:</w:t>
      </w:r>
      <w:r w:rsidRPr="00F27422">
        <w:rPr>
          <w:rFonts w:ascii="mylotus" w:hAnsi="mylotus" w:hint="cs"/>
          <w:sz w:val="32"/>
          <w:rtl/>
        </w:rPr>
        <w:t xml:space="preserve"> </w:t>
      </w:r>
      <w:r w:rsidRPr="00F27422">
        <w:rPr>
          <w:rFonts w:ascii="mylotus" w:hAnsi="mylotus"/>
          <w:b/>
          <w:bCs/>
          <w:sz w:val="32"/>
          <w:rtl/>
        </w:rPr>
        <w:t>(أنّ الرواية قد ذكرتْ أنّ مِن علامات بلوغ الغلام أنْ يشعر في وجهه، وهذا مخالفٌ للفتاوى؛ فإنّ المدار في البلوغ على أنْ يُنبت في عانته أو يحتلم لا أنْ يشعر في وجهه)</w:t>
      </w:r>
      <w:r w:rsidRPr="00F27422">
        <w:rPr>
          <w:rFonts w:ascii="mylotus" w:hAnsi="mylotus"/>
          <w:sz w:val="32"/>
          <w:rtl/>
        </w:rPr>
        <w:t xml:space="preserve"> فهذا من الشذوذ الذي اشتملت</w:t>
      </w:r>
      <w:r w:rsidRPr="00F27422">
        <w:rPr>
          <w:rFonts w:ascii="mylotus" w:hAnsi="mylotus" w:hint="cs"/>
          <w:sz w:val="32"/>
          <w:rtl/>
        </w:rPr>
        <w:t>ْ</w:t>
      </w:r>
      <w:r w:rsidRPr="00F27422">
        <w:rPr>
          <w:rFonts w:ascii="mylotus" w:hAnsi="mylotus"/>
          <w:sz w:val="32"/>
          <w:rtl/>
        </w:rPr>
        <w:t xml:space="preserve"> عليه الرواية</w:t>
      </w:r>
      <w:r w:rsidRPr="00F27422">
        <w:rPr>
          <w:rFonts w:ascii="mylotus" w:hAnsi="mylotus"/>
          <w:sz w:val="32"/>
        </w:rPr>
        <w:t>.</w:t>
      </w:r>
    </w:p>
    <w:p w14:paraId="0B24E49A"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b/>
          <w:bCs/>
          <w:sz w:val="32"/>
          <w:rtl/>
        </w:rPr>
        <w:t>ويلاحظ على ذلك:</w:t>
      </w:r>
      <w:r w:rsidRPr="00F27422">
        <w:rPr>
          <w:rFonts w:ascii="mylotus" w:hAnsi="mylotus"/>
          <w:sz w:val="32"/>
          <w:rtl/>
        </w:rPr>
        <w:t xml:space="preserve"> أنّ الإشعار في الوجه مقارنٌ عادةً للإنبات في العانة، فمن المُحتمل أنّ الإمام (عليه السلام) ذكرهما معاً على سبيل الطريقية لمرحلة م</w:t>
      </w:r>
      <w:r w:rsidRPr="00F27422">
        <w:rPr>
          <w:rFonts w:ascii="mylotus" w:hAnsi="mylotus" w:hint="cs"/>
          <w:sz w:val="32"/>
          <w:rtl/>
        </w:rPr>
        <w:t>ِ</w:t>
      </w:r>
      <w:r w:rsidRPr="00F27422">
        <w:rPr>
          <w:rFonts w:ascii="mylotus" w:hAnsi="mylotus"/>
          <w:sz w:val="32"/>
          <w:rtl/>
        </w:rPr>
        <w:t>ن البلوغ وهي أنْ يصل الجسم إلى حدٍّ م</w:t>
      </w:r>
      <w:r w:rsidRPr="00F27422">
        <w:rPr>
          <w:rFonts w:ascii="mylotus" w:hAnsi="mylotus" w:hint="cs"/>
          <w:sz w:val="32"/>
          <w:rtl/>
        </w:rPr>
        <w:t>ِ</w:t>
      </w:r>
      <w:r w:rsidRPr="00F27422">
        <w:rPr>
          <w:rFonts w:ascii="mylotus" w:hAnsi="mylotus"/>
          <w:sz w:val="32"/>
          <w:rtl/>
        </w:rPr>
        <w:t>ن النضج أنْ يحصل إنباتٌ في العانة أو إشعارٌ في الوجه، وذكرُ الطرق غير عزيزٍ في باب العلامات</w:t>
      </w:r>
      <w:r w:rsidRPr="00F27422">
        <w:rPr>
          <w:rFonts w:ascii="mylotus" w:hAnsi="mylotus"/>
          <w:sz w:val="32"/>
        </w:rPr>
        <w:t>.</w:t>
      </w:r>
    </w:p>
    <w:p w14:paraId="21629C19"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وعلى فرض أنّ هذه الفقرة سقطتْ عن الحجية فهذا لا يُوجبُ سقوط بقية الفقرات</w:t>
      </w:r>
      <w:r w:rsidRPr="00F27422">
        <w:rPr>
          <w:rFonts w:ascii="mylotus" w:hAnsi="mylotus"/>
          <w:sz w:val="32"/>
        </w:rPr>
        <w:t>.</w:t>
      </w:r>
    </w:p>
    <w:p w14:paraId="5F0B2EBE"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b/>
          <w:bCs/>
          <w:sz w:val="32"/>
          <w:rtl/>
        </w:rPr>
        <w:t>الشذوذ الثالث:</w:t>
      </w:r>
      <w:r w:rsidRPr="00F27422">
        <w:rPr>
          <w:rFonts w:ascii="mylotus" w:hAnsi="mylotus"/>
          <w:sz w:val="32"/>
          <w:rtl/>
        </w:rPr>
        <w:t xml:space="preserve"> أنّ التفصيل في ثبوت الخيار للغلام في قوله (عليه السلام): </w:t>
      </w:r>
      <w:r w:rsidRPr="00F27422">
        <w:rPr>
          <w:rFonts w:ascii="mylotus" w:hAnsi="mylotus"/>
          <w:b/>
          <w:bCs/>
          <w:sz w:val="32"/>
          <w:rtl/>
        </w:rPr>
        <w:t>(يا أبا خالد إنْ الغلام إذا زوجه أبوه ولم يدرك كان له الخيار إذا أدرك وبلغ خمس عشرة سنة أو يشعر في وجهه أو ينبت في عانته قبل ذلك)،</w:t>
      </w:r>
      <w:r w:rsidRPr="00F27422">
        <w:rPr>
          <w:rFonts w:ascii="mylotus" w:hAnsi="mylotus" w:hint="cs"/>
          <w:sz w:val="32"/>
          <w:rtl/>
        </w:rPr>
        <w:t xml:space="preserve"> </w:t>
      </w:r>
      <w:r w:rsidRPr="00F27422">
        <w:rPr>
          <w:rFonts w:ascii="mylotus" w:hAnsi="mylotus"/>
          <w:sz w:val="32"/>
          <w:rtl/>
        </w:rPr>
        <w:t xml:space="preserve">حيث ذكر فيها أنّ للصبي خياراً، ثمّ قال: </w:t>
      </w:r>
      <w:r w:rsidRPr="00F27422">
        <w:rPr>
          <w:rFonts w:ascii="mylotus" w:hAnsi="mylotus"/>
          <w:b/>
          <w:bCs/>
          <w:sz w:val="32"/>
          <w:rtl/>
        </w:rPr>
        <w:t xml:space="preserve">(قلتُ: فإنْ اُدخلت عليه امرأته قبل أنْ يدرك فمكث معها ما شاء الله ثمّ أدرك بعد فكرهها </w:t>
      </w:r>
      <w:proofErr w:type="spellStart"/>
      <w:r w:rsidRPr="00F27422">
        <w:rPr>
          <w:rFonts w:ascii="mylotus" w:hAnsi="mylotus"/>
          <w:b/>
          <w:bCs/>
          <w:sz w:val="32"/>
          <w:rtl/>
        </w:rPr>
        <w:t>وتأباها</w:t>
      </w:r>
      <w:proofErr w:type="spellEnd"/>
      <w:r w:rsidRPr="00F27422">
        <w:rPr>
          <w:rFonts w:ascii="mylotus" w:hAnsi="mylotus"/>
          <w:b/>
          <w:bCs/>
          <w:sz w:val="32"/>
          <w:rtl/>
        </w:rPr>
        <w:t xml:space="preserve"> قال: إذا كان أبوه الذي زوجه ودخل بها ولذّ منها، وأقام معها سنة فلا خيار له إذا أدرك ولا ينبغي له أنْ يرد على أبيه ما صنع ولا يحل له ذلك)</w:t>
      </w:r>
      <w:r w:rsidRPr="00F27422">
        <w:rPr>
          <w:rFonts w:ascii="mylotus" w:hAnsi="mylotus"/>
          <w:b/>
          <w:bCs/>
          <w:sz w:val="32"/>
        </w:rPr>
        <w:t>.</w:t>
      </w:r>
    </w:p>
    <w:p w14:paraId="4B0D09B0"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حيث يمكن الصبيّ المميز مباشرة الاستمتاعات بتمامها، غايته أنّه غير بالغ</w:t>
      </w:r>
      <w:r w:rsidRPr="00F27422">
        <w:rPr>
          <w:rFonts w:ascii="mylotus" w:hAnsi="mylotus"/>
          <w:sz w:val="32"/>
        </w:rPr>
        <w:t>.</w:t>
      </w:r>
    </w:p>
    <w:p w14:paraId="4E397689"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وقد علّق بعض السادة الأعلام (مد ظله) في كتابه [النكاح، باللغة الفارسية، ج12</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ص</w:t>
      </w:r>
      <w:r w:rsidRPr="00F27422">
        <w:rPr>
          <w:rFonts w:ascii="mylotus" w:hAnsi="mylotus"/>
          <w:sz w:val="32"/>
          <w:rtl/>
        </w:rPr>
        <w:t xml:space="preserve">4151] مترجماً بما حاصله: </w:t>
      </w:r>
      <w:r w:rsidRPr="00F27422">
        <w:rPr>
          <w:rFonts w:ascii="mylotus" w:hAnsi="mylotus"/>
          <w:b/>
          <w:bCs/>
          <w:sz w:val="32"/>
          <w:rtl/>
        </w:rPr>
        <w:t>(وهذا التفصيل لَمْ يقل به فقيه)</w:t>
      </w:r>
      <w:r w:rsidRPr="00F27422">
        <w:rPr>
          <w:rFonts w:ascii="mylotus" w:hAnsi="mylotus"/>
          <w:sz w:val="32"/>
          <w:rtl/>
        </w:rPr>
        <w:t xml:space="preserve"> وهو أنّ الصبي إنْ عُقد له ثمّ بلغ فله الخيار إلّا إذا دخل بها ولذّ منها وأقام معها سنة فإنّه ليس له الخيار</w:t>
      </w:r>
      <w:r w:rsidRPr="00F27422">
        <w:rPr>
          <w:rFonts w:ascii="mylotus" w:hAnsi="mylotus"/>
          <w:sz w:val="32"/>
        </w:rPr>
        <w:t>.</w:t>
      </w:r>
    </w:p>
    <w:p w14:paraId="0D853832"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b/>
          <w:bCs/>
          <w:sz w:val="32"/>
          <w:rtl/>
        </w:rPr>
        <w:t>ولكن:</w:t>
      </w:r>
      <w:r w:rsidRPr="00F27422">
        <w:rPr>
          <w:rFonts w:ascii="mylotus" w:hAnsi="mylotus" w:hint="cs"/>
          <w:sz w:val="32"/>
          <w:rtl/>
        </w:rPr>
        <w:t xml:space="preserve"> </w:t>
      </w:r>
      <w:r w:rsidRPr="00F27422">
        <w:rPr>
          <w:rFonts w:ascii="mylotus" w:hAnsi="mylotus"/>
          <w:sz w:val="32"/>
          <w:rtl/>
        </w:rPr>
        <w:t>أيُّ مانعٍ من الالتزام بهذا المدلول ما</w:t>
      </w:r>
      <w:r w:rsidRPr="00F27422">
        <w:rPr>
          <w:rFonts w:ascii="mylotus" w:hAnsi="mylotus" w:hint="cs"/>
          <w:sz w:val="32"/>
          <w:rtl/>
        </w:rPr>
        <w:t xml:space="preserve"> </w:t>
      </w:r>
      <w:r w:rsidRPr="00F27422">
        <w:rPr>
          <w:rFonts w:ascii="mylotus" w:hAnsi="mylotus"/>
          <w:sz w:val="32"/>
          <w:rtl/>
        </w:rPr>
        <w:t>ل</w:t>
      </w:r>
      <w:r w:rsidRPr="00F27422">
        <w:rPr>
          <w:rFonts w:ascii="mylotus" w:hAnsi="mylotus" w:hint="cs"/>
          <w:sz w:val="32"/>
          <w:rtl/>
        </w:rPr>
        <w:t>َ</w:t>
      </w:r>
      <w:r w:rsidRPr="00F27422">
        <w:rPr>
          <w:rFonts w:ascii="mylotus" w:hAnsi="mylotus"/>
          <w:sz w:val="32"/>
          <w:rtl/>
        </w:rPr>
        <w:t>م</w:t>
      </w:r>
      <w:r w:rsidRPr="00F27422">
        <w:rPr>
          <w:rFonts w:ascii="mylotus" w:hAnsi="mylotus" w:hint="cs"/>
          <w:sz w:val="32"/>
          <w:rtl/>
        </w:rPr>
        <w:t>ْ</w:t>
      </w:r>
      <w:r w:rsidRPr="00F27422">
        <w:rPr>
          <w:rFonts w:ascii="mylotus" w:hAnsi="mylotus"/>
          <w:sz w:val="32"/>
          <w:rtl/>
        </w:rPr>
        <w:t xml:space="preserve"> يكن إعراض عن العمل بهذه الفقرة؛ فإنّه إذا أقام معها سنة ودخل بها ولذّ منها وهو مميزٌ، فلا فرق بينه وبين البالغ سوى إتمام السن وعدم إتمامه، وإلّا فهو يمتلك الوعي والإدراك والالتفات إلى سائر الأمور، فإذا كان مع ذلك أقام معها سنة ودخل بها ولذّ منها، فإنّ هذا عادةً كاشفٌ عن رضاه وقبوله بها، فعدم ثبوت الخيار له بعد البلوغ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بلوغ</w:t>
      </w:r>
      <w:r w:rsidRPr="00F27422">
        <w:rPr>
          <w:rFonts w:ascii="mylotus" w:hAnsi="mylotus"/>
          <w:sz w:val="32"/>
          <w:rtl/>
        </w:rPr>
        <w:t xml:space="preserve"> </w:t>
      </w:r>
      <w:r w:rsidRPr="00F27422">
        <w:rPr>
          <w:rFonts w:ascii="mylotus" w:hAnsi="mylotus" w:hint="cs"/>
          <w:sz w:val="32"/>
          <w:rtl/>
        </w:rPr>
        <w:t>خمسة</w:t>
      </w:r>
      <w:r w:rsidRPr="00F27422">
        <w:rPr>
          <w:rFonts w:ascii="mylotus" w:hAnsi="mylotus"/>
          <w:sz w:val="32"/>
          <w:rtl/>
        </w:rPr>
        <w:t xml:space="preserve"> </w:t>
      </w:r>
      <w:r w:rsidRPr="00F27422">
        <w:rPr>
          <w:rFonts w:ascii="mylotus" w:hAnsi="mylotus" w:hint="cs"/>
          <w:sz w:val="32"/>
          <w:rtl/>
        </w:rPr>
        <w:t>عشر</w:t>
      </w:r>
      <w:r w:rsidRPr="00F27422">
        <w:rPr>
          <w:rFonts w:ascii="mylotus" w:hAnsi="mylotus"/>
          <w:sz w:val="32"/>
          <w:rtl/>
        </w:rPr>
        <w:t xml:space="preserve"> </w:t>
      </w:r>
      <w:r w:rsidRPr="00F27422">
        <w:rPr>
          <w:rFonts w:ascii="mylotus" w:hAnsi="mylotus" w:hint="cs"/>
          <w:sz w:val="32"/>
          <w:rtl/>
        </w:rPr>
        <w:t>سنة</w:t>
      </w:r>
      <w:r w:rsidRPr="00F27422">
        <w:rPr>
          <w:rFonts w:ascii="mylotus" w:hAnsi="mylotus"/>
          <w:sz w:val="32"/>
          <w:rtl/>
        </w:rPr>
        <w:t xml:space="preserve"> -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منافياً</w:t>
      </w:r>
      <w:r w:rsidRPr="00F27422">
        <w:rPr>
          <w:rFonts w:ascii="mylotus" w:hAnsi="mylotus"/>
          <w:sz w:val="32"/>
          <w:rtl/>
        </w:rPr>
        <w:t xml:space="preserve"> </w:t>
      </w:r>
      <w:r w:rsidRPr="00F27422">
        <w:rPr>
          <w:rFonts w:ascii="mylotus" w:hAnsi="mylotus" w:hint="cs"/>
          <w:sz w:val="32"/>
          <w:rtl/>
        </w:rPr>
        <w:t>لثبوت</w:t>
      </w:r>
      <w:r w:rsidRPr="00F27422">
        <w:rPr>
          <w:rFonts w:ascii="mylotus" w:hAnsi="mylotus"/>
          <w:sz w:val="32"/>
          <w:rtl/>
        </w:rPr>
        <w:t xml:space="preserve"> </w:t>
      </w:r>
      <w:r w:rsidRPr="00F27422">
        <w:rPr>
          <w:rFonts w:ascii="mylotus" w:hAnsi="mylotus" w:hint="cs"/>
          <w:sz w:val="32"/>
          <w:rtl/>
        </w:rPr>
        <w:t>الخيار</w:t>
      </w:r>
      <w:r w:rsidRPr="00F27422">
        <w:rPr>
          <w:rFonts w:ascii="mylotus" w:hAnsi="mylotus"/>
          <w:sz w:val="32"/>
          <w:rtl/>
        </w:rPr>
        <w:t xml:space="preserve"> </w:t>
      </w:r>
      <w:r w:rsidRPr="00F27422">
        <w:rPr>
          <w:rFonts w:ascii="mylotus" w:hAnsi="mylotus" w:hint="cs"/>
          <w:sz w:val="32"/>
          <w:rtl/>
        </w:rPr>
        <w:t>له</w:t>
      </w:r>
      <w:r w:rsidRPr="00F27422">
        <w:rPr>
          <w:rFonts w:ascii="mylotus" w:hAnsi="mylotus"/>
          <w:sz w:val="32"/>
          <w:rtl/>
        </w:rPr>
        <w:t xml:space="preserve"> </w:t>
      </w:r>
      <w:r w:rsidRPr="00F27422">
        <w:rPr>
          <w:rFonts w:ascii="mylotus" w:hAnsi="mylotus" w:hint="cs"/>
          <w:sz w:val="32"/>
          <w:rtl/>
        </w:rPr>
        <w:t>لو</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يحصل</w:t>
      </w:r>
      <w:r w:rsidRPr="00F27422">
        <w:rPr>
          <w:rFonts w:ascii="mylotus" w:hAnsi="mylotus"/>
          <w:sz w:val="32"/>
          <w:rtl/>
        </w:rPr>
        <w:t xml:space="preserve"> </w:t>
      </w:r>
      <w:r w:rsidRPr="00F27422">
        <w:rPr>
          <w:rFonts w:ascii="mylotus" w:hAnsi="mylotus" w:hint="cs"/>
          <w:sz w:val="32"/>
          <w:rtl/>
        </w:rPr>
        <w:t>ذلك</w:t>
      </w:r>
      <w:r w:rsidRPr="00F27422">
        <w:rPr>
          <w:rFonts w:ascii="mylotus" w:hAnsi="mylotus"/>
          <w:sz w:val="32"/>
        </w:rPr>
        <w:t>.</w:t>
      </w:r>
    </w:p>
    <w:p w14:paraId="4AC98226"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b/>
          <w:bCs/>
          <w:sz w:val="32"/>
          <w:rtl/>
        </w:rPr>
        <w:t>والخُلاصة:</w:t>
      </w:r>
      <w:r w:rsidRPr="00F27422">
        <w:rPr>
          <w:rFonts w:ascii="mylotus" w:hAnsi="mylotus"/>
          <w:sz w:val="32"/>
          <w:rtl/>
        </w:rPr>
        <w:t xml:space="preserve"> أنّ الرواية تامةُ الدلالة على أنّ للغلام وللجارية الخيار إذا بلغا، وأن</w:t>
      </w:r>
      <w:r w:rsidRPr="00F27422">
        <w:rPr>
          <w:rFonts w:ascii="mylotus" w:hAnsi="mylotus" w:hint="cs"/>
          <w:sz w:val="32"/>
          <w:rtl/>
        </w:rPr>
        <w:t>ّ</w:t>
      </w:r>
      <w:r w:rsidRPr="00F27422">
        <w:rPr>
          <w:rFonts w:ascii="mylotus" w:hAnsi="mylotus"/>
          <w:sz w:val="32"/>
          <w:rtl/>
        </w:rPr>
        <w:t xml:space="preserve"> التفصيل بينهما بلحاظ علامات البلوغ لا أكثر من ذلك، وإلّا فلكلٍّ منهما الخيار إذا بلغ</w:t>
      </w:r>
      <w:r w:rsidRPr="00F27422">
        <w:rPr>
          <w:rFonts w:ascii="mylotus" w:hAnsi="mylotus"/>
          <w:sz w:val="32"/>
        </w:rPr>
        <w:t>.</w:t>
      </w:r>
    </w:p>
    <w:p w14:paraId="2F92B72F"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فلولا المشكلة في سند الرواية لكانت حجةً في استفادة الخيار منها للصبيّ والصبيّة بعد بلوغهما</w:t>
      </w:r>
      <w:r w:rsidRPr="00F27422">
        <w:rPr>
          <w:rFonts w:ascii="mylotus" w:hAnsi="mylotus"/>
          <w:sz w:val="32"/>
        </w:rPr>
        <w:t>.</w:t>
      </w:r>
    </w:p>
    <w:p w14:paraId="2A8A5593"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تمّ الكلام في الطائفة الرابعة</w:t>
      </w:r>
      <w:r w:rsidRPr="00F27422">
        <w:rPr>
          <w:rFonts w:ascii="mylotus" w:hAnsi="mylotus"/>
          <w:sz w:val="32"/>
        </w:rPr>
        <w:t>.</w:t>
      </w:r>
    </w:p>
    <w:p w14:paraId="1801B788" w14:textId="77777777" w:rsidR="007C105B" w:rsidRPr="00F27422" w:rsidRDefault="007C105B" w:rsidP="00122B70">
      <w:pPr>
        <w:pStyle w:val="a"/>
        <w:bidi/>
        <w:spacing w:line="216" w:lineRule="auto"/>
        <w:jc w:val="left"/>
        <w:rPr>
          <w:rFonts w:ascii="mylotus" w:hAnsi="mylotus"/>
          <w:b/>
          <w:bCs/>
          <w:sz w:val="32"/>
          <w:rtl/>
        </w:rPr>
      </w:pPr>
      <w:r w:rsidRPr="00F27422">
        <w:rPr>
          <w:rFonts w:ascii="mylotus" w:hAnsi="mylotus"/>
          <w:b/>
          <w:bCs/>
          <w:sz w:val="32"/>
          <w:rtl/>
        </w:rPr>
        <w:t>الطائفة الخامسة: وهي الطائفة التي تضمنت التفصيل بين الغلام والجارية</w:t>
      </w:r>
      <w:r w:rsidRPr="00F27422">
        <w:rPr>
          <w:rFonts w:ascii="mylotus" w:hAnsi="mylotus"/>
          <w:b/>
          <w:bCs/>
          <w:sz w:val="32"/>
        </w:rPr>
        <w:t>:</w:t>
      </w:r>
    </w:p>
    <w:p w14:paraId="14EA88B1"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lastRenderedPageBreak/>
        <w:t xml:space="preserve">رواية الفضل بن </w:t>
      </w:r>
      <w:proofErr w:type="gramStart"/>
      <w:r w:rsidRPr="00F27422">
        <w:rPr>
          <w:rFonts w:ascii="mylotus" w:hAnsi="mylotus"/>
          <w:sz w:val="32"/>
          <w:rtl/>
        </w:rPr>
        <w:t>عبدالملك</w:t>
      </w:r>
      <w:proofErr w:type="gramEnd"/>
      <w:r w:rsidRPr="00F27422">
        <w:rPr>
          <w:rFonts w:ascii="mylotus" w:hAnsi="mylotus"/>
          <w:sz w:val="32"/>
          <w:rtl/>
        </w:rPr>
        <w:t xml:space="preserve">، كما في الوسائل: </w:t>
      </w:r>
      <w:r w:rsidRPr="00F27422">
        <w:rPr>
          <w:rFonts w:ascii="mylotus" w:hAnsi="mylotus"/>
          <w:b/>
          <w:bCs/>
          <w:sz w:val="32"/>
          <w:rtl/>
        </w:rPr>
        <w:t xml:space="preserve">(وعنه، عن </w:t>
      </w:r>
      <w:proofErr w:type="gramStart"/>
      <w:r w:rsidRPr="00F27422">
        <w:rPr>
          <w:rFonts w:ascii="mylotus" w:hAnsi="mylotus"/>
          <w:b/>
          <w:bCs/>
          <w:sz w:val="32"/>
          <w:rtl/>
        </w:rPr>
        <w:t>عبدالله</w:t>
      </w:r>
      <w:proofErr w:type="gramEnd"/>
      <w:r w:rsidRPr="00F27422">
        <w:rPr>
          <w:rFonts w:ascii="mylotus" w:hAnsi="mylotus"/>
          <w:b/>
          <w:bCs/>
          <w:sz w:val="32"/>
          <w:rtl/>
        </w:rPr>
        <w:t xml:space="preserve"> بن محمّد، عن علي بن الحكم، عن أبان بن عثمان، عن الفضل بن </w:t>
      </w:r>
      <w:proofErr w:type="gramStart"/>
      <w:r w:rsidRPr="00F27422">
        <w:rPr>
          <w:rFonts w:ascii="mylotus" w:hAnsi="mylotus"/>
          <w:b/>
          <w:bCs/>
          <w:sz w:val="32"/>
          <w:rtl/>
        </w:rPr>
        <w:t>عبدالملك</w:t>
      </w:r>
      <w:proofErr w:type="gramEnd"/>
      <w:r w:rsidRPr="00F27422">
        <w:rPr>
          <w:rFonts w:ascii="mylotus" w:hAnsi="mylotus"/>
          <w:b/>
          <w:bCs/>
          <w:sz w:val="32"/>
          <w:rtl/>
        </w:rPr>
        <w:t xml:space="preserve"> قال: سألتُ أبا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عن الرجل يزوج ابنه وهو صغير؟ قال: لا بأس، قلتُ: يجوز طلاق الأب؟ قال: لا، قلتُ: على من الصداق؟ قال: على الأب إن كان ضمنه لهم، وإن لم يكن ضمنه، فهو على الغلام، إلّا </w:t>
      </w:r>
      <w:proofErr w:type="gramStart"/>
      <w:r w:rsidRPr="00F27422">
        <w:rPr>
          <w:rFonts w:ascii="mylotus" w:hAnsi="mylotus"/>
          <w:b/>
          <w:bCs/>
          <w:sz w:val="32"/>
          <w:rtl/>
        </w:rPr>
        <w:t>أن لا</w:t>
      </w:r>
      <w:proofErr w:type="gramEnd"/>
      <w:r w:rsidRPr="00F27422">
        <w:rPr>
          <w:rFonts w:ascii="mylotus" w:hAnsi="mylotus"/>
          <w:b/>
          <w:bCs/>
          <w:sz w:val="32"/>
          <w:rtl/>
        </w:rPr>
        <w:t xml:space="preserve"> يكون للغلام مال فهو ضامن له وإن لم يكن ضمن، وقال: إذا زوج الرجل ابنه فذاك إلى ابنه، وإن زوج الابنة جاز).</w:t>
      </w:r>
      <w:r w:rsidRPr="00F27422">
        <w:rPr>
          <w:rFonts w:ascii="mylotus" w:hAnsi="mylotus"/>
          <w:sz w:val="32"/>
          <w:rtl/>
        </w:rPr>
        <w:t xml:space="preserve"> [وسائل الشيعة، الحر العاملي، تحقيق مؤسسة أهل البيت (عليهم السلام) لإحياء التراث، ج21، كتاب النكاح، أبواب المهور، الباب 28 باب أنّ من زوج ابنه الصغير وضمن المهر أو لم يكن للابن مال فالمهر على الأب وإلا فعلى الابن، ح2]</w:t>
      </w:r>
      <w:r w:rsidRPr="00F27422">
        <w:rPr>
          <w:rFonts w:ascii="mylotus" w:hAnsi="mylotus"/>
          <w:sz w:val="32"/>
        </w:rPr>
        <w:t>.</w:t>
      </w:r>
    </w:p>
    <w:p w14:paraId="048AAF31"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 xml:space="preserve">وقد عبر عنها سيدنا الخوئي (قدس سره الشريف) في موسوعته المباركة في كتابه [المباني في شرح العروة الوثقى، كتاب النكاح، ج33، ص227] بأنّها صحيحة، مع أنّ هناك إشكالاً في سندها؛ وذلك لأنّ في سندها: </w:t>
      </w:r>
      <w:r w:rsidRPr="00F27422">
        <w:rPr>
          <w:rFonts w:ascii="mylotus" w:hAnsi="mylotus" w:cs="Cambria" w:hint="cs"/>
          <w:sz w:val="32"/>
          <w:rtl/>
        </w:rPr>
        <w:t>"</w:t>
      </w:r>
      <w:proofErr w:type="gramStart"/>
      <w:r w:rsidRPr="00F27422">
        <w:rPr>
          <w:rFonts w:ascii="mylotus" w:hAnsi="mylotus"/>
          <w:sz w:val="32"/>
          <w:rtl/>
        </w:rPr>
        <w:t>عبدالله</w:t>
      </w:r>
      <w:proofErr w:type="gramEnd"/>
      <w:r w:rsidRPr="00F27422">
        <w:rPr>
          <w:rFonts w:ascii="mylotus" w:hAnsi="mylotus"/>
          <w:sz w:val="32"/>
          <w:rtl/>
        </w:rPr>
        <w:t xml:space="preserve"> بن محمّد</w:t>
      </w:r>
      <w:r w:rsidRPr="00F27422">
        <w:rPr>
          <w:rFonts w:ascii="mylotus" w:hAnsi="mylotus" w:cs="Cambria" w:hint="cs"/>
          <w:sz w:val="32"/>
          <w:rtl/>
        </w:rPr>
        <w:t>"</w:t>
      </w:r>
      <w:r w:rsidRPr="00F27422">
        <w:rPr>
          <w:rFonts w:ascii="mylotus" w:hAnsi="mylotus"/>
          <w:sz w:val="32"/>
          <w:rtl/>
        </w:rPr>
        <w:t xml:space="preserve"> </w:t>
      </w:r>
      <w:proofErr w:type="gramStart"/>
      <w:r w:rsidRPr="00F27422">
        <w:rPr>
          <w:rFonts w:ascii="mylotus" w:hAnsi="mylotus"/>
          <w:sz w:val="32"/>
          <w:rtl/>
        </w:rPr>
        <w:t>وعبدالله</w:t>
      </w:r>
      <w:proofErr w:type="gramEnd"/>
      <w:r w:rsidRPr="00F27422">
        <w:rPr>
          <w:rFonts w:ascii="mylotus" w:hAnsi="mylotus"/>
          <w:sz w:val="32"/>
          <w:rtl/>
        </w:rPr>
        <w:t xml:space="preserve"> بن محمّد بن عيسى الأشعري لا توثيق له، ولقبه بَنان وهو أخو أحمد بن محمّد بن عيسى، إلّا أنّ سيدنا الخوئي (قدس سره الشريف) عبر عنها بأنّها صحيحة في الوقت الذي لم يعدل فيه عن صحّة جميع أسناد كامل الزيارات</w:t>
      </w:r>
      <w:r w:rsidRPr="00F27422">
        <w:rPr>
          <w:rFonts w:ascii="mylotus" w:hAnsi="mylotus"/>
          <w:sz w:val="32"/>
        </w:rPr>
        <w:t>.</w:t>
      </w:r>
    </w:p>
    <w:p w14:paraId="576FA9D0"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sz w:val="32"/>
          <w:rtl/>
        </w:rPr>
        <w:t>كما قد وثقه بعض السادة الأعلام (مد ظله) في كتابه [النكاح، باللغة الفارسية، ج12</w:t>
      </w:r>
      <w:r w:rsidRPr="00F27422">
        <w:rPr>
          <w:rFonts w:ascii="mylotus" w:hAnsi="mylotus" w:hint="cs"/>
          <w:sz w:val="32"/>
          <w:rtl/>
        </w:rPr>
        <w:t>،</w:t>
      </w:r>
      <w:r w:rsidRPr="00F27422">
        <w:rPr>
          <w:rFonts w:ascii="mylotus" w:hAnsi="mylotus"/>
          <w:sz w:val="32"/>
          <w:rtl/>
        </w:rPr>
        <w:t xml:space="preserve"> ص4152] بأحد وجهين: </w:t>
      </w:r>
      <w:r w:rsidRPr="00F27422">
        <w:rPr>
          <w:rFonts w:ascii="mylotus" w:hAnsi="mylotus"/>
          <w:b/>
          <w:bCs/>
          <w:sz w:val="32"/>
          <w:rtl/>
        </w:rPr>
        <w:t>الأوّل:</w:t>
      </w:r>
      <w:r w:rsidRPr="00F27422">
        <w:rPr>
          <w:rFonts w:ascii="mylotus" w:hAnsi="mylotus"/>
          <w:sz w:val="32"/>
          <w:rtl/>
        </w:rPr>
        <w:t xml:space="preserve"> كثرةُ رواية الأجلاء عنه، </w:t>
      </w:r>
      <w:r w:rsidRPr="00F27422">
        <w:rPr>
          <w:rFonts w:ascii="mylotus" w:hAnsi="mylotus"/>
          <w:b/>
          <w:bCs/>
          <w:sz w:val="32"/>
          <w:rtl/>
        </w:rPr>
        <w:t>والثاني:</w:t>
      </w:r>
      <w:r w:rsidRPr="00F27422">
        <w:rPr>
          <w:rFonts w:ascii="mylotus" w:hAnsi="mylotus"/>
          <w:sz w:val="32"/>
          <w:rtl/>
        </w:rPr>
        <w:t xml:space="preserve"> أنّهُ لَمْ يُسْتَثْنَ من نوادر </w:t>
      </w:r>
      <w:r w:rsidRPr="00F27422">
        <w:rPr>
          <w:rFonts w:ascii="mylotus" w:hAnsi="mylotus" w:hint="cs"/>
          <w:sz w:val="32"/>
          <w:rtl/>
        </w:rPr>
        <w:t>ال</w:t>
      </w:r>
      <w:r w:rsidRPr="00F27422">
        <w:rPr>
          <w:rFonts w:ascii="mylotus" w:hAnsi="mylotus"/>
          <w:sz w:val="32"/>
          <w:rtl/>
        </w:rPr>
        <w:t>حكمة</w:t>
      </w:r>
      <w:r w:rsidRPr="00F27422">
        <w:rPr>
          <w:rFonts w:ascii="mylotus" w:hAnsi="mylotus"/>
          <w:sz w:val="32"/>
        </w:rPr>
        <w:t>.</w:t>
      </w:r>
    </w:p>
    <w:p w14:paraId="71D2878C"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b/>
          <w:bCs/>
          <w:sz w:val="32"/>
          <w:rtl/>
        </w:rPr>
        <w:t>فأمّا الأوّل:</w:t>
      </w:r>
      <w:r w:rsidRPr="00F27422">
        <w:rPr>
          <w:rFonts w:ascii="mylotus" w:hAnsi="mylotus"/>
          <w:sz w:val="32"/>
          <w:rtl/>
        </w:rPr>
        <w:t xml:space="preserve"> فقد سبق نقاشه مراراً، بأنّ كثرة رواية الأجلاء لا تدل على شيء، وإنّما لو روى الأجلاءُ عنهُ </w:t>
      </w:r>
      <w:proofErr w:type="gramStart"/>
      <w:r w:rsidRPr="00F27422">
        <w:rPr>
          <w:rFonts w:ascii="mylotus" w:hAnsi="mylotus"/>
          <w:sz w:val="32"/>
          <w:rtl/>
        </w:rPr>
        <w:t>في ما</w:t>
      </w:r>
      <w:proofErr w:type="gramEnd"/>
      <w:r w:rsidRPr="00F27422">
        <w:rPr>
          <w:rFonts w:ascii="mylotus" w:hAnsi="mylotus"/>
          <w:sz w:val="32"/>
          <w:rtl/>
        </w:rPr>
        <w:t xml:space="preserve"> تفرد به من رواية تدل على </w:t>
      </w:r>
      <w:proofErr w:type="gramStart"/>
      <w:r w:rsidRPr="00F27422">
        <w:rPr>
          <w:rFonts w:ascii="mylotus" w:hAnsi="mylotus"/>
          <w:sz w:val="32"/>
          <w:rtl/>
        </w:rPr>
        <w:t>الإلزام  في</w:t>
      </w:r>
      <w:proofErr w:type="gramEnd"/>
      <w:r w:rsidRPr="00F27422">
        <w:rPr>
          <w:rFonts w:ascii="mylotus" w:hAnsi="mylotus"/>
          <w:sz w:val="32"/>
          <w:rtl/>
        </w:rPr>
        <w:t xml:space="preserve"> مقام الاعتماد فإنّ ذلك كاشفٌ عن توثيقهم له، وإلّا فلا</w:t>
      </w:r>
      <w:r w:rsidRPr="00F27422">
        <w:rPr>
          <w:rFonts w:ascii="mylotus" w:hAnsi="mylotus"/>
          <w:sz w:val="32"/>
        </w:rPr>
        <w:t>.</w:t>
      </w:r>
    </w:p>
    <w:p w14:paraId="34A6F0C8" w14:textId="77777777" w:rsidR="007C105B" w:rsidRPr="00F27422" w:rsidRDefault="007C105B" w:rsidP="00122B70">
      <w:pPr>
        <w:pStyle w:val="a"/>
        <w:bidi/>
        <w:spacing w:line="216" w:lineRule="auto"/>
        <w:jc w:val="left"/>
        <w:rPr>
          <w:rFonts w:ascii="mylotus" w:hAnsi="mylotus"/>
          <w:sz w:val="32"/>
          <w:rtl/>
        </w:rPr>
      </w:pPr>
      <w:r w:rsidRPr="00F27422">
        <w:rPr>
          <w:rFonts w:ascii="mylotus" w:hAnsi="mylotus"/>
          <w:b/>
          <w:bCs/>
          <w:sz w:val="32"/>
          <w:rtl/>
        </w:rPr>
        <w:t>وأمّا الثاني:</w:t>
      </w:r>
      <w:r w:rsidRPr="00F27422">
        <w:rPr>
          <w:rFonts w:ascii="mylotus" w:hAnsi="mylotus"/>
          <w:sz w:val="32"/>
          <w:rtl/>
        </w:rPr>
        <w:t xml:space="preserve"> وهو عدم استثنائه مِن نوادر الحكمة، فإن</w:t>
      </w:r>
      <w:r w:rsidRPr="00F27422">
        <w:rPr>
          <w:rFonts w:ascii="mylotus" w:hAnsi="mylotus" w:hint="cs"/>
          <w:sz w:val="32"/>
          <w:rtl/>
        </w:rPr>
        <w:t>ّ</w:t>
      </w:r>
      <w:r w:rsidRPr="00F27422">
        <w:rPr>
          <w:rFonts w:ascii="mylotus" w:hAnsi="mylotus"/>
          <w:sz w:val="32"/>
          <w:rtl/>
        </w:rPr>
        <w:t>ه يبتني على أنّ كلّ مَن لَمْ يُسْتَثْنَ فهو موثقٌ، لا أنّ كلّ مَن لَمْ يُسْتَثْنَ فلا قدح فيه، وهو محل</w:t>
      </w:r>
      <w:r w:rsidRPr="00F27422">
        <w:rPr>
          <w:rFonts w:ascii="mylotus" w:hAnsi="mylotus" w:hint="cs"/>
          <w:sz w:val="32"/>
          <w:rtl/>
        </w:rPr>
        <w:t>ّ</w:t>
      </w:r>
      <w:r w:rsidRPr="00F27422">
        <w:rPr>
          <w:rFonts w:ascii="mylotus" w:hAnsi="mylotus"/>
          <w:sz w:val="32"/>
          <w:rtl/>
        </w:rPr>
        <w:t xml:space="preserve"> بحث</w:t>
      </w:r>
      <w:r w:rsidRPr="00F27422">
        <w:rPr>
          <w:rFonts w:ascii="mylotus" w:hAnsi="mylotus" w:hint="cs"/>
          <w:sz w:val="32"/>
          <w:rtl/>
        </w:rPr>
        <w:t>ٍ</w:t>
      </w:r>
      <w:r w:rsidRPr="00F27422">
        <w:rPr>
          <w:rFonts w:ascii="mylotus" w:hAnsi="mylotus"/>
          <w:sz w:val="32"/>
          <w:rtl/>
        </w:rPr>
        <w:t xml:space="preserve"> وتأم</w:t>
      </w:r>
      <w:r w:rsidRPr="00F27422">
        <w:rPr>
          <w:rFonts w:ascii="mylotus" w:hAnsi="mylotus" w:hint="cs"/>
          <w:sz w:val="32"/>
          <w:rtl/>
        </w:rPr>
        <w:t>لٍ</w:t>
      </w:r>
      <w:r w:rsidRPr="00F27422">
        <w:rPr>
          <w:rFonts w:ascii="mylotus" w:hAnsi="mylotus"/>
          <w:sz w:val="32"/>
          <w:rtl/>
        </w:rPr>
        <w:t>.</w:t>
      </w:r>
    </w:p>
    <w:p w14:paraId="03700A4B" w14:textId="77777777" w:rsidR="007C105B" w:rsidRPr="00F27422" w:rsidRDefault="007C105B" w:rsidP="00122B70">
      <w:pPr>
        <w:pStyle w:val="a"/>
        <w:bidi/>
        <w:spacing w:line="216" w:lineRule="auto"/>
        <w:jc w:val="left"/>
        <w:rPr>
          <w:rFonts w:ascii="mylotus" w:hAnsi="mylotus"/>
          <w:b/>
          <w:bCs/>
          <w:sz w:val="32"/>
          <w:rtl/>
        </w:rPr>
      </w:pPr>
    </w:p>
    <w:p w14:paraId="7C47865B" w14:textId="77777777" w:rsidR="007C105B" w:rsidRPr="00F27422" w:rsidRDefault="007C105B"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4D8AF9F7" w14:textId="77777777" w:rsidR="007C105B" w:rsidRPr="00F27422" w:rsidRDefault="007C105B" w:rsidP="00122B70">
      <w:pPr>
        <w:bidi/>
        <w:rPr>
          <w:sz w:val="32"/>
          <w:szCs w:val="32"/>
          <w:rtl/>
        </w:rPr>
      </w:pPr>
    </w:p>
    <w:p w14:paraId="24850DC9" w14:textId="151F83FD" w:rsidR="007C105B" w:rsidRPr="00F27422" w:rsidRDefault="007C105B" w:rsidP="00122B70">
      <w:pPr>
        <w:pStyle w:val="Heading3"/>
        <w:bidi/>
        <w:rPr>
          <w:sz w:val="32"/>
          <w:szCs w:val="32"/>
          <w:rtl/>
        </w:rPr>
      </w:pPr>
      <w:r w:rsidRPr="00F27422">
        <w:rPr>
          <w:rFonts w:hint="cs"/>
          <w:sz w:val="32"/>
          <w:szCs w:val="32"/>
          <w:rtl/>
        </w:rPr>
        <w:t>053</w:t>
      </w:r>
    </w:p>
    <w:p w14:paraId="1835B523" w14:textId="77777777" w:rsidR="007C105B" w:rsidRPr="00F27422" w:rsidRDefault="007C105B" w:rsidP="00122B70">
      <w:pPr>
        <w:bidi/>
        <w:rPr>
          <w:sz w:val="32"/>
          <w:szCs w:val="32"/>
        </w:rPr>
      </w:pPr>
    </w:p>
    <w:p w14:paraId="438698E9" w14:textId="77777777" w:rsidR="00DF0721" w:rsidRPr="00F27422" w:rsidRDefault="00DF0721" w:rsidP="00122B70">
      <w:pPr>
        <w:bidi/>
        <w:rPr>
          <w:sz w:val="32"/>
          <w:szCs w:val="32"/>
        </w:rPr>
      </w:pPr>
    </w:p>
    <w:p w14:paraId="5ED5A2F0" w14:textId="4BC2F6F3" w:rsidR="00DF0721" w:rsidRPr="00F27422" w:rsidRDefault="00DF0721" w:rsidP="00122B70">
      <w:pPr>
        <w:pStyle w:val="Heading3"/>
        <w:bidi/>
        <w:rPr>
          <w:sz w:val="32"/>
          <w:szCs w:val="32"/>
        </w:rPr>
      </w:pPr>
      <w:r w:rsidRPr="00F27422">
        <w:rPr>
          <w:sz w:val="32"/>
          <w:szCs w:val="32"/>
        </w:rPr>
        <w:t>054</w:t>
      </w:r>
    </w:p>
    <w:p w14:paraId="7C899B34" w14:textId="77777777" w:rsidR="00DF0721" w:rsidRPr="00F27422" w:rsidRDefault="00DF0721" w:rsidP="00122B70">
      <w:pPr>
        <w:bidi/>
        <w:rPr>
          <w:b/>
          <w:bCs/>
          <w:sz w:val="32"/>
          <w:szCs w:val="32"/>
        </w:rPr>
      </w:pPr>
      <w:r w:rsidRPr="00F27422">
        <w:rPr>
          <w:b/>
          <w:bCs/>
          <w:sz w:val="32"/>
          <w:szCs w:val="32"/>
          <w:rtl/>
        </w:rPr>
        <w:t>بسم الله الرحمن الرحيم</w:t>
      </w:r>
    </w:p>
    <w:p w14:paraId="46141C1E" w14:textId="77777777" w:rsidR="00DF0721" w:rsidRPr="00F27422" w:rsidRDefault="00DF0721"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0C87790D" w14:textId="77777777" w:rsidR="00DF0721" w:rsidRPr="00F27422" w:rsidRDefault="00DF0721" w:rsidP="00122B70">
      <w:pPr>
        <w:bidi/>
        <w:rPr>
          <w:sz w:val="32"/>
          <w:szCs w:val="32"/>
          <w:rtl/>
          <w:lang w:bidi="ar-BH"/>
        </w:rPr>
      </w:pPr>
      <w:r w:rsidRPr="00F27422">
        <w:rPr>
          <w:b/>
          <w:bCs/>
          <w:sz w:val="32"/>
          <w:szCs w:val="32"/>
          <w:rtl/>
        </w:rPr>
        <w:t>واللعن الدائم على أعدائهم أجمعين إلى قيام يوم الدين</w:t>
      </w:r>
    </w:p>
    <w:p w14:paraId="443BAC82" w14:textId="77777777" w:rsidR="00DF0721" w:rsidRPr="00F27422" w:rsidRDefault="00DF0721" w:rsidP="00122B70">
      <w:pPr>
        <w:bidi/>
        <w:rPr>
          <w:sz w:val="32"/>
          <w:szCs w:val="32"/>
          <w:rtl/>
          <w:lang w:bidi="ar-BH"/>
        </w:rPr>
      </w:pPr>
    </w:p>
    <w:p w14:paraId="4055C753" w14:textId="77777777" w:rsidR="00DF0721" w:rsidRPr="00F27422" w:rsidRDefault="00DF0721" w:rsidP="00122B70">
      <w:pPr>
        <w:bidi/>
        <w:rPr>
          <w:sz w:val="32"/>
          <w:szCs w:val="32"/>
          <w:rtl/>
          <w:lang w:bidi="ar-BH"/>
        </w:rPr>
      </w:pPr>
      <w:r w:rsidRPr="00F27422">
        <w:rPr>
          <w:b/>
          <w:bCs/>
          <w:sz w:val="32"/>
          <w:szCs w:val="32"/>
          <w:rtl/>
        </w:rPr>
        <w:lastRenderedPageBreak/>
        <w:t>وبعد عرض الطوائف من الروايات الشريفة يتبين:</w:t>
      </w:r>
      <w:r w:rsidRPr="00F27422">
        <w:rPr>
          <w:sz w:val="32"/>
          <w:szCs w:val="32"/>
          <w:rtl/>
        </w:rPr>
        <w:t xml:space="preserve"> أنّ هناك تعارضاً واضحاً بين الطائفة الأُولى التي دلتْ على أنّ البنت ليس لها مع أبيها أمرٌ، والطائفة الرابعة التي دلتْ على أنّ العقد للصبيّة لا ينفذ بعد بلوغها إلّا </w:t>
      </w:r>
      <w:proofErr w:type="spellStart"/>
      <w:r w:rsidRPr="00F27422">
        <w:rPr>
          <w:sz w:val="32"/>
          <w:szCs w:val="32"/>
          <w:rtl/>
        </w:rPr>
        <w:t>بإمضاءها</w:t>
      </w:r>
      <w:proofErr w:type="spellEnd"/>
      <w:r w:rsidRPr="00F27422">
        <w:rPr>
          <w:sz w:val="32"/>
          <w:szCs w:val="32"/>
          <w:rtl/>
        </w:rPr>
        <w:t xml:space="preserve"> بلحاظ أنّ لها الخيار</w:t>
      </w:r>
      <w:r w:rsidRPr="00F27422">
        <w:rPr>
          <w:sz w:val="32"/>
          <w:szCs w:val="32"/>
        </w:rPr>
        <w:t>.</w:t>
      </w:r>
    </w:p>
    <w:p w14:paraId="35CC9BA9" w14:textId="77777777" w:rsidR="00DF0721" w:rsidRPr="00F27422" w:rsidRDefault="00DF0721" w:rsidP="00122B70">
      <w:pPr>
        <w:bidi/>
        <w:rPr>
          <w:sz w:val="32"/>
          <w:szCs w:val="32"/>
          <w:rtl/>
          <w:lang w:bidi="ar-BH"/>
        </w:rPr>
      </w:pPr>
      <w:r w:rsidRPr="00F27422">
        <w:rPr>
          <w:b/>
          <w:bCs/>
          <w:sz w:val="32"/>
          <w:szCs w:val="32"/>
          <w:rtl/>
        </w:rPr>
        <w:t>ولكن قد يُقال:</w:t>
      </w:r>
      <w:r w:rsidRPr="00F27422">
        <w:rPr>
          <w:sz w:val="32"/>
          <w:szCs w:val="32"/>
          <w:rtl/>
        </w:rPr>
        <w:t xml:space="preserve"> إنّ هناك طائفةٌ سادسة تصلح أنْ تكون شاهدَ جمعٍ بين الطائفة الأُولى والطائفة الرابعة، وهي عدّة رواياتٍ صحيحة قد دلتْ على أنّ المناط في نفوذ عقد البنت لنفسها استقلالها في أمورها، فإنّها متى كانت مستقلة في أمورها نفذ عقدها مِن دون حاجةٍ إلى إذن أبيها</w:t>
      </w:r>
      <w:r w:rsidRPr="00F27422">
        <w:rPr>
          <w:sz w:val="32"/>
          <w:szCs w:val="32"/>
        </w:rPr>
        <w:t>.</w:t>
      </w:r>
    </w:p>
    <w:p w14:paraId="057C7A70" w14:textId="77777777" w:rsidR="00DF0721" w:rsidRPr="00F27422" w:rsidRDefault="00DF0721" w:rsidP="00122B70">
      <w:pPr>
        <w:bidi/>
        <w:rPr>
          <w:sz w:val="32"/>
          <w:szCs w:val="32"/>
          <w:rtl/>
        </w:rPr>
      </w:pPr>
      <w:r w:rsidRPr="00F27422">
        <w:rPr>
          <w:sz w:val="32"/>
          <w:szCs w:val="32"/>
          <w:rtl/>
        </w:rPr>
        <w:t xml:space="preserve">وقد تعرض لهذه الطائفة من الروايات الفقيه النبيه سيد المستمسك (قدس سره الشريف) في كتابه [مستمسك العروة الوثقى، السيد محسن الطباطبائي الحكيم، دار إحياء التراث العربي، ج14، ص440 - 441] في تعليقه على عبارة سيد العروة حيث قال (قدس سره الشريف) في المتن: </w:t>
      </w:r>
      <w:r w:rsidRPr="00F27422">
        <w:rPr>
          <w:b/>
          <w:bCs/>
          <w:sz w:val="32"/>
          <w:szCs w:val="32"/>
          <w:rtl/>
        </w:rPr>
        <w:t>(واختلفوا في ثبوتها)</w:t>
      </w:r>
      <w:r w:rsidRPr="00F27422">
        <w:rPr>
          <w:sz w:val="32"/>
          <w:szCs w:val="32"/>
          <w:rtl/>
        </w:rPr>
        <w:t xml:space="preserve"> أي: ثبوت الولاية </w:t>
      </w:r>
      <w:r w:rsidRPr="00F27422">
        <w:rPr>
          <w:b/>
          <w:bCs/>
          <w:sz w:val="32"/>
          <w:szCs w:val="32"/>
          <w:rtl/>
        </w:rPr>
        <w:t>(على البكر الرشيدة على أقوال، وهي: استقلال الولي)</w:t>
      </w:r>
      <w:r w:rsidRPr="00F27422">
        <w:rPr>
          <w:sz w:val="32"/>
          <w:szCs w:val="32"/>
          <w:rtl/>
        </w:rPr>
        <w:t xml:space="preserve"> بمعنى أنّه: لا أمر لها، وهذا ما دلتْ عليه عدّة رواياتٍ صحاح:</w:t>
      </w:r>
    </w:p>
    <w:p w14:paraId="1371DE93" w14:textId="77777777" w:rsidR="00DF0721" w:rsidRPr="00F27422" w:rsidRDefault="00DF0721" w:rsidP="00122B70">
      <w:pPr>
        <w:bidi/>
        <w:rPr>
          <w:sz w:val="32"/>
          <w:szCs w:val="32"/>
          <w:rtl/>
        </w:rPr>
      </w:pPr>
      <w:r w:rsidRPr="00F27422">
        <w:rPr>
          <w:b/>
          <w:bCs/>
          <w:sz w:val="32"/>
          <w:szCs w:val="32"/>
          <w:rtl/>
        </w:rPr>
        <w:t>منها:</w:t>
      </w:r>
      <w:r w:rsidRPr="00F27422">
        <w:rPr>
          <w:sz w:val="32"/>
          <w:szCs w:val="32"/>
          <w:rtl/>
        </w:rPr>
        <w:t xml:space="preserve"> صحيحة فضل بن </w:t>
      </w:r>
      <w:proofErr w:type="gramStart"/>
      <w:r w:rsidRPr="00F27422">
        <w:rPr>
          <w:sz w:val="32"/>
          <w:szCs w:val="32"/>
          <w:rtl/>
        </w:rPr>
        <w:t>عبدالملك</w:t>
      </w:r>
      <w:proofErr w:type="gramEnd"/>
      <w:r w:rsidRPr="00F27422">
        <w:rPr>
          <w:sz w:val="32"/>
          <w:szCs w:val="32"/>
          <w:rtl/>
        </w:rPr>
        <w:t xml:space="preserve">، كما في الوسائل: </w:t>
      </w:r>
      <w:r w:rsidRPr="00F27422">
        <w:rPr>
          <w:b/>
          <w:bCs/>
          <w:sz w:val="32"/>
          <w:szCs w:val="32"/>
          <w:rtl/>
        </w:rPr>
        <w:t xml:space="preserve">(وعن حميد بن زياد، عن الحسن بن محمّد بن سماعة، عن جعفر بن سماعة، عن فضل بن </w:t>
      </w:r>
      <w:proofErr w:type="gramStart"/>
      <w:r w:rsidRPr="00F27422">
        <w:rPr>
          <w:b/>
          <w:bCs/>
          <w:sz w:val="32"/>
          <w:szCs w:val="32"/>
          <w:rtl/>
        </w:rPr>
        <w:t>عبدالملك</w:t>
      </w:r>
      <w:proofErr w:type="gramEnd"/>
      <w:r w:rsidRPr="00F27422">
        <w:rPr>
          <w:b/>
          <w:bCs/>
          <w:sz w:val="32"/>
          <w:szCs w:val="32"/>
          <w:rtl/>
        </w:rPr>
        <w:t xml:space="preserve">، عن أبي </w:t>
      </w:r>
      <w:proofErr w:type="gramStart"/>
      <w:r w:rsidRPr="00F27422">
        <w:rPr>
          <w:b/>
          <w:bCs/>
          <w:sz w:val="32"/>
          <w:szCs w:val="32"/>
          <w:rtl/>
        </w:rPr>
        <w:t>عبدالله</w:t>
      </w:r>
      <w:proofErr w:type="gramEnd"/>
      <w:r w:rsidRPr="00F27422">
        <w:rPr>
          <w:b/>
          <w:bCs/>
          <w:sz w:val="32"/>
          <w:szCs w:val="32"/>
          <w:rtl/>
        </w:rPr>
        <w:t xml:space="preserve"> (عليه السلام) قال: لا تستأمر الجارية التي بين أبويها إذا أراد أبوها أن يزوّجها، هو أنظر لها. وأما </w:t>
      </w:r>
      <w:proofErr w:type="spellStart"/>
      <w:r w:rsidRPr="00F27422">
        <w:rPr>
          <w:b/>
          <w:bCs/>
          <w:sz w:val="32"/>
          <w:szCs w:val="32"/>
          <w:rtl/>
        </w:rPr>
        <w:t>الضيب</w:t>
      </w:r>
      <w:proofErr w:type="spellEnd"/>
      <w:r w:rsidRPr="00F27422">
        <w:rPr>
          <w:b/>
          <w:bCs/>
          <w:sz w:val="32"/>
          <w:szCs w:val="32"/>
          <w:rtl/>
        </w:rPr>
        <w:t xml:space="preserve"> فإنها تستأذن، وإن كانت بين أبويها إذا أرادا أن يزوجاها).</w:t>
      </w:r>
      <w:r w:rsidRPr="00F27422">
        <w:rPr>
          <w:sz w:val="32"/>
          <w:szCs w:val="32"/>
          <w:rtl/>
        </w:rPr>
        <w:t xml:space="preserve"> [وسائل الشيعة، الحر العاملي، تحقيق مؤسسة آل البيت (عليهم السلام) لإحياء التراث، ج20، كتاب النكاح، أبواب عقد النكاح وأولياء العقد، الباب 3 باب أنه لا ولاية لأحد من أخ ولا أب ولا غيرهما على الثيب البالغ </w:t>
      </w:r>
      <w:proofErr w:type="gramStart"/>
      <w:r w:rsidRPr="00F27422">
        <w:rPr>
          <w:sz w:val="32"/>
          <w:szCs w:val="32"/>
          <w:rtl/>
        </w:rPr>
        <w:t>الرشيدة</w:t>
      </w:r>
      <w:proofErr w:type="gramEnd"/>
      <w:r w:rsidRPr="00F27422">
        <w:rPr>
          <w:sz w:val="32"/>
          <w:szCs w:val="32"/>
          <w:rtl/>
        </w:rPr>
        <w:t xml:space="preserve"> بل أمرها بيدها، ح6].</w:t>
      </w:r>
    </w:p>
    <w:p w14:paraId="1274769C" w14:textId="77777777" w:rsidR="00DF0721" w:rsidRPr="00F27422" w:rsidRDefault="00DF0721" w:rsidP="00122B70">
      <w:pPr>
        <w:bidi/>
        <w:rPr>
          <w:sz w:val="32"/>
          <w:szCs w:val="32"/>
          <w:rtl/>
        </w:rPr>
      </w:pPr>
      <w:r w:rsidRPr="00F27422">
        <w:rPr>
          <w:b/>
          <w:bCs/>
          <w:sz w:val="32"/>
          <w:szCs w:val="32"/>
          <w:rtl/>
        </w:rPr>
        <w:t>ومنها:</w:t>
      </w:r>
      <w:r w:rsidRPr="00F27422">
        <w:rPr>
          <w:sz w:val="32"/>
          <w:szCs w:val="32"/>
          <w:rtl/>
        </w:rPr>
        <w:t xml:space="preserve"> صحيحة الحلبيّ، كما في الوسائل: </w:t>
      </w:r>
      <w:r w:rsidRPr="00F27422">
        <w:rPr>
          <w:b/>
          <w:bCs/>
          <w:sz w:val="32"/>
          <w:szCs w:val="32"/>
          <w:rtl/>
        </w:rPr>
        <w:t xml:space="preserve">(وبإسناده عن الحسين بن سعيد، عن ابن أبي عمير، عن حماد، عن الحلبيّ، عن أبي </w:t>
      </w:r>
      <w:proofErr w:type="gramStart"/>
      <w:r w:rsidRPr="00F27422">
        <w:rPr>
          <w:b/>
          <w:bCs/>
          <w:sz w:val="32"/>
          <w:szCs w:val="32"/>
          <w:rtl/>
        </w:rPr>
        <w:t>عبدالله</w:t>
      </w:r>
      <w:proofErr w:type="gramEnd"/>
      <w:r w:rsidRPr="00F27422">
        <w:rPr>
          <w:b/>
          <w:bCs/>
          <w:sz w:val="32"/>
          <w:szCs w:val="32"/>
          <w:rtl/>
        </w:rPr>
        <w:t xml:space="preserve"> (عليه السلام) قال: سألته عن البكر إذا بلغت مبلغ النساء، أَ لها مع أبيها أمر؟ فقال: ليس لها مع أبيها أمر ما لم تثيب).</w:t>
      </w:r>
      <w:r w:rsidRPr="00F27422">
        <w:rPr>
          <w:sz w:val="32"/>
          <w:szCs w:val="32"/>
          <w:rtl/>
        </w:rPr>
        <w:t xml:space="preserve"> [المصدر السابق، ح11].</w:t>
      </w:r>
    </w:p>
    <w:p w14:paraId="18F703E9" w14:textId="77777777" w:rsidR="00DF0721" w:rsidRPr="00F27422" w:rsidRDefault="00DF0721" w:rsidP="00122B70">
      <w:pPr>
        <w:bidi/>
        <w:rPr>
          <w:sz w:val="32"/>
          <w:szCs w:val="32"/>
          <w:rtl/>
        </w:rPr>
      </w:pPr>
    </w:p>
    <w:p w14:paraId="575DAED3" w14:textId="77777777" w:rsidR="00DF0721" w:rsidRPr="00F27422" w:rsidRDefault="00DF0721" w:rsidP="00122B70">
      <w:pPr>
        <w:bidi/>
        <w:rPr>
          <w:sz w:val="32"/>
          <w:szCs w:val="32"/>
          <w:rtl/>
        </w:rPr>
      </w:pPr>
      <w:r w:rsidRPr="00F27422">
        <w:rPr>
          <w:b/>
          <w:bCs/>
          <w:sz w:val="32"/>
          <w:szCs w:val="32"/>
          <w:rtl/>
        </w:rPr>
        <w:t>ومنها:</w:t>
      </w:r>
      <w:r w:rsidRPr="00F27422">
        <w:rPr>
          <w:sz w:val="32"/>
          <w:szCs w:val="32"/>
          <w:rtl/>
        </w:rPr>
        <w:t xml:space="preserve"> صحيحة محمّد بن مسلم، كما في الوسائل: </w:t>
      </w:r>
      <w:r w:rsidRPr="00F27422">
        <w:rPr>
          <w:b/>
          <w:bCs/>
          <w:sz w:val="32"/>
          <w:szCs w:val="32"/>
          <w:rtl/>
        </w:rPr>
        <w:t xml:space="preserve">(وعن محمّد بن يحيى، عن أحمد بن محمّد، عن علي بن الحكم، عن العلا بن رزين، عن محمّد بن مسلم، عن أحدهما (عليهما السلام) قال: لا تستأمر الجارية إذا كانت بين أبويها، وليس لها مع الأب أمر، وقال: </w:t>
      </w:r>
      <w:proofErr w:type="spellStart"/>
      <w:r w:rsidRPr="00F27422">
        <w:rPr>
          <w:b/>
          <w:bCs/>
          <w:sz w:val="32"/>
          <w:szCs w:val="32"/>
          <w:rtl/>
        </w:rPr>
        <w:lastRenderedPageBreak/>
        <w:t>يستأمرها</w:t>
      </w:r>
      <w:proofErr w:type="spellEnd"/>
      <w:r w:rsidRPr="00F27422">
        <w:rPr>
          <w:b/>
          <w:bCs/>
          <w:sz w:val="32"/>
          <w:szCs w:val="32"/>
          <w:rtl/>
        </w:rPr>
        <w:t xml:space="preserve"> كل أحد ما عدا الأب).</w:t>
      </w:r>
      <w:r w:rsidRPr="00F27422">
        <w:rPr>
          <w:sz w:val="32"/>
          <w:szCs w:val="32"/>
          <w:rtl/>
        </w:rPr>
        <w:t xml:space="preserve"> [المصدر السابق، الباب 4، باب أن البكر البالغ الرشيدة التي ليس لها أب أمرها بيدها، ولا ولاية لأحد عليها في التزويج، ح3].</w:t>
      </w:r>
    </w:p>
    <w:p w14:paraId="4008C2CC" w14:textId="77777777" w:rsidR="00DF0721" w:rsidRPr="00F27422" w:rsidRDefault="00DF0721" w:rsidP="00122B70">
      <w:pPr>
        <w:bidi/>
        <w:rPr>
          <w:sz w:val="32"/>
          <w:szCs w:val="32"/>
          <w:rtl/>
        </w:rPr>
      </w:pPr>
      <w:r w:rsidRPr="00F27422">
        <w:rPr>
          <w:b/>
          <w:bCs/>
          <w:sz w:val="32"/>
          <w:szCs w:val="32"/>
          <w:rtl/>
        </w:rPr>
        <w:t>ومنها:</w:t>
      </w:r>
      <w:r w:rsidRPr="00F27422">
        <w:rPr>
          <w:sz w:val="32"/>
          <w:szCs w:val="32"/>
          <w:rtl/>
        </w:rPr>
        <w:t xml:space="preserve"> صحيحة عليّ بن جعفر، كما في الوسائل: </w:t>
      </w:r>
      <w:r w:rsidRPr="00F27422">
        <w:rPr>
          <w:b/>
          <w:bCs/>
          <w:sz w:val="32"/>
          <w:szCs w:val="32"/>
          <w:rtl/>
        </w:rPr>
        <w:t>(عليّ بن جعفر في كتابه عن أخيه موسى بن جعفر (عليهما السلام) قال: سألته عن الرجل هل يصلح له أن يزوج ابنته بغير إذنها؟ قال: نعم، ليس يكون للولد أمر إلا أن تكون امرأة قد دخل بها قبل ذلك، فتلك لا يجوز نكاحها إلا أن تستأمر).</w:t>
      </w:r>
      <w:r w:rsidRPr="00F27422">
        <w:rPr>
          <w:sz w:val="32"/>
          <w:szCs w:val="32"/>
          <w:rtl/>
        </w:rPr>
        <w:t xml:space="preserve"> [المصدر السابق، باب 9 باب أنّ الولاية في عقد البكر البالغ الرشيدة مشتركة بينها وبين أبيها فلا بد من رضاهما إذا لم يعضلها، ح8].</w:t>
      </w:r>
    </w:p>
    <w:p w14:paraId="2B25E666" w14:textId="77777777" w:rsidR="00DF0721" w:rsidRPr="00F27422" w:rsidRDefault="00DF0721" w:rsidP="00122B70">
      <w:pPr>
        <w:bidi/>
        <w:rPr>
          <w:b/>
          <w:bCs/>
          <w:sz w:val="32"/>
          <w:szCs w:val="32"/>
          <w:rtl/>
        </w:rPr>
      </w:pPr>
      <w:r w:rsidRPr="00F27422">
        <w:rPr>
          <w:sz w:val="32"/>
          <w:szCs w:val="32"/>
          <w:rtl/>
        </w:rPr>
        <w:t xml:space="preserve">ومفادُ جميعها أنّه ليس لها مع أبيها أمر </w:t>
      </w:r>
      <w:r w:rsidRPr="00F27422">
        <w:rPr>
          <w:b/>
          <w:bCs/>
          <w:sz w:val="32"/>
          <w:szCs w:val="32"/>
          <w:rtl/>
        </w:rPr>
        <w:t>(واستقلالها)</w:t>
      </w:r>
      <w:r w:rsidRPr="00F27422">
        <w:rPr>
          <w:sz w:val="32"/>
          <w:szCs w:val="32"/>
          <w:rtl/>
        </w:rPr>
        <w:t xml:space="preserve"> من دون حاجة إلى إذن أبيها (</w:t>
      </w:r>
      <w:r w:rsidRPr="00F27422">
        <w:rPr>
          <w:b/>
          <w:bCs/>
          <w:sz w:val="32"/>
          <w:szCs w:val="32"/>
          <w:rtl/>
        </w:rPr>
        <w:t>والتفصيل بين الدوام والانقطاع باستقلالها في الأول دون الثاني).</w:t>
      </w:r>
    </w:p>
    <w:p w14:paraId="6804AC2C" w14:textId="77777777" w:rsidR="00DF0721" w:rsidRPr="00F27422" w:rsidRDefault="00DF0721" w:rsidP="00122B70">
      <w:pPr>
        <w:bidi/>
        <w:rPr>
          <w:sz w:val="32"/>
          <w:szCs w:val="32"/>
          <w:rtl/>
        </w:rPr>
      </w:pPr>
      <w:r w:rsidRPr="00F27422">
        <w:rPr>
          <w:sz w:val="32"/>
          <w:szCs w:val="32"/>
          <w:rtl/>
        </w:rPr>
        <w:t>والكلامُ في القول الوسط وهو استقلالها</w:t>
      </w:r>
      <w:r w:rsidRPr="00F27422">
        <w:rPr>
          <w:sz w:val="32"/>
          <w:szCs w:val="32"/>
        </w:rPr>
        <w:t>.</w:t>
      </w:r>
    </w:p>
    <w:p w14:paraId="164DFB03" w14:textId="77777777" w:rsidR="00DF0721" w:rsidRPr="00F27422" w:rsidRDefault="00DF0721" w:rsidP="00122B70">
      <w:pPr>
        <w:bidi/>
        <w:rPr>
          <w:b/>
          <w:bCs/>
          <w:sz w:val="32"/>
          <w:szCs w:val="32"/>
          <w:rtl/>
        </w:rPr>
      </w:pPr>
      <w:r w:rsidRPr="00F27422">
        <w:rPr>
          <w:sz w:val="32"/>
          <w:szCs w:val="32"/>
          <w:rtl/>
        </w:rPr>
        <w:t xml:space="preserve">وقد أفاد سيد المستمسك (قدس سره الشريف) هنا في التعليقة بقوله: </w:t>
      </w:r>
      <w:r w:rsidRPr="00F27422">
        <w:rPr>
          <w:b/>
          <w:bCs/>
          <w:sz w:val="32"/>
          <w:szCs w:val="32"/>
          <w:rtl/>
        </w:rPr>
        <w:t xml:space="preserve">(كما في الشرائع والقواعد وغيرها والمنسوب إلى المشهور بين القدماء والمتأخرين) </w:t>
      </w:r>
      <w:r w:rsidRPr="00F27422">
        <w:rPr>
          <w:sz w:val="32"/>
          <w:szCs w:val="32"/>
          <w:rtl/>
        </w:rPr>
        <w:t xml:space="preserve">مِن كونها مستقلة مِن دون فرقٍ بين العقد المنقطع والعقد الدائم </w:t>
      </w:r>
      <w:r w:rsidRPr="00F27422">
        <w:rPr>
          <w:b/>
          <w:bCs/>
          <w:sz w:val="32"/>
          <w:szCs w:val="32"/>
          <w:rtl/>
        </w:rPr>
        <w:t>(وعن المرتضى في الانتصار والناصريات: الإجماع عليه. لعموم السلطنة على النفس الذي يجب الخروج عنه بما سبق.)</w:t>
      </w:r>
      <w:r w:rsidRPr="00F27422">
        <w:rPr>
          <w:sz w:val="32"/>
          <w:szCs w:val="32"/>
          <w:rtl/>
        </w:rPr>
        <w:t xml:space="preserve"> بمعنى: أنّ دليل السلطنة غير كافٍ في استقلالها بعد أنْ دلتْ الروايات الصحاح المشار إليها على أنّه ليس لها مع أبيها أمرٌ </w:t>
      </w:r>
      <w:r w:rsidRPr="00F27422">
        <w:rPr>
          <w:b/>
          <w:bCs/>
          <w:sz w:val="32"/>
          <w:szCs w:val="32"/>
          <w:rtl/>
        </w:rPr>
        <w:t>(وللإجماع المدعى في الناصريات والانتصار الممنوع في مورد ظهور الخلاف)</w:t>
      </w:r>
      <w:r w:rsidRPr="00F27422">
        <w:rPr>
          <w:b/>
          <w:bCs/>
          <w:sz w:val="32"/>
          <w:szCs w:val="32"/>
        </w:rPr>
        <w:t>.</w:t>
      </w:r>
    </w:p>
    <w:p w14:paraId="48A37290" w14:textId="77777777" w:rsidR="00DF0721" w:rsidRPr="00F27422" w:rsidRDefault="00DF0721" w:rsidP="00122B70">
      <w:pPr>
        <w:bidi/>
        <w:rPr>
          <w:b/>
          <w:bCs/>
          <w:sz w:val="32"/>
          <w:szCs w:val="32"/>
          <w:rtl/>
        </w:rPr>
      </w:pPr>
      <w:r w:rsidRPr="00F27422">
        <w:rPr>
          <w:sz w:val="32"/>
          <w:szCs w:val="32"/>
          <w:rtl/>
        </w:rPr>
        <w:t xml:space="preserve">إذ لا إشكال في ظهور الخلاف في المقام، حيث أفاد صاحب الحدائق (رضوان الله عليه) في </w:t>
      </w:r>
      <w:proofErr w:type="gramStart"/>
      <w:r w:rsidRPr="00F27422">
        <w:rPr>
          <w:sz w:val="32"/>
          <w:szCs w:val="32"/>
          <w:rtl/>
        </w:rPr>
        <w:t>كتابه  [</w:t>
      </w:r>
      <w:proofErr w:type="gramEnd"/>
      <w:r w:rsidRPr="00F27422">
        <w:rPr>
          <w:sz w:val="32"/>
          <w:szCs w:val="32"/>
          <w:rtl/>
        </w:rPr>
        <w:t xml:space="preserve">الحدائق الناظرة، الشيخ يوسف البحراني، مؤسسة النشر الإسلامي التابعة لجماعة المدرسين، ج23، ص211] بقوله: </w:t>
      </w:r>
      <w:r w:rsidRPr="00F27422">
        <w:rPr>
          <w:b/>
          <w:bCs/>
          <w:sz w:val="32"/>
          <w:szCs w:val="32"/>
          <w:rtl/>
        </w:rPr>
        <w:t xml:space="preserve">(ونقله شيخنا الشهيد في شرح نكت الإرشاد عن الشيخ في أكثر كتبه، والصدوق وابن أبي عقيل، ونقله أيضا عن ظاهر القاضي </w:t>
      </w:r>
      <w:proofErr w:type="spellStart"/>
      <w:r w:rsidRPr="00F27422">
        <w:rPr>
          <w:b/>
          <w:bCs/>
          <w:sz w:val="32"/>
          <w:szCs w:val="32"/>
          <w:rtl/>
        </w:rPr>
        <w:t>والصهرشتي</w:t>
      </w:r>
      <w:proofErr w:type="spellEnd"/>
      <w:r w:rsidRPr="00F27422">
        <w:rPr>
          <w:b/>
          <w:bCs/>
          <w:sz w:val="32"/>
          <w:szCs w:val="32"/>
          <w:rtl/>
        </w:rPr>
        <w:t>.</w:t>
      </w:r>
    </w:p>
    <w:p w14:paraId="416EDB4C" w14:textId="77777777" w:rsidR="00DF0721" w:rsidRPr="00F27422" w:rsidRDefault="00DF0721" w:rsidP="00122B70">
      <w:pPr>
        <w:bidi/>
        <w:rPr>
          <w:b/>
          <w:bCs/>
          <w:sz w:val="32"/>
          <w:szCs w:val="32"/>
          <w:rtl/>
        </w:rPr>
      </w:pPr>
      <w:r w:rsidRPr="00F27422">
        <w:rPr>
          <w:b/>
          <w:bCs/>
          <w:sz w:val="32"/>
          <w:szCs w:val="32"/>
          <w:rtl/>
        </w:rPr>
        <w:t>أقول: وقواه السيد السند في شرح النافع، وإليه كان يذهب والدي (قدس سره) وهو ظاهر المحدث الكاشاني في الوافي، وبه جزم شيخنا المحقق المدقق العلامة الشيخ أحمد بن محمد بن يوسف المقالي البحراني (نور الله مرقده)).</w:t>
      </w:r>
    </w:p>
    <w:p w14:paraId="54DFDC68" w14:textId="77777777" w:rsidR="00DF0721" w:rsidRPr="00F27422" w:rsidRDefault="00DF0721" w:rsidP="00122B70">
      <w:pPr>
        <w:bidi/>
        <w:rPr>
          <w:b/>
          <w:bCs/>
          <w:sz w:val="32"/>
          <w:szCs w:val="32"/>
          <w:rtl/>
        </w:rPr>
      </w:pPr>
      <w:r w:rsidRPr="00F27422">
        <w:rPr>
          <w:sz w:val="32"/>
          <w:szCs w:val="32"/>
          <w:rtl/>
        </w:rPr>
        <w:t xml:space="preserve">ثمّ قال في المستمسك: </w:t>
      </w:r>
      <w:r w:rsidRPr="00F27422">
        <w:rPr>
          <w:b/>
          <w:bCs/>
          <w:sz w:val="32"/>
          <w:szCs w:val="32"/>
          <w:rtl/>
        </w:rPr>
        <w:t>(وللإجماع على زوال الولاية في المال فكذا في النكاح)</w:t>
      </w:r>
      <w:r w:rsidRPr="00F27422">
        <w:rPr>
          <w:sz w:val="32"/>
          <w:szCs w:val="32"/>
          <w:rtl/>
        </w:rPr>
        <w:t xml:space="preserve"> أي: بما أنّه لا ولاية لأبيها عليها في أموالها فلا ولاية له عليها في النكاح </w:t>
      </w:r>
      <w:r w:rsidRPr="00F27422">
        <w:rPr>
          <w:b/>
          <w:bCs/>
          <w:sz w:val="32"/>
          <w:szCs w:val="32"/>
          <w:rtl/>
        </w:rPr>
        <w:t>(الموقوف على عدم الفصل)</w:t>
      </w:r>
      <w:r w:rsidRPr="00F27422">
        <w:rPr>
          <w:sz w:val="32"/>
          <w:szCs w:val="32"/>
          <w:rtl/>
        </w:rPr>
        <w:t xml:space="preserve"> أي: أنّ هذا الإجماع إنّما يتم إذا لم يكن هناك فصل بين باب النكاح والأموال </w:t>
      </w:r>
      <w:r w:rsidRPr="00F27422">
        <w:rPr>
          <w:b/>
          <w:bCs/>
          <w:sz w:val="32"/>
          <w:szCs w:val="32"/>
          <w:rtl/>
        </w:rPr>
        <w:t xml:space="preserve">(وهو ممنوع بعد وضوح الخلاف في النكاح. وللإجماع على زوال الولاية عنها في المنقطع فكذا في الدائم </w:t>
      </w:r>
      <w:r w:rsidRPr="00F27422">
        <w:rPr>
          <w:b/>
          <w:bCs/>
          <w:sz w:val="32"/>
          <w:szCs w:val="32"/>
          <w:rtl/>
        </w:rPr>
        <w:lastRenderedPageBreak/>
        <w:t>الممنوع في نفسه)</w:t>
      </w:r>
      <w:r w:rsidRPr="00F27422">
        <w:rPr>
          <w:sz w:val="32"/>
          <w:szCs w:val="32"/>
          <w:rtl/>
        </w:rPr>
        <w:t xml:space="preserve"> فإنّ المحكي عن الشيخ (رحمه الله) في كتابي الأخبار القول باستقلالها في المنقطع </w:t>
      </w:r>
      <w:r w:rsidRPr="00F27422">
        <w:rPr>
          <w:b/>
          <w:bCs/>
          <w:sz w:val="32"/>
          <w:szCs w:val="32"/>
          <w:rtl/>
        </w:rPr>
        <w:t>(كمنع عدم الفصل بين الدائم والمنقطع)</w:t>
      </w:r>
      <w:r w:rsidRPr="00F27422">
        <w:rPr>
          <w:b/>
          <w:bCs/>
          <w:sz w:val="32"/>
          <w:szCs w:val="32"/>
        </w:rPr>
        <w:t>.</w:t>
      </w:r>
    </w:p>
    <w:p w14:paraId="2B176DE8" w14:textId="77777777" w:rsidR="00DF0721" w:rsidRPr="00F27422" w:rsidRDefault="00DF0721" w:rsidP="00122B70">
      <w:pPr>
        <w:bidi/>
        <w:rPr>
          <w:b/>
          <w:bCs/>
          <w:sz w:val="32"/>
          <w:szCs w:val="32"/>
          <w:rtl/>
        </w:rPr>
      </w:pPr>
      <w:r w:rsidRPr="00F27422">
        <w:rPr>
          <w:sz w:val="32"/>
          <w:szCs w:val="32"/>
          <w:rtl/>
        </w:rPr>
        <w:t xml:space="preserve">ثمّ استعرض (قدس سره الشريف) الروايات التي استدل بها على </w:t>
      </w:r>
      <w:proofErr w:type="spellStart"/>
      <w:proofErr w:type="gramStart"/>
      <w:r w:rsidRPr="00F27422">
        <w:rPr>
          <w:sz w:val="32"/>
          <w:szCs w:val="32"/>
          <w:rtl/>
        </w:rPr>
        <w:t>الإستقلال</w:t>
      </w:r>
      <w:proofErr w:type="spellEnd"/>
      <w:r w:rsidRPr="00F27422">
        <w:rPr>
          <w:sz w:val="32"/>
          <w:szCs w:val="32"/>
        </w:rPr>
        <w:t xml:space="preserve"> :</w:t>
      </w:r>
      <w:proofErr w:type="gramEnd"/>
    </w:p>
    <w:p w14:paraId="3CE014E1" w14:textId="77777777" w:rsidR="00DF0721" w:rsidRPr="00F27422" w:rsidRDefault="00DF0721" w:rsidP="00122B70">
      <w:pPr>
        <w:bidi/>
        <w:rPr>
          <w:b/>
          <w:bCs/>
          <w:sz w:val="32"/>
          <w:szCs w:val="32"/>
          <w:rtl/>
        </w:rPr>
      </w:pPr>
      <w:r w:rsidRPr="00F27422">
        <w:rPr>
          <w:b/>
          <w:bCs/>
          <w:sz w:val="32"/>
          <w:szCs w:val="32"/>
          <w:rtl/>
        </w:rPr>
        <w:t>الروايةُ الأُولى:</w:t>
      </w:r>
      <w:r w:rsidRPr="00F27422">
        <w:rPr>
          <w:sz w:val="32"/>
          <w:szCs w:val="32"/>
          <w:rtl/>
        </w:rPr>
        <w:t xml:space="preserve"> </w:t>
      </w:r>
      <w:r w:rsidRPr="00F27422">
        <w:rPr>
          <w:b/>
          <w:bCs/>
          <w:sz w:val="32"/>
          <w:szCs w:val="32"/>
          <w:rtl/>
        </w:rPr>
        <w:t>(و</w:t>
      </w:r>
      <w:r w:rsidRPr="00F27422">
        <w:rPr>
          <w:b/>
          <w:bCs/>
          <w:sz w:val="32"/>
          <w:szCs w:val="32"/>
        </w:rPr>
        <w:t>‌</w:t>
      </w:r>
      <w:r w:rsidRPr="00F27422">
        <w:rPr>
          <w:b/>
          <w:bCs/>
          <w:sz w:val="32"/>
          <w:szCs w:val="32"/>
          <w:rtl/>
        </w:rPr>
        <w:t>لمصحح الفضلاء الفضيل بن يسار ومحمد بن مسلم وزرارة وبريد بن معاوية كلهم عن أبي جعفر (عليه السلام): (قال: المرأة التي قد ملكت نفسها غير السفيهة ولا المولى عليها تزويجها بغير ولي جائز)).</w:t>
      </w:r>
      <w:r w:rsidRPr="00F27422">
        <w:rPr>
          <w:sz w:val="32"/>
          <w:szCs w:val="32"/>
          <w:rtl/>
        </w:rPr>
        <w:t xml:space="preserve"> [وسائل الشيعة، الحر العاملي، تحقيق مؤسسة آل البيت (عليهم السلام) لإحياء التراث، ج20، كتاب النكاح، أبواب عقد النكاح وأولياء العقد، الباب 3 باب أنّه لا ولاية لأحد من أخ ولا أب ولا غيرهما على الثيب البالغ </w:t>
      </w:r>
      <w:proofErr w:type="gramStart"/>
      <w:r w:rsidRPr="00F27422">
        <w:rPr>
          <w:sz w:val="32"/>
          <w:szCs w:val="32"/>
          <w:rtl/>
        </w:rPr>
        <w:t>الرشيدة</w:t>
      </w:r>
      <w:proofErr w:type="gramEnd"/>
      <w:r w:rsidRPr="00F27422">
        <w:rPr>
          <w:sz w:val="32"/>
          <w:szCs w:val="32"/>
          <w:rtl/>
        </w:rPr>
        <w:t xml:space="preserve"> بل أمرها بيدها، ح1]</w:t>
      </w:r>
      <w:r w:rsidRPr="00F27422">
        <w:rPr>
          <w:sz w:val="32"/>
          <w:szCs w:val="32"/>
        </w:rPr>
        <w:t>.</w:t>
      </w:r>
    </w:p>
    <w:p w14:paraId="7B8DCD08" w14:textId="77777777" w:rsidR="00DF0721" w:rsidRPr="00F27422" w:rsidRDefault="00DF0721" w:rsidP="00122B70">
      <w:pPr>
        <w:bidi/>
        <w:rPr>
          <w:b/>
          <w:bCs/>
          <w:sz w:val="32"/>
          <w:szCs w:val="32"/>
          <w:rtl/>
        </w:rPr>
      </w:pPr>
      <w:r w:rsidRPr="00F27422">
        <w:rPr>
          <w:sz w:val="32"/>
          <w:szCs w:val="32"/>
          <w:rtl/>
        </w:rPr>
        <w:t xml:space="preserve">فإن قوله (عليه السلام): </w:t>
      </w:r>
      <w:r w:rsidRPr="00F27422">
        <w:rPr>
          <w:b/>
          <w:bCs/>
          <w:sz w:val="32"/>
          <w:szCs w:val="32"/>
          <w:rtl/>
        </w:rPr>
        <w:t>(المرأة التي قد ملكت نفسها)</w:t>
      </w:r>
      <w:r w:rsidRPr="00F27422">
        <w:rPr>
          <w:sz w:val="32"/>
          <w:szCs w:val="32"/>
          <w:rtl/>
        </w:rPr>
        <w:t xml:space="preserve"> ظاهره إرادة البالغة - بقرينة التعبير عنها بالمرأة - المستقلة في شؤون حياتها لها أنْ تتزوج مِن دون وليّ.</w:t>
      </w:r>
    </w:p>
    <w:p w14:paraId="09FFAF2F" w14:textId="77777777" w:rsidR="00DF0721" w:rsidRPr="00F27422" w:rsidRDefault="00DF0721" w:rsidP="00122B70">
      <w:pPr>
        <w:bidi/>
        <w:rPr>
          <w:b/>
          <w:bCs/>
          <w:sz w:val="32"/>
          <w:szCs w:val="32"/>
          <w:rtl/>
        </w:rPr>
      </w:pPr>
      <w:r w:rsidRPr="00F27422">
        <w:rPr>
          <w:sz w:val="32"/>
          <w:szCs w:val="32"/>
          <w:rtl/>
        </w:rPr>
        <w:t xml:space="preserve">وقوله (عليه السلام): </w:t>
      </w:r>
      <w:r w:rsidRPr="00F27422">
        <w:rPr>
          <w:b/>
          <w:bCs/>
          <w:sz w:val="32"/>
          <w:szCs w:val="32"/>
          <w:rtl/>
        </w:rPr>
        <w:t>(غير السفيهة)</w:t>
      </w:r>
      <w:r w:rsidRPr="00F27422">
        <w:rPr>
          <w:sz w:val="32"/>
          <w:szCs w:val="32"/>
          <w:rtl/>
        </w:rPr>
        <w:t xml:space="preserve"> واضحٌ</w:t>
      </w:r>
      <w:r w:rsidRPr="00F27422">
        <w:rPr>
          <w:sz w:val="32"/>
          <w:szCs w:val="32"/>
        </w:rPr>
        <w:t>.</w:t>
      </w:r>
    </w:p>
    <w:p w14:paraId="30F05A8B" w14:textId="77777777" w:rsidR="00DF0721" w:rsidRPr="00F27422" w:rsidRDefault="00DF0721" w:rsidP="00122B70">
      <w:pPr>
        <w:bidi/>
        <w:rPr>
          <w:b/>
          <w:bCs/>
          <w:sz w:val="32"/>
          <w:szCs w:val="32"/>
          <w:rtl/>
        </w:rPr>
      </w:pPr>
      <w:r w:rsidRPr="00F27422">
        <w:rPr>
          <w:sz w:val="32"/>
          <w:szCs w:val="32"/>
          <w:rtl/>
        </w:rPr>
        <w:t xml:space="preserve">وقوله (عليه السلام): </w:t>
      </w:r>
      <w:r w:rsidRPr="00F27422">
        <w:rPr>
          <w:b/>
          <w:bCs/>
          <w:sz w:val="32"/>
          <w:szCs w:val="32"/>
          <w:rtl/>
        </w:rPr>
        <w:t>(ولا المولى عليها)</w:t>
      </w:r>
      <w:r w:rsidRPr="00F27422">
        <w:rPr>
          <w:sz w:val="32"/>
          <w:szCs w:val="32"/>
          <w:rtl/>
        </w:rPr>
        <w:t xml:space="preserve"> والمراد بهذا القيد الإشارة للمصداق المقابل لمن ملكتْ نفسها، وليس المراد بالقيد القيد </w:t>
      </w:r>
      <w:proofErr w:type="spellStart"/>
      <w:r w:rsidRPr="00F27422">
        <w:rPr>
          <w:sz w:val="32"/>
          <w:szCs w:val="32"/>
          <w:rtl/>
        </w:rPr>
        <w:t>الإحترازي</w:t>
      </w:r>
      <w:proofErr w:type="spellEnd"/>
      <w:r w:rsidRPr="00F27422">
        <w:rPr>
          <w:sz w:val="32"/>
          <w:szCs w:val="32"/>
          <w:rtl/>
        </w:rPr>
        <w:t xml:space="preserve"> بمعنى: أنْ الموضوع لنفوذ العقد من ملكتْ نفسها ولَمْ تكن مولى عليها، إذ لا يحتمل أنْ تكون ممن ملكتْ نفسها وأنّها مولى عليها كي يحترز عن ذلك بالنفي.</w:t>
      </w:r>
    </w:p>
    <w:p w14:paraId="0FCE5061" w14:textId="77777777" w:rsidR="00DF0721" w:rsidRPr="00F27422" w:rsidRDefault="00DF0721" w:rsidP="00122B70">
      <w:pPr>
        <w:bidi/>
        <w:rPr>
          <w:b/>
          <w:bCs/>
          <w:sz w:val="32"/>
          <w:szCs w:val="32"/>
          <w:rtl/>
        </w:rPr>
      </w:pPr>
      <w:r w:rsidRPr="00F27422">
        <w:rPr>
          <w:b/>
          <w:bCs/>
          <w:sz w:val="32"/>
          <w:szCs w:val="32"/>
          <w:rtl/>
        </w:rPr>
        <w:t>الروايةُ الثانية:</w:t>
      </w:r>
      <w:r w:rsidRPr="00F27422">
        <w:rPr>
          <w:sz w:val="32"/>
          <w:szCs w:val="32"/>
          <w:rtl/>
        </w:rPr>
        <w:t xml:space="preserve"> معتبرة زرارة، وقد عبر عنها السيد الحكيم (قدس سره الشريف) بقوله: </w:t>
      </w:r>
      <w:r w:rsidRPr="00F27422">
        <w:rPr>
          <w:b/>
          <w:bCs/>
          <w:sz w:val="32"/>
          <w:szCs w:val="32"/>
          <w:rtl/>
        </w:rPr>
        <w:t>(لخبر زرارة)؛</w:t>
      </w:r>
      <w:r w:rsidRPr="00F27422">
        <w:rPr>
          <w:sz w:val="32"/>
          <w:szCs w:val="32"/>
          <w:rtl/>
        </w:rPr>
        <w:t xml:space="preserve"> ولعله مِن جهة جهالة طريق الشيخ (رحمه الله) إلى علي بن إسماعيل الميثمي - الذي هو ثقة على الأقوى كما سبق في بعض البحوث - ولكن يمكن تصحيح ذلك بأنّ طريق الصدوق (عليه الرحمة) إلى الميثمي تامٌ، وطريق الشيخ (رحمه الله) إلى كتب الصدوق (عليه الرحمة) تامٌ، فيكون طريق الشيخ للرواية صحيحاً.</w:t>
      </w:r>
    </w:p>
    <w:p w14:paraId="78EE5075" w14:textId="77777777" w:rsidR="00DF0721" w:rsidRPr="00F27422" w:rsidRDefault="00DF0721" w:rsidP="00122B70">
      <w:pPr>
        <w:bidi/>
        <w:rPr>
          <w:b/>
          <w:bCs/>
          <w:sz w:val="32"/>
          <w:szCs w:val="32"/>
          <w:rtl/>
        </w:rPr>
      </w:pPr>
      <w:r w:rsidRPr="00F27422">
        <w:rPr>
          <w:sz w:val="32"/>
          <w:szCs w:val="32"/>
          <w:rtl/>
        </w:rPr>
        <w:t xml:space="preserve">وقد نقلها في الوسائل عن التهذيب: </w:t>
      </w:r>
      <w:r w:rsidRPr="00F27422">
        <w:rPr>
          <w:b/>
          <w:bCs/>
          <w:sz w:val="32"/>
          <w:szCs w:val="32"/>
          <w:rtl/>
        </w:rPr>
        <w:t>(وبإسناده عن عليّ بن إسماعيل الهيثمي، عن فضالة بن أيوب، عن موسى بن بكر، عن زرارة، عن أبي جعفر (عليه السلام) قال: إذا كانت المرأة مالكة أمرها تبيع وتشتري وتعتق وتشهد وتعطي من مالها ما شاءت فإنّ أمرها جائز تزوج إن شاءت بغير إذن وليها، وإن لم تكن كذلك فلا يجوز تزويجها إلا بأمر وليها).</w:t>
      </w:r>
      <w:r w:rsidRPr="00F27422">
        <w:rPr>
          <w:sz w:val="32"/>
          <w:szCs w:val="32"/>
          <w:rtl/>
        </w:rPr>
        <w:t xml:space="preserve"> [وسائل الشيعة، الحر العاملي، تحقيق مؤسسة آل البيت (عليهم السلام) لإحياء التراث، ج20، كتاب </w:t>
      </w:r>
      <w:r w:rsidRPr="00F27422">
        <w:rPr>
          <w:sz w:val="32"/>
          <w:szCs w:val="32"/>
          <w:rtl/>
        </w:rPr>
        <w:lastRenderedPageBreak/>
        <w:t>النكاح، أبواب عقد النكاح وأولياء العقد، الباب 9 باب أن الولاية في عقد البكر البالغ الرشيدة مشتركة بينها وبين أبيها فلا بد من رضاها إذا لم يعضلها، ح6]</w:t>
      </w:r>
      <w:r w:rsidRPr="00F27422">
        <w:rPr>
          <w:sz w:val="32"/>
          <w:szCs w:val="32"/>
        </w:rPr>
        <w:t>.</w:t>
      </w:r>
    </w:p>
    <w:p w14:paraId="699193AF" w14:textId="77777777" w:rsidR="00DF0721" w:rsidRPr="00F27422" w:rsidRDefault="00DF0721" w:rsidP="00122B70">
      <w:pPr>
        <w:bidi/>
        <w:rPr>
          <w:b/>
          <w:bCs/>
          <w:sz w:val="32"/>
          <w:szCs w:val="32"/>
          <w:rtl/>
        </w:rPr>
      </w:pPr>
      <w:r w:rsidRPr="00F27422">
        <w:rPr>
          <w:sz w:val="32"/>
          <w:szCs w:val="32"/>
          <w:rtl/>
        </w:rPr>
        <w:t>وظاهر التعبير بالمرأة أنّها بالغةٌ رشيدة.</w:t>
      </w:r>
    </w:p>
    <w:p w14:paraId="10DB9218" w14:textId="77777777" w:rsidR="00DF0721" w:rsidRPr="00F27422" w:rsidRDefault="00DF0721" w:rsidP="00122B70">
      <w:pPr>
        <w:bidi/>
        <w:rPr>
          <w:b/>
          <w:bCs/>
          <w:sz w:val="32"/>
          <w:szCs w:val="32"/>
          <w:rtl/>
        </w:rPr>
      </w:pPr>
      <w:r w:rsidRPr="00F27422">
        <w:rPr>
          <w:sz w:val="32"/>
          <w:szCs w:val="32"/>
          <w:rtl/>
        </w:rPr>
        <w:t xml:space="preserve">كما أنّ مفاد قوله (عليه السلام): </w:t>
      </w:r>
      <w:r w:rsidRPr="00F27422">
        <w:rPr>
          <w:b/>
          <w:bCs/>
          <w:sz w:val="32"/>
          <w:szCs w:val="32"/>
          <w:rtl/>
        </w:rPr>
        <w:t>(وإن لم تكن كذلك)</w:t>
      </w:r>
      <w:r w:rsidRPr="00F27422">
        <w:rPr>
          <w:sz w:val="32"/>
          <w:szCs w:val="32"/>
          <w:rtl/>
        </w:rPr>
        <w:t xml:space="preserve"> أي: وإنْ لم تكن مالكةً أمرها</w:t>
      </w:r>
      <w:r w:rsidRPr="00F27422">
        <w:rPr>
          <w:sz w:val="32"/>
          <w:szCs w:val="32"/>
        </w:rPr>
        <w:t>.</w:t>
      </w:r>
    </w:p>
    <w:p w14:paraId="52805D50" w14:textId="77777777" w:rsidR="00DF0721" w:rsidRPr="00F27422" w:rsidRDefault="00DF0721" w:rsidP="00122B70">
      <w:pPr>
        <w:bidi/>
        <w:rPr>
          <w:b/>
          <w:bCs/>
          <w:sz w:val="32"/>
          <w:szCs w:val="32"/>
          <w:rtl/>
        </w:rPr>
      </w:pPr>
      <w:r w:rsidRPr="00F27422">
        <w:rPr>
          <w:b/>
          <w:bCs/>
          <w:sz w:val="32"/>
          <w:szCs w:val="32"/>
          <w:rtl/>
        </w:rPr>
        <w:t>الروايةُ الثالثة:</w:t>
      </w:r>
      <w:r w:rsidRPr="00F27422">
        <w:rPr>
          <w:sz w:val="32"/>
          <w:szCs w:val="32"/>
          <w:rtl/>
        </w:rPr>
        <w:t xml:space="preserve"> معتبرة أبي مريم، كما في الوسائل: </w:t>
      </w:r>
      <w:r w:rsidRPr="00F27422">
        <w:rPr>
          <w:b/>
          <w:bCs/>
          <w:sz w:val="32"/>
          <w:szCs w:val="32"/>
          <w:rtl/>
        </w:rPr>
        <w:t xml:space="preserve">(وعن الحسين بن محمّد، عن معلى بن محمّد، عن الحسن بن عليّ، عن أبان بن عثمان، عن أبي مريم، عن أبي </w:t>
      </w:r>
      <w:proofErr w:type="gramStart"/>
      <w:r w:rsidRPr="00F27422">
        <w:rPr>
          <w:b/>
          <w:bCs/>
          <w:sz w:val="32"/>
          <w:szCs w:val="32"/>
          <w:rtl/>
        </w:rPr>
        <w:t>عبدالله</w:t>
      </w:r>
      <w:proofErr w:type="gramEnd"/>
      <w:r w:rsidRPr="00F27422">
        <w:rPr>
          <w:b/>
          <w:bCs/>
          <w:sz w:val="32"/>
          <w:szCs w:val="32"/>
          <w:rtl/>
        </w:rPr>
        <w:t xml:space="preserve"> (عليه السلام) قال: الجارية البكر التي لها أب لا تتزوج إلّا بإذن أبيها، وقال: إذا كانت مالكة لأمرها تزوجت متى شاءت).</w:t>
      </w:r>
      <w:r w:rsidRPr="00F27422">
        <w:rPr>
          <w:sz w:val="32"/>
          <w:szCs w:val="32"/>
          <w:rtl/>
        </w:rPr>
        <w:t xml:space="preserve"> [وسائل الشيعة، الحر العاملي، تحقيق مؤسسة آل البيت (عليهم السلام) لإحياء التراث، ج20، كتاب النكاح، أبواب عقد النكاح وأولياء العقد، الباب 3 باب أنّه لا ولاية لأحد من أخ ولا أب ولا غيرهما على الثيب البالغ </w:t>
      </w:r>
      <w:proofErr w:type="gramStart"/>
      <w:r w:rsidRPr="00F27422">
        <w:rPr>
          <w:sz w:val="32"/>
          <w:szCs w:val="32"/>
          <w:rtl/>
        </w:rPr>
        <w:t>الرشيدة</w:t>
      </w:r>
      <w:proofErr w:type="gramEnd"/>
      <w:r w:rsidRPr="00F27422">
        <w:rPr>
          <w:sz w:val="32"/>
          <w:szCs w:val="32"/>
          <w:rtl/>
        </w:rPr>
        <w:t xml:space="preserve"> بل أمرها بيدها، ح7]</w:t>
      </w:r>
      <w:r w:rsidRPr="00F27422">
        <w:rPr>
          <w:sz w:val="32"/>
          <w:szCs w:val="32"/>
        </w:rPr>
        <w:t>.</w:t>
      </w:r>
    </w:p>
    <w:p w14:paraId="2188A18D" w14:textId="77777777" w:rsidR="00DF0721" w:rsidRPr="00F27422" w:rsidRDefault="00DF0721" w:rsidP="00122B70">
      <w:pPr>
        <w:bidi/>
        <w:rPr>
          <w:sz w:val="32"/>
          <w:szCs w:val="32"/>
          <w:rtl/>
        </w:rPr>
      </w:pPr>
      <w:r w:rsidRPr="00F27422">
        <w:rPr>
          <w:sz w:val="32"/>
          <w:szCs w:val="32"/>
          <w:rtl/>
        </w:rPr>
        <w:t>فإنّ مقتضى الجمع بين الصدر والذيل أنّ المراد بالصدر مَن لَمْ تكن مالكةً أمرها، لا أنّ المراد بالذيل من ليس لها أب فإنّه لا يلائم تعقيبه بالجملة الشرطية، بل المناسب العطف عليه.</w:t>
      </w:r>
    </w:p>
    <w:p w14:paraId="11AA6FBF" w14:textId="77777777" w:rsidR="00DF0721" w:rsidRPr="00F27422" w:rsidRDefault="00DF0721" w:rsidP="00122B70">
      <w:pPr>
        <w:bidi/>
        <w:rPr>
          <w:b/>
          <w:bCs/>
          <w:sz w:val="32"/>
          <w:szCs w:val="32"/>
          <w:rtl/>
        </w:rPr>
      </w:pPr>
      <w:r w:rsidRPr="00F27422">
        <w:rPr>
          <w:b/>
          <w:bCs/>
          <w:sz w:val="32"/>
          <w:szCs w:val="32"/>
          <w:rtl/>
        </w:rPr>
        <w:t>الروايةُ الرابعة:</w:t>
      </w:r>
      <w:r w:rsidRPr="00F27422">
        <w:rPr>
          <w:sz w:val="32"/>
          <w:szCs w:val="32"/>
          <w:rtl/>
        </w:rPr>
        <w:t xml:space="preserve"> معتبرة عبد الرحمن بن أبي </w:t>
      </w:r>
      <w:proofErr w:type="gramStart"/>
      <w:r w:rsidRPr="00F27422">
        <w:rPr>
          <w:sz w:val="32"/>
          <w:szCs w:val="32"/>
          <w:rtl/>
        </w:rPr>
        <w:t>عبدالله</w:t>
      </w:r>
      <w:proofErr w:type="gramEnd"/>
      <w:r w:rsidRPr="00F27422">
        <w:rPr>
          <w:sz w:val="32"/>
          <w:szCs w:val="32"/>
          <w:rtl/>
        </w:rPr>
        <w:t xml:space="preserve">، كما في الوسائل: </w:t>
      </w:r>
      <w:r w:rsidRPr="00F27422">
        <w:rPr>
          <w:b/>
          <w:bCs/>
          <w:sz w:val="32"/>
          <w:szCs w:val="32"/>
          <w:rtl/>
        </w:rPr>
        <w:t xml:space="preserve">(وبالإسناد، عن أبان، عن </w:t>
      </w:r>
      <w:proofErr w:type="gramStart"/>
      <w:r w:rsidRPr="00F27422">
        <w:rPr>
          <w:b/>
          <w:bCs/>
          <w:sz w:val="32"/>
          <w:szCs w:val="32"/>
          <w:rtl/>
        </w:rPr>
        <w:t>عبدالرحمن</w:t>
      </w:r>
      <w:proofErr w:type="gramEnd"/>
      <w:r w:rsidRPr="00F27422">
        <w:rPr>
          <w:b/>
          <w:bCs/>
          <w:sz w:val="32"/>
          <w:szCs w:val="32"/>
          <w:rtl/>
        </w:rPr>
        <w:t xml:space="preserve"> بن أبي </w:t>
      </w:r>
      <w:proofErr w:type="gramStart"/>
      <w:r w:rsidRPr="00F27422">
        <w:rPr>
          <w:b/>
          <w:bCs/>
          <w:sz w:val="32"/>
          <w:szCs w:val="32"/>
          <w:rtl/>
        </w:rPr>
        <w:t>عبدالله</w:t>
      </w:r>
      <w:proofErr w:type="gramEnd"/>
      <w:r w:rsidRPr="00F27422">
        <w:rPr>
          <w:b/>
          <w:bCs/>
          <w:sz w:val="32"/>
          <w:szCs w:val="32"/>
          <w:rtl/>
        </w:rPr>
        <w:t xml:space="preserve">، عن أبي </w:t>
      </w:r>
      <w:proofErr w:type="gramStart"/>
      <w:r w:rsidRPr="00F27422">
        <w:rPr>
          <w:b/>
          <w:bCs/>
          <w:sz w:val="32"/>
          <w:szCs w:val="32"/>
          <w:rtl/>
        </w:rPr>
        <w:t>عبدالله</w:t>
      </w:r>
      <w:proofErr w:type="gramEnd"/>
      <w:r w:rsidRPr="00F27422">
        <w:rPr>
          <w:b/>
          <w:bCs/>
          <w:sz w:val="32"/>
          <w:szCs w:val="32"/>
          <w:rtl/>
        </w:rPr>
        <w:t xml:space="preserve"> (عليه السلام) قال: تزوج المرأة من شاءت إذا كانت مالكةً لأمرها، فإن شاءت جعلت وليّاً).</w:t>
      </w:r>
      <w:r w:rsidRPr="00F27422">
        <w:rPr>
          <w:sz w:val="32"/>
          <w:szCs w:val="32"/>
          <w:rtl/>
        </w:rPr>
        <w:t xml:space="preserve"> [المصدر السابق، ح8]</w:t>
      </w:r>
      <w:r w:rsidRPr="00F27422">
        <w:rPr>
          <w:sz w:val="32"/>
          <w:szCs w:val="32"/>
        </w:rPr>
        <w:t>.</w:t>
      </w:r>
    </w:p>
    <w:p w14:paraId="528DBDD7" w14:textId="77777777" w:rsidR="00DF0721" w:rsidRPr="00F27422" w:rsidRDefault="00DF0721" w:rsidP="00122B70">
      <w:pPr>
        <w:bidi/>
        <w:rPr>
          <w:sz w:val="32"/>
          <w:szCs w:val="32"/>
          <w:rtl/>
        </w:rPr>
      </w:pPr>
      <w:r w:rsidRPr="00F27422">
        <w:rPr>
          <w:b/>
          <w:bCs/>
          <w:sz w:val="32"/>
          <w:szCs w:val="32"/>
          <w:rtl/>
        </w:rPr>
        <w:t>الروايةُ الخامسة:</w:t>
      </w:r>
      <w:r w:rsidRPr="00F27422">
        <w:rPr>
          <w:sz w:val="32"/>
          <w:szCs w:val="32"/>
          <w:rtl/>
        </w:rPr>
        <w:t xml:space="preserve"> خبر سعدان بن مسلم، كما في الوسائل: </w:t>
      </w:r>
      <w:r w:rsidRPr="00F27422">
        <w:rPr>
          <w:b/>
          <w:bCs/>
          <w:sz w:val="32"/>
          <w:szCs w:val="32"/>
          <w:rtl/>
        </w:rPr>
        <w:t xml:space="preserve">(وعن محمّد بن عليّ بن محبوب، عن العباس، عن سعدان بن مسلم قال: قال أبو </w:t>
      </w:r>
      <w:proofErr w:type="gramStart"/>
      <w:r w:rsidRPr="00F27422">
        <w:rPr>
          <w:b/>
          <w:bCs/>
          <w:sz w:val="32"/>
          <w:szCs w:val="32"/>
          <w:rtl/>
        </w:rPr>
        <w:t>عبدالله</w:t>
      </w:r>
      <w:proofErr w:type="gramEnd"/>
      <w:r w:rsidRPr="00F27422">
        <w:rPr>
          <w:b/>
          <w:bCs/>
          <w:sz w:val="32"/>
          <w:szCs w:val="32"/>
          <w:rtl/>
        </w:rPr>
        <w:t xml:space="preserve"> (عليه السلام): لا بأس بتزويج البكر إذا رضيت بغير إذن أبيها).</w:t>
      </w:r>
      <w:r w:rsidRPr="00F27422">
        <w:rPr>
          <w:sz w:val="32"/>
          <w:szCs w:val="32"/>
          <w:rtl/>
        </w:rPr>
        <w:t xml:space="preserve"> [وسائل الشيعة، الحر العاملي، تحقيق مؤسسة آل البيت (عليهم السلام) لإحياء التراث، ج20، كتاب النكاح، أبواب عقد النكاح وأولياء العقد، الباب 9 باب أن الولاية في عقد البكر البالغ الرشيدة مشتركة بينها وبين أبيها فلا بد من رضاها إذا لم يعضلها، ح4].</w:t>
      </w:r>
    </w:p>
    <w:p w14:paraId="22B8B793" w14:textId="77777777" w:rsidR="00DF0721" w:rsidRPr="00F27422" w:rsidRDefault="00DF0721" w:rsidP="00122B70">
      <w:pPr>
        <w:bidi/>
        <w:rPr>
          <w:b/>
          <w:bCs/>
          <w:sz w:val="32"/>
          <w:szCs w:val="32"/>
          <w:rtl/>
        </w:rPr>
      </w:pPr>
      <w:r w:rsidRPr="00F27422">
        <w:rPr>
          <w:sz w:val="32"/>
          <w:szCs w:val="32"/>
          <w:rtl/>
        </w:rPr>
        <w:t>وهي أصرح الروايات، وقد دلتْ على استقلال المرأة بالعقد مطلقاً، إلّا أنّ مقتضى الجمع بينها وبين روايات نفس الباب حملها على مَن كانت مالكةً أمرها</w:t>
      </w:r>
      <w:r w:rsidRPr="00F27422">
        <w:rPr>
          <w:sz w:val="32"/>
          <w:szCs w:val="32"/>
        </w:rPr>
        <w:t>.</w:t>
      </w:r>
    </w:p>
    <w:p w14:paraId="23674D68" w14:textId="77777777" w:rsidR="00DF0721" w:rsidRPr="00F27422" w:rsidRDefault="00DF0721" w:rsidP="00122B70">
      <w:pPr>
        <w:bidi/>
        <w:rPr>
          <w:b/>
          <w:bCs/>
          <w:sz w:val="32"/>
          <w:szCs w:val="32"/>
          <w:rtl/>
        </w:rPr>
      </w:pPr>
      <w:r w:rsidRPr="00F27422">
        <w:rPr>
          <w:b/>
          <w:bCs/>
          <w:sz w:val="32"/>
          <w:szCs w:val="32"/>
          <w:rtl/>
        </w:rPr>
        <w:t>والنتيجة:</w:t>
      </w:r>
      <w:r w:rsidRPr="00F27422">
        <w:rPr>
          <w:sz w:val="32"/>
          <w:szCs w:val="32"/>
          <w:rtl/>
        </w:rPr>
        <w:t xml:space="preserve"> أنّ مقتضى إطلاق الطائفة الأُولى التي دلتْ – كما في صحيحة عبد الله بن الصلت - على أنّه: </w:t>
      </w:r>
      <w:r w:rsidRPr="00F27422">
        <w:rPr>
          <w:b/>
          <w:bCs/>
          <w:sz w:val="32"/>
          <w:szCs w:val="32"/>
          <w:rtl/>
        </w:rPr>
        <w:t>(ليس لها مع أبيها أمر)</w:t>
      </w:r>
      <w:r w:rsidRPr="00F27422">
        <w:rPr>
          <w:sz w:val="32"/>
          <w:szCs w:val="32"/>
          <w:rtl/>
        </w:rPr>
        <w:t xml:space="preserve">، أو </w:t>
      </w:r>
      <w:r w:rsidRPr="00F27422">
        <w:rPr>
          <w:b/>
          <w:bCs/>
          <w:sz w:val="32"/>
          <w:szCs w:val="32"/>
          <w:rtl/>
        </w:rPr>
        <w:t>(يجوز عليها تزويج أبيها)</w:t>
      </w:r>
      <w:r w:rsidRPr="00F27422">
        <w:rPr>
          <w:sz w:val="32"/>
          <w:szCs w:val="32"/>
          <w:rtl/>
        </w:rPr>
        <w:t xml:space="preserve"> - كما صحيح ابن بزيع -،  أنّها سواءً كانتْ مالكةً أمرها أم لَمْ تكن، ومقتضى إطلاق الطائفة الرابعة التي دلتْ على أنّ لها الخيار إذا بلغتْ - كما في صحيحة أبي عبيدة، وصحيحة محمّد بن مسلم - سواءً كانتْ مالكةً </w:t>
      </w:r>
      <w:r w:rsidRPr="00F27422">
        <w:rPr>
          <w:sz w:val="32"/>
          <w:szCs w:val="32"/>
          <w:rtl/>
        </w:rPr>
        <w:lastRenderedPageBreak/>
        <w:t>أمرها أم لَمْ تكن وقوع التعارضُ بين الطائفتين، لكن مفاد هذه الطائفة السادسة شاهدُ جمعٍ بينهما؛ لتضمن منطوقها الشرط الموافق في الحكم لمفاد الطائفة الرابعة، وتضمن مفهومها الحكم الموافق لمفاد الطائفة الأولى، فإنّ حاصل مدلولها قضيةً شرطيةً وهي: "إنْ كانتْ مالكةً أمرها فتتزوج بدون إذن وليها" ومقتضى مفهوم الشرط أنّها إنْ لَمْ تكن مالكةً أمرها فأمرها بيد وليها، فيُجمع بين الطائفتين بهذه الطائفة السادسة، وهي وإنْ لَمْ ترد في العقد للصغيرة كما هو موضوع الحكم في الطائفة الأُولى والرابعة، وإنّما وردت في عقد البالغة إلّا أنّه لما كان موطن التعارض بين الأولى والرابعة "من بلغت" حيث دلتْ الأُولى على عدم الخيار لها، ودلتْ الرابعة على ثبوته شملها مفاد الطائفة السادسة بمقتضى مناسبة الحكم للموضوع، فإنّ المناسب لمن ملكتْ أمرها أنْ يكون أمر نكاحها بيدها سواء كانت ممن عقد لها قبل بلوغها أو ممن عقدت لنفسها.</w:t>
      </w:r>
    </w:p>
    <w:p w14:paraId="4D1161CD" w14:textId="77777777" w:rsidR="00DF0721" w:rsidRPr="00F27422" w:rsidRDefault="00DF0721" w:rsidP="00122B70">
      <w:pPr>
        <w:bidi/>
        <w:rPr>
          <w:sz w:val="32"/>
          <w:szCs w:val="32"/>
          <w:rtl/>
        </w:rPr>
      </w:pPr>
      <w:r w:rsidRPr="00F27422">
        <w:rPr>
          <w:sz w:val="32"/>
          <w:szCs w:val="32"/>
          <w:rtl/>
        </w:rPr>
        <w:t>والملاحظ أنّ العلمين السيد الحكيم (قدس سره) في [المستمسك، ج14، ص443] وسيدنا الخوئي (قدس سره) في [كتاب المباني، ج33، ص212]، لم يستوجها صلاحيتها للجمع بين الطوائف المتعارضة في نكاح البالغة البكر.</w:t>
      </w:r>
    </w:p>
    <w:p w14:paraId="2EE1D934" w14:textId="77777777" w:rsidR="00DF0721" w:rsidRPr="00F27422" w:rsidRDefault="00DF0721" w:rsidP="00122B70">
      <w:pPr>
        <w:bidi/>
        <w:rPr>
          <w:b/>
          <w:bCs/>
          <w:sz w:val="32"/>
          <w:szCs w:val="32"/>
          <w:rtl/>
        </w:rPr>
      </w:pPr>
      <w:r w:rsidRPr="00F27422">
        <w:rPr>
          <w:sz w:val="32"/>
          <w:szCs w:val="32"/>
          <w:rtl/>
        </w:rPr>
        <w:t xml:space="preserve">لكن ظاهر فتوى السيد الأُستاذ (مد ظله الشريف) استظهار ذلك كما في كتابه [منهاج الصالحين، فتاوى المرجع الديني الأعلى السيد علي الحسيني السيستاني (دام ظله)، الطبعة المصححة 1445هـ.، ج3، كتاب النكاح، الفصل الرابع في أولياء العقد، ص34] حيث قال: </w:t>
      </w:r>
      <w:r w:rsidRPr="00F27422">
        <w:rPr>
          <w:b/>
          <w:bCs/>
          <w:sz w:val="32"/>
          <w:szCs w:val="32"/>
          <w:rtl/>
        </w:rPr>
        <w:t>(مسألة 67: لا ولاية للأب ولا الجدّ للأب على البالغ الرشيد، ولا على البالغة الرشيدة إذا كانت ثيّباً، وأمّا إذا كانت بِكراً)</w:t>
      </w:r>
      <w:r w:rsidRPr="00F27422">
        <w:rPr>
          <w:sz w:val="32"/>
          <w:szCs w:val="32"/>
          <w:rtl/>
        </w:rPr>
        <w:t xml:space="preserve"> أي: البالغة الرشيدة </w:t>
      </w:r>
      <w:r w:rsidRPr="00F27422">
        <w:rPr>
          <w:b/>
          <w:bCs/>
          <w:sz w:val="32"/>
          <w:szCs w:val="32"/>
          <w:rtl/>
        </w:rPr>
        <w:t>(فإن كانت مالكة لأمرها)</w:t>
      </w:r>
      <w:r w:rsidRPr="00F27422">
        <w:rPr>
          <w:sz w:val="32"/>
          <w:szCs w:val="32"/>
          <w:rtl/>
        </w:rPr>
        <w:t xml:space="preserve"> كما هو تعبير الرواية الشريفة، ثمّ يردفها بعبارةٍ تشرح المقصود: </w:t>
      </w:r>
      <w:r w:rsidRPr="00F27422">
        <w:rPr>
          <w:b/>
          <w:bCs/>
          <w:sz w:val="32"/>
          <w:szCs w:val="32"/>
          <w:rtl/>
        </w:rPr>
        <w:t>(ومستقلّة في شؤون حياتها لم يكن لأبيها ولا جدّها لأبيها أن يزوّجها من دون رضاها).</w:t>
      </w:r>
    </w:p>
    <w:p w14:paraId="295670AA" w14:textId="77777777" w:rsidR="00DF0721" w:rsidRPr="00F27422" w:rsidRDefault="00DF0721" w:rsidP="00122B70">
      <w:pPr>
        <w:bidi/>
        <w:rPr>
          <w:b/>
          <w:bCs/>
          <w:sz w:val="32"/>
          <w:szCs w:val="32"/>
          <w:rtl/>
        </w:rPr>
      </w:pPr>
      <w:r w:rsidRPr="00F27422">
        <w:rPr>
          <w:sz w:val="32"/>
          <w:szCs w:val="32"/>
          <w:rtl/>
        </w:rPr>
        <w:t>والمقصودُ بالاستقلال أنّ أمور حياتها بيدها، كما لو كان أبوها هاجراً لها أو هاجراً للأُسرة أو كان أبوها ممن لا قدرة له على إدارة الأُمور فهي قائمة بإدارة أمورها وشؤونها، ولذا فهي بنظر العرف مستقلة في شؤونها وإنْ كانتْ بكراً</w:t>
      </w:r>
      <w:r w:rsidRPr="00F27422">
        <w:rPr>
          <w:sz w:val="32"/>
          <w:szCs w:val="32"/>
        </w:rPr>
        <w:t>.</w:t>
      </w:r>
    </w:p>
    <w:p w14:paraId="742CFC40" w14:textId="77777777" w:rsidR="00DF0721" w:rsidRPr="00F27422" w:rsidRDefault="00DF0721" w:rsidP="00122B70">
      <w:pPr>
        <w:bidi/>
        <w:rPr>
          <w:b/>
          <w:bCs/>
          <w:sz w:val="32"/>
          <w:szCs w:val="32"/>
          <w:rtl/>
        </w:rPr>
      </w:pPr>
      <w:r w:rsidRPr="00F27422">
        <w:rPr>
          <w:b/>
          <w:bCs/>
          <w:sz w:val="32"/>
          <w:szCs w:val="32"/>
          <w:rtl/>
        </w:rPr>
        <w:t>(وهل لها أن تتزوّج من دون إذن أحدهما؟ فيه إشكال فلا تترك مراعاة مقتضى الاحتياط فيه).</w:t>
      </w:r>
    </w:p>
    <w:p w14:paraId="7CD622ED" w14:textId="77777777" w:rsidR="00DF0721" w:rsidRPr="00F27422" w:rsidRDefault="00DF0721" w:rsidP="00122B70">
      <w:pPr>
        <w:bidi/>
        <w:rPr>
          <w:b/>
          <w:bCs/>
          <w:sz w:val="32"/>
          <w:szCs w:val="32"/>
          <w:rtl/>
        </w:rPr>
      </w:pPr>
      <w:r w:rsidRPr="00F27422">
        <w:rPr>
          <w:sz w:val="32"/>
          <w:szCs w:val="32"/>
          <w:rtl/>
        </w:rPr>
        <w:t xml:space="preserve">ولا تعارضُ هذه الطائفةُ السادسة الطائفةَ الخامسة التي دلتْ على التفصيل بين الولد والبنت، وأنّ الولد إذا بلغ له الخيار وأمّا البنت فليس لها الخيار، نحو رواية الفضل بن عبدالملك كما في الوسائل: </w:t>
      </w:r>
      <w:r w:rsidRPr="00F27422">
        <w:rPr>
          <w:b/>
          <w:bCs/>
          <w:sz w:val="32"/>
          <w:szCs w:val="32"/>
          <w:rtl/>
        </w:rPr>
        <w:t xml:space="preserve">(وعنه، عن عبدالله بن محمّد، عن علي بن الحكم، عن أبان بن عثمان، عن الفضل </w:t>
      </w:r>
      <w:r w:rsidRPr="00F27422">
        <w:rPr>
          <w:b/>
          <w:bCs/>
          <w:sz w:val="32"/>
          <w:szCs w:val="32"/>
          <w:rtl/>
        </w:rPr>
        <w:lastRenderedPageBreak/>
        <w:t>بن عبدالملك قال: سألتُ أبا عبدالله (عليه السلام) عن الرجل يزوج ابنه وهو صغير؟ قال: لا بأس، قلتُ: يجوز طلاق الأب؟ قال: لا، قلتُ: على من الصداق؟ قال: على الأب إن كان ضمنه لهم، وإن لم يكن ضمنه، فهو على الغلام، إلّا أن لا يكون للغلام مال فهو ضامن له وإن لم يكن ضمن، وقال: إذا زوج الرجل ابنه فذاك إلى ابنه، وإن زوج الابنة جاز).</w:t>
      </w:r>
      <w:r w:rsidRPr="00F27422">
        <w:rPr>
          <w:sz w:val="32"/>
          <w:szCs w:val="32"/>
          <w:rtl/>
        </w:rPr>
        <w:t xml:space="preserve"> [وسائل الشيعة، الحر العاملي، تحقيق مؤسسة أهل البيت (عليهم السلام) لإحياء التراث، ج21، كتاب النكاح، أبواب المهور، الباب 28 باب أنّ من زوج ابنه الصغير وضمن المهر أو لم يكن للابن مال فالمهر على الأب وإلا فعلى الابن، ح2]</w:t>
      </w:r>
      <w:r w:rsidRPr="00F27422">
        <w:rPr>
          <w:sz w:val="32"/>
          <w:szCs w:val="32"/>
        </w:rPr>
        <w:t>.</w:t>
      </w:r>
    </w:p>
    <w:p w14:paraId="3E06CBB8" w14:textId="77777777" w:rsidR="00DF0721" w:rsidRPr="00F27422" w:rsidRDefault="00DF0721" w:rsidP="00122B70">
      <w:pPr>
        <w:bidi/>
        <w:rPr>
          <w:b/>
          <w:bCs/>
          <w:sz w:val="32"/>
          <w:szCs w:val="32"/>
          <w:rtl/>
        </w:rPr>
      </w:pPr>
      <w:r w:rsidRPr="00F27422">
        <w:rPr>
          <w:sz w:val="32"/>
          <w:szCs w:val="32"/>
          <w:rtl/>
        </w:rPr>
        <w:t xml:space="preserve">وفي قوله (عليه السلام): </w:t>
      </w:r>
      <w:r w:rsidRPr="00F27422">
        <w:rPr>
          <w:b/>
          <w:bCs/>
          <w:sz w:val="32"/>
          <w:szCs w:val="32"/>
          <w:rtl/>
        </w:rPr>
        <w:t xml:space="preserve">(إذا زوج الرجل ابنه فذاك إلى ابنه) </w:t>
      </w:r>
      <w:r w:rsidRPr="00F27422">
        <w:rPr>
          <w:sz w:val="32"/>
          <w:szCs w:val="32"/>
          <w:rtl/>
        </w:rPr>
        <w:t>أي: أنّ الخيار إلى الابن</w:t>
      </w:r>
      <w:r w:rsidRPr="00F27422">
        <w:rPr>
          <w:sz w:val="32"/>
          <w:szCs w:val="32"/>
        </w:rPr>
        <w:t>.</w:t>
      </w:r>
    </w:p>
    <w:p w14:paraId="25C221CB" w14:textId="77777777" w:rsidR="00DF0721" w:rsidRPr="00F27422" w:rsidRDefault="00DF0721" w:rsidP="00122B70">
      <w:pPr>
        <w:bidi/>
        <w:rPr>
          <w:b/>
          <w:bCs/>
          <w:sz w:val="32"/>
          <w:szCs w:val="32"/>
          <w:rtl/>
        </w:rPr>
      </w:pPr>
      <w:r w:rsidRPr="00F27422">
        <w:rPr>
          <w:sz w:val="32"/>
          <w:szCs w:val="32"/>
          <w:rtl/>
        </w:rPr>
        <w:t xml:space="preserve">وقوله (عليه السلام): </w:t>
      </w:r>
      <w:r w:rsidRPr="00F27422">
        <w:rPr>
          <w:b/>
          <w:bCs/>
          <w:sz w:val="32"/>
          <w:szCs w:val="32"/>
          <w:rtl/>
        </w:rPr>
        <w:t>(وإن زوج الابنة جاز)</w:t>
      </w:r>
      <w:r w:rsidRPr="00F27422">
        <w:rPr>
          <w:sz w:val="32"/>
          <w:szCs w:val="32"/>
          <w:rtl/>
        </w:rPr>
        <w:t xml:space="preserve"> أي: ليس لها خيار</w:t>
      </w:r>
      <w:r w:rsidRPr="00F27422">
        <w:rPr>
          <w:sz w:val="32"/>
          <w:szCs w:val="32"/>
        </w:rPr>
        <w:t>.</w:t>
      </w:r>
    </w:p>
    <w:p w14:paraId="23973B52" w14:textId="77777777" w:rsidR="00DF0721" w:rsidRPr="00F27422" w:rsidRDefault="00DF0721" w:rsidP="00122B70">
      <w:pPr>
        <w:bidi/>
        <w:rPr>
          <w:b/>
          <w:bCs/>
          <w:sz w:val="32"/>
          <w:szCs w:val="32"/>
          <w:rtl/>
        </w:rPr>
      </w:pPr>
      <w:r w:rsidRPr="00F27422">
        <w:rPr>
          <w:b/>
          <w:bCs/>
          <w:sz w:val="32"/>
          <w:szCs w:val="32"/>
          <w:rtl/>
        </w:rPr>
        <w:t>بأنْ يُقال:</w:t>
      </w:r>
      <w:r w:rsidRPr="00F27422">
        <w:rPr>
          <w:sz w:val="32"/>
          <w:szCs w:val="32"/>
          <w:rtl/>
        </w:rPr>
        <w:t xml:space="preserve"> مقتضى هذه الطائفة الخامسة المعارضة مع الطائفة السادسة التي دلتْ على أنّها إذا كانت مالكةً لأمرها فيمكن أنْ تتزوج بدون إذن وليها</w:t>
      </w:r>
      <w:r w:rsidRPr="00F27422">
        <w:rPr>
          <w:sz w:val="32"/>
          <w:szCs w:val="32"/>
        </w:rPr>
        <w:t>.</w:t>
      </w:r>
    </w:p>
    <w:p w14:paraId="7BCB72B5" w14:textId="77777777" w:rsidR="00DF0721" w:rsidRPr="00F27422" w:rsidRDefault="00DF0721" w:rsidP="00122B70">
      <w:pPr>
        <w:bidi/>
        <w:rPr>
          <w:b/>
          <w:bCs/>
          <w:sz w:val="32"/>
          <w:szCs w:val="32"/>
          <w:rtl/>
        </w:rPr>
      </w:pPr>
      <w:r w:rsidRPr="00F27422">
        <w:rPr>
          <w:b/>
          <w:bCs/>
          <w:sz w:val="32"/>
          <w:szCs w:val="32"/>
          <w:rtl/>
        </w:rPr>
        <w:t>حيث يُقال:</w:t>
      </w:r>
      <w:r w:rsidRPr="00F27422">
        <w:rPr>
          <w:sz w:val="32"/>
          <w:szCs w:val="32"/>
          <w:rtl/>
        </w:rPr>
        <w:t xml:space="preserve"> إنّ الطائفة السادسة أيضاً حاكمة على الطائفة الخامسة، حيث إنّ مفادها أنّ الولد سواءً اِستقل في أموره أم لَمْ يستقل فنكاحه بيده إذا بلغ، وأمّا بالنسبة للبنت فإنّما يجوز عليها عقد أبيها إنْ لَمْ تكن مالكةً لأمرها، فنفس التفصيل الذي سبق أنّه شاهدُ جمعٍ بين الطائفة الأُولى والطائفة الرابعة هو نفسه يقتضي التفصيل في مفاد الطائفة الخامسة.</w:t>
      </w:r>
    </w:p>
    <w:p w14:paraId="46FC7341" w14:textId="77777777" w:rsidR="00DF0721" w:rsidRPr="00F27422" w:rsidRDefault="00DF0721" w:rsidP="00122B70">
      <w:pPr>
        <w:bidi/>
        <w:rPr>
          <w:b/>
          <w:bCs/>
          <w:sz w:val="32"/>
          <w:szCs w:val="32"/>
          <w:rtl/>
        </w:rPr>
      </w:pPr>
    </w:p>
    <w:p w14:paraId="5DDE54DC" w14:textId="77777777" w:rsidR="00DF0721" w:rsidRPr="00F27422" w:rsidRDefault="00DF0721" w:rsidP="00122B70">
      <w:pPr>
        <w:bidi/>
        <w:rPr>
          <w:b/>
          <w:bCs/>
          <w:sz w:val="32"/>
          <w:szCs w:val="32"/>
          <w:rtl/>
        </w:rPr>
      </w:pPr>
      <w:r w:rsidRPr="00F27422">
        <w:rPr>
          <w:b/>
          <w:bCs/>
          <w:sz w:val="32"/>
          <w:szCs w:val="32"/>
          <w:rtl/>
        </w:rPr>
        <w:t xml:space="preserve">والحمد لله رب العالمين </w:t>
      </w:r>
    </w:p>
    <w:p w14:paraId="42640333" w14:textId="77777777" w:rsidR="00DF0721" w:rsidRPr="00F27422" w:rsidRDefault="00DF0721" w:rsidP="00122B70">
      <w:pPr>
        <w:bidi/>
        <w:rPr>
          <w:sz w:val="32"/>
          <w:szCs w:val="32"/>
        </w:rPr>
      </w:pPr>
    </w:p>
    <w:p w14:paraId="2F37B1BF" w14:textId="6F1805FA" w:rsidR="00DF0721" w:rsidRPr="00F27422" w:rsidRDefault="00DF0721" w:rsidP="00122B70">
      <w:pPr>
        <w:pStyle w:val="Heading3"/>
        <w:bidi/>
        <w:rPr>
          <w:sz w:val="32"/>
          <w:szCs w:val="32"/>
          <w:rtl/>
        </w:rPr>
      </w:pPr>
      <w:r w:rsidRPr="00F27422">
        <w:rPr>
          <w:sz w:val="32"/>
          <w:szCs w:val="32"/>
        </w:rPr>
        <w:t>055</w:t>
      </w:r>
    </w:p>
    <w:p w14:paraId="01675972"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74DF08AF"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2B5D0A1A"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t>واللعن الدائم على أعدائهم أجمعين إلى قيام يوم الدين</w:t>
      </w:r>
    </w:p>
    <w:p w14:paraId="2B595572" w14:textId="77777777" w:rsidR="00A46EDA" w:rsidRPr="00F27422" w:rsidRDefault="00A46EDA" w:rsidP="00122B70">
      <w:pPr>
        <w:pStyle w:val="a"/>
        <w:bidi/>
        <w:spacing w:line="216" w:lineRule="auto"/>
        <w:jc w:val="left"/>
        <w:rPr>
          <w:rFonts w:ascii="mylotus" w:hAnsi="mylotus"/>
          <w:sz w:val="32"/>
          <w:rtl/>
        </w:rPr>
      </w:pPr>
    </w:p>
    <w:p w14:paraId="1D2FD3A1"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b/>
          <w:bCs/>
          <w:sz w:val="32"/>
          <w:rtl/>
        </w:rPr>
        <w:t>وقد ذكرتْ عدّة وجوه</w:t>
      </w:r>
      <w:r w:rsidRPr="00F27422">
        <w:rPr>
          <w:rFonts w:ascii="mylotus" w:hAnsi="mylotus" w:hint="cs"/>
          <w:b/>
          <w:bCs/>
          <w:sz w:val="32"/>
          <w:rtl/>
        </w:rPr>
        <w:t>ٍ</w:t>
      </w:r>
      <w:r w:rsidRPr="00F27422">
        <w:rPr>
          <w:rFonts w:ascii="mylotus" w:hAnsi="mylotus"/>
          <w:b/>
          <w:bCs/>
          <w:sz w:val="32"/>
          <w:rtl/>
        </w:rPr>
        <w:t xml:space="preserve"> للجمع بين الطائفة التي عبرتْ بأنّه ليس لها مع أبيها أمر، والطائفة التي عبرتْ بأنّه إذا كانت مالكةً أمرها فتزويجها بغير ولي</w:t>
      </w:r>
      <w:r w:rsidRPr="00F27422">
        <w:rPr>
          <w:rFonts w:ascii="mylotus" w:hAnsi="mylotus" w:hint="cs"/>
          <w:b/>
          <w:bCs/>
          <w:sz w:val="32"/>
          <w:rtl/>
        </w:rPr>
        <w:t>ٍّ</w:t>
      </w:r>
      <w:r w:rsidRPr="00F27422">
        <w:rPr>
          <w:rFonts w:ascii="mylotus" w:hAnsi="mylotus"/>
          <w:b/>
          <w:bCs/>
          <w:sz w:val="32"/>
          <w:rtl/>
        </w:rPr>
        <w:t xml:space="preserve"> جائز</w:t>
      </w:r>
      <w:r w:rsidRPr="00F27422">
        <w:rPr>
          <w:rFonts w:ascii="mylotus" w:hAnsi="mylotus" w:hint="cs"/>
          <w:b/>
          <w:bCs/>
          <w:sz w:val="32"/>
          <w:rtl/>
        </w:rPr>
        <w:t>:</w:t>
      </w:r>
    </w:p>
    <w:p w14:paraId="4ED67977"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b/>
          <w:bCs/>
          <w:sz w:val="32"/>
          <w:rtl/>
        </w:rPr>
        <w:t>الوجهُ الأوّل:</w:t>
      </w:r>
      <w:r w:rsidRPr="00F27422">
        <w:rPr>
          <w:rFonts w:ascii="mylotus" w:hAnsi="mylotus"/>
          <w:sz w:val="32"/>
          <w:rtl/>
        </w:rPr>
        <w:t xml:space="preserve"> ما ذكره الفاضل الهندي في كتابه [كشف اللثام عن قواعد الأحكام، الفاضل الهندي، مؤسسة النشر الإسلامي التابعة لجماعة المدرسين بقم المشرف، ج7، ص79] بقوله: </w:t>
      </w:r>
      <w:r w:rsidRPr="00F27422">
        <w:rPr>
          <w:rFonts w:ascii="mylotus" w:hAnsi="mylotus"/>
          <w:b/>
          <w:bCs/>
          <w:sz w:val="32"/>
          <w:rtl/>
        </w:rPr>
        <w:t>(لمنع كون البكر مالكة أمرها، غير مولّى عليها، فهو أوّل المسألة)</w:t>
      </w:r>
      <w:r w:rsidRPr="00F27422">
        <w:rPr>
          <w:rFonts w:ascii="mylotus" w:hAnsi="mylotus"/>
          <w:b/>
          <w:bCs/>
          <w:sz w:val="32"/>
        </w:rPr>
        <w:t>.</w:t>
      </w:r>
    </w:p>
    <w:p w14:paraId="14FEA9FE"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lastRenderedPageBreak/>
        <w:t>وبيان ذلك:</w:t>
      </w:r>
      <w:r w:rsidRPr="00F27422">
        <w:rPr>
          <w:rFonts w:ascii="mylotus" w:hAnsi="mylotus"/>
          <w:sz w:val="32"/>
          <w:rtl/>
        </w:rPr>
        <w:t xml:space="preserve"> أنّ المقصود بأنّها مالكة أمرها أنّ لها الولاية في نكاحها شرعاً، فكأنّه قال: "من كانت لها الولايةُ على نكاحها شرعاً فتزويجها بغير وليٍّ جائز"، والتمسكُ بهذا الدليل في الجارية البِكر التي بلغتْ تمسكٌ بالدليل في الشبهة المصداقية؛ إذّ لا يعلم أنّ لها ولاية على نكاحها شرعاً</w:t>
      </w:r>
      <w:r w:rsidRPr="00F27422">
        <w:rPr>
          <w:rFonts w:ascii="mylotus" w:hAnsi="mylotus"/>
          <w:sz w:val="32"/>
        </w:rPr>
        <w:t>.</w:t>
      </w:r>
    </w:p>
    <w:p w14:paraId="08CC2DFF"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t>وفيه:</w:t>
      </w:r>
      <w:r w:rsidRPr="00F27422">
        <w:rPr>
          <w:rFonts w:ascii="mylotus" w:hAnsi="mylotus"/>
          <w:sz w:val="32"/>
          <w:rtl/>
        </w:rPr>
        <w:t xml:space="preserve"> ما ذكره الفقيه النبيه سيد المستمسك (قدس سره الشريف) في كتابه [مستمسك العروة الوثقى، السيد محسن الطباطبائي الحكيم، دار إحياء التراث العربي، ج14، ص440] بقوله: </w:t>
      </w:r>
      <w:r w:rsidRPr="00F27422">
        <w:rPr>
          <w:rFonts w:ascii="mylotus" w:hAnsi="mylotus"/>
          <w:b/>
          <w:bCs/>
          <w:sz w:val="32"/>
          <w:rtl/>
        </w:rPr>
        <w:t xml:space="preserve">(ومنع كون البكر مالكة أمرها غير المولى عليها، إذ هو أول المسألة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كما</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كشف</w:t>
      </w:r>
      <w:r w:rsidRPr="00F27422">
        <w:rPr>
          <w:rFonts w:ascii="mylotus" w:hAnsi="mylotus"/>
          <w:b/>
          <w:bCs/>
          <w:sz w:val="32"/>
          <w:rtl/>
        </w:rPr>
        <w:t xml:space="preserve"> </w:t>
      </w:r>
      <w:r w:rsidRPr="00F27422">
        <w:rPr>
          <w:rFonts w:ascii="mylotus" w:hAnsi="mylotus" w:hint="cs"/>
          <w:b/>
          <w:bCs/>
          <w:sz w:val="32"/>
          <w:rtl/>
        </w:rPr>
        <w:t>اللثام</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ضعيف،</w:t>
      </w:r>
      <w:r w:rsidRPr="00F27422">
        <w:rPr>
          <w:rFonts w:ascii="mylotus" w:hAnsi="mylotus"/>
          <w:b/>
          <w:bCs/>
          <w:sz w:val="32"/>
          <w:rtl/>
        </w:rPr>
        <w:t xml:space="preserve"> </w:t>
      </w:r>
      <w:r w:rsidRPr="00F27422">
        <w:rPr>
          <w:rFonts w:ascii="mylotus" w:hAnsi="mylotus" w:hint="cs"/>
          <w:b/>
          <w:bCs/>
          <w:sz w:val="32"/>
          <w:rtl/>
        </w:rPr>
        <w:t>لأنّ</w:t>
      </w:r>
      <w:r w:rsidRPr="00F27422">
        <w:rPr>
          <w:rFonts w:ascii="mylotus" w:hAnsi="mylotus"/>
          <w:b/>
          <w:bCs/>
          <w:sz w:val="32"/>
          <w:rtl/>
        </w:rPr>
        <w:t xml:space="preserve"> </w:t>
      </w:r>
      <w:r w:rsidRPr="00F27422">
        <w:rPr>
          <w:rFonts w:ascii="mylotus" w:hAnsi="mylotus" w:hint="cs"/>
          <w:b/>
          <w:bCs/>
          <w:sz w:val="32"/>
          <w:rtl/>
        </w:rPr>
        <w:t>المراد</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كونها</w:t>
      </w:r>
      <w:r w:rsidRPr="00F27422">
        <w:rPr>
          <w:rFonts w:ascii="mylotus" w:hAnsi="mylotus"/>
          <w:b/>
          <w:bCs/>
          <w:sz w:val="32"/>
          <w:rtl/>
        </w:rPr>
        <w:t xml:space="preserve"> </w:t>
      </w:r>
      <w:r w:rsidRPr="00F27422">
        <w:rPr>
          <w:rFonts w:ascii="mylotus" w:hAnsi="mylotus" w:hint="cs"/>
          <w:b/>
          <w:bCs/>
          <w:sz w:val="32"/>
          <w:rtl/>
        </w:rPr>
        <w:t>مالكة</w:t>
      </w:r>
      <w:r w:rsidRPr="00F27422">
        <w:rPr>
          <w:rFonts w:ascii="mylotus" w:hAnsi="mylotus"/>
          <w:b/>
          <w:bCs/>
          <w:sz w:val="32"/>
          <w:rtl/>
        </w:rPr>
        <w:t xml:space="preserve"> </w:t>
      </w:r>
      <w:r w:rsidRPr="00F27422">
        <w:rPr>
          <w:rFonts w:ascii="mylotus" w:hAnsi="mylotus" w:hint="cs"/>
          <w:b/>
          <w:bCs/>
          <w:sz w:val="32"/>
          <w:rtl/>
        </w:rPr>
        <w:t>أمرها</w:t>
      </w:r>
      <w:r w:rsidRPr="00F27422">
        <w:rPr>
          <w:rFonts w:ascii="mylotus" w:hAnsi="mylotus"/>
          <w:b/>
          <w:bCs/>
          <w:sz w:val="32"/>
          <w:rtl/>
        </w:rPr>
        <w:t xml:space="preserve"> </w:t>
      </w:r>
      <w:r w:rsidRPr="00F27422">
        <w:rPr>
          <w:rFonts w:ascii="mylotus" w:hAnsi="mylotus" w:hint="cs"/>
          <w:b/>
          <w:bCs/>
          <w:sz w:val="32"/>
          <w:rtl/>
        </w:rPr>
        <w:t>أنها</w:t>
      </w:r>
      <w:r w:rsidRPr="00F27422">
        <w:rPr>
          <w:rFonts w:ascii="mylotus" w:hAnsi="mylotus"/>
          <w:b/>
          <w:bCs/>
          <w:sz w:val="32"/>
          <w:rtl/>
        </w:rPr>
        <w:t xml:space="preserve"> </w:t>
      </w:r>
      <w:r w:rsidRPr="00F27422">
        <w:rPr>
          <w:rFonts w:ascii="mylotus" w:hAnsi="mylotus" w:hint="cs"/>
          <w:b/>
          <w:bCs/>
          <w:sz w:val="32"/>
          <w:rtl/>
        </w:rPr>
        <w:t>مالكة</w:t>
      </w:r>
      <w:r w:rsidRPr="00F27422">
        <w:rPr>
          <w:rFonts w:ascii="mylotus" w:hAnsi="mylotus"/>
          <w:b/>
          <w:bCs/>
          <w:sz w:val="32"/>
          <w:rtl/>
        </w:rPr>
        <w:t xml:space="preserve"> </w:t>
      </w:r>
      <w:r w:rsidRPr="00F27422">
        <w:rPr>
          <w:rFonts w:ascii="mylotus" w:hAnsi="mylotus" w:hint="cs"/>
          <w:b/>
          <w:bCs/>
          <w:sz w:val="32"/>
          <w:rtl/>
        </w:rPr>
        <w:t>له</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غير</w:t>
      </w:r>
      <w:r w:rsidRPr="00F27422">
        <w:rPr>
          <w:rFonts w:ascii="mylotus" w:hAnsi="mylotus"/>
          <w:b/>
          <w:bCs/>
          <w:sz w:val="32"/>
          <w:rtl/>
        </w:rPr>
        <w:t xml:space="preserve"> </w:t>
      </w:r>
      <w:r w:rsidRPr="00F27422">
        <w:rPr>
          <w:rFonts w:ascii="mylotus" w:hAnsi="mylotus" w:hint="cs"/>
          <w:b/>
          <w:bCs/>
          <w:sz w:val="32"/>
          <w:rtl/>
        </w:rPr>
        <w:t>النكاح</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أنّها</w:t>
      </w:r>
      <w:r w:rsidRPr="00F27422">
        <w:rPr>
          <w:rFonts w:ascii="mylotus" w:hAnsi="mylotus"/>
          <w:sz w:val="32"/>
          <w:rtl/>
        </w:rPr>
        <w:t xml:space="preserve"> </w:t>
      </w:r>
      <w:r w:rsidRPr="00F27422">
        <w:rPr>
          <w:rFonts w:ascii="mylotus" w:hAnsi="mylotus" w:hint="cs"/>
          <w:sz w:val="32"/>
          <w:rtl/>
        </w:rPr>
        <w:t>مالكة</w:t>
      </w:r>
      <w:r w:rsidRPr="00F27422">
        <w:rPr>
          <w:rFonts w:ascii="mylotus" w:hAnsi="mylotus"/>
          <w:sz w:val="32"/>
          <w:rtl/>
        </w:rPr>
        <w:t xml:space="preserve"> </w:t>
      </w:r>
      <w:r w:rsidRPr="00F27422">
        <w:rPr>
          <w:rFonts w:ascii="mylotus" w:hAnsi="mylotus" w:hint="cs"/>
          <w:sz w:val="32"/>
          <w:rtl/>
        </w:rPr>
        <w:t>أمرها</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النكاح</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إذ</w:t>
      </w:r>
      <w:r w:rsidRPr="00F27422">
        <w:rPr>
          <w:rFonts w:ascii="mylotus" w:hAnsi="mylotus"/>
          <w:b/>
          <w:bCs/>
          <w:sz w:val="32"/>
          <w:rtl/>
        </w:rPr>
        <w:t xml:space="preserve"> </w:t>
      </w:r>
      <w:r w:rsidRPr="00F27422">
        <w:rPr>
          <w:rFonts w:ascii="mylotus" w:hAnsi="mylotus" w:hint="cs"/>
          <w:b/>
          <w:bCs/>
          <w:sz w:val="32"/>
          <w:rtl/>
        </w:rPr>
        <w:t>لو</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المراد</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أنها</w:t>
      </w:r>
      <w:r w:rsidRPr="00F27422">
        <w:rPr>
          <w:rFonts w:ascii="mylotus" w:hAnsi="mylotus"/>
          <w:b/>
          <w:bCs/>
          <w:sz w:val="32"/>
          <w:rtl/>
        </w:rPr>
        <w:t xml:space="preserve"> </w:t>
      </w:r>
      <w:r w:rsidRPr="00F27422">
        <w:rPr>
          <w:rFonts w:ascii="mylotus" w:hAnsi="mylotus" w:hint="cs"/>
          <w:b/>
          <w:bCs/>
          <w:sz w:val="32"/>
          <w:rtl/>
        </w:rPr>
        <w:t>مالكة</w:t>
      </w:r>
      <w:r w:rsidRPr="00F27422">
        <w:rPr>
          <w:rFonts w:ascii="mylotus" w:hAnsi="mylotus"/>
          <w:b/>
          <w:bCs/>
          <w:sz w:val="32"/>
          <w:rtl/>
        </w:rPr>
        <w:t xml:space="preserve"> </w:t>
      </w:r>
      <w:r w:rsidRPr="00F27422">
        <w:rPr>
          <w:rFonts w:ascii="mylotus" w:hAnsi="mylotus" w:hint="cs"/>
          <w:b/>
          <w:bCs/>
          <w:sz w:val="32"/>
          <w:rtl/>
        </w:rPr>
        <w:t>أمرها</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النكاح</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الحمل</w:t>
      </w:r>
      <w:r w:rsidRPr="00F27422">
        <w:rPr>
          <w:rFonts w:ascii="mylotus" w:hAnsi="mylotus"/>
          <w:b/>
          <w:bCs/>
          <w:sz w:val="32"/>
          <w:rtl/>
        </w:rPr>
        <w:t xml:space="preserve"> </w:t>
      </w:r>
      <w:r w:rsidRPr="00F27422">
        <w:rPr>
          <w:rFonts w:ascii="mylotus" w:hAnsi="mylotus" w:hint="cs"/>
          <w:b/>
          <w:bCs/>
          <w:sz w:val="32"/>
          <w:rtl/>
        </w:rPr>
        <w:t>ضرورياً</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كانت</w:t>
      </w:r>
      <w:r w:rsidRPr="00F27422">
        <w:rPr>
          <w:rFonts w:ascii="mylotus" w:hAnsi="mylotus"/>
          <w:sz w:val="32"/>
          <w:rtl/>
        </w:rPr>
        <w:t xml:space="preserve"> </w:t>
      </w:r>
      <w:r w:rsidRPr="00F27422">
        <w:rPr>
          <w:rFonts w:ascii="mylotus" w:hAnsi="mylotus" w:hint="cs"/>
          <w:sz w:val="32"/>
          <w:rtl/>
        </w:rPr>
        <w:t>القضية</w:t>
      </w:r>
      <w:r w:rsidRPr="00F27422">
        <w:rPr>
          <w:rFonts w:ascii="mylotus" w:hAnsi="mylotus"/>
          <w:sz w:val="32"/>
          <w:rtl/>
        </w:rPr>
        <w:t xml:space="preserve"> </w:t>
      </w:r>
      <w:r w:rsidRPr="00F27422">
        <w:rPr>
          <w:rFonts w:ascii="mylotus" w:hAnsi="mylotus" w:hint="cs"/>
          <w:sz w:val="32"/>
          <w:rtl/>
        </w:rPr>
        <w:t>بشرط</w:t>
      </w:r>
      <w:r w:rsidRPr="00F27422">
        <w:rPr>
          <w:rFonts w:ascii="mylotus" w:hAnsi="mylotus"/>
          <w:sz w:val="32"/>
          <w:rtl/>
        </w:rPr>
        <w:t xml:space="preserve"> </w:t>
      </w:r>
      <w:r w:rsidRPr="00F27422">
        <w:rPr>
          <w:rFonts w:ascii="mylotus" w:hAnsi="mylotus" w:hint="cs"/>
          <w:sz w:val="32"/>
          <w:rtl/>
        </w:rPr>
        <w:t>المحمول،</w:t>
      </w:r>
      <w:r w:rsidRPr="00F27422">
        <w:rPr>
          <w:rFonts w:ascii="mylotus" w:hAnsi="mylotus"/>
          <w:sz w:val="32"/>
          <w:rtl/>
        </w:rPr>
        <w:t xml:space="preserve"> </w:t>
      </w:r>
      <w:r w:rsidRPr="00F27422">
        <w:rPr>
          <w:rFonts w:ascii="mylotus" w:hAnsi="mylotus" w:hint="cs"/>
          <w:sz w:val="32"/>
          <w:rtl/>
        </w:rPr>
        <w:t>فكأنّه</w:t>
      </w:r>
      <w:r w:rsidRPr="00F27422">
        <w:rPr>
          <w:rFonts w:ascii="mylotus" w:hAnsi="mylotus"/>
          <w:sz w:val="32"/>
          <w:rtl/>
        </w:rPr>
        <w:t xml:space="preserve"> </w:t>
      </w:r>
      <w:r w:rsidRPr="00F27422">
        <w:rPr>
          <w:rFonts w:ascii="mylotus" w:hAnsi="mylotus" w:hint="cs"/>
          <w:sz w:val="32"/>
          <w:rtl/>
        </w:rPr>
        <w:t>قال</w:t>
      </w:r>
      <w:r w:rsidRPr="00F27422">
        <w:rPr>
          <w:rFonts w:ascii="mylotus" w:hAnsi="mylotus"/>
          <w:sz w:val="32"/>
          <w:rtl/>
        </w:rPr>
        <w:t>: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ملكتْ</w:t>
      </w:r>
      <w:r w:rsidRPr="00F27422">
        <w:rPr>
          <w:rFonts w:ascii="mylotus" w:hAnsi="mylotus"/>
          <w:sz w:val="32"/>
          <w:rtl/>
        </w:rPr>
        <w:t xml:space="preserve"> </w:t>
      </w:r>
      <w:r w:rsidRPr="00F27422">
        <w:rPr>
          <w:rFonts w:ascii="mylotus" w:hAnsi="mylotus" w:hint="cs"/>
          <w:sz w:val="32"/>
          <w:rtl/>
        </w:rPr>
        <w:t>أمرها</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النكاح</w:t>
      </w:r>
      <w:r w:rsidRPr="00F27422">
        <w:rPr>
          <w:rFonts w:ascii="mylotus" w:hAnsi="mylotus"/>
          <w:sz w:val="32"/>
          <w:rtl/>
        </w:rPr>
        <w:t xml:space="preserve"> </w:t>
      </w:r>
      <w:r w:rsidRPr="00F27422">
        <w:rPr>
          <w:rFonts w:ascii="mylotus" w:hAnsi="mylotus" w:hint="cs"/>
          <w:sz w:val="32"/>
          <w:rtl/>
        </w:rPr>
        <w:t>فأمرها</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النكاح</w:t>
      </w:r>
      <w:r w:rsidRPr="00F27422">
        <w:rPr>
          <w:rFonts w:ascii="mylotus" w:hAnsi="mylotus"/>
          <w:sz w:val="32"/>
          <w:rtl/>
        </w:rPr>
        <w:t xml:space="preserve"> </w:t>
      </w:r>
      <w:r w:rsidRPr="00F27422">
        <w:rPr>
          <w:rFonts w:ascii="mylotus" w:hAnsi="mylotus" w:hint="cs"/>
          <w:sz w:val="32"/>
          <w:rtl/>
        </w:rPr>
        <w:t>نافذٌ</w:t>
      </w:r>
      <w:r w:rsidRPr="00F27422">
        <w:rPr>
          <w:rFonts w:ascii="mylotus" w:hAnsi="mylotus"/>
          <w:sz w:val="32"/>
          <w:rtl/>
        </w:rPr>
        <w:t>"</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وه</w:t>
      </w:r>
      <w:r w:rsidRPr="00F27422">
        <w:rPr>
          <w:rFonts w:ascii="mylotus" w:hAnsi="mylotus"/>
          <w:sz w:val="32"/>
          <w:rtl/>
        </w:rPr>
        <w:t xml:space="preserve">ذا مما لا معنى له، </w:t>
      </w:r>
      <w:r w:rsidRPr="00F27422">
        <w:rPr>
          <w:rFonts w:ascii="mylotus" w:hAnsi="mylotus"/>
          <w:b/>
          <w:bCs/>
          <w:sz w:val="32"/>
          <w:rtl/>
        </w:rPr>
        <w:t>(فيكون)</w:t>
      </w:r>
      <w:r w:rsidRPr="00F27422">
        <w:rPr>
          <w:rFonts w:ascii="mylotus" w:hAnsi="mylotus"/>
          <w:sz w:val="32"/>
          <w:rtl/>
        </w:rPr>
        <w:t xml:space="preserve"> وصفها بأنّها مالكة أمرها حينئذٍ وصفاً </w:t>
      </w:r>
      <w:r w:rsidRPr="00F27422">
        <w:rPr>
          <w:rFonts w:ascii="mylotus" w:hAnsi="mylotus"/>
          <w:b/>
          <w:bCs/>
          <w:sz w:val="32"/>
          <w:rtl/>
        </w:rPr>
        <w:t>(عقلياً لا شرعياً)</w:t>
      </w:r>
      <w:r w:rsidRPr="00F27422">
        <w:rPr>
          <w:rFonts w:ascii="mylotus" w:hAnsi="mylotus"/>
          <w:sz w:val="32"/>
          <w:rtl/>
        </w:rPr>
        <w:t xml:space="preserve"> مولوياً</w:t>
      </w:r>
      <w:r w:rsidRPr="00F27422">
        <w:rPr>
          <w:rFonts w:ascii="mylotus" w:hAnsi="mylotus"/>
          <w:sz w:val="32"/>
        </w:rPr>
        <w:t>.</w:t>
      </w:r>
    </w:p>
    <w:p w14:paraId="1C0D565F"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خصوصاً وأنّ معتبرة زرارة قد صرحت</w:t>
      </w:r>
      <w:r w:rsidRPr="00F27422">
        <w:rPr>
          <w:rFonts w:ascii="mylotus" w:hAnsi="mylotus" w:hint="cs"/>
          <w:sz w:val="32"/>
          <w:rtl/>
        </w:rPr>
        <w:t>ْ</w:t>
      </w:r>
      <w:r w:rsidRPr="00F27422">
        <w:rPr>
          <w:rFonts w:ascii="mylotus" w:hAnsi="mylotus"/>
          <w:sz w:val="32"/>
          <w:rtl/>
        </w:rPr>
        <w:t xml:space="preserve"> بمعنى ملك الأمر بالملك في غير النكاح، كما في التهذيب: </w:t>
      </w:r>
      <w:r w:rsidRPr="00F27422">
        <w:rPr>
          <w:rFonts w:ascii="mylotus" w:hAnsi="mylotus"/>
          <w:b/>
          <w:bCs/>
          <w:sz w:val="32"/>
          <w:rtl/>
        </w:rPr>
        <w:t>(علي بن إسماعيل الميثمي، عن فضالة بن أيوب، عن موسى بن بكر، عن زرارة، عن أبي جعفر (عليه السلام) قال: إذا كانت المرأة مالكة أمرها تبيع وتشتري وتعتق وتشهد وتعطي من مالها ما شاءت فإن أمرها جائز تزوج إن شاءت بغير إذن وليها، وإن لم يكن كذلك فلا يجوز تزويجها إلا بأمر وليها).</w:t>
      </w:r>
      <w:r w:rsidRPr="00F27422">
        <w:rPr>
          <w:rFonts w:ascii="mylotus" w:hAnsi="mylotus" w:hint="cs"/>
          <w:b/>
          <w:bCs/>
          <w:sz w:val="32"/>
          <w:rtl/>
        </w:rPr>
        <w:t xml:space="preserve"> </w:t>
      </w:r>
      <w:r w:rsidRPr="00F27422">
        <w:rPr>
          <w:rFonts w:ascii="mylotus" w:hAnsi="mylotus"/>
          <w:sz w:val="32"/>
          <w:rtl/>
        </w:rPr>
        <w:t>[تهذيب الأحكام، شيخ الطائفة الطوسي، ج7، كتاب النكاح، باب 32 باب عقد المرأة على نفسها النكاح وأولياء الصبية وأحقهم بالعقد عليها، ح6، رقم</w:t>
      </w:r>
      <w:r w:rsidRPr="00F27422">
        <w:rPr>
          <w:rFonts w:ascii="mylotus" w:hAnsi="mylotus"/>
          <w:sz w:val="32"/>
        </w:rPr>
        <w:t xml:space="preserve"> (1530)</w:t>
      </w:r>
      <w:r w:rsidRPr="00F27422">
        <w:rPr>
          <w:rFonts w:ascii="mylotus" w:hAnsi="mylotus"/>
          <w:sz w:val="32"/>
          <w:rtl/>
        </w:rPr>
        <w:t>]</w:t>
      </w:r>
      <w:r w:rsidRPr="00F27422">
        <w:rPr>
          <w:rFonts w:ascii="mylotus" w:hAnsi="mylotus"/>
          <w:sz w:val="32"/>
        </w:rPr>
        <w:t>.</w:t>
      </w:r>
    </w:p>
    <w:p w14:paraId="46B73FF8"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b/>
          <w:bCs/>
          <w:sz w:val="32"/>
          <w:rtl/>
        </w:rPr>
        <w:t>الوجهُ الثاني:</w:t>
      </w:r>
      <w:r w:rsidRPr="00F27422">
        <w:rPr>
          <w:rFonts w:ascii="mylotus" w:hAnsi="mylotus"/>
          <w:sz w:val="32"/>
          <w:rtl/>
        </w:rPr>
        <w:t xml:space="preserve"> ما اختاره سيد المستمسك (قدس سره</w:t>
      </w:r>
      <w:r w:rsidRPr="00F27422">
        <w:rPr>
          <w:rFonts w:ascii="mylotus" w:hAnsi="mylotus" w:hint="cs"/>
          <w:sz w:val="32"/>
          <w:rtl/>
        </w:rPr>
        <w:t xml:space="preserve"> الشريف</w:t>
      </w:r>
      <w:r w:rsidRPr="00F27422">
        <w:rPr>
          <w:rFonts w:ascii="mylotus" w:hAnsi="mylotus"/>
          <w:sz w:val="32"/>
          <w:rtl/>
        </w:rPr>
        <w:t xml:space="preserve">) في كتابه [مستمسك العروة الوثقى، السيد محسن الطباطبائي الحكيم، دار إحياء التراث العربي، ج14، ص441 </w:t>
      </w:r>
      <w:r w:rsidRPr="00F27422">
        <w:rPr>
          <w:rFonts w:ascii="Times New Roman" w:hAnsi="Times New Roman" w:cs="Times New Roman" w:hint="cs"/>
          <w:sz w:val="32"/>
          <w:rtl/>
        </w:rPr>
        <w:t>–</w:t>
      </w:r>
      <w:r w:rsidRPr="00F27422">
        <w:rPr>
          <w:rFonts w:ascii="mylotus" w:hAnsi="mylotus"/>
          <w:sz w:val="32"/>
          <w:rtl/>
        </w:rPr>
        <w:t xml:space="preserve"> 444] </w:t>
      </w:r>
      <w:r w:rsidRPr="00F27422">
        <w:rPr>
          <w:rFonts w:ascii="mylotus" w:hAnsi="mylotus" w:hint="cs"/>
          <w:sz w:val="32"/>
          <w:rtl/>
        </w:rPr>
        <w:t>بقوله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نعم</w:t>
      </w:r>
      <w:r w:rsidRPr="00F27422">
        <w:rPr>
          <w:rFonts w:ascii="mylotus" w:hAnsi="mylotus"/>
          <w:b/>
          <w:bCs/>
          <w:sz w:val="32"/>
          <w:rtl/>
        </w:rPr>
        <w:t xml:space="preserve"> </w:t>
      </w:r>
      <w:r w:rsidRPr="00F27422">
        <w:rPr>
          <w:rFonts w:ascii="mylotus" w:hAnsi="mylotus" w:hint="cs"/>
          <w:b/>
          <w:bCs/>
          <w:sz w:val="32"/>
          <w:rtl/>
        </w:rPr>
        <w:t>يمكن</w:t>
      </w:r>
      <w:r w:rsidRPr="00F27422">
        <w:rPr>
          <w:rFonts w:ascii="mylotus" w:hAnsi="mylotus"/>
          <w:b/>
          <w:bCs/>
          <w:sz w:val="32"/>
          <w:rtl/>
        </w:rPr>
        <w:t xml:space="preserve"> </w:t>
      </w:r>
      <w:r w:rsidRPr="00F27422">
        <w:rPr>
          <w:rFonts w:ascii="mylotus" w:hAnsi="mylotus" w:hint="cs"/>
          <w:b/>
          <w:bCs/>
          <w:sz w:val="32"/>
          <w:rtl/>
        </w:rPr>
        <w:t>تخصيص</w:t>
      </w:r>
      <w:r w:rsidRPr="00F27422">
        <w:rPr>
          <w:rFonts w:ascii="mylotus" w:hAnsi="mylotus"/>
          <w:b/>
          <w:bCs/>
          <w:sz w:val="32"/>
          <w:rtl/>
        </w:rPr>
        <w:t xml:space="preserve"> </w:t>
      </w:r>
      <w:r w:rsidRPr="00F27422">
        <w:rPr>
          <w:rFonts w:ascii="mylotus" w:hAnsi="mylotus" w:hint="cs"/>
          <w:b/>
          <w:bCs/>
          <w:sz w:val="32"/>
          <w:rtl/>
        </w:rPr>
        <w:t>الصحيح</w:t>
      </w:r>
      <w:r w:rsidRPr="00F27422">
        <w:rPr>
          <w:rFonts w:ascii="mylotus" w:hAnsi="mylotus"/>
          <w:b/>
          <w:bCs/>
          <w:sz w:val="32"/>
          <w:rtl/>
        </w:rPr>
        <w:t xml:space="preserve"> </w:t>
      </w:r>
      <w:r w:rsidRPr="00F27422">
        <w:rPr>
          <w:rFonts w:ascii="mylotus" w:hAnsi="mylotus" w:hint="cs"/>
          <w:b/>
          <w:bCs/>
          <w:sz w:val="32"/>
          <w:rtl/>
        </w:rPr>
        <w:t>بالروايات</w:t>
      </w:r>
      <w:r w:rsidRPr="00F27422">
        <w:rPr>
          <w:rFonts w:ascii="mylotus" w:hAnsi="mylotus"/>
          <w:b/>
          <w:bCs/>
          <w:sz w:val="32"/>
          <w:rtl/>
        </w:rPr>
        <w:t xml:space="preserve"> </w:t>
      </w:r>
      <w:r w:rsidRPr="00F27422">
        <w:rPr>
          <w:rFonts w:ascii="mylotus" w:hAnsi="mylotus" w:hint="cs"/>
          <w:b/>
          <w:bCs/>
          <w:sz w:val="32"/>
          <w:rtl/>
        </w:rPr>
        <w:t>السابقة</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الروايات</w:t>
      </w:r>
      <w:r w:rsidRPr="00F27422">
        <w:rPr>
          <w:rFonts w:ascii="mylotus" w:hAnsi="mylotus"/>
          <w:sz w:val="32"/>
          <w:rtl/>
        </w:rPr>
        <w:t xml:space="preserve"> </w:t>
      </w:r>
      <w:r w:rsidRPr="00F27422">
        <w:rPr>
          <w:rFonts w:ascii="mylotus" w:hAnsi="mylotus" w:hint="cs"/>
          <w:sz w:val="32"/>
          <w:rtl/>
        </w:rPr>
        <w:t>التي</w:t>
      </w:r>
      <w:r w:rsidRPr="00F27422">
        <w:rPr>
          <w:rFonts w:ascii="mylotus" w:hAnsi="mylotus"/>
          <w:sz w:val="32"/>
          <w:rtl/>
        </w:rPr>
        <w:t xml:space="preserve"> </w:t>
      </w:r>
      <w:r w:rsidRPr="00F27422">
        <w:rPr>
          <w:rFonts w:ascii="mylotus" w:hAnsi="mylotus" w:hint="cs"/>
          <w:sz w:val="32"/>
          <w:rtl/>
        </w:rPr>
        <w:t>قالتْ</w:t>
      </w:r>
      <w:r w:rsidRPr="00F27422">
        <w:rPr>
          <w:rFonts w:ascii="mylotus" w:hAnsi="mylotus"/>
          <w:sz w:val="32"/>
          <w:rtl/>
        </w:rPr>
        <w:t>: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لها</w:t>
      </w:r>
      <w:r w:rsidRPr="00F27422">
        <w:rPr>
          <w:rFonts w:ascii="mylotus" w:hAnsi="mylotus"/>
          <w:sz w:val="32"/>
          <w:rtl/>
        </w:rPr>
        <w:t xml:space="preserve"> </w:t>
      </w:r>
      <w:r w:rsidRPr="00F27422">
        <w:rPr>
          <w:rFonts w:ascii="mylotus" w:hAnsi="mylotus" w:hint="cs"/>
          <w:sz w:val="32"/>
          <w:rtl/>
        </w:rPr>
        <w:t>مع</w:t>
      </w:r>
      <w:r w:rsidRPr="00F27422">
        <w:rPr>
          <w:rFonts w:ascii="mylotus" w:hAnsi="mylotus"/>
          <w:sz w:val="32"/>
          <w:rtl/>
        </w:rPr>
        <w:t xml:space="preserve"> </w:t>
      </w:r>
      <w:r w:rsidRPr="00F27422">
        <w:rPr>
          <w:rFonts w:ascii="mylotus" w:hAnsi="mylotus" w:hint="cs"/>
          <w:sz w:val="32"/>
          <w:rtl/>
        </w:rPr>
        <w:t>أبيها</w:t>
      </w:r>
      <w:r w:rsidRPr="00F27422">
        <w:rPr>
          <w:rFonts w:ascii="mylotus" w:hAnsi="mylotus"/>
          <w:sz w:val="32"/>
          <w:rtl/>
        </w:rPr>
        <w:t xml:space="preserve"> </w:t>
      </w:r>
      <w:r w:rsidRPr="00F27422">
        <w:rPr>
          <w:rFonts w:ascii="mylotus" w:hAnsi="mylotus" w:hint="cs"/>
          <w:sz w:val="32"/>
          <w:rtl/>
        </w:rPr>
        <w:t>أمر</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فيحمل</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غير</w:t>
      </w:r>
      <w:r w:rsidRPr="00F27422">
        <w:rPr>
          <w:rFonts w:ascii="mylotus" w:hAnsi="mylotus"/>
          <w:b/>
          <w:bCs/>
          <w:sz w:val="32"/>
          <w:rtl/>
        </w:rPr>
        <w:t xml:space="preserve"> </w:t>
      </w:r>
      <w:r w:rsidRPr="00F27422">
        <w:rPr>
          <w:rFonts w:ascii="mylotus" w:hAnsi="mylotus" w:hint="cs"/>
          <w:b/>
          <w:bCs/>
          <w:sz w:val="32"/>
          <w:rtl/>
        </w:rPr>
        <w:t>الأب</w:t>
      </w:r>
      <w:r w:rsidRPr="00F27422">
        <w:rPr>
          <w:rFonts w:ascii="mylotus" w:hAnsi="mylotus"/>
          <w:b/>
          <w:bCs/>
          <w:sz w:val="32"/>
          <w:rtl/>
        </w:rPr>
        <w:t xml:space="preserve"> </w:t>
      </w:r>
      <w:r w:rsidRPr="00F27422">
        <w:rPr>
          <w:rFonts w:ascii="mylotus" w:hAnsi="mylotus" w:hint="cs"/>
          <w:b/>
          <w:bCs/>
          <w:sz w:val="32"/>
          <w:rtl/>
        </w:rPr>
        <w:t>جمعاً</w:t>
      </w:r>
      <w:r w:rsidRPr="00F27422">
        <w:rPr>
          <w:rFonts w:ascii="mylotus" w:hAnsi="mylotus"/>
          <w:b/>
          <w:bCs/>
          <w:sz w:val="32"/>
          <w:rtl/>
        </w:rPr>
        <w:t>)</w:t>
      </w:r>
      <w:r w:rsidRPr="00F27422">
        <w:rPr>
          <w:rFonts w:ascii="mylotus" w:hAnsi="mylotus"/>
          <w:b/>
          <w:bCs/>
          <w:sz w:val="32"/>
        </w:rPr>
        <w:t>.</w:t>
      </w:r>
    </w:p>
    <w:p w14:paraId="7F1DF58A"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 xml:space="preserve">فكأنّ قوله (عليه السلام): </w:t>
      </w:r>
      <w:r w:rsidRPr="00F27422">
        <w:rPr>
          <w:rFonts w:ascii="mylotus" w:hAnsi="mylotus"/>
          <w:b/>
          <w:bCs/>
          <w:sz w:val="32"/>
          <w:rtl/>
        </w:rPr>
        <w:t xml:space="preserve">(تزويجها بغير ولي جائز)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ولَمْ</w:t>
      </w:r>
      <w:r w:rsidRPr="00F27422">
        <w:rPr>
          <w:rFonts w:ascii="mylotus" w:hAnsi="mylotus"/>
          <w:sz w:val="32"/>
          <w:rtl/>
        </w:rPr>
        <w:t xml:space="preserve"> </w:t>
      </w:r>
      <w:r w:rsidRPr="00F27422">
        <w:rPr>
          <w:rFonts w:ascii="mylotus" w:hAnsi="mylotus" w:hint="cs"/>
          <w:sz w:val="32"/>
          <w:rtl/>
        </w:rPr>
        <w:t>يقل</w:t>
      </w:r>
      <w:r w:rsidRPr="00F27422">
        <w:rPr>
          <w:rFonts w:ascii="mylotus" w:hAnsi="mylotus"/>
          <w:sz w:val="32"/>
          <w:rtl/>
        </w:rPr>
        <w:t xml:space="preserve">: </w:t>
      </w:r>
      <w:r w:rsidRPr="00F27422">
        <w:rPr>
          <w:rFonts w:ascii="mylotus" w:hAnsi="mylotus" w:hint="cs"/>
          <w:sz w:val="32"/>
          <w:rtl/>
        </w:rPr>
        <w:t>تزويجها</w:t>
      </w:r>
      <w:r w:rsidRPr="00F27422">
        <w:rPr>
          <w:rFonts w:ascii="mylotus" w:hAnsi="mylotus"/>
          <w:sz w:val="32"/>
          <w:rtl/>
        </w:rPr>
        <w:t xml:space="preserve"> </w:t>
      </w:r>
      <w:r w:rsidRPr="00F27422">
        <w:rPr>
          <w:rFonts w:ascii="mylotus" w:hAnsi="mylotus" w:hint="cs"/>
          <w:sz w:val="32"/>
          <w:rtl/>
        </w:rPr>
        <w:t>بغير</w:t>
      </w:r>
      <w:r w:rsidRPr="00F27422">
        <w:rPr>
          <w:rFonts w:ascii="mylotus" w:hAnsi="mylotus"/>
          <w:sz w:val="32"/>
          <w:rtl/>
        </w:rPr>
        <w:t xml:space="preserve"> </w:t>
      </w:r>
      <w:r w:rsidRPr="00F27422">
        <w:rPr>
          <w:rFonts w:ascii="mylotus" w:hAnsi="mylotus" w:hint="cs"/>
          <w:sz w:val="32"/>
          <w:rtl/>
        </w:rPr>
        <w:t>أبٍ</w:t>
      </w:r>
      <w:r w:rsidRPr="00F27422">
        <w:rPr>
          <w:rFonts w:ascii="mylotus" w:hAnsi="mylotus"/>
          <w:sz w:val="32"/>
          <w:rtl/>
        </w:rPr>
        <w:t xml:space="preserve">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ما</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يكن</w:t>
      </w:r>
      <w:r w:rsidRPr="00F27422">
        <w:rPr>
          <w:rFonts w:ascii="mylotus" w:hAnsi="mylotus"/>
          <w:sz w:val="32"/>
          <w:rtl/>
        </w:rPr>
        <w:t xml:space="preserve"> </w:t>
      </w:r>
      <w:r w:rsidRPr="00F27422">
        <w:rPr>
          <w:rFonts w:ascii="mylotus" w:hAnsi="mylotus" w:hint="cs"/>
          <w:sz w:val="32"/>
          <w:rtl/>
        </w:rPr>
        <w:t>أباً،</w:t>
      </w:r>
      <w:r w:rsidRPr="00F27422">
        <w:rPr>
          <w:rFonts w:ascii="mylotus" w:hAnsi="mylotus"/>
          <w:sz w:val="32"/>
          <w:rtl/>
        </w:rPr>
        <w:t xml:space="preserve"> </w:t>
      </w:r>
      <w:r w:rsidRPr="00F27422">
        <w:rPr>
          <w:rFonts w:ascii="mylotus" w:hAnsi="mylotus" w:hint="cs"/>
          <w:sz w:val="32"/>
          <w:rtl/>
        </w:rPr>
        <w:t>وإلّا</w:t>
      </w:r>
      <w:r w:rsidRPr="00F27422">
        <w:rPr>
          <w:rFonts w:ascii="mylotus" w:hAnsi="mylotus"/>
          <w:sz w:val="32"/>
          <w:rtl/>
        </w:rPr>
        <w:t xml:space="preserve"> </w:t>
      </w:r>
      <w:r w:rsidRPr="00F27422">
        <w:rPr>
          <w:rFonts w:ascii="mylotus" w:hAnsi="mylotus" w:hint="cs"/>
          <w:sz w:val="32"/>
          <w:rtl/>
        </w:rPr>
        <w:t>فإذا</w:t>
      </w:r>
      <w:r w:rsidRPr="00F27422">
        <w:rPr>
          <w:rFonts w:ascii="mylotus" w:hAnsi="mylotus"/>
          <w:sz w:val="32"/>
          <w:rtl/>
        </w:rPr>
        <w:t xml:space="preserve"> </w:t>
      </w:r>
      <w:r w:rsidRPr="00F27422">
        <w:rPr>
          <w:rFonts w:ascii="mylotus" w:hAnsi="mylotus" w:hint="cs"/>
          <w:sz w:val="32"/>
          <w:rtl/>
        </w:rPr>
        <w:t>كان</w:t>
      </w:r>
      <w:r w:rsidRPr="00F27422">
        <w:rPr>
          <w:rFonts w:ascii="mylotus" w:hAnsi="mylotus"/>
          <w:sz w:val="32"/>
          <w:rtl/>
        </w:rPr>
        <w:t xml:space="preserve"> </w:t>
      </w:r>
      <w:r w:rsidRPr="00F27422">
        <w:rPr>
          <w:rFonts w:ascii="mylotus" w:hAnsi="mylotus" w:hint="cs"/>
          <w:sz w:val="32"/>
          <w:rtl/>
        </w:rPr>
        <w:t>لها</w:t>
      </w:r>
      <w:r w:rsidRPr="00F27422">
        <w:rPr>
          <w:rFonts w:ascii="mylotus" w:hAnsi="mylotus"/>
          <w:sz w:val="32"/>
          <w:rtl/>
        </w:rPr>
        <w:t xml:space="preserve"> </w:t>
      </w:r>
      <w:r w:rsidRPr="00F27422">
        <w:rPr>
          <w:rFonts w:ascii="mylotus" w:hAnsi="mylotus" w:hint="cs"/>
          <w:sz w:val="32"/>
          <w:rtl/>
        </w:rPr>
        <w:t>أبٌ</w:t>
      </w:r>
      <w:r w:rsidRPr="00F27422">
        <w:rPr>
          <w:rFonts w:ascii="mylotus" w:hAnsi="mylotus"/>
          <w:sz w:val="32"/>
          <w:rtl/>
        </w:rPr>
        <w:t xml:space="preserve"> </w:t>
      </w:r>
      <w:r w:rsidRPr="00F27422">
        <w:rPr>
          <w:rFonts w:ascii="mylotus" w:hAnsi="mylotus" w:hint="cs"/>
          <w:sz w:val="32"/>
          <w:rtl/>
        </w:rPr>
        <w:t>فتزويجها</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ينفذ</w:t>
      </w:r>
      <w:r w:rsidRPr="00F27422">
        <w:rPr>
          <w:rFonts w:ascii="mylotus" w:hAnsi="mylotus"/>
          <w:sz w:val="32"/>
          <w:rtl/>
        </w:rPr>
        <w:t xml:space="preserve"> </w:t>
      </w:r>
      <w:r w:rsidRPr="00F27422">
        <w:rPr>
          <w:rFonts w:ascii="mylotus" w:hAnsi="mylotus" w:hint="cs"/>
          <w:sz w:val="32"/>
          <w:rtl/>
        </w:rPr>
        <w:t>إلّا</w:t>
      </w:r>
      <w:r w:rsidRPr="00F27422">
        <w:rPr>
          <w:rFonts w:ascii="mylotus" w:hAnsi="mylotus"/>
          <w:sz w:val="32"/>
          <w:rtl/>
        </w:rPr>
        <w:t xml:space="preserve"> </w:t>
      </w:r>
      <w:r w:rsidRPr="00F27422">
        <w:rPr>
          <w:rFonts w:ascii="mylotus" w:hAnsi="mylotus" w:hint="cs"/>
          <w:sz w:val="32"/>
          <w:rtl/>
        </w:rPr>
        <w:t>بأمره،</w:t>
      </w:r>
      <w:r w:rsidRPr="00F27422">
        <w:rPr>
          <w:rFonts w:ascii="mylotus" w:hAnsi="mylotus"/>
          <w:sz w:val="32"/>
          <w:rtl/>
        </w:rPr>
        <w:t xml:space="preserve"> </w:t>
      </w:r>
      <w:r w:rsidRPr="00F27422">
        <w:rPr>
          <w:rFonts w:ascii="mylotus" w:hAnsi="mylotus" w:hint="cs"/>
          <w:sz w:val="32"/>
          <w:rtl/>
        </w:rPr>
        <w:t>فإنّ</w:t>
      </w:r>
      <w:r w:rsidRPr="00F27422">
        <w:rPr>
          <w:rFonts w:ascii="mylotus" w:hAnsi="mylotus"/>
          <w:sz w:val="32"/>
          <w:rtl/>
        </w:rPr>
        <w:t xml:space="preserve"> </w:t>
      </w:r>
      <w:r w:rsidRPr="00F27422">
        <w:rPr>
          <w:rFonts w:ascii="mylotus" w:hAnsi="mylotus" w:hint="cs"/>
          <w:sz w:val="32"/>
          <w:rtl/>
        </w:rPr>
        <w:t>العنوان</w:t>
      </w:r>
      <w:r w:rsidRPr="00F27422">
        <w:rPr>
          <w:rFonts w:ascii="mylotus" w:hAnsi="mylotus"/>
          <w:sz w:val="32"/>
          <w:rtl/>
        </w:rPr>
        <w:t xml:space="preserve"> </w:t>
      </w:r>
      <w:r w:rsidRPr="00F27422">
        <w:rPr>
          <w:rFonts w:ascii="mylotus" w:hAnsi="mylotus" w:hint="cs"/>
          <w:sz w:val="32"/>
          <w:rtl/>
        </w:rPr>
        <w:t>الوارد</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عنوان</w:t>
      </w:r>
      <w:r w:rsidRPr="00F27422">
        <w:rPr>
          <w:rFonts w:ascii="mylotus" w:hAnsi="mylotus"/>
          <w:sz w:val="32"/>
          <w:rtl/>
        </w:rPr>
        <w:t xml:space="preserve"> "</w:t>
      </w:r>
      <w:r w:rsidRPr="00F27422">
        <w:rPr>
          <w:rFonts w:ascii="mylotus" w:hAnsi="mylotus" w:hint="cs"/>
          <w:sz w:val="32"/>
          <w:rtl/>
        </w:rPr>
        <w:t>وليها</w:t>
      </w:r>
      <w:r w:rsidRPr="00F27422">
        <w:rPr>
          <w:rFonts w:ascii="mylotus" w:hAnsi="mylotus"/>
          <w:sz w:val="32"/>
          <w:rtl/>
        </w:rPr>
        <w:t xml:space="preserve">" </w:t>
      </w:r>
      <w:r w:rsidRPr="00F27422">
        <w:rPr>
          <w:rFonts w:ascii="mylotus" w:hAnsi="mylotus" w:hint="cs"/>
          <w:sz w:val="32"/>
          <w:rtl/>
        </w:rPr>
        <w:t>وبالإمكان</w:t>
      </w:r>
      <w:r w:rsidRPr="00F27422">
        <w:rPr>
          <w:rFonts w:ascii="mylotus" w:hAnsi="mylotus"/>
          <w:sz w:val="32"/>
          <w:rtl/>
        </w:rPr>
        <w:t xml:space="preserve"> </w:t>
      </w:r>
      <w:r w:rsidRPr="00F27422">
        <w:rPr>
          <w:rFonts w:ascii="mylotus" w:hAnsi="mylotus" w:hint="cs"/>
          <w:sz w:val="32"/>
          <w:rtl/>
        </w:rPr>
        <w:t>تخصيصه</w:t>
      </w:r>
      <w:r w:rsidRPr="00F27422">
        <w:rPr>
          <w:rFonts w:ascii="mylotus" w:hAnsi="mylotus"/>
          <w:sz w:val="32"/>
          <w:rtl/>
        </w:rPr>
        <w:t xml:space="preserve"> </w:t>
      </w:r>
      <w:r w:rsidRPr="00F27422">
        <w:rPr>
          <w:rFonts w:ascii="mylotus" w:hAnsi="mylotus" w:hint="cs"/>
          <w:sz w:val="32"/>
          <w:rtl/>
        </w:rPr>
        <w:t>بغير</w:t>
      </w:r>
      <w:r w:rsidRPr="00F27422">
        <w:rPr>
          <w:rFonts w:ascii="mylotus" w:hAnsi="mylotus"/>
          <w:sz w:val="32"/>
          <w:rtl/>
        </w:rPr>
        <w:t xml:space="preserve"> </w:t>
      </w:r>
      <w:r w:rsidRPr="00F27422">
        <w:rPr>
          <w:rFonts w:ascii="mylotus" w:hAnsi="mylotus" w:hint="cs"/>
          <w:sz w:val="32"/>
          <w:rtl/>
        </w:rPr>
        <w:t>الأب</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سائر</w:t>
      </w:r>
      <w:r w:rsidRPr="00F27422">
        <w:rPr>
          <w:rFonts w:ascii="mylotus" w:hAnsi="mylotus"/>
          <w:sz w:val="32"/>
          <w:rtl/>
        </w:rPr>
        <w:t xml:space="preserve"> </w:t>
      </w:r>
      <w:r w:rsidRPr="00F27422">
        <w:rPr>
          <w:rFonts w:ascii="mylotus" w:hAnsi="mylotus" w:hint="cs"/>
          <w:sz w:val="32"/>
          <w:rtl/>
        </w:rPr>
        <w:t>الأولياء</w:t>
      </w:r>
      <w:r w:rsidRPr="00F27422">
        <w:rPr>
          <w:rFonts w:ascii="mylotus" w:hAnsi="mylotus"/>
          <w:sz w:val="32"/>
        </w:rPr>
        <w:t>.</w:t>
      </w:r>
    </w:p>
    <w:p w14:paraId="3B61B747"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t>ويلاحظ عليه:</w:t>
      </w:r>
      <w:r w:rsidRPr="00F27422">
        <w:rPr>
          <w:rFonts w:ascii="mylotus" w:hAnsi="mylotus"/>
          <w:sz w:val="32"/>
          <w:rtl/>
        </w:rPr>
        <w:t xml:space="preserve"> عدمُ انسجامه مع مفاد معتبرة أبي مريم، كما في الوسائل: </w:t>
      </w:r>
      <w:r w:rsidRPr="00F27422">
        <w:rPr>
          <w:rFonts w:ascii="mylotus" w:hAnsi="mylotus"/>
          <w:b/>
          <w:bCs/>
          <w:sz w:val="32"/>
          <w:rtl/>
        </w:rPr>
        <w:t xml:space="preserve">(وعن الحسين بن محمّد، عن معلى بن محمّد، عن الحسن بن عليّ، عن أبان بن عثمان، عن أبي مريم، 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قال: الجارية البكر التي لها أب لا تتزوج إلّا بإذن أبيها، وقال: إذا كانت مالكة لأمرها تزوجت متى شاءت).</w:t>
      </w:r>
      <w:r w:rsidRPr="00F27422">
        <w:rPr>
          <w:rFonts w:ascii="mylotus" w:hAnsi="mylotus"/>
          <w:sz w:val="32"/>
          <w:rtl/>
        </w:rPr>
        <w:t xml:space="preserve"> [وسائل الشيعة، الحر العاملي، تحقيق مؤسسة آل البيت (عليهم السلام) لإحياء التراث، ج20، كتاب النكاح، أبواب عقد النكاح وأولياء العقد، الباب 3 باب أنّه لا ولاية لأحد من أخ ولا أب ولا غيرهما على الثيب البالغ </w:t>
      </w:r>
      <w:proofErr w:type="gramStart"/>
      <w:r w:rsidRPr="00F27422">
        <w:rPr>
          <w:rFonts w:ascii="mylotus" w:hAnsi="mylotus"/>
          <w:sz w:val="32"/>
          <w:rtl/>
        </w:rPr>
        <w:t>الرشيدة</w:t>
      </w:r>
      <w:proofErr w:type="gramEnd"/>
      <w:r w:rsidRPr="00F27422">
        <w:rPr>
          <w:rFonts w:ascii="mylotus" w:hAnsi="mylotus"/>
          <w:sz w:val="32"/>
          <w:rtl/>
        </w:rPr>
        <w:t xml:space="preserve"> بل أمرها بيدها، ح7]</w:t>
      </w:r>
      <w:r w:rsidRPr="00F27422">
        <w:rPr>
          <w:rFonts w:ascii="mylotus" w:hAnsi="mylotus"/>
          <w:sz w:val="32"/>
        </w:rPr>
        <w:t>.</w:t>
      </w:r>
    </w:p>
    <w:p w14:paraId="2EC0FA48"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 xml:space="preserve">فإنّ ظاهر عطف الذيل على الصدر أنّ المنظور في الذيل مَن لها أبٌ وأنّها إذا ملكتْ أمرها كان تزويجها نافذاً، فيكون المراد بقوله (عليه السلام): </w:t>
      </w:r>
      <w:r w:rsidRPr="00F27422">
        <w:rPr>
          <w:rFonts w:ascii="mylotus" w:hAnsi="mylotus"/>
          <w:b/>
          <w:bCs/>
          <w:sz w:val="32"/>
          <w:rtl/>
        </w:rPr>
        <w:t>(متى شاءت)</w:t>
      </w:r>
      <w:r w:rsidRPr="00F27422">
        <w:rPr>
          <w:rFonts w:ascii="mylotus" w:hAnsi="mylotus"/>
          <w:sz w:val="32"/>
          <w:rtl/>
        </w:rPr>
        <w:t xml:space="preserve"> أي: مِن دون استئذان الأب؛ إذ لا يصحّ التعبير عرفا</w:t>
      </w:r>
      <w:r w:rsidRPr="00F27422">
        <w:rPr>
          <w:rFonts w:ascii="mylotus" w:hAnsi="mylotus" w:hint="cs"/>
          <w:sz w:val="32"/>
          <w:rtl/>
        </w:rPr>
        <w:t>ً</w:t>
      </w:r>
      <w:r w:rsidRPr="00F27422">
        <w:rPr>
          <w:rFonts w:ascii="mylotus" w:hAnsi="mylotus"/>
          <w:sz w:val="32"/>
          <w:rtl/>
        </w:rPr>
        <w:t xml:space="preserve"> بـ "متى شاءت" إلّا مع عدم ولاية أحدٍ عليها بمن فيهم الأب، وإلّا لا معنى للتعبير عن ذلك بقوله: </w:t>
      </w:r>
      <w:r w:rsidRPr="00F27422">
        <w:rPr>
          <w:rFonts w:ascii="mylotus" w:hAnsi="mylotus"/>
          <w:b/>
          <w:bCs/>
          <w:sz w:val="32"/>
          <w:rtl/>
        </w:rPr>
        <w:t>(متى شاءت)</w:t>
      </w:r>
      <w:r w:rsidRPr="00F27422">
        <w:rPr>
          <w:rFonts w:ascii="mylotus" w:hAnsi="mylotus"/>
          <w:b/>
          <w:bCs/>
          <w:sz w:val="32"/>
        </w:rPr>
        <w:t>.</w:t>
      </w:r>
    </w:p>
    <w:p w14:paraId="3C4E6DAE"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t>وقد يُقال تخلصاً مِن هذا الإشكال:</w:t>
      </w:r>
      <w:r w:rsidRPr="00F27422">
        <w:rPr>
          <w:rFonts w:ascii="mylotus" w:hAnsi="mylotus"/>
          <w:sz w:val="32"/>
          <w:rtl/>
        </w:rPr>
        <w:t xml:space="preserve"> بأنّه يمكن الجمع بين الصدر في قوله (عليه السلام): </w:t>
      </w:r>
      <w:r w:rsidRPr="00F27422">
        <w:rPr>
          <w:rFonts w:ascii="mylotus" w:hAnsi="mylotus"/>
          <w:b/>
          <w:bCs/>
          <w:sz w:val="32"/>
          <w:rtl/>
        </w:rPr>
        <w:t>(الجارية البكر التي لها أب لا تتزوج إلّا بإذن أبيها)</w:t>
      </w:r>
      <w:r w:rsidRPr="00F27422">
        <w:rPr>
          <w:rFonts w:ascii="mylotus" w:hAnsi="mylotus"/>
          <w:sz w:val="32"/>
          <w:rtl/>
        </w:rPr>
        <w:t xml:space="preserve"> وبين الذيل في قوله (عليه السلام): </w:t>
      </w:r>
      <w:r w:rsidRPr="00F27422">
        <w:rPr>
          <w:rFonts w:ascii="mylotus" w:hAnsi="mylotus"/>
          <w:b/>
          <w:bCs/>
          <w:sz w:val="32"/>
          <w:rtl/>
        </w:rPr>
        <w:t xml:space="preserve">(إذا </w:t>
      </w:r>
      <w:r w:rsidRPr="00F27422">
        <w:rPr>
          <w:rFonts w:ascii="mylotus" w:hAnsi="mylotus"/>
          <w:b/>
          <w:bCs/>
          <w:sz w:val="32"/>
          <w:rtl/>
        </w:rPr>
        <w:lastRenderedPageBreak/>
        <w:t>كانت مالكة لأمرها تزوجت متى شاءت)</w:t>
      </w:r>
      <w:r w:rsidRPr="00F27422">
        <w:rPr>
          <w:rFonts w:ascii="mylotus" w:hAnsi="mylotus"/>
          <w:sz w:val="32"/>
          <w:rtl/>
        </w:rPr>
        <w:t xml:space="preserve"> بحمل ملك الأمر على البلوغ؛ بلحاظ أنّ عنوان "الجارية" عنوانٌ مطلقٌ يشمل الصبيّة والبالغة، فالمنظورُ في قوله (عليه السلام): </w:t>
      </w:r>
      <w:r w:rsidRPr="00F27422">
        <w:rPr>
          <w:rFonts w:ascii="mylotus" w:hAnsi="mylotus"/>
          <w:b/>
          <w:bCs/>
          <w:sz w:val="32"/>
          <w:rtl/>
        </w:rPr>
        <w:t>(إذا كانت مالكة لأمرها)</w:t>
      </w:r>
      <w:r w:rsidRPr="00F27422">
        <w:rPr>
          <w:rFonts w:ascii="mylotus" w:hAnsi="mylotus"/>
          <w:sz w:val="32"/>
          <w:rtl/>
        </w:rPr>
        <w:t xml:space="preserve"> أي: إذا بلغت</w:t>
      </w:r>
      <w:r w:rsidRPr="00F27422">
        <w:rPr>
          <w:rFonts w:ascii="mylotus" w:hAnsi="mylotus" w:hint="cs"/>
          <w:sz w:val="32"/>
          <w:rtl/>
        </w:rPr>
        <w:t>ْ</w:t>
      </w:r>
      <w:r w:rsidRPr="00F27422">
        <w:rPr>
          <w:rFonts w:ascii="mylotus" w:hAnsi="mylotus"/>
          <w:sz w:val="32"/>
          <w:rtl/>
        </w:rPr>
        <w:t xml:space="preserve">، أو حمل الذيل على الجارية التي ليس لها أبٌ بمقتضى قرينة المقابلة حيث عُبر في الصدر بقوله (عليه السلام): </w:t>
      </w:r>
      <w:r w:rsidRPr="00F27422">
        <w:rPr>
          <w:rFonts w:ascii="mylotus" w:hAnsi="mylotus"/>
          <w:b/>
          <w:bCs/>
          <w:sz w:val="32"/>
          <w:rtl/>
        </w:rPr>
        <w:t>(الجارية البكر التي لها أب)</w:t>
      </w:r>
      <w:r w:rsidRPr="00F27422">
        <w:rPr>
          <w:rFonts w:ascii="mylotus" w:hAnsi="mylotus"/>
          <w:sz w:val="32"/>
          <w:rtl/>
        </w:rPr>
        <w:t xml:space="preserve"> فيكون المراد بقوله (عليه السلام): </w:t>
      </w:r>
      <w:r w:rsidRPr="00F27422">
        <w:rPr>
          <w:rFonts w:ascii="mylotus" w:hAnsi="mylotus"/>
          <w:b/>
          <w:bCs/>
          <w:sz w:val="32"/>
          <w:rtl/>
        </w:rPr>
        <w:t>(إذا كانت مالكة لأمرها)</w:t>
      </w:r>
      <w:r w:rsidRPr="00F27422">
        <w:rPr>
          <w:rFonts w:ascii="mylotus" w:hAnsi="mylotus"/>
          <w:sz w:val="32"/>
          <w:rtl/>
        </w:rPr>
        <w:t xml:space="preserve"> أي: إذا لَمْ يكن لها أبٌ</w:t>
      </w:r>
      <w:r w:rsidRPr="00F27422">
        <w:rPr>
          <w:rFonts w:ascii="mylotus" w:hAnsi="mylotus"/>
          <w:sz w:val="32"/>
        </w:rPr>
        <w:t>.</w:t>
      </w:r>
    </w:p>
    <w:p w14:paraId="27D277AA"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t>وكلا الحملين غيرُ عرفي؛</w:t>
      </w:r>
      <w:r w:rsidRPr="00F27422">
        <w:rPr>
          <w:rFonts w:ascii="mylotus" w:hAnsi="mylotus"/>
          <w:sz w:val="32"/>
          <w:rtl/>
        </w:rPr>
        <w:t xml:space="preserve"> فإنّ ملك الأمر عنوان عرفي بمعنى الاستقلال في شؤونها، لا ملك الأمر تعبدا</w:t>
      </w:r>
      <w:r w:rsidRPr="00F27422">
        <w:rPr>
          <w:rFonts w:ascii="mylotus" w:hAnsi="mylotus" w:hint="cs"/>
          <w:sz w:val="32"/>
          <w:rtl/>
        </w:rPr>
        <w:t>ً</w:t>
      </w:r>
      <w:r w:rsidRPr="00F27422">
        <w:rPr>
          <w:rFonts w:ascii="mylotus" w:hAnsi="mylotus"/>
          <w:sz w:val="32"/>
          <w:rtl/>
        </w:rPr>
        <w:t xml:space="preserve"> إمّا لبلوغها أو لفقدان أبيها، وم</w:t>
      </w:r>
      <w:r w:rsidRPr="00F27422">
        <w:rPr>
          <w:rFonts w:ascii="mylotus" w:hAnsi="mylotus" w:hint="cs"/>
          <w:sz w:val="32"/>
          <w:rtl/>
        </w:rPr>
        <w:t>ِ</w:t>
      </w:r>
      <w:r w:rsidRPr="00F27422">
        <w:rPr>
          <w:rFonts w:ascii="mylotus" w:hAnsi="mylotus"/>
          <w:sz w:val="32"/>
          <w:rtl/>
        </w:rPr>
        <w:t>ن الواضح عدم الملازمة بين البلوغ أو فقدان الأب وملك الأمر؛ فإنّ ملك الأمر بأنْ تكون مستقلةً في شؤونها عرفا</w:t>
      </w:r>
      <w:r w:rsidRPr="00F27422">
        <w:rPr>
          <w:rFonts w:ascii="mylotus" w:hAnsi="mylotus" w:hint="cs"/>
          <w:sz w:val="32"/>
          <w:rtl/>
        </w:rPr>
        <w:t>ً</w:t>
      </w:r>
      <w:r w:rsidRPr="00F27422">
        <w:rPr>
          <w:rFonts w:ascii="mylotus" w:hAnsi="mylotus"/>
          <w:sz w:val="32"/>
          <w:rtl/>
        </w:rPr>
        <w:t xml:space="preserve"> كما فسر في معتبرة زرارة عن أبي جعفر (عليه السلام): </w:t>
      </w:r>
      <w:r w:rsidRPr="00F27422">
        <w:rPr>
          <w:rFonts w:ascii="mylotus" w:hAnsi="mylotus"/>
          <w:b/>
          <w:bCs/>
          <w:sz w:val="32"/>
          <w:rtl/>
        </w:rPr>
        <w:t>(تبيع وتشتري وتعتق وتشهد وتعطي من مالها ما شاءت)</w:t>
      </w:r>
      <w:r w:rsidRPr="00F27422">
        <w:rPr>
          <w:rFonts w:ascii="mylotus" w:hAnsi="mylotus"/>
          <w:sz w:val="32"/>
          <w:rtl/>
        </w:rPr>
        <w:t>، وهذا العنوان ليس ملازماً لا للبلوغ ولا لفقدان الأب كي يصح حمل ذلك على هذين الفرضين</w:t>
      </w:r>
      <w:r w:rsidRPr="00F27422">
        <w:rPr>
          <w:rFonts w:ascii="mylotus" w:hAnsi="mylotus"/>
          <w:sz w:val="32"/>
        </w:rPr>
        <w:t>.</w:t>
      </w:r>
    </w:p>
    <w:p w14:paraId="50458B39"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 xml:space="preserve">كما - يردُ على كلام السيد الحكيم (قدس سره الشريف) - أنّ تخصيص الروايات بالوليّ غير الأب لا ينسجم مع مفاد معتبرة </w:t>
      </w:r>
      <w:proofErr w:type="gramStart"/>
      <w:r w:rsidRPr="00F27422">
        <w:rPr>
          <w:rFonts w:ascii="mylotus" w:hAnsi="mylotus"/>
          <w:sz w:val="32"/>
          <w:rtl/>
        </w:rPr>
        <w:t>عبدالرحمن</w:t>
      </w:r>
      <w:proofErr w:type="gramEnd"/>
      <w:r w:rsidRPr="00F27422">
        <w:rPr>
          <w:rFonts w:ascii="mylotus" w:hAnsi="mylotus"/>
          <w:sz w:val="32"/>
          <w:rtl/>
        </w:rPr>
        <w:t xml:space="preserve"> بن أبي عبد الله، كما في الوسائل: </w:t>
      </w:r>
      <w:r w:rsidRPr="00F27422">
        <w:rPr>
          <w:rFonts w:ascii="mylotus" w:hAnsi="mylotus"/>
          <w:b/>
          <w:bCs/>
          <w:sz w:val="32"/>
          <w:rtl/>
        </w:rPr>
        <w:t xml:space="preserve">(وبالإسناد، عن أبان، عن </w:t>
      </w:r>
      <w:proofErr w:type="gramStart"/>
      <w:r w:rsidRPr="00F27422">
        <w:rPr>
          <w:rFonts w:ascii="mylotus" w:hAnsi="mylotus"/>
          <w:b/>
          <w:bCs/>
          <w:sz w:val="32"/>
          <w:rtl/>
        </w:rPr>
        <w:t>عبدالرحمن</w:t>
      </w:r>
      <w:proofErr w:type="gramEnd"/>
      <w:r w:rsidRPr="00F27422">
        <w:rPr>
          <w:rFonts w:ascii="mylotus" w:hAnsi="mylotus"/>
          <w:b/>
          <w:bCs/>
          <w:sz w:val="32"/>
          <w:rtl/>
        </w:rPr>
        <w:t xml:space="preserve"> بن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قال: تزوج المرأة من شاءت إذا كانت مالكةً لأمرها، فإن شاءت جعلت وليّاً). </w:t>
      </w:r>
      <w:r w:rsidRPr="00F27422">
        <w:rPr>
          <w:rFonts w:ascii="mylotus" w:hAnsi="mylotus"/>
          <w:sz w:val="32"/>
          <w:rtl/>
        </w:rPr>
        <w:t xml:space="preserve">[وسائل الشيعة، الحر العاملي، تحقيق مؤسسة آل البيت (عليهم السلام) لإحياء التراث، ج20، كتاب النكاح، أبواب عقد النكاح وأولياء العقد، الباب 3 باب أنّه لا ولاية لأحد من أخ ولا أب ولا غيرهما على الثيب البالغ </w:t>
      </w:r>
      <w:proofErr w:type="gramStart"/>
      <w:r w:rsidRPr="00F27422">
        <w:rPr>
          <w:rFonts w:ascii="mylotus" w:hAnsi="mylotus"/>
          <w:sz w:val="32"/>
          <w:rtl/>
        </w:rPr>
        <w:t>الرشيدة</w:t>
      </w:r>
      <w:proofErr w:type="gramEnd"/>
      <w:r w:rsidRPr="00F27422">
        <w:rPr>
          <w:rFonts w:ascii="mylotus" w:hAnsi="mylotus"/>
          <w:sz w:val="32"/>
          <w:rtl/>
        </w:rPr>
        <w:t xml:space="preserve"> بل أمرها بيدها، ح8]</w:t>
      </w:r>
      <w:r w:rsidRPr="00F27422">
        <w:rPr>
          <w:rFonts w:ascii="mylotus" w:hAnsi="mylotus"/>
          <w:sz w:val="32"/>
        </w:rPr>
        <w:t>.</w:t>
      </w:r>
    </w:p>
    <w:p w14:paraId="16FAFB14"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 xml:space="preserve">فإنّ قوله (عليه السلام) في الذيل: </w:t>
      </w:r>
      <w:r w:rsidRPr="00F27422">
        <w:rPr>
          <w:rFonts w:ascii="mylotus" w:hAnsi="mylotus"/>
          <w:b/>
          <w:bCs/>
          <w:sz w:val="32"/>
          <w:rtl/>
        </w:rPr>
        <w:t xml:space="preserve">(فإن شاءت جعلت وليّاً) </w:t>
      </w:r>
      <w:r w:rsidRPr="00F27422">
        <w:rPr>
          <w:rFonts w:ascii="mylotus" w:hAnsi="mylotus"/>
          <w:sz w:val="32"/>
          <w:rtl/>
        </w:rPr>
        <w:t>كناية عن عدم ولاية لأحد عليها، إذ التعبير به مما لا يجتمع عرفاً مع فرض ولاية الأب</w:t>
      </w:r>
      <w:r w:rsidRPr="00F27422">
        <w:rPr>
          <w:rFonts w:ascii="mylotus" w:hAnsi="mylotus" w:hint="cs"/>
          <w:sz w:val="32"/>
          <w:rtl/>
        </w:rPr>
        <w:t>.</w:t>
      </w:r>
    </w:p>
    <w:p w14:paraId="357EDAED"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 xml:space="preserve">ومِن الواضح أنّ الروايات الواردة بمضمونٍ واحدٍ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نحو</w:t>
      </w:r>
      <w:r w:rsidRPr="00F27422">
        <w:rPr>
          <w:rFonts w:ascii="mylotus" w:hAnsi="mylotus"/>
          <w:sz w:val="32"/>
          <w:rtl/>
        </w:rPr>
        <w:t xml:space="preserve"> </w:t>
      </w:r>
      <w:r w:rsidRPr="00F27422">
        <w:rPr>
          <w:rFonts w:ascii="mylotus" w:hAnsi="mylotus" w:hint="cs"/>
          <w:sz w:val="32"/>
          <w:rtl/>
        </w:rPr>
        <w:t>عنوان</w:t>
      </w:r>
      <w:r w:rsidRPr="00F27422">
        <w:rPr>
          <w:rFonts w:ascii="mylotus" w:hAnsi="mylotus"/>
          <w:sz w:val="32"/>
          <w:rtl/>
        </w:rPr>
        <w:t xml:space="preserve"> "</w:t>
      </w:r>
      <w:r w:rsidRPr="00F27422">
        <w:rPr>
          <w:rFonts w:ascii="mylotus" w:hAnsi="mylotus" w:hint="cs"/>
          <w:sz w:val="32"/>
          <w:rtl/>
        </w:rPr>
        <w:t>ملكتْ</w:t>
      </w:r>
      <w:r w:rsidRPr="00F27422">
        <w:rPr>
          <w:rFonts w:ascii="mylotus" w:hAnsi="mylotus"/>
          <w:sz w:val="32"/>
          <w:rtl/>
        </w:rPr>
        <w:t xml:space="preserve"> </w:t>
      </w:r>
      <w:r w:rsidRPr="00F27422">
        <w:rPr>
          <w:rFonts w:ascii="mylotus" w:hAnsi="mylotus" w:hint="cs"/>
          <w:sz w:val="32"/>
          <w:rtl/>
        </w:rPr>
        <w:t>أمرها</w:t>
      </w:r>
      <w:r w:rsidRPr="00F27422">
        <w:rPr>
          <w:rFonts w:ascii="mylotus" w:hAnsi="mylotus"/>
          <w:sz w:val="32"/>
          <w:rtl/>
        </w:rPr>
        <w:t xml:space="preserve">" - </w:t>
      </w:r>
      <w:r w:rsidRPr="00F27422">
        <w:rPr>
          <w:rFonts w:ascii="mylotus" w:hAnsi="mylotus" w:hint="cs"/>
          <w:sz w:val="32"/>
          <w:rtl/>
        </w:rPr>
        <w:t>مما</w:t>
      </w:r>
      <w:r w:rsidRPr="00F27422">
        <w:rPr>
          <w:rFonts w:ascii="mylotus" w:hAnsi="mylotus"/>
          <w:sz w:val="32"/>
          <w:rtl/>
        </w:rPr>
        <w:t xml:space="preserve"> </w:t>
      </w:r>
      <w:r w:rsidRPr="00F27422">
        <w:rPr>
          <w:rFonts w:ascii="mylotus" w:hAnsi="mylotus" w:hint="cs"/>
          <w:sz w:val="32"/>
          <w:rtl/>
        </w:rPr>
        <w:t>يتعين</w:t>
      </w:r>
      <w:r w:rsidRPr="00F27422">
        <w:rPr>
          <w:rFonts w:ascii="mylotus" w:hAnsi="mylotus"/>
          <w:sz w:val="32"/>
          <w:rtl/>
        </w:rPr>
        <w:t xml:space="preserve"> </w:t>
      </w:r>
      <w:r w:rsidRPr="00F27422">
        <w:rPr>
          <w:rFonts w:ascii="mylotus" w:hAnsi="mylotus" w:hint="cs"/>
          <w:sz w:val="32"/>
          <w:rtl/>
        </w:rPr>
        <w:t>عرفاً</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يُنظر</w:t>
      </w:r>
      <w:r w:rsidRPr="00F27422">
        <w:rPr>
          <w:rFonts w:ascii="mylotus" w:hAnsi="mylotus"/>
          <w:sz w:val="32"/>
          <w:rtl/>
        </w:rPr>
        <w:t xml:space="preserve"> </w:t>
      </w:r>
      <w:r w:rsidRPr="00F27422">
        <w:rPr>
          <w:rFonts w:ascii="mylotus" w:hAnsi="mylotus" w:hint="cs"/>
          <w:sz w:val="32"/>
          <w:rtl/>
        </w:rPr>
        <w:t>إليها</w:t>
      </w:r>
      <w:r w:rsidRPr="00F27422">
        <w:rPr>
          <w:rFonts w:ascii="mylotus" w:hAnsi="mylotus"/>
          <w:sz w:val="32"/>
          <w:rtl/>
        </w:rPr>
        <w:t xml:space="preserve"> </w:t>
      </w:r>
      <w:r w:rsidRPr="00F27422">
        <w:rPr>
          <w:rFonts w:ascii="mylotus" w:hAnsi="mylotus" w:hint="cs"/>
          <w:sz w:val="32"/>
          <w:rtl/>
        </w:rPr>
        <w:t>بقراءةٍ</w:t>
      </w:r>
      <w:r w:rsidRPr="00F27422">
        <w:rPr>
          <w:rFonts w:ascii="mylotus" w:hAnsi="mylotus"/>
          <w:sz w:val="32"/>
          <w:rtl/>
        </w:rPr>
        <w:t xml:space="preserve"> </w:t>
      </w:r>
      <w:r w:rsidRPr="00F27422">
        <w:rPr>
          <w:rFonts w:ascii="mylotus" w:hAnsi="mylotus" w:hint="cs"/>
          <w:sz w:val="32"/>
          <w:rtl/>
        </w:rPr>
        <w:t>مجموعيةٍ،</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بقراءةٍ</w:t>
      </w:r>
      <w:r w:rsidRPr="00F27422">
        <w:rPr>
          <w:rFonts w:ascii="mylotus" w:hAnsi="mylotus"/>
          <w:sz w:val="32"/>
          <w:rtl/>
        </w:rPr>
        <w:t xml:space="preserve"> </w:t>
      </w:r>
      <w:r w:rsidRPr="00F27422">
        <w:rPr>
          <w:rFonts w:ascii="mylotus" w:hAnsi="mylotus" w:hint="cs"/>
          <w:sz w:val="32"/>
          <w:rtl/>
        </w:rPr>
        <w:t>انحلاليةٍ</w:t>
      </w:r>
      <w:r w:rsidRPr="00F27422">
        <w:rPr>
          <w:rFonts w:ascii="mylotus" w:hAnsi="mylotus"/>
          <w:sz w:val="32"/>
          <w:rtl/>
        </w:rPr>
        <w:t xml:space="preserve"> </w:t>
      </w:r>
      <w:r w:rsidRPr="00F27422">
        <w:rPr>
          <w:rFonts w:ascii="mylotus" w:hAnsi="mylotus" w:hint="cs"/>
          <w:sz w:val="32"/>
          <w:rtl/>
        </w:rPr>
        <w:t>بأنْ</w:t>
      </w:r>
      <w:r w:rsidRPr="00F27422">
        <w:rPr>
          <w:rFonts w:ascii="mylotus" w:hAnsi="mylotus"/>
          <w:sz w:val="32"/>
          <w:rtl/>
        </w:rPr>
        <w:t xml:space="preserve"> </w:t>
      </w:r>
      <w:r w:rsidRPr="00F27422">
        <w:rPr>
          <w:rFonts w:ascii="mylotus" w:hAnsi="mylotus" w:hint="cs"/>
          <w:sz w:val="32"/>
          <w:rtl/>
        </w:rPr>
        <w:t>ينظر</w:t>
      </w:r>
      <w:r w:rsidRPr="00F27422">
        <w:rPr>
          <w:rFonts w:ascii="mylotus" w:hAnsi="mylotus"/>
          <w:sz w:val="32"/>
          <w:rtl/>
        </w:rPr>
        <w:t xml:space="preserve"> </w:t>
      </w:r>
      <w:r w:rsidRPr="00F27422">
        <w:rPr>
          <w:rFonts w:ascii="mylotus" w:hAnsi="mylotus" w:hint="cs"/>
          <w:sz w:val="32"/>
          <w:rtl/>
        </w:rPr>
        <w:t>لكلّ</w:t>
      </w:r>
      <w:r w:rsidRPr="00F27422">
        <w:rPr>
          <w:rFonts w:ascii="mylotus" w:hAnsi="mylotus"/>
          <w:sz w:val="32"/>
          <w:rtl/>
        </w:rPr>
        <w:t xml:space="preserve"> </w:t>
      </w:r>
      <w:r w:rsidRPr="00F27422">
        <w:rPr>
          <w:rFonts w:ascii="mylotus" w:hAnsi="mylotus" w:hint="cs"/>
          <w:sz w:val="32"/>
          <w:rtl/>
        </w:rPr>
        <w:t>روايةٍ</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حدّ</w:t>
      </w:r>
      <w:r w:rsidRPr="00F27422">
        <w:rPr>
          <w:rFonts w:ascii="mylotus" w:hAnsi="mylotus"/>
          <w:sz w:val="32"/>
          <w:rtl/>
        </w:rPr>
        <w:t xml:space="preserve"> </w:t>
      </w:r>
      <w:r w:rsidRPr="00F27422">
        <w:rPr>
          <w:rFonts w:ascii="mylotus" w:hAnsi="mylotus" w:hint="cs"/>
          <w:sz w:val="32"/>
          <w:rtl/>
        </w:rPr>
        <w:t>ذاتها،</w:t>
      </w:r>
      <w:r w:rsidRPr="00F27422">
        <w:rPr>
          <w:rFonts w:ascii="mylotus" w:hAnsi="mylotus"/>
          <w:sz w:val="32"/>
          <w:rtl/>
        </w:rPr>
        <w:t xml:space="preserve"> </w:t>
      </w:r>
      <w:r w:rsidRPr="00F27422">
        <w:rPr>
          <w:rFonts w:ascii="mylotus" w:hAnsi="mylotus" w:hint="cs"/>
          <w:sz w:val="32"/>
          <w:rtl/>
        </w:rPr>
        <w:t>بل</w:t>
      </w:r>
      <w:r w:rsidRPr="00F27422">
        <w:rPr>
          <w:rFonts w:ascii="mylotus" w:hAnsi="mylotus"/>
          <w:sz w:val="32"/>
          <w:rtl/>
        </w:rPr>
        <w:t xml:space="preserve"> </w:t>
      </w:r>
      <w:r w:rsidRPr="00F27422">
        <w:rPr>
          <w:rFonts w:ascii="mylotus" w:hAnsi="mylotus" w:hint="cs"/>
          <w:sz w:val="32"/>
          <w:rtl/>
        </w:rPr>
        <w:t>المنهج</w:t>
      </w:r>
      <w:r w:rsidRPr="00F27422">
        <w:rPr>
          <w:rFonts w:ascii="mylotus" w:hAnsi="mylotus"/>
          <w:sz w:val="32"/>
          <w:rtl/>
        </w:rPr>
        <w:t xml:space="preserve"> </w:t>
      </w:r>
      <w:r w:rsidRPr="00F27422">
        <w:rPr>
          <w:rFonts w:ascii="mylotus" w:hAnsi="mylotus" w:hint="cs"/>
          <w:sz w:val="32"/>
          <w:rtl/>
        </w:rPr>
        <w:t>الصناعي</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تحليل</w:t>
      </w:r>
      <w:r w:rsidRPr="00F27422">
        <w:rPr>
          <w:rFonts w:ascii="mylotus" w:hAnsi="mylotus"/>
          <w:sz w:val="32"/>
          <w:rtl/>
        </w:rPr>
        <w:t xml:space="preserve"> </w:t>
      </w:r>
      <w:r w:rsidRPr="00F27422">
        <w:rPr>
          <w:rFonts w:ascii="mylotus" w:hAnsi="mylotus" w:hint="cs"/>
          <w:sz w:val="32"/>
          <w:rtl/>
        </w:rPr>
        <w:t>مفادها</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الأخذ</w:t>
      </w:r>
      <w:r w:rsidRPr="00F27422">
        <w:rPr>
          <w:rFonts w:ascii="mylotus" w:hAnsi="mylotus"/>
          <w:sz w:val="32"/>
          <w:rtl/>
        </w:rPr>
        <w:t xml:space="preserve"> </w:t>
      </w:r>
      <w:r w:rsidRPr="00F27422">
        <w:rPr>
          <w:rFonts w:ascii="mylotus" w:hAnsi="mylotus" w:hint="cs"/>
          <w:sz w:val="32"/>
          <w:rtl/>
        </w:rPr>
        <w:t>بالظهور</w:t>
      </w:r>
      <w:r w:rsidRPr="00F27422">
        <w:rPr>
          <w:rFonts w:ascii="mylotus" w:hAnsi="mylotus"/>
          <w:sz w:val="32"/>
          <w:rtl/>
        </w:rPr>
        <w:t xml:space="preserve"> </w:t>
      </w:r>
      <w:r w:rsidRPr="00F27422">
        <w:rPr>
          <w:rFonts w:ascii="mylotus" w:hAnsi="mylotus" w:hint="cs"/>
          <w:sz w:val="32"/>
          <w:rtl/>
        </w:rPr>
        <w:t>المجموعي</w:t>
      </w:r>
      <w:r w:rsidRPr="00F27422">
        <w:rPr>
          <w:rFonts w:ascii="mylotus" w:hAnsi="mylotus"/>
          <w:sz w:val="32"/>
          <w:rtl/>
        </w:rPr>
        <w:t xml:space="preserve"> </w:t>
      </w:r>
      <w:r w:rsidRPr="00F27422">
        <w:rPr>
          <w:rFonts w:ascii="mylotus" w:hAnsi="mylotus" w:hint="cs"/>
          <w:sz w:val="32"/>
          <w:rtl/>
        </w:rPr>
        <w:t>لها</w:t>
      </w:r>
      <w:r w:rsidRPr="00F27422">
        <w:rPr>
          <w:rFonts w:ascii="mylotus" w:hAnsi="mylotus"/>
          <w:sz w:val="32"/>
          <w:rtl/>
        </w:rPr>
        <w:t xml:space="preserve"> </w:t>
      </w:r>
      <w:r w:rsidRPr="00F27422">
        <w:rPr>
          <w:rFonts w:ascii="mylotus" w:hAnsi="mylotus" w:hint="cs"/>
          <w:sz w:val="32"/>
          <w:rtl/>
        </w:rPr>
        <w:t>بحيث</w:t>
      </w:r>
      <w:r w:rsidRPr="00F27422">
        <w:rPr>
          <w:rFonts w:ascii="mylotus" w:hAnsi="mylotus"/>
          <w:sz w:val="32"/>
          <w:rtl/>
        </w:rPr>
        <w:t xml:space="preserve"> </w:t>
      </w:r>
      <w:r w:rsidRPr="00F27422">
        <w:rPr>
          <w:rFonts w:ascii="mylotus" w:hAnsi="mylotus" w:hint="cs"/>
          <w:sz w:val="32"/>
          <w:rtl/>
        </w:rPr>
        <w:t>يكون</w:t>
      </w:r>
      <w:r w:rsidRPr="00F27422">
        <w:rPr>
          <w:rFonts w:ascii="mylotus" w:hAnsi="mylotus"/>
          <w:sz w:val="32"/>
          <w:rtl/>
        </w:rPr>
        <w:t xml:space="preserve"> </w:t>
      </w:r>
      <w:r w:rsidRPr="00F27422">
        <w:rPr>
          <w:rFonts w:ascii="mylotus" w:hAnsi="mylotus" w:hint="cs"/>
          <w:sz w:val="32"/>
          <w:rtl/>
        </w:rPr>
        <w:t>بعضها</w:t>
      </w:r>
      <w:r w:rsidRPr="00F27422">
        <w:rPr>
          <w:rFonts w:ascii="mylotus" w:hAnsi="mylotus"/>
          <w:sz w:val="32"/>
          <w:rtl/>
        </w:rPr>
        <w:t xml:space="preserve"> </w:t>
      </w:r>
      <w:r w:rsidRPr="00F27422">
        <w:rPr>
          <w:rFonts w:ascii="mylotus" w:hAnsi="mylotus" w:hint="cs"/>
          <w:sz w:val="32"/>
          <w:rtl/>
        </w:rPr>
        <w:t>مكملاً</w:t>
      </w:r>
      <w:r w:rsidRPr="00F27422">
        <w:rPr>
          <w:rFonts w:ascii="mylotus" w:hAnsi="mylotus"/>
          <w:sz w:val="32"/>
          <w:rtl/>
        </w:rPr>
        <w:t xml:space="preserve"> </w:t>
      </w:r>
      <w:r w:rsidRPr="00F27422">
        <w:rPr>
          <w:rFonts w:ascii="mylotus" w:hAnsi="mylotus" w:hint="cs"/>
          <w:sz w:val="32"/>
          <w:rtl/>
        </w:rPr>
        <w:t>للبعض</w:t>
      </w:r>
      <w:r w:rsidRPr="00F27422">
        <w:rPr>
          <w:rFonts w:ascii="mylotus" w:hAnsi="mylotus"/>
          <w:sz w:val="32"/>
          <w:rtl/>
        </w:rPr>
        <w:t xml:space="preserve"> </w:t>
      </w:r>
      <w:r w:rsidRPr="00F27422">
        <w:rPr>
          <w:rFonts w:ascii="mylotus" w:hAnsi="mylotus" w:hint="cs"/>
          <w:sz w:val="32"/>
          <w:rtl/>
        </w:rPr>
        <w:t>الآخر</w:t>
      </w:r>
      <w:r w:rsidRPr="00F27422">
        <w:rPr>
          <w:rFonts w:ascii="mylotus" w:hAnsi="mylotus"/>
          <w:sz w:val="32"/>
          <w:rtl/>
        </w:rPr>
        <w:t xml:space="preserve"> </w:t>
      </w:r>
      <w:r w:rsidRPr="00F27422">
        <w:rPr>
          <w:rFonts w:ascii="mylotus" w:hAnsi="mylotus" w:hint="cs"/>
          <w:sz w:val="32"/>
          <w:rtl/>
        </w:rPr>
        <w:t>وقرينةً</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البعض</w:t>
      </w:r>
      <w:r w:rsidRPr="00F27422">
        <w:rPr>
          <w:rFonts w:ascii="mylotus" w:hAnsi="mylotus"/>
          <w:sz w:val="32"/>
          <w:rtl/>
        </w:rPr>
        <w:t xml:space="preserve"> </w:t>
      </w:r>
      <w:r w:rsidRPr="00F27422">
        <w:rPr>
          <w:rFonts w:ascii="mylotus" w:hAnsi="mylotus" w:hint="cs"/>
          <w:sz w:val="32"/>
          <w:rtl/>
        </w:rPr>
        <w:t>الآخر</w:t>
      </w:r>
      <w:r w:rsidRPr="00F27422">
        <w:rPr>
          <w:rFonts w:ascii="mylotus" w:hAnsi="mylotus"/>
          <w:sz w:val="32"/>
        </w:rPr>
        <w:t>.</w:t>
      </w:r>
    </w:p>
    <w:p w14:paraId="5EA17376"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والجمع بين هذه الروايات الواردة بعنوانٍ واحدٍ بتخصيص الوليّ بغير الأب منافٍ للظهور المجموعي</w:t>
      </w:r>
      <w:r w:rsidRPr="00F27422">
        <w:rPr>
          <w:rFonts w:ascii="mylotus" w:hAnsi="mylotus"/>
          <w:sz w:val="32"/>
        </w:rPr>
        <w:t>.</w:t>
      </w:r>
    </w:p>
    <w:p w14:paraId="72D76D00"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t>الوجهُ الثالث:</w:t>
      </w:r>
      <w:r w:rsidRPr="00F27422">
        <w:rPr>
          <w:rFonts w:ascii="mylotus" w:hAnsi="mylotus"/>
          <w:sz w:val="32"/>
          <w:rtl/>
        </w:rPr>
        <w:t xml:space="preserve"> ما ذكره سيدنا الخوئي (قدس سره الشريف) في موسوعته المباركة في كتابه [المباني في شرح العروة الوثقى، كتاب النكاح، ج33، ص</w:t>
      </w:r>
      <w:r w:rsidRPr="00F27422">
        <w:rPr>
          <w:rFonts w:ascii="mylotus" w:hAnsi="mylotus" w:hint="cs"/>
          <w:sz w:val="32"/>
          <w:rtl/>
        </w:rPr>
        <w:t xml:space="preserve">210 </w:t>
      </w:r>
      <w:r w:rsidRPr="00F27422">
        <w:rPr>
          <w:rFonts w:ascii="Times New Roman" w:hAnsi="Times New Roman" w:cs="Times New Roman" w:hint="cs"/>
          <w:sz w:val="32"/>
          <w:rtl/>
        </w:rPr>
        <w:t>–</w:t>
      </w:r>
      <w:r w:rsidRPr="00F27422">
        <w:rPr>
          <w:rFonts w:ascii="mylotus" w:hAnsi="mylotus" w:hint="cs"/>
          <w:sz w:val="32"/>
          <w:rtl/>
        </w:rPr>
        <w:t xml:space="preserve"> 211]</w:t>
      </w:r>
      <w:r w:rsidRPr="00F27422">
        <w:rPr>
          <w:rFonts w:ascii="mylotus" w:hAnsi="mylotus"/>
          <w:sz w:val="32"/>
          <w:rtl/>
        </w:rPr>
        <w:t xml:space="preserve"> حيث قال: (</w:t>
      </w:r>
      <w:r w:rsidRPr="00F27422">
        <w:rPr>
          <w:rFonts w:ascii="mylotus" w:hAnsi="mylotus"/>
          <w:b/>
          <w:bCs/>
          <w:sz w:val="32"/>
          <w:rtl/>
        </w:rPr>
        <w:t xml:space="preserve">إلّا أن المناقشة في الاستدلال بهذه الصحيحة) </w:t>
      </w:r>
      <w:r w:rsidRPr="00F27422">
        <w:rPr>
          <w:rFonts w:ascii="mylotus" w:hAnsi="mylotus"/>
          <w:sz w:val="32"/>
          <w:rtl/>
        </w:rPr>
        <w:t xml:space="preserve">وهي قوله: </w:t>
      </w:r>
      <w:r w:rsidRPr="00F27422">
        <w:rPr>
          <w:rFonts w:ascii="mylotus" w:hAnsi="mylotus"/>
          <w:b/>
          <w:bCs/>
          <w:sz w:val="32"/>
          <w:rtl/>
        </w:rPr>
        <w:t>(عن أبي جعفر (عليه السلام): (قال: المرأة التي قد ملكت نفسها غير السفيهة ولا المولى عليها تزويجها بغير ولي جائز)).</w:t>
      </w:r>
      <w:r w:rsidRPr="00F27422">
        <w:rPr>
          <w:rFonts w:ascii="mylotus" w:hAnsi="mylotus"/>
          <w:sz w:val="32"/>
          <w:rtl/>
        </w:rPr>
        <w:t xml:space="preserve"> [وسائل الشيعة، الحر العاملي، تحقيق مؤسسة آل البيت (عليهم السلام) لإحياء التراث، ج20، كتاب النكاح، أبواب عقد النكاح وأولياء العقد، الباب 3 باب أنّه لا ولاية لأحد من أخ ولا أب ولا غيرهما على الثيب البالغ </w:t>
      </w:r>
      <w:proofErr w:type="gramStart"/>
      <w:r w:rsidRPr="00F27422">
        <w:rPr>
          <w:rFonts w:ascii="mylotus" w:hAnsi="mylotus"/>
          <w:sz w:val="32"/>
          <w:rtl/>
        </w:rPr>
        <w:t>الرشيدة</w:t>
      </w:r>
      <w:proofErr w:type="gramEnd"/>
      <w:r w:rsidRPr="00F27422">
        <w:rPr>
          <w:rFonts w:ascii="mylotus" w:hAnsi="mylotus"/>
          <w:sz w:val="32"/>
          <w:rtl/>
        </w:rPr>
        <w:t xml:space="preserve"> بل أمرها بيدها، ح1]</w:t>
      </w:r>
      <w:r w:rsidRPr="00F27422">
        <w:rPr>
          <w:rFonts w:ascii="mylotus" w:hAnsi="mylotus"/>
          <w:sz w:val="32"/>
        </w:rPr>
        <w:t>.</w:t>
      </w:r>
    </w:p>
    <w:p w14:paraId="4D7D91DC"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b/>
          <w:bCs/>
          <w:sz w:val="32"/>
          <w:rtl/>
        </w:rPr>
        <w:t>(تكاد أن تكون واضحة. فإن الموضوع فيها هي الجارية وهي أعمّ من البكر والثيب، ومن هنا فلا تكون هذه الصحيحة صريحة في المدعى)</w:t>
      </w:r>
      <w:r w:rsidRPr="00F27422">
        <w:rPr>
          <w:rFonts w:ascii="mylotus" w:hAnsi="mylotus"/>
          <w:sz w:val="32"/>
          <w:rtl/>
        </w:rPr>
        <w:t xml:space="preserve"> لأنّها لم تقل: "البِكر" </w:t>
      </w:r>
      <w:r w:rsidRPr="00F27422">
        <w:rPr>
          <w:rFonts w:ascii="mylotus" w:hAnsi="mylotus"/>
          <w:b/>
          <w:bCs/>
          <w:sz w:val="32"/>
          <w:rtl/>
        </w:rPr>
        <w:t>(ومن النصوص الخاصة للمقام، وإنما هي مطلقة فيكون حالها حال الآيات والنصوص المتقدِّمة، ولا تصلح لمعارضة ما دلّ على اعتبار إذن الولي)</w:t>
      </w:r>
      <w:r w:rsidRPr="00F27422">
        <w:rPr>
          <w:rFonts w:ascii="mylotus" w:hAnsi="mylotus"/>
          <w:sz w:val="32"/>
          <w:rtl/>
        </w:rPr>
        <w:t xml:space="preserve"> حتى لو لَمْ يكن أباً </w:t>
      </w:r>
      <w:r w:rsidRPr="00F27422">
        <w:rPr>
          <w:rFonts w:ascii="mylotus" w:hAnsi="mylotus"/>
          <w:b/>
          <w:bCs/>
          <w:sz w:val="32"/>
          <w:rtl/>
        </w:rPr>
        <w:t>(لو تمّت دلالة وسنداً)</w:t>
      </w:r>
      <w:r w:rsidRPr="00F27422">
        <w:rPr>
          <w:rFonts w:ascii="mylotus" w:hAnsi="mylotus"/>
          <w:b/>
          <w:bCs/>
          <w:sz w:val="32"/>
        </w:rPr>
        <w:t>.</w:t>
      </w:r>
    </w:p>
    <w:p w14:paraId="65517E4F"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والرواية لم تعبر بـ "الجارية" وإنّما عبرتْ بـ "المرأة"، والمرأة ظاهرٌ في البالغة</w:t>
      </w:r>
      <w:r w:rsidRPr="00F27422">
        <w:rPr>
          <w:rFonts w:ascii="mylotus" w:hAnsi="mylotus"/>
          <w:sz w:val="32"/>
        </w:rPr>
        <w:t>.</w:t>
      </w:r>
    </w:p>
    <w:p w14:paraId="0267914B"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sz w:val="32"/>
          <w:rtl/>
        </w:rPr>
        <w:lastRenderedPageBreak/>
        <w:t xml:space="preserve">ثمّ قال (قدس سره الشريف): </w:t>
      </w:r>
      <w:r w:rsidRPr="00F27422">
        <w:rPr>
          <w:rFonts w:ascii="mylotus" w:hAnsi="mylotus"/>
          <w:b/>
          <w:bCs/>
          <w:sz w:val="32"/>
          <w:rtl/>
        </w:rPr>
        <w:t>(ومنها: رواية زرارة عن أبي جعفر (عليه السلام) قال: (إذا كانت المرأة مالكة أمرها، تبيع وتشتري وتعتق وتشهد وتعطي من مالها ما شاءت، فإن أمرها جائز تزوّج إن شاءت بغير إذن وليها. وإن لم يكن كذلك فلا يجوز تزويجها إلّا بأمر وليها</w:t>
      </w:r>
      <w:r w:rsidRPr="00F27422">
        <w:rPr>
          <w:rFonts w:ascii="mylotus" w:hAnsi="mylotus" w:hint="cs"/>
          <w:b/>
          <w:bCs/>
          <w:sz w:val="32"/>
          <w:rtl/>
        </w:rPr>
        <w:t>).</w:t>
      </w:r>
    </w:p>
    <w:p w14:paraId="5A3D8FA2"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t>إلّا أنها مطلقة كالصحيحة السابقة المتقدِّمة، فحالها حالها)</w:t>
      </w:r>
      <w:r w:rsidRPr="00F27422">
        <w:rPr>
          <w:rFonts w:ascii="mylotus" w:hAnsi="mylotus"/>
          <w:sz w:val="32"/>
          <w:rtl/>
        </w:rPr>
        <w:t xml:space="preserve"> أي: مِن حيث </w:t>
      </w:r>
      <w:proofErr w:type="gramStart"/>
      <w:r w:rsidRPr="00F27422">
        <w:rPr>
          <w:rFonts w:ascii="mylotus" w:hAnsi="mylotus"/>
          <w:sz w:val="32"/>
          <w:rtl/>
        </w:rPr>
        <w:t>أنّها</w:t>
      </w:r>
      <w:proofErr w:type="gramEnd"/>
      <w:r w:rsidRPr="00F27422">
        <w:rPr>
          <w:rFonts w:ascii="mylotus" w:hAnsi="mylotus"/>
          <w:sz w:val="32"/>
          <w:rtl/>
        </w:rPr>
        <w:t xml:space="preserve"> شاملة للبِكر والثيب</w:t>
      </w:r>
      <w:r w:rsidRPr="00F27422">
        <w:rPr>
          <w:rFonts w:ascii="mylotus" w:hAnsi="mylotus"/>
          <w:sz w:val="32"/>
        </w:rPr>
        <w:t>.</w:t>
      </w:r>
    </w:p>
    <w:p w14:paraId="06BC2C33"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t>ونتيجةُ ذلك:</w:t>
      </w:r>
      <w:r w:rsidRPr="00F27422">
        <w:rPr>
          <w:rFonts w:ascii="mylotus" w:hAnsi="mylotus"/>
          <w:sz w:val="32"/>
          <w:rtl/>
        </w:rPr>
        <w:t xml:space="preserve"> أنّه يمكن حمل قوله (عليه السلام): </w:t>
      </w:r>
      <w:r w:rsidRPr="00F27422">
        <w:rPr>
          <w:rFonts w:ascii="mylotus" w:hAnsi="mylotus"/>
          <w:b/>
          <w:bCs/>
          <w:sz w:val="32"/>
          <w:rtl/>
        </w:rPr>
        <w:t>(مالكة أمرها)</w:t>
      </w:r>
      <w:r w:rsidRPr="00F27422">
        <w:rPr>
          <w:rFonts w:ascii="mylotus" w:hAnsi="mylotus"/>
          <w:sz w:val="32"/>
          <w:rtl/>
        </w:rPr>
        <w:t xml:space="preserve"> على كونها ثيباً، فلا شمول فيها للمرأة البِكر التي تعارضتْ الروايات فيها بين ما دلّ على اشتراط إذن وليّها وبين ما دلّ على اِستقلالها</w:t>
      </w:r>
      <w:r w:rsidRPr="00F27422">
        <w:rPr>
          <w:rFonts w:ascii="mylotus" w:hAnsi="mylotus"/>
          <w:sz w:val="32"/>
        </w:rPr>
        <w:t>.</w:t>
      </w:r>
    </w:p>
    <w:p w14:paraId="7BF84BAF"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b/>
          <w:bCs/>
          <w:sz w:val="32"/>
          <w:rtl/>
        </w:rPr>
        <w:t>ويلاحظُ عليه</w:t>
      </w:r>
      <w:r w:rsidRPr="00F27422">
        <w:rPr>
          <w:rFonts w:ascii="mylotus" w:hAnsi="mylotus"/>
          <w:b/>
          <w:bCs/>
          <w:sz w:val="32"/>
        </w:rPr>
        <w:t>:</w:t>
      </w:r>
    </w:p>
    <w:p w14:paraId="7F7C6A63"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t>أولاً:</w:t>
      </w:r>
      <w:r w:rsidRPr="00F27422">
        <w:rPr>
          <w:rFonts w:ascii="mylotus" w:hAnsi="mylotus"/>
          <w:sz w:val="32"/>
          <w:rtl/>
        </w:rPr>
        <w:t xml:space="preserve"> أنّ ظاهر النصوص عرفا</w:t>
      </w:r>
      <w:r w:rsidRPr="00F27422">
        <w:rPr>
          <w:rFonts w:ascii="mylotus" w:hAnsi="mylotus" w:hint="cs"/>
          <w:sz w:val="32"/>
          <w:rtl/>
        </w:rPr>
        <w:t>ً</w:t>
      </w:r>
      <w:r w:rsidRPr="00F27422">
        <w:rPr>
          <w:rFonts w:ascii="mylotus" w:hAnsi="mylotus"/>
          <w:sz w:val="32"/>
          <w:rtl/>
        </w:rPr>
        <w:t xml:space="preserve"> أنّ تمام المناط في استقلال البنت في النكاح كونها مالكةً لأمرها، فإن</w:t>
      </w:r>
      <w:r w:rsidRPr="00F27422">
        <w:rPr>
          <w:rFonts w:ascii="mylotus" w:hAnsi="mylotus" w:hint="cs"/>
          <w:sz w:val="32"/>
          <w:rtl/>
        </w:rPr>
        <w:t>ّ</w:t>
      </w:r>
      <w:r w:rsidRPr="00F27422">
        <w:rPr>
          <w:rFonts w:ascii="mylotus" w:hAnsi="mylotus"/>
          <w:sz w:val="32"/>
          <w:rtl/>
        </w:rPr>
        <w:t>ه مِن الواضح لو قيل</w:t>
      </w:r>
      <w:r w:rsidRPr="00F27422">
        <w:rPr>
          <w:rFonts w:ascii="mylotus" w:hAnsi="mylotus" w:hint="cs"/>
          <w:sz w:val="32"/>
          <w:rtl/>
        </w:rPr>
        <w:t>:</w:t>
      </w:r>
      <w:r w:rsidRPr="00F27422">
        <w:rPr>
          <w:rFonts w:ascii="mylotus" w:hAnsi="mylotus"/>
          <w:sz w:val="32"/>
          <w:rtl/>
        </w:rPr>
        <w:t xml:space="preserve"> </w:t>
      </w:r>
      <w:r w:rsidRPr="00F27422">
        <w:rPr>
          <w:rFonts w:ascii="mylotus" w:hAnsi="mylotus" w:cs="Cambria" w:hint="cs"/>
          <w:sz w:val="32"/>
          <w:rtl/>
        </w:rPr>
        <w:t>"</w:t>
      </w:r>
      <w:r w:rsidRPr="00F27422">
        <w:rPr>
          <w:rFonts w:ascii="mylotus" w:hAnsi="mylotus"/>
          <w:sz w:val="32"/>
          <w:rtl/>
        </w:rPr>
        <w:t>إن</w:t>
      </w:r>
      <w:r w:rsidRPr="00F27422">
        <w:rPr>
          <w:rFonts w:ascii="mylotus" w:hAnsi="mylotus" w:hint="cs"/>
          <w:sz w:val="32"/>
          <w:rtl/>
        </w:rPr>
        <w:t>ّ</w:t>
      </w:r>
      <w:r w:rsidRPr="00F27422">
        <w:rPr>
          <w:rFonts w:ascii="mylotus" w:hAnsi="mylotus"/>
          <w:sz w:val="32"/>
          <w:rtl/>
        </w:rPr>
        <w:t>ه لا</w:t>
      </w:r>
      <w:r w:rsidRPr="00F27422">
        <w:rPr>
          <w:rFonts w:ascii="mylotus" w:hAnsi="mylotus" w:hint="cs"/>
          <w:sz w:val="32"/>
          <w:rtl/>
        </w:rPr>
        <w:t xml:space="preserve"> </w:t>
      </w:r>
      <w:r w:rsidRPr="00F27422">
        <w:rPr>
          <w:rFonts w:ascii="mylotus" w:hAnsi="mylotus"/>
          <w:sz w:val="32"/>
          <w:rtl/>
        </w:rPr>
        <w:t xml:space="preserve">يكفي في نفوذ العقد كونها مالكة </w:t>
      </w:r>
      <w:proofErr w:type="gramStart"/>
      <w:r w:rsidRPr="00F27422">
        <w:rPr>
          <w:rFonts w:ascii="mylotus" w:hAnsi="mylotus"/>
          <w:sz w:val="32"/>
          <w:rtl/>
        </w:rPr>
        <w:t>أمرها</w:t>
      </w:r>
      <w:proofErr w:type="gramEnd"/>
      <w:r w:rsidRPr="00F27422">
        <w:rPr>
          <w:rFonts w:ascii="mylotus" w:hAnsi="mylotus"/>
          <w:sz w:val="32"/>
          <w:rtl/>
        </w:rPr>
        <w:t xml:space="preserve"> بل لاب</w:t>
      </w:r>
      <w:r w:rsidRPr="00F27422">
        <w:rPr>
          <w:rFonts w:ascii="mylotus" w:hAnsi="mylotus" w:hint="cs"/>
          <w:sz w:val="32"/>
          <w:rtl/>
        </w:rPr>
        <w:t>ُ</w:t>
      </w:r>
      <w:r w:rsidRPr="00F27422">
        <w:rPr>
          <w:rFonts w:ascii="mylotus" w:hAnsi="mylotus"/>
          <w:sz w:val="32"/>
          <w:rtl/>
        </w:rPr>
        <w:t>د</w:t>
      </w:r>
      <w:r w:rsidRPr="00F27422">
        <w:rPr>
          <w:rFonts w:ascii="mylotus" w:hAnsi="mylotus" w:hint="cs"/>
          <w:sz w:val="32"/>
          <w:rtl/>
        </w:rPr>
        <w:t>ّ</w:t>
      </w:r>
      <w:r w:rsidRPr="00F27422">
        <w:rPr>
          <w:rFonts w:ascii="mylotus" w:hAnsi="mylotus"/>
          <w:sz w:val="32"/>
          <w:rtl/>
        </w:rPr>
        <w:t xml:space="preserve"> من </w:t>
      </w:r>
      <w:proofErr w:type="spellStart"/>
      <w:r w:rsidRPr="00F27422">
        <w:rPr>
          <w:rFonts w:ascii="mylotus" w:hAnsi="mylotus"/>
          <w:sz w:val="32"/>
          <w:rtl/>
        </w:rPr>
        <w:t>الثيبوبة</w:t>
      </w:r>
      <w:proofErr w:type="spellEnd"/>
      <w:r w:rsidRPr="00F27422">
        <w:rPr>
          <w:rFonts w:ascii="mylotus" w:hAnsi="mylotus"/>
          <w:sz w:val="32"/>
          <w:rtl/>
        </w:rPr>
        <w:t xml:space="preserve"> لكان ذلك مستهجنا</w:t>
      </w:r>
      <w:r w:rsidRPr="00F27422">
        <w:rPr>
          <w:rFonts w:ascii="mylotus" w:hAnsi="mylotus" w:cs="Cambria" w:hint="cs"/>
          <w:sz w:val="32"/>
          <w:rtl/>
        </w:rPr>
        <w:t>"</w:t>
      </w:r>
      <w:r w:rsidRPr="00F27422">
        <w:rPr>
          <w:rFonts w:ascii="mylotus" w:hAnsi="mylotus"/>
          <w:sz w:val="32"/>
          <w:rtl/>
        </w:rPr>
        <w:t>، فجعلها قيداً آخر لنفوذ العقد من قَبيل ضم الحجر للإنسان بالنظر العرفي</w:t>
      </w:r>
      <w:r w:rsidRPr="00F27422">
        <w:rPr>
          <w:rFonts w:ascii="mylotus" w:hAnsi="mylotus" w:hint="cs"/>
          <w:sz w:val="32"/>
          <w:rtl/>
        </w:rPr>
        <w:t>.</w:t>
      </w:r>
    </w:p>
    <w:p w14:paraId="630A54DE"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b/>
          <w:bCs/>
          <w:sz w:val="32"/>
          <w:rtl/>
        </w:rPr>
        <w:t>وثانياً:</w:t>
      </w:r>
      <w:r w:rsidRPr="00F27422">
        <w:rPr>
          <w:rFonts w:ascii="mylotus" w:hAnsi="mylotus"/>
          <w:sz w:val="32"/>
          <w:rtl/>
        </w:rPr>
        <w:t xml:space="preserve"> لو تنزلنا وقلنا: إن</w:t>
      </w:r>
      <w:r w:rsidRPr="00F27422">
        <w:rPr>
          <w:rFonts w:ascii="mylotus" w:hAnsi="mylotus" w:hint="cs"/>
          <w:sz w:val="32"/>
          <w:rtl/>
        </w:rPr>
        <w:t>ّ</w:t>
      </w:r>
      <w:r w:rsidRPr="00F27422">
        <w:rPr>
          <w:rFonts w:ascii="mylotus" w:hAnsi="mylotus"/>
          <w:sz w:val="32"/>
          <w:rtl/>
        </w:rPr>
        <w:t xml:space="preserve"> الشرط مطلق</w:t>
      </w:r>
      <w:r w:rsidRPr="00F27422">
        <w:rPr>
          <w:rFonts w:ascii="mylotus" w:hAnsi="mylotus" w:hint="cs"/>
          <w:sz w:val="32"/>
          <w:rtl/>
        </w:rPr>
        <w:t>ٌ</w:t>
      </w:r>
      <w:r w:rsidRPr="00F27422">
        <w:rPr>
          <w:rFonts w:ascii="mylotus" w:hAnsi="mylotus"/>
          <w:sz w:val="32"/>
          <w:rtl/>
        </w:rPr>
        <w:t xml:space="preserve"> قابلٌ للتقييد فإن</w:t>
      </w:r>
      <w:r w:rsidRPr="00F27422">
        <w:rPr>
          <w:rFonts w:ascii="mylotus" w:hAnsi="mylotus" w:hint="cs"/>
          <w:sz w:val="32"/>
          <w:rtl/>
        </w:rPr>
        <w:t>ّ</w:t>
      </w:r>
      <w:r w:rsidRPr="00F27422">
        <w:rPr>
          <w:rFonts w:ascii="mylotus" w:hAnsi="mylotus"/>
          <w:sz w:val="32"/>
          <w:rtl/>
        </w:rPr>
        <w:t xml:space="preserve"> التخصيص مصادم</w:t>
      </w:r>
      <w:r w:rsidRPr="00F27422">
        <w:rPr>
          <w:rFonts w:ascii="mylotus" w:hAnsi="mylotus" w:hint="cs"/>
          <w:sz w:val="32"/>
          <w:rtl/>
        </w:rPr>
        <w:t>ٌ</w:t>
      </w:r>
      <w:r w:rsidRPr="00F27422">
        <w:rPr>
          <w:rFonts w:ascii="mylotus" w:hAnsi="mylotus"/>
          <w:sz w:val="32"/>
          <w:rtl/>
        </w:rPr>
        <w:t xml:space="preserve"> لظاهر معتبرة أبي مريم المتقدمة: </w:t>
      </w:r>
      <w:r w:rsidRPr="00F27422">
        <w:rPr>
          <w:rFonts w:ascii="mylotus" w:hAnsi="mylotus"/>
          <w:b/>
          <w:bCs/>
          <w:sz w:val="32"/>
          <w:rtl/>
        </w:rPr>
        <w:t xml:space="preserve">(عن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قال: الجارية البكر التي لها أب لا تتزوج إلّا بإذن أبيها، وقال: إذا كانت مالكة لأمرها تزوجت متى شاءت)</w:t>
      </w:r>
      <w:r w:rsidRPr="00F27422">
        <w:rPr>
          <w:rFonts w:ascii="mylotus" w:hAnsi="mylotus"/>
          <w:b/>
          <w:bCs/>
          <w:sz w:val="32"/>
        </w:rPr>
        <w:t>.</w:t>
      </w:r>
    </w:p>
    <w:p w14:paraId="1E66C110"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 xml:space="preserve">والمرادُ من قوله (عليه السلام): </w:t>
      </w:r>
      <w:r w:rsidRPr="00F27422">
        <w:rPr>
          <w:rFonts w:ascii="mylotus" w:hAnsi="mylotus"/>
          <w:b/>
          <w:bCs/>
          <w:sz w:val="32"/>
          <w:rtl/>
        </w:rPr>
        <w:t>(إذا كانتْ)</w:t>
      </w:r>
      <w:r w:rsidRPr="00F27422">
        <w:rPr>
          <w:rFonts w:ascii="mylotus" w:hAnsi="mylotus"/>
          <w:sz w:val="32"/>
          <w:rtl/>
        </w:rPr>
        <w:t xml:space="preserve"> الجارية البكر</w:t>
      </w:r>
      <w:r w:rsidRPr="00F27422">
        <w:rPr>
          <w:rFonts w:ascii="mylotus" w:hAnsi="mylotus"/>
          <w:sz w:val="32"/>
        </w:rPr>
        <w:t>.</w:t>
      </w:r>
    </w:p>
    <w:p w14:paraId="67093251"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sz w:val="32"/>
          <w:rtl/>
        </w:rPr>
        <w:t xml:space="preserve">وحيث إنّ هذه الرواية ظاهرةٌ في أنّ المنظور فيها "الجارية البِكر" أفاد (قدس سره) في [ص212] فقال: </w:t>
      </w:r>
      <w:r w:rsidRPr="00F27422">
        <w:rPr>
          <w:rFonts w:ascii="mylotus" w:hAnsi="mylotus"/>
          <w:b/>
          <w:bCs/>
          <w:sz w:val="32"/>
          <w:rtl/>
        </w:rPr>
        <w:t>(إلّا أن في الاستدلال بها ما لا يخفى. فإن الموضوع فيها ليس هو الجارية فقط ومن غير قيد، وإنما هو الجارية البكر، وهو مما يكشف عن وجود خصوصيّة للبكارة. ومن هنا فلا يمكن حمل الجملة الأُولى)</w:t>
      </w:r>
      <w:r w:rsidRPr="00F27422">
        <w:rPr>
          <w:rFonts w:ascii="mylotus" w:hAnsi="mylotus"/>
          <w:sz w:val="32"/>
          <w:rtl/>
        </w:rPr>
        <w:t xml:space="preserve"> أي: الجارية البِكر </w:t>
      </w:r>
      <w:r w:rsidRPr="00F27422">
        <w:rPr>
          <w:rFonts w:ascii="mylotus" w:hAnsi="mylotus"/>
          <w:b/>
          <w:bCs/>
          <w:sz w:val="32"/>
          <w:rtl/>
        </w:rPr>
        <w:t xml:space="preserve">(على خصوص الصغيرة، وحمل الجملة الثانية على البالغة، لأنه يستلزم إلغاء خصوصيّة </w:t>
      </w:r>
      <w:proofErr w:type="gramStart"/>
      <w:r w:rsidRPr="00F27422">
        <w:rPr>
          <w:rFonts w:ascii="mylotus" w:hAnsi="mylotus"/>
          <w:b/>
          <w:bCs/>
          <w:sz w:val="32"/>
          <w:rtl/>
        </w:rPr>
        <w:t>البكارة،  باعتبار</w:t>
      </w:r>
      <w:proofErr w:type="gramEnd"/>
      <w:r w:rsidRPr="00F27422">
        <w:rPr>
          <w:rFonts w:ascii="mylotus" w:hAnsi="mylotus"/>
          <w:b/>
          <w:bCs/>
          <w:sz w:val="32"/>
          <w:rtl/>
        </w:rPr>
        <w:t xml:space="preserve"> أن أمر الصبية بيد أبيها سواء أكانت باكراً أم ثيباً</w:t>
      </w:r>
      <w:r w:rsidRPr="00F27422">
        <w:rPr>
          <w:rFonts w:ascii="mylotus" w:hAnsi="mylotus"/>
          <w:b/>
          <w:bCs/>
          <w:sz w:val="32"/>
        </w:rPr>
        <w:t>.</w:t>
      </w:r>
    </w:p>
    <w:p w14:paraId="66DC2D68"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t>وعلى هذا الأساس فلابدّ من حمل الجملة الثانية: إما على فرض موت الأب)</w:t>
      </w:r>
      <w:r w:rsidRPr="00F27422">
        <w:rPr>
          <w:rFonts w:ascii="mylotus" w:hAnsi="mylotus"/>
          <w:sz w:val="32"/>
          <w:rtl/>
        </w:rPr>
        <w:t xml:space="preserve"> فتكون يتيمة ولذلك صارتْ مالكةً أمرها </w:t>
      </w:r>
      <w:r w:rsidRPr="00F27422">
        <w:rPr>
          <w:rFonts w:ascii="mylotus" w:hAnsi="mylotus"/>
          <w:b/>
          <w:bCs/>
          <w:sz w:val="32"/>
          <w:rtl/>
        </w:rPr>
        <w:t>(أو تثيب البنت بعد ذلك)</w:t>
      </w:r>
      <w:r w:rsidRPr="00F27422">
        <w:rPr>
          <w:rFonts w:ascii="mylotus" w:hAnsi="mylotus" w:hint="cs"/>
          <w:b/>
          <w:bCs/>
          <w:sz w:val="32"/>
          <w:rtl/>
        </w:rPr>
        <w:t>.</w:t>
      </w:r>
      <w:r w:rsidRPr="00F27422">
        <w:rPr>
          <w:rFonts w:ascii="mylotus" w:hAnsi="mylotus"/>
          <w:sz w:val="32"/>
          <w:rtl/>
        </w:rPr>
        <w:t xml:space="preserve"> فكأنّه قال: "الجاريةُ البِكر التي لها أب لا تتزوج إلّا بإذن أبيها، وقال: إذا ثيبتْ كانتْ مالكةً أمرها تزوجتْ متى شاءتْ</w:t>
      </w:r>
      <w:r w:rsidRPr="00F27422">
        <w:rPr>
          <w:rFonts w:ascii="mylotus" w:hAnsi="mylotus" w:cs="Cambria" w:hint="cs"/>
          <w:sz w:val="32"/>
          <w:rtl/>
        </w:rPr>
        <w:t>"</w:t>
      </w:r>
      <w:r w:rsidRPr="00F27422">
        <w:rPr>
          <w:rFonts w:ascii="mylotus" w:hAnsi="mylotus" w:hint="cs"/>
          <w:sz w:val="32"/>
          <w:rtl/>
        </w:rPr>
        <w:t>.</w:t>
      </w:r>
    </w:p>
    <w:p w14:paraId="27C6E2C6"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b/>
          <w:bCs/>
          <w:sz w:val="32"/>
          <w:rtl/>
        </w:rPr>
        <w:t>ولكنه كما ترى،</w:t>
      </w:r>
      <w:r w:rsidRPr="00F27422">
        <w:rPr>
          <w:rFonts w:ascii="mylotus" w:hAnsi="mylotus"/>
          <w:sz w:val="32"/>
          <w:rtl/>
        </w:rPr>
        <w:t xml:space="preserve"> تكلف</w:t>
      </w:r>
      <w:r w:rsidRPr="00F27422">
        <w:rPr>
          <w:rFonts w:ascii="mylotus" w:hAnsi="mylotus" w:hint="cs"/>
          <w:sz w:val="32"/>
          <w:rtl/>
        </w:rPr>
        <w:t>ٌ</w:t>
      </w:r>
      <w:r w:rsidRPr="00F27422">
        <w:rPr>
          <w:rFonts w:ascii="mylotus" w:hAnsi="mylotus"/>
          <w:sz w:val="32"/>
          <w:rtl/>
        </w:rPr>
        <w:t xml:space="preserve"> وتحميل</w:t>
      </w:r>
      <w:r w:rsidRPr="00F27422">
        <w:rPr>
          <w:rFonts w:ascii="mylotus" w:hAnsi="mylotus" w:hint="cs"/>
          <w:sz w:val="32"/>
          <w:rtl/>
        </w:rPr>
        <w:t>ٌ</w:t>
      </w:r>
      <w:r w:rsidRPr="00F27422">
        <w:rPr>
          <w:rFonts w:ascii="mylotus" w:hAnsi="mylotus"/>
          <w:sz w:val="32"/>
          <w:rtl/>
        </w:rPr>
        <w:t xml:space="preserve"> للرواية م</w:t>
      </w:r>
      <w:r w:rsidRPr="00F27422">
        <w:rPr>
          <w:rFonts w:ascii="mylotus" w:hAnsi="mylotus" w:hint="cs"/>
          <w:sz w:val="32"/>
          <w:rtl/>
        </w:rPr>
        <w:t>ِ</w:t>
      </w:r>
      <w:r w:rsidRPr="00F27422">
        <w:rPr>
          <w:rFonts w:ascii="mylotus" w:hAnsi="mylotus"/>
          <w:sz w:val="32"/>
          <w:rtl/>
        </w:rPr>
        <w:t>ن دون منشأ عرف</w:t>
      </w:r>
      <w:r w:rsidRPr="00F27422">
        <w:rPr>
          <w:rFonts w:ascii="mylotus" w:hAnsi="mylotus" w:hint="cs"/>
          <w:sz w:val="32"/>
          <w:rtl/>
        </w:rPr>
        <w:t>ي.</w:t>
      </w:r>
    </w:p>
    <w:p w14:paraId="13F6804D"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b/>
          <w:bCs/>
          <w:sz w:val="32"/>
          <w:rtl/>
        </w:rPr>
        <w:t>الوجهُ الرابع:</w:t>
      </w:r>
      <w:r w:rsidRPr="00F27422">
        <w:rPr>
          <w:rFonts w:ascii="mylotus" w:hAnsi="mylotus"/>
          <w:sz w:val="32"/>
          <w:rtl/>
        </w:rPr>
        <w:t xml:space="preserve"> ما نقله سيد المستمسك (قدس سره الشريف) في كتابه [مستمسك العروة الوثقى، السيد محسن الطباطبائي الحكيم، دار إحياء التراث العربي، ج14، ص443] عن الشيخ الأعظم (قدس سره الشريف)، حيث قال: </w:t>
      </w:r>
      <w:r w:rsidRPr="00F27422">
        <w:rPr>
          <w:rFonts w:ascii="mylotus" w:hAnsi="mylotus"/>
          <w:b/>
          <w:bCs/>
          <w:sz w:val="32"/>
          <w:rtl/>
        </w:rPr>
        <w:t>(وشيخنا الأعظم (ره) في رسالة النكاح جعل الجمع بينهما كما يكون بالتقييد)</w:t>
      </w:r>
      <w:r w:rsidRPr="00F27422">
        <w:rPr>
          <w:rFonts w:ascii="mylotus" w:hAnsi="mylotus"/>
          <w:sz w:val="32"/>
          <w:rtl/>
        </w:rPr>
        <w:t xml:space="preserve"> وهو ما ارتكبه السيد الحكيم قده بتقييد الوليّ بغير الأب </w:t>
      </w:r>
      <w:r w:rsidRPr="00F27422">
        <w:rPr>
          <w:rFonts w:ascii="mylotus" w:hAnsi="mylotus"/>
          <w:b/>
          <w:bCs/>
          <w:sz w:val="32"/>
          <w:rtl/>
        </w:rPr>
        <w:t>(يكون أيضا بحمل الطائفة الأولى)</w:t>
      </w:r>
      <w:r w:rsidRPr="00F27422">
        <w:rPr>
          <w:rFonts w:ascii="mylotus" w:hAnsi="mylotus"/>
          <w:sz w:val="32"/>
          <w:rtl/>
        </w:rPr>
        <w:t xml:space="preserve"> وهي ما دلتْ على أنْ ليس لها مع أبيها أمر </w:t>
      </w:r>
      <w:r w:rsidRPr="00F27422">
        <w:rPr>
          <w:rFonts w:ascii="mylotus" w:hAnsi="mylotus"/>
          <w:b/>
          <w:bCs/>
          <w:sz w:val="32"/>
          <w:rtl/>
        </w:rPr>
        <w:t>(على الاستحباب، يعني: يستحب للبكر إيكال أمرها إلى الأب. وأن تقييد المطلق)</w:t>
      </w:r>
      <w:r w:rsidRPr="00F27422">
        <w:rPr>
          <w:rFonts w:ascii="mylotus" w:hAnsi="mylotus"/>
          <w:sz w:val="32"/>
          <w:rtl/>
        </w:rPr>
        <w:t xml:space="preserve"> وهو الوليّ بغير الأب، أو كما قال سيدنا الخوئي بتقييد المرأة بغير البِكر </w:t>
      </w:r>
      <w:r w:rsidRPr="00F27422">
        <w:rPr>
          <w:rFonts w:ascii="mylotus" w:hAnsi="mylotus"/>
          <w:b/>
          <w:bCs/>
          <w:sz w:val="32"/>
          <w:rtl/>
        </w:rPr>
        <w:t>(وإن كان أرجح من حمل المقيد على الاستحباب. لكن التقييد لما كان مستلزماً لطرح أخبار كثيرة)</w:t>
      </w:r>
      <w:r w:rsidRPr="00F27422">
        <w:rPr>
          <w:rFonts w:ascii="mylotus" w:hAnsi="mylotus"/>
          <w:sz w:val="32"/>
          <w:rtl/>
        </w:rPr>
        <w:t xml:space="preserve"> دلتْ على أنّ الجارية البِكر التي لها أب متى كانتْ مالكةً أمرها تزوجت متى شاءتْ </w:t>
      </w:r>
      <w:r w:rsidRPr="00F27422">
        <w:rPr>
          <w:rFonts w:ascii="mylotus" w:hAnsi="mylotus"/>
          <w:b/>
          <w:bCs/>
          <w:sz w:val="32"/>
          <w:rtl/>
        </w:rPr>
        <w:t xml:space="preserve">(- مثل مرسلة سعدان وخبر ابن عباس المتقدمين، والأخبار الواردة في جواز التمتع بالبكر بدون إذن أبيها، الآتية في أدلة القول الثالث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تعين</w:t>
      </w:r>
      <w:r w:rsidRPr="00F27422">
        <w:rPr>
          <w:rFonts w:ascii="mylotus" w:hAnsi="mylotus"/>
          <w:b/>
          <w:bCs/>
          <w:sz w:val="32"/>
          <w:rtl/>
        </w:rPr>
        <w:t xml:space="preserve"> </w:t>
      </w:r>
      <w:r w:rsidRPr="00F27422">
        <w:rPr>
          <w:rFonts w:ascii="mylotus" w:hAnsi="mylotus" w:hint="cs"/>
          <w:b/>
          <w:bCs/>
          <w:sz w:val="32"/>
          <w:rtl/>
        </w:rPr>
        <w:t>الجمع</w:t>
      </w:r>
      <w:r w:rsidRPr="00F27422">
        <w:rPr>
          <w:rFonts w:ascii="mylotus" w:hAnsi="mylotus"/>
          <w:b/>
          <w:bCs/>
          <w:sz w:val="32"/>
          <w:rtl/>
        </w:rPr>
        <w:t xml:space="preserve"> </w:t>
      </w:r>
      <w:r w:rsidRPr="00F27422">
        <w:rPr>
          <w:rFonts w:ascii="mylotus" w:hAnsi="mylotus" w:hint="cs"/>
          <w:b/>
          <w:bCs/>
          <w:sz w:val="32"/>
          <w:rtl/>
        </w:rPr>
        <w:t>بحمل</w:t>
      </w:r>
      <w:r w:rsidRPr="00F27422">
        <w:rPr>
          <w:rFonts w:ascii="mylotus" w:hAnsi="mylotus"/>
          <w:b/>
          <w:bCs/>
          <w:sz w:val="32"/>
          <w:rtl/>
        </w:rPr>
        <w:t xml:space="preserve"> </w:t>
      </w:r>
      <w:r w:rsidRPr="00F27422">
        <w:rPr>
          <w:rFonts w:ascii="mylotus" w:hAnsi="mylotus" w:hint="cs"/>
          <w:b/>
          <w:bCs/>
          <w:sz w:val="32"/>
          <w:rtl/>
        </w:rPr>
        <w:t>المقيد</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الاستحباب</w:t>
      </w:r>
      <w:r w:rsidRPr="00F27422">
        <w:rPr>
          <w:rFonts w:ascii="mylotus" w:hAnsi="mylotus"/>
          <w:b/>
          <w:bCs/>
          <w:sz w:val="32"/>
          <w:rtl/>
        </w:rPr>
        <w:t>)</w:t>
      </w:r>
      <w:r w:rsidRPr="00F27422">
        <w:rPr>
          <w:rFonts w:ascii="mylotus" w:hAnsi="mylotus"/>
          <w:b/>
          <w:bCs/>
          <w:sz w:val="32"/>
        </w:rPr>
        <w:t>.</w:t>
      </w:r>
    </w:p>
    <w:p w14:paraId="72A4D08D"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lastRenderedPageBreak/>
        <w:t xml:space="preserve">فالشيخ الأعظم (قدس سره الشريف) استشهد بأخبارٍ غير تامة، مثل مرسلة سعدان، كما في الوسائل: </w:t>
      </w:r>
      <w:r w:rsidRPr="00F27422">
        <w:rPr>
          <w:rFonts w:ascii="mylotus" w:hAnsi="mylotus"/>
          <w:b/>
          <w:bCs/>
          <w:sz w:val="32"/>
          <w:rtl/>
        </w:rPr>
        <w:t xml:space="preserve">(وعنه، عن العباس بن معروف، عن سعدان بن مسلم، عن رجل، 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قال: لا بأس بتزويج البكر إذا رضيت من غير إذن أبويها).</w:t>
      </w:r>
      <w:r w:rsidRPr="00F27422">
        <w:rPr>
          <w:rFonts w:ascii="mylotus" w:hAnsi="mylotus"/>
          <w:sz w:val="32"/>
          <w:rtl/>
        </w:rPr>
        <w:t xml:space="preserve"> [وسائل الشيعة، الحر العاملي، تحقيق مؤسسة آل البيت (عليهم السلام) لإحياء التراث، ج21، كتاب النكاح، أبواب المتعة، الباب 11 باب حكم التمتع بالبكر بغير إذن أبيها، ح8]</w:t>
      </w:r>
      <w:r w:rsidRPr="00F27422">
        <w:rPr>
          <w:rFonts w:ascii="mylotus" w:hAnsi="mylotus"/>
          <w:sz w:val="32"/>
        </w:rPr>
        <w:t>.</w:t>
      </w:r>
    </w:p>
    <w:p w14:paraId="37E1B579"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 xml:space="preserve">وخبر ابن عباس: </w:t>
      </w:r>
      <w:r w:rsidRPr="00F27422">
        <w:rPr>
          <w:rFonts w:ascii="mylotus" w:hAnsi="mylotus"/>
          <w:b/>
          <w:bCs/>
          <w:sz w:val="32"/>
          <w:rtl/>
        </w:rPr>
        <w:t xml:space="preserve">(إن جارية بكراً جاءت إلى النبي (صلى الله عليه وآله) فقالت: إن أبي زوجني من ابن أخ له ليرفع </w:t>
      </w:r>
      <w:proofErr w:type="spellStart"/>
      <w:r w:rsidRPr="00F27422">
        <w:rPr>
          <w:rFonts w:ascii="mylotus" w:hAnsi="mylotus"/>
          <w:b/>
          <w:bCs/>
          <w:sz w:val="32"/>
          <w:rtl/>
        </w:rPr>
        <w:t>خسيسته</w:t>
      </w:r>
      <w:proofErr w:type="spellEnd"/>
      <w:r w:rsidRPr="00F27422">
        <w:rPr>
          <w:rFonts w:ascii="mylotus" w:hAnsi="mylotus"/>
          <w:b/>
          <w:bCs/>
          <w:sz w:val="32"/>
          <w:rtl/>
        </w:rPr>
        <w:t xml:space="preserve">. وأنا له كارهة، فقال: (صلى الله عليه وآله): </w:t>
      </w:r>
      <w:proofErr w:type="spellStart"/>
      <w:r w:rsidRPr="00F27422">
        <w:rPr>
          <w:rFonts w:ascii="mylotus" w:hAnsi="mylotus"/>
          <w:b/>
          <w:bCs/>
          <w:sz w:val="32"/>
          <w:rtl/>
        </w:rPr>
        <w:t>أجيزي</w:t>
      </w:r>
      <w:proofErr w:type="spellEnd"/>
      <w:r w:rsidRPr="00F27422">
        <w:rPr>
          <w:rFonts w:ascii="mylotus" w:hAnsi="mylotus"/>
          <w:b/>
          <w:bCs/>
          <w:sz w:val="32"/>
          <w:rtl/>
        </w:rPr>
        <w:t xml:space="preserve"> ما صنع أبوك. فقالت: لا رغبة لي فيما صنع أبي. قال (صلى الله عليه وآله): فاذهبي فانكحي من شئت. فقالت: لا رغبة لي عما صنع أبي، ولكن أردت أن أعلم النساء أن ليس للآباء في أمور بناتهم شيء)</w:t>
      </w:r>
      <w:r w:rsidRPr="00F27422">
        <w:rPr>
          <w:rFonts w:ascii="mylotus" w:hAnsi="mylotus"/>
          <w:b/>
          <w:bCs/>
          <w:sz w:val="32"/>
        </w:rPr>
        <w:t>.</w:t>
      </w:r>
    </w:p>
    <w:p w14:paraId="68FBAD5C" w14:textId="77777777" w:rsidR="00A46EDA" w:rsidRPr="00F27422" w:rsidRDefault="00A46EDA" w:rsidP="00122B70">
      <w:pPr>
        <w:pStyle w:val="a"/>
        <w:bidi/>
        <w:spacing w:line="216" w:lineRule="auto"/>
        <w:jc w:val="left"/>
        <w:rPr>
          <w:rFonts w:ascii="mylotus" w:hAnsi="mylotus"/>
          <w:b/>
          <w:bCs/>
          <w:sz w:val="32"/>
          <w:rtl/>
        </w:rPr>
      </w:pPr>
      <w:r w:rsidRPr="00F27422">
        <w:rPr>
          <w:rFonts w:ascii="mylotus" w:hAnsi="mylotus"/>
          <w:sz w:val="32"/>
          <w:rtl/>
        </w:rPr>
        <w:t xml:space="preserve">وقد عُلق على هذا الخبر كما في هامش المستمسك: </w:t>
      </w:r>
      <w:r w:rsidRPr="00F27422">
        <w:rPr>
          <w:rFonts w:ascii="mylotus" w:hAnsi="mylotus"/>
          <w:b/>
          <w:bCs/>
          <w:sz w:val="32"/>
          <w:rtl/>
        </w:rPr>
        <w:t>(لم نعثر على هذا الحديث فيما تحت أيدينا من كتب الحديث)</w:t>
      </w:r>
      <w:r w:rsidRPr="00F27422">
        <w:rPr>
          <w:rFonts w:ascii="mylotus" w:hAnsi="mylotus"/>
          <w:b/>
          <w:bCs/>
          <w:sz w:val="32"/>
        </w:rPr>
        <w:t>.</w:t>
      </w:r>
    </w:p>
    <w:p w14:paraId="1A368A6D"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 xml:space="preserve">وقد ورد خبرٌ مشابهٌ له كما في سنن ابن ماجة: </w:t>
      </w:r>
      <w:r w:rsidRPr="00F27422">
        <w:rPr>
          <w:rFonts w:ascii="mylotus" w:hAnsi="mylotus"/>
          <w:b/>
          <w:bCs/>
          <w:sz w:val="32"/>
          <w:rtl/>
        </w:rPr>
        <w:t xml:space="preserve">(١٨٧٤- (ضعيف شاذ) حدّثنا هنّادُ بنُ السّرِيّ، قالَ: حدّثنا وكيعٌ، عنْ كهمس بنِ الحسنِ، عن ابنِ بُريدةَ، عنْ أبيهِ، قالَ: جاءَت فتاةٌ إلى النبي (صلى الله عليه "وآله" وسلم) فقالتْ: إِنّ أبي زوَّجني ابنَ أخيه ليرفع بي </w:t>
      </w:r>
      <w:proofErr w:type="spellStart"/>
      <w:r w:rsidRPr="00F27422">
        <w:rPr>
          <w:rFonts w:ascii="mylotus" w:hAnsi="mylotus"/>
          <w:b/>
          <w:bCs/>
          <w:sz w:val="32"/>
          <w:rtl/>
        </w:rPr>
        <w:t>خسيستَه</w:t>
      </w:r>
      <w:proofErr w:type="spellEnd"/>
      <w:r w:rsidRPr="00F27422">
        <w:rPr>
          <w:rFonts w:ascii="mylotus" w:hAnsi="mylotus"/>
          <w:b/>
          <w:bCs/>
          <w:sz w:val="32"/>
          <w:rtl/>
        </w:rPr>
        <w:t>، قال: فجعل الأمر إليها، فقالت: قد أجزتُ ما صنع أبي، ولكن أَردتُ أَن تعلمَ النساءُ أن ليس إلى الآباء من الأمر شيءٌ).</w:t>
      </w:r>
      <w:r w:rsidRPr="00F27422">
        <w:rPr>
          <w:rFonts w:ascii="mylotus" w:hAnsi="mylotus"/>
          <w:sz w:val="32"/>
          <w:rtl/>
        </w:rPr>
        <w:t xml:space="preserve"> [سنن ابن ماجه، مكتبة المعارف للنشر والتوزيع، الطبعة الأولى، ج1، كتاب النكاح، الباب 12 باب من زوَّجَ ابنته وهي كارهة، ح2، ص326]</w:t>
      </w:r>
      <w:r w:rsidRPr="00F27422">
        <w:rPr>
          <w:rFonts w:ascii="mylotus" w:hAnsi="mylotus"/>
          <w:sz w:val="32"/>
        </w:rPr>
        <w:t>.</w:t>
      </w:r>
    </w:p>
    <w:p w14:paraId="39692F92" w14:textId="77777777" w:rsidR="00A46EDA" w:rsidRPr="00F27422" w:rsidRDefault="00A46EDA" w:rsidP="00122B70">
      <w:pPr>
        <w:pStyle w:val="a"/>
        <w:bidi/>
        <w:spacing w:line="216" w:lineRule="auto"/>
        <w:jc w:val="left"/>
        <w:rPr>
          <w:rFonts w:ascii="mylotus" w:hAnsi="mylotus"/>
          <w:sz w:val="32"/>
          <w:rtl/>
        </w:rPr>
      </w:pPr>
      <w:r w:rsidRPr="00F27422">
        <w:rPr>
          <w:rFonts w:ascii="mylotus" w:hAnsi="mylotus"/>
          <w:sz w:val="32"/>
          <w:rtl/>
        </w:rPr>
        <w:t>وحاصل كلامه (قدس سره الشريف) بأن</w:t>
      </w:r>
      <w:r w:rsidRPr="00F27422">
        <w:rPr>
          <w:rFonts w:ascii="mylotus" w:hAnsi="mylotus" w:hint="cs"/>
          <w:sz w:val="32"/>
          <w:rtl/>
        </w:rPr>
        <w:t>ّ</w:t>
      </w:r>
      <w:r w:rsidRPr="00F27422">
        <w:rPr>
          <w:rFonts w:ascii="mylotus" w:hAnsi="mylotus"/>
          <w:sz w:val="32"/>
          <w:rtl/>
        </w:rPr>
        <w:t>ه لو قيدنا المرأة بغير البِكر أو الوليّ بغير الأب للزم طرح هذه الأخبار.</w:t>
      </w:r>
    </w:p>
    <w:p w14:paraId="1352C1D1" w14:textId="77777777" w:rsidR="00A46EDA" w:rsidRPr="00F27422" w:rsidRDefault="00A46EDA" w:rsidP="00122B70">
      <w:pPr>
        <w:pStyle w:val="a"/>
        <w:bidi/>
        <w:spacing w:line="216" w:lineRule="auto"/>
        <w:jc w:val="left"/>
        <w:rPr>
          <w:rFonts w:ascii="mylotus" w:hAnsi="mylotus"/>
          <w:sz w:val="32"/>
          <w:rtl/>
        </w:rPr>
      </w:pPr>
    </w:p>
    <w:p w14:paraId="68E2373B" w14:textId="77777777" w:rsidR="00A46EDA" w:rsidRPr="00F27422" w:rsidRDefault="00A46EDA"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4EDE98AC" w14:textId="3D4B8A52" w:rsidR="00A46EDA" w:rsidRPr="00F27422" w:rsidRDefault="0028545D" w:rsidP="00122B70">
      <w:pPr>
        <w:bidi/>
        <w:rPr>
          <w:sz w:val="32"/>
          <w:szCs w:val="32"/>
          <w:rtl/>
        </w:rPr>
      </w:pPr>
      <w:r w:rsidRPr="00F27422">
        <w:rPr>
          <w:rFonts w:hint="cs"/>
          <w:sz w:val="32"/>
          <w:szCs w:val="32"/>
          <w:rtl/>
        </w:rPr>
        <w:t>الخلاصة</w:t>
      </w:r>
    </w:p>
    <w:p w14:paraId="6063BC19" w14:textId="77777777" w:rsidR="0028545D" w:rsidRPr="00F27422" w:rsidRDefault="0028545D" w:rsidP="00122B70">
      <w:pPr>
        <w:bidi/>
        <w:rPr>
          <w:sz w:val="32"/>
          <w:szCs w:val="32"/>
        </w:rPr>
      </w:pPr>
      <w:r w:rsidRPr="00F27422">
        <w:rPr>
          <w:rFonts w:cs="Arial" w:hint="cs"/>
          <w:sz w:val="32"/>
          <w:szCs w:val="32"/>
          <w:rtl/>
        </w:rPr>
        <w:t>خلاصة</w:t>
      </w:r>
      <w:r w:rsidRPr="00F27422">
        <w:rPr>
          <w:rFonts w:cs="Arial"/>
          <w:sz w:val="32"/>
          <w:szCs w:val="32"/>
          <w:rtl/>
        </w:rPr>
        <w:t xml:space="preserve"> </w:t>
      </w:r>
      <w:r w:rsidRPr="00F27422">
        <w:rPr>
          <w:rFonts w:cs="Arial" w:hint="cs"/>
          <w:sz w:val="32"/>
          <w:szCs w:val="32"/>
          <w:rtl/>
        </w:rPr>
        <w:t>بحث</w:t>
      </w:r>
      <w:r w:rsidRPr="00F27422">
        <w:rPr>
          <w:rFonts w:cs="Arial"/>
          <w:sz w:val="32"/>
          <w:szCs w:val="32"/>
          <w:rtl/>
        </w:rPr>
        <w:t xml:space="preserve"> </w:t>
      </w:r>
      <w:r w:rsidRPr="00F27422">
        <w:rPr>
          <w:rFonts w:cs="Arial" w:hint="cs"/>
          <w:sz w:val="32"/>
          <w:szCs w:val="32"/>
          <w:rtl/>
        </w:rPr>
        <w:t>الفقه</w:t>
      </w:r>
      <w:r w:rsidRPr="00F27422">
        <w:rPr>
          <w:rFonts w:cs="Arial"/>
          <w:sz w:val="32"/>
          <w:szCs w:val="32"/>
          <w:rtl/>
        </w:rPr>
        <w:t xml:space="preserve"> ٢٧٣ - </w:t>
      </w:r>
      <w:r w:rsidRPr="00F27422">
        <w:rPr>
          <w:rFonts w:cs="Arial" w:hint="cs"/>
          <w:sz w:val="32"/>
          <w:szCs w:val="32"/>
          <w:rtl/>
        </w:rPr>
        <w:t>الاثنين</w:t>
      </w:r>
      <w:r w:rsidRPr="00F27422">
        <w:rPr>
          <w:rFonts w:cs="Arial"/>
          <w:sz w:val="32"/>
          <w:szCs w:val="32"/>
          <w:rtl/>
        </w:rPr>
        <w:t xml:space="preserve"> ١٦ </w:t>
      </w:r>
      <w:r w:rsidRPr="00F27422">
        <w:rPr>
          <w:rFonts w:cs="Arial" w:hint="cs"/>
          <w:sz w:val="32"/>
          <w:szCs w:val="32"/>
          <w:rtl/>
        </w:rPr>
        <w:t>جمادى</w:t>
      </w:r>
      <w:r w:rsidRPr="00F27422">
        <w:rPr>
          <w:rFonts w:cs="Arial"/>
          <w:sz w:val="32"/>
          <w:szCs w:val="32"/>
          <w:rtl/>
        </w:rPr>
        <w:t xml:space="preserve"> </w:t>
      </w:r>
      <w:r w:rsidRPr="00F27422">
        <w:rPr>
          <w:rFonts w:cs="Arial" w:hint="cs"/>
          <w:sz w:val="32"/>
          <w:szCs w:val="32"/>
          <w:rtl/>
        </w:rPr>
        <w:t>الثانية</w:t>
      </w:r>
      <w:r w:rsidRPr="00F27422">
        <w:rPr>
          <w:rFonts w:cs="Arial"/>
          <w:sz w:val="32"/>
          <w:szCs w:val="32"/>
          <w:rtl/>
        </w:rPr>
        <w:t xml:space="preserve"> </w:t>
      </w:r>
    </w:p>
    <w:p w14:paraId="6D33E85E" w14:textId="77777777" w:rsidR="0028545D" w:rsidRPr="00F27422" w:rsidRDefault="0028545D" w:rsidP="00122B70">
      <w:pPr>
        <w:bidi/>
        <w:rPr>
          <w:sz w:val="32"/>
          <w:szCs w:val="32"/>
        </w:rPr>
      </w:pPr>
    </w:p>
    <w:p w14:paraId="7B663D74" w14:textId="77777777" w:rsidR="0028545D" w:rsidRPr="00F27422" w:rsidRDefault="0028545D" w:rsidP="00122B70">
      <w:pPr>
        <w:bidi/>
        <w:rPr>
          <w:sz w:val="32"/>
          <w:szCs w:val="32"/>
        </w:rPr>
      </w:pPr>
      <w:r w:rsidRPr="00F27422">
        <w:rPr>
          <w:rFonts w:cs="Arial" w:hint="cs"/>
          <w:sz w:val="32"/>
          <w:szCs w:val="32"/>
          <w:rtl/>
        </w:rPr>
        <w:t>قد</w:t>
      </w:r>
      <w:r w:rsidRPr="00F27422">
        <w:rPr>
          <w:rFonts w:cs="Arial"/>
          <w:sz w:val="32"/>
          <w:szCs w:val="32"/>
          <w:rtl/>
        </w:rPr>
        <w:t xml:space="preserve"> </w:t>
      </w:r>
      <w:r w:rsidRPr="00F27422">
        <w:rPr>
          <w:rFonts w:cs="Arial" w:hint="cs"/>
          <w:sz w:val="32"/>
          <w:szCs w:val="32"/>
          <w:rtl/>
        </w:rPr>
        <w:t>ذُكرت</w:t>
      </w:r>
      <w:r w:rsidRPr="00F27422">
        <w:rPr>
          <w:rFonts w:cs="Arial"/>
          <w:sz w:val="32"/>
          <w:szCs w:val="32"/>
          <w:rtl/>
        </w:rPr>
        <w:t xml:space="preserve"> </w:t>
      </w:r>
      <w:r w:rsidRPr="00F27422">
        <w:rPr>
          <w:rFonts w:cs="Arial" w:hint="cs"/>
          <w:sz w:val="32"/>
          <w:szCs w:val="32"/>
          <w:rtl/>
        </w:rPr>
        <w:t>وجوهٌ</w:t>
      </w:r>
      <w:r w:rsidRPr="00F27422">
        <w:rPr>
          <w:rFonts w:cs="Arial"/>
          <w:sz w:val="32"/>
          <w:szCs w:val="32"/>
          <w:rtl/>
        </w:rPr>
        <w:t xml:space="preserve"> </w:t>
      </w:r>
      <w:r w:rsidRPr="00F27422">
        <w:rPr>
          <w:rFonts w:cs="Arial" w:hint="cs"/>
          <w:sz w:val="32"/>
          <w:szCs w:val="32"/>
          <w:rtl/>
        </w:rPr>
        <w:t>عدّة</w:t>
      </w:r>
      <w:r w:rsidRPr="00F27422">
        <w:rPr>
          <w:rFonts w:cs="Arial"/>
          <w:sz w:val="32"/>
          <w:szCs w:val="32"/>
          <w:rtl/>
        </w:rPr>
        <w:t xml:space="preserve"> </w:t>
      </w:r>
      <w:r w:rsidRPr="00F27422">
        <w:rPr>
          <w:rFonts w:cs="Arial" w:hint="cs"/>
          <w:sz w:val="32"/>
          <w:szCs w:val="32"/>
          <w:rtl/>
        </w:rPr>
        <w:t>للجمع</w:t>
      </w:r>
      <w:r w:rsidRPr="00F27422">
        <w:rPr>
          <w:rFonts w:cs="Arial"/>
          <w:sz w:val="32"/>
          <w:szCs w:val="32"/>
          <w:rtl/>
        </w:rPr>
        <w:t xml:space="preserve"> </w:t>
      </w:r>
      <w:r w:rsidRPr="00F27422">
        <w:rPr>
          <w:rFonts w:cs="Arial" w:hint="cs"/>
          <w:sz w:val="32"/>
          <w:szCs w:val="32"/>
          <w:rtl/>
        </w:rPr>
        <w:t>بين</w:t>
      </w:r>
      <w:r w:rsidRPr="00F27422">
        <w:rPr>
          <w:rFonts w:cs="Arial"/>
          <w:sz w:val="32"/>
          <w:szCs w:val="32"/>
          <w:rtl/>
        </w:rPr>
        <w:t xml:space="preserve"> </w:t>
      </w:r>
      <w:r w:rsidRPr="00F27422">
        <w:rPr>
          <w:rFonts w:cs="Arial" w:hint="cs"/>
          <w:sz w:val="32"/>
          <w:szCs w:val="32"/>
          <w:rtl/>
        </w:rPr>
        <w:t>الطائفة</w:t>
      </w:r>
      <w:r w:rsidRPr="00F27422">
        <w:rPr>
          <w:rFonts w:cs="Arial"/>
          <w:sz w:val="32"/>
          <w:szCs w:val="32"/>
          <w:rtl/>
        </w:rPr>
        <w:t xml:space="preserve"> </w:t>
      </w:r>
      <w:r w:rsidRPr="00F27422">
        <w:rPr>
          <w:rFonts w:cs="Arial" w:hint="cs"/>
          <w:sz w:val="32"/>
          <w:szCs w:val="32"/>
          <w:rtl/>
        </w:rPr>
        <w:t>الدالّة</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r w:rsidRPr="00F27422">
        <w:rPr>
          <w:rFonts w:cs="Arial" w:hint="cs"/>
          <w:sz w:val="32"/>
          <w:szCs w:val="32"/>
          <w:rtl/>
        </w:rPr>
        <w:t>أنّه</w:t>
      </w:r>
      <w:r w:rsidRPr="00F27422">
        <w:rPr>
          <w:rFonts w:cs="Arial"/>
          <w:sz w:val="32"/>
          <w:szCs w:val="32"/>
          <w:rtl/>
        </w:rPr>
        <w:t xml:space="preserve"> </w:t>
      </w:r>
      <w:r w:rsidRPr="00F27422">
        <w:rPr>
          <w:rFonts w:cs="Arial" w:hint="cs"/>
          <w:sz w:val="32"/>
          <w:szCs w:val="32"/>
          <w:rtl/>
        </w:rPr>
        <w:t>ليس</w:t>
      </w:r>
      <w:r w:rsidRPr="00F27422">
        <w:rPr>
          <w:rFonts w:cs="Arial"/>
          <w:sz w:val="32"/>
          <w:szCs w:val="32"/>
          <w:rtl/>
        </w:rPr>
        <w:t xml:space="preserve"> </w:t>
      </w:r>
      <w:r w:rsidRPr="00F27422">
        <w:rPr>
          <w:rFonts w:cs="Arial" w:hint="cs"/>
          <w:sz w:val="32"/>
          <w:szCs w:val="32"/>
          <w:rtl/>
        </w:rPr>
        <w:t>للبنت</w:t>
      </w:r>
      <w:r w:rsidRPr="00F27422">
        <w:rPr>
          <w:rFonts w:cs="Arial"/>
          <w:sz w:val="32"/>
          <w:szCs w:val="32"/>
          <w:rtl/>
        </w:rPr>
        <w:t xml:space="preserve"> </w:t>
      </w:r>
      <w:r w:rsidRPr="00F27422">
        <w:rPr>
          <w:rFonts w:cs="Arial" w:hint="cs"/>
          <w:sz w:val="32"/>
          <w:szCs w:val="32"/>
          <w:rtl/>
        </w:rPr>
        <w:t>مع</w:t>
      </w:r>
      <w:r w:rsidRPr="00F27422">
        <w:rPr>
          <w:rFonts w:cs="Arial"/>
          <w:sz w:val="32"/>
          <w:szCs w:val="32"/>
          <w:rtl/>
        </w:rPr>
        <w:t xml:space="preserve"> </w:t>
      </w:r>
      <w:r w:rsidRPr="00F27422">
        <w:rPr>
          <w:rFonts w:cs="Arial" w:hint="cs"/>
          <w:sz w:val="32"/>
          <w:szCs w:val="32"/>
          <w:rtl/>
        </w:rPr>
        <w:t>أبيها</w:t>
      </w:r>
      <w:r w:rsidRPr="00F27422">
        <w:rPr>
          <w:rFonts w:cs="Arial"/>
          <w:sz w:val="32"/>
          <w:szCs w:val="32"/>
          <w:rtl/>
        </w:rPr>
        <w:t xml:space="preserve"> </w:t>
      </w:r>
      <w:r w:rsidRPr="00F27422">
        <w:rPr>
          <w:rFonts w:cs="Arial" w:hint="cs"/>
          <w:sz w:val="32"/>
          <w:szCs w:val="32"/>
          <w:rtl/>
        </w:rPr>
        <w:t>أمر،</w:t>
      </w:r>
      <w:r w:rsidRPr="00F27422">
        <w:rPr>
          <w:rFonts w:cs="Arial"/>
          <w:sz w:val="32"/>
          <w:szCs w:val="32"/>
          <w:rtl/>
        </w:rPr>
        <w:t xml:space="preserve"> </w:t>
      </w:r>
      <w:r w:rsidRPr="00F27422">
        <w:rPr>
          <w:rFonts w:cs="Arial" w:hint="cs"/>
          <w:sz w:val="32"/>
          <w:szCs w:val="32"/>
          <w:rtl/>
        </w:rPr>
        <w:t>والطائفة</w:t>
      </w:r>
      <w:r w:rsidRPr="00F27422">
        <w:rPr>
          <w:rFonts w:cs="Arial"/>
          <w:sz w:val="32"/>
          <w:szCs w:val="32"/>
          <w:rtl/>
        </w:rPr>
        <w:t xml:space="preserve"> </w:t>
      </w:r>
      <w:r w:rsidRPr="00F27422">
        <w:rPr>
          <w:rFonts w:cs="Arial" w:hint="cs"/>
          <w:sz w:val="32"/>
          <w:szCs w:val="32"/>
          <w:rtl/>
        </w:rPr>
        <w:t>الدالّة</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r w:rsidRPr="00F27422">
        <w:rPr>
          <w:rFonts w:cs="Arial" w:hint="cs"/>
          <w:sz w:val="32"/>
          <w:szCs w:val="32"/>
          <w:rtl/>
        </w:rPr>
        <w:t>نفوذ</w:t>
      </w:r>
      <w:r w:rsidRPr="00F27422">
        <w:rPr>
          <w:rFonts w:cs="Arial"/>
          <w:sz w:val="32"/>
          <w:szCs w:val="32"/>
          <w:rtl/>
        </w:rPr>
        <w:t xml:space="preserve"> </w:t>
      </w:r>
      <w:r w:rsidRPr="00F27422">
        <w:rPr>
          <w:rFonts w:cs="Arial" w:hint="cs"/>
          <w:sz w:val="32"/>
          <w:szCs w:val="32"/>
          <w:rtl/>
        </w:rPr>
        <w:t>تزويجها</w:t>
      </w:r>
      <w:r w:rsidRPr="00F27422">
        <w:rPr>
          <w:rFonts w:cs="Arial"/>
          <w:sz w:val="32"/>
          <w:szCs w:val="32"/>
          <w:rtl/>
        </w:rPr>
        <w:t xml:space="preserve"> </w:t>
      </w:r>
      <w:r w:rsidRPr="00F27422">
        <w:rPr>
          <w:rFonts w:cs="Arial" w:hint="cs"/>
          <w:sz w:val="32"/>
          <w:szCs w:val="32"/>
          <w:rtl/>
        </w:rPr>
        <w:t>إذا</w:t>
      </w:r>
      <w:r w:rsidRPr="00F27422">
        <w:rPr>
          <w:rFonts w:cs="Arial"/>
          <w:sz w:val="32"/>
          <w:szCs w:val="32"/>
          <w:rtl/>
        </w:rPr>
        <w:t xml:space="preserve"> </w:t>
      </w:r>
      <w:r w:rsidRPr="00F27422">
        <w:rPr>
          <w:rFonts w:cs="Arial" w:hint="cs"/>
          <w:sz w:val="32"/>
          <w:szCs w:val="32"/>
          <w:rtl/>
        </w:rPr>
        <w:t>كانت</w:t>
      </w:r>
      <w:r w:rsidRPr="00F27422">
        <w:rPr>
          <w:rFonts w:cs="Arial"/>
          <w:sz w:val="32"/>
          <w:szCs w:val="32"/>
          <w:rtl/>
        </w:rPr>
        <w:t xml:space="preserve"> </w:t>
      </w:r>
      <w:r w:rsidRPr="00F27422">
        <w:rPr>
          <w:rFonts w:cs="Arial" w:hint="cs"/>
          <w:sz w:val="32"/>
          <w:szCs w:val="32"/>
          <w:rtl/>
        </w:rPr>
        <w:t>مالكةً</w:t>
      </w:r>
      <w:r w:rsidRPr="00F27422">
        <w:rPr>
          <w:rFonts w:cs="Arial"/>
          <w:sz w:val="32"/>
          <w:szCs w:val="32"/>
          <w:rtl/>
        </w:rPr>
        <w:t xml:space="preserve"> </w:t>
      </w:r>
      <w:r w:rsidRPr="00F27422">
        <w:rPr>
          <w:rFonts w:cs="Arial" w:hint="cs"/>
          <w:sz w:val="32"/>
          <w:szCs w:val="32"/>
          <w:rtl/>
        </w:rPr>
        <w:t>لأمرها</w:t>
      </w:r>
      <w:r w:rsidRPr="00F27422">
        <w:rPr>
          <w:rFonts w:cs="Arial"/>
          <w:sz w:val="32"/>
          <w:szCs w:val="32"/>
          <w:rtl/>
        </w:rPr>
        <w:t>:</w:t>
      </w:r>
    </w:p>
    <w:p w14:paraId="1C508D25" w14:textId="77777777" w:rsidR="0028545D" w:rsidRPr="00F27422" w:rsidRDefault="0028545D" w:rsidP="00122B70">
      <w:pPr>
        <w:bidi/>
        <w:rPr>
          <w:sz w:val="32"/>
          <w:szCs w:val="32"/>
        </w:rPr>
      </w:pPr>
    </w:p>
    <w:p w14:paraId="59437D9C" w14:textId="77777777" w:rsidR="0028545D" w:rsidRPr="00F27422" w:rsidRDefault="0028545D" w:rsidP="00122B70">
      <w:pPr>
        <w:bidi/>
        <w:rPr>
          <w:sz w:val="32"/>
          <w:szCs w:val="32"/>
        </w:rPr>
      </w:pPr>
      <w:r w:rsidRPr="00F27422">
        <w:rPr>
          <w:rFonts w:cs="Arial" w:hint="cs"/>
          <w:sz w:val="32"/>
          <w:szCs w:val="32"/>
          <w:rtl/>
        </w:rPr>
        <w:t>الوجهُ</w:t>
      </w:r>
      <w:r w:rsidRPr="00F27422">
        <w:rPr>
          <w:rFonts w:cs="Arial"/>
          <w:sz w:val="32"/>
          <w:szCs w:val="32"/>
          <w:rtl/>
        </w:rPr>
        <w:t xml:space="preserve"> </w:t>
      </w:r>
      <w:r w:rsidRPr="00F27422">
        <w:rPr>
          <w:rFonts w:cs="Arial" w:hint="cs"/>
          <w:sz w:val="32"/>
          <w:szCs w:val="32"/>
          <w:rtl/>
        </w:rPr>
        <w:t>الأوّل</w:t>
      </w:r>
      <w:r w:rsidRPr="00F27422">
        <w:rPr>
          <w:rFonts w:cs="Arial"/>
          <w:sz w:val="32"/>
          <w:szCs w:val="32"/>
          <w:rtl/>
        </w:rPr>
        <w:t xml:space="preserve">: </w:t>
      </w:r>
      <w:r w:rsidRPr="00F27422">
        <w:rPr>
          <w:rFonts w:cs="Arial" w:hint="cs"/>
          <w:sz w:val="32"/>
          <w:szCs w:val="32"/>
          <w:rtl/>
        </w:rPr>
        <w:t>ما</w:t>
      </w:r>
      <w:r w:rsidRPr="00F27422">
        <w:rPr>
          <w:rFonts w:cs="Arial"/>
          <w:sz w:val="32"/>
          <w:szCs w:val="32"/>
          <w:rtl/>
        </w:rPr>
        <w:t xml:space="preserve"> </w:t>
      </w:r>
      <w:r w:rsidRPr="00F27422">
        <w:rPr>
          <w:rFonts w:cs="Arial" w:hint="cs"/>
          <w:sz w:val="32"/>
          <w:szCs w:val="32"/>
          <w:rtl/>
        </w:rPr>
        <w:t>ذكره</w:t>
      </w:r>
      <w:r w:rsidRPr="00F27422">
        <w:rPr>
          <w:rFonts w:cs="Arial"/>
          <w:sz w:val="32"/>
          <w:szCs w:val="32"/>
          <w:rtl/>
        </w:rPr>
        <w:t xml:space="preserve"> </w:t>
      </w:r>
      <w:r w:rsidRPr="00F27422">
        <w:rPr>
          <w:rFonts w:cs="Arial" w:hint="cs"/>
          <w:sz w:val="32"/>
          <w:szCs w:val="32"/>
          <w:rtl/>
        </w:rPr>
        <w:t>الفاضل</w:t>
      </w:r>
      <w:r w:rsidRPr="00F27422">
        <w:rPr>
          <w:rFonts w:cs="Arial"/>
          <w:sz w:val="32"/>
          <w:szCs w:val="32"/>
          <w:rtl/>
        </w:rPr>
        <w:t xml:space="preserve"> </w:t>
      </w:r>
      <w:r w:rsidRPr="00F27422">
        <w:rPr>
          <w:rFonts w:cs="Arial" w:hint="cs"/>
          <w:sz w:val="32"/>
          <w:szCs w:val="32"/>
          <w:rtl/>
        </w:rPr>
        <w:t>الهندي</w:t>
      </w:r>
      <w:r w:rsidRPr="00F27422">
        <w:rPr>
          <w:rFonts w:cs="Arial"/>
          <w:sz w:val="32"/>
          <w:szCs w:val="32"/>
          <w:rtl/>
        </w:rPr>
        <w:t xml:space="preserve"> </w:t>
      </w:r>
      <w:r w:rsidRPr="00F27422">
        <w:rPr>
          <w:rFonts w:cs="Arial" w:hint="cs"/>
          <w:sz w:val="32"/>
          <w:szCs w:val="32"/>
          <w:rtl/>
        </w:rPr>
        <w:t>من</w:t>
      </w:r>
      <w:r w:rsidRPr="00F27422">
        <w:rPr>
          <w:rFonts w:cs="Arial"/>
          <w:sz w:val="32"/>
          <w:szCs w:val="32"/>
          <w:rtl/>
        </w:rPr>
        <w:t xml:space="preserve"> </w:t>
      </w:r>
      <w:r w:rsidRPr="00F27422">
        <w:rPr>
          <w:rFonts w:cs="Arial" w:hint="cs"/>
          <w:sz w:val="32"/>
          <w:szCs w:val="32"/>
          <w:rtl/>
        </w:rPr>
        <w:t>منع</w:t>
      </w:r>
      <w:r w:rsidRPr="00F27422">
        <w:rPr>
          <w:rFonts w:cs="Arial"/>
          <w:sz w:val="32"/>
          <w:szCs w:val="32"/>
          <w:rtl/>
        </w:rPr>
        <w:t xml:space="preserve"> </w:t>
      </w:r>
      <w:r w:rsidRPr="00F27422">
        <w:rPr>
          <w:rFonts w:cs="Arial" w:hint="cs"/>
          <w:sz w:val="32"/>
          <w:szCs w:val="32"/>
          <w:rtl/>
        </w:rPr>
        <w:t>كون</w:t>
      </w:r>
      <w:r w:rsidRPr="00F27422">
        <w:rPr>
          <w:rFonts w:cs="Arial"/>
          <w:sz w:val="32"/>
          <w:szCs w:val="32"/>
          <w:rtl/>
        </w:rPr>
        <w:t xml:space="preserve"> </w:t>
      </w:r>
      <w:r w:rsidRPr="00F27422">
        <w:rPr>
          <w:rFonts w:cs="Arial" w:hint="cs"/>
          <w:sz w:val="32"/>
          <w:szCs w:val="32"/>
          <w:rtl/>
        </w:rPr>
        <w:t>البكر</w:t>
      </w:r>
      <w:r w:rsidRPr="00F27422">
        <w:rPr>
          <w:rFonts w:cs="Arial"/>
          <w:sz w:val="32"/>
          <w:szCs w:val="32"/>
          <w:rtl/>
        </w:rPr>
        <w:t xml:space="preserve"> </w:t>
      </w:r>
      <w:r w:rsidRPr="00F27422">
        <w:rPr>
          <w:rFonts w:cs="Arial" w:hint="cs"/>
          <w:sz w:val="32"/>
          <w:szCs w:val="32"/>
          <w:rtl/>
        </w:rPr>
        <w:t>مالكةً</w:t>
      </w:r>
      <w:r w:rsidRPr="00F27422">
        <w:rPr>
          <w:rFonts w:cs="Arial"/>
          <w:sz w:val="32"/>
          <w:szCs w:val="32"/>
          <w:rtl/>
        </w:rPr>
        <w:t xml:space="preserve"> </w:t>
      </w:r>
      <w:r w:rsidRPr="00F27422">
        <w:rPr>
          <w:rFonts w:cs="Arial" w:hint="cs"/>
          <w:sz w:val="32"/>
          <w:szCs w:val="32"/>
          <w:rtl/>
        </w:rPr>
        <w:t>لأمرها</w:t>
      </w:r>
      <w:r w:rsidRPr="00F27422">
        <w:rPr>
          <w:rFonts w:cs="Arial"/>
          <w:sz w:val="32"/>
          <w:szCs w:val="32"/>
          <w:rtl/>
        </w:rPr>
        <w:t xml:space="preserve"> </w:t>
      </w:r>
      <w:r w:rsidRPr="00F27422">
        <w:rPr>
          <w:rFonts w:cs="Arial" w:hint="cs"/>
          <w:sz w:val="32"/>
          <w:szCs w:val="32"/>
          <w:rtl/>
        </w:rPr>
        <w:t>في</w:t>
      </w:r>
      <w:r w:rsidRPr="00F27422">
        <w:rPr>
          <w:rFonts w:cs="Arial"/>
          <w:sz w:val="32"/>
          <w:szCs w:val="32"/>
          <w:rtl/>
        </w:rPr>
        <w:t xml:space="preserve"> </w:t>
      </w:r>
      <w:r w:rsidRPr="00F27422">
        <w:rPr>
          <w:rFonts w:cs="Arial" w:hint="cs"/>
          <w:sz w:val="32"/>
          <w:szCs w:val="32"/>
          <w:rtl/>
        </w:rPr>
        <w:t>النكاح؛</w:t>
      </w:r>
      <w:r w:rsidRPr="00F27422">
        <w:rPr>
          <w:rFonts w:cs="Arial"/>
          <w:sz w:val="32"/>
          <w:szCs w:val="32"/>
          <w:rtl/>
        </w:rPr>
        <w:t xml:space="preserve"> </w:t>
      </w:r>
      <w:r w:rsidRPr="00F27422">
        <w:rPr>
          <w:rFonts w:cs="Arial" w:hint="cs"/>
          <w:sz w:val="32"/>
          <w:szCs w:val="32"/>
          <w:rtl/>
        </w:rPr>
        <w:t>لأنّ</w:t>
      </w:r>
      <w:r w:rsidRPr="00F27422">
        <w:rPr>
          <w:rFonts w:cs="Arial"/>
          <w:sz w:val="32"/>
          <w:szCs w:val="32"/>
          <w:rtl/>
        </w:rPr>
        <w:t xml:space="preserve"> </w:t>
      </w:r>
      <w:r w:rsidRPr="00F27422">
        <w:rPr>
          <w:rFonts w:cs="Arial" w:hint="cs"/>
          <w:sz w:val="32"/>
          <w:szCs w:val="32"/>
          <w:rtl/>
        </w:rPr>
        <w:t>ذلك</w:t>
      </w:r>
      <w:r w:rsidRPr="00F27422">
        <w:rPr>
          <w:rFonts w:cs="Arial"/>
          <w:sz w:val="32"/>
          <w:szCs w:val="32"/>
          <w:rtl/>
        </w:rPr>
        <w:t xml:space="preserve"> </w:t>
      </w:r>
      <w:r w:rsidRPr="00F27422">
        <w:rPr>
          <w:rFonts w:cs="Arial" w:hint="cs"/>
          <w:sz w:val="32"/>
          <w:szCs w:val="32"/>
          <w:rtl/>
        </w:rPr>
        <w:t>أوّلُ</w:t>
      </w:r>
      <w:r w:rsidRPr="00F27422">
        <w:rPr>
          <w:rFonts w:cs="Arial"/>
          <w:sz w:val="32"/>
          <w:szCs w:val="32"/>
          <w:rtl/>
        </w:rPr>
        <w:t xml:space="preserve"> </w:t>
      </w:r>
      <w:r w:rsidRPr="00F27422">
        <w:rPr>
          <w:rFonts w:cs="Arial" w:hint="cs"/>
          <w:sz w:val="32"/>
          <w:szCs w:val="32"/>
          <w:rtl/>
        </w:rPr>
        <w:t>المسألة</w:t>
      </w:r>
      <w:r w:rsidRPr="00F27422">
        <w:rPr>
          <w:rFonts w:cs="Arial"/>
          <w:sz w:val="32"/>
          <w:szCs w:val="32"/>
          <w:rtl/>
        </w:rPr>
        <w:t xml:space="preserve">. </w:t>
      </w:r>
      <w:r w:rsidRPr="00F27422">
        <w:rPr>
          <w:rFonts w:cs="Arial" w:hint="cs"/>
          <w:sz w:val="32"/>
          <w:szCs w:val="32"/>
          <w:rtl/>
        </w:rPr>
        <w:t>وبيانه</w:t>
      </w:r>
      <w:r w:rsidRPr="00F27422">
        <w:rPr>
          <w:rFonts w:cs="Arial"/>
          <w:sz w:val="32"/>
          <w:szCs w:val="32"/>
          <w:rtl/>
        </w:rPr>
        <w:t xml:space="preserve"> </w:t>
      </w:r>
      <w:r w:rsidRPr="00F27422">
        <w:rPr>
          <w:rFonts w:cs="Arial" w:hint="cs"/>
          <w:sz w:val="32"/>
          <w:szCs w:val="32"/>
          <w:rtl/>
        </w:rPr>
        <w:t>أنّ</w:t>
      </w:r>
      <w:r w:rsidRPr="00F27422">
        <w:rPr>
          <w:rFonts w:cs="Arial"/>
          <w:sz w:val="32"/>
          <w:szCs w:val="32"/>
          <w:rtl/>
        </w:rPr>
        <w:t xml:space="preserve"> </w:t>
      </w:r>
      <w:r w:rsidRPr="00F27422">
        <w:rPr>
          <w:rFonts w:cs="Arial" w:hint="cs"/>
          <w:sz w:val="32"/>
          <w:szCs w:val="32"/>
          <w:rtl/>
        </w:rPr>
        <w:t>معنى</w:t>
      </w:r>
      <w:r w:rsidRPr="00F27422">
        <w:rPr>
          <w:rFonts w:cs="Arial"/>
          <w:sz w:val="32"/>
          <w:szCs w:val="32"/>
          <w:rtl/>
        </w:rPr>
        <w:t xml:space="preserve"> </w:t>
      </w:r>
      <w:r w:rsidRPr="00F27422">
        <w:rPr>
          <w:rFonts w:cs="Arial" w:hint="cs"/>
          <w:sz w:val="32"/>
          <w:szCs w:val="32"/>
          <w:rtl/>
        </w:rPr>
        <w:t>ملك</w:t>
      </w:r>
      <w:r w:rsidRPr="00F27422">
        <w:rPr>
          <w:rFonts w:cs="Arial"/>
          <w:sz w:val="32"/>
          <w:szCs w:val="32"/>
          <w:rtl/>
        </w:rPr>
        <w:t xml:space="preserve"> </w:t>
      </w:r>
      <w:r w:rsidRPr="00F27422">
        <w:rPr>
          <w:rFonts w:cs="Arial" w:hint="cs"/>
          <w:sz w:val="32"/>
          <w:szCs w:val="32"/>
          <w:rtl/>
        </w:rPr>
        <w:t>الأمر</w:t>
      </w:r>
      <w:r w:rsidRPr="00F27422">
        <w:rPr>
          <w:rFonts w:cs="Arial"/>
          <w:sz w:val="32"/>
          <w:szCs w:val="32"/>
          <w:rtl/>
        </w:rPr>
        <w:t xml:space="preserve"> </w:t>
      </w:r>
      <w:r w:rsidRPr="00F27422">
        <w:rPr>
          <w:rFonts w:cs="Arial" w:hint="cs"/>
          <w:sz w:val="32"/>
          <w:szCs w:val="32"/>
          <w:rtl/>
        </w:rPr>
        <w:t>هو</w:t>
      </w:r>
      <w:r w:rsidRPr="00F27422">
        <w:rPr>
          <w:rFonts w:cs="Arial"/>
          <w:sz w:val="32"/>
          <w:szCs w:val="32"/>
          <w:rtl/>
        </w:rPr>
        <w:t xml:space="preserve"> </w:t>
      </w:r>
      <w:r w:rsidRPr="00F27422">
        <w:rPr>
          <w:rFonts w:cs="Arial" w:hint="cs"/>
          <w:sz w:val="32"/>
          <w:szCs w:val="32"/>
          <w:rtl/>
        </w:rPr>
        <w:t>الولاية</w:t>
      </w:r>
      <w:r w:rsidRPr="00F27422">
        <w:rPr>
          <w:rFonts w:cs="Arial"/>
          <w:sz w:val="32"/>
          <w:szCs w:val="32"/>
          <w:rtl/>
        </w:rPr>
        <w:t xml:space="preserve"> </w:t>
      </w:r>
      <w:r w:rsidRPr="00F27422">
        <w:rPr>
          <w:rFonts w:cs="Arial" w:hint="cs"/>
          <w:sz w:val="32"/>
          <w:szCs w:val="32"/>
          <w:rtl/>
        </w:rPr>
        <w:t>الشرعية</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r w:rsidRPr="00F27422">
        <w:rPr>
          <w:rFonts w:cs="Arial" w:hint="cs"/>
          <w:sz w:val="32"/>
          <w:szCs w:val="32"/>
          <w:rtl/>
        </w:rPr>
        <w:t>النكاح،</w:t>
      </w:r>
      <w:r w:rsidRPr="00F27422">
        <w:rPr>
          <w:rFonts w:cs="Arial"/>
          <w:sz w:val="32"/>
          <w:szCs w:val="32"/>
          <w:rtl/>
        </w:rPr>
        <w:t xml:space="preserve"> </w:t>
      </w:r>
      <w:r w:rsidRPr="00F27422">
        <w:rPr>
          <w:rFonts w:cs="Arial" w:hint="cs"/>
          <w:sz w:val="32"/>
          <w:szCs w:val="32"/>
          <w:rtl/>
        </w:rPr>
        <w:t>والتمسك</w:t>
      </w:r>
      <w:r w:rsidRPr="00F27422">
        <w:rPr>
          <w:rFonts w:cs="Arial"/>
          <w:sz w:val="32"/>
          <w:szCs w:val="32"/>
          <w:rtl/>
        </w:rPr>
        <w:t xml:space="preserve"> </w:t>
      </w:r>
      <w:r w:rsidRPr="00F27422">
        <w:rPr>
          <w:rFonts w:cs="Arial" w:hint="cs"/>
          <w:sz w:val="32"/>
          <w:szCs w:val="32"/>
          <w:rtl/>
        </w:rPr>
        <w:t>به</w:t>
      </w:r>
      <w:r w:rsidRPr="00F27422">
        <w:rPr>
          <w:rFonts w:cs="Arial"/>
          <w:sz w:val="32"/>
          <w:szCs w:val="32"/>
          <w:rtl/>
        </w:rPr>
        <w:t xml:space="preserve"> </w:t>
      </w:r>
      <w:r w:rsidRPr="00F27422">
        <w:rPr>
          <w:rFonts w:cs="Arial" w:hint="cs"/>
          <w:sz w:val="32"/>
          <w:szCs w:val="32"/>
          <w:rtl/>
        </w:rPr>
        <w:t>في</w:t>
      </w:r>
      <w:r w:rsidRPr="00F27422">
        <w:rPr>
          <w:rFonts w:cs="Arial"/>
          <w:sz w:val="32"/>
          <w:szCs w:val="32"/>
          <w:rtl/>
        </w:rPr>
        <w:t xml:space="preserve"> </w:t>
      </w:r>
      <w:r w:rsidRPr="00F27422">
        <w:rPr>
          <w:rFonts w:cs="Arial" w:hint="cs"/>
          <w:sz w:val="32"/>
          <w:szCs w:val="32"/>
          <w:rtl/>
        </w:rPr>
        <w:t>البكر</w:t>
      </w:r>
      <w:r w:rsidRPr="00F27422">
        <w:rPr>
          <w:rFonts w:cs="Arial"/>
          <w:sz w:val="32"/>
          <w:szCs w:val="32"/>
          <w:rtl/>
        </w:rPr>
        <w:t xml:space="preserve"> </w:t>
      </w:r>
      <w:r w:rsidRPr="00F27422">
        <w:rPr>
          <w:rFonts w:cs="Arial" w:hint="cs"/>
          <w:sz w:val="32"/>
          <w:szCs w:val="32"/>
          <w:rtl/>
        </w:rPr>
        <w:t>البالغة</w:t>
      </w:r>
      <w:r w:rsidRPr="00F27422">
        <w:rPr>
          <w:rFonts w:cs="Arial"/>
          <w:sz w:val="32"/>
          <w:szCs w:val="32"/>
          <w:rtl/>
        </w:rPr>
        <w:t xml:space="preserve"> </w:t>
      </w:r>
      <w:r w:rsidRPr="00F27422">
        <w:rPr>
          <w:rFonts w:cs="Arial" w:hint="cs"/>
          <w:sz w:val="32"/>
          <w:szCs w:val="32"/>
          <w:rtl/>
        </w:rPr>
        <w:t>تمسّكٌ</w:t>
      </w:r>
      <w:r w:rsidRPr="00F27422">
        <w:rPr>
          <w:rFonts w:cs="Arial"/>
          <w:sz w:val="32"/>
          <w:szCs w:val="32"/>
          <w:rtl/>
        </w:rPr>
        <w:t xml:space="preserve"> </w:t>
      </w:r>
      <w:r w:rsidRPr="00F27422">
        <w:rPr>
          <w:rFonts w:cs="Arial" w:hint="cs"/>
          <w:sz w:val="32"/>
          <w:szCs w:val="32"/>
          <w:rtl/>
        </w:rPr>
        <w:t>بالدليل</w:t>
      </w:r>
      <w:r w:rsidRPr="00F27422">
        <w:rPr>
          <w:rFonts w:cs="Arial"/>
          <w:sz w:val="32"/>
          <w:szCs w:val="32"/>
          <w:rtl/>
        </w:rPr>
        <w:t xml:space="preserve"> </w:t>
      </w:r>
      <w:r w:rsidRPr="00F27422">
        <w:rPr>
          <w:rFonts w:cs="Arial" w:hint="cs"/>
          <w:sz w:val="32"/>
          <w:szCs w:val="32"/>
          <w:rtl/>
        </w:rPr>
        <w:t>في</w:t>
      </w:r>
      <w:r w:rsidRPr="00F27422">
        <w:rPr>
          <w:rFonts w:cs="Arial"/>
          <w:sz w:val="32"/>
          <w:szCs w:val="32"/>
          <w:rtl/>
        </w:rPr>
        <w:t xml:space="preserve"> </w:t>
      </w:r>
      <w:r w:rsidRPr="00F27422">
        <w:rPr>
          <w:rFonts w:cs="Arial" w:hint="cs"/>
          <w:sz w:val="32"/>
          <w:szCs w:val="32"/>
          <w:rtl/>
        </w:rPr>
        <w:t>الشبهة</w:t>
      </w:r>
      <w:r w:rsidRPr="00F27422">
        <w:rPr>
          <w:rFonts w:cs="Arial"/>
          <w:sz w:val="32"/>
          <w:szCs w:val="32"/>
          <w:rtl/>
        </w:rPr>
        <w:t xml:space="preserve"> </w:t>
      </w:r>
      <w:r w:rsidRPr="00F27422">
        <w:rPr>
          <w:rFonts w:cs="Arial" w:hint="cs"/>
          <w:sz w:val="32"/>
          <w:szCs w:val="32"/>
          <w:rtl/>
        </w:rPr>
        <w:t>المصداقية</w:t>
      </w:r>
      <w:r w:rsidRPr="00F27422">
        <w:rPr>
          <w:rFonts w:cs="Arial"/>
          <w:sz w:val="32"/>
          <w:szCs w:val="32"/>
          <w:rtl/>
        </w:rPr>
        <w:t xml:space="preserve">. </w:t>
      </w:r>
      <w:r w:rsidRPr="00F27422">
        <w:rPr>
          <w:rFonts w:cs="Arial" w:hint="cs"/>
          <w:sz w:val="32"/>
          <w:szCs w:val="32"/>
          <w:rtl/>
        </w:rPr>
        <w:t>وقد</w:t>
      </w:r>
      <w:r w:rsidRPr="00F27422">
        <w:rPr>
          <w:rFonts w:cs="Arial"/>
          <w:sz w:val="32"/>
          <w:szCs w:val="32"/>
          <w:rtl/>
        </w:rPr>
        <w:t xml:space="preserve"> </w:t>
      </w:r>
      <w:r w:rsidRPr="00F27422">
        <w:rPr>
          <w:rFonts w:cs="Arial" w:hint="cs"/>
          <w:sz w:val="32"/>
          <w:szCs w:val="32"/>
          <w:rtl/>
        </w:rPr>
        <w:t>أورد</w:t>
      </w:r>
      <w:r w:rsidRPr="00F27422">
        <w:rPr>
          <w:rFonts w:cs="Arial"/>
          <w:sz w:val="32"/>
          <w:szCs w:val="32"/>
          <w:rtl/>
        </w:rPr>
        <w:t xml:space="preserve"> </w:t>
      </w:r>
      <w:r w:rsidRPr="00F27422">
        <w:rPr>
          <w:rFonts w:cs="Arial" w:hint="cs"/>
          <w:sz w:val="32"/>
          <w:szCs w:val="32"/>
          <w:rtl/>
        </w:rPr>
        <w:t>عليه</w:t>
      </w:r>
      <w:r w:rsidRPr="00F27422">
        <w:rPr>
          <w:rFonts w:cs="Arial"/>
          <w:sz w:val="32"/>
          <w:szCs w:val="32"/>
          <w:rtl/>
        </w:rPr>
        <w:t xml:space="preserve"> </w:t>
      </w:r>
      <w:r w:rsidRPr="00F27422">
        <w:rPr>
          <w:rFonts w:cs="Arial" w:hint="cs"/>
          <w:sz w:val="32"/>
          <w:szCs w:val="32"/>
          <w:rtl/>
        </w:rPr>
        <w:t>السيد</w:t>
      </w:r>
      <w:r w:rsidRPr="00F27422">
        <w:rPr>
          <w:rFonts w:cs="Arial"/>
          <w:sz w:val="32"/>
          <w:szCs w:val="32"/>
          <w:rtl/>
        </w:rPr>
        <w:t xml:space="preserve"> </w:t>
      </w:r>
      <w:r w:rsidRPr="00F27422">
        <w:rPr>
          <w:rFonts w:cs="Arial" w:hint="cs"/>
          <w:sz w:val="32"/>
          <w:szCs w:val="32"/>
          <w:rtl/>
        </w:rPr>
        <w:t>الحكيم</w:t>
      </w:r>
      <w:r w:rsidRPr="00F27422">
        <w:rPr>
          <w:rFonts w:cs="Arial"/>
          <w:sz w:val="32"/>
          <w:szCs w:val="32"/>
          <w:rtl/>
        </w:rPr>
        <w:t xml:space="preserve"> </w:t>
      </w:r>
      <w:r w:rsidRPr="00F27422">
        <w:rPr>
          <w:rFonts w:cs="Arial" w:hint="cs"/>
          <w:sz w:val="32"/>
          <w:szCs w:val="32"/>
          <w:rtl/>
        </w:rPr>
        <w:t>بأنّ</w:t>
      </w:r>
      <w:r w:rsidRPr="00F27422">
        <w:rPr>
          <w:rFonts w:cs="Arial"/>
          <w:sz w:val="32"/>
          <w:szCs w:val="32"/>
          <w:rtl/>
        </w:rPr>
        <w:t xml:space="preserve"> </w:t>
      </w:r>
      <w:r w:rsidRPr="00F27422">
        <w:rPr>
          <w:rFonts w:cs="Arial" w:hint="cs"/>
          <w:sz w:val="32"/>
          <w:szCs w:val="32"/>
          <w:rtl/>
        </w:rPr>
        <w:t>المراد</w:t>
      </w:r>
      <w:r w:rsidRPr="00F27422">
        <w:rPr>
          <w:rFonts w:cs="Arial"/>
          <w:sz w:val="32"/>
          <w:szCs w:val="32"/>
          <w:rtl/>
        </w:rPr>
        <w:t xml:space="preserve"> </w:t>
      </w:r>
      <w:r w:rsidRPr="00F27422">
        <w:rPr>
          <w:rFonts w:cs="Arial" w:hint="cs"/>
          <w:sz w:val="32"/>
          <w:szCs w:val="32"/>
          <w:rtl/>
        </w:rPr>
        <w:t>من</w:t>
      </w:r>
      <w:r w:rsidRPr="00F27422">
        <w:rPr>
          <w:rFonts w:cs="Arial"/>
          <w:sz w:val="32"/>
          <w:szCs w:val="32"/>
          <w:rtl/>
        </w:rPr>
        <w:t xml:space="preserve"> </w:t>
      </w:r>
      <w:r w:rsidRPr="00F27422">
        <w:rPr>
          <w:rFonts w:cs="Arial" w:hint="cs"/>
          <w:sz w:val="32"/>
          <w:szCs w:val="32"/>
          <w:rtl/>
        </w:rPr>
        <w:t>ملك</w:t>
      </w:r>
      <w:r w:rsidRPr="00F27422">
        <w:rPr>
          <w:rFonts w:cs="Arial"/>
          <w:sz w:val="32"/>
          <w:szCs w:val="32"/>
          <w:rtl/>
        </w:rPr>
        <w:t xml:space="preserve"> </w:t>
      </w:r>
      <w:r w:rsidRPr="00F27422">
        <w:rPr>
          <w:rFonts w:cs="Arial" w:hint="cs"/>
          <w:sz w:val="32"/>
          <w:szCs w:val="32"/>
          <w:rtl/>
        </w:rPr>
        <w:t>الأمر</w:t>
      </w:r>
      <w:r w:rsidRPr="00F27422">
        <w:rPr>
          <w:rFonts w:cs="Arial"/>
          <w:sz w:val="32"/>
          <w:szCs w:val="32"/>
          <w:rtl/>
        </w:rPr>
        <w:t xml:space="preserve"> </w:t>
      </w:r>
      <w:r w:rsidRPr="00F27422">
        <w:rPr>
          <w:rFonts w:cs="Arial" w:hint="cs"/>
          <w:sz w:val="32"/>
          <w:szCs w:val="32"/>
          <w:rtl/>
        </w:rPr>
        <w:t>هو</w:t>
      </w:r>
      <w:r w:rsidRPr="00F27422">
        <w:rPr>
          <w:rFonts w:cs="Arial"/>
          <w:sz w:val="32"/>
          <w:szCs w:val="32"/>
          <w:rtl/>
        </w:rPr>
        <w:t xml:space="preserve"> </w:t>
      </w:r>
      <w:r w:rsidRPr="00F27422">
        <w:rPr>
          <w:rFonts w:cs="Arial" w:hint="cs"/>
          <w:sz w:val="32"/>
          <w:szCs w:val="32"/>
          <w:rtl/>
        </w:rPr>
        <w:t>الملك</w:t>
      </w:r>
      <w:r w:rsidRPr="00F27422">
        <w:rPr>
          <w:rFonts w:cs="Arial"/>
          <w:sz w:val="32"/>
          <w:szCs w:val="32"/>
          <w:rtl/>
        </w:rPr>
        <w:t xml:space="preserve"> </w:t>
      </w:r>
      <w:r w:rsidRPr="00F27422">
        <w:rPr>
          <w:rFonts w:cs="Arial" w:hint="cs"/>
          <w:sz w:val="32"/>
          <w:szCs w:val="32"/>
          <w:rtl/>
        </w:rPr>
        <w:t>في</w:t>
      </w:r>
      <w:r w:rsidRPr="00F27422">
        <w:rPr>
          <w:rFonts w:cs="Arial"/>
          <w:sz w:val="32"/>
          <w:szCs w:val="32"/>
          <w:rtl/>
        </w:rPr>
        <w:t xml:space="preserve"> </w:t>
      </w:r>
      <w:r w:rsidRPr="00F27422">
        <w:rPr>
          <w:rFonts w:cs="Arial" w:hint="cs"/>
          <w:sz w:val="32"/>
          <w:szCs w:val="32"/>
          <w:rtl/>
        </w:rPr>
        <w:t>غير</w:t>
      </w:r>
      <w:r w:rsidRPr="00F27422">
        <w:rPr>
          <w:rFonts w:cs="Arial"/>
          <w:sz w:val="32"/>
          <w:szCs w:val="32"/>
          <w:rtl/>
        </w:rPr>
        <w:t xml:space="preserve"> </w:t>
      </w:r>
      <w:r w:rsidRPr="00F27422">
        <w:rPr>
          <w:rFonts w:cs="Arial" w:hint="cs"/>
          <w:sz w:val="32"/>
          <w:szCs w:val="32"/>
          <w:rtl/>
        </w:rPr>
        <w:t>النكاح،</w:t>
      </w:r>
      <w:r w:rsidRPr="00F27422">
        <w:rPr>
          <w:rFonts w:cs="Arial"/>
          <w:sz w:val="32"/>
          <w:szCs w:val="32"/>
          <w:rtl/>
        </w:rPr>
        <w:t xml:space="preserve"> </w:t>
      </w:r>
      <w:r w:rsidRPr="00F27422">
        <w:rPr>
          <w:rFonts w:cs="Arial" w:hint="cs"/>
          <w:sz w:val="32"/>
          <w:szCs w:val="32"/>
          <w:rtl/>
        </w:rPr>
        <w:t>لا</w:t>
      </w:r>
      <w:r w:rsidRPr="00F27422">
        <w:rPr>
          <w:rFonts w:cs="Arial"/>
          <w:sz w:val="32"/>
          <w:szCs w:val="32"/>
          <w:rtl/>
        </w:rPr>
        <w:t xml:space="preserve"> </w:t>
      </w:r>
      <w:r w:rsidRPr="00F27422">
        <w:rPr>
          <w:rFonts w:cs="Arial" w:hint="cs"/>
          <w:sz w:val="32"/>
          <w:szCs w:val="32"/>
          <w:rtl/>
        </w:rPr>
        <w:t>الملك</w:t>
      </w:r>
      <w:r w:rsidRPr="00F27422">
        <w:rPr>
          <w:rFonts w:cs="Arial"/>
          <w:sz w:val="32"/>
          <w:szCs w:val="32"/>
          <w:rtl/>
        </w:rPr>
        <w:t xml:space="preserve"> </w:t>
      </w:r>
      <w:r w:rsidRPr="00F27422">
        <w:rPr>
          <w:rFonts w:cs="Arial" w:hint="cs"/>
          <w:sz w:val="32"/>
          <w:szCs w:val="32"/>
          <w:rtl/>
        </w:rPr>
        <w:t>في</w:t>
      </w:r>
      <w:r w:rsidRPr="00F27422">
        <w:rPr>
          <w:rFonts w:cs="Arial"/>
          <w:sz w:val="32"/>
          <w:szCs w:val="32"/>
          <w:rtl/>
        </w:rPr>
        <w:t xml:space="preserve"> </w:t>
      </w:r>
      <w:r w:rsidRPr="00F27422">
        <w:rPr>
          <w:rFonts w:cs="Arial" w:hint="cs"/>
          <w:sz w:val="32"/>
          <w:szCs w:val="32"/>
          <w:rtl/>
        </w:rPr>
        <w:t>النكاح،</w:t>
      </w:r>
      <w:r w:rsidRPr="00F27422">
        <w:rPr>
          <w:rFonts w:cs="Arial"/>
          <w:sz w:val="32"/>
          <w:szCs w:val="32"/>
          <w:rtl/>
        </w:rPr>
        <w:t xml:space="preserve"> </w:t>
      </w:r>
      <w:r w:rsidRPr="00F27422">
        <w:rPr>
          <w:rFonts w:cs="Arial" w:hint="cs"/>
          <w:sz w:val="32"/>
          <w:szCs w:val="32"/>
          <w:rtl/>
        </w:rPr>
        <w:t>وإلا</w:t>
      </w:r>
      <w:r w:rsidRPr="00F27422">
        <w:rPr>
          <w:rFonts w:cs="Arial"/>
          <w:sz w:val="32"/>
          <w:szCs w:val="32"/>
          <w:rtl/>
        </w:rPr>
        <w:t xml:space="preserve"> </w:t>
      </w:r>
      <w:r w:rsidRPr="00F27422">
        <w:rPr>
          <w:rFonts w:cs="Arial" w:hint="cs"/>
          <w:sz w:val="32"/>
          <w:szCs w:val="32"/>
          <w:rtl/>
        </w:rPr>
        <w:t>لزم</w:t>
      </w:r>
      <w:r w:rsidRPr="00F27422">
        <w:rPr>
          <w:rFonts w:cs="Arial"/>
          <w:sz w:val="32"/>
          <w:szCs w:val="32"/>
          <w:rtl/>
        </w:rPr>
        <w:t xml:space="preserve"> </w:t>
      </w:r>
      <w:r w:rsidRPr="00F27422">
        <w:rPr>
          <w:rFonts w:cs="Arial" w:hint="cs"/>
          <w:sz w:val="32"/>
          <w:szCs w:val="32"/>
          <w:rtl/>
        </w:rPr>
        <w:t>تحصيل</w:t>
      </w:r>
      <w:r w:rsidRPr="00F27422">
        <w:rPr>
          <w:rFonts w:cs="Arial"/>
          <w:sz w:val="32"/>
          <w:szCs w:val="32"/>
          <w:rtl/>
        </w:rPr>
        <w:t xml:space="preserve"> </w:t>
      </w:r>
      <w:r w:rsidRPr="00F27422">
        <w:rPr>
          <w:rFonts w:cs="Arial" w:hint="cs"/>
          <w:sz w:val="32"/>
          <w:szCs w:val="32"/>
          <w:rtl/>
        </w:rPr>
        <w:t>الحاصل،</w:t>
      </w:r>
      <w:r w:rsidRPr="00F27422">
        <w:rPr>
          <w:rFonts w:cs="Arial"/>
          <w:sz w:val="32"/>
          <w:szCs w:val="32"/>
          <w:rtl/>
        </w:rPr>
        <w:t xml:space="preserve"> </w:t>
      </w:r>
      <w:r w:rsidRPr="00F27422">
        <w:rPr>
          <w:rFonts w:cs="Arial" w:hint="cs"/>
          <w:sz w:val="32"/>
          <w:szCs w:val="32"/>
          <w:rtl/>
        </w:rPr>
        <w:t>وأنّ</w:t>
      </w:r>
      <w:r w:rsidRPr="00F27422">
        <w:rPr>
          <w:rFonts w:cs="Arial"/>
          <w:sz w:val="32"/>
          <w:szCs w:val="32"/>
          <w:rtl/>
        </w:rPr>
        <w:t xml:space="preserve"> </w:t>
      </w:r>
      <w:r w:rsidRPr="00F27422">
        <w:rPr>
          <w:rFonts w:cs="Arial" w:hint="cs"/>
          <w:sz w:val="32"/>
          <w:szCs w:val="32"/>
          <w:rtl/>
        </w:rPr>
        <w:t>معتبرة</w:t>
      </w:r>
      <w:r w:rsidRPr="00F27422">
        <w:rPr>
          <w:rFonts w:cs="Arial"/>
          <w:sz w:val="32"/>
          <w:szCs w:val="32"/>
          <w:rtl/>
        </w:rPr>
        <w:t xml:space="preserve"> </w:t>
      </w:r>
      <w:r w:rsidRPr="00F27422">
        <w:rPr>
          <w:rFonts w:cs="Arial" w:hint="cs"/>
          <w:sz w:val="32"/>
          <w:szCs w:val="32"/>
          <w:rtl/>
        </w:rPr>
        <w:t>زرارة</w:t>
      </w:r>
      <w:r w:rsidRPr="00F27422">
        <w:rPr>
          <w:rFonts w:cs="Arial"/>
          <w:sz w:val="32"/>
          <w:szCs w:val="32"/>
          <w:rtl/>
        </w:rPr>
        <w:t xml:space="preserve"> </w:t>
      </w:r>
      <w:r w:rsidRPr="00F27422">
        <w:rPr>
          <w:rFonts w:cs="Arial" w:hint="cs"/>
          <w:sz w:val="32"/>
          <w:szCs w:val="32"/>
          <w:rtl/>
        </w:rPr>
        <w:t>صرّحت</w:t>
      </w:r>
      <w:r w:rsidRPr="00F27422">
        <w:rPr>
          <w:rFonts w:cs="Arial"/>
          <w:sz w:val="32"/>
          <w:szCs w:val="32"/>
          <w:rtl/>
        </w:rPr>
        <w:t xml:space="preserve"> </w:t>
      </w:r>
      <w:r w:rsidRPr="00F27422">
        <w:rPr>
          <w:rFonts w:cs="Arial" w:hint="cs"/>
          <w:sz w:val="32"/>
          <w:szCs w:val="32"/>
          <w:rtl/>
        </w:rPr>
        <w:t>بذلك</w:t>
      </w:r>
      <w:r w:rsidRPr="00F27422">
        <w:rPr>
          <w:rFonts w:cs="Arial"/>
          <w:sz w:val="32"/>
          <w:szCs w:val="32"/>
          <w:rtl/>
        </w:rPr>
        <w:t xml:space="preserve"> </w:t>
      </w:r>
      <w:r w:rsidRPr="00F27422">
        <w:rPr>
          <w:rFonts w:cs="Arial" w:hint="cs"/>
          <w:sz w:val="32"/>
          <w:szCs w:val="32"/>
          <w:rtl/>
        </w:rPr>
        <w:t>بذكر</w:t>
      </w:r>
      <w:r w:rsidRPr="00F27422">
        <w:rPr>
          <w:rFonts w:cs="Arial"/>
          <w:sz w:val="32"/>
          <w:szCs w:val="32"/>
          <w:rtl/>
        </w:rPr>
        <w:t xml:space="preserve"> </w:t>
      </w:r>
      <w:r w:rsidRPr="00F27422">
        <w:rPr>
          <w:rFonts w:cs="Arial" w:hint="cs"/>
          <w:sz w:val="32"/>
          <w:szCs w:val="32"/>
          <w:rtl/>
        </w:rPr>
        <w:t>موارد</w:t>
      </w:r>
      <w:r w:rsidRPr="00F27422">
        <w:rPr>
          <w:rFonts w:cs="Arial"/>
          <w:sz w:val="32"/>
          <w:szCs w:val="32"/>
          <w:rtl/>
        </w:rPr>
        <w:t xml:space="preserve"> </w:t>
      </w:r>
      <w:r w:rsidRPr="00F27422">
        <w:rPr>
          <w:rFonts w:cs="Arial" w:hint="cs"/>
          <w:sz w:val="32"/>
          <w:szCs w:val="32"/>
          <w:rtl/>
        </w:rPr>
        <w:t>الملك</w:t>
      </w:r>
      <w:r w:rsidRPr="00F27422">
        <w:rPr>
          <w:rFonts w:cs="Arial"/>
          <w:sz w:val="32"/>
          <w:szCs w:val="32"/>
          <w:rtl/>
        </w:rPr>
        <w:t xml:space="preserve"> </w:t>
      </w:r>
      <w:r w:rsidRPr="00F27422">
        <w:rPr>
          <w:rFonts w:cs="Arial" w:hint="cs"/>
          <w:sz w:val="32"/>
          <w:szCs w:val="32"/>
          <w:rtl/>
        </w:rPr>
        <w:t>في</w:t>
      </w:r>
      <w:r w:rsidRPr="00F27422">
        <w:rPr>
          <w:rFonts w:cs="Arial"/>
          <w:sz w:val="32"/>
          <w:szCs w:val="32"/>
          <w:rtl/>
        </w:rPr>
        <w:t xml:space="preserve"> </w:t>
      </w:r>
      <w:r w:rsidRPr="00F27422">
        <w:rPr>
          <w:rFonts w:cs="Arial" w:hint="cs"/>
          <w:sz w:val="32"/>
          <w:szCs w:val="32"/>
          <w:rtl/>
        </w:rPr>
        <w:t>التصرفات</w:t>
      </w:r>
      <w:r w:rsidRPr="00F27422">
        <w:rPr>
          <w:rFonts w:cs="Arial"/>
          <w:sz w:val="32"/>
          <w:szCs w:val="32"/>
          <w:rtl/>
        </w:rPr>
        <w:t xml:space="preserve"> </w:t>
      </w:r>
      <w:r w:rsidRPr="00F27422">
        <w:rPr>
          <w:rFonts w:cs="Arial" w:hint="cs"/>
          <w:sz w:val="32"/>
          <w:szCs w:val="32"/>
          <w:rtl/>
        </w:rPr>
        <w:t>المالية</w:t>
      </w:r>
      <w:r w:rsidRPr="00F27422">
        <w:rPr>
          <w:rFonts w:cs="Arial"/>
          <w:sz w:val="32"/>
          <w:szCs w:val="32"/>
          <w:rtl/>
        </w:rPr>
        <w:t>.</w:t>
      </w:r>
    </w:p>
    <w:p w14:paraId="0D36BA38" w14:textId="77777777" w:rsidR="0028545D" w:rsidRPr="00F27422" w:rsidRDefault="0028545D" w:rsidP="00122B70">
      <w:pPr>
        <w:bidi/>
        <w:rPr>
          <w:sz w:val="32"/>
          <w:szCs w:val="32"/>
        </w:rPr>
      </w:pPr>
    </w:p>
    <w:p w14:paraId="0792A314" w14:textId="77777777" w:rsidR="0028545D" w:rsidRPr="00F27422" w:rsidRDefault="0028545D" w:rsidP="00122B70">
      <w:pPr>
        <w:bidi/>
        <w:rPr>
          <w:sz w:val="32"/>
          <w:szCs w:val="32"/>
        </w:rPr>
      </w:pPr>
      <w:r w:rsidRPr="00F27422">
        <w:rPr>
          <w:rFonts w:cs="Arial" w:hint="cs"/>
          <w:sz w:val="32"/>
          <w:szCs w:val="32"/>
          <w:rtl/>
        </w:rPr>
        <w:t>الوجهُ</w:t>
      </w:r>
      <w:r w:rsidRPr="00F27422">
        <w:rPr>
          <w:rFonts w:cs="Arial"/>
          <w:sz w:val="32"/>
          <w:szCs w:val="32"/>
          <w:rtl/>
        </w:rPr>
        <w:t xml:space="preserve"> </w:t>
      </w:r>
      <w:r w:rsidRPr="00F27422">
        <w:rPr>
          <w:rFonts w:cs="Arial" w:hint="cs"/>
          <w:sz w:val="32"/>
          <w:szCs w:val="32"/>
          <w:rtl/>
        </w:rPr>
        <w:t>الثاني</w:t>
      </w:r>
      <w:r w:rsidRPr="00F27422">
        <w:rPr>
          <w:rFonts w:cs="Arial"/>
          <w:sz w:val="32"/>
          <w:szCs w:val="32"/>
          <w:rtl/>
        </w:rPr>
        <w:t xml:space="preserve">: </w:t>
      </w:r>
      <w:r w:rsidRPr="00F27422">
        <w:rPr>
          <w:rFonts w:cs="Arial" w:hint="cs"/>
          <w:sz w:val="32"/>
          <w:szCs w:val="32"/>
          <w:rtl/>
        </w:rPr>
        <w:t>ما</w:t>
      </w:r>
      <w:r w:rsidRPr="00F27422">
        <w:rPr>
          <w:rFonts w:cs="Arial"/>
          <w:sz w:val="32"/>
          <w:szCs w:val="32"/>
          <w:rtl/>
        </w:rPr>
        <w:t xml:space="preserve"> </w:t>
      </w:r>
      <w:r w:rsidRPr="00F27422">
        <w:rPr>
          <w:rFonts w:cs="Arial" w:hint="cs"/>
          <w:sz w:val="32"/>
          <w:szCs w:val="32"/>
          <w:rtl/>
        </w:rPr>
        <w:t>اختاره</w:t>
      </w:r>
      <w:r w:rsidRPr="00F27422">
        <w:rPr>
          <w:rFonts w:cs="Arial"/>
          <w:sz w:val="32"/>
          <w:szCs w:val="32"/>
          <w:rtl/>
        </w:rPr>
        <w:t xml:space="preserve"> </w:t>
      </w:r>
      <w:r w:rsidRPr="00F27422">
        <w:rPr>
          <w:rFonts w:cs="Arial" w:hint="cs"/>
          <w:sz w:val="32"/>
          <w:szCs w:val="32"/>
          <w:rtl/>
        </w:rPr>
        <w:t>السيد</w:t>
      </w:r>
      <w:r w:rsidRPr="00F27422">
        <w:rPr>
          <w:rFonts w:cs="Arial"/>
          <w:sz w:val="32"/>
          <w:szCs w:val="32"/>
          <w:rtl/>
        </w:rPr>
        <w:t xml:space="preserve"> </w:t>
      </w:r>
      <w:r w:rsidRPr="00F27422">
        <w:rPr>
          <w:rFonts w:cs="Arial" w:hint="cs"/>
          <w:sz w:val="32"/>
          <w:szCs w:val="32"/>
          <w:rtl/>
        </w:rPr>
        <w:t>الحكيم</w:t>
      </w:r>
      <w:r w:rsidRPr="00F27422">
        <w:rPr>
          <w:rFonts w:cs="Arial"/>
          <w:sz w:val="32"/>
          <w:szCs w:val="32"/>
          <w:rtl/>
        </w:rPr>
        <w:t xml:space="preserve"> </w:t>
      </w:r>
      <w:r w:rsidRPr="00F27422">
        <w:rPr>
          <w:rFonts w:cs="Arial" w:hint="cs"/>
          <w:sz w:val="32"/>
          <w:szCs w:val="32"/>
          <w:rtl/>
        </w:rPr>
        <w:t>من</w:t>
      </w:r>
      <w:r w:rsidRPr="00F27422">
        <w:rPr>
          <w:rFonts w:cs="Arial"/>
          <w:sz w:val="32"/>
          <w:szCs w:val="32"/>
          <w:rtl/>
        </w:rPr>
        <w:t xml:space="preserve"> </w:t>
      </w:r>
      <w:r w:rsidRPr="00F27422">
        <w:rPr>
          <w:rFonts w:cs="Arial" w:hint="cs"/>
          <w:sz w:val="32"/>
          <w:szCs w:val="32"/>
          <w:rtl/>
        </w:rPr>
        <w:t>تخصيص</w:t>
      </w:r>
      <w:r w:rsidRPr="00F27422">
        <w:rPr>
          <w:rFonts w:cs="Arial"/>
          <w:sz w:val="32"/>
          <w:szCs w:val="32"/>
          <w:rtl/>
        </w:rPr>
        <w:t xml:space="preserve"> </w:t>
      </w:r>
      <w:r w:rsidRPr="00F27422">
        <w:rPr>
          <w:rFonts w:cs="Arial" w:hint="cs"/>
          <w:sz w:val="32"/>
          <w:szCs w:val="32"/>
          <w:rtl/>
        </w:rPr>
        <w:t>عنوان</w:t>
      </w:r>
      <w:r w:rsidRPr="00F27422">
        <w:rPr>
          <w:rFonts w:cs="Arial"/>
          <w:sz w:val="32"/>
          <w:szCs w:val="32"/>
          <w:rtl/>
        </w:rPr>
        <w:t xml:space="preserve"> </w:t>
      </w:r>
      <w:r w:rsidRPr="00F27422">
        <w:rPr>
          <w:rFonts w:cs="Arial" w:hint="cs"/>
          <w:sz w:val="32"/>
          <w:szCs w:val="32"/>
          <w:rtl/>
        </w:rPr>
        <w:t>الوليّ</w:t>
      </w:r>
      <w:r w:rsidRPr="00F27422">
        <w:rPr>
          <w:rFonts w:cs="Arial"/>
          <w:sz w:val="32"/>
          <w:szCs w:val="32"/>
          <w:rtl/>
        </w:rPr>
        <w:t xml:space="preserve"> </w:t>
      </w:r>
      <w:r w:rsidRPr="00F27422">
        <w:rPr>
          <w:rFonts w:cs="Arial" w:hint="cs"/>
          <w:sz w:val="32"/>
          <w:szCs w:val="32"/>
          <w:rtl/>
        </w:rPr>
        <w:t>بغير</w:t>
      </w:r>
      <w:r w:rsidRPr="00F27422">
        <w:rPr>
          <w:rFonts w:cs="Arial"/>
          <w:sz w:val="32"/>
          <w:szCs w:val="32"/>
          <w:rtl/>
        </w:rPr>
        <w:t xml:space="preserve"> </w:t>
      </w:r>
      <w:r w:rsidRPr="00F27422">
        <w:rPr>
          <w:rFonts w:cs="Arial" w:hint="cs"/>
          <w:sz w:val="32"/>
          <w:szCs w:val="32"/>
          <w:rtl/>
        </w:rPr>
        <w:t>الأب</w:t>
      </w:r>
      <w:r w:rsidRPr="00F27422">
        <w:rPr>
          <w:rFonts w:cs="Arial"/>
          <w:sz w:val="32"/>
          <w:szCs w:val="32"/>
          <w:rtl/>
        </w:rPr>
        <w:t xml:space="preserve"> </w:t>
      </w:r>
      <w:r w:rsidRPr="00F27422">
        <w:rPr>
          <w:rFonts w:cs="Arial" w:hint="cs"/>
          <w:sz w:val="32"/>
          <w:szCs w:val="32"/>
          <w:rtl/>
        </w:rPr>
        <w:t>جمعاً</w:t>
      </w:r>
      <w:r w:rsidRPr="00F27422">
        <w:rPr>
          <w:rFonts w:cs="Arial"/>
          <w:sz w:val="32"/>
          <w:szCs w:val="32"/>
          <w:rtl/>
        </w:rPr>
        <w:t xml:space="preserve"> </w:t>
      </w:r>
      <w:r w:rsidRPr="00F27422">
        <w:rPr>
          <w:rFonts w:cs="Arial" w:hint="cs"/>
          <w:sz w:val="32"/>
          <w:szCs w:val="32"/>
          <w:rtl/>
        </w:rPr>
        <w:t>بين</w:t>
      </w:r>
      <w:r w:rsidRPr="00F27422">
        <w:rPr>
          <w:rFonts w:cs="Arial"/>
          <w:sz w:val="32"/>
          <w:szCs w:val="32"/>
          <w:rtl/>
        </w:rPr>
        <w:t xml:space="preserve"> </w:t>
      </w:r>
      <w:r w:rsidRPr="00F27422">
        <w:rPr>
          <w:rFonts w:cs="Arial" w:hint="cs"/>
          <w:sz w:val="32"/>
          <w:szCs w:val="32"/>
          <w:rtl/>
        </w:rPr>
        <w:t>الروايات،</w:t>
      </w:r>
      <w:r w:rsidRPr="00F27422">
        <w:rPr>
          <w:rFonts w:cs="Arial"/>
          <w:sz w:val="32"/>
          <w:szCs w:val="32"/>
          <w:rtl/>
        </w:rPr>
        <w:t xml:space="preserve"> </w:t>
      </w:r>
      <w:r w:rsidRPr="00F27422">
        <w:rPr>
          <w:rFonts w:cs="Arial" w:hint="cs"/>
          <w:sz w:val="32"/>
          <w:szCs w:val="32"/>
          <w:rtl/>
        </w:rPr>
        <w:t>فيكون</w:t>
      </w:r>
      <w:r w:rsidRPr="00F27422">
        <w:rPr>
          <w:rFonts w:cs="Arial"/>
          <w:sz w:val="32"/>
          <w:szCs w:val="32"/>
          <w:rtl/>
        </w:rPr>
        <w:t xml:space="preserve"> </w:t>
      </w:r>
      <w:r w:rsidRPr="00F27422">
        <w:rPr>
          <w:rFonts w:cs="Arial" w:hint="cs"/>
          <w:sz w:val="32"/>
          <w:szCs w:val="32"/>
          <w:rtl/>
        </w:rPr>
        <w:t>قوله</w:t>
      </w:r>
      <w:r w:rsidRPr="00F27422">
        <w:rPr>
          <w:rFonts w:cs="Arial"/>
          <w:sz w:val="32"/>
          <w:szCs w:val="32"/>
          <w:rtl/>
        </w:rPr>
        <w:t>: "</w:t>
      </w:r>
      <w:r w:rsidRPr="00F27422">
        <w:rPr>
          <w:rFonts w:cs="Arial" w:hint="cs"/>
          <w:sz w:val="32"/>
          <w:szCs w:val="32"/>
          <w:rtl/>
        </w:rPr>
        <w:t>تزويجها</w:t>
      </w:r>
      <w:r w:rsidRPr="00F27422">
        <w:rPr>
          <w:rFonts w:cs="Arial"/>
          <w:sz w:val="32"/>
          <w:szCs w:val="32"/>
          <w:rtl/>
        </w:rPr>
        <w:t xml:space="preserve"> </w:t>
      </w:r>
      <w:r w:rsidRPr="00F27422">
        <w:rPr>
          <w:rFonts w:cs="Arial" w:hint="cs"/>
          <w:sz w:val="32"/>
          <w:szCs w:val="32"/>
          <w:rtl/>
        </w:rPr>
        <w:t>بغير</w:t>
      </w:r>
      <w:r w:rsidRPr="00F27422">
        <w:rPr>
          <w:rFonts w:cs="Arial"/>
          <w:sz w:val="32"/>
          <w:szCs w:val="32"/>
          <w:rtl/>
        </w:rPr>
        <w:t xml:space="preserve"> </w:t>
      </w:r>
      <w:r w:rsidRPr="00F27422">
        <w:rPr>
          <w:rFonts w:cs="Arial" w:hint="cs"/>
          <w:sz w:val="32"/>
          <w:szCs w:val="32"/>
          <w:rtl/>
        </w:rPr>
        <w:t>وليّ</w:t>
      </w:r>
      <w:r w:rsidRPr="00F27422">
        <w:rPr>
          <w:rFonts w:cs="Arial"/>
          <w:sz w:val="32"/>
          <w:szCs w:val="32"/>
          <w:rtl/>
        </w:rPr>
        <w:t xml:space="preserve"> </w:t>
      </w:r>
      <w:r w:rsidRPr="00F27422">
        <w:rPr>
          <w:rFonts w:cs="Arial" w:hint="cs"/>
          <w:sz w:val="32"/>
          <w:szCs w:val="32"/>
          <w:rtl/>
        </w:rPr>
        <w:t>جائز</w:t>
      </w:r>
      <w:r w:rsidRPr="00F27422">
        <w:rPr>
          <w:rFonts w:cs="Arial"/>
          <w:sz w:val="32"/>
          <w:szCs w:val="32"/>
          <w:rtl/>
        </w:rPr>
        <w:t xml:space="preserve">" </w:t>
      </w:r>
      <w:r w:rsidRPr="00F27422">
        <w:rPr>
          <w:rFonts w:cs="Arial" w:hint="cs"/>
          <w:sz w:val="32"/>
          <w:szCs w:val="32"/>
          <w:rtl/>
        </w:rPr>
        <w:t>محمولاً</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r w:rsidRPr="00F27422">
        <w:rPr>
          <w:rFonts w:cs="Arial" w:hint="cs"/>
          <w:sz w:val="32"/>
          <w:szCs w:val="32"/>
          <w:rtl/>
        </w:rPr>
        <w:t>غير</w:t>
      </w:r>
      <w:r w:rsidRPr="00F27422">
        <w:rPr>
          <w:rFonts w:cs="Arial"/>
          <w:sz w:val="32"/>
          <w:szCs w:val="32"/>
          <w:rtl/>
        </w:rPr>
        <w:t xml:space="preserve"> </w:t>
      </w:r>
      <w:r w:rsidRPr="00F27422">
        <w:rPr>
          <w:rFonts w:cs="Arial" w:hint="cs"/>
          <w:sz w:val="32"/>
          <w:szCs w:val="32"/>
          <w:rtl/>
        </w:rPr>
        <w:t>الأب</w:t>
      </w:r>
      <w:r w:rsidRPr="00F27422">
        <w:rPr>
          <w:rFonts w:cs="Arial"/>
          <w:sz w:val="32"/>
          <w:szCs w:val="32"/>
          <w:rtl/>
        </w:rPr>
        <w:t xml:space="preserve">. </w:t>
      </w:r>
      <w:r w:rsidRPr="00F27422">
        <w:rPr>
          <w:rFonts w:cs="Arial" w:hint="cs"/>
          <w:sz w:val="32"/>
          <w:szCs w:val="32"/>
          <w:rtl/>
        </w:rPr>
        <w:t>وقد</w:t>
      </w:r>
      <w:r w:rsidRPr="00F27422">
        <w:rPr>
          <w:rFonts w:cs="Arial"/>
          <w:sz w:val="32"/>
          <w:szCs w:val="32"/>
          <w:rtl/>
        </w:rPr>
        <w:t xml:space="preserve"> </w:t>
      </w:r>
      <w:r w:rsidRPr="00F27422">
        <w:rPr>
          <w:rFonts w:cs="Arial" w:hint="cs"/>
          <w:sz w:val="32"/>
          <w:szCs w:val="32"/>
          <w:rtl/>
        </w:rPr>
        <w:t>أُشكل</w:t>
      </w:r>
      <w:r w:rsidRPr="00F27422">
        <w:rPr>
          <w:rFonts w:cs="Arial"/>
          <w:sz w:val="32"/>
          <w:szCs w:val="32"/>
          <w:rtl/>
        </w:rPr>
        <w:t xml:space="preserve"> </w:t>
      </w:r>
      <w:r w:rsidRPr="00F27422">
        <w:rPr>
          <w:rFonts w:cs="Arial" w:hint="cs"/>
          <w:sz w:val="32"/>
          <w:szCs w:val="32"/>
          <w:rtl/>
        </w:rPr>
        <w:t>عليه</w:t>
      </w:r>
      <w:r w:rsidRPr="00F27422">
        <w:rPr>
          <w:rFonts w:cs="Arial"/>
          <w:sz w:val="32"/>
          <w:szCs w:val="32"/>
          <w:rtl/>
        </w:rPr>
        <w:t xml:space="preserve"> </w:t>
      </w:r>
      <w:r w:rsidRPr="00F27422">
        <w:rPr>
          <w:rFonts w:cs="Arial" w:hint="cs"/>
          <w:sz w:val="32"/>
          <w:szCs w:val="32"/>
          <w:rtl/>
        </w:rPr>
        <w:t>بمعتبرة</w:t>
      </w:r>
      <w:r w:rsidRPr="00F27422">
        <w:rPr>
          <w:rFonts w:cs="Arial"/>
          <w:sz w:val="32"/>
          <w:szCs w:val="32"/>
          <w:rtl/>
        </w:rPr>
        <w:t xml:space="preserve"> </w:t>
      </w:r>
      <w:r w:rsidRPr="00F27422">
        <w:rPr>
          <w:rFonts w:cs="Arial" w:hint="cs"/>
          <w:sz w:val="32"/>
          <w:szCs w:val="32"/>
          <w:rtl/>
        </w:rPr>
        <w:t>أبي</w:t>
      </w:r>
      <w:r w:rsidRPr="00F27422">
        <w:rPr>
          <w:rFonts w:cs="Arial"/>
          <w:sz w:val="32"/>
          <w:szCs w:val="32"/>
          <w:rtl/>
        </w:rPr>
        <w:t xml:space="preserve"> </w:t>
      </w:r>
      <w:r w:rsidRPr="00F27422">
        <w:rPr>
          <w:rFonts w:cs="Arial" w:hint="cs"/>
          <w:sz w:val="32"/>
          <w:szCs w:val="32"/>
          <w:rtl/>
        </w:rPr>
        <w:t>مريم</w:t>
      </w:r>
      <w:r w:rsidRPr="00F27422">
        <w:rPr>
          <w:rFonts w:cs="Arial"/>
          <w:sz w:val="32"/>
          <w:szCs w:val="32"/>
          <w:rtl/>
        </w:rPr>
        <w:t xml:space="preserve"> </w:t>
      </w:r>
      <w:r w:rsidRPr="00F27422">
        <w:rPr>
          <w:rFonts w:cs="Arial" w:hint="cs"/>
          <w:sz w:val="32"/>
          <w:szCs w:val="32"/>
          <w:rtl/>
        </w:rPr>
        <w:t>الظاهرة</w:t>
      </w:r>
      <w:r w:rsidRPr="00F27422">
        <w:rPr>
          <w:rFonts w:cs="Arial"/>
          <w:sz w:val="32"/>
          <w:szCs w:val="32"/>
          <w:rtl/>
        </w:rPr>
        <w:t xml:space="preserve"> </w:t>
      </w:r>
      <w:r w:rsidRPr="00F27422">
        <w:rPr>
          <w:rFonts w:cs="Arial" w:hint="cs"/>
          <w:sz w:val="32"/>
          <w:szCs w:val="32"/>
          <w:rtl/>
        </w:rPr>
        <w:t>في</w:t>
      </w:r>
      <w:r w:rsidRPr="00F27422">
        <w:rPr>
          <w:rFonts w:cs="Arial"/>
          <w:sz w:val="32"/>
          <w:szCs w:val="32"/>
          <w:rtl/>
        </w:rPr>
        <w:t xml:space="preserve"> </w:t>
      </w:r>
      <w:r w:rsidRPr="00F27422">
        <w:rPr>
          <w:rFonts w:cs="Arial" w:hint="cs"/>
          <w:sz w:val="32"/>
          <w:szCs w:val="32"/>
          <w:rtl/>
        </w:rPr>
        <w:t>أنّ</w:t>
      </w:r>
      <w:r w:rsidRPr="00F27422">
        <w:rPr>
          <w:rFonts w:cs="Arial"/>
          <w:sz w:val="32"/>
          <w:szCs w:val="32"/>
          <w:rtl/>
        </w:rPr>
        <w:t xml:space="preserve"> </w:t>
      </w:r>
      <w:r w:rsidRPr="00F27422">
        <w:rPr>
          <w:rFonts w:cs="Arial" w:hint="cs"/>
          <w:sz w:val="32"/>
          <w:szCs w:val="32"/>
          <w:rtl/>
        </w:rPr>
        <w:t>الجارية</w:t>
      </w:r>
      <w:r w:rsidRPr="00F27422">
        <w:rPr>
          <w:rFonts w:cs="Arial"/>
          <w:sz w:val="32"/>
          <w:szCs w:val="32"/>
          <w:rtl/>
        </w:rPr>
        <w:t xml:space="preserve"> </w:t>
      </w:r>
      <w:r w:rsidRPr="00F27422">
        <w:rPr>
          <w:rFonts w:cs="Arial" w:hint="cs"/>
          <w:sz w:val="32"/>
          <w:szCs w:val="32"/>
          <w:rtl/>
        </w:rPr>
        <w:t>البكر</w:t>
      </w:r>
      <w:r w:rsidRPr="00F27422">
        <w:rPr>
          <w:rFonts w:cs="Arial"/>
          <w:sz w:val="32"/>
          <w:szCs w:val="32"/>
          <w:rtl/>
        </w:rPr>
        <w:t xml:space="preserve"> </w:t>
      </w:r>
      <w:r w:rsidRPr="00F27422">
        <w:rPr>
          <w:rFonts w:cs="Arial" w:hint="cs"/>
          <w:sz w:val="32"/>
          <w:szCs w:val="32"/>
          <w:rtl/>
        </w:rPr>
        <w:t>التي</w:t>
      </w:r>
      <w:r w:rsidRPr="00F27422">
        <w:rPr>
          <w:rFonts w:cs="Arial"/>
          <w:sz w:val="32"/>
          <w:szCs w:val="32"/>
          <w:rtl/>
        </w:rPr>
        <w:t xml:space="preserve"> </w:t>
      </w:r>
      <w:r w:rsidRPr="00F27422">
        <w:rPr>
          <w:rFonts w:cs="Arial" w:hint="cs"/>
          <w:sz w:val="32"/>
          <w:szCs w:val="32"/>
          <w:rtl/>
        </w:rPr>
        <w:t>لها</w:t>
      </w:r>
      <w:r w:rsidRPr="00F27422">
        <w:rPr>
          <w:rFonts w:cs="Arial"/>
          <w:sz w:val="32"/>
          <w:szCs w:val="32"/>
          <w:rtl/>
        </w:rPr>
        <w:t xml:space="preserve"> </w:t>
      </w:r>
      <w:r w:rsidRPr="00F27422">
        <w:rPr>
          <w:rFonts w:cs="Arial" w:hint="cs"/>
          <w:sz w:val="32"/>
          <w:szCs w:val="32"/>
          <w:rtl/>
        </w:rPr>
        <w:t>أب</w:t>
      </w:r>
      <w:r w:rsidRPr="00F27422">
        <w:rPr>
          <w:rFonts w:cs="Arial"/>
          <w:sz w:val="32"/>
          <w:szCs w:val="32"/>
          <w:rtl/>
        </w:rPr>
        <w:t xml:space="preserve"> </w:t>
      </w:r>
      <w:r w:rsidRPr="00F27422">
        <w:rPr>
          <w:rFonts w:cs="Arial" w:hint="cs"/>
          <w:sz w:val="32"/>
          <w:szCs w:val="32"/>
          <w:rtl/>
        </w:rPr>
        <w:t>إذا</w:t>
      </w:r>
      <w:r w:rsidRPr="00F27422">
        <w:rPr>
          <w:rFonts w:cs="Arial"/>
          <w:sz w:val="32"/>
          <w:szCs w:val="32"/>
          <w:rtl/>
        </w:rPr>
        <w:t xml:space="preserve"> </w:t>
      </w:r>
      <w:r w:rsidRPr="00F27422">
        <w:rPr>
          <w:rFonts w:cs="Arial" w:hint="cs"/>
          <w:sz w:val="32"/>
          <w:szCs w:val="32"/>
          <w:rtl/>
        </w:rPr>
        <w:t>ملكت</w:t>
      </w:r>
      <w:r w:rsidRPr="00F27422">
        <w:rPr>
          <w:rFonts w:cs="Arial"/>
          <w:sz w:val="32"/>
          <w:szCs w:val="32"/>
          <w:rtl/>
        </w:rPr>
        <w:t xml:space="preserve"> </w:t>
      </w:r>
      <w:r w:rsidRPr="00F27422">
        <w:rPr>
          <w:rFonts w:cs="Arial" w:hint="cs"/>
          <w:sz w:val="32"/>
          <w:szCs w:val="32"/>
          <w:rtl/>
        </w:rPr>
        <w:t>أمرها</w:t>
      </w:r>
      <w:r w:rsidRPr="00F27422">
        <w:rPr>
          <w:rFonts w:cs="Arial"/>
          <w:sz w:val="32"/>
          <w:szCs w:val="32"/>
          <w:rtl/>
        </w:rPr>
        <w:t xml:space="preserve"> </w:t>
      </w:r>
      <w:r w:rsidRPr="00F27422">
        <w:rPr>
          <w:rFonts w:cs="Arial" w:hint="cs"/>
          <w:sz w:val="32"/>
          <w:szCs w:val="32"/>
          <w:rtl/>
        </w:rPr>
        <w:t>تزوجت</w:t>
      </w:r>
      <w:r w:rsidRPr="00F27422">
        <w:rPr>
          <w:rFonts w:cs="Arial"/>
          <w:sz w:val="32"/>
          <w:szCs w:val="32"/>
          <w:rtl/>
        </w:rPr>
        <w:t xml:space="preserve"> </w:t>
      </w:r>
      <w:r w:rsidRPr="00F27422">
        <w:rPr>
          <w:rFonts w:cs="Arial" w:hint="cs"/>
          <w:sz w:val="32"/>
          <w:szCs w:val="32"/>
          <w:rtl/>
        </w:rPr>
        <w:t>متى</w:t>
      </w:r>
      <w:r w:rsidRPr="00F27422">
        <w:rPr>
          <w:rFonts w:cs="Arial"/>
          <w:sz w:val="32"/>
          <w:szCs w:val="32"/>
          <w:rtl/>
        </w:rPr>
        <w:t xml:space="preserve"> </w:t>
      </w:r>
      <w:r w:rsidRPr="00F27422">
        <w:rPr>
          <w:rFonts w:cs="Arial" w:hint="cs"/>
          <w:sz w:val="32"/>
          <w:szCs w:val="32"/>
          <w:rtl/>
        </w:rPr>
        <w:t>شاءت،</w:t>
      </w:r>
      <w:r w:rsidRPr="00F27422">
        <w:rPr>
          <w:rFonts w:cs="Arial"/>
          <w:sz w:val="32"/>
          <w:szCs w:val="32"/>
          <w:rtl/>
        </w:rPr>
        <w:t xml:space="preserve"> </w:t>
      </w:r>
      <w:r w:rsidRPr="00F27422">
        <w:rPr>
          <w:rFonts w:cs="Arial" w:hint="cs"/>
          <w:sz w:val="32"/>
          <w:szCs w:val="32"/>
          <w:rtl/>
        </w:rPr>
        <w:t>وهو</w:t>
      </w:r>
      <w:r w:rsidRPr="00F27422">
        <w:rPr>
          <w:rFonts w:cs="Arial"/>
          <w:sz w:val="32"/>
          <w:szCs w:val="32"/>
          <w:rtl/>
        </w:rPr>
        <w:t xml:space="preserve"> </w:t>
      </w:r>
      <w:r w:rsidRPr="00F27422">
        <w:rPr>
          <w:rFonts w:cs="Arial" w:hint="cs"/>
          <w:sz w:val="32"/>
          <w:szCs w:val="32"/>
          <w:rtl/>
        </w:rPr>
        <w:t>تعبيرٌ</w:t>
      </w:r>
      <w:r w:rsidRPr="00F27422">
        <w:rPr>
          <w:rFonts w:cs="Arial"/>
          <w:sz w:val="32"/>
          <w:szCs w:val="32"/>
          <w:rtl/>
        </w:rPr>
        <w:t xml:space="preserve"> </w:t>
      </w:r>
      <w:r w:rsidRPr="00F27422">
        <w:rPr>
          <w:rFonts w:cs="Arial" w:hint="cs"/>
          <w:sz w:val="32"/>
          <w:szCs w:val="32"/>
          <w:rtl/>
        </w:rPr>
        <w:t>لا</w:t>
      </w:r>
      <w:r w:rsidRPr="00F27422">
        <w:rPr>
          <w:rFonts w:cs="Arial"/>
          <w:sz w:val="32"/>
          <w:szCs w:val="32"/>
          <w:rtl/>
        </w:rPr>
        <w:t xml:space="preserve"> </w:t>
      </w:r>
      <w:r w:rsidRPr="00F27422">
        <w:rPr>
          <w:rFonts w:cs="Arial" w:hint="cs"/>
          <w:sz w:val="32"/>
          <w:szCs w:val="32"/>
          <w:rtl/>
        </w:rPr>
        <w:t>ينسجم</w:t>
      </w:r>
      <w:r w:rsidRPr="00F27422">
        <w:rPr>
          <w:rFonts w:cs="Arial"/>
          <w:sz w:val="32"/>
          <w:szCs w:val="32"/>
          <w:rtl/>
        </w:rPr>
        <w:t xml:space="preserve"> </w:t>
      </w:r>
      <w:r w:rsidRPr="00F27422">
        <w:rPr>
          <w:rFonts w:cs="Arial" w:hint="cs"/>
          <w:sz w:val="32"/>
          <w:szCs w:val="32"/>
          <w:rtl/>
        </w:rPr>
        <w:t>مع</w:t>
      </w:r>
      <w:r w:rsidRPr="00F27422">
        <w:rPr>
          <w:rFonts w:cs="Arial"/>
          <w:sz w:val="32"/>
          <w:szCs w:val="32"/>
          <w:rtl/>
        </w:rPr>
        <w:t xml:space="preserve"> </w:t>
      </w:r>
      <w:r w:rsidRPr="00F27422">
        <w:rPr>
          <w:rFonts w:cs="Arial" w:hint="cs"/>
          <w:sz w:val="32"/>
          <w:szCs w:val="32"/>
          <w:rtl/>
        </w:rPr>
        <w:t>ثبوت</w:t>
      </w:r>
      <w:r w:rsidRPr="00F27422">
        <w:rPr>
          <w:rFonts w:cs="Arial"/>
          <w:sz w:val="32"/>
          <w:szCs w:val="32"/>
          <w:rtl/>
        </w:rPr>
        <w:t xml:space="preserve"> </w:t>
      </w:r>
      <w:r w:rsidRPr="00F27422">
        <w:rPr>
          <w:rFonts w:cs="Arial" w:hint="cs"/>
          <w:sz w:val="32"/>
          <w:szCs w:val="32"/>
          <w:rtl/>
        </w:rPr>
        <w:t>ولاية</w:t>
      </w:r>
      <w:r w:rsidRPr="00F27422">
        <w:rPr>
          <w:rFonts w:cs="Arial"/>
          <w:sz w:val="32"/>
          <w:szCs w:val="32"/>
          <w:rtl/>
        </w:rPr>
        <w:t xml:space="preserve"> </w:t>
      </w:r>
      <w:r w:rsidRPr="00F27422">
        <w:rPr>
          <w:rFonts w:cs="Arial" w:hint="cs"/>
          <w:sz w:val="32"/>
          <w:szCs w:val="32"/>
          <w:rtl/>
        </w:rPr>
        <w:t>الأب،</w:t>
      </w:r>
      <w:r w:rsidRPr="00F27422">
        <w:rPr>
          <w:rFonts w:cs="Arial"/>
          <w:sz w:val="32"/>
          <w:szCs w:val="32"/>
          <w:rtl/>
        </w:rPr>
        <w:t xml:space="preserve"> </w:t>
      </w:r>
      <w:r w:rsidRPr="00F27422">
        <w:rPr>
          <w:rFonts w:cs="Arial" w:hint="cs"/>
          <w:sz w:val="32"/>
          <w:szCs w:val="32"/>
          <w:rtl/>
        </w:rPr>
        <w:t>كما</w:t>
      </w:r>
      <w:r w:rsidRPr="00F27422">
        <w:rPr>
          <w:rFonts w:cs="Arial"/>
          <w:sz w:val="32"/>
          <w:szCs w:val="32"/>
          <w:rtl/>
        </w:rPr>
        <w:t xml:space="preserve"> </w:t>
      </w:r>
      <w:r w:rsidRPr="00F27422">
        <w:rPr>
          <w:rFonts w:cs="Arial" w:hint="cs"/>
          <w:sz w:val="32"/>
          <w:szCs w:val="32"/>
          <w:rtl/>
        </w:rPr>
        <w:t>أنّ</w:t>
      </w:r>
      <w:r w:rsidRPr="00F27422">
        <w:rPr>
          <w:rFonts w:cs="Arial"/>
          <w:sz w:val="32"/>
          <w:szCs w:val="32"/>
          <w:rtl/>
        </w:rPr>
        <w:t xml:space="preserve"> </w:t>
      </w:r>
      <w:r w:rsidRPr="00F27422">
        <w:rPr>
          <w:rFonts w:cs="Arial" w:hint="cs"/>
          <w:sz w:val="32"/>
          <w:szCs w:val="32"/>
          <w:rtl/>
        </w:rPr>
        <w:t>حمل</w:t>
      </w:r>
      <w:r w:rsidRPr="00F27422">
        <w:rPr>
          <w:rFonts w:cs="Arial"/>
          <w:sz w:val="32"/>
          <w:szCs w:val="32"/>
          <w:rtl/>
        </w:rPr>
        <w:t xml:space="preserve"> </w:t>
      </w:r>
      <w:r w:rsidRPr="00F27422">
        <w:rPr>
          <w:rFonts w:cs="Arial" w:hint="cs"/>
          <w:sz w:val="32"/>
          <w:szCs w:val="32"/>
          <w:rtl/>
        </w:rPr>
        <w:t>ملك</w:t>
      </w:r>
      <w:r w:rsidRPr="00F27422">
        <w:rPr>
          <w:rFonts w:cs="Arial"/>
          <w:sz w:val="32"/>
          <w:szCs w:val="32"/>
          <w:rtl/>
        </w:rPr>
        <w:t xml:space="preserve"> </w:t>
      </w:r>
      <w:r w:rsidRPr="00F27422">
        <w:rPr>
          <w:rFonts w:cs="Arial" w:hint="cs"/>
          <w:sz w:val="32"/>
          <w:szCs w:val="32"/>
          <w:rtl/>
        </w:rPr>
        <w:t>الأمر</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r w:rsidRPr="00F27422">
        <w:rPr>
          <w:rFonts w:cs="Arial" w:hint="cs"/>
          <w:sz w:val="32"/>
          <w:szCs w:val="32"/>
          <w:rtl/>
        </w:rPr>
        <w:t>البلوغ</w:t>
      </w:r>
      <w:r w:rsidRPr="00F27422">
        <w:rPr>
          <w:rFonts w:cs="Arial"/>
          <w:sz w:val="32"/>
          <w:szCs w:val="32"/>
          <w:rtl/>
        </w:rPr>
        <w:t xml:space="preserve"> </w:t>
      </w:r>
      <w:r w:rsidRPr="00F27422">
        <w:rPr>
          <w:rFonts w:cs="Arial" w:hint="cs"/>
          <w:sz w:val="32"/>
          <w:szCs w:val="32"/>
          <w:rtl/>
        </w:rPr>
        <w:t>أو</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r w:rsidRPr="00F27422">
        <w:rPr>
          <w:rFonts w:cs="Arial" w:hint="cs"/>
          <w:sz w:val="32"/>
          <w:szCs w:val="32"/>
          <w:rtl/>
        </w:rPr>
        <w:t>فقد</w:t>
      </w:r>
      <w:r w:rsidRPr="00F27422">
        <w:rPr>
          <w:rFonts w:cs="Arial"/>
          <w:sz w:val="32"/>
          <w:szCs w:val="32"/>
          <w:rtl/>
        </w:rPr>
        <w:t xml:space="preserve"> </w:t>
      </w:r>
      <w:r w:rsidRPr="00F27422">
        <w:rPr>
          <w:rFonts w:cs="Arial" w:hint="cs"/>
          <w:sz w:val="32"/>
          <w:szCs w:val="32"/>
          <w:rtl/>
        </w:rPr>
        <w:t>الأب</w:t>
      </w:r>
      <w:r w:rsidRPr="00F27422">
        <w:rPr>
          <w:rFonts w:cs="Arial"/>
          <w:sz w:val="32"/>
          <w:szCs w:val="32"/>
          <w:rtl/>
        </w:rPr>
        <w:t xml:space="preserve"> </w:t>
      </w:r>
      <w:r w:rsidRPr="00F27422">
        <w:rPr>
          <w:rFonts w:cs="Arial" w:hint="cs"/>
          <w:sz w:val="32"/>
          <w:szCs w:val="32"/>
          <w:rtl/>
        </w:rPr>
        <w:t>غير</w:t>
      </w:r>
      <w:r w:rsidRPr="00F27422">
        <w:rPr>
          <w:rFonts w:cs="Arial"/>
          <w:sz w:val="32"/>
          <w:szCs w:val="32"/>
          <w:rtl/>
        </w:rPr>
        <w:t xml:space="preserve"> </w:t>
      </w:r>
      <w:r w:rsidRPr="00F27422">
        <w:rPr>
          <w:rFonts w:cs="Arial" w:hint="cs"/>
          <w:sz w:val="32"/>
          <w:szCs w:val="32"/>
          <w:rtl/>
        </w:rPr>
        <w:t>عرفي،</w:t>
      </w:r>
      <w:r w:rsidRPr="00F27422">
        <w:rPr>
          <w:rFonts w:cs="Arial"/>
          <w:sz w:val="32"/>
          <w:szCs w:val="32"/>
          <w:rtl/>
        </w:rPr>
        <w:t xml:space="preserve"> </w:t>
      </w:r>
      <w:r w:rsidRPr="00F27422">
        <w:rPr>
          <w:rFonts w:cs="Arial" w:hint="cs"/>
          <w:sz w:val="32"/>
          <w:szCs w:val="32"/>
          <w:rtl/>
        </w:rPr>
        <w:t>وليس</w:t>
      </w:r>
      <w:r w:rsidRPr="00F27422">
        <w:rPr>
          <w:rFonts w:cs="Arial"/>
          <w:sz w:val="32"/>
          <w:szCs w:val="32"/>
          <w:rtl/>
        </w:rPr>
        <w:t xml:space="preserve"> </w:t>
      </w:r>
      <w:r w:rsidRPr="00F27422">
        <w:rPr>
          <w:rFonts w:cs="Arial" w:hint="cs"/>
          <w:sz w:val="32"/>
          <w:szCs w:val="32"/>
          <w:rtl/>
        </w:rPr>
        <w:t>لازماً</w:t>
      </w:r>
      <w:r w:rsidRPr="00F27422">
        <w:rPr>
          <w:rFonts w:cs="Arial"/>
          <w:sz w:val="32"/>
          <w:szCs w:val="32"/>
          <w:rtl/>
        </w:rPr>
        <w:t xml:space="preserve"> </w:t>
      </w:r>
      <w:r w:rsidRPr="00F27422">
        <w:rPr>
          <w:rFonts w:cs="Arial" w:hint="cs"/>
          <w:sz w:val="32"/>
          <w:szCs w:val="32"/>
          <w:rtl/>
        </w:rPr>
        <w:t>من</w:t>
      </w:r>
      <w:r w:rsidRPr="00F27422">
        <w:rPr>
          <w:rFonts w:cs="Arial"/>
          <w:sz w:val="32"/>
          <w:szCs w:val="32"/>
          <w:rtl/>
        </w:rPr>
        <w:t xml:space="preserve"> </w:t>
      </w:r>
      <w:r w:rsidRPr="00F27422">
        <w:rPr>
          <w:rFonts w:cs="Arial" w:hint="cs"/>
          <w:sz w:val="32"/>
          <w:szCs w:val="32"/>
          <w:rtl/>
        </w:rPr>
        <w:t>موارد</w:t>
      </w:r>
      <w:r w:rsidRPr="00F27422">
        <w:rPr>
          <w:rFonts w:cs="Arial"/>
          <w:sz w:val="32"/>
          <w:szCs w:val="32"/>
          <w:rtl/>
        </w:rPr>
        <w:t xml:space="preserve"> </w:t>
      </w:r>
      <w:r w:rsidRPr="00F27422">
        <w:rPr>
          <w:rFonts w:cs="Arial" w:hint="cs"/>
          <w:sz w:val="32"/>
          <w:szCs w:val="32"/>
          <w:rtl/>
        </w:rPr>
        <w:t>ملك</w:t>
      </w:r>
      <w:r w:rsidRPr="00F27422">
        <w:rPr>
          <w:rFonts w:cs="Arial"/>
          <w:sz w:val="32"/>
          <w:szCs w:val="32"/>
          <w:rtl/>
        </w:rPr>
        <w:t xml:space="preserve"> </w:t>
      </w:r>
      <w:r w:rsidRPr="00F27422">
        <w:rPr>
          <w:rFonts w:cs="Arial" w:hint="cs"/>
          <w:sz w:val="32"/>
          <w:szCs w:val="32"/>
          <w:rtl/>
        </w:rPr>
        <w:t>الأمر</w:t>
      </w:r>
      <w:r w:rsidRPr="00F27422">
        <w:rPr>
          <w:rFonts w:cs="Arial"/>
          <w:sz w:val="32"/>
          <w:szCs w:val="32"/>
          <w:rtl/>
        </w:rPr>
        <w:t xml:space="preserve"> </w:t>
      </w:r>
      <w:r w:rsidRPr="00F27422">
        <w:rPr>
          <w:rFonts w:cs="Arial" w:hint="cs"/>
          <w:sz w:val="32"/>
          <w:szCs w:val="32"/>
          <w:rtl/>
        </w:rPr>
        <w:t>المذكورة</w:t>
      </w:r>
      <w:r w:rsidRPr="00F27422">
        <w:rPr>
          <w:rFonts w:cs="Arial"/>
          <w:sz w:val="32"/>
          <w:szCs w:val="32"/>
          <w:rtl/>
        </w:rPr>
        <w:t xml:space="preserve"> </w:t>
      </w:r>
      <w:r w:rsidRPr="00F27422">
        <w:rPr>
          <w:rFonts w:cs="Arial" w:hint="cs"/>
          <w:sz w:val="32"/>
          <w:szCs w:val="32"/>
          <w:rtl/>
        </w:rPr>
        <w:t>في</w:t>
      </w:r>
      <w:r w:rsidRPr="00F27422">
        <w:rPr>
          <w:rFonts w:cs="Arial"/>
          <w:sz w:val="32"/>
          <w:szCs w:val="32"/>
          <w:rtl/>
        </w:rPr>
        <w:t xml:space="preserve"> </w:t>
      </w:r>
      <w:r w:rsidRPr="00F27422">
        <w:rPr>
          <w:rFonts w:cs="Arial" w:hint="cs"/>
          <w:sz w:val="32"/>
          <w:szCs w:val="32"/>
          <w:rtl/>
        </w:rPr>
        <w:t>معتبرة</w:t>
      </w:r>
      <w:r w:rsidRPr="00F27422">
        <w:rPr>
          <w:rFonts w:cs="Arial"/>
          <w:sz w:val="32"/>
          <w:szCs w:val="32"/>
          <w:rtl/>
        </w:rPr>
        <w:t xml:space="preserve"> </w:t>
      </w:r>
      <w:r w:rsidRPr="00F27422">
        <w:rPr>
          <w:rFonts w:cs="Arial" w:hint="cs"/>
          <w:sz w:val="32"/>
          <w:szCs w:val="32"/>
          <w:rtl/>
        </w:rPr>
        <w:t>زرارة</w:t>
      </w:r>
      <w:r w:rsidRPr="00F27422">
        <w:rPr>
          <w:rFonts w:cs="Arial"/>
          <w:sz w:val="32"/>
          <w:szCs w:val="32"/>
          <w:rtl/>
        </w:rPr>
        <w:t xml:space="preserve">. </w:t>
      </w:r>
      <w:r w:rsidRPr="00F27422">
        <w:rPr>
          <w:rFonts w:cs="Arial" w:hint="cs"/>
          <w:sz w:val="32"/>
          <w:szCs w:val="32"/>
          <w:rtl/>
        </w:rPr>
        <w:t>كما</w:t>
      </w:r>
      <w:r w:rsidRPr="00F27422">
        <w:rPr>
          <w:rFonts w:cs="Arial"/>
          <w:sz w:val="32"/>
          <w:szCs w:val="32"/>
          <w:rtl/>
        </w:rPr>
        <w:t xml:space="preserve"> </w:t>
      </w:r>
      <w:r w:rsidRPr="00F27422">
        <w:rPr>
          <w:rFonts w:cs="Arial" w:hint="cs"/>
          <w:sz w:val="32"/>
          <w:szCs w:val="32"/>
          <w:rtl/>
        </w:rPr>
        <w:t>أنّ</w:t>
      </w:r>
      <w:r w:rsidRPr="00F27422">
        <w:rPr>
          <w:rFonts w:cs="Arial"/>
          <w:sz w:val="32"/>
          <w:szCs w:val="32"/>
          <w:rtl/>
        </w:rPr>
        <w:t xml:space="preserve"> </w:t>
      </w:r>
      <w:r w:rsidRPr="00F27422">
        <w:rPr>
          <w:rFonts w:cs="Arial" w:hint="cs"/>
          <w:sz w:val="32"/>
          <w:szCs w:val="32"/>
          <w:rtl/>
        </w:rPr>
        <w:t>تخصيص</w:t>
      </w:r>
      <w:r w:rsidRPr="00F27422">
        <w:rPr>
          <w:rFonts w:cs="Arial"/>
          <w:sz w:val="32"/>
          <w:szCs w:val="32"/>
          <w:rtl/>
        </w:rPr>
        <w:t xml:space="preserve"> </w:t>
      </w:r>
      <w:r w:rsidRPr="00F27422">
        <w:rPr>
          <w:rFonts w:cs="Arial" w:hint="cs"/>
          <w:sz w:val="32"/>
          <w:szCs w:val="32"/>
          <w:rtl/>
        </w:rPr>
        <w:t>الوليّ</w:t>
      </w:r>
      <w:r w:rsidRPr="00F27422">
        <w:rPr>
          <w:rFonts w:cs="Arial"/>
          <w:sz w:val="32"/>
          <w:szCs w:val="32"/>
          <w:rtl/>
        </w:rPr>
        <w:t xml:space="preserve"> </w:t>
      </w:r>
      <w:r w:rsidRPr="00F27422">
        <w:rPr>
          <w:rFonts w:cs="Arial" w:hint="cs"/>
          <w:sz w:val="32"/>
          <w:szCs w:val="32"/>
          <w:rtl/>
        </w:rPr>
        <w:t>بغير</w:t>
      </w:r>
      <w:r w:rsidRPr="00F27422">
        <w:rPr>
          <w:rFonts w:cs="Arial"/>
          <w:sz w:val="32"/>
          <w:szCs w:val="32"/>
          <w:rtl/>
        </w:rPr>
        <w:t xml:space="preserve"> </w:t>
      </w:r>
      <w:r w:rsidRPr="00F27422">
        <w:rPr>
          <w:rFonts w:cs="Arial" w:hint="cs"/>
          <w:sz w:val="32"/>
          <w:szCs w:val="32"/>
          <w:rtl/>
        </w:rPr>
        <w:t>الأب</w:t>
      </w:r>
      <w:r w:rsidRPr="00F27422">
        <w:rPr>
          <w:rFonts w:cs="Arial"/>
          <w:sz w:val="32"/>
          <w:szCs w:val="32"/>
          <w:rtl/>
        </w:rPr>
        <w:t xml:space="preserve"> </w:t>
      </w:r>
      <w:r w:rsidRPr="00F27422">
        <w:rPr>
          <w:rFonts w:cs="Arial" w:hint="cs"/>
          <w:sz w:val="32"/>
          <w:szCs w:val="32"/>
          <w:rtl/>
        </w:rPr>
        <w:t>لا</w:t>
      </w:r>
      <w:r w:rsidRPr="00F27422">
        <w:rPr>
          <w:rFonts w:cs="Arial"/>
          <w:sz w:val="32"/>
          <w:szCs w:val="32"/>
          <w:rtl/>
        </w:rPr>
        <w:t xml:space="preserve"> </w:t>
      </w:r>
      <w:r w:rsidRPr="00F27422">
        <w:rPr>
          <w:rFonts w:cs="Arial" w:hint="cs"/>
          <w:sz w:val="32"/>
          <w:szCs w:val="32"/>
          <w:rtl/>
        </w:rPr>
        <w:t>ينسجم</w:t>
      </w:r>
      <w:r w:rsidRPr="00F27422">
        <w:rPr>
          <w:rFonts w:cs="Arial"/>
          <w:sz w:val="32"/>
          <w:szCs w:val="32"/>
          <w:rtl/>
        </w:rPr>
        <w:t xml:space="preserve"> </w:t>
      </w:r>
      <w:r w:rsidRPr="00F27422">
        <w:rPr>
          <w:rFonts w:cs="Arial" w:hint="cs"/>
          <w:sz w:val="32"/>
          <w:szCs w:val="32"/>
          <w:rtl/>
        </w:rPr>
        <w:t>مع</w:t>
      </w:r>
      <w:r w:rsidRPr="00F27422">
        <w:rPr>
          <w:rFonts w:cs="Arial"/>
          <w:sz w:val="32"/>
          <w:szCs w:val="32"/>
          <w:rtl/>
        </w:rPr>
        <w:t xml:space="preserve"> </w:t>
      </w:r>
      <w:r w:rsidRPr="00F27422">
        <w:rPr>
          <w:rFonts w:cs="Arial" w:hint="cs"/>
          <w:sz w:val="32"/>
          <w:szCs w:val="32"/>
          <w:rtl/>
        </w:rPr>
        <w:t>رواية</w:t>
      </w:r>
      <w:r w:rsidRPr="00F27422">
        <w:rPr>
          <w:rFonts w:cs="Arial"/>
          <w:sz w:val="32"/>
          <w:szCs w:val="32"/>
          <w:rtl/>
        </w:rPr>
        <w:t xml:space="preserve"> </w:t>
      </w:r>
      <w:proofErr w:type="gramStart"/>
      <w:r w:rsidRPr="00F27422">
        <w:rPr>
          <w:rFonts w:cs="Arial" w:hint="cs"/>
          <w:sz w:val="32"/>
          <w:szCs w:val="32"/>
          <w:rtl/>
        </w:rPr>
        <w:t>عبدالرحمن</w:t>
      </w:r>
      <w:proofErr w:type="gramEnd"/>
      <w:r w:rsidRPr="00F27422">
        <w:rPr>
          <w:rFonts w:cs="Arial"/>
          <w:sz w:val="32"/>
          <w:szCs w:val="32"/>
          <w:rtl/>
        </w:rPr>
        <w:t xml:space="preserve"> </w:t>
      </w:r>
      <w:r w:rsidRPr="00F27422">
        <w:rPr>
          <w:rFonts w:cs="Arial" w:hint="cs"/>
          <w:sz w:val="32"/>
          <w:szCs w:val="32"/>
          <w:rtl/>
        </w:rPr>
        <w:t>بن</w:t>
      </w:r>
      <w:r w:rsidRPr="00F27422">
        <w:rPr>
          <w:rFonts w:cs="Arial"/>
          <w:sz w:val="32"/>
          <w:szCs w:val="32"/>
          <w:rtl/>
        </w:rPr>
        <w:t xml:space="preserve"> </w:t>
      </w:r>
      <w:r w:rsidRPr="00F27422">
        <w:rPr>
          <w:rFonts w:cs="Arial" w:hint="cs"/>
          <w:sz w:val="32"/>
          <w:szCs w:val="32"/>
          <w:rtl/>
        </w:rPr>
        <w:t>أبي</w:t>
      </w:r>
      <w:r w:rsidRPr="00F27422">
        <w:rPr>
          <w:rFonts w:cs="Arial"/>
          <w:sz w:val="32"/>
          <w:szCs w:val="32"/>
          <w:rtl/>
        </w:rPr>
        <w:t xml:space="preserve"> </w:t>
      </w:r>
      <w:proofErr w:type="gramStart"/>
      <w:r w:rsidRPr="00F27422">
        <w:rPr>
          <w:rFonts w:cs="Arial" w:hint="cs"/>
          <w:sz w:val="32"/>
          <w:szCs w:val="32"/>
          <w:rtl/>
        </w:rPr>
        <w:t>عبدالله</w:t>
      </w:r>
      <w:proofErr w:type="gramEnd"/>
      <w:r w:rsidRPr="00F27422">
        <w:rPr>
          <w:rFonts w:cs="Arial"/>
          <w:sz w:val="32"/>
          <w:szCs w:val="32"/>
          <w:rtl/>
        </w:rPr>
        <w:t xml:space="preserve"> </w:t>
      </w:r>
      <w:r w:rsidRPr="00F27422">
        <w:rPr>
          <w:rFonts w:cs="Arial" w:hint="cs"/>
          <w:sz w:val="32"/>
          <w:szCs w:val="32"/>
          <w:rtl/>
        </w:rPr>
        <w:t>المصرّحة</w:t>
      </w:r>
      <w:r w:rsidRPr="00F27422">
        <w:rPr>
          <w:rFonts w:cs="Arial"/>
          <w:sz w:val="32"/>
          <w:szCs w:val="32"/>
          <w:rtl/>
        </w:rPr>
        <w:t xml:space="preserve"> </w:t>
      </w:r>
      <w:r w:rsidRPr="00F27422">
        <w:rPr>
          <w:rFonts w:cs="Arial" w:hint="cs"/>
          <w:sz w:val="32"/>
          <w:szCs w:val="32"/>
          <w:rtl/>
        </w:rPr>
        <w:t>بعدم</w:t>
      </w:r>
      <w:r w:rsidRPr="00F27422">
        <w:rPr>
          <w:rFonts w:cs="Arial"/>
          <w:sz w:val="32"/>
          <w:szCs w:val="32"/>
          <w:rtl/>
        </w:rPr>
        <w:t xml:space="preserve"> </w:t>
      </w:r>
      <w:r w:rsidRPr="00F27422">
        <w:rPr>
          <w:rFonts w:cs="Arial" w:hint="cs"/>
          <w:sz w:val="32"/>
          <w:szCs w:val="32"/>
          <w:rtl/>
        </w:rPr>
        <w:t>ولاية</w:t>
      </w:r>
      <w:r w:rsidRPr="00F27422">
        <w:rPr>
          <w:rFonts w:cs="Arial"/>
          <w:sz w:val="32"/>
          <w:szCs w:val="32"/>
          <w:rtl/>
        </w:rPr>
        <w:t xml:space="preserve"> </w:t>
      </w:r>
      <w:r w:rsidRPr="00F27422">
        <w:rPr>
          <w:rFonts w:cs="Arial" w:hint="cs"/>
          <w:sz w:val="32"/>
          <w:szCs w:val="32"/>
          <w:rtl/>
        </w:rPr>
        <w:t>أحد</w:t>
      </w:r>
      <w:r w:rsidRPr="00F27422">
        <w:rPr>
          <w:rFonts w:cs="Arial"/>
          <w:sz w:val="32"/>
          <w:szCs w:val="32"/>
          <w:rtl/>
        </w:rPr>
        <w:t xml:space="preserve"> </w:t>
      </w:r>
      <w:r w:rsidRPr="00F27422">
        <w:rPr>
          <w:rFonts w:cs="Arial" w:hint="cs"/>
          <w:sz w:val="32"/>
          <w:szCs w:val="32"/>
          <w:rtl/>
        </w:rPr>
        <w:t>عليها،</w:t>
      </w:r>
      <w:r w:rsidRPr="00F27422">
        <w:rPr>
          <w:rFonts w:cs="Arial"/>
          <w:sz w:val="32"/>
          <w:szCs w:val="32"/>
          <w:rtl/>
        </w:rPr>
        <w:t xml:space="preserve"> </w:t>
      </w:r>
      <w:r w:rsidRPr="00F27422">
        <w:rPr>
          <w:rFonts w:cs="Arial" w:hint="cs"/>
          <w:sz w:val="32"/>
          <w:szCs w:val="32"/>
          <w:rtl/>
        </w:rPr>
        <w:t>والتعبيرات</w:t>
      </w:r>
      <w:r w:rsidRPr="00F27422">
        <w:rPr>
          <w:rFonts w:cs="Arial"/>
          <w:sz w:val="32"/>
          <w:szCs w:val="32"/>
          <w:rtl/>
        </w:rPr>
        <w:t xml:space="preserve"> </w:t>
      </w:r>
      <w:r w:rsidRPr="00F27422">
        <w:rPr>
          <w:rFonts w:cs="Arial" w:hint="cs"/>
          <w:sz w:val="32"/>
          <w:szCs w:val="32"/>
          <w:rtl/>
        </w:rPr>
        <w:t>الواردة</w:t>
      </w:r>
      <w:r w:rsidRPr="00F27422">
        <w:rPr>
          <w:rFonts w:cs="Arial"/>
          <w:sz w:val="32"/>
          <w:szCs w:val="32"/>
          <w:rtl/>
        </w:rPr>
        <w:t xml:space="preserve"> </w:t>
      </w:r>
      <w:r w:rsidRPr="00F27422">
        <w:rPr>
          <w:rFonts w:cs="Arial" w:hint="cs"/>
          <w:sz w:val="32"/>
          <w:szCs w:val="32"/>
          <w:rtl/>
        </w:rPr>
        <w:t>في</w:t>
      </w:r>
      <w:r w:rsidRPr="00F27422">
        <w:rPr>
          <w:rFonts w:cs="Arial"/>
          <w:sz w:val="32"/>
          <w:szCs w:val="32"/>
          <w:rtl/>
        </w:rPr>
        <w:t xml:space="preserve"> </w:t>
      </w:r>
      <w:r w:rsidRPr="00F27422">
        <w:rPr>
          <w:rFonts w:cs="Arial" w:hint="cs"/>
          <w:sz w:val="32"/>
          <w:szCs w:val="32"/>
          <w:rtl/>
        </w:rPr>
        <w:t>الروايات</w:t>
      </w:r>
      <w:r w:rsidRPr="00F27422">
        <w:rPr>
          <w:rFonts w:cs="Arial"/>
          <w:sz w:val="32"/>
          <w:szCs w:val="32"/>
          <w:rtl/>
        </w:rPr>
        <w:t xml:space="preserve"> </w:t>
      </w:r>
      <w:r w:rsidRPr="00F27422">
        <w:rPr>
          <w:rFonts w:cs="Arial" w:hint="cs"/>
          <w:sz w:val="32"/>
          <w:szCs w:val="32"/>
          <w:rtl/>
        </w:rPr>
        <w:t>بعنوان</w:t>
      </w:r>
      <w:r w:rsidRPr="00F27422">
        <w:rPr>
          <w:rFonts w:cs="Arial"/>
          <w:sz w:val="32"/>
          <w:szCs w:val="32"/>
          <w:rtl/>
        </w:rPr>
        <w:t xml:space="preserve"> </w:t>
      </w:r>
      <w:r w:rsidRPr="00F27422">
        <w:rPr>
          <w:rFonts w:cs="Arial" w:hint="cs"/>
          <w:sz w:val="32"/>
          <w:szCs w:val="32"/>
          <w:rtl/>
        </w:rPr>
        <w:t>واحد</w:t>
      </w:r>
      <w:r w:rsidRPr="00F27422">
        <w:rPr>
          <w:rFonts w:cs="Arial"/>
          <w:sz w:val="32"/>
          <w:szCs w:val="32"/>
          <w:rtl/>
        </w:rPr>
        <w:t xml:space="preserve"> </w:t>
      </w:r>
      <w:r w:rsidRPr="00F27422">
        <w:rPr>
          <w:rFonts w:cs="Arial" w:hint="cs"/>
          <w:sz w:val="32"/>
          <w:szCs w:val="32"/>
          <w:rtl/>
        </w:rPr>
        <w:t>يفرض</w:t>
      </w:r>
      <w:r w:rsidRPr="00F27422">
        <w:rPr>
          <w:rFonts w:cs="Arial"/>
          <w:sz w:val="32"/>
          <w:szCs w:val="32"/>
          <w:rtl/>
        </w:rPr>
        <w:t xml:space="preserve"> </w:t>
      </w:r>
      <w:r w:rsidRPr="00F27422">
        <w:rPr>
          <w:rFonts w:cs="Arial" w:hint="cs"/>
          <w:sz w:val="32"/>
          <w:szCs w:val="32"/>
          <w:rtl/>
        </w:rPr>
        <w:t>النظر</w:t>
      </w:r>
      <w:r w:rsidRPr="00F27422">
        <w:rPr>
          <w:rFonts w:cs="Arial"/>
          <w:sz w:val="32"/>
          <w:szCs w:val="32"/>
          <w:rtl/>
        </w:rPr>
        <w:t xml:space="preserve"> </w:t>
      </w:r>
      <w:r w:rsidRPr="00F27422">
        <w:rPr>
          <w:rFonts w:cs="Arial" w:hint="cs"/>
          <w:sz w:val="32"/>
          <w:szCs w:val="32"/>
          <w:rtl/>
        </w:rPr>
        <w:t>إليها</w:t>
      </w:r>
      <w:r w:rsidRPr="00F27422">
        <w:rPr>
          <w:rFonts w:cs="Arial"/>
          <w:sz w:val="32"/>
          <w:szCs w:val="32"/>
          <w:rtl/>
        </w:rPr>
        <w:t xml:space="preserve"> </w:t>
      </w:r>
      <w:r w:rsidRPr="00F27422">
        <w:rPr>
          <w:rFonts w:cs="Arial" w:hint="cs"/>
          <w:sz w:val="32"/>
          <w:szCs w:val="32"/>
          <w:rtl/>
        </w:rPr>
        <w:t>نظراً</w:t>
      </w:r>
      <w:r w:rsidRPr="00F27422">
        <w:rPr>
          <w:rFonts w:cs="Arial"/>
          <w:sz w:val="32"/>
          <w:szCs w:val="32"/>
          <w:rtl/>
        </w:rPr>
        <w:t xml:space="preserve"> </w:t>
      </w:r>
      <w:r w:rsidRPr="00F27422">
        <w:rPr>
          <w:rFonts w:cs="Arial" w:hint="cs"/>
          <w:sz w:val="32"/>
          <w:szCs w:val="32"/>
          <w:rtl/>
        </w:rPr>
        <w:t>مجموعياً</w:t>
      </w:r>
      <w:r w:rsidRPr="00F27422">
        <w:rPr>
          <w:rFonts w:cs="Arial"/>
          <w:sz w:val="32"/>
          <w:szCs w:val="32"/>
          <w:rtl/>
        </w:rPr>
        <w:t>.</w:t>
      </w:r>
    </w:p>
    <w:p w14:paraId="1F86FA9A" w14:textId="77777777" w:rsidR="0028545D" w:rsidRPr="00F27422" w:rsidRDefault="0028545D" w:rsidP="00122B70">
      <w:pPr>
        <w:bidi/>
        <w:rPr>
          <w:sz w:val="32"/>
          <w:szCs w:val="32"/>
        </w:rPr>
      </w:pPr>
    </w:p>
    <w:p w14:paraId="1848B29A" w14:textId="77777777" w:rsidR="0028545D" w:rsidRPr="00F27422" w:rsidRDefault="0028545D" w:rsidP="00122B70">
      <w:pPr>
        <w:bidi/>
        <w:rPr>
          <w:sz w:val="32"/>
          <w:szCs w:val="32"/>
        </w:rPr>
      </w:pPr>
      <w:r w:rsidRPr="00F27422">
        <w:rPr>
          <w:rFonts w:cs="Arial" w:hint="cs"/>
          <w:sz w:val="32"/>
          <w:szCs w:val="32"/>
          <w:rtl/>
        </w:rPr>
        <w:t>الوجهُ</w:t>
      </w:r>
      <w:r w:rsidRPr="00F27422">
        <w:rPr>
          <w:rFonts w:cs="Arial"/>
          <w:sz w:val="32"/>
          <w:szCs w:val="32"/>
          <w:rtl/>
        </w:rPr>
        <w:t xml:space="preserve"> </w:t>
      </w:r>
      <w:r w:rsidRPr="00F27422">
        <w:rPr>
          <w:rFonts w:cs="Arial" w:hint="cs"/>
          <w:sz w:val="32"/>
          <w:szCs w:val="32"/>
          <w:rtl/>
        </w:rPr>
        <w:t>الثالث</w:t>
      </w:r>
      <w:r w:rsidRPr="00F27422">
        <w:rPr>
          <w:rFonts w:cs="Arial"/>
          <w:sz w:val="32"/>
          <w:szCs w:val="32"/>
          <w:rtl/>
        </w:rPr>
        <w:t xml:space="preserve">: </w:t>
      </w:r>
      <w:r w:rsidRPr="00F27422">
        <w:rPr>
          <w:rFonts w:cs="Arial" w:hint="cs"/>
          <w:sz w:val="32"/>
          <w:szCs w:val="32"/>
          <w:rtl/>
        </w:rPr>
        <w:t>ما</w:t>
      </w:r>
      <w:r w:rsidRPr="00F27422">
        <w:rPr>
          <w:rFonts w:cs="Arial"/>
          <w:sz w:val="32"/>
          <w:szCs w:val="32"/>
          <w:rtl/>
        </w:rPr>
        <w:t xml:space="preserve"> </w:t>
      </w:r>
      <w:r w:rsidRPr="00F27422">
        <w:rPr>
          <w:rFonts w:cs="Arial" w:hint="cs"/>
          <w:sz w:val="32"/>
          <w:szCs w:val="32"/>
          <w:rtl/>
        </w:rPr>
        <w:t>ذكره</w:t>
      </w:r>
      <w:r w:rsidRPr="00F27422">
        <w:rPr>
          <w:rFonts w:cs="Arial"/>
          <w:sz w:val="32"/>
          <w:szCs w:val="32"/>
          <w:rtl/>
        </w:rPr>
        <w:t xml:space="preserve"> </w:t>
      </w:r>
      <w:r w:rsidRPr="00F27422">
        <w:rPr>
          <w:rFonts w:cs="Arial" w:hint="cs"/>
          <w:sz w:val="32"/>
          <w:szCs w:val="32"/>
          <w:rtl/>
        </w:rPr>
        <w:t>السيد</w:t>
      </w:r>
      <w:r w:rsidRPr="00F27422">
        <w:rPr>
          <w:rFonts w:cs="Arial"/>
          <w:sz w:val="32"/>
          <w:szCs w:val="32"/>
          <w:rtl/>
        </w:rPr>
        <w:t xml:space="preserve"> </w:t>
      </w:r>
      <w:r w:rsidRPr="00F27422">
        <w:rPr>
          <w:rFonts w:cs="Arial" w:hint="cs"/>
          <w:sz w:val="32"/>
          <w:szCs w:val="32"/>
          <w:rtl/>
        </w:rPr>
        <w:t>الخوئي</w:t>
      </w:r>
      <w:r w:rsidRPr="00F27422">
        <w:rPr>
          <w:rFonts w:cs="Arial"/>
          <w:sz w:val="32"/>
          <w:szCs w:val="32"/>
          <w:rtl/>
        </w:rPr>
        <w:t xml:space="preserve"> </w:t>
      </w:r>
      <w:r w:rsidRPr="00F27422">
        <w:rPr>
          <w:rFonts w:cs="Arial" w:hint="cs"/>
          <w:sz w:val="32"/>
          <w:szCs w:val="32"/>
          <w:rtl/>
        </w:rPr>
        <w:t>من</w:t>
      </w:r>
      <w:r w:rsidRPr="00F27422">
        <w:rPr>
          <w:rFonts w:cs="Arial"/>
          <w:sz w:val="32"/>
          <w:szCs w:val="32"/>
          <w:rtl/>
        </w:rPr>
        <w:t xml:space="preserve"> </w:t>
      </w:r>
      <w:r w:rsidRPr="00F27422">
        <w:rPr>
          <w:rFonts w:cs="Arial" w:hint="cs"/>
          <w:sz w:val="32"/>
          <w:szCs w:val="32"/>
          <w:rtl/>
        </w:rPr>
        <w:t>أنّ</w:t>
      </w:r>
      <w:r w:rsidRPr="00F27422">
        <w:rPr>
          <w:rFonts w:cs="Arial"/>
          <w:sz w:val="32"/>
          <w:szCs w:val="32"/>
          <w:rtl/>
        </w:rPr>
        <w:t xml:space="preserve"> </w:t>
      </w:r>
      <w:r w:rsidRPr="00F27422">
        <w:rPr>
          <w:rFonts w:cs="Arial" w:hint="cs"/>
          <w:sz w:val="32"/>
          <w:szCs w:val="32"/>
          <w:rtl/>
        </w:rPr>
        <w:t>الصحيحة</w:t>
      </w:r>
      <w:r w:rsidRPr="00F27422">
        <w:rPr>
          <w:rFonts w:cs="Arial"/>
          <w:sz w:val="32"/>
          <w:szCs w:val="32"/>
          <w:rtl/>
        </w:rPr>
        <w:t xml:space="preserve"> </w:t>
      </w:r>
      <w:r w:rsidRPr="00F27422">
        <w:rPr>
          <w:rFonts w:cs="Arial" w:hint="cs"/>
          <w:sz w:val="32"/>
          <w:szCs w:val="32"/>
          <w:rtl/>
        </w:rPr>
        <w:t>الواردة</w:t>
      </w:r>
      <w:r w:rsidRPr="00F27422">
        <w:rPr>
          <w:rFonts w:cs="Arial"/>
          <w:sz w:val="32"/>
          <w:szCs w:val="32"/>
          <w:rtl/>
        </w:rPr>
        <w:t xml:space="preserve"> </w:t>
      </w:r>
      <w:r w:rsidRPr="00F27422">
        <w:rPr>
          <w:rFonts w:cs="Arial" w:hint="cs"/>
          <w:sz w:val="32"/>
          <w:szCs w:val="32"/>
          <w:rtl/>
        </w:rPr>
        <w:t>في</w:t>
      </w:r>
      <w:r w:rsidRPr="00F27422">
        <w:rPr>
          <w:rFonts w:cs="Arial"/>
          <w:sz w:val="32"/>
          <w:szCs w:val="32"/>
          <w:rtl/>
        </w:rPr>
        <w:t xml:space="preserve"> </w:t>
      </w:r>
      <w:r w:rsidRPr="00F27422">
        <w:rPr>
          <w:rFonts w:cs="Arial" w:hint="cs"/>
          <w:sz w:val="32"/>
          <w:szCs w:val="32"/>
          <w:rtl/>
        </w:rPr>
        <w:t>ملك</w:t>
      </w:r>
      <w:r w:rsidRPr="00F27422">
        <w:rPr>
          <w:rFonts w:cs="Arial"/>
          <w:sz w:val="32"/>
          <w:szCs w:val="32"/>
          <w:rtl/>
        </w:rPr>
        <w:t xml:space="preserve"> </w:t>
      </w:r>
      <w:r w:rsidRPr="00F27422">
        <w:rPr>
          <w:rFonts w:cs="Arial" w:hint="cs"/>
          <w:sz w:val="32"/>
          <w:szCs w:val="32"/>
          <w:rtl/>
        </w:rPr>
        <w:t>المرأة</w:t>
      </w:r>
      <w:r w:rsidRPr="00F27422">
        <w:rPr>
          <w:rFonts w:cs="Arial"/>
          <w:sz w:val="32"/>
          <w:szCs w:val="32"/>
          <w:rtl/>
        </w:rPr>
        <w:t xml:space="preserve"> </w:t>
      </w:r>
      <w:r w:rsidRPr="00F27422">
        <w:rPr>
          <w:rFonts w:cs="Arial" w:hint="cs"/>
          <w:sz w:val="32"/>
          <w:szCs w:val="32"/>
          <w:rtl/>
        </w:rPr>
        <w:t>أمرها</w:t>
      </w:r>
      <w:r w:rsidRPr="00F27422">
        <w:rPr>
          <w:rFonts w:cs="Arial"/>
          <w:sz w:val="32"/>
          <w:szCs w:val="32"/>
          <w:rtl/>
        </w:rPr>
        <w:t xml:space="preserve"> </w:t>
      </w:r>
      <w:r w:rsidRPr="00F27422">
        <w:rPr>
          <w:rFonts w:cs="Arial" w:hint="cs"/>
          <w:sz w:val="32"/>
          <w:szCs w:val="32"/>
          <w:rtl/>
        </w:rPr>
        <w:t>غير</w:t>
      </w:r>
      <w:r w:rsidRPr="00F27422">
        <w:rPr>
          <w:rFonts w:cs="Arial"/>
          <w:sz w:val="32"/>
          <w:szCs w:val="32"/>
          <w:rtl/>
        </w:rPr>
        <w:t xml:space="preserve"> </w:t>
      </w:r>
      <w:r w:rsidRPr="00F27422">
        <w:rPr>
          <w:rFonts w:cs="Arial" w:hint="cs"/>
          <w:sz w:val="32"/>
          <w:szCs w:val="32"/>
          <w:rtl/>
        </w:rPr>
        <w:t>صريحة</w:t>
      </w:r>
      <w:r w:rsidRPr="00F27422">
        <w:rPr>
          <w:rFonts w:cs="Arial"/>
          <w:sz w:val="32"/>
          <w:szCs w:val="32"/>
          <w:rtl/>
        </w:rPr>
        <w:t xml:space="preserve"> </w:t>
      </w:r>
      <w:r w:rsidRPr="00F27422">
        <w:rPr>
          <w:rFonts w:cs="Arial" w:hint="cs"/>
          <w:sz w:val="32"/>
          <w:szCs w:val="32"/>
          <w:rtl/>
        </w:rPr>
        <w:t>في</w:t>
      </w:r>
      <w:r w:rsidRPr="00F27422">
        <w:rPr>
          <w:rFonts w:cs="Arial"/>
          <w:sz w:val="32"/>
          <w:szCs w:val="32"/>
          <w:rtl/>
        </w:rPr>
        <w:t xml:space="preserve"> </w:t>
      </w:r>
      <w:r w:rsidRPr="00F27422">
        <w:rPr>
          <w:rFonts w:cs="Arial" w:hint="cs"/>
          <w:sz w:val="32"/>
          <w:szCs w:val="32"/>
          <w:rtl/>
        </w:rPr>
        <w:t>محلّ</w:t>
      </w:r>
      <w:r w:rsidRPr="00F27422">
        <w:rPr>
          <w:rFonts w:cs="Arial"/>
          <w:sz w:val="32"/>
          <w:szCs w:val="32"/>
          <w:rtl/>
        </w:rPr>
        <w:t xml:space="preserve"> </w:t>
      </w:r>
      <w:r w:rsidRPr="00F27422">
        <w:rPr>
          <w:rFonts w:cs="Arial" w:hint="cs"/>
          <w:sz w:val="32"/>
          <w:szCs w:val="32"/>
          <w:rtl/>
        </w:rPr>
        <w:t>النزاع،</w:t>
      </w:r>
      <w:r w:rsidRPr="00F27422">
        <w:rPr>
          <w:rFonts w:cs="Arial"/>
          <w:sz w:val="32"/>
          <w:szCs w:val="32"/>
          <w:rtl/>
        </w:rPr>
        <w:t xml:space="preserve"> </w:t>
      </w:r>
      <w:r w:rsidRPr="00F27422">
        <w:rPr>
          <w:rFonts w:cs="Arial" w:hint="cs"/>
          <w:sz w:val="32"/>
          <w:szCs w:val="32"/>
          <w:rtl/>
        </w:rPr>
        <w:t>لأنها</w:t>
      </w:r>
      <w:r w:rsidRPr="00F27422">
        <w:rPr>
          <w:rFonts w:cs="Arial"/>
          <w:sz w:val="32"/>
          <w:szCs w:val="32"/>
          <w:rtl/>
        </w:rPr>
        <w:t xml:space="preserve"> </w:t>
      </w:r>
      <w:r w:rsidRPr="00F27422">
        <w:rPr>
          <w:rFonts w:cs="Arial" w:hint="cs"/>
          <w:sz w:val="32"/>
          <w:szCs w:val="32"/>
          <w:rtl/>
        </w:rPr>
        <w:t>واردة</w:t>
      </w:r>
      <w:r w:rsidRPr="00F27422">
        <w:rPr>
          <w:rFonts w:cs="Arial"/>
          <w:sz w:val="32"/>
          <w:szCs w:val="32"/>
          <w:rtl/>
        </w:rPr>
        <w:t xml:space="preserve"> </w:t>
      </w:r>
      <w:r w:rsidRPr="00F27422">
        <w:rPr>
          <w:rFonts w:cs="Arial" w:hint="cs"/>
          <w:sz w:val="32"/>
          <w:szCs w:val="32"/>
          <w:rtl/>
        </w:rPr>
        <w:t>بعنوان</w:t>
      </w:r>
      <w:r w:rsidRPr="00F27422">
        <w:rPr>
          <w:rFonts w:cs="Arial"/>
          <w:sz w:val="32"/>
          <w:szCs w:val="32"/>
          <w:rtl/>
        </w:rPr>
        <w:t xml:space="preserve"> "</w:t>
      </w:r>
      <w:r w:rsidRPr="00F27422">
        <w:rPr>
          <w:rFonts w:cs="Arial" w:hint="cs"/>
          <w:sz w:val="32"/>
          <w:szCs w:val="32"/>
          <w:rtl/>
        </w:rPr>
        <w:t>المرأة</w:t>
      </w:r>
      <w:r w:rsidRPr="00F27422">
        <w:rPr>
          <w:rFonts w:cs="Arial"/>
          <w:sz w:val="32"/>
          <w:szCs w:val="32"/>
          <w:rtl/>
        </w:rPr>
        <w:t xml:space="preserve">" </w:t>
      </w:r>
      <w:r w:rsidRPr="00F27422">
        <w:rPr>
          <w:rFonts w:cs="Arial" w:hint="cs"/>
          <w:sz w:val="32"/>
          <w:szCs w:val="32"/>
          <w:rtl/>
        </w:rPr>
        <w:t>الشامل</w:t>
      </w:r>
      <w:r w:rsidRPr="00F27422">
        <w:rPr>
          <w:rFonts w:cs="Arial"/>
          <w:sz w:val="32"/>
          <w:szCs w:val="32"/>
          <w:rtl/>
        </w:rPr>
        <w:t xml:space="preserve"> </w:t>
      </w:r>
      <w:r w:rsidRPr="00F27422">
        <w:rPr>
          <w:rFonts w:cs="Arial" w:hint="cs"/>
          <w:sz w:val="32"/>
          <w:szCs w:val="32"/>
          <w:rtl/>
        </w:rPr>
        <w:t>للبكر</w:t>
      </w:r>
      <w:r w:rsidRPr="00F27422">
        <w:rPr>
          <w:rFonts w:cs="Arial"/>
          <w:sz w:val="32"/>
          <w:szCs w:val="32"/>
          <w:rtl/>
        </w:rPr>
        <w:t xml:space="preserve"> </w:t>
      </w:r>
      <w:r w:rsidRPr="00F27422">
        <w:rPr>
          <w:rFonts w:cs="Arial" w:hint="cs"/>
          <w:sz w:val="32"/>
          <w:szCs w:val="32"/>
          <w:rtl/>
        </w:rPr>
        <w:t>والثيب،</w:t>
      </w:r>
      <w:r w:rsidRPr="00F27422">
        <w:rPr>
          <w:rFonts w:cs="Arial"/>
          <w:sz w:val="32"/>
          <w:szCs w:val="32"/>
          <w:rtl/>
        </w:rPr>
        <w:t xml:space="preserve"> </w:t>
      </w:r>
      <w:r w:rsidRPr="00F27422">
        <w:rPr>
          <w:rFonts w:cs="Arial" w:hint="cs"/>
          <w:sz w:val="32"/>
          <w:szCs w:val="32"/>
          <w:rtl/>
        </w:rPr>
        <w:t>فيُحتمل</w:t>
      </w:r>
      <w:r w:rsidRPr="00F27422">
        <w:rPr>
          <w:rFonts w:cs="Arial"/>
          <w:sz w:val="32"/>
          <w:szCs w:val="32"/>
          <w:rtl/>
        </w:rPr>
        <w:t xml:space="preserve"> </w:t>
      </w:r>
      <w:r w:rsidRPr="00F27422">
        <w:rPr>
          <w:rFonts w:cs="Arial" w:hint="cs"/>
          <w:sz w:val="32"/>
          <w:szCs w:val="32"/>
          <w:rtl/>
        </w:rPr>
        <w:t>حمل</w:t>
      </w:r>
      <w:r w:rsidRPr="00F27422">
        <w:rPr>
          <w:rFonts w:cs="Arial"/>
          <w:sz w:val="32"/>
          <w:szCs w:val="32"/>
          <w:rtl/>
        </w:rPr>
        <w:t xml:space="preserve"> </w:t>
      </w:r>
      <w:r w:rsidRPr="00F27422">
        <w:rPr>
          <w:rFonts w:cs="Arial" w:hint="cs"/>
          <w:sz w:val="32"/>
          <w:szCs w:val="32"/>
          <w:rtl/>
        </w:rPr>
        <w:t>ملك</w:t>
      </w:r>
      <w:r w:rsidRPr="00F27422">
        <w:rPr>
          <w:rFonts w:cs="Arial"/>
          <w:sz w:val="32"/>
          <w:szCs w:val="32"/>
          <w:rtl/>
        </w:rPr>
        <w:t xml:space="preserve"> </w:t>
      </w:r>
      <w:r w:rsidRPr="00F27422">
        <w:rPr>
          <w:rFonts w:cs="Arial" w:hint="cs"/>
          <w:sz w:val="32"/>
          <w:szCs w:val="32"/>
          <w:rtl/>
        </w:rPr>
        <w:t>الأمر</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proofErr w:type="spellStart"/>
      <w:r w:rsidRPr="00F27422">
        <w:rPr>
          <w:rFonts w:cs="Arial" w:hint="cs"/>
          <w:sz w:val="32"/>
          <w:szCs w:val="32"/>
          <w:rtl/>
        </w:rPr>
        <w:t>الثيبوبة</w:t>
      </w:r>
      <w:proofErr w:type="spellEnd"/>
      <w:r w:rsidRPr="00F27422">
        <w:rPr>
          <w:rFonts w:cs="Arial"/>
          <w:sz w:val="32"/>
          <w:szCs w:val="32"/>
          <w:rtl/>
        </w:rPr>
        <w:t xml:space="preserve">. </w:t>
      </w:r>
      <w:r w:rsidRPr="00F27422">
        <w:rPr>
          <w:rFonts w:cs="Arial" w:hint="cs"/>
          <w:sz w:val="32"/>
          <w:szCs w:val="32"/>
          <w:rtl/>
        </w:rPr>
        <w:t>وقد</w:t>
      </w:r>
      <w:r w:rsidRPr="00F27422">
        <w:rPr>
          <w:rFonts w:cs="Arial"/>
          <w:sz w:val="32"/>
          <w:szCs w:val="32"/>
          <w:rtl/>
        </w:rPr>
        <w:t xml:space="preserve"> </w:t>
      </w:r>
      <w:r w:rsidRPr="00F27422">
        <w:rPr>
          <w:rFonts w:cs="Arial" w:hint="cs"/>
          <w:sz w:val="32"/>
          <w:szCs w:val="32"/>
          <w:rtl/>
        </w:rPr>
        <w:t>نوقش</w:t>
      </w:r>
      <w:r w:rsidRPr="00F27422">
        <w:rPr>
          <w:rFonts w:cs="Arial"/>
          <w:sz w:val="32"/>
          <w:szCs w:val="32"/>
          <w:rtl/>
        </w:rPr>
        <w:t xml:space="preserve"> </w:t>
      </w:r>
      <w:r w:rsidRPr="00F27422">
        <w:rPr>
          <w:rFonts w:cs="Arial" w:hint="cs"/>
          <w:sz w:val="32"/>
          <w:szCs w:val="32"/>
          <w:rtl/>
        </w:rPr>
        <w:t>بأنّ</w:t>
      </w:r>
      <w:r w:rsidRPr="00F27422">
        <w:rPr>
          <w:rFonts w:cs="Arial"/>
          <w:sz w:val="32"/>
          <w:szCs w:val="32"/>
          <w:rtl/>
        </w:rPr>
        <w:t xml:space="preserve"> </w:t>
      </w:r>
      <w:r w:rsidRPr="00F27422">
        <w:rPr>
          <w:rFonts w:cs="Arial" w:hint="cs"/>
          <w:sz w:val="32"/>
          <w:szCs w:val="32"/>
          <w:rtl/>
        </w:rPr>
        <w:t>ظاهر</w:t>
      </w:r>
      <w:r w:rsidRPr="00F27422">
        <w:rPr>
          <w:rFonts w:cs="Arial"/>
          <w:sz w:val="32"/>
          <w:szCs w:val="32"/>
          <w:rtl/>
        </w:rPr>
        <w:t xml:space="preserve"> </w:t>
      </w:r>
      <w:r w:rsidRPr="00F27422">
        <w:rPr>
          <w:rFonts w:cs="Arial" w:hint="cs"/>
          <w:sz w:val="32"/>
          <w:szCs w:val="32"/>
          <w:rtl/>
        </w:rPr>
        <w:t>الروايات</w:t>
      </w:r>
      <w:r w:rsidRPr="00F27422">
        <w:rPr>
          <w:rFonts w:cs="Arial"/>
          <w:sz w:val="32"/>
          <w:szCs w:val="32"/>
          <w:rtl/>
        </w:rPr>
        <w:t xml:space="preserve"> </w:t>
      </w:r>
      <w:r w:rsidRPr="00F27422">
        <w:rPr>
          <w:rFonts w:cs="Arial" w:hint="cs"/>
          <w:sz w:val="32"/>
          <w:szCs w:val="32"/>
          <w:rtl/>
        </w:rPr>
        <w:t>أنّ</w:t>
      </w:r>
      <w:r w:rsidRPr="00F27422">
        <w:rPr>
          <w:rFonts w:cs="Arial"/>
          <w:sz w:val="32"/>
          <w:szCs w:val="32"/>
          <w:rtl/>
        </w:rPr>
        <w:t xml:space="preserve"> </w:t>
      </w:r>
      <w:r w:rsidRPr="00F27422">
        <w:rPr>
          <w:rFonts w:cs="Arial" w:hint="cs"/>
          <w:sz w:val="32"/>
          <w:szCs w:val="32"/>
          <w:rtl/>
        </w:rPr>
        <w:t>المدار</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r w:rsidRPr="00F27422">
        <w:rPr>
          <w:rFonts w:cs="Arial" w:hint="cs"/>
          <w:sz w:val="32"/>
          <w:szCs w:val="32"/>
          <w:rtl/>
        </w:rPr>
        <w:t>ملك</w:t>
      </w:r>
      <w:r w:rsidRPr="00F27422">
        <w:rPr>
          <w:rFonts w:cs="Arial"/>
          <w:sz w:val="32"/>
          <w:szCs w:val="32"/>
          <w:rtl/>
        </w:rPr>
        <w:t xml:space="preserve"> </w:t>
      </w:r>
      <w:r w:rsidRPr="00F27422">
        <w:rPr>
          <w:rFonts w:cs="Arial" w:hint="cs"/>
          <w:sz w:val="32"/>
          <w:szCs w:val="32"/>
          <w:rtl/>
        </w:rPr>
        <w:t>الأمر،</w:t>
      </w:r>
      <w:r w:rsidRPr="00F27422">
        <w:rPr>
          <w:rFonts w:cs="Arial"/>
          <w:sz w:val="32"/>
          <w:szCs w:val="32"/>
          <w:rtl/>
        </w:rPr>
        <w:t xml:space="preserve"> </w:t>
      </w:r>
      <w:r w:rsidRPr="00F27422">
        <w:rPr>
          <w:rFonts w:cs="Arial" w:hint="cs"/>
          <w:sz w:val="32"/>
          <w:szCs w:val="32"/>
          <w:rtl/>
        </w:rPr>
        <w:t>وأنّ</w:t>
      </w:r>
      <w:r w:rsidRPr="00F27422">
        <w:rPr>
          <w:rFonts w:cs="Arial"/>
          <w:sz w:val="32"/>
          <w:szCs w:val="32"/>
          <w:rtl/>
        </w:rPr>
        <w:t xml:space="preserve"> </w:t>
      </w:r>
      <w:r w:rsidRPr="00F27422">
        <w:rPr>
          <w:rFonts w:cs="Arial" w:hint="cs"/>
          <w:sz w:val="32"/>
          <w:szCs w:val="32"/>
          <w:rtl/>
        </w:rPr>
        <w:t>تقييده</w:t>
      </w:r>
      <w:r w:rsidRPr="00F27422">
        <w:rPr>
          <w:rFonts w:cs="Arial"/>
          <w:sz w:val="32"/>
          <w:szCs w:val="32"/>
          <w:rtl/>
        </w:rPr>
        <w:t xml:space="preserve"> </w:t>
      </w:r>
      <w:proofErr w:type="spellStart"/>
      <w:r w:rsidRPr="00F27422">
        <w:rPr>
          <w:rFonts w:cs="Arial" w:hint="cs"/>
          <w:sz w:val="32"/>
          <w:szCs w:val="32"/>
          <w:rtl/>
        </w:rPr>
        <w:t>بالثيبوبة</w:t>
      </w:r>
      <w:proofErr w:type="spellEnd"/>
      <w:r w:rsidRPr="00F27422">
        <w:rPr>
          <w:rFonts w:cs="Arial"/>
          <w:sz w:val="32"/>
          <w:szCs w:val="32"/>
          <w:rtl/>
        </w:rPr>
        <w:t xml:space="preserve"> </w:t>
      </w:r>
      <w:r w:rsidRPr="00F27422">
        <w:rPr>
          <w:rFonts w:cs="Arial" w:hint="cs"/>
          <w:sz w:val="32"/>
          <w:szCs w:val="32"/>
          <w:rtl/>
        </w:rPr>
        <w:t>خلاف</w:t>
      </w:r>
      <w:r w:rsidRPr="00F27422">
        <w:rPr>
          <w:rFonts w:cs="Arial"/>
          <w:sz w:val="32"/>
          <w:szCs w:val="32"/>
          <w:rtl/>
        </w:rPr>
        <w:t xml:space="preserve"> </w:t>
      </w:r>
      <w:r w:rsidRPr="00F27422">
        <w:rPr>
          <w:rFonts w:cs="Arial" w:hint="cs"/>
          <w:sz w:val="32"/>
          <w:szCs w:val="32"/>
          <w:rtl/>
        </w:rPr>
        <w:t>هذا</w:t>
      </w:r>
      <w:r w:rsidRPr="00F27422">
        <w:rPr>
          <w:rFonts w:cs="Arial"/>
          <w:sz w:val="32"/>
          <w:szCs w:val="32"/>
          <w:rtl/>
        </w:rPr>
        <w:t xml:space="preserve"> </w:t>
      </w:r>
      <w:r w:rsidRPr="00F27422">
        <w:rPr>
          <w:rFonts w:cs="Arial" w:hint="cs"/>
          <w:sz w:val="32"/>
          <w:szCs w:val="32"/>
          <w:rtl/>
        </w:rPr>
        <w:t>الظاهر،</w:t>
      </w:r>
      <w:r w:rsidRPr="00F27422">
        <w:rPr>
          <w:rFonts w:cs="Arial"/>
          <w:sz w:val="32"/>
          <w:szCs w:val="32"/>
          <w:rtl/>
        </w:rPr>
        <w:t xml:space="preserve"> </w:t>
      </w:r>
      <w:r w:rsidRPr="00F27422">
        <w:rPr>
          <w:rFonts w:cs="Arial" w:hint="cs"/>
          <w:sz w:val="32"/>
          <w:szCs w:val="32"/>
          <w:rtl/>
        </w:rPr>
        <w:t>بل</w:t>
      </w:r>
      <w:r w:rsidRPr="00F27422">
        <w:rPr>
          <w:rFonts w:cs="Arial"/>
          <w:sz w:val="32"/>
          <w:szCs w:val="32"/>
          <w:rtl/>
        </w:rPr>
        <w:t xml:space="preserve"> </w:t>
      </w:r>
      <w:r w:rsidRPr="00F27422">
        <w:rPr>
          <w:rFonts w:cs="Arial" w:hint="cs"/>
          <w:sz w:val="32"/>
          <w:szCs w:val="32"/>
          <w:rtl/>
        </w:rPr>
        <w:t>معارضٌ</w:t>
      </w:r>
      <w:r w:rsidRPr="00F27422">
        <w:rPr>
          <w:rFonts w:cs="Arial"/>
          <w:sz w:val="32"/>
          <w:szCs w:val="32"/>
          <w:rtl/>
        </w:rPr>
        <w:t xml:space="preserve"> </w:t>
      </w:r>
      <w:r w:rsidRPr="00F27422">
        <w:rPr>
          <w:rFonts w:cs="Arial" w:hint="cs"/>
          <w:sz w:val="32"/>
          <w:szCs w:val="32"/>
          <w:rtl/>
        </w:rPr>
        <w:t>لمعتبرة</w:t>
      </w:r>
      <w:r w:rsidRPr="00F27422">
        <w:rPr>
          <w:rFonts w:cs="Arial"/>
          <w:sz w:val="32"/>
          <w:szCs w:val="32"/>
          <w:rtl/>
        </w:rPr>
        <w:t xml:space="preserve"> </w:t>
      </w:r>
      <w:r w:rsidRPr="00F27422">
        <w:rPr>
          <w:rFonts w:cs="Arial" w:hint="cs"/>
          <w:sz w:val="32"/>
          <w:szCs w:val="32"/>
          <w:rtl/>
        </w:rPr>
        <w:t>أبي</w:t>
      </w:r>
      <w:r w:rsidRPr="00F27422">
        <w:rPr>
          <w:rFonts w:cs="Arial"/>
          <w:sz w:val="32"/>
          <w:szCs w:val="32"/>
          <w:rtl/>
        </w:rPr>
        <w:t xml:space="preserve"> </w:t>
      </w:r>
      <w:r w:rsidRPr="00F27422">
        <w:rPr>
          <w:rFonts w:cs="Arial" w:hint="cs"/>
          <w:sz w:val="32"/>
          <w:szCs w:val="32"/>
          <w:rtl/>
        </w:rPr>
        <w:t>مريم،</w:t>
      </w:r>
      <w:r w:rsidRPr="00F27422">
        <w:rPr>
          <w:rFonts w:cs="Arial"/>
          <w:sz w:val="32"/>
          <w:szCs w:val="32"/>
          <w:rtl/>
        </w:rPr>
        <w:t xml:space="preserve"> </w:t>
      </w:r>
      <w:r w:rsidRPr="00F27422">
        <w:rPr>
          <w:rFonts w:cs="Arial" w:hint="cs"/>
          <w:sz w:val="32"/>
          <w:szCs w:val="32"/>
          <w:rtl/>
        </w:rPr>
        <w:t>التي</w:t>
      </w:r>
      <w:r w:rsidRPr="00F27422">
        <w:rPr>
          <w:rFonts w:cs="Arial"/>
          <w:sz w:val="32"/>
          <w:szCs w:val="32"/>
          <w:rtl/>
        </w:rPr>
        <w:t xml:space="preserve"> </w:t>
      </w:r>
      <w:r w:rsidRPr="00F27422">
        <w:rPr>
          <w:rFonts w:cs="Arial" w:hint="cs"/>
          <w:sz w:val="32"/>
          <w:szCs w:val="32"/>
          <w:rtl/>
        </w:rPr>
        <w:t>موضوعها</w:t>
      </w:r>
      <w:r w:rsidRPr="00F27422">
        <w:rPr>
          <w:rFonts w:cs="Arial"/>
          <w:sz w:val="32"/>
          <w:szCs w:val="32"/>
          <w:rtl/>
        </w:rPr>
        <w:t xml:space="preserve"> "</w:t>
      </w:r>
      <w:r w:rsidRPr="00F27422">
        <w:rPr>
          <w:rFonts w:cs="Arial" w:hint="cs"/>
          <w:sz w:val="32"/>
          <w:szCs w:val="32"/>
          <w:rtl/>
        </w:rPr>
        <w:t>الجارية</w:t>
      </w:r>
      <w:r w:rsidRPr="00F27422">
        <w:rPr>
          <w:rFonts w:cs="Arial"/>
          <w:sz w:val="32"/>
          <w:szCs w:val="32"/>
          <w:rtl/>
        </w:rPr>
        <w:t xml:space="preserve"> </w:t>
      </w:r>
      <w:r w:rsidRPr="00F27422">
        <w:rPr>
          <w:rFonts w:cs="Arial" w:hint="cs"/>
          <w:sz w:val="32"/>
          <w:szCs w:val="32"/>
          <w:rtl/>
        </w:rPr>
        <w:t>البكر</w:t>
      </w:r>
      <w:r w:rsidRPr="00F27422">
        <w:rPr>
          <w:rFonts w:cs="Arial"/>
          <w:sz w:val="32"/>
          <w:szCs w:val="32"/>
          <w:rtl/>
        </w:rPr>
        <w:t xml:space="preserve">". </w:t>
      </w:r>
      <w:r w:rsidRPr="00F27422">
        <w:rPr>
          <w:rFonts w:cs="Arial" w:hint="cs"/>
          <w:sz w:val="32"/>
          <w:szCs w:val="32"/>
          <w:rtl/>
        </w:rPr>
        <w:t>كما</w:t>
      </w:r>
      <w:r w:rsidRPr="00F27422">
        <w:rPr>
          <w:rFonts w:cs="Arial"/>
          <w:sz w:val="32"/>
          <w:szCs w:val="32"/>
          <w:rtl/>
        </w:rPr>
        <w:t xml:space="preserve"> </w:t>
      </w:r>
      <w:r w:rsidRPr="00F27422">
        <w:rPr>
          <w:rFonts w:cs="Arial" w:hint="cs"/>
          <w:sz w:val="32"/>
          <w:szCs w:val="32"/>
          <w:rtl/>
        </w:rPr>
        <w:t>أنّ</w:t>
      </w:r>
      <w:r w:rsidRPr="00F27422">
        <w:rPr>
          <w:rFonts w:cs="Arial"/>
          <w:sz w:val="32"/>
          <w:szCs w:val="32"/>
          <w:rtl/>
        </w:rPr>
        <w:t xml:space="preserve"> </w:t>
      </w:r>
      <w:r w:rsidRPr="00F27422">
        <w:rPr>
          <w:rFonts w:cs="Arial" w:hint="cs"/>
          <w:sz w:val="32"/>
          <w:szCs w:val="32"/>
          <w:rtl/>
        </w:rPr>
        <w:t>حمل</w:t>
      </w:r>
      <w:r w:rsidRPr="00F27422">
        <w:rPr>
          <w:rFonts w:cs="Arial"/>
          <w:sz w:val="32"/>
          <w:szCs w:val="32"/>
          <w:rtl/>
        </w:rPr>
        <w:t xml:space="preserve"> </w:t>
      </w:r>
      <w:r w:rsidRPr="00F27422">
        <w:rPr>
          <w:rFonts w:cs="Arial" w:hint="cs"/>
          <w:sz w:val="32"/>
          <w:szCs w:val="32"/>
          <w:rtl/>
        </w:rPr>
        <w:t>الذيل</w:t>
      </w:r>
      <w:r w:rsidRPr="00F27422">
        <w:rPr>
          <w:rFonts w:cs="Arial"/>
          <w:sz w:val="32"/>
          <w:szCs w:val="32"/>
          <w:rtl/>
        </w:rPr>
        <w:t xml:space="preserve"> </w:t>
      </w:r>
      <w:r w:rsidRPr="00F27422">
        <w:rPr>
          <w:rFonts w:cs="Arial" w:hint="cs"/>
          <w:sz w:val="32"/>
          <w:szCs w:val="32"/>
          <w:rtl/>
        </w:rPr>
        <w:t>فيها</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r w:rsidRPr="00F27422">
        <w:rPr>
          <w:rFonts w:cs="Arial" w:hint="cs"/>
          <w:sz w:val="32"/>
          <w:szCs w:val="32"/>
          <w:rtl/>
        </w:rPr>
        <w:t>موت</w:t>
      </w:r>
      <w:r w:rsidRPr="00F27422">
        <w:rPr>
          <w:rFonts w:cs="Arial"/>
          <w:sz w:val="32"/>
          <w:szCs w:val="32"/>
          <w:rtl/>
        </w:rPr>
        <w:t xml:space="preserve"> </w:t>
      </w:r>
      <w:r w:rsidRPr="00F27422">
        <w:rPr>
          <w:rFonts w:cs="Arial" w:hint="cs"/>
          <w:sz w:val="32"/>
          <w:szCs w:val="32"/>
          <w:rtl/>
        </w:rPr>
        <w:t>الأب</w:t>
      </w:r>
      <w:r w:rsidRPr="00F27422">
        <w:rPr>
          <w:rFonts w:cs="Arial"/>
          <w:sz w:val="32"/>
          <w:szCs w:val="32"/>
          <w:rtl/>
        </w:rPr>
        <w:t xml:space="preserve"> </w:t>
      </w:r>
      <w:r w:rsidRPr="00F27422">
        <w:rPr>
          <w:rFonts w:cs="Arial" w:hint="cs"/>
          <w:sz w:val="32"/>
          <w:szCs w:val="32"/>
          <w:rtl/>
        </w:rPr>
        <w:t>أو</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r w:rsidRPr="00F27422">
        <w:rPr>
          <w:rFonts w:cs="Arial" w:hint="cs"/>
          <w:sz w:val="32"/>
          <w:szCs w:val="32"/>
          <w:rtl/>
        </w:rPr>
        <w:t>صيرورتها</w:t>
      </w:r>
      <w:r w:rsidRPr="00F27422">
        <w:rPr>
          <w:rFonts w:cs="Arial"/>
          <w:sz w:val="32"/>
          <w:szCs w:val="32"/>
          <w:rtl/>
        </w:rPr>
        <w:t xml:space="preserve"> </w:t>
      </w:r>
      <w:r w:rsidRPr="00F27422">
        <w:rPr>
          <w:rFonts w:cs="Arial" w:hint="cs"/>
          <w:sz w:val="32"/>
          <w:szCs w:val="32"/>
          <w:rtl/>
        </w:rPr>
        <w:t>ثيباً</w:t>
      </w:r>
      <w:r w:rsidRPr="00F27422">
        <w:rPr>
          <w:rFonts w:cs="Arial"/>
          <w:sz w:val="32"/>
          <w:szCs w:val="32"/>
          <w:rtl/>
        </w:rPr>
        <w:t xml:space="preserve"> </w:t>
      </w:r>
      <w:r w:rsidRPr="00F27422">
        <w:rPr>
          <w:rFonts w:cs="Arial" w:hint="cs"/>
          <w:sz w:val="32"/>
          <w:szCs w:val="32"/>
          <w:rtl/>
        </w:rPr>
        <w:t>تكلّف</w:t>
      </w:r>
      <w:r w:rsidRPr="00F27422">
        <w:rPr>
          <w:rFonts w:cs="Arial"/>
          <w:sz w:val="32"/>
          <w:szCs w:val="32"/>
          <w:rtl/>
        </w:rPr>
        <w:t xml:space="preserve"> </w:t>
      </w:r>
      <w:r w:rsidRPr="00F27422">
        <w:rPr>
          <w:rFonts w:cs="Arial" w:hint="cs"/>
          <w:sz w:val="32"/>
          <w:szCs w:val="32"/>
          <w:rtl/>
        </w:rPr>
        <w:t>لا</w:t>
      </w:r>
      <w:r w:rsidRPr="00F27422">
        <w:rPr>
          <w:rFonts w:cs="Arial"/>
          <w:sz w:val="32"/>
          <w:szCs w:val="32"/>
          <w:rtl/>
        </w:rPr>
        <w:t xml:space="preserve"> </w:t>
      </w:r>
      <w:r w:rsidRPr="00F27422">
        <w:rPr>
          <w:rFonts w:cs="Arial" w:hint="cs"/>
          <w:sz w:val="32"/>
          <w:szCs w:val="32"/>
          <w:rtl/>
        </w:rPr>
        <w:t>منشأ</w:t>
      </w:r>
      <w:r w:rsidRPr="00F27422">
        <w:rPr>
          <w:rFonts w:cs="Arial"/>
          <w:sz w:val="32"/>
          <w:szCs w:val="32"/>
          <w:rtl/>
        </w:rPr>
        <w:t xml:space="preserve"> </w:t>
      </w:r>
      <w:r w:rsidRPr="00F27422">
        <w:rPr>
          <w:rFonts w:cs="Arial" w:hint="cs"/>
          <w:sz w:val="32"/>
          <w:szCs w:val="32"/>
          <w:rtl/>
        </w:rPr>
        <w:t>له</w:t>
      </w:r>
      <w:r w:rsidRPr="00F27422">
        <w:rPr>
          <w:rFonts w:cs="Arial"/>
          <w:sz w:val="32"/>
          <w:szCs w:val="32"/>
          <w:rtl/>
        </w:rPr>
        <w:t>.</w:t>
      </w:r>
    </w:p>
    <w:p w14:paraId="37F86A74" w14:textId="77777777" w:rsidR="0028545D" w:rsidRPr="00F27422" w:rsidRDefault="0028545D" w:rsidP="00122B70">
      <w:pPr>
        <w:bidi/>
        <w:rPr>
          <w:sz w:val="32"/>
          <w:szCs w:val="32"/>
        </w:rPr>
      </w:pPr>
    </w:p>
    <w:p w14:paraId="5018B9EF" w14:textId="77777777" w:rsidR="0028545D" w:rsidRPr="00F27422" w:rsidRDefault="0028545D" w:rsidP="00122B70">
      <w:pPr>
        <w:bidi/>
        <w:rPr>
          <w:sz w:val="32"/>
          <w:szCs w:val="32"/>
        </w:rPr>
      </w:pPr>
      <w:r w:rsidRPr="00F27422">
        <w:rPr>
          <w:rFonts w:cs="Arial" w:hint="cs"/>
          <w:sz w:val="32"/>
          <w:szCs w:val="32"/>
          <w:rtl/>
        </w:rPr>
        <w:t>الوجهُ</w:t>
      </w:r>
      <w:r w:rsidRPr="00F27422">
        <w:rPr>
          <w:rFonts w:cs="Arial"/>
          <w:sz w:val="32"/>
          <w:szCs w:val="32"/>
          <w:rtl/>
        </w:rPr>
        <w:t xml:space="preserve"> </w:t>
      </w:r>
      <w:r w:rsidRPr="00F27422">
        <w:rPr>
          <w:rFonts w:cs="Arial" w:hint="cs"/>
          <w:sz w:val="32"/>
          <w:szCs w:val="32"/>
          <w:rtl/>
        </w:rPr>
        <w:t>الرابع</w:t>
      </w:r>
      <w:r w:rsidRPr="00F27422">
        <w:rPr>
          <w:rFonts w:cs="Arial"/>
          <w:sz w:val="32"/>
          <w:szCs w:val="32"/>
          <w:rtl/>
        </w:rPr>
        <w:t xml:space="preserve">: </w:t>
      </w:r>
      <w:r w:rsidRPr="00F27422">
        <w:rPr>
          <w:rFonts w:cs="Arial" w:hint="cs"/>
          <w:sz w:val="32"/>
          <w:szCs w:val="32"/>
          <w:rtl/>
        </w:rPr>
        <w:t>ما</w:t>
      </w:r>
      <w:r w:rsidRPr="00F27422">
        <w:rPr>
          <w:rFonts w:cs="Arial"/>
          <w:sz w:val="32"/>
          <w:szCs w:val="32"/>
          <w:rtl/>
        </w:rPr>
        <w:t xml:space="preserve"> </w:t>
      </w:r>
      <w:r w:rsidRPr="00F27422">
        <w:rPr>
          <w:rFonts w:cs="Arial" w:hint="cs"/>
          <w:sz w:val="32"/>
          <w:szCs w:val="32"/>
          <w:rtl/>
        </w:rPr>
        <w:t>نقله</w:t>
      </w:r>
      <w:r w:rsidRPr="00F27422">
        <w:rPr>
          <w:rFonts w:cs="Arial"/>
          <w:sz w:val="32"/>
          <w:szCs w:val="32"/>
          <w:rtl/>
        </w:rPr>
        <w:t xml:space="preserve"> </w:t>
      </w:r>
      <w:r w:rsidRPr="00F27422">
        <w:rPr>
          <w:rFonts w:cs="Arial" w:hint="cs"/>
          <w:sz w:val="32"/>
          <w:szCs w:val="32"/>
          <w:rtl/>
        </w:rPr>
        <w:t>السيد</w:t>
      </w:r>
      <w:r w:rsidRPr="00F27422">
        <w:rPr>
          <w:rFonts w:cs="Arial"/>
          <w:sz w:val="32"/>
          <w:szCs w:val="32"/>
          <w:rtl/>
        </w:rPr>
        <w:t xml:space="preserve"> </w:t>
      </w:r>
      <w:r w:rsidRPr="00F27422">
        <w:rPr>
          <w:rFonts w:cs="Arial" w:hint="cs"/>
          <w:sz w:val="32"/>
          <w:szCs w:val="32"/>
          <w:rtl/>
        </w:rPr>
        <w:t>الحكيم</w:t>
      </w:r>
      <w:r w:rsidRPr="00F27422">
        <w:rPr>
          <w:rFonts w:cs="Arial"/>
          <w:sz w:val="32"/>
          <w:szCs w:val="32"/>
          <w:rtl/>
        </w:rPr>
        <w:t xml:space="preserve"> </w:t>
      </w:r>
      <w:r w:rsidRPr="00F27422">
        <w:rPr>
          <w:rFonts w:cs="Arial" w:hint="cs"/>
          <w:sz w:val="32"/>
          <w:szCs w:val="32"/>
          <w:rtl/>
        </w:rPr>
        <w:t>عن</w:t>
      </w:r>
      <w:r w:rsidRPr="00F27422">
        <w:rPr>
          <w:rFonts w:cs="Arial"/>
          <w:sz w:val="32"/>
          <w:szCs w:val="32"/>
          <w:rtl/>
        </w:rPr>
        <w:t xml:space="preserve"> </w:t>
      </w:r>
      <w:r w:rsidRPr="00F27422">
        <w:rPr>
          <w:rFonts w:cs="Arial" w:hint="cs"/>
          <w:sz w:val="32"/>
          <w:szCs w:val="32"/>
          <w:rtl/>
        </w:rPr>
        <w:t>الشيخ</w:t>
      </w:r>
      <w:r w:rsidRPr="00F27422">
        <w:rPr>
          <w:rFonts w:cs="Arial"/>
          <w:sz w:val="32"/>
          <w:szCs w:val="32"/>
          <w:rtl/>
        </w:rPr>
        <w:t xml:space="preserve"> </w:t>
      </w:r>
      <w:r w:rsidRPr="00F27422">
        <w:rPr>
          <w:rFonts w:cs="Arial" w:hint="cs"/>
          <w:sz w:val="32"/>
          <w:szCs w:val="32"/>
          <w:rtl/>
        </w:rPr>
        <w:t>الأعظم</w:t>
      </w:r>
      <w:r w:rsidRPr="00F27422">
        <w:rPr>
          <w:rFonts w:cs="Arial"/>
          <w:sz w:val="32"/>
          <w:szCs w:val="32"/>
          <w:rtl/>
        </w:rPr>
        <w:t xml:space="preserve"> </w:t>
      </w:r>
      <w:r w:rsidRPr="00F27422">
        <w:rPr>
          <w:rFonts w:cs="Arial" w:hint="cs"/>
          <w:sz w:val="32"/>
          <w:szCs w:val="32"/>
          <w:rtl/>
        </w:rPr>
        <w:t>من</w:t>
      </w:r>
      <w:r w:rsidRPr="00F27422">
        <w:rPr>
          <w:rFonts w:cs="Arial"/>
          <w:sz w:val="32"/>
          <w:szCs w:val="32"/>
          <w:rtl/>
        </w:rPr>
        <w:t xml:space="preserve"> </w:t>
      </w:r>
      <w:r w:rsidRPr="00F27422">
        <w:rPr>
          <w:rFonts w:cs="Arial" w:hint="cs"/>
          <w:sz w:val="32"/>
          <w:szCs w:val="32"/>
          <w:rtl/>
        </w:rPr>
        <w:t>حمل</w:t>
      </w:r>
      <w:r w:rsidRPr="00F27422">
        <w:rPr>
          <w:rFonts w:cs="Arial"/>
          <w:sz w:val="32"/>
          <w:szCs w:val="32"/>
          <w:rtl/>
        </w:rPr>
        <w:t xml:space="preserve"> </w:t>
      </w:r>
      <w:r w:rsidRPr="00F27422">
        <w:rPr>
          <w:rFonts w:cs="Arial" w:hint="cs"/>
          <w:sz w:val="32"/>
          <w:szCs w:val="32"/>
          <w:rtl/>
        </w:rPr>
        <w:t>الطائفة</w:t>
      </w:r>
      <w:r w:rsidRPr="00F27422">
        <w:rPr>
          <w:rFonts w:cs="Arial"/>
          <w:sz w:val="32"/>
          <w:szCs w:val="32"/>
          <w:rtl/>
        </w:rPr>
        <w:t xml:space="preserve"> </w:t>
      </w:r>
      <w:r w:rsidRPr="00F27422">
        <w:rPr>
          <w:rFonts w:cs="Arial" w:hint="cs"/>
          <w:sz w:val="32"/>
          <w:szCs w:val="32"/>
          <w:rtl/>
        </w:rPr>
        <w:t>الأولى</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r w:rsidRPr="00F27422">
        <w:rPr>
          <w:rFonts w:cs="Arial" w:hint="cs"/>
          <w:sz w:val="32"/>
          <w:szCs w:val="32"/>
          <w:rtl/>
        </w:rPr>
        <w:t>الاستحباب،</w:t>
      </w:r>
      <w:r w:rsidRPr="00F27422">
        <w:rPr>
          <w:rFonts w:cs="Arial"/>
          <w:sz w:val="32"/>
          <w:szCs w:val="32"/>
          <w:rtl/>
        </w:rPr>
        <w:t xml:space="preserve"> </w:t>
      </w:r>
      <w:r w:rsidRPr="00F27422">
        <w:rPr>
          <w:rFonts w:cs="Arial" w:hint="cs"/>
          <w:sz w:val="32"/>
          <w:szCs w:val="32"/>
          <w:rtl/>
        </w:rPr>
        <w:t>بمعنى</w:t>
      </w:r>
      <w:r w:rsidRPr="00F27422">
        <w:rPr>
          <w:rFonts w:cs="Arial"/>
          <w:sz w:val="32"/>
          <w:szCs w:val="32"/>
          <w:rtl/>
        </w:rPr>
        <w:t xml:space="preserve"> </w:t>
      </w:r>
      <w:r w:rsidRPr="00F27422">
        <w:rPr>
          <w:rFonts w:cs="Arial" w:hint="cs"/>
          <w:sz w:val="32"/>
          <w:szCs w:val="32"/>
          <w:rtl/>
        </w:rPr>
        <w:t>استحباب</w:t>
      </w:r>
      <w:r w:rsidRPr="00F27422">
        <w:rPr>
          <w:rFonts w:cs="Arial"/>
          <w:sz w:val="32"/>
          <w:szCs w:val="32"/>
          <w:rtl/>
        </w:rPr>
        <w:t xml:space="preserve"> </w:t>
      </w:r>
      <w:r w:rsidRPr="00F27422">
        <w:rPr>
          <w:rFonts w:cs="Arial" w:hint="cs"/>
          <w:sz w:val="32"/>
          <w:szCs w:val="32"/>
          <w:rtl/>
        </w:rPr>
        <w:t>إيكال</w:t>
      </w:r>
      <w:r w:rsidRPr="00F27422">
        <w:rPr>
          <w:rFonts w:cs="Arial"/>
          <w:sz w:val="32"/>
          <w:szCs w:val="32"/>
          <w:rtl/>
        </w:rPr>
        <w:t xml:space="preserve"> </w:t>
      </w:r>
      <w:r w:rsidRPr="00F27422">
        <w:rPr>
          <w:rFonts w:cs="Arial" w:hint="cs"/>
          <w:sz w:val="32"/>
          <w:szCs w:val="32"/>
          <w:rtl/>
        </w:rPr>
        <w:t>البكر</w:t>
      </w:r>
      <w:r w:rsidRPr="00F27422">
        <w:rPr>
          <w:rFonts w:cs="Arial"/>
          <w:sz w:val="32"/>
          <w:szCs w:val="32"/>
          <w:rtl/>
        </w:rPr>
        <w:t xml:space="preserve"> </w:t>
      </w:r>
      <w:r w:rsidRPr="00F27422">
        <w:rPr>
          <w:rFonts w:cs="Arial" w:hint="cs"/>
          <w:sz w:val="32"/>
          <w:szCs w:val="32"/>
          <w:rtl/>
        </w:rPr>
        <w:t>أمرها</w:t>
      </w:r>
      <w:r w:rsidRPr="00F27422">
        <w:rPr>
          <w:rFonts w:cs="Arial"/>
          <w:sz w:val="32"/>
          <w:szCs w:val="32"/>
          <w:rtl/>
        </w:rPr>
        <w:t xml:space="preserve"> </w:t>
      </w:r>
      <w:r w:rsidRPr="00F27422">
        <w:rPr>
          <w:rFonts w:cs="Arial" w:hint="cs"/>
          <w:sz w:val="32"/>
          <w:szCs w:val="32"/>
          <w:rtl/>
        </w:rPr>
        <w:t>إلى</w:t>
      </w:r>
      <w:r w:rsidRPr="00F27422">
        <w:rPr>
          <w:rFonts w:cs="Arial"/>
          <w:sz w:val="32"/>
          <w:szCs w:val="32"/>
          <w:rtl/>
        </w:rPr>
        <w:t xml:space="preserve"> </w:t>
      </w:r>
      <w:r w:rsidRPr="00F27422">
        <w:rPr>
          <w:rFonts w:cs="Arial" w:hint="cs"/>
          <w:sz w:val="32"/>
          <w:szCs w:val="32"/>
          <w:rtl/>
        </w:rPr>
        <w:t>الأب،</w:t>
      </w:r>
      <w:r w:rsidRPr="00F27422">
        <w:rPr>
          <w:rFonts w:cs="Arial"/>
          <w:sz w:val="32"/>
          <w:szCs w:val="32"/>
          <w:rtl/>
        </w:rPr>
        <w:t xml:space="preserve"> </w:t>
      </w:r>
      <w:r w:rsidRPr="00F27422">
        <w:rPr>
          <w:rFonts w:cs="Arial" w:hint="cs"/>
          <w:sz w:val="32"/>
          <w:szCs w:val="32"/>
          <w:rtl/>
        </w:rPr>
        <w:t>لأنّ</w:t>
      </w:r>
      <w:r w:rsidRPr="00F27422">
        <w:rPr>
          <w:rFonts w:cs="Arial"/>
          <w:sz w:val="32"/>
          <w:szCs w:val="32"/>
          <w:rtl/>
        </w:rPr>
        <w:t xml:space="preserve"> </w:t>
      </w:r>
      <w:r w:rsidRPr="00F27422">
        <w:rPr>
          <w:rFonts w:cs="Arial" w:hint="cs"/>
          <w:sz w:val="32"/>
          <w:szCs w:val="32"/>
          <w:rtl/>
        </w:rPr>
        <w:t>تقييد</w:t>
      </w:r>
      <w:r w:rsidRPr="00F27422">
        <w:rPr>
          <w:rFonts w:cs="Arial"/>
          <w:sz w:val="32"/>
          <w:szCs w:val="32"/>
          <w:rtl/>
        </w:rPr>
        <w:t xml:space="preserve"> </w:t>
      </w:r>
      <w:r w:rsidRPr="00F27422">
        <w:rPr>
          <w:rFonts w:cs="Arial" w:hint="cs"/>
          <w:sz w:val="32"/>
          <w:szCs w:val="32"/>
          <w:rtl/>
        </w:rPr>
        <w:t>المطلق</w:t>
      </w:r>
      <w:r w:rsidRPr="00F27422">
        <w:rPr>
          <w:rFonts w:cs="Arial"/>
          <w:sz w:val="32"/>
          <w:szCs w:val="32"/>
          <w:rtl/>
        </w:rPr>
        <w:t xml:space="preserve"> </w:t>
      </w:r>
      <w:r w:rsidRPr="00F27422">
        <w:rPr>
          <w:rFonts w:cs="Arial" w:hint="cs"/>
          <w:sz w:val="32"/>
          <w:szCs w:val="32"/>
          <w:rtl/>
        </w:rPr>
        <w:t>مستلزم</w:t>
      </w:r>
      <w:r w:rsidRPr="00F27422">
        <w:rPr>
          <w:rFonts w:cs="Arial"/>
          <w:sz w:val="32"/>
          <w:szCs w:val="32"/>
          <w:rtl/>
        </w:rPr>
        <w:t xml:space="preserve"> </w:t>
      </w:r>
      <w:r w:rsidRPr="00F27422">
        <w:rPr>
          <w:rFonts w:cs="Arial" w:hint="cs"/>
          <w:sz w:val="32"/>
          <w:szCs w:val="32"/>
          <w:rtl/>
        </w:rPr>
        <w:t>لطرح</w:t>
      </w:r>
      <w:r w:rsidRPr="00F27422">
        <w:rPr>
          <w:rFonts w:cs="Arial"/>
          <w:sz w:val="32"/>
          <w:szCs w:val="32"/>
          <w:rtl/>
        </w:rPr>
        <w:t xml:space="preserve"> </w:t>
      </w:r>
      <w:r w:rsidRPr="00F27422">
        <w:rPr>
          <w:rFonts w:cs="Arial" w:hint="cs"/>
          <w:sz w:val="32"/>
          <w:szCs w:val="32"/>
          <w:rtl/>
        </w:rPr>
        <w:t>أخبار</w:t>
      </w:r>
      <w:r w:rsidRPr="00F27422">
        <w:rPr>
          <w:rFonts w:cs="Arial"/>
          <w:sz w:val="32"/>
          <w:szCs w:val="32"/>
          <w:rtl/>
        </w:rPr>
        <w:t xml:space="preserve"> </w:t>
      </w:r>
      <w:r w:rsidRPr="00F27422">
        <w:rPr>
          <w:rFonts w:cs="Arial" w:hint="cs"/>
          <w:sz w:val="32"/>
          <w:szCs w:val="32"/>
          <w:rtl/>
        </w:rPr>
        <w:t>كثيرة</w:t>
      </w:r>
      <w:r w:rsidRPr="00F27422">
        <w:rPr>
          <w:rFonts w:cs="Arial"/>
          <w:sz w:val="32"/>
          <w:szCs w:val="32"/>
          <w:rtl/>
        </w:rPr>
        <w:t xml:space="preserve"> </w:t>
      </w:r>
      <w:r w:rsidRPr="00F27422">
        <w:rPr>
          <w:rFonts w:cs="Arial" w:hint="cs"/>
          <w:sz w:val="32"/>
          <w:szCs w:val="32"/>
          <w:rtl/>
        </w:rPr>
        <w:t>دلّت</w:t>
      </w:r>
      <w:r w:rsidRPr="00F27422">
        <w:rPr>
          <w:rFonts w:cs="Arial"/>
          <w:sz w:val="32"/>
          <w:szCs w:val="32"/>
          <w:rtl/>
        </w:rPr>
        <w:t xml:space="preserve"> </w:t>
      </w:r>
      <w:r w:rsidRPr="00F27422">
        <w:rPr>
          <w:rFonts w:cs="Arial" w:hint="cs"/>
          <w:sz w:val="32"/>
          <w:szCs w:val="32"/>
          <w:rtl/>
        </w:rPr>
        <w:t>على</w:t>
      </w:r>
      <w:r w:rsidRPr="00F27422">
        <w:rPr>
          <w:rFonts w:cs="Arial"/>
          <w:sz w:val="32"/>
          <w:szCs w:val="32"/>
          <w:rtl/>
        </w:rPr>
        <w:t xml:space="preserve"> </w:t>
      </w:r>
      <w:r w:rsidRPr="00F27422">
        <w:rPr>
          <w:rFonts w:cs="Arial" w:hint="cs"/>
          <w:sz w:val="32"/>
          <w:szCs w:val="32"/>
          <w:rtl/>
        </w:rPr>
        <w:t>نفوذ</w:t>
      </w:r>
      <w:r w:rsidRPr="00F27422">
        <w:rPr>
          <w:rFonts w:cs="Arial"/>
          <w:sz w:val="32"/>
          <w:szCs w:val="32"/>
          <w:rtl/>
        </w:rPr>
        <w:t xml:space="preserve"> </w:t>
      </w:r>
      <w:r w:rsidRPr="00F27422">
        <w:rPr>
          <w:rFonts w:cs="Arial" w:hint="cs"/>
          <w:sz w:val="32"/>
          <w:szCs w:val="32"/>
          <w:rtl/>
        </w:rPr>
        <w:t>تزويج</w:t>
      </w:r>
      <w:r w:rsidRPr="00F27422">
        <w:rPr>
          <w:rFonts w:cs="Arial"/>
          <w:sz w:val="32"/>
          <w:szCs w:val="32"/>
          <w:rtl/>
        </w:rPr>
        <w:t xml:space="preserve"> </w:t>
      </w:r>
      <w:r w:rsidRPr="00F27422">
        <w:rPr>
          <w:rFonts w:cs="Arial" w:hint="cs"/>
          <w:sz w:val="32"/>
          <w:szCs w:val="32"/>
          <w:rtl/>
        </w:rPr>
        <w:t>البكر</w:t>
      </w:r>
      <w:r w:rsidRPr="00F27422">
        <w:rPr>
          <w:rFonts w:cs="Arial"/>
          <w:sz w:val="32"/>
          <w:szCs w:val="32"/>
          <w:rtl/>
        </w:rPr>
        <w:t xml:space="preserve"> </w:t>
      </w:r>
      <w:r w:rsidRPr="00F27422">
        <w:rPr>
          <w:rFonts w:cs="Arial" w:hint="cs"/>
          <w:sz w:val="32"/>
          <w:szCs w:val="32"/>
          <w:rtl/>
        </w:rPr>
        <w:t>إذا</w:t>
      </w:r>
      <w:r w:rsidRPr="00F27422">
        <w:rPr>
          <w:rFonts w:cs="Arial"/>
          <w:sz w:val="32"/>
          <w:szCs w:val="32"/>
          <w:rtl/>
        </w:rPr>
        <w:t xml:space="preserve"> </w:t>
      </w:r>
      <w:r w:rsidRPr="00F27422">
        <w:rPr>
          <w:rFonts w:cs="Arial" w:hint="cs"/>
          <w:sz w:val="32"/>
          <w:szCs w:val="32"/>
          <w:rtl/>
        </w:rPr>
        <w:t>رضيت</w:t>
      </w:r>
      <w:r w:rsidRPr="00F27422">
        <w:rPr>
          <w:rFonts w:cs="Arial"/>
          <w:sz w:val="32"/>
          <w:szCs w:val="32"/>
          <w:rtl/>
        </w:rPr>
        <w:t xml:space="preserve"> </w:t>
      </w:r>
      <w:r w:rsidRPr="00F27422">
        <w:rPr>
          <w:rFonts w:cs="Arial" w:hint="cs"/>
          <w:sz w:val="32"/>
          <w:szCs w:val="32"/>
          <w:rtl/>
        </w:rPr>
        <w:t>ولو</w:t>
      </w:r>
      <w:r w:rsidRPr="00F27422">
        <w:rPr>
          <w:rFonts w:cs="Arial"/>
          <w:sz w:val="32"/>
          <w:szCs w:val="32"/>
          <w:rtl/>
        </w:rPr>
        <w:t xml:space="preserve"> </w:t>
      </w:r>
      <w:r w:rsidRPr="00F27422">
        <w:rPr>
          <w:rFonts w:cs="Arial" w:hint="cs"/>
          <w:sz w:val="32"/>
          <w:szCs w:val="32"/>
          <w:rtl/>
        </w:rPr>
        <w:t>من</w:t>
      </w:r>
      <w:r w:rsidRPr="00F27422">
        <w:rPr>
          <w:rFonts w:cs="Arial"/>
          <w:sz w:val="32"/>
          <w:szCs w:val="32"/>
          <w:rtl/>
        </w:rPr>
        <w:t xml:space="preserve"> </w:t>
      </w:r>
      <w:r w:rsidRPr="00F27422">
        <w:rPr>
          <w:rFonts w:cs="Arial" w:hint="cs"/>
          <w:sz w:val="32"/>
          <w:szCs w:val="32"/>
          <w:rtl/>
        </w:rPr>
        <w:t>غير</w:t>
      </w:r>
      <w:r w:rsidRPr="00F27422">
        <w:rPr>
          <w:rFonts w:cs="Arial"/>
          <w:sz w:val="32"/>
          <w:szCs w:val="32"/>
          <w:rtl/>
        </w:rPr>
        <w:t xml:space="preserve"> </w:t>
      </w:r>
      <w:r w:rsidRPr="00F27422">
        <w:rPr>
          <w:rFonts w:cs="Arial" w:hint="cs"/>
          <w:sz w:val="32"/>
          <w:szCs w:val="32"/>
          <w:rtl/>
        </w:rPr>
        <w:t>إذن</w:t>
      </w:r>
      <w:r w:rsidRPr="00F27422">
        <w:rPr>
          <w:rFonts w:cs="Arial"/>
          <w:sz w:val="32"/>
          <w:szCs w:val="32"/>
          <w:rtl/>
        </w:rPr>
        <w:t xml:space="preserve"> </w:t>
      </w:r>
      <w:r w:rsidRPr="00F27422">
        <w:rPr>
          <w:rFonts w:cs="Arial" w:hint="cs"/>
          <w:sz w:val="32"/>
          <w:szCs w:val="32"/>
          <w:rtl/>
        </w:rPr>
        <w:t>أبيها،</w:t>
      </w:r>
      <w:r w:rsidRPr="00F27422">
        <w:rPr>
          <w:rFonts w:cs="Arial"/>
          <w:sz w:val="32"/>
          <w:szCs w:val="32"/>
          <w:rtl/>
        </w:rPr>
        <w:t xml:space="preserve"> </w:t>
      </w:r>
      <w:r w:rsidRPr="00F27422">
        <w:rPr>
          <w:rFonts w:cs="Arial" w:hint="cs"/>
          <w:sz w:val="32"/>
          <w:szCs w:val="32"/>
          <w:rtl/>
        </w:rPr>
        <w:t>وإن</w:t>
      </w:r>
      <w:r w:rsidRPr="00F27422">
        <w:rPr>
          <w:rFonts w:cs="Arial"/>
          <w:sz w:val="32"/>
          <w:szCs w:val="32"/>
          <w:rtl/>
        </w:rPr>
        <w:t xml:space="preserve"> </w:t>
      </w:r>
      <w:r w:rsidRPr="00F27422">
        <w:rPr>
          <w:rFonts w:cs="Arial" w:hint="cs"/>
          <w:sz w:val="32"/>
          <w:szCs w:val="32"/>
          <w:rtl/>
        </w:rPr>
        <w:t>كانت</w:t>
      </w:r>
      <w:r w:rsidRPr="00F27422">
        <w:rPr>
          <w:rFonts w:cs="Arial"/>
          <w:sz w:val="32"/>
          <w:szCs w:val="32"/>
          <w:rtl/>
        </w:rPr>
        <w:t xml:space="preserve"> </w:t>
      </w:r>
      <w:r w:rsidRPr="00F27422">
        <w:rPr>
          <w:rFonts w:cs="Arial" w:hint="cs"/>
          <w:sz w:val="32"/>
          <w:szCs w:val="32"/>
          <w:rtl/>
        </w:rPr>
        <w:t>تلك</w:t>
      </w:r>
      <w:r w:rsidRPr="00F27422">
        <w:rPr>
          <w:rFonts w:cs="Arial"/>
          <w:sz w:val="32"/>
          <w:szCs w:val="32"/>
          <w:rtl/>
        </w:rPr>
        <w:t xml:space="preserve"> </w:t>
      </w:r>
      <w:r w:rsidRPr="00F27422">
        <w:rPr>
          <w:rFonts w:cs="Arial" w:hint="cs"/>
          <w:sz w:val="32"/>
          <w:szCs w:val="32"/>
          <w:rtl/>
        </w:rPr>
        <w:t>الأخبار</w:t>
      </w:r>
      <w:r w:rsidRPr="00F27422">
        <w:rPr>
          <w:rFonts w:cs="Arial"/>
          <w:sz w:val="32"/>
          <w:szCs w:val="32"/>
          <w:rtl/>
        </w:rPr>
        <w:t xml:space="preserve"> </w:t>
      </w:r>
      <w:r w:rsidRPr="00F27422">
        <w:rPr>
          <w:rFonts w:cs="Arial" w:hint="cs"/>
          <w:sz w:val="32"/>
          <w:szCs w:val="32"/>
          <w:rtl/>
        </w:rPr>
        <w:t>بعضها</w:t>
      </w:r>
      <w:r w:rsidRPr="00F27422">
        <w:rPr>
          <w:rFonts w:cs="Arial"/>
          <w:sz w:val="32"/>
          <w:szCs w:val="32"/>
          <w:rtl/>
        </w:rPr>
        <w:t xml:space="preserve"> </w:t>
      </w:r>
      <w:r w:rsidRPr="00F27422">
        <w:rPr>
          <w:rFonts w:cs="Arial" w:hint="cs"/>
          <w:sz w:val="32"/>
          <w:szCs w:val="32"/>
          <w:rtl/>
        </w:rPr>
        <w:t>غير</w:t>
      </w:r>
      <w:r w:rsidRPr="00F27422">
        <w:rPr>
          <w:rFonts w:cs="Arial"/>
          <w:sz w:val="32"/>
          <w:szCs w:val="32"/>
          <w:rtl/>
        </w:rPr>
        <w:t xml:space="preserve"> </w:t>
      </w:r>
      <w:r w:rsidRPr="00F27422">
        <w:rPr>
          <w:rFonts w:cs="Arial" w:hint="cs"/>
          <w:sz w:val="32"/>
          <w:szCs w:val="32"/>
          <w:rtl/>
        </w:rPr>
        <w:t>تامّ</w:t>
      </w:r>
      <w:r w:rsidRPr="00F27422">
        <w:rPr>
          <w:rFonts w:cs="Arial"/>
          <w:sz w:val="32"/>
          <w:szCs w:val="32"/>
          <w:rtl/>
        </w:rPr>
        <w:t xml:space="preserve"> </w:t>
      </w:r>
      <w:r w:rsidRPr="00F27422">
        <w:rPr>
          <w:rFonts w:cs="Arial" w:hint="cs"/>
          <w:sz w:val="32"/>
          <w:szCs w:val="32"/>
          <w:rtl/>
        </w:rPr>
        <w:t>سنداً،</w:t>
      </w:r>
      <w:r w:rsidRPr="00F27422">
        <w:rPr>
          <w:rFonts w:cs="Arial"/>
          <w:sz w:val="32"/>
          <w:szCs w:val="32"/>
          <w:rtl/>
        </w:rPr>
        <w:t xml:space="preserve"> </w:t>
      </w:r>
      <w:r w:rsidRPr="00F27422">
        <w:rPr>
          <w:rFonts w:cs="Arial" w:hint="cs"/>
          <w:sz w:val="32"/>
          <w:szCs w:val="32"/>
          <w:rtl/>
        </w:rPr>
        <w:t>مثل</w:t>
      </w:r>
      <w:r w:rsidRPr="00F27422">
        <w:rPr>
          <w:rFonts w:cs="Arial"/>
          <w:sz w:val="32"/>
          <w:szCs w:val="32"/>
          <w:rtl/>
        </w:rPr>
        <w:t xml:space="preserve"> </w:t>
      </w:r>
      <w:r w:rsidRPr="00F27422">
        <w:rPr>
          <w:rFonts w:cs="Arial" w:hint="cs"/>
          <w:sz w:val="32"/>
          <w:szCs w:val="32"/>
          <w:rtl/>
        </w:rPr>
        <w:t>مرسلة</w:t>
      </w:r>
      <w:r w:rsidRPr="00F27422">
        <w:rPr>
          <w:rFonts w:cs="Arial"/>
          <w:sz w:val="32"/>
          <w:szCs w:val="32"/>
          <w:rtl/>
        </w:rPr>
        <w:t xml:space="preserve"> </w:t>
      </w:r>
      <w:r w:rsidRPr="00F27422">
        <w:rPr>
          <w:rFonts w:cs="Arial" w:hint="cs"/>
          <w:sz w:val="32"/>
          <w:szCs w:val="32"/>
          <w:rtl/>
        </w:rPr>
        <w:t>سعدان</w:t>
      </w:r>
      <w:r w:rsidRPr="00F27422">
        <w:rPr>
          <w:rFonts w:cs="Arial"/>
          <w:sz w:val="32"/>
          <w:szCs w:val="32"/>
          <w:rtl/>
        </w:rPr>
        <w:t xml:space="preserve"> </w:t>
      </w:r>
      <w:r w:rsidRPr="00F27422">
        <w:rPr>
          <w:rFonts w:cs="Arial" w:hint="cs"/>
          <w:sz w:val="32"/>
          <w:szCs w:val="32"/>
          <w:rtl/>
        </w:rPr>
        <w:t>وخبر</w:t>
      </w:r>
      <w:r w:rsidRPr="00F27422">
        <w:rPr>
          <w:rFonts w:cs="Arial"/>
          <w:sz w:val="32"/>
          <w:szCs w:val="32"/>
          <w:rtl/>
        </w:rPr>
        <w:t xml:space="preserve"> </w:t>
      </w:r>
      <w:r w:rsidRPr="00F27422">
        <w:rPr>
          <w:rFonts w:cs="Arial" w:hint="cs"/>
          <w:sz w:val="32"/>
          <w:szCs w:val="32"/>
          <w:rtl/>
        </w:rPr>
        <w:t>ابن</w:t>
      </w:r>
      <w:r w:rsidRPr="00F27422">
        <w:rPr>
          <w:rFonts w:cs="Arial"/>
          <w:sz w:val="32"/>
          <w:szCs w:val="32"/>
          <w:rtl/>
        </w:rPr>
        <w:t xml:space="preserve"> </w:t>
      </w:r>
      <w:r w:rsidRPr="00F27422">
        <w:rPr>
          <w:rFonts w:cs="Arial" w:hint="cs"/>
          <w:sz w:val="32"/>
          <w:szCs w:val="32"/>
          <w:rtl/>
        </w:rPr>
        <w:t>عباس</w:t>
      </w:r>
      <w:r w:rsidRPr="00F27422">
        <w:rPr>
          <w:rFonts w:cs="Arial"/>
          <w:sz w:val="32"/>
          <w:szCs w:val="32"/>
          <w:rtl/>
        </w:rPr>
        <w:t xml:space="preserve"> </w:t>
      </w:r>
      <w:r w:rsidRPr="00F27422">
        <w:rPr>
          <w:rFonts w:cs="Arial" w:hint="cs"/>
          <w:sz w:val="32"/>
          <w:szCs w:val="32"/>
          <w:rtl/>
        </w:rPr>
        <w:t>وخبر</w:t>
      </w:r>
      <w:r w:rsidRPr="00F27422">
        <w:rPr>
          <w:rFonts w:cs="Arial"/>
          <w:sz w:val="32"/>
          <w:szCs w:val="32"/>
          <w:rtl/>
        </w:rPr>
        <w:t xml:space="preserve"> </w:t>
      </w:r>
      <w:r w:rsidRPr="00F27422">
        <w:rPr>
          <w:rFonts w:cs="Arial" w:hint="cs"/>
          <w:sz w:val="32"/>
          <w:szCs w:val="32"/>
          <w:rtl/>
        </w:rPr>
        <w:t>سنن</w:t>
      </w:r>
      <w:r w:rsidRPr="00F27422">
        <w:rPr>
          <w:rFonts w:cs="Arial"/>
          <w:sz w:val="32"/>
          <w:szCs w:val="32"/>
          <w:rtl/>
        </w:rPr>
        <w:t xml:space="preserve"> </w:t>
      </w:r>
      <w:r w:rsidRPr="00F27422">
        <w:rPr>
          <w:rFonts w:cs="Arial" w:hint="cs"/>
          <w:sz w:val="32"/>
          <w:szCs w:val="32"/>
          <w:rtl/>
        </w:rPr>
        <w:t>ابن</w:t>
      </w:r>
      <w:r w:rsidRPr="00F27422">
        <w:rPr>
          <w:rFonts w:cs="Arial"/>
          <w:sz w:val="32"/>
          <w:szCs w:val="32"/>
          <w:rtl/>
        </w:rPr>
        <w:t xml:space="preserve"> </w:t>
      </w:r>
      <w:r w:rsidRPr="00F27422">
        <w:rPr>
          <w:rFonts w:cs="Arial" w:hint="cs"/>
          <w:sz w:val="32"/>
          <w:szCs w:val="32"/>
          <w:rtl/>
        </w:rPr>
        <w:t>ماجة</w:t>
      </w:r>
      <w:r w:rsidRPr="00F27422">
        <w:rPr>
          <w:rFonts w:cs="Arial"/>
          <w:sz w:val="32"/>
          <w:szCs w:val="32"/>
          <w:rtl/>
        </w:rPr>
        <w:t xml:space="preserve">. </w:t>
      </w:r>
      <w:r w:rsidRPr="00F27422">
        <w:rPr>
          <w:rFonts w:cs="Arial" w:hint="cs"/>
          <w:sz w:val="32"/>
          <w:szCs w:val="32"/>
          <w:rtl/>
        </w:rPr>
        <w:t>فلو</w:t>
      </w:r>
      <w:r w:rsidRPr="00F27422">
        <w:rPr>
          <w:rFonts w:cs="Arial"/>
          <w:sz w:val="32"/>
          <w:szCs w:val="32"/>
          <w:rtl/>
        </w:rPr>
        <w:t xml:space="preserve"> </w:t>
      </w:r>
      <w:r w:rsidRPr="00F27422">
        <w:rPr>
          <w:rFonts w:cs="Arial" w:hint="cs"/>
          <w:sz w:val="32"/>
          <w:szCs w:val="32"/>
          <w:rtl/>
        </w:rPr>
        <w:t>قُيّد</w:t>
      </w:r>
      <w:r w:rsidRPr="00F27422">
        <w:rPr>
          <w:rFonts w:cs="Arial"/>
          <w:sz w:val="32"/>
          <w:szCs w:val="32"/>
          <w:rtl/>
        </w:rPr>
        <w:t xml:space="preserve"> </w:t>
      </w:r>
      <w:r w:rsidRPr="00F27422">
        <w:rPr>
          <w:rFonts w:cs="Arial" w:hint="cs"/>
          <w:sz w:val="32"/>
          <w:szCs w:val="32"/>
          <w:rtl/>
        </w:rPr>
        <w:t>الوليّ</w:t>
      </w:r>
      <w:r w:rsidRPr="00F27422">
        <w:rPr>
          <w:rFonts w:cs="Arial"/>
          <w:sz w:val="32"/>
          <w:szCs w:val="32"/>
          <w:rtl/>
        </w:rPr>
        <w:t xml:space="preserve"> </w:t>
      </w:r>
      <w:r w:rsidRPr="00F27422">
        <w:rPr>
          <w:rFonts w:cs="Arial" w:hint="cs"/>
          <w:sz w:val="32"/>
          <w:szCs w:val="32"/>
          <w:rtl/>
        </w:rPr>
        <w:t>بغير</w:t>
      </w:r>
      <w:r w:rsidRPr="00F27422">
        <w:rPr>
          <w:rFonts w:cs="Arial"/>
          <w:sz w:val="32"/>
          <w:szCs w:val="32"/>
          <w:rtl/>
        </w:rPr>
        <w:t xml:space="preserve"> </w:t>
      </w:r>
      <w:r w:rsidRPr="00F27422">
        <w:rPr>
          <w:rFonts w:cs="Arial" w:hint="cs"/>
          <w:sz w:val="32"/>
          <w:szCs w:val="32"/>
          <w:rtl/>
        </w:rPr>
        <w:t>الأب</w:t>
      </w:r>
      <w:r w:rsidRPr="00F27422">
        <w:rPr>
          <w:rFonts w:cs="Arial"/>
          <w:sz w:val="32"/>
          <w:szCs w:val="32"/>
          <w:rtl/>
        </w:rPr>
        <w:t xml:space="preserve"> </w:t>
      </w:r>
      <w:r w:rsidRPr="00F27422">
        <w:rPr>
          <w:rFonts w:cs="Arial" w:hint="cs"/>
          <w:sz w:val="32"/>
          <w:szCs w:val="32"/>
          <w:rtl/>
        </w:rPr>
        <w:t>أو</w:t>
      </w:r>
      <w:r w:rsidRPr="00F27422">
        <w:rPr>
          <w:rFonts w:cs="Arial"/>
          <w:sz w:val="32"/>
          <w:szCs w:val="32"/>
          <w:rtl/>
        </w:rPr>
        <w:t xml:space="preserve"> </w:t>
      </w:r>
      <w:r w:rsidRPr="00F27422">
        <w:rPr>
          <w:rFonts w:cs="Arial" w:hint="cs"/>
          <w:sz w:val="32"/>
          <w:szCs w:val="32"/>
          <w:rtl/>
        </w:rPr>
        <w:t>المرأة</w:t>
      </w:r>
      <w:r w:rsidRPr="00F27422">
        <w:rPr>
          <w:rFonts w:cs="Arial"/>
          <w:sz w:val="32"/>
          <w:szCs w:val="32"/>
          <w:rtl/>
        </w:rPr>
        <w:t xml:space="preserve"> </w:t>
      </w:r>
      <w:r w:rsidRPr="00F27422">
        <w:rPr>
          <w:rFonts w:cs="Arial" w:hint="cs"/>
          <w:sz w:val="32"/>
          <w:szCs w:val="32"/>
          <w:rtl/>
        </w:rPr>
        <w:t>بغير</w:t>
      </w:r>
      <w:r w:rsidRPr="00F27422">
        <w:rPr>
          <w:rFonts w:cs="Arial"/>
          <w:sz w:val="32"/>
          <w:szCs w:val="32"/>
          <w:rtl/>
        </w:rPr>
        <w:t xml:space="preserve"> </w:t>
      </w:r>
      <w:r w:rsidRPr="00F27422">
        <w:rPr>
          <w:rFonts w:cs="Arial" w:hint="cs"/>
          <w:sz w:val="32"/>
          <w:szCs w:val="32"/>
          <w:rtl/>
        </w:rPr>
        <w:t>البكر</w:t>
      </w:r>
      <w:r w:rsidRPr="00F27422">
        <w:rPr>
          <w:rFonts w:cs="Arial"/>
          <w:sz w:val="32"/>
          <w:szCs w:val="32"/>
          <w:rtl/>
        </w:rPr>
        <w:t xml:space="preserve"> </w:t>
      </w:r>
      <w:r w:rsidRPr="00F27422">
        <w:rPr>
          <w:rFonts w:cs="Arial" w:hint="cs"/>
          <w:sz w:val="32"/>
          <w:szCs w:val="32"/>
          <w:rtl/>
        </w:rPr>
        <w:t>للزم</w:t>
      </w:r>
      <w:r w:rsidRPr="00F27422">
        <w:rPr>
          <w:rFonts w:cs="Arial"/>
          <w:sz w:val="32"/>
          <w:szCs w:val="32"/>
          <w:rtl/>
        </w:rPr>
        <w:t xml:space="preserve"> </w:t>
      </w:r>
      <w:r w:rsidRPr="00F27422">
        <w:rPr>
          <w:rFonts w:cs="Arial" w:hint="cs"/>
          <w:sz w:val="32"/>
          <w:szCs w:val="32"/>
          <w:rtl/>
        </w:rPr>
        <w:t>طرح</w:t>
      </w:r>
      <w:r w:rsidRPr="00F27422">
        <w:rPr>
          <w:rFonts w:cs="Arial"/>
          <w:sz w:val="32"/>
          <w:szCs w:val="32"/>
          <w:rtl/>
        </w:rPr>
        <w:t xml:space="preserve"> </w:t>
      </w:r>
      <w:r w:rsidRPr="00F27422">
        <w:rPr>
          <w:rFonts w:cs="Arial" w:hint="cs"/>
          <w:sz w:val="32"/>
          <w:szCs w:val="32"/>
          <w:rtl/>
        </w:rPr>
        <w:t>تلك</w:t>
      </w:r>
      <w:r w:rsidRPr="00F27422">
        <w:rPr>
          <w:rFonts w:cs="Arial"/>
          <w:sz w:val="32"/>
          <w:szCs w:val="32"/>
          <w:rtl/>
        </w:rPr>
        <w:t xml:space="preserve"> </w:t>
      </w:r>
      <w:r w:rsidRPr="00F27422">
        <w:rPr>
          <w:rFonts w:cs="Arial" w:hint="cs"/>
          <w:sz w:val="32"/>
          <w:szCs w:val="32"/>
          <w:rtl/>
        </w:rPr>
        <w:t>الأخبار</w:t>
      </w:r>
      <w:r w:rsidRPr="00F27422">
        <w:rPr>
          <w:rFonts w:cs="Arial"/>
          <w:sz w:val="32"/>
          <w:szCs w:val="32"/>
          <w:rtl/>
        </w:rPr>
        <w:t>.</w:t>
      </w:r>
    </w:p>
    <w:p w14:paraId="5FA1DED6" w14:textId="77777777" w:rsidR="0028545D" w:rsidRPr="00F27422" w:rsidRDefault="0028545D" w:rsidP="00122B70">
      <w:pPr>
        <w:bidi/>
        <w:rPr>
          <w:sz w:val="32"/>
          <w:szCs w:val="32"/>
        </w:rPr>
      </w:pPr>
    </w:p>
    <w:p w14:paraId="09B582A5" w14:textId="5FEEAFDA" w:rsidR="0028545D" w:rsidRPr="00F27422" w:rsidRDefault="0028545D" w:rsidP="00122B70">
      <w:pPr>
        <w:bidi/>
        <w:rPr>
          <w:sz w:val="32"/>
          <w:szCs w:val="32"/>
          <w:rtl/>
        </w:rPr>
      </w:pPr>
      <w:r w:rsidRPr="00F27422">
        <w:rPr>
          <w:rFonts w:cs="Arial" w:hint="cs"/>
          <w:sz w:val="32"/>
          <w:szCs w:val="32"/>
          <w:rtl/>
        </w:rPr>
        <w:t>والحمد</w:t>
      </w:r>
      <w:r w:rsidRPr="00F27422">
        <w:rPr>
          <w:rFonts w:cs="Arial"/>
          <w:sz w:val="32"/>
          <w:szCs w:val="32"/>
          <w:rtl/>
        </w:rPr>
        <w:t xml:space="preserve"> </w:t>
      </w:r>
      <w:r w:rsidRPr="00F27422">
        <w:rPr>
          <w:rFonts w:cs="Arial" w:hint="cs"/>
          <w:sz w:val="32"/>
          <w:szCs w:val="32"/>
          <w:rtl/>
        </w:rPr>
        <w:t>لله</w:t>
      </w:r>
      <w:r w:rsidRPr="00F27422">
        <w:rPr>
          <w:rFonts w:cs="Arial"/>
          <w:sz w:val="32"/>
          <w:szCs w:val="32"/>
          <w:rtl/>
        </w:rPr>
        <w:t xml:space="preserve"> </w:t>
      </w:r>
      <w:r w:rsidRPr="00F27422">
        <w:rPr>
          <w:rFonts w:cs="Arial" w:hint="cs"/>
          <w:sz w:val="32"/>
          <w:szCs w:val="32"/>
          <w:rtl/>
        </w:rPr>
        <w:t>رب</w:t>
      </w:r>
      <w:r w:rsidRPr="00F27422">
        <w:rPr>
          <w:rFonts w:cs="Arial"/>
          <w:sz w:val="32"/>
          <w:szCs w:val="32"/>
          <w:rtl/>
        </w:rPr>
        <w:t xml:space="preserve"> </w:t>
      </w:r>
      <w:r w:rsidRPr="00F27422">
        <w:rPr>
          <w:rFonts w:cs="Arial" w:hint="cs"/>
          <w:sz w:val="32"/>
          <w:szCs w:val="32"/>
          <w:rtl/>
        </w:rPr>
        <w:t>العالمين</w:t>
      </w:r>
      <w:r w:rsidRPr="00F27422">
        <w:rPr>
          <w:rFonts w:cs="Arial"/>
          <w:sz w:val="32"/>
          <w:szCs w:val="32"/>
          <w:rtl/>
        </w:rPr>
        <w:t>.</w:t>
      </w:r>
    </w:p>
    <w:p w14:paraId="5D2CAD5A" w14:textId="77777777" w:rsidR="00A46EDA" w:rsidRPr="00F27422" w:rsidRDefault="00A46EDA" w:rsidP="00122B70">
      <w:pPr>
        <w:bidi/>
        <w:rPr>
          <w:sz w:val="32"/>
          <w:szCs w:val="32"/>
          <w:rtl/>
        </w:rPr>
      </w:pPr>
    </w:p>
    <w:p w14:paraId="1476FE9B" w14:textId="389B4D27" w:rsidR="00A46EDA" w:rsidRPr="00F27422" w:rsidRDefault="00A46EDA" w:rsidP="00122B70">
      <w:pPr>
        <w:pStyle w:val="Heading3"/>
        <w:bidi/>
        <w:rPr>
          <w:sz w:val="32"/>
          <w:szCs w:val="32"/>
          <w:rtl/>
        </w:rPr>
      </w:pPr>
      <w:r w:rsidRPr="00F27422">
        <w:rPr>
          <w:rFonts w:hint="cs"/>
          <w:sz w:val="32"/>
          <w:szCs w:val="32"/>
          <w:rtl/>
        </w:rPr>
        <w:t>056</w:t>
      </w:r>
    </w:p>
    <w:p w14:paraId="7283BC80"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42E37169"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2A82AD2D"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lastRenderedPageBreak/>
        <w:t>واللعن الدائم على أعدائهم أجمعين إلى قيام يوم الدين</w:t>
      </w:r>
    </w:p>
    <w:p w14:paraId="723A5DA1" w14:textId="77777777" w:rsidR="00493BAB" w:rsidRPr="00F27422" w:rsidRDefault="00493BAB" w:rsidP="00122B70">
      <w:pPr>
        <w:pStyle w:val="a"/>
        <w:bidi/>
        <w:spacing w:line="216" w:lineRule="auto"/>
        <w:jc w:val="left"/>
        <w:rPr>
          <w:rFonts w:ascii="mylotus" w:hAnsi="mylotus"/>
          <w:b/>
          <w:bCs/>
          <w:sz w:val="32"/>
          <w:rtl/>
        </w:rPr>
      </w:pPr>
    </w:p>
    <w:p w14:paraId="4426D1DD" w14:textId="77777777" w:rsidR="00493BAB" w:rsidRPr="00F27422" w:rsidRDefault="00493BAB" w:rsidP="00122B70">
      <w:pPr>
        <w:pStyle w:val="a"/>
        <w:bidi/>
        <w:spacing w:line="216" w:lineRule="auto"/>
        <w:jc w:val="left"/>
        <w:rPr>
          <w:rFonts w:ascii="mylotus" w:hAnsi="mylotus"/>
          <w:sz w:val="32"/>
          <w:rtl/>
        </w:rPr>
      </w:pPr>
      <w:r w:rsidRPr="00F27422">
        <w:rPr>
          <w:rFonts w:ascii="mylotus" w:hAnsi="mylotus"/>
          <w:b/>
          <w:bCs/>
          <w:sz w:val="32"/>
          <w:rtl/>
        </w:rPr>
        <w:t>وحاصل</w:t>
      </w:r>
      <w:r w:rsidRPr="00F27422">
        <w:rPr>
          <w:rFonts w:ascii="mylotus" w:hAnsi="mylotus" w:hint="cs"/>
          <w:b/>
          <w:bCs/>
          <w:sz w:val="32"/>
          <w:rtl/>
        </w:rPr>
        <w:t>ُ</w:t>
      </w:r>
      <w:r w:rsidRPr="00F27422">
        <w:rPr>
          <w:rFonts w:ascii="mylotus" w:hAnsi="mylotus"/>
          <w:b/>
          <w:bCs/>
          <w:sz w:val="32"/>
          <w:rtl/>
        </w:rPr>
        <w:t xml:space="preserve"> كلام الشيخ الأعظم (قدس سره الشريف): </w:t>
      </w:r>
      <w:r w:rsidRPr="00F27422">
        <w:rPr>
          <w:rFonts w:ascii="mylotus" w:hAnsi="mylotus"/>
          <w:sz w:val="32"/>
          <w:rtl/>
        </w:rPr>
        <w:t>أنّه بما أنّ التقييد مُوجبٌ لطرح رواياتٍ كثيرةٍ في البين فيتعين الحمل على الاستحباب - بأنْ يكون المقصود بالروايات الظاهرة في اعتبار أمر الأب - "أنّ أخذ إذن الأب في نفوذ العقد أمرٌ مستح</w:t>
      </w:r>
      <w:r w:rsidRPr="00F27422">
        <w:rPr>
          <w:rFonts w:ascii="mylotus" w:hAnsi="mylotus" w:hint="cs"/>
          <w:sz w:val="32"/>
          <w:rtl/>
        </w:rPr>
        <w:t>بٌ</w:t>
      </w:r>
      <w:r w:rsidRPr="00F27422">
        <w:rPr>
          <w:rFonts w:ascii="mylotus" w:hAnsi="mylotus" w:cs="Cambria" w:hint="cs"/>
          <w:sz w:val="32"/>
          <w:rtl/>
        </w:rPr>
        <w:t>"</w:t>
      </w:r>
      <w:r w:rsidRPr="00F27422">
        <w:rPr>
          <w:rFonts w:ascii="mylotus" w:hAnsi="mylotus" w:hint="cs"/>
          <w:sz w:val="32"/>
          <w:rtl/>
        </w:rPr>
        <w:t>.</w:t>
      </w:r>
    </w:p>
    <w:p w14:paraId="204DE62D" w14:textId="77777777" w:rsidR="00493BAB" w:rsidRPr="00F27422" w:rsidRDefault="00493BAB" w:rsidP="00122B70">
      <w:pPr>
        <w:pStyle w:val="a"/>
        <w:bidi/>
        <w:spacing w:line="216" w:lineRule="auto"/>
        <w:jc w:val="left"/>
        <w:rPr>
          <w:rFonts w:ascii="mylotus" w:hAnsi="mylotus" w:cs="Times New Roman"/>
          <w:b/>
          <w:bCs/>
          <w:sz w:val="32"/>
          <w:rtl/>
        </w:rPr>
      </w:pPr>
      <w:r w:rsidRPr="00F27422">
        <w:rPr>
          <w:rFonts w:ascii="mylotus" w:hAnsi="mylotus"/>
          <w:b/>
          <w:bCs/>
          <w:sz w:val="32"/>
          <w:rtl/>
        </w:rPr>
        <w:t>ويلاحظ</w:t>
      </w:r>
      <w:r w:rsidRPr="00F27422">
        <w:rPr>
          <w:rFonts w:ascii="mylotus" w:hAnsi="mylotus" w:hint="cs"/>
          <w:b/>
          <w:bCs/>
          <w:sz w:val="32"/>
          <w:rtl/>
        </w:rPr>
        <w:t>ُ</w:t>
      </w:r>
      <w:r w:rsidRPr="00F27422">
        <w:rPr>
          <w:rFonts w:ascii="mylotus" w:hAnsi="mylotus"/>
          <w:b/>
          <w:bCs/>
          <w:sz w:val="32"/>
          <w:rtl/>
        </w:rPr>
        <w:t xml:space="preserve"> عليه:</w:t>
      </w:r>
      <w:r w:rsidRPr="00F27422">
        <w:rPr>
          <w:rFonts w:ascii="mylotus" w:hAnsi="mylotus"/>
          <w:sz w:val="32"/>
          <w:rtl/>
        </w:rPr>
        <w:t xml:space="preserve"> أنّ ما</w:t>
      </w:r>
      <w:r w:rsidRPr="00F27422">
        <w:rPr>
          <w:rFonts w:ascii="mylotus" w:hAnsi="mylotus" w:hint="cs"/>
          <w:sz w:val="32"/>
          <w:rtl/>
        </w:rPr>
        <w:t xml:space="preserve"> </w:t>
      </w:r>
      <w:r w:rsidRPr="00F27422">
        <w:rPr>
          <w:rFonts w:ascii="mylotus" w:hAnsi="mylotus"/>
          <w:sz w:val="32"/>
          <w:rtl/>
        </w:rPr>
        <w:t>دل</w:t>
      </w:r>
      <w:r w:rsidRPr="00F27422">
        <w:rPr>
          <w:rFonts w:ascii="mylotus" w:hAnsi="mylotus" w:hint="cs"/>
          <w:sz w:val="32"/>
          <w:rtl/>
        </w:rPr>
        <w:t>ّ</w:t>
      </w:r>
      <w:r w:rsidRPr="00F27422">
        <w:rPr>
          <w:rFonts w:ascii="mylotus" w:hAnsi="mylotus"/>
          <w:sz w:val="32"/>
          <w:rtl/>
        </w:rPr>
        <w:t xml:space="preserve"> على جواز التمتع بالبِكر مِن دون إذن أبيها التي استشهد به هما خبران ضعيفان سنداً</w:t>
      </w:r>
      <w:r w:rsidRPr="00F27422">
        <w:rPr>
          <w:rFonts w:ascii="mylotus" w:hAnsi="mylotus"/>
          <w:sz w:val="32"/>
        </w:rPr>
        <w:t>:</w:t>
      </w:r>
    </w:p>
    <w:p w14:paraId="67840C7C" w14:textId="77777777" w:rsidR="00493BAB" w:rsidRPr="00F27422" w:rsidRDefault="00493BAB" w:rsidP="00122B70">
      <w:pPr>
        <w:pStyle w:val="a"/>
        <w:bidi/>
        <w:spacing w:line="216" w:lineRule="auto"/>
        <w:jc w:val="left"/>
        <w:rPr>
          <w:rFonts w:ascii="mylotus" w:hAnsi="mylotus"/>
          <w:sz w:val="32"/>
          <w:rtl/>
        </w:rPr>
      </w:pPr>
      <w:r w:rsidRPr="00F27422">
        <w:rPr>
          <w:rFonts w:ascii="mylotus" w:hAnsi="mylotus"/>
          <w:b/>
          <w:bCs/>
          <w:sz w:val="32"/>
          <w:rtl/>
        </w:rPr>
        <w:t>الأوّل:</w:t>
      </w:r>
      <w:r w:rsidRPr="00F27422">
        <w:rPr>
          <w:rFonts w:ascii="mylotus" w:hAnsi="mylotus"/>
          <w:sz w:val="32"/>
          <w:rtl/>
        </w:rPr>
        <w:t xml:space="preserve"> خبر الحلبي، كما في الوسائل: </w:t>
      </w:r>
      <w:r w:rsidRPr="00F27422">
        <w:rPr>
          <w:rFonts w:ascii="mylotus" w:hAnsi="mylotus"/>
          <w:b/>
          <w:bCs/>
          <w:sz w:val="32"/>
          <w:rtl/>
        </w:rPr>
        <w:t xml:space="preserve">(وبإسناده عن أبي </w:t>
      </w:r>
      <w:proofErr w:type="gramStart"/>
      <w:r w:rsidRPr="00F27422">
        <w:rPr>
          <w:rFonts w:ascii="mylotus" w:hAnsi="mylotus"/>
          <w:b/>
          <w:bCs/>
          <w:sz w:val="32"/>
          <w:rtl/>
        </w:rPr>
        <w:t>سعيد ،</w:t>
      </w:r>
      <w:proofErr w:type="gramEnd"/>
      <w:r w:rsidRPr="00F27422">
        <w:rPr>
          <w:rFonts w:ascii="mylotus" w:hAnsi="mylotus"/>
          <w:b/>
          <w:bCs/>
          <w:sz w:val="32"/>
          <w:rtl/>
        </w:rPr>
        <w:t xml:space="preserve"> عن الحلبي قال: سألته عن التمتع من البكر إذا كانت بين أبويها بلا إذن أبويها؟ قال: لا بأس ما لم يقتض ما هناك لتعف لذلك).</w:t>
      </w:r>
      <w:r w:rsidRPr="00F27422">
        <w:rPr>
          <w:rFonts w:ascii="mylotus" w:hAnsi="mylotus"/>
          <w:sz w:val="32"/>
          <w:rtl/>
        </w:rPr>
        <w:t xml:space="preserve"> [وسائل الشيعة، الحر العاملي، تحقيق مؤسسة آل البيت (عليهم السلام) لإحياء التراث، ج21، كتاب النكاح، أبواب المتعة، الباب 11 باب حكم التمتع بالبكر بغير إذن أبيها، ح9]</w:t>
      </w:r>
      <w:r w:rsidRPr="00F27422">
        <w:rPr>
          <w:rFonts w:ascii="mylotus" w:hAnsi="mylotus" w:hint="cs"/>
          <w:sz w:val="32"/>
          <w:rtl/>
        </w:rPr>
        <w:t>.</w:t>
      </w:r>
    </w:p>
    <w:p w14:paraId="4FDFDD78" w14:textId="77777777" w:rsidR="00493BAB" w:rsidRPr="00F27422" w:rsidRDefault="00493BAB" w:rsidP="00122B70">
      <w:pPr>
        <w:pStyle w:val="a"/>
        <w:bidi/>
        <w:spacing w:line="216" w:lineRule="auto"/>
        <w:jc w:val="left"/>
        <w:rPr>
          <w:rFonts w:ascii="mylotus" w:hAnsi="mylotus"/>
          <w:sz w:val="32"/>
          <w:rtl/>
        </w:rPr>
      </w:pPr>
      <w:r w:rsidRPr="00F27422">
        <w:rPr>
          <w:rFonts w:ascii="mylotus" w:hAnsi="mylotus"/>
          <w:sz w:val="32"/>
          <w:rtl/>
        </w:rPr>
        <w:t xml:space="preserve">وطريق الشيخ </w:t>
      </w:r>
      <w:r w:rsidRPr="00F27422">
        <w:rPr>
          <w:rFonts w:ascii="mylotus" w:hAnsi="mylotus" w:hint="cs"/>
          <w:sz w:val="32"/>
          <w:rtl/>
        </w:rPr>
        <w:t xml:space="preserve">(رحمه الله) </w:t>
      </w:r>
      <w:r w:rsidRPr="00F27422">
        <w:rPr>
          <w:rFonts w:ascii="mylotus" w:hAnsi="mylotus"/>
          <w:sz w:val="32"/>
          <w:rtl/>
        </w:rPr>
        <w:t>لأبي سعيد مجهول</w:t>
      </w:r>
      <w:r w:rsidRPr="00F27422">
        <w:rPr>
          <w:rFonts w:ascii="mylotus" w:hAnsi="mylotus" w:hint="cs"/>
          <w:sz w:val="32"/>
          <w:rtl/>
        </w:rPr>
        <w:t>ٌ.</w:t>
      </w:r>
    </w:p>
    <w:p w14:paraId="5A401810" w14:textId="77777777" w:rsidR="00493BAB" w:rsidRPr="00F27422" w:rsidRDefault="00493BAB" w:rsidP="00122B70">
      <w:pPr>
        <w:pStyle w:val="a"/>
        <w:bidi/>
        <w:spacing w:line="216" w:lineRule="auto"/>
        <w:jc w:val="left"/>
        <w:rPr>
          <w:rFonts w:ascii="mylotus" w:hAnsi="mylotus"/>
          <w:sz w:val="32"/>
          <w:rtl/>
        </w:rPr>
      </w:pPr>
      <w:r w:rsidRPr="00F27422">
        <w:rPr>
          <w:rFonts w:ascii="mylotus" w:hAnsi="mylotus"/>
          <w:b/>
          <w:bCs/>
          <w:sz w:val="32"/>
          <w:rtl/>
        </w:rPr>
        <w:t xml:space="preserve">الثاني: </w:t>
      </w:r>
      <w:r w:rsidRPr="00F27422">
        <w:rPr>
          <w:rFonts w:ascii="mylotus" w:hAnsi="mylotus"/>
          <w:sz w:val="32"/>
          <w:rtl/>
        </w:rPr>
        <w:t xml:space="preserve">خبر أبي سعيد، كما في الوسائل: </w:t>
      </w:r>
      <w:r w:rsidRPr="00F27422">
        <w:rPr>
          <w:rFonts w:ascii="mylotus" w:hAnsi="mylotus"/>
          <w:b/>
          <w:bCs/>
          <w:sz w:val="32"/>
          <w:rtl/>
        </w:rPr>
        <w:t xml:space="preserve">(محمّد بن الحسن بإسناده، عن محمّد بن أحمد بن يحيى، عن موسى بن عمر بن يزيد، عن محمّد بن سنان، عن أبي سعيد قال: سئل أبو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عن التمتع من </w:t>
      </w:r>
      <w:proofErr w:type="spellStart"/>
      <w:r w:rsidRPr="00F27422">
        <w:rPr>
          <w:rFonts w:ascii="mylotus" w:hAnsi="mylotus"/>
          <w:b/>
          <w:bCs/>
          <w:sz w:val="32"/>
          <w:rtl/>
        </w:rPr>
        <w:t>الأبكار</w:t>
      </w:r>
      <w:proofErr w:type="spellEnd"/>
      <w:r w:rsidRPr="00F27422">
        <w:rPr>
          <w:rFonts w:ascii="mylotus" w:hAnsi="mylotus"/>
          <w:b/>
          <w:bCs/>
          <w:sz w:val="32"/>
          <w:rtl/>
        </w:rPr>
        <w:t xml:space="preserve"> اللواتي بين الأبوين؟ فقال: لا بأس، ولا أقول كما يقول هؤلاء الأقشاب).</w:t>
      </w:r>
      <w:r w:rsidRPr="00F27422">
        <w:rPr>
          <w:rFonts w:ascii="mylotus" w:hAnsi="mylotus"/>
          <w:sz w:val="32"/>
          <w:rtl/>
        </w:rPr>
        <w:t xml:space="preserve"> [المصدر السابق، ح6]</w:t>
      </w:r>
      <w:r w:rsidRPr="00F27422">
        <w:rPr>
          <w:rFonts w:ascii="mylotus" w:hAnsi="mylotus" w:hint="cs"/>
          <w:sz w:val="32"/>
          <w:rtl/>
        </w:rPr>
        <w:t>.</w:t>
      </w:r>
    </w:p>
    <w:p w14:paraId="67E804FD" w14:textId="77777777" w:rsidR="00493BAB" w:rsidRPr="00F27422" w:rsidRDefault="00493BAB" w:rsidP="00122B70">
      <w:pPr>
        <w:pStyle w:val="a"/>
        <w:bidi/>
        <w:spacing w:line="216" w:lineRule="auto"/>
        <w:jc w:val="left"/>
        <w:rPr>
          <w:rFonts w:ascii="mylotus" w:hAnsi="mylotus"/>
          <w:sz w:val="32"/>
          <w:rtl/>
        </w:rPr>
      </w:pPr>
      <w:r w:rsidRPr="00F27422">
        <w:rPr>
          <w:rFonts w:ascii="mylotus" w:hAnsi="mylotus"/>
          <w:sz w:val="32"/>
          <w:rtl/>
        </w:rPr>
        <w:t>ووثاقة</w:t>
      </w:r>
      <w:r w:rsidRPr="00F27422">
        <w:rPr>
          <w:rFonts w:ascii="mylotus" w:hAnsi="mylotus" w:hint="cs"/>
          <w:sz w:val="32"/>
          <w:rtl/>
        </w:rPr>
        <w:t>ُ</w:t>
      </w:r>
      <w:r w:rsidRPr="00F27422">
        <w:rPr>
          <w:rFonts w:ascii="mylotus" w:hAnsi="mylotus"/>
          <w:sz w:val="32"/>
          <w:rtl/>
        </w:rPr>
        <w:t xml:space="preserve"> محم</w:t>
      </w:r>
      <w:r w:rsidRPr="00F27422">
        <w:rPr>
          <w:rFonts w:ascii="mylotus" w:hAnsi="mylotus" w:hint="cs"/>
          <w:sz w:val="32"/>
          <w:rtl/>
        </w:rPr>
        <w:t>ّ</w:t>
      </w:r>
      <w:r w:rsidRPr="00F27422">
        <w:rPr>
          <w:rFonts w:ascii="mylotus" w:hAnsi="mylotus"/>
          <w:sz w:val="32"/>
          <w:rtl/>
        </w:rPr>
        <w:t>د بن سنان محل</w:t>
      </w:r>
      <w:r w:rsidRPr="00F27422">
        <w:rPr>
          <w:rFonts w:ascii="mylotus" w:hAnsi="mylotus" w:hint="cs"/>
          <w:sz w:val="32"/>
          <w:rtl/>
        </w:rPr>
        <w:t>ّ</w:t>
      </w:r>
      <w:r w:rsidRPr="00F27422">
        <w:rPr>
          <w:rFonts w:ascii="mylotus" w:hAnsi="mylotus"/>
          <w:sz w:val="32"/>
          <w:rtl/>
        </w:rPr>
        <w:t xml:space="preserve"> تأمل</w:t>
      </w:r>
      <w:r w:rsidRPr="00F27422">
        <w:rPr>
          <w:rFonts w:ascii="mylotus" w:hAnsi="mylotus" w:hint="cs"/>
          <w:sz w:val="32"/>
          <w:rtl/>
        </w:rPr>
        <w:t>ٍ.</w:t>
      </w:r>
    </w:p>
    <w:p w14:paraId="4B143C52"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مضافاً:</w:t>
      </w:r>
      <w:r w:rsidRPr="00F27422">
        <w:rPr>
          <w:rFonts w:ascii="mylotus" w:hAnsi="mylotus"/>
          <w:sz w:val="32"/>
          <w:rtl/>
        </w:rPr>
        <w:t xml:space="preserve"> لكونهما معارضين بما هو الصحيح من الأخبار</w:t>
      </w:r>
      <w:r w:rsidRPr="00F27422">
        <w:rPr>
          <w:rFonts w:ascii="mylotus" w:hAnsi="mylotus"/>
          <w:sz w:val="32"/>
        </w:rPr>
        <w:t>:</w:t>
      </w:r>
    </w:p>
    <w:p w14:paraId="625AEA88"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منها:</w:t>
      </w:r>
      <w:r w:rsidRPr="00F27422">
        <w:rPr>
          <w:rFonts w:ascii="mylotus" w:hAnsi="mylotus"/>
          <w:sz w:val="32"/>
          <w:rtl/>
        </w:rPr>
        <w:t xml:space="preserve"> صحيح البيزنطي، كما في الوسائل</w:t>
      </w:r>
      <w:r w:rsidRPr="00F27422">
        <w:rPr>
          <w:rFonts w:ascii="mylotus" w:hAnsi="mylotus"/>
          <w:b/>
          <w:bCs/>
          <w:sz w:val="32"/>
          <w:rtl/>
        </w:rPr>
        <w:t>: (</w:t>
      </w:r>
      <w:proofErr w:type="gramStart"/>
      <w:r w:rsidRPr="00F27422">
        <w:rPr>
          <w:rFonts w:ascii="mylotus" w:hAnsi="mylotus"/>
          <w:b/>
          <w:bCs/>
          <w:sz w:val="32"/>
          <w:rtl/>
        </w:rPr>
        <w:t>عبدالله</w:t>
      </w:r>
      <w:proofErr w:type="gramEnd"/>
      <w:r w:rsidRPr="00F27422">
        <w:rPr>
          <w:rFonts w:ascii="mylotus" w:hAnsi="mylotus"/>
          <w:b/>
          <w:bCs/>
          <w:sz w:val="32"/>
          <w:rtl/>
        </w:rPr>
        <w:t xml:space="preserve"> بن جعفر في (قرب الاسناد): عن أحمد بن محمّد بن عيسى، عن أحمد بن محمّد بن أبي نصر البزنطي، عن الرضا (عليه السلام) قال: البكر لا تتزوج متعة إلا بإذن أبيها).</w:t>
      </w:r>
      <w:r w:rsidRPr="00F27422">
        <w:rPr>
          <w:rFonts w:ascii="mylotus" w:hAnsi="mylotus"/>
          <w:sz w:val="32"/>
          <w:rtl/>
        </w:rPr>
        <w:t xml:space="preserve"> [المصدر السابق، ح5]</w:t>
      </w:r>
      <w:r w:rsidRPr="00F27422">
        <w:rPr>
          <w:rFonts w:ascii="mylotus" w:hAnsi="mylotus"/>
          <w:sz w:val="32"/>
        </w:rPr>
        <w:t>.</w:t>
      </w:r>
    </w:p>
    <w:p w14:paraId="54E44DF4" w14:textId="77777777" w:rsidR="00493BAB" w:rsidRPr="00F27422" w:rsidRDefault="00493BAB" w:rsidP="00122B70">
      <w:pPr>
        <w:pStyle w:val="a"/>
        <w:bidi/>
        <w:spacing w:line="216" w:lineRule="auto"/>
        <w:jc w:val="left"/>
        <w:rPr>
          <w:rFonts w:ascii="mylotus" w:hAnsi="mylotus"/>
          <w:sz w:val="32"/>
          <w:rtl/>
        </w:rPr>
      </w:pPr>
      <w:r w:rsidRPr="00F27422">
        <w:rPr>
          <w:rFonts w:ascii="mylotus" w:hAnsi="mylotus"/>
          <w:b/>
          <w:bCs/>
          <w:sz w:val="32"/>
          <w:rtl/>
        </w:rPr>
        <w:t>ومنها:</w:t>
      </w:r>
      <w:r w:rsidRPr="00F27422">
        <w:rPr>
          <w:rFonts w:ascii="mylotus" w:hAnsi="mylotus"/>
          <w:sz w:val="32"/>
          <w:rtl/>
        </w:rPr>
        <w:t xml:space="preserve"> صحيح أبي مريم، كما في الوسائل: </w:t>
      </w:r>
      <w:r w:rsidRPr="00F27422">
        <w:rPr>
          <w:rFonts w:ascii="mylotus" w:hAnsi="mylotus"/>
          <w:b/>
          <w:bCs/>
          <w:sz w:val="32"/>
          <w:rtl/>
        </w:rPr>
        <w:t xml:space="preserve">(وبإسناده عن أحمد بن محمّد، عن محمّد بن إسماعيل، عن ظريف، عن أبان، عن أبي مريم، 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قال: العذراء الّتي لها أب لا تزوّج متعة إلّا بإذن أبيها).</w:t>
      </w:r>
      <w:r w:rsidRPr="00F27422">
        <w:rPr>
          <w:rFonts w:ascii="mylotus" w:hAnsi="mylotus"/>
          <w:sz w:val="32"/>
          <w:rtl/>
        </w:rPr>
        <w:t xml:space="preserve"> [المصدر السابق، ح12]</w:t>
      </w:r>
      <w:r w:rsidRPr="00F27422">
        <w:rPr>
          <w:rFonts w:ascii="mylotus" w:hAnsi="mylotus" w:hint="cs"/>
          <w:sz w:val="32"/>
          <w:rtl/>
        </w:rPr>
        <w:t>.</w:t>
      </w:r>
    </w:p>
    <w:p w14:paraId="558F6EB8" w14:textId="77777777" w:rsidR="00493BAB" w:rsidRPr="00F27422" w:rsidRDefault="00493BAB" w:rsidP="00122B70">
      <w:pPr>
        <w:pStyle w:val="a"/>
        <w:bidi/>
        <w:spacing w:line="216" w:lineRule="auto"/>
        <w:jc w:val="left"/>
        <w:rPr>
          <w:rFonts w:ascii="mylotus" w:hAnsi="mylotus"/>
          <w:sz w:val="32"/>
          <w:rtl/>
        </w:rPr>
      </w:pPr>
      <w:r w:rsidRPr="00F27422">
        <w:rPr>
          <w:rFonts w:ascii="mylotus" w:hAnsi="mylotus"/>
          <w:sz w:val="32"/>
          <w:rtl/>
        </w:rPr>
        <w:t>فإن</w:t>
      </w:r>
      <w:r w:rsidRPr="00F27422">
        <w:rPr>
          <w:rFonts w:ascii="mylotus" w:hAnsi="mylotus" w:hint="cs"/>
          <w:sz w:val="32"/>
          <w:rtl/>
        </w:rPr>
        <w:t>ّ</w:t>
      </w:r>
      <w:r w:rsidRPr="00F27422">
        <w:rPr>
          <w:rFonts w:ascii="mylotus" w:hAnsi="mylotus"/>
          <w:sz w:val="32"/>
          <w:rtl/>
        </w:rPr>
        <w:t xml:space="preserve"> تقييد الصحيحين بعدم </w:t>
      </w:r>
      <w:proofErr w:type="spellStart"/>
      <w:r w:rsidRPr="00F27422">
        <w:rPr>
          <w:rFonts w:ascii="mylotus" w:hAnsi="mylotus"/>
          <w:sz w:val="32"/>
          <w:rtl/>
        </w:rPr>
        <w:t>الإفتضاض</w:t>
      </w:r>
      <w:proofErr w:type="spellEnd"/>
      <w:r w:rsidRPr="00F27422">
        <w:rPr>
          <w:rFonts w:ascii="mylotus" w:hAnsi="mylotus"/>
          <w:sz w:val="32"/>
          <w:rtl/>
        </w:rPr>
        <w:t xml:space="preserve"> جمعا</w:t>
      </w:r>
      <w:r w:rsidRPr="00F27422">
        <w:rPr>
          <w:rFonts w:ascii="mylotus" w:hAnsi="mylotus" w:hint="cs"/>
          <w:sz w:val="32"/>
          <w:rtl/>
        </w:rPr>
        <w:t>ً</w:t>
      </w:r>
      <w:r w:rsidRPr="00F27422">
        <w:rPr>
          <w:rFonts w:ascii="mylotus" w:hAnsi="mylotus"/>
          <w:sz w:val="32"/>
          <w:rtl/>
        </w:rPr>
        <w:t xml:space="preserve"> بين الأدل</w:t>
      </w:r>
      <w:r w:rsidRPr="00F27422">
        <w:rPr>
          <w:rFonts w:ascii="mylotus" w:hAnsi="mylotus" w:hint="cs"/>
          <w:sz w:val="32"/>
          <w:rtl/>
        </w:rPr>
        <w:t>ّ</w:t>
      </w:r>
      <w:r w:rsidRPr="00F27422">
        <w:rPr>
          <w:rFonts w:ascii="mylotus" w:hAnsi="mylotus"/>
          <w:sz w:val="32"/>
          <w:rtl/>
        </w:rPr>
        <w:t>ة غير</w:t>
      </w:r>
      <w:r w:rsidRPr="00F27422">
        <w:rPr>
          <w:rFonts w:ascii="mylotus" w:hAnsi="mylotus" w:hint="cs"/>
          <w:sz w:val="32"/>
          <w:rtl/>
        </w:rPr>
        <w:t>ُ</w:t>
      </w:r>
      <w:r w:rsidRPr="00F27422">
        <w:rPr>
          <w:rFonts w:ascii="mylotus" w:hAnsi="mylotus"/>
          <w:sz w:val="32"/>
          <w:rtl/>
        </w:rPr>
        <w:t xml:space="preserve"> عرفي</w:t>
      </w:r>
      <w:r w:rsidRPr="00F27422">
        <w:rPr>
          <w:rFonts w:ascii="mylotus" w:hAnsi="mylotus" w:hint="cs"/>
          <w:sz w:val="32"/>
          <w:rtl/>
        </w:rPr>
        <w:t>؛</w:t>
      </w:r>
      <w:r w:rsidRPr="00F27422">
        <w:rPr>
          <w:rFonts w:ascii="mylotus" w:hAnsi="mylotus"/>
          <w:sz w:val="32"/>
          <w:rtl/>
        </w:rPr>
        <w:t xml:space="preserve"> لتعسر الشرط عادة</w:t>
      </w:r>
      <w:r w:rsidRPr="00F27422">
        <w:rPr>
          <w:rFonts w:ascii="mylotus" w:hAnsi="mylotus" w:hint="cs"/>
          <w:sz w:val="32"/>
          <w:rtl/>
        </w:rPr>
        <w:t>ً</w:t>
      </w:r>
      <w:r w:rsidRPr="00F27422">
        <w:rPr>
          <w:rFonts w:ascii="mylotus" w:hAnsi="mylotus"/>
          <w:sz w:val="32"/>
          <w:rtl/>
        </w:rPr>
        <w:t xml:space="preserve"> مع الترخيص في </w:t>
      </w:r>
      <w:proofErr w:type="spellStart"/>
      <w:r w:rsidRPr="00F27422">
        <w:rPr>
          <w:rFonts w:ascii="mylotus" w:hAnsi="mylotus"/>
          <w:sz w:val="32"/>
          <w:rtl/>
        </w:rPr>
        <w:t>الوطأ</w:t>
      </w:r>
      <w:proofErr w:type="spellEnd"/>
      <w:r w:rsidRPr="00F27422">
        <w:rPr>
          <w:rFonts w:ascii="mylotus" w:hAnsi="mylotus"/>
          <w:sz w:val="32"/>
          <w:rtl/>
        </w:rPr>
        <w:t xml:space="preserve"> بمقتضى إطلاق الروايتين الأوليين، وما</w:t>
      </w:r>
      <w:r w:rsidRPr="00F27422">
        <w:rPr>
          <w:rFonts w:ascii="mylotus" w:hAnsi="mylotus" w:hint="cs"/>
          <w:sz w:val="32"/>
          <w:rtl/>
        </w:rPr>
        <w:t xml:space="preserve"> </w:t>
      </w:r>
      <w:r w:rsidRPr="00F27422">
        <w:rPr>
          <w:rFonts w:ascii="mylotus" w:hAnsi="mylotus"/>
          <w:sz w:val="32"/>
          <w:rtl/>
        </w:rPr>
        <w:t>ورد في مقام بيان الوظيفة الفعلية مما لا</w:t>
      </w:r>
      <w:r w:rsidRPr="00F27422">
        <w:rPr>
          <w:rFonts w:ascii="mylotus" w:hAnsi="mylotus" w:hint="cs"/>
          <w:sz w:val="32"/>
          <w:rtl/>
        </w:rPr>
        <w:t xml:space="preserve"> </w:t>
      </w:r>
      <w:r w:rsidRPr="00F27422">
        <w:rPr>
          <w:rFonts w:ascii="mylotus" w:hAnsi="mylotus"/>
          <w:sz w:val="32"/>
          <w:rtl/>
        </w:rPr>
        <w:t>يجتمع مع تقييده بشرط</w:t>
      </w:r>
      <w:r w:rsidRPr="00F27422">
        <w:rPr>
          <w:rFonts w:ascii="mylotus" w:hAnsi="mylotus" w:hint="cs"/>
          <w:sz w:val="32"/>
          <w:rtl/>
        </w:rPr>
        <w:t>ٍ</w:t>
      </w:r>
      <w:r w:rsidRPr="00F27422">
        <w:rPr>
          <w:rFonts w:ascii="mylotus" w:hAnsi="mylotus"/>
          <w:sz w:val="32"/>
          <w:rtl/>
        </w:rPr>
        <w:t xml:space="preserve"> متعسر</w:t>
      </w:r>
      <w:r w:rsidRPr="00F27422">
        <w:rPr>
          <w:rFonts w:ascii="mylotus" w:hAnsi="mylotus" w:hint="cs"/>
          <w:sz w:val="32"/>
          <w:rtl/>
        </w:rPr>
        <w:t>ٍ</w:t>
      </w:r>
      <w:r w:rsidRPr="00F27422">
        <w:rPr>
          <w:rFonts w:ascii="mylotus" w:hAnsi="mylotus"/>
          <w:sz w:val="32"/>
          <w:rtl/>
        </w:rPr>
        <w:t xml:space="preserve"> عادة</w:t>
      </w:r>
      <w:r w:rsidRPr="00F27422">
        <w:rPr>
          <w:rFonts w:ascii="mylotus" w:hAnsi="mylotus" w:hint="cs"/>
          <w:sz w:val="32"/>
          <w:rtl/>
        </w:rPr>
        <w:t>ً.</w:t>
      </w:r>
    </w:p>
    <w:p w14:paraId="7A9763F4"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مضافاً:</w:t>
      </w:r>
      <w:r w:rsidRPr="00F27422">
        <w:rPr>
          <w:rFonts w:ascii="mylotus" w:hAnsi="mylotus"/>
          <w:sz w:val="32"/>
          <w:rtl/>
        </w:rPr>
        <w:t xml:space="preserve"> إلى أنّ استلزام التقييد طرح أخبارٍ كثيرة لا يصلح قرينةً عرفيةً على حمل القيد على</w:t>
      </w:r>
      <w:r w:rsidRPr="00F27422">
        <w:rPr>
          <w:rFonts w:ascii="mylotus" w:hAnsi="mylotus" w:hint="cs"/>
          <w:sz w:val="32"/>
          <w:rtl/>
        </w:rPr>
        <w:t xml:space="preserve"> ا</w:t>
      </w:r>
      <w:r w:rsidRPr="00F27422">
        <w:rPr>
          <w:rFonts w:ascii="mylotus" w:hAnsi="mylotus"/>
          <w:sz w:val="32"/>
          <w:rtl/>
        </w:rPr>
        <w:t xml:space="preserve">لاستحباب مع ظهور دليل القيد في الإرشاد إلى الشرطية، فإنّ مقتضى التقييد في صحيحة عبدالله بن الصلت، كما في الوسائل: </w:t>
      </w:r>
      <w:r w:rsidRPr="00F27422">
        <w:rPr>
          <w:rFonts w:ascii="mylotus" w:hAnsi="mylotus"/>
          <w:b/>
          <w:bCs/>
          <w:sz w:val="32"/>
          <w:rtl/>
        </w:rPr>
        <w:t>(وعن عدّة من أصحابنا، عن أحمد بن محمّد، عن الحسين بن سعيد، عن عبدالله بن الصلت قال: سألت أبا عبدالله (عليه السلام) عن الجارية الصغيرة يزوجها أبوها، لها أمر إذا بلغت؟ قال: لا ليس لها مع أبيها أمر، قال: وسألته عن البكر إذا بلغت مبلغ النساء، أَ لها مع أبيها أمر؟ قال: ليس لها مع أبيها أمر ما لم تكبر).</w:t>
      </w:r>
      <w:r w:rsidRPr="00F27422">
        <w:rPr>
          <w:rFonts w:ascii="mylotus" w:hAnsi="mylotus"/>
          <w:sz w:val="32"/>
          <w:rtl/>
        </w:rPr>
        <w:t xml:space="preserve"> [وسائل الشيعة، الحر العاملي، تحقيق مؤسسة آل البيت (عليهم السلام) لإحياء التراث، ج20، كتاب النكاح، أبواب عقد النكاح وأولياء العقد، الباب 6 باب ثبوت الولاية للأب والجد للأب خاصة مع وجود الأب لا غيرهما على البنت غير البالغة الرشيدة وكذا الصبي، ح3]</w:t>
      </w:r>
      <w:r w:rsidRPr="00F27422">
        <w:rPr>
          <w:rFonts w:ascii="mylotus" w:hAnsi="mylotus"/>
          <w:sz w:val="32"/>
        </w:rPr>
        <w:t>.</w:t>
      </w:r>
    </w:p>
    <w:p w14:paraId="1CE2830D"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sz w:val="32"/>
          <w:rtl/>
        </w:rPr>
        <w:lastRenderedPageBreak/>
        <w:t>وصحيح الحلبيّ</w:t>
      </w:r>
      <w:r w:rsidRPr="00F27422">
        <w:rPr>
          <w:rFonts w:ascii="mylotus" w:hAnsi="mylotus" w:hint="cs"/>
          <w:sz w:val="32"/>
          <w:rtl/>
        </w:rPr>
        <w:t>،</w:t>
      </w:r>
      <w:r w:rsidRPr="00F27422">
        <w:rPr>
          <w:rFonts w:ascii="mylotus" w:hAnsi="mylotus"/>
          <w:sz w:val="32"/>
          <w:rtl/>
        </w:rPr>
        <w:t xml:space="preserve"> كما في الوسائل: </w:t>
      </w:r>
      <w:r w:rsidRPr="00F27422">
        <w:rPr>
          <w:rFonts w:ascii="mylotus" w:hAnsi="mylotus"/>
          <w:b/>
          <w:bCs/>
          <w:sz w:val="32"/>
          <w:rtl/>
        </w:rPr>
        <w:t xml:space="preserve">(وبإسناده عن الحسين بن سعيد، عن ابن أبي عمير، عن حماد، عن الحلبيّ، 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قال: سألته عن البكر إذا بلغت مبلغ النساء، أَ لها مع أبيها أمر؟ فقال: ليس لها مع أبيها أمر ما لم تثيب).</w:t>
      </w:r>
      <w:r w:rsidRPr="00F27422">
        <w:rPr>
          <w:rFonts w:ascii="mylotus" w:hAnsi="mylotus"/>
          <w:sz w:val="32"/>
          <w:rtl/>
        </w:rPr>
        <w:t xml:space="preserve"> [وسائل الشيعة، الحر العاملي، تحقيق مؤسسة آل البيت (عليهم السلام) لإحياء التراث، ج20، كتاب النكاح، أبواب عقد النكاح وأولياء العقد، الباب 3 باب أنه لا ولاية لأحد من أخ ولا أب ولا غيرهما على الثيب البالغ </w:t>
      </w:r>
      <w:proofErr w:type="gramStart"/>
      <w:r w:rsidRPr="00F27422">
        <w:rPr>
          <w:rFonts w:ascii="mylotus" w:hAnsi="mylotus"/>
          <w:sz w:val="32"/>
          <w:rtl/>
        </w:rPr>
        <w:t>الرشيدة</w:t>
      </w:r>
      <w:proofErr w:type="gramEnd"/>
      <w:r w:rsidRPr="00F27422">
        <w:rPr>
          <w:rFonts w:ascii="mylotus" w:hAnsi="mylotus"/>
          <w:sz w:val="32"/>
          <w:rtl/>
        </w:rPr>
        <w:t xml:space="preserve"> بل أمرها بيدها، ح11]</w:t>
      </w:r>
      <w:r w:rsidRPr="00F27422">
        <w:rPr>
          <w:rFonts w:ascii="mylotus" w:hAnsi="mylotus"/>
          <w:sz w:val="32"/>
        </w:rPr>
        <w:t>.</w:t>
      </w:r>
    </w:p>
    <w:p w14:paraId="38CA437E"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sz w:val="32"/>
          <w:rtl/>
        </w:rPr>
        <w:t xml:space="preserve">وصحيح محمد بن مسلم، كما في الوسائل: </w:t>
      </w:r>
      <w:r w:rsidRPr="00F27422">
        <w:rPr>
          <w:rFonts w:ascii="mylotus" w:hAnsi="mylotus"/>
          <w:b/>
          <w:bCs/>
          <w:sz w:val="32"/>
          <w:rtl/>
        </w:rPr>
        <w:t xml:space="preserve">(وعن محمّد بن يحيى، عن أحمد بن محمّد، عن علي بن الحكم، عن العلا بن رزين، عن محمّد بن مسلم، عن أحدهما (عليهما السلام) قال: لا تستأمر الجارية إذا كانت بين أبويها، ليس لها مع الأب أمر، وقال: </w:t>
      </w:r>
      <w:proofErr w:type="spellStart"/>
      <w:r w:rsidRPr="00F27422">
        <w:rPr>
          <w:rFonts w:ascii="mylotus" w:hAnsi="mylotus"/>
          <w:b/>
          <w:bCs/>
          <w:sz w:val="32"/>
          <w:rtl/>
        </w:rPr>
        <w:t>يستأمرها</w:t>
      </w:r>
      <w:proofErr w:type="spellEnd"/>
      <w:r w:rsidRPr="00F27422">
        <w:rPr>
          <w:rFonts w:ascii="mylotus" w:hAnsi="mylotus"/>
          <w:b/>
          <w:bCs/>
          <w:sz w:val="32"/>
          <w:rtl/>
        </w:rPr>
        <w:t xml:space="preserve"> كلّ أحد ما عدا الأب).</w:t>
      </w:r>
      <w:r w:rsidRPr="00F27422">
        <w:rPr>
          <w:rFonts w:ascii="mylotus" w:hAnsi="mylotus"/>
          <w:sz w:val="32"/>
          <w:rtl/>
        </w:rPr>
        <w:t xml:space="preserve"> [وسائل الشيعة، الحر العاملي، تحقيق مؤسسة آل البيت (عليهم السلام) لإحياء التراث، ج20، كتاب النكاح، أبواب عقد النكاح وأولياء العقد، الباب 4 باب أن البكر البالغ الرشيدة التي ليس لها أب أمرها بيدها، ولا ولاية لأحد عليها في التزويج، ح3]</w:t>
      </w:r>
      <w:r w:rsidRPr="00F27422">
        <w:rPr>
          <w:rFonts w:ascii="mylotus" w:hAnsi="mylotus"/>
          <w:sz w:val="32"/>
        </w:rPr>
        <w:t>.</w:t>
      </w:r>
    </w:p>
    <w:p w14:paraId="428C1456"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sz w:val="32"/>
          <w:rtl/>
        </w:rPr>
        <w:t>هو الإرشاد إلى حكمٍ وضعي وهو عدم نفوذ عقد البنت مع وجود الأب، فلا معنى لحمل ذلك على الاستحباب عرفاً، غايته أنْ يقع التعارض بين الطائفتين، أي: بين ما دلّ على استقلال البنت وما دلّ على أنّه ليس لها مع أبيها أمرٌ، لا أنّ استلزام الأخذ بالقيد طرح أخبارٍ كثيرةٍ يكون قرينةً عرفاً على حمل المقيد على الاستحباب</w:t>
      </w:r>
      <w:r w:rsidRPr="00F27422">
        <w:rPr>
          <w:rFonts w:ascii="mylotus" w:hAnsi="mylotus"/>
          <w:sz w:val="32"/>
        </w:rPr>
        <w:t>.</w:t>
      </w:r>
    </w:p>
    <w:p w14:paraId="12F4FFBC" w14:textId="77777777" w:rsidR="00493BAB" w:rsidRPr="00F27422" w:rsidRDefault="00493BAB" w:rsidP="00122B70">
      <w:pPr>
        <w:pStyle w:val="a"/>
        <w:bidi/>
        <w:spacing w:line="216" w:lineRule="auto"/>
        <w:jc w:val="left"/>
        <w:rPr>
          <w:rFonts w:ascii="mylotus" w:hAnsi="mylotus"/>
          <w:sz w:val="32"/>
          <w:rtl/>
        </w:rPr>
      </w:pPr>
      <w:r w:rsidRPr="00F27422">
        <w:rPr>
          <w:rFonts w:ascii="mylotus" w:hAnsi="mylotus"/>
          <w:b/>
          <w:bCs/>
          <w:sz w:val="32"/>
          <w:rtl/>
        </w:rPr>
        <w:t>فتلخص مِن ذلك:</w:t>
      </w:r>
      <w:r w:rsidRPr="00F27422">
        <w:rPr>
          <w:rFonts w:ascii="mylotus" w:hAnsi="mylotus"/>
          <w:sz w:val="32"/>
          <w:rtl/>
        </w:rPr>
        <w:t xml:space="preserve"> أنّ أقرب الوجوه في المقام </w:t>
      </w:r>
      <w:r w:rsidRPr="00F27422">
        <w:rPr>
          <w:rFonts w:ascii="mylotus" w:hAnsi="mylotus"/>
          <w:sz w:val="32"/>
          <w:highlight w:val="red"/>
          <w:rtl/>
        </w:rPr>
        <w:t>حكومةُ ما دلّ على استقلالها بالعقد إنْ كانتْ مالكةً لأمرها على بقية الطوائف</w:t>
      </w:r>
      <w:r w:rsidRPr="00F27422">
        <w:rPr>
          <w:rFonts w:ascii="mylotus" w:hAnsi="mylotus" w:hint="cs"/>
          <w:sz w:val="32"/>
          <w:rtl/>
        </w:rPr>
        <w:t>؛</w:t>
      </w:r>
      <w:r w:rsidRPr="00F27422">
        <w:rPr>
          <w:rFonts w:ascii="mylotus" w:hAnsi="mylotus"/>
          <w:sz w:val="32"/>
          <w:rtl/>
        </w:rPr>
        <w:t xml:space="preserve"> فإن</w:t>
      </w:r>
      <w:r w:rsidRPr="00F27422">
        <w:rPr>
          <w:rFonts w:ascii="mylotus" w:hAnsi="mylotus" w:hint="cs"/>
          <w:sz w:val="32"/>
          <w:rtl/>
        </w:rPr>
        <w:t>ّ</w:t>
      </w:r>
      <w:r w:rsidRPr="00F27422">
        <w:rPr>
          <w:rFonts w:ascii="mylotus" w:hAnsi="mylotus"/>
          <w:sz w:val="32"/>
          <w:rtl/>
        </w:rPr>
        <w:t xml:space="preserve"> تقديم إطلاق ما</w:t>
      </w:r>
      <w:r w:rsidRPr="00F27422">
        <w:rPr>
          <w:rFonts w:ascii="mylotus" w:hAnsi="mylotus" w:hint="cs"/>
          <w:sz w:val="32"/>
          <w:rtl/>
        </w:rPr>
        <w:t xml:space="preserve"> </w:t>
      </w:r>
      <w:r w:rsidRPr="00F27422">
        <w:rPr>
          <w:rFonts w:ascii="mylotus" w:hAnsi="mylotus"/>
          <w:sz w:val="32"/>
          <w:rtl/>
        </w:rPr>
        <w:t>دل</w:t>
      </w:r>
      <w:r w:rsidRPr="00F27422">
        <w:rPr>
          <w:rFonts w:ascii="mylotus" w:hAnsi="mylotus" w:hint="cs"/>
          <w:sz w:val="32"/>
          <w:rtl/>
        </w:rPr>
        <w:t>ّ</w:t>
      </w:r>
      <w:r w:rsidRPr="00F27422">
        <w:rPr>
          <w:rFonts w:ascii="mylotus" w:hAnsi="mylotus"/>
          <w:sz w:val="32"/>
          <w:rtl/>
        </w:rPr>
        <w:t xml:space="preserve"> على استقلال الأب على هذه الطائفة م</w:t>
      </w:r>
      <w:r w:rsidRPr="00F27422">
        <w:rPr>
          <w:rFonts w:ascii="mylotus" w:hAnsi="mylotus" w:hint="cs"/>
          <w:sz w:val="32"/>
          <w:rtl/>
        </w:rPr>
        <w:t>ُ</w:t>
      </w:r>
      <w:r w:rsidRPr="00F27422">
        <w:rPr>
          <w:rFonts w:ascii="mylotus" w:hAnsi="mylotus"/>
          <w:sz w:val="32"/>
          <w:rtl/>
        </w:rPr>
        <w:t>وجب</w:t>
      </w:r>
      <w:r w:rsidRPr="00F27422">
        <w:rPr>
          <w:rFonts w:ascii="mylotus" w:hAnsi="mylotus" w:hint="cs"/>
          <w:sz w:val="32"/>
          <w:rtl/>
        </w:rPr>
        <w:t>ٌ</w:t>
      </w:r>
      <w:r w:rsidRPr="00F27422">
        <w:rPr>
          <w:rFonts w:ascii="mylotus" w:hAnsi="mylotus"/>
          <w:sz w:val="32"/>
          <w:rtl/>
        </w:rPr>
        <w:t xml:space="preserve"> للغوية مناط ملك الأمر بخلاف العكس فإن</w:t>
      </w:r>
      <w:r w:rsidRPr="00F27422">
        <w:rPr>
          <w:rFonts w:ascii="mylotus" w:hAnsi="mylotus" w:hint="cs"/>
          <w:sz w:val="32"/>
          <w:rtl/>
        </w:rPr>
        <w:t>ّ</w:t>
      </w:r>
      <w:r w:rsidRPr="00F27422">
        <w:rPr>
          <w:rFonts w:ascii="mylotus" w:hAnsi="mylotus"/>
          <w:sz w:val="32"/>
          <w:rtl/>
        </w:rPr>
        <w:t xml:space="preserve"> غايته تقييد دليل استقلال الأب لا</w:t>
      </w:r>
      <w:r w:rsidRPr="00F27422">
        <w:rPr>
          <w:rFonts w:ascii="mylotus" w:hAnsi="mylotus" w:hint="cs"/>
          <w:sz w:val="32"/>
          <w:rtl/>
        </w:rPr>
        <w:t xml:space="preserve"> </w:t>
      </w:r>
      <w:r w:rsidRPr="00F27422">
        <w:rPr>
          <w:rFonts w:ascii="mylotus" w:hAnsi="mylotus"/>
          <w:sz w:val="32"/>
          <w:rtl/>
        </w:rPr>
        <w:t>لغويته</w:t>
      </w:r>
      <w:r w:rsidRPr="00F27422">
        <w:rPr>
          <w:rFonts w:ascii="mylotus" w:hAnsi="mylotus" w:hint="cs"/>
          <w:sz w:val="32"/>
          <w:rtl/>
        </w:rPr>
        <w:t>.</w:t>
      </w:r>
    </w:p>
    <w:p w14:paraId="5C0396A1"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إلّا أنْ يتأمل في ذلك بأحد وجهين</w:t>
      </w:r>
      <w:r w:rsidRPr="00F27422">
        <w:rPr>
          <w:rFonts w:ascii="mylotus" w:hAnsi="mylotus"/>
          <w:b/>
          <w:bCs/>
          <w:sz w:val="32"/>
        </w:rPr>
        <w:t>:</w:t>
      </w:r>
    </w:p>
    <w:p w14:paraId="10B67555" w14:textId="77777777" w:rsidR="00493BAB" w:rsidRPr="00F27422" w:rsidRDefault="00493BAB" w:rsidP="00122B70">
      <w:pPr>
        <w:pStyle w:val="a"/>
        <w:bidi/>
        <w:spacing w:line="216" w:lineRule="auto"/>
        <w:jc w:val="left"/>
        <w:rPr>
          <w:rFonts w:ascii="mylotus" w:hAnsi="mylotus"/>
          <w:sz w:val="32"/>
          <w:rtl/>
        </w:rPr>
      </w:pPr>
      <w:r w:rsidRPr="00F27422">
        <w:rPr>
          <w:rFonts w:ascii="mylotus" w:hAnsi="mylotus"/>
          <w:b/>
          <w:bCs/>
          <w:sz w:val="32"/>
          <w:rtl/>
        </w:rPr>
        <w:t>الوجه</w:t>
      </w:r>
      <w:r w:rsidRPr="00F27422">
        <w:rPr>
          <w:rFonts w:ascii="mylotus" w:hAnsi="mylotus" w:hint="cs"/>
          <w:b/>
          <w:bCs/>
          <w:sz w:val="32"/>
          <w:rtl/>
        </w:rPr>
        <w:t>ُ</w:t>
      </w:r>
      <w:r w:rsidRPr="00F27422">
        <w:rPr>
          <w:rFonts w:ascii="mylotus" w:hAnsi="mylotus"/>
          <w:b/>
          <w:bCs/>
          <w:sz w:val="32"/>
          <w:rtl/>
        </w:rPr>
        <w:t xml:space="preserve"> الأوّل:</w:t>
      </w:r>
      <w:r w:rsidRPr="00F27422">
        <w:rPr>
          <w:rFonts w:ascii="mylotus" w:hAnsi="mylotus"/>
          <w:sz w:val="32"/>
          <w:rtl/>
        </w:rPr>
        <w:t xml:space="preserve"> إنّ حمل قوله (عليه السلام) في صحيح محمّد بن مسلم: </w:t>
      </w:r>
      <w:r w:rsidRPr="00F27422">
        <w:rPr>
          <w:rFonts w:ascii="mylotus" w:hAnsi="mylotus"/>
          <w:b/>
          <w:bCs/>
          <w:sz w:val="32"/>
          <w:rtl/>
        </w:rPr>
        <w:t>(ولكن لهما الخيار إذا أدركا).</w:t>
      </w:r>
      <w:r w:rsidRPr="00F27422">
        <w:rPr>
          <w:rFonts w:ascii="mylotus" w:hAnsi="mylotus"/>
          <w:sz w:val="32"/>
          <w:rtl/>
        </w:rPr>
        <w:t xml:space="preserve"> [تهذيب الأحكام، شيخ الطائفة الطوسي، دار الكتب الإسلامية، ج7، كتاب النكاح، الباب 32 باب عقد المرأة على نفسها النكاح وأولياء الصبية وأحقهم بالعقد عليها، ح19، رقم</w:t>
      </w:r>
      <w:r w:rsidRPr="00F27422">
        <w:rPr>
          <w:rFonts w:ascii="mylotus" w:hAnsi="mylotus"/>
          <w:sz w:val="32"/>
        </w:rPr>
        <w:t xml:space="preserve"> (1543)</w:t>
      </w:r>
      <w:r w:rsidRPr="00F27422">
        <w:rPr>
          <w:rFonts w:ascii="mylotus" w:hAnsi="mylotus"/>
          <w:sz w:val="32"/>
          <w:rtl/>
        </w:rPr>
        <w:t>].</w:t>
      </w:r>
      <w:r w:rsidRPr="00F27422">
        <w:rPr>
          <w:rFonts w:ascii="mylotus" w:hAnsi="mylotus" w:hint="cs"/>
          <w:sz w:val="32"/>
          <w:rtl/>
        </w:rPr>
        <w:t xml:space="preserve"> </w:t>
      </w:r>
      <w:r w:rsidRPr="00F27422">
        <w:rPr>
          <w:rFonts w:ascii="mylotus" w:hAnsi="mylotus"/>
          <w:sz w:val="32"/>
          <w:rtl/>
        </w:rPr>
        <w:t>على فرض كون البالغة مالكةً أمرها، بمعنى: إنّما يكون لها الخيار إذا كانتْ مالكةً أمرها، غيرُ عرفي؛ بلحاظ نُدرة ملك الأمر لمن هي حديثة العهد بالبلوغ</w:t>
      </w:r>
      <w:r w:rsidRPr="00F27422">
        <w:rPr>
          <w:rFonts w:ascii="mylotus" w:hAnsi="mylotus" w:hint="cs"/>
          <w:sz w:val="32"/>
          <w:rtl/>
        </w:rPr>
        <w:t>؛</w:t>
      </w:r>
      <w:r w:rsidRPr="00F27422">
        <w:rPr>
          <w:rFonts w:ascii="mylotus" w:hAnsi="mylotus"/>
          <w:sz w:val="32"/>
          <w:rtl/>
        </w:rPr>
        <w:t xml:space="preserve"> إذ الغالب في م</w:t>
      </w:r>
      <w:r w:rsidRPr="00F27422">
        <w:rPr>
          <w:rFonts w:ascii="mylotus" w:hAnsi="mylotus" w:hint="cs"/>
          <w:sz w:val="32"/>
          <w:rtl/>
        </w:rPr>
        <w:t>َ</w:t>
      </w:r>
      <w:r w:rsidRPr="00F27422">
        <w:rPr>
          <w:rFonts w:ascii="mylotus" w:hAnsi="mylotus"/>
          <w:sz w:val="32"/>
          <w:rtl/>
        </w:rPr>
        <w:t>ن تكمل تسع سنوات أن</w:t>
      </w:r>
      <w:r w:rsidRPr="00F27422">
        <w:rPr>
          <w:rFonts w:ascii="mylotus" w:hAnsi="mylotus" w:hint="cs"/>
          <w:sz w:val="32"/>
          <w:rtl/>
        </w:rPr>
        <w:t>ْ</w:t>
      </w:r>
      <w:r w:rsidRPr="00F27422">
        <w:rPr>
          <w:rFonts w:ascii="mylotus" w:hAnsi="mylotus"/>
          <w:sz w:val="32"/>
          <w:rtl/>
        </w:rPr>
        <w:t xml:space="preserve"> لا تكون مالكةً لأمرها، فحمل قوله (عليه السلام): </w:t>
      </w:r>
      <w:r w:rsidRPr="00F27422">
        <w:rPr>
          <w:rFonts w:ascii="mylotus" w:hAnsi="mylotus"/>
          <w:b/>
          <w:bCs/>
          <w:sz w:val="32"/>
          <w:rtl/>
        </w:rPr>
        <w:t xml:space="preserve">(ولكن لهما الخيار إذا أدركا) </w:t>
      </w:r>
      <w:r w:rsidRPr="00F27422">
        <w:rPr>
          <w:rFonts w:ascii="mylotus" w:hAnsi="mylotus"/>
          <w:sz w:val="32"/>
          <w:rtl/>
        </w:rPr>
        <w:t xml:space="preserve">على من كانتْ مالكةً لأمرها حمل على فرضٍ نادرٍ، فهذا مُبعدٌ عرفي لكون هذه الطائفة شاهدَ جمعٍ بين الروايات المتعارضة في ثبوت الخيار لها عند </w:t>
      </w:r>
      <w:proofErr w:type="gramStart"/>
      <w:r w:rsidRPr="00F27422">
        <w:rPr>
          <w:rFonts w:ascii="mylotus" w:hAnsi="mylotus"/>
          <w:sz w:val="32"/>
          <w:rtl/>
        </w:rPr>
        <w:t>البلوغ  في</w:t>
      </w:r>
      <w:proofErr w:type="gramEnd"/>
      <w:r w:rsidRPr="00F27422">
        <w:rPr>
          <w:rFonts w:ascii="mylotus" w:hAnsi="mylotus"/>
          <w:sz w:val="32"/>
          <w:rtl/>
        </w:rPr>
        <w:t xml:space="preserve"> العقد السابق عليه</w:t>
      </w:r>
      <w:r w:rsidRPr="00F27422">
        <w:rPr>
          <w:rFonts w:ascii="mylotus" w:hAnsi="mylotus" w:hint="cs"/>
          <w:sz w:val="32"/>
          <w:rtl/>
        </w:rPr>
        <w:t>.</w:t>
      </w:r>
    </w:p>
    <w:p w14:paraId="42C0055C"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الوجه</w:t>
      </w:r>
      <w:r w:rsidRPr="00F27422">
        <w:rPr>
          <w:rFonts w:ascii="mylotus" w:hAnsi="mylotus" w:hint="cs"/>
          <w:b/>
          <w:bCs/>
          <w:sz w:val="32"/>
          <w:rtl/>
        </w:rPr>
        <w:t>ُ</w:t>
      </w:r>
      <w:r w:rsidRPr="00F27422">
        <w:rPr>
          <w:rFonts w:ascii="mylotus" w:hAnsi="mylotus"/>
          <w:b/>
          <w:bCs/>
          <w:sz w:val="32"/>
          <w:rtl/>
        </w:rPr>
        <w:t xml:space="preserve"> الثاني:</w:t>
      </w:r>
      <w:r w:rsidRPr="00F27422">
        <w:rPr>
          <w:rFonts w:ascii="mylotus" w:hAnsi="mylotus"/>
          <w:sz w:val="32"/>
          <w:rtl/>
        </w:rPr>
        <w:t xml:space="preserve"> معارضة ذلك بإطلاق ما دلّ على أنّ للأب نقض العقد، وهي صحيحة زرارة، كما في الوسائل: </w:t>
      </w:r>
      <w:r w:rsidRPr="00F27422">
        <w:rPr>
          <w:rFonts w:ascii="mylotus" w:hAnsi="mylotus"/>
          <w:b/>
          <w:bCs/>
          <w:sz w:val="32"/>
          <w:rtl/>
        </w:rPr>
        <w:t>(محمّد بن يعقوب، عن محمّد بن يحيى، عن أحمد بن محمّد، عن ابن محبوب، عن علي بن رئاب، عن زرارة بن أعين قال: سمعت أبا جعفر (عليه السلام) يقول: لا ينقض النكاح إلا الأب).</w:t>
      </w:r>
      <w:r w:rsidRPr="00F27422">
        <w:rPr>
          <w:rFonts w:ascii="mylotus" w:hAnsi="mylotus"/>
          <w:sz w:val="32"/>
          <w:rtl/>
        </w:rPr>
        <w:t xml:space="preserve"> [وسائل الشيعة، الحر العاملي، تحقيق مؤسسة آل البيت (عليهم السلام) لإحياء التراث، ج20، كتاب النكاح، أبواب عقد النكاح وأولياء العقد، الباب 4 باب أن البكر البالغ الرشيدة التي ليس لها أب أمرها بيدها، ولا ولاية لأحد عليها في التزويج، ح1]</w:t>
      </w:r>
      <w:r w:rsidRPr="00F27422">
        <w:rPr>
          <w:rFonts w:ascii="mylotus" w:hAnsi="mylotus"/>
          <w:sz w:val="32"/>
        </w:rPr>
        <w:t>.</w:t>
      </w:r>
    </w:p>
    <w:p w14:paraId="5B9A7F33"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sz w:val="32"/>
          <w:rtl/>
        </w:rPr>
        <w:t>ونحوه صحيحة محمّد بن مسلم، عن أبي جعفر (عليه السلام) بنفس اللفظ. [المصدر السابق، ح5]</w:t>
      </w:r>
      <w:r w:rsidRPr="00F27422">
        <w:rPr>
          <w:rFonts w:ascii="mylotus" w:hAnsi="mylotus"/>
          <w:sz w:val="32"/>
        </w:rPr>
        <w:t>.</w:t>
      </w:r>
    </w:p>
    <w:p w14:paraId="510EAD21" w14:textId="77777777" w:rsidR="00493BAB" w:rsidRPr="00F27422" w:rsidRDefault="00493BAB" w:rsidP="00122B70">
      <w:pPr>
        <w:pStyle w:val="a"/>
        <w:bidi/>
        <w:spacing w:line="216" w:lineRule="auto"/>
        <w:jc w:val="left"/>
        <w:rPr>
          <w:rFonts w:ascii="mylotus" w:hAnsi="mylotus"/>
          <w:sz w:val="32"/>
          <w:rtl/>
        </w:rPr>
      </w:pPr>
      <w:r w:rsidRPr="00F27422">
        <w:rPr>
          <w:rFonts w:ascii="mylotus" w:hAnsi="mylotus"/>
          <w:sz w:val="32"/>
          <w:rtl/>
        </w:rPr>
        <w:lastRenderedPageBreak/>
        <w:t xml:space="preserve">حيث إنّ ظاهره أنّ البنت وإنْ أبرمت العقد إلّا أنّ للأب حقّ النقض متى شاء، وهذا مما لا يجتمع عرفاً مع ما دلّ على أنّها إنْ كانتْ مالكةً أمرها </w:t>
      </w:r>
      <w:r w:rsidRPr="00F27422">
        <w:rPr>
          <w:rFonts w:ascii="mylotus" w:hAnsi="mylotus" w:hint="cs"/>
          <w:b/>
          <w:bCs/>
          <w:sz w:val="32"/>
          <w:rtl/>
        </w:rPr>
        <w:t>(</w:t>
      </w:r>
      <w:r w:rsidRPr="00F27422">
        <w:rPr>
          <w:rFonts w:ascii="mylotus" w:hAnsi="mylotus"/>
          <w:b/>
          <w:bCs/>
          <w:sz w:val="32"/>
          <w:rtl/>
        </w:rPr>
        <w:t>تزوجت متى شاءتْ</w:t>
      </w:r>
      <w:r w:rsidRPr="00F27422">
        <w:rPr>
          <w:rFonts w:ascii="mylotus" w:hAnsi="mylotus" w:hint="cs"/>
          <w:b/>
          <w:bCs/>
          <w:sz w:val="32"/>
          <w:rtl/>
        </w:rPr>
        <w:t>)</w:t>
      </w:r>
      <w:r w:rsidRPr="00F27422">
        <w:rPr>
          <w:rFonts w:ascii="mylotus" w:hAnsi="mylotus"/>
          <w:sz w:val="32"/>
          <w:rtl/>
        </w:rPr>
        <w:t xml:space="preserve"> أو </w:t>
      </w:r>
      <w:r w:rsidRPr="00F27422">
        <w:rPr>
          <w:rFonts w:ascii="mylotus" w:hAnsi="mylotus" w:hint="cs"/>
          <w:b/>
          <w:bCs/>
          <w:sz w:val="32"/>
          <w:rtl/>
        </w:rPr>
        <w:t>(</w:t>
      </w:r>
      <w:r w:rsidRPr="00F27422">
        <w:rPr>
          <w:rFonts w:ascii="mylotus" w:hAnsi="mylotus"/>
          <w:b/>
          <w:bCs/>
          <w:sz w:val="32"/>
          <w:rtl/>
        </w:rPr>
        <w:t>وإنْ شاءتْ جعلت لها وليّاً</w:t>
      </w:r>
      <w:r w:rsidRPr="00F27422">
        <w:rPr>
          <w:rFonts w:ascii="mylotus" w:hAnsi="mylotus" w:hint="cs"/>
          <w:b/>
          <w:bCs/>
          <w:sz w:val="32"/>
          <w:rtl/>
        </w:rPr>
        <w:t>)</w:t>
      </w:r>
      <w:r w:rsidRPr="00F27422">
        <w:rPr>
          <w:rFonts w:ascii="mylotus" w:hAnsi="mylotus"/>
          <w:sz w:val="32"/>
          <w:rtl/>
        </w:rPr>
        <w:t xml:space="preserve"> فإن</w:t>
      </w:r>
      <w:r w:rsidRPr="00F27422">
        <w:rPr>
          <w:rFonts w:ascii="mylotus" w:hAnsi="mylotus" w:hint="cs"/>
          <w:sz w:val="32"/>
          <w:rtl/>
        </w:rPr>
        <w:t>ّ</w:t>
      </w:r>
      <w:r w:rsidRPr="00F27422">
        <w:rPr>
          <w:rFonts w:ascii="mylotus" w:hAnsi="mylotus"/>
          <w:sz w:val="32"/>
          <w:rtl/>
        </w:rPr>
        <w:t xml:space="preserve"> المفادين مما لا</w:t>
      </w:r>
      <w:r w:rsidRPr="00F27422">
        <w:rPr>
          <w:rFonts w:ascii="mylotus" w:hAnsi="mylotus" w:hint="cs"/>
          <w:sz w:val="32"/>
          <w:rtl/>
        </w:rPr>
        <w:t xml:space="preserve"> </w:t>
      </w:r>
      <w:r w:rsidRPr="00F27422">
        <w:rPr>
          <w:rFonts w:ascii="mylotus" w:hAnsi="mylotus"/>
          <w:sz w:val="32"/>
          <w:rtl/>
        </w:rPr>
        <w:t>يجتمعان عرفا</w:t>
      </w:r>
      <w:r w:rsidRPr="00F27422">
        <w:rPr>
          <w:rFonts w:ascii="mylotus" w:hAnsi="mylotus" w:hint="cs"/>
          <w:sz w:val="32"/>
          <w:rtl/>
        </w:rPr>
        <w:t>ً.</w:t>
      </w:r>
    </w:p>
    <w:p w14:paraId="3B14B084"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sz w:val="32"/>
          <w:rtl/>
        </w:rPr>
        <w:t xml:space="preserve">ولكن تصدى للجمع بينهما الفقيه النبيه سيد المستمسك (قدس سره الشريف) في كتابه [مستمسك العروة الوثقى، السيد محسن الطباطبائي الحكيم، دار إحياء التراث العربي، ج14، ص448] بقوله: </w:t>
      </w:r>
      <w:r w:rsidRPr="00F27422">
        <w:rPr>
          <w:rFonts w:ascii="mylotus" w:hAnsi="mylotus"/>
          <w:b/>
          <w:bCs/>
          <w:sz w:val="32"/>
          <w:rtl/>
        </w:rPr>
        <w:t>(وأنه إذا عقدت البنت صح عقدها لكن يجوز للأب نقضه فإذا نقضه انتقض اعتماداً على</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صحيح</w:t>
      </w:r>
      <w:r w:rsidRPr="00F27422">
        <w:rPr>
          <w:rFonts w:ascii="mylotus" w:hAnsi="mylotus"/>
          <w:b/>
          <w:bCs/>
          <w:sz w:val="32"/>
          <w:rtl/>
        </w:rPr>
        <w:t xml:space="preserve"> </w:t>
      </w:r>
      <w:r w:rsidRPr="00F27422">
        <w:rPr>
          <w:rFonts w:ascii="mylotus" w:hAnsi="mylotus" w:hint="cs"/>
          <w:b/>
          <w:bCs/>
          <w:sz w:val="32"/>
          <w:rtl/>
        </w:rPr>
        <w:t>زرارة</w:t>
      </w:r>
      <w:r w:rsidRPr="00F27422">
        <w:rPr>
          <w:rFonts w:ascii="mylotus" w:hAnsi="mylotus"/>
          <w:b/>
          <w:bCs/>
          <w:sz w:val="32"/>
          <w:rtl/>
        </w:rPr>
        <w:t>: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ينقض</w:t>
      </w:r>
      <w:r w:rsidRPr="00F27422">
        <w:rPr>
          <w:rFonts w:ascii="mylotus" w:hAnsi="mylotus"/>
          <w:b/>
          <w:bCs/>
          <w:sz w:val="32"/>
          <w:rtl/>
        </w:rPr>
        <w:t xml:space="preserve"> </w:t>
      </w:r>
      <w:r w:rsidRPr="00F27422">
        <w:rPr>
          <w:rFonts w:ascii="mylotus" w:hAnsi="mylotus" w:hint="cs"/>
          <w:b/>
          <w:bCs/>
          <w:sz w:val="32"/>
          <w:rtl/>
        </w:rPr>
        <w:t>النكاح</w:t>
      </w:r>
      <w:r w:rsidRPr="00F27422">
        <w:rPr>
          <w:rFonts w:ascii="mylotus" w:hAnsi="mylotus"/>
          <w:b/>
          <w:bCs/>
          <w:sz w:val="32"/>
          <w:rtl/>
        </w:rPr>
        <w:t xml:space="preserve"> </w:t>
      </w:r>
      <w:r w:rsidRPr="00F27422">
        <w:rPr>
          <w:rFonts w:ascii="mylotus" w:hAnsi="mylotus" w:hint="cs"/>
          <w:b/>
          <w:bCs/>
          <w:sz w:val="32"/>
          <w:rtl/>
        </w:rPr>
        <w:t>إلا</w:t>
      </w:r>
      <w:r w:rsidRPr="00F27422">
        <w:rPr>
          <w:rFonts w:ascii="mylotus" w:hAnsi="mylotus"/>
          <w:b/>
          <w:bCs/>
          <w:sz w:val="32"/>
          <w:rtl/>
        </w:rPr>
        <w:t xml:space="preserve"> </w:t>
      </w:r>
      <w:r w:rsidRPr="00F27422">
        <w:rPr>
          <w:rFonts w:ascii="mylotus" w:hAnsi="mylotus" w:hint="cs"/>
          <w:b/>
          <w:bCs/>
          <w:sz w:val="32"/>
          <w:rtl/>
        </w:rPr>
        <w:t>الأب</w:t>
      </w:r>
      <w:r w:rsidRPr="00F27422">
        <w:rPr>
          <w:rFonts w:ascii="mylotus" w:hAnsi="mylotus"/>
          <w:b/>
          <w:bCs/>
          <w:sz w:val="32"/>
          <w:rtl/>
        </w:rPr>
        <w:t xml:space="preserve">) </w:t>
      </w:r>
      <w:r w:rsidRPr="00F27422">
        <w:rPr>
          <w:rFonts w:ascii="mylotus" w:hAnsi="mylotus" w:hint="cs"/>
          <w:b/>
          <w:bCs/>
          <w:sz w:val="32"/>
          <w:rtl/>
        </w:rPr>
        <w:t>ونحوه</w:t>
      </w:r>
      <w:r w:rsidRPr="00F27422">
        <w:rPr>
          <w:rFonts w:ascii="mylotus" w:hAnsi="mylotus"/>
          <w:b/>
          <w:bCs/>
          <w:sz w:val="32"/>
          <w:rtl/>
        </w:rPr>
        <w:t xml:space="preserve"> </w:t>
      </w:r>
      <w:r w:rsidRPr="00F27422">
        <w:rPr>
          <w:rFonts w:ascii="mylotus" w:hAnsi="mylotus" w:hint="cs"/>
          <w:b/>
          <w:bCs/>
          <w:sz w:val="32"/>
          <w:rtl/>
        </w:rPr>
        <w:t>صحيح</w:t>
      </w:r>
      <w:r w:rsidRPr="00F27422">
        <w:rPr>
          <w:rFonts w:ascii="mylotus" w:hAnsi="mylotus"/>
          <w:b/>
          <w:bCs/>
          <w:sz w:val="32"/>
          <w:rtl/>
        </w:rPr>
        <w:t xml:space="preserve"> </w:t>
      </w:r>
      <w:r w:rsidRPr="00F27422">
        <w:rPr>
          <w:rFonts w:ascii="mylotus" w:hAnsi="mylotus" w:hint="cs"/>
          <w:b/>
          <w:bCs/>
          <w:sz w:val="32"/>
          <w:rtl/>
        </w:rPr>
        <w:t>محمد</w:t>
      </w:r>
      <w:r w:rsidRPr="00F27422">
        <w:rPr>
          <w:rFonts w:ascii="mylotus" w:hAnsi="mylotus"/>
          <w:b/>
          <w:bCs/>
          <w:sz w:val="32"/>
          <w:rtl/>
        </w:rPr>
        <w:t xml:space="preserve"> </w:t>
      </w:r>
      <w:r w:rsidRPr="00F27422">
        <w:rPr>
          <w:rFonts w:ascii="mylotus" w:hAnsi="mylotus" w:hint="cs"/>
          <w:b/>
          <w:bCs/>
          <w:sz w:val="32"/>
          <w:rtl/>
        </w:rPr>
        <w:t>بن</w:t>
      </w:r>
      <w:r w:rsidRPr="00F27422">
        <w:rPr>
          <w:rFonts w:ascii="mylotus" w:hAnsi="mylotus"/>
          <w:b/>
          <w:bCs/>
          <w:sz w:val="32"/>
          <w:rtl/>
        </w:rPr>
        <w:t xml:space="preserve"> </w:t>
      </w:r>
      <w:r w:rsidRPr="00F27422">
        <w:rPr>
          <w:rFonts w:ascii="mylotus" w:hAnsi="mylotus" w:hint="cs"/>
          <w:b/>
          <w:bCs/>
          <w:sz w:val="32"/>
          <w:rtl/>
        </w:rPr>
        <w:t>مسلم</w:t>
      </w:r>
      <w:r w:rsidRPr="00F27422">
        <w:rPr>
          <w:rFonts w:ascii="mylotus" w:hAnsi="mylotus"/>
          <w:b/>
          <w:bCs/>
          <w:sz w:val="32"/>
          <w:rtl/>
        </w:rPr>
        <w:t xml:space="preserve"> </w:t>
      </w:r>
      <w:r w:rsidRPr="00F27422">
        <w:rPr>
          <w:rFonts w:ascii="mylotus" w:hAnsi="mylotus" w:hint="cs"/>
          <w:b/>
          <w:bCs/>
          <w:sz w:val="32"/>
          <w:rtl/>
        </w:rPr>
        <w:t>وصحيح</w:t>
      </w:r>
      <w:r w:rsidRPr="00F27422">
        <w:rPr>
          <w:rFonts w:ascii="mylotus" w:hAnsi="mylotus"/>
          <w:b/>
          <w:bCs/>
          <w:sz w:val="32"/>
          <w:rtl/>
        </w:rPr>
        <w:t xml:space="preserve"> </w:t>
      </w:r>
      <w:r w:rsidRPr="00F27422">
        <w:rPr>
          <w:rFonts w:ascii="mylotus" w:hAnsi="mylotus" w:hint="cs"/>
          <w:b/>
          <w:bCs/>
          <w:sz w:val="32"/>
          <w:rtl/>
        </w:rPr>
        <w:t>الحلبي</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ما</w:t>
      </w:r>
      <w:r w:rsidRPr="00F27422">
        <w:rPr>
          <w:rFonts w:ascii="mylotus" w:hAnsi="mylotus"/>
          <w:b/>
          <w:bCs/>
          <w:sz w:val="32"/>
          <w:rtl/>
        </w:rPr>
        <w:t xml:space="preserve"> </w:t>
      </w:r>
      <w:r w:rsidRPr="00F27422">
        <w:rPr>
          <w:rFonts w:ascii="mylotus" w:hAnsi="mylotus" w:hint="cs"/>
          <w:b/>
          <w:bCs/>
          <w:sz w:val="32"/>
          <w:rtl/>
        </w:rPr>
        <w:t>عرفت</w:t>
      </w:r>
      <w:r w:rsidRPr="00F27422">
        <w:rPr>
          <w:rFonts w:ascii="mylotus" w:hAnsi="mylotus"/>
          <w:b/>
          <w:bCs/>
          <w:sz w:val="32"/>
          <w:rtl/>
        </w:rPr>
        <w:t xml:space="preserve">) </w:t>
      </w:r>
      <w:r w:rsidRPr="00F27422">
        <w:rPr>
          <w:rFonts w:ascii="mylotus" w:hAnsi="mylotus" w:hint="cs"/>
          <w:sz w:val="32"/>
          <w:rtl/>
        </w:rPr>
        <w:t>فإنّ</w:t>
      </w:r>
      <w:r w:rsidRPr="00F27422">
        <w:rPr>
          <w:rFonts w:ascii="mylotus" w:hAnsi="mylotus"/>
          <w:sz w:val="32"/>
          <w:rtl/>
        </w:rPr>
        <w:t xml:space="preserve"> </w:t>
      </w:r>
      <w:r w:rsidRPr="00F27422">
        <w:rPr>
          <w:rFonts w:ascii="mylotus" w:hAnsi="mylotus" w:hint="cs"/>
          <w:sz w:val="32"/>
          <w:rtl/>
        </w:rPr>
        <w:t>منطوق</w:t>
      </w:r>
      <w:r w:rsidRPr="00F27422">
        <w:rPr>
          <w:rFonts w:ascii="mylotus" w:hAnsi="mylotus"/>
          <w:sz w:val="32"/>
          <w:rtl/>
        </w:rPr>
        <w:t xml:space="preserve"> </w:t>
      </w:r>
      <w:r w:rsidRPr="00F27422">
        <w:rPr>
          <w:rFonts w:ascii="mylotus" w:hAnsi="mylotus" w:hint="cs"/>
          <w:sz w:val="32"/>
          <w:rtl/>
        </w:rPr>
        <w:t>صحيح</w:t>
      </w:r>
      <w:r w:rsidRPr="00F27422">
        <w:rPr>
          <w:rFonts w:ascii="mylotus" w:hAnsi="mylotus"/>
          <w:sz w:val="32"/>
          <w:rtl/>
        </w:rPr>
        <w:t xml:space="preserve"> </w:t>
      </w:r>
      <w:r w:rsidRPr="00F27422">
        <w:rPr>
          <w:rFonts w:ascii="mylotus" w:hAnsi="mylotus" w:hint="cs"/>
          <w:sz w:val="32"/>
          <w:rtl/>
        </w:rPr>
        <w:t>الحلبي</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لها</w:t>
      </w:r>
      <w:r w:rsidRPr="00F27422">
        <w:rPr>
          <w:rFonts w:ascii="mylotus" w:hAnsi="mylotus"/>
          <w:sz w:val="32"/>
          <w:rtl/>
        </w:rPr>
        <w:t xml:space="preserve"> </w:t>
      </w:r>
      <w:r w:rsidRPr="00F27422">
        <w:rPr>
          <w:rFonts w:ascii="mylotus" w:hAnsi="mylotus" w:hint="cs"/>
          <w:sz w:val="32"/>
          <w:rtl/>
        </w:rPr>
        <w:t>مع</w:t>
      </w:r>
      <w:r w:rsidRPr="00F27422">
        <w:rPr>
          <w:rFonts w:ascii="mylotus" w:hAnsi="mylotus"/>
          <w:sz w:val="32"/>
          <w:rtl/>
        </w:rPr>
        <w:t xml:space="preserve"> </w:t>
      </w:r>
      <w:r w:rsidRPr="00F27422">
        <w:rPr>
          <w:rFonts w:ascii="mylotus" w:hAnsi="mylotus" w:hint="cs"/>
          <w:sz w:val="32"/>
          <w:rtl/>
        </w:rPr>
        <w:t>أبيها</w:t>
      </w:r>
      <w:r w:rsidRPr="00F27422">
        <w:rPr>
          <w:rFonts w:ascii="mylotus" w:hAnsi="mylotus"/>
          <w:sz w:val="32"/>
          <w:rtl/>
        </w:rPr>
        <w:t xml:space="preserve"> </w:t>
      </w:r>
      <w:r w:rsidRPr="00F27422">
        <w:rPr>
          <w:rFonts w:ascii="mylotus" w:hAnsi="mylotus" w:hint="cs"/>
          <w:sz w:val="32"/>
          <w:rtl/>
        </w:rPr>
        <w:t>أمر</w:t>
      </w:r>
      <w:r w:rsidRPr="00F27422">
        <w:rPr>
          <w:rFonts w:ascii="mylotus" w:hAnsi="mylotus"/>
          <w:sz w:val="32"/>
          <w:rtl/>
        </w:rPr>
        <w:t xml:space="preserve">" </w:t>
      </w:r>
      <w:r w:rsidRPr="00F27422">
        <w:rPr>
          <w:rFonts w:ascii="mylotus" w:hAnsi="mylotus" w:hint="cs"/>
          <w:sz w:val="32"/>
          <w:rtl/>
        </w:rPr>
        <w:t>لكن</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المحتمل</w:t>
      </w:r>
      <w:r w:rsidRPr="00F27422">
        <w:rPr>
          <w:rFonts w:ascii="mylotus" w:hAnsi="mylotus"/>
          <w:sz w:val="32"/>
          <w:rtl/>
        </w:rPr>
        <w:t xml:space="preserve"> </w:t>
      </w:r>
      <w:r w:rsidRPr="00F27422">
        <w:rPr>
          <w:rFonts w:ascii="mylotus" w:hAnsi="mylotus" w:hint="cs"/>
          <w:sz w:val="32"/>
          <w:rtl/>
        </w:rPr>
        <w:t>عرفاً</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المقصود</w:t>
      </w:r>
      <w:r w:rsidRPr="00F27422">
        <w:rPr>
          <w:rFonts w:ascii="mylotus" w:hAnsi="mylotus"/>
          <w:sz w:val="32"/>
          <w:rtl/>
        </w:rPr>
        <w:t xml:space="preserve"> </w:t>
      </w:r>
      <w:r w:rsidRPr="00F27422">
        <w:rPr>
          <w:rFonts w:ascii="mylotus" w:hAnsi="mylotus" w:hint="cs"/>
          <w:sz w:val="32"/>
          <w:rtl/>
        </w:rPr>
        <w:t>بهذه</w:t>
      </w:r>
      <w:r w:rsidRPr="00F27422">
        <w:rPr>
          <w:rFonts w:ascii="mylotus" w:hAnsi="mylotus"/>
          <w:sz w:val="32"/>
          <w:rtl/>
        </w:rPr>
        <w:t xml:space="preserve"> </w:t>
      </w:r>
      <w:r w:rsidRPr="00F27422">
        <w:rPr>
          <w:rFonts w:ascii="mylotus" w:hAnsi="mylotus" w:hint="cs"/>
          <w:sz w:val="32"/>
          <w:rtl/>
        </w:rPr>
        <w:t>العبارة</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شؤون</w:t>
      </w:r>
      <w:r w:rsidRPr="00F27422">
        <w:rPr>
          <w:rFonts w:ascii="mylotus" w:hAnsi="mylotus"/>
          <w:sz w:val="32"/>
          <w:rtl/>
        </w:rPr>
        <w:t xml:space="preserve"> </w:t>
      </w:r>
      <w:r w:rsidRPr="00F27422">
        <w:rPr>
          <w:rFonts w:ascii="mylotus" w:hAnsi="mylotus" w:hint="cs"/>
          <w:sz w:val="32"/>
          <w:rtl/>
        </w:rPr>
        <w:t>أمر</w:t>
      </w:r>
      <w:r w:rsidRPr="00F27422">
        <w:rPr>
          <w:rFonts w:ascii="mylotus" w:hAnsi="mylotus"/>
          <w:sz w:val="32"/>
          <w:rtl/>
        </w:rPr>
        <w:t xml:space="preserve"> </w:t>
      </w:r>
      <w:r w:rsidRPr="00F27422">
        <w:rPr>
          <w:rFonts w:ascii="mylotus" w:hAnsi="mylotus" w:hint="cs"/>
          <w:sz w:val="32"/>
          <w:rtl/>
        </w:rPr>
        <w:t>أبيها</w:t>
      </w:r>
      <w:r w:rsidRPr="00F27422">
        <w:rPr>
          <w:rFonts w:ascii="mylotus" w:hAnsi="mylotus"/>
          <w:sz w:val="32"/>
          <w:rtl/>
        </w:rPr>
        <w:t xml:space="preserve"> </w:t>
      </w:r>
      <w:r w:rsidRPr="00F27422">
        <w:rPr>
          <w:rFonts w:ascii="mylotus" w:hAnsi="mylotus" w:hint="cs"/>
          <w:sz w:val="32"/>
          <w:rtl/>
        </w:rPr>
        <w:t>عليها</w:t>
      </w:r>
      <w:r w:rsidRPr="00F27422">
        <w:rPr>
          <w:rFonts w:ascii="mylotus" w:hAnsi="mylotus"/>
          <w:sz w:val="32"/>
          <w:rtl/>
        </w:rPr>
        <w:t xml:space="preserve"> </w:t>
      </w:r>
      <w:r w:rsidRPr="00F27422">
        <w:rPr>
          <w:rFonts w:ascii="mylotus" w:hAnsi="mylotus" w:hint="cs"/>
          <w:sz w:val="32"/>
          <w:rtl/>
        </w:rPr>
        <w:t>أنّه</w:t>
      </w:r>
      <w:r w:rsidRPr="00F27422">
        <w:rPr>
          <w:rFonts w:ascii="mylotus" w:hAnsi="mylotus"/>
          <w:sz w:val="32"/>
          <w:rtl/>
        </w:rPr>
        <w:t xml:space="preserve">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لعقدها</w:t>
      </w:r>
      <w:r w:rsidRPr="00F27422">
        <w:rPr>
          <w:rFonts w:ascii="mylotus" w:hAnsi="mylotus"/>
          <w:sz w:val="32"/>
          <w:rtl/>
        </w:rPr>
        <w:t xml:space="preserve"> </w:t>
      </w:r>
      <w:r w:rsidRPr="00F27422">
        <w:rPr>
          <w:rFonts w:ascii="mylotus" w:hAnsi="mylotus" w:hint="cs"/>
          <w:sz w:val="32"/>
          <w:rtl/>
        </w:rPr>
        <w:t>استمرار</w:t>
      </w:r>
      <w:r w:rsidRPr="00F27422">
        <w:rPr>
          <w:rFonts w:ascii="mylotus" w:hAnsi="mylotus"/>
          <w:sz w:val="32"/>
          <w:rtl/>
        </w:rPr>
        <w:t xml:space="preserve"> </w:t>
      </w:r>
      <w:r w:rsidRPr="00F27422">
        <w:rPr>
          <w:rFonts w:ascii="mylotus" w:hAnsi="mylotus" w:hint="cs"/>
          <w:sz w:val="32"/>
          <w:rtl/>
        </w:rPr>
        <w:t>مع</w:t>
      </w:r>
      <w:r w:rsidRPr="00F27422">
        <w:rPr>
          <w:rFonts w:ascii="mylotus" w:hAnsi="mylotus"/>
          <w:sz w:val="32"/>
          <w:rtl/>
        </w:rPr>
        <w:t xml:space="preserve"> </w:t>
      </w:r>
      <w:r w:rsidRPr="00F27422">
        <w:rPr>
          <w:rFonts w:ascii="mylotus" w:hAnsi="mylotus" w:hint="cs"/>
          <w:sz w:val="32"/>
          <w:rtl/>
        </w:rPr>
        <w:t>نقض</w:t>
      </w:r>
      <w:r w:rsidRPr="00F27422">
        <w:rPr>
          <w:rFonts w:ascii="mylotus" w:hAnsi="mylotus"/>
          <w:sz w:val="32"/>
          <w:rtl/>
        </w:rPr>
        <w:t xml:space="preserve"> </w:t>
      </w:r>
      <w:r w:rsidRPr="00F27422">
        <w:rPr>
          <w:rFonts w:ascii="mylotus" w:hAnsi="mylotus" w:hint="cs"/>
          <w:sz w:val="32"/>
          <w:rtl/>
        </w:rPr>
        <w:t>الأب،</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فالنصوص</w:t>
      </w:r>
      <w:r w:rsidRPr="00F27422">
        <w:rPr>
          <w:rFonts w:ascii="mylotus" w:hAnsi="mylotus"/>
          <w:b/>
          <w:bCs/>
          <w:sz w:val="32"/>
          <w:rtl/>
        </w:rPr>
        <w:t xml:space="preserve"> </w:t>
      </w:r>
      <w:r w:rsidRPr="00F27422">
        <w:rPr>
          <w:rFonts w:ascii="mylotus" w:hAnsi="mylotus" w:hint="cs"/>
          <w:b/>
          <w:bCs/>
          <w:sz w:val="32"/>
          <w:rtl/>
        </w:rPr>
        <w:t>خمس</w:t>
      </w:r>
      <w:r w:rsidRPr="00F27422">
        <w:rPr>
          <w:rFonts w:ascii="mylotus" w:hAnsi="mylotus"/>
          <w:b/>
          <w:bCs/>
          <w:sz w:val="32"/>
          <w:rtl/>
        </w:rPr>
        <w:t>ة أصناف: صنف: يدل على استقلال الأب.)</w:t>
      </w:r>
      <w:r w:rsidRPr="00F27422">
        <w:rPr>
          <w:rFonts w:ascii="mylotus" w:hAnsi="mylotus"/>
          <w:sz w:val="32"/>
          <w:rtl/>
        </w:rPr>
        <w:t xml:space="preserve"> وهو: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لها</w:t>
      </w:r>
      <w:r w:rsidRPr="00F27422">
        <w:rPr>
          <w:rFonts w:ascii="mylotus" w:hAnsi="mylotus"/>
          <w:sz w:val="32"/>
          <w:rtl/>
        </w:rPr>
        <w:t xml:space="preserve"> </w:t>
      </w:r>
      <w:r w:rsidRPr="00F27422">
        <w:rPr>
          <w:rFonts w:ascii="mylotus" w:hAnsi="mylotus" w:hint="cs"/>
          <w:sz w:val="32"/>
          <w:rtl/>
        </w:rPr>
        <w:t>مع</w:t>
      </w:r>
      <w:r w:rsidRPr="00F27422">
        <w:rPr>
          <w:rFonts w:ascii="mylotus" w:hAnsi="mylotus"/>
          <w:sz w:val="32"/>
          <w:rtl/>
        </w:rPr>
        <w:t xml:space="preserve"> </w:t>
      </w:r>
      <w:r w:rsidRPr="00F27422">
        <w:rPr>
          <w:rFonts w:ascii="mylotus" w:hAnsi="mylotus" w:hint="cs"/>
          <w:sz w:val="32"/>
          <w:rtl/>
        </w:rPr>
        <w:t>أبيها</w:t>
      </w:r>
      <w:r w:rsidRPr="00F27422">
        <w:rPr>
          <w:rFonts w:ascii="mylotus" w:hAnsi="mylotus"/>
          <w:sz w:val="32"/>
          <w:rtl/>
        </w:rPr>
        <w:t xml:space="preserve"> </w:t>
      </w:r>
      <w:r w:rsidRPr="00F27422">
        <w:rPr>
          <w:rFonts w:ascii="mylotus" w:hAnsi="mylotus" w:hint="cs"/>
          <w:sz w:val="32"/>
          <w:rtl/>
        </w:rPr>
        <w:t>أمر</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وآخر</w:t>
      </w:r>
      <w:r w:rsidRPr="00F27422">
        <w:rPr>
          <w:rFonts w:ascii="mylotus" w:hAnsi="mylotus"/>
          <w:b/>
          <w:bCs/>
          <w:sz w:val="32"/>
          <w:rtl/>
        </w:rPr>
        <w:t xml:space="preserve">: </w:t>
      </w:r>
      <w:r w:rsidRPr="00F27422">
        <w:rPr>
          <w:rFonts w:ascii="mylotus" w:hAnsi="mylotus" w:hint="cs"/>
          <w:b/>
          <w:bCs/>
          <w:sz w:val="32"/>
          <w:rtl/>
        </w:rPr>
        <w:t>يدل</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استقلال</w:t>
      </w:r>
      <w:r w:rsidRPr="00F27422">
        <w:rPr>
          <w:rFonts w:ascii="mylotus" w:hAnsi="mylotus"/>
          <w:b/>
          <w:bCs/>
          <w:sz w:val="32"/>
          <w:rtl/>
        </w:rPr>
        <w:t xml:space="preserve"> </w:t>
      </w:r>
      <w:r w:rsidRPr="00F27422">
        <w:rPr>
          <w:rFonts w:ascii="mylotus" w:hAnsi="mylotus" w:hint="cs"/>
          <w:b/>
          <w:bCs/>
          <w:sz w:val="32"/>
          <w:rtl/>
        </w:rPr>
        <w:t>البنت</w:t>
      </w:r>
      <w:r w:rsidRPr="00F27422">
        <w:rPr>
          <w:rFonts w:ascii="mylotus" w:hAnsi="mylotus"/>
          <w:b/>
          <w:bCs/>
          <w:sz w:val="32"/>
          <w:rtl/>
        </w:rPr>
        <w:t xml:space="preserve">.) </w:t>
      </w:r>
      <w:r w:rsidRPr="00F27422">
        <w:rPr>
          <w:rFonts w:ascii="mylotus" w:hAnsi="mylotus" w:hint="cs"/>
          <w:sz w:val="32"/>
          <w:rtl/>
        </w:rPr>
        <w:t>وهو</w:t>
      </w:r>
      <w:r w:rsidRPr="00F27422">
        <w:rPr>
          <w:rFonts w:ascii="mylotus" w:hAnsi="mylotus"/>
          <w:sz w:val="32"/>
          <w:rtl/>
        </w:rPr>
        <w:t>: "</w:t>
      </w:r>
      <w:r w:rsidRPr="00F27422">
        <w:rPr>
          <w:rFonts w:ascii="mylotus" w:hAnsi="mylotus" w:hint="cs"/>
          <w:sz w:val="32"/>
          <w:rtl/>
        </w:rPr>
        <w:t>إذا</w:t>
      </w:r>
      <w:r w:rsidRPr="00F27422">
        <w:rPr>
          <w:rFonts w:ascii="mylotus" w:hAnsi="mylotus"/>
          <w:sz w:val="32"/>
          <w:rtl/>
        </w:rPr>
        <w:t xml:space="preserve"> </w:t>
      </w:r>
      <w:r w:rsidRPr="00F27422">
        <w:rPr>
          <w:rFonts w:ascii="mylotus" w:hAnsi="mylotus" w:hint="cs"/>
          <w:sz w:val="32"/>
          <w:rtl/>
        </w:rPr>
        <w:t>كانتْ</w:t>
      </w:r>
      <w:r w:rsidRPr="00F27422">
        <w:rPr>
          <w:rFonts w:ascii="mylotus" w:hAnsi="mylotus"/>
          <w:sz w:val="32"/>
          <w:rtl/>
        </w:rPr>
        <w:t xml:space="preserve"> </w:t>
      </w:r>
      <w:r w:rsidRPr="00F27422">
        <w:rPr>
          <w:rFonts w:ascii="mylotus" w:hAnsi="mylotus" w:hint="cs"/>
          <w:sz w:val="32"/>
          <w:rtl/>
        </w:rPr>
        <w:t>مالكةً</w:t>
      </w:r>
      <w:r w:rsidRPr="00F27422">
        <w:rPr>
          <w:rFonts w:ascii="mylotus" w:hAnsi="mylotus"/>
          <w:sz w:val="32"/>
          <w:rtl/>
        </w:rPr>
        <w:t xml:space="preserve"> </w:t>
      </w:r>
      <w:r w:rsidRPr="00F27422">
        <w:rPr>
          <w:rFonts w:ascii="mylotus" w:hAnsi="mylotus" w:hint="cs"/>
          <w:sz w:val="32"/>
          <w:rtl/>
        </w:rPr>
        <w:t>أمرها</w:t>
      </w:r>
      <w:r w:rsidRPr="00F27422">
        <w:rPr>
          <w:rFonts w:ascii="mylotus" w:hAnsi="mylotus"/>
          <w:sz w:val="32"/>
          <w:rtl/>
        </w:rPr>
        <w:t xml:space="preserve"> </w:t>
      </w:r>
      <w:r w:rsidRPr="00F27422">
        <w:rPr>
          <w:rFonts w:ascii="mylotus" w:hAnsi="mylotus" w:hint="cs"/>
          <w:sz w:val="32"/>
          <w:rtl/>
        </w:rPr>
        <w:t>تزوجتْ</w:t>
      </w:r>
      <w:r w:rsidRPr="00F27422">
        <w:rPr>
          <w:rFonts w:ascii="mylotus" w:hAnsi="mylotus"/>
          <w:sz w:val="32"/>
          <w:rtl/>
        </w:rPr>
        <w:t xml:space="preserve"> </w:t>
      </w:r>
      <w:r w:rsidRPr="00F27422">
        <w:rPr>
          <w:rFonts w:ascii="mylotus" w:hAnsi="mylotus" w:hint="cs"/>
          <w:sz w:val="32"/>
          <w:rtl/>
        </w:rPr>
        <w:t>متى</w:t>
      </w:r>
      <w:r w:rsidRPr="00F27422">
        <w:rPr>
          <w:rFonts w:ascii="mylotus" w:hAnsi="mylotus"/>
          <w:sz w:val="32"/>
          <w:rtl/>
        </w:rPr>
        <w:t xml:space="preserve"> </w:t>
      </w:r>
      <w:r w:rsidRPr="00F27422">
        <w:rPr>
          <w:rFonts w:ascii="mylotus" w:hAnsi="mylotus" w:hint="cs"/>
          <w:sz w:val="32"/>
          <w:rtl/>
        </w:rPr>
        <w:t>شاءت</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وثالث</w:t>
      </w:r>
      <w:r w:rsidRPr="00F27422">
        <w:rPr>
          <w:rFonts w:ascii="mylotus" w:hAnsi="mylotus"/>
          <w:b/>
          <w:bCs/>
          <w:sz w:val="32"/>
          <w:rtl/>
        </w:rPr>
        <w:t xml:space="preserve">: </w:t>
      </w:r>
      <w:r w:rsidRPr="00F27422">
        <w:rPr>
          <w:rFonts w:ascii="mylotus" w:hAnsi="mylotus" w:hint="cs"/>
          <w:b/>
          <w:bCs/>
          <w:sz w:val="32"/>
          <w:rtl/>
        </w:rPr>
        <w:t>يدل</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جواز</w:t>
      </w:r>
      <w:r w:rsidRPr="00F27422">
        <w:rPr>
          <w:rFonts w:ascii="mylotus" w:hAnsi="mylotus"/>
          <w:b/>
          <w:bCs/>
          <w:sz w:val="32"/>
          <w:rtl/>
        </w:rPr>
        <w:t xml:space="preserve"> </w:t>
      </w:r>
      <w:r w:rsidRPr="00F27422">
        <w:rPr>
          <w:rFonts w:ascii="mylotus" w:hAnsi="mylotus" w:hint="cs"/>
          <w:b/>
          <w:bCs/>
          <w:sz w:val="32"/>
          <w:rtl/>
        </w:rPr>
        <w:t>فسخ</w:t>
      </w:r>
      <w:r w:rsidRPr="00F27422">
        <w:rPr>
          <w:rFonts w:ascii="mylotus" w:hAnsi="mylotus"/>
          <w:b/>
          <w:bCs/>
          <w:sz w:val="32"/>
          <w:rtl/>
        </w:rPr>
        <w:t xml:space="preserve"> </w:t>
      </w:r>
      <w:r w:rsidRPr="00F27422">
        <w:rPr>
          <w:rFonts w:ascii="mylotus" w:hAnsi="mylotus" w:hint="cs"/>
          <w:b/>
          <w:bCs/>
          <w:sz w:val="32"/>
          <w:rtl/>
        </w:rPr>
        <w:t>الأب</w:t>
      </w:r>
      <w:r w:rsidRPr="00F27422">
        <w:rPr>
          <w:rFonts w:ascii="mylotus" w:hAnsi="mylotus"/>
          <w:b/>
          <w:bCs/>
          <w:sz w:val="32"/>
          <w:rtl/>
        </w:rPr>
        <w:t xml:space="preserve"> </w:t>
      </w:r>
      <w:r w:rsidRPr="00F27422">
        <w:rPr>
          <w:rFonts w:ascii="mylotus" w:hAnsi="mylotus" w:hint="cs"/>
          <w:b/>
          <w:bCs/>
          <w:sz w:val="32"/>
          <w:rtl/>
        </w:rPr>
        <w:t>عقد</w:t>
      </w:r>
      <w:r w:rsidRPr="00F27422">
        <w:rPr>
          <w:rFonts w:ascii="mylotus" w:hAnsi="mylotus"/>
          <w:b/>
          <w:bCs/>
          <w:sz w:val="32"/>
          <w:rtl/>
        </w:rPr>
        <w:t xml:space="preserve"> </w:t>
      </w:r>
      <w:r w:rsidRPr="00F27422">
        <w:rPr>
          <w:rFonts w:ascii="mylotus" w:hAnsi="mylotus" w:hint="cs"/>
          <w:b/>
          <w:bCs/>
          <w:sz w:val="32"/>
          <w:rtl/>
        </w:rPr>
        <w:t>البنت</w:t>
      </w:r>
      <w:r w:rsidRPr="00F27422">
        <w:rPr>
          <w:rFonts w:ascii="mylotus" w:hAnsi="mylotus"/>
          <w:b/>
          <w:bCs/>
          <w:sz w:val="32"/>
          <w:rtl/>
        </w:rPr>
        <w:t xml:space="preserve">.) </w:t>
      </w:r>
      <w:r w:rsidRPr="00F27422">
        <w:rPr>
          <w:rFonts w:ascii="mylotus" w:hAnsi="mylotus" w:hint="cs"/>
          <w:sz w:val="32"/>
          <w:rtl/>
        </w:rPr>
        <w:t>وهو</w:t>
      </w:r>
      <w:r w:rsidRPr="00F27422">
        <w:rPr>
          <w:rFonts w:ascii="mylotus" w:hAnsi="mylotus"/>
          <w:sz w:val="32"/>
          <w:rtl/>
        </w:rPr>
        <w:t>: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ينقض</w:t>
      </w:r>
      <w:r w:rsidRPr="00F27422">
        <w:rPr>
          <w:rFonts w:ascii="mylotus" w:hAnsi="mylotus"/>
          <w:sz w:val="32"/>
          <w:rtl/>
        </w:rPr>
        <w:t xml:space="preserve"> </w:t>
      </w:r>
      <w:r w:rsidRPr="00F27422">
        <w:rPr>
          <w:rFonts w:ascii="mylotus" w:hAnsi="mylotus" w:hint="cs"/>
          <w:sz w:val="32"/>
          <w:rtl/>
        </w:rPr>
        <w:t>النكاح</w:t>
      </w:r>
      <w:r w:rsidRPr="00F27422">
        <w:rPr>
          <w:rFonts w:ascii="mylotus" w:hAnsi="mylotus"/>
          <w:sz w:val="32"/>
          <w:rtl/>
        </w:rPr>
        <w:t xml:space="preserve"> </w:t>
      </w:r>
      <w:r w:rsidRPr="00F27422">
        <w:rPr>
          <w:rFonts w:ascii="mylotus" w:hAnsi="mylotus" w:hint="cs"/>
          <w:sz w:val="32"/>
          <w:rtl/>
        </w:rPr>
        <w:t>إلا</w:t>
      </w:r>
      <w:r w:rsidRPr="00F27422">
        <w:rPr>
          <w:rFonts w:ascii="mylotus" w:hAnsi="mylotus"/>
          <w:sz w:val="32"/>
          <w:rtl/>
        </w:rPr>
        <w:t xml:space="preserve"> </w:t>
      </w:r>
      <w:r w:rsidRPr="00F27422">
        <w:rPr>
          <w:rFonts w:ascii="mylotus" w:hAnsi="mylotus" w:hint="cs"/>
          <w:sz w:val="32"/>
          <w:rtl/>
        </w:rPr>
        <w:t>الأب</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ورابع</w:t>
      </w:r>
      <w:r w:rsidRPr="00F27422">
        <w:rPr>
          <w:rFonts w:ascii="mylotus" w:hAnsi="mylotus"/>
          <w:b/>
          <w:bCs/>
          <w:sz w:val="32"/>
          <w:rtl/>
        </w:rPr>
        <w:t xml:space="preserve">: </w:t>
      </w:r>
      <w:r w:rsidRPr="00F27422">
        <w:rPr>
          <w:rFonts w:ascii="mylotus" w:hAnsi="mylotus" w:hint="cs"/>
          <w:b/>
          <w:bCs/>
          <w:sz w:val="32"/>
          <w:rtl/>
        </w:rPr>
        <w:t>يدل</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اعتبار</w:t>
      </w:r>
      <w:r w:rsidRPr="00F27422">
        <w:rPr>
          <w:rFonts w:ascii="mylotus" w:hAnsi="mylotus"/>
          <w:b/>
          <w:bCs/>
          <w:sz w:val="32"/>
          <w:rtl/>
        </w:rPr>
        <w:t xml:space="preserve"> </w:t>
      </w:r>
      <w:r w:rsidRPr="00F27422">
        <w:rPr>
          <w:rFonts w:ascii="mylotus" w:hAnsi="mylotus" w:hint="cs"/>
          <w:b/>
          <w:bCs/>
          <w:sz w:val="32"/>
          <w:rtl/>
        </w:rPr>
        <w:t>إذن</w:t>
      </w:r>
      <w:r w:rsidRPr="00F27422">
        <w:rPr>
          <w:rFonts w:ascii="mylotus" w:hAnsi="mylotus"/>
          <w:b/>
          <w:bCs/>
          <w:sz w:val="32"/>
          <w:rtl/>
        </w:rPr>
        <w:t xml:space="preserve"> </w:t>
      </w:r>
      <w:r w:rsidRPr="00F27422">
        <w:rPr>
          <w:rFonts w:ascii="mylotus" w:hAnsi="mylotus" w:hint="cs"/>
          <w:b/>
          <w:bCs/>
          <w:sz w:val="32"/>
          <w:rtl/>
        </w:rPr>
        <w:t>الأب</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ما</w:t>
      </w:r>
      <w:r w:rsidRPr="00F27422">
        <w:rPr>
          <w:rFonts w:ascii="mylotus" w:hAnsi="mylotus"/>
          <w:sz w:val="32"/>
          <w:rtl/>
        </w:rPr>
        <w:t xml:space="preserve"> </w:t>
      </w:r>
      <w:r w:rsidRPr="00F27422">
        <w:rPr>
          <w:rFonts w:ascii="mylotus" w:hAnsi="mylotus" w:hint="cs"/>
          <w:sz w:val="32"/>
          <w:rtl/>
        </w:rPr>
        <w:t>ورد</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عدّةٍ</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روايات،</w:t>
      </w:r>
      <w:r w:rsidRPr="00F27422">
        <w:rPr>
          <w:rFonts w:ascii="mylotus" w:hAnsi="mylotus"/>
          <w:sz w:val="32"/>
          <w:rtl/>
        </w:rPr>
        <w:t xml:space="preserve"> </w:t>
      </w:r>
      <w:r w:rsidRPr="00F27422">
        <w:rPr>
          <w:rFonts w:ascii="mylotus" w:hAnsi="mylotus" w:hint="cs"/>
          <w:sz w:val="32"/>
          <w:rtl/>
        </w:rPr>
        <w:t>نحو</w:t>
      </w:r>
      <w:r w:rsidRPr="00F27422">
        <w:rPr>
          <w:rFonts w:ascii="mylotus" w:hAnsi="mylotus"/>
          <w:sz w:val="32"/>
          <w:rtl/>
        </w:rPr>
        <w:t xml:space="preserve"> </w:t>
      </w:r>
      <w:r w:rsidRPr="00F27422">
        <w:rPr>
          <w:rFonts w:ascii="mylotus" w:hAnsi="mylotus" w:hint="cs"/>
          <w:sz w:val="32"/>
          <w:rtl/>
        </w:rPr>
        <w:t>معتبرة</w:t>
      </w:r>
      <w:r w:rsidRPr="00F27422">
        <w:rPr>
          <w:rFonts w:ascii="mylotus" w:hAnsi="mylotus"/>
          <w:sz w:val="32"/>
          <w:rtl/>
        </w:rPr>
        <w:t xml:space="preserve"> </w:t>
      </w:r>
      <w:r w:rsidRPr="00F27422">
        <w:rPr>
          <w:rFonts w:ascii="mylotus" w:hAnsi="mylotus" w:hint="cs"/>
          <w:sz w:val="32"/>
          <w:rtl/>
        </w:rPr>
        <w:t>أبي</w:t>
      </w:r>
      <w:r w:rsidRPr="00F27422">
        <w:rPr>
          <w:rFonts w:ascii="mylotus" w:hAnsi="mylotus"/>
          <w:sz w:val="32"/>
          <w:rtl/>
        </w:rPr>
        <w:t xml:space="preserve"> </w:t>
      </w:r>
      <w:r w:rsidRPr="00F27422">
        <w:rPr>
          <w:rFonts w:ascii="mylotus" w:hAnsi="mylotus" w:hint="cs"/>
          <w:sz w:val="32"/>
          <w:rtl/>
        </w:rPr>
        <w:t>مريم</w:t>
      </w:r>
      <w:r w:rsidRPr="00F27422">
        <w:rPr>
          <w:rFonts w:ascii="mylotus" w:hAnsi="mylotus"/>
          <w:sz w:val="32"/>
          <w:rtl/>
        </w:rPr>
        <w:t>: "</w:t>
      </w:r>
      <w:r w:rsidRPr="00F27422">
        <w:rPr>
          <w:rFonts w:ascii="mylotus" w:hAnsi="mylotus" w:hint="cs"/>
          <w:sz w:val="32"/>
          <w:rtl/>
        </w:rPr>
        <w:t>الجارية</w:t>
      </w:r>
      <w:r w:rsidRPr="00F27422">
        <w:rPr>
          <w:rFonts w:ascii="mylotus" w:hAnsi="mylotus"/>
          <w:sz w:val="32"/>
          <w:rtl/>
        </w:rPr>
        <w:t xml:space="preserve"> </w:t>
      </w:r>
      <w:r w:rsidRPr="00F27422">
        <w:rPr>
          <w:rFonts w:ascii="mylotus" w:hAnsi="mylotus" w:hint="cs"/>
          <w:sz w:val="32"/>
          <w:rtl/>
        </w:rPr>
        <w:t>البكر</w:t>
      </w:r>
      <w:r w:rsidRPr="00F27422">
        <w:rPr>
          <w:rFonts w:ascii="mylotus" w:hAnsi="mylotus"/>
          <w:sz w:val="32"/>
          <w:rtl/>
        </w:rPr>
        <w:t xml:space="preserve"> </w:t>
      </w:r>
      <w:r w:rsidRPr="00F27422">
        <w:rPr>
          <w:rFonts w:ascii="mylotus" w:hAnsi="mylotus" w:hint="cs"/>
          <w:sz w:val="32"/>
          <w:rtl/>
        </w:rPr>
        <w:t>التي</w:t>
      </w:r>
      <w:r w:rsidRPr="00F27422">
        <w:rPr>
          <w:rFonts w:ascii="mylotus" w:hAnsi="mylotus"/>
          <w:sz w:val="32"/>
          <w:rtl/>
        </w:rPr>
        <w:t xml:space="preserve"> </w:t>
      </w:r>
      <w:r w:rsidRPr="00F27422">
        <w:rPr>
          <w:rFonts w:ascii="mylotus" w:hAnsi="mylotus" w:hint="cs"/>
          <w:sz w:val="32"/>
          <w:rtl/>
        </w:rPr>
        <w:t>لها</w:t>
      </w:r>
      <w:r w:rsidRPr="00F27422">
        <w:rPr>
          <w:rFonts w:ascii="mylotus" w:hAnsi="mylotus"/>
          <w:sz w:val="32"/>
          <w:rtl/>
        </w:rPr>
        <w:t xml:space="preserve"> </w:t>
      </w:r>
      <w:r w:rsidRPr="00F27422">
        <w:rPr>
          <w:rFonts w:ascii="mylotus" w:hAnsi="mylotus" w:hint="cs"/>
          <w:sz w:val="32"/>
          <w:rtl/>
        </w:rPr>
        <w:t>أب</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تتزوج</w:t>
      </w:r>
      <w:r w:rsidRPr="00F27422">
        <w:rPr>
          <w:rFonts w:ascii="mylotus" w:hAnsi="mylotus"/>
          <w:sz w:val="32"/>
          <w:rtl/>
        </w:rPr>
        <w:t xml:space="preserve"> </w:t>
      </w:r>
      <w:r w:rsidRPr="00F27422">
        <w:rPr>
          <w:rFonts w:ascii="mylotus" w:hAnsi="mylotus" w:hint="cs"/>
          <w:sz w:val="32"/>
          <w:rtl/>
        </w:rPr>
        <w:t>إلّا</w:t>
      </w:r>
      <w:r w:rsidRPr="00F27422">
        <w:rPr>
          <w:rFonts w:ascii="mylotus" w:hAnsi="mylotus"/>
          <w:sz w:val="32"/>
          <w:rtl/>
        </w:rPr>
        <w:t xml:space="preserve"> </w:t>
      </w:r>
      <w:r w:rsidRPr="00F27422">
        <w:rPr>
          <w:rFonts w:ascii="mylotus" w:hAnsi="mylotus" w:hint="cs"/>
          <w:sz w:val="32"/>
          <w:rtl/>
        </w:rPr>
        <w:t>بإذن</w:t>
      </w:r>
      <w:r w:rsidRPr="00F27422">
        <w:rPr>
          <w:rFonts w:ascii="mylotus" w:hAnsi="mylotus"/>
          <w:sz w:val="32"/>
          <w:rtl/>
        </w:rPr>
        <w:t xml:space="preserve"> </w:t>
      </w:r>
      <w:r w:rsidRPr="00F27422">
        <w:rPr>
          <w:rFonts w:ascii="mylotus" w:hAnsi="mylotus" w:hint="cs"/>
          <w:sz w:val="32"/>
          <w:rtl/>
        </w:rPr>
        <w:t>أبيها</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وخامس</w:t>
      </w:r>
      <w:r w:rsidRPr="00F27422">
        <w:rPr>
          <w:rFonts w:ascii="mylotus" w:hAnsi="mylotus"/>
          <w:b/>
          <w:bCs/>
          <w:sz w:val="32"/>
          <w:rtl/>
        </w:rPr>
        <w:t xml:space="preserve">: </w:t>
      </w:r>
      <w:r w:rsidRPr="00F27422">
        <w:rPr>
          <w:rFonts w:ascii="mylotus" w:hAnsi="mylotus" w:hint="cs"/>
          <w:b/>
          <w:bCs/>
          <w:sz w:val="32"/>
          <w:rtl/>
        </w:rPr>
        <w:t>يدل</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اعتبار</w:t>
      </w:r>
      <w:r w:rsidRPr="00F27422">
        <w:rPr>
          <w:rFonts w:ascii="mylotus" w:hAnsi="mylotus"/>
          <w:b/>
          <w:bCs/>
          <w:sz w:val="32"/>
          <w:rtl/>
        </w:rPr>
        <w:t xml:space="preserve"> </w:t>
      </w:r>
      <w:r w:rsidRPr="00F27422">
        <w:rPr>
          <w:rFonts w:ascii="mylotus" w:hAnsi="mylotus" w:hint="cs"/>
          <w:b/>
          <w:bCs/>
          <w:sz w:val="32"/>
          <w:rtl/>
        </w:rPr>
        <w:t>إذن</w:t>
      </w:r>
      <w:r w:rsidRPr="00F27422">
        <w:rPr>
          <w:rFonts w:ascii="mylotus" w:hAnsi="mylotus"/>
          <w:b/>
          <w:bCs/>
          <w:sz w:val="32"/>
          <w:rtl/>
        </w:rPr>
        <w:t xml:space="preserve"> </w:t>
      </w:r>
      <w:r w:rsidRPr="00F27422">
        <w:rPr>
          <w:rFonts w:ascii="mylotus" w:hAnsi="mylotus" w:hint="cs"/>
          <w:b/>
          <w:bCs/>
          <w:sz w:val="32"/>
          <w:rtl/>
        </w:rPr>
        <w:t>البنت</w:t>
      </w:r>
      <w:r w:rsidRPr="00F27422">
        <w:rPr>
          <w:rFonts w:ascii="mylotus" w:hAnsi="mylotus"/>
          <w:b/>
          <w:bC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ما</w:t>
      </w:r>
      <w:r w:rsidRPr="00F27422">
        <w:rPr>
          <w:rFonts w:ascii="mylotus" w:hAnsi="mylotus"/>
          <w:sz w:val="32"/>
          <w:rtl/>
        </w:rPr>
        <w:t xml:space="preserve"> </w:t>
      </w:r>
      <w:r w:rsidRPr="00F27422">
        <w:rPr>
          <w:rFonts w:ascii="mylotus" w:hAnsi="mylotus" w:hint="cs"/>
          <w:sz w:val="32"/>
          <w:rtl/>
        </w:rPr>
        <w:t>سبق</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معتبرة</w:t>
      </w:r>
      <w:r w:rsidRPr="00F27422">
        <w:rPr>
          <w:rFonts w:ascii="mylotus" w:hAnsi="mylotus"/>
          <w:sz w:val="32"/>
          <w:rtl/>
        </w:rPr>
        <w:t xml:space="preserve"> </w:t>
      </w:r>
      <w:r w:rsidRPr="00F27422">
        <w:rPr>
          <w:rFonts w:ascii="mylotus" w:hAnsi="mylotus" w:hint="cs"/>
          <w:sz w:val="32"/>
          <w:rtl/>
        </w:rPr>
        <w:t>صفوان</w:t>
      </w:r>
      <w:r w:rsidRPr="00F27422">
        <w:rPr>
          <w:rFonts w:ascii="mylotus" w:hAnsi="mylotus"/>
          <w:sz w:val="32"/>
          <w:rtl/>
        </w:rPr>
        <w:t>: "</w:t>
      </w:r>
      <w:r w:rsidRPr="00F27422">
        <w:rPr>
          <w:rFonts w:ascii="mylotus" w:hAnsi="mylotus" w:hint="cs"/>
          <w:sz w:val="32"/>
          <w:rtl/>
        </w:rPr>
        <w:t>استشار</w:t>
      </w:r>
      <w:r w:rsidRPr="00F27422">
        <w:rPr>
          <w:rFonts w:ascii="mylotus" w:hAnsi="mylotus"/>
          <w:sz w:val="32"/>
          <w:rtl/>
        </w:rPr>
        <w:t xml:space="preserve"> </w:t>
      </w:r>
      <w:proofErr w:type="gramStart"/>
      <w:r w:rsidRPr="00F27422">
        <w:rPr>
          <w:rFonts w:ascii="mylotus" w:hAnsi="mylotus" w:hint="cs"/>
          <w:sz w:val="32"/>
          <w:rtl/>
        </w:rPr>
        <w:t>عبدالرحمن</w:t>
      </w:r>
      <w:proofErr w:type="gramEnd"/>
      <w:r w:rsidRPr="00F27422">
        <w:rPr>
          <w:rFonts w:ascii="mylotus" w:hAnsi="mylotus"/>
          <w:sz w:val="32"/>
          <w:rtl/>
        </w:rPr>
        <w:t xml:space="preserve"> </w:t>
      </w:r>
      <w:r w:rsidRPr="00F27422">
        <w:rPr>
          <w:rFonts w:ascii="mylotus" w:hAnsi="mylotus" w:hint="cs"/>
          <w:sz w:val="32"/>
          <w:rtl/>
        </w:rPr>
        <w:t>موسى</w:t>
      </w:r>
      <w:r w:rsidRPr="00F27422">
        <w:rPr>
          <w:rFonts w:ascii="mylotus" w:hAnsi="mylotus"/>
          <w:sz w:val="32"/>
          <w:rtl/>
        </w:rPr>
        <w:t xml:space="preserve"> </w:t>
      </w:r>
      <w:r w:rsidRPr="00F27422">
        <w:rPr>
          <w:rFonts w:ascii="mylotus" w:hAnsi="mylotus" w:hint="cs"/>
          <w:sz w:val="32"/>
          <w:rtl/>
        </w:rPr>
        <w:t>بن</w:t>
      </w:r>
      <w:r w:rsidRPr="00F27422">
        <w:rPr>
          <w:rFonts w:ascii="mylotus" w:hAnsi="mylotus"/>
          <w:sz w:val="32"/>
          <w:rtl/>
        </w:rPr>
        <w:t xml:space="preserve"> </w:t>
      </w:r>
      <w:r w:rsidRPr="00F27422">
        <w:rPr>
          <w:rFonts w:ascii="mylotus" w:hAnsi="mylotus" w:hint="cs"/>
          <w:sz w:val="32"/>
          <w:rtl/>
        </w:rPr>
        <w:t>جعفر</w:t>
      </w:r>
      <w:r w:rsidRPr="00F27422">
        <w:rPr>
          <w:rFonts w:ascii="mylotus" w:hAnsi="mylotus"/>
          <w:sz w:val="32"/>
          <w:rtl/>
        </w:rPr>
        <w:t xml:space="preserve"> (</w:t>
      </w:r>
      <w:r w:rsidRPr="00F27422">
        <w:rPr>
          <w:rFonts w:ascii="mylotus" w:hAnsi="mylotus" w:hint="cs"/>
          <w:sz w:val="32"/>
          <w:rtl/>
        </w:rPr>
        <w:t>عليه</w:t>
      </w:r>
      <w:r w:rsidRPr="00F27422">
        <w:rPr>
          <w:rFonts w:ascii="mylotus" w:hAnsi="mylotus"/>
          <w:sz w:val="32"/>
          <w:rtl/>
        </w:rPr>
        <w:t xml:space="preserve"> </w:t>
      </w:r>
      <w:r w:rsidRPr="00F27422">
        <w:rPr>
          <w:rFonts w:ascii="Times New Roman" w:hAnsi="Times New Roman" w:cs="Times New Roman" w:hint="cs"/>
          <w:sz w:val="32"/>
          <w:rtl/>
        </w:rPr>
        <w:t>‌</w:t>
      </w:r>
      <w:r w:rsidRPr="00F27422">
        <w:rPr>
          <w:rFonts w:ascii="mylotus" w:hAnsi="mylotus" w:hint="cs"/>
          <w:sz w:val="32"/>
          <w:rtl/>
        </w:rPr>
        <w:t>السلام</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تزويج</w:t>
      </w:r>
      <w:r w:rsidRPr="00F27422">
        <w:rPr>
          <w:rFonts w:ascii="mylotus" w:hAnsi="mylotus"/>
          <w:sz w:val="32"/>
          <w:rtl/>
        </w:rPr>
        <w:t xml:space="preserve"> </w:t>
      </w:r>
      <w:r w:rsidRPr="00F27422">
        <w:rPr>
          <w:rFonts w:ascii="mylotus" w:hAnsi="mylotus" w:hint="cs"/>
          <w:sz w:val="32"/>
          <w:rtl/>
        </w:rPr>
        <w:t>ابنته</w:t>
      </w:r>
      <w:r w:rsidRPr="00F27422">
        <w:rPr>
          <w:rFonts w:ascii="mylotus" w:hAnsi="mylotus"/>
          <w:sz w:val="32"/>
          <w:rtl/>
        </w:rPr>
        <w:t xml:space="preserve"> </w:t>
      </w:r>
      <w:r w:rsidRPr="00F27422">
        <w:rPr>
          <w:rFonts w:ascii="mylotus" w:hAnsi="mylotus" w:hint="cs"/>
          <w:sz w:val="32"/>
          <w:rtl/>
        </w:rPr>
        <w:t>لابن</w:t>
      </w:r>
      <w:r w:rsidRPr="00F27422">
        <w:rPr>
          <w:rFonts w:ascii="mylotus" w:hAnsi="mylotus"/>
          <w:sz w:val="32"/>
          <w:rtl/>
        </w:rPr>
        <w:t xml:space="preserve"> </w:t>
      </w:r>
      <w:r w:rsidRPr="00F27422">
        <w:rPr>
          <w:rFonts w:ascii="mylotus" w:hAnsi="mylotus" w:hint="cs"/>
          <w:sz w:val="32"/>
          <w:rtl/>
        </w:rPr>
        <w:t>أخيه</w:t>
      </w:r>
      <w:r w:rsidRPr="00F27422">
        <w:rPr>
          <w:rFonts w:ascii="mylotus" w:hAnsi="mylotus"/>
          <w:sz w:val="32"/>
          <w:rtl/>
        </w:rPr>
        <w:t xml:space="preserve"> </w:t>
      </w:r>
      <w:r w:rsidRPr="00F27422">
        <w:rPr>
          <w:rFonts w:ascii="mylotus" w:hAnsi="mylotus" w:hint="cs"/>
          <w:sz w:val="32"/>
          <w:rtl/>
        </w:rPr>
        <w:t>فقال</w:t>
      </w:r>
      <w:r w:rsidRPr="00F27422">
        <w:rPr>
          <w:rFonts w:ascii="mylotus" w:hAnsi="mylotus"/>
          <w:sz w:val="32"/>
          <w:rtl/>
        </w:rPr>
        <w:t xml:space="preserve">: </w:t>
      </w:r>
      <w:r w:rsidRPr="00F27422">
        <w:rPr>
          <w:rFonts w:ascii="mylotus" w:hAnsi="mylotus" w:hint="cs"/>
          <w:sz w:val="32"/>
          <w:rtl/>
        </w:rPr>
        <w:t>افعل</w:t>
      </w:r>
      <w:r w:rsidRPr="00F27422">
        <w:rPr>
          <w:rFonts w:ascii="mylotus" w:hAnsi="mylotus"/>
          <w:sz w:val="32"/>
          <w:rtl/>
        </w:rPr>
        <w:t xml:space="preserve"> </w:t>
      </w:r>
      <w:r w:rsidRPr="00F27422">
        <w:rPr>
          <w:rFonts w:ascii="mylotus" w:hAnsi="mylotus" w:hint="cs"/>
          <w:sz w:val="32"/>
          <w:rtl/>
        </w:rPr>
        <w:t>ويكون</w:t>
      </w:r>
      <w:r w:rsidRPr="00F27422">
        <w:rPr>
          <w:rFonts w:ascii="mylotus" w:hAnsi="mylotus"/>
          <w:sz w:val="32"/>
          <w:rtl/>
        </w:rPr>
        <w:t xml:space="preserve"> </w:t>
      </w:r>
      <w:r w:rsidRPr="00F27422">
        <w:rPr>
          <w:rFonts w:ascii="mylotus" w:hAnsi="mylotus" w:hint="cs"/>
          <w:sz w:val="32"/>
          <w:rtl/>
        </w:rPr>
        <w:t>ذلك</w:t>
      </w:r>
      <w:r w:rsidRPr="00F27422">
        <w:rPr>
          <w:rFonts w:ascii="mylotus" w:hAnsi="mylotus"/>
          <w:sz w:val="32"/>
          <w:rtl/>
        </w:rPr>
        <w:t xml:space="preserve"> </w:t>
      </w:r>
      <w:r w:rsidRPr="00F27422">
        <w:rPr>
          <w:rFonts w:ascii="mylotus" w:hAnsi="mylotus" w:hint="cs"/>
          <w:sz w:val="32"/>
          <w:rtl/>
        </w:rPr>
        <w:t>برض</w:t>
      </w:r>
      <w:r w:rsidRPr="00F27422">
        <w:rPr>
          <w:rFonts w:ascii="mylotus" w:hAnsi="mylotus"/>
          <w:sz w:val="32"/>
          <w:rtl/>
        </w:rPr>
        <w:t xml:space="preserve">اها فإنّ لها في نفسها نصيباً" </w:t>
      </w:r>
      <w:r w:rsidRPr="00F27422">
        <w:rPr>
          <w:rFonts w:ascii="mylotus" w:hAnsi="mylotus"/>
          <w:b/>
          <w:bCs/>
          <w:sz w:val="32"/>
          <w:rtl/>
        </w:rPr>
        <w:t xml:space="preserve">(فيعمل بالأصناف الثلاثة الأول) </w:t>
      </w:r>
      <w:r w:rsidRPr="00F27422">
        <w:rPr>
          <w:rFonts w:ascii="mylotus" w:hAnsi="mylotus"/>
          <w:sz w:val="32"/>
          <w:rtl/>
        </w:rPr>
        <w:t>فيُقال: إنّ للبنت استقلالا</w:t>
      </w:r>
      <w:r w:rsidRPr="00F27422">
        <w:rPr>
          <w:rFonts w:ascii="mylotus" w:hAnsi="mylotus" w:hint="cs"/>
          <w:sz w:val="32"/>
          <w:rtl/>
        </w:rPr>
        <w:t>ً</w:t>
      </w:r>
      <w:r w:rsidRPr="00F27422">
        <w:rPr>
          <w:rFonts w:ascii="mylotus" w:hAnsi="mylotus"/>
          <w:sz w:val="32"/>
          <w:rtl/>
        </w:rPr>
        <w:t xml:space="preserve"> في العقد، وللأب استقلالا</w:t>
      </w:r>
      <w:r w:rsidRPr="00F27422">
        <w:rPr>
          <w:rFonts w:ascii="mylotus" w:hAnsi="mylotus" w:hint="cs"/>
          <w:sz w:val="32"/>
          <w:rtl/>
        </w:rPr>
        <w:t>ً</w:t>
      </w:r>
      <w:r w:rsidRPr="00F27422">
        <w:rPr>
          <w:rFonts w:ascii="mylotus" w:hAnsi="mylotus"/>
          <w:sz w:val="32"/>
          <w:rtl/>
        </w:rPr>
        <w:t xml:space="preserve"> في العقد، وأنّ البنت لو استقلت</w:t>
      </w:r>
      <w:r w:rsidRPr="00F27422">
        <w:rPr>
          <w:rFonts w:ascii="mylotus" w:hAnsi="mylotus" w:hint="cs"/>
          <w:sz w:val="32"/>
          <w:rtl/>
        </w:rPr>
        <w:t>ْ</w:t>
      </w:r>
      <w:r w:rsidRPr="00F27422">
        <w:rPr>
          <w:rFonts w:ascii="mylotus" w:hAnsi="mylotus"/>
          <w:sz w:val="32"/>
          <w:rtl/>
        </w:rPr>
        <w:t xml:space="preserve"> وعقدت</w:t>
      </w:r>
      <w:r w:rsidRPr="00F27422">
        <w:rPr>
          <w:rFonts w:ascii="mylotus" w:hAnsi="mylotus" w:hint="cs"/>
          <w:sz w:val="32"/>
          <w:rtl/>
        </w:rPr>
        <w:t>ْ</w:t>
      </w:r>
      <w:r w:rsidRPr="00F27422">
        <w:rPr>
          <w:rFonts w:ascii="mylotus" w:hAnsi="mylotus"/>
          <w:sz w:val="32"/>
          <w:rtl/>
        </w:rPr>
        <w:t xml:space="preserve"> فللأب الولاية على الفسخ والنقض </w:t>
      </w:r>
      <w:r w:rsidRPr="00F27422">
        <w:rPr>
          <w:rFonts w:ascii="mylotus" w:hAnsi="mylotus"/>
          <w:b/>
          <w:bCs/>
          <w:sz w:val="32"/>
          <w:rtl/>
        </w:rPr>
        <w:t>(ويحمل الأخيران)</w:t>
      </w:r>
      <w:r w:rsidRPr="00F27422">
        <w:rPr>
          <w:rFonts w:ascii="mylotus" w:hAnsi="mylotus"/>
          <w:sz w:val="32"/>
          <w:rtl/>
        </w:rPr>
        <w:t xml:space="preserve"> وهما ما دل</w:t>
      </w:r>
      <w:r w:rsidRPr="00F27422">
        <w:rPr>
          <w:rFonts w:ascii="mylotus" w:hAnsi="mylotus" w:hint="cs"/>
          <w:sz w:val="32"/>
          <w:rtl/>
        </w:rPr>
        <w:t>ّ</w:t>
      </w:r>
      <w:r w:rsidRPr="00F27422">
        <w:rPr>
          <w:rFonts w:ascii="mylotus" w:hAnsi="mylotus"/>
          <w:sz w:val="32"/>
          <w:rtl/>
        </w:rPr>
        <w:t xml:space="preserve">ا على اعتبار إذن البنت وإذن الأب </w:t>
      </w:r>
      <w:r w:rsidRPr="00F27422">
        <w:rPr>
          <w:rFonts w:ascii="mylotus" w:hAnsi="mylotus"/>
          <w:b/>
          <w:bCs/>
          <w:sz w:val="32"/>
          <w:rtl/>
        </w:rPr>
        <w:t>(على الاستحباب جمعاً. هذا كله بالإضافة إلى الأب. وأما الجد: فلا ولاية له على البكر لا منضما ولا مستقلا. اعتماداً على الطائفة الثالثة من غير معارض</w:t>
      </w:r>
      <w:r w:rsidRPr="00F27422">
        <w:rPr>
          <w:rFonts w:ascii="mylotus" w:hAnsi="mylotus"/>
          <w:b/>
          <w:bCs/>
          <w:sz w:val="32"/>
        </w:rPr>
        <w:t>.</w:t>
      </w:r>
    </w:p>
    <w:p w14:paraId="23C49684"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هذا والقول بالولاية على النهج المذكور)</w:t>
      </w:r>
      <w:r w:rsidRPr="00F27422">
        <w:rPr>
          <w:rFonts w:ascii="mylotus" w:hAnsi="mylotus"/>
          <w:sz w:val="32"/>
          <w:rtl/>
        </w:rPr>
        <w:t xml:space="preserve"> أي: أن لكلٍّ منهما استقلالا</w:t>
      </w:r>
      <w:r w:rsidRPr="00F27422">
        <w:rPr>
          <w:rFonts w:ascii="mylotus" w:hAnsi="mylotus" w:hint="cs"/>
          <w:sz w:val="32"/>
          <w:rtl/>
        </w:rPr>
        <w:t>ً</w:t>
      </w:r>
      <w:r w:rsidRPr="00F27422">
        <w:rPr>
          <w:rFonts w:ascii="mylotus" w:hAnsi="mylotus"/>
          <w:sz w:val="32"/>
          <w:rtl/>
        </w:rPr>
        <w:t xml:space="preserve">، وللأب الولاية </w:t>
      </w:r>
      <w:r w:rsidRPr="00F27422">
        <w:rPr>
          <w:rFonts w:ascii="mylotus" w:hAnsi="mylotus"/>
          <w:sz w:val="32"/>
          <w:highlight w:val="red"/>
          <w:rtl/>
        </w:rPr>
        <w:t>على الفسخ، وأن</w:t>
      </w:r>
      <w:r w:rsidRPr="00F27422">
        <w:rPr>
          <w:rFonts w:ascii="mylotus" w:hAnsi="mylotus" w:hint="cs"/>
          <w:sz w:val="32"/>
          <w:highlight w:val="red"/>
          <w:rtl/>
        </w:rPr>
        <w:t>ّ</w:t>
      </w:r>
      <w:r w:rsidRPr="00F27422">
        <w:rPr>
          <w:rFonts w:ascii="mylotus" w:hAnsi="mylotus"/>
          <w:sz w:val="32"/>
          <w:highlight w:val="red"/>
          <w:rtl/>
        </w:rPr>
        <w:t xml:space="preserve"> اشتر</w:t>
      </w:r>
      <w:r w:rsidRPr="00F27422">
        <w:rPr>
          <w:rFonts w:ascii="mylotus" w:hAnsi="mylotus" w:hint="cs"/>
          <w:sz w:val="32"/>
          <w:highlight w:val="red"/>
          <w:rtl/>
        </w:rPr>
        <w:t>ا</w:t>
      </w:r>
      <w:r w:rsidRPr="00F27422">
        <w:rPr>
          <w:rFonts w:ascii="mylotus" w:hAnsi="mylotus"/>
          <w:sz w:val="32"/>
          <w:highlight w:val="red"/>
          <w:rtl/>
        </w:rPr>
        <w:t>ط الإذن استحبابي</w:t>
      </w:r>
      <w:r w:rsidRPr="00F27422">
        <w:rPr>
          <w:rFonts w:ascii="mylotus" w:hAnsi="mylotus"/>
          <w:sz w:val="32"/>
          <w:rtl/>
        </w:rPr>
        <w:t xml:space="preserve"> </w:t>
      </w:r>
      <w:r w:rsidRPr="00F27422">
        <w:rPr>
          <w:rFonts w:ascii="mylotus" w:hAnsi="mylotus"/>
          <w:b/>
          <w:bCs/>
          <w:sz w:val="32"/>
          <w:rtl/>
        </w:rPr>
        <w:t>(وإن لم ينسب لأحد لا بأس به إذا دلت عليه الأدلة. (وَمَا تَوْفِيقِي إِلَّا بِاللَّهِ عَلَيْهِ تَوَكَّلْتُ وَإِلَيْهِ أُنِيبُ) وهو حسبنا (وَنِعْمَ الْوَكِيلُ</w:t>
      </w:r>
      <w:r w:rsidRPr="00F27422">
        <w:rPr>
          <w:rFonts w:ascii="mylotus" w:hAnsi="mylotus" w:hint="cs"/>
          <w:b/>
          <w:bCs/>
          <w:sz w:val="32"/>
          <w:rtl/>
        </w:rPr>
        <w:t>)).</w:t>
      </w:r>
    </w:p>
    <w:p w14:paraId="47CF0245" w14:textId="77777777" w:rsidR="00493BAB" w:rsidRPr="00F27422" w:rsidRDefault="00493BAB" w:rsidP="00122B70">
      <w:pPr>
        <w:pStyle w:val="a"/>
        <w:bidi/>
        <w:spacing w:line="216" w:lineRule="auto"/>
        <w:jc w:val="left"/>
        <w:rPr>
          <w:rFonts w:ascii="mylotus" w:hAnsi="mylotus"/>
          <w:sz w:val="32"/>
          <w:rtl/>
        </w:rPr>
      </w:pPr>
      <w:r w:rsidRPr="00F27422">
        <w:rPr>
          <w:rFonts w:ascii="mylotus" w:hAnsi="mylotus"/>
          <w:b/>
          <w:bCs/>
          <w:sz w:val="32"/>
          <w:rtl/>
        </w:rPr>
        <w:t>هذا حاصل ما توصل إليه سيد المستمسك (قدس سره الشريف)،</w:t>
      </w:r>
      <w:r w:rsidRPr="00F27422">
        <w:rPr>
          <w:rFonts w:ascii="mylotus" w:hAnsi="mylotus"/>
          <w:sz w:val="32"/>
          <w:rtl/>
        </w:rPr>
        <w:t xml:space="preserve"> </w:t>
      </w:r>
      <w:r w:rsidRPr="00F27422">
        <w:rPr>
          <w:rFonts w:ascii="mylotus" w:hAnsi="mylotus" w:hint="cs"/>
          <w:sz w:val="32"/>
          <w:rtl/>
        </w:rPr>
        <w:t>إ</w:t>
      </w:r>
      <w:r w:rsidRPr="00F27422">
        <w:rPr>
          <w:rFonts w:ascii="mylotus" w:hAnsi="mylotus"/>
          <w:sz w:val="32"/>
          <w:rtl/>
        </w:rPr>
        <w:t>ل</w:t>
      </w:r>
      <w:r w:rsidRPr="00F27422">
        <w:rPr>
          <w:rFonts w:ascii="mylotus" w:hAnsi="mylotus" w:hint="cs"/>
          <w:sz w:val="32"/>
          <w:rtl/>
        </w:rPr>
        <w:t>ّ</w:t>
      </w:r>
      <w:r w:rsidRPr="00F27422">
        <w:rPr>
          <w:rFonts w:ascii="mylotus" w:hAnsi="mylotus"/>
          <w:sz w:val="32"/>
          <w:rtl/>
        </w:rPr>
        <w:t>ا أن</w:t>
      </w:r>
      <w:r w:rsidRPr="00F27422">
        <w:rPr>
          <w:rFonts w:ascii="mylotus" w:hAnsi="mylotus" w:hint="cs"/>
          <w:sz w:val="32"/>
          <w:rtl/>
        </w:rPr>
        <w:t>ّ</w:t>
      </w:r>
      <w:r w:rsidRPr="00F27422">
        <w:rPr>
          <w:rFonts w:ascii="mylotus" w:hAnsi="mylotus"/>
          <w:sz w:val="32"/>
          <w:rtl/>
        </w:rPr>
        <w:t xml:space="preserve"> الإشكال ما</w:t>
      </w:r>
      <w:r w:rsidRPr="00F27422">
        <w:rPr>
          <w:rFonts w:ascii="mylotus" w:hAnsi="mylotus" w:hint="cs"/>
          <w:sz w:val="32"/>
          <w:rtl/>
        </w:rPr>
        <w:t xml:space="preserve"> </w:t>
      </w:r>
      <w:r w:rsidRPr="00F27422">
        <w:rPr>
          <w:rFonts w:ascii="mylotus" w:hAnsi="mylotus"/>
          <w:sz w:val="32"/>
          <w:rtl/>
        </w:rPr>
        <w:t>زال عالقا</w:t>
      </w:r>
      <w:r w:rsidRPr="00F27422">
        <w:rPr>
          <w:rFonts w:ascii="mylotus" w:hAnsi="mylotus" w:hint="cs"/>
          <w:sz w:val="32"/>
          <w:rtl/>
        </w:rPr>
        <w:t>ً</w:t>
      </w:r>
      <w:r w:rsidRPr="00F27422">
        <w:rPr>
          <w:rFonts w:ascii="mylotus" w:hAnsi="mylotus"/>
          <w:sz w:val="32"/>
          <w:rtl/>
        </w:rPr>
        <w:t xml:space="preserve"> في تحديد مفاد صحيحة زرارة بن أعين قال: </w:t>
      </w:r>
      <w:r w:rsidRPr="00F27422">
        <w:rPr>
          <w:rFonts w:ascii="mylotus" w:hAnsi="mylotus"/>
          <w:b/>
          <w:bCs/>
          <w:sz w:val="32"/>
          <w:rtl/>
        </w:rPr>
        <w:t>(سمعت أبا جعفر (عليه السلام) يقول: لا ينقض النكاح إلا الأب)</w:t>
      </w:r>
      <w:r w:rsidRPr="00F27422">
        <w:rPr>
          <w:rFonts w:ascii="mylotus" w:hAnsi="mylotus"/>
          <w:sz w:val="32"/>
          <w:rtl/>
        </w:rPr>
        <w:t xml:space="preserve"> فإنّ ظاهره أنّها وإنْ أبرمتْ العقد وكان عقدها صحيحاً ونافذاً لولا نقض الأب فإنّ للأب الولاية على نقضه، وهذا معارض</w:t>
      </w:r>
      <w:r w:rsidRPr="00F27422">
        <w:rPr>
          <w:rFonts w:ascii="mylotus" w:hAnsi="mylotus" w:hint="cs"/>
          <w:sz w:val="32"/>
          <w:rtl/>
        </w:rPr>
        <w:t>ٌ</w:t>
      </w:r>
      <w:r w:rsidRPr="00F27422">
        <w:rPr>
          <w:rFonts w:ascii="mylotus" w:hAnsi="mylotus"/>
          <w:sz w:val="32"/>
          <w:rtl/>
        </w:rPr>
        <w:t xml:space="preserve"> لما</w:t>
      </w:r>
      <w:r w:rsidRPr="00F27422">
        <w:rPr>
          <w:rFonts w:ascii="mylotus" w:hAnsi="mylotus" w:hint="cs"/>
          <w:sz w:val="32"/>
          <w:rtl/>
        </w:rPr>
        <w:t xml:space="preserve"> </w:t>
      </w:r>
      <w:r w:rsidRPr="00F27422">
        <w:rPr>
          <w:rFonts w:ascii="mylotus" w:hAnsi="mylotus"/>
          <w:sz w:val="32"/>
          <w:rtl/>
        </w:rPr>
        <w:t>دل</w:t>
      </w:r>
      <w:r w:rsidRPr="00F27422">
        <w:rPr>
          <w:rFonts w:ascii="mylotus" w:hAnsi="mylotus" w:hint="cs"/>
          <w:sz w:val="32"/>
          <w:rtl/>
        </w:rPr>
        <w:t>ّ</w:t>
      </w:r>
      <w:r w:rsidRPr="00F27422">
        <w:rPr>
          <w:rFonts w:ascii="mylotus" w:hAnsi="mylotus"/>
          <w:sz w:val="32"/>
          <w:rtl/>
        </w:rPr>
        <w:t xml:space="preserve"> على استقلال البنت وما</w:t>
      </w:r>
      <w:r w:rsidRPr="00F27422">
        <w:rPr>
          <w:rFonts w:ascii="mylotus" w:hAnsi="mylotus" w:hint="cs"/>
          <w:sz w:val="32"/>
          <w:rtl/>
        </w:rPr>
        <w:t xml:space="preserve"> </w:t>
      </w:r>
      <w:r w:rsidRPr="00F27422">
        <w:rPr>
          <w:rFonts w:ascii="mylotus" w:hAnsi="mylotus"/>
          <w:sz w:val="32"/>
          <w:rtl/>
        </w:rPr>
        <w:t>دل</w:t>
      </w:r>
      <w:r w:rsidRPr="00F27422">
        <w:rPr>
          <w:rFonts w:ascii="mylotus" w:hAnsi="mylotus" w:hint="cs"/>
          <w:sz w:val="32"/>
          <w:rtl/>
        </w:rPr>
        <w:t>ّ</w:t>
      </w:r>
      <w:r w:rsidRPr="00F27422">
        <w:rPr>
          <w:rFonts w:ascii="mylotus" w:hAnsi="mylotus"/>
          <w:sz w:val="32"/>
          <w:rtl/>
        </w:rPr>
        <w:t xml:space="preserve"> على اعتبار إذنها</w:t>
      </w:r>
      <w:r w:rsidRPr="00F27422">
        <w:rPr>
          <w:rFonts w:ascii="mylotus" w:hAnsi="mylotus" w:hint="cs"/>
          <w:sz w:val="32"/>
          <w:rtl/>
        </w:rPr>
        <w:t>.</w:t>
      </w:r>
    </w:p>
    <w:p w14:paraId="6B96F35F"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 xml:space="preserve">وقد أجاب </w:t>
      </w:r>
      <w:proofErr w:type="gramStart"/>
      <w:r w:rsidRPr="00F27422">
        <w:rPr>
          <w:rFonts w:ascii="mylotus" w:hAnsi="mylotus"/>
          <w:b/>
          <w:bCs/>
          <w:sz w:val="32"/>
          <w:rtl/>
        </w:rPr>
        <w:t>عن  ذلك</w:t>
      </w:r>
      <w:proofErr w:type="gramEnd"/>
      <w:r w:rsidRPr="00F27422">
        <w:rPr>
          <w:rFonts w:ascii="mylotus" w:hAnsi="mylotus"/>
          <w:b/>
          <w:bCs/>
          <w:sz w:val="32"/>
          <w:rtl/>
        </w:rPr>
        <w:t xml:space="preserve"> سيدنا الخوئي (قدس سره الشريف)</w:t>
      </w:r>
      <w:r w:rsidRPr="00F27422">
        <w:rPr>
          <w:rFonts w:ascii="mylotus" w:hAnsi="mylotus"/>
          <w:sz w:val="32"/>
          <w:rtl/>
        </w:rPr>
        <w:t xml:space="preserve"> في موسوعته المباركة في كتابه [المباني في شرح العروة الوثقى، كتاب النكاح، ج33، ص215] - ناظرا</w:t>
      </w:r>
      <w:r w:rsidRPr="00F27422">
        <w:rPr>
          <w:rFonts w:ascii="mylotus" w:hAnsi="mylotus" w:hint="cs"/>
          <w:sz w:val="32"/>
          <w:rtl/>
        </w:rPr>
        <w:t>ً</w:t>
      </w:r>
      <w:r w:rsidRPr="00F27422">
        <w:rPr>
          <w:rFonts w:ascii="mylotus" w:hAnsi="mylotus"/>
          <w:sz w:val="32"/>
          <w:rtl/>
        </w:rPr>
        <w:t xml:space="preserve"> لمختار السيد الحكيم (قدس سره </w:t>
      </w:r>
      <w:proofErr w:type="gramStart"/>
      <w:r w:rsidRPr="00F27422">
        <w:rPr>
          <w:rFonts w:ascii="mylotus" w:hAnsi="mylotus"/>
          <w:sz w:val="32"/>
          <w:rtl/>
        </w:rPr>
        <w:t>الشريف)</w:t>
      </w:r>
      <w:r w:rsidRPr="00F27422">
        <w:rPr>
          <w:rFonts w:ascii="mylotus" w:hAnsi="mylotus"/>
          <w:sz w:val="32"/>
        </w:rPr>
        <w:t xml:space="preserve"> </w:t>
      </w:r>
      <w:r w:rsidRPr="00F27422">
        <w:rPr>
          <w:rFonts w:ascii="mylotus" w:hAnsi="mylotus" w:hint="cs"/>
          <w:sz w:val="32"/>
          <w:rtl/>
        </w:rPr>
        <w:t xml:space="preserve"> -</w:t>
      </w:r>
      <w:proofErr w:type="gramEnd"/>
      <w:r w:rsidRPr="00F27422">
        <w:rPr>
          <w:rFonts w:ascii="mylotus" w:hAnsi="mylotus" w:hint="cs"/>
          <w:sz w:val="32"/>
          <w:rtl/>
        </w:rPr>
        <w:t>.</w:t>
      </w:r>
    </w:p>
    <w:p w14:paraId="19036958"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وحاصل كلامه:</w:t>
      </w:r>
      <w:r w:rsidRPr="00F27422">
        <w:rPr>
          <w:rFonts w:ascii="mylotus" w:hAnsi="mylotus"/>
          <w:sz w:val="32"/>
          <w:rtl/>
        </w:rPr>
        <w:t xml:space="preserve"> أنّ النقض هنا وإنْ كان لا يتصور عرفاً إلّا في العقد المبرم؛ إذ لا معنى لنقض عقدٍ ليس مبرماً، إلّا أنّ المراد الإبرام هو الإبرام الشأني - لا الفعلي - أي: أنّ العقد صدر جامعاً للشرائط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أنّه</w:t>
      </w:r>
      <w:r w:rsidRPr="00F27422">
        <w:rPr>
          <w:rFonts w:ascii="mylotus" w:hAnsi="mylotus"/>
          <w:sz w:val="32"/>
          <w:rtl/>
        </w:rPr>
        <w:t xml:space="preserve"> </w:t>
      </w:r>
      <w:r w:rsidRPr="00F27422">
        <w:rPr>
          <w:rFonts w:ascii="mylotus" w:hAnsi="mylotus" w:hint="cs"/>
          <w:sz w:val="32"/>
          <w:rtl/>
        </w:rPr>
        <w:t>صدر</w:t>
      </w:r>
      <w:r w:rsidRPr="00F27422">
        <w:rPr>
          <w:rFonts w:ascii="mylotus" w:hAnsi="mylotus"/>
          <w:sz w:val="32"/>
          <w:rtl/>
        </w:rPr>
        <w:t xml:space="preserve"> </w:t>
      </w:r>
      <w:r w:rsidRPr="00F27422">
        <w:rPr>
          <w:rFonts w:ascii="mylotus" w:hAnsi="mylotus" w:hint="cs"/>
          <w:sz w:val="32"/>
          <w:rtl/>
        </w:rPr>
        <w:t>صحيحاً</w:t>
      </w:r>
      <w:r w:rsidRPr="00F27422">
        <w:rPr>
          <w:rFonts w:ascii="mylotus" w:hAnsi="mylotus"/>
          <w:sz w:val="32"/>
          <w:rtl/>
        </w:rPr>
        <w:t xml:space="preserve"> </w:t>
      </w:r>
      <w:r w:rsidRPr="00F27422">
        <w:rPr>
          <w:rFonts w:ascii="mylotus" w:hAnsi="mylotus" w:hint="cs"/>
          <w:sz w:val="32"/>
          <w:rtl/>
        </w:rPr>
        <w:t>بالفعل</w:t>
      </w:r>
      <w:r w:rsidRPr="00F27422">
        <w:rPr>
          <w:rFonts w:ascii="mylotus" w:hAnsi="mylotus"/>
          <w:sz w:val="32"/>
          <w:rtl/>
        </w:rPr>
        <w:t xml:space="preserve"> -</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وإنّما</w:t>
      </w:r>
      <w:r w:rsidRPr="00F27422">
        <w:rPr>
          <w:rFonts w:ascii="mylotus" w:hAnsi="mylotus"/>
          <w:sz w:val="32"/>
          <w:rtl/>
        </w:rPr>
        <w:t xml:space="preserve"> </w:t>
      </w:r>
      <w:r w:rsidRPr="00F27422">
        <w:rPr>
          <w:rFonts w:ascii="mylotus" w:hAnsi="mylotus" w:hint="cs"/>
          <w:sz w:val="32"/>
          <w:rtl/>
        </w:rPr>
        <w:t>يحمل</w:t>
      </w:r>
      <w:r w:rsidRPr="00F27422">
        <w:rPr>
          <w:rFonts w:ascii="mylotus" w:hAnsi="mylotus"/>
          <w:sz w:val="32"/>
          <w:rtl/>
        </w:rPr>
        <w:t xml:space="preserve"> </w:t>
      </w:r>
      <w:r w:rsidRPr="00F27422">
        <w:rPr>
          <w:rFonts w:ascii="mylotus" w:hAnsi="mylotus" w:hint="cs"/>
          <w:sz w:val="32"/>
          <w:rtl/>
        </w:rPr>
        <w:t>الإبرام</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الإبرام</w:t>
      </w:r>
      <w:r w:rsidRPr="00F27422">
        <w:rPr>
          <w:rFonts w:ascii="mylotus" w:hAnsi="mylotus"/>
          <w:sz w:val="32"/>
          <w:rtl/>
        </w:rPr>
        <w:t xml:space="preserve"> </w:t>
      </w:r>
      <w:r w:rsidRPr="00F27422">
        <w:rPr>
          <w:rFonts w:ascii="mylotus" w:hAnsi="mylotus" w:hint="cs"/>
          <w:sz w:val="32"/>
          <w:rtl/>
        </w:rPr>
        <w:t>الشأني</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الصحّة</w:t>
      </w:r>
      <w:r w:rsidRPr="00F27422">
        <w:rPr>
          <w:rFonts w:ascii="mylotus" w:hAnsi="mylotus"/>
          <w:sz w:val="32"/>
          <w:rtl/>
        </w:rPr>
        <w:t xml:space="preserve"> </w:t>
      </w:r>
      <w:r w:rsidRPr="00F27422">
        <w:rPr>
          <w:rFonts w:ascii="mylotus" w:hAnsi="mylotus" w:hint="cs"/>
          <w:sz w:val="32"/>
          <w:rtl/>
        </w:rPr>
        <w:t>التأهلية</w:t>
      </w:r>
      <w:r w:rsidRPr="00F27422">
        <w:rPr>
          <w:rFonts w:ascii="mylotus" w:hAnsi="mylotus"/>
          <w:sz w:val="32"/>
          <w:rtl/>
        </w:rPr>
        <w:t xml:space="preserve"> </w:t>
      </w:r>
      <w:r w:rsidRPr="00F27422">
        <w:rPr>
          <w:rFonts w:ascii="mylotus" w:hAnsi="mylotus" w:hint="cs"/>
          <w:sz w:val="32"/>
          <w:rtl/>
        </w:rPr>
        <w:t>لقرينتين</w:t>
      </w:r>
      <w:r w:rsidRPr="00F27422">
        <w:rPr>
          <w:rFonts w:ascii="mylotus" w:hAnsi="mylotus"/>
          <w:sz w:val="32"/>
        </w:rPr>
        <w:t>:</w:t>
      </w:r>
    </w:p>
    <w:p w14:paraId="32ED02C0"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القرينةُ الأُولى:</w:t>
      </w:r>
      <w:r w:rsidRPr="00F27422">
        <w:rPr>
          <w:rFonts w:ascii="mylotus" w:hAnsi="mylotus"/>
          <w:sz w:val="32"/>
          <w:rtl/>
        </w:rPr>
        <w:t xml:space="preserve"> أنّ النكاح الصحيح لا يقبل الفسخ بإجماع المسلمين، فكيف يتصور أنْ يكون العقد الصادر من البنت عقداً صحيحاً بالفعل ومع ذلك لأبيها الفسخ؟ واستعمال النقض في هذه الرواية لا يدل على أنّ العقد كان صحيحاً بالفعل، فقد ورد في أبواب الصلاة</w:t>
      </w:r>
      <w:r w:rsidRPr="00F27422">
        <w:rPr>
          <w:rFonts w:ascii="mylotus" w:hAnsi="mylotus" w:hint="cs"/>
          <w:sz w:val="32"/>
          <w:rtl/>
        </w:rPr>
        <w:t>:</w:t>
      </w:r>
      <w:r w:rsidRPr="00F27422">
        <w:rPr>
          <w:rFonts w:ascii="mylotus" w:hAnsi="mylotus"/>
          <w:sz w:val="32"/>
          <w:rtl/>
        </w:rPr>
        <w:t xml:space="preserve"> </w:t>
      </w:r>
      <w:r w:rsidRPr="00F27422">
        <w:rPr>
          <w:rFonts w:ascii="mylotus" w:hAnsi="mylotus" w:cs="Cambria" w:hint="cs"/>
          <w:sz w:val="32"/>
          <w:rtl/>
        </w:rPr>
        <w:t>"</w:t>
      </w:r>
      <w:r w:rsidRPr="00F27422">
        <w:rPr>
          <w:rFonts w:ascii="mylotus" w:hAnsi="mylotus"/>
          <w:sz w:val="32"/>
          <w:rtl/>
        </w:rPr>
        <w:t xml:space="preserve">أنّ من </w:t>
      </w:r>
      <w:r w:rsidRPr="00F27422">
        <w:rPr>
          <w:rFonts w:ascii="mylotus" w:hAnsi="mylotus"/>
          <w:sz w:val="32"/>
          <w:rtl/>
        </w:rPr>
        <w:lastRenderedPageBreak/>
        <w:t>أجهر في موضع الإخفات أو أخفت في موضع الجهر فقد نقض صلاته</w:t>
      </w:r>
      <w:r w:rsidRPr="00F27422">
        <w:rPr>
          <w:rFonts w:ascii="mylotus" w:hAnsi="mylotus" w:cs="Cambria" w:hint="cs"/>
          <w:sz w:val="32"/>
          <w:rtl/>
        </w:rPr>
        <w:t>"</w:t>
      </w:r>
      <w:r w:rsidRPr="00F27422">
        <w:rPr>
          <w:rFonts w:ascii="mylotus" w:hAnsi="mylotus"/>
          <w:sz w:val="32"/>
          <w:rtl/>
        </w:rPr>
        <w:t xml:space="preserve">، ومن الواضح أنّه ليس المقصود بذلك نقض الصلاة الصحيحة بالفعل؛ إذ لا معنى لأنْ تكون الصلاة صحيحة بالفعل ومع ذلك يمكن نقضها، بل المقصود بذلك اشتراط صحّة الصلاة بعدم الجهر موضع الإخفات أو العكس عن عمدٍ، وأنّ المراد بالنقض نقض الإبرام الشأني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الفعلي</w:t>
      </w:r>
      <w:r w:rsidRPr="00F27422">
        <w:rPr>
          <w:rFonts w:ascii="mylotus" w:hAnsi="mylotus"/>
          <w:sz w:val="32"/>
          <w:rtl/>
        </w:rPr>
        <w:t xml:space="preserve">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الصلاة</w:t>
      </w:r>
      <w:r w:rsidRPr="00F27422">
        <w:rPr>
          <w:rFonts w:ascii="mylotus" w:hAnsi="mylotus"/>
          <w:sz w:val="32"/>
          <w:rtl/>
        </w:rPr>
        <w:t xml:space="preserve"> </w:t>
      </w:r>
      <w:r w:rsidRPr="00F27422">
        <w:rPr>
          <w:rFonts w:ascii="mylotus" w:hAnsi="mylotus" w:hint="cs"/>
          <w:sz w:val="32"/>
          <w:rtl/>
        </w:rPr>
        <w:t>القابلة</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حد</w:t>
      </w:r>
      <w:r w:rsidRPr="00F27422">
        <w:rPr>
          <w:rFonts w:ascii="mylotus" w:hAnsi="mylotus"/>
          <w:sz w:val="32"/>
          <w:rtl/>
        </w:rPr>
        <w:t xml:space="preserve"> </w:t>
      </w:r>
      <w:r w:rsidRPr="00F27422">
        <w:rPr>
          <w:rFonts w:ascii="mylotus" w:hAnsi="mylotus" w:hint="cs"/>
          <w:sz w:val="32"/>
          <w:rtl/>
        </w:rPr>
        <w:t>ذاتها</w:t>
      </w:r>
      <w:r w:rsidRPr="00F27422">
        <w:rPr>
          <w:rFonts w:ascii="mylotus" w:hAnsi="mylotus"/>
          <w:sz w:val="32"/>
          <w:rtl/>
        </w:rPr>
        <w:t xml:space="preserve"> </w:t>
      </w:r>
      <w:r w:rsidRPr="00F27422">
        <w:rPr>
          <w:rFonts w:ascii="mylotus" w:hAnsi="mylotus" w:hint="cs"/>
          <w:sz w:val="32"/>
          <w:rtl/>
        </w:rPr>
        <w:t>للصحّة</w:t>
      </w:r>
      <w:r w:rsidRPr="00F27422">
        <w:rPr>
          <w:rFonts w:ascii="mylotus" w:hAnsi="mylotus"/>
          <w:sz w:val="32"/>
          <w:rtl/>
        </w:rPr>
        <w:t xml:space="preserve"> </w:t>
      </w:r>
      <w:r w:rsidRPr="00F27422">
        <w:rPr>
          <w:rFonts w:ascii="mylotus" w:hAnsi="mylotus" w:hint="cs"/>
          <w:sz w:val="32"/>
          <w:rtl/>
        </w:rPr>
        <w:t>مما</w:t>
      </w:r>
      <w:r w:rsidRPr="00F27422">
        <w:rPr>
          <w:rFonts w:ascii="mylotus" w:hAnsi="mylotus"/>
          <w:sz w:val="32"/>
          <w:rtl/>
        </w:rPr>
        <w:t xml:space="preserve"> </w:t>
      </w:r>
      <w:r w:rsidRPr="00F27422">
        <w:rPr>
          <w:rFonts w:ascii="mylotus" w:hAnsi="mylotus" w:hint="cs"/>
          <w:sz w:val="32"/>
          <w:rtl/>
        </w:rPr>
        <w:t>تنتقض</w:t>
      </w:r>
      <w:r w:rsidRPr="00F27422">
        <w:rPr>
          <w:rFonts w:ascii="mylotus" w:hAnsi="mylotus"/>
          <w:sz w:val="32"/>
          <w:rtl/>
        </w:rPr>
        <w:t xml:space="preserve"> </w:t>
      </w:r>
      <w:r w:rsidRPr="00F27422">
        <w:rPr>
          <w:rFonts w:ascii="mylotus" w:hAnsi="mylotus" w:hint="cs"/>
          <w:sz w:val="32"/>
          <w:rtl/>
        </w:rPr>
        <w:t>بالجهر</w:t>
      </w:r>
      <w:r w:rsidRPr="00F27422">
        <w:rPr>
          <w:rFonts w:ascii="mylotus" w:hAnsi="mylotus"/>
          <w:sz w:val="32"/>
          <w:rtl/>
        </w:rPr>
        <w:t xml:space="preserve"> </w:t>
      </w:r>
      <w:r w:rsidRPr="00F27422">
        <w:rPr>
          <w:rFonts w:ascii="mylotus" w:hAnsi="mylotus" w:hint="cs"/>
          <w:sz w:val="32"/>
          <w:rtl/>
        </w:rPr>
        <w:t>موضع</w:t>
      </w:r>
      <w:r w:rsidRPr="00F27422">
        <w:rPr>
          <w:rFonts w:ascii="mylotus" w:hAnsi="mylotus"/>
          <w:sz w:val="32"/>
          <w:rtl/>
        </w:rPr>
        <w:t xml:space="preserve"> </w:t>
      </w:r>
      <w:r w:rsidRPr="00F27422">
        <w:rPr>
          <w:rFonts w:ascii="mylotus" w:hAnsi="mylotus" w:hint="cs"/>
          <w:sz w:val="32"/>
          <w:rtl/>
        </w:rPr>
        <w:t>الإخفات</w:t>
      </w:r>
      <w:r w:rsidRPr="00F27422">
        <w:rPr>
          <w:rFonts w:ascii="mylotus" w:hAnsi="mylotus"/>
          <w:sz w:val="32"/>
          <w:rtl/>
        </w:rPr>
        <w:t xml:space="preserve"> </w:t>
      </w:r>
      <w:r w:rsidRPr="00F27422">
        <w:rPr>
          <w:rFonts w:ascii="mylotus" w:hAnsi="mylotus" w:hint="cs"/>
          <w:sz w:val="32"/>
          <w:rtl/>
        </w:rPr>
        <w:t>أو</w:t>
      </w:r>
      <w:r w:rsidRPr="00F27422">
        <w:rPr>
          <w:rFonts w:ascii="mylotus" w:hAnsi="mylotus"/>
          <w:sz w:val="32"/>
          <w:rtl/>
        </w:rPr>
        <w:t xml:space="preserve"> </w:t>
      </w:r>
      <w:r w:rsidRPr="00F27422">
        <w:rPr>
          <w:rFonts w:ascii="mylotus" w:hAnsi="mylotus" w:hint="cs"/>
          <w:sz w:val="32"/>
          <w:rtl/>
        </w:rPr>
        <w:t>العكس</w:t>
      </w:r>
      <w:r w:rsidRPr="00F27422">
        <w:rPr>
          <w:rFonts w:ascii="mylotus" w:hAnsi="mylotus"/>
          <w:sz w:val="32"/>
          <w:rtl/>
        </w:rPr>
        <w:t xml:space="preserve"> </w:t>
      </w:r>
      <w:r w:rsidRPr="00F27422">
        <w:rPr>
          <w:rFonts w:ascii="mylotus" w:hAnsi="mylotus" w:hint="cs"/>
          <w:sz w:val="32"/>
          <w:rtl/>
        </w:rPr>
        <w:t>عن</w:t>
      </w:r>
      <w:r w:rsidRPr="00F27422">
        <w:rPr>
          <w:rFonts w:ascii="mylotus" w:hAnsi="mylotus"/>
          <w:sz w:val="32"/>
          <w:rtl/>
        </w:rPr>
        <w:t xml:space="preserve"> </w:t>
      </w:r>
      <w:r w:rsidRPr="00F27422">
        <w:rPr>
          <w:rFonts w:ascii="mylotus" w:hAnsi="mylotus" w:hint="cs"/>
          <w:sz w:val="32"/>
          <w:rtl/>
        </w:rPr>
        <w:t>عمدٍ</w:t>
      </w:r>
      <w:r w:rsidRPr="00F27422">
        <w:rPr>
          <w:rFonts w:ascii="mylotus" w:hAnsi="mylotus"/>
          <w:sz w:val="32"/>
        </w:rPr>
        <w:t>.</w:t>
      </w:r>
    </w:p>
    <w:p w14:paraId="498F58EA"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sz w:val="32"/>
          <w:rtl/>
        </w:rPr>
        <w:t xml:space="preserve">ونص كلامه (قدس سره الشريف): </w:t>
      </w:r>
      <w:r w:rsidRPr="00F27422">
        <w:rPr>
          <w:rFonts w:ascii="mylotus" w:hAnsi="mylotus"/>
          <w:b/>
          <w:bCs/>
          <w:sz w:val="32"/>
          <w:rtl/>
        </w:rPr>
        <w:t>(وصحيحة محمد بن مسلم عن أبي جعفر (عليه السلام)، قال: (لا ينقض النكاح إلّا الأب</w:t>
      </w:r>
      <w:r w:rsidRPr="00F27422">
        <w:rPr>
          <w:rFonts w:ascii="mylotus" w:hAnsi="mylotus" w:hint="cs"/>
          <w:b/>
          <w:bCs/>
          <w:sz w:val="32"/>
          <w:rtl/>
        </w:rPr>
        <w:t>).</w:t>
      </w:r>
    </w:p>
    <w:p w14:paraId="1B52E8B2"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فإنه وبعد الالتفات إلى أنه إنما يكون بالنسبة إلى الأمر المبرم، وأن المقصود من العقد المبرم في المقام لا يمكن أن يكون العقد الصحيح بالفعل، لأنه غير قابل للنقض مطلقاً إذ ليس لأحد الخيار في فسخ الصحيح جزماً وإجماعاً من المسلمين قاطبة، لا بدّ من الحمل على الإبرام الشأني والصحّة التأهلية، أي ما يكون صادراً من أهله وواقعاً في محلِّه، بحيث له قابلية الإتمام والصحّة عند استكمال سائر الشروط المعتبرة</w:t>
      </w:r>
      <w:r w:rsidRPr="00F27422">
        <w:rPr>
          <w:rFonts w:ascii="mylotus" w:hAnsi="mylotus"/>
          <w:b/>
          <w:bCs/>
          <w:sz w:val="32"/>
        </w:rPr>
        <w:t>.</w:t>
      </w:r>
    </w:p>
    <w:p w14:paraId="56B5A66A"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واستعمال الإبرام في هذا المعنى ثابت في غير هذا المورد أيضاً، فقد ورد في أبواب الصلاة أن من أجهر في موضع الإخفات، أو أخفت في موضع الجهر، فقد نقض صلاته. فإن من الواضح أنه ليس المقصود بذلك هو نقض الصلاة المحكومة بالصحّة بالفعل</w:t>
      </w:r>
      <w:r w:rsidRPr="00F27422">
        <w:rPr>
          <w:rFonts w:ascii="mylotus" w:hAnsi="mylotus" w:hint="cs"/>
          <w:b/>
          <w:bCs/>
          <w:sz w:val="32"/>
          <w:rtl/>
        </w:rPr>
        <w:t>.</w:t>
      </w:r>
    </w:p>
    <w:p w14:paraId="11BE21BA"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 xml:space="preserve">وعلى هذا الأساس تدلّ هاتان المعتبرتان على اشتراك الأمر في التزويج بين البنت وأبيها، لانحصار موردهما في تزوّج البكر بغير إذن أبيها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وذلك</w:t>
      </w:r>
      <w:r w:rsidRPr="00F27422">
        <w:rPr>
          <w:rFonts w:ascii="mylotus" w:hAnsi="mylotus"/>
          <w:b/>
          <w:bCs/>
          <w:sz w:val="32"/>
          <w:rtl/>
        </w:rPr>
        <w:t xml:space="preserve"> </w:t>
      </w:r>
      <w:r w:rsidRPr="00F27422">
        <w:rPr>
          <w:rFonts w:ascii="mylotus" w:hAnsi="mylotus" w:hint="cs"/>
          <w:b/>
          <w:bCs/>
          <w:sz w:val="32"/>
          <w:rtl/>
        </w:rPr>
        <w:t>لأن</w:t>
      </w:r>
      <w:r w:rsidRPr="00F27422">
        <w:rPr>
          <w:rFonts w:ascii="mylotus" w:hAnsi="mylotus"/>
          <w:b/>
          <w:bCs/>
          <w:sz w:val="32"/>
          <w:rtl/>
        </w:rPr>
        <w:t xml:space="preserve"> </w:t>
      </w:r>
      <w:r w:rsidRPr="00F27422">
        <w:rPr>
          <w:rFonts w:ascii="mylotus" w:hAnsi="mylotus" w:hint="cs"/>
          <w:b/>
          <w:bCs/>
          <w:sz w:val="32"/>
          <w:rtl/>
        </w:rPr>
        <w:t>الثيب</w:t>
      </w:r>
      <w:r w:rsidRPr="00F27422">
        <w:rPr>
          <w:rFonts w:ascii="mylotus" w:hAnsi="mylotus"/>
          <w:b/>
          <w:bCs/>
          <w:sz w:val="32"/>
          <w:rtl/>
        </w:rPr>
        <w:t xml:space="preserve"> </w:t>
      </w:r>
      <w:r w:rsidRPr="00F27422">
        <w:rPr>
          <w:rFonts w:ascii="mylotus" w:hAnsi="mylotus" w:hint="cs"/>
          <w:b/>
          <w:bCs/>
          <w:sz w:val="32"/>
          <w:rtl/>
        </w:rPr>
        <w:t>ليس</w:t>
      </w:r>
      <w:r w:rsidRPr="00F27422">
        <w:rPr>
          <w:rFonts w:ascii="mylotus" w:hAnsi="mylotus"/>
          <w:b/>
          <w:bCs/>
          <w:sz w:val="32"/>
          <w:rtl/>
        </w:rPr>
        <w:t xml:space="preserve"> </w:t>
      </w:r>
      <w:r w:rsidRPr="00F27422">
        <w:rPr>
          <w:rFonts w:ascii="mylotus" w:hAnsi="mylotus" w:hint="cs"/>
          <w:b/>
          <w:bCs/>
          <w:sz w:val="32"/>
          <w:rtl/>
        </w:rPr>
        <w:t>لأبيها</w:t>
      </w:r>
      <w:r w:rsidRPr="00F27422">
        <w:rPr>
          <w:rFonts w:ascii="mylotus" w:hAnsi="mylotus"/>
          <w:b/>
          <w:bCs/>
          <w:sz w:val="32"/>
          <w:rtl/>
        </w:rPr>
        <w:t xml:space="preserve"> </w:t>
      </w:r>
      <w:r w:rsidRPr="00F27422">
        <w:rPr>
          <w:rFonts w:ascii="mylotus" w:hAnsi="mylotus" w:hint="cs"/>
          <w:b/>
          <w:bCs/>
          <w:sz w:val="32"/>
          <w:rtl/>
        </w:rPr>
        <w:t>نقض</w:t>
      </w:r>
      <w:r w:rsidRPr="00F27422">
        <w:rPr>
          <w:rFonts w:ascii="mylotus" w:hAnsi="mylotus"/>
          <w:b/>
          <w:bCs/>
          <w:sz w:val="32"/>
          <w:rtl/>
        </w:rPr>
        <w:t xml:space="preserve"> </w:t>
      </w:r>
      <w:r w:rsidRPr="00F27422">
        <w:rPr>
          <w:rFonts w:ascii="mylotus" w:hAnsi="mylotus" w:hint="cs"/>
          <w:b/>
          <w:bCs/>
          <w:sz w:val="32"/>
          <w:rtl/>
        </w:rPr>
        <w:t>عقدها</w:t>
      </w:r>
      <w:r w:rsidRPr="00F27422">
        <w:rPr>
          <w:rFonts w:ascii="mylotus" w:hAnsi="mylotus"/>
          <w:b/>
          <w:bCs/>
          <w:sz w:val="32"/>
          <w:rtl/>
        </w:rPr>
        <w:t xml:space="preserve"> </w:t>
      </w:r>
      <w:r w:rsidRPr="00F27422">
        <w:rPr>
          <w:rFonts w:ascii="mylotus" w:hAnsi="mylotus" w:hint="cs"/>
          <w:b/>
          <w:bCs/>
          <w:sz w:val="32"/>
          <w:rtl/>
        </w:rPr>
        <w:t>مطلقاً</w:t>
      </w:r>
      <w:r w:rsidRPr="00F27422">
        <w:rPr>
          <w:rFonts w:ascii="mylotus" w:hAnsi="mylotus"/>
          <w:b/>
          <w:bCs/>
          <w:sz w:val="32"/>
          <w:rtl/>
        </w:rPr>
        <w:t xml:space="preserve">. </w:t>
      </w:r>
      <w:r w:rsidRPr="00F27422">
        <w:rPr>
          <w:rFonts w:ascii="mylotus" w:hAnsi="mylotus" w:hint="cs"/>
          <w:b/>
          <w:bCs/>
          <w:sz w:val="32"/>
          <w:rtl/>
        </w:rPr>
        <w:t>وعقد</w:t>
      </w:r>
      <w:r w:rsidRPr="00F27422">
        <w:rPr>
          <w:rFonts w:ascii="mylotus" w:hAnsi="mylotus"/>
          <w:b/>
          <w:bCs/>
          <w:sz w:val="32"/>
          <w:rtl/>
        </w:rPr>
        <w:t xml:space="preserve"> </w:t>
      </w:r>
      <w:r w:rsidRPr="00F27422">
        <w:rPr>
          <w:rFonts w:ascii="mylotus" w:hAnsi="mylotus" w:hint="cs"/>
          <w:b/>
          <w:bCs/>
          <w:sz w:val="32"/>
          <w:rtl/>
        </w:rPr>
        <w:t>الصبية</w:t>
      </w:r>
      <w:r w:rsidRPr="00F27422">
        <w:rPr>
          <w:rFonts w:ascii="mylotus" w:hAnsi="mylotus"/>
          <w:b/>
          <w:bCs/>
          <w:sz w:val="32"/>
          <w:rtl/>
        </w:rPr>
        <w:t xml:space="preserve"> </w:t>
      </w:r>
      <w:r w:rsidRPr="00F27422">
        <w:rPr>
          <w:rFonts w:ascii="mylotus" w:hAnsi="mylotus" w:hint="cs"/>
          <w:b/>
          <w:bCs/>
          <w:sz w:val="32"/>
          <w:rtl/>
        </w:rPr>
        <w:t>محكوم</w:t>
      </w:r>
      <w:r w:rsidRPr="00F27422">
        <w:rPr>
          <w:rFonts w:ascii="mylotus" w:hAnsi="mylotus"/>
          <w:b/>
          <w:bCs/>
          <w:sz w:val="32"/>
          <w:rtl/>
        </w:rPr>
        <w:t xml:space="preserve"> </w:t>
      </w:r>
      <w:r w:rsidRPr="00F27422">
        <w:rPr>
          <w:rFonts w:ascii="mylotus" w:hAnsi="mylotus" w:hint="cs"/>
          <w:b/>
          <w:bCs/>
          <w:sz w:val="32"/>
          <w:rtl/>
        </w:rPr>
        <w:t>بالبطلان</w:t>
      </w:r>
      <w:r w:rsidRPr="00F27422">
        <w:rPr>
          <w:rFonts w:ascii="mylotus" w:hAnsi="mylotus"/>
          <w:b/>
          <w:bCs/>
          <w:sz w:val="32"/>
          <w:rtl/>
        </w:rPr>
        <w:t xml:space="preserve"> </w:t>
      </w:r>
      <w:r w:rsidRPr="00F27422">
        <w:rPr>
          <w:rFonts w:ascii="mylotus" w:hAnsi="mylotus" w:hint="cs"/>
          <w:b/>
          <w:bCs/>
          <w:sz w:val="32"/>
          <w:rtl/>
        </w:rPr>
        <w:t>وإن</w:t>
      </w:r>
      <w:r w:rsidRPr="00F27422">
        <w:rPr>
          <w:rFonts w:ascii="mylotus" w:hAnsi="mylotus"/>
          <w:b/>
          <w:bCs/>
          <w:sz w:val="32"/>
          <w:rtl/>
        </w:rPr>
        <w:t xml:space="preserve"> </w:t>
      </w:r>
      <w:r w:rsidRPr="00F27422">
        <w:rPr>
          <w:rFonts w:ascii="mylotus" w:hAnsi="mylotus" w:hint="cs"/>
          <w:b/>
          <w:bCs/>
          <w:sz w:val="32"/>
          <w:rtl/>
        </w:rPr>
        <w:t>أذن</w:t>
      </w:r>
      <w:r w:rsidRPr="00F27422">
        <w:rPr>
          <w:rFonts w:ascii="mylotus" w:hAnsi="mylotus"/>
          <w:b/>
          <w:bCs/>
          <w:sz w:val="32"/>
          <w:rtl/>
        </w:rPr>
        <w:t xml:space="preserve"> </w:t>
      </w:r>
      <w:r w:rsidRPr="00F27422">
        <w:rPr>
          <w:rFonts w:ascii="mylotus" w:hAnsi="mylotus" w:hint="cs"/>
          <w:b/>
          <w:bCs/>
          <w:sz w:val="32"/>
          <w:rtl/>
        </w:rPr>
        <w:t>الأب</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فإن</w:t>
      </w:r>
      <w:r w:rsidRPr="00F27422">
        <w:rPr>
          <w:rFonts w:ascii="mylotus" w:hAnsi="mylotus"/>
          <w:b/>
          <w:bCs/>
          <w:sz w:val="32"/>
          <w:rtl/>
        </w:rPr>
        <w:t xml:space="preserve"> </w:t>
      </w:r>
      <w:r w:rsidRPr="00F27422">
        <w:rPr>
          <w:rFonts w:ascii="mylotus" w:hAnsi="mylotus" w:hint="cs"/>
          <w:b/>
          <w:bCs/>
          <w:sz w:val="32"/>
          <w:rtl/>
        </w:rPr>
        <w:t>العقد</w:t>
      </w:r>
      <w:r w:rsidRPr="00F27422">
        <w:rPr>
          <w:rFonts w:ascii="mylotus" w:hAnsi="mylotus"/>
          <w:b/>
          <w:bCs/>
          <w:sz w:val="32"/>
          <w:rtl/>
        </w:rPr>
        <w:t xml:space="preserve"> </w:t>
      </w:r>
      <w:r w:rsidRPr="00F27422">
        <w:rPr>
          <w:rFonts w:ascii="mylotus" w:hAnsi="mylotus" w:hint="cs"/>
          <w:b/>
          <w:bCs/>
          <w:sz w:val="32"/>
          <w:rtl/>
        </w:rPr>
        <w:t>محكوم</w:t>
      </w:r>
      <w:r w:rsidRPr="00F27422">
        <w:rPr>
          <w:rFonts w:ascii="mylotus" w:hAnsi="mylotus"/>
          <w:b/>
          <w:bCs/>
          <w:sz w:val="32"/>
          <w:rtl/>
        </w:rPr>
        <w:t xml:space="preserve"> </w:t>
      </w:r>
      <w:r w:rsidRPr="00F27422">
        <w:rPr>
          <w:rFonts w:ascii="mylotus" w:hAnsi="mylotus" w:hint="cs"/>
          <w:b/>
          <w:bCs/>
          <w:sz w:val="32"/>
          <w:rtl/>
        </w:rPr>
        <w:t>بالصحّة</w:t>
      </w:r>
      <w:r w:rsidRPr="00F27422">
        <w:rPr>
          <w:rFonts w:ascii="mylotus" w:hAnsi="mylotus"/>
          <w:b/>
          <w:bCs/>
          <w:sz w:val="32"/>
          <w:rtl/>
        </w:rPr>
        <w:t xml:space="preserve"> </w:t>
      </w:r>
      <w:r w:rsidRPr="00F27422">
        <w:rPr>
          <w:rFonts w:ascii="mylotus" w:hAnsi="mylotus" w:hint="cs"/>
          <w:b/>
          <w:bCs/>
          <w:sz w:val="32"/>
          <w:rtl/>
        </w:rPr>
        <w:t>حينئذ،</w:t>
      </w:r>
      <w:r w:rsidRPr="00F27422">
        <w:rPr>
          <w:rFonts w:ascii="mylotus" w:hAnsi="mylotus"/>
          <w:b/>
          <w:bCs/>
          <w:sz w:val="32"/>
          <w:rtl/>
        </w:rPr>
        <w:t xml:space="preserve"> </w:t>
      </w:r>
      <w:r w:rsidRPr="00F27422">
        <w:rPr>
          <w:rFonts w:ascii="mylotus" w:hAnsi="mylotus" w:hint="cs"/>
          <w:b/>
          <w:bCs/>
          <w:sz w:val="32"/>
          <w:rtl/>
        </w:rPr>
        <w:t>لأنه</w:t>
      </w:r>
      <w:r w:rsidRPr="00F27422">
        <w:rPr>
          <w:rFonts w:ascii="mylotus" w:hAnsi="mylotus"/>
          <w:b/>
          <w:bCs/>
          <w:sz w:val="32"/>
          <w:rtl/>
        </w:rPr>
        <w:t xml:space="preserve"> </w:t>
      </w:r>
      <w:r w:rsidRPr="00F27422">
        <w:rPr>
          <w:rFonts w:ascii="mylotus" w:hAnsi="mylotus" w:hint="cs"/>
          <w:b/>
          <w:bCs/>
          <w:sz w:val="32"/>
          <w:rtl/>
        </w:rPr>
        <w:t>صادر</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أهله</w:t>
      </w:r>
      <w:r w:rsidRPr="00F27422">
        <w:rPr>
          <w:rFonts w:ascii="mylotus" w:hAnsi="mylotus"/>
          <w:b/>
          <w:bCs/>
          <w:sz w:val="32"/>
          <w:rtl/>
        </w:rPr>
        <w:t xml:space="preserve"> </w:t>
      </w:r>
      <w:r w:rsidRPr="00F27422">
        <w:rPr>
          <w:rFonts w:ascii="mylotus" w:hAnsi="mylotus" w:hint="cs"/>
          <w:b/>
          <w:bCs/>
          <w:sz w:val="32"/>
          <w:rtl/>
        </w:rPr>
        <w:t>وواقع</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محله،</w:t>
      </w:r>
      <w:r w:rsidRPr="00F27422">
        <w:rPr>
          <w:rFonts w:ascii="mylotus" w:hAnsi="mylotus"/>
          <w:b/>
          <w:bCs/>
          <w:sz w:val="32"/>
          <w:rtl/>
        </w:rPr>
        <w:t xml:space="preserve"> </w:t>
      </w:r>
      <w:r w:rsidRPr="00F27422">
        <w:rPr>
          <w:rFonts w:ascii="mylotus" w:hAnsi="mylotus" w:hint="cs"/>
          <w:b/>
          <w:bCs/>
          <w:sz w:val="32"/>
          <w:rtl/>
        </w:rPr>
        <w:t>غاية</w:t>
      </w:r>
      <w:r w:rsidRPr="00F27422">
        <w:rPr>
          <w:rFonts w:ascii="mylotus" w:hAnsi="mylotus"/>
          <w:b/>
          <w:bCs/>
          <w:sz w:val="32"/>
          <w:rtl/>
        </w:rPr>
        <w:t xml:space="preserve"> </w:t>
      </w:r>
      <w:r w:rsidRPr="00F27422">
        <w:rPr>
          <w:rFonts w:ascii="mylotus" w:hAnsi="mylotus" w:hint="cs"/>
          <w:b/>
          <w:bCs/>
          <w:sz w:val="32"/>
          <w:rtl/>
        </w:rPr>
        <w:t>الأمر</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الصحّة</w:t>
      </w:r>
      <w:r w:rsidRPr="00F27422">
        <w:rPr>
          <w:rFonts w:ascii="mylotus" w:hAnsi="mylotus"/>
          <w:b/>
          <w:bCs/>
          <w:sz w:val="32"/>
          <w:rtl/>
        </w:rPr>
        <w:t xml:space="preserve"> </w:t>
      </w:r>
      <w:r w:rsidRPr="00F27422">
        <w:rPr>
          <w:rFonts w:ascii="mylotus" w:hAnsi="mylotus" w:hint="cs"/>
          <w:b/>
          <w:bCs/>
          <w:sz w:val="32"/>
          <w:rtl/>
        </w:rPr>
        <w:t>هذه</w:t>
      </w:r>
      <w:r w:rsidRPr="00F27422">
        <w:rPr>
          <w:rFonts w:ascii="mylotus" w:hAnsi="mylotus"/>
          <w:b/>
          <w:bCs/>
          <w:sz w:val="32"/>
          <w:rtl/>
        </w:rPr>
        <w:t xml:space="preserve"> </w:t>
      </w:r>
      <w:r w:rsidRPr="00F27422">
        <w:rPr>
          <w:rFonts w:ascii="mylotus" w:hAnsi="mylotus" w:hint="cs"/>
          <w:b/>
          <w:bCs/>
          <w:sz w:val="32"/>
          <w:rtl/>
        </w:rPr>
        <w:t>شأنية</w:t>
      </w:r>
      <w:r w:rsidRPr="00F27422">
        <w:rPr>
          <w:rFonts w:ascii="mylotus" w:hAnsi="mylotus"/>
          <w:b/>
          <w:bCs/>
          <w:sz w:val="32"/>
          <w:rtl/>
        </w:rPr>
        <w:t xml:space="preserve"> </w:t>
      </w:r>
      <w:proofErr w:type="spellStart"/>
      <w:r w:rsidRPr="00F27422">
        <w:rPr>
          <w:rFonts w:ascii="mylotus" w:hAnsi="mylotus" w:hint="cs"/>
          <w:b/>
          <w:bCs/>
          <w:sz w:val="32"/>
          <w:rtl/>
        </w:rPr>
        <w:t>وتأهلية</w:t>
      </w:r>
      <w:proofErr w:type="spellEnd"/>
      <w:r w:rsidRPr="00F27422">
        <w:rPr>
          <w:rFonts w:ascii="mylotus" w:hAnsi="mylotus"/>
          <w:b/>
          <w:bCs/>
          <w:sz w:val="32"/>
          <w:rtl/>
        </w:rPr>
        <w:t xml:space="preserve"> </w:t>
      </w:r>
      <w:r w:rsidRPr="00F27422">
        <w:rPr>
          <w:rFonts w:ascii="mylotus" w:hAnsi="mylotus" w:hint="cs"/>
          <w:b/>
          <w:bCs/>
          <w:sz w:val="32"/>
          <w:rtl/>
        </w:rPr>
        <w:t>متوقفة</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رضا</w:t>
      </w:r>
      <w:r w:rsidRPr="00F27422">
        <w:rPr>
          <w:rFonts w:ascii="mylotus" w:hAnsi="mylotus"/>
          <w:b/>
          <w:bCs/>
          <w:sz w:val="32"/>
          <w:rtl/>
        </w:rPr>
        <w:t xml:space="preserve"> </w:t>
      </w:r>
      <w:r w:rsidRPr="00F27422">
        <w:rPr>
          <w:rFonts w:ascii="mylotus" w:hAnsi="mylotus" w:hint="cs"/>
          <w:b/>
          <w:bCs/>
          <w:sz w:val="32"/>
          <w:rtl/>
        </w:rPr>
        <w:t>الأب،</w:t>
      </w:r>
      <w:r w:rsidRPr="00F27422">
        <w:rPr>
          <w:rFonts w:ascii="mylotus" w:hAnsi="mylotus"/>
          <w:b/>
          <w:bCs/>
          <w:sz w:val="32"/>
          <w:rtl/>
        </w:rPr>
        <w:t xml:space="preserve"> </w:t>
      </w:r>
      <w:r w:rsidRPr="00F27422">
        <w:rPr>
          <w:rFonts w:ascii="mylotus" w:hAnsi="mylotus" w:hint="cs"/>
          <w:b/>
          <w:bCs/>
          <w:sz w:val="32"/>
          <w:rtl/>
        </w:rPr>
        <w:t>فإن</w:t>
      </w:r>
      <w:r w:rsidRPr="00F27422">
        <w:rPr>
          <w:rFonts w:ascii="mylotus" w:hAnsi="mylotus"/>
          <w:b/>
          <w:bCs/>
          <w:sz w:val="32"/>
          <w:rtl/>
        </w:rPr>
        <w:t xml:space="preserve"> </w:t>
      </w:r>
      <w:r w:rsidRPr="00F27422">
        <w:rPr>
          <w:rFonts w:ascii="mylotus" w:hAnsi="mylotus" w:hint="cs"/>
          <w:b/>
          <w:bCs/>
          <w:sz w:val="32"/>
          <w:rtl/>
        </w:rPr>
        <w:t>رضي</w:t>
      </w:r>
      <w:r w:rsidRPr="00F27422">
        <w:rPr>
          <w:rFonts w:ascii="mylotus" w:hAnsi="mylotus"/>
          <w:b/>
          <w:bCs/>
          <w:sz w:val="32"/>
          <w:rtl/>
        </w:rPr>
        <w:t xml:space="preserve"> </w:t>
      </w:r>
      <w:r w:rsidRPr="00F27422">
        <w:rPr>
          <w:rFonts w:ascii="mylotus" w:hAnsi="mylotus" w:hint="cs"/>
          <w:b/>
          <w:bCs/>
          <w:sz w:val="32"/>
          <w:rtl/>
        </w:rPr>
        <w:t>به</w:t>
      </w:r>
      <w:r w:rsidRPr="00F27422">
        <w:rPr>
          <w:rFonts w:ascii="mylotus" w:hAnsi="mylotus"/>
          <w:b/>
          <w:bCs/>
          <w:sz w:val="32"/>
          <w:rtl/>
        </w:rPr>
        <w:t xml:space="preserve"> </w:t>
      </w:r>
      <w:r w:rsidRPr="00F27422">
        <w:rPr>
          <w:rFonts w:ascii="mylotus" w:hAnsi="mylotus" w:hint="cs"/>
          <w:b/>
          <w:bCs/>
          <w:sz w:val="32"/>
          <w:rtl/>
        </w:rPr>
        <w:t>صح</w:t>
      </w:r>
      <w:r w:rsidRPr="00F27422">
        <w:rPr>
          <w:rFonts w:ascii="mylotus" w:hAnsi="mylotus"/>
          <w:b/>
          <w:bCs/>
          <w:sz w:val="32"/>
          <w:rtl/>
        </w:rPr>
        <w:t xml:space="preserve"> </w:t>
      </w:r>
      <w:r w:rsidRPr="00F27422">
        <w:rPr>
          <w:rFonts w:ascii="mylotus" w:hAnsi="mylotus" w:hint="cs"/>
          <w:b/>
          <w:bCs/>
          <w:sz w:val="32"/>
          <w:rtl/>
        </w:rPr>
        <w:t>بالفعل،</w:t>
      </w:r>
      <w:r w:rsidRPr="00F27422">
        <w:rPr>
          <w:rFonts w:ascii="mylotus" w:hAnsi="mylotus"/>
          <w:b/>
          <w:bCs/>
          <w:sz w:val="32"/>
          <w:rtl/>
        </w:rPr>
        <w:t xml:space="preserve"> </w:t>
      </w:r>
      <w:r w:rsidRPr="00F27422">
        <w:rPr>
          <w:rFonts w:ascii="mylotus" w:hAnsi="mylotus" w:hint="cs"/>
          <w:b/>
          <w:bCs/>
          <w:sz w:val="32"/>
          <w:rtl/>
        </w:rPr>
        <w:t>وإلّا</w:t>
      </w:r>
      <w:r w:rsidRPr="00F27422">
        <w:rPr>
          <w:rFonts w:ascii="mylotus" w:hAnsi="mylotus"/>
          <w:b/>
          <w:bCs/>
          <w:sz w:val="32"/>
          <w:rtl/>
        </w:rPr>
        <w:t xml:space="preserve"> </w:t>
      </w:r>
      <w:r w:rsidRPr="00F27422">
        <w:rPr>
          <w:rFonts w:ascii="mylotus" w:hAnsi="mylotus" w:hint="cs"/>
          <w:b/>
          <w:bCs/>
          <w:sz w:val="32"/>
          <w:rtl/>
        </w:rPr>
        <w:t>انتقضت</w:t>
      </w:r>
      <w:r w:rsidRPr="00F27422">
        <w:rPr>
          <w:rFonts w:ascii="mylotus" w:hAnsi="mylotus"/>
          <w:b/>
          <w:bCs/>
          <w:sz w:val="32"/>
          <w:rtl/>
        </w:rPr>
        <w:t xml:space="preserve"> </w:t>
      </w:r>
      <w:r w:rsidRPr="00F27422">
        <w:rPr>
          <w:rFonts w:ascii="mylotus" w:hAnsi="mylotus" w:hint="cs"/>
          <w:b/>
          <w:bCs/>
          <w:sz w:val="32"/>
          <w:rtl/>
        </w:rPr>
        <w:t>الصحّة</w:t>
      </w:r>
      <w:r w:rsidRPr="00F27422">
        <w:rPr>
          <w:rFonts w:ascii="mylotus" w:hAnsi="mylotus"/>
          <w:b/>
          <w:bCs/>
          <w:sz w:val="32"/>
          <w:rtl/>
        </w:rPr>
        <w:t xml:space="preserve"> </w:t>
      </w:r>
      <w:r w:rsidRPr="00F27422">
        <w:rPr>
          <w:rFonts w:ascii="mylotus" w:hAnsi="mylotus" w:hint="cs"/>
          <w:b/>
          <w:bCs/>
          <w:sz w:val="32"/>
          <w:rtl/>
        </w:rPr>
        <w:t>الشأنية</w:t>
      </w:r>
      <w:r w:rsidRPr="00F27422">
        <w:rPr>
          <w:rFonts w:ascii="mylotus" w:hAnsi="mylotus"/>
          <w:b/>
          <w:bCs/>
          <w:sz w:val="32"/>
          <w:rtl/>
        </w:rPr>
        <w:t xml:space="preserve"> </w:t>
      </w:r>
      <w:r w:rsidRPr="00F27422">
        <w:rPr>
          <w:rFonts w:ascii="mylotus" w:hAnsi="mylotus" w:hint="cs"/>
          <w:b/>
          <w:bCs/>
          <w:sz w:val="32"/>
          <w:rtl/>
        </w:rPr>
        <w:t>أيضاً).</w:t>
      </w:r>
    </w:p>
    <w:p w14:paraId="4620A1A7"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القرينةُ الثانية:</w:t>
      </w:r>
      <w:r w:rsidRPr="00F27422">
        <w:rPr>
          <w:rFonts w:ascii="mylotus" w:hAnsi="mylotus"/>
          <w:sz w:val="32"/>
          <w:rtl/>
        </w:rPr>
        <w:t xml:space="preserve"> ما ذكره (قدس سره الشريف) في [ص216] بقوله: </w:t>
      </w:r>
      <w:r w:rsidRPr="00F27422">
        <w:rPr>
          <w:rFonts w:ascii="mylotus" w:hAnsi="mylotus"/>
          <w:b/>
          <w:bCs/>
          <w:sz w:val="32"/>
          <w:rtl/>
        </w:rPr>
        <w:t xml:space="preserve">(ثمّ إن مما يدلنا على أن المراد في هاتين المعتبرتين هو ما يقابل الإبرام الشأني لا الإبرام الحقيق، إطلاقهما الشامل للولد والبنت البكر والثيب) </w:t>
      </w:r>
      <w:r w:rsidRPr="00F27422">
        <w:rPr>
          <w:rFonts w:ascii="mylotus" w:hAnsi="mylotus"/>
          <w:sz w:val="32"/>
          <w:rtl/>
        </w:rPr>
        <w:t xml:space="preserve">لأنّ الرواية مطلقة </w:t>
      </w:r>
      <w:r w:rsidRPr="00F27422">
        <w:rPr>
          <w:rFonts w:ascii="mylotus" w:hAnsi="mylotus"/>
          <w:b/>
          <w:bCs/>
          <w:sz w:val="32"/>
          <w:rtl/>
        </w:rPr>
        <w:t>(إذ لو كان المراد به الثاني)</w:t>
      </w:r>
      <w:r w:rsidRPr="00F27422">
        <w:rPr>
          <w:rFonts w:ascii="mylotus" w:hAnsi="mylotus"/>
          <w:sz w:val="32"/>
          <w:rtl/>
        </w:rPr>
        <w:t xml:space="preserve"> وهو نقض المُبرم إبراماً حقيقياً </w:t>
      </w:r>
      <w:r w:rsidRPr="00F27422">
        <w:rPr>
          <w:rFonts w:ascii="mylotus" w:hAnsi="mylotus"/>
          <w:b/>
          <w:bCs/>
          <w:sz w:val="32"/>
          <w:rtl/>
        </w:rPr>
        <w:t>(لكان مقتضاه أنّ للأب أن ينقض كل عقد صحيح وتامّ صادر من ابنه أو بنته البكر والثيب وهو مقطوع البطلان)</w:t>
      </w:r>
      <w:r w:rsidRPr="00F27422">
        <w:rPr>
          <w:rFonts w:ascii="mylotus" w:hAnsi="mylotus"/>
          <w:sz w:val="32"/>
          <w:rtl/>
        </w:rPr>
        <w:t xml:space="preserve"> إذ ليس للأب نقض نكاح ابنه البالغ الرشيد ولا نقض نكاح ابنته البالغة الثيب، فلابُدّ من الخروج عن الإطلاق </w:t>
      </w:r>
      <w:r w:rsidRPr="00F27422">
        <w:rPr>
          <w:rFonts w:ascii="mylotus" w:hAnsi="mylotus"/>
          <w:b/>
          <w:bCs/>
          <w:sz w:val="32"/>
          <w:rtl/>
        </w:rPr>
        <w:t>(ولا موجب لحملهما)</w:t>
      </w:r>
      <w:r w:rsidRPr="00F27422">
        <w:rPr>
          <w:rFonts w:ascii="mylotus" w:hAnsi="mylotus"/>
          <w:sz w:val="32"/>
          <w:rtl/>
        </w:rPr>
        <w:t xml:space="preserve"> أي: الصحيحتين </w:t>
      </w:r>
      <w:r w:rsidRPr="00F27422">
        <w:rPr>
          <w:rFonts w:ascii="mylotus" w:hAnsi="mylotus"/>
          <w:b/>
          <w:bCs/>
          <w:sz w:val="32"/>
          <w:rtl/>
        </w:rPr>
        <w:t>(على خصوص البكر إذ لا قرينة تساعد عليه)</w:t>
      </w:r>
      <w:r w:rsidRPr="00F27422">
        <w:rPr>
          <w:rFonts w:ascii="mylotus" w:hAnsi="mylotus"/>
          <w:sz w:val="32"/>
          <w:rtl/>
        </w:rPr>
        <w:t xml:space="preserve"> أي إن</w:t>
      </w:r>
      <w:r w:rsidRPr="00F27422">
        <w:rPr>
          <w:rFonts w:ascii="mylotus" w:hAnsi="mylotus" w:hint="cs"/>
          <w:sz w:val="32"/>
          <w:rtl/>
        </w:rPr>
        <w:t>ْ</w:t>
      </w:r>
      <w:r w:rsidRPr="00F27422">
        <w:rPr>
          <w:rFonts w:ascii="mylotus" w:hAnsi="mylotus"/>
          <w:sz w:val="32"/>
          <w:rtl/>
        </w:rPr>
        <w:t xml:space="preserve"> أُخذ بإطلاقه فهو مقطوع البطلان، وإن اِدعي تخصيصه بعقد البالغة البِكر فهو مما لا قرينة عليه، فهذا يؤكد أنّ المراد بالنقض هو نقض ما كان مبرماً إبراماً شأنياً، لا نقض ما كان مبرماً إبراماً فعلياً </w:t>
      </w:r>
      <w:r w:rsidRPr="00F27422">
        <w:rPr>
          <w:rFonts w:ascii="mylotus" w:hAnsi="mylotus"/>
          <w:b/>
          <w:bCs/>
          <w:sz w:val="32"/>
          <w:rtl/>
        </w:rPr>
        <w:t xml:space="preserve">(وهذا بخلاف ما لو كان المراد به الأوّل) </w:t>
      </w:r>
      <w:r w:rsidRPr="00F27422">
        <w:rPr>
          <w:rFonts w:ascii="mylotus" w:hAnsi="mylotus"/>
          <w:sz w:val="32"/>
          <w:rtl/>
        </w:rPr>
        <w:t xml:space="preserve">أي: الإبرام الشأني </w:t>
      </w:r>
      <w:r w:rsidRPr="00F27422">
        <w:rPr>
          <w:rFonts w:ascii="mylotus" w:hAnsi="mylotus"/>
          <w:b/>
          <w:bCs/>
          <w:sz w:val="32"/>
          <w:rtl/>
        </w:rPr>
        <w:t>(فإنهما حينئذ تختصان بالبكر لا تعمّان الولد والثيب، لكون عقدهما محكوماً بالصحّة والإبرام الفعليين</w:t>
      </w:r>
      <w:r w:rsidRPr="00F27422">
        <w:rPr>
          <w:rFonts w:ascii="mylotus" w:hAnsi="mylotus"/>
          <w:b/>
          <w:bCs/>
          <w:sz w:val="32"/>
        </w:rPr>
        <w:t>.</w:t>
      </w:r>
    </w:p>
    <w:p w14:paraId="6CE66FA3"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b/>
          <w:bCs/>
          <w:sz w:val="32"/>
          <w:rtl/>
        </w:rPr>
        <w:t>والحاصل أن الصحيح في الاستدلال على الاشتراك، هو التمسك بهاتين الصحيحتين المتضمنتين لحقّ الأب في نقض العقد وموثقة صفوان</w:t>
      </w:r>
      <w:r w:rsidRPr="00F27422">
        <w:rPr>
          <w:rFonts w:ascii="mylotus" w:hAnsi="mylotus" w:hint="cs"/>
          <w:b/>
          <w:bCs/>
          <w:sz w:val="32"/>
          <w:rtl/>
        </w:rPr>
        <w:t>).</w:t>
      </w:r>
    </w:p>
    <w:p w14:paraId="5F55B69A" w14:textId="77777777" w:rsidR="00493BAB" w:rsidRPr="00F27422" w:rsidRDefault="00493BAB" w:rsidP="00122B70">
      <w:pPr>
        <w:pStyle w:val="a"/>
        <w:bidi/>
        <w:spacing w:line="216" w:lineRule="auto"/>
        <w:jc w:val="left"/>
        <w:rPr>
          <w:rFonts w:ascii="mylotus" w:hAnsi="mylotus"/>
          <w:b/>
          <w:bCs/>
          <w:sz w:val="32"/>
          <w:rtl/>
        </w:rPr>
      </w:pPr>
      <w:r w:rsidRPr="00F27422">
        <w:rPr>
          <w:rFonts w:ascii="mylotus" w:hAnsi="mylotus"/>
          <w:sz w:val="32"/>
          <w:rtl/>
        </w:rPr>
        <w:t>فإنّ ظاهر التعبير بـ "</w:t>
      </w:r>
      <w:r w:rsidRPr="00F27422">
        <w:rPr>
          <w:rFonts w:ascii="mylotus" w:hAnsi="mylotus" w:hint="cs"/>
          <w:sz w:val="32"/>
          <w:rtl/>
        </w:rPr>
        <w:t>النقض</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للأب</w:t>
      </w:r>
      <w:r w:rsidRPr="00F27422">
        <w:rPr>
          <w:rFonts w:ascii="mylotus" w:hAnsi="mylotus"/>
          <w:sz w:val="32"/>
          <w:rtl/>
        </w:rPr>
        <w:t xml:space="preserve"> </w:t>
      </w:r>
      <w:r w:rsidRPr="00F27422">
        <w:rPr>
          <w:rFonts w:ascii="mylotus" w:hAnsi="mylotus" w:hint="cs"/>
          <w:sz w:val="32"/>
          <w:rtl/>
        </w:rPr>
        <w:t>دخلاً</w:t>
      </w:r>
      <w:r w:rsidRPr="00F27422">
        <w:rPr>
          <w:rFonts w:ascii="mylotus" w:hAnsi="mylotus"/>
          <w:sz w:val="32"/>
          <w:rtl/>
        </w:rPr>
        <w:t xml:space="preserve"> </w:t>
      </w:r>
      <w:r w:rsidRPr="00F27422">
        <w:rPr>
          <w:rFonts w:ascii="mylotus" w:hAnsi="mylotus" w:hint="cs"/>
          <w:sz w:val="32"/>
          <w:rtl/>
        </w:rPr>
        <w:t>ولو</w:t>
      </w:r>
      <w:r w:rsidRPr="00F27422">
        <w:rPr>
          <w:rFonts w:ascii="mylotus" w:hAnsi="mylotus"/>
          <w:sz w:val="32"/>
          <w:rtl/>
        </w:rPr>
        <w:t xml:space="preserve"> </w:t>
      </w:r>
      <w:r w:rsidRPr="00F27422">
        <w:rPr>
          <w:rFonts w:ascii="mylotus" w:hAnsi="mylotus" w:hint="cs"/>
          <w:sz w:val="32"/>
          <w:rtl/>
        </w:rPr>
        <w:t>بمقدار</w:t>
      </w:r>
      <w:r w:rsidRPr="00F27422">
        <w:rPr>
          <w:rFonts w:ascii="mylotus" w:hAnsi="mylotus"/>
          <w:sz w:val="32"/>
          <w:rtl/>
        </w:rPr>
        <w:t xml:space="preserve"> </w:t>
      </w:r>
      <w:r w:rsidRPr="00F27422">
        <w:rPr>
          <w:rFonts w:ascii="mylotus" w:hAnsi="mylotus" w:hint="cs"/>
          <w:sz w:val="32"/>
          <w:rtl/>
        </w:rPr>
        <w:t>الإذن،</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المقصود</w:t>
      </w:r>
      <w:r w:rsidRPr="00F27422">
        <w:rPr>
          <w:rFonts w:ascii="mylotus" w:hAnsi="mylotus"/>
          <w:sz w:val="32"/>
          <w:rtl/>
        </w:rPr>
        <w:t xml:space="preserve"> </w:t>
      </w:r>
      <w:r w:rsidRPr="00F27422">
        <w:rPr>
          <w:rFonts w:ascii="mylotus" w:hAnsi="mylotus" w:hint="cs"/>
          <w:sz w:val="32"/>
          <w:rtl/>
        </w:rPr>
        <w:t>به</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العقد</w:t>
      </w:r>
      <w:r w:rsidRPr="00F27422">
        <w:rPr>
          <w:rFonts w:ascii="mylotus" w:hAnsi="mylotus"/>
          <w:sz w:val="32"/>
          <w:rtl/>
        </w:rPr>
        <w:t xml:space="preserve"> </w:t>
      </w:r>
      <w:r w:rsidRPr="00F27422">
        <w:rPr>
          <w:rFonts w:ascii="mylotus" w:hAnsi="mylotus" w:hint="cs"/>
          <w:sz w:val="32"/>
          <w:rtl/>
        </w:rPr>
        <w:t>الصحيح</w:t>
      </w:r>
      <w:r w:rsidRPr="00F27422">
        <w:rPr>
          <w:rFonts w:ascii="mylotus" w:hAnsi="mylotus"/>
          <w:sz w:val="32"/>
          <w:rtl/>
        </w:rPr>
        <w:t xml:space="preserve"> </w:t>
      </w:r>
      <w:r w:rsidRPr="00F27422">
        <w:rPr>
          <w:rFonts w:ascii="mylotus" w:hAnsi="mylotus" w:hint="cs"/>
          <w:sz w:val="32"/>
          <w:rtl/>
        </w:rPr>
        <w:t>قابلٌ</w:t>
      </w:r>
      <w:r w:rsidRPr="00F27422">
        <w:rPr>
          <w:rFonts w:ascii="mylotus" w:hAnsi="mylotus"/>
          <w:sz w:val="32"/>
          <w:rtl/>
        </w:rPr>
        <w:t xml:space="preserve"> </w:t>
      </w:r>
      <w:r w:rsidRPr="00F27422">
        <w:rPr>
          <w:rFonts w:ascii="mylotus" w:hAnsi="mylotus" w:hint="cs"/>
          <w:sz w:val="32"/>
          <w:rtl/>
        </w:rPr>
        <w:t>للخيار</w:t>
      </w:r>
      <w:r w:rsidRPr="00F27422">
        <w:rPr>
          <w:rFonts w:ascii="mylotus" w:hAnsi="mylotus"/>
          <w:sz w:val="32"/>
          <w:rtl/>
        </w:rPr>
        <w:t xml:space="preserve"> </w:t>
      </w:r>
      <w:r w:rsidRPr="00F27422">
        <w:rPr>
          <w:rFonts w:ascii="mylotus" w:hAnsi="mylotus" w:hint="cs"/>
          <w:sz w:val="32"/>
          <w:rtl/>
        </w:rPr>
        <w:t>والفسخ</w:t>
      </w:r>
      <w:r w:rsidRPr="00F27422">
        <w:rPr>
          <w:rFonts w:ascii="Cambria" w:hAnsi="Cambria" w:cs="Cambria" w:hint="cs"/>
          <w:sz w:val="32"/>
          <w:rtl/>
        </w:rPr>
        <w:t> </w:t>
      </w:r>
      <w:r w:rsidRPr="00F27422">
        <w:rPr>
          <w:rFonts w:ascii="mylotus" w:hAnsi="mylotus" w:hint="cs"/>
          <w:sz w:val="32"/>
          <w:rtl/>
        </w:rPr>
        <w:t>مِن</w:t>
      </w:r>
      <w:r w:rsidRPr="00F27422">
        <w:rPr>
          <w:rFonts w:ascii="Cambria" w:hAnsi="Cambria" w:cs="Cambria" w:hint="cs"/>
          <w:sz w:val="32"/>
          <w:rtl/>
        </w:rPr>
        <w:t> </w:t>
      </w:r>
      <w:r w:rsidRPr="00F27422">
        <w:rPr>
          <w:rFonts w:ascii="mylotus" w:hAnsi="mylotus" w:hint="cs"/>
          <w:sz w:val="32"/>
          <w:rtl/>
        </w:rPr>
        <w:t>قِبل</w:t>
      </w:r>
      <w:r w:rsidRPr="00F27422">
        <w:rPr>
          <w:rFonts w:ascii="Cambria" w:hAnsi="Cambria" w:cs="Cambria" w:hint="cs"/>
          <w:sz w:val="32"/>
          <w:rtl/>
        </w:rPr>
        <w:t> </w:t>
      </w:r>
      <w:r w:rsidRPr="00F27422">
        <w:rPr>
          <w:rFonts w:ascii="mylotus" w:hAnsi="mylotus" w:hint="cs"/>
          <w:sz w:val="32"/>
          <w:rtl/>
        </w:rPr>
        <w:t>الأب</w:t>
      </w:r>
      <w:r w:rsidRPr="00F27422">
        <w:rPr>
          <w:rFonts w:ascii="mylotus" w:hAnsi="mylotus"/>
          <w:sz w:val="32"/>
          <w:rtl/>
        </w:rPr>
        <w:t>.</w:t>
      </w:r>
    </w:p>
    <w:p w14:paraId="764B0B7B" w14:textId="77777777" w:rsidR="00493BAB" w:rsidRPr="00F27422" w:rsidRDefault="00493BAB" w:rsidP="00122B70">
      <w:pPr>
        <w:pStyle w:val="a"/>
        <w:bidi/>
        <w:spacing w:line="216" w:lineRule="auto"/>
        <w:jc w:val="left"/>
        <w:rPr>
          <w:rFonts w:ascii="mylotus" w:hAnsi="mylotus"/>
          <w:sz w:val="32"/>
          <w:rtl/>
        </w:rPr>
      </w:pPr>
    </w:p>
    <w:p w14:paraId="38047036" w14:textId="77777777" w:rsidR="00493BAB" w:rsidRPr="00F27422" w:rsidRDefault="00493BAB"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429C4DF4" w14:textId="77777777" w:rsidR="00A46EDA" w:rsidRPr="00F27422" w:rsidRDefault="00A46EDA" w:rsidP="00122B70">
      <w:pPr>
        <w:bidi/>
        <w:rPr>
          <w:sz w:val="32"/>
          <w:szCs w:val="32"/>
          <w:rtl/>
        </w:rPr>
      </w:pPr>
    </w:p>
    <w:p w14:paraId="29A9F95F" w14:textId="77777777" w:rsidR="00493BAB" w:rsidRPr="00F27422" w:rsidRDefault="00493BAB" w:rsidP="00122B70">
      <w:pPr>
        <w:bidi/>
        <w:rPr>
          <w:sz w:val="32"/>
          <w:szCs w:val="32"/>
          <w:rtl/>
        </w:rPr>
      </w:pPr>
    </w:p>
    <w:p w14:paraId="70EF6ADA" w14:textId="28372CB2" w:rsidR="00493BAB" w:rsidRPr="00F27422" w:rsidRDefault="00493BAB" w:rsidP="00122B70">
      <w:pPr>
        <w:pStyle w:val="Heading3"/>
        <w:bidi/>
        <w:rPr>
          <w:sz w:val="32"/>
          <w:szCs w:val="32"/>
          <w:rtl/>
        </w:rPr>
      </w:pPr>
      <w:r w:rsidRPr="00F27422">
        <w:rPr>
          <w:rFonts w:hint="cs"/>
          <w:sz w:val="32"/>
          <w:szCs w:val="32"/>
          <w:rtl/>
        </w:rPr>
        <w:t>057</w:t>
      </w:r>
    </w:p>
    <w:p w14:paraId="636C9A86" w14:textId="77777777" w:rsidR="00E03804" w:rsidRPr="00F27422" w:rsidRDefault="00E03804" w:rsidP="00122B70">
      <w:pPr>
        <w:bidi/>
        <w:rPr>
          <w:b/>
          <w:bCs/>
          <w:sz w:val="32"/>
          <w:szCs w:val="32"/>
        </w:rPr>
      </w:pPr>
      <w:r w:rsidRPr="00F27422">
        <w:rPr>
          <w:b/>
          <w:bCs/>
          <w:sz w:val="32"/>
          <w:szCs w:val="32"/>
          <w:rtl/>
        </w:rPr>
        <w:t>بسم الله الرحمن الرحيم</w:t>
      </w:r>
    </w:p>
    <w:p w14:paraId="5870F1C0" w14:textId="77777777" w:rsidR="00E03804" w:rsidRPr="00F27422" w:rsidRDefault="00E03804"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7FF7423D" w14:textId="77777777" w:rsidR="00E03804" w:rsidRPr="00F27422" w:rsidRDefault="00E03804" w:rsidP="00122B70">
      <w:pPr>
        <w:bidi/>
        <w:rPr>
          <w:sz w:val="32"/>
          <w:szCs w:val="32"/>
          <w:rtl/>
        </w:rPr>
      </w:pPr>
      <w:r w:rsidRPr="00F27422">
        <w:rPr>
          <w:b/>
          <w:bCs/>
          <w:sz w:val="32"/>
          <w:szCs w:val="32"/>
          <w:rtl/>
        </w:rPr>
        <w:tab/>
        <w:t>واللعن الدائم على أعدائهم أجمعين إلى قيام يوم الدين</w:t>
      </w:r>
    </w:p>
    <w:p w14:paraId="4BB52927" w14:textId="77777777" w:rsidR="00E03804" w:rsidRPr="00F27422" w:rsidRDefault="00E03804" w:rsidP="00122B70">
      <w:pPr>
        <w:bidi/>
        <w:rPr>
          <w:sz w:val="32"/>
          <w:szCs w:val="32"/>
          <w:rtl/>
        </w:rPr>
      </w:pPr>
    </w:p>
    <w:p w14:paraId="7FF894E8" w14:textId="77777777" w:rsidR="00E03804" w:rsidRPr="00F27422" w:rsidRDefault="00E03804" w:rsidP="00122B70">
      <w:pPr>
        <w:bidi/>
        <w:rPr>
          <w:b/>
          <w:bCs/>
          <w:sz w:val="32"/>
          <w:szCs w:val="32"/>
          <w:rtl/>
        </w:rPr>
      </w:pPr>
      <w:r w:rsidRPr="00F27422">
        <w:rPr>
          <w:b/>
          <w:bCs/>
          <w:sz w:val="32"/>
          <w:szCs w:val="32"/>
          <w:rtl/>
        </w:rPr>
        <w:t xml:space="preserve">ويلاحظ على ما أفيد </w:t>
      </w:r>
      <w:proofErr w:type="gramStart"/>
      <w:r w:rsidRPr="00F27422">
        <w:rPr>
          <w:b/>
          <w:bCs/>
          <w:sz w:val="32"/>
          <w:szCs w:val="32"/>
          <w:rtl/>
        </w:rPr>
        <w:t>في  كلام</w:t>
      </w:r>
      <w:proofErr w:type="gramEnd"/>
      <w:r w:rsidRPr="00F27422">
        <w:rPr>
          <w:b/>
          <w:bCs/>
          <w:sz w:val="32"/>
          <w:szCs w:val="32"/>
          <w:rtl/>
        </w:rPr>
        <w:t xml:space="preserve"> سيدنا الخوئي (قدس سره الشريف) من </w:t>
      </w:r>
      <w:proofErr w:type="spellStart"/>
      <w:r w:rsidRPr="00F27422">
        <w:rPr>
          <w:b/>
          <w:bCs/>
          <w:sz w:val="32"/>
          <w:szCs w:val="32"/>
          <w:rtl/>
        </w:rPr>
        <w:t>القرينيتن</w:t>
      </w:r>
      <w:proofErr w:type="spellEnd"/>
      <w:r w:rsidRPr="00F27422">
        <w:rPr>
          <w:b/>
          <w:bCs/>
          <w:sz w:val="32"/>
          <w:szCs w:val="32"/>
          <w:rtl/>
        </w:rPr>
        <w:t xml:space="preserve"> اللتين أشار لهما</w:t>
      </w:r>
      <w:r w:rsidRPr="00F27422">
        <w:rPr>
          <w:b/>
          <w:bCs/>
          <w:sz w:val="32"/>
          <w:szCs w:val="32"/>
        </w:rPr>
        <w:t>:</w:t>
      </w:r>
    </w:p>
    <w:p w14:paraId="7E757D04" w14:textId="77777777" w:rsidR="00E03804" w:rsidRPr="00F27422" w:rsidRDefault="00E03804" w:rsidP="00122B70">
      <w:pPr>
        <w:bidi/>
        <w:rPr>
          <w:sz w:val="32"/>
          <w:szCs w:val="32"/>
          <w:rtl/>
        </w:rPr>
      </w:pPr>
      <w:r w:rsidRPr="00F27422">
        <w:rPr>
          <w:b/>
          <w:bCs/>
          <w:sz w:val="32"/>
          <w:szCs w:val="32"/>
          <w:rtl/>
        </w:rPr>
        <w:t xml:space="preserve">أمّا بالنسبة للقرينة الأُولى: </w:t>
      </w:r>
      <w:r w:rsidRPr="00F27422">
        <w:rPr>
          <w:sz w:val="32"/>
          <w:szCs w:val="32"/>
          <w:rtl/>
        </w:rPr>
        <w:t xml:space="preserve">فقد أفاد (قدس سره): بأنّه لا يمكن حمل النقض في صحيحة محمّد بن مسلم: </w:t>
      </w:r>
      <w:r w:rsidRPr="00F27422">
        <w:rPr>
          <w:b/>
          <w:bCs/>
          <w:sz w:val="32"/>
          <w:szCs w:val="32"/>
          <w:rtl/>
        </w:rPr>
        <w:t>(لا ينقض النكاح إلّا الأب)</w:t>
      </w:r>
      <w:r w:rsidRPr="00F27422">
        <w:rPr>
          <w:sz w:val="32"/>
          <w:szCs w:val="32"/>
          <w:rtl/>
        </w:rPr>
        <w:t xml:space="preserve"> على ما هو ظاهره مِن نقض العقد المبرم بالفعل، بل المراد به نقض الإبرام الشأني للإجماع على عدم قابلية النكاح للخيار والفسخ.</w:t>
      </w:r>
    </w:p>
    <w:p w14:paraId="7C4A02A7" w14:textId="77777777" w:rsidR="00E03804" w:rsidRPr="00F27422" w:rsidRDefault="00E03804" w:rsidP="00122B70">
      <w:pPr>
        <w:bidi/>
        <w:rPr>
          <w:sz w:val="32"/>
          <w:szCs w:val="32"/>
          <w:rtl/>
        </w:rPr>
      </w:pPr>
      <w:r w:rsidRPr="00F27422">
        <w:rPr>
          <w:b/>
          <w:bCs/>
          <w:sz w:val="32"/>
          <w:szCs w:val="32"/>
          <w:rtl/>
        </w:rPr>
        <w:t xml:space="preserve">ويلاحظ عليه: </w:t>
      </w:r>
      <w:r w:rsidRPr="00F27422">
        <w:rPr>
          <w:sz w:val="32"/>
          <w:szCs w:val="32"/>
          <w:rtl/>
        </w:rPr>
        <w:t xml:space="preserve">أنّ الإجماع دليلٌ لُبي </w:t>
      </w:r>
      <w:r w:rsidRPr="00F27422">
        <w:rPr>
          <w:sz w:val="32"/>
          <w:szCs w:val="32"/>
          <w:highlight w:val="yellow"/>
          <w:rtl/>
        </w:rPr>
        <w:t>والقدر المتيقن منه عدمُ قابلية النكاح للفسخ بالإقالة</w:t>
      </w:r>
      <w:r w:rsidRPr="00F27422">
        <w:rPr>
          <w:sz w:val="32"/>
          <w:szCs w:val="32"/>
          <w:rtl/>
        </w:rPr>
        <w:t xml:space="preserve"> أو خيار الشرط، لا عدم قابليته للفسخ في ما قام النصّ على ثبوت الخيار فيه كخيار التدليس والعيوب المانعة من الوطء ونحوه، فهو مما لا ريب فيه، وقد قام النصّ على ثبوت الخيار في عقد النكاح للصغير والصغيرة عند بلوغهما كما هو مفاد صحيحة أبي عبيدة الحذاء وصحيحة محمّد بن مسلم، وقد استفاد سيدنا (قدس سره) من الأخيرة ثبوت الخيار، كما في موسوعته المباركة في كتابه [المباني في شرح العروة الوثقى، كتاب النكاح، ج33، ص226] بقوله: </w:t>
      </w:r>
      <w:r w:rsidRPr="00F27422">
        <w:rPr>
          <w:b/>
          <w:bCs/>
          <w:sz w:val="32"/>
          <w:szCs w:val="32"/>
          <w:rtl/>
        </w:rPr>
        <w:t>(وهي كما ترى واضحة الدلالة بل صريحة الدلالة في عدم لزوم العقد الصادر من الولي، وثبوت الخيار لهما بعد البلوغ).</w:t>
      </w:r>
      <w:r w:rsidRPr="00F27422">
        <w:rPr>
          <w:sz w:val="32"/>
          <w:szCs w:val="32"/>
          <w:rtl/>
        </w:rPr>
        <w:t xml:space="preserve"> فلم يحمل الخيار هنا على رفع الصحّة التأهلية بل حمله على رفع الصحّة الفعلية مع وجود الإجماع على عدم خيارية عقد النكاح.</w:t>
      </w:r>
    </w:p>
    <w:p w14:paraId="3E54B8C7" w14:textId="77777777" w:rsidR="00E03804" w:rsidRPr="00F27422" w:rsidRDefault="00E03804" w:rsidP="00122B70">
      <w:pPr>
        <w:bidi/>
        <w:rPr>
          <w:b/>
          <w:bCs/>
          <w:sz w:val="32"/>
          <w:szCs w:val="32"/>
          <w:rtl/>
        </w:rPr>
      </w:pPr>
      <w:r w:rsidRPr="00F27422">
        <w:rPr>
          <w:sz w:val="32"/>
          <w:szCs w:val="32"/>
          <w:rtl/>
        </w:rPr>
        <w:t xml:space="preserve">كما استظهر شيخ الطائفة (رحمه الله) ثبوت الخيار من عنوان النقض في هذه الروايات كما في التهذيب: </w:t>
      </w:r>
      <w:r w:rsidRPr="00F27422">
        <w:rPr>
          <w:b/>
          <w:bCs/>
          <w:sz w:val="32"/>
          <w:szCs w:val="32"/>
          <w:rtl/>
        </w:rPr>
        <w:t>(ومتى تزوجت البكر بغير إذن أبيها كان له أن يفسخ العقد، يدل على ذلك ما رواه</w:t>
      </w:r>
      <w:r w:rsidRPr="00F27422">
        <w:rPr>
          <w:b/>
          <w:bCs/>
          <w:sz w:val="32"/>
          <w:szCs w:val="32"/>
        </w:rPr>
        <w:t>:</w:t>
      </w:r>
    </w:p>
    <w:p w14:paraId="53418ABA" w14:textId="77777777" w:rsidR="00E03804" w:rsidRPr="00F27422" w:rsidRDefault="00E03804" w:rsidP="00122B70">
      <w:pPr>
        <w:bidi/>
        <w:rPr>
          <w:sz w:val="32"/>
          <w:szCs w:val="32"/>
          <w:rtl/>
        </w:rPr>
      </w:pPr>
      <w:r w:rsidRPr="00F27422">
        <w:rPr>
          <w:b/>
          <w:bCs/>
          <w:sz w:val="32"/>
          <w:szCs w:val="32"/>
          <w:rtl/>
        </w:rPr>
        <w:t xml:space="preserve">(1532) 8- عليّ بن الحسن بن فضال، عن محمّد بن علي، عن الحسن بن محبوب، عن عليّ بن رئاب، عن زرارة قال: سمعت أبا جعفر (عليه السلام) يقول: لا ينقض النكاح إلّا </w:t>
      </w:r>
      <w:r w:rsidRPr="00F27422">
        <w:rPr>
          <w:b/>
          <w:bCs/>
          <w:sz w:val="32"/>
          <w:szCs w:val="32"/>
          <w:rtl/>
        </w:rPr>
        <w:lastRenderedPageBreak/>
        <w:t>الأب).</w:t>
      </w:r>
      <w:r w:rsidRPr="00F27422">
        <w:rPr>
          <w:sz w:val="32"/>
          <w:szCs w:val="32"/>
          <w:rtl/>
        </w:rPr>
        <w:t xml:space="preserve"> [تهذيب الأحكام، شيخ الطائفة الطوسي، دار الكتب الإسلامية، ج7، كتاب النكاح، باب 32 باب عقد المرأة على نفسها النكاح وأولياء الصبية وأحقهم بالعقد عليها، ح8].</w:t>
      </w:r>
    </w:p>
    <w:p w14:paraId="1473D2A5" w14:textId="77777777" w:rsidR="00E03804" w:rsidRPr="00F27422" w:rsidRDefault="00E03804" w:rsidP="00122B70">
      <w:pPr>
        <w:bidi/>
        <w:rPr>
          <w:sz w:val="32"/>
          <w:szCs w:val="32"/>
          <w:rtl/>
        </w:rPr>
      </w:pPr>
      <w:r w:rsidRPr="00F27422">
        <w:rPr>
          <w:sz w:val="32"/>
          <w:szCs w:val="32"/>
          <w:rtl/>
        </w:rPr>
        <w:t xml:space="preserve">ولم يعبر (رحمه الله) بـ "النقض"، وإنّما عبر بـ "الفسخ"، لكونه فهم منه نقض العقد المبرم </w:t>
      </w:r>
      <w:proofErr w:type="gramStart"/>
      <w:r w:rsidRPr="00F27422">
        <w:rPr>
          <w:sz w:val="32"/>
          <w:szCs w:val="32"/>
          <w:rtl/>
        </w:rPr>
        <w:t>بالفعل</w:t>
      </w:r>
      <w:r w:rsidRPr="00F27422">
        <w:rPr>
          <w:sz w:val="32"/>
          <w:szCs w:val="32"/>
        </w:rPr>
        <w:t xml:space="preserve"> .</w:t>
      </w:r>
      <w:proofErr w:type="gramEnd"/>
    </w:p>
    <w:p w14:paraId="3A64CBF3" w14:textId="77777777" w:rsidR="00E03804" w:rsidRPr="00F27422" w:rsidRDefault="00E03804" w:rsidP="00122B70">
      <w:pPr>
        <w:bidi/>
        <w:rPr>
          <w:sz w:val="32"/>
          <w:szCs w:val="32"/>
          <w:rtl/>
        </w:rPr>
      </w:pPr>
      <w:r w:rsidRPr="00F27422">
        <w:rPr>
          <w:sz w:val="32"/>
          <w:szCs w:val="32"/>
          <w:rtl/>
        </w:rPr>
        <w:t xml:space="preserve">كما أنّ سيدنا (قدس سره) أفاد بأنّ النقض يُستخدم بمعنى الدفع لا الرفع أي: رفع اليد عما هو صحيحٌ صحّةً تأهليةً لا رفع اليد عما هو صحيحٌ صحّةً فعلية، فلا شاهد على ظهوره في المقام في النقض بمعنى رفع العقد المبرم </w:t>
      </w:r>
      <w:proofErr w:type="gramStart"/>
      <w:r w:rsidRPr="00F27422">
        <w:rPr>
          <w:sz w:val="32"/>
          <w:szCs w:val="32"/>
          <w:rtl/>
        </w:rPr>
        <w:t>بالفعل</w:t>
      </w:r>
      <w:r w:rsidRPr="00F27422">
        <w:rPr>
          <w:sz w:val="32"/>
          <w:szCs w:val="32"/>
        </w:rPr>
        <w:t xml:space="preserve"> .</w:t>
      </w:r>
      <w:proofErr w:type="gramEnd"/>
    </w:p>
    <w:p w14:paraId="47F0F21C" w14:textId="77777777" w:rsidR="00E03804" w:rsidRPr="00F27422" w:rsidRDefault="00E03804" w:rsidP="00122B70">
      <w:pPr>
        <w:bidi/>
        <w:rPr>
          <w:b/>
          <w:bCs/>
          <w:sz w:val="32"/>
          <w:szCs w:val="32"/>
          <w:rtl/>
        </w:rPr>
      </w:pPr>
      <w:r w:rsidRPr="00F27422">
        <w:rPr>
          <w:b/>
          <w:bCs/>
          <w:sz w:val="32"/>
          <w:szCs w:val="32"/>
          <w:rtl/>
        </w:rPr>
        <w:t>ويمكن الاستشهاد لكلامه هنا بعدّة موارد</w:t>
      </w:r>
      <w:r w:rsidRPr="00F27422">
        <w:rPr>
          <w:b/>
          <w:bCs/>
          <w:sz w:val="32"/>
          <w:szCs w:val="32"/>
        </w:rPr>
        <w:t>:</w:t>
      </w:r>
    </w:p>
    <w:p w14:paraId="0184E4EE" w14:textId="77777777" w:rsidR="00E03804" w:rsidRPr="00F27422" w:rsidRDefault="00E03804" w:rsidP="00122B70">
      <w:pPr>
        <w:bidi/>
        <w:rPr>
          <w:sz w:val="32"/>
          <w:szCs w:val="32"/>
          <w:rtl/>
        </w:rPr>
      </w:pPr>
      <w:r w:rsidRPr="00F27422">
        <w:rPr>
          <w:b/>
          <w:bCs/>
          <w:sz w:val="32"/>
          <w:szCs w:val="32"/>
          <w:rtl/>
        </w:rPr>
        <w:t>منها:</w:t>
      </w:r>
      <w:r w:rsidRPr="00F27422">
        <w:rPr>
          <w:sz w:val="32"/>
          <w:szCs w:val="32"/>
          <w:rtl/>
        </w:rPr>
        <w:t xml:space="preserve"> ما روي عن أبي بصير، كما في الوسائل: </w:t>
      </w:r>
      <w:r w:rsidRPr="00F27422">
        <w:rPr>
          <w:b/>
          <w:bCs/>
          <w:sz w:val="32"/>
          <w:szCs w:val="32"/>
          <w:rtl/>
        </w:rPr>
        <w:t xml:space="preserve">(أحمد بن محمّد بن عيسى في (نوادره) عن أبي بصير، عن أبي </w:t>
      </w:r>
      <w:proofErr w:type="gramStart"/>
      <w:r w:rsidRPr="00F27422">
        <w:rPr>
          <w:b/>
          <w:bCs/>
          <w:sz w:val="32"/>
          <w:szCs w:val="32"/>
          <w:rtl/>
        </w:rPr>
        <w:t>عبدالله</w:t>
      </w:r>
      <w:proofErr w:type="gramEnd"/>
      <w:r w:rsidRPr="00F27422">
        <w:rPr>
          <w:b/>
          <w:bCs/>
          <w:sz w:val="32"/>
          <w:szCs w:val="32"/>
          <w:rtl/>
        </w:rPr>
        <w:t xml:space="preserve"> (عليه السلام) قال: من كذب على الله وعلى رسوله وهو صائم نقض صومه </w:t>
      </w:r>
      <w:proofErr w:type="spellStart"/>
      <w:r w:rsidRPr="00F27422">
        <w:rPr>
          <w:b/>
          <w:bCs/>
          <w:sz w:val="32"/>
          <w:szCs w:val="32"/>
          <w:rtl/>
        </w:rPr>
        <w:t>ووضوءه</w:t>
      </w:r>
      <w:proofErr w:type="spellEnd"/>
      <w:r w:rsidRPr="00F27422">
        <w:rPr>
          <w:b/>
          <w:bCs/>
          <w:sz w:val="32"/>
          <w:szCs w:val="32"/>
          <w:rtl/>
        </w:rPr>
        <w:t xml:space="preserve"> إذا تعمد)</w:t>
      </w:r>
      <w:r w:rsidRPr="00F27422">
        <w:rPr>
          <w:sz w:val="32"/>
          <w:szCs w:val="32"/>
          <w:rtl/>
        </w:rPr>
        <w:t>. [وسائل الشيعة، الحر العاملي، تحقيق مؤسسة آل البيت (عليه السلام) لإحياء التراث، ج10، كتاب الصوم، الباب 2 باب وجوب امساك الصائم عن الكذب على الله وعلى رسوله وعلى الأئمة (عليهم السلام)، وعن الغيبة، وحكم القضاء لو فعل، ح7]</w:t>
      </w:r>
      <w:r w:rsidRPr="00F27422">
        <w:rPr>
          <w:sz w:val="32"/>
          <w:szCs w:val="32"/>
        </w:rPr>
        <w:t>.</w:t>
      </w:r>
    </w:p>
    <w:p w14:paraId="624F403F" w14:textId="77777777" w:rsidR="00E03804" w:rsidRPr="00F27422" w:rsidRDefault="00E03804" w:rsidP="00122B70">
      <w:pPr>
        <w:bidi/>
        <w:rPr>
          <w:sz w:val="32"/>
          <w:szCs w:val="32"/>
          <w:rtl/>
        </w:rPr>
      </w:pPr>
      <w:r w:rsidRPr="00F27422">
        <w:rPr>
          <w:sz w:val="32"/>
          <w:szCs w:val="32"/>
          <w:rtl/>
        </w:rPr>
        <w:t>والنقضُ هنا بمعنى عدم الصحّة، لا بمعنى ارتفاع الصّحة</w:t>
      </w:r>
      <w:r w:rsidRPr="00F27422">
        <w:rPr>
          <w:sz w:val="32"/>
          <w:szCs w:val="32"/>
        </w:rPr>
        <w:t>.</w:t>
      </w:r>
    </w:p>
    <w:p w14:paraId="15609D2A" w14:textId="77777777" w:rsidR="00E03804" w:rsidRPr="00F27422" w:rsidRDefault="00E03804" w:rsidP="00122B70">
      <w:pPr>
        <w:bidi/>
        <w:rPr>
          <w:sz w:val="32"/>
          <w:szCs w:val="32"/>
          <w:rtl/>
        </w:rPr>
      </w:pPr>
      <w:r w:rsidRPr="00F27422">
        <w:rPr>
          <w:b/>
          <w:bCs/>
          <w:sz w:val="32"/>
          <w:szCs w:val="32"/>
          <w:rtl/>
        </w:rPr>
        <w:t>ومنها:</w:t>
      </w:r>
      <w:r w:rsidRPr="00F27422">
        <w:rPr>
          <w:sz w:val="32"/>
          <w:szCs w:val="32"/>
          <w:rtl/>
        </w:rPr>
        <w:t xml:space="preserve"> ما استشهد به سيدنا (قدس سره) في موسوعته المباركة في كتابه [المباني في شرح العروة الوثقى، كتاب النكاح، ج33، ص215]، بما في الوسائل: </w:t>
      </w:r>
      <w:r w:rsidRPr="00F27422">
        <w:rPr>
          <w:b/>
          <w:bCs/>
          <w:sz w:val="32"/>
          <w:szCs w:val="32"/>
          <w:rtl/>
        </w:rPr>
        <w:t xml:space="preserve">(محمّد بن علي بن الحسين بإسناده عن حريز، عن زرارة، عن أبي جعفر (عليه السلام) في رجل جهر فيما لا ينبغي الإجهار فيه، وأخفى فيما لا ينبغي الإخفاء فيه، فقال: أيّ ذلك فعل متعمّداً فقد نقض صلاته وعليه الإعادة، فإن فعل ذلك ناسياً أو ساهياً أو لا يدري فلا شيء عليه وقد تمّت صلاته). </w:t>
      </w:r>
      <w:r w:rsidRPr="00F27422">
        <w:rPr>
          <w:sz w:val="32"/>
          <w:szCs w:val="32"/>
          <w:rtl/>
        </w:rPr>
        <w:t>[وسائل الشيعة، الحر العاملي، تحقيق مؤسسة آل البيت (عليه السلام) لإحياء التراث، ج6، كتاب الصلاة، أبواب القراءة في الصلاة، الباب 26 باب وجوب الإعادة على من ترك الجهر والإِخفات محلهما عمداً، وعدم وجوب الإعادة على من تركهما نسياناً أو سهواً أو جهلاً، ح1]</w:t>
      </w:r>
      <w:r w:rsidRPr="00F27422">
        <w:rPr>
          <w:sz w:val="32"/>
          <w:szCs w:val="32"/>
        </w:rPr>
        <w:t>.</w:t>
      </w:r>
    </w:p>
    <w:p w14:paraId="3679FEE5" w14:textId="77777777" w:rsidR="00E03804" w:rsidRPr="00F27422" w:rsidRDefault="00E03804" w:rsidP="00122B70">
      <w:pPr>
        <w:bidi/>
        <w:rPr>
          <w:sz w:val="32"/>
          <w:szCs w:val="32"/>
          <w:rtl/>
        </w:rPr>
      </w:pPr>
      <w:r w:rsidRPr="00F27422">
        <w:rPr>
          <w:sz w:val="32"/>
          <w:szCs w:val="32"/>
          <w:rtl/>
        </w:rPr>
        <w:t xml:space="preserve">والنقض في قوله (عليه السلام): </w:t>
      </w:r>
      <w:r w:rsidRPr="00F27422">
        <w:rPr>
          <w:b/>
          <w:bCs/>
          <w:sz w:val="32"/>
          <w:szCs w:val="32"/>
          <w:rtl/>
        </w:rPr>
        <w:t>(نقض صلاته وعليه الإعادة)</w:t>
      </w:r>
      <w:r w:rsidRPr="00F27422">
        <w:rPr>
          <w:sz w:val="32"/>
          <w:szCs w:val="32"/>
          <w:rtl/>
        </w:rPr>
        <w:t xml:space="preserve"> بمعنى فسادها</w:t>
      </w:r>
      <w:r w:rsidRPr="00F27422">
        <w:rPr>
          <w:sz w:val="32"/>
          <w:szCs w:val="32"/>
        </w:rPr>
        <w:t>.</w:t>
      </w:r>
    </w:p>
    <w:p w14:paraId="0134583C" w14:textId="77777777" w:rsidR="00E03804" w:rsidRPr="00F27422" w:rsidRDefault="00E03804" w:rsidP="00122B70">
      <w:pPr>
        <w:bidi/>
        <w:rPr>
          <w:sz w:val="32"/>
          <w:szCs w:val="32"/>
          <w:rtl/>
        </w:rPr>
      </w:pPr>
      <w:r w:rsidRPr="00F27422">
        <w:rPr>
          <w:b/>
          <w:bCs/>
          <w:sz w:val="32"/>
          <w:szCs w:val="32"/>
          <w:rtl/>
        </w:rPr>
        <w:t>ومنها:</w:t>
      </w:r>
      <w:r w:rsidRPr="00F27422">
        <w:rPr>
          <w:sz w:val="32"/>
          <w:szCs w:val="32"/>
          <w:rtl/>
        </w:rPr>
        <w:t xml:space="preserve"> ما ورد في الرعاف والحجامة والقيء، كما في الوسائل: </w:t>
      </w:r>
      <w:r w:rsidRPr="00F27422">
        <w:rPr>
          <w:b/>
          <w:bCs/>
          <w:sz w:val="32"/>
          <w:szCs w:val="32"/>
          <w:rtl/>
        </w:rPr>
        <w:t xml:space="preserve">(وعن أحمد بن محمّد، عن الحسن بن عليّ بن يقطين، عن أخيه الحسين، عن عليّ بن يقطين قال: سألت أبا الحسن (عليه السلام) عن الرعاف، والحجامة، والقيء؟ قال: لا ينقض هذا شيئاً من الوضوء، ولكن </w:t>
      </w:r>
      <w:r w:rsidRPr="00F27422">
        <w:rPr>
          <w:b/>
          <w:bCs/>
          <w:sz w:val="32"/>
          <w:szCs w:val="32"/>
          <w:rtl/>
        </w:rPr>
        <w:lastRenderedPageBreak/>
        <w:t xml:space="preserve">ينقض الصلاة). </w:t>
      </w:r>
      <w:r w:rsidRPr="00F27422">
        <w:rPr>
          <w:sz w:val="32"/>
          <w:szCs w:val="32"/>
          <w:rtl/>
        </w:rPr>
        <w:t xml:space="preserve">[وسائل الشيعة، الحر العاملي، تحقيق مؤسسة آل البيت (عليه السلام) لإحياء التراث، ج1، كتاب الطهارة، أبواب نواقض الوضوء، الباب 6 باب أن القيء، والمدة، والقيح، </w:t>
      </w:r>
      <w:proofErr w:type="spellStart"/>
      <w:r w:rsidRPr="00F27422">
        <w:rPr>
          <w:sz w:val="32"/>
          <w:szCs w:val="32"/>
          <w:rtl/>
        </w:rPr>
        <w:t>والجشأ</w:t>
      </w:r>
      <w:proofErr w:type="spellEnd"/>
      <w:r w:rsidRPr="00F27422">
        <w:rPr>
          <w:sz w:val="32"/>
          <w:szCs w:val="32"/>
          <w:rtl/>
        </w:rPr>
        <w:t>، والضحك، والقهقهة، والقرقرة في البطن، لا ينقض شيء منها الوضوء، ح7]</w:t>
      </w:r>
      <w:r w:rsidRPr="00F27422">
        <w:rPr>
          <w:sz w:val="32"/>
          <w:szCs w:val="32"/>
        </w:rPr>
        <w:t>.</w:t>
      </w:r>
    </w:p>
    <w:p w14:paraId="50299C62" w14:textId="77777777" w:rsidR="00E03804" w:rsidRPr="00F27422" w:rsidRDefault="00E03804" w:rsidP="00122B70">
      <w:pPr>
        <w:bidi/>
        <w:rPr>
          <w:sz w:val="32"/>
          <w:szCs w:val="32"/>
          <w:rtl/>
        </w:rPr>
      </w:pPr>
      <w:r w:rsidRPr="00F27422">
        <w:rPr>
          <w:sz w:val="32"/>
          <w:szCs w:val="32"/>
          <w:rtl/>
        </w:rPr>
        <w:t xml:space="preserve">فقوله (عليه السلام): </w:t>
      </w:r>
      <w:r w:rsidRPr="00F27422">
        <w:rPr>
          <w:b/>
          <w:bCs/>
          <w:sz w:val="32"/>
          <w:szCs w:val="32"/>
          <w:rtl/>
        </w:rPr>
        <w:t>(ولكن ينقض الصلاة)</w:t>
      </w:r>
      <w:r w:rsidRPr="00F27422">
        <w:rPr>
          <w:sz w:val="32"/>
          <w:szCs w:val="32"/>
          <w:rtl/>
        </w:rPr>
        <w:t xml:space="preserve"> بمعنى يدفع الصحّة</w:t>
      </w:r>
      <w:r w:rsidRPr="00F27422">
        <w:rPr>
          <w:sz w:val="32"/>
          <w:szCs w:val="32"/>
        </w:rPr>
        <w:t>.</w:t>
      </w:r>
    </w:p>
    <w:p w14:paraId="67614A58" w14:textId="77777777" w:rsidR="00E03804" w:rsidRPr="00F27422" w:rsidRDefault="00E03804" w:rsidP="00122B70">
      <w:pPr>
        <w:bidi/>
        <w:rPr>
          <w:sz w:val="32"/>
          <w:szCs w:val="32"/>
          <w:rtl/>
        </w:rPr>
      </w:pPr>
      <w:r w:rsidRPr="00F27422">
        <w:rPr>
          <w:b/>
          <w:bCs/>
          <w:sz w:val="32"/>
          <w:szCs w:val="32"/>
          <w:rtl/>
        </w:rPr>
        <w:t>ومنها:</w:t>
      </w:r>
      <w:r w:rsidRPr="00F27422">
        <w:rPr>
          <w:sz w:val="32"/>
          <w:szCs w:val="32"/>
          <w:rtl/>
        </w:rPr>
        <w:t xml:space="preserve"> ما ورد في معتبرة أديم بن الحر، كما في الوسائل: </w:t>
      </w:r>
      <w:r w:rsidRPr="00F27422">
        <w:rPr>
          <w:b/>
          <w:bCs/>
          <w:sz w:val="32"/>
          <w:szCs w:val="32"/>
          <w:rtl/>
        </w:rPr>
        <w:t xml:space="preserve">(وعن الحسين بن سعيد، عن فضالة، عن عثمان – يعني ابن عيسى – عن أديم بن الحر، أنّه سمع أبا </w:t>
      </w:r>
      <w:proofErr w:type="gramStart"/>
      <w:r w:rsidRPr="00F27422">
        <w:rPr>
          <w:b/>
          <w:bCs/>
          <w:sz w:val="32"/>
          <w:szCs w:val="32"/>
          <w:rtl/>
        </w:rPr>
        <w:t>عبدالله</w:t>
      </w:r>
      <w:proofErr w:type="gramEnd"/>
      <w:r w:rsidRPr="00F27422">
        <w:rPr>
          <w:b/>
          <w:bCs/>
          <w:sz w:val="32"/>
          <w:szCs w:val="32"/>
          <w:rtl/>
        </w:rPr>
        <w:t xml:space="preserve"> (عليه السلام) يقول: ليس ينقض الوضوء إلا ما خرج من طرفيك الأسفلين)</w:t>
      </w:r>
      <w:r w:rsidRPr="00F27422">
        <w:rPr>
          <w:sz w:val="32"/>
          <w:szCs w:val="32"/>
          <w:rtl/>
        </w:rPr>
        <w:t>. [وسائل الشيعة، الحر العاملي، تحقيق مؤسسة آل البيت (عليه السلام) لإحياء التراث، ج1، كتاب الطهارة، أبواب نواقض الوضوء، الباب 2 باب أن البول والغائط، والريح، والمني، والجنابة تنقض الوضوء، ح3]</w:t>
      </w:r>
      <w:r w:rsidRPr="00F27422">
        <w:rPr>
          <w:sz w:val="32"/>
          <w:szCs w:val="32"/>
        </w:rPr>
        <w:t>.</w:t>
      </w:r>
    </w:p>
    <w:p w14:paraId="1A6E091B" w14:textId="77777777" w:rsidR="00E03804" w:rsidRPr="00F27422" w:rsidRDefault="00E03804" w:rsidP="00122B70">
      <w:pPr>
        <w:bidi/>
        <w:rPr>
          <w:sz w:val="32"/>
          <w:szCs w:val="32"/>
          <w:rtl/>
        </w:rPr>
      </w:pPr>
      <w:r w:rsidRPr="00F27422">
        <w:rPr>
          <w:b/>
          <w:bCs/>
          <w:sz w:val="32"/>
          <w:szCs w:val="32"/>
          <w:rtl/>
        </w:rPr>
        <w:t>ومنها:</w:t>
      </w:r>
      <w:r w:rsidRPr="00F27422">
        <w:rPr>
          <w:sz w:val="32"/>
          <w:szCs w:val="32"/>
          <w:rtl/>
        </w:rPr>
        <w:t xml:space="preserve"> رواية زكريا بن آدم، كما في الوسائل: </w:t>
      </w:r>
      <w:r w:rsidRPr="00F27422">
        <w:rPr>
          <w:b/>
          <w:bCs/>
          <w:sz w:val="32"/>
          <w:szCs w:val="32"/>
          <w:rtl/>
        </w:rPr>
        <w:t>(وعن محمّد بن يحيى، عن أحمد بن محمّد، عن محمّد بن سهل، عن زكريا بن آدم قال: سألت الرضا (عليه السلام) عن الناسور، أَ ينقض الوضوء؟ قال: إنما ينقض الوضوء ثلاث: البول، والغائط، والريح).</w:t>
      </w:r>
      <w:r w:rsidRPr="00F27422">
        <w:rPr>
          <w:sz w:val="32"/>
          <w:szCs w:val="32"/>
          <w:rtl/>
        </w:rPr>
        <w:t xml:space="preserve"> [وسائل الشيعة، الحر العاملي، تحقيق مؤسسة آل البيت (عليه السلام) لإحياء التراث، ج1، كتاب الطهارة، أبواب نواقض الوضوء، الباب 2 باب أن البول والغائط، والريح، والمني، والجنابة تنقض الوضوء، ح6]</w:t>
      </w:r>
      <w:r w:rsidRPr="00F27422">
        <w:rPr>
          <w:sz w:val="32"/>
          <w:szCs w:val="32"/>
        </w:rPr>
        <w:t>.</w:t>
      </w:r>
    </w:p>
    <w:p w14:paraId="0A60234F" w14:textId="77777777" w:rsidR="00E03804" w:rsidRPr="00F27422" w:rsidRDefault="00E03804" w:rsidP="00122B70">
      <w:pPr>
        <w:bidi/>
        <w:rPr>
          <w:sz w:val="32"/>
          <w:szCs w:val="32"/>
          <w:rtl/>
        </w:rPr>
      </w:pPr>
      <w:r w:rsidRPr="00F27422">
        <w:rPr>
          <w:sz w:val="32"/>
          <w:szCs w:val="32"/>
          <w:rtl/>
        </w:rPr>
        <w:t>ونحو ذلك من الروايات التي عبرت بـ "النقض" في مورد الدفع - لا الرفع - بمعنى الفساد، لا رفع الصحّة الفعلية</w:t>
      </w:r>
      <w:r w:rsidRPr="00F27422">
        <w:rPr>
          <w:sz w:val="32"/>
          <w:szCs w:val="32"/>
        </w:rPr>
        <w:t>.</w:t>
      </w:r>
    </w:p>
    <w:p w14:paraId="253740A7" w14:textId="77777777" w:rsidR="00E03804" w:rsidRPr="00F27422" w:rsidRDefault="00E03804" w:rsidP="00122B70">
      <w:pPr>
        <w:bidi/>
        <w:rPr>
          <w:sz w:val="32"/>
          <w:szCs w:val="32"/>
          <w:rtl/>
        </w:rPr>
      </w:pPr>
      <w:r w:rsidRPr="00F27422">
        <w:rPr>
          <w:b/>
          <w:bCs/>
          <w:sz w:val="32"/>
          <w:szCs w:val="32"/>
          <w:rtl/>
        </w:rPr>
        <w:t>ولكن يلاحظ على هذه الشواهد:</w:t>
      </w:r>
      <w:r w:rsidRPr="00F27422">
        <w:rPr>
          <w:sz w:val="32"/>
          <w:szCs w:val="32"/>
          <w:rtl/>
        </w:rPr>
        <w:t xml:space="preserve"> أنّها لا تجدي في رفع اليد عن ظهور عنوان "النقض" في المقام في ثبوت الخيار؛ وذلك لعدم قابلية هذه الموارد للصحّة الفعلية المتزلزلة؛ إذ الوضوء إمّا صحيحٌ أو فاسدٌ، </w:t>
      </w:r>
      <w:r w:rsidRPr="00F27422">
        <w:rPr>
          <w:i/>
          <w:iCs/>
          <w:sz w:val="32"/>
          <w:szCs w:val="32"/>
          <w:rtl/>
        </w:rPr>
        <w:t>والصلاة</w:t>
      </w:r>
      <w:r w:rsidRPr="00F27422">
        <w:rPr>
          <w:sz w:val="32"/>
          <w:szCs w:val="32"/>
          <w:rtl/>
        </w:rPr>
        <w:t xml:space="preserve"> إمّا صحيحةٌ أو فاسدةٌ، والصوم إمّا صحيحٌ أو فاسدٌ، فلعدم قابلية هذه الموارد </w:t>
      </w:r>
      <w:r w:rsidRPr="00F27422">
        <w:rPr>
          <w:sz w:val="32"/>
          <w:szCs w:val="32"/>
          <w:highlight w:val="yellow"/>
          <w:rtl/>
        </w:rPr>
        <w:t>لصحّةٍ على نحوين كان النقض ظاهراً فيها في الفساد</w:t>
      </w:r>
      <w:r w:rsidRPr="00F27422">
        <w:rPr>
          <w:sz w:val="32"/>
          <w:szCs w:val="32"/>
          <w:rtl/>
        </w:rPr>
        <w:t xml:space="preserve">، بينما العقد قابلٌ للصحّة على نحوين: صحّةٍ على نحو اللزوم وصحّةٍ على نحو الجواز، فبما أنّ العقد قابلٌ للصحّة على نحوين فالتعبير بـ "النقض" في هذا المورد </w:t>
      </w:r>
      <w:r w:rsidRPr="00F27422">
        <w:rPr>
          <w:b/>
          <w:bCs/>
          <w:sz w:val="32"/>
          <w:szCs w:val="32"/>
          <w:rtl/>
        </w:rPr>
        <w:t>(لا ينقض النكاح إلّا الأب)</w:t>
      </w:r>
      <w:r w:rsidRPr="00F27422">
        <w:rPr>
          <w:sz w:val="32"/>
          <w:szCs w:val="32"/>
          <w:rtl/>
        </w:rPr>
        <w:t xml:space="preserve"> باقٍ على ظهوره الأوّلي وهو رفعُ اليد عن الصحّة الفعلية للعقد أي: النقض بمعنى الفسخ</w:t>
      </w:r>
      <w:r w:rsidRPr="00F27422">
        <w:rPr>
          <w:sz w:val="32"/>
          <w:szCs w:val="32"/>
        </w:rPr>
        <w:t>.</w:t>
      </w:r>
    </w:p>
    <w:p w14:paraId="53B80DED" w14:textId="77777777" w:rsidR="00E03804" w:rsidRPr="00F27422" w:rsidRDefault="00E03804" w:rsidP="00122B70">
      <w:pPr>
        <w:bidi/>
        <w:rPr>
          <w:sz w:val="32"/>
          <w:szCs w:val="32"/>
          <w:rtl/>
        </w:rPr>
      </w:pPr>
      <w:r w:rsidRPr="00F27422">
        <w:rPr>
          <w:b/>
          <w:bCs/>
          <w:sz w:val="32"/>
          <w:szCs w:val="32"/>
          <w:rtl/>
        </w:rPr>
        <w:lastRenderedPageBreak/>
        <w:t>وأمّا بالنسبة للقرينة الثانية:</w:t>
      </w:r>
      <w:r w:rsidRPr="00F27422">
        <w:rPr>
          <w:sz w:val="32"/>
          <w:szCs w:val="32"/>
          <w:rtl/>
        </w:rPr>
        <w:t xml:space="preserve"> فقد أفاد (قدس سره الشريف) أنّ عنوان "النقض" في الرواية محتملٌ لمعنيين: الأوّل: الفسخ، والثاني: منع النفود، وحيث إنّ الأوّل مما لا يسع الأخذ به فيتعين الثاني</w:t>
      </w:r>
      <w:r w:rsidRPr="00F27422">
        <w:rPr>
          <w:sz w:val="32"/>
          <w:szCs w:val="32"/>
        </w:rPr>
        <w:t>.</w:t>
      </w:r>
    </w:p>
    <w:p w14:paraId="56FB0CF8" w14:textId="77777777" w:rsidR="00E03804" w:rsidRPr="00F27422" w:rsidRDefault="00E03804" w:rsidP="00122B70">
      <w:pPr>
        <w:bidi/>
        <w:rPr>
          <w:sz w:val="32"/>
          <w:szCs w:val="32"/>
          <w:rtl/>
        </w:rPr>
      </w:pPr>
      <w:r w:rsidRPr="00F27422">
        <w:rPr>
          <w:b/>
          <w:bCs/>
          <w:sz w:val="32"/>
          <w:szCs w:val="32"/>
          <w:rtl/>
        </w:rPr>
        <w:t>والسر في ذلك:</w:t>
      </w:r>
      <w:r w:rsidRPr="00F27422">
        <w:rPr>
          <w:sz w:val="32"/>
          <w:szCs w:val="32"/>
          <w:rtl/>
        </w:rPr>
        <w:t xml:space="preserve"> أنّ النقض لو حمل على معنى الفسخ، فإنّ مفاد الرواية إمّا مطلق أو مقيد بعقد البكر البالغ، وحيث لا يمكن الأخذ بإطلاقه؛ لأنّ لازمه إمكان نقض عقد الولد البالغ وعقد البالغة الثيب وهذا أمرٌ مقطوعُ البطلان، ولا يسعنا تقييده بعقد البالغة البِكر؛ لأنّه تقييدٌ بلا قرينة، فأمره دائر بين إطلاقٍ مقطوعِ البطلان أو تقييدٍ لا قرينةَ عليه، فالمعنى الأوّل باطل؛ فيتعين المعنى الثاني وهو أنّ النقض هنا بمعنى منع النفوذ</w:t>
      </w:r>
      <w:r w:rsidRPr="00F27422">
        <w:rPr>
          <w:sz w:val="32"/>
          <w:szCs w:val="32"/>
        </w:rPr>
        <w:t>.</w:t>
      </w:r>
    </w:p>
    <w:p w14:paraId="782D780E" w14:textId="77777777" w:rsidR="00E03804" w:rsidRPr="00F27422" w:rsidRDefault="00E03804" w:rsidP="00122B70">
      <w:pPr>
        <w:bidi/>
        <w:rPr>
          <w:sz w:val="32"/>
          <w:szCs w:val="32"/>
          <w:rtl/>
        </w:rPr>
      </w:pPr>
      <w:r w:rsidRPr="00F27422">
        <w:rPr>
          <w:b/>
          <w:bCs/>
          <w:sz w:val="32"/>
          <w:szCs w:val="32"/>
          <w:rtl/>
        </w:rPr>
        <w:t>ويلاحظ عليه:</w:t>
      </w:r>
      <w:r w:rsidRPr="00F27422">
        <w:rPr>
          <w:sz w:val="32"/>
          <w:szCs w:val="32"/>
          <w:rtl/>
        </w:rPr>
        <w:t xml:space="preserve"> أنّ قيام المرتكز المتشرعي على عدم ولاية الأب على عقد الولد البالغ واضح، واحتفاف الرواية بالمرتكز المتشرعي قرينة توجب انصراف الرواية عن عقد الولد البالغ، وغاية ذلك أنّ مفاد الرواية مطلق للبالغة البِكر والبالغة الثيب، ولم يقم اِرتكاز متشرعي على عدم ولاية الأب على عقد البالغة الثيب، وبما أنّ المفاد مطلق فيمكن تقييده بعدم كونها ثيباً، بمقتضى الصحاح التي أشار إليها سيدنا الخوئي (قدس سره الشريف) في موسوعته المباركة في كتابه [المباني في شرح العروة الوثقى، كتاب النكاح، ج33، ص207].</w:t>
      </w:r>
    </w:p>
    <w:p w14:paraId="0363BBDB" w14:textId="77777777" w:rsidR="00E03804" w:rsidRPr="00F27422" w:rsidRDefault="00E03804" w:rsidP="00122B70">
      <w:pPr>
        <w:bidi/>
        <w:rPr>
          <w:sz w:val="32"/>
          <w:szCs w:val="32"/>
          <w:rtl/>
        </w:rPr>
      </w:pPr>
      <w:r w:rsidRPr="00F27422">
        <w:rPr>
          <w:b/>
          <w:bCs/>
          <w:sz w:val="32"/>
          <w:szCs w:val="32"/>
          <w:rtl/>
        </w:rPr>
        <w:t>منها:</w:t>
      </w:r>
      <w:r w:rsidRPr="00F27422">
        <w:rPr>
          <w:sz w:val="32"/>
          <w:szCs w:val="32"/>
          <w:rtl/>
        </w:rPr>
        <w:t xml:space="preserve"> صحيحة فضل بن </w:t>
      </w:r>
      <w:proofErr w:type="gramStart"/>
      <w:r w:rsidRPr="00F27422">
        <w:rPr>
          <w:sz w:val="32"/>
          <w:szCs w:val="32"/>
          <w:rtl/>
        </w:rPr>
        <w:t>عبدالملك</w:t>
      </w:r>
      <w:proofErr w:type="gramEnd"/>
      <w:r w:rsidRPr="00F27422">
        <w:rPr>
          <w:sz w:val="32"/>
          <w:szCs w:val="32"/>
          <w:rtl/>
        </w:rPr>
        <w:t xml:space="preserve">، كما في الوسائل: </w:t>
      </w:r>
      <w:r w:rsidRPr="00F27422">
        <w:rPr>
          <w:b/>
          <w:bCs/>
          <w:sz w:val="32"/>
          <w:szCs w:val="32"/>
          <w:rtl/>
        </w:rPr>
        <w:t xml:space="preserve">(وعن حميد بن زياد، عن الحسن بن محمّد بن سماعة، عن جعفر بن سماعة، عن فضل بن </w:t>
      </w:r>
      <w:proofErr w:type="gramStart"/>
      <w:r w:rsidRPr="00F27422">
        <w:rPr>
          <w:b/>
          <w:bCs/>
          <w:sz w:val="32"/>
          <w:szCs w:val="32"/>
          <w:rtl/>
        </w:rPr>
        <w:t>عبدالملك</w:t>
      </w:r>
      <w:proofErr w:type="gramEnd"/>
      <w:r w:rsidRPr="00F27422">
        <w:rPr>
          <w:b/>
          <w:bCs/>
          <w:sz w:val="32"/>
          <w:szCs w:val="32"/>
          <w:rtl/>
        </w:rPr>
        <w:t xml:space="preserve">، عن أبي </w:t>
      </w:r>
      <w:proofErr w:type="gramStart"/>
      <w:r w:rsidRPr="00F27422">
        <w:rPr>
          <w:b/>
          <w:bCs/>
          <w:sz w:val="32"/>
          <w:szCs w:val="32"/>
          <w:rtl/>
        </w:rPr>
        <w:t>عبدالله</w:t>
      </w:r>
      <w:proofErr w:type="gramEnd"/>
      <w:r w:rsidRPr="00F27422">
        <w:rPr>
          <w:b/>
          <w:bCs/>
          <w:sz w:val="32"/>
          <w:szCs w:val="32"/>
          <w:rtl/>
        </w:rPr>
        <w:t xml:space="preserve"> (عليه السلام) قال: لا تستأمر الجارية التي بين أبويها إذا أراد أبوها أن يزوّجها، هو أنظر لها. وأما الثيب فإنها تستأذن، وإن كانت بين أبويها إذا أرادا أن يزوجاها).</w:t>
      </w:r>
      <w:r w:rsidRPr="00F27422">
        <w:rPr>
          <w:sz w:val="32"/>
          <w:szCs w:val="32"/>
          <w:rtl/>
        </w:rPr>
        <w:t xml:space="preserve"> [وسائل الشيعة، الحر العاملي، تحقيق مؤسسة آل البيت (عليهم السلام) لإحياء التراث، ج20، كتاب النكاح، أبواب عقد النكاح وأولياء العقد، الباب 3 باب أنه لا ولاية لأحد من أخ ولا أب ولا غيرهما على الثيب البالغ </w:t>
      </w:r>
      <w:proofErr w:type="gramStart"/>
      <w:r w:rsidRPr="00F27422">
        <w:rPr>
          <w:sz w:val="32"/>
          <w:szCs w:val="32"/>
          <w:rtl/>
        </w:rPr>
        <w:t>الرشيدة</w:t>
      </w:r>
      <w:proofErr w:type="gramEnd"/>
      <w:r w:rsidRPr="00F27422">
        <w:rPr>
          <w:sz w:val="32"/>
          <w:szCs w:val="32"/>
          <w:rtl/>
        </w:rPr>
        <w:t xml:space="preserve"> بل أمرها بيدها، ح6]</w:t>
      </w:r>
      <w:r w:rsidRPr="00F27422">
        <w:rPr>
          <w:sz w:val="32"/>
          <w:szCs w:val="32"/>
        </w:rPr>
        <w:t>.</w:t>
      </w:r>
    </w:p>
    <w:p w14:paraId="242A8352" w14:textId="77777777" w:rsidR="00E03804" w:rsidRPr="00F27422" w:rsidRDefault="00E03804" w:rsidP="00122B70">
      <w:pPr>
        <w:bidi/>
        <w:rPr>
          <w:sz w:val="32"/>
          <w:szCs w:val="32"/>
          <w:rtl/>
        </w:rPr>
      </w:pPr>
      <w:r w:rsidRPr="00F27422">
        <w:rPr>
          <w:b/>
          <w:bCs/>
          <w:sz w:val="32"/>
          <w:szCs w:val="32"/>
          <w:rtl/>
        </w:rPr>
        <w:t>ومنها:</w:t>
      </w:r>
      <w:r w:rsidRPr="00F27422">
        <w:rPr>
          <w:sz w:val="32"/>
          <w:szCs w:val="32"/>
          <w:rtl/>
        </w:rPr>
        <w:t xml:space="preserve"> صحيحة الحلبيّ، كما في الوسائل: </w:t>
      </w:r>
      <w:r w:rsidRPr="00F27422">
        <w:rPr>
          <w:b/>
          <w:bCs/>
          <w:sz w:val="32"/>
          <w:szCs w:val="32"/>
          <w:rtl/>
        </w:rPr>
        <w:t xml:space="preserve">(وبإسناده عن الحسين بن سعيد، عن ابن أبي عمير، عن حماد، عن الحلبيّ، عن أبي </w:t>
      </w:r>
      <w:proofErr w:type="gramStart"/>
      <w:r w:rsidRPr="00F27422">
        <w:rPr>
          <w:b/>
          <w:bCs/>
          <w:sz w:val="32"/>
          <w:szCs w:val="32"/>
          <w:rtl/>
        </w:rPr>
        <w:t>عبدالله</w:t>
      </w:r>
      <w:proofErr w:type="gramEnd"/>
      <w:r w:rsidRPr="00F27422">
        <w:rPr>
          <w:b/>
          <w:bCs/>
          <w:sz w:val="32"/>
          <w:szCs w:val="32"/>
          <w:rtl/>
        </w:rPr>
        <w:t xml:space="preserve"> (عليه السلام) قال: سألته عن البكر إذا بلغت مبلغ النساء، أَ لها مع أبيها أمر؟ فقال: ليس لها مع أبيها أمر ما لم تثيب).</w:t>
      </w:r>
      <w:r w:rsidRPr="00F27422">
        <w:rPr>
          <w:sz w:val="32"/>
          <w:szCs w:val="32"/>
          <w:rtl/>
        </w:rPr>
        <w:t xml:space="preserve"> [المصدر السابق، ح11]</w:t>
      </w:r>
      <w:r w:rsidRPr="00F27422">
        <w:rPr>
          <w:sz w:val="32"/>
          <w:szCs w:val="32"/>
        </w:rPr>
        <w:t>.</w:t>
      </w:r>
    </w:p>
    <w:p w14:paraId="0DFCB490" w14:textId="77777777" w:rsidR="00E03804" w:rsidRPr="00F27422" w:rsidRDefault="00E03804" w:rsidP="00122B70">
      <w:pPr>
        <w:bidi/>
        <w:rPr>
          <w:sz w:val="32"/>
          <w:szCs w:val="32"/>
          <w:rtl/>
        </w:rPr>
      </w:pPr>
      <w:r w:rsidRPr="00F27422">
        <w:rPr>
          <w:sz w:val="32"/>
          <w:szCs w:val="32"/>
          <w:rtl/>
        </w:rPr>
        <w:t xml:space="preserve">ومفاد هاتين الصحيحتين مقيد لإطلاق قوله (عليه السلام): </w:t>
      </w:r>
      <w:r w:rsidRPr="00F27422">
        <w:rPr>
          <w:b/>
          <w:bCs/>
          <w:sz w:val="32"/>
          <w:szCs w:val="32"/>
          <w:rtl/>
        </w:rPr>
        <w:t>(لا ينقض النكاح إلّا الأب)</w:t>
      </w:r>
      <w:r w:rsidRPr="00F27422">
        <w:rPr>
          <w:sz w:val="32"/>
          <w:szCs w:val="32"/>
          <w:rtl/>
        </w:rPr>
        <w:t xml:space="preserve"> فتخرج الثيب، كما ارتكب سيدنا (قدس سره) التقييد في صحيحة </w:t>
      </w:r>
      <w:proofErr w:type="spellStart"/>
      <w:r w:rsidRPr="00F27422">
        <w:rPr>
          <w:sz w:val="32"/>
          <w:szCs w:val="32"/>
          <w:rtl/>
        </w:rPr>
        <w:t>صحيحة</w:t>
      </w:r>
      <w:proofErr w:type="spellEnd"/>
      <w:r w:rsidRPr="00F27422">
        <w:rPr>
          <w:sz w:val="32"/>
          <w:szCs w:val="32"/>
          <w:rtl/>
        </w:rPr>
        <w:t xml:space="preserve"> محمّد بن مسلم، كما في الوسائل: </w:t>
      </w:r>
      <w:r w:rsidRPr="00F27422">
        <w:rPr>
          <w:b/>
          <w:bCs/>
          <w:sz w:val="32"/>
          <w:szCs w:val="32"/>
          <w:rtl/>
        </w:rPr>
        <w:t xml:space="preserve">(وعن محمّد بن يحيى، عن أحمد بن محمّد، عن علي بن الحكم، عن العلا بن </w:t>
      </w:r>
      <w:r w:rsidRPr="00F27422">
        <w:rPr>
          <w:b/>
          <w:bCs/>
          <w:sz w:val="32"/>
          <w:szCs w:val="32"/>
          <w:rtl/>
        </w:rPr>
        <w:lastRenderedPageBreak/>
        <w:t xml:space="preserve">رزين، عن محمّد بن مسلم، عن أحدهما (عليهما السلام) قال: لا تستأمر الجارية إذا كانت بين أبويها، وليس لها مع الأب أمر، وقال: </w:t>
      </w:r>
      <w:proofErr w:type="spellStart"/>
      <w:r w:rsidRPr="00F27422">
        <w:rPr>
          <w:b/>
          <w:bCs/>
          <w:sz w:val="32"/>
          <w:szCs w:val="32"/>
          <w:rtl/>
        </w:rPr>
        <w:t>يستأمرها</w:t>
      </w:r>
      <w:proofErr w:type="spellEnd"/>
      <w:r w:rsidRPr="00F27422">
        <w:rPr>
          <w:b/>
          <w:bCs/>
          <w:sz w:val="32"/>
          <w:szCs w:val="32"/>
          <w:rtl/>
        </w:rPr>
        <w:t xml:space="preserve"> كل أحد ما عدا الأب).</w:t>
      </w:r>
      <w:r w:rsidRPr="00F27422">
        <w:rPr>
          <w:sz w:val="32"/>
          <w:szCs w:val="32"/>
          <w:rtl/>
        </w:rPr>
        <w:t xml:space="preserve"> [المصدر السابق، الباب 4، باب أن البكر البالغ الرشيدة التي ليس لها أب أمرها بيدها، ولا ولاية لأحد عليها في التزويج، ح3]</w:t>
      </w:r>
      <w:r w:rsidRPr="00F27422">
        <w:rPr>
          <w:sz w:val="32"/>
          <w:szCs w:val="32"/>
        </w:rPr>
        <w:t>.</w:t>
      </w:r>
    </w:p>
    <w:p w14:paraId="32A7AEA3" w14:textId="77777777" w:rsidR="00E03804" w:rsidRPr="00F27422" w:rsidRDefault="00E03804" w:rsidP="00122B70">
      <w:pPr>
        <w:bidi/>
        <w:rPr>
          <w:sz w:val="32"/>
          <w:szCs w:val="32"/>
          <w:rtl/>
        </w:rPr>
      </w:pPr>
      <w:r w:rsidRPr="00F27422">
        <w:rPr>
          <w:sz w:val="32"/>
          <w:szCs w:val="32"/>
          <w:rtl/>
        </w:rPr>
        <w:t>لكونها مطلقة للبِكر والثيب</w:t>
      </w:r>
      <w:r w:rsidRPr="00F27422">
        <w:rPr>
          <w:sz w:val="32"/>
          <w:szCs w:val="32"/>
        </w:rPr>
        <w:t>.</w:t>
      </w:r>
    </w:p>
    <w:p w14:paraId="65E37123" w14:textId="77777777" w:rsidR="00E03804" w:rsidRPr="00F27422" w:rsidRDefault="00E03804" w:rsidP="00122B70">
      <w:pPr>
        <w:bidi/>
        <w:rPr>
          <w:sz w:val="32"/>
          <w:szCs w:val="32"/>
          <w:rtl/>
        </w:rPr>
      </w:pPr>
      <w:r w:rsidRPr="00F27422">
        <w:rPr>
          <w:sz w:val="32"/>
          <w:szCs w:val="32"/>
          <w:rtl/>
        </w:rPr>
        <w:t xml:space="preserve">وكذا صحيحة الحلبي، كما في الوسائل: </w:t>
      </w:r>
      <w:r w:rsidRPr="00F27422">
        <w:rPr>
          <w:b/>
          <w:bCs/>
          <w:sz w:val="32"/>
          <w:szCs w:val="32"/>
          <w:rtl/>
        </w:rPr>
        <w:t xml:space="preserve">(وبإسناده عن الحسين بن سعيد، عن ابن أبي عمير، عن حماد، عن الحلبي، عن أبي </w:t>
      </w:r>
      <w:proofErr w:type="gramStart"/>
      <w:r w:rsidRPr="00F27422">
        <w:rPr>
          <w:b/>
          <w:bCs/>
          <w:sz w:val="32"/>
          <w:szCs w:val="32"/>
          <w:rtl/>
        </w:rPr>
        <w:t>عبدالله</w:t>
      </w:r>
      <w:proofErr w:type="gramEnd"/>
      <w:r w:rsidRPr="00F27422">
        <w:rPr>
          <w:b/>
          <w:bCs/>
          <w:sz w:val="32"/>
          <w:szCs w:val="32"/>
          <w:rtl/>
        </w:rPr>
        <w:t xml:space="preserve"> (عليه السلام) في الجارية يزوجها أبوها بغير رضاءٍ منها، قال: ليس لها مع أبيها أمر إذا أنكحها جاز نكاحه وإنْ كانتْ كارهة).</w:t>
      </w:r>
      <w:r w:rsidRPr="00F27422">
        <w:rPr>
          <w:sz w:val="32"/>
          <w:szCs w:val="32"/>
          <w:rtl/>
        </w:rPr>
        <w:t xml:space="preserve"> [المصدر السابق، الباب 9 باب أن الولاية في عقد البكر البالغ الرشيدة مشتركة بينها وبين أبيها فلا بد من رضاهما إذا لم يعضلها، ح7]</w:t>
      </w:r>
      <w:r w:rsidRPr="00F27422">
        <w:rPr>
          <w:sz w:val="32"/>
          <w:szCs w:val="32"/>
        </w:rPr>
        <w:t>.</w:t>
      </w:r>
    </w:p>
    <w:p w14:paraId="61784852" w14:textId="77777777" w:rsidR="00E03804" w:rsidRPr="00F27422" w:rsidRDefault="00E03804" w:rsidP="00122B70">
      <w:pPr>
        <w:bidi/>
        <w:rPr>
          <w:b/>
          <w:bCs/>
          <w:sz w:val="32"/>
          <w:szCs w:val="32"/>
          <w:rtl/>
        </w:rPr>
      </w:pPr>
      <w:r w:rsidRPr="00F27422">
        <w:rPr>
          <w:sz w:val="32"/>
          <w:szCs w:val="32"/>
          <w:rtl/>
        </w:rPr>
        <w:t xml:space="preserve">وعلّق سيدنا الخوئي (قدس سره الشريف) </w:t>
      </w:r>
      <w:proofErr w:type="gramStart"/>
      <w:r w:rsidRPr="00F27422">
        <w:rPr>
          <w:sz w:val="32"/>
          <w:szCs w:val="32"/>
          <w:rtl/>
        </w:rPr>
        <w:t>عليهما  بقوله</w:t>
      </w:r>
      <w:proofErr w:type="gramEnd"/>
      <w:r w:rsidRPr="00F27422">
        <w:rPr>
          <w:sz w:val="32"/>
          <w:szCs w:val="32"/>
          <w:rtl/>
        </w:rPr>
        <w:t xml:space="preserve">: </w:t>
      </w:r>
      <w:r w:rsidRPr="00F27422">
        <w:rPr>
          <w:b/>
          <w:bCs/>
          <w:sz w:val="32"/>
          <w:szCs w:val="32"/>
          <w:rtl/>
        </w:rPr>
        <w:t>(والموضوع في هاتين الصحيحتين وإن كانت هي الجارية وهي تعمّ البكر والثيب. إلّا أنهما بعد التخصيص بما دل على لزوم استئذان الثيب تختصان بالبكر لا محالة)</w:t>
      </w:r>
      <w:r w:rsidRPr="00F27422">
        <w:rPr>
          <w:b/>
          <w:bCs/>
          <w:sz w:val="32"/>
          <w:szCs w:val="32"/>
        </w:rPr>
        <w:t>.</w:t>
      </w:r>
    </w:p>
    <w:p w14:paraId="5E7B4E40" w14:textId="77777777" w:rsidR="00E03804" w:rsidRPr="00F27422" w:rsidRDefault="00E03804" w:rsidP="00122B70">
      <w:pPr>
        <w:bidi/>
        <w:rPr>
          <w:sz w:val="32"/>
          <w:szCs w:val="32"/>
          <w:rtl/>
        </w:rPr>
      </w:pPr>
      <w:r w:rsidRPr="00F27422">
        <w:rPr>
          <w:sz w:val="32"/>
          <w:szCs w:val="32"/>
          <w:rtl/>
        </w:rPr>
        <w:t xml:space="preserve">فكما اِرتكب التخصيص في مفاد هاتين الصحيحتين كذلك يمكن التخصيص في مفاد قوله (عليه السلام): </w:t>
      </w:r>
      <w:r w:rsidRPr="00F27422">
        <w:rPr>
          <w:b/>
          <w:bCs/>
          <w:sz w:val="32"/>
          <w:szCs w:val="32"/>
          <w:rtl/>
        </w:rPr>
        <w:t>(لا ينقض النكاح إلّا الأب)</w:t>
      </w:r>
      <w:r w:rsidRPr="00F27422">
        <w:rPr>
          <w:sz w:val="32"/>
          <w:szCs w:val="32"/>
          <w:rtl/>
        </w:rPr>
        <w:t xml:space="preserve"> بحيث يختص بالبكر دون الثيب</w:t>
      </w:r>
      <w:r w:rsidRPr="00F27422">
        <w:rPr>
          <w:sz w:val="32"/>
          <w:szCs w:val="32"/>
        </w:rPr>
        <w:t>.</w:t>
      </w:r>
    </w:p>
    <w:p w14:paraId="3B75CCA2" w14:textId="77777777" w:rsidR="00E03804" w:rsidRPr="00F27422" w:rsidRDefault="00E03804" w:rsidP="00122B70">
      <w:pPr>
        <w:bidi/>
        <w:rPr>
          <w:sz w:val="32"/>
          <w:szCs w:val="32"/>
          <w:rtl/>
        </w:rPr>
      </w:pPr>
      <w:r w:rsidRPr="00F27422">
        <w:rPr>
          <w:sz w:val="32"/>
          <w:szCs w:val="32"/>
          <w:rtl/>
        </w:rPr>
        <w:t xml:space="preserve">وعلى فرض استلزام حمل النقض في الرواية على رفع الإبرام ما لا يمكن الأخذ به، فغاية </w:t>
      </w:r>
      <w:proofErr w:type="gramStart"/>
      <w:r w:rsidRPr="00F27422">
        <w:rPr>
          <w:sz w:val="32"/>
          <w:szCs w:val="32"/>
          <w:rtl/>
        </w:rPr>
        <w:t>ذلك  المعارضة</w:t>
      </w:r>
      <w:proofErr w:type="gramEnd"/>
      <w:r w:rsidRPr="00F27422">
        <w:rPr>
          <w:sz w:val="32"/>
          <w:szCs w:val="32"/>
          <w:rtl/>
        </w:rPr>
        <w:t>، بأنْ تكون معارضة لما دلّ على استقلال البنت، لا أنّ عدم إمكان الأخذ بالمعنى الأوّل قرينةٌ عرفاً على ظهورها في المعنى الثاني، كما هو مقتضى تحليله (قدس سره الشريف)</w:t>
      </w:r>
      <w:r w:rsidRPr="00F27422">
        <w:rPr>
          <w:sz w:val="32"/>
          <w:szCs w:val="32"/>
        </w:rPr>
        <w:t>.</w:t>
      </w:r>
    </w:p>
    <w:p w14:paraId="31384575" w14:textId="77777777" w:rsidR="00E03804" w:rsidRPr="00F27422" w:rsidRDefault="00E03804" w:rsidP="00122B70">
      <w:pPr>
        <w:bidi/>
        <w:rPr>
          <w:sz w:val="32"/>
          <w:szCs w:val="32"/>
          <w:rtl/>
        </w:rPr>
      </w:pPr>
      <w:r w:rsidRPr="00F27422">
        <w:rPr>
          <w:sz w:val="32"/>
          <w:szCs w:val="32"/>
          <w:rtl/>
        </w:rPr>
        <w:t>وحيث لم يتنقح ظهورٌ حاسِمٌ في المقام يمكنُ الجمع به بين الطوائف المتعارضة فتصل النوبة لإعمال المرجحات</w:t>
      </w:r>
      <w:r w:rsidRPr="00F27422">
        <w:rPr>
          <w:sz w:val="32"/>
          <w:szCs w:val="32"/>
        </w:rPr>
        <w:t>.</w:t>
      </w:r>
    </w:p>
    <w:p w14:paraId="56CD74D7" w14:textId="77777777" w:rsidR="00E03804" w:rsidRPr="00F27422" w:rsidRDefault="00E03804" w:rsidP="00122B70">
      <w:pPr>
        <w:bidi/>
        <w:rPr>
          <w:sz w:val="32"/>
          <w:szCs w:val="32"/>
          <w:rtl/>
        </w:rPr>
      </w:pPr>
      <w:r w:rsidRPr="00F27422">
        <w:rPr>
          <w:sz w:val="32"/>
          <w:szCs w:val="32"/>
          <w:rtl/>
        </w:rPr>
        <w:t>وفي المقام لا يوجد مرجحٌ مضموني وهو موافقة الكتاب والسنة</w:t>
      </w:r>
      <w:r w:rsidRPr="00F27422">
        <w:rPr>
          <w:sz w:val="32"/>
          <w:szCs w:val="32"/>
        </w:rPr>
        <w:t>.</w:t>
      </w:r>
    </w:p>
    <w:p w14:paraId="2308460E" w14:textId="77777777" w:rsidR="00E03804" w:rsidRPr="00F27422" w:rsidRDefault="00E03804" w:rsidP="00122B70">
      <w:pPr>
        <w:bidi/>
        <w:rPr>
          <w:sz w:val="32"/>
          <w:szCs w:val="32"/>
          <w:rtl/>
        </w:rPr>
      </w:pPr>
      <w:r w:rsidRPr="00F27422">
        <w:rPr>
          <w:b/>
          <w:bCs/>
          <w:sz w:val="32"/>
          <w:szCs w:val="32"/>
          <w:rtl/>
        </w:rPr>
        <w:t>أمّا موافقة الكتاب،</w:t>
      </w:r>
      <w:r w:rsidRPr="00F27422">
        <w:rPr>
          <w:sz w:val="32"/>
          <w:szCs w:val="32"/>
          <w:rtl/>
        </w:rPr>
        <w:t xml:space="preserve"> فلما مضى من عدم إحراز شمول الآيات نحو قوله تبارك </w:t>
      </w:r>
      <w:r w:rsidRPr="00F27422">
        <w:rPr>
          <w:b/>
          <w:bCs/>
          <w:sz w:val="32"/>
          <w:szCs w:val="32"/>
          <w:rtl/>
        </w:rPr>
        <w:t xml:space="preserve">وتعالى: (يَا أَيُّهَا الَّذِينَ آمَنُوا أَوْفُوا بِالْعُقُودِ) </w:t>
      </w:r>
      <w:r w:rsidRPr="00F27422">
        <w:rPr>
          <w:sz w:val="32"/>
          <w:szCs w:val="32"/>
          <w:rtl/>
        </w:rPr>
        <w:t>[سورة المائدة، 1] لعقد الصبيّة إذا بلغتْ</w:t>
      </w:r>
      <w:r w:rsidRPr="00F27422">
        <w:rPr>
          <w:sz w:val="32"/>
          <w:szCs w:val="32"/>
        </w:rPr>
        <w:t>.</w:t>
      </w:r>
    </w:p>
    <w:p w14:paraId="0F745AC9" w14:textId="77777777" w:rsidR="00E03804" w:rsidRPr="00F27422" w:rsidRDefault="00E03804" w:rsidP="00122B70">
      <w:pPr>
        <w:bidi/>
        <w:rPr>
          <w:sz w:val="32"/>
          <w:szCs w:val="32"/>
          <w:rtl/>
        </w:rPr>
      </w:pPr>
      <w:r w:rsidRPr="00F27422">
        <w:rPr>
          <w:b/>
          <w:bCs/>
          <w:sz w:val="32"/>
          <w:szCs w:val="32"/>
          <w:rtl/>
        </w:rPr>
        <w:lastRenderedPageBreak/>
        <w:t>وأمّا موافقة السنة</w:t>
      </w:r>
      <w:r w:rsidRPr="00F27422">
        <w:rPr>
          <w:sz w:val="32"/>
          <w:szCs w:val="32"/>
          <w:rtl/>
        </w:rPr>
        <w:t xml:space="preserve">، </w:t>
      </w:r>
      <w:r w:rsidRPr="00F27422">
        <w:rPr>
          <w:b/>
          <w:bCs/>
          <w:sz w:val="32"/>
          <w:szCs w:val="32"/>
          <w:rtl/>
        </w:rPr>
        <w:t>فقد يدعى في المقام بتقريب:</w:t>
      </w:r>
      <w:r w:rsidRPr="00F27422">
        <w:rPr>
          <w:sz w:val="32"/>
          <w:szCs w:val="32"/>
          <w:rtl/>
        </w:rPr>
        <w:t xml:space="preserve"> أنّ ما دلّ على ثبوت الخيار للصبيّة عند بلوغها موافقٌ لقاعدة السلطنة حيث إنّ الناس مسلطون على أنفسهم، فمقتضى سلطنتها على نفسها أنْ يكون لها الخيار في العقد الذي جرى عليها قَبل بلوغها</w:t>
      </w:r>
      <w:r w:rsidRPr="00F27422">
        <w:rPr>
          <w:sz w:val="32"/>
          <w:szCs w:val="32"/>
        </w:rPr>
        <w:t>.</w:t>
      </w:r>
    </w:p>
    <w:p w14:paraId="7DCB805F" w14:textId="77777777" w:rsidR="00E03804" w:rsidRPr="00F27422" w:rsidRDefault="00E03804" w:rsidP="00122B70">
      <w:pPr>
        <w:bidi/>
        <w:rPr>
          <w:sz w:val="32"/>
          <w:szCs w:val="32"/>
          <w:rtl/>
        </w:rPr>
      </w:pPr>
      <w:r w:rsidRPr="00F27422">
        <w:rPr>
          <w:b/>
          <w:bCs/>
          <w:sz w:val="32"/>
          <w:szCs w:val="32"/>
          <w:rtl/>
        </w:rPr>
        <w:t>ولكن:</w:t>
      </w:r>
      <w:r w:rsidRPr="00F27422">
        <w:rPr>
          <w:sz w:val="32"/>
          <w:szCs w:val="32"/>
          <w:rtl/>
        </w:rPr>
        <w:t xml:space="preserve"> بما أنّ الدليل ليس دليلاً </w:t>
      </w:r>
      <w:proofErr w:type="gramStart"/>
      <w:r w:rsidRPr="00F27422">
        <w:rPr>
          <w:sz w:val="32"/>
          <w:szCs w:val="32"/>
          <w:rtl/>
        </w:rPr>
        <w:t>لفظياً</w:t>
      </w:r>
      <w:proofErr w:type="gramEnd"/>
      <w:r w:rsidRPr="00F27422">
        <w:rPr>
          <w:sz w:val="32"/>
          <w:szCs w:val="32"/>
          <w:rtl/>
        </w:rPr>
        <w:t xml:space="preserve"> بل هو دليلٌ لُبي فلا يصلح أنْ يكون لا مرجحاً لما دلّ على ثبوت الخيار ولا مرجعاً عند تساقط المتعارضين</w:t>
      </w:r>
      <w:r w:rsidRPr="00F27422">
        <w:rPr>
          <w:sz w:val="32"/>
          <w:szCs w:val="32"/>
        </w:rPr>
        <w:t>.</w:t>
      </w:r>
    </w:p>
    <w:p w14:paraId="0308B4ED" w14:textId="77777777" w:rsidR="00E03804" w:rsidRPr="00F27422" w:rsidRDefault="00E03804" w:rsidP="00122B70">
      <w:pPr>
        <w:bidi/>
        <w:rPr>
          <w:sz w:val="32"/>
          <w:szCs w:val="32"/>
          <w:rtl/>
        </w:rPr>
      </w:pPr>
      <w:r w:rsidRPr="00F27422">
        <w:rPr>
          <w:b/>
          <w:bCs/>
          <w:sz w:val="32"/>
          <w:szCs w:val="32"/>
          <w:rtl/>
        </w:rPr>
        <w:t>فالمرجحُ في المقام منحصرٌ بأحد أمرين: الأوّل:</w:t>
      </w:r>
      <w:r w:rsidRPr="00F27422">
        <w:rPr>
          <w:sz w:val="32"/>
          <w:szCs w:val="32"/>
          <w:rtl/>
        </w:rPr>
        <w:t xml:space="preserve"> المرجح الصدوري وهو الشهرة، </w:t>
      </w:r>
      <w:r w:rsidRPr="00F27422">
        <w:rPr>
          <w:b/>
          <w:bCs/>
          <w:sz w:val="32"/>
          <w:szCs w:val="32"/>
          <w:rtl/>
        </w:rPr>
        <w:t>والثاني:</w:t>
      </w:r>
      <w:r w:rsidRPr="00F27422">
        <w:rPr>
          <w:sz w:val="32"/>
          <w:szCs w:val="32"/>
          <w:rtl/>
        </w:rPr>
        <w:t xml:space="preserve"> المرجح الجهتي وهو مخالفة العامّة</w:t>
      </w:r>
      <w:r w:rsidRPr="00F27422">
        <w:rPr>
          <w:sz w:val="32"/>
          <w:szCs w:val="32"/>
        </w:rPr>
        <w:t>.</w:t>
      </w:r>
    </w:p>
    <w:p w14:paraId="001197AE" w14:textId="77777777" w:rsidR="00E03804" w:rsidRPr="00F27422" w:rsidRDefault="00E03804" w:rsidP="00122B70">
      <w:pPr>
        <w:bidi/>
        <w:rPr>
          <w:sz w:val="32"/>
          <w:szCs w:val="32"/>
          <w:rtl/>
        </w:rPr>
      </w:pPr>
      <w:r w:rsidRPr="00F27422">
        <w:rPr>
          <w:b/>
          <w:bCs/>
          <w:sz w:val="32"/>
          <w:szCs w:val="32"/>
          <w:rtl/>
        </w:rPr>
        <w:t xml:space="preserve">أمّا الأوّل: </w:t>
      </w:r>
      <w:r w:rsidRPr="00F27422">
        <w:rPr>
          <w:sz w:val="32"/>
          <w:szCs w:val="32"/>
          <w:rtl/>
        </w:rPr>
        <w:t>وهو المرجح الصدوري، فهو في صالح ما دلّ على نفي الخيار ونفوذ عقد أبيها عليها؛ لقيام الشهرة العملية على عدم ثبوت الخيار.</w:t>
      </w:r>
    </w:p>
    <w:p w14:paraId="3DF4AECD" w14:textId="77777777" w:rsidR="00E03804" w:rsidRPr="00F27422" w:rsidRDefault="00E03804" w:rsidP="00122B70">
      <w:pPr>
        <w:bidi/>
        <w:rPr>
          <w:b/>
          <w:bCs/>
          <w:sz w:val="32"/>
          <w:szCs w:val="32"/>
          <w:rtl/>
        </w:rPr>
      </w:pPr>
      <w:r w:rsidRPr="00F27422">
        <w:rPr>
          <w:b/>
          <w:bCs/>
          <w:sz w:val="32"/>
          <w:szCs w:val="32"/>
          <w:rtl/>
        </w:rPr>
        <w:t>وقد يُقال:</w:t>
      </w:r>
      <w:r w:rsidRPr="00F27422">
        <w:rPr>
          <w:sz w:val="32"/>
          <w:szCs w:val="32"/>
          <w:rtl/>
        </w:rPr>
        <w:t xml:space="preserve"> أنّ تقديم ما دلّ على نفي الخيار على ما دلّ على ثبوته لإعراض المشهور عن العمل بصحيح محمّد بن مسلم الدال على ثبوت الخيار للصغيرين إذا أدركا في العقد الذي جرى عليهما قَبل البلوغ، حيث ذكر غيرُ واحدٍ من الفقهاء بأنّه لم يعمل أحدٌ بهذه الرواية، ومنهم الفقيه النبيه السيد الحكيم (قدس سره الشريف) في كتابه [مستمسك العروة الوثقى، السيد محسن الطباطبائي الحكيم، دار إحياء التراث العربي، ج14، ص454] حيث قال: </w:t>
      </w:r>
      <w:r w:rsidRPr="00F27422">
        <w:rPr>
          <w:b/>
          <w:bCs/>
          <w:sz w:val="32"/>
          <w:szCs w:val="32"/>
          <w:rtl/>
        </w:rPr>
        <w:t>(ولكنه لم يعرف عامل به ولا مفت بمضمونه في الصغيرة)</w:t>
      </w:r>
      <w:r w:rsidRPr="00F27422">
        <w:rPr>
          <w:b/>
          <w:bCs/>
          <w:sz w:val="32"/>
          <w:szCs w:val="32"/>
        </w:rPr>
        <w:t>.</w:t>
      </w:r>
    </w:p>
    <w:p w14:paraId="6EE2CEF9" w14:textId="77777777" w:rsidR="00E03804" w:rsidRPr="00F27422" w:rsidRDefault="00E03804" w:rsidP="00122B70">
      <w:pPr>
        <w:bidi/>
        <w:rPr>
          <w:sz w:val="32"/>
          <w:szCs w:val="32"/>
          <w:rtl/>
        </w:rPr>
      </w:pPr>
      <w:r w:rsidRPr="00F27422">
        <w:rPr>
          <w:b/>
          <w:bCs/>
          <w:sz w:val="32"/>
          <w:szCs w:val="32"/>
          <w:rtl/>
        </w:rPr>
        <w:t>والإعراضُ بحسب المبنى المختار عندنا مانعٌ مِن أصل الحجية؛</w:t>
      </w:r>
      <w:r w:rsidRPr="00F27422">
        <w:rPr>
          <w:sz w:val="32"/>
          <w:szCs w:val="32"/>
          <w:rtl/>
        </w:rPr>
        <w:t xml:space="preserve"> لأنّ موضوع الحجية هو الوثوق والإعراض مانعٌ مِن الوثوق ولو كان نوعياً، فصحيحة محمّد بن مسلم غيرُ صالحةٍ للمعارضة مع ما دلّ على نفوذ عقد أبيها عليها، لا أنّ الإعراض مرجحٌ لإحدى الطائفتين على </w:t>
      </w:r>
      <w:proofErr w:type="gramStart"/>
      <w:r w:rsidRPr="00F27422">
        <w:rPr>
          <w:sz w:val="32"/>
          <w:szCs w:val="32"/>
          <w:rtl/>
        </w:rPr>
        <w:t>الأُخرى</w:t>
      </w:r>
      <w:proofErr w:type="gramEnd"/>
      <w:r w:rsidRPr="00F27422">
        <w:rPr>
          <w:sz w:val="32"/>
          <w:szCs w:val="32"/>
          <w:rtl/>
        </w:rPr>
        <w:t xml:space="preserve"> بل هو مميزٌ للحجة عن الـ </w:t>
      </w:r>
      <w:proofErr w:type="spellStart"/>
      <w:r w:rsidRPr="00F27422">
        <w:rPr>
          <w:sz w:val="32"/>
          <w:szCs w:val="32"/>
          <w:rtl/>
        </w:rPr>
        <w:t>لاحجة</w:t>
      </w:r>
      <w:proofErr w:type="spellEnd"/>
      <w:r w:rsidRPr="00F27422">
        <w:rPr>
          <w:sz w:val="32"/>
          <w:szCs w:val="32"/>
          <w:rtl/>
        </w:rPr>
        <w:t>، لا مرجحٌ لإحدى الحجتين الأُخرى</w:t>
      </w:r>
      <w:r w:rsidRPr="00F27422">
        <w:rPr>
          <w:sz w:val="32"/>
          <w:szCs w:val="32"/>
        </w:rPr>
        <w:t>.</w:t>
      </w:r>
    </w:p>
    <w:p w14:paraId="0E2B13EE" w14:textId="77777777" w:rsidR="00E03804" w:rsidRPr="00F27422" w:rsidRDefault="00E03804" w:rsidP="00122B70">
      <w:pPr>
        <w:bidi/>
        <w:rPr>
          <w:sz w:val="32"/>
          <w:szCs w:val="32"/>
          <w:rtl/>
        </w:rPr>
      </w:pPr>
      <w:r w:rsidRPr="00F27422">
        <w:rPr>
          <w:b/>
          <w:bCs/>
          <w:sz w:val="32"/>
          <w:szCs w:val="32"/>
          <w:rtl/>
        </w:rPr>
        <w:t>لكن قد يُمنع مِن تحقّق الإعراض، بأنْ يُقال:</w:t>
      </w:r>
      <w:r w:rsidRPr="00F27422">
        <w:rPr>
          <w:sz w:val="32"/>
          <w:szCs w:val="32"/>
          <w:rtl/>
        </w:rPr>
        <w:t xml:space="preserve"> إنّ غاية ما في المقام أنّهم عملوا بالطائفة الدالّة على نفي الخيار، وعملهم بالطائفة الدالّة على نفي الخيار لا يعني الإعراض عما دلّ على ثبوت الخيار، فلعلهم أعملوا المرجحات في الطائفة الدالّة على عدم الخيار، والعملُ بإحدى الطائفتين مع </w:t>
      </w:r>
      <w:proofErr w:type="gramStart"/>
      <w:r w:rsidRPr="00F27422">
        <w:rPr>
          <w:sz w:val="32"/>
          <w:szCs w:val="32"/>
          <w:rtl/>
        </w:rPr>
        <w:t>احتمال  كونه</w:t>
      </w:r>
      <w:proofErr w:type="gramEnd"/>
      <w:r w:rsidRPr="00F27422">
        <w:rPr>
          <w:sz w:val="32"/>
          <w:szCs w:val="32"/>
          <w:rtl/>
        </w:rPr>
        <w:t xml:space="preserve"> لمرجحٍ لا يحقّق صُغرى الإعراض عن الطائفة الأُخرى</w:t>
      </w:r>
      <w:r w:rsidRPr="00F27422">
        <w:rPr>
          <w:sz w:val="32"/>
          <w:szCs w:val="32"/>
        </w:rPr>
        <w:t>.</w:t>
      </w:r>
    </w:p>
    <w:p w14:paraId="25A8537A" w14:textId="77777777" w:rsidR="00E03804" w:rsidRPr="00F27422" w:rsidRDefault="00E03804" w:rsidP="00122B70">
      <w:pPr>
        <w:bidi/>
        <w:rPr>
          <w:sz w:val="32"/>
          <w:szCs w:val="32"/>
          <w:rtl/>
        </w:rPr>
      </w:pPr>
      <w:r w:rsidRPr="00F27422">
        <w:rPr>
          <w:b/>
          <w:bCs/>
          <w:sz w:val="32"/>
          <w:szCs w:val="32"/>
          <w:rtl/>
        </w:rPr>
        <w:t xml:space="preserve">وأمّا الثاني: </w:t>
      </w:r>
      <w:r w:rsidRPr="00F27422">
        <w:rPr>
          <w:sz w:val="32"/>
          <w:szCs w:val="32"/>
          <w:rtl/>
        </w:rPr>
        <w:t>وهو المرجح الجهتي - أي: مخالفة العامّة -، فهو في صالح ما دلّ على ثبوت الخيار للصبيّ والصبيّة إذا بلغا، حيث إنّ جمهور العامّة على نفوذ عقد الأب عليها سواءً كانتْ صغيرةً أو كبيرةً</w:t>
      </w:r>
      <w:r w:rsidRPr="00F27422">
        <w:rPr>
          <w:sz w:val="32"/>
          <w:szCs w:val="32"/>
        </w:rPr>
        <w:t>.</w:t>
      </w:r>
    </w:p>
    <w:p w14:paraId="459723C5" w14:textId="77777777" w:rsidR="00E03804" w:rsidRPr="00F27422" w:rsidRDefault="00E03804" w:rsidP="00122B70">
      <w:pPr>
        <w:bidi/>
        <w:rPr>
          <w:b/>
          <w:bCs/>
          <w:sz w:val="32"/>
          <w:szCs w:val="32"/>
          <w:rtl/>
        </w:rPr>
      </w:pPr>
      <w:r w:rsidRPr="00F27422">
        <w:rPr>
          <w:sz w:val="32"/>
          <w:szCs w:val="32"/>
          <w:rtl/>
        </w:rPr>
        <w:lastRenderedPageBreak/>
        <w:t xml:space="preserve">وقد ذكر ابن قدامة مذهب الحنابلة في كتابه [المغني، لابن قدامة، طبعة مكتبة القاهرة، ج7، كتاب النكاح، ص40] حيث قال: </w:t>
      </w:r>
      <w:r w:rsidRPr="00F27422">
        <w:rPr>
          <w:b/>
          <w:bCs/>
          <w:sz w:val="32"/>
          <w:szCs w:val="32"/>
          <w:rtl/>
        </w:rPr>
        <w:t>([مَسْأَلَةٌ زَوَّجَ الرَّجُلُ ابْنَتَهُ الْبِكْرَ فَوَضَعَهَا فِي كَفَاءَةٍ]</w:t>
      </w:r>
    </w:p>
    <w:p w14:paraId="52441C19" w14:textId="77777777" w:rsidR="00E03804" w:rsidRPr="00F27422" w:rsidRDefault="00E03804" w:rsidP="00122B70">
      <w:pPr>
        <w:bidi/>
        <w:rPr>
          <w:b/>
          <w:bCs/>
          <w:sz w:val="32"/>
          <w:szCs w:val="32"/>
          <w:rtl/>
        </w:rPr>
      </w:pPr>
      <w:r w:rsidRPr="00F27422">
        <w:rPr>
          <w:b/>
          <w:bCs/>
          <w:sz w:val="32"/>
          <w:szCs w:val="32"/>
        </w:rPr>
        <w:t xml:space="preserve">(5200) </w:t>
      </w:r>
      <w:r w:rsidRPr="00F27422">
        <w:rPr>
          <w:b/>
          <w:bCs/>
          <w:sz w:val="32"/>
          <w:szCs w:val="32"/>
          <w:rtl/>
        </w:rPr>
        <w:t>مَسْأَلَةٌ؛ قَالَ: وَإِذَا زَوَّجَ الرَّجُلُ ابْنَتَهُ الْبِكْرَ، فَوَضَعَهَا فِي كَفَاءَةٍ، فَالنِّكَاحُ ثَابِتٌ، وَإِنْ كَرِهَتْ، كَبِيرَةً كَانَتْ أَوْ صَغِيرَةً. أَمَّا الْبِكْرُ الصَّغِيرَةُ، فَلَا خِلَافَ فِيهَا. قَالَ ابْنُ الْمُنْذِرِ أَجْمَعَ كُلُّ مَنْ نَحْفَظُ عَنْهُ مِنْ أَهْلِ الْعِلْمِ، أَنَّ نِكَاحَ الْأَبِ ابْنَتَهُ الْبِكْرَ الصَّغِيرَةَ جَائِزٌ، إذَا زَوَّجَهَا مِنْ كُفْءٍ، وَيَجُوزُ لَهُ تَزْوِيجُهَا مَعَ كَرَاهِيَتِهَا وَامْتِنَاعِهَا).</w:t>
      </w:r>
    </w:p>
    <w:p w14:paraId="19F6DBA1" w14:textId="77777777" w:rsidR="00E03804" w:rsidRPr="00F27422" w:rsidRDefault="00E03804" w:rsidP="00122B70">
      <w:pPr>
        <w:bidi/>
        <w:rPr>
          <w:b/>
          <w:bCs/>
          <w:sz w:val="32"/>
          <w:szCs w:val="32"/>
          <w:rtl/>
        </w:rPr>
      </w:pPr>
      <w:r w:rsidRPr="00F27422">
        <w:rPr>
          <w:sz w:val="32"/>
          <w:szCs w:val="32"/>
          <w:rtl/>
        </w:rPr>
        <w:t xml:space="preserve">وأما مذهب الحنفية فقد ذكر السرخسي في كتابه [المبسوط، السرخسي، كتاب النكاح، ج4، ص219] حيث قال: </w:t>
      </w:r>
      <w:r w:rsidRPr="00F27422">
        <w:rPr>
          <w:b/>
          <w:bCs/>
          <w:sz w:val="32"/>
          <w:szCs w:val="32"/>
          <w:rtl/>
        </w:rPr>
        <w:t>(وَالْأَصْلُ فِي تَرْتِيبِ الْأَوْلِيَاءِ قَوْلُهُ - صَلَّى اللَّهُ عَلَيْهِ [وآله] وَسَلَّمَ – (النِّكَاحُ إلَى الْعَصَبَاتِ) وَالْمُوَلَّى عَلَيْهَا لَا يَخْلُو إمَّا أَنْ تَكُونَ صَغِيرَةً أَوْ كَبِيرَةً مَعْتُوهَةً، فَإِنْ كَانَتْ صَغِيرَةً فَأَوْلَى الْأَوْلِيَاءِ عَلَيْهَا أَبُوهَا، ثُمَّ الْجَدُّ بَعْدَ الْأَبِ قَائِمٌ مَقَامَ الْأَبِ فِي ظَاهِرِ الرِّوَايَةِ)</w:t>
      </w:r>
      <w:r w:rsidRPr="00F27422">
        <w:rPr>
          <w:b/>
          <w:bCs/>
          <w:sz w:val="32"/>
          <w:szCs w:val="32"/>
        </w:rPr>
        <w:t>.</w:t>
      </w:r>
    </w:p>
    <w:p w14:paraId="2E545C39" w14:textId="77777777" w:rsidR="00E03804" w:rsidRPr="00F27422" w:rsidRDefault="00E03804" w:rsidP="00122B70">
      <w:pPr>
        <w:bidi/>
        <w:rPr>
          <w:b/>
          <w:bCs/>
          <w:sz w:val="32"/>
          <w:szCs w:val="32"/>
          <w:rtl/>
        </w:rPr>
      </w:pPr>
      <w:r w:rsidRPr="00F27422">
        <w:rPr>
          <w:sz w:val="32"/>
          <w:szCs w:val="32"/>
          <w:rtl/>
        </w:rPr>
        <w:t xml:space="preserve">أما مذهب المالكية فقد ذكر ابن </w:t>
      </w:r>
      <w:proofErr w:type="spellStart"/>
      <w:r w:rsidRPr="00F27422">
        <w:rPr>
          <w:sz w:val="32"/>
          <w:szCs w:val="32"/>
          <w:rtl/>
        </w:rPr>
        <w:t>البراذعي</w:t>
      </w:r>
      <w:proofErr w:type="spellEnd"/>
      <w:r w:rsidRPr="00F27422">
        <w:rPr>
          <w:sz w:val="32"/>
          <w:szCs w:val="32"/>
          <w:rtl/>
        </w:rPr>
        <w:t xml:space="preserve"> في كتابه [كتاب التهذيب في اختصار المدونة، أبو سعيد ابن </w:t>
      </w:r>
      <w:proofErr w:type="spellStart"/>
      <w:r w:rsidRPr="00F27422">
        <w:rPr>
          <w:sz w:val="32"/>
          <w:szCs w:val="32"/>
          <w:rtl/>
        </w:rPr>
        <w:t>البراذعي</w:t>
      </w:r>
      <w:proofErr w:type="spellEnd"/>
      <w:r w:rsidRPr="00F27422">
        <w:rPr>
          <w:sz w:val="32"/>
          <w:szCs w:val="32"/>
          <w:rtl/>
        </w:rPr>
        <w:t xml:space="preserve">، ج2، ص133] حيث قال: </w:t>
      </w:r>
      <w:r w:rsidRPr="00F27422">
        <w:rPr>
          <w:b/>
          <w:bCs/>
          <w:sz w:val="32"/>
          <w:szCs w:val="32"/>
          <w:rtl/>
        </w:rPr>
        <w:t>(وإذا ردّت الثيب الرجال رجلاً بعد رجل لم تجبر على النكاح، ولا يجبر أحد أحداً على النكاح إلا الأب في ابنته البكر وفي ابنه الصغير وفي أمته وفي عبده، والولي في يتيمه. ولا يزوج البكر وليها وإن كانت سفيهة إلا برضاها).</w:t>
      </w:r>
    </w:p>
    <w:p w14:paraId="7562BB0A" w14:textId="77777777" w:rsidR="00E03804" w:rsidRPr="00F27422" w:rsidRDefault="00E03804" w:rsidP="00122B70">
      <w:pPr>
        <w:bidi/>
        <w:rPr>
          <w:b/>
          <w:bCs/>
          <w:sz w:val="32"/>
          <w:szCs w:val="32"/>
          <w:rtl/>
        </w:rPr>
      </w:pPr>
      <w:r w:rsidRPr="00F27422">
        <w:rPr>
          <w:sz w:val="32"/>
          <w:szCs w:val="32"/>
          <w:rtl/>
        </w:rPr>
        <w:t xml:space="preserve">وأما مذهب الشافعية فقد ذكر أبو إسحاق في كتابه [المهذب في فقه الإمام الشافعي، أبو إسحاق الشيرازي، ج2، ص429] حيث قال: </w:t>
      </w:r>
      <w:r w:rsidRPr="00F27422">
        <w:rPr>
          <w:b/>
          <w:bCs/>
          <w:sz w:val="32"/>
          <w:szCs w:val="32"/>
          <w:rtl/>
        </w:rPr>
        <w:t>(ويجوز للأب والجد تزويج البكر من غير رضاها صغيرة كانت أو كبيرة)</w:t>
      </w:r>
      <w:r w:rsidRPr="00F27422">
        <w:rPr>
          <w:b/>
          <w:bCs/>
          <w:sz w:val="32"/>
          <w:szCs w:val="32"/>
        </w:rPr>
        <w:t>.</w:t>
      </w:r>
    </w:p>
    <w:p w14:paraId="67AE61A5" w14:textId="77777777" w:rsidR="00E03804" w:rsidRPr="00F27422" w:rsidRDefault="00E03804" w:rsidP="00122B70">
      <w:pPr>
        <w:bidi/>
        <w:rPr>
          <w:sz w:val="32"/>
          <w:szCs w:val="32"/>
          <w:rtl/>
        </w:rPr>
      </w:pPr>
      <w:r w:rsidRPr="00F27422">
        <w:rPr>
          <w:sz w:val="32"/>
          <w:szCs w:val="32"/>
          <w:rtl/>
        </w:rPr>
        <w:t xml:space="preserve">وقد عُلّق على ذلك في كتاب [أحكام الأطفال، تأليف جمع من المحققين، مركز فقه الأئمة الأطهار (عليهم السلام)، ج1، ص544]: </w:t>
      </w:r>
      <w:r w:rsidRPr="00F27422">
        <w:rPr>
          <w:b/>
          <w:bCs/>
          <w:sz w:val="32"/>
          <w:szCs w:val="32"/>
          <w:rtl/>
        </w:rPr>
        <w:t>(فالجمهور من فقهاء أهل السنة أثبتوا الولاية للأب على زواج الصغار، ولكن اعتقدوا أنّ ولاية الجدّ كانت في مرتبةٍ متأخرةٍ من ولاية الأب، ولا يكون له ولايةٌ في حياة الأب)</w:t>
      </w:r>
      <w:r w:rsidRPr="00F27422">
        <w:rPr>
          <w:b/>
          <w:bCs/>
          <w:sz w:val="32"/>
          <w:szCs w:val="32"/>
        </w:rPr>
        <w:t>.</w:t>
      </w:r>
    </w:p>
    <w:p w14:paraId="27E4F041" w14:textId="77777777" w:rsidR="00E03804" w:rsidRPr="00F27422" w:rsidRDefault="00E03804" w:rsidP="00122B70">
      <w:pPr>
        <w:bidi/>
        <w:rPr>
          <w:sz w:val="32"/>
          <w:szCs w:val="32"/>
          <w:rtl/>
        </w:rPr>
      </w:pPr>
      <w:r w:rsidRPr="00F27422">
        <w:rPr>
          <w:b/>
          <w:bCs/>
          <w:sz w:val="32"/>
          <w:szCs w:val="32"/>
          <w:rtl/>
        </w:rPr>
        <w:t>والحاصل:</w:t>
      </w:r>
      <w:r w:rsidRPr="00F27422">
        <w:rPr>
          <w:sz w:val="32"/>
          <w:szCs w:val="32"/>
          <w:rtl/>
        </w:rPr>
        <w:t xml:space="preserve"> أنّ المرجح الجهتي في صالح ما دلّ على ثبوت الخيار</w:t>
      </w:r>
      <w:r w:rsidRPr="00F27422">
        <w:rPr>
          <w:sz w:val="32"/>
          <w:szCs w:val="32"/>
        </w:rPr>
        <w:t>.</w:t>
      </w:r>
    </w:p>
    <w:p w14:paraId="14E1A404" w14:textId="77777777" w:rsidR="00E03804" w:rsidRPr="00F27422" w:rsidRDefault="00E03804" w:rsidP="00122B70">
      <w:pPr>
        <w:bidi/>
        <w:rPr>
          <w:sz w:val="32"/>
          <w:szCs w:val="32"/>
          <w:rtl/>
        </w:rPr>
      </w:pPr>
      <w:r w:rsidRPr="00F27422">
        <w:rPr>
          <w:sz w:val="32"/>
          <w:szCs w:val="32"/>
          <w:rtl/>
        </w:rPr>
        <w:t xml:space="preserve">فلو كنا نحن مع هذين المرجحين: المرجح الأوّل وهو شهرة العمل للطائفة النافية، والمرجح </w:t>
      </w:r>
      <w:proofErr w:type="gramStart"/>
      <w:r w:rsidRPr="00F27422">
        <w:rPr>
          <w:sz w:val="32"/>
          <w:szCs w:val="32"/>
          <w:rtl/>
        </w:rPr>
        <w:t>الثاني  وهو</w:t>
      </w:r>
      <w:proofErr w:type="gramEnd"/>
      <w:r w:rsidRPr="00F27422">
        <w:rPr>
          <w:sz w:val="32"/>
          <w:szCs w:val="32"/>
          <w:rtl/>
        </w:rPr>
        <w:t xml:space="preserve"> مخالفة العامّة للطائفة المثبتة، فما هو مقتضى الصناعة؟</w:t>
      </w:r>
    </w:p>
    <w:p w14:paraId="2F5DDBFC" w14:textId="77777777" w:rsidR="00E03804" w:rsidRPr="00F27422" w:rsidRDefault="00E03804" w:rsidP="00122B70">
      <w:pPr>
        <w:bidi/>
        <w:rPr>
          <w:sz w:val="32"/>
          <w:szCs w:val="32"/>
          <w:rtl/>
        </w:rPr>
      </w:pPr>
    </w:p>
    <w:p w14:paraId="3ECD24AB" w14:textId="77777777" w:rsidR="00E03804" w:rsidRPr="00F27422" w:rsidRDefault="00E03804" w:rsidP="00122B70">
      <w:pPr>
        <w:bidi/>
        <w:rPr>
          <w:b/>
          <w:bCs/>
          <w:sz w:val="32"/>
          <w:szCs w:val="32"/>
          <w:rtl/>
        </w:rPr>
      </w:pPr>
      <w:r w:rsidRPr="00F27422">
        <w:rPr>
          <w:b/>
          <w:bCs/>
          <w:sz w:val="32"/>
          <w:szCs w:val="32"/>
          <w:rtl/>
        </w:rPr>
        <w:lastRenderedPageBreak/>
        <w:t xml:space="preserve">والحمد لله رب العالمين </w:t>
      </w:r>
    </w:p>
    <w:p w14:paraId="793E9FC2" w14:textId="77777777" w:rsidR="00493BAB" w:rsidRPr="00F27422" w:rsidRDefault="00493BAB" w:rsidP="00122B70">
      <w:pPr>
        <w:bidi/>
        <w:rPr>
          <w:sz w:val="32"/>
          <w:szCs w:val="32"/>
        </w:rPr>
      </w:pPr>
    </w:p>
    <w:p w14:paraId="41A02C1B" w14:textId="00523E13" w:rsidR="00E03804" w:rsidRPr="00F27422" w:rsidRDefault="00E03804" w:rsidP="00122B70">
      <w:pPr>
        <w:pStyle w:val="Heading3"/>
        <w:bidi/>
        <w:rPr>
          <w:sz w:val="32"/>
          <w:szCs w:val="32"/>
        </w:rPr>
      </w:pPr>
      <w:r w:rsidRPr="00F27422">
        <w:rPr>
          <w:sz w:val="32"/>
          <w:szCs w:val="32"/>
        </w:rPr>
        <w:t>058</w:t>
      </w:r>
    </w:p>
    <w:p w14:paraId="763003F2" w14:textId="77777777" w:rsidR="00E03804" w:rsidRPr="00F27422" w:rsidRDefault="00E03804" w:rsidP="00122B70">
      <w:pPr>
        <w:bidi/>
        <w:rPr>
          <w:sz w:val="32"/>
          <w:szCs w:val="32"/>
          <w:rtl/>
        </w:rPr>
      </w:pPr>
    </w:p>
    <w:p w14:paraId="22484A6D" w14:textId="77777777" w:rsidR="009C2251" w:rsidRPr="00F27422" w:rsidRDefault="009C2251"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4A5BFB42" w14:textId="77777777" w:rsidR="009C2251" w:rsidRPr="00F27422" w:rsidRDefault="009C2251"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45C2EDA4"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واللعن الدائم على أعدائهم أجمعين إلى قيام يوم الدين</w:t>
      </w:r>
    </w:p>
    <w:p w14:paraId="62237E2C" w14:textId="77777777" w:rsidR="009C2251" w:rsidRPr="00F27422" w:rsidRDefault="009C2251" w:rsidP="00122B70">
      <w:pPr>
        <w:pStyle w:val="a"/>
        <w:bidi/>
        <w:spacing w:line="216" w:lineRule="auto"/>
        <w:jc w:val="left"/>
        <w:rPr>
          <w:rFonts w:ascii="mylotus" w:hAnsi="mylotus"/>
          <w:sz w:val="32"/>
          <w:rtl/>
          <w:lang w:bidi="ar-BH"/>
        </w:rPr>
      </w:pPr>
    </w:p>
    <w:p w14:paraId="06AC56C6"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والحاصل:</w:t>
      </w:r>
      <w:r w:rsidRPr="00F27422">
        <w:rPr>
          <w:rFonts w:ascii="mylotus" w:hAnsi="mylotus"/>
          <w:sz w:val="32"/>
          <w:rtl/>
        </w:rPr>
        <w:t xml:space="preserve"> أنّ إحدى الطائفتين وهي ما دلّ على نفي الخيار للصبيّ والصبيّة إذا بلغا مما</w:t>
      </w:r>
      <w:r w:rsidRPr="00F27422">
        <w:rPr>
          <w:rFonts w:ascii="mylotus" w:hAnsi="mylotus" w:hint="cs"/>
          <w:sz w:val="32"/>
          <w:rtl/>
        </w:rPr>
        <w:t xml:space="preserve"> </w:t>
      </w:r>
      <w:r w:rsidRPr="00F27422">
        <w:rPr>
          <w:rFonts w:ascii="mylotus" w:hAnsi="mylotus"/>
          <w:sz w:val="32"/>
          <w:rtl/>
        </w:rPr>
        <w:t>رواه المشهور وعمل به، والطائفة الأُخرى وهي ما دلّ على ثبوت الخيار لهما في عقدهما عند بلوغهما مخالفٌ للعامّة، مما يعني أن</w:t>
      </w:r>
      <w:r w:rsidRPr="00F27422">
        <w:rPr>
          <w:rFonts w:ascii="mylotus" w:hAnsi="mylotus" w:hint="cs"/>
          <w:sz w:val="32"/>
          <w:rtl/>
        </w:rPr>
        <w:t>ّ</w:t>
      </w:r>
      <w:r w:rsidRPr="00F27422">
        <w:rPr>
          <w:rFonts w:ascii="mylotus" w:hAnsi="mylotus"/>
          <w:sz w:val="32"/>
          <w:rtl/>
        </w:rPr>
        <w:t xml:space="preserve"> للطائفة الأُولى مرجحاً صدورياً، وللطائفة الثانية مرجحاً </w:t>
      </w:r>
      <w:proofErr w:type="spellStart"/>
      <w:r w:rsidRPr="00F27422">
        <w:rPr>
          <w:rFonts w:ascii="mylotus" w:hAnsi="mylotus"/>
          <w:sz w:val="32"/>
          <w:rtl/>
        </w:rPr>
        <w:t>جهتياً</w:t>
      </w:r>
      <w:proofErr w:type="spellEnd"/>
      <w:r w:rsidRPr="00F27422">
        <w:rPr>
          <w:rFonts w:ascii="mylotus" w:hAnsi="mylotus"/>
          <w:sz w:val="32"/>
          <w:rtl/>
        </w:rPr>
        <w:t>، وإذا تقابل المرجحان الصدوري والجهتي فما هو المقدم منهما؟</w:t>
      </w:r>
    </w:p>
    <w:p w14:paraId="1C8995EA"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t>وقد بحثنا في الدورة الأولى من الأصول ذلك بحثاً مفصلاً</w:t>
      </w:r>
      <w:r w:rsidRPr="00F27422">
        <w:rPr>
          <w:rFonts w:ascii="mylotus" w:hAnsi="mylotus"/>
          <w:sz w:val="32"/>
        </w:rPr>
        <w:t>.</w:t>
      </w:r>
    </w:p>
    <w:p w14:paraId="6548FD62" w14:textId="77777777" w:rsidR="009C2251" w:rsidRPr="00F27422" w:rsidRDefault="009C2251" w:rsidP="00122B70">
      <w:pPr>
        <w:pStyle w:val="a"/>
        <w:bidi/>
        <w:spacing w:line="216" w:lineRule="auto"/>
        <w:jc w:val="left"/>
        <w:rPr>
          <w:rFonts w:ascii="mylotus" w:hAnsi="mylotus"/>
          <w:b/>
          <w:bCs/>
          <w:sz w:val="32"/>
          <w:rtl/>
          <w:lang w:bidi="ar-BH"/>
        </w:rPr>
      </w:pPr>
      <w:r w:rsidRPr="00F27422">
        <w:rPr>
          <w:rFonts w:ascii="mylotus" w:hAnsi="mylotus"/>
          <w:b/>
          <w:bCs/>
          <w:sz w:val="32"/>
          <w:rtl/>
        </w:rPr>
        <w:t>وحاصله: إنّ المرجحات أقسامٌ ثلاثة</w:t>
      </w:r>
      <w:r w:rsidRPr="00F27422">
        <w:rPr>
          <w:rFonts w:ascii="mylotus" w:hAnsi="mylotus"/>
          <w:b/>
          <w:bCs/>
          <w:sz w:val="32"/>
        </w:rPr>
        <w:t>:</w:t>
      </w:r>
    </w:p>
    <w:p w14:paraId="3C2D8E77" w14:textId="77777777" w:rsidR="009C2251" w:rsidRPr="00F27422" w:rsidRDefault="009C2251" w:rsidP="00122B70">
      <w:pPr>
        <w:pStyle w:val="a"/>
        <w:bidi/>
        <w:spacing w:line="216" w:lineRule="auto"/>
        <w:jc w:val="left"/>
        <w:rPr>
          <w:rFonts w:ascii="mylotus" w:hAnsi="mylotus"/>
          <w:b/>
          <w:bCs/>
          <w:sz w:val="32"/>
          <w:rtl/>
          <w:lang w:bidi="ar-BH"/>
        </w:rPr>
      </w:pPr>
      <w:r w:rsidRPr="00F27422">
        <w:rPr>
          <w:rFonts w:ascii="mylotus" w:hAnsi="mylotus"/>
          <w:b/>
          <w:bCs/>
          <w:sz w:val="32"/>
          <w:rtl/>
        </w:rPr>
        <w:t>القسمُ الأوّل: المرجح الصدوري، كالشُهرةِ الروائية</w:t>
      </w:r>
      <w:r w:rsidRPr="00F27422">
        <w:rPr>
          <w:rFonts w:ascii="mylotus" w:hAnsi="mylotus"/>
          <w:b/>
          <w:bCs/>
          <w:sz w:val="32"/>
        </w:rPr>
        <w:t>.</w:t>
      </w:r>
    </w:p>
    <w:p w14:paraId="3ABF3A5B" w14:textId="77777777" w:rsidR="009C2251" w:rsidRPr="00F27422" w:rsidRDefault="009C2251" w:rsidP="00122B70">
      <w:pPr>
        <w:pStyle w:val="a"/>
        <w:bidi/>
        <w:spacing w:line="216" w:lineRule="auto"/>
        <w:jc w:val="left"/>
        <w:rPr>
          <w:rFonts w:ascii="mylotus" w:hAnsi="mylotus"/>
          <w:b/>
          <w:bCs/>
          <w:sz w:val="32"/>
          <w:rtl/>
          <w:lang w:bidi="ar-BH"/>
        </w:rPr>
      </w:pPr>
      <w:r w:rsidRPr="00F27422">
        <w:rPr>
          <w:rFonts w:ascii="mylotus" w:hAnsi="mylotus"/>
          <w:b/>
          <w:bCs/>
          <w:sz w:val="32"/>
          <w:rtl/>
        </w:rPr>
        <w:t>القسمُ الثاني: المرجح المضموني، كموافقةِ الكتاب</w:t>
      </w:r>
      <w:r w:rsidRPr="00F27422">
        <w:rPr>
          <w:rFonts w:ascii="mylotus" w:hAnsi="mylotus"/>
          <w:b/>
          <w:bCs/>
          <w:sz w:val="32"/>
        </w:rPr>
        <w:t>.</w:t>
      </w:r>
    </w:p>
    <w:p w14:paraId="552E87B4"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القسمُ الثالث: المرجح الجهتي، كمخالفةِ العامّة</w:t>
      </w:r>
      <w:r w:rsidRPr="00F27422">
        <w:rPr>
          <w:rFonts w:ascii="mylotus" w:hAnsi="mylotus"/>
          <w:sz w:val="32"/>
        </w:rPr>
        <w:t>.</w:t>
      </w:r>
    </w:p>
    <w:p w14:paraId="7518EBA4" w14:textId="77777777" w:rsidR="009C2251" w:rsidRPr="00F27422" w:rsidRDefault="009C2251" w:rsidP="00122B70">
      <w:pPr>
        <w:pStyle w:val="a"/>
        <w:bidi/>
        <w:spacing w:line="216" w:lineRule="auto"/>
        <w:jc w:val="left"/>
        <w:rPr>
          <w:rFonts w:ascii="mylotus" w:hAnsi="mylotus"/>
          <w:b/>
          <w:bCs/>
          <w:sz w:val="32"/>
          <w:rtl/>
          <w:lang w:bidi="ar-BH"/>
        </w:rPr>
      </w:pPr>
      <w:r w:rsidRPr="00F27422">
        <w:rPr>
          <w:rFonts w:ascii="mylotus" w:hAnsi="mylotus"/>
          <w:b/>
          <w:bCs/>
          <w:sz w:val="32"/>
          <w:rtl/>
        </w:rPr>
        <w:t>والبحثُ في تقديم أحد المرجحات الثلاثة على الآخر يبتني على أمورٍ</w:t>
      </w:r>
      <w:r w:rsidRPr="00F27422">
        <w:rPr>
          <w:rFonts w:ascii="mylotus" w:hAnsi="mylotus"/>
          <w:b/>
          <w:bCs/>
          <w:sz w:val="32"/>
        </w:rPr>
        <w:t>:</w:t>
      </w:r>
    </w:p>
    <w:p w14:paraId="5814D7F4"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الأمرُ الأوّل:</w:t>
      </w:r>
      <w:r w:rsidRPr="00F27422">
        <w:rPr>
          <w:rFonts w:ascii="mylotus" w:hAnsi="mylotus"/>
          <w:sz w:val="32"/>
          <w:rtl/>
        </w:rPr>
        <w:t xml:space="preserve"> عدم التعدي عن المرجحات المنصوصة</w:t>
      </w:r>
      <w:r w:rsidRPr="00F27422">
        <w:rPr>
          <w:rFonts w:ascii="mylotus" w:hAnsi="mylotus"/>
          <w:sz w:val="32"/>
        </w:rPr>
        <w:t>.</w:t>
      </w:r>
    </w:p>
    <w:p w14:paraId="32ADA2B4"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t>فإنّه</w:t>
      </w:r>
      <w:r w:rsidRPr="00F27422">
        <w:rPr>
          <w:rFonts w:ascii="mylotus" w:hAnsi="mylotus" w:hint="cs"/>
          <w:sz w:val="32"/>
          <w:rtl/>
        </w:rPr>
        <w:t xml:space="preserve"> </w:t>
      </w:r>
      <w:r w:rsidRPr="00F27422">
        <w:rPr>
          <w:rFonts w:ascii="mylotus" w:hAnsi="mylotus"/>
          <w:sz w:val="32"/>
          <w:rtl/>
        </w:rPr>
        <w:t>إنْ قُلنا بالتعدي عن المرجحات المنصوصة كما هو مسلك الشيخ الأعظم (قدس سره الشريف) في الفرائد</w:t>
      </w:r>
      <w:r w:rsidRPr="00F27422">
        <w:rPr>
          <w:rFonts w:ascii="mylotus" w:hAnsi="mylotus"/>
          <w:sz w:val="32"/>
        </w:rPr>
        <w:t>.</w:t>
      </w:r>
    </w:p>
    <w:p w14:paraId="4A479EEB"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t xml:space="preserve">بدعوى: أنّ المستفاد مِن أدلّة </w:t>
      </w:r>
      <w:r w:rsidRPr="00F27422">
        <w:rPr>
          <w:rFonts w:ascii="mylotus" w:hAnsi="mylotus"/>
          <w:sz w:val="32"/>
          <w:highlight w:val="yellow"/>
          <w:rtl/>
        </w:rPr>
        <w:t>الترجيح أنّ الجامع بين المرجحات كون أحد الخبرين أقربَ إلى الواقع مِن غيره</w:t>
      </w:r>
      <w:r w:rsidRPr="00F27422">
        <w:rPr>
          <w:rFonts w:ascii="mylotus" w:hAnsi="mylotus"/>
          <w:sz w:val="32"/>
          <w:rtl/>
        </w:rPr>
        <w:t>، م</w:t>
      </w:r>
      <w:r w:rsidRPr="00F27422">
        <w:rPr>
          <w:rFonts w:ascii="mylotus" w:hAnsi="mylotus" w:hint="cs"/>
          <w:sz w:val="32"/>
          <w:rtl/>
        </w:rPr>
        <w:t>ِ</w:t>
      </w:r>
      <w:r w:rsidRPr="00F27422">
        <w:rPr>
          <w:rFonts w:ascii="mylotus" w:hAnsi="mylotus"/>
          <w:sz w:val="32"/>
          <w:rtl/>
        </w:rPr>
        <w:t>ن دون موضوعية للمرجح الجهتي أو</w:t>
      </w:r>
      <w:r w:rsidRPr="00F27422">
        <w:rPr>
          <w:rFonts w:ascii="mylotus" w:hAnsi="mylotus" w:hint="cs"/>
          <w:sz w:val="32"/>
          <w:rtl/>
        </w:rPr>
        <w:t xml:space="preserve"> </w:t>
      </w:r>
      <w:r w:rsidRPr="00F27422">
        <w:rPr>
          <w:rFonts w:ascii="mylotus" w:hAnsi="mylotus"/>
          <w:sz w:val="32"/>
          <w:rtl/>
        </w:rPr>
        <w:t xml:space="preserve">الصدوري أو المضموني؛ حيث تضمنتْ مقبولة عمر بن حنظلة عدّة عباراتٍ تشير لذلك كقوله (عليه السلام): </w:t>
      </w:r>
      <w:r w:rsidRPr="00F27422">
        <w:rPr>
          <w:rFonts w:ascii="mylotus" w:hAnsi="mylotus"/>
          <w:b/>
          <w:bCs/>
          <w:sz w:val="32"/>
          <w:rtl/>
        </w:rPr>
        <w:t>(فَإِنَّ الْمُجْمَعَ عَلَيْهِ لَا رَيْبَ فِيهِ)</w:t>
      </w:r>
      <w:r w:rsidRPr="00F27422">
        <w:rPr>
          <w:rFonts w:ascii="mylotus" w:hAnsi="mylotus"/>
          <w:sz w:val="32"/>
          <w:rtl/>
        </w:rPr>
        <w:t xml:space="preserve">، أو قوله (عليه السلام): </w:t>
      </w:r>
      <w:r w:rsidRPr="00F27422">
        <w:rPr>
          <w:rFonts w:ascii="mylotus" w:hAnsi="mylotus"/>
          <w:b/>
          <w:bCs/>
          <w:sz w:val="32"/>
          <w:rtl/>
        </w:rPr>
        <w:t>(حَلَالٌ بَيِّنٌ وَحَرَامٌ بَيِّنٌ وَشُبُهَاتٌ بَيْنَ ذَلِكَ فَمَنْ تَرَكَ الشُّبُهَاتِ نَجَا مِنَ الْمُحَرَّمَاتِ وَمَنْ أَخَذَ بِالشُّبُهَاتِ ارْتَكَبَ الْمُحَرَّمَاتِ وَهَلَكَ مِنْ حَيْثُ لَا يَعْلَمُ).</w:t>
      </w:r>
      <w:r w:rsidRPr="00F27422">
        <w:rPr>
          <w:rFonts w:ascii="mylotus" w:hAnsi="mylotus"/>
          <w:sz w:val="32"/>
          <w:rtl/>
        </w:rPr>
        <w:t xml:space="preserve"> [الكافي، للشيخ الكليني، دار الكتب الإسلامية، ج1، كتاب فضل العلم، باب اختلاف الحديث، ح10]. فإنّ ظاهر هذه الألسنة أنّ المناط في الترجيح على الأقربية للواقع، فلا يجدي في حسم المسألة أنّ في أحد الطرفين مرجحاً صدورياً وهو الشهرة أو</w:t>
      </w:r>
      <w:r w:rsidRPr="00F27422">
        <w:rPr>
          <w:rFonts w:ascii="mylotus" w:hAnsi="mylotus" w:hint="cs"/>
          <w:sz w:val="32"/>
          <w:rtl/>
        </w:rPr>
        <w:t xml:space="preserve"> </w:t>
      </w:r>
      <w:r w:rsidRPr="00F27422">
        <w:rPr>
          <w:rFonts w:ascii="mylotus" w:hAnsi="mylotus"/>
          <w:sz w:val="32"/>
          <w:rtl/>
        </w:rPr>
        <w:t xml:space="preserve">في الطرف الآخر مرجحاً </w:t>
      </w:r>
      <w:proofErr w:type="spellStart"/>
      <w:r w:rsidRPr="00F27422">
        <w:rPr>
          <w:rFonts w:ascii="mylotus" w:hAnsi="mylotus"/>
          <w:sz w:val="32"/>
          <w:rtl/>
        </w:rPr>
        <w:t>جهتياً</w:t>
      </w:r>
      <w:proofErr w:type="spellEnd"/>
      <w:r w:rsidRPr="00F27422">
        <w:rPr>
          <w:rFonts w:ascii="mylotus" w:hAnsi="mylotus"/>
          <w:sz w:val="32"/>
          <w:rtl/>
        </w:rPr>
        <w:t xml:space="preserve"> وهو مخالفةُ العامّة، بل المجدي هو اجتماع القرائن في أيٍّ مِن الطائفتين التي يُوجب اجتماعها </w:t>
      </w:r>
      <w:proofErr w:type="spellStart"/>
      <w:r w:rsidRPr="00F27422">
        <w:rPr>
          <w:rFonts w:ascii="mylotus" w:hAnsi="mylotus"/>
          <w:sz w:val="32"/>
          <w:rtl/>
        </w:rPr>
        <w:t>أقربية</w:t>
      </w:r>
      <w:proofErr w:type="spellEnd"/>
      <w:r w:rsidRPr="00F27422">
        <w:rPr>
          <w:rFonts w:ascii="mylotus" w:hAnsi="mylotus"/>
          <w:sz w:val="32"/>
          <w:rtl/>
        </w:rPr>
        <w:t xml:space="preserve"> أحدهما للواقع مِن الآخر بغض النظر عن كون المرجح </w:t>
      </w:r>
      <w:proofErr w:type="spellStart"/>
      <w:r w:rsidRPr="00F27422">
        <w:rPr>
          <w:rFonts w:ascii="mylotus" w:hAnsi="mylotus"/>
          <w:sz w:val="32"/>
          <w:rtl/>
        </w:rPr>
        <w:t>مضمونياً</w:t>
      </w:r>
      <w:proofErr w:type="spellEnd"/>
      <w:r w:rsidRPr="00F27422">
        <w:rPr>
          <w:rFonts w:ascii="mylotus" w:hAnsi="mylotus"/>
          <w:sz w:val="32"/>
          <w:rtl/>
        </w:rPr>
        <w:t xml:space="preserve"> أو صدورياً أو </w:t>
      </w:r>
      <w:proofErr w:type="spellStart"/>
      <w:r w:rsidRPr="00F27422">
        <w:rPr>
          <w:rFonts w:ascii="mylotus" w:hAnsi="mylotus"/>
          <w:sz w:val="32"/>
          <w:rtl/>
        </w:rPr>
        <w:t>جهتياً</w:t>
      </w:r>
      <w:proofErr w:type="spellEnd"/>
      <w:r w:rsidRPr="00F27422">
        <w:rPr>
          <w:rFonts w:ascii="mylotus" w:hAnsi="mylotus"/>
          <w:sz w:val="32"/>
        </w:rPr>
        <w:t>.</w:t>
      </w:r>
    </w:p>
    <w:p w14:paraId="38A87ACF"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t>وبالتالي لا معنى للبحث في المقام أنّ أيّ المرجحين مقدم، وأن</w:t>
      </w:r>
      <w:r w:rsidRPr="00F27422">
        <w:rPr>
          <w:rFonts w:ascii="mylotus" w:hAnsi="mylotus" w:hint="cs"/>
          <w:sz w:val="32"/>
          <w:rtl/>
        </w:rPr>
        <w:t>ّ</w:t>
      </w:r>
      <w:r w:rsidRPr="00F27422">
        <w:rPr>
          <w:rFonts w:ascii="mylotus" w:hAnsi="mylotus"/>
          <w:sz w:val="32"/>
          <w:rtl/>
        </w:rPr>
        <w:t>ه هو الجهتي أو الصدوري</w:t>
      </w:r>
      <w:r w:rsidRPr="00F27422">
        <w:rPr>
          <w:rFonts w:ascii="mylotus" w:hAnsi="mylotus"/>
          <w:sz w:val="32"/>
        </w:rPr>
        <w:t>.</w:t>
      </w:r>
    </w:p>
    <w:p w14:paraId="327C1E15"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الأمرُ الثاني:</w:t>
      </w:r>
      <w:r w:rsidRPr="00F27422">
        <w:rPr>
          <w:rFonts w:ascii="mylotus" w:hAnsi="mylotus"/>
          <w:sz w:val="32"/>
          <w:rtl/>
        </w:rPr>
        <w:t xml:space="preserve"> بعد المفروغية عن أنّ المناط </w:t>
      </w:r>
      <w:r w:rsidRPr="00F27422">
        <w:rPr>
          <w:rFonts w:ascii="mylotus" w:hAnsi="mylotus"/>
          <w:sz w:val="32"/>
          <w:highlight w:val="yellow"/>
          <w:rtl/>
        </w:rPr>
        <w:t>على المرجحات المنصوصة، لا على النكتة</w:t>
      </w:r>
      <w:r w:rsidRPr="00F27422">
        <w:rPr>
          <w:rFonts w:ascii="mylotus" w:hAnsi="mylotus"/>
          <w:sz w:val="32"/>
          <w:rtl/>
        </w:rPr>
        <w:t xml:space="preserve"> التي </w:t>
      </w:r>
      <w:proofErr w:type="spellStart"/>
      <w:r w:rsidRPr="00F27422">
        <w:rPr>
          <w:rFonts w:ascii="mylotus" w:hAnsi="mylotus"/>
          <w:sz w:val="32"/>
          <w:rtl/>
        </w:rPr>
        <w:t>استظهرها</w:t>
      </w:r>
      <w:proofErr w:type="spellEnd"/>
      <w:r w:rsidRPr="00F27422">
        <w:rPr>
          <w:rFonts w:ascii="mylotus" w:hAnsi="mylotus"/>
          <w:sz w:val="32"/>
          <w:rtl/>
        </w:rPr>
        <w:t xml:space="preserve"> الشيخ الأعظم (قدس سره الشريف) وهي الأقربية للواقع، يقع البحث في أنّه هل المستفاد </w:t>
      </w:r>
      <w:r w:rsidRPr="00F27422">
        <w:rPr>
          <w:rFonts w:ascii="mylotus" w:hAnsi="mylotus"/>
          <w:color w:val="EE0000"/>
          <w:sz w:val="32"/>
          <w:rtl/>
        </w:rPr>
        <w:t xml:space="preserve">من رواية الرواندي ومقبولة عمر بن حنظلة الترتيب بين المرجحات </w:t>
      </w:r>
      <w:r w:rsidRPr="00F27422">
        <w:rPr>
          <w:rFonts w:ascii="mylotus" w:hAnsi="mylotus"/>
          <w:sz w:val="32"/>
          <w:rtl/>
        </w:rPr>
        <w:t>أو أنّ مفادهما كون المرجحات في عرض واحدٍ؟</w:t>
      </w:r>
    </w:p>
    <w:p w14:paraId="5E9ADF06" w14:textId="77777777" w:rsidR="009C2251" w:rsidRPr="00F27422" w:rsidRDefault="009C2251" w:rsidP="00122B70">
      <w:pPr>
        <w:pStyle w:val="a"/>
        <w:bidi/>
        <w:spacing w:line="216" w:lineRule="auto"/>
        <w:jc w:val="left"/>
        <w:rPr>
          <w:rFonts w:ascii="mylotus" w:hAnsi="mylotus"/>
          <w:sz w:val="32"/>
          <w:rtl/>
        </w:rPr>
      </w:pPr>
      <w:r w:rsidRPr="00F27422">
        <w:rPr>
          <w:rFonts w:ascii="mylotus" w:hAnsi="mylotus"/>
          <w:sz w:val="32"/>
          <w:rtl/>
        </w:rPr>
        <w:lastRenderedPageBreak/>
        <w:t xml:space="preserve">فإنّ اِدعي - كما استفاده جمعٌ - أنّ مفاد المقبولة ورواية الراوندي أنّ المرجح الجهتي متأخرٌ رتبة عن المرجح الصدوري </w:t>
      </w:r>
      <w:proofErr w:type="spellStart"/>
      <w:r w:rsidRPr="00F27422">
        <w:rPr>
          <w:rFonts w:ascii="mylotus" w:hAnsi="mylotus"/>
          <w:sz w:val="32"/>
          <w:rtl/>
        </w:rPr>
        <w:t>والمضموني</w:t>
      </w:r>
      <w:proofErr w:type="spellEnd"/>
      <w:r w:rsidRPr="00F27422">
        <w:rPr>
          <w:rFonts w:ascii="mylotus" w:hAnsi="mylotus" w:hint="cs"/>
          <w:sz w:val="32"/>
          <w:rtl/>
        </w:rPr>
        <w:t>،</w:t>
      </w:r>
      <w:r w:rsidRPr="00F27422">
        <w:rPr>
          <w:rFonts w:ascii="mylotus" w:hAnsi="mylotus"/>
          <w:sz w:val="32"/>
          <w:rtl/>
        </w:rPr>
        <w:t xml:space="preserve"> حيث إن</w:t>
      </w:r>
      <w:r w:rsidRPr="00F27422">
        <w:rPr>
          <w:rFonts w:ascii="mylotus" w:hAnsi="mylotus" w:hint="cs"/>
          <w:sz w:val="32"/>
          <w:rtl/>
        </w:rPr>
        <w:t>ّ</w:t>
      </w:r>
      <w:r w:rsidRPr="00F27422">
        <w:rPr>
          <w:rFonts w:ascii="mylotus" w:hAnsi="mylotus"/>
          <w:sz w:val="32"/>
          <w:rtl/>
        </w:rPr>
        <w:t xml:space="preserve"> الإمام </w:t>
      </w:r>
      <w:r w:rsidRPr="00F27422">
        <w:rPr>
          <w:rFonts w:ascii="mylotus" w:hAnsi="mylotus" w:hint="cs"/>
          <w:sz w:val="32"/>
          <w:rtl/>
        </w:rPr>
        <w:t>(عليه السلام)</w:t>
      </w:r>
      <w:r w:rsidRPr="00F27422">
        <w:rPr>
          <w:rFonts w:ascii="mylotus" w:hAnsi="mylotus"/>
          <w:sz w:val="32"/>
          <w:rtl/>
        </w:rPr>
        <w:t xml:space="preserve"> قد ذكر الترجيح بمخالفة العامّة آخر المرجحات</w:t>
      </w:r>
      <w:r w:rsidRPr="00F27422">
        <w:rPr>
          <w:rFonts w:ascii="mylotus" w:hAnsi="mylotus" w:hint="cs"/>
          <w:sz w:val="32"/>
          <w:rtl/>
        </w:rPr>
        <w:t>،</w:t>
      </w:r>
      <w:r w:rsidRPr="00F27422">
        <w:rPr>
          <w:rFonts w:ascii="mylotus" w:hAnsi="mylotus"/>
          <w:sz w:val="32"/>
          <w:rtl/>
        </w:rPr>
        <w:t xml:space="preserve"> لم يعد للبحث معنى في المقام، حيث إن</w:t>
      </w:r>
      <w:r w:rsidRPr="00F27422">
        <w:rPr>
          <w:rFonts w:ascii="mylotus" w:hAnsi="mylotus" w:hint="cs"/>
          <w:sz w:val="32"/>
          <w:rtl/>
        </w:rPr>
        <w:t>ّ</w:t>
      </w:r>
      <w:r w:rsidRPr="00F27422">
        <w:rPr>
          <w:rFonts w:ascii="mylotus" w:hAnsi="mylotus"/>
          <w:sz w:val="32"/>
          <w:rtl/>
        </w:rPr>
        <w:t xml:space="preserve"> إحدى </w:t>
      </w:r>
      <w:r w:rsidRPr="00F27422">
        <w:rPr>
          <w:rFonts w:ascii="mylotus" w:hAnsi="mylotus"/>
          <w:sz w:val="32"/>
          <w:highlight w:val="yellow"/>
          <w:rtl/>
        </w:rPr>
        <w:t>الطائفتين واجدةٌ للمرجح الصدوري وهو الشهرة، فإنّ شهرة الرواية هي في طرف الروايات النافية للخيار لكثرته</w:t>
      </w:r>
      <w:r w:rsidRPr="00F27422">
        <w:rPr>
          <w:rFonts w:ascii="mylotus" w:hAnsi="mylotus"/>
          <w:sz w:val="32"/>
          <w:rtl/>
        </w:rPr>
        <w:t>ا، ومِن الواضح أنّ الشهرة الروائية في زمن الصدور مساوقةٌ للشهرة العملية خصوصا</w:t>
      </w:r>
      <w:r w:rsidRPr="00F27422">
        <w:rPr>
          <w:rFonts w:ascii="mylotus" w:hAnsi="mylotus" w:hint="cs"/>
          <w:sz w:val="32"/>
          <w:rtl/>
        </w:rPr>
        <w:t>ً</w:t>
      </w:r>
      <w:r w:rsidRPr="00F27422">
        <w:rPr>
          <w:rFonts w:ascii="mylotus" w:hAnsi="mylotus"/>
          <w:sz w:val="32"/>
          <w:rtl/>
        </w:rPr>
        <w:t xml:space="preserve"> مع كون رواتها من علية الرواة، فيتعين تقديم هذه الطائفة النافية للخيار على الطائفة المثبتة له.</w:t>
      </w:r>
    </w:p>
    <w:p w14:paraId="08358969" w14:textId="77777777" w:rsidR="00984082" w:rsidRPr="00F27422" w:rsidRDefault="009C2251" w:rsidP="00122B70">
      <w:pPr>
        <w:pStyle w:val="a"/>
        <w:bidi/>
        <w:spacing w:line="216" w:lineRule="auto"/>
        <w:jc w:val="left"/>
        <w:rPr>
          <w:rFonts w:ascii="mylotus" w:hAnsi="mylotus"/>
          <w:sz w:val="32"/>
          <w:rtl/>
        </w:rPr>
      </w:pPr>
      <w:r w:rsidRPr="00F27422">
        <w:rPr>
          <w:rFonts w:ascii="mylotus" w:hAnsi="mylotus"/>
          <w:sz w:val="32"/>
          <w:rtl/>
        </w:rPr>
        <w:t xml:space="preserve">وإنْ لم يتم هذا الاستظهار كما هو مسلك صاحب كفاية (قدس سره الشريف)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 xml:space="preserve">كتابه </w:t>
      </w:r>
      <w:r w:rsidRPr="00F27422">
        <w:rPr>
          <w:rFonts w:ascii="mylotus" w:hAnsi="mylotus"/>
          <w:sz w:val="32"/>
          <w:rtl/>
        </w:rPr>
        <w:t>[كفاية الأصول، الآخوند الشيخ محمد كاظم الخراساني، تحقيق مؤسسة آل البيت (عليهم السلام) لإحياء التراث، ج2، ص393]،</w:t>
      </w:r>
    </w:p>
    <w:p w14:paraId="766AC962" w14:textId="03CA6FF4" w:rsidR="009C2251" w:rsidRPr="00F27422" w:rsidRDefault="009C2251" w:rsidP="00122B70">
      <w:pPr>
        <w:pStyle w:val="a"/>
        <w:bidi/>
        <w:spacing w:line="216" w:lineRule="auto"/>
        <w:jc w:val="left"/>
        <w:rPr>
          <w:rFonts w:ascii="mylotus" w:hAnsi="mylotus"/>
          <w:sz w:val="32"/>
          <w:rtl/>
        </w:rPr>
      </w:pPr>
      <w:r w:rsidRPr="00F27422">
        <w:rPr>
          <w:rFonts w:ascii="mylotus" w:hAnsi="mylotus"/>
          <w:sz w:val="32"/>
          <w:rtl/>
        </w:rPr>
        <w:t xml:space="preserve"> فحينئذٍ ينفتح البحث وهو أن</w:t>
      </w:r>
      <w:r w:rsidRPr="00F27422">
        <w:rPr>
          <w:rFonts w:ascii="mylotus" w:hAnsi="mylotus" w:hint="cs"/>
          <w:sz w:val="32"/>
          <w:rtl/>
        </w:rPr>
        <w:t>ّ</w:t>
      </w:r>
      <w:r w:rsidRPr="00F27422">
        <w:rPr>
          <w:rFonts w:ascii="mylotus" w:hAnsi="mylotus"/>
          <w:sz w:val="32"/>
          <w:rtl/>
        </w:rPr>
        <w:t xml:space="preserve"> مقتضى الصناعة تقديم أي</w:t>
      </w:r>
      <w:r w:rsidRPr="00F27422">
        <w:rPr>
          <w:rFonts w:ascii="mylotus" w:hAnsi="mylotus" w:hint="cs"/>
          <w:sz w:val="32"/>
          <w:rtl/>
        </w:rPr>
        <w:t>ّ</w:t>
      </w:r>
      <w:r w:rsidRPr="00F27422">
        <w:rPr>
          <w:rFonts w:ascii="mylotus" w:hAnsi="mylotus"/>
          <w:sz w:val="32"/>
          <w:rtl/>
        </w:rPr>
        <w:t xml:space="preserve"> مِن المرجحين على الآخر؟</w:t>
      </w:r>
    </w:p>
    <w:p w14:paraId="79BCBD7E"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الأمرُ الثالث:</w:t>
      </w:r>
      <w:r w:rsidRPr="00F27422">
        <w:rPr>
          <w:rFonts w:ascii="mylotus" w:hAnsi="mylotus"/>
          <w:sz w:val="32"/>
          <w:rtl/>
        </w:rPr>
        <w:t xml:space="preserve"> في المقام عدّة آراء</w:t>
      </w:r>
      <w:r w:rsidRPr="00F27422">
        <w:rPr>
          <w:rFonts w:ascii="mylotus" w:hAnsi="mylotus"/>
          <w:sz w:val="32"/>
        </w:rPr>
        <w:t>:</w:t>
      </w:r>
    </w:p>
    <w:p w14:paraId="1CE1C990" w14:textId="77777777" w:rsidR="008572B1" w:rsidRPr="00F27422" w:rsidRDefault="009C2251" w:rsidP="00122B70">
      <w:pPr>
        <w:pStyle w:val="a"/>
        <w:bidi/>
        <w:spacing w:line="216" w:lineRule="auto"/>
        <w:jc w:val="left"/>
        <w:rPr>
          <w:rFonts w:ascii="mylotus" w:hAnsi="mylotus"/>
          <w:sz w:val="32"/>
          <w:rtl/>
        </w:rPr>
      </w:pPr>
      <w:r w:rsidRPr="00F27422">
        <w:rPr>
          <w:rFonts w:ascii="mylotus" w:hAnsi="mylotus"/>
          <w:b/>
          <w:bCs/>
          <w:sz w:val="32"/>
          <w:rtl/>
        </w:rPr>
        <w:t>الرأيُ الأوّل:</w:t>
      </w:r>
      <w:r w:rsidRPr="00F27422">
        <w:rPr>
          <w:rFonts w:ascii="mylotus" w:hAnsi="mylotus"/>
          <w:sz w:val="32"/>
          <w:rtl/>
        </w:rPr>
        <w:t xml:space="preserve"> ما في كلمات المحقّق النائيني (قدس سره الشريف) في كتابه [فوائد الأصول، الميرزا محمد حسين الغروي النائيني، مؤسسة النشر الإسلامي التابعة لجماعة المدرسين بقم المشرفة، ج4، ص783]</w:t>
      </w:r>
    </w:p>
    <w:p w14:paraId="58BE8594" w14:textId="340AC985"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t xml:space="preserve"> </w:t>
      </w:r>
      <w:r w:rsidRPr="00F27422">
        <w:rPr>
          <w:rFonts w:ascii="mylotus" w:hAnsi="mylotus"/>
          <w:sz w:val="32"/>
          <w:highlight w:val="green"/>
          <w:rtl/>
        </w:rPr>
        <w:t>مِن تقديم المرجح الصدوري على المرجح الجهتي</w:t>
      </w:r>
      <w:r w:rsidRPr="00F27422">
        <w:rPr>
          <w:rFonts w:ascii="mylotus" w:hAnsi="mylotus"/>
          <w:sz w:val="32"/>
        </w:rPr>
        <w:t>.</w:t>
      </w:r>
    </w:p>
    <w:p w14:paraId="201773E1"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بدعوى:</w:t>
      </w:r>
      <w:r w:rsidRPr="00F27422">
        <w:rPr>
          <w:rFonts w:ascii="mylotus" w:hAnsi="mylotus"/>
          <w:sz w:val="32"/>
          <w:rtl/>
        </w:rPr>
        <w:t xml:space="preserve"> أنّ موضوع المرجح الجهتي هو فرضُ الصدور وجداناً أو تعبداً؛ إذ لا معنى للبحث عن جهة الصدور إلّا بعد المفروغية عن أصل الصدور، فالمرجحُ الجهتي بالطبع متأخرٌ رتبةً عن المرجح الصدوري</w:t>
      </w:r>
      <w:r w:rsidRPr="00F27422">
        <w:rPr>
          <w:rFonts w:ascii="mylotus" w:hAnsi="mylotus" w:hint="cs"/>
          <w:sz w:val="32"/>
          <w:rtl/>
        </w:rPr>
        <w:t>،</w:t>
      </w:r>
      <w:r w:rsidRPr="00F27422">
        <w:rPr>
          <w:rFonts w:ascii="mylotus" w:hAnsi="mylotus"/>
          <w:sz w:val="32"/>
          <w:rtl/>
        </w:rPr>
        <w:t xml:space="preserve"> وحينئذٍ فدليل حجية خبر الثقة وإنْ كان متساوياً النسبة مع كليهما - الموافق للعامّة والمخالف  </w:t>
      </w:r>
      <w:r w:rsidRPr="00F27422">
        <w:rPr>
          <w:rFonts w:ascii="mylotus" w:hAnsi="mylotus"/>
          <w:color w:val="EE0000"/>
          <w:sz w:val="32"/>
          <w:rtl/>
        </w:rPr>
        <w:t>-، ولكنه بضميمة المرجح الصدوري وهو قيامُ الشهرة على الطائفة الأُولى لا ي</w:t>
      </w:r>
      <w:r w:rsidRPr="00F27422">
        <w:rPr>
          <w:rFonts w:ascii="mylotus" w:hAnsi="mylotus" w:hint="cs"/>
          <w:color w:val="EE0000"/>
          <w:sz w:val="32"/>
          <w:rtl/>
        </w:rPr>
        <w:t>ح</w:t>
      </w:r>
      <w:r w:rsidRPr="00F27422">
        <w:rPr>
          <w:rFonts w:ascii="mylotus" w:hAnsi="mylotus"/>
          <w:color w:val="EE0000"/>
          <w:sz w:val="32"/>
          <w:rtl/>
        </w:rPr>
        <w:t>رز شموله للخبر المخالف للعامّة</w:t>
      </w:r>
      <w:r w:rsidRPr="00F27422">
        <w:rPr>
          <w:rFonts w:ascii="mylotus" w:hAnsi="mylotus"/>
          <w:sz w:val="32"/>
          <w:rtl/>
        </w:rPr>
        <w:t>؛ لعدم إحراز موضوعه مع معارضته لما هو راجح صدورا</w:t>
      </w:r>
      <w:r w:rsidRPr="00F27422">
        <w:rPr>
          <w:rFonts w:ascii="mylotus" w:hAnsi="mylotus" w:hint="cs"/>
          <w:sz w:val="32"/>
          <w:rtl/>
        </w:rPr>
        <w:t>ً</w:t>
      </w:r>
      <w:r w:rsidRPr="00F27422">
        <w:rPr>
          <w:rFonts w:ascii="mylotus" w:hAnsi="mylotus"/>
          <w:sz w:val="32"/>
          <w:rtl/>
        </w:rPr>
        <w:t xml:space="preserve"> عليه ، بل بناءً على أنّ موضوع الترجيح بجهة الصدور هو إحراز الصدور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نفس</w:t>
      </w:r>
      <w:r w:rsidRPr="00F27422">
        <w:rPr>
          <w:rFonts w:ascii="mylotus" w:hAnsi="mylotus"/>
          <w:sz w:val="32"/>
          <w:rtl/>
        </w:rPr>
        <w:t xml:space="preserve"> </w:t>
      </w:r>
      <w:r w:rsidRPr="00F27422">
        <w:rPr>
          <w:rFonts w:ascii="mylotus" w:hAnsi="mylotus" w:hint="cs"/>
          <w:sz w:val="32"/>
          <w:rtl/>
        </w:rPr>
        <w:t>الصدور</w:t>
      </w:r>
      <w:r w:rsidRPr="00F27422">
        <w:rPr>
          <w:rFonts w:ascii="mylotus" w:hAnsi="mylotus"/>
          <w:sz w:val="32"/>
          <w:rtl/>
        </w:rPr>
        <w:t xml:space="preserve"> - فإن</w:t>
      </w:r>
      <w:r w:rsidRPr="00F27422">
        <w:rPr>
          <w:rFonts w:ascii="mylotus" w:hAnsi="mylotus" w:hint="cs"/>
          <w:sz w:val="32"/>
          <w:rtl/>
        </w:rPr>
        <w:t>ّ</w:t>
      </w:r>
      <w:r w:rsidRPr="00F27422">
        <w:rPr>
          <w:rFonts w:ascii="mylotus" w:hAnsi="mylotus"/>
          <w:sz w:val="32"/>
          <w:rtl/>
        </w:rPr>
        <w:t xml:space="preserve"> معارضته بما كان واجداً للمرجح الصدوري يمنعُ مِن إحراز صدوره، ومع عدم إحراز صدوره ينتفي موضوع الترجيح بالمرجح الجهتي؛ لأنّ المرجح الجهتي موضوعه إحراز الصدور، ولا إحراز للصدور</w:t>
      </w:r>
      <w:r w:rsidRPr="00F27422">
        <w:rPr>
          <w:rFonts w:ascii="mylotus" w:hAnsi="mylotus"/>
          <w:sz w:val="32"/>
        </w:rPr>
        <w:t>.</w:t>
      </w:r>
    </w:p>
    <w:p w14:paraId="3EC554E8" w14:textId="77777777" w:rsidR="009C2251" w:rsidRPr="00F27422" w:rsidRDefault="009C2251" w:rsidP="00122B70">
      <w:pPr>
        <w:pStyle w:val="a"/>
        <w:bidi/>
        <w:spacing w:line="216" w:lineRule="auto"/>
        <w:jc w:val="left"/>
        <w:rPr>
          <w:rFonts w:ascii="mylotus" w:hAnsi="mylotus"/>
          <w:sz w:val="32"/>
          <w:rtl/>
        </w:rPr>
      </w:pPr>
      <w:r w:rsidRPr="00F27422">
        <w:rPr>
          <w:rFonts w:ascii="mylotus" w:hAnsi="mylotus"/>
          <w:b/>
          <w:bCs/>
          <w:sz w:val="32"/>
          <w:rtl/>
        </w:rPr>
        <w:t>ويلاحظ عليه:</w:t>
      </w:r>
      <w:r w:rsidRPr="00F27422">
        <w:rPr>
          <w:rFonts w:ascii="mylotus" w:hAnsi="mylotus"/>
          <w:sz w:val="32"/>
          <w:rtl/>
        </w:rPr>
        <w:t xml:space="preserve"> أنّ المستفاد مِن أدلّة الترجيح أنّ موضوعها ما كان واجداً لمقتضي الحجية </w:t>
      </w:r>
      <w:r w:rsidRPr="00F27422">
        <w:rPr>
          <w:rFonts w:ascii="mylotus" w:hAnsi="mylotus"/>
          <w:sz w:val="32"/>
          <w:highlight w:val="green"/>
          <w:rtl/>
        </w:rPr>
        <w:t>مِن حيث كونه خبر ثقة، حيث إن</w:t>
      </w:r>
      <w:r w:rsidRPr="00F27422">
        <w:rPr>
          <w:rFonts w:ascii="mylotus" w:hAnsi="mylotus" w:hint="cs"/>
          <w:sz w:val="32"/>
          <w:highlight w:val="green"/>
          <w:rtl/>
        </w:rPr>
        <w:t>ّ</w:t>
      </w:r>
      <w:r w:rsidRPr="00F27422">
        <w:rPr>
          <w:rFonts w:ascii="mylotus" w:hAnsi="mylotus"/>
          <w:sz w:val="32"/>
          <w:highlight w:val="green"/>
          <w:rtl/>
        </w:rPr>
        <w:t xml:space="preserve"> كونه خبر ثقة حجةٌ في نفسه لولا المعارض</w:t>
      </w:r>
      <w:r w:rsidRPr="00F27422">
        <w:rPr>
          <w:rFonts w:ascii="mylotus" w:hAnsi="mylotus"/>
          <w:sz w:val="32"/>
          <w:rtl/>
        </w:rPr>
        <w:t>، فهذه الحجية اللولائية هي موضوع أدلّة أخبار الترجيح وليس شيئاً آخر</w:t>
      </w:r>
      <w:r w:rsidRPr="00F27422">
        <w:rPr>
          <w:rFonts w:ascii="mylotus" w:hAnsi="mylotus"/>
          <w:sz w:val="32"/>
        </w:rPr>
        <w:t>.</w:t>
      </w:r>
    </w:p>
    <w:p w14:paraId="33571DC7"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t>وبما أن</w:t>
      </w:r>
      <w:r w:rsidRPr="00F27422">
        <w:rPr>
          <w:rFonts w:ascii="mylotus" w:hAnsi="mylotus" w:hint="cs"/>
          <w:sz w:val="32"/>
          <w:rtl/>
        </w:rPr>
        <w:t>ّ</w:t>
      </w:r>
      <w:r w:rsidRPr="00F27422">
        <w:rPr>
          <w:rFonts w:ascii="mylotus" w:hAnsi="mylotus"/>
          <w:sz w:val="32"/>
          <w:rtl/>
        </w:rPr>
        <w:t xml:space="preserve"> نسبة الخبرين لاقتضاء الحجية سواء، فإنّ مقتضى الأمر بالأخذ بما خالف العامّة كما ورد في الوسائل: </w:t>
      </w:r>
      <w:r w:rsidRPr="00F27422">
        <w:rPr>
          <w:rFonts w:ascii="mylotus" w:hAnsi="mylotus"/>
          <w:b/>
          <w:bCs/>
          <w:sz w:val="32"/>
          <w:rtl/>
        </w:rPr>
        <w:t xml:space="preserve">(وعن سماعة بن مهران، 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قلتُ: يرد علينا حديثان: واحد يأمرنا بالأخذ به، والآخر ينهانا عنه، قال: لا تعمل بواحد منهما حتّى تلقى صاحبك فتسأله، قلت: لا بدّ أن نعمل (بواحد منهما)، قال: خذ بما فيه خلاف العامّة).</w:t>
      </w:r>
      <w:r w:rsidRPr="00F27422">
        <w:rPr>
          <w:rFonts w:ascii="mylotus" w:hAnsi="mylotus"/>
          <w:sz w:val="32"/>
          <w:rtl/>
        </w:rPr>
        <w:t xml:space="preserve"> [وسائل الشيعة، الحر العاملي، تحقيق مؤسسة آل البيت (عليهم السلام) لإحياء التراث، ج27، كتاب القضاء، الباب 9 باب وجوه الجمع بين الأحاديث المختلفة، وكيفية العمل بها، ح42]</w:t>
      </w:r>
      <w:r w:rsidRPr="00F27422">
        <w:rPr>
          <w:rFonts w:ascii="mylotus" w:hAnsi="mylotus"/>
          <w:sz w:val="32"/>
        </w:rPr>
        <w:t>.</w:t>
      </w:r>
    </w:p>
    <w:p w14:paraId="301E1870" w14:textId="77777777" w:rsidR="009C2251" w:rsidRPr="00F27422" w:rsidRDefault="009C2251" w:rsidP="00122B70">
      <w:pPr>
        <w:pStyle w:val="a"/>
        <w:bidi/>
        <w:spacing w:line="216" w:lineRule="auto"/>
        <w:jc w:val="left"/>
        <w:rPr>
          <w:rFonts w:ascii="mylotus" w:hAnsi="mylotus"/>
          <w:sz w:val="32"/>
          <w:rtl/>
        </w:rPr>
      </w:pPr>
      <w:r w:rsidRPr="00F27422">
        <w:rPr>
          <w:rFonts w:ascii="mylotus" w:hAnsi="mylotus"/>
          <w:sz w:val="32"/>
          <w:rtl/>
        </w:rPr>
        <w:t xml:space="preserve">أو قوله (عليه السلام) كما في معتبرة عمر بن حنظلة: </w:t>
      </w:r>
      <w:r w:rsidRPr="00F27422">
        <w:rPr>
          <w:rFonts w:ascii="mylotus" w:hAnsi="mylotus"/>
          <w:b/>
          <w:bCs/>
          <w:sz w:val="32"/>
          <w:rtl/>
        </w:rPr>
        <w:t>(قُلْتُ جُعِلْتُ فِدَاكَ أَ رَأَيْتَ إِنْ كَانَ الْفَقِيهَانِ عَرَفَا حُكْمَهُ مِنَ الْكِتَابِ وَالسُّنَّةِ وَوَجَدْنَا أَحَدَ الْخَبَرَيْنِ مُوَافِقاً لِلْعَامَّةِ وَالْآخَرَ مُخَالِفاً لَهُمْ بِأَيِّ الْخَبَرَيْنِ يُؤْخَذُ؟ قَالَ: مَا خَالَفَ الْعَامَّةَ فَفِيهِ الرَّشَادُ).</w:t>
      </w:r>
      <w:r w:rsidRPr="00F27422">
        <w:rPr>
          <w:rFonts w:ascii="mylotus" w:hAnsi="mylotus"/>
          <w:sz w:val="32"/>
          <w:rtl/>
        </w:rPr>
        <w:t xml:space="preserve"> [الكافي، للشيخ الكليني، دار الكتب الإسلامية، ج1، كتاب فضل العلم، باب اختلاف الحديث، ح10].</w:t>
      </w:r>
      <w:r w:rsidRPr="00F27422">
        <w:rPr>
          <w:rFonts w:ascii="mylotus" w:hAnsi="mylotus" w:hint="cs"/>
          <w:sz w:val="32"/>
          <w:rtl/>
        </w:rPr>
        <w:t xml:space="preserve"> </w:t>
      </w:r>
      <w:r w:rsidRPr="00F27422">
        <w:rPr>
          <w:rFonts w:ascii="mylotus" w:hAnsi="mylotus"/>
          <w:sz w:val="32"/>
          <w:rtl/>
        </w:rPr>
        <w:t>التعبدُ بالصدور والجهة إذ لا معنى للتفكيك بينهم</w:t>
      </w:r>
      <w:r w:rsidRPr="00F27422">
        <w:rPr>
          <w:rFonts w:ascii="mylotus" w:hAnsi="mylotus" w:hint="cs"/>
          <w:sz w:val="32"/>
          <w:rtl/>
        </w:rPr>
        <w:t>ا.</w:t>
      </w:r>
    </w:p>
    <w:p w14:paraId="0D9C3C8F"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lastRenderedPageBreak/>
        <w:t>ولذا ذهب صاحب الكفاية (قدس سره الشريف) إلى رجوع جميع المرجحات للمرجح الصدوري؛ لأنّ جميع المرجحات تتضمن التعبد بالصدور</w:t>
      </w:r>
      <w:r w:rsidRPr="00F27422">
        <w:rPr>
          <w:rFonts w:ascii="mylotus" w:hAnsi="mylotus"/>
          <w:sz w:val="32"/>
        </w:rPr>
        <w:t>.</w:t>
      </w:r>
    </w:p>
    <w:p w14:paraId="3DCBF272"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 xml:space="preserve">الرأيُ </w:t>
      </w:r>
      <w:r w:rsidRPr="00F27422">
        <w:rPr>
          <w:rFonts w:ascii="mylotus" w:hAnsi="mylotus"/>
          <w:b/>
          <w:bCs/>
          <w:sz w:val="32"/>
          <w:highlight w:val="green"/>
          <w:rtl/>
        </w:rPr>
        <w:t>الثاني:</w:t>
      </w:r>
      <w:r w:rsidRPr="00F27422">
        <w:rPr>
          <w:rFonts w:ascii="mylotus" w:hAnsi="mylotus"/>
          <w:sz w:val="32"/>
          <w:highlight w:val="green"/>
          <w:rtl/>
        </w:rPr>
        <w:t xml:space="preserve"> تقديم المرجح الجهتي على المرجح الصدوري </w:t>
      </w:r>
      <w:r w:rsidRPr="00F27422">
        <w:rPr>
          <w:rFonts w:ascii="Times New Roman" w:hAnsi="Times New Roman" w:cs="Times New Roman" w:hint="cs"/>
          <w:sz w:val="32"/>
          <w:highlight w:val="green"/>
          <w:rtl/>
        </w:rPr>
        <w:t>–</w:t>
      </w:r>
      <w:r w:rsidRPr="00F27422">
        <w:rPr>
          <w:rFonts w:ascii="mylotus" w:hAnsi="mylotus"/>
          <w:sz w:val="32"/>
          <w:rtl/>
        </w:rPr>
        <w:t xml:space="preserve"> </w:t>
      </w:r>
      <w:r w:rsidRPr="00F27422">
        <w:rPr>
          <w:rFonts w:ascii="mylotus" w:hAnsi="mylotus" w:hint="cs"/>
          <w:sz w:val="32"/>
          <w:rtl/>
        </w:rPr>
        <w:t>عكس</w:t>
      </w:r>
      <w:r w:rsidRPr="00F27422">
        <w:rPr>
          <w:rFonts w:ascii="mylotus" w:hAnsi="mylotus"/>
          <w:sz w:val="32"/>
          <w:rtl/>
        </w:rPr>
        <w:t xml:space="preserve"> </w:t>
      </w:r>
      <w:r w:rsidRPr="00F27422">
        <w:rPr>
          <w:rFonts w:ascii="mylotus" w:hAnsi="mylotus" w:hint="cs"/>
          <w:sz w:val="32"/>
          <w:rtl/>
        </w:rPr>
        <w:t>ما</w:t>
      </w:r>
      <w:r w:rsidRPr="00F27422">
        <w:rPr>
          <w:rFonts w:ascii="mylotus" w:hAnsi="mylotus"/>
          <w:sz w:val="32"/>
          <w:rtl/>
        </w:rPr>
        <w:t xml:space="preserve"> </w:t>
      </w:r>
      <w:r w:rsidRPr="00F27422">
        <w:rPr>
          <w:rFonts w:ascii="mylotus" w:hAnsi="mylotus" w:hint="cs"/>
          <w:sz w:val="32"/>
          <w:rtl/>
        </w:rPr>
        <w:t>بناه</w:t>
      </w:r>
      <w:r w:rsidRPr="00F27422">
        <w:rPr>
          <w:rFonts w:ascii="mylotus" w:hAnsi="mylotus"/>
          <w:sz w:val="32"/>
          <w:rtl/>
        </w:rPr>
        <w:t xml:space="preserve"> </w:t>
      </w:r>
      <w:r w:rsidRPr="00F27422">
        <w:rPr>
          <w:rFonts w:ascii="mylotus" w:hAnsi="mylotus" w:hint="cs"/>
          <w:sz w:val="32"/>
          <w:rtl/>
        </w:rPr>
        <w:t>المحقّق</w:t>
      </w:r>
      <w:r w:rsidRPr="00F27422">
        <w:rPr>
          <w:rFonts w:ascii="mylotus" w:hAnsi="mylotus"/>
          <w:sz w:val="32"/>
          <w:rtl/>
        </w:rPr>
        <w:t xml:space="preserve"> </w:t>
      </w:r>
      <w:r w:rsidRPr="00F27422">
        <w:rPr>
          <w:rFonts w:ascii="mylotus" w:hAnsi="mylotus" w:hint="cs"/>
          <w:sz w:val="32"/>
          <w:rtl/>
        </w:rPr>
        <w:t>النائيني</w:t>
      </w:r>
      <w:r w:rsidRPr="00F27422">
        <w:rPr>
          <w:rFonts w:ascii="mylotus" w:hAnsi="mylotus"/>
          <w:sz w:val="32"/>
          <w:rtl/>
        </w:rPr>
        <w:t xml:space="preserve"> </w:t>
      </w:r>
      <w:r w:rsidRPr="00F27422">
        <w:rPr>
          <w:rFonts w:ascii="mylotus" w:hAnsi="mylotus" w:hint="cs"/>
          <w:sz w:val="32"/>
          <w:rtl/>
        </w:rPr>
        <w:t>(قدس سره الشريف) من</w:t>
      </w:r>
      <w:r w:rsidRPr="00F27422">
        <w:rPr>
          <w:rFonts w:ascii="mylotus" w:hAnsi="mylotus"/>
          <w:sz w:val="32"/>
          <w:rtl/>
        </w:rPr>
        <w:t xml:space="preserve"> </w:t>
      </w:r>
      <w:r w:rsidRPr="00F27422">
        <w:rPr>
          <w:rFonts w:ascii="mylotus" w:hAnsi="mylotus" w:hint="cs"/>
          <w:sz w:val="32"/>
          <w:rtl/>
        </w:rPr>
        <w:t>تقدم</w:t>
      </w:r>
      <w:r w:rsidRPr="00F27422">
        <w:rPr>
          <w:rFonts w:ascii="mylotus" w:hAnsi="mylotus"/>
          <w:sz w:val="32"/>
          <w:rtl/>
        </w:rPr>
        <w:t xml:space="preserve"> </w:t>
      </w:r>
      <w:r w:rsidRPr="00F27422">
        <w:rPr>
          <w:rFonts w:ascii="mylotus" w:hAnsi="mylotus" w:hint="cs"/>
          <w:sz w:val="32"/>
          <w:rtl/>
        </w:rPr>
        <w:t>المرجح</w:t>
      </w:r>
      <w:r w:rsidRPr="00F27422">
        <w:rPr>
          <w:rFonts w:ascii="mylotus" w:hAnsi="mylotus"/>
          <w:sz w:val="32"/>
          <w:rtl/>
        </w:rPr>
        <w:t xml:space="preserve"> </w:t>
      </w:r>
      <w:r w:rsidRPr="00F27422">
        <w:rPr>
          <w:rFonts w:ascii="mylotus" w:hAnsi="mylotus" w:hint="cs"/>
          <w:sz w:val="32"/>
          <w:rtl/>
        </w:rPr>
        <w:t>الصدوري</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المرجح</w:t>
      </w:r>
      <w:r w:rsidRPr="00F27422">
        <w:rPr>
          <w:rFonts w:ascii="mylotus" w:hAnsi="mylotus"/>
          <w:sz w:val="32"/>
          <w:rtl/>
        </w:rPr>
        <w:t xml:space="preserve"> </w:t>
      </w:r>
      <w:r w:rsidRPr="00F27422">
        <w:rPr>
          <w:rFonts w:ascii="mylotus" w:hAnsi="mylotus" w:hint="cs"/>
          <w:sz w:val="32"/>
          <w:rtl/>
        </w:rPr>
        <w:t>الجهتي</w:t>
      </w:r>
      <w:r w:rsidRPr="00F27422">
        <w:rPr>
          <w:rFonts w:ascii="mylotus" w:hAnsi="mylotus"/>
          <w:sz w:val="32"/>
          <w:rtl/>
        </w:rPr>
        <w:t xml:space="preserve"> -.</w:t>
      </w:r>
    </w:p>
    <w:p w14:paraId="5420D79B"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t xml:space="preserve">وقد حكي ذلك في رسالة التعارض للسيد اليزدي </w:t>
      </w:r>
      <w:r w:rsidRPr="00F27422">
        <w:rPr>
          <w:rFonts w:ascii="mylotus" w:hAnsi="mylotus" w:hint="cs"/>
          <w:sz w:val="32"/>
          <w:rtl/>
        </w:rPr>
        <w:t>(قدس سره الشريف)</w:t>
      </w:r>
      <w:r w:rsidRPr="00F27422">
        <w:rPr>
          <w:rFonts w:ascii="mylotus" w:hAnsi="mylotus"/>
          <w:sz w:val="32"/>
          <w:rtl/>
        </w:rPr>
        <w:t xml:space="preserve"> [ص605] عن المحقّق الرشتي (قدس سره الشريف)</w:t>
      </w:r>
      <w:r w:rsidRPr="00F27422">
        <w:rPr>
          <w:rFonts w:ascii="mylotus" w:hAnsi="mylotus"/>
          <w:sz w:val="32"/>
        </w:rPr>
        <w:t>.</w:t>
      </w:r>
    </w:p>
    <w:p w14:paraId="0AFC2722"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وبيانُه:</w:t>
      </w:r>
      <w:r w:rsidRPr="00F27422">
        <w:rPr>
          <w:rFonts w:ascii="mylotus" w:hAnsi="mylotus"/>
          <w:sz w:val="32"/>
          <w:rtl/>
        </w:rPr>
        <w:t xml:space="preserve"> أنّ دليل حجية السند، كما إذا قال: "خذ بخبر الثقة" إمّا التعبد بالصدور أو التعبد بالحجية بمعنى: التنجيز والتعذير</w:t>
      </w:r>
      <w:r w:rsidRPr="00F27422">
        <w:rPr>
          <w:rFonts w:ascii="mylotus" w:hAnsi="mylotus"/>
          <w:sz w:val="32"/>
        </w:rPr>
        <w:t>.</w:t>
      </w:r>
    </w:p>
    <w:p w14:paraId="06760451"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وعلى كليهما يُقال:</w:t>
      </w:r>
      <w:r w:rsidRPr="00F27422">
        <w:rPr>
          <w:rFonts w:ascii="mylotus" w:hAnsi="mylotus"/>
          <w:sz w:val="32"/>
          <w:rtl/>
        </w:rPr>
        <w:t xml:space="preserve"> لا معنى للتعبد بسندِ خبرٍ أو بكونه منجزا</w:t>
      </w:r>
      <w:r w:rsidRPr="00F27422">
        <w:rPr>
          <w:rFonts w:ascii="mylotus" w:hAnsi="mylotus" w:hint="cs"/>
          <w:sz w:val="32"/>
          <w:rtl/>
        </w:rPr>
        <w:t>ً</w:t>
      </w:r>
      <w:r w:rsidRPr="00F27422">
        <w:rPr>
          <w:rFonts w:ascii="mylotus" w:hAnsi="mylotus"/>
          <w:sz w:val="32"/>
          <w:rtl/>
        </w:rPr>
        <w:t xml:space="preserve"> أو معذرا</w:t>
      </w:r>
      <w:r w:rsidRPr="00F27422">
        <w:rPr>
          <w:rFonts w:ascii="mylotus" w:hAnsi="mylotus" w:hint="cs"/>
          <w:sz w:val="32"/>
          <w:rtl/>
        </w:rPr>
        <w:t>ً</w:t>
      </w:r>
      <w:r w:rsidRPr="00F27422">
        <w:rPr>
          <w:rFonts w:ascii="mylotus" w:hAnsi="mylotus"/>
          <w:sz w:val="32"/>
          <w:rtl/>
        </w:rPr>
        <w:t xml:space="preserve"> مع تعين حمله على التقية، بل هو من اللغو الواضح، فهو خارجٌ موضوعاً عن شمول دليل الحجية له</w:t>
      </w:r>
      <w:r w:rsidRPr="00F27422">
        <w:rPr>
          <w:rFonts w:ascii="mylotus" w:hAnsi="mylotus"/>
          <w:sz w:val="32"/>
        </w:rPr>
        <w:t>.</w:t>
      </w:r>
    </w:p>
    <w:p w14:paraId="78905D68"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t xml:space="preserve">وهذا يعني أنّ مرجع المرجح الجهتي إلى تمييز الحجة عن الـ لا حجة، أي: أنّ الخبر الموافق للعامّة خارجٌ عن موضوع الحجية </w:t>
      </w:r>
      <w:proofErr w:type="gramStart"/>
      <w:r w:rsidRPr="00F27422">
        <w:rPr>
          <w:rFonts w:ascii="mylotus" w:hAnsi="mylotus"/>
          <w:sz w:val="32"/>
          <w:rtl/>
        </w:rPr>
        <w:t>الفعلية</w:t>
      </w:r>
      <w:proofErr w:type="gramEnd"/>
      <w:r w:rsidRPr="00F27422">
        <w:rPr>
          <w:rFonts w:ascii="mylotus" w:hAnsi="mylotus"/>
          <w:sz w:val="32"/>
          <w:rtl/>
        </w:rPr>
        <w:t xml:space="preserve"> حتى لو كان هو المشهور</w:t>
      </w:r>
      <w:r w:rsidRPr="00F27422">
        <w:rPr>
          <w:rFonts w:ascii="mylotus" w:hAnsi="mylotus"/>
          <w:sz w:val="32"/>
        </w:rPr>
        <w:t>.</w:t>
      </w:r>
    </w:p>
    <w:p w14:paraId="555C51A5" w14:textId="77777777" w:rsidR="009C2251" w:rsidRPr="00F27422" w:rsidRDefault="009C2251" w:rsidP="00122B70">
      <w:pPr>
        <w:pStyle w:val="a"/>
        <w:bidi/>
        <w:spacing w:line="216" w:lineRule="auto"/>
        <w:jc w:val="left"/>
        <w:rPr>
          <w:rFonts w:ascii="mylotus" w:hAnsi="mylotus"/>
          <w:sz w:val="32"/>
          <w:rtl/>
        </w:rPr>
      </w:pPr>
      <w:r w:rsidRPr="00F27422">
        <w:rPr>
          <w:rFonts w:ascii="mylotus" w:hAnsi="mylotus"/>
          <w:b/>
          <w:bCs/>
          <w:sz w:val="32"/>
          <w:rtl/>
        </w:rPr>
        <w:t xml:space="preserve">الرأيُ الثالث: </w:t>
      </w:r>
      <w:r w:rsidRPr="00F27422">
        <w:rPr>
          <w:rFonts w:ascii="mylotus" w:hAnsi="mylotus"/>
          <w:sz w:val="32"/>
          <w:rtl/>
        </w:rPr>
        <w:t xml:space="preserve">ما ذهب إليه السيد الأُستاذ (مد ظله الشريف) في كتاب </w:t>
      </w:r>
      <w:r w:rsidRPr="00F27422">
        <w:rPr>
          <w:rFonts w:ascii="mylotus" w:hAnsi="mylotus"/>
          <w:sz w:val="32"/>
          <w:highlight w:val="cyan"/>
          <w:rtl/>
        </w:rPr>
        <w:t>[المنهج في علم الأصول، تعارض الأدلة واختلاف الحديث، تقريراً لأبحاث آية الله العظمى السيد علي الحسيني السيستاني (دام ظله)</w:t>
      </w:r>
      <w:r w:rsidRPr="00F27422">
        <w:rPr>
          <w:rFonts w:ascii="mylotus" w:hAnsi="mylotus" w:hint="cs"/>
          <w:sz w:val="32"/>
          <w:highlight w:val="cyan"/>
          <w:rtl/>
        </w:rPr>
        <w:t>،</w:t>
      </w:r>
      <w:r w:rsidRPr="00F27422">
        <w:rPr>
          <w:rFonts w:ascii="mylotus" w:hAnsi="mylotus"/>
          <w:sz w:val="32"/>
          <w:highlight w:val="cyan"/>
          <w:rtl/>
        </w:rPr>
        <w:t xml:space="preserve"> بقلم آية الله الشيخ مهدي </w:t>
      </w:r>
      <w:proofErr w:type="spellStart"/>
      <w:r w:rsidRPr="00F27422">
        <w:rPr>
          <w:rFonts w:ascii="mylotus" w:hAnsi="mylotus"/>
          <w:sz w:val="32"/>
          <w:highlight w:val="cyan"/>
          <w:rtl/>
        </w:rPr>
        <w:t>مِروَاريد</w:t>
      </w:r>
      <w:proofErr w:type="spellEnd"/>
      <w:r w:rsidRPr="00F27422">
        <w:rPr>
          <w:rFonts w:ascii="mylotus" w:hAnsi="mylotus"/>
          <w:sz w:val="32"/>
          <w:highlight w:val="cyan"/>
          <w:rtl/>
        </w:rPr>
        <w:t xml:space="preserve">، إعداد وتحقيق السيد مسعود </w:t>
      </w:r>
      <w:proofErr w:type="spellStart"/>
      <w:r w:rsidRPr="00F27422">
        <w:rPr>
          <w:rFonts w:ascii="mylotus" w:hAnsi="mylotus"/>
          <w:sz w:val="32"/>
          <w:highlight w:val="cyan"/>
          <w:rtl/>
        </w:rPr>
        <w:t>المرتضوي</w:t>
      </w:r>
      <w:proofErr w:type="spellEnd"/>
      <w:r w:rsidRPr="00F27422">
        <w:rPr>
          <w:rFonts w:ascii="mylotus" w:hAnsi="mylotus"/>
          <w:sz w:val="32"/>
          <w:highlight w:val="cyan"/>
          <w:rtl/>
        </w:rPr>
        <w:t>، دار الكتاب الحكيم للنشر والتوزيع، الطبعة الأولى، ج2، ص172 - 181</w:t>
      </w:r>
      <w:r w:rsidRPr="00F27422">
        <w:rPr>
          <w:rFonts w:ascii="mylotus" w:hAnsi="mylotus"/>
          <w:sz w:val="32"/>
          <w:rtl/>
        </w:rPr>
        <w:t>] وكذلك في [</w:t>
      </w:r>
      <w:r w:rsidRPr="00F27422">
        <w:rPr>
          <w:rFonts w:ascii="mylotus" w:hAnsi="mylotus"/>
          <w:sz w:val="32"/>
          <w:highlight w:val="cyan"/>
          <w:rtl/>
        </w:rPr>
        <w:t>تقريرات في علم الأصول، تعارض الأدلة واختلاف الحديث، بقلم السيد هاشم الهاشمي، مركز الإمام الحجة (عجل الله فرجه) لخدمة الطلاب، طبعة مزيدة ومنقحة، ج2، ص262 - 275</w:t>
      </w:r>
      <w:r w:rsidRPr="00F27422">
        <w:rPr>
          <w:rFonts w:ascii="mylotus" w:hAnsi="mylotus"/>
          <w:sz w:val="32"/>
          <w:rtl/>
        </w:rPr>
        <w:t xml:space="preserve">] من أنّ الترجيح بمخالفة العامّة يقدم على سائر المرجحات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المرجح</w:t>
      </w:r>
      <w:r w:rsidRPr="00F27422">
        <w:rPr>
          <w:rFonts w:ascii="mylotus" w:hAnsi="mylotus"/>
          <w:sz w:val="32"/>
          <w:rtl/>
        </w:rPr>
        <w:t xml:space="preserve"> </w:t>
      </w:r>
      <w:r w:rsidRPr="00F27422">
        <w:rPr>
          <w:rFonts w:ascii="mylotus" w:hAnsi="mylotus" w:hint="cs"/>
          <w:sz w:val="32"/>
          <w:rtl/>
        </w:rPr>
        <w:t>الصدوري</w:t>
      </w:r>
      <w:r w:rsidRPr="00F27422">
        <w:rPr>
          <w:rFonts w:ascii="mylotus" w:hAnsi="mylotus"/>
          <w:sz w:val="32"/>
          <w:rtl/>
        </w:rPr>
        <w:t xml:space="preserve"> </w:t>
      </w:r>
      <w:r w:rsidRPr="00F27422">
        <w:rPr>
          <w:rFonts w:ascii="mylotus" w:hAnsi="mylotus" w:hint="cs"/>
          <w:sz w:val="32"/>
          <w:rtl/>
        </w:rPr>
        <w:t>والمرجح</w:t>
      </w:r>
      <w:r w:rsidRPr="00F27422">
        <w:rPr>
          <w:rFonts w:ascii="mylotus" w:hAnsi="mylotus"/>
          <w:sz w:val="32"/>
          <w:rtl/>
        </w:rPr>
        <w:t xml:space="preserve"> </w:t>
      </w:r>
      <w:r w:rsidRPr="00F27422">
        <w:rPr>
          <w:rFonts w:ascii="mylotus" w:hAnsi="mylotus" w:hint="cs"/>
          <w:sz w:val="32"/>
          <w:rtl/>
        </w:rPr>
        <w:t>المضموني</w:t>
      </w:r>
      <w:r w:rsidRPr="00F27422">
        <w:rPr>
          <w:rFonts w:ascii="mylotus" w:hAnsi="mylotus"/>
          <w:sz w:val="32"/>
          <w:rtl/>
        </w:rPr>
        <w:t xml:space="preserve"> - </w:t>
      </w:r>
      <w:r w:rsidRPr="00F27422">
        <w:rPr>
          <w:rFonts w:ascii="mylotus" w:hAnsi="mylotus" w:hint="cs"/>
          <w:sz w:val="32"/>
          <w:rtl/>
        </w:rPr>
        <w:t>حتى</w:t>
      </w:r>
      <w:r w:rsidRPr="00F27422">
        <w:rPr>
          <w:rFonts w:ascii="mylotus" w:hAnsi="mylotus"/>
          <w:sz w:val="32"/>
          <w:rtl/>
        </w:rPr>
        <w:t xml:space="preserve"> </w:t>
      </w:r>
      <w:r w:rsidRPr="00F27422">
        <w:rPr>
          <w:rFonts w:ascii="mylotus" w:hAnsi="mylotus" w:hint="cs"/>
          <w:sz w:val="32"/>
          <w:rtl/>
        </w:rPr>
        <w:t>لو</w:t>
      </w:r>
      <w:r w:rsidRPr="00F27422">
        <w:rPr>
          <w:rFonts w:ascii="mylotus" w:hAnsi="mylotus"/>
          <w:sz w:val="32"/>
          <w:rtl/>
        </w:rPr>
        <w:t xml:space="preserve"> </w:t>
      </w:r>
      <w:r w:rsidRPr="00F27422">
        <w:rPr>
          <w:rFonts w:ascii="mylotus" w:hAnsi="mylotus" w:hint="cs"/>
          <w:sz w:val="32"/>
          <w:rtl/>
        </w:rPr>
        <w:t>كان</w:t>
      </w:r>
      <w:r w:rsidRPr="00F27422">
        <w:rPr>
          <w:rFonts w:ascii="mylotus" w:hAnsi="mylotus"/>
          <w:sz w:val="32"/>
          <w:rtl/>
        </w:rPr>
        <w:t xml:space="preserve"> </w:t>
      </w:r>
      <w:r w:rsidRPr="00F27422">
        <w:rPr>
          <w:rFonts w:ascii="mylotus" w:hAnsi="mylotus" w:hint="cs"/>
          <w:sz w:val="32"/>
          <w:rtl/>
        </w:rPr>
        <w:t>الخبر</w:t>
      </w:r>
      <w:r w:rsidRPr="00F27422">
        <w:rPr>
          <w:rFonts w:ascii="mylotus" w:hAnsi="mylotus"/>
          <w:sz w:val="32"/>
          <w:rtl/>
        </w:rPr>
        <w:t xml:space="preserve"> </w:t>
      </w:r>
      <w:r w:rsidRPr="00F27422">
        <w:rPr>
          <w:rFonts w:ascii="mylotus" w:hAnsi="mylotus" w:hint="cs"/>
          <w:sz w:val="32"/>
          <w:rtl/>
        </w:rPr>
        <w:t>الآخر</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المشهور</w:t>
      </w:r>
      <w:r w:rsidRPr="00F27422">
        <w:rPr>
          <w:rFonts w:ascii="mylotus" w:hAnsi="mylotus"/>
          <w:sz w:val="32"/>
          <w:rtl/>
        </w:rPr>
        <w:t xml:space="preserve"> </w:t>
      </w:r>
      <w:r w:rsidRPr="00F27422">
        <w:rPr>
          <w:rFonts w:ascii="mylotus" w:hAnsi="mylotus" w:hint="cs"/>
          <w:sz w:val="32"/>
          <w:rtl/>
        </w:rPr>
        <w:t>الموافق</w:t>
      </w:r>
      <w:r w:rsidRPr="00F27422">
        <w:rPr>
          <w:rFonts w:ascii="mylotus" w:hAnsi="mylotus"/>
          <w:sz w:val="32"/>
          <w:rtl/>
        </w:rPr>
        <w:t xml:space="preserve"> </w:t>
      </w:r>
      <w:r w:rsidRPr="00F27422">
        <w:rPr>
          <w:rFonts w:ascii="mylotus" w:hAnsi="mylotus" w:hint="cs"/>
          <w:sz w:val="32"/>
          <w:rtl/>
        </w:rPr>
        <w:t>للكتاب</w:t>
      </w:r>
      <w:r w:rsidRPr="00F27422">
        <w:rPr>
          <w:rFonts w:ascii="mylotus" w:hAnsi="mylotus"/>
          <w:sz w:val="32"/>
          <w:rtl/>
        </w:rPr>
        <w:t>.</w:t>
      </w:r>
    </w:p>
    <w:p w14:paraId="51B51250"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بتقريب:</w:t>
      </w:r>
      <w:r w:rsidRPr="00F27422">
        <w:rPr>
          <w:rFonts w:ascii="mylotus" w:hAnsi="mylotus"/>
          <w:sz w:val="32"/>
          <w:rtl/>
        </w:rPr>
        <w:t xml:space="preserve"> أنّ قوله (عليه السلام) في المقبولة: </w:t>
      </w:r>
      <w:r w:rsidRPr="00F27422">
        <w:rPr>
          <w:rFonts w:ascii="mylotus" w:hAnsi="mylotus"/>
          <w:b/>
          <w:bCs/>
          <w:sz w:val="32"/>
          <w:rtl/>
        </w:rPr>
        <w:t xml:space="preserve">(يُنْظَرُ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 </w:t>
      </w:r>
      <w:r w:rsidRPr="00F27422">
        <w:rPr>
          <w:rFonts w:ascii="mylotus" w:hAnsi="mylotus"/>
          <w:sz w:val="32"/>
          <w:rtl/>
        </w:rPr>
        <w:t xml:space="preserve">إرشادٌ إلى كُبرى عقلائية؛ لأنّ هذا اللسان ليس لسان تعبد وإنّما هذا لسان </w:t>
      </w:r>
      <w:r w:rsidRPr="00F27422">
        <w:rPr>
          <w:rFonts w:ascii="mylotus" w:hAnsi="mylotus"/>
          <w:sz w:val="32"/>
          <w:highlight w:val="cyan"/>
          <w:rtl/>
        </w:rPr>
        <w:t>الإرشاد إلى أنّ المرتكز العقلائي</w:t>
      </w:r>
      <w:r w:rsidRPr="00F27422">
        <w:rPr>
          <w:rFonts w:ascii="mylotus" w:hAnsi="mylotus"/>
          <w:sz w:val="32"/>
          <w:rtl/>
        </w:rPr>
        <w:t xml:space="preserve"> يأخذ بما لا رَيْبَ فيه، ومقتضى ذلك أنّه لو كان في أحد المتعارضين مزيةٌ تُوجب صرف الرَيْب عنه إلى الآخر كان هو المتعين، حيث إنّ مقتضى التعارض العلم الإجمالي بأنّ أحدهما مما فيه ر</w:t>
      </w:r>
      <w:r w:rsidRPr="00F27422">
        <w:rPr>
          <w:rFonts w:ascii="mylotus" w:hAnsi="mylotus" w:hint="cs"/>
          <w:sz w:val="32"/>
          <w:rtl/>
        </w:rPr>
        <w:t>َ</w:t>
      </w:r>
      <w:r w:rsidRPr="00F27422">
        <w:rPr>
          <w:rFonts w:ascii="mylotus" w:hAnsi="mylotus"/>
          <w:sz w:val="32"/>
          <w:rtl/>
        </w:rPr>
        <w:t>ي</w:t>
      </w:r>
      <w:r w:rsidRPr="00F27422">
        <w:rPr>
          <w:rFonts w:ascii="mylotus" w:hAnsi="mylotus" w:hint="cs"/>
          <w:sz w:val="32"/>
          <w:rtl/>
        </w:rPr>
        <w:t>ْ</w:t>
      </w:r>
      <w:r w:rsidRPr="00F27422">
        <w:rPr>
          <w:rFonts w:ascii="mylotus" w:hAnsi="mylotus"/>
          <w:sz w:val="32"/>
          <w:rtl/>
        </w:rPr>
        <w:t>ب،  ووجدان أحدهما للمرجح له مدلول التزامي وهو أنّ الريب الناشئ عن العلم الإجمالي إنّما هو في الطرف الثاني لا في طرف ما هو واجدٌ للمرجح، فعندئذٍ لابُدّ من الرجوع إلى المرتكزات العقلائية، ما دام المفاد هو الإرشاد للكُبرى العقلائية، فمتى يكون المرجح في أحد الطرفين صارفاً للر</w:t>
      </w:r>
      <w:r w:rsidRPr="00F27422">
        <w:rPr>
          <w:rFonts w:ascii="mylotus" w:hAnsi="mylotus" w:hint="cs"/>
          <w:sz w:val="32"/>
          <w:rtl/>
        </w:rPr>
        <w:t>َ</w:t>
      </w:r>
      <w:r w:rsidRPr="00F27422">
        <w:rPr>
          <w:rFonts w:ascii="mylotus" w:hAnsi="mylotus"/>
          <w:sz w:val="32"/>
          <w:rtl/>
        </w:rPr>
        <w:t>ي</w:t>
      </w:r>
      <w:r w:rsidRPr="00F27422">
        <w:rPr>
          <w:rFonts w:ascii="mylotus" w:hAnsi="mylotus" w:hint="cs"/>
          <w:sz w:val="32"/>
          <w:rtl/>
        </w:rPr>
        <w:t>ْ</w:t>
      </w:r>
      <w:r w:rsidRPr="00F27422">
        <w:rPr>
          <w:rFonts w:ascii="mylotus" w:hAnsi="mylotus"/>
          <w:sz w:val="32"/>
          <w:rtl/>
        </w:rPr>
        <w:t xml:space="preserve">ب عنه إلى الآخر بحسب المرتكزات العقلائية؟ وإذا رجعنا إلى المرتكزات العقلائية نجد أنّ العقلاء إذا نقل لهم </w:t>
      </w:r>
      <w:proofErr w:type="spellStart"/>
      <w:r w:rsidRPr="00F27422">
        <w:rPr>
          <w:rFonts w:ascii="mylotus" w:hAnsi="mylotus"/>
          <w:sz w:val="32"/>
          <w:rtl/>
        </w:rPr>
        <w:t>كلامان</w:t>
      </w:r>
      <w:proofErr w:type="spellEnd"/>
      <w:r w:rsidRPr="00F27422">
        <w:rPr>
          <w:rFonts w:ascii="mylotus" w:hAnsi="mylotus"/>
          <w:sz w:val="32"/>
          <w:rtl/>
        </w:rPr>
        <w:t xml:space="preserve"> متباينان عن القائد أو الزعيم الاجتماعي فإنّهم </w:t>
      </w:r>
      <w:r w:rsidRPr="00F27422">
        <w:rPr>
          <w:rFonts w:ascii="mylotus" w:hAnsi="mylotus"/>
          <w:sz w:val="32"/>
          <w:highlight w:val="cyan"/>
          <w:rtl/>
        </w:rPr>
        <w:t>يلاحظون مصححات التورية والكتمان في كلامه</w:t>
      </w:r>
      <w:r w:rsidRPr="00F27422">
        <w:rPr>
          <w:rFonts w:ascii="mylotus" w:hAnsi="mylotus"/>
          <w:sz w:val="32"/>
          <w:rtl/>
        </w:rPr>
        <w:t xml:space="preserve"> من دون الرجوع إلى الأمور الصدورية وتكذيب أحد الناقلين ابتداءً، بل يلحظون لحن الكلام </w:t>
      </w:r>
      <w:proofErr w:type="spellStart"/>
      <w:r w:rsidRPr="00F27422">
        <w:rPr>
          <w:rFonts w:ascii="mylotus" w:hAnsi="mylotus"/>
          <w:sz w:val="32"/>
          <w:rtl/>
        </w:rPr>
        <w:t>ومداليله</w:t>
      </w:r>
      <w:proofErr w:type="spellEnd"/>
      <w:r w:rsidRPr="00F27422">
        <w:rPr>
          <w:rFonts w:ascii="mylotus" w:hAnsi="mylotus" w:hint="cs"/>
          <w:sz w:val="32"/>
          <w:rtl/>
        </w:rPr>
        <w:t>،</w:t>
      </w:r>
      <w:r w:rsidRPr="00F27422">
        <w:rPr>
          <w:rFonts w:ascii="mylotus" w:hAnsi="mylotus"/>
          <w:sz w:val="32"/>
          <w:rtl/>
        </w:rPr>
        <w:t xml:space="preserve"> خصوصاً المداليل الالتزامية قبل أنْ يلاحظوا الناقل </w:t>
      </w:r>
      <w:proofErr w:type="gramStart"/>
      <w:r w:rsidRPr="00F27422">
        <w:rPr>
          <w:rFonts w:ascii="mylotus" w:hAnsi="mylotus"/>
          <w:sz w:val="32"/>
          <w:rtl/>
        </w:rPr>
        <w:t>للخبر،  وعلى</w:t>
      </w:r>
      <w:proofErr w:type="gramEnd"/>
      <w:r w:rsidRPr="00F27422">
        <w:rPr>
          <w:rFonts w:ascii="mylotus" w:hAnsi="mylotus"/>
          <w:sz w:val="32"/>
          <w:rtl/>
        </w:rPr>
        <w:t xml:space="preserve"> هذا جرى ديدن رواة الإمامية منذ عصر المعصومي</w:t>
      </w:r>
      <w:r w:rsidRPr="00F27422">
        <w:rPr>
          <w:rFonts w:ascii="mylotus" w:hAnsi="mylotus" w:hint="cs"/>
          <w:sz w:val="32"/>
          <w:rtl/>
        </w:rPr>
        <w:t>ن</w:t>
      </w:r>
      <w:r w:rsidRPr="00F27422">
        <w:rPr>
          <w:rFonts w:ascii="mylotus" w:hAnsi="mylotus"/>
          <w:sz w:val="32"/>
          <w:rtl/>
        </w:rPr>
        <w:t xml:space="preserve"> </w:t>
      </w:r>
      <w:r w:rsidRPr="00F27422">
        <w:rPr>
          <w:rFonts w:ascii="mylotus" w:hAnsi="mylotus" w:hint="cs"/>
          <w:sz w:val="32"/>
          <w:rtl/>
        </w:rPr>
        <w:t>(</w:t>
      </w:r>
      <w:r w:rsidRPr="00F27422">
        <w:rPr>
          <w:rFonts w:ascii="mylotus" w:hAnsi="mylotus"/>
          <w:sz w:val="32"/>
          <w:rtl/>
        </w:rPr>
        <w:t>ع</w:t>
      </w:r>
      <w:r w:rsidRPr="00F27422">
        <w:rPr>
          <w:rFonts w:ascii="mylotus" w:hAnsi="mylotus" w:hint="cs"/>
          <w:sz w:val="32"/>
          <w:rtl/>
        </w:rPr>
        <w:t>ليهم السلام)</w:t>
      </w:r>
      <w:r w:rsidRPr="00F27422">
        <w:rPr>
          <w:rFonts w:ascii="mylotus" w:hAnsi="mylotus"/>
          <w:sz w:val="32"/>
          <w:rtl/>
        </w:rPr>
        <w:t xml:space="preserve"> حتى أنّهم كانوا يسألون الإمام </w:t>
      </w:r>
      <w:r w:rsidRPr="00F27422">
        <w:rPr>
          <w:rFonts w:ascii="mylotus" w:hAnsi="mylotus" w:hint="cs"/>
          <w:sz w:val="32"/>
          <w:rtl/>
        </w:rPr>
        <w:t xml:space="preserve">(عليه السلام) </w:t>
      </w:r>
      <w:r w:rsidRPr="00F27422">
        <w:rPr>
          <w:rFonts w:ascii="mylotus" w:hAnsi="mylotus"/>
          <w:sz w:val="32"/>
          <w:rtl/>
        </w:rPr>
        <w:t>عن المسألة فيفتيهم فيرجعون إلى فقهاء الشيعة ويقولون لهم: هل هناك تقية أم لا؟ أي: يذهبون مباشرة إلى المداليل الالتزامية وجهة الصدور قبل النظر إلى مصدر النقل</w:t>
      </w:r>
      <w:r w:rsidRPr="00F27422">
        <w:rPr>
          <w:rFonts w:ascii="mylotus" w:hAnsi="mylotus"/>
          <w:sz w:val="32"/>
        </w:rPr>
        <w:t>.</w:t>
      </w:r>
    </w:p>
    <w:p w14:paraId="2A8C6C11" w14:textId="77777777" w:rsidR="009C2251" w:rsidRPr="00F27422" w:rsidRDefault="009C2251" w:rsidP="00122B70">
      <w:pPr>
        <w:pStyle w:val="a"/>
        <w:bidi/>
        <w:spacing w:line="216" w:lineRule="auto"/>
        <w:jc w:val="left"/>
        <w:rPr>
          <w:rFonts w:ascii="mylotus" w:hAnsi="mylotus"/>
          <w:b/>
          <w:bCs/>
          <w:sz w:val="32"/>
          <w:rtl/>
          <w:lang w:bidi="ar-BH"/>
        </w:rPr>
      </w:pPr>
      <w:r w:rsidRPr="00F27422">
        <w:rPr>
          <w:rFonts w:ascii="mylotus" w:hAnsi="mylotus"/>
          <w:sz w:val="32"/>
          <w:rtl/>
        </w:rPr>
        <w:t xml:space="preserve">وقد استشهد (مد ظله) برواية ابن محرز، كما في الكافي: </w:t>
      </w:r>
      <w:r w:rsidRPr="00F27422">
        <w:rPr>
          <w:rFonts w:ascii="mylotus" w:hAnsi="mylotus"/>
          <w:b/>
          <w:bCs/>
          <w:sz w:val="32"/>
          <w:rtl/>
        </w:rPr>
        <w:t xml:space="preserve">(عَلِيُّ بْنُ إِبْرَاهِيمَ، عَنْ أَبِيهِ، عَنِ ابْنِ أَبِي عُمَيْرٍ وَمُحَمَّدُ بْنُ يَحْيَى، عَنْ أَحْمَدَ بْنِ مُحَمَّدٍ، عَنِ ابْنِ أَبِي عُمَيْرٍ، عَنْ جَمِيلِ بْنِ </w:t>
      </w:r>
      <w:r w:rsidRPr="00F27422">
        <w:rPr>
          <w:rFonts w:ascii="mylotus" w:hAnsi="mylotus"/>
          <w:b/>
          <w:bCs/>
          <w:sz w:val="32"/>
          <w:rtl/>
        </w:rPr>
        <w:lastRenderedPageBreak/>
        <w:t xml:space="preserve">دَرَّاجٍ، عَنْ سَلَمَةَ بْنِ مُحْرِزٍ قَالَ: قُلْتُ لِأَبِي عَبْدِاللَّهِ (عليه السلام): إِنَّ رَجُلًا </w:t>
      </w:r>
      <w:proofErr w:type="spellStart"/>
      <w:r w:rsidRPr="00F27422">
        <w:rPr>
          <w:rFonts w:ascii="mylotus" w:hAnsi="mylotus"/>
          <w:b/>
          <w:bCs/>
          <w:sz w:val="32"/>
          <w:rtl/>
        </w:rPr>
        <w:t>أَرْمَانِيّاً</w:t>
      </w:r>
      <w:proofErr w:type="spellEnd"/>
      <w:r w:rsidRPr="00F27422">
        <w:rPr>
          <w:rFonts w:ascii="mylotus" w:hAnsi="mylotus"/>
          <w:b/>
          <w:bCs/>
          <w:sz w:val="32"/>
          <w:rtl/>
        </w:rPr>
        <w:t xml:space="preserve"> مَاتَ وَأَوْصَى إِلَيَّ، فَقَالَ لِي: وَمَا الْأَرْمَانِيُّ؟ قُلْتُ: نَبَطِيٌّ مِنْ أَنْبَاطِ الْجِبَالِ</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مَاتَ</w:t>
      </w:r>
      <w:r w:rsidRPr="00F27422">
        <w:rPr>
          <w:rFonts w:ascii="mylotus" w:hAnsi="mylotus"/>
          <w:b/>
          <w:bCs/>
          <w:sz w:val="32"/>
          <w:rtl/>
        </w:rPr>
        <w:t xml:space="preserve"> </w:t>
      </w:r>
      <w:r w:rsidRPr="00F27422">
        <w:rPr>
          <w:rFonts w:ascii="mylotus" w:hAnsi="mylotus" w:hint="cs"/>
          <w:b/>
          <w:bCs/>
          <w:sz w:val="32"/>
          <w:rtl/>
        </w:rPr>
        <w:t>وَأَوْصَى</w:t>
      </w:r>
      <w:r w:rsidRPr="00F27422">
        <w:rPr>
          <w:rFonts w:ascii="mylotus" w:hAnsi="mylotus"/>
          <w:b/>
          <w:bCs/>
          <w:sz w:val="32"/>
          <w:rtl/>
        </w:rPr>
        <w:t xml:space="preserve"> </w:t>
      </w:r>
      <w:r w:rsidRPr="00F27422">
        <w:rPr>
          <w:rFonts w:ascii="mylotus" w:hAnsi="mylotus" w:hint="cs"/>
          <w:b/>
          <w:bCs/>
          <w:sz w:val="32"/>
          <w:rtl/>
        </w:rPr>
        <w:t>إِلَيَّ</w:t>
      </w:r>
      <w:r w:rsidRPr="00F27422">
        <w:rPr>
          <w:rFonts w:ascii="mylotus" w:hAnsi="mylotus"/>
          <w:b/>
          <w:bCs/>
          <w:sz w:val="32"/>
          <w:rtl/>
        </w:rPr>
        <w:t xml:space="preserve"> </w:t>
      </w:r>
      <w:r w:rsidRPr="00F27422">
        <w:rPr>
          <w:rFonts w:ascii="mylotus" w:hAnsi="mylotus" w:hint="cs"/>
          <w:b/>
          <w:bCs/>
          <w:sz w:val="32"/>
          <w:rtl/>
        </w:rPr>
        <w:t>بِتَرِكَتِهِ</w:t>
      </w:r>
      <w:r w:rsidRPr="00F27422">
        <w:rPr>
          <w:rFonts w:ascii="mylotus" w:hAnsi="mylotus"/>
          <w:b/>
          <w:bCs/>
          <w:sz w:val="32"/>
          <w:rtl/>
        </w:rPr>
        <w:t xml:space="preserve"> </w:t>
      </w:r>
      <w:r w:rsidRPr="00F27422">
        <w:rPr>
          <w:rFonts w:ascii="mylotus" w:hAnsi="mylotus" w:hint="cs"/>
          <w:b/>
          <w:bCs/>
          <w:sz w:val="32"/>
          <w:rtl/>
        </w:rPr>
        <w:t>وَتَرَكَ</w:t>
      </w:r>
      <w:r w:rsidRPr="00F27422">
        <w:rPr>
          <w:rFonts w:ascii="mylotus" w:hAnsi="mylotus"/>
          <w:b/>
          <w:bCs/>
          <w:sz w:val="32"/>
          <w:rtl/>
        </w:rPr>
        <w:t xml:space="preserve"> </w:t>
      </w:r>
      <w:r w:rsidRPr="00F27422">
        <w:rPr>
          <w:rFonts w:ascii="mylotus" w:hAnsi="mylotus" w:hint="cs"/>
          <w:b/>
          <w:bCs/>
          <w:sz w:val="32"/>
          <w:rtl/>
        </w:rPr>
        <w:t>ابْنَتَهُ،</w:t>
      </w:r>
      <w:r w:rsidRPr="00F27422">
        <w:rPr>
          <w:rFonts w:ascii="mylotus" w:hAnsi="mylotus"/>
          <w:b/>
          <w:bCs/>
          <w:sz w:val="32"/>
          <w:rtl/>
        </w:rPr>
        <w:t xml:space="preserve"> </w:t>
      </w:r>
      <w:r w:rsidRPr="00F27422">
        <w:rPr>
          <w:rFonts w:ascii="mylotus" w:hAnsi="mylotus" w:hint="cs"/>
          <w:b/>
          <w:bCs/>
          <w:sz w:val="32"/>
          <w:rtl/>
        </w:rPr>
        <w:t>قَالَ</w:t>
      </w:r>
      <w:r w:rsidRPr="00F27422">
        <w:rPr>
          <w:rFonts w:ascii="mylotus" w:hAnsi="mylotus"/>
          <w:b/>
          <w:bCs/>
          <w:sz w:val="32"/>
          <w:rtl/>
        </w:rPr>
        <w:t xml:space="preserve">: </w:t>
      </w:r>
      <w:r w:rsidRPr="00F27422">
        <w:rPr>
          <w:rFonts w:ascii="mylotus" w:hAnsi="mylotus" w:hint="cs"/>
          <w:b/>
          <w:bCs/>
          <w:sz w:val="32"/>
          <w:rtl/>
        </w:rPr>
        <w:t>فَقَ</w:t>
      </w:r>
      <w:r w:rsidRPr="00F27422">
        <w:rPr>
          <w:rFonts w:ascii="mylotus" w:hAnsi="mylotus"/>
          <w:b/>
          <w:bCs/>
          <w:sz w:val="32"/>
          <w:rtl/>
        </w:rPr>
        <w:t>الَ لِي: أَعْطِهَا النِّصْفَ</w:t>
      </w:r>
      <w:r w:rsidRPr="00F27422">
        <w:rPr>
          <w:rFonts w:ascii="mylotus" w:hAnsi="mylotus"/>
          <w:b/>
          <w:bCs/>
          <w:sz w:val="32"/>
        </w:rPr>
        <w:t>.</w:t>
      </w:r>
    </w:p>
    <w:p w14:paraId="681A9C51"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b/>
          <w:bCs/>
          <w:sz w:val="32"/>
          <w:rtl/>
        </w:rPr>
        <w:t xml:space="preserve">قَالَ: فَأَخْبَرْتُ زُرَارَةَ بِذَلِكَ، فَقَالَ لِي: اتَّقَاكَ، إِنَّمَا الْمَالُ لَهَا، قَالَ: فَدَخَلْتُ عَلَيْهِ بَعْدُ فَقُلْتُ: أَصْلَحَكَ اللَّهُ، إِنَّ أَصْحَابَنَا زَعَمُوا أَنَّكَ اتَّقَيْتَنِي، فَقَالَ: لَا </w:t>
      </w:r>
      <w:proofErr w:type="gramStart"/>
      <w:r w:rsidRPr="00F27422">
        <w:rPr>
          <w:rFonts w:ascii="mylotus" w:hAnsi="mylotus"/>
          <w:b/>
          <w:bCs/>
          <w:sz w:val="32"/>
          <w:rtl/>
        </w:rPr>
        <w:t>وَ اللَّهِ</w:t>
      </w:r>
      <w:proofErr w:type="gramEnd"/>
      <w:r w:rsidRPr="00F27422">
        <w:rPr>
          <w:rFonts w:ascii="mylotus" w:hAnsi="mylotus"/>
          <w:b/>
          <w:bCs/>
          <w:sz w:val="32"/>
          <w:rtl/>
        </w:rPr>
        <w:t xml:space="preserve">، مَا </w:t>
      </w:r>
      <w:proofErr w:type="gramStart"/>
      <w:r w:rsidRPr="00F27422">
        <w:rPr>
          <w:rFonts w:ascii="mylotus" w:hAnsi="mylotus"/>
          <w:b/>
          <w:bCs/>
          <w:sz w:val="32"/>
          <w:rtl/>
        </w:rPr>
        <w:t>اتَّقَيْتُكَ</w:t>
      </w:r>
      <w:proofErr w:type="gramEnd"/>
      <w:r w:rsidRPr="00F27422">
        <w:rPr>
          <w:rFonts w:ascii="mylotus" w:hAnsi="mylotus"/>
          <w:b/>
          <w:bCs/>
          <w:sz w:val="32"/>
          <w:rtl/>
        </w:rPr>
        <w:t xml:space="preserve"> </w:t>
      </w:r>
      <w:r w:rsidRPr="00F27422">
        <w:rPr>
          <w:rFonts w:ascii="mylotus" w:hAnsi="mylotus"/>
          <w:b/>
          <w:bCs/>
          <w:sz w:val="32"/>
          <w:highlight w:val="cyan"/>
          <w:rtl/>
        </w:rPr>
        <w:t>وَلَكِنِ اتَّقَيْتُ عَلَيْكَ أَنْ تُضَمَّنَ</w:t>
      </w:r>
      <w:r w:rsidRPr="00F27422">
        <w:rPr>
          <w:rFonts w:ascii="Times New Roman" w:hAnsi="Times New Roman" w:cs="Times New Roman" w:hint="cs"/>
          <w:b/>
          <w:bCs/>
          <w:sz w:val="32"/>
          <w:highlight w:val="cyan"/>
          <w:rtl/>
        </w:rPr>
        <w:t>‌</w:t>
      </w:r>
      <w:r w:rsidRPr="00F27422">
        <w:rPr>
          <w:rFonts w:ascii="mylotus" w:hAnsi="mylotus"/>
          <w:b/>
          <w:bCs/>
          <w:sz w:val="32"/>
          <w:highlight w:val="cyan"/>
          <w:rtl/>
        </w:rPr>
        <w:t xml:space="preserve"> </w:t>
      </w:r>
      <w:r w:rsidRPr="00F27422">
        <w:rPr>
          <w:rFonts w:ascii="mylotus" w:hAnsi="mylotus" w:hint="cs"/>
          <w:b/>
          <w:bCs/>
          <w:sz w:val="32"/>
          <w:highlight w:val="cyan"/>
          <w:rtl/>
        </w:rPr>
        <w:t>فَهَلْ</w:t>
      </w:r>
      <w:r w:rsidRPr="00F27422">
        <w:rPr>
          <w:rFonts w:ascii="mylotus" w:hAnsi="mylotus"/>
          <w:b/>
          <w:bCs/>
          <w:sz w:val="32"/>
          <w:highlight w:val="cyan"/>
          <w:rtl/>
        </w:rPr>
        <w:t xml:space="preserve"> </w:t>
      </w:r>
      <w:r w:rsidRPr="00F27422">
        <w:rPr>
          <w:rFonts w:ascii="mylotus" w:hAnsi="mylotus" w:hint="cs"/>
          <w:b/>
          <w:bCs/>
          <w:sz w:val="32"/>
          <w:highlight w:val="cyan"/>
          <w:rtl/>
        </w:rPr>
        <w:t>عَلِمَ</w:t>
      </w:r>
      <w:r w:rsidRPr="00F27422">
        <w:rPr>
          <w:rFonts w:ascii="mylotus" w:hAnsi="mylotus"/>
          <w:b/>
          <w:bCs/>
          <w:sz w:val="32"/>
          <w:highlight w:val="cyan"/>
          <w:rtl/>
        </w:rPr>
        <w:t xml:space="preserve"> </w:t>
      </w:r>
      <w:r w:rsidRPr="00F27422">
        <w:rPr>
          <w:rFonts w:ascii="mylotus" w:hAnsi="mylotus" w:hint="cs"/>
          <w:b/>
          <w:bCs/>
          <w:sz w:val="32"/>
          <w:highlight w:val="cyan"/>
          <w:rtl/>
        </w:rPr>
        <w:t>بِذَلِكَ</w:t>
      </w:r>
      <w:r w:rsidRPr="00F27422">
        <w:rPr>
          <w:rFonts w:ascii="mylotus" w:hAnsi="mylotus"/>
          <w:b/>
          <w:bCs/>
          <w:sz w:val="32"/>
          <w:highlight w:val="cyan"/>
          <w:rtl/>
        </w:rPr>
        <w:t xml:space="preserve"> </w:t>
      </w:r>
      <w:r w:rsidRPr="00F27422">
        <w:rPr>
          <w:rFonts w:ascii="mylotus" w:hAnsi="mylotus" w:hint="cs"/>
          <w:b/>
          <w:bCs/>
          <w:sz w:val="32"/>
          <w:highlight w:val="cyan"/>
          <w:rtl/>
        </w:rPr>
        <w:t>أَحَدٌ؟</w:t>
      </w:r>
      <w:r w:rsidRPr="00F27422">
        <w:rPr>
          <w:rFonts w:ascii="mylotus" w:hAnsi="mylotus"/>
          <w:b/>
          <w:bCs/>
          <w:sz w:val="32"/>
          <w:highlight w:val="cyan"/>
          <w:rtl/>
        </w:rPr>
        <w:t xml:space="preserve"> </w:t>
      </w:r>
      <w:r w:rsidRPr="00F27422">
        <w:rPr>
          <w:rFonts w:ascii="mylotus" w:hAnsi="mylotus" w:hint="cs"/>
          <w:b/>
          <w:bCs/>
          <w:sz w:val="32"/>
          <w:highlight w:val="cyan"/>
          <w:rtl/>
        </w:rPr>
        <w:t>قُلْتُ</w:t>
      </w:r>
      <w:r w:rsidRPr="00F27422">
        <w:rPr>
          <w:rFonts w:ascii="mylotus" w:hAnsi="mylotus"/>
          <w:b/>
          <w:bCs/>
          <w:sz w:val="32"/>
          <w:highlight w:val="cyan"/>
          <w:rtl/>
        </w:rPr>
        <w:t xml:space="preserve">: </w:t>
      </w:r>
      <w:r w:rsidRPr="00F27422">
        <w:rPr>
          <w:rFonts w:ascii="mylotus" w:hAnsi="mylotus" w:hint="cs"/>
          <w:b/>
          <w:bCs/>
          <w:sz w:val="32"/>
          <w:highlight w:val="cyan"/>
          <w:rtl/>
        </w:rPr>
        <w:t>لَا،</w:t>
      </w:r>
      <w:r w:rsidRPr="00F27422">
        <w:rPr>
          <w:rFonts w:ascii="mylotus" w:hAnsi="mylotus"/>
          <w:b/>
          <w:bCs/>
          <w:sz w:val="32"/>
          <w:highlight w:val="cyan"/>
          <w:rtl/>
        </w:rPr>
        <w:t xml:space="preserve"> </w:t>
      </w:r>
      <w:r w:rsidRPr="00F27422">
        <w:rPr>
          <w:rFonts w:ascii="mylotus" w:hAnsi="mylotus" w:hint="cs"/>
          <w:b/>
          <w:bCs/>
          <w:sz w:val="32"/>
          <w:highlight w:val="cyan"/>
          <w:rtl/>
        </w:rPr>
        <w:t>قَالَ</w:t>
      </w:r>
      <w:r w:rsidRPr="00F27422">
        <w:rPr>
          <w:rFonts w:ascii="mylotus" w:hAnsi="mylotus"/>
          <w:b/>
          <w:bCs/>
          <w:sz w:val="32"/>
          <w:highlight w:val="cyan"/>
          <w:rtl/>
        </w:rPr>
        <w:t xml:space="preserve">: </w:t>
      </w:r>
      <w:r w:rsidRPr="00F27422">
        <w:rPr>
          <w:rFonts w:ascii="mylotus" w:hAnsi="mylotus" w:hint="cs"/>
          <w:b/>
          <w:bCs/>
          <w:sz w:val="32"/>
          <w:highlight w:val="cyan"/>
          <w:rtl/>
        </w:rPr>
        <w:t>فَأَعْطِهَا</w:t>
      </w:r>
      <w:r w:rsidRPr="00F27422">
        <w:rPr>
          <w:rFonts w:ascii="mylotus" w:hAnsi="mylotus"/>
          <w:b/>
          <w:bCs/>
          <w:sz w:val="32"/>
          <w:highlight w:val="cyan"/>
          <w:rtl/>
        </w:rPr>
        <w:t xml:space="preserve"> </w:t>
      </w:r>
      <w:r w:rsidRPr="00F27422">
        <w:rPr>
          <w:rFonts w:ascii="mylotus" w:hAnsi="mylotus" w:hint="cs"/>
          <w:b/>
          <w:bCs/>
          <w:sz w:val="32"/>
          <w:highlight w:val="cyan"/>
          <w:rtl/>
        </w:rPr>
        <w:t>مَا</w:t>
      </w:r>
      <w:r w:rsidRPr="00F27422">
        <w:rPr>
          <w:rFonts w:ascii="mylotus" w:hAnsi="mylotus"/>
          <w:b/>
          <w:bCs/>
          <w:sz w:val="32"/>
          <w:highlight w:val="cyan"/>
          <w:rtl/>
        </w:rPr>
        <w:t xml:space="preserve"> </w:t>
      </w:r>
      <w:r w:rsidRPr="00F27422">
        <w:rPr>
          <w:rFonts w:ascii="mylotus" w:hAnsi="mylotus" w:hint="cs"/>
          <w:b/>
          <w:bCs/>
          <w:sz w:val="32"/>
          <w:highlight w:val="cyan"/>
          <w:rtl/>
        </w:rPr>
        <w:t>بَقِيَ</w:t>
      </w:r>
      <w:r w:rsidRPr="00F27422">
        <w:rPr>
          <w:rFonts w:ascii="mylotus" w:hAnsi="mylotus"/>
          <w:b/>
          <w:bCs/>
          <w:sz w:val="32"/>
          <w:rtl/>
        </w:rPr>
        <w:t xml:space="preserve">). </w:t>
      </w:r>
      <w:r w:rsidRPr="00F27422">
        <w:rPr>
          <w:rFonts w:ascii="mylotus" w:hAnsi="mylotus"/>
          <w:sz w:val="32"/>
          <w:rtl/>
        </w:rPr>
        <w:t>[</w:t>
      </w:r>
      <w:r w:rsidRPr="00F27422">
        <w:rPr>
          <w:rFonts w:ascii="mylotus" w:hAnsi="mylotus" w:hint="cs"/>
          <w:sz w:val="32"/>
          <w:rtl/>
        </w:rPr>
        <w:t>الكافي،</w:t>
      </w:r>
      <w:r w:rsidRPr="00F27422">
        <w:rPr>
          <w:rFonts w:ascii="mylotus" w:hAnsi="mylotus"/>
          <w:sz w:val="32"/>
          <w:rtl/>
        </w:rPr>
        <w:t xml:space="preserve"> </w:t>
      </w:r>
      <w:r w:rsidRPr="00F27422">
        <w:rPr>
          <w:rFonts w:ascii="mylotus" w:hAnsi="mylotus" w:hint="cs"/>
          <w:sz w:val="32"/>
          <w:rtl/>
        </w:rPr>
        <w:t>للشيخ</w:t>
      </w:r>
      <w:r w:rsidRPr="00F27422">
        <w:rPr>
          <w:rFonts w:ascii="mylotus" w:hAnsi="mylotus"/>
          <w:sz w:val="32"/>
          <w:rtl/>
        </w:rPr>
        <w:t xml:space="preserve"> </w:t>
      </w:r>
      <w:r w:rsidRPr="00F27422">
        <w:rPr>
          <w:rFonts w:ascii="mylotus" w:hAnsi="mylotus" w:hint="cs"/>
          <w:sz w:val="32"/>
          <w:rtl/>
        </w:rPr>
        <w:t>الكليني،</w:t>
      </w:r>
      <w:r w:rsidRPr="00F27422">
        <w:rPr>
          <w:rFonts w:ascii="mylotus" w:hAnsi="mylotus"/>
          <w:sz w:val="32"/>
          <w:rtl/>
        </w:rPr>
        <w:t xml:space="preserve"> </w:t>
      </w:r>
      <w:r w:rsidRPr="00F27422">
        <w:rPr>
          <w:rFonts w:ascii="mylotus" w:hAnsi="mylotus" w:hint="cs"/>
          <w:sz w:val="32"/>
          <w:rtl/>
        </w:rPr>
        <w:t>دار</w:t>
      </w:r>
      <w:r w:rsidRPr="00F27422">
        <w:rPr>
          <w:rFonts w:ascii="mylotus" w:hAnsi="mylotus"/>
          <w:sz w:val="32"/>
          <w:rtl/>
        </w:rPr>
        <w:t xml:space="preserve"> </w:t>
      </w:r>
      <w:r w:rsidRPr="00F27422">
        <w:rPr>
          <w:rFonts w:ascii="mylotus" w:hAnsi="mylotus" w:hint="cs"/>
          <w:sz w:val="32"/>
          <w:rtl/>
        </w:rPr>
        <w:t>الكتب</w:t>
      </w:r>
      <w:r w:rsidRPr="00F27422">
        <w:rPr>
          <w:rFonts w:ascii="mylotus" w:hAnsi="mylotus"/>
          <w:sz w:val="32"/>
          <w:rtl/>
        </w:rPr>
        <w:t xml:space="preserve"> </w:t>
      </w:r>
      <w:r w:rsidRPr="00F27422">
        <w:rPr>
          <w:rFonts w:ascii="mylotus" w:hAnsi="mylotus" w:hint="cs"/>
          <w:sz w:val="32"/>
          <w:rtl/>
        </w:rPr>
        <w:t>الإسلامية،</w:t>
      </w:r>
      <w:r w:rsidRPr="00F27422">
        <w:rPr>
          <w:rFonts w:ascii="mylotus" w:hAnsi="mylotus"/>
          <w:sz w:val="32"/>
          <w:rtl/>
        </w:rPr>
        <w:t xml:space="preserve"> </w:t>
      </w:r>
      <w:r w:rsidRPr="00F27422">
        <w:rPr>
          <w:rFonts w:ascii="mylotus" w:hAnsi="mylotus" w:hint="cs"/>
          <w:sz w:val="32"/>
          <w:rtl/>
        </w:rPr>
        <w:t>ج</w:t>
      </w:r>
      <w:r w:rsidRPr="00F27422">
        <w:rPr>
          <w:rFonts w:ascii="mylotus" w:hAnsi="mylotus"/>
          <w:sz w:val="32"/>
          <w:rtl/>
        </w:rPr>
        <w:t>7</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كتاب</w:t>
      </w:r>
      <w:r w:rsidRPr="00F27422">
        <w:rPr>
          <w:rFonts w:ascii="mylotus" w:hAnsi="mylotus"/>
          <w:sz w:val="32"/>
          <w:rtl/>
        </w:rPr>
        <w:t xml:space="preserve"> </w:t>
      </w:r>
      <w:r w:rsidRPr="00F27422">
        <w:rPr>
          <w:rFonts w:ascii="mylotus" w:hAnsi="mylotus" w:hint="cs"/>
          <w:sz w:val="32"/>
          <w:rtl/>
        </w:rPr>
        <w:t>المواريث،</w:t>
      </w:r>
      <w:r w:rsidRPr="00F27422">
        <w:rPr>
          <w:rFonts w:ascii="mylotus" w:hAnsi="mylotus"/>
          <w:sz w:val="32"/>
          <w:rtl/>
        </w:rPr>
        <w:t xml:space="preserve"> </w:t>
      </w:r>
      <w:r w:rsidRPr="00F27422">
        <w:rPr>
          <w:rFonts w:ascii="mylotus" w:hAnsi="mylotus" w:hint="cs"/>
          <w:sz w:val="32"/>
          <w:rtl/>
        </w:rPr>
        <w:t>باب</w:t>
      </w:r>
      <w:r w:rsidRPr="00F27422">
        <w:rPr>
          <w:rFonts w:ascii="mylotus" w:hAnsi="mylotus"/>
          <w:sz w:val="32"/>
          <w:rtl/>
        </w:rPr>
        <w:t xml:space="preserve"> </w:t>
      </w:r>
      <w:r w:rsidRPr="00F27422">
        <w:rPr>
          <w:rFonts w:ascii="mylotus" w:hAnsi="mylotus" w:hint="cs"/>
          <w:sz w:val="32"/>
          <w:rtl/>
        </w:rPr>
        <w:t>ميراث</w:t>
      </w:r>
      <w:r w:rsidRPr="00F27422">
        <w:rPr>
          <w:rFonts w:ascii="mylotus" w:hAnsi="mylotus"/>
          <w:sz w:val="32"/>
          <w:rtl/>
        </w:rPr>
        <w:t xml:space="preserve"> </w:t>
      </w:r>
      <w:r w:rsidRPr="00F27422">
        <w:rPr>
          <w:rFonts w:ascii="mylotus" w:hAnsi="mylotus" w:hint="cs"/>
          <w:sz w:val="32"/>
          <w:rtl/>
        </w:rPr>
        <w:t>الولد،</w:t>
      </w:r>
      <w:r w:rsidRPr="00F27422">
        <w:rPr>
          <w:rFonts w:ascii="mylotus" w:hAnsi="mylotus"/>
          <w:sz w:val="32"/>
          <w:rtl/>
        </w:rPr>
        <w:t xml:space="preserve"> </w:t>
      </w:r>
      <w:r w:rsidRPr="00F27422">
        <w:rPr>
          <w:rFonts w:ascii="mylotus" w:hAnsi="mylotus" w:hint="cs"/>
          <w:sz w:val="32"/>
          <w:rtl/>
        </w:rPr>
        <w:t>ح</w:t>
      </w:r>
      <w:r w:rsidRPr="00F27422">
        <w:rPr>
          <w:rFonts w:ascii="mylotus" w:hAnsi="mylotus"/>
          <w:sz w:val="32"/>
          <w:rtl/>
        </w:rPr>
        <w:t>3].</w:t>
      </w:r>
    </w:p>
    <w:p w14:paraId="5FEBCEF4"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t xml:space="preserve">وهذا واضحٌ؛ في أنّهم يلاحظون المداليل الجهتية قبل ملاحظة مصدر النقل، خصوصاً مع إعلان الأئمة (عليهم </w:t>
      </w:r>
      <w:r w:rsidRPr="00F27422">
        <w:rPr>
          <w:rFonts w:ascii="mylotus" w:hAnsi="mylotus"/>
          <w:sz w:val="32"/>
          <w:highlight w:val="cyan"/>
          <w:rtl/>
        </w:rPr>
        <w:t>السلام) بأنّهم يجيبون على الزيادة والنقصان</w:t>
      </w:r>
      <w:r w:rsidRPr="00F27422">
        <w:rPr>
          <w:rFonts w:ascii="mylotus" w:hAnsi="mylotus"/>
          <w:sz w:val="32"/>
          <w:rtl/>
        </w:rPr>
        <w:t>، وأنّهم يجيبون على سبعين وجه، لهم من كلها مخرج، وأنّ حديثاً تدريه خيرٌ من ألف ترويه، وإنّا لا نعد الرجل منكم فقيهاً حتى يعرف معاريض كلامنا</w:t>
      </w:r>
      <w:r w:rsidRPr="00F27422">
        <w:rPr>
          <w:rFonts w:ascii="mylotus" w:hAnsi="mylotus"/>
          <w:sz w:val="32"/>
        </w:rPr>
        <w:t>.</w:t>
      </w:r>
    </w:p>
    <w:p w14:paraId="746F4652"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t xml:space="preserve">وكلها تؤكد ما عليه بناءُ العقلاء من ملاحظة المداليل إذا نقل لهم </w:t>
      </w:r>
      <w:proofErr w:type="spellStart"/>
      <w:r w:rsidRPr="00F27422">
        <w:rPr>
          <w:rFonts w:ascii="mylotus" w:hAnsi="mylotus"/>
          <w:sz w:val="32"/>
          <w:rtl/>
        </w:rPr>
        <w:t>كلامان</w:t>
      </w:r>
      <w:proofErr w:type="spellEnd"/>
      <w:r w:rsidRPr="00F27422">
        <w:rPr>
          <w:rFonts w:ascii="mylotus" w:hAnsi="mylotus"/>
          <w:sz w:val="32"/>
          <w:rtl/>
        </w:rPr>
        <w:t xml:space="preserve"> متباينان عن زعيم أو عن قانون معين</w:t>
      </w:r>
      <w:r w:rsidRPr="00F27422">
        <w:rPr>
          <w:rFonts w:ascii="mylotus" w:hAnsi="mylotus"/>
          <w:sz w:val="32"/>
        </w:rPr>
        <w:t>.</w:t>
      </w:r>
    </w:p>
    <w:p w14:paraId="6BE9B644" w14:textId="77777777" w:rsidR="009C2251" w:rsidRPr="00F27422" w:rsidRDefault="009C2251" w:rsidP="00122B70">
      <w:pPr>
        <w:pStyle w:val="a"/>
        <w:bidi/>
        <w:spacing w:line="216" w:lineRule="auto"/>
        <w:jc w:val="left"/>
        <w:rPr>
          <w:rFonts w:ascii="mylotus" w:hAnsi="mylotus"/>
          <w:sz w:val="32"/>
          <w:rtl/>
          <w:lang w:bidi="ar-BH"/>
        </w:rPr>
      </w:pPr>
      <w:r w:rsidRPr="00F27422">
        <w:rPr>
          <w:rFonts w:ascii="mylotus" w:hAnsi="mylotus"/>
          <w:sz w:val="32"/>
          <w:rtl/>
        </w:rPr>
        <w:t xml:space="preserve">وهذا يعني أنّ المرتكز العقلائي والمرتكز المتشرعي بين </w:t>
      </w:r>
      <w:r w:rsidRPr="00F27422">
        <w:rPr>
          <w:rFonts w:ascii="mylotus" w:hAnsi="mylotus" w:hint="cs"/>
          <w:sz w:val="32"/>
          <w:rtl/>
        </w:rPr>
        <w:t>أ</w:t>
      </w:r>
      <w:r w:rsidRPr="00F27422">
        <w:rPr>
          <w:rFonts w:ascii="mylotus" w:hAnsi="mylotus"/>
          <w:sz w:val="32"/>
          <w:rtl/>
        </w:rPr>
        <w:t>صحابنا على ملاحظة المدلول م</w:t>
      </w:r>
      <w:r w:rsidRPr="00F27422">
        <w:rPr>
          <w:rFonts w:ascii="mylotus" w:hAnsi="mylotus" w:hint="cs"/>
          <w:sz w:val="32"/>
          <w:rtl/>
        </w:rPr>
        <w:t>ِ</w:t>
      </w:r>
      <w:r w:rsidRPr="00F27422">
        <w:rPr>
          <w:rFonts w:ascii="mylotus" w:hAnsi="mylotus"/>
          <w:sz w:val="32"/>
          <w:rtl/>
        </w:rPr>
        <w:t xml:space="preserve">ن حيث لوازمه وتبعاته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المدلول</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حيث</w:t>
      </w:r>
      <w:r w:rsidRPr="00F27422">
        <w:rPr>
          <w:rFonts w:ascii="mylotus" w:hAnsi="mylotus"/>
          <w:sz w:val="32"/>
          <w:rtl/>
        </w:rPr>
        <w:t xml:space="preserve"> </w:t>
      </w:r>
      <w:r w:rsidRPr="00F27422">
        <w:rPr>
          <w:rFonts w:ascii="mylotus" w:hAnsi="mylotus" w:hint="cs"/>
          <w:sz w:val="32"/>
          <w:rtl/>
        </w:rPr>
        <w:t>المراد</w:t>
      </w:r>
      <w:r w:rsidRPr="00F27422">
        <w:rPr>
          <w:rFonts w:ascii="mylotus" w:hAnsi="mylotus"/>
          <w:sz w:val="32"/>
          <w:rtl/>
        </w:rPr>
        <w:t xml:space="preserve"> </w:t>
      </w:r>
      <w:r w:rsidRPr="00F27422">
        <w:rPr>
          <w:rFonts w:ascii="mylotus" w:hAnsi="mylotus" w:hint="cs"/>
          <w:sz w:val="32"/>
          <w:rtl/>
        </w:rPr>
        <w:t>الاستعمالي</w:t>
      </w:r>
      <w:r w:rsidRPr="00F27422">
        <w:rPr>
          <w:rFonts w:ascii="mylotus" w:hAnsi="mylotus"/>
          <w:sz w:val="32"/>
          <w:rtl/>
        </w:rPr>
        <w:t xml:space="preserve"> - </w:t>
      </w:r>
      <w:r w:rsidRPr="00F27422">
        <w:rPr>
          <w:rFonts w:ascii="mylotus" w:hAnsi="mylotus" w:hint="cs"/>
          <w:sz w:val="32"/>
          <w:rtl/>
        </w:rPr>
        <w:t>مما</w:t>
      </w:r>
      <w:r w:rsidRPr="00F27422">
        <w:rPr>
          <w:rFonts w:ascii="mylotus" w:hAnsi="mylotus"/>
          <w:sz w:val="32"/>
          <w:rtl/>
        </w:rPr>
        <w:t xml:space="preserve"> </w:t>
      </w:r>
      <w:r w:rsidRPr="00F27422">
        <w:rPr>
          <w:rFonts w:ascii="mylotus" w:hAnsi="mylotus" w:hint="cs"/>
          <w:sz w:val="32"/>
          <w:rtl/>
        </w:rPr>
        <w:t>يقتضي</w:t>
      </w:r>
      <w:r w:rsidRPr="00F27422">
        <w:rPr>
          <w:rFonts w:ascii="mylotus" w:hAnsi="mylotus"/>
          <w:sz w:val="32"/>
          <w:rtl/>
        </w:rPr>
        <w:t xml:space="preserve"> </w:t>
      </w:r>
      <w:r w:rsidRPr="00F27422">
        <w:rPr>
          <w:rFonts w:ascii="mylotus" w:hAnsi="mylotus" w:hint="cs"/>
          <w:sz w:val="32"/>
          <w:rtl/>
        </w:rPr>
        <w:t>ملاحظة</w:t>
      </w:r>
      <w:r w:rsidRPr="00F27422">
        <w:rPr>
          <w:rFonts w:ascii="mylotus" w:hAnsi="mylotus"/>
          <w:sz w:val="32"/>
          <w:rtl/>
        </w:rPr>
        <w:t xml:space="preserve"> </w:t>
      </w:r>
      <w:r w:rsidRPr="00F27422">
        <w:rPr>
          <w:rFonts w:ascii="mylotus" w:hAnsi="mylotus" w:hint="cs"/>
          <w:sz w:val="32"/>
          <w:rtl/>
        </w:rPr>
        <w:t>جهة</w:t>
      </w:r>
      <w:r w:rsidRPr="00F27422">
        <w:rPr>
          <w:rFonts w:ascii="mylotus" w:hAnsi="mylotus"/>
          <w:sz w:val="32"/>
          <w:rtl/>
        </w:rPr>
        <w:t xml:space="preserve"> </w:t>
      </w:r>
      <w:r w:rsidRPr="00F27422">
        <w:rPr>
          <w:rFonts w:ascii="mylotus" w:hAnsi="mylotus" w:hint="cs"/>
          <w:sz w:val="32"/>
          <w:rtl/>
        </w:rPr>
        <w:t>الصدور</w:t>
      </w:r>
      <w:r w:rsidRPr="00F27422">
        <w:rPr>
          <w:rFonts w:ascii="mylotus" w:hAnsi="mylotus"/>
          <w:sz w:val="32"/>
          <w:rtl/>
        </w:rPr>
        <w:t xml:space="preserve"> </w:t>
      </w:r>
      <w:r w:rsidRPr="00F27422">
        <w:rPr>
          <w:rFonts w:ascii="mylotus" w:hAnsi="mylotus" w:hint="cs"/>
          <w:sz w:val="32"/>
          <w:rtl/>
        </w:rPr>
        <w:t>قبل</w:t>
      </w:r>
      <w:r w:rsidRPr="00F27422">
        <w:rPr>
          <w:rFonts w:ascii="mylotus" w:hAnsi="mylotus"/>
          <w:sz w:val="32"/>
          <w:rtl/>
        </w:rPr>
        <w:t xml:space="preserve"> </w:t>
      </w:r>
      <w:r w:rsidRPr="00F27422">
        <w:rPr>
          <w:rFonts w:ascii="mylotus" w:hAnsi="mylotus" w:hint="cs"/>
          <w:sz w:val="32"/>
          <w:rtl/>
        </w:rPr>
        <w:t>ملاحظة</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حيثية</w:t>
      </w:r>
      <w:r w:rsidRPr="00F27422">
        <w:rPr>
          <w:rFonts w:ascii="mylotus" w:hAnsi="mylotus"/>
          <w:sz w:val="32"/>
          <w:rtl/>
        </w:rPr>
        <w:t xml:space="preserve"> </w:t>
      </w:r>
      <w:r w:rsidRPr="00F27422">
        <w:rPr>
          <w:rFonts w:ascii="mylotus" w:hAnsi="mylotus" w:hint="cs"/>
          <w:sz w:val="32"/>
          <w:rtl/>
        </w:rPr>
        <w:t>أُخرى،</w:t>
      </w:r>
      <w:r w:rsidRPr="00F27422">
        <w:rPr>
          <w:rFonts w:ascii="mylotus" w:hAnsi="mylotus"/>
          <w:sz w:val="32"/>
          <w:rtl/>
        </w:rPr>
        <w:t xml:space="preserve"> </w:t>
      </w:r>
      <w:r w:rsidRPr="00F27422">
        <w:rPr>
          <w:rFonts w:ascii="mylotus" w:hAnsi="mylotus" w:hint="cs"/>
          <w:sz w:val="32"/>
          <w:rtl/>
        </w:rPr>
        <w:t>مما</w:t>
      </w:r>
      <w:r w:rsidRPr="00F27422">
        <w:rPr>
          <w:rFonts w:ascii="mylotus" w:hAnsi="mylotus"/>
          <w:sz w:val="32"/>
          <w:rtl/>
        </w:rPr>
        <w:t xml:space="preserve"> </w:t>
      </w:r>
      <w:r w:rsidRPr="00F27422">
        <w:rPr>
          <w:rFonts w:ascii="mylotus" w:hAnsi="mylotus" w:hint="cs"/>
          <w:sz w:val="32"/>
          <w:rtl/>
        </w:rPr>
        <w:t>يعني</w:t>
      </w:r>
      <w:r w:rsidRPr="00F27422">
        <w:rPr>
          <w:rFonts w:ascii="mylotus" w:hAnsi="mylotus"/>
          <w:sz w:val="32"/>
          <w:rtl/>
        </w:rPr>
        <w:t xml:space="preserve"> </w:t>
      </w:r>
      <w:r w:rsidRPr="00F27422">
        <w:rPr>
          <w:rFonts w:ascii="mylotus" w:hAnsi="mylotus" w:hint="cs"/>
          <w:sz w:val="32"/>
          <w:rtl/>
        </w:rPr>
        <w:t>تقدم</w:t>
      </w:r>
      <w:r w:rsidRPr="00F27422">
        <w:rPr>
          <w:rFonts w:ascii="mylotus" w:hAnsi="mylotus"/>
          <w:sz w:val="32"/>
          <w:rtl/>
        </w:rPr>
        <w:t xml:space="preserve"> </w:t>
      </w:r>
      <w:r w:rsidRPr="00F27422">
        <w:rPr>
          <w:rFonts w:ascii="mylotus" w:hAnsi="mylotus" w:hint="cs"/>
          <w:sz w:val="32"/>
          <w:rtl/>
        </w:rPr>
        <w:t>المرجح</w:t>
      </w:r>
      <w:r w:rsidRPr="00F27422">
        <w:rPr>
          <w:rFonts w:ascii="mylotus" w:hAnsi="mylotus"/>
          <w:sz w:val="32"/>
          <w:rtl/>
        </w:rPr>
        <w:t xml:space="preserve"> </w:t>
      </w:r>
      <w:r w:rsidRPr="00F27422">
        <w:rPr>
          <w:rFonts w:ascii="mylotus" w:hAnsi="mylotus" w:hint="cs"/>
          <w:sz w:val="32"/>
          <w:rtl/>
        </w:rPr>
        <w:t>الصدوري</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بقية</w:t>
      </w:r>
      <w:r w:rsidRPr="00F27422">
        <w:rPr>
          <w:rFonts w:ascii="mylotus" w:hAnsi="mylotus"/>
          <w:sz w:val="32"/>
          <w:rtl/>
        </w:rPr>
        <w:t xml:space="preserve"> </w:t>
      </w:r>
      <w:r w:rsidRPr="00F27422">
        <w:rPr>
          <w:rFonts w:ascii="mylotus" w:hAnsi="mylotus" w:hint="cs"/>
          <w:sz w:val="32"/>
          <w:rtl/>
        </w:rPr>
        <w:t>المرجحات</w:t>
      </w:r>
      <w:r w:rsidRPr="00F27422">
        <w:rPr>
          <w:rFonts w:ascii="mylotus" w:hAnsi="mylotus"/>
          <w:sz w:val="32"/>
          <w:rtl/>
        </w:rPr>
        <w:t>.</w:t>
      </w:r>
    </w:p>
    <w:p w14:paraId="00023FED" w14:textId="77777777" w:rsidR="009C2251" w:rsidRPr="00F27422" w:rsidRDefault="009C2251" w:rsidP="00122B70">
      <w:pPr>
        <w:pStyle w:val="a"/>
        <w:bidi/>
        <w:spacing w:line="216" w:lineRule="auto"/>
        <w:jc w:val="left"/>
        <w:rPr>
          <w:rFonts w:ascii="mylotus" w:hAnsi="mylotus"/>
          <w:sz w:val="32"/>
          <w:rtl/>
        </w:rPr>
      </w:pPr>
    </w:p>
    <w:p w14:paraId="715B05E4" w14:textId="77777777" w:rsidR="009C2251" w:rsidRPr="00F27422" w:rsidRDefault="009C2251"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10A55AFB" w14:textId="77777777" w:rsidR="009C2251" w:rsidRPr="00F27422" w:rsidRDefault="009C2251" w:rsidP="00122B70">
      <w:pPr>
        <w:bidi/>
        <w:rPr>
          <w:sz w:val="32"/>
          <w:szCs w:val="32"/>
          <w:rtl/>
        </w:rPr>
      </w:pPr>
    </w:p>
    <w:p w14:paraId="3ED247BB" w14:textId="1B901BF3" w:rsidR="009C2251" w:rsidRPr="00F27422" w:rsidRDefault="009C2251" w:rsidP="00122B70">
      <w:pPr>
        <w:pStyle w:val="Heading3"/>
        <w:bidi/>
        <w:rPr>
          <w:sz w:val="32"/>
          <w:szCs w:val="32"/>
          <w:rtl/>
        </w:rPr>
      </w:pPr>
      <w:r w:rsidRPr="00F27422">
        <w:rPr>
          <w:rFonts w:hint="cs"/>
          <w:sz w:val="32"/>
          <w:szCs w:val="32"/>
          <w:rtl/>
        </w:rPr>
        <w:t>059</w:t>
      </w:r>
    </w:p>
    <w:p w14:paraId="37716641" w14:textId="77777777" w:rsidR="00AE6236" w:rsidRPr="00F27422" w:rsidRDefault="00AE6236" w:rsidP="00122B70">
      <w:pPr>
        <w:bidi/>
        <w:rPr>
          <w:b/>
          <w:bCs/>
          <w:sz w:val="32"/>
          <w:szCs w:val="32"/>
        </w:rPr>
      </w:pPr>
      <w:r w:rsidRPr="00F27422">
        <w:rPr>
          <w:b/>
          <w:bCs/>
          <w:sz w:val="32"/>
          <w:szCs w:val="32"/>
          <w:rtl/>
        </w:rPr>
        <w:t>بسم الله الرحمن الرحيم</w:t>
      </w:r>
    </w:p>
    <w:p w14:paraId="146C9592" w14:textId="77777777" w:rsidR="00AE6236" w:rsidRPr="00F27422" w:rsidRDefault="00AE6236"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24B2C03B" w14:textId="77777777" w:rsidR="00AE6236" w:rsidRPr="00F27422" w:rsidRDefault="00AE6236" w:rsidP="00122B70">
      <w:pPr>
        <w:bidi/>
        <w:rPr>
          <w:sz w:val="32"/>
          <w:szCs w:val="32"/>
          <w:rtl/>
        </w:rPr>
      </w:pPr>
      <w:r w:rsidRPr="00F27422">
        <w:rPr>
          <w:b/>
          <w:bCs/>
          <w:sz w:val="32"/>
          <w:szCs w:val="32"/>
          <w:rtl/>
        </w:rPr>
        <w:t>واللعن الدائم على أعدائهم أجمعين إلى قيام يوم الدين</w:t>
      </w:r>
    </w:p>
    <w:p w14:paraId="78856821" w14:textId="77777777" w:rsidR="00AE6236" w:rsidRPr="00F27422" w:rsidRDefault="00AE6236" w:rsidP="00122B70">
      <w:pPr>
        <w:bidi/>
        <w:rPr>
          <w:sz w:val="32"/>
          <w:szCs w:val="32"/>
          <w:rtl/>
        </w:rPr>
      </w:pPr>
    </w:p>
    <w:p w14:paraId="30F8ABE1" w14:textId="77777777" w:rsidR="00AE6236" w:rsidRPr="00F27422" w:rsidRDefault="00AE6236" w:rsidP="00122B70">
      <w:pPr>
        <w:bidi/>
        <w:rPr>
          <w:sz w:val="32"/>
          <w:szCs w:val="32"/>
          <w:rtl/>
        </w:rPr>
      </w:pPr>
      <w:r w:rsidRPr="00F27422">
        <w:rPr>
          <w:sz w:val="32"/>
          <w:szCs w:val="32"/>
          <w:highlight w:val="magenta"/>
          <w:rtl/>
        </w:rPr>
        <w:t>وقد أُفيد في تقريرٍ آخر لبحثه في كتاب</w:t>
      </w:r>
      <w:r w:rsidRPr="00F27422">
        <w:rPr>
          <w:sz w:val="32"/>
          <w:szCs w:val="32"/>
          <w:rtl/>
        </w:rPr>
        <w:t xml:space="preserve"> </w:t>
      </w:r>
      <w:r w:rsidRPr="00F27422">
        <w:rPr>
          <w:sz w:val="32"/>
          <w:szCs w:val="32"/>
          <w:highlight w:val="yellow"/>
          <w:rtl/>
        </w:rPr>
        <w:t xml:space="preserve">[المنهج في علم الأصول، تعارض الأدلة واختلاف الحديث، تقريراً لأبحاث آية الله العظمى السيد علي الحسيني السيستاني (دام ظله)، بقلم آية الله الشيخ مهدي </w:t>
      </w:r>
      <w:proofErr w:type="spellStart"/>
      <w:r w:rsidRPr="00F27422">
        <w:rPr>
          <w:sz w:val="32"/>
          <w:szCs w:val="32"/>
          <w:highlight w:val="yellow"/>
          <w:rtl/>
        </w:rPr>
        <w:t>مِروَاريد</w:t>
      </w:r>
      <w:proofErr w:type="spellEnd"/>
      <w:r w:rsidRPr="00F27422">
        <w:rPr>
          <w:sz w:val="32"/>
          <w:szCs w:val="32"/>
          <w:highlight w:val="yellow"/>
          <w:rtl/>
        </w:rPr>
        <w:t xml:space="preserve">، إعداد وتحقيق السيد مسعود </w:t>
      </w:r>
      <w:proofErr w:type="spellStart"/>
      <w:r w:rsidRPr="00F27422">
        <w:rPr>
          <w:sz w:val="32"/>
          <w:szCs w:val="32"/>
          <w:highlight w:val="yellow"/>
          <w:rtl/>
        </w:rPr>
        <w:t>المرتضوي</w:t>
      </w:r>
      <w:proofErr w:type="spellEnd"/>
      <w:r w:rsidRPr="00F27422">
        <w:rPr>
          <w:sz w:val="32"/>
          <w:szCs w:val="32"/>
          <w:highlight w:val="yellow"/>
          <w:rtl/>
        </w:rPr>
        <w:t>، دار الكتاب الحكيم للنشر والتوزيع، الطبعة الأولى، ج2، ص172 - 181]،</w:t>
      </w:r>
      <w:r w:rsidRPr="00F27422">
        <w:rPr>
          <w:sz w:val="32"/>
          <w:szCs w:val="32"/>
          <w:rtl/>
        </w:rPr>
        <w:t xml:space="preserve"> </w:t>
      </w:r>
      <w:r w:rsidRPr="00F27422">
        <w:rPr>
          <w:sz w:val="32"/>
          <w:szCs w:val="32"/>
          <w:highlight w:val="magenta"/>
          <w:rtl/>
        </w:rPr>
        <w:t>أنّ الصحيح ما نُسب إلى الوحيد البهبهاني</w:t>
      </w:r>
      <w:r w:rsidRPr="00F27422">
        <w:rPr>
          <w:sz w:val="32"/>
          <w:szCs w:val="32"/>
          <w:rtl/>
        </w:rPr>
        <w:t xml:space="preserve"> </w:t>
      </w:r>
      <w:r w:rsidRPr="00F27422">
        <w:rPr>
          <w:sz w:val="32"/>
          <w:szCs w:val="32"/>
          <w:highlight w:val="magenta"/>
          <w:rtl/>
        </w:rPr>
        <w:t>(قدس سره) في كتاب</w:t>
      </w:r>
      <w:r w:rsidRPr="00F27422">
        <w:rPr>
          <w:sz w:val="32"/>
          <w:szCs w:val="32"/>
          <w:highlight w:val="yellow"/>
          <w:rtl/>
        </w:rPr>
        <w:t xml:space="preserve"> [فوائد الأصول، الميرزا محمد حسين الغروي النائيني، مؤسسة النشر الإسلامي التابعة لجماعة المدرسين بقم المشرفة، ج4، ص781]</w:t>
      </w:r>
      <w:r w:rsidRPr="00F27422">
        <w:rPr>
          <w:sz w:val="32"/>
          <w:szCs w:val="32"/>
          <w:rtl/>
        </w:rPr>
        <w:t xml:space="preserve"> </w:t>
      </w:r>
      <w:r w:rsidRPr="00F27422">
        <w:rPr>
          <w:sz w:val="32"/>
          <w:szCs w:val="32"/>
          <w:highlight w:val="magenta"/>
          <w:rtl/>
        </w:rPr>
        <w:t>وما ذهب له المحقّق الرشتي (قدس سره) كما في كتابه</w:t>
      </w:r>
      <w:r w:rsidRPr="00F27422">
        <w:rPr>
          <w:sz w:val="32"/>
          <w:szCs w:val="32"/>
          <w:rtl/>
        </w:rPr>
        <w:t xml:space="preserve"> </w:t>
      </w:r>
      <w:r w:rsidRPr="00F27422">
        <w:rPr>
          <w:sz w:val="32"/>
          <w:szCs w:val="32"/>
          <w:highlight w:val="yellow"/>
          <w:rtl/>
        </w:rPr>
        <w:t xml:space="preserve">[بدائع الأفكار، الميرزا حبيب الله الرشتي، مؤسسة آل البيت (عليهم </w:t>
      </w:r>
      <w:r w:rsidRPr="00F27422">
        <w:rPr>
          <w:sz w:val="32"/>
          <w:szCs w:val="32"/>
          <w:highlight w:val="yellow"/>
          <w:rtl/>
        </w:rPr>
        <w:lastRenderedPageBreak/>
        <w:t>السلام) لإحياء التراث، ص457]</w:t>
      </w:r>
      <w:r w:rsidRPr="00F27422">
        <w:rPr>
          <w:sz w:val="32"/>
          <w:szCs w:val="32"/>
          <w:rtl/>
        </w:rPr>
        <w:t xml:space="preserve"> </w:t>
      </w:r>
      <w:r w:rsidRPr="00F27422">
        <w:rPr>
          <w:sz w:val="32"/>
          <w:szCs w:val="32"/>
          <w:highlight w:val="magenta"/>
          <w:rtl/>
        </w:rPr>
        <w:t>كما نسبه إليه السيد اليزدي (قدس سره) في رسالته</w:t>
      </w:r>
      <w:r w:rsidRPr="00F27422">
        <w:rPr>
          <w:sz w:val="32"/>
          <w:szCs w:val="32"/>
          <w:rtl/>
        </w:rPr>
        <w:t xml:space="preserve"> [ك</w:t>
      </w:r>
      <w:r w:rsidRPr="00F27422">
        <w:rPr>
          <w:sz w:val="32"/>
          <w:szCs w:val="32"/>
          <w:highlight w:val="yellow"/>
          <w:rtl/>
        </w:rPr>
        <w:t>تاب التعارض، السيد اليزدي، الناشر: محلاتي، تحقيق وتعليق الشيخ حلمي بن عبدالرؤوف السّنان، ص605]</w:t>
      </w:r>
      <w:r w:rsidRPr="00F27422">
        <w:rPr>
          <w:sz w:val="32"/>
          <w:szCs w:val="32"/>
          <w:rtl/>
        </w:rPr>
        <w:t xml:space="preserve"> </w:t>
      </w:r>
      <w:r w:rsidRPr="00F27422">
        <w:rPr>
          <w:sz w:val="32"/>
          <w:szCs w:val="32"/>
          <w:highlight w:val="magenta"/>
          <w:rtl/>
        </w:rPr>
        <w:t>من تقديم المرجح الجهتي على سائر المرجحات</w:t>
      </w:r>
      <w:r w:rsidRPr="00F27422">
        <w:rPr>
          <w:sz w:val="32"/>
          <w:szCs w:val="32"/>
        </w:rPr>
        <w:t>.</w:t>
      </w:r>
    </w:p>
    <w:p w14:paraId="4EE6B42C" w14:textId="77777777" w:rsidR="00AE6236" w:rsidRPr="00F27422" w:rsidRDefault="00AE6236" w:rsidP="00122B70">
      <w:pPr>
        <w:bidi/>
        <w:rPr>
          <w:b/>
          <w:bCs/>
          <w:sz w:val="32"/>
          <w:szCs w:val="32"/>
          <w:rtl/>
        </w:rPr>
      </w:pPr>
      <w:r w:rsidRPr="00F27422">
        <w:rPr>
          <w:b/>
          <w:bCs/>
          <w:sz w:val="32"/>
          <w:szCs w:val="32"/>
          <w:rtl/>
        </w:rPr>
        <w:t xml:space="preserve">وقد تصدى لتقريب هذا المسلك بوجهٍ لم يذكر في كلمات من </w:t>
      </w:r>
      <w:proofErr w:type="gramStart"/>
      <w:r w:rsidRPr="00F27422">
        <w:rPr>
          <w:b/>
          <w:bCs/>
          <w:sz w:val="32"/>
          <w:szCs w:val="32"/>
          <w:rtl/>
        </w:rPr>
        <w:t>سبقه ،</w:t>
      </w:r>
      <w:proofErr w:type="gramEnd"/>
      <w:r w:rsidRPr="00F27422">
        <w:rPr>
          <w:b/>
          <w:bCs/>
          <w:sz w:val="32"/>
          <w:szCs w:val="32"/>
          <w:rtl/>
        </w:rPr>
        <w:t xml:space="preserve"> وبيان ما أفاده (مد ظله) بذكر أمورٍ</w:t>
      </w:r>
      <w:r w:rsidRPr="00F27422">
        <w:rPr>
          <w:b/>
          <w:bCs/>
          <w:sz w:val="32"/>
          <w:szCs w:val="32"/>
        </w:rPr>
        <w:t>:</w:t>
      </w:r>
    </w:p>
    <w:p w14:paraId="039AE93C" w14:textId="77777777" w:rsidR="00AE6236" w:rsidRPr="00F27422" w:rsidRDefault="00AE6236" w:rsidP="00122B70">
      <w:pPr>
        <w:bidi/>
        <w:rPr>
          <w:sz w:val="32"/>
          <w:szCs w:val="32"/>
          <w:rtl/>
        </w:rPr>
      </w:pPr>
      <w:r w:rsidRPr="00F27422">
        <w:rPr>
          <w:b/>
          <w:bCs/>
          <w:sz w:val="32"/>
          <w:szCs w:val="32"/>
          <w:rtl/>
        </w:rPr>
        <w:t>الأمرُ الأوّل:</w:t>
      </w:r>
      <w:r w:rsidRPr="00F27422">
        <w:rPr>
          <w:sz w:val="32"/>
          <w:szCs w:val="32"/>
          <w:rtl/>
        </w:rPr>
        <w:t xml:space="preserve"> اختلاف مستويات الكلمات</w:t>
      </w:r>
      <w:r w:rsidRPr="00F27422">
        <w:rPr>
          <w:sz w:val="32"/>
          <w:szCs w:val="32"/>
        </w:rPr>
        <w:t>.</w:t>
      </w:r>
    </w:p>
    <w:p w14:paraId="68F24FD4" w14:textId="77777777" w:rsidR="00AE6236" w:rsidRPr="00F27422" w:rsidRDefault="00AE6236" w:rsidP="00122B70">
      <w:pPr>
        <w:bidi/>
        <w:rPr>
          <w:sz w:val="32"/>
          <w:szCs w:val="32"/>
          <w:rtl/>
        </w:rPr>
      </w:pPr>
      <w:r w:rsidRPr="00F27422">
        <w:rPr>
          <w:sz w:val="32"/>
          <w:szCs w:val="32"/>
          <w:rtl/>
        </w:rPr>
        <w:t xml:space="preserve">إنّ المراد بالجهة ليس خصوص مخالفة العامّة، بل هي عبارةٌ عن الكيفية الدلالية المرتبطة باختلاف الظروف والدواعي؛ حيث إنّ للكلام الصادر مِن المُقنن الذي له شأنٌ اجتماعي أنحاءٍ متعددة، فإنّ الزعيم أو القائد مُقننٌ ذو شأنٍ اجتماعي عام ومقتضى كونه ذا شأنٍ اجتماعي عام أنْ يكون لكلامه مستويات نابعة مِن ظروف مختلفة ودواعي متباينة ولا يجري كلامه على نسقٍ واحدٍ، وهذا مقتضى موقعه الذي يكون فيه، فقد يكون في مقام التعليم وبيان الكُبريات الكُلية في الشريعة، وقد يكون في مقام الإفتاء وتحديد الوظيفة الفعلية للمستفتي، وقد يكون في مقام الأوامر والإرشادات القيادية العامة التي لم يلحظ فيها تبليغ الكُبرى ولا تحديد الوظيفة للمستفتي وإنّما هو أمرٌ قيادي عام له عُلقة بالمصلحة العامّة لوضع أتباعه، وفي ظرف كونه في مقام الإفتاء فإنّ ذلك يقتضي مراعاة خصوصيات السؤال وظروف السائل </w:t>
      </w:r>
      <w:proofErr w:type="spellStart"/>
      <w:r w:rsidRPr="00F27422">
        <w:rPr>
          <w:sz w:val="32"/>
          <w:szCs w:val="32"/>
          <w:rtl/>
        </w:rPr>
        <w:t>وموقعية</w:t>
      </w:r>
      <w:proofErr w:type="spellEnd"/>
      <w:r w:rsidRPr="00F27422">
        <w:rPr>
          <w:sz w:val="32"/>
          <w:szCs w:val="32"/>
          <w:rtl/>
        </w:rPr>
        <w:t xml:space="preserve"> المفتي، حيث إنّ المفتي في مقام صدور فتواه يُلاحظ </w:t>
      </w:r>
      <w:proofErr w:type="spellStart"/>
      <w:r w:rsidRPr="00F27422">
        <w:rPr>
          <w:sz w:val="32"/>
          <w:szCs w:val="32"/>
          <w:rtl/>
        </w:rPr>
        <w:t>موقعيته</w:t>
      </w:r>
      <w:proofErr w:type="spellEnd"/>
      <w:r w:rsidRPr="00F27422">
        <w:rPr>
          <w:sz w:val="32"/>
          <w:szCs w:val="32"/>
          <w:rtl/>
        </w:rPr>
        <w:t xml:space="preserve"> ومدى كون الفتوى منسجمة معها في الحاضر والمستقبل، وطريقة الصياغة بما لا يُوجب ثلمةً أو ضرراً أو خطراً ونحو ذلك مِن المقامات، فإنّ المفتي كالطبيب الذي يكون في مقام تشخيص المرض وتحديد العلاج الناجع، ومِن الواضح أنّ الطبيب يُلاحظ خصوصيات المريض وظروفه وشروط استخدام الدواء ومناسبة المورد للنصائح والإرشادات الطبية منه، ولذا صدرَ منهم (عليهم السلام) أنواعٌ من المفاهيم والكلمات التي لو أُلقيت على العُرف الساذج لرَآها مُتعارضةً متباينةً؛ لعدم التفاته إلى الخصوصيات، إلّا أنّ اختلاف هذه المحتويات والمفاهيم راجعٌ لاختلاف الظروف كاختلاف مقام التعليم عن مقام الإفتاء ومقام القيادة، أو اختلاف الدواعي ككون المقصد مِن كلامه هو التقية أو كون المقصد مِن كلامه إِلقاء الاختلاف بين الشيعة حقنا لدمائهم، كما تعرض إليه صاحب الحدائق (رضوان الله عليه) في [الحدائق الناضرة في أحكام العترة الطاهرة، الشيخ يوسف البحراني، مؤسسة النشر الإسلامي التابعة لجماعة المدرسين بقم المشرفة، ج1، ص8]، نقلاً عن الكافي: </w:t>
      </w:r>
      <w:r w:rsidRPr="00F27422">
        <w:rPr>
          <w:b/>
          <w:bCs/>
          <w:sz w:val="32"/>
          <w:szCs w:val="32"/>
          <w:rtl/>
        </w:rPr>
        <w:t xml:space="preserve">(أَحْمَدُ بْنُ إِدْرِيسَ، عَنْ مُحَمَّدِ بْنِ عَبْدِ الْجَبَّارِ، عَنِ الْحَسَنِ بْنِ عَلِيٍّ، عَنْ ثَعْلَبَةَ بْنِ مَيْمُونٍ، عَنْ زُرَارَةَ بْنِ أَعْيَنَ، عَنْ أَبِي جَعْفَرٍ (عليه السلام) قَالَ: سَأَلْتُهُ عَنْ مَسْأَلَةٍ فَأَجَابَنِي، ثُمَّ جَاءَهُ رَجُلٌ فَسَأَلَهُ عَنْهَا فَأَجَابَهُ بِخِلَافِ مَا أَجَابَنِي، ثُمَّ جَاءَ رَجُلٌ آخَرُ </w:t>
      </w:r>
      <w:r w:rsidRPr="00F27422">
        <w:rPr>
          <w:b/>
          <w:bCs/>
          <w:sz w:val="32"/>
          <w:szCs w:val="32"/>
          <w:rtl/>
        </w:rPr>
        <w:lastRenderedPageBreak/>
        <w:t xml:space="preserve">فَأَجَابَهُ بِخِلَافِ مَا أَجَابَنِي وَأَجَابَ صَاحِبِي، فَلَمَّا خَرَجَ الرَّجُلَانِ قُلْتُ: يَا ابْنَ رَسُولِ اللَّهِ رَجُلَانِ مِنْ أَهْلِ الْعِرَاقِ مِنْ شِيعَتِكُمْ قَدِمَا يَسْأَلَانِ فَأَجَبْتَ كُلَّ وَاحِدٍ مِنْهُمَا بِغَيْرِ مَا أَجَبْتَ بِهِ صَاحِبَهُ؟ فَقَالَ: يَا زُرَارَةُ إِنَّ هَذَا خَيْرٌ لَنَا وَأَبْقَى لَنَا وَلَكُمْ وَلَوِ اجْتَمَعْتُمْ عَلَى أَمْرٍ وَاحِدٍ لَصَدَّقَكُمُ النَّاسُ عَلَيْنَا وَلَكَانَ أَقَلَّ لِبَقَائِنَا وَبَقَائِكُمْ، قَالَ: ثُمَّ قُلْتُ لِأَبِي عَبْدِ اللَّهِ (عليه السلام): شِيعَتُكُمْ لَوْ حَمَلْتُمُوهُمْ عَلَى الْأَسِنَّةِ أَوْ عَلَى النَّارِ لَمَضَوْا وَهُمْ يَخْرُجُونَ مِنْ عِنْدِكُمْ مُخْتَلِفِينَ، قَالَ فَأَجَابَنِي بِمِثْلِ جَوَابِ أَبِيهِ). </w:t>
      </w:r>
      <w:r w:rsidRPr="00F27422">
        <w:rPr>
          <w:sz w:val="32"/>
          <w:szCs w:val="32"/>
          <w:rtl/>
        </w:rPr>
        <w:t xml:space="preserve">[الكافي، للشيخ الكليني، </w:t>
      </w:r>
      <w:proofErr w:type="gramStart"/>
      <w:r w:rsidRPr="00F27422">
        <w:rPr>
          <w:sz w:val="32"/>
          <w:szCs w:val="32"/>
          <w:rtl/>
        </w:rPr>
        <w:t>دار  الكتب</w:t>
      </w:r>
      <w:proofErr w:type="gramEnd"/>
      <w:r w:rsidRPr="00F27422">
        <w:rPr>
          <w:sz w:val="32"/>
          <w:szCs w:val="32"/>
          <w:rtl/>
        </w:rPr>
        <w:t xml:space="preserve"> الإسلامية، ج1، كتاب فضل العلم، باب اختلاف الحديث، ح5].</w:t>
      </w:r>
    </w:p>
    <w:p w14:paraId="32ED583A" w14:textId="77777777" w:rsidR="00AE6236" w:rsidRPr="00F27422" w:rsidRDefault="00AE6236" w:rsidP="00122B70">
      <w:pPr>
        <w:bidi/>
        <w:rPr>
          <w:sz w:val="32"/>
          <w:szCs w:val="32"/>
          <w:rtl/>
        </w:rPr>
      </w:pPr>
      <w:r w:rsidRPr="00F27422">
        <w:rPr>
          <w:sz w:val="32"/>
          <w:szCs w:val="32"/>
          <w:rtl/>
        </w:rPr>
        <w:t>أو كون المقصد السوق إلى الكمال (كما في اختلاف روايات فضيلة الوقت)، فقد يصدر منه أوامر مختلفة لكن قُصد مِن بعضها السوق إلى أعلى درجات الكمال وقُصد مِن بعضها الآخر السوق لمرتبةٍ مِن مراتبِ الكمال، فيتوهم أنّ ذلك من التعارض، مع أنّه ليس كذلك؛ لاختلاف المقاصد والأهداف والدواعي، وقد يكون في مقام بيان الوظيفة الواقعية، وقد يكون في مقام بيان الوظيفة الظاهرية</w:t>
      </w:r>
      <w:r w:rsidRPr="00F27422">
        <w:rPr>
          <w:sz w:val="32"/>
          <w:szCs w:val="32"/>
        </w:rPr>
        <w:t>.</w:t>
      </w:r>
    </w:p>
    <w:p w14:paraId="565E653D" w14:textId="77777777" w:rsidR="00AE6236" w:rsidRPr="00F27422" w:rsidRDefault="00AE6236" w:rsidP="00122B70">
      <w:pPr>
        <w:bidi/>
        <w:rPr>
          <w:sz w:val="32"/>
          <w:szCs w:val="32"/>
          <w:rtl/>
        </w:rPr>
      </w:pPr>
      <w:r w:rsidRPr="00F27422">
        <w:rPr>
          <w:sz w:val="32"/>
          <w:szCs w:val="32"/>
          <w:rtl/>
        </w:rPr>
        <w:t xml:space="preserve">وفي هذا السياق قد ورد عنهم ما يفيد أنّ كلام الإمام (عليه السلام) ليس ذا مستوى واحد فهو يُجيب على الزيادة والنقصان، كما في الكافي: </w:t>
      </w:r>
      <w:r w:rsidRPr="00F27422">
        <w:rPr>
          <w:b/>
          <w:bCs/>
          <w:sz w:val="32"/>
          <w:szCs w:val="32"/>
          <w:rtl/>
        </w:rPr>
        <w:t>(عَلِيُّ بْنُ إِبْرَاهِيمَ، عَنْ أَبِيهِ، عَنِ ابْنِ أَبِي نَجْرَانَ، عَنْ عَاصِمِ بْنِ حُمَيْدٍ، عَنْ مَنْصُورِ بْنِ حَازِمٍ قَالَ: قُلْتُ لِأَبِي عَبْدِاللَّهِ (عليه السلام): مَا بَالِي أَسْأَلُكَ عَنِ الْمَسْأَلَةِ فَتُجِيبُنِي فِيهَا بِالْجَوَابِ ثُمَّ يَجِيئُكَ غَيْرِي فَتُجِيبُهُ فِيهَا بِجَوَابٍ آخَرَ، فَقَالَ: إِنَّا نُجِيبُ النَّاسَ عَلَى الزِّيَادَةِ وَالنُّقْصَانِ، قَالَ: قُلْتُ: فَأَخْبِرْنِي عَنْ أَصْحَابِ رَسُولِ اللَّهِ (صلى الله عليه وآله) صَدَقُوا عَلَى مُحَمَّدٍ (صلى الله عليه وآله) أَمْ كَذَبُوا؟ قَالَ: بَلْ صَدَقُوا، قَالَ: قُلْتُ: فَمَا بَالُهُمُ اخْتَلَفُوا؟ فَقَالَ: أَ مَا تَعْلَمُ أَنَّ الرَّجُلَ كَانَ يَأْتِي رَسُولَ اللَّهِ (صلى الله عليه وآله) فَيَسْأَلُهُ عَنِ الْمَسْأَلَةِ فَيُجِيبُهُ فِيهَا بِالْجَوَابِ ثُمَّ يُجِيبُهُ بَعْدَ ذَلِكَ مَا يَنْسَخُ ذَلِكَ الْجَوَابَ فَنَسَخَتِ الْأَحَادِيثُ بَعْضُهَا بَعْضاً).</w:t>
      </w:r>
      <w:r w:rsidRPr="00F27422">
        <w:rPr>
          <w:sz w:val="32"/>
          <w:szCs w:val="32"/>
          <w:rtl/>
        </w:rPr>
        <w:t xml:space="preserve"> [الكافي، للشيخ الكليني، </w:t>
      </w:r>
      <w:proofErr w:type="gramStart"/>
      <w:r w:rsidRPr="00F27422">
        <w:rPr>
          <w:sz w:val="32"/>
          <w:szCs w:val="32"/>
          <w:rtl/>
        </w:rPr>
        <w:t>دار  الكتب</w:t>
      </w:r>
      <w:proofErr w:type="gramEnd"/>
      <w:r w:rsidRPr="00F27422">
        <w:rPr>
          <w:sz w:val="32"/>
          <w:szCs w:val="32"/>
          <w:rtl/>
        </w:rPr>
        <w:t xml:space="preserve"> الإسلامية، ج1، كتاب فضل العلم، باب اختلاف الحديث، ح3]</w:t>
      </w:r>
      <w:r w:rsidRPr="00F27422">
        <w:rPr>
          <w:sz w:val="32"/>
          <w:szCs w:val="32"/>
        </w:rPr>
        <w:t>.</w:t>
      </w:r>
    </w:p>
    <w:p w14:paraId="7E5EA987" w14:textId="77777777" w:rsidR="00AE6236" w:rsidRPr="00F27422" w:rsidRDefault="00AE6236" w:rsidP="00122B70">
      <w:pPr>
        <w:bidi/>
        <w:rPr>
          <w:sz w:val="32"/>
          <w:szCs w:val="32"/>
          <w:rtl/>
        </w:rPr>
      </w:pPr>
      <w:r w:rsidRPr="00F27422">
        <w:rPr>
          <w:sz w:val="32"/>
          <w:szCs w:val="32"/>
          <w:rtl/>
        </w:rPr>
        <w:t xml:space="preserve">أو أنّه (عليه السلام) يُجيب على سبعين وجهاً، كما في بصائر الدرجات: </w:t>
      </w:r>
      <w:r w:rsidRPr="00F27422">
        <w:rPr>
          <w:b/>
          <w:bCs/>
          <w:sz w:val="32"/>
          <w:szCs w:val="32"/>
          <w:rtl/>
        </w:rPr>
        <w:t xml:space="preserve">(حدثنا محمّد بن الحسين، عن النّضر بن شُعيب، عن </w:t>
      </w:r>
      <w:proofErr w:type="gramStart"/>
      <w:r w:rsidRPr="00F27422">
        <w:rPr>
          <w:b/>
          <w:bCs/>
          <w:sz w:val="32"/>
          <w:szCs w:val="32"/>
          <w:rtl/>
        </w:rPr>
        <w:t>عبدالغفار</w:t>
      </w:r>
      <w:proofErr w:type="gramEnd"/>
      <w:r w:rsidRPr="00F27422">
        <w:rPr>
          <w:b/>
          <w:bCs/>
          <w:sz w:val="32"/>
          <w:szCs w:val="32"/>
          <w:rtl/>
        </w:rPr>
        <w:t xml:space="preserve"> الجازيّ، عن أبي </w:t>
      </w:r>
      <w:proofErr w:type="gramStart"/>
      <w:r w:rsidRPr="00F27422">
        <w:rPr>
          <w:b/>
          <w:bCs/>
          <w:sz w:val="32"/>
          <w:szCs w:val="32"/>
          <w:rtl/>
        </w:rPr>
        <w:t>عبدالله</w:t>
      </w:r>
      <w:proofErr w:type="gramEnd"/>
      <w:r w:rsidRPr="00F27422">
        <w:rPr>
          <w:b/>
          <w:bCs/>
          <w:sz w:val="32"/>
          <w:szCs w:val="32"/>
          <w:rtl/>
        </w:rPr>
        <w:t xml:space="preserve"> (عليه السلام) أنّه قال: إنّي لأتكلّم على سبعين وجهاً لي في كُلّها المخرج).</w:t>
      </w:r>
      <w:r w:rsidRPr="00F27422">
        <w:rPr>
          <w:sz w:val="32"/>
          <w:szCs w:val="32"/>
          <w:rtl/>
        </w:rPr>
        <w:t xml:space="preserve"> [بصائر الدرجات، محمّد بن الحسن الصفار، ج1، الباب 9 باب في الأئمة أنهم يتكلمون على سبعين وجهاً كلها المخرج ويفتون لذلك، ح1]</w:t>
      </w:r>
      <w:r w:rsidRPr="00F27422">
        <w:rPr>
          <w:sz w:val="32"/>
          <w:szCs w:val="32"/>
        </w:rPr>
        <w:t>.</w:t>
      </w:r>
    </w:p>
    <w:p w14:paraId="109A8E1E" w14:textId="77777777" w:rsidR="00AE6236" w:rsidRPr="00F27422" w:rsidRDefault="00AE6236" w:rsidP="00122B70">
      <w:pPr>
        <w:bidi/>
        <w:rPr>
          <w:sz w:val="32"/>
          <w:szCs w:val="32"/>
          <w:rtl/>
        </w:rPr>
      </w:pPr>
      <w:r w:rsidRPr="00F27422">
        <w:rPr>
          <w:sz w:val="32"/>
          <w:szCs w:val="32"/>
          <w:rtl/>
        </w:rPr>
        <w:lastRenderedPageBreak/>
        <w:t xml:space="preserve">أو كما جاء في معاني الأخبار: </w:t>
      </w:r>
      <w:r w:rsidRPr="00F27422">
        <w:rPr>
          <w:b/>
          <w:bCs/>
          <w:sz w:val="32"/>
          <w:szCs w:val="32"/>
          <w:rtl/>
        </w:rPr>
        <w:t xml:space="preserve">(حدّثنا </w:t>
      </w:r>
      <w:proofErr w:type="spellStart"/>
      <w:r w:rsidRPr="00F27422">
        <w:rPr>
          <w:b/>
          <w:bCs/>
          <w:sz w:val="32"/>
          <w:szCs w:val="32"/>
          <w:rtl/>
        </w:rPr>
        <w:t>جعفربن</w:t>
      </w:r>
      <w:proofErr w:type="spellEnd"/>
      <w:r w:rsidRPr="00F27422">
        <w:rPr>
          <w:b/>
          <w:bCs/>
          <w:sz w:val="32"/>
          <w:szCs w:val="32"/>
          <w:rtl/>
        </w:rPr>
        <w:t xml:space="preserve"> محمّد بن مسرور (رضي الله عنه) قال: حدَّثنا الحسين بن محمّد بن عامر، عن عمّه </w:t>
      </w:r>
      <w:proofErr w:type="gramStart"/>
      <w:r w:rsidRPr="00F27422">
        <w:rPr>
          <w:b/>
          <w:bCs/>
          <w:sz w:val="32"/>
          <w:szCs w:val="32"/>
          <w:rtl/>
        </w:rPr>
        <w:t>عبدالله</w:t>
      </w:r>
      <w:proofErr w:type="gramEnd"/>
      <w:r w:rsidRPr="00F27422">
        <w:rPr>
          <w:b/>
          <w:bCs/>
          <w:sz w:val="32"/>
          <w:szCs w:val="32"/>
          <w:rtl/>
        </w:rPr>
        <w:t xml:space="preserve"> بن عامر، عن محمّد بن أبي عمير، عن إبراهيم الكرخيّ، عن أبي </w:t>
      </w:r>
      <w:proofErr w:type="gramStart"/>
      <w:r w:rsidRPr="00F27422">
        <w:rPr>
          <w:b/>
          <w:bCs/>
          <w:sz w:val="32"/>
          <w:szCs w:val="32"/>
          <w:rtl/>
        </w:rPr>
        <w:t>عبدالله</w:t>
      </w:r>
      <w:proofErr w:type="gramEnd"/>
      <w:r w:rsidRPr="00F27422">
        <w:rPr>
          <w:b/>
          <w:bCs/>
          <w:sz w:val="32"/>
          <w:szCs w:val="32"/>
          <w:rtl/>
        </w:rPr>
        <w:t xml:space="preserve"> (عليه السلام) أنّه قال: حديث تدريه خيرٌ من ألف حديث ترويه، ولا يكون الرجل منكم فقيهاً حتّى يعرف معاريض كلامنا، وإنّ الكلمة منا لتصرف على سبعين وجهاً لنا من جميعها المخرج).</w:t>
      </w:r>
      <w:r w:rsidRPr="00F27422">
        <w:rPr>
          <w:sz w:val="32"/>
          <w:szCs w:val="32"/>
          <w:rtl/>
        </w:rPr>
        <w:t xml:space="preserve"> [معاني الأخبار، تأليف رئيس المحدّثين الشيخ الصدوق محمّد بن عليّ بن الحسين بن بابويه القمي، عُني بتصحيحه وتحقيقه الأُستاذ علي أكبر الغفاري، مؤسسة النشر الإسلامي التابعة لجماعة المدرسين بقم المشرفة، الباب الذي من أجله سمينا هذا الكتاب كتاب معاني الأخبار، ح3].</w:t>
      </w:r>
    </w:p>
    <w:p w14:paraId="144AC1EF" w14:textId="77777777" w:rsidR="00AE6236" w:rsidRPr="00F27422" w:rsidRDefault="00AE6236" w:rsidP="00122B70">
      <w:pPr>
        <w:bidi/>
        <w:rPr>
          <w:sz w:val="32"/>
          <w:szCs w:val="32"/>
          <w:rtl/>
        </w:rPr>
      </w:pPr>
      <w:r w:rsidRPr="00F27422">
        <w:rPr>
          <w:sz w:val="32"/>
          <w:szCs w:val="32"/>
          <w:rtl/>
        </w:rPr>
        <w:t xml:space="preserve">ومِن الواضح أنّ المقصود بالمعاريض في قوله (عليه السلام): </w:t>
      </w:r>
      <w:r w:rsidRPr="00F27422">
        <w:rPr>
          <w:b/>
          <w:bCs/>
          <w:sz w:val="32"/>
          <w:szCs w:val="32"/>
          <w:rtl/>
        </w:rPr>
        <w:t>(يعرف معاريض كلامنا)</w:t>
      </w:r>
      <w:r w:rsidRPr="00F27422">
        <w:rPr>
          <w:sz w:val="32"/>
          <w:szCs w:val="32"/>
          <w:rtl/>
        </w:rPr>
        <w:t xml:space="preserve"> أي: لوازم الكلام التي قد تكون قريبة وقد تكون بعيدة ومعرفة شؤون المتكلم مِن خلالها وأنّه في مقام بيان الحكم الواقعي أو في مقام التورية أو في مقام القيادة والولاية، فكلّ ذلك يدخل تحت عنوان المعاريض</w:t>
      </w:r>
      <w:r w:rsidRPr="00F27422">
        <w:rPr>
          <w:sz w:val="32"/>
          <w:szCs w:val="32"/>
        </w:rPr>
        <w:t>.</w:t>
      </w:r>
    </w:p>
    <w:p w14:paraId="12FEA7AC" w14:textId="77777777" w:rsidR="00AE6236" w:rsidRPr="00F27422" w:rsidRDefault="00AE6236" w:rsidP="00122B70">
      <w:pPr>
        <w:bidi/>
        <w:rPr>
          <w:sz w:val="32"/>
          <w:szCs w:val="32"/>
          <w:rtl/>
        </w:rPr>
      </w:pPr>
      <w:r w:rsidRPr="00F27422">
        <w:rPr>
          <w:b/>
          <w:bCs/>
          <w:sz w:val="32"/>
          <w:szCs w:val="32"/>
          <w:rtl/>
        </w:rPr>
        <w:t>الأمرُ الثاني:</w:t>
      </w:r>
      <w:r w:rsidRPr="00F27422">
        <w:rPr>
          <w:sz w:val="32"/>
          <w:szCs w:val="32"/>
          <w:rtl/>
        </w:rPr>
        <w:t xml:space="preserve"> إنّ سيرة العقلاء وسيرة أصحاب الأئمة (عليه السلام) على عدم تحكيم التعارض بين ما ينقل عنهم مِن كلمات مختلفة، بل على حمله على اختلاف المستويات والظروف والمقامات</w:t>
      </w:r>
      <w:r w:rsidRPr="00F27422">
        <w:rPr>
          <w:sz w:val="32"/>
          <w:szCs w:val="32"/>
        </w:rPr>
        <w:t>.</w:t>
      </w:r>
    </w:p>
    <w:p w14:paraId="4E732DA7" w14:textId="77777777" w:rsidR="00AE6236" w:rsidRPr="00F27422" w:rsidRDefault="00AE6236" w:rsidP="00122B70">
      <w:pPr>
        <w:bidi/>
        <w:rPr>
          <w:sz w:val="32"/>
          <w:szCs w:val="32"/>
          <w:rtl/>
        </w:rPr>
      </w:pPr>
      <w:r w:rsidRPr="00F27422">
        <w:rPr>
          <w:b/>
          <w:bCs/>
          <w:sz w:val="32"/>
          <w:szCs w:val="32"/>
          <w:rtl/>
        </w:rPr>
        <w:t>وبيانه:</w:t>
      </w:r>
      <w:r w:rsidRPr="00F27422">
        <w:rPr>
          <w:sz w:val="32"/>
          <w:szCs w:val="32"/>
          <w:rtl/>
        </w:rPr>
        <w:t xml:space="preserve"> إنّ البناء العقلائي بالنسبة  للزعيم الاجتماعي الذي له شؤونٌ مختلفة ومقاماتٌ متنوعة عند وصول كلامين متعارضين بدواً عنه على عدم المصير لتحكيم التعارض بين ما يُنقل عنه، أو تكذيب الناقل فيما نقل، أو إعمال القرائن المرتبطة بتوثيق الصدور فقط، وإنّما بناءُ العقلاء على الجمع بين الكلمات الصادرة أو المنقولة على ضوء اختلاف الظروف والدواعي، وعلى ذلك جرى عمل الأصحاب من رُواة أحاديث الإمامية فإنّهم إذا وصلتهم المقالة عن الإمام المعصوم (عليه السلام) وكانتْ مُستغربة – مثلاً - قاموا بعرضها على الفقهاء وهم علية الرُواة كأمثال: زرارة بن أعين، ومحمّد بن مسلم، وجميل بن دراج وأمثالهم؛ لمعرفتهم بالكيفية الدلالية المنظورة للإمام (عليه السلام) المعبر عنها بالجهة، فليس المقصود بالجهة مخالفة العامّة فقط بل الكيفية الدلالية التي تجمع كلّ هذه الأنحاء </w:t>
      </w:r>
      <w:proofErr w:type="spellStart"/>
      <w:r w:rsidRPr="00F27422">
        <w:rPr>
          <w:sz w:val="32"/>
          <w:szCs w:val="32"/>
          <w:rtl/>
        </w:rPr>
        <w:t>والمداليل</w:t>
      </w:r>
      <w:proofErr w:type="spellEnd"/>
      <w:r w:rsidRPr="00F27422">
        <w:rPr>
          <w:sz w:val="32"/>
          <w:szCs w:val="32"/>
        </w:rPr>
        <w:t>.</w:t>
      </w:r>
    </w:p>
    <w:p w14:paraId="33AB340A" w14:textId="77777777" w:rsidR="00AE6236" w:rsidRPr="00F27422" w:rsidRDefault="00AE6236" w:rsidP="00122B70">
      <w:pPr>
        <w:bidi/>
        <w:rPr>
          <w:b/>
          <w:bCs/>
          <w:sz w:val="32"/>
          <w:szCs w:val="32"/>
          <w:rtl/>
        </w:rPr>
      </w:pPr>
      <w:r w:rsidRPr="00F27422">
        <w:rPr>
          <w:b/>
          <w:bCs/>
          <w:sz w:val="32"/>
          <w:szCs w:val="32"/>
          <w:rtl/>
        </w:rPr>
        <w:t>ومن الشواهد على ذلك</w:t>
      </w:r>
      <w:r w:rsidRPr="00F27422">
        <w:rPr>
          <w:b/>
          <w:bCs/>
          <w:sz w:val="32"/>
          <w:szCs w:val="32"/>
        </w:rPr>
        <w:t>:</w:t>
      </w:r>
    </w:p>
    <w:p w14:paraId="49F82B57" w14:textId="77777777" w:rsidR="00AE6236" w:rsidRPr="00F27422" w:rsidRDefault="00AE6236" w:rsidP="00122B70">
      <w:pPr>
        <w:bidi/>
        <w:rPr>
          <w:b/>
          <w:bCs/>
          <w:sz w:val="32"/>
          <w:szCs w:val="32"/>
          <w:rtl/>
        </w:rPr>
      </w:pPr>
      <w:r w:rsidRPr="00F27422">
        <w:rPr>
          <w:b/>
          <w:bCs/>
          <w:sz w:val="32"/>
          <w:szCs w:val="32"/>
          <w:rtl/>
        </w:rPr>
        <w:t>الشاهدُ الأوّل:</w:t>
      </w:r>
      <w:r w:rsidRPr="00F27422">
        <w:rPr>
          <w:sz w:val="32"/>
          <w:szCs w:val="32"/>
          <w:rtl/>
        </w:rPr>
        <w:t xml:space="preserve"> رواية ابن محرز، كما في الكافي: </w:t>
      </w:r>
      <w:r w:rsidRPr="00F27422">
        <w:rPr>
          <w:b/>
          <w:bCs/>
          <w:sz w:val="32"/>
          <w:szCs w:val="32"/>
          <w:rtl/>
        </w:rPr>
        <w:t xml:space="preserve">(عَلِيُّ بْنُ إِبْرَاهِيمَ، عَنْ أَبِيهِ، عَنِ ابْنِ أَبِي عُمَيْرٍ وَمُحَمَّدُ بْنُ يَحْيَى، عَنْ أَحْمَدَ بْنِ مُحَمَّدٍ، عَنِ ابْنِ أَبِي عُمَيْرٍ، عَنْ جَمِيلِ بْنِ دَرَّاجٍ، عَنْ سَلَمَةَ بْنِ مُحْرِزٍ قَالَ: قُلْتُ لِأَبِي عَبْدِاللَّهِ (عليه السلام): إِنَّ رَجُلًا </w:t>
      </w:r>
      <w:proofErr w:type="spellStart"/>
      <w:r w:rsidRPr="00F27422">
        <w:rPr>
          <w:b/>
          <w:bCs/>
          <w:sz w:val="32"/>
          <w:szCs w:val="32"/>
          <w:rtl/>
        </w:rPr>
        <w:t>أَرْمَانِيّاً</w:t>
      </w:r>
      <w:proofErr w:type="spellEnd"/>
      <w:r w:rsidRPr="00F27422">
        <w:rPr>
          <w:b/>
          <w:bCs/>
          <w:sz w:val="32"/>
          <w:szCs w:val="32"/>
          <w:rtl/>
        </w:rPr>
        <w:t xml:space="preserve"> مَاتَ وَأَوْصَى إِلَيَّ، </w:t>
      </w:r>
      <w:r w:rsidRPr="00F27422">
        <w:rPr>
          <w:b/>
          <w:bCs/>
          <w:sz w:val="32"/>
          <w:szCs w:val="32"/>
          <w:rtl/>
        </w:rPr>
        <w:lastRenderedPageBreak/>
        <w:t>فَقَالَ لِي: وَمَا الْأَرْمَانِيُّ؟ قُلْتُ: نَبَطِيٌّ مِنْ أَنْبَاطِ الْجِبَالِ</w:t>
      </w:r>
      <w:r w:rsidRPr="00F27422">
        <w:rPr>
          <w:b/>
          <w:bCs/>
          <w:sz w:val="32"/>
          <w:szCs w:val="32"/>
        </w:rPr>
        <w:t>‌</w:t>
      </w:r>
      <w:r w:rsidRPr="00F27422">
        <w:rPr>
          <w:b/>
          <w:bCs/>
          <w:sz w:val="32"/>
          <w:szCs w:val="32"/>
          <w:rtl/>
        </w:rPr>
        <w:t xml:space="preserve"> مَاتَ وَأَوْصَى إِلَيَّ بِتَرِكَتِهِ وَتَرَكَ ابْنَتَهُ، قَالَ: فَقَالَ لِي: أَعْطِهَا النِّصْفَ</w:t>
      </w:r>
      <w:r w:rsidRPr="00F27422">
        <w:rPr>
          <w:b/>
          <w:bCs/>
          <w:sz w:val="32"/>
          <w:szCs w:val="32"/>
        </w:rPr>
        <w:t>.</w:t>
      </w:r>
    </w:p>
    <w:p w14:paraId="50A37BED" w14:textId="77777777" w:rsidR="00AE6236" w:rsidRPr="00F27422" w:rsidRDefault="00AE6236" w:rsidP="00122B70">
      <w:pPr>
        <w:bidi/>
        <w:rPr>
          <w:b/>
          <w:bCs/>
          <w:sz w:val="32"/>
          <w:szCs w:val="32"/>
          <w:rtl/>
        </w:rPr>
      </w:pPr>
      <w:r w:rsidRPr="00F27422">
        <w:rPr>
          <w:b/>
          <w:bCs/>
          <w:sz w:val="32"/>
          <w:szCs w:val="32"/>
          <w:rtl/>
        </w:rPr>
        <w:t xml:space="preserve">قَالَ: فَأَخْبَرْتُ زُرَارَةَ بِذَلِكَ، فَقَالَ لِي: اتَّقَاكَ، إِنَّمَا الْمَالُ لَهَا، قَالَ: فَدَخَلْتُ عَلَيْهِ بَعْدُ فَقُلْتُ: أَصْلَحَكَ اللَّهُ، إِنَّ أَصْحَابَنَا زَعَمُوا أَنَّكَ اتَّقَيْتَنِي، فَقَالَ: لَا </w:t>
      </w:r>
      <w:proofErr w:type="gramStart"/>
      <w:r w:rsidRPr="00F27422">
        <w:rPr>
          <w:b/>
          <w:bCs/>
          <w:sz w:val="32"/>
          <w:szCs w:val="32"/>
          <w:rtl/>
        </w:rPr>
        <w:t>وَ اللَّهِ</w:t>
      </w:r>
      <w:proofErr w:type="gramEnd"/>
      <w:r w:rsidRPr="00F27422">
        <w:rPr>
          <w:b/>
          <w:bCs/>
          <w:sz w:val="32"/>
          <w:szCs w:val="32"/>
          <w:rtl/>
        </w:rPr>
        <w:t xml:space="preserve">، مَا </w:t>
      </w:r>
      <w:proofErr w:type="gramStart"/>
      <w:r w:rsidRPr="00F27422">
        <w:rPr>
          <w:b/>
          <w:bCs/>
          <w:sz w:val="32"/>
          <w:szCs w:val="32"/>
          <w:rtl/>
        </w:rPr>
        <w:t>اتَّقَيْتُكَ</w:t>
      </w:r>
      <w:proofErr w:type="gramEnd"/>
      <w:r w:rsidRPr="00F27422">
        <w:rPr>
          <w:b/>
          <w:bCs/>
          <w:sz w:val="32"/>
          <w:szCs w:val="32"/>
          <w:rtl/>
        </w:rPr>
        <w:t xml:space="preserve"> وَلَكِنِ اتَّقَيْتُ عَلَيْكَ أَنْ تُضَمَّنَ</w:t>
      </w:r>
      <w:r w:rsidRPr="00F27422">
        <w:rPr>
          <w:b/>
          <w:bCs/>
          <w:sz w:val="32"/>
          <w:szCs w:val="32"/>
        </w:rPr>
        <w:t>‌</w:t>
      </w:r>
      <w:r w:rsidRPr="00F27422">
        <w:rPr>
          <w:b/>
          <w:bCs/>
          <w:sz w:val="32"/>
          <w:szCs w:val="32"/>
          <w:rtl/>
        </w:rPr>
        <w:t xml:space="preserve"> فَهَلْ عَلِمَ بِذَلِكَ أَحَدٌ؟ قُلْتُ: لَا، قَالَ: فَأَعْطِهَا مَا بَقِيَ). </w:t>
      </w:r>
      <w:r w:rsidRPr="00F27422">
        <w:rPr>
          <w:sz w:val="32"/>
          <w:szCs w:val="32"/>
          <w:rtl/>
        </w:rPr>
        <w:t>[الكافي، للشيخ الكليني، دار الكتب الإسلامية، ج7، كتاب المواريث، باب ميراث الولد، ح3].</w:t>
      </w:r>
    </w:p>
    <w:p w14:paraId="2AD60C57" w14:textId="77777777" w:rsidR="00AE6236" w:rsidRPr="00F27422" w:rsidRDefault="00AE6236" w:rsidP="00122B70">
      <w:pPr>
        <w:bidi/>
        <w:rPr>
          <w:b/>
          <w:bCs/>
          <w:sz w:val="32"/>
          <w:szCs w:val="32"/>
          <w:rtl/>
        </w:rPr>
      </w:pPr>
      <w:r w:rsidRPr="00F27422">
        <w:rPr>
          <w:b/>
          <w:bCs/>
          <w:sz w:val="32"/>
          <w:szCs w:val="32"/>
          <w:rtl/>
        </w:rPr>
        <w:t>الشاهدُ الثاني:</w:t>
      </w:r>
      <w:r w:rsidRPr="00F27422">
        <w:rPr>
          <w:sz w:val="32"/>
          <w:szCs w:val="32"/>
          <w:rtl/>
        </w:rPr>
        <w:t xml:space="preserve"> رواية عليّ بن سعد البصري - وفي نسخة عليّ بن سعيد -، كما في الوسائل: </w:t>
      </w:r>
      <w:r w:rsidRPr="00F27422">
        <w:rPr>
          <w:b/>
          <w:bCs/>
          <w:sz w:val="32"/>
          <w:szCs w:val="32"/>
          <w:rtl/>
        </w:rPr>
        <w:t xml:space="preserve">(وبإسناده عن الحسين بن سعيد، عن ابن أبي عمير، عن عمر بن أُذينة، عن علي بن سعد البصري قال: قلت لأبي عبدالله (عليه السلام): إنّي نازل في بني عدي ومؤذّنهم وإمامهم وجميع أهل المسجد عثمانيّة </w:t>
      </w:r>
      <w:proofErr w:type="spellStart"/>
      <w:r w:rsidRPr="00F27422">
        <w:rPr>
          <w:b/>
          <w:bCs/>
          <w:sz w:val="32"/>
          <w:szCs w:val="32"/>
          <w:rtl/>
        </w:rPr>
        <w:t>يبرأون</w:t>
      </w:r>
      <w:proofErr w:type="spellEnd"/>
      <w:r w:rsidRPr="00F27422">
        <w:rPr>
          <w:b/>
          <w:bCs/>
          <w:sz w:val="32"/>
          <w:szCs w:val="32"/>
          <w:rtl/>
        </w:rPr>
        <w:t xml:space="preserve"> منكم ومن شيعتكم، وأنا نازل فيهم، فما ترى في الصلاة خلف الإِمام؟ قال: صلّ خلفه، قال: وقال: واحتسب بما تسمع، ولو قدمت البصرة لقد سألك الفضيل بن يسار وأخبرته بما أفتيتك فتأخذ بقول الفضيل وتدع قولي، قال علي: فقدمت البصرة فأخبرت فضيلاً بما قال: فقال: هو أعلم بما قال، لكنّي قد سمعته وسمعت أباه يقولان: لا يعتدّ بالصلاة خلف الناصب، واقرأ لنفسك كأنّك وحدك، قال: فأخذت بقول الفضيل وتركت قول أبي عبدالله (عليه السلام)).</w:t>
      </w:r>
      <w:r w:rsidRPr="00F27422">
        <w:rPr>
          <w:sz w:val="32"/>
          <w:szCs w:val="32"/>
          <w:rtl/>
        </w:rPr>
        <w:t xml:space="preserve"> [وسائل الشيعة، الحر العاملي، تحقيق مؤسسة آل البيت (عليهم السلام) لإحياء التراث، ج8، كتاب الصلاة، أبواب صلاة الجماعة، الباب 33 باب وجوب القراءة خلف من لا يقتدى به واستحباب الأذان والإقامة، وسقوط الجهر وما يتعذّر من القراءة مع التقيّة وأنّه يجزي منهما حديث النفس، ح7]</w:t>
      </w:r>
      <w:r w:rsidRPr="00F27422">
        <w:rPr>
          <w:sz w:val="32"/>
          <w:szCs w:val="32"/>
        </w:rPr>
        <w:t>.</w:t>
      </w:r>
    </w:p>
    <w:p w14:paraId="70A425E4" w14:textId="77777777" w:rsidR="00AE6236" w:rsidRPr="00F27422" w:rsidRDefault="00AE6236" w:rsidP="00122B70">
      <w:pPr>
        <w:bidi/>
        <w:rPr>
          <w:b/>
          <w:bCs/>
          <w:sz w:val="32"/>
          <w:szCs w:val="32"/>
          <w:rtl/>
        </w:rPr>
      </w:pPr>
      <w:r w:rsidRPr="00F27422">
        <w:rPr>
          <w:sz w:val="32"/>
          <w:szCs w:val="32"/>
          <w:rtl/>
        </w:rPr>
        <w:t>فإنّ أمرَ الإمام (عليه السلام) لعليّ بن سعد البصري بأنْ يُخبر الفضيل بن يسار بما أفتاه الإمام (عليه السلام) له وأمره بالأخذ بقول الفضيل فيه نوعٌ من التربية على مُراجعة علية الرُواة وكبار فقهائهم لمعرفة مداليل الكلام ولوازمه</w:t>
      </w:r>
      <w:r w:rsidRPr="00F27422">
        <w:rPr>
          <w:sz w:val="32"/>
          <w:szCs w:val="32"/>
        </w:rPr>
        <w:t>.</w:t>
      </w:r>
    </w:p>
    <w:p w14:paraId="644E962F" w14:textId="77777777" w:rsidR="00AE6236" w:rsidRPr="00F27422" w:rsidRDefault="00AE6236" w:rsidP="00122B70">
      <w:pPr>
        <w:bidi/>
        <w:rPr>
          <w:b/>
          <w:bCs/>
          <w:sz w:val="32"/>
          <w:szCs w:val="32"/>
          <w:rtl/>
        </w:rPr>
      </w:pPr>
      <w:r w:rsidRPr="00F27422">
        <w:rPr>
          <w:sz w:val="32"/>
          <w:szCs w:val="32"/>
          <w:rtl/>
        </w:rPr>
        <w:t xml:space="preserve">وأمّا قول عليّ بن سعد البصري: </w:t>
      </w:r>
      <w:r w:rsidRPr="00F27422">
        <w:rPr>
          <w:b/>
          <w:bCs/>
          <w:sz w:val="32"/>
          <w:szCs w:val="32"/>
          <w:rtl/>
        </w:rPr>
        <w:t xml:space="preserve">(فأخذت بقول الفضيل وتركت قول أبي </w:t>
      </w:r>
      <w:proofErr w:type="gramStart"/>
      <w:r w:rsidRPr="00F27422">
        <w:rPr>
          <w:b/>
          <w:bCs/>
          <w:sz w:val="32"/>
          <w:szCs w:val="32"/>
          <w:rtl/>
        </w:rPr>
        <w:t>عبدالله</w:t>
      </w:r>
      <w:proofErr w:type="gramEnd"/>
      <w:r w:rsidRPr="00F27422">
        <w:rPr>
          <w:b/>
          <w:bCs/>
          <w:sz w:val="32"/>
          <w:szCs w:val="32"/>
          <w:rtl/>
        </w:rPr>
        <w:t xml:space="preserve"> (عليه السلام))،</w:t>
      </w:r>
      <w:r w:rsidRPr="00F27422">
        <w:rPr>
          <w:sz w:val="32"/>
          <w:szCs w:val="32"/>
          <w:rtl/>
        </w:rPr>
        <w:t xml:space="preserve"> فهو امتثالٌ للأمر الصادر من الإمام (عليه السلام) نفسه</w:t>
      </w:r>
      <w:r w:rsidRPr="00F27422">
        <w:rPr>
          <w:sz w:val="32"/>
          <w:szCs w:val="32"/>
        </w:rPr>
        <w:t>.</w:t>
      </w:r>
    </w:p>
    <w:p w14:paraId="35E47ABE" w14:textId="77777777" w:rsidR="00AE6236" w:rsidRPr="00F27422" w:rsidRDefault="00AE6236" w:rsidP="00122B70">
      <w:pPr>
        <w:bidi/>
        <w:rPr>
          <w:b/>
          <w:bCs/>
          <w:sz w:val="32"/>
          <w:szCs w:val="32"/>
          <w:rtl/>
        </w:rPr>
      </w:pPr>
      <w:r w:rsidRPr="00F27422">
        <w:rPr>
          <w:sz w:val="32"/>
          <w:szCs w:val="32"/>
          <w:rtl/>
        </w:rPr>
        <w:t xml:space="preserve">وهذا ظاهرٌ في أنّ لكلماتهم (عليهم السلام) أنحاء مختلفة من اللوازم </w:t>
      </w:r>
      <w:proofErr w:type="spellStart"/>
      <w:r w:rsidRPr="00F27422">
        <w:rPr>
          <w:sz w:val="32"/>
          <w:szCs w:val="32"/>
          <w:rtl/>
        </w:rPr>
        <w:t>والمداليل</w:t>
      </w:r>
      <w:proofErr w:type="spellEnd"/>
      <w:r w:rsidRPr="00F27422">
        <w:rPr>
          <w:sz w:val="32"/>
          <w:szCs w:val="32"/>
        </w:rPr>
        <w:t>.</w:t>
      </w:r>
    </w:p>
    <w:p w14:paraId="1945938F" w14:textId="77777777" w:rsidR="00AE6236" w:rsidRPr="00F27422" w:rsidRDefault="00AE6236" w:rsidP="00122B70">
      <w:pPr>
        <w:bidi/>
        <w:rPr>
          <w:b/>
          <w:bCs/>
          <w:sz w:val="32"/>
          <w:szCs w:val="32"/>
          <w:rtl/>
        </w:rPr>
      </w:pPr>
      <w:r w:rsidRPr="00F27422">
        <w:rPr>
          <w:b/>
          <w:bCs/>
          <w:sz w:val="32"/>
          <w:szCs w:val="32"/>
          <w:rtl/>
        </w:rPr>
        <w:t>الأمرُ الثالث:</w:t>
      </w:r>
      <w:r w:rsidRPr="00F27422">
        <w:rPr>
          <w:sz w:val="32"/>
          <w:szCs w:val="32"/>
          <w:rtl/>
        </w:rPr>
        <w:t xml:space="preserve"> ما أُفيد في آخر كلامه (مد ظله): مِن أنّ الشهرة الروائية ليست مرجحاً صدورياً فقط، بل هي مرجحٌ جهتي أيضاً، أي: كما أنّ مخالفة العامّة مرجحٌ جهتي فإنّ الشهرة أيضاً مرجحٌ جهتي؛ إذ من طرق استكشاف الحكم الواقعي شهرة نقل الأحاديث، وكما أنّ المرجح </w:t>
      </w:r>
      <w:r w:rsidRPr="00F27422">
        <w:rPr>
          <w:sz w:val="32"/>
          <w:szCs w:val="32"/>
          <w:rtl/>
        </w:rPr>
        <w:lastRenderedPageBreak/>
        <w:t>الصدوري مُوجبٌ لأقوائية احتمال الصدور فكذلك المرجح الجهتي كمخالفة العامّة ليس موجباً لأقوائية جهة الصدور فقط، بل هو مُوجبٌ لأقوائية الكشف عن الصدور أيضاً، فإنّ احتمال خلط الراوي لرواياتنا بروايات العامّة لا يأتي في الخبر المخالف لهم، كما لا يأتي فيه احتمال الدس والتزوير مِن قبل عُمال الظلمة في ذلك الوقت، كما أنّه يُوجبُ أقوائية الدلالة لعدم مجيء التورية فيه عادةً.</w:t>
      </w:r>
    </w:p>
    <w:p w14:paraId="1D3A81D5" w14:textId="77777777" w:rsidR="00AE6236" w:rsidRPr="00F27422" w:rsidRDefault="00AE6236" w:rsidP="00122B70">
      <w:pPr>
        <w:bidi/>
        <w:rPr>
          <w:sz w:val="32"/>
          <w:szCs w:val="32"/>
        </w:rPr>
      </w:pPr>
    </w:p>
    <w:p w14:paraId="68939AA6" w14:textId="77777777" w:rsidR="00AE6236" w:rsidRPr="00F27422" w:rsidRDefault="00AE6236" w:rsidP="00122B70">
      <w:pPr>
        <w:bidi/>
        <w:rPr>
          <w:b/>
          <w:bCs/>
          <w:sz w:val="32"/>
          <w:szCs w:val="32"/>
          <w:rtl/>
        </w:rPr>
      </w:pPr>
      <w:r w:rsidRPr="00F27422">
        <w:rPr>
          <w:b/>
          <w:bCs/>
          <w:sz w:val="32"/>
          <w:szCs w:val="32"/>
          <w:rtl/>
        </w:rPr>
        <w:t>والحمد لله رب العالمين</w:t>
      </w:r>
    </w:p>
    <w:p w14:paraId="76FB5066" w14:textId="77777777" w:rsidR="009C2251" w:rsidRPr="00F27422" w:rsidRDefault="009C2251" w:rsidP="00122B70">
      <w:pPr>
        <w:bidi/>
        <w:rPr>
          <w:sz w:val="32"/>
          <w:szCs w:val="32"/>
        </w:rPr>
      </w:pPr>
    </w:p>
    <w:p w14:paraId="20823D1E" w14:textId="77777777" w:rsidR="00AE6236" w:rsidRPr="00F27422" w:rsidRDefault="00AE6236" w:rsidP="00122B70">
      <w:pPr>
        <w:bidi/>
        <w:rPr>
          <w:sz w:val="32"/>
          <w:szCs w:val="32"/>
        </w:rPr>
      </w:pPr>
    </w:p>
    <w:p w14:paraId="2E592051" w14:textId="79B6904B" w:rsidR="00AE6236" w:rsidRPr="00F27422" w:rsidRDefault="00AE6236" w:rsidP="00122B70">
      <w:pPr>
        <w:pStyle w:val="Heading3"/>
        <w:bidi/>
        <w:rPr>
          <w:sz w:val="32"/>
          <w:szCs w:val="32"/>
        </w:rPr>
      </w:pPr>
      <w:r w:rsidRPr="00F27422">
        <w:rPr>
          <w:sz w:val="32"/>
          <w:szCs w:val="32"/>
        </w:rPr>
        <w:t>060</w:t>
      </w:r>
    </w:p>
    <w:p w14:paraId="55D7B88E" w14:textId="77777777" w:rsidR="00AE6236" w:rsidRPr="00F27422" w:rsidRDefault="00AE6236" w:rsidP="00122B70">
      <w:pPr>
        <w:bidi/>
        <w:rPr>
          <w:sz w:val="32"/>
          <w:szCs w:val="32"/>
        </w:rPr>
      </w:pPr>
    </w:p>
    <w:p w14:paraId="6BB5EF49" w14:textId="77777777" w:rsidR="00281424" w:rsidRPr="00F27422" w:rsidRDefault="00281424"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3DA9C752" w14:textId="77777777" w:rsidR="00281424" w:rsidRPr="00F27422" w:rsidRDefault="00281424"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35505BBF"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b/>
          <w:bCs/>
          <w:sz w:val="32"/>
          <w:rtl/>
        </w:rPr>
        <w:t>واللعن الدائم على أعدائهم أجمعين إلى قيام يوم الدين</w:t>
      </w:r>
    </w:p>
    <w:p w14:paraId="66DC88C0" w14:textId="77777777" w:rsidR="00281424" w:rsidRPr="00F27422" w:rsidRDefault="00281424" w:rsidP="00122B70">
      <w:pPr>
        <w:pStyle w:val="a"/>
        <w:bidi/>
        <w:spacing w:line="216" w:lineRule="auto"/>
        <w:jc w:val="left"/>
        <w:rPr>
          <w:rFonts w:ascii="mylotus" w:hAnsi="mylotus"/>
          <w:sz w:val="32"/>
          <w:rtl/>
          <w:lang w:bidi="ar-BH"/>
        </w:rPr>
      </w:pPr>
    </w:p>
    <w:p w14:paraId="357709D6" w14:textId="77777777" w:rsidR="00281424" w:rsidRPr="00F27422" w:rsidRDefault="00281424" w:rsidP="00122B70">
      <w:pPr>
        <w:pStyle w:val="a"/>
        <w:bidi/>
        <w:spacing w:line="216" w:lineRule="auto"/>
        <w:jc w:val="left"/>
        <w:rPr>
          <w:rFonts w:ascii="mylotus" w:hAnsi="mylotus"/>
          <w:b/>
          <w:bCs/>
          <w:sz w:val="32"/>
          <w:rtl/>
          <w:lang w:bidi="ar-BH"/>
        </w:rPr>
      </w:pPr>
      <w:r w:rsidRPr="00F27422">
        <w:rPr>
          <w:rFonts w:ascii="mylotus" w:hAnsi="mylotus"/>
          <w:b/>
          <w:bCs/>
          <w:sz w:val="32"/>
          <w:rtl/>
        </w:rPr>
        <w:t>وتعليقاً على ما أُفيد في تقرير بحث السيد الأُستاذ (مد ظله الشريف)</w:t>
      </w:r>
    </w:p>
    <w:p w14:paraId="32C139A6" w14:textId="77777777" w:rsidR="00281424" w:rsidRPr="00F27422" w:rsidRDefault="00281424" w:rsidP="00122B70">
      <w:pPr>
        <w:pStyle w:val="a"/>
        <w:bidi/>
        <w:spacing w:line="216" w:lineRule="auto"/>
        <w:jc w:val="left"/>
        <w:rPr>
          <w:rFonts w:ascii="mylotus" w:hAnsi="mylotus"/>
          <w:b/>
          <w:bCs/>
          <w:sz w:val="32"/>
          <w:rtl/>
        </w:rPr>
      </w:pPr>
      <w:r w:rsidRPr="00F27422">
        <w:rPr>
          <w:rFonts w:ascii="mylotus" w:hAnsi="mylotus"/>
          <w:b/>
          <w:bCs/>
          <w:sz w:val="32"/>
          <w:rtl/>
        </w:rPr>
        <w:t xml:space="preserve">أقولُ: إنّ المدعى في المقام يتصور على </w:t>
      </w:r>
      <w:proofErr w:type="gramStart"/>
      <w:r w:rsidRPr="00F27422">
        <w:rPr>
          <w:rFonts w:ascii="mylotus" w:hAnsi="mylotus"/>
          <w:b/>
          <w:bCs/>
          <w:sz w:val="32"/>
          <w:rtl/>
        </w:rPr>
        <w:t>ثلاثة</w:t>
      </w:r>
      <w:proofErr w:type="gramEnd"/>
      <w:r w:rsidRPr="00F27422">
        <w:rPr>
          <w:rFonts w:ascii="mylotus" w:hAnsi="mylotus"/>
          <w:b/>
          <w:bCs/>
          <w:sz w:val="32"/>
          <w:rtl/>
        </w:rPr>
        <w:t xml:space="preserve"> محتملات</w:t>
      </w:r>
      <w:r w:rsidRPr="00F27422">
        <w:rPr>
          <w:rFonts w:ascii="mylotus" w:hAnsi="mylotus" w:hint="cs"/>
          <w:b/>
          <w:bCs/>
          <w:sz w:val="32"/>
          <w:rtl/>
        </w:rPr>
        <w:t>:</w:t>
      </w:r>
    </w:p>
    <w:p w14:paraId="39CD6627"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hint="cs"/>
          <w:b/>
          <w:bCs/>
          <w:sz w:val="32"/>
          <w:rtl/>
        </w:rPr>
        <w:t xml:space="preserve">المحتملُ </w:t>
      </w:r>
      <w:r w:rsidRPr="00F27422">
        <w:rPr>
          <w:rFonts w:ascii="mylotus" w:hAnsi="mylotus"/>
          <w:b/>
          <w:bCs/>
          <w:sz w:val="32"/>
          <w:rtl/>
        </w:rPr>
        <w:t xml:space="preserve">الأوّل: </w:t>
      </w:r>
      <w:r w:rsidRPr="00F27422">
        <w:rPr>
          <w:rFonts w:ascii="mylotus" w:hAnsi="mylotus"/>
          <w:sz w:val="32"/>
          <w:rtl/>
        </w:rPr>
        <w:t>أنّ تقديم المخالف للعامّة على الموافق لهم مِن باب تمييز الحجة عن الـ لا حجة، لا مِن بابِ الترجيح؛ وذلك لأحد وجهين</w:t>
      </w:r>
      <w:r w:rsidRPr="00F27422">
        <w:rPr>
          <w:rFonts w:ascii="mylotus" w:hAnsi="mylotus"/>
          <w:sz w:val="32"/>
        </w:rPr>
        <w:t>:</w:t>
      </w:r>
    </w:p>
    <w:p w14:paraId="17D4BFA3"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b/>
          <w:bCs/>
          <w:sz w:val="32"/>
          <w:rtl/>
        </w:rPr>
        <w:t>الوجهُ الأوّل:</w:t>
      </w:r>
      <w:r w:rsidRPr="00F27422">
        <w:rPr>
          <w:rFonts w:ascii="mylotus" w:hAnsi="mylotus"/>
          <w:sz w:val="32"/>
          <w:rtl/>
        </w:rPr>
        <w:t xml:space="preserve"> أنّ شمول دليل التعبد بالسند كقوله: "خذ بخبر الثقة" لما يتعين حمله على التقية لغو؛ إذ المفروض أنّ الخبر الموافق مما ليس له أثرٌ عملي، وبما أنّه ليس له أثرٌ عملي فشمولُ دليل التعبد بالسند له لغوٌ</w:t>
      </w:r>
      <w:r w:rsidRPr="00F27422">
        <w:rPr>
          <w:rFonts w:ascii="mylotus" w:hAnsi="mylotus"/>
          <w:sz w:val="32"/>
        </w:rPr>
        <w:t>.</w:t>
      </w:r>
    </w:p>
    <w:p w14:paraId="57C87F0B"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b/>
          <w:bCs/>
          <w:sz w:val="32"/>
          <w:rtl/>
        </w:rPr>
        <w:t>وفيه تأملٌ؛</w:t>
      </w:r>
      <w:r w:rsidRPr="00F27422">
        <w:rPr>
          <w:rFonts w:ascii="mylotus" w:hAnsi="mylotus"/>
          <w:sz w:val="32"/>
          <w:rtl/>
        </w:rPr>
        <w:t xml:space="preserve"> إذ الحمل على التقية لا يمنع من أثرٍ عملي في البين، ولا أقل مِن جواز الإخبار بصدوره عن المعصوم (عليه السلام</w:t>
      </w:r>
      <w:proofErr w:type="gramStart"/>
      <w:r w:rsidRPr="00F27422">
        <w:rPr>
          <w:rFonts w:ascii="mylotus" w:hAnsi="mylotus"/>
          <w:sz w:val="32"/>
          <w:rtl/>
        </w:rPr>
        <w:t>)</w:t>
      </w:r>
      <w:r w:rsidRPr="00F27422">
        <w:rPr>
          <w:rFonts w:ascii="mylotus" w:hAnsi="mylotus"/>
          <w:sz w:val="32"/>
        </w:rPr>
        <w:t xml:space="preserve"> .</w:t>
      </w:r>
      <w:proofErr w:type="gramEnd"/>
    </w:p>
    <w:p w14:paraId="41BEB6FE"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sz w:val="32"/>
          <w:rtl/>
        </w:rPr>
        <w:t>نعم، هذا إنّما يتم على مبنى المحقّق النائيني وسيدنا الخوئي (قدس سرهما) مِن أنّ المجعول في دليل الحُجية هو العلمية، فإن</w:t>
      </w:r>
      <w:r w:rsidRPr="00F27422">
        <w:rPr>
          <w:rFonts w:ascii="mylotus" w:hAnsi="mylotus" w:hint="cs"/>
          <w:sz w:val="32"/>
          <w:rtl/>
        </w:rPr>
        <w:t>ّ</w:t>
      </w:r>
      <w:r w:rsidRPr="00F27422">
        <w:rPr>
          <w:rFonts w:ascii="mylotus" w:hAnsi="mylotus"/>
          <w:sz w:val="32"/>
          <w:rtl/>
        </w:rPr>
        <w:t xml:space="preserve"> ما</w:t>
      </w:r>
      <w:r w:rsidRPr="00F27422">
        <w:rPr>
          <w:rFonts w:ascii="mylotus" w:hAnsi="mylotus" w:hint="cs"/>
          <w:sz w:val="32"/>
          <w:rtl/>
        </w:rPr>
        <w:t xml:space="preserve"> </w:t>
      </w:r>
      <w:r w:rsidRPr="00F27422">
        <w:rPr>
          <w:rFonts w:ascii="mylotus" w:hAnsi="mylotus"/>
          <w:sz w:val="32"/>
          <w:rtl/>
        </w:rPr>
        <w:t>يجوز الإخبار به عن الواقع ما حصل العلم به وجدانا</w:t>
      </w:r>
      <w:r w:rsidRPr="00F27422">
        <w:rPr>
          <w:rFonts w:ascii="mylotus" w:hAnsi="mylotus" w:hint="cs"/>
          <w:sz w:val="32"/>
          <w:rtl/>
        </w:rPr>
        <w:t>ً</w:t>
      </w:r>
      <w:r w:rsidRPr="00F27422">
        <w:rPr>
          <w:rFonts w:ascii="mylotus" w:hAnsi="mylotus"/>
          <w:sz w:val="32"/>
          <w:rtl/>
        </w:rPr>
        <w:t xml:space="preserve"> أو تعبدا</w:t>
      </w:r>
      <w:r w:rsidRPr="00F27422">
        <w:rPr>
          <w:rFonts w:ascii="mylotus" w:hAnsi="mylotus" w:hint="cs"/>
          <w:sz w:val="32"/>
          <w:rtl/>
        </w:rPr>
        <w:t>ً</w:t>
      </w:r>
      <w:r w:rsidRPr="00F27422">
        <w:rPr>
          <w:rFonts w:ascii="mylotus" w:hAnsi="mylotus"/>
          <w:sz w:val="32"/>
          <w:rtl/>
        </w:rPr>
        <w:t>، فلو كان مفاد دليل الحجية: أن</w:t>
      </w:r>
      <w:r w:rsidRPr="00F27422">
        <w:rPr>
          <w:rFonts w:ascii="mylotus" w:hAnsi="mylotus" w:hint="cs"/>
          <w:sz w:val="32"/>
          <w:rtl/>
        </w:rPr>
        <w:t>ّ</w:t>
      </w:r>
      <w:r w:rsidRPr="00F27422">
        <w:rPr>
          <w:rFonts w:ascii="mylotus" w:hAnsi="mylotus"/>
          <w:sz w:val="32"/>
          <w:rtl/>
        </w:rPr>
        <w:t xml:space="preserve"> خبر الثقة منجزٌ إنْ وافق ومعذرٌ إنْ خالف الواقع فليس ذلك مصححاً لجواز الإخبار به عن الواقع، بينما</w:t>
      </w:r>
      <w:r w:rsidRPr="00F27422">
        <w:rPr>
          <w:rFonts w:ascii="mylotus" w:hAnsi="mylotus" w:hint="cs"/>
          <w:sz w:val="32"/>
          <w:rtl/>
        </w:rPr>
        <w:t xml:space="preserve"> </w:t>
      </w:r>
      <w:r w:rsidRPr="00F27422">
        <w:rPr>
          <w:rFonts w:ascii="mylotus" w:hAnsi="mylotus"/>
          <w:sz w:val="32"/>
          <w:rtl/>
        </w:rPr>
        <w:t>إذا</w:t>
      </w:r>
      <w:r w:rsidRPr="00F27422">
        <w:rPr>
          <w:rFonts w:ascii="mylotus" w:hAnsi="mylotus" w:hint="cs"/>
          <w:sz w:val="32"/>
          <w:rtl/>
        </w:rPr>
        <w:t xml:space="preserve"> </w:t>
      </w:r>
      <w:r w:rsidRPr="00F27422">
        <w:rPr>
          <w:rFonts w:ascii="mylotus" w:hAnsi="mylotus"/>
          <w:sz w:val="32"/>
          <w:rtl/>
        </w:rPr>
        <w:t>كان المجعولُ في أدلّة الحجية هو العلمية</w:t>
      </w:r>
      <w:r w:rsidRPr="00F27422">
        <w:rPr>
          <w:rFonts w:ascii="mylotus" w:hAnsi="mylotus" w:hint="cs"/>
          <w:sz w:val="32"/>
          <w:rtl/>
        </w:rPr>
        <w:t xml:space="preserve"> </w:t>
      </w:r>
      <w:r w:rsidRPr="00F27422">
        <w:rPr>
          <w:rFonts w:ascii="mylotus" w:hAnsi="mylotus"/>
          <w:sz w:val="32"/>
          <w:rtl/>
        </w:rPr>
        <w:t>فإنّ م</w:t>
      </w:r>
      <w:r w:rsidRPr="00F27422">
        <w:rPr>
          <w:rFonts w:ascii="mylotus" w:hAnsi="mylotus" w:hint="cs"/>
          <w:sz w:val="32"/>
          <w:rtl/>
        </w:rPr>
        <w:t>ِ</w:t>
      </w:r>
      <w:r w:rsidRPr="00F27422">
        <w:rPr>
          <w:rFonts w:ascii="mylotus" w:hAnsi="mylotus"/>
          <w:sz w:val="32"/>
          <w:rtl/>
        </w:rPr>
        <w:t>ن آثار العلم جواز الإخبار عن الواقع</w:t>
      </w:r>
      <w:r w:rsidRPr="00F27422">
        <w:rPr>
          <w:rFonts w:ascii="mylotus" w:hAnsi="mylotus"/>
          <w:sz w:val="32"/>
        </w:rPr>
        <w:t>.</w:t>
      </w:r>
    </w:p>
    <w:p w14:paraId="4C7EFAA0"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b/>
          <w:bCs/>
          <w:sz w:val="32"/>
          <w:rtl/>
        </w:rPr>
        <w:t>الوجهُ الثاني:</w:t>
      </w:r>
      <w:r w:rsidRPr="00F27422">
        <w:rPr>
          <w:rFonts w:ascii="mylotus" w:hAnsi="mylotus"/>
          <w:sz w:val="32"/>
          <w:rtl/>
        </w:rPr>
        <w:t xml:space="preserve"> أنّ مخالفة أحد الخبرين للعامّة تمنعُ مِن جريان أصالة الجهة في الخبر الموافق لهم، وبهذا يكون الحُجة هو خصوصُ المخالف دون الموافق؛ لسقوط أصالة الجهة فيه، ومِن ركائز الحُجية جريان أصالة الجهة</w:t>
      </w:r>
      <w:r w:rsidRPr="00F27422">
        <w:rPr>
          <w:rFonts w:ascii="mylotus" w:hAnsi="mylotus" w:hint="cs"/>
          <w:sz w:val="32"/>
          <w:rtl/>
        </w:rPr>
        <w:t>.</w:t>
      </w:r>
    </w:p>
    <w:p w14:paraId="3E61A97C"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b/>
          <w:bCs/>
          <w:sz w:val="32"/>
          <w:rtl/>
        </w:rPr>
        <w:lastRenderedPageBreak/>
        <w:t>ولكن: فيه تأملٌ؛</w:t>
      </w:r>
      <w:r w:rsidRPr="00F27422">
        <w:rPr>
          <w:rFonts w:ascii="mylotus" w:hAnsi="mylotus"/>
          <w:sz w:val="32"/>
          <w:rtl/>
        </w:rPr>
        <w:t xml:space="preserve"> فإنّ مجرّد التعارض بين المخالف والموافق لا يصلح بنظر العرف أنْ يكون مانعاً مِن جريان أصالة الجهة في الخبر الموافق؛ فإنّ صدور الأحكام الموافقة للعامّة مِن قِبل الأئمة (صلوات الله عليهم أجمعين) غيرُ عزيز، فهناك الكثير م</w:t>
      </w:r>
      <w:r w:rsidRPr="00F27422">
        <w:rPr>
          <w:rFonts w:ascii="mylotus" w:hAnsi="mylotus" w:hint="cs"/>
          <w:sz w:val="32"/>
          <w:rtl/>
        </w:rPr>
        <w:t>ِ</w:t>
      </w:r>
      <w:r w:rsidRPr="00F27422">
        <w:rPr>
          <w:rFonts w:ascii="mylotus" w:hAnsi="mylotus"/>
          <w:sz w:val="32"/>
          <w:rtl/>
        </w:rPr>
        <w:t xml:space="preserve">ن أحكام الشريعة مما توافقت عليه العامّة والخاصّة، فصدور الأحكام الموافقة مِن قِبل الأئمة (عليهم السلام) لما عليه جمهور العامّة ليس عزيزاً، وبالتالي فمجرّد المعارضة مع </w:t>
      </w:r>
      <w:proofErr w:type="spellStart"/>
      <w:r w:rsidRPr="00F27422">
        <w:rPr>
          <w:rFonts w:ascii="mylotus" w:hAnsi="mylotus"/>
          <w:sz w:val="32"/>
          <w:rtl/>
        </w:rPr>
        <w:t>خبرٍمخالفٍ</w:t>
      </w:r>
      <w:proofErr w:type="spellEnd"/>
      <w:r w:rsidRPr="00F27422">
        <w:rPr>
          <w:rFonts w:ascii="mylotus" w:hAnsi="mylotus"/>
          <w:sz w:val="32"/>
          <w:rtl/>
        </w:rPr>
        <w:t xml:space="preserve"> للعامّة لا يصلح أنْ يكون مانعاً عرفياً مِن جريان أصالة الجهة في الخبر الموافق</w:t>
      </w:r>
      <w:r w:rsidRPr="00F27422">
        <w:rPr>
          <w:rFonts w:ascii="mylotus" w:hAnsi="mylotus" w:hint="cs"/>
          <w:sz w:val="32"/>
          <w:rtl/>
        </w:rPr>
        <w:t>.</w:t>
      </w:r>
    </w:p>
    <w:p w14:paraId="43AFE053" w14:textId="77777777" w:rsidR="00281424" w:rsidRPr="00F27422" w:rsidRDefault="00281424" w:rsidP="00122B70">
      <w:pPr>
        <w:pStyle w:val="a"/>
        <w:bidi/>
        <w:spacing w:line="216" w:lineRule="auto"/>
        <w:jc w:val="left"/>
        <w:rPr>
          <w:rFonts w:ascii="mylotus" w:hAnsi="mylotus"/>
          <w:sz w:val="32"/>
          <w:rtl/>
        </w:rPr>
      </w:pPr>
      <w:r w:rsidRPr="00F27422">
        <w:rPr>
          <w:rFonts w:ascii="mylotus" w:hAnsi="mylotus"/>
          <w:b/>
          <w:bCs/>
          <w:sz w:val="32"/>
          <w:rtl/>
        </w:rPr>
        <w:t>المحتمل</w:t>
      </w:r>
      <w:r w:rsidRPr="00F27422">
        <w:rPr>
          <w:rFonts w:ascii="mylotus" w:hAnsi="mylotus" w:hint="cs"/>
          <w:b/>
          <w:bCs/>
          <w:sz w:val="32"/>
          <w:rtl/>
        </w:rPr>
        <w:t>ُ</w:t>
      </w:r>
      <w:r w:rsidRPr="00F27422">
        <w:rPr>
          <w:rFonts w:ascii="mylotus" w:hAnsi="mylotus"/>
          <w:b/>
          <w:bCs/>
          <w:sz w:val="32"/>
          <w:rtl/>
        </w:rPr>
        <w:t xml:space="preserve"> الثاني:</w:t>
      </w:r>
      <w:r w:rsidRPr="00F27422">
        <w:rPr>
          <w:rFonts w:ascii="mylotus" w:hAnsi="mylotus"/>
          <w:sz w:val="32"/>
          <w:rtl/>
        </w:rPr>
        <w:t xml:space="preserve"> أنّ مقتضى الجمع العرفي بين الطرفين - المخالف والموافق - حملُ الموافق على صدوره على سبيل التقية لا سقوطه عن الحجية، إمّا مِن باب أنّ المخالفة للعامّة أمارةٌ على صدور الموافق على سبيل التقية، أو لما ذكره صاحب الكفاية في الكفاية</w:t>
      </w:r>
      <w:r w:rsidRPr="00F27422">
        <w:rPr>
          <w:rStyle w:val="FootnoteReference"/>
          <w:rFonts w:ascii="mylotus" w:hAnsi="mylotus"/>
          <w:sz w:val="32"/>
          <w:rtl/>
        </w:rPr>
        <w:footnoteReference w:id="3"/>
      </w:r>
      <w:r w:rsidRPr="00F27422">
        <w:rPr>
          <w:rFonts w:ascii="mylotus" w:hAnsi="mylotus"/>
          <w:sz w:val="32"/>
          <w:rtl/>
        </w:rPr>
        <w:t xml:space="preserve"> من أنّ الخبر المخالف نصّ في عدم التقية، بينما الخبر الموافق ظاهر في صدوره بداعي الجد.</w:t>
      </w:r>
      <w:r w:rsidRPr="00F27422">
        <w:rPr>
          <w:rFonts w:ascii="mylotus" w:hAnsi="mylotus" w:hint="cs"/>
          <w:sz w:val="32"/>
          <w:rtl/>
        </w:rPr>
        <w:t xml:space="preserve"> </w:t>
      </w:r>
      <w:r w:rsidRPr="00F27422">
        <w:rPr>
          <w:rFonts w:ascii="mylotus" w:hAnsi="mylotus"/>
          <w:sz w:val="32"/>
          <w:rtl/>
        </w:rPr>
        <w:t>فمقتضى الجمع العرفي بينهما حمل الظاهر على النص</w:t>
      </w:r>
      <w:r w:rsidRPr="00F27422">
        <w:rPr>
          <w:rFonts w:ascii="mylotus" w:hAnsi="mylotus" w:hint="cs"/>
          <w:sz w:val="32"/>
          <w:rtl/>
        </w:rPr>
        <w:t>ّ.</w:t>
      </w:r>
    </w:p>
    <w:p w14:paraId="4D3DA7AB" w14:textId="77777777" w:rsidR="00281424" w:rsidRPr="00F27422" w:rsidRDefault="00281424" w:rsidP="00122B70">
      <w:pPr>
        <w:pStyle w:val="a"/>
        <w:bidi/>
        <w:spacing w:line="216" w:lineRule="auto"/>
        <w:jc w:val="left"/>
        <w:rPr>
          <w:rFonts w:ascii="mylotus" w:hAnsi="mylotus"/>
          <w:sz w:val="32"/>
          <w:rtl/>
        </w:rPr>
      </w:pPr>
      <w:r w:rsidRPr="00F27422">
        <w:rPr>
          <w:rFonts w:ascii="mylotus" w:hAnsi="mylotus"/>
          <w:b/>
          <w:bCs/>
          <w:sz w:val="32"/>
          <w:rtl/>
        </w:rPr>
        <w:t>فإن</w:t>
      </w:r>
      <w:r w:rsidRPr="00F27422">
        <w:rPr>
          <w:rFonts w:ascii="mylotus" w:hAnsi="mylotus" w:hint="cs"/>
          <w:b/>
          <w:bCs/>
          <w:sz w:val="32"/>
          <w:rtl/>
        </w:rPr>
        <w:t>ْ</w:t>
      </w:r>
      <w:r w:rsidRPr="00F27422">
        <w:rPr>
          <w:rFonts w:ascii="mylotus" w:hAnsi="mylotus"/>
          <w:b/>
          <w:bCs/>
          <w:sz w:val="32"/>
          <w:rtl/>
        </w:rPr>
        <w:t xml:space="preserve"> قلت</w:t>
      </w:r>
      <w:r w:rsidRPr="00F27422">
        <w:rPr>
          <w:rFonts w:ascii="mylotus" w:hAnsi="mylotus" w:hint="cs"/>
          <w:b/>
          <w:bCs/>
          <w:sz w:val="32"/>
          <w:rtl/>
        </w:rPr>
        <w:t>َ</w:t>
      </w:r>
      <w:r w:rsidRPr="00F27422">
        <w:rPr>
          <w:rFonts w:ascii="mylotus" w:hAnsi="mylotus"/>
          <w:b/>
          <w:bCs/>
          <w:sz w:val="32"/>
          <w:rtl/>
        </w:rPr>
        <w:t>:</w:t>
      </w:r>
      <w:r w:rsidRPr="00F27422">
        <w:rPr>
          <w:rFonts w:ascii="mylotus" w:hAnsi="mylotus"/>
          <w:sz w:val="32"/>
          <w:rtl/>
        </w:rPr>
        <w:t xml:space="preserve"> إنّ الجمع العرفي بين الطرفين المتعارضين بدواً إنّما يصحّ إذا كانتْ نتيجة الجمع العرفي أنّ لكلٍّ مِن الطرفين أثرا</w:t>
      </w:r>
      <w:r w:rsidRPr="00F27422">
        <w:rPr>
          <w:rFonts w:ascii="mylotus" w:hAnsi="mylotus" w:hint="cs"/>
          <w:sz w:val="32"/>
          <w:rtl/>
        </w:rPr>
        <w:t>ً</w:t>
      </w:r>
      <w:r w:rsidRPr="00F27422">
        <w:rPr>
          <w:rFonts w:ascii="mylotus" w:hAnsi="mylotus"/>
          <w:sz w:val="32"/>
          <w:rtl/>
        </w:rPr>
        <w:t xml:space="preserve"> عمليا</w:t>
      </w:r>
      <w:r w:rsidRPr="00F27422">
        <w:rPr>
          <w:rFonts w:ascii="mylotus" w:hAnsi="mylotus" w:hint="cs"/>
          <w:sz w:val="32"/>
          <w:rtl/>
        </w:rPr>
        <w:t>ً</w:t>
      </w:r>
      <w:r w:rsidRPr="00F27422">
        <w:rPr>
          <w:rFonts w:ascii="mylotus" w:hAnsi="mylotus"/>
          <w:sz w:val="32"/>
          <w:rtl/>
        </w:rPr>
        <w:t>، فمثلاً: لو ورد عندنا أمرٌ بصلاة الجمعة وورد عندنا ترخيصٌ في ترك صلاة الجمعة والترخيصُ نصّ في عدم الإلزام والأمرُ ظاهرٌ في الإلزام، فمقتضى قرينية النصّ على الظاهر حملُ الأمر بصلاة الجمعة على الاستحباب، لكن نتيجة هذا الجمع العرفي العمل بكلا الطرفين، بينما ما ذكر وهو أنّ الخبر المخالف نصّ في عدم التقية والخبر الموافق ظاهر في عدمها، فمقتضى قرينية النصّ على الظاهر حملُ الخبر الموافق على صدوره على سبيل التقية</w:t>
      </w:r>
      <w:r w:rsidRPr="00F27422">
        <w:rPr>
          <w:rFonts w:ascii="mylotus" w:hAnsi="mylotus"/>
          <w:sz w:val="32"/>
        </w:rPr>
        <w:t>.</w:t>
      </w:r>
    </w:p>
    <w:p w14:paraId="51562AF4"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b/>
          <w:bCs/>
          <w:sz w:val="32"/>
          <w:rtl/>
        </w:rPr>
        <w:t>ونتيجةُ هذا الجمع:</w:t>
      </w:r>
      <w:r w:rsidRPr="00F27422">
        <w:rPr>
          <w:rFonts w:ascii="mylotus" w:hAnsi="mylotus"/>
          <w:sz w:val="32"/>
          <w:rtl/>
        </w:rPr>
        <w:t xml:space="preserve"> أنّ الخبر الموافق سوف يسقط عن دائرة العمل به، والجمع العرفي لا يشمل مورداً تكون نتيجتُهُ سقوطُ أحد الخبرين عن العمل</w:t>
      </w:r>
      <w:r w:rsidRPr="00F27422">
        <w:rPr>
          <w:rFonts w:ascii="mylotus" w:hAnsi="mylotus" w:hint="cs"/>
          <w:sz w:val="32"/>
          <w:rtl/>
        </w:rPr>
        <w:t>.</w:t>
      </w:r>
    </w:p>
    <w:p w14:paraId="71BAB8B1"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b/>
          <w:bCs/>
          <w:sz w:val="32"/>
          <w:rtl/>
        </w:rPr>
        <w:t>قلتُ:</w:t>
      </w:r>
      <w:r w:rsidRPr="00F27422">
        <w:rPr>
          <w:rFonts w:ascii="mylotus" w:hAnsi="mylotus"/>
          <w:sz w:val="32"/>
          <w:rtl/>
        </w:rPr>
        <w:t xml:space="preserve"> المهم أنْ يكون للجمع العرفي أثرٌ عملي، لا أن</w:t>
      </w:r>
      <w:r w:rsidRPr="00F27422">
        <w:rPr>
          <w:rFonts w:ascii="mylotus" w:hAnsi="mylotus" w:hint="cs"/>
          <w:sz w:val="32"/>
          <w:rtl/>
        </w:rPr>
        <w:t>ْ</w:t>
      </w:r>
      <w:r w:rsidRPr="00F27422">
        <w:rPr>
          <w:rFonts w:ascii="mylotus" w:hAnsi="mylotus"/>
          <w:sz w:val="32"/>
          <w:rtl/>
        </w:rPr>
        <w:t xml:space="preserve"> يكون لكلٍّ واحدة منهم، فهذا ليس شرطاً في الجمع العرفي، والجمعُ العرفي في المقام لهُ أثرٌ عملي وهو أنّ الخبر الموافق سيخرجُ عن كونه موضوعاً لدليل: "خذ بخبر الثقة" وهذا يكفي أثراً عملياً للجمع عرفي</w:t>
      </w:r>
      <w:r w:rsidRPr="00F27422">
        <w:rPr>
          <w:rFonts w:ascii="mylotus" w:hAnsi="mylotus"/>
          <w:sz w:val="32"/>
        </w:rPr>
        <w:t>.</w:t>
      </w:r>
    </w:p>
    <w:p w14:paraId="234C4747" w14:textId="77777777" w:rsidR="00281424" w:rsidRPr="00F27422" w:rsidRDefault="00281424" w:rsidP="00122B70">
      <w:pPr>
        <w:pStyle w:val="a"/>
        <w:bidi/>
        <w:spacing w:line="216" w:lineRule="auto"/>
        <w:jc w:val="left"/>
        <w:rPr>
          <w:rFonts w:ascii="mylotus" w:hAnsi="mylotus"/>
          <w:sz w:val="32"/>
          <w:rtl/>
        </w:rPr>
      </w:pPr>
      <w:r w:rsidRPr="00F27422">
        <w:rPr>
          <w:rFonts w:ascii="mylotus" w:hAnsi="mylotus"/>
          <w:sz w:val="32"/>
          <w:rtl/>
        </w:rPr>
        <w:t>وقد ارتضى ذلك السيد الشهيد الصدر (قدس سره) في بحوثه لكنه اعتبره جمعاً عرفياً عند اِنتفاء سائر أنحاء الجمع العرفي</w:t>
      </w:r>
      <w:r w:rsidRPr="00F27422">
        <w:rPr>
          <w:rFonts w:ascii="mylotus" w:hAnsi="mylotus" w:hint="cs"/>
          <w:sz w:val="32"/>
          <w:rtl/>
        </w:rPr>
        <w:t>.</w:t>
      </w:r>
    </w:p>
    <w:p w14:paraId="405734B4" w14:textId="77777777" w:rsidR="00281424" w:rsidRPr="00F27422" w:rsidRDefault="00281424" w:rsidP="00122B70">
      <w:pPr>
        <w:pStyle w:val="a"/>
        <w:bidi/>
        <w:spacing w:line="216" w:lineRule="auto"/>
        <w:jc w:val="left"/>
        <w:rPr>
          <w:rFonts w:ascii="mylotus" w:hAnsi="mylotus"/>
          <w:sz w:val="32"/>
          <w:rtl/>
        </w:rPr>
      </w:pPr>
      <w:r w:rsidRPr="00F27422">
        <w:rPr>
          <w:rFonts w:ascii="mylotus" w:hAnsi="mylotus"/>
          <w:b/>
          <w:bCs/>
          <w:sz w:val="32"/>
          <w:rtl/>
        </w:rPr>
        <w:t>وتقريبه</w:t>
      </w:r>
      <w:r w:rsidRPr="00F27422">
        <w:rPr>
          <w:rFonts w:ascii="mylotus" w:hAnsi="mylotus" w:hint="cs"/>
          <w:b/>
          <w:bCs/>
          <w:sz w:val="32"/>
          <w:rtl/>
        </w:rPr>
        <w:t>:</w:t>
      </w:r>
      <w:r w:rsidRPr="00F27422">
        <w:rPr>
          <w:rFonts w:ascii="mylotus" w:hAnsi="mylotus" w:hint="cs"/>
          <w:sz w:val="32"/>
          <w:rtl/>
        </w:rPr>
        <w:t xml:space="preserve"> </w:t>
      </w:r>
      <w:r w:rsidRPr="00F27422">
        <w:rPr>
          <w:rFonts w:ascii="mylotus" w:hAnsi="mylotus"/>
          <w:sz w:val="32"/>
          <w:rtl/>
        </w:rPr>
        <w:t>أنّ أنواع الجمع العرفي الأُخرى جموعٌ شائعة لدى العرف العقلائي، بينما هذا النوع مِن الجمع العرفي وهو حمل أحد الخبرين على التقية فهو إنّما يصح في الأئمة (صلوات الله عليهم أجمعين) بلحاظ ظروفهم وما مرّ عليهم مِن مشاكلٍ وضيقٍ، وليس جمعاً عرفياً شائعاً، فبهذا اللحاظ يكون آخر الجموع العرفية بحسب الرُتبة</w:t>
      </w:r>
      <w:r w:rsidRPr="00F27422">
        <w:rPr>
          <w:rFonts w:ascii="mylotus" w:hAnsi="mylotus"/>
          <w:sz w:val="32"/>
        </w:rPr>
        <w:t>.</w:t>
      </w:r>
    </w:p>
    <w:p w14:paraId="6C8DA2EC"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b/>
          <w:bCs/>
          <w:sz w:val="32"/>
          <w:rtl/>
        </w:rPr>
        <w:t>ويلاحظُ على ذلك:</w:t>
      </w:r>
      <w:r w:rsidRPr="00F27422">
        <w:rPr>
          <w:rFonts w:ascii="mylotus" w:hAnsi="mylotus"/>
          <w:sz w:val="32"/>
          <w:rtl/>
        </w:rPr>
        <w:t xml:space="preserve"> أنّ مجرّد معارضة الموافق للمخالف ليس أمارة عرفاً على حمل الموافق على التقية، ولا كون المخالف نصّ في عدم التقية قرينةٌ على حمل الموافق على التقية</w:t>
      </w:r>
      <w:r w:rsidRPr="00F27422">
        <w:rPr>
          <w:rFonts w:ascii="mylotus" w:hAnsi="mylotus"/>
          <w:sz w:val="32"/>
        </w:rPr>
        <w:t>.</w:t>
      </w:r>
    </w:p>
    <w:p w14:paraId="10B02728"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b/>
          <w:bCs/>
          <w:sz w:val="32"/>
          <w:rtl/>
        </w:rPr>
        <w:t>والوجهُ فيه:</w:t>
      </w:r>
      <w:r w:rsidRPr="00F27422">
        <w:rPr>
          <w:rFonts w:ascii="mylotus" w:hAnsi="mylotus"/>
          <w:sz w:val="32"/>
          <w:rtl/>
        </w:rPr>
        <w:t xml:space="preserve"> أنّ الجمع العرفي ما كان </w:t>
      </w:r>
      <w:proofErr w:type="spellStart"/>
      <w:r w:rsidRPr="00F27422">
        <w:rPr>
          <w:rFonts w:ascii="mylotus" w:hAnsi="mylotus"/>
          <w:sz w:val="32"/>
          <w:rtl/>
        </w:rPr>
        <w:t>انسباقاً</w:t>
      </w:r>
      <w:proofErr w:type="spellEnd"/>
      <w:r w:rsidRPr="00F27422">
        <w:rPr>
          <w:rFonts w:ascii="mylotus" w:hAnsi="mylotus"/>
          <w:sz w:val="32"/>
          <w:rtl/>
        </w:rPr>
        <w:t xml:space="preserve"> لدى الذهن العرفي قبل ملاحظة المرجحات، بمعنى: أنّ العرف عندما يتلقى الدليلين ينسبق ذهنه إلى هذا الجمع، لا أنّ العرف إذا تلقى الدليلين ولاحظ أخبار التعارض وكان منها تقديم المخالف على الموافق صار ذلك منشأ للجمع العرفي بينهما بحمل الموافق على التقية</w:t>
      </w:r>
      <w:r w:rsidRPr="00F27422">
        <w:rPr>
          <w:rFonts w:ascii="mylotus" w:hAnsi="mylotus"/>
          <w:sz w:val="32"/>
        </w:rPr>
        <w:t>.</w:t>
      </w:r>
    </w:p>
    <w:p w14:paraId="50DAE0E7" w14:textId="77777777" w:rsidR="00281424" w:rsidRPr="00F27422" w:rsidRDefault="00281424" w:rsidP="00122B70">
      <w:pPr>
        <w:pStyle w:val="a"/>
        <w:bidi/>
        <w:spacing w:line="216" w:lineRule="auto"/>
        <w:jc w:val="left"/>
        <w:rPr>
          <w:rFonts w:ascii="mylotus" w:hAnsi="mylotus"/>
          <w:sz w:val="32"/>
          <w:rtl/>
          <w:lang w:bidi="ar-BH"/>
        </w:rPr>
      </w:pPr>
      <w:r w:rsidRPr="00F27422">
        <w:rPr>
          <w:rFonts w:ascii="mylotus" w:hAnsi="mylotus"/>
          <w:sz w:val="32"/>
          <w:rtl/>
        </w:rPr>
        <w:lastRenderedPageBreak/>
        <w:t>وبالتالي، فاحتمال صدور الخبر الموافق تقيةً واردٌ لكن لا يتعين أنْ يكون جمعاً عرفياً، فمثلا</w:t>
      </w:r>
      <w:r w:rsidRPr="00F27422">
        <w:rPr>
          <w:rFonts w:ascii="mylotus" w:hAnsi="mylotus" w:hint="cs"/>
          <w:sz w:val="32"/>
          <w:rtl/>
        </w:rPr>
        <w:t>ً</w:t>
      </w:r>
      <w:r w:rsidRPr="00F27422">
        <w:rPr>
          <w:rFonts w:ascii="mylotus" w:hAnsi="mylotus"/>
          <w:sz w:val="32"/>
          <w:rtl/>
        </w:rPr>
        <w:t>: لو كان عندنا خبران: الأوّل يقول: "الكافرُ طاهرٌ" والآخر يقول: "الكافرُ نجسٌ" ومِن الواضح أنّ مخالفة العامّة لإجماعهم على نجاسة الكافر لا</w:t>
      </w:r>
      <w:r w:rsidRPr="00F27422">
        <w:rPr>
          <w:rFonts w:ascii="mylotus" w:hAnsi="mylotus" w:hint="cs"/>
          <w:sz w:val="32"/>
          <w:rtl/>
        </w:rPr>
        <w:t xml:space="preserve"> </w:t>
      </w:r>
      <w:r w:rsidRPr="00F27422">
        <w:rPr>
          <w:rFonts w:ascii="mylotus" w:hAnsi="mylotus"/>
          <w:sz w:val="32"/>
          <w:rtl/>
        </w:rPr>
        <w:t>تكفي في الجمع</w:t>
      </w:r>
      <w:r w:rsidRPr="00F27422">
        <w:rPr>
          <w:rFonts w:ascii="mylotus" w:hAnsi="mylotus" w:hint="cs"/>
          <w:sz w:val="32"/>
          <w:rtl/>
        </w:rPr>
        <w:t>؛</w:t>
      </w:r>
      <w:r w:rsidRPr="00F27422">
        <w:rPr>
          <w:rFonts w:ascii="mylotus" w:hAnsi="mylotus"/>
          <w:sz w:val="32"/>
          <w:rtl/>
        </w:rPr>
        <w:t xml:space="preserve"> فكما يُحتمل حملُ الخبر الموافق لهم وهو ما دلّ على أنّ الكافر نجس على التقية يُحتمل التفكيك بينهما بحمل الخبر الدال على الطهارة على النظر للكافر الكتابي وحمل الخبر الدال على النجاسة على الكافر غير الكتابي، وبالتالي فوجود حملٍ آخر مانع مِن تعين الحمل الأوّل بحيث يصير جمعاً عرفياً بينهما .</w:t>
      </w:r>
    </w:p>
    <w:p w14:paraId="77F2E0AC" w14:textId="77777777" w:rsidR="00281424" w:rsidRPr="00F27422" w:rsidRDefault="00281424" w:rsidP="00122B70">
      <w:pPr>
        <w:pStyle w:val="a"/>
        <w:bidi/>
        <w:spacing w:line="216" w:lineRule="auto"/>
        <w:jc w:val="left"/>
        <w:rPr>
          <w:rFonts w:ascii="mylotus" w:hAnsi="mylotus"/>
          <w:b/>
          <w:bCs/>
          <w:sz w:val="32"/>
          <w:rtl/>
        </w:rPr>
      </w:pPr>
    </w:p>
    <w:p w14:paraId="3BA20FC2" w14:textId="77777777" w:rsidR="00281424" w:rsidRPr="00F27422" w:rsidRDefault="00281424"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53436742" w14:textId="77777777" w:rsidR="00281424" w:rsidRPr="00F27422" w:rsidRDefault="00281424" w:rsidP="00122B70">
      <w:pPr>
        <w:pStyle w:val="a"/>
        <w:bidi/>
        <w:spacing w:line="216" w:lineRule="auto"/>
        <w:jc w:val="left"/>
        <w:rPr>
          <w:rFonts w:ascii="mylotus" w:hAnsi="mylotus"/>
          <w:b/>
          <w:bCs/>
          <w:sz w:val="32"/>
        </w:rPr>
      </w:pPr>
    </w:p>
    <w:p w14:paraId="5112CDDD" w14:textId="77777777" w:rsidR="00281424" w:rsidRPr="00F27422" w:rsidRDefault="00281424" w:rsidP="00122B70">
      <w:pPr>
        <w:bidi/>
        <w:rPr>
          <w:sz w:val="32"/>
          <w:szCs w:val="32"/>
        </w:rPr>
      </w:pPr>
    </w:p>
    <w:p w14:paraId="4CA1C86A" w14:textId="5F40F4A6" w:rsidR="00281424" w:rsidRPr="00F27422" w:rsidRDefault="00281424" w:rsidP="00122B70">
      <w:pPr>
        <w:pStyle w:val="Heading3"/>
        <w:bidi/>
        <w:rPr>
          <w:sz w:val="32"/>
          <w:szCs w:val="32"/>
        </w:rPr>
      </w:pPr>
      <w:r w:rsidRPr="00F27422">
        <w:rPr>
          <w:sz w:val="32"/>
          <w:szCs w:val="32"/>
        </w:rPr>
        <w:t>061</w:t>
      </w:r>
    </w:p>
    <w:p w14:paraId="5D21909E" w14:textId="77777777" w:rsidR="00281424" w:rsidRPr="00F27422" w:rsidRDefault="00281424" w:rsidP="00122B70">
      <w:pPr>
        <w:bidi/>
        <w:rPr>
          <w:sz w:val="32"/>
          <w:szCs w:val="32"/>
        </w:rPr>
      </w:pPr>
    </w:p>
    <w:p w14:paraId="3D7F8FFC" w14:textId="77777777" w:rsidR="00B276C7" w:rsidRPr="00F27422" w:rsidRDefault="00B276C7"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61C37C3A" w14:textId="77777777" w:rsidR="00B276C7" w:rsidRPr="00F27422" w:rsidRDefault="00B276C7"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2381BA6D"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b/>
          <w:bCs/>
          <w:sz w:val="32"/>
          <w:rtl/>
        </w:rPr>
        <w:t>واللعن الدائم على أعدائهم أجمعين إلى قيام يوم الدين</w:t>
      </w:r>
    </w:p>
    <w:p w14:paraId="42D9BD04" w14:textId="77777777" w:rsidR="00B276C7" w:rsidRPr="00F27422" w:rsidRDefault="00B276C7" w:rsidP="00122B70">
      <w:pPr>
        <w:pStyle w:val="a"/>
        <w:bidi/>
        <w:spacing w:line="216" w:lineRule="auto"/>
        <w:jc w:val="left"/>
        <w:rPr>
          <w:rFonts w:ascii="mylotus" w:hAnsi="mylotus"/>
          <w:sz w:val="32"/>
          <w:rtl/>
        </w:rPr>
      </w:pPr>
    </w:p>
    <w:p w14:paraId="36351EFE"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b/>
          <w:bCs/>
          <w:sz w:val="32"/>
          <w:rtl/>
        </w:rPr>
        <w:t>المحتملُ الثالث:</w:t>
      </w:r>
      <w:r w:rsidRPr="00F27422">
        <w:rPr>
          <w:rFonts w:ascii="mylotus" w:hAnsi="mylotus"/>
          <w:sz w:val="32"/>
          <w:rtl/>
        </w:rPr>
        <w:t xml:space="preserve"> - وهو الظاهر مِن تقرير كلمات السيد الأُستاذ (مد ظله الشريف) - أنْ لا ميزةَ لأحد المرجحات على الآخر وكلٌّ منها واجدٌ للمرجح الصدوري والجهتي، وبالتالي فذكرها في مقبولة عمر بن حنظلة إرشادٌ للبناء العقلائي القائم على أنْ لا موضوعية لهذه المرجحات، وأن</w:t>
      </w:r>
      <w:r w:rsidRPr="00F27422">
        <w:rPr>
          <w:rFonts w:ascii="mylotus" w:hAnsi="mylotus" w:hint="cs"/>
          <w:sz w:val="32"/>
          <w:rtl/>
        </w:rPr>
        <w:t>ّ</w:t>
      </w:r>
      <w:r w:rsidRPr="00F27422">
        <w:rPr>
          <w:rFonts w:ascii="mylotus" w:hAnsi="mylotus"/>
          <w:sz w:val="32"/>
          <w:rtl/>
        </w:rPr>
        <w:t xml:space="preserve"> المدار على إعمال النكات وحشد القرائن الذي يؤدي لحمل الروايات المختلفة مضموناً على صدورها على سبيل معاريض الكلام واللحن والتورية واختلاف أسباب الكتمان، حيث إن</w:t>
      </w:r>
      <w:r w:rsidRPr="00F27422">
        <w:rPr>
          <w:rFonts w:ascii="mylotus" w:hAnsi="mylotus" w:hint="cs"/>
          <w:sz w:val="32"/>
          <w:rtl/>
        </w:rPr>
        <w:t>ّ</w:t>
      </w:r>
      <w:r w:rsidRPr="00F27422">
        <w:rPr>
          <w:rFonts w:ascii="mylotus" w:hAnsi="mylotus"/>
          <w:sz w:val="32"/>
          <w:rtl/>
        </w:rPr>
        <w:t xml:space="preserve"> اختلاف شؤون الزعيم تقتضي اختلاف مستويات كلامه، كما سبق تفصيله</w:t>
      </w:r>
      <w:r w:rsidRPr="00F27422">
        <w:rPr>
          <w:rFonts w:ascii="mylotus" w:hAnsi="mylotus"/>
          <w:sz w:val="32"/>
        </w:rPr>
        <w:t>.</w:t>
      </w:r>
    </w:p>
    <w:p w14:paraId="2EF2B643" w14:textId="77777777" w:rsidR="00B276C7" w:rsidRPr="00F27422" w:rsidRDefault="00B276C7" w:rsidP="00122B70">
      <w:pPr>
        <w:pStyle w:val="a"/>
        <w:bidi/>
        <w:spacing w:line="216" w:lineRule="auto"/>
        <w:jc w:val="left"/>
        <w:rPr>
          <w:rFonts w:ascii="mylotus" w:hAnsi="mylotus"/>
          <w:b/>
          <w:bCs/>
          <w:sz w:val="32"/>
          <w:rtl/>
        </w:rPr>
      </w:pPr>
      <w:r w:rsidRPr="00F27422">
        <w:rPr>
          <w:rFonts w:ascii="mylotus" w:hAnsi="mylotus"/>
          <w:b/>
          <w:bCs/>
          <w:sz w:val="32"/>
          <w:rtl/>
        </w:rPr>
        <w:t>وهنا عدّة ملاحظات</w:t>
      </w:r>
      <w:r w:rsidRPr="00F27422">
        <w:rPr>
          <w:rFonts w:ascii="mylotus" w:hAnsi="mylotus"/>
          <w:b/>
          <w:bCs/>
          <w:sz w:val="32"/>
        </w:rPr>
        <w:t>:</w:t>
      </w:r>
    </w:p>
    <w:p w14:paraId="304706D3"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b/>
          <w:bCs/>
          <w:sz w:val="32"/>
          <w:rtl/>
        </w:rPr>
        <w:t>الملاحظةُ الأُولى:</w:t>
      </w:r>
      <w:r w:rsidRPr="00F27422">
        <w:rPr>
          <w:rFonts w:ascii="mylotus" w:hAnsi="mylotus"/>
          <w:sz w:val="32"/>
          <w:rtl/>
        </w:rPr>
        <w:t xml:space="preserve"> إنّ بناء العقلاء في التعامل مع كلمات الزعيم ذات المستويات المختلفة على عدم المصير لتحكيم قواعد التعارض ابتداءً، وضرورة بذل الجُهد في تحصيل الجمع العرفي بينها صحيحٌ، ولكن تحقق التعارض بين كلماته في فرض تعذر قرائن الجمع الدلالي حالة متعارفة منظورة في روايات الترجيح</w:t>
      </w:r>
      <w:r w:rsidRPr="00F27422">
        <w:rPr>
          <w:rFonts w:ascii="mylotus" w:hAnsi="mylotus" w:hint="cs"/>
          <w:sz w:val="32"/>
          <w:rtl/>
        </w:rPr>
        <w:t xml:space="preserve">، </w:t>
      </w:r>
      <w:r w:rsidRPr="00F27422">
        <w:rPr>
          <w:rFonts w:ascii="mylotus" w:hAnsi="mylotus"/>
          <w:sz w:val="32"/>
          <w:rtl/>
        </w:rPr>
        <w:t>إذ لا يراد بالتعارض التعارض في الواقع، وإنّما المقصود بالتعارض التعارض عند المُتلقي لانتفاء القرائن المعبر عنه في الروايات باختلاف الحديث، ففي رواية الر</w:t>
      </w:r>
      <w:r w:rsidRPr="00F27422">
        <w:rPr>
          <w:rFonts w:ascii="mylotus" w:hAnsi="mylotus" w:hint="cs"/>
          <w:sz w:val="32"/>
          <w:rtl/>
        </w:rPr>
        <w:t>ا</w:t>
      </w:r>
      <w:r w:rsidRPr="00F27422">
        <w:rPr>
          <w:rFonts w:ascii="mylotus" w:hAnsi="mylotus"/>
          <w:sz w:val="32"/>
          <w:rtl/>
        </w:rPr>
        <w:t xml:space="preserve">وندي كما في الوسائل: </w:t>
      </w:r>
      <w:r w:rsidRPr="00F27422">
        <w:rPr>
          <w:rFonts w:ascii="mylotus" w:hAnsi="mylotus"/>
          <w:b/>
          <w:bCs/>
          <w:sz w:val="32"/>
          <w:rtl/>
        </w:rPr>
        <w:t xml:space="preserve">(سعيد بن هبة الله الراوندي في (رسالته) الّتي ألّفها في أحوال أحاديث أصحابنا وإثبات صحّتها، عن محمّد، وعليّ ابني عليِّ بن عبدالصمد، عن أبيهما، عن أبي البركات عليِّ بن الحسين، عن أبي جعفر بن بابويه، عن أبيه، عن سعد بن عبدالله، عن أيّوب بن نوح، عن محمّد بن أبي عمير، عن عبدالرحمن بن أبي عبدالله قال: قال الصادق (عليه السلام): إذا ورد عليكم حديثان مختلفان فاعرضوهما على كتاب الله، فما </w:t>
      </w:r>
      <w:r w:rsidRPr="00F27422">
        <w:rPr>
          <w:rFonts w:ascii="mylotus" w:hAnsi="mylotus"/>
          <w:b/>
          <w:bCs/>
          <w:sz w:val="32"/>
          <w:rtl/>
        </w:rPr>
        <w:lastRenderedPageBreak/>
        <w:t>وافق كتاب الله فخذوه، وما خالف كتاب الله فردّوه، فإن لم تجدوهما في كتاب الله فاعرضوهما على أخبار العامّة، فما وافق أخبارهم فذروه، وما خالف أخبارهم فخذوه)</w:t>
      </w:r>
      <w:r w:rsidRPr="00F27422">
        <w:rPr>
          <w:rStyle w:val="FootnoteReference"/>
          <w:rFonts w:ascii="mylotus" w:hAnsi="mylotus"/>
          <w:b/>
          <w:bCs/>
          <w:sz w:val="32"/>
          <w:rtl/>
        </w:rPr>
        <w:footnoteReference w:id="4"/>
      </w:r>
      <w:r w:rsidRPr="00F27422">
        <w:rPr>
          <w:rFonts w:ascii="mylotus" w:hAnsi="mylotus" w:hint="cs"/>
          <w:b/>
          <w:bCs/>
          <w:sz w:val="32"/>
          <w:rtl/>
        </w:rPr>
        <w:t>.</w:t>
      </w:r>
    </w:p>
    <w:p w14:paraId="2FDDA85E"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t xml:space="preserve">فإنّه لا يفهم العرفُ من كلمة "مختلفان" إلّا استقرار التعارض بحسب فهم المُتلقي وانتفاء قرائن الجمع </w:t>
      </w:r>
      <w:proofErr w:type="gramStart"/>
      <w:r w:rsidRPr="00F27422">
        <w:rPr>
          <w:rFonts w:ascii="mylotus" w:hAnsi="mylotus"/>
          <w:sz w:val="32"/>
          <w:rtl/>
        </w:rPr>
        <w:t>العرفي ،</w:t>
      </w:r>
      <w:proofErr w:type="gramEnd"/>
      <w:r w:rsidRPr="00F27422">
        <w:rPr>
          <w:rFonts w:ascii="mylotus" w:hAnsi="mylotus"/>
          <w:sz w:val="32"/>
          <w:rtl/>
        </w:rPr>
        <w:t xml:space="preserve"> ولولا أنّه فرضٌ عقلائي في كلمات المعصومين </w:t>
      </w:r>
      <w:proofErr w:type="gramStart"/>
      <w:r w:rsidRPr="00F27422">
        <w:rPr>
          <w:rFonts w:ascii="mylotus" w:hAnsi="mylotus"/>
          <w:sz w:val="32"/>
          <w:rtl/>
        </w:rPr>
        <w:t>ع  التي</w:t>
      </w:r>
      <w:proofErr w:type="gramEnd"/>
      <w:r w:rsidRPr="00F27422">
        <w:rPr>
          <w:rFonts w:ascii="mylotus" w:hAnsi="mylotus"/>
          <w:sz w:val="32"/>
          <w:rtl/>
        </w:rPr>
        <w:t xml:space="preserve"> لها شؤون مختلفة ومستويات متعددة لما بدأ الإمام (صلوات الله عليه) بذكره في رواية الرواندي</w:t>
      </w:r>
      <w:r w:rsidRPr="00F27422">
        <w:rPr>
          <w:rFonts w:ascii="mylotus" w:hAnsi="mylotus"/>
          <w:sz w:val="32"/>
        </w:rPr>
        <w:t>.</w:t>
      </w:r>
    </w:p>
    <w:p w14:paraId="6590DE36"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t xml:space="preserve">وفي المقبولة، كما في الكافي: </w:t>
      </w:r>
      <w:r w:rsidRPr="00F27422">
        <w:rPr>
          <w:rFonts w:ascii="mylotus" w:hAnsi="mylotus"/>
          <w:b/>
          <w:bCs/>
          <w:sz w:val="32"/>
          <w:rtl/>
        </w:rPr>
        <w:t>(قُلْتُ: فَإِنْ كَانَ كُلُّ رَجُلٍ اخْتَارَ رَجُلًا مِنْ أَصْحَابِنَا فَرَضِيَا أَنْ يَكُونَا النَّاظِرَيْنِ فِي حَقِّهِمَا وَاخْتَلَفَا فِيمَا حَكَمَا وَكِلَاهُمَا اخْتَلَفَا فِي حَدِيثِكُمْ؟)</w:t>
      </w:r>
      <w:r w:rsidRPr="00F27422">
        <w:rPr>
          <w:rStyle w:val="FootnoteReference"/>
          <w:rFonts w:ascii="mylotus" w:hAnsi="mylotus"/>
          <w:sz w:val="32"/>
          <w:rtl/>
        </w:rPr>
        <w:footnoteReference w:id="5"/>
      </w:r>
      <w:r w:rsidRPr="00F27422">
        <w:rPr>
          <w:rFonts w:ascii="mylotus" w:hAnsi="mylotus"/>
          <w:sz w:val="32"/>
          <w:rtl/>
        </w:rPr>
        <w:t>.</w:t>
      </w:r>
    </w:p>
    <w:p w14:paraId="01A9A313"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t>فإن</w:t>
      </w:r>
      <w:r w:rsidRPr="00F27422">
        <w:rPr>
          <w:rFonts w:ascii="mylotus" w:hAnsi="mylotus" w:hint="cs"/>
          <w:sz w:val="32"/>
          <w:rtl/>
        </w:rPr>
        <w:t>ّ</w:t>
      </w:r>
      <w:r w:rsidRPr="00F27422">
        <w:rPr>
          <w:rFonts w:ascii="mylotus" w:hAnsi="mylotus"/>
          <w:sz w:val="32"/>
          <w:rtl/>
        </w:rPr>
        <w:t xml:space="preserve"> اختلاف الفقيهين في الحكم لاختلافهما في الحديث ظاهر</w:t>
      </w:r>
      <w:r w:rsidRPr="00F27422">
        <w:rPr>
          <w:rFonts w:ascii="mylotus" w:hAnsi="mylotus" w:hint="cs"/>
          <w:sz w:val="32"/>
          <w:rtl/>
        </w:rPr>
        <w:t>ٌ</w:t>
      </w:r>
      <w:r w:rsidRPr="00F27422">
        <w:rPr>
          <w:rFonts w:ascii="mylotus" w:hAnsi="mylotus"/>
          <w:sz w:val="32"/>
          <w:rtl/>
        </w:rPr>
        <w:t xml:space="preserve"> في انتفاء قرائن الجمع العرفي بين الحديثين، وأن</w:t>
      </w:r>
      <w:r w:rsidRPr="00F27422">
        <w:rPr>
          <w:rFonts w:ascii="mylotus" w:hAnsi="mylotus" w:hint="cs"/>
          <w:sz w:val="32"/>
          <w:rtl/>
        </w:rPr>
        <w:t>ّ</w:t>
      </w:r>
      <w:r w:rsidRPr="00F27422">
        <w:rPr>
          <w:rFonts w:ascii="mylotus" w:hAnsi="mylotus"/>
          <w:sz w:val="32"/>
          <w:rtl/>
        </w:rPr>
        <w:t xml:space="preserve"> قول عمر بن حنظلة: </w:t>
      </w:r>
      <w:r w:rsidRPr="00F27422">
        <w:rPr>
          <w:rFonts w:ascii="mylotus" w:hAnsi="mylotus"/>
          <w:b/>
          <w:bCs/>
          <w:sz w:val="32"/>
          <w:rtl/>
        </w:rPr>
        <w:t>(وَكِلَاهُمَا اخْتَلَفَا فِي حَدِيثِكُمْ)</w:t>
      </w:r>
      <w:r w:rsidRPr="00F27422">
        <w:rPr>
          <w:rFonts w:ascii="mylotus" w:hAnsi="mylotus"/>
          <w:sz w:val="32"/>
          <w:rtl/>
        </w:rPr>
        <w:t xml:space="preserve"> يرشد إلى أن</w:t>
      </w:r>
      <w:r w:rsidRPr="00F27422">
        <w:rPr>
          <w:rFonts w:ascii="mylotus" w:hAnsi="mylotus" w:hint="cs"/>
          <w:sz w:val="32"/>
          <w:rtl/>
        </w:rPr>
        <w:t>ّ</w:t>
      </w:r>
      <w:r w:rsidRPr="00F27422">
        <w:rPr>
          <w:rFonts w:ascii="mylotus" w:hAnsi="mylotus"/>
          <w:sz w:val="32"/>
          <w:rtl/>
        </w:rPr>
        <w:t xml:space="preserve"> من الفروض المتعارفة لحديثهم</w:t>
      </w:r>
      <w:r w:rsidRPr="00F27422">
        <w:rPr>
          <w:rFonts w:ascii="mylotus" w:hAnsi="mylotus" w:hint="cs"/>
          <w:sz w:val="32"/>
          <w:rtl/>
        </w:rPr>
        <w:t xml:space="preserve"> (عليهم السلام) </w:t>
      </w:r>
      <w:r w:rsidRPr="00F27422">
        <w:rPr>
          <w:rFonts w:ascii="mylotus" w:hAnsi="mylotus"/>
          <w:sz w:val="32"/>
          <w:rtl/>
        </w:rPr>
        <w:t>التعارض المستقر بحسب المُتلقي، وإلّا لَمْ يحصل الاختلاف</w:t>
      </w:r>
      <w:r w:rsidRPr="00F27422">
        <w:rPr>
          <w:rFonts w:ascii="mylotus" w:hAnsi="mylotus"/>
          <w:sz w:val="32"/>
        </w:rPr>
        <w:t>.</w:t>
      </w:r>
    </w:p>
    <w:p w14:paraId="63E1C121" w14:textId="492BEDD7" w:rsidR="00B276C7" w:rsidRPr="00F27422" w:rsidRDefault="00B276C7" w:rsidP="00122B70">
      <w:pPr>
        <w:pStyle w:val="a"/>
        <w:bidi/>
        <w:spacing w:line="216" w:lineRule="auto"/>
        <w:jc w:val="left"/>
        <w:rPr>
          <w:rFonts w:ascii="mylotus" w:hAnsi="mylotus"/>
          <w:b/>
          <w:bCs/>
          <w:sz w:val="32"/>
          <w:rtl/>
        </w:rPr>
      </w:pPr>
      <w:r w:rsidRPr="00F27422">
        <w:rPr>
          <w:rFonts w:ascii="mylotus" w:hAnsi="mylotus"/>
          <w:sz w:val="32"/>
          <w:rtl/>
        </w:rPr>
        <w:t xml:space="preserve">ونحو مرفوعة زرارة، كما في مستدرك الوسائل: </w:t>
      </w:r>
      <w:r w:rsidRPr="00F27422">
        <w:rPr>
          <w:rFonts w:ascii="mylotus" w:hAnsi="mylotus"/>
          <w:b/>
          <w:bCs/>
          <w:sz w:val="32"/>
          <w:rtl/>
        </w:rPr>
        <w:t xml:space="preserve">(عوالي </w:t>
      </w:r>
      <w:r w:rsidR="008362A8" w:rsidRPr="00F27422">
        <w:rPr>
          <w:rFonts w:ascii="mylotus" w:hAnsi="mylotus" w:hint="cs"/>
          <w:b/>
          <w:bCs/>
          <w:sz w:val="32"/>
          <w:rtl/>
        </w:rPr>
        <w:t>اللآلئ</w:t>
      </w:r>
      <w:r w:rsidRPr="00F27422">
        <w:rPr>
          <w:rFonts w:ascii="mylotus" w:hAnsi="mylotus"/>
          <w:b/>
          <w:bCs/>
          <w:sz w:val="32"/>
          <w:rtl/>
        </w:rPr>
        <w:t>: روى العلامة مرفوعاً إلى زرارة بن أعين، قال: سألتُ الباقر (عليه السلام)، فقلتُ: جعلتُ فداك، يأتي عنكم الخبران أو الحديثان المتعارضان، فبأيهما آخذ؟ فقال (عليه السلام): (يا زرارة، خذ بما اشتهر بين أصحابك ودع الشاذ النادر) فقلتُ: يا سيدي، إنهما معاً مشهوران مرويان مأثوران عنكم، فقال (عليه السلام): (خذ بقول أعدلهما عندك، وأوثقهما في نفسك)، فقلتُ: إنهما معاً عدلان مرضيان موثقان، فقال (عليه السلام): (انظر ما وافق منهما مذهب العامّة فاتركه، وخذ بما خالفهم)، قلتُ: ربما كانا معاً موافقين لهم، أو مخالفين، فكيف أصنع؟ فقال: (إذن فخذ بما فيه الحائطة لدينك، واترك ما خالف الاحتياط) فقلتُ: إنهما معاً موافقان للاحتياط أو مخالفان له، فكيف أصنع؟ فقال (عليه السلام): (إذن فتخير أحدهما فتأخذ به وتدع الأخير</w:t>
      </w:r>
      <w:r w:rsidRPr="00F27422">
        <w:rPr>
          <w:rFonts w:ascii="mylotus" w:hAnsi="mylotus" w:hint="cs"/>
          <w:b/>
          <w:bCs/>
          <w:sz w:val="32"/>
          <w:rtl/>
        </w:rPr>
        <w:t>).</w:t>
      </w:r>
    </w:p>
    <w:p w14:paraId="66BAF5CA"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b/>
          <w:bCs/>
          <w:sz w:val="32"/>
          <w:rtl/>
        </w:rPr>
        <w:t>وفي رواية أنّه (عليه السلام) قال</w:t>
      </w:r>
      <w:r w:rsidRPr="00F27422">
        <w:rPr>
          <w:rFonts w:ascii="mylotus" w:hAnsi="mylotus"/>
          <w:b/>
          <w:bCs/>
          <w:sz w:val="32"/>
          <w:highlight w:val="red"/>
          <w:rtl/>
        </w:rPr>
        <w:t>: (إذن فأرجه حتى تلقى إمامك فتسأله))</w:t>
      </w:r>
      <w:r w:rsidRPr="00F27422">
        <w:rPr>
          <w:rStyle w:val="FootnoteReference"/>
          <w:rFonts w:ascii="mylotus" w:hAnsi="mylotus"/>
          <w:b/>
          <w:bCs/>
          <w:sz w:val="32"/>
          <w:highlight w:val="red"/>
          <w:rtl/>
        </w:rPr>
        <w:footnoteReference w:id="6"/>
      </w:r>
      <w:r w:rsidRPr="00F27422">
        <w:rPr>
          <w:rFonts w:ascii="mylotus" w:hAnsi="mylotus" w:hint="cs"/>
          <w:sz w:val="32"/>
          <w:highlight w:val="red"/>
          <w:rtl/>
        </w:rPr>
        <w:t>.</w:t>
      </w:r>
    </w:p>
    <w:p w14:paraId="2D7433C8"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b/>
          <w:bCs/>
          <w:sz w:val="32"/>
          <w:rtl/>
        </w:rPr>
        <w:t>والنتيجة:</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تحق</w:t>
      </w:r>
      <w:r w:rsidRPr="00F27422">
        <w:rPr>
          <w:rFonts w:ascii="mylotus" w:hAnsi="mylotus" w:hint="cs"/>
          <w:sz w:val="32"/>
          <w:rtl/>
        </w:rPr>
        <w:t>ّ</w:t>
      </w:r>
      <w:r w:rsidRPr="00F27422">
        <w:rPr>
          <w:rFonts w:ascii="mylotus" w:hAnsi="mylotus"/>
          <w:sz w:val="32"/>
          <w:rtl/>
        </w:rPr>
        <w:t xml:space="preserve">ق صور للتعارض في كلماتهم حالة </w:t>
      </w:r>
      <w:proofErr w:type="gramStart"/>
      <w:r w:rsidRPr="00F27422">
        <w:rPr>
          <w:rFonts w:ascii="mylotus" w:hAnsi="mylotus"/>
          <w:sz w:val="32"/>
          <w:rtl/>
        </w:rPr>
        <w:t>متعارفة</w:t>
      </w:r>
      <w:r w:rsidRPr="00F27422">
        <w:rPr>
          <w:rFonts w:ascii="mylotus" w:hAnsi="mylotus"/>
          <w:sz w:val="32"/>
        </w:rPr>
        <w:t xml:space="preserve">  .</w:t>
      </w:r>
      <w:proofErr w:type="gramEnd"/>
    </w:p>
    <w:p w14:paraId="5DF33AA0"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t>وقد أشار لذلك السيد الأُستاذ (مد ظله الشريف) في بحث تعارض الأدلة واختلاف الحدي</w:t>
      </w:r>
      <w:r w:rsidRPr="00F27422">
        <w:rPr>
          <w:rFonts w:ascii="mylotus" w:hAnsi="mylotus" w:hint="cs"/>
          <w:sz w:val="32"/>
          <w:rtl/>
        </w:rPr>
        <w:t xml:space="preserve">ث، </w:t>
      </w:r>
      <w:r w:rsidRPr="00F27422">
        <w:rPr>
          <w:rFonts w:ascii="mylotus" w:hAnsi="mylotus"/>
          <w:sz w:val="32"/>
          <w:rtl/>
        </w:rPr>
        <w:t xml:space="preserve">حيث قال بعد أنْ ذكر جملة من الموانع: </w:t>
      </w:r>
      <w:r w:rsidRPr="00F27422">
        <w:rPr>
          <w:rFonts w:ascii="mylotus" w:hAnsi="mylotus"/>
          <w:b/>
          <w:bCs/>
          <w:sz w:val="32"/>
          <w:rtl/>
        </w:rPr>
        <w:t>(وأُخرى مورد الاشتباه احتمال الصدور، فهنا يتولّد علم إجمالي آخر، وهو أنّ هذا الخبر إما أنه غير صادر، أو غير مراد، والخبر الآخر أيضاً إما أنه غير صادر أو غير مراد، وهذا العلم الإجمالي يوجب دخول الخبرين في عنوان التعارض. وطرفا التعارض هذان الظهوران والصدوران، ولكن بما أنه لا يمكن إعمال المرجّحات الدلالية بالنسبة للظهورين، لذلك لابدّ من علاج التعارض بالمرجّحات السندية أو الصدورية)</w:t>
      </w:r>
      <w:r w:rsidRPr="00F27422">
        <w:rPr>
          <w:rStyle w:val="FootnoteReference"/>
          <w:rFonts w:ascii="mylotus" w:hAnsi="mylotus"/>
          <w:b/>
          <w:bCs/>
          <w:sz w:val="32"/>
          <w:rtl/>
        </w:rPr>
        <w:footnoteReference w:id="7"/>
      </w:r>
      <w:r w:rsidRPr="00F27422">
        <w:rPr>
          <w:rFonts w:ascii="mylotus" w:hAnsi="mylotus" w:hint="cs"/>
          <w:b/>
          <w:bCs/>
          <w:sz w:val="32"/>
          <w:rtl/>
        </w:rPr>
        <w:t>.</w:t>
      </w:r>
    </w:p>
    <w:p w14:paraId="571CE417"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t>ومقتضى تعارفها كونها منظورةٌ في روايات الترجيح</w:t>
      </w:r>
      <w:r w:rsidRPr="00F27422">
        <w:rPr>
          <w:rFonts w:ascii="mylotus" w:hAnsi="mylotus"/>
          <w:sz w:val="32"/>
        </w:rPr>
        <w:t>.</w:t>
      </w:r>
    </w:p>
    <w:p w14:paraId="0A6729A4"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b/>
          <w:bCs/>
          <w:sz w:val="32"/>
          <w:rtl/>
        </w:rPr>
        <w:lastRenderedPageBreak/>
        <w:t xml:space="preserve">الملاحظةُ الثانية: </w:t>
      </w:r>
      <w:r w:rsidRPr="00F27422">
        <w:rPr>
          <w:rFonts w:ascii="mylotus" w:hAnsi="mylotus"/>
          <w:sz w:val="32"/>
          <w:rtl/>
        </w:rPr>
        <w:t>على فرض أنّ المستفاد من المقبولة ونحوها الإرشادُ للبناء العقلائي الذي لا يرى تعارضاً بين كلمات القائد ذي الشؤون المختلفة، لكن غاية ذلك هو العقد السلبي أي: نفي التعارض، لا العقد الإيجابي وهو كون الجمع بين الأحاديث المختلفة جمعاً عرفياً؛ فإن</w:t>
      </w:r>
      <w:r w:rsidRPr="00F27422">
        <w:rPr>
          <w:rFonts w:ascii="mylotus" w:hAnsi="mylotus" w:hint="cs"/>
          <w:sz w:val="32"/>
          <w:rtl/>
        </w:rPr>
        <w:t>ّ</w:t>
      </w:r>
      <w:r w:rsidRPr="00F27422">
        <w:rPr>
          <w:rFonts w:ascii="mylotus" w:hAnsi="mylotus"/>
          <w:sz w:val="32"/>
          <w:rtl/>
        </w:rPr>
        <w:t xml:space="preserve"> انتفاء التعارض في كلماتهم (صلوات الله عليهم أجمعين) لا يعني أنّ الجمع بين كلماتهم باختلاف المستويات هو جمعٌ عرفي، وتعذر قرائن الجمع العرفي غيرُ عزيزٍ في الروايات الشريفة، ومقتضى ذلك الرجوع للأصول العملية</w:t>
      </w:r>
      <w:r w:rsidRPr="00F27422">
        <w:rPr>
          <w:rFonts w:ascii="mylotus" w:hAnsi="mylotus" w:hint="cs"/>
          <w:sz w:val="32"/>
          <w:rtl/>
        </w:rPr>
        <w:t>.</w:t>
      </w:r>
    </w:p>
    <w:p w14:paraId="32B51F8B"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b/>
          <w:bCs/>
          <w:sz w:val="32"/>
          <w:rtl/>
        </w:rPr>
        <w:t>الملاحظةُ الثالثة:</w:t>
      </w:r>
      <w:r w:rsidRPr="00F27422">
        <w:rPr>
          <w:rFonts w:ascii="mylotus" w:hAnsi="mylotus"/>
          <w:sz w:val="32"/>
          <w:rtl/>
        </w:rPr>
        <w:t xml:space="preserve"> إنّ حمل أخبار الترجيح وخصوصاً مقبولة عمر بن حنظلة على الإرشاد للبناء العقلائي القائم على الجمع بين الروايات دون المصير للتعارض في ما بينها مصادمٌ لظاهر سياقها مِن تقديم بعض المزايا على البعض الآخر الخارجة عن إطار الجمع بحسب النظر العرفي  سواءً كان مفاد المقبولة الترجيح أو تمييز الحجة عن الـ لا حجة، فمثلا</w:t>
      </w:r>
      <w:r w:rsidRPr="00F27422">
        <w:rPr>
          <w:rFonts w:ascii="mylotus" w:hAnsi="mylotus" w:hint="cs"/>
          <w:sz w:val="32"/>
          <w:rtl/>
        </w:rPr>
        <w:t>ً</w:t>
      </w:r>
      <w:r w:rsidRPr="00F27422">
        <w:rPr>
          <w:rFonts w:ascii="mylotus" w:hAnsi="mylotus"/>
          <w:sz w:val="32"/>
          <w:rtl/>
        </w:rPr>
        <w:t xml:space="preserve"> قوله (عليه السلام): </w:t>
      </w:r>
      <w:r w:rsidRPr="00F27422">
        <w:rPr>
          <w:rFonts w:ascii="mylotus" w:hAnsi="mylotus"/>
          <w:b/>
          <w:bCs/>
          <w:sz w:val="32"/>
          <w:rtl/>
        </w:rPr>
        <w:t>(يُنْظَرُ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 وَإِنَّمَا الْأُمُورُ ثَلَاثَةٌ أَمْرٌ بَيِّنٌ رُشْدُهُ فَيُتَّبَعُ وَأَمْرٌ بَيِّنٌ غَيُّهُ فَيُجْتَنَبُ وَأَمْرٌ مُشْكِلٌ يُرَدُّ عِلْمُهُ إِلَى اللَّهِ وَإِلَى رَسُولِهِ، قَالَ رَسُولُ اللَّهِ (صلى الله عليه وآله): حَلَالٌ بَيِّنٌ وَحَرَامٌ بَيِّنٌ وَشُبُهَاتٌ بَيْنَ ذَلِكَ فَمَنْ تَرَكَ الشُّبُهَاتِ نَجَا مِنَ الْمُحَرَّمَاتِ وَمَنْ أَخَذَ بِالشُّبُهَاتِ ارْتَكَبَ الْمُحَرَّمَاتِ وَهَلَكَ مِنْ حَيْثُ لَا يَعْلَمُ، قُلْتُ: فَإِنْ كَانَ الْخَبَرَانِ عَنْكُمَا مَشْهُورَيْنِ قَدْ رَوَاهُمَا الثِّقَاتُ عَنْكُمْ؟ قَالَ: يُنْظَرُ فَمَا وَافَقَ حُكْمُهُ حُكْمَ الْكِتَابِ وَالسُّنَّةِ وَخَالَفَ الْعَامَّةَ فَيُؤْخَذُ بِهِ وَيُتْرَكُ مَا خَالَفَ حُكْمُهُ حُكْمَ الْكِتَابِ وَالسُّنَّةِ وَوَافَقَ الْعَامَّةَ، قُلْتُ: جُعِلْتُ فِدَاكَ، أَ رَأَيْتَ إِنْ كَانَ الْفَقِيهَانِ عَرَفَا حُكْمَهُ مِنَ الْكِتَابِ وَالسُّنَّةِ وَوَجَدْنَا أَحَدَ الْخَبَرَيْنِ مُوَافِقاً لِلْعَامَّةِ وَالْآخَرَ مُخَالِفاً لَهُمْ بِأَيِّ الْخَبَرَيْنِ يُؤْخَذُ؟ قَالَ: مَا خَالَفَ الْعَامَّةَ فَفِيهِ الرَّشَادُ، فَقُلْتُ: جُعِلْتُ فِدَاكَ، فَإِنْ وَافَقَهُمَا الْخَبَرَانِ جَمِيعاً؟ قَالَ: يُنْظَرُ إِلَى مَا هُمْ إِلَيْهِ أَمْيَلُ حُكَّامُهُمْ وَقُضَاتُهُمْ فَيُتْرَكُ</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وَيُؤْخَذُ</w:t>
      </w:r>
      <w:r w:rsidRPr="00F27422">
        <w:rPr>
          <w:rFonts w:ascii="mylotus" w:hAnsi="mylotus"/>
          <w:b/>
          <w:bCs/>
          <w:sz w:val="32"/>
          <w:rtl/>
        </w:rPr>
        <w:t xml:space="preserve"> </w:t>
      </w:r>
      <w:r w:rsidRPr="00F27422">
        <w:rPr>
          <w:rFonts w:ascii="mylotus" w:hAnsi="mylotus" w:hint="cs"/>
          <w:b/>
          <w:bCs/>
          <w:sz w:val="32"/>
          <w:rtl/>
        </w:rPr>
        <w:t>بِالْآخَرِ،</w:t>
      </w:r>
      <w:r w:rsidRPr="00F27422">
        <w:rPr>
          <w:rFonts w:ascii="mylotus" w:hAnsi="mylotus"/>
          <w:b/>
          <w:bCs/>
          <w:sz w:val="32"/>
          <w:rtl/>
        </w:rPr>
        <w:t xml:space="preserve"> </w:t>
      </w:r>
      <w:r w:rsidRPr="00F27422">
        <w:rPr>
          <w:rFonts w:ascii="mylotus" w:hAnsi="mylotus" w:hint="cs"/>
          <w:b/>
          <w:bCs/>
          <w:sz w:val="32"/>
          <w:rtl/>
        </w:rPr>
        <w:t>قُلْتُ</w:t>
      </w:r>
      <w:r w:rsidRPr="00F27422">
        <w:rPr>
          <w:rFonts w:ascii="mylotus" w:hAnsi="mylotus"/>
          <w:b/>
          <w:bCs/>
          <w:sz w:val="32"/>
          <w:rtl/>
        </w:rPr>
        <w:t xml:space="preserve">: </w:t>
      </w:r>
      <w:r w:rsidRPr="00F27422">
        <w:rPr>
          <w:rFonts w:ascii="mylotus" w:hAnsi="mylotus" w:hint="cs"/>
          <w:b/>
          <w:bCs/>
          <w:sz w:val="32"/>
          <w:rtl/>
        </w:rPr>
        <w:t>فَإِنْ</w:t>
      </w:r>
      <w:r w:rsidRPr="00F27422">
        <w:rPr>
          <w:rFonts w:ascii="mylotus" w:hAnsi="mylotus"/>
          <w:b/>
          <w:bCs/>
          <w:sz w:val="32"/>
          <w:rtl/>
        </w:rPr>
        <w:t xml:space="preserve"> </w:t>
      </w:r>
      <w:r w:rsidRPr="00F27422">
        <w:rPr>
          <w:rFonts w:ascii="mylotus" w:hAnsi="mylotus" w:hint="cs"/>
          <w:b/>
          <w:bCs/>
          <w:sz w:val="32"/>
          <w:rtl/>
        </w:rPr>
        <w:t>وَافَقَ</w:t>
      </w:r>
      <w:r w:rsidRPr="00F27422">
        <w:rPr>
          <w:rFonts w:ascii="mylotus" w:hAnsi="mylotus"/>
          <w:b/>
          <w:bCs/>
          <w:sz w:val="32"/>
          <w:rtl/>
        </w:rPr>
        <w:t xml:space="preserve"> </w:t>
      </w:r>
      <w:r w:rsidRPr="00F27422">
        <w:rPr>
          <w:rFonts w:ascii="mylotus" w:hAnsi="mylotus" w:hint="cs"/>
          <w:b/>
          <w:bCs/>
          <w:sz w:val="32"/>
          <w:rtl/>
        </w:rPr>
        <w:t>حُكَّامُهُمُ</w:t>
      </w:r>
      <w:r w:rsidRPr="00F27422">
        <w:rPr>
          <w:rFonts w:ascii="mylotus" w:hAnsi="mylotus"/>
          <w:b/>
          <w:bCs/>
          <w:sz w:val="32"/>
          <w:rtl/>
        </w:rPr>
        <w:t xml:space="preserve"> </w:t>
      </w:r>
      <w:r w:rsidRPr="00F27422">
        <w:rPr>
          <w:rFonts w:ascii="mylotus" w:hAnsi="mylotus" w:hint="cs"/>
          <w:b/>
          <w:bCs/>
          <w:sz w:val="32"/>
          <w:rtl/>
        </w:rPr>
        <w:t>الْخَبَرَيْنِ</w:t>
      </w:r>
      <w:r w:rsidRPr="00F27422">
        <w:rPr>
          <w:rFonts w:ascii="mylotus" w:hAnsi="mylotus"/>
          <w:b/>
          <w:bCs/>
          <w:sz w:val="32"/>
          <w:rtl/>
        </w:rPr>
        <w:t xml:space="preserve"> </w:t>
      </w:r>
      <w:r w:rsidRPr="00F27422">
        <w:rPr>
          <w:rFonts w:ascii="mylotus" w:hAnsi="mylotus" w:hint="cs"/>
          <w:b/>
          <w:bCs/>
          <w:sz w:val="32"/>
          <w:rtl/>
        </w:rPr>
        <w:t>جَمِيعاً؟</w:t>
      </w:r>
      <w:r w:rsidRPr="00F27422">
        <w:rPr>
          <w:rFonts w:ascii="mylotus" w:hAnsi="mylotus"/>
          <w:b/>
          <w:bCs/>
          <w:sz w:val="32"/>
          <w:rtl/>
        </w:rPr>
        <w:t xml:space="preserve"> </w:t>
      </w:r>
      <w:r w:rsidRPr="00F27422">
        <w:rPr>
          <w:rFonts w:ascii="mylotus" w:hAnsi="mylotus" w:hint="cs"/>
          <w:b/>
          <w:bCs/>
          <w:sz w:val="32"/>
          <w:rtl/>
        </w:rPr>
        <w:t>قَالَ</w:t>
      </w:r>
      <w:r w:rsidRPr="00F27422">
        <w:rPr>
          <w:rFonts w:ascii="mylotus" w:hAnsi="mylotus"/>
          <w:b/>
          <w:bCs/>
          <w:sz w:val="32"/>
          <w:rtl/>
        </w:rPr>
        <w:t xml:space="preserve">: </w:t>
      </w:r>
      <w:r w:rsidRPr="00F27422">
        <w:rPr>
          <w:rFonts w:ascii="mylotus" w:hAnsi="mylotus" w:hint="cs"/>
          <w:b/>
          <w:bCs/>
          <w:sz w:val="32"/>
          <w:rtl/>
        </w:rPr>
        <w:t>إِذَا</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ذَلِكَ</w:t>
      </w:r>
      <w:r w:rsidRPr="00F27422">
        <w:rPr>
          <w:rFonts w:ascii="mylotus" w:hAnsi="mylotus"/>
          <w:b/>
          <w:bCs/>
          <w:sz w:val="32"/>
          <w:rtl/>
        </w:rPr>
        <w:t xml:space="preserve"> </w:t>
      </w:r>
      <w:r w:rsidRPr="00F27422">
        <w:rPr>
          <w:rFonts w:ascii="mylotus" w:hAnsi="mylotus" w:hint="cs"/>
          <w:b/>
          <w:bCs/>
          <w:sz w:val="32"/>
          <w:rtl/>
        </w:rPr>
        <w:t>فَأَرْجِه</w:t>
      </w:r>
      <w:r w:rsidRPr="00F27422">
        <w:rPr>
          <w:rFonts w:ascii="mylotus" w:hAnsi="mylotus"/>
          <w:b/>
          <w:bCs/>
          <w:sz w:val="32"/>
          <w:rtl/>
        </w:rPr>
        <w:t xml:space="preserve"> </w:t>
      </w:r>
      <w:r w:rsidRPr="00F27422">
        <w:rPr>
          <w:rFonts w:ascii="mylotus" w:hAnsi="mylotus" w:hint="cs"/>
          <w:b/>
          <w:bCs/>
          <w:sz w:val="32"/>
          <w:rtl/>
        </w:rPr>
        <w:t>حَتَّى</w:t>
      </w:r>
      <w:r w:rsidRPr="00F27422">
        <w:rPr>
          <w:rFonts w:ascii="mylotus" w:hAnsi="mylotus"/>
          <w:b/>
          <w:bCs/>
          <w:sz w:val="32"/>
          <w:rtl/>
        </w:rPr>
        <w:t xml:space="preserve"> </w:t>
      </w:r>
      <w:r w:rsidRPr="00F27422">
        <w:rPr>
          <w:rFonts w:ascii="mylotus" w:hAnsi="mylotus" w:hint="cs"/>
          <w:b/>
          <w:bCs/>
          <w:sz w:val="32"/>
          <w:rtl/>
        </w:rPr>
        <w:t>تَلْقَى</w:t>
      </w:r>
      <w:r w:rsidRPr="00F27422">
        <w:rPr>
          <w:rFonts w:ascii="mylotus" w:hAnsi="mylotus"/>
          <w:b/>
          <w:bCs/>
          <w:sz w:val="32"/>
          <w:rtl/>
        </w:rPr>
        <w:t xml:space="preserve"> </w:t>
      </w:r>
      <w:r w:rsidRPr="00F27422">
        <w:rPr>
          <w:rFonts w:ascii="mylotus" w:hAnsi="mylotus" w:hint="cs"/>
          <w:b/>
          <w:bCs/>
          <w:sz w:val="32"/>
          <w:rtl/>
        </w:rPr>
        <w:t>إِمَامَكَ</w:t>
      </w:r>
      <w:r w:rsidRPr="00F27422">
        <w:rPr>
          <w:rFonts w:ascii="mylotus" w:hAnsi="mylotus"/>
          <w:b/>
          <w:bCs/>
          <w:sz w:val="32"/>
          <w:rtl/>
        </w:rPr>
        <w:t xml:space="preserve"> </w:t>
      </w:r>
      <w:r w:rsidRPr="00F27422">
        <w:rPr>
          <w:rFonts w:ascii="mylotus" w:hAnsi="mylotus" w:hint="cs"/>
          <w:b/>
          <w:bCs/>
          <w:sz w:val="32"/>
          <w:rtl/>
        </w:rPr>
        <w:t>فَإِنَّ</w:t>
      </w:r>
      <w:r w:rsidRPr="00F27422">
        <w:rPr>
          <w:rFonts w:ascii="mylotus" w:hAnsi="mylotus"/>
          <w:b/>
          <w:bCs/>
          <w:sz w:val="32"/>
          <w:rtl/>
        </w:rPr>
        <w:t xml:space="preserve"> </w:t>
      </w:r>
      <w:r w:rsidRPr="00F27422">
        <w:rPr>
          <w:rFonts w:ascii="mylotus" w:hAnsi="mylotus" w:hint="cs"/>
          <w:b/>
          <w:bCs/>
          <w:sz w:val="32"/>
          <w:rtl/>
        </w:rPr>
        <w:t>الْوُقُوفَ</w:t>
      </w:r>
      <w:r w:rsidRPr="00F27422">
        <w:rPr>
          <w:rFonts w:ascii="mylotus" w:hAnsi="mylotus"/>
          <w:b/>
          <w:bCs/>
          <w:sz w:val="32"/>
          <w:rtl/>
        </w:rPr>
        <w:t xml:space="preserve"> </w:t>
      </w:r>
      <w:r w:rsidRPr="00F27422">
        <w:rPr>
          <w:rFonts w:ascii="mylotus" w:hAnsi="mylotus" w:hint="cs"/>
          <w:b/>
          <w:bCs/>
          <w:sz w:val="32"/>
          <w:rtl/>
        </w:rPr>
        <w:t>عِنْدَ</w:t>
      </w:r>
      <w:r w:rsidRPr="00F27422">
        <w:rPr>
          <w:rFonts w:ascii="mylotus" w:hAnsi="mylotus"/>
          <w:b/>
          <w:bCs/>
          <w:sz w:val="32"/>
          <w:rtl/>
        </w:rPr>
        <w:t xml:space="preserve"> </w:t>
      </w:r>
      <w:r w:rsidRPr="00F27422">
        <w:rPr>
          <w:rFonts w:ascii="mylotus" w:hAnsi="mylotus" w:hint="cs"/>
          <w:b/>
          <w:bCs/>
          <w:sz w:val="32"/>
          <w:rtl/>
        </w:rPr>
        <w:t>الشُّبُهَاتِ</w:t>
      </w:r>
      <w:r w:rsidRPr="00F27422">
        <w:rPr>
          <w:rFonts w:ascii="mylotus" w:hAnsi="mylotus"/>
          <w:b/>
          <w:bCs/>
          <w:sz w:val="32"/>
          <w:rtl/>
        </w:rPr>
        <w:t xml:space="preserve"> </w:t>
      </w:r>
      <w:r w:rsidRPr="00F27422">
        <w:rPr>
          <w:rFonts w:ascii="mylotus" w:hAnsi="mylotus" w:hint="cs"/>
          <w:b/>
          <w:bCs/>
          <w:sz w:val="32"/>
          <w:rtl/>
        </w:rPr>
        <w:t>خَيْرٌ</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الِاقْتِحَامِ</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proofErr w:type="spellStart"/>
      <w:r w:rsidRPr="00F27422">
        <w:rPr>
          <w:rFonts w:ascii="mylotus" w:hAnsi="mylotus" w:hint="cs"/>
          <w:b/>
          <w:bCs/>
          <w:sz w:val="32"/>
          <w:rtl/>
        </w:rPr>
        <w:t>الْهَلَكَاتِ</w:t>
      </w:r>
      <w:proofErr w:type="spellEnd"/>
      <w:r w:rsidRPr="00F27422">
        <w:rPr>
          <w:rFonts w:ascii="mylotus" w:hAnsi="mylotus"/>
          <w:b/>
          <w:bCs/>
          <w:sz w:val="32"/>
          <w:rtl/>
        </w:rPr>
        <w:t>)</w:t>
      </w:r>
      <w:r w:rsidRPr="00F27422">
        <w:rPr>
          <w:rStyle w:val="FootnoteReference"/>
          <w:rFonts w:ascii="mylotus" w:hAnsi="mylotus"/>
          <w:b/>
          <w:bCs/>
          <w:sz w:val="32"/>
          <w:rtl/>
        </w:rPr>
        <w:footnoteReference w:id="8"/>
      </w:r>
      <w:r w:rsidRPr="00F27422">
        <w:rPr>
          <w:rFonts w:ascii="mylotus" w:hAnsi="mylotus" w:hint="cs"/>
          <w:b/>
          <w:bCs/>
          <w:sz w:val="32"/>
          <w:rtl/>
        </w:rPr>
        <w:t>.</w:t>
      </w:r>
    </w:p>
    <w:p w14:paraId="6987DC5A"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t>واضحٌ في التقديم لخصوصيات في المرجحات لا</w:t>
      </w:r>
      <w:r w:rsidRPr="00F27422">
        <w:rPr>
          <w:rFonts w:ascii="mylotus" w:hAnsi="mylotus" w:hint="cs"/>
          <w:sz w:val="32"/>
          <w:rtl/>
        </w:rPr>
        <w:t xml:space="preserve"> </w:t>
      </w:r>
      <w:r w:rsidRPr="00F27422">
        <w:rPr>
          <w:rFonts w:ascii="mylotus" w:hAnsi="mylotus"/>
          <w:sz w:val="32"/>
          <w:rtl/>
        </w:rPr>
        <w:t xml:space="preserve">لكونها من قرائن الجمع العرفي المعهودة في كلماتهم، فإنّ التعبير بقوله (عليه السلام): </w:t>
      </w:r>
      <w:r w:rsidRPr="00F27422">
        <w:rPr>
          <w:rFonts w:ascii="mylotus" w:hAnsi="mylotus"/>
          <w:b/>
          <w:bCs/>
          <w:sz w:val="32"/>
          <w:rtl/>
        </w:rPr>
        <w:t xml:space="preserve">(فَإِنَّ الْمُجْمَعَ عَلَيْهِ لَا رَيْبَ فِيهِ)، </w:t>
      </w:r>
      <w:r w:rsidRPr="00F27422">
        <w:rPr>
          <w:rFonts w:ascii="mylotus" w:hAnsi="mylotus"/>
          <w:sz w:val="32"/>
          <w:rtl/>
        </w:rPr>
        <w:t xml:space="preserve">وقوله (عليه السلام): </w:t>
      </w:r>
      <w:r w:rsidRPr="00F27422">
        <w:rPr>
          <w:rFonts w:ascii="mylotus" w:hAnsi="mylotus"/>
          <w:b/>
          <w:bCs/>
          <w:sz w:val="32"/>
          <w:rtl/>
        </w:rPr>
        <w:t>(مَا خَالَفَ الْعَامَّةَ فَفِيهِ الرَّشَادُ)،</w:t>
      </w:r>
      <w:r w:rsidRPr="00F27422">
        <w:rPr>
          <w:rFonts w:ascii="mylotus" w:hAnsi="mylotus"/>
          <w:sz w:val="32"/>
          <w:rtl/>
        </w:rPr>
        <w:t xml:space="preserve"> وقوله (عليه السلام): </w:t>
      </w:r>
      <w:r w:rsidRPr="00F27422">
        <w:rPr>
          <w:rFonts w:ascii="mylotus" w:hAnsi="mylotus"/>
          <w:b/>
          <w:bCs/>
          <w:sz w:val="32"/>
          <w:rtl/>
        </w:rPr>
        <w:t xml:space="preserve">(فَإِنَّ الْوُقُوفَ عِنْدَ الشُّبُهَاتِ خَيْرٌ مِنَ الِاقْتِحَامِ فِي </w:t>
      </w:r>
      <w:proofErr w:type="spellStart"/>
      <w:r w:rsidRPr="00F27422">
        <w:rPr>
          <w:rFonts w:ascii="mylotus" w:hAnsi="mylotus"/>
          <w:b/>
          <w:bCs/>
          <w:sz w:val="32"/>
          <w:rtl/>
        </w:rPr>
        <w:t>الْهَلَكَاتِ</w:t>
      </w:r>
      <w:proofErr w:type="spellEnd"/>
      <w:r w:rsidRPr="00F27422">
        <w:rPr>
          <w:rFonts w:ascii="mylotus" w:hAnsi="mylotus"/>
          <w:b/>
          <w:bCs/>
          <w:sz w:val="32"/>
          <w:rtl/>
        </w:rPr>
        <w:t>)،</w:t>
      </w:r>
      <w:r w:rsidRPr="00F27422">
        <w:rPr>
          <w:rFonts w:ascii="mylotus" w:hAnsi="mylotus"/>
          <w:sz w:val="32"/>
          <w:rtl/>
        </w:rPr>
        <w:t xml:space="preserve"> مما لا يجتمعُ مَعَ كون المنظور الجمع بين الروايتين</w:t>
      </w:r>
      <w:r w:rsidRPr="00F27422">
        <w:rPr>
          <w:rFonts w:ascii="mylotus" w:hAnsi="mylotus"/>
          <w:sz w:val="32"/>
        </w:rPr>
        <w:t>.</w:t>
      </w:r>
    </w:p>
    <w:p w14:paraId="1C1D6621" w14:textId="77777777" w:rsidR="00B276C7" w:rsidRPr="00F27422" w:rsidRDefault="00B276C7" w:rsidP="00122B70">
      <w:pPr>
        <w:pStyle w:val="a"/>
        <w:bidi/>
        <w:spacing w:line="216" w:lineRule="auto"/>
        <w:jc w:val="left"/>
        <w:rPr>
          <w:rFonts w:ascii="mylotus" w:hAnsi="mylotus"/>
          <w:b/>
          <w:bCs/>
          <w:sz w:val="32"/>
          <w:rtl/>
        </w:rPr>
      </w:pPr>
      <w:r w:rsidRPr="00F27422">
        <w:rPr>
          <w:rFonts w:ascii="mylotus" w:hAnsi="mylotus"/>
          <w:b/>
          <w:bCs/>
          <w:sz w:val="32"/>
          <w:rtl/>
        </w:rPr>
        <w:t>الملاحظةُ الرابعة:</w:t>
      </w:r>
      <w:r w:rsidRPr="00F27422">
        <w:rPr>
          <w:rFonts w:ascii="mylotus" w:hAnsi="mylotus"/>
          <w:sz w:val="32"/>
          <w:rtl/>
        </w:rPr>
        <w:t xml:space="preserve"> لو سلمنا بكل ما أُفيد، فإنّ ظهور المقبولة في تقديم الشُهرة ابتداءً مِن قِبله (عليه السلام) على جميع المرجحات مما لا يمكن إنكاره، بخلاف بقية المرجحات فإنّ السائل هو الذي فرضها، كقول الراوي: </w:t>
      </w:r>
      <w:r w:rsidRPr="00F27422">
        <w:rPr>
          <w:rFonts w:ascii="mylotus" w:hAnsi="mylotus"/>
          <w:b/>
          <w:bCs/>
          <w:sz w:val="32"/>
          <w:rtl/>
        </w:rPr>
        <w:t xml:space="preserve">(قُلْتُ: فَإِنْ كَانَ الْخَبَرَانِ عَنْكُمَا مَشْهُورَيْنِ قَدْ رَوَاهُمَا الثِّقَاتُ عَنْكُمْ؟ قَالَ: يُنْظَرُ فَمَا وَافَقَ حُكْمُهُ حُكْمَ الْكِتَابِ.. </w:t>
      </w:r>
      <w:proofErr w:type="spellStart"/>
      <w:r w:rsidRPr="00F27422">
        <w:rPr>
          <w:rFonts w:ascii="mylotus" w:hAnsi="mylotus"/>
          <w:b/>
          <w:bCs/>
          <w:sz w:val="32"/>
          <w:rtl/>
        </w:rPr>
        <w:t>ألخ</w:t>
      </w:r>
      <w:proofErr w:type="spellEnd"/>
      <w:r w:rsidRPr="00F27422">
        <w:rPr>
          <w:rFonts w:ascii="mylotus" w:hAnsi="mylotus"/>
          <w:b/>
          <w:bCs/>
          <w:sz w:val="32"/>
          <w:rtl/>
        </w:rPr>
        <w:t>)،</w:t>
      </w:r>
      <w:r w:rsidRPr="00F27422">
        <w:rPr>
          <w:rFonts w:ascii="mylotus" w:hAnsi="mylotus"/>
          <w:sz w:val="32"/>
          <w:rtl/>
        </w:rPr>
        <w:t xml:space="preserve"> ثمّ قال: </w:t>
      </w:r>
      <w:r w:rsidRPr="00F27422">
        <w:rPr>
          <w:rFonts w:ascii="mylotus" w:hAnsi="mylotus"/>
          <w:b/>
          <w:bCs/>
          <w:sz w:val="32"/>
          <w:rtl/>
        </w:rPr>
        <w:t>(قُلْتُ: جُعِلْتُ فِدَاكَ، أَ رَأَيْتَ إِنْ كَانَ الْفَقِيهَانِ عَرَفَا حُكْمَهُ مِنَ الْكِتَابِ وَالسُّنَّةِ وَوَجَدْنَا أَحَدَ الْخَبَرَيْنِ مُوَافِقاً لِلْعَامَّةِ وَالْآخَرَ مُخَالِفاً لَهُمْ بِأَيِّ الْخَبَرَيْنِ يُؤْخَذُ؟ قَالَ: مَا خَالَفَ الْعَامَّةَ فَفِيهِ الرَّشَادُ)</w:t>
      </w:r>
      <w:r w:rsidRPr="00F27422">
        <w:rPr>
          <w:rFonts w:ascii="mylotus" w:hAnsi="mylotus"/>
          <w:sz w:val="32"/>
          <w:rtl/>
        </w:rPr>
        <w:t xml:space="preserve">، ثمّ قال: </w:t>
      </w:r>
      <w:r w:rsidRPr="00F27422">
        <w:rPr>
          <w:rFonts w:ascii="mylotus" w:hAnsi="mylotus"/>
          <w:b/>
          <w:bCs/>
          <w:sz w:val="32"/>
          <w:rtl/>
        </w:rPr>
        <w:t>(فَقُلْتُ: جُعِلْتُ فِدَاكَ، فَإِنْ وَافَقَهُمَا الْخَبَرَانِ جَمِيعاً؟ قَالَ: يُنْظَرُ إِلَى مَا هُمْ إِلَيْهِ أَمْيَلُ حُكَّامُهُمْ وَقُضَاتُهُمْ فَيُتْرَكُ</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وَيُؤْخَذُ</w:t>
      </w:r>
      <w:r w:rsidRPr="00F27422">
        <w:rPr>
          <w:rFonts w:ascii="mylotus" w:hAnsi="mylotus"/>
          <w:b/>
          <w:bCs/>
          <w:sz w:val="32"/>
          <w:rtl/>
        </w:rPr>
        <w:t xml:space="preserve"> </w:t>
      </w:r>
      <w:r w:rsidRPr="00F27422">
        <w:rPr>
          <w:rFonts w:ascii="mylotus" w:hAnsi="mylotus" w:hint="cs"/>
          <w:b/>
          <w:bCs/>
          <w:sz w:val="32"/>
          <w:rtl/>
        </w:rPr>
        <w:t>بِالْآخَرِ</w:t>
      </w:r>
      <w:r w:rsidRPr="00F27422">
        <w:rPr>
          <w:rFonts w:ascii="mylotus" w:hAnsi="mylotus"/>
          <w:b/>
          <w:bCs/>
          <w:sz w:val="32"/>
          <w:rtl/>
        </w:rPr>
        <w:t>)</w:t>
      </w:r>
      <w:r w:rsidRPr="00F27422">
        <w:rPr>
          <w:rFonts w:ascii="mylotus" w:hAnsi="mylotus" w:hint="cs"/>
          <w:b/>
          <w:bCs/>
          <w:sz w:val="32"/>
          <w:rtl/>
        </w:rPr>
        <w:t>.</w:t>
      </w:r>
    </w:p>
    <w:p w14:paraId="2EE3B603"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lastRenderedPageBreak/>
        <w:t>مما يعني أن</w:t>
      </w:r>
      <w:r w:rsidRPr="00F27422">
        <w:rPr>
          <w:rFonts w:ascii="mylotus" w:hAnsi="mylotus" w:hint="cs"/>
          <w:sz w:val="32"/>
          <w:rtl/>
        </w:rPr>
        <w:t>ّ</w:t>
      </w:r>
      <w:r w:rsidRPr="00F27422">
        <w:rPr>
          <w:rFonts w:ascii="mylotus" w:hAnsi="mylotus"/>
          <w:sz w:val="32"/>
          <w:rtl/>
        </w:rPr>
        <w:t xml:space="preserve"> ظهورها في تقديم الشُهرة ابتداءً على جميع المرجحات والمزايا مما لا يمكن رفع اليد عنه، ولو كان هناك تكافؤ بين المرجحات مِن حيث تضمن كلٍّ منها نفس الميزة في المرجح الآخر لَمْ يكن لل</w:t>
      </w:r>
      <w:r w:rsidRPr="00F27422">
        <w:rPr>
          <w:rFonts w:ascii="mylotus" w:hAnsi="mylotus" w:hint="cs"/>
          <w:sz w:val="32"/>
          <w:rtl/>
        </w:rPr>
        <w:t>ا</w:t>
      </w:r>
      <w:r w:rsidRPr="00F27422">
        <w:rPr>
          <w:rFonts w:ascii="mylotus" w:hAnsi="mylotus"/>
          <w:sz w:val="32"/>
          <w:rtl/>
        </w:rPr>
        <w:t>بتداء بتقديم الشُهرة مبرر</w:t>
      </w:r>
      <w:r w:rsidRPr="00F27422">
        <w:rPr>
          <w:rFonts w:ascii="mylotus" w:hAnsi="mylotus"/>
          <w:sz w:val="32"/>
        </w:rPr>
        <w:t>.</w:t>
      </w:r>
    </w:p>
    <w:p w14:paraId="70CA6981"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b/>
          <w:bCs/>
          <w:sz w:val="32"/>
          <w:rtl/>
        </w:rPr>
        <w:t>فالصحيح في المقام:</w:t>
      </w:r>
      <w:r w:rsidRPr="00F27422">
        <w:rPr>
          <w:rFonts w:ascii="mylotus" w:hAnsi="mylotus"/>
          <w:sz w:val="32"/>
          <w:rtl/>
        </w:rPr>
        <w:t xml:space="preserve"> عدم تمامية ما استظهر مِن كون المقبولة إرشاداً لخصوص ما عليه بناءُ العقلاء مِن الجمع بين كلمات ذي الشأن ال</w:t>
      </w:r>
      <w:r w:rsidRPr="00F27422">
        <w:rPr>
          <w:rFonts w:ascii="mylotus" w:hAnsi="mylotus" w:hint="cs"/>
          <w:sz w:val="32"/>
          <w:rtl/>
        </w:rPr>
        <w:t>ا</w:t>
      </w:r>
      <w:r w:rsidRPr="00F27422">
        <w:rPr>
          <w:rFonts w:ascii="mylotus" w:hAnsi="mylotus"/>
          <w:sz w:val="32"/>
          <w:rtl/>
        </w:rPr>
        <w:t>جتماعي</w:t>
      </w:r>
      <w:r w:rsidRPr="00F27422">
        <w:rPr>
          <w:rFonts w:ascii="mylotus" w:hAnsi="mylotus" w:hint="cs"/>
          <w:sz w:val="32"/>
          <w:rtl/>
        </w:rPr>
        <w:t>.</w:t>
      </w:r>
    </w:p>
    <w:p w14:paraId="203E6098"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t>هذا من حيث الك</w:t>
      </w:r>
      <w:r w:rsidRPr="00F27422">
        <w:rPr>
          <w:rFonts w:ascii="mylotus" w:hAnsi="mylotus" w:hint="cs"/>
          <w:sz w:val="32"/>
          <w:rtl/>
        </w:rPr>
        <w:t>ُ</w:t>
      </w:r>
      <w:r w:rsidRPr="00F27422">
        <w:rPr>
          <w:rFonts w:ascii="mylotus" w:hAnsi="mylotus"/>
          <w:sz w:val="32"/>
          <w:rtl/>
        </w:rPr>
        <w:t>برى، وأم</w:t>
      </w:r>
      <w:r w:rsidRPr="00F27422">
        <w:rPr>
          <w:rFonts w:ascii="mylotus" w:hAnsi="mylotus" w:hint="cs"/>
          <w:sz w:val="32"/>
          <w:rtl/>
        </w:rPr>
        <w:t>ّ</w:t>
      </w:r>
      <w:r w:rsidRPr="00F27422">
        <w:rPr>
          <w:rFonts w:ascii="mylotus" w:hAnsi="mylotus"/>
          <w:sz w:val="32"/>
          <w:rtl/>
        </w:rPr>
        <w:t>ا من حيث الص</w:t>
      </w:r>
      <w:r w:rsidRPr="00F27422">
        <w:rPr>
          <w:rFonts w:ascii="mylotus" w:hAnsi="mylotus" w:hint="cs"/>
          <w:sz w:val="32"/>
          <w:rtl/>
        </w:rPr>
        <w:t>ُ</w:t>
      </w:r>
      <w:r w:rsidRPr="00F27422">
        <w:rPr>
          <w:rFonts w:ascii="mylotus" w:hAnsi="mylotus"/>
          <w:sz w:val="32"/>
          <w:rtl/>
        </w:rPr>
        <w:t>غرى بأنْ يُقال: إن ما دلّ على ثبوت الخيار للصبيّة إذا بلغتْ مخالفٌ للعامّة لإجماعهم على أنْ لا خيار لها، وهو مُوجبٌ لحمل ما دلّ على نفي الخيار على صدوره على سبيل التقية فهو كما ذكر السيد الأُستاذ (مد ظله الشريف) بأنّ الحمل على التقية في الأخبار مستبعدٌ</w:t>
      </w:r>
      <w:r w:rsidRPr="00F27422">
        <w:rPr>
          <w:rFonts w:ascii="mylotus" w:hAnsi="mylotus" w:hint="cs"/>
          <w:sz w:val="32"/>
          <w:rtl/>
        </w:rPr>
        <w:t>.</w:t>
      </w:r>
    </w:p>
    <w:p w14:paraId="140C5BE5" w14:textId="77777777" w:rsidR="00B276C7" w:rsidRPr="00F27422" w:rsidRDefault="00B276C7" w:rsidP="00122B70">
      <w:pPr>
        <w:pStyle w:val="a"/>
        <w:bidi/>
        <w:spacing w:line="216" w:lineRule="auto"/>
        <w:jc w:val="left"/>
        <w:rPr>
          <w:rFonts w:ascii="mylotus" w:hAnsi="mylotus"/>
          <w:b/>
          <w:bCs/>
          <w:sz w:val="32"/>
          <w:rtl/>
        </w:rPr>
      </w:pPr>
      <w:r w:rsidRPr="00F27422">
        <w:rPr>
          <w:rFonts w:ascii="mylotus" w:hAnsi="mylotus"/>
          <w:sz w:val="32"/>
          <w:rtl/>
        </w:rPr>
        <w:t>لعد</w:t>
      </w:r>
      <w:r w:rsidRPr="00F27422">
        <w:rPr>
          <w:rFonts w:ascii="mylotus" w:hAnsi="mylotus" w:hint="cs"/>
          <w:sz w:val="32"/>
          <w:rtl/>
        </w:rPr>
        <w:t>ّ</w:t>
      </w:r>
      <w:r w:rsidRPr="00F27422">
        <w:rPr>
          <w:rFonts w:ascii="mylotus" w:hAnsi="mylotus"/>
          <w:sz w:val="32"/>
          <w:rtl/>
        </w:rPr>
        <w:t xml:space="preserve">ة شواهد أشار إليها في </w:t>
      </w:r>
      <w:r w:rsidRPr="00F27422">
        <w:rPr>
          <w:rFonts w:ascii="mylotus" w:hAnsi="mylotus" w:hint="cs"/>
          <w:sz w:val="32"/>
          <w:rtl/>
        </w:rPr>
        <w:t xml:space="preserve">بحث </w:t>
      </w:r>
      <w:r w:rsidRPr="00F27422">
        <w:rPr>
          <w:rFonts w:ascii="mylotus" w:hAnsi="mylotus"/>
          <w:sz w:val="32"/>
          <w:rtl/>
        </w:rPr>
        <w:t>تعارض الأدلة واختلاف الحديث</w:t>
      </w:r>
      <w:r w:rsidRPr="00F27422">
        <w:rPr>
          <w:rStyle w:val="FootnoteReference"/>
          <w:rFonts w:ascii="mylotus" w:hAnsi="mylotus"/>
          <w:sz w:val="32"/>
          <w:rtl/>
        </w:rPr>
        <w:footnoteReference w:id="9"/>
      </w:r>
      <w:r w:rsidRPr="00F27422">
        <w:rPr>
          <w:rFonts w:ascii="mylotus" w:hAnsi="mylotus"/>
          <w:sz w:val="32"/>
          <w:rtl/>
        </w:rPr>
        <w:t>،</w:t>
      </w:r>
      <w:r w:rsidRPr="00F27422">
        <w:rPr>
          <w:rFonts w:ascii="mylotus" w:hAnsi="mylotus" w:hint="cs"/>
          <w:sz w:val="32"/>
          <w:rtl/>
        </w:rPr>
        <w:t xml:space="preserve"> </w:t>
      </w:r>
      <w:r w:rsidRPr="00F27422">
        <w:rPr>
          <w:rFonts w:ascii="mylotus" w:hAnsi="mylotus"/>
          <w:sz w:val="32"/>
          <w:rtl/>
        </w:rPr>
        <w:t xml:space="preserve">تحت عنوان: </w:t>
      </w:r>
      <w:r w:rsidRPr="00F27422">
        <w:rPr>
          <w:rFonts w:ascii="mylotus" w:hAnsi="mylotus" w:cs="Cambria" w:hint="cs"/>
          <w:sz w:val="32"/>
          <w:rtl/>
        </w:rPr>
        <w:t>"</w:t>
      </w:r>
      <w:r w:rsidRPr="00F27422">
        <w:rPr>
          <w:rFonts w:ascii="mylotus" w:hAnsi="mylotus"/>
          <w:sz w:val="32"/>
          <w:rtl/>
        </w:rPr>
        <w:t>مدى تأثير التقيّة في الأحاديث المتعارضة</w:t>
      </w:r>
      <w:r w:rsidRPr="00F27422">
        <w:rPr>
          <w:rFonts w:ascii="mylotus" w:hAnsi="mylotus" w:cs="Cambria" w:hint="cs"/>
          <w:sz w:val="32"/>
          <w:rtl/>
        </w:rPr>
        <w:t>"</w:t>
      </w:r>
      <w:r w:rsidRPr="00F27422">
        <w:rPr>
          <w:rFonts w:ascii="mylotus" w:hAnsi="mylotus"/>
          <w:sz w:val="32"/>
          <w:rtl/>
        </w:rPr>
        <w:t xml:space="preserve">، بقوله: </w:t>
      </w:r>
      <w:r w:rsidRPr="00F27422">
        <w:rPr>
          <w:rFonts w:ascii="mylotus" w:hAnsi="mylotus"/>
          <w:b/>
          <w:bCs/>
          <w:sz w:val="32"/>
          <w:rtl/>
        </w:rPr>
        <w:t>(وهنا يلزم البحث عما وعدنا الحديث عنه في الجهة الثانية، وهو مدى تأثير التقيّة في بروز ظاهرة اختلاف الأحاديث، فهل أنّها)</w:t>
      </w:r>
      <w:r w:rsidRPr="00F27422">
        <w:rPr>
          <w:rFonts w:ascii="mylotus" w:hAnsi="mylotus"/>
          <w:sz w:val="32"/>
          <w:rtl/>
        </w:rPr>
        <w:t xml:space="preserve"> أي: التقيّة </w:t>
      </w:r>
      <w:r w:rsidRPr="00F27422">
        <w:rPr>
          <w:rFonts w:ascii="mylotus" w:hAnsi="mylotus"/>
          <w:b/>
          <w:bCs/>
          <w:sz w:val="32"/>
          <w:rtl/>
        </w:rPr>
        <w:t xml:space="preserve">(أكثر تأثيراً من سائر الأسباب، أم أنّ دورها ضئيل وليس بذلك التصور الكبير عنها؟ وهل توجد في كتب الحديث والروايات الموجودة بأيدينا روايات صدرت من باب التقيّة أم </w:t>
      </w:r>
      <w:proofErr w:type="gramStart"/>
      <w:r w:rsidRPr="00F27422">
        <w:rPr>
          <w:rFonts w:ascii="mylotus" w:hAnsi="mylotus"/>
          <w:b/>
          <w:bCs/>
          <w:sz w:val="32"/>
          <w:rtl/>
        </w:rPr>
        <w:t>لا؟</w:t>
      </w:r>
      <w:r w:rsidRPr="00F27422">
        <w:rPr>
          <w:rFonts w:ascii="mylotus" w:hAnsi="mylotus"/>
          <w:b/>
          <w:bCs/>
          <w:sz w:val="32"/>
        </w:rPr>
        <w:t>.</w:t>
      </w:r>
      <w:proofErr w:type="gramEnd"/>
    </w:p>
    <w:p w14:paraId="392E2E44"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b/>
          <w:bCs/>
          <w:sz w:val="32"/>
          <w:rtl/>
        </w:rPr>
        <w:t xml:space="preserve">ذكر صاحب الحدائق في مقدمة الكتاب ما يدلّ على التأثير الكبير للتقية في اختلاف الحديث بقوله: (ولعلّ بمؤونة ذلك تعلم أنّ المرجحات بين الأخبار بالتقيّة بعد العرض على الكتاب أقوى المرجّحات؛ فإنّ جلّ الاختلاف الواقع في </w:t>
      </w:r>
      <w:proofErr w:type="gramStart"/>
      <w:r w:rsidRPr="00F27422">
        <w:rPr>
          <w:rFonts w:ascii="mylotus" w:hAnsi="mylotus"/>
          <w:b/>
          <w:bCs/>
          <w:sz w:val="32"/>
          <w:rtl/>
        </w:rPr>
        <w:t>أخبارنا</w:t>
      </w:r>
      <w:proofErr w:type="gramEnd"/>
      <w:r w:rsidRPr="00F27422">
        <w:rPr>
          <w:rFonts w:ascii="mylotus" w:hAnsi="mylotus"/>
          <w:b/>
          <w:bCs/>
          <w:sz w:val="32"/>
          <w:rtl/>
        </w:rPr>
        <w:t xml:space="preserve"> بل كلّه عند التأمل والتحقيق إنّما نشأ من التقيّة)</w:t>
      </w:r>
      <w:r w:rsidRPr="00F27422">
        <w:rPr>
          <w:rFonts w:ascii="mylotus" w:hAnsi="mylotus" w:hint="cs"/>
          <w:b/>
          <w:bCs/>
          <w:sz w:val="32"/>
          <w:rtl/>
        </w:rPr>
        <w:t>)</w:t>
      </w:r>
      <w:r w:rsidRPr="00F27422">
        <w:rPr>
          <w:rStyle w:val="FootnoteReference"/>
          <w:rFonts w:ascii="mylotus" w:hAnsi="mylotus"/>
          <w:b/>
          <w:bCs/>
          <w:sz w:val="32"/>
          <w:rtl/>
        </w:rPr>
        <w:footnoteReference w:id="10"/>
      </w:r>
      <w:r w:rsidRPr="00F27422">
        <w:rPr>
          <w:rFonts w:ascii="mylotus" w:hAnsi="mylotus"/>
          <w:b/>
          <w:bCs/>
          <w:sz w:val="32"/>
          <w:rtl/>
        </w:rPr>
        <w:t>.</w:t>
      </w:r>
    </w:p>
    <w:p w14:paraId="3BB1CAE2"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t xml:space="preserve">وفي مقابل ذلك ما ذكره الشيخ المفيد (رضوان الله عليه) في تصحيح الاعتقاد بقوله: </w:t>
      </w:r>
      <w:r w:rsidRPr="00F27422">
        <w:rPr>
          <w:rFonts w:ascii="mylotus" w:hAnsi="mylotus"/>
          <w:b/>
          <w:bCs/>
          <w:sz w:val="32"/>
          <w:rtl/>
        </w:rPr>
        <w:t xml:space="preserve">(وتفصيل هذه الجملة يصح ويظهر عند إثبات الأحاديث المختلفة، والكلام عليها ما قدّمناه، والحكم في معانيها ما وصفناه، إلّا أنّ المكذوب منها </w:t>
      </w:r>
      <w:proofErr w:type="spellStart"/>
      <w:r w:rsidRPr="00F27422">
        <w:rPr>
          <w:rFonts w:ascii="mylotus" w:hAnsi="mylotus"/>
          <w:b/>
          <w:bCs/>
          <w:sz w:val="32"/>
          <w:rtl/>
        </w:rPr>
        <w:t>لاينتشر</w:t>
      </w:r>
      <w:proofErr w:type="spellEnd"/>
      <w:r w:rsidRPr="00F27422">
        <w:rPr>
          <w:rFonts w:ascii="mylotus" w:hAnsi="mylotus"/>
          <w:b/>
          <w:bCs/>
          <w:sz w:val="32"/>
          <w:rtl/>
        </w:rPr>
        <w:t xml:space="preserve"> بكثير الأسانيد انتشار الصحيح المصدوق على الأئمة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عليهم</w:t>
      </w:r>
      <w:r w:rsidRPr="00F27422">
        <w:rPr>
          <w:rFonts w:ascii="mylotus" w:hAnsi="mylotus"/>
          <w:b/>
          <w:bCs/>
          <w:sz w:val="32"/>
          <w:rtl/>
        </w:rPr>
        <w:t xml:space="preserve"> </w:t>
      </w:r>
      <w:r w:rsidRPr="00F27422">
        <w:rPr>
          <w:rFonts w:ascii="mylotus" w:hAnsi="mylotus" w:hint="cs"/>
          <w:b/>
          <w:bCs/>
          <w:sz w:val="32"/>
          <w:rtl/>
        </w:rPr>
        <w:t>السّلام</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فيه،</w:t>
      </w:r>
      <w:r w:rsidRPr="00F27422">
        <w:rPr>
          <w:rFonts w:ascii="mylotus" w:hAnsi="mylotus"/>
          <w:b/>
          <w:bCs/>
          <w:sz w:val="32"/>
          <w:rtl/>
        </w:rPr>
        <w:t xml:space="preserve"> </w:t>
      </w:r>
      <w:r w:rsidRPr="00F27422">
        <w:rPr>
          <w:rFonts w:ascii="mylotus" w:hAnsi="mylotus" w:hint="cs"/>
          <w:b/>
          <w:bCs/>
          <w:sz w:val="32"/>
          <w:rtl/>
        </w:rPr>
        <w:t>وما</w:t>
      </w:r>
      <w:r w:rsidRPr="00F27422">
        <w:rPr>
          <w:rFonts w:ascii="mylotus" w:hAnsi="mylotus"/>
          <w:b/>
          <w:bCs/>
          <w:sz w:val="32"/>
          <w:rtl/>
        </w:rPr>
        <w:t xml:space="preserve"> </w:t>
      </w:r>
      <w:r w:rsidRPr="00F27422">
        <w:rPr>
          <w:rFonts w:ascii="mylotus" w:hAnsi="mylotus" w:hint="cs"/>
          <w:b/>
          <w:bCs/>
          <w:sz w:val="32"/>
          <w:rtl/>
        </w:rPr>
        <w:t>خرج</w:t>
      </w:r>
      <w:r w:rsidRPr="00F27422">
        <w:rPr>
          <w:rFonts w:ascii="mylotus" w:hAnsi="mylotus"/>
          <w:b/>
          <w:bCs/>
          <w:sz w:val="32"/>
          <w:rtl/>
        </w:rPr>
        <w:t xml:space="preserve"> </w:t>
      </w:r>
      <w:r w:rsidRPr="00F27422">
        <w:rPr>
          <w:rFonts w:ascii="mylotus" w:hAnsi="mylotus" w:hint="cs"/>
          <w:b/>
          <w:bCs/>
          <w:sz w:val="32"/>
          <w:rtl/>
        </w:rPr>
        <w:t>للتّقيّة</w:t>
      </w:r>
      <w:r w:rsidRPr="00F27422">
        <w:rPr>
          <w:rFonts w:ascii="mylotus" w:hAnsi="mylotus"/>
          <w:b/>
          <w:bCs/>
          <w:sz w:val="32"/>
          <w:rtl/>
        </w:rPr>
        <w:t xml:space="preserve">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تكثر</w:t>
      </w:r>
      <w:r w:rsidRPr="00F27422">
        <w:rPr>
          <w:rFonts w:ascii="mylotus" w:hAnsi="mylotus"/>
          <w:b/>
          <w:bCs/>
          <w:sz w:val="32"/>
          <w:rtl/>
        </w:rPr>
        <w:t xml:space="preserve"> </w:t>
      </w:r>
      <w:r w:rsidRPr="00F27422">
        <w:rPr>
          <w:rFonts w:ascii="mylotus" w:hAnsi="mylotus" w:hint="cs"/>
          <w:b/>
          <w:bCs/>
          <w:sz w:val="32"/>
          <w:rtl/>
        </w:rPr>
        <w:t>روايته</w:t>
      </w:r>
      <w:r w:rsidRPr="00F27422">
        <w:rPr>
          <w:rFonts w:ascii="mylotus" w:hAnsi="mylotus"/>
          <w:b/>
          <w:bCs/>
          <w:sz w:val="32"/>
          <w:rtl/>
        </w:rPr>
        <w:t xml:space="preserve"> </w:t>
      </w:r>
      <w:r w:rsidRPr="00F27422">
        <w:rPr>
          <w:rFonts w:ascii="mylotus" w:hAnsi="mylotus" w:hint="cs"/>
          <w:b/>
          <w:bCs/>
          <w:sz w:val="32"/>
          <w:rtl/>
        </w:rPr>
        <w:t>عنهم</w:t>
      </w:r>
      <w:r w:rsidRPr="00F27422">
        <w:rPr>
          <w:rFonts w:ascii="mylotus" w:hAnsi="mylotus"/>
          <w:b/>
          <w:bCs/>
          <w:sz w:val="32"/>
          <w:rtl/>
        </w:rPr>
        <w:t xml:space="preserve"> </w:t>
      </w:r>
      <w:r w:rsidRPr="00F27422">
        <w:rPr>
          <w:rFonts w:ascii="mylotus" w:hAnsi="mylotus" w:hint="cs"/>
          <w:b/>
          <w:bCs/>
          <w:sz w:val="32"/>
          <w:rtl/>
        </w:rPr>
        <w:t>كما</w:t>
      </w:r>
      <w:r w:rsidRPr="00F27422">
        <w:rPr>
          <w:rFonts w:ascii="mylotus" w:hAnsi="mylotus"/>
          <w:b/>
          <w:bCs/>
          <w:sz w:val="32"/>
          <w:rtl/>
        </w:rPr>
        <w:t xml:space="preserve"> </w:t>
      </w:r>
      <w:r w:rsidRPr="00F27422">
        <w:rPr>
          <w:rFonts w:ascii="mylotus" w:hAnsi="mylotus" w:hint="cs"/>
          <w:b/>
          <w:bCs/>
          <w:sz w:val="32"/>
          <w:rtl/>
        </w:rPr>
        <w:t>تكثر</w:t>
      </w:r>
      <w:r w:rsidRPr="00F27422">
        <w:rPr>
          <w:rFonts w:ascii="mylotus" w:hAnsi="mylotus"/>
          <w:b/>
          <w:bCs/>
          <w:sz w:val="32"/>
          <w:rtl/>
        </w:rPr>
        <w:t xml:space="preserve"> </w:t>
      </w:r>
      <w:r w:rsidRPr="00F27422">
        <w:rPr>
          <w:rFonts w:ascii="mylotus" w:hAnsi="mylotus" w:hint="cs"/>
          <w:b/>
          <w:bCs/>
          <w:sz w:val="32"/>
          <w:rtl/>
        </w:rPr>
        <w:t>رواية</w:t>
      </w:r>
      <w:r w:rsidRPr="00F27422">
        <w:rPr>
          <w:rFonts w:ascii="mylotus" w:hAnsi="mylotus"/>
          <w:b/>
          <w:bCs/>
          <w:sz w:val="32"/>
          <w:rtl/>
        </w:rPr>
        <w:t xml:space="preserve"> </w:t>
      </w:r>
      <w:r w:rsidRPr="00F27422">
        <w:rPr>
          <w:rFonts w:ascii="mylotus" w:hAnsi="mylotus" w:hint="cs"/>
          <w:b/>
          <w:bCs/>
          <w:sz w:val="32"/>
          <w:rtl/>
        </w:rPr>
        <w:t>المعمول</w:t>
      </w:r>
      <w:r w:rsidRPr="00F27422">
        <w:rPr>
          <w:rFonts w:ascii="mylotus" w:hAnsi="mylotus"/>
          <w:b/>
          <w:bCs/>
          <w:sz w:val="32"/>
          <w:rtl/>
        </w:rPr>
        <w:t xml:space="preserve"> </w:t>
      </w:r>
      <w:r w:rsidRPr="00F27422">
        <w:rPr>
          <w:rFonts w:ascii="mylotus" w:hAnsi="mylotus" w:hint="cs"/>
          <w:b/>
          <w:bCs/>
          <w:sz w:val="32"/>
          <w:rtl/>
        </w:rPr>
        <w:t>به،</w:t>
      </w:r>
      <w:r w:rsidRPr="00F27422">
        <w:rPr>
          <w:rFonts w:ascii="mylotus" w:hAnsi="mylotus"/>
          <w:b/>
          <w:bCs/>
          <w:sz w:val="32"/>
          <w:rtl/>
        </w:rPr>
        <w:t xml:space="preserve"> </w:t>
      </w:r>
      <w:r w:rsidRPr="00F27422">
        <w:rPr>
          <w:rFonts w:ascii="mylotus" w:hAnsi="mylotus" w:hint="cs"/>
          <w:b/>
          <w:bCs/>
          <w:sz w:val="32"/>
          <w:rtl/>
        </w:rPr>
        <w:t>بل</w:t>
      </w:r>
      <w:r w:rsidRPr="00F27422">
        <w:rPr>
          <w:rFonts w:ascii="mylotus" w:hAnsi="mylotus"/>
          <w:b/>
          <w:bCs/>
          <w:sz w:val="32"/>
          <w:rtl/>
        </w:rPr>
        <w:t xml:space="preserve">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بدّ</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الرّجحان</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أحد</w:t>
      </w:r>
      <w:r w:rsidRPr="00F27422">
        <w:rPr>
          <w:rFonts w:ascii="mylotus" w:hAnsi="mylotus"/>
          <w:b/>
          <w:bCs/>
          <w:sz w:val="32"/>
          <w:rtl/>
        </w:rPr>
        <w:t xml:space="preserve"> </w:t>
      </w:r>
      <w:r w:rsidRPr="00F27422">
        <w:rPr>
          <w:rFonts w:ascii="mylotus" w:hAnsi="mylotus" w:hint="cs"/>
          <w:b/>
          <w:bCs/>
          <w:sz w:val="32"/>
          <w:rtl/>
        </w:rPr>
        <w:t>الطّرفين</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الآخر</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جهة</w:t>
      </w:r>
      <w:r w:rsidRPr="00F27422">
        <w:rPr>
          <w:rFonts w:ascii="mylotus" w:hAnsi="mylotus"/>
          <w:b/>
          <w:bCs/>
          <w:sz w:val="32"/>
          <w:rtl/>
        </w:rPr>
        <w:t xml:space="preserve"> </w:t>
      </w:r>
      <w:r w:rsidRPr="00F27422">
        <w:rPr>
          <w:rFonts w:ascii="mylotus" w:hAnsi="mylotus" w:hint="cs"/>
          <w:b/>
          <w:bCs/>
          <w:sz w:val="32"/>
          <w:rtl/>
        </w:rPr>
        <w:t>الرّواة</w:t>
      </w:r>
      <w:r w:rsidRPr="00F27422">
        <w:rPr>
          <w:rFonts w:ascii="mylotus" w:hAnsi="mylotus"/>
          <w:b/>
          <w:bCs/>
          <w:sz w:val="32"/>
          <w:rtl/>
        </w:rPr>
        <w:t xml:space="preserve"> </w:t>
      </w:r>
      <w:r w:rsidRPr="00F27422">
        <w:rPr>
          <w:rFonts w:ascii="mylotus" w:hAnsi="mylotus" w:hint="cs"/>
          <w:b/>
          <w:bCs/>
          <w:sz w:val="32"/>
          <w:rtl/>
        </w:rPr>
        <w:t>حسب</w:t>
      </w:r>
      <w:r w:rsidRPr="00F27422">
        <w:rPr>
          <w:rFonts w:ascii="mylotus" w:hAnsi="mylotus"/>
          <w:b/>
          <w:bCs/>
          <w:sz w:val="32"/>
          <w:rtl/>
        </w:rPr>
        <w:t xml:space="preserve"> </w:t>
      </w:r>
      <w:r w:rsidRPr="00F27422">
        <w:rPr>
          <w:rFonts w:ascii="mylotus" w:hAnsi="mylotus" w:hint="cs"/>
          <w:b/>
          <w:bCs/>
          <w:sz w:val="32"/>
          <w:rtl/>
        </w:rPr>
        <w:t>ما</w:t>
      </w:r>
      <w:r w:rsidRPr="00F27422">
        <w:rPr>
          <w:rFonts w:ascii="mylotus" w:hAnsi="mylotus"/>
          <w:b/>
          <w:bCs/>
          <w:sz w:val="32"/>
          <w:rtl/>
        </w:rPr>
        <w:t xml:space="preserve"> </w:t>
      </w:r>
      <w:r w:rsidRPr="00F27422">
        <w:rPr>
          <w:rFonts w:ascii="mylotus" w:hAnsi="mylotus" w:hint="cs"/>
          <w:b/>
          <w:bCs/>
          <w:sz w:val="32"/>
          <w:rtl/>
        </w:rPr>
        <w:t>ذكرناه،</w:t>
      </w:r>
      <w:r w:rsidRPr="00F27422">
        <w:rPr>
          <w:rFonts w:ascii="mylotus" w:hAnsi="mylotus"/>
          <w:b/>
          <w:bCs/>
          <w:sz w:val="32"/>
          <w:rtl/>
        </w:rPr>
        <w:t xml:space="preserve"> </w:t>
      </w:r>
      <w:r w:rsidRPr="00F27422">
        <w:rPr>
          <w:rFonts w:ascii="mylotus" w:hAnsi="mylotus" w:hint="cs"/>
          <w:b/>
          <w:bCs/>
          <w:sz w:val="32"/>
          <w:rtl/>
        </w:rPr>
        <w:t>ولم</w:t>
      </w:r>
      <w:r w:rsidRPr="00F27422">
        <w:rPr>
          <w:rFonts w:ascii="mylotus" w:hAnsi="mylotus"/>
          <w:b/>
          <w:bCs/>
          <w:sz w:val="32"/>
          <w:rtl/>
        </w:rPr>
        <w:t xml:space="preserve"> </w:t>
      </w:r>
      <w:r w:rsidRPr="00F27422">
        <w:rPr>
          <w:rFonts w:ascii="mylotus" w:hAnsi="mylotus" w:hint="cs"/>
          <w:b/>
          <w:bCs/>
          <w:sz w:val="32"/>
          <w:rtl/>
        </w:rPr>
        <w:t>تجمع</w:t>
      </w:r>
      <w:r w:rsidRPr="00F27422">
        <w:rPr>
          <w:rFonts w:ascii="mylotus" w:hAnsi="mylotus"/>
          <w:b/>
          <w:bCs/>
          <w:sz w:val="32"/>
          <w:rtl/>
        </w:rPr>
        <w:t xml:space="preserve"> </w:t>
      </w:r>
      <w:r w:rsidRPr="00F27422">
        <w:rPr>
          <w:rFonts w:ascii="mylotus" w:hAnsi="mylotus" w:hint="cs"/>
          <w:b/>
          <w:bCs/>
          <w:sz w:val="32"/>
          <w:rtl/>
        </w:rPr>
        <w:t>العصابة</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شيء</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الحكم</w:t>
      </w:r>
      <w:r w:rsidRPr="00F27422">
        <w:rPr>
          <w:rFonts w:ascii="mylotus" w:hAnsi="mylotus"/>
          <w:b/>
          <w:bCs/>
          <w:sz w:val="32"/>
          <w:rtl/>
        </w:rPr>
        <w:t xml:space="preserve"> </w:t>
      </w:r>
      <w:r w:rsidRPr="00F27422">
        <w:rPr>
          <w:rFonts w:ascii="mylotus" w:hAnsi="mylotus" w:hint="cs"/>
          <w:b/>
          <w:bCs/>
          <w:sz w:val="32"/>
          <w:rtl/>
        </w:rPr>
        <w:t>فيه</w:t>
      </w:r>
      <w:r w:rsidRPr="00F27422">
        <w:rPr>
          <w:rFonts w:ascii="mylotus" w:hAnsi="mylotus"/>
          <w:b/>
          <w:bCs/>
          <w:sz w:val="32"/>
          <w:rtl/>
        </w:rPr>
        <w:t xml:space="preserve"> </w:t>
      </w:r>
      <w:r w:rsidRPr="00F27422">
        <w:rPr>
          <w:rFonts w:ascii="mylotus" w:hAnsi="mylotus" w:hint="cs"/>
          <w:b/>
          <w:bCs/>
          <w:sz w:val="32"/>
          <w:rtl/>
        </w:rPr>
        <w:t>تقيّة،</w:t>
      </w:r>
      <w:r w:rsidRPr="00F27422">
        <w:rPr>
          <w:rFonts w:ascii="mylotus" w:hAnsi="mylotus"/>
          <w:b/>
          <w:bCs/>
          <w:sz w:val="32"/>
          <w:rtl/>
        </w:rPr>
        <w:t xml:space="preserve"> </w:t>
      </w:r>
      <w:r w:rsidRPr="00F27422">
        <w:rPr>
          <w:rFonts w:ascii="mylotus" w:hAnsi="mylotus" w:hint="cs"/>
          <w:b/>
          <w:bCs/>
          <w:sz w:val="32"/>
          <w:rtl/>
        </w:rPr>
        <w:t>ولا</w:t>
      </w:r>
      <w:r w:rsidRPr="00F27422">
        <w:rPr>
          <w:rFonts w:ascii="mylotus" w:hAnsi="mylotus"/>
          <w:b/>
          <w:bCs/>
          <w:sz w:val="32"/>
          <w:rtl/>
        </w:rPr>
        <w:t xml:space="preserve"> </w:t>
      </w:r>
      <w:r w:rsidRPr="00F27422">
        <w:rPr>
          <w:rFonts w:ascii="mylotus" w:hAnsi="mylotus" w:hint="cs"/>
          <w:b/>
          <w:bCs/>
          <w:sz w:val="32"/>
          <w:rtl/>
        </w:rPr>
        <w:t>شيء</w:t>
      </w:r>
      <w:r w:rsidRPr="00F27422">
        <w:rPr>
          <w:rFonts w:ascii="mylotus" w:hAnsi="mylotus"/>
          <w:b/>
          <w:bCs/>
          <w:sz w:val="32"/>
          <w:rtl/>
        </w:rPr>
        <w:t xml:space="preserve"> </w:t>
      </w:r>
      <w:r w:rsidRPr="00F27422">
        <w:rPr>
          <w:rFonts w:ascii="mylotus" w:hAnsi="mylotus" w:hint="cs"/>
          <w:b/>
          <w:bCs/>
          <w:sz w:val="32"/>
          <w:rtl/>
        </w:rPr>
        <w:t>دلس</w:t>
      </w:r>
      <w:r w:rsidRPr="00F27422">
        <w:rPr>
          <w:rFonts w:ascii="mylotus" w:hAnsi="mylotus"/>
          <w:b/>
          <w:bCs/>
          <w:sz w:val="32"/>
          <w:rtl/>
        </w:rPr>
        <w:t xml:space="preserve"> </w:t>
      </w:r>
      <w:r w:rsidRPr="00F27422">
        <w:rPr>
          <w:rFonts w:ascii="mylotus" w:hAnsi="mylotus" w:hint="cs"/>
          <w:b/>
          <w:bCs/>
          <w:sz w:val="32"/>
          <w:rtl/>
        </w:rPr>
        <w:t>فيه</w:t>
      </w:r>
      <w:r w:rsidRPr="00F27422">
        <w:rPr>
          <w:rFonts w:ascii="mylotus" w:hAnsi="mylotus"/>
          <w:b/>
          <w:bCs/>
          <w:sz w:val="32"/>
          <w:rtl/>
        </w:rPr>
        <w:t xml:space="preserve"> </w:t>
      </w:r>
      <w:r w:rsidRPr="00F27422">
        <w:rPr>
          <w:rFonts w:ascii="mylotus" w:hAnsi="mylotus" w:hint="cs"/>
          <w:b/>
          <w:bCs/>
          <w:sz w:val="32"/>
          <w:rtl/>
        </w:rPr>
        <w:t>ووضع</w:t>
      </w:r>
      <w:r w:rsidRPr="00F27422">
        <w:rPr>
          <w:rFonts w:ascii="mylotus" w:hAnsi="mylotus"/>
          <w:b/>
          <w:bCs/>
          <w:sz w:val="32"/>
          <w:rtl/>
        </w:rPr>
        <w:t xml:space="preserve"> </w:t>
      </w:r>
      <w:proofErr w:type="spellStart"/>
      <w:r w:rsidRPr="00F27422">
        <w:rPr>
          <w:rFonts w:ascii="mylotus" w:hAnsi="mylotus" w:hint="cs"/>
          <w:b/>
          <w:bCs/>
          <w:sz w:val="32"/>
          <w:rtl/>
        </w:rPr>
        <w:t>متخرّصاً</w:t>
      </w:r>
      <w:proofErr w:type="spellEnd"/>
      <w:r w:rsidRPr="00F27422">
        <w:rPr>
          <w:rFonts w:ascii="mylotus" w:hAnsi="mylotus"/>
          <w:b/>
          <w:bCs/>
          <w:sz w:val="32"/>
          <w:rtl/>
        </w:rPr>
        <w:t xml:space="preserve"> </w:t>
      </w:r>
      <w:r w:rsidRPr="00F27422">
        <w:rPr>
          <w:rFonts w:ascii="mylotus" w:hAnsi="mylotus" w:hint="cs"/>
          <w:b/>
          <w:bCs/>
          <w:sz w:val="32"/>
          <w:rtl/>
        </w:rPr>
        <w:t>عل</w:t>
      </w:r>
      <w:r w:rsidRPr="00F27422">
        <w:rPr>
          <w:rFonts w:ascii="mylotus" w:hAnsi="mylotus"/>
          <w:b/>
          <w:bCs/>
          <w:sz w:val="32"/>
          <w:rtl/>
        </w:rPr>
        <w:t>يهم وكذب في إضافته إليهم)</w:t>
      </w:r>
      <w:r w:rsidRPr="00F27422">
        <w:rPr>
          <w:rStyle w:val="FootnoteReference"/>
          <w:rFonts w:ascii="mylotus" w:hAnsi="mylotus"/>
          <w:b/>
          <w:bCs/>
          <w:sz w:val="32"/>
          <w:rtl/>
        </w:rPr>
        <w:footnoteReference w:id="11"/>
      </w:r>
      <w:r w:rsidRPr="00F27422">
        <w:rPr>
          <w:rFonts w:ascii="mylotus" w:hAnsi="mylotus" w:hint="cs"/>
          <w:b/>
          <w:bCs/>
          <w:sz w:val="32"/>
          <w:rtl/>
        </w:rPr>
        <w:t>.</w:t>
      </w:r>
    </w:p>
    <w:p w14:paraId="2EC11453"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t xml:space="preserve">وقال المحقّق الحلي في المعارج: </w:t>
      </w:r>
      <w:r w:rsidRPr="00F27422">
        <w:rPr>
          <w:rFonts w:ascii="mylotus" w:hAnsi="mylotus"/>
          <w:b/>
          <w:bCs/>
          <w:sz w:val="32"/>
          <w:rtl/>
        </w:rPr>
        <w:t>(المسألة التاسعة: قال الشيخ (ره): [إذا تساوت] الروايتان في العدالة والعدد عمل بأبعدهما من قول العامة، والظاهر [أن] احتجاجه في ذلك برواية رويت عن الصادق عليه السلام وهو إثبات لمسألة (علمية) بخبر واحد، وما يخفى عليك ما فيه، مع أنه قد طعن فيه فضلاء من الشيعة كالمفيد وغيره)</w:t>
      </w:r>
      <w:r w:rsidRPr="00F27422">
        <w:rPr>
          <w:rStyle w:val="FootnoteReference"/>
          <w:rFonts w:ascii="mylotus" w:hAnsi="mylotus"/>
          <w:b/>
          <w:bCs/>
          <w:sz w:val="32"/>
          <w:rtl/>
        </w:rPr>
        <w:footnoteReference w:id="12"/>
      </w:r>
      <w:r w:rsidRPr="00F27422">
        <w:rPr>
          <w:rFonts w:ascii="mylotus" w:hAnsi="mylotus" w:hint="cs"/>
          <w:b/>
          <w:bCs/>
          <w:sz w:val="32"/>
          <w:rtl/>
        </w:rPr>
        <w:t>.</w:t>
      </w:r>
    </w:p>
    <w:p w14:paraId="40356DEC"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t xml:space="preserve">وقال (مد ظله): </w:t>
      </w:r>
      <w:r w:rsidRPr="00F27422">
        <w:rPr>
          <w:rFonts w:ascii="mylotus" w:hAnsi="mylotus"/>
          <w:b/>
          <w:bCs/>
          <w:sz w:val="32"/>
          <w:rtl/>
        </w:rPr>
        <w:t xml:space="preserve">(والشيخ المفيد في رسالته العددية بناءً على نقل المحقّق التستري عنه في كشف القناع نقداً على أصحاب العدد يظهر منه عدم تأثير التقيّة كثيراً في اختلاف الأحاديث حيث يقول: (إنّ الذي يروي منهم على سبيل التقيّة لا ينقله جمهور ثقاتهم ولا </w:t>
      </w:r>
      <w:r w:rsidRPr="00F27422">
        <w:rPr>
          <w:rFonts w:ascii="mylotus" w:hAnsi="mylotus"/>
          <w:b/>
          <w:bCs/>
          <w:sz w:val="32"/>
          <w:rtl/>
        </w:rPr>
        <w:lastRenderedPageBreak/>
        <w:t>يعمل به أكثر علمائهم، وإنّما ينقله</w:t>
      </w:r>
      <w:r w:rsidRPr="00F27422">
        <w:rPr>
          <w:rFonts w:ascii="mylotus" w:hAnsi="mylotus"/>
          <w:sz w:val="32"/>
          <w:rtl/>
        </w:rPr>
        <w:t xml:space="preserve"> </w:t>
      </w:r>
      <w:r w:rsidRPr="00F27422">
        <w:rPr>
          <w:rFonts w:ascii="mylotus" w:hAnsi="mylotus"/>
          <w:b/>
          <w:bCs/>
          <w:sz w:val="32"/>
          <w:rtl/>
        </w:rPr>
        <w:t>الشكاك من الطوائف يرويه خصماؤهم في المذاهب، ويردّ على الشذوذ دون التواتر)</w:t>
      </w:r>
      <w:r w:rsidRPr="00F27422">
        <w:rPr>
          <w:rStyle w:val="FootnoteReference"/>
          <w:rFonts w:ascii="mylotus" w:hAnsi="mylotus"/>
          <w:b/>
          <w:bCs/>
          <w:sz w:val="32"/>
          <w:rtl/>
        </w:rPr>
        <w:footnoteReference w:id="13"/>
      </w:r>
      <w:r w:rsidRPr="00F27422">
        <w:rPr>
          <w:rFonts w:ascii="mylotus" w:hAnsi="mylotus"/>
          <w:b/>
          <w:bCs/>
          <w:sz w:val="32"/>
          <w:rtl/>
        </w:rPr>
        <w:t>.</w:t>
      </w:r>
    </w:p>
    <w:p w14:paraId="5CC6D24C"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b/>
          <w:bCs/>
          <w:sz w:val="32"/>
          <w:rtl/>
        </w:rPr>
        <w:t>ومثله الشيخ الكليني (قدس سره) في مقدمة كتاب الكافي فإنّه بعد ذكره تعيّن الأخذ بما يخالف العامّة قال: (ونحن لا نعرف من ذلك إلّا أقلّه)</w:t>
      </w:r>
      <w:r w:rsidRPr="00F27422">
        <w:rPr>
          <w:rStyle w:val="FootnoteReference"/>
          <w:rFonts w:ascii="mylotus" w:hAnsi="mylotus"/>
          <w:b/>
          <w:bCs/>
          <w:sz w:val="32"/>
          <w:rtl/>
        </w:rPr>
        <w:footnoteReference w:id="14"/>
      </w:r>
      <w:r w:rsidRPr="00F27422">
        <w:rPr>
          <w:rFonts w:ascii="mylotus" w:hAnsi="mylotus"/>
          <w:sz w:val="32"/>
          <w:rtl/>
        </w:rPr>
        <w:t>.</w:t>
      </w:r>
      <w:r w:rsidRPr="00F27422">
        <w:rPr>
          <w:rStyle w:val="FootnoteReference"/>
          <w:rFonts w:ascii="mylotus" w:hAnsi="mylotus"/>
          <w:sz w:val="32"/>
          <w:rtl/>
        </w:rPr>
        <w:footnoteReference w:id="15"/>
      </w:r>
    </w:p>
    <w:p w14:paraId="527E8619"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sz w:val="32"/>
          <w:rtl/>
        </w:rPr>
        <w:t xml:space="preserve">إلى أنْ قال (مد ظله): </w:t>
      </w:r>
      <w:r w:rsidRPr="00F27422">
        <w:rPr>
          <w:rFonts w:ascii="mylotus" w:hAnsi="mylotus"/>
          <w:b/>
          <w:bCs/>
          <w:sz w:val="32"/>
          <w:rtl/>
        </w:rPr>
        <w:t>(فهل إنّ هذا الأُسلوب في العمل بالروايات وحمل كلّ رواية على التقية لمجرد موافقتها لرأي العامّة صحيح أم لا؟ هذا مع العلم بأنّ الأخبار الصادرة عن تقية كان يعرف الكثير من الشيعة آنذاك بأنّها صدرت تقية لا لبيان الواقع، ومع معرفتهم هذه كيف يدوّنونها في كتبهم، فإنّها لئن خفيت على البعيد عن الإمام (عليه السلام) فلا تخفى على الخواص الذين يعرفون لحن كلام الأئمة (عليهم السلام)؟ فإذا ذكر الإمام (عليه السلام) شيئاً تقية فسوف يتّضح ذلك لهم دون خفاء كما رأينا بالنسبة لزرارة حين نقل له الراوي بأنّ الإمام أجابه بالنسبة لإرث البنت المنفردة أنّ لها النصف، فقال: إنّه قد اتّقاك. وقضيّة: (أعطاك من جراب النورة)</w:t>
      </w:r>
      <w:r w:rsidRPr="00F27422">
        <w:rPr>
          <w:rStyle w:val="FootnoteReference"/>
          <w:rFonts w:ascii="mylotus" w:hAnsi="mylotus"/>
          <w:b/>
          <w:bCs/>
          <w:sz w:val="32"/>
          <w:rtl/>
        </w:rPr>
        <w:footnoteReference w:id="16"/>
      </w:r>
      <w:r w:rsidRPr="00F27422">
        <w:rPr>
          <w:rFonts w:ascii="mylotus" w:hAnsi="mylotus"/>
          <w:sz w:val="32"/>
          <w:rtl/>
        </w:rPr>
        <w:t xml:space="preserve"> </w:t>
      </w:r>
      <w:r w:rsidRPr="00F27422">
        <w:rPr>
          <w:rFonts w:ascii="mylotus" w:hAnsi="mylotus"/>
          <w:b/>
          <w:bCs/>
          <w:sz w:val="32"/>
          <w:rtl/>
        </w:rPr>
        <w:t>أو (أعطاك من عين كدرة) مشهورة)</w:t>
      </w:r>
      <w:r w:rsidRPr="00F27422">
        <w:rPr>
          <w:rStyle w:val="FootnoteReference"/>
          <w:rFonts w:ascii="mylotus" w:hAnsi="mylotus"/>
          <w:sz w:val="32"/>
          <w:rtl/>
        </w:rPr>
        <w:footnoteReference w:id="17"/>
      </w:r>
      <w:r w:rsidRPr="00F27422">
        <w:rPr>
          <w:rFonts w:ascii="mylotus" w:hAnsi="mylotus" w:hint="cs"/>
          <w:sz w:val="32"/>
          <w:rtl/>
        </w:rPr>
        <w:t>.</w:t>
      </w:r>
      <w:r w:rsidRPr="00F27422">
        <w:rPr>
          <w:rStyle w:val="FootnoteReference"/>
          <w:rFonts w:ascii="mylotus" w:hAnsi="mylotus"/>
          <w:sz w:val="32"/>
          <w:rtl/>
        </w:rPr>
        <w:footnoteReference w:id="18"/>
      </w:r>
    </w:p>
    <w:p w14:paraId="5AEB5AC7" w14:textId="77777777" w:rsidR="00B276C7" w:rsidRPr="00F27422" w:rsidRDefault="00B276C7" w:rsidP="00122B70">
      <w:pPr>
        <w:pStyle w:val="a"/>
        <w:bidi/>
        <w:spacing w:line="216" w:lineRule="auto"/>
        <w:jc w:val="left"/>
        <w:rPr>
          <w:rFonts w:ascii="mylotus" w:hAnsi="mylotus"/>
          <w:b/>
          <w:bCs/>
          <w:sz w:val="32"/>
          <w:rtl/>
        </w:rPr>
      </w:pPr>
      <w:r w:rsidRPr="00F27422">
        <w:rPr>
          <w:rFonts w:ascii="mylotus" w:hAnsi="mylotus"/>
          <w:sz w:val="32"/>
          <w:rtl/>
        </w:rPr>
        <w:t>ثم قال (مد ظله)</w:t>
      </w:r>
      <w:r w:rsidRPr="00F27422">
        <w:rPr>
          <w:rFonts w:ascii="mylotus" w:hAnsi="mylotus" w:hint="cs"/>
          <w:sz w:val="32"/>
          <w:rtl/>
        </w:rPr>
        <w:t>:</w:t>
      </w:r>
      <w:r w:rsidRPr="00F27422">
        <w:rPr>
          <w:rFonts w:ascii="mylotus" w:hAnsi="mylotus"/>
          <w:sz w:val="32"/>
          <w:rtl/>
        </w:rPr>
        <w:t xml:space="preserve"> </w:t>
      </w:r>
      <w:r w:rsidRPr="00F27422">
        <w:rPr>
          <w:rFonts w:ascii="mylotus" w:hAnsi="mylotus"/>
          <w:b/>
          <w:bCs/>
          <w:sz w:val="32"/>
          <w:rtl/>
        </w:rPr>
        <w:t xml:space="preserve">(ثم إنّ الرواة كانوا يعرضون رواياتهم وأحاديثهم على كبار الفقهاء، كما عرض عمر بن اُذينة الروايات التي سمعها من جماعة على زرارة، وطلب منه أن يعين الحقّ منه ومع هذه الدقة فلم </w:t>
      </w:r>
      <w:proofErr w:type="gramStart"/>
      <w:r w:rsidRPr="00F27422">
        <w:rPr>
          <w:rFonts w:ascii="mylotus" w:hAnsi="mylotus"/>
          <w:b/>
          <w:bCs/>
          <w:sz w:val="32"/>
          <w:rtl/>
        </w:rPr>
        <w:t>يدوّنون</w:t>
      </w:r>
      <w:proofErr w:type="gramEnd"/>
      <w:r w:rsidRPr="00F27422">
        <w:rPr>
          <w:rFonts w:ascii="mylotus" w:hAnsi="mylotus"/>
          <w:b/>
          <w:bCs/>
          <w:sz w:val="32"/>
          <w:rtl/>
        </w:rPr>
        <w:t xml:space="preserve"> أمثال هذه الروايات الصادرة تقية بعنوان كونها من فتاوى الأئمة (عليهم السلام)، وإذا دوّنوها فلأجل التنبيه على وقوع مثل هذا الحدث تاريخياً، لا من باب أنّها فتاوى الأئمة (عليهم السلام</w:t>
      </w:r>
      <w:r w:rsidRPr="00F27422">
        <w:rPr>
          <w:rFonts w:ascii="mylotus" w:hAnsi="mylotus" w:hint="cs"/>
          <w:b/>
          <w:bCs/>
          <w:sz w:val="32"/>
          <w:rtl/>
        </w:rPr>
        <w:t>).</w:t>
      </w:r>
    </w:p>
    <w:p w14:paraId="12065B23" w14:textId="77777777" w:rsidR="00B276C7" w:rsidRPr="00F27422" w:rsidRDefault="00B276C7" w:rsidP="00122B70">
      <w:pPr>
        <w:pStyle w:val="a"/>
        <w:bidi/>
        <w:spacing w:line="216" w:lineRule="auto"/>
        <w:jc w:val="left"/>
        <w:rPr>
          <w:rFonts w:ascii="mylotus" w:hAnsi="mylotus"/>
          <w:b/>
          <w:bCs/>
          <w:sz w:val="32"/>
          <w:rtl/>
        </w:rPr>
      </w:pPr>
      <w:r w:rsidRPr="00F27422">
        <w:rPr>
          <w:rFonts w:ascii="mylotus" w:hAnsi="mylotus"/>
          <w:b/>
          <w:bCs/>
          <w:sz w:val="32"/>
          <w:rtl/>
        </w:rPr>
        <w:t xml:space="preserve">مضافاً إلى أنّ الرواة كانوا يتلقّون العلم من أساتذتهم، كما تتلمذ العلاء بن رزين على محمد بن مسلم، وصفوان بن يحيى على </w:t>
      </w:r>
      <w:proofErr w:type="gramStart"/>
      <w:r w:rsidRPr="00F27422">
        <w:rPr>
          <w:rFonts w:ascii="mylotus" w:hAnsi="mylotus"/>
          <w:b/>
          <w:bCs/>
          <w:sz w:val="32"/>
          <w:rtl/>
        </w:rPr>
        <w:t>عبدالرحمن</w:t>
      </w:r>
      <w:proofErr w:type="gramEnd"/>
      <w:r w:rsidRPr="00F27422">
        <w:rPr>
          <w:rFonts w:ascii="mylotus" w:hAnsi="mylotus"/>
          <w:b/>
          <w:bCs/>
          <w:sz w:val="32"/>
          <w:rtl/>
        </w:rPr>
        <w:t xml:space="preserve"> بن الحجاج، فكانوا يقرؤون عليهم الكتب الحديثية</w:t>
      </w:r>
      <w:r w:rsidRPr="00F27422">
        <w:rPr>
          <w:rFonts w:ascii="mylotus" w:hAnsi="mylotus"/>
          <w:b/>
          <w:bCs/>
          <w:sz w:val="32"/>
        </w:rPr>
        <w:t>.</w:t>
      </w:r>
    </w:p>
    <w:p w14:paraId="18E31533" w14:textId="77777777" w:rsidR="00B276C7" w:rsidRPr="00F27422" w:rsidRDefault="00B276C7" w:rsidP="00122B70">
      <w:pPr>
        <w:pStyle w:val="a"/>
        <w:bidi/>
        <w:spacing w:line="216" w:lineRule="auto"/>
        <w:jc w:val="left"/>
        <w:rPr>
          <w:rFonts w:ascii="mylotus" w:hAnsi="mylotus"/>
          <w:b/>
          <w:bCs/>
          <w:sz w:val="32"/>
          <w:rtl/>
        </w:rPr>
      </w:pPr>
      <w:r w:rsidRPr="00F27422">
        <w:rPr>
          <w:rFonts w:ascii="mylotus" w:hAnsi="mylotus"/>
          <w:b/>
          <w:bCs/>
          <w:sz w:val="32"/>
          <w:rtl/>
        </w:rPr>
        <w:t>فمع هذ</w:t>
      </w:r>
      <w:r w:rsidRPr="00F27422">
        <w:rPr>
          <w:rFonts w:ascii="mylotus" w:hAnsi="mylotus" w:hint="cs"/>
          <w:b/>
          <w:bCs/>
          <w:sz w:val="32"/>
          <w:rtl/>
        </w:rPr>
        <w:t>ا</w:t>
      </w:r>
      <w:r w:rsidRPr="00F27422">
        <w:rPr>
          <w:rFonts w:ascii="mylotus" w:hAnsi="mylotus"/>
          <w:b/>
          <w:bCs/>
          <w:sz w:val="32"/>
          <w:rtl/>
        </w:rPr>
        <w:t xml:space="preserve"> التدقيق والتمحيص فكيف يتصور منهم تدوين الروايات الصادرة عن تقية في الجوامع الحديثية المعتبرة وهي بمرأى ومسمع من عظماء الشيعة </w:t>
      </w:r>
      <w:proofErr w:type="spellStart"/>
      <w:r w:rsidRPr="00F27422">
        <w:rPr>
          <w:rFonts w:ascii="mylotus" w:hAnsi="mylotus"/>
          <w:b/>
          <w:bCs/>
          <w:sz w:val="32"/>
          <w:rtl/>
        </w:rPr>
        <w:t>وفقهائهم</w:t>
      </w:r>
      <w:proofErr w:type="spellEnd"/>
      <w:r w:rsidRPr="00F27422">
        <w:rPr>
          <w:rFonts w:ascii="mylotus" w:hAnsi="mylotus"/>
          <w:b/>
          <w:bCs/>
          <w:sz w:val="32"/>
          <w:rtl/>
        </w:rPr>
        <w:t xml:space="preserve">؟ وكيف يتصور أن تدوّن هذه النصوص في مثل جامع الآثار ليونس بن </w:t>
      </w:r>
      <w:proofErr w:type="gramStart"/>
      <w:r w:rsidRPr="00F27422">
        <w:rPr>
          <w:rFonts w:ascii="mylotus" w:hAnsi="mylotus"/>
          <w:b/>
          <w:bCs/>
          <w:sz w:val="32"/>
          <w:rtl/>
        </w:rPr>
        <w:t>عبدالرحمن</w:t>
      </w:r>
      <w:proofErr w:type="gramEnd"/>
      <w:r w:rsidRPr="00F27422">
        <w:rPr>
          <w:rFonts w:ascii="mylotus" w:hAnsi="mylotus"/>
          <w:b/>
          <w:bCs/>
          <w:sz w:val="32"/>
          <w:rtl/>
        </w:rPr>
        <w:t xml:space="preserve"> وفي مشيخة الحسن بن محبوب وكتب ابن أبي عمير ونحوها، وهي تعتبر المصادر الأصلية للكتب الأربعة؟ وهؤلاء كانوا مأمورين بتدوين الأحاديث وتعليمها، لأجل الحفاظ عليها من الضياع، ولأجل عمل الشيعة</w:t>
      </w:r>
      <w:r w:rsidRPr="00F27422">
        <w:rPr>
          <w:rFonts w:ascii="mylotus" w:hAnsi="mylotus" w:hint="cs"/>
          <w:b/>
          <w:bCs/>
          <w:sz w:val="32"/>
          <w:rtl/>
        </w:rPr>
        <w:t>)</w:t>
      </w:r>
      <w:r w:rsidRPr="00F27422">
        <w:rPr>
          <w:rStyle w:val="FootnoteReference"/>
          <w:rFonts w:ascii="mylotus" w:hAnsi="mylotus"/>
          <w:b/>
          <w:bCs/>
          <w:sz w:val="32"/>
          <w:rtl/>
        </w:rPr>
        <w:footnoteReference w:id="19"/>
      </w:r>
      <w:r w:rsidRPr="00F27422">
        <w:rPr>
          <w:rFonts w:ascii="mylotus" w:hAnsi="mylotus" w:hint="cs"/>
          <w:b/>
          <w:bCs/>
          <w:sz w:val="32"/>
          <w:rtl/>
        </w:rPr>
        <w:t>.</w:t>
      </w:r>
    </w:p>
    <w:p w14:paraId="5AB103F1" w14:textId="77777777" w:rsidR="00B276C7" w:rsidRPr="00F27422" w:rsidRDefault="00B276C7" w:rsidP="00122B70">
      <w:pPr>
        <w:pStyle w:val="a"/>
        <w:bidi/>
        <w:spacing w:line="216" w:lineRule="auto"/>
        <w:jc w:val="left"/>
        <w:rPr>
          <w:rFonts w:ascii="mylotus" w:hAnsi="mylotus"/>
          <w:b/>
          <w:bCs/>
          <w:sz w:val="32"/>
          <w:rtl/>
        </w:rPr>
      </w:pPr>
      <w:r w:rsidRPr="00F27422">
        <w:rPr>
          <w:rFonts w:ascii="mylotus" w:hAnsi="mylotus"/>
          <w:sz w:val="32"/>
          <w:rtl/>
        </w:rPr>
        <w:t>ثم</w:t>
      </w:r>
      <w:r w:rsidRPr="00F27422">
        <w:rPr>
          <w:rFonts w:ascii="mylotus" w:hAnsi="mylotus" w:hint="cs"/>
          <w:sz w:val="32"/>
          <w:rtl/>
        </w:rPr>
        <w:t>ّ</w:t>
      </w:r>
      <w:r w:rsidRPr="00F27422">
        <w:rPr>
          <w:rFonts w:ascii="mylotus" w:hAnsi="mylotus"/>
          <w:sz w:val="32"/>
          <w:rtl/>
        </w:rPr>
        <w:t xml:space="preserve"> قال (مد ظله): </w:t>
      </w:r>
      <w:r w:rsidRPr="00F27422">
        <w:rPr>
          <w:rFonts w:ascii="mylotus" w:hAnsi="mylotus"/>
          <w:b/>
          <w:bCs/>
          <w:sz w:val="32"/>
          <w:rtl/>
        </w:rPr>
        <w:t xml:space="preserve">(الأمر الثالث: الملاحظ أنّ كتب الأحاديث التي بأيدينا تشتمل بكثرة على روايات تبيّن لنا فضائل الأئمة (عليهم السلام) ومقاماتهم المعنوية، وفضيلة زيارتهم وزيارة قبورهم، وفضيلة مسجد الكوفة والسهلة، وفضيلة ماء الفرات، بل وفضائل شيعتهم، وأنّهم </w:t>
      </w:r>
      <w:r w:rsidRPr="00F27422">
        <w:rPr>
          <w:rFonts w:ascii="mylotus" w:hAnsi="mylotus"/>
          <w:b/>
          <w:bCs/>
          <w:sz w:val="32"/>
          <w:rtl/>
        </w:rPr>
        <w:lastRenderedPageBreak/>
        <w:t>خلقوا من أنوار الأئمة (عليهم السلام)، وما يتعلق بحقوقهم من الأخماس والأنفال، وكذلك الروايات  التي تبيّن مثالب أعدائهم ومطاعنهم، وغير ذلك من النصوص التي هي من أُسس الفكر الشيعي المختصة بهم، مع اعتراف العلماء أنّها قد نقلت واضحة بيّنة بلا تقية، مع أنّه لو كان للتقية تأثيرها لكانت تؤثر هنا في عدم تدوين أمثال هذه الأحاديث في هذه الموضوعات الحساسة المخالفة لمعتقدات العامّة</w:t>
      </w:r>
      <w:r w:rsidRPr="00F27422">
        <w:rPr>
          <w:rFonts w:ascii="mylotus" w:hAnsi="mylotus"/>
          <w:b/>
          <w:bCs/>
          <w:sz w:val="32"/>
        </w:rPr>
        <w:t>.</w:t>
      </w:r>
    </w:p>
    <w:p w14:paraId="53F11A27" w14:textId="77777777" w:rsidR="00B276C7" w:rsidRPr="00F27422" w:rsidRDefault="00B276C7" w:rsidP="00122B70">
      <w:pPr>
        <w:pStyle w:val="a"/>
        <w:bidi/>
        <w:spacing w:line="216" w:lineRule="auto"/>
        <w:jc w:val="left"/>
        <w:rPr>
          <w:rFonts w:ascii="mylotus" w:hAnsi="mylotus"/>
          <w:sz w:val="32"/>
          <w:rtl/>
        </w:rPr>
      </w:pPr>
      <w:r w:rsidRPr="00F27422">
        <w:rPr>
          <w:rFonts w:ascii="mylotus" w:hAnsi="mylotus"/>
          <w:b/>
          <w:bCs/>
          <w:sz w:val="32"/>
          <w:rtl/>
        </w:rPr>
        <w:t>ولا يحصر الأمر</w:t>
      </w:r>
      <w:r w:rsidRPr="00F27422">
        <w:rPr>
          <w:rFonts w:ascii="mylotus" w:hAnsi="mylotus" w:hint="cs"/>
          <w:b/>
          <w:bCs/>
          <w:sz w:val="32"/>
          <w:rtl/>
        </w:rPr>
        <w:t xml:space="preserve"> </w:t>
      </w:r>
      <w:r w:rsidRPr="00F27422">
        <w:rPr>
          <w:rFonts w:ascii="mylotus" w:hAnsi="mylotus"/>
          <w:b/>
          <w:bCs/>
          <w:sz w:val="32"/>
          <w:rtl/>
        </w:rPr>
        <w:t xml:space="preserve">في كتاب بصائر الدرجات المشتمل على هذه النصوص كي ينكر من قبل بعض القميين) </w:t>
      </w:r>
      <w:r w:rsidRPr="00F27422">
        <w:rPr>
          <w:rFonts w:ascii="mylotus" w:hAnsi="mylotus"/>
          <w:sz w:val="32"/>
          <w:rtl/>
        </w:rPr>
        <w:t xml:space="preserve">الذين كانوا يعتبرون هذا مِن الغلو </w:t>
      </w:r>
      <w:r w:rsidRPr="00F27422">
        <w:rPr>
          <w:rFonts w:ascii="mylotus" w:hAnsi="mylotus"/>
          <w:b/>
          <w:bCs/>
          <w:sz w:val="32"/>
          <w:rtl/>
        </w:rPr>
        <w:t>(بل الكافي الذي يقول فيه الشيخ المفيد في شرح اعتقادات الصدوق: (أنّه أجل كتب الشيعة) الذي يشتمل على اُمور قد لا يتحملها حتى بعض الشيعة فضلاً عن أبناء العامّة فليس في هذه الروايات تقية أبداً مع حساسيتها فكيف نقول بوجود التقيّة في الروايات الواردة في بيان الأحكام الفرعية التي يختلف فيها العامّة أيضاً، وهي ليست بأهميّة روايات الاُصول والفضائل والمطاعن والروايات التي ترتبط ببعض اُصول الفروع التي تمسّ اُصول الفكر الديني عند العامّة، مثل روايات المتعة، وعدم جواز المسح على الخفين، حيث صنفت فيها كتب مستقلة، وفي بطلان العول والتعصب، ودوّنت رواياتها الكثيرة في كتب الحديث، ووصلت إلينا سليمة صحيحة دون أن يكون فيها أي أثر للتقيّة. ولكن بعض المسائل الفرعية الجزئية نقول بصدورها عن تقية، كيف يصح ذلك، مع أنّنا نرى العامّة مختلفين حولها أيضاً؟ ولماذا لم تتحقّق التقيّة في الاُصول والأحكام المهمة؟ التي يوجه العامّة إليها اهتمامهم)</w:t>
      </w:r>
      <w:r w:rsidRPr="00F27422">
        <w:rPr>
          <w:rStyle w:val="FootnoteReference"/>
          <w:rFonts w:ascii="mylotus" w:hAnsi="mylotus"/>
          <w:b/>
          <w:bCs/>
          <w:sz w:val="32"/>
          <w:rtl/>
        </w:rPr>
        <w:footnoteReference w:id="20"/>
      </w:r>
      <w:r w:rsidRPr="00F27422">
        <w:rPr>
          <w:rFonts w:ascii="mylotus" w:hAnsi="mylotus"/>
          <w:b/>
          <w:bCs/>
          <w:sz w:val="32"/>
          <w:rtl/>
        </w:rPr>
        <w:t xml:space="preserve"> </w:t>
      </w:r>
      <w:r w:rsidRPr="00F27422">
        <w:rPr>
          <w:rFonts w:ascii="mylotus" w:hAnsi="mylotus"/>
          <w:sz w:val="32"/>
          <w:rtl/>
        </w:rPr>
        <w:t>إلى آخر ما ذكره.</w:t>
      </w:r>
    </w:p>
    <w:p w14:paraId="63852FB2" w14:textId="77777777" w:rsidR="00B276C7" w:rsidRPr="00F27422" w:rsidRDefault="00B276C7" w:rsidP="00122B70">
      <w:pPr>
        <w:pStyle w:val="a"/>
        <w:bidi/>
        <w:spacing w:line="216" w:lineRule="auto"/>
        <w:jc w:val="left"/>
        <w:rPr>
          <w:rFonts w:ascii="mylotus" w:hAnsi="mylotus"/>
          <w:sz w:val="32"/>
          <w:rtl/>
        </w:rPr>
      </w:pPr>
    </w:p>
    <w:p w14:paraId="07839E3A" w14:textId="77777777" w:rsidR="00B276C7" w:rsidRPr="00F27422" w:rsidRDefault="00B276C7"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7C3C4EE8" w14:textId="77777777" w:rsidR="00B276C7" w:rsidRPr="00F27422" w:rsidRDefault="00B276C7" w:rsidP="00122B70">
      <w:pPr>
        <w:bidi/>
        <w:rPr>
          <w:sz w:val="32"/>
          <w:szCs w:val="32"/>
        </w:rPr>
      </w:pPr>
    </w:p>
    <w:p w14:paraId="5691EC95" w14:textId="121232D8" w:rsidR="00B276C7" w:rsidRPr="00F27422" w:rsidRDefault="00B276C7" w:rsidP="00122B70">
      <w:pPr>
        <w:pStyle w:val="Heading3"/>
        <w:bidi/>
        <w:rPr>
          <w:sz w:val="32"/>
          <w:szCs w:val="32"/>
          <w:rtl/>
        </w:rPr>
      </w:pPr>
      <w:r w:rsidRPr="00F27422">
        <w:rPr>
          <w:sz w:val="32"/>
          <w:szCs w:val="32"/>
        </w:rPr>
        <w:t>062</w:t>
      </w:r>
    </w:p>
    <w:p w14:paraId="11F314B8" w14:textId="77777777" w:rsidR="00387D54" w:rsidRPr="00F27422" w:rsidRDefault="00387D54" w:rsidP="00122B70">
      <w:pPr>
        <w:bidi/>
        <w:rPr>
          <w:sz w:val="32"/>
          <w:szCs w:val="32"/>
          <w:rtl/>
        </w:rPr>
      </w:pPr>
      <w:r w:rsidRPr="00F27422">
        <w:rPr>
          <w:rFonts w:hint="cs"/>
          <w:sz w:val="32"/>
          <w:szCs w:val="32"/>
          <w:rtl/>
        </w:rPr>
        <w:t>بسم الله الرحمن الرحيم</w:t>
      </w:r>
    </w:p>
    <w:p w14:paraId="356E9496" w14:textId="77777777" w:rsidR="00387D54" w:rsidRPr="00F27422" w:rsidRDefault="00387D54" w:rsidP="00122B70">
      <w:pPr>
        <w:bidi/>
        <w:rPr>
          <w:sz w:val="32"/>
          <w:szCs w:val="32"/>
          <w:rtl/>
        </w:rPr>
      </w:pPr>
    </w:p>
    <w:p w14:paraId="6E470BBE" w14:textId="77777777" w:rsidR="00387D54" w:rsidRPr="00F27422" w:rsidRDefault="00387D54" w:rsidP="00122B70">
      <w:pPr>
        <w:bidi/>
        <w:rPr>
          <w:sz w:val="32"/>
          <w:szCs w:val="32"/>
          <w:rtl/>
        </w:rPr>
      </w:pPr>
      <w:r w:rsidRPr="00F27422">
        <w:rPr>
          <w:rFonts w:hint="cs"/>
          <w:sz w:val="32"/>
          <w:szCs w:val="32"/>
          <w:rtl/>
        </w:rPr>
        <w:t>والصلاة والسلام على أشرف الأنبياء والمرسلين، محمد وآله الطيبين الطاهرين</w:t>
      </w:r>
    </w:p>
    <w:p w14:paraId="369A5C47" w14:textId="77777777" w:rsidR="00387D54" w:rsidRPr="00F27422" w:rsidRDefault="00387D54" w:rsidP="00122B70">
      <w:pPr>
        <w:bidi/>
        <w:rPr>
          <w:sz w:val="32"/>
          <w:szCs w:val="32"/>
          <w:rtl/>
        </w:rPr>
      </w:pPr>
    </w:p>
    <w:p w14:paraId="5AD2EAFB" w14:textId="77777777" w:rsidR="00387D54" w:rsidRPr="00F27422" w:rsidRDefault="00387D54" w:rsidP="00122B70">
      <w:pPr>
        <w:bidi/>
        <w:rPr>
          <w:sz w:val="32"/>
          <w:szCs w:val="32"/>
          <w:rtl/>
        </w:rPr>
      </w:pPr>
      <w:r w:rsidRPr="00F27422">
        <w:rPr>
          <w:rFonts w:hint="cs"/>
          <w:sz w:val="32"/>
          <w:szCs w:val="32"/>
          <w:rtl/>
        </w:rPr>
        <w:t>واللعن الدائم على أعدائهم أجمعين إلى قيام يوم الدين</w:t>
      </w:r>
    </w:p>
    <w:p w14:paraId="688D7B32" w14:textId="77777777" w:rsidR="00387D54" w:rsidRPr="00F27422" w:rsidRDefault="00387D54" w:rsidP="00122B70">
      <w:pPr>
        <w:bidi/>
        <w:rPr>
          <w:sz w:val="32"/>
          <w:szCs w:val="32"/>
          <w:rtl/>
        </w:rPr>
      </w:pPr>
    </w:p>
    <w:p w14:paraId="16BC091B" w14:textId="77777777" w:rsidR="00387D54" w:rsidRPr="00F27422" w:rsidRDefault="00387D54" w:rsidP="00122B70">
      <w:pPr>
        <w:bidi/>
        <w:rPr>
          <w:sz w:val="32"/>
          <w:szCs w:val="32"/>
          <w:rtl/>
        </w:rPr>
      </w:pPr>
    </w:p>
    <w:p w14:paraId="46B5FF6A" w14:textId="77777777" w:rsidR="00387D54" w:rsidRPr="00F27422" w:rsidRDefault="00387D54" w:rsidP="00122B70">
      <w:pPr>
        <w:bidi/>
        <w:rPr>
          <w:sz w:val="32"/>
          <w:szCs w:val="32"/>
          <w:rtl/>
        </w:rPr>
      </w:pPr>
    </w:p>
    <w:p w14:paraId="4F145E99" w14:textId="77777777" w:rsidR="00387D54" w:rsidRPr="00F27422" w:rsidRDefault="00387D54" w:rsidP="00122B70">
      <w:pPr>
        <w:bidi/>
        <w:rPr>
          <w:sz w:val="32"/>
          <w:szCs w:val="32"/>
          <w:rtl/>
        </w:rPr>
      </w:pPr>
      <w:r w:rsidRPr="00F27422">
        <w:rPr>
          <w:rFonts w:hint="cs"/>
          <w:sz w:val="32"/>
          <w:szCs w:val="32"/>
          <w:rtl/>
        </w:rPr>
        <w:lastRenderedPageBreak/>
        <w:t>والحاصلُ في المقام: أنّ ترجيح ما دلّ على ثبوت الخيار للصبيّة إذا بلغتْ بالعقد الجاري عليها قَبل البلوغ لكونه مخالفاً للعامّة يرجعُ لأحد وجهين:</w:t>
      </w:r>
    </w:p>
    <w:p w14:paraId="5B7DEC4C" w14:textId="77777777" w:rsidR="00387D54" w:rsidRPr="00F27422" w:rsidRDefault="00387D54" w:rsidP="00122B70">
      <w:pPr>
        <w:bidi/>
        <w:rPr>
          <w:sz w:val="32"/>
          <w:szCs w:val="32"/>
          <w:rtl/>
        </w:rPr>
      </w:pPr>
    </w:p>
    <w:p w14:paraId="08DEFBDA" w14:textId="77777777" w:rsidR="00387D54" w:rsidRPr="00F27422" w:rsidRDefault="00387D54" w:rsidP="00122B70">
      <w:pPr>
        <w:bidi/>
        <w:rPr>
          <w:sz w:val="32"/>
          <w:szCs w:val="32"/>
          <w:rtl/>
        </w:rPr>
      </w:pPr>
      <w:r w:rsidRPr="00F27422">
        <w:rPr>
          <w:rFonts w:hint="cs"/>
          <w:sz w:val="32"/>
          <w:szCs w:val="32"/>
          <w:rtl/>
        </w:rPr>
        <w:t>الوجهُ الأوّل: أنّ مقتضى كون ما دلّ على نفي الخيار موافقاً للعامّة حملُهُ على التقيّة، فترجيحُ المعارض لصدور الموافق على سبيل التقيّة.</w:t>
      </w:r>
    </w:p>
    <w:p w14:paraId="6D707E4F" w14:textId="77777777" w:rsidR="00387D54" w:rsidRPr="00F27422" w:rsidRDefault="00387D54" w:rsidP="00122B70">
      <w:pPr>
        <w:bidi/>
        <w:rPr>
          <w:sz w:val="32"/>
          <w:szCs w:val="32"/>
          <w:rtl/>
        </w:rPr>
      </w:pPr>
    </w:p>
    <w:p w14:paraId="0FAA8BAC" w14:textId="77777777" w:rsidR="00387D54" w:rsidRPr="00F27422" w:rsidRDefault="00387D54" w:rsidP="00122B70">
      <w:pPr>
        <w:bidi/>
        <w:rPr>
          <w:sz w:val="32"/>
          <w:szCs w:val="32"/>
          <w:rtl/>
        </w:rPr>
      </w:pPr>
      <w:r w:rsidRPr="00F27422">
        <w:rPr>
          <w:rFonts w:hint="cs"/>
          <w:sz w:val="32"/>
          <w:szCs w:val="32"/>
          <w:rtl/>
        </w:rPr>
        <w:t>وهذا مندفعٌ؛ بأحد نحوين:</w:t>
      </w:r>
    </w:p>
    <w:p w14:paraId="1CBCF96A" w14:textId="77777777" w:rsidR="00387D54" w:rsidRPr="00F27422" w:rsidRDefault="00387D54" w:rsidP="00122B70">
      <w:pPr>
        <w:bidi/>
        <w:rPr>
          <w:sz w:val="32"/>
          <w:szCs w:val="32"/>
          <w:rtl/>
        </w:rPr>
      </w:pPr>
    </w:p>
    <w:p w14:paraId="18B90644" w14:textId="77777777" w:rsidR="00387D54" w:rsidRPr="00F27422" w:rsidRDefault="00387D54" w:rsidP="00122B70">
      <w:pPr>
        <w:bidi/>
        <w:rPr>
          <w:sz w:val="32"/>
          <w:szCs w:val="32"/>
          <w:rtl/>
        </w:rPr>
      </w:pPr>
      <w:r w:rsidRPr="00F27422">
        <w:rPr>
          <w:rFonts w:hint="cs"/>
          <w:sz w:val="32"/>
          <w:szCs w:val="32"/>
          <w:rtl/>
        </w:rPr>
        <w:t xml:space="preserve">النحو الأوّل: ما سبق من أنّ الحمل على التقيّة غيرُ عرفي بلحاظ أنّ مقتضى تنقيح متون الروايات مِن قِبل فقهاء الأصحاب (رضوان الله عليهم) وشيوع الروايات المخالفة للتقيّة في الأُصول والفُروع </w:t>
      </w:r>
      <w:proofErr w:type="spellStart"/>
      <w:r w:rsidRPr="00F27422">
        <w:rPr>
          <w:rFonts w:hint="cs"/>
          <w:sz w:val="32"/>
          <w:szCs w:val="32"/>
          <w:rtl/>
        </w:rPr>
        <w:t>ضئالةُ</w:t>
      </w:r>
      <w:proofErr w:type="spellEnd"/>
      <w:r w:rsidRPr="00F27422">
        <w:rPr>
          <w:rFonts w:hint="cs"/>
          <w:sz w:val="32"/>
          <w:szCs w:val="32"/>
          <w:rtl/>
        </w:rPr>
        <w:t xml:space="preserve"> اِحتمال التقيّة في الروايات بنحو يراه العرف أمراً موهوماً.</w:t>
      </w:r>
    </w:p>
    <w:p w14:paraId="0D321F5F" w14:textId="77777777" w:rsidR="00387D54" w:rsidRPr="00F27422" w:rsidRDefault="00387D54" w:rsidP="00122B70">
      <w:pPr>
        <w:bidi/>
        <w:rPr>
          <w:sz w:val="32"/>
          <w:szCs w:val="32"/>
          <w:rtl/>
        </w:rPr>
      </w:pPr>
    </w:p>
    <w:p w14:paraId="56EA299F" w14:textId="77777777" w:rsidR="00387D54" w:rsidRPr="00F27422" w:rsidRDefault="00387D54" w:rsidP="00122B70">
      <w:pPr>
        <w:bidi/>
        <w:rPr>
          <w:sz w:val="32"/>
          <w:szCs w:val="32"/>
          <w:rtl/>
        </w:rPr>
      </w:pPr>
      <w:r w:rsidRPr="00F27422">
        <w:rPr>
          <w:rFonts w:hint="cs"/>
          <w:sz w:val="32"/>
          <w:szCs w:val="32"/>
          <w:rtl/>
        </w:rPr>
        <w:t>النحو الثاني: على فرض أنّ الحمل على التقيّة احتمالٌ عرفي، مع ذلك لا يمكن في المقام حمل ما دلّ على نفي الخيار على التقيّة لكونه موافقاً للعامّة.</w:t>
      </w:r>
    </w:p>
    <w:p w14:paraId="704B95BF" w14:textId="77777777" w:rsidR="00387D54" w:rsidRPr="00F27422" w:rsidRDefault="00387D54" w:rsidP="00122B70">
      <w:pPr>
        <w:bidi/>
        <w:rPr>
          <w:sz w:val="32"/>
          <w:szCs w:val="32"/>
          <w:rtl/>
        </w:rPr>
      </w:pPr>
    </w:p>
    <w:p w14:paraId="1EBCAA30" w14:textId="77777777" w:rsidR="00387D54" w:rsidRPr="00F27422" w:rsidRDefault="00387D54" w:rsidP="00122B70">
      <w:pPr>
        <w:bidi/>
        <w:rPr>
          <w:sz w:val="32"/>
          <w:szCs w:val="32"/>
          <w:rtl/>
        </w:rPr>
      </w:pPr>
      <w:r w:rsidRPr="00F27422">
        <w:rPr>
          <w:rFonts w:hint="cs"/>
          <w:sz w:val="32"/>
          <w:szCs w:val="32"/>
          <w:rtl/>
        </w:rPr>
        <w:t xml:space="preserve">والسر في ذلك: أنّ ما دلّ على نفي الخيار هو المشهورُ روايةً وعملاً بين الطائفة، وحملُ ما هو المشهورُ روايةً وعملاً بين الطائفة على التقيّة غيرُ متصور؛ إذ كيف يكون موردَ العمل مِن قِبل قدماء الأصحاب حتى ادعي الإجماع عليه مع صدوره على سبيل التقيّة، بل إنّ شهرة الخبر روايةً </w:t>
      </w:r>
      <w:proofErr w:type="gramStart"/>
      <w:r w:rsidRPr="00F27422">
        <w:rPr>
          <w:rFonts w:hint="cs"/>
          <w:sz w:val="32"/>
          <w:szCs w:val="32"/>
          <w:rtl/>
        </w:rPr>
        <w:t>وعملاً  كاشفٌ</w:t>
      </w:r>
      <w:proofErr w:type="gramEnd"/>
      <w:r w:rsidRPr="00F27422">
        <w:rPr>
          <w:rFonts w:hint="cs"/>
          <w:sz w:val="32"/>
          <w:szCs w:val="32"/>
          <w:rtl/>
        </w:rPr>
        <w:t xml:space="preserve"> عرفي عن صدوره على سبيل الجدّ لا على سبيل التقيّة.</w:t>
      </w:r>
    </w:p>
    <w:p w14:paraId="46D9B932" w14:textId="77777777" w:rsidR="00387D54" w:rsidRPr="00F27422" w:rsidRDefault="00387D54" w:rsidP="00122B70">
      <w:pPr>
        <w:bidi/>
        <w:rPr>
          <w:sz w:val="32"/>
          <w:szCs w:val="32"/>
          <w:rtl/>
        </w:rPr>
      </w:pPr>
    </w:p>
    <w:p w14:paraId="29A29120" w14:textId="77777777" w:rsidR="00387D54" w:rsidRPr="00F27422" w:rsidRDefault="00387D54" w:rsidP="00122B70">
      <w:pPr>
        <w:bidi/>
        <w:rPr>
          <w:sz w:val="32"/>
          <w:szCs w:val="32"/>
          <w:rtl/>
        </w:rPr>
      </w:pPr>
      <w:r w:rsidRPr="00F27422">
        <w:rPr>
          <w:rFonts w:hint="cs"/>
          <w:sz w:val="32"/>
          <w:szCs w:val="32"/>
          <w:rtl/>
        </w:rPr>
        <w:t>الوجهُ الثاني: أنّ كون الطرف المُثبت للخيار مخالفاً للعامّة كافٍ في الترجيح بلا حاجة لحمل الطرف الآخر على التقية؛ لإطلاق قوله (عليه السلام) في المقبولة: (مَا خَالَفَ الْعَامَّةَ فَفِيهِ الرَّشَادُ</w:t>
      </w:r>
      <w:proofErr w:type="gramStart"/>
      <w:r w:rsidRPr="00F27422">
        <w:rPr>
          <w:rFonts w:hint="cs"/>
          <w:sz w:val="32"/>
          <w:szCs w:val="32"/>
          <w:rtl/>
        </w:rPr>
        <w:t>) ،</w:t>
      </w:r>
      <w:proofErr w:type="gramEnd"/>
      <w:r w:rsidRPr="00F27422">
        <w:rPr>
          <w:rFonts w:hint="cs"/>
          <w:sz w:val="32"/>
          <w:szCs w:val="32"/>
          <w:rtl/>
        </w:rPr>
        <w:t xml:space="preserve"> فمقتضى هذا الإطلاق أنّ ما خالف العامّة راجح بغض النظر عن صدور ما وافقهم على سبيل التقيّة أو على داعٍ آخر، وإنّما المهم أنّ ما خالف العامة فيه الرشاد.</w:t>
      </w:r>
    </w:p>
    <w:p w14:paraId="5CA649EC" w14:textId="77777777" w:rsidR="00387D54" w:rsidRPr="00F27422" w:rsidRDefault="00387D54" w:rsidP="00122B70">
      <w:pPr>
        <w:bidi/>
        <w:rPr>
          <w:sz w:val="32"/>
          <w:szCs w:val="32"/>
          <w:rtl/>
        </w:rPr>
      </w:pPr>
    </w:p>
    <w:p w14:paraId="726EBFA5" w14:textId="77777777" w:rsidR="00387D54" w:rsidRPr="00F27422" w:rsidRDefault="00387D54" w:rsidP="00122B70">
      <w:pPr>
        <w:bidi/>
        <w:rPr>
          <w:sz w:val="32"/>
          <w:szCs w:val="32"/>
          <w:rtl/>
        </w:rPr>
      </w:pPr>
      <w:r w:rsidRPr="00F27422">
        <w:rPr>
          <w:rFonts w:hint="cs"/>
          <w:sz w:val="32"/>
          <w:szCs w:val="32"/>
          <w:rtl/>
        </w:rPr>
        <w:lastRenderedPageBreak/>
        <w:t xml:space="preserve">وهذا أيضاً مندفعٌ؛ فإنّ مقتضى دلالة مقبولة عمر بن حنظلة على تقديم الشُهرة ابتداءً على سائر المرجحات ومنها موافقةُ الكتاب ومخالفةُ العامّة شاهدٌ على تعين المشهور روايةً وعملاً سواءً كان الوجهُ في التقديم تمييزُ الحجة عن </w:t>
      </w:r>
      <w:proofErr w:type="gramStart"/>
      <w:r w:rsidRPr="00F27422">
        <w:rPr>
          <w:rFonts w:hint="cs"/>
          <w:sz w:val="32"/>
          <w:szCs w:val="32"/>
          <w:rtl/>
        </w:rPr>
        <w:t>الـ  لا</w:t>
      </w:r>
      <w:proofErr w:type="gramEnd"/>
      <w:r w:rsidRPr="00F27422">
        <w:rPr>
          <w:rFonts w:hint="cs"/>
          <w:sz w:val="32"/>
          <w:szCs w:val="32"/>
          <w:rtl/>
        </w:rPr>
        <w:t xml:space="preserve"> حجة أو ترجيحُ الحجة على الحجة الأُخرى.</w:t>
      </w:r>
    </w:p>
    <w:p w14:paraId="1DBAFFC6" w14:textId="77777777" w:rsidR="00387D54" w:rsidRPr="00F27422" w:rsidRDefault="00387D54" w:rsidP="00122B70">
      <w:pPr>
        <w:bidi/>
        <w:rPr>
          <w:sz w:val="32"/>
          <w:szCs w:val="32"/>
          <w:rtl/>
        </w:rPr>
      </w:pPr>
    </w:p>
    <w:p w14:paraId="29F318E3" w14:textId="77777777" w:rsidR="00387D54" w:rsidRPr="00F27422" w:rsidRDefault="00387D54" w:rsidP="00122B70">
      <w:pPr>
        <w:bidi/>
        <w:rPr>
          <w:sz w:val="32"/>
          <w:szCs w:val="32"/>
          <w:rtl/>
        </w:rPr>
      </w:pPr>
      <w:r w:rsidRPr="00F27422">
        <w:rPr>
          <w:rFonts w:hint="cs"/>
          <w:sz w:val="32"/>
          <w:szCs w:val="32"/>
          <w:rtl/>
        </w:rPr>
        <w:t>والنتيجة: تقديم ما دلّ على أنّ عقد الأب للصبيّة نافذٌ عليها ولا خيار لها بعد بلوغها على الطائفة الدالّة على ثبوت الخيار لها.</w:t>
      </w:r>
    </w:p>
    <w:p w14:paraId="6E0E7AA7" w14:textId="77777777" w:rsidR="00387D54" w:rsidRPr="00F27422" w:rsidRDefault="00387D54" w:rsidP="00122B70">
      <w:pPr>
        <w:bidi/>
        <w:rPr>
          <w:sz w:val="32"/>
          <w:szCs w:val="32"/>
          <w:rtl/>
        </w:rPr>
      </w:pPr>
    </w:p>
    <w:p w14:paraId="3C844FBB" w14:textId="77777777" w:rsidR="00387D54" w:rsidRPr="00F27422" w:rsidRDefault="00387D54" w:rsidP="00122B70">
      <w:pPr>
        <w:bidi/>
        <w:rPr>
          <w:sz w:val="32"/>
          <w:szCs w:val="32"/>
          <w:rtl/>
        </w:rPr>
      </w:pPr>
      <w:r w:rsidRPr="00F27422">
        <w:rPr>
          <w:rFonts w:hint="cs"/>
          <w:sz w:val="32"/>
          <w:szCs w:val="32"/>
          <w:rtl/>
        </w:rPr>
        <w:t>الجهةُ الأخيرة: على فرض عدم تمامية الترجيح وأنّ الطائفتين متكافئتان مِن حيث المرجح، فإنّ لما دلّ على نفي الخيار المرجح الصدوري وهو الشُهرة وما دلّ على ثبوت الخيار المرجح الجهتي وهو مخالفة العامّة، فمقتضى تكافؤهما تساقطهما، والمرجعُ هو الأصلُ العملي.</w:t>
      </w:r>
    </w:p>
    <w:p w14:paraId="3AF38489" w14:textId="77777777" w:rsidR="00387D54" w:rsidRPr="00F27422" w:rsidRDefault="00387D54" w:rsidP="00122B70">
      <w:pPr>
        <w:bidi/>
        <w:rPr>
          <w:sz w:val="32"/>
          <w:szCs w:val="32"/>
          <w:rtl/>
        </w:rPr>
      </w:pPr>
    </w:p>
    <w:p w14:paraId="2B30602D" w14:textId="77777777" w:rsidR="00387D54" w:rsidRPr="00F27422" w:rsidRDefault="00387D54" w:rsidP="00122B70">
      <w:pPr>
        <w:bidi/>
        <w:rPr>
          <w:sz w:val="32"/>
          <w:szCs w:val="32"/>
          <w:rtl/>
        </w:rPr>
      </w:pPr>
      <w:r w:rsidRPr="00F27422">
        <w:rPr>
          <w:rFonts w:hint="cs"/>
          <w:sz w:val="32"/>
          <w:szCs w:val="32"/>
          <w:rtl/>
        </w:rPr>
        <w:t>فإذا وصل الكلام للأصل العملي، فما هو مجرى الأصل في المقام؟</w:t>
      </w:r>
    </w:p>
    <w:p w14:paraId="79E6611B" w14:textId="77777777" w:rsidR="00387D54" w:rsidRPr="00F27422" w:rsidRDefault="00387D54" w:rsidP="00122B70">
      <w:pPr>
        <w:bidi/>
        <w:rPr>
          <w:sz w:val="32"/>
          <w:szCs w:val="32"/>
          <w:rtl/>
        </w:rPr>
      </w:pPr>
    </w:p>
    <w:p w14:paraId="162842F2" w14:textId="77777777" w:rsidR="00387D54" w:rsidRPr="00F27422" w:rsidRDefault="00387D54" w:rsidP="00122B70">
      <w:pPr>
        <w:bidi/>
        <w:rPr>
          <w:sz w:val="32"/>
          <w:szCs w:val="32"/>
          <w:rtl/>
        </w:rPr>
      </w:pPr>
      <w:r w:rsidRPr="00F27422">
        <w:rPr>
          <w:rFonts w:hint="cs"/>
          <w:sz w:val="32"/>
          <w:szCs w:val="32"/>
          <w:rtl/>
        </w:rPr>
        <w:t>هل يجري استصحابُ الزوجية؟ أم يجري استصحابُ نفوذ العقد؟ أم يجري نحوٌ ثالثٌ مِن الاستصحاب؟</w:t>
      </w:r>
    </w:p>
    <w:p w14:paraId="219CF43D" w14:textId="77777777" w:rsidR="00387D54" w:rsidRPr="00F27422" w:rsidRDefault="00387D54" w:rsidP="00122B70">
      <w:pPr>
        <w:bidi/>
        <w:rPr>
          <w:sz w:val="32"/>
          <w:szCs w:val="32"/>
          <w:rtl/>
        </w:rPr>
      </w:pPr>
    </w:p>
    <w:p w14:paraId="1D529617" w14:textId="77777777" w:rsidR="00387D54" w:rsidRPr="00F27422" w:rsidRDefault="00387D54" w:rsidP="00122B70">
      <w:pPr>
        <w:bidi/>
        <w:rPr>
          <w:sz w:val="32"/>
          <w:szCs w:val="32"/>
          <w:rtl/>
        </w:rPr>
      </w:pPr>
      <w:r w:rsidRPr="00F27422">
        <w:rPr>
          <w:rFonts w:hint="cs"/>
          <w:sz w:val="32"/>
          <w:szCs w:val="32"/>
          <w:rtl/>
        </w:rPr>
        <w:t>وقد بُحثتْ هذه النقطة في كتاب البيع، وهي: ما هو الأصل عند الشك في لزوم العقد؟ فهل الجاري استصحاب المِلكيّة، أم الجاري استصحاب نفوذ العقد، أم الجاري نحوٌ ثالثٌ من الاستصحاب؟</w:t>
      </w:r>
    </w:p>
    <w:p w14:paraId="0454A03D" w14:textId="77777777" w:rsidR="00387D54" w:rsidRPr="00F27422" w:rsidRDefault="00387D54" w:rsidP="00122B70">
      <w:pPr>
        <w:bidi/>
        <w:rPr>
          <w:sz w:val="32"/>
          <w:szCs w:val="32"/>
          <w:rtl/>
        </w:rPr>
      </w:pPr>
    </w:p>
    <w:p w14:paraId="3D93FA42" w14:textId="77777777" w:rsidR="00387D54" w:rsidRPr="00F27422" w:rsidRDefault="00387D54" w:rsidP="00122B70">
      <w:pPr>
        <w:bidi/>
        <w:rPr>
          <w:sz w:val="32"/>
          <w:szCs w:val="32"/>
          <w:rtl/>
        </w:rPr>
      </w:pPr>
      <w:r w:rsidRPr="00F27422">
        <w:rPr>
          <w:rFonts w:hint="cs"/>
          <w:sz w:val="32"/>
          <w:szCs w:val="32"/>
          <w:rtl/>
        </w:rPr>
        <w:t>فالمتصور في المقام ثلاثةُ أنحاء للأصل العملي:</w:t>
      </w:r>
    </w:p>
    <w:p w14:paraId="70F4955C" w14:textId="77777777" w:rsidR="00387D54" w:rsidRPr="00F27422" w:rsidRDefault="00387D54" w:rsidP="00122B70">
      <w:pPr>
        <w:bidi/>
        <w:rPr>
          <w:sz w:val="32"/>
          <w:szCs w:val="32"/>
          <w:rtl/>
        </w:rPr>
      </w:pPr>
    </w:p>
    <w:p w14:paraId="7212CD06" w14:textId="77777777" w:rsidR="00387D54" w:rsidRPr="00F27422" w:rsidRDefault="00387D54" w:rsidP="00122B70">
      <w:pPr>
        <w:bidi/>
        <w:rPr>
          <w:sz w:val="32"/>
          <w:szCs w:val="32"/>
          <w:rtl/>
        </w:rPr>
      </w:pPr>
      <w:r w:rsidRPr="00F27422">
        <w:rPr>
          <w:rFonts w:hint="cs"/>
          <w:sz w:val="32"/>
          <w:szCs w:val="32"/>
          <w:rtl/>
        </w:rPr>
        <w:lastRenderedPageBreak/>
        <w:t>النحوُ الأوّل: أنّ العقد الذي أبرمه الأب للصبيّة لازمٌ عليها بعد بلوغها بمقتضى استصحاب الزوجية، فإنّه إذا فسخت العقد يقع الشك في أنّ فسخها رفع الزوجية أم لا، فيجري استصحاب الزوجية، ومقتضى استصحاب الزوجية هو لزومُ العقد.</w:t>
      </w:r>
    </w:p>
    <w:p w14:paraId="565060E1" w14:textId="77777777" w:rsidR="00387D54" w:rsidRPr="00F27422" w:rsidRDefault="00387D54" w:rsidP="00122B70">
      <w:pPr>
        <w:bidi/>
        <w:rPr>
          <w:sz w:val="32"/>
          <w:szCs w:val="32"/>
          <w:rtl/>
        </w:rPr>
      </w:pPr>
    </w:p>
    <w:p w14:paraId="64A181C3" w14:textId="77777777" w:rsidR="00387D54" w:rsidRPr="00F27422" w:rsidRDefault="00387D54" w:rsidP="00122B70">
      <w:pPr>
        <w:bidi/>
        <w:rPr>
          <w:sz w:val="32"/>
          <w:szCs w:val="32"/>
          <w:rtl/>
        </w:rPr>
      </w:pPr>
      <w:r w:rsidRPr="00F27422">
        <w:rPr>
          <w:rFonts w:hint="cs"/>
          <w:sz w:val="32"/>
          <w:szCs w:val="32"/>
          <w:rtl/>
        </w:rPr>
        <w:t>وقد أُورد على استصحاب الزوجية بإيرادين:</w:t>
      </w:r>
    </w:p>
    <w:p w14:paraId="22FBF081" w14:textId="77777777" w:rsidR="00387D54" w:rsidRPr="00F27422" w:rsidRDefault="00387D54" w:rsidP="00122B70">
      <w:pPr>
        <w:bidi/>
        <w:rPr>
          <w:sz w:val="32"/>
          <w:szCs w:val="32"/>
          <w:rtl/>
        </w:rPr>
      </w:pPr>
    </w:p>
    <w:p w14:paraId="36465676" w14:textId="77777777" w:rsidR="00387D54" w:rsidRPr="00F27422" w:rsidRDefault="00387D54" w:rsidP="00122B70">
      <w:pPr>
        <w:bidi/>
        <w:rPr>
          <w:sz w:val="32"/>
          <w:szCs w:val="32"/>
          <w:rtl/>
        </w:rPr>
      </w:pPr>
      <w:r w:rsidRPr="00F27422">
        <w:rPr>
          <w:rFonts w:hint="cs"/>
          <w:sz w:val="32"/>
          <w:szCs w:val="32"/>
          <w:rtl/>
        </w:rPr>
        <w:t>الإيرادُ الأوّل: أنّ هذا مِن الاستصحاب الجاري في الشبهات الحكمية؛ إذ ليس المقام مِن الشك في الشبهة الموضوعية وهو أنّه حصل فسخ أم لَمْ يحصل، وإنّما الشك في أنّ لفسخها أثراً أم لا، فبما أنّ المقام مِن الاستصحاب في الشبهة الحكمية فقد اعترض عليه بأنّ الاستصحاب في الشبهة الحكمية لا يجري.</w:t>
      </w:r>
    </w:p>
    <w:p w14:paraId="436FBF4A" w14:textId="77777777" w:rsidR="00387D54" w:rsidRPr="00F27422" w:rsidRDefault="00387D54" w:rsidP="00122B70">
      <w:pPr>
        <w:bidi/>
        <w:rPr>
          <w:sz w:val="32"/>
          <w:szCs w:val="32"/>
          <w:rtl/>
        </w:rPr>
      </w:pPr>
    </w:p>
    <w:p w14:paraId="310A4C3B" w14:textId="44CAB345" w:rsidR="00387D54" w:rsidRPr="00F27422" w:rsidRDefault="00387D54" w:rsidP="00122B70">
      <w:pPr>
        <w:bidi/>
        <w:rPr>
          <w:sz w:val="32"/>
          <w:szCs w:val="32"/>
          <w:rtl/>
        </w:rPr>
      </w:pPr>
      <w:r w:rsidRPr="00F27422">
        <w:rPr>
          <w:rFonts w:hint="cs"/>
          <w:sz w:val="32"/>
          <w:szCs w:val="32"/>
          <w:rtl/>
        </w:rPr>
        <w:t xml:space="preserve">إمّا لعدم </w:t>
      </w:r>
      <w:r w:rsidR="00290B9F" w:rsidRPr="00F27422">
        <w:rPr>
          <w:rFonts w:hint="cs"/>
          <w:sz w:val="32"/>
          <w:szCs w:val="32"/>
          <w:rtl/>
        </w:rPr>
        <w:t>المقتضي</w:t>
      </w:r>
      <w:r w:rsidRPr="00F27422">
        <w:rPr>
          <w:rFonts w:hint="cs"/>
          <w:sz w:val="32"/>
          <w:szCs w:val="32"/>
          <w:rtl/>
        </w:rPr>
        <w:t xml:space="preserve">؛ بلحاظ أنّ الروايات الدالة على حجية الاستصحاب كصحيحة </w:t>
      </w:r>
      <w:r w:rsidR="00E55345" w:rsidRPr="00F27422">
        <w:rPr>
          <w:rFonts w:hint="cs"/>
          <w:sz w:val="32"/>
          <w:szCs w:val="32"/>
          <w:rtl/>
        </w:rPr>
        <w:t>زرارة</w:t>
      </w:r>
      <w:r w:rsidRPr="00F27422">
        <w:rPr>
          <w:rFonts w:hint="cs"/>
          <w:sz w:val="32"/>
          <w:szCs w:val="32"/>
          <w:rtl/>
        </w:rPr>
        <w:t xml:space="preserve"> إنّما هي واردةٌ في الشبهة الموضوعية وهو الشك في حصول الناقض، فلا يُحرز شمولها للشبهة الحكمية، ولا يُحرز إلغاءُ العرف للخصوصية، وبالتالي فإنّ أدلّة حجية الاستصحاب قاصرةٌ في نفسها عن الشمول لمورد الشبهة الحكمية.</w:t>
      </w:r>
    </w:p>
    <w:p w14:paraId="731B3ECF" w14:textId="77777777" w:rsidR="00387D54" w:rsidRPr="00F27422" w:rsidRDefault="00387D54" w:rsidP="00122B70">
      <w:pPr>
        <w:bidi/>
        <w:rPr>
          <w:sz w:val="32"/>
          <w:szCs w:val="32"/>
          <w:rtl/>
        </w:rPr>
      </w:pPr>
    </w:p>
    <w:p w14:paraId="7745810F" w14:textId="77777777" w:rsidR="00387D54" w:rsidRPr="00F27422" w:rsidRDefault="00387D54" w:rsidP="00122B70">
      <w:pPr>
        <w:bidi/>
        <w:rPr>
          <w:sz w:val="32"/>
          <w:szCs w:val="32"/>
          <w:rtl/>
        </w:rPr>
      </w:pPr>
      <w:r w:rsidRPr="00F27422">
        <w:rPr>
          <w:rFonts w:hint="cs"/>
          <w:sz w:val="32"/>
          <w:szCs w:val="32"/>
          <w:rtl/>
        </w:rPr>
        <w:t>وإمّا لوجود المانع؛ بمعنى أنّ الروايات في حدّ ذاتها مطلقة ولو بمقتضى اشتمالها على التعليل في (قوله السلام): (لأنك كنت على يقين من طهارتك ثم شككت فليس ينبغي لك أن تنقض اليقين بالشك أبداً</w:t>
      </w:r>
      <w:proofErr w:type="gramStart"/>
      <w:r w:rsidRPr="00F27422">
        <w:rPr>
          <w:rFonts w:hint="cs"/>
          <w:sz w:val="32"/>
          <w:szCs w:val="32"/>
          <w:rtl/>
        </w:rPr>
        <w:t>) .</w:t>
      </w:r>
      <w:proofErr w:type="gramEnd"/>
    </w:p>
    <w:p w14:paraId="40751203" w14:textId="77777777" w:rsidR="00387D54" w:rsidRPr="00F27422" w:rsidRDefault="00387D54" w:rsidP="00122B70">
      <w:pPr>
        <w:bidi/>
        <w:rPr>
          <w:sz w:val="32"/>
          <w:szCs w:val="32"/>
          <w:rtl/>
        </w:rPr>
      </w:pPr>
    </w:p>
    <w:p w14:paraId="6640D6C7" w14:textId="77777777" w:rsidR="00387D54" w:rsidRPr="00F27422" w:rsidRDefault="00387D54" w:rsidP="00122B70">
      <w:pPr>
        <w:bidi/>
        <w:rPr>
          <w:sz w:val="32"/>
          <w:szCs w:val="32"/>
          <w:rtl/>
        </w:rPr>
      </w:pPr>
      <w:r w:rsidRPr="00F27422">
        <w:rPr>
          <w:rFonts w:hint="cs"/>
          <w:sz w:val="32"/>
          <w:szCs w:val="32"/>
          <w:rtl/>
        </w:rPr>
        <w:t>فيقال: إنّ المستفاد مِن هذه العبارة أنّها مسوقةٌ مساق التعليل وذكر الكُبرى، وبالتالي فإنّ موردها وإنْ كان هو الشبهة الموضوعية إلّا أنّ مقتضى مساق التعليل شمولها للشبهة الحكمية.</w:t>
      </w:r>
    </w:p>
    <w:p w14:paraId="607C7A64" w14:textId="77777777" w:rsidR="00387D54" w:rsidRPr="00F27422" w:rsidRDefault="00387D54" w:rsidP="00122B70">
      <w:pPr>
        <w:bidi/>
        <w:rPr>
          <w:sz w:val="32"/>
          <w:szCs w:val="32"/>
          <w:rtl/>
        </w:rPr>
      </w:pPr>
    </w:p>
    <w:p w14:paraId="22702FF6" w14:textId="77777777" w:rsidR="00387D54" w:rsidRPr="00F27422" w:rsidRDefault="00387D54" w:rsidP="00122B70">
      <w:pPr>
        <w:bidi/>
        <w:rPr>
          <w:sz w:val="32"/>
          <w:szCs w:val="32"/>
          <w:rtl/>
        </w:rPr>
      </w:pPr>
      <w:r w:rsidRPr="00F27422">
        <w:rPr>
          <w:rFonts w:hint="cs"/>
          <w:sz w:val="32"/>
          <w:szCs w:val="32"/>
          <w:rtl/>
        </w:rPr>
        <w:t xml:space="preserve">غير أنّ الاستصحاب في الشبهات الحكمية لا يجري؛ لوجود المانع، وهو ما ذهب إليه سيدنا الخوئي (قدس سره الشريف) مِن أنّ استصحاب المجعول معارضٌ باستصحاب عدم سعة </w:t>
      </w:r>
      <w:r w:rsidRPr="00F27422">
        <w:rPr>
          <w:rFonts w:hint="cs"/>
          <w:sz w:val="32"/>
          <w:szCs w:val="32"/>
          <w:rtl/>
        </w:rPr>
        <w:lastRenderedPageBreak/>
        <w:t>الجعل، أو لما اخترناهُ في محلّه وفاقاً لشيخنا الأُستاذ الشيخ التبريزي (قدس سره الشريف) مِن أنّ استصحاب عدم سعة الجعل حاكمٌ على استصحاب المجعول.</w:t>
      </w:r>
    </w:p>
    <w:p w14:paraId="44ECBDD8" w14:textId="77777777" w:rsidR="00387D54" w:rsidRPr="00F27422" w:rsidRDefault="00387D54" w:rsidP="00122B70">
      <w:pPr>
        <w:bidi/>
        <w:rPr>
          <w:sz w:val="32"/>
          <w:szCs w:val="32"/>
          <w:rtl/>
        </w:rPr>
      </w:pPr>
    </w:p>
    <w:p w14:paraId="493BDA44" w14:textId="77777777" w:rsidR="00387D54" w:rsidRPr="00F27422" w:rsidRDefault="00387D54" w:rsidP="00122B70">
      <w:pPr>
        <w:bidi/>
        <w:rPr>
          <w:sz w:val="32"/>
          <w:szCs w:val="32"/>
          <w:rtl/>
        </w:rPr>
      </w:pPr>
      <w:r w:rsidRPr="00F27422">
        <w:rPr>
          <w:rFonts w:hint="cs"/>
          <w:sz w:val="32"/>
          <w:szCs w:val="32"/>
          <w:rtl/>
        </w:rPr>
        <w:t>فيُقال في المقام: إنّ استصحاب الزوجية مِن استصحاب المجعول، وهو معارضٌ بنظر سيدنا الخوئي (قدس سره الشريف) باستصحاب عدم سعة إمضاء الشارع للزوجية المنشأة بعد الفسخ؛ إذ الشك واقعٌ في سعة إمضاء الشارع الزوجية بعد فسخ الزوجة عند بلوغها أم لا، حيث يشك في ذلك فيجري استصحاب عدم سعة الإمضاء للزوجية، واستصحاب عدم سعة الإمضاء معارضٌ لاستصحاب المجعول وهو الزوجية بحسب مبنى سيدنا الخوئي (قدس سره الشريف) أو حاكمٌ على استصحاب الزوجية بحسب المبنى المختار.</w:t>
      </w:r>
    </w:p>
    <w:p w14:paraId="18313188" w14:textId="77777777" w:rsidR="00387D54" w:rsidRPr="00F27422" w:rsidRDefault="00387D54" w:rsidP="00122B70">
      <w:pPr>
        <w:bidi/>
        <w:rPr>
          <w:sz w:val="32"/>
          <w:szCs w:val="32"/>
          <w:rtl/>
        </w:rPr>
      </w:pPr>
    </w:p>
    <w:p w14:paraId="3245E52E" w14:textId="77777777" w:rsidR="00387D54" w:rsidRPr="00F27422" w:rsidRDefault="00387D54" w:rsidP="00122B70">
      <w:pPr>
        <w:bidi/>
        <w:rPr>
          <w:sz w:val="32"/>
          <w:szCs w:val="32"/>
          <w:rtl/>
        </w:rPr>
      </w:pPr>
      <w:r w:rsidRPr="00F27422">
        <w:rPr>
          <w:rFonts w:hint="cs"/>
          <w:sz w:val="32"/>
          <w:szCs w:val="32"/>
          <w:rtl/>
        </w:rPr>
        <w:t>ولكن أُجيب عن ذلك بأحد وجهين:</w:t>
      </w:r>
    </w:p>
    <w:p w14:paraId="3E75E715" w14:textId="77777777" w:rsidR="00387D54" w:rsidRPr="00F27422" w:rsidRDefault="00387D54" w:rsidP="00122B70">
      <w:pPr>
        <w:bidi/>
        <w:rPr>
          <w:sz w:val="32"/>
          <w:szCs w:val="32"/>
          <w:rtl/>
        </w:rPr>
      </w:pPr>
    </w:p>
    <w:p w14:paraId="4C2EF482" w14:textId="77777777" w:rsidR="00387D54" w:rsidRPr="00F27422" w:rsidRDefault="00387D54" w:rsidP="00122B70">
      <w:pPr>
        <w:bidi/>
        <w:rPr>
          <w:sz w:val="32"/>
          <w:szCs w:val="32"/>
          <w:rtl/>
        </w:rPr>
      </w:pPr>
      <w:r w:rsidRPr="00F27422">
        <w:rPr>
          <w:rFonts w:hint="cs"/>
          <w:sz w:val="32"/>
          <w:szCs w:val="32"/>
          <w:rtl/>
        </w:rPr>
        <w:t>الوجهُ الأوّل: أنّ استصحاب عدم سعة الجعل لا يجري كي يعارض استصحاب الزوجية؛ لأنّه في نفسه معارضٌ باستصحاب عدم جعل الزوجية الضيقة؛ إذ المشكوك أنّ الزوجية الممضاة هل هي الزوجية الواسعة الممتدة لما بعد الفسخ أو الزوجية الضيقة وهي الزوجية المحدودة بالفسخ؟ فاستصحاب عدم سعة الإمضاء معارضٌ باستصحاب عدم تعلّق الإمضاء بالزوجية الضيقة، فإذا كان استصحاب عدم سعة الجعل معارضاً باستصحاب آخر وهو استصحاب عدم جعل الزوجية الضيقة جرى استصحاب المجعول بلا مانع؛ لأنّ المعارض له استصحاب عدم سعة الجعل والمفروض أنّ استصحاب عدم سعة الجعل في نفسه معارض باستصحاب عدم جعل الزوجية الضيقة، فيجري استصحاب الزوجية بلا مانعٍ.</w:t>
      </w:r>
    </w:p>
    <w:p w14:paraId="4066FDF0" w14:textId="77777777" w:rsidR="00387D54" w:rsidRPr="00F27422" w:rsidRDefault="00387D54" w:rsidP="00122B70">
      <w:pPr>
        <w:bidi/>
        <w:rPr>
          <w:sz w:val="32"/>
          <w:szCs w:val="32"/>
          <w:rtl/>
        </w:rPr>
      </w:pPr>
    </w:p>
    <w:p w14:paraId="4A28AA71" w14:textId="77777777" w:rsidR="00387D54" w:rsidRPr="00F27422" w:rsidRDefault="00387D54" w:rsidP="00122B70">
      <w:pPr>
        <w:bidi/>
        <w:rPr>
          <w:sz w:val="32"/>
          <w:szCs w:val="32"/>
          <w:rtl/>
        </w:rPr>
      </w:pPr>
      <w:r w:rsidRPr="00F27422">
        <w:rPr>
          <w:rFonts w:hint="cs"/>
          <w:sz w:val="32"/>
          <w:szCs w:val="32"/>
          <w:rtl/>
        </w:rPr>
        <w:t>ولكن هذا الجواب غيرُ تامٍ؛ والسر في ذلك: أنّه ما هو الأثر لاستصحاب عدم الزوجية الضيقة؟ فهل المقصود بهذا الاستصحاب نفي الزوجية؟ وهذا خُلف أنّ الزوجية مقطوعٌ بها، وإنّما الكلام في سعتها وضيقها، وإنْ كان الأثر إثبات السعة، أي: باستصحاب عدم جعل الزوجية الضيقة يثبتُ سعة الزوجية، فهذا مِن الأصل المثبت؛ فإنّ استصحاب عدم الضيق لا يثبت التوسعة؛ لأنّهما ضدان وأمران وجوديان واستصحاب عدم أحدهما لا يثبت الآخر إلّا بالملازمة العقلية.</w:t>
      </w:r>
    </w:p>
    <w:p w14:paraId="151F8B1E" w14:textId="77777777" w:rsidR="00387D54" w:rsidRPr="00F27422" w:rsidRDefault="00387D54" w:rsidP="00122B70">
      <w:pPr>
        <w:bidi/>
        <w:rPr>
          <w:sz w:val="32"/>
          <w:szCs w:val="32"/>
          <w:rtl/>
        </w:rPr>
      </w:pPr>
    </w:p>
    <w:p w14:paraId="7628BE1C" w14:textId="77777777" w:rsidR="00387D54" w:rsidRPr="00F27422" w:rsidRDefault="00387D54" w:rsidP="00122B70">
      <w:pPr>
        <w:bidi/>
        <w:rPr>
          <w:sz w:val="32"/>
          <w:szCs w:val="32"/>
          <w:rtl/>
        </w:rPr>
      </w:pPr>
      <w:r w:rsidRPr="00F27422">
        <w:rPr>
          <w:rFonts w:hint="cs"/>
          <w:sz w:val="32"/>
          <w:szCs w:val="32"/>
          <w:rtl/>
        </w:rPr>
        <w:t>فهذا لا يصلح لمعارضة استصحاب عدم سعة الجعل، فيبقى استصحاب عدم سعة الجعل معارضاً أو حاكماً على استصحاب الزوجية، فلا يجري استصحاب الزوجية.</w:t>
      </w:r>
    </w:p>
    <w:p w14:paraId="14122B90" w14:textId="77777777" w:rsidR="00387D54" w:rsidRPr="00F27422" w:rsidRDefault="00387D54" w:rsidP="00122B70">
      <w:pPr>
        <w:bidi/>
        <w:rPr>
          <w:sz w:val="32"/>
          <w:szCs w:val="32"/>
          <w:rtl/>
        </w:rPr>
      </w:pPr>
    </w:p>
    <w:p w14:paraId="181E02AA" w14:textId="77777777" w:rsidR="00387D54" w:rsidRPr="00F27422" w:rsidRDefault="00387D54" w:rsidP="00122B70">
      <w:pPr>
        <w:bidi/>
        <w:rPr>
          <w:sz w:val="32"/>
          <w:szCs w:val="32"/>
          <w:rtl/>
        </w:rPr>
      </w:pPr>
      <w:r w:rsidRPr="00F27422">
        <w:rPr>
          <w:rFonts w:hint="cs"/>
          <w:sz w:val="32"/>
          <w:szCs w:val="32"/>
          <w:rtl/>
        </w:rPr>
        <w:t>الوجهُ الثاني: ما ذكره الفقيه الدقيق شيخنا الأُستاذ الشيخ التبريزي (قدس سره الشريف) من أنّه لا حاجة لاستصحاب المجعول وهو الزوجية كي يقال بأنّه معارضٌ باستصحاب عدم سعة الجعل أو محكومٌ باستصحاب عدم سعة الجعل؛ وذلك لأنّ هناك سنخاً مِن المجعولات في الشريعة ظاهرُ أدلتها بقاؤها ما لَمْ يعرض المزيل.</w:t>
      </w:r>
    </w:p>
    <w:p w14:paraId="5258F4F2" w14:textId="77777777" w:rsidR="00387D54" w:rsidRPr="00F27422" w:rsidRDefault="00387D54" w:rsidP="00122B70">
      <w:pPr>
        <w:bidi/>
        <w:rPr>
          <w:sz w:val="32"/>
          <w:szCs w:val="32"/>
          <w:rtl/>
        </w:rPr>
      </w:pPr>
    </w:p>
    <w:p w14:paraId="39B9C2CE" w14:textId="36EFC737" w:rsidR="00387D54" w:rsidRPr="00F27422" w:rsidRDefault="00387D54" w:rsidP="00122B70">
      <w:pPr>
        <w:bidi/>
        <w:rPr>
          <w:sz w:val="32"/>
          <w:szCs w:val="32"/>
          <w:rtl/>
        </w:rPr>
      </w:pPr>
      <w:r w:rsidRPr="00F27422">
        <w:rPr>
          <w:rFonts w:hint="cs"/>
          <w:sz w:val="32"/>
          <w:szCs w:val="32"/>
          <w:rtl/>
        </w:rPr>
        <w:t xml:space="preserve">فإنّ المجعولات في الشريعة على قسمين: قسمٌ لا يستفاد مِن أدلتها بقاؤها ما لَمْ يعرض المزيل، كحكم الشارع – مثلاً </w:t>
      </w:r>
      <w:r w:rsidRPr="00F27422">
        <w:rPr>
          <w:sz w:val="32"/>
          <w:szCs w:val="32"/>
          <w:rtl/>
        </w:rPr>
        <w:t>–</w:t>
      </w:r>
      <w:r w:rsidRPr="00F27422">
        <w:rPr>
          <w:rFonts w:hint="cs"/>
          <w:sz w:val="32"/>
          <w:szCs w:val="32"/>
          <w:rtl/>
        </w:rPr>
        <w:t xml:space="preserve"> بصحّة الصلاة إذ غاية ما يستفاد مِن أدلتها أصل الفعلية وأمّا بقاؤها ما لَمْ يعرض المزيل فهذا لا يستفاد مِن الأدلّة، وقسمٌ آخر مِن المجعولات ظاهر أدلتها بقاؤها ما لَمْ يعرض المزيل ومنها: النجاسة، والمِلكيّة، والزوجية، فإنّ ظاهر ما دلّ على أنّ (من أحيا أرضا مواتاً فهي له) ، أو "من حاز ملك" أنّ المِلكيّة باقية ما لَمْ يعرض مزيل عليها، وأنّ الشارع إذا حكم بنجاسة ما لاقى النجس مع الرطوبة فظاهر الدليل أنّ النجاسة باقية ما لَمْ يعرض المزيل، فكذلك في باب الزوجية؛ فإنّ المُشرع إذا حكم بالزوجية - كما هو المستفاد مِن أدلتها </w:t>
      </w:r>
      <w:r w:rsidRPr="00F27422">
        <w:rPr>
          <w:sz w:val="32"/>
          <w:szCs w:val="32"/>
          <w:rtl/>
        </w:rPr>
        <w:t>–</w:t>
      </w:r>
      <w:r w:rsidRPr="00F27422">
        <w:rPr>
          <w:rFonts w:hint="cs"/>
          <w:sz w:val="32"/>
          <w:szCs w:val="32"/>
          <w:rtl/>
        </w:rPr>
        <w:t xml:space="preserve"> ظاهره أنّ الزوجية باقية ما لَمْ يعرض طلاق أو يعرض فسخٌ بأحد العيوب الموجبة للفسخ، فظاهرُ الأدلّة بقاءُ الزوجية ما لَمْ يعرض المزيل، وهذا ينتج أصلاً خاصاً بهذه الموارد وهو أصالة بقاء المجعول عند الشك في المزيل، فليس المقام تطبيقاً للاستصحاب العام وهو استصحاب المجعول في الشبهة الحكمية كي يقال بعدم جريانه، بل المقام مِن التشبث بأصلٍ خاص يستفادُ مِن هذه الأدلّة وهو بقاء الزوجية لخصوصيةٍ في هذا المجعول ما لَمْ يعرض المزيل.</w:t>
      </w:r>
    </w:p>
    <w:p w14:paraId="267318FA" w14:textId="77777777" w:rsidR="00387D54" w:rsidRPr="00F27422" w:rsidRDefault="00387D54" w:rsidP="00122B70">
      <w:pPr>
        <w:bidi/>
        <w:rPr>
          <w:sz w:val="32"/>
          <w:szCs w:val="32"/>
          <w:rtl/>
        </w:rPr>
      </w:pPr>
    </w:p>
    <w:p w14:paraId="2891F4E1" w14:textId="77777777" w:rsidR="00387D54" w:rsidRPr="00F27422" w:rsidRDefault="00387D54" w:rsidP="00122B70">
      <w:pPr>
        <w:bidi/>
        <w:rPr>
          <w:sz w:val="32"/>
          <w:szCs w:val="32"/>
          <w:rtl/>
        </w:rPr>
      </w:pPr>
      <w:r w:rsidRPr="00F27422">
        <w:rPr>
          <w:rFonts w:hint="cs"/>
          <w:sz w:val="32"/>
          <w:szCs w:val="32"/>
          <w:rtl/>
        </w:rPr>
        <w:t>أو أنّ الأصل الجاري استصحاب عدم تحقّق المزيل؛ فإنّ موضوع بقاء الزوجية عدم تحقّق المزيل، فيجري استصحاب عدم تحقّق المزيل فتبقى الزوجية لتحقيق موضوعها بالاستصحاب.</w:t>
      </w:r>
    </w:p>
    <w:p w14:paraId="026C2F36" w14:textId="77777777" w:rsidR="00387D54" w:rsidRPr="00F27422" w:rsidRDefault="00387D54" w:rsidP="00122B70">
      <w:pPr>
        <w:bidi/>
        <w:rPr>
          <w:sz w:val="32"/>
          <w:szCs w:val="32"/>
          <w:rtl/>
        </w:rPr>
      </w:pPr>
    </w:p>
    <w:p w14:paraId="0B5BEB6F" w14:textId="77777777" w:rsidR="00387D54" w:rsidRPr="00F27422" w:rsidRDefault="00387D54" w:rsidP="00122B70">
      <w:pPr>
        <w:bidi/>
        <w:rPr>
          <w:sz w:val="32"/>
          <w:szCs w:val="32"/>
          <w:rtl/>
        </w:rPr>
      </w:pPr>
      <w:r w:rsidRPr="00F27422">
        <w:rPr>
          <w:rFonts w:hint="cs"/>
          <w:sz w:val="32"/>
          <w:szCs w:val="32"/>
          <w:rtl/>
        </w:rPr>
        <w:lastRenderedPageBreak/>
        <w:t>ولكن يلاحظ على ما أُفيد مِن قِبله (قدس سره): أنّ المشكوك فيه في المقام سنخٌ خاص مِن الزوجية، فلو كان المتحقق الزوجية الصادرة ممن له ولاية على نفسه كالعقد الصادر مِن البالغ العاقل الرشيد فنعم، ولكن المفروض أنّ هنا في المقام سنخاً خاصاً مِن الزوجية وهو العقد الصادر مِن الوليّ على المُولى عليه، فهذا السنخ مِن الزوجية وهو العقد الصادر بالولاية لمن ترتفع ولايته بعد البلوغ مشكوكٌ فيه مِن الأصل هل أنّه ضيقٌ مِن حين جعله أو واسع؟ فبما أنّه مشكوك فيه مِن الأصل فلا مجرى لاستصحاب عدم تحقق المزيل، أو أصالة بقاء الزوجية ما لَمْ يحرز المزيل، فلا مجال لكليهما؛ إذ المفروض أنّ هذا السنخ الخاص مِن الزوجية مشكوكٌ في مقداره وحدوده من الأصل.</w:t>
      </w:r>
    </w:p>
    <w:p w14:paraId="6063B95F" w14:textId="77777777" w:rsidR="00387D54" w:rsidRPr="00F27422" w:rsidRDefault="00387D54" w:rsidP="00122B70">
      <w:pPr>
        <w:bidi/>
        <w:rPr>
          <w:sz w:val="32"/>
          <w:szCs w:val="32"/>
          <w:rtl/>
        </w:rPr>
      </w:pPr>
    </w:p>
    <w:p w14:paraId="6CCB5D3F" w14:textId="77777777" w:rsidR="00387D54" w:rsidRPr="00F27422" w:rsidRDefault="00387D54" w:rsidP="00122B70">
      <w:pPr>
        <w:bidi/>
        <w:rPr>
          <w:sz w:val="32"/>
          <w:szCs w:val="32"/>
          <w:rtl/>
        </w:rPr>
      </w:pPr>
      <w:r w:rsidRPr="00F27422">
        <w:rPr>
          <w:rFonts w:hint="cs"/>
          <w:sz w:val="32"/>
          <w:szCs w:val="32"/>
          <w:rtl/>
        </w:rPr>
        <w:t>فالإيرادُ الأوّل على جريان الاستصحاب في الشبهات الحكمية واردٌ ولا يُجدي الجواب عنه بكلا الوجهين.</w:t>
      </w:r>
    </w:p>
    <w:p w14:paraId="50C53272" w14:textId="77777777" w:rsidR="00387D54" w:rsidRPr="00F27422" w:rsidRDefault="00387D54" w:rsidP="00122B70">
      <w:pPr>
        <w:bidi/>
        <w:rPr>
          <w:sz w:val="32"/>
          <w:szCs w:val="32"/>
          <w:rtl/>
        </w:rPr>
      </w:pPr>
    </w:p>
    <w:p w14:paraId="382D234B" w14:textId="77777777" w:rsidR="00387D54" w:rsidRPr="00F27422" w:rsidRDefault="00387D54" w:rsidP="00122B70">
      <w:pPr>
        <w:bidi/>
        <w:rPr>
          <w:sz w:val="32"/>
          <w:szCs w:val="32"/>
          <w:rtl/>
        </w:rPr>
      </w:pPr>
    </w:p>
    <w:p w14:paraId="36AFD2F5" w14:textId="77777777" w:rsidR="00387D54" w:rsidRPr="00F27422" w:rsidRDefault="00387D54" w:rsidP="00122B70">
      <w:pPr>
        <w:bidi/>
        <w:rPr>
          <w:sz w:val="32"/>
          <w:szCs w:val="32"/>
          <w:rtl/>
        </w:rPr>
      </w:pPr>
    </w:p>
    <w:p w14:paraId="123CCB43" w14:textId="77777777" w:rsidR="00387D54" w:rsidRPr="00F27422" w:rsidRDefault="00387D54" w:rsidP="00122B70">
      <w:pPr>
        <w:bidi/>
        <w:rPr>
          <w:sz w:val="32"/>
          <w:szCs w:val="32"/>
          <w:rtl/>
        </w:rPr>
      </w:pPr>
      <w:r w:rsidRPr="00F27422">
        <w:rPr>
          <w:rFonts w:hint="cs"/>
          <w:sz w:val="32"/>
          <w:szCs w:val="32"/>
          <w:rtl/>
        </w:rPr>
        <w:t xml:space="preserve">والحمد لله رب العالمين </w:t>
      </w:r>
    </w:p>
    <w:p w14:paraId="414E7D0A" w14:textId="77777777" w:rsidR="00387D54" w:rsidRPr="00F27422" w:rsidRDefault="00387D54" w:rsidP="00122B70">
      <w:pPr>
        <w:bidi/>
        <w:rPr>
          <w:sz w:val="32"/>
          <w:szCs w:val="32"/>
          <w:rtl/>
        </w:rPr>
      </w:pPr>
    </w:p>
    <w:p w14:paraId="3093F052" w14:textId="77777777" w:rsidR="00387D54" w:rsidRPr="00F27422" w:rsidRDefault="00387D54" w:rsidP="00122B70">
      <w:pPr>
        <w:bidi/>
        <w:rPr>
          <w:sz w:val="32"/>
          <w:szCs w:val="32"/>
        </w:rPr>
      </w:pPr>
    </w:p>
    <w:p w14:paraId="1A54AD0D" w14:textId="5A1D1AE7" w:rsidR="00B276C7" w:rsidRPr="00F27422" w:rsidRDefault="00387D54" w:rsidP="00122B70">
      <w:pPr>
        <w:pStyle w:val="Heading3"/>
        <w:bidi/>
        <w:rPr>
          <w:sz w:val="32"/>
          <w:szCs w:val="32"/>
          <w:rtl/>
        </w:rPr>
      </w:pPr>
      <w:r w:rsidRPr="00F27422">
        <w:rPr>
          <w:rFonts w:hint="cs"/>
          <w:sz w:val="32"/>
          <w:szCs w:val="32"/>
          <w:rtl/>
        </w:rPr>
        <w:t>063</w:t>
      </w:r>
    </w:p>
    <w:p w14:paraId="65B2F62D" w14:textId="77777777" w:rsidR="009A466E" w:rsidRPr="00F27422" w:rsidRDefault="009A466E" w:rsidP="00122B70">
      <w:pPr>
        <w:bidi/>
        <w:rPr>
          <w:b/>
          <w:bCs/>
          <w:sz w:val="32"/>
          <w:szCs w:val="32"/>
        </w:rPr>
      </w:pPr>
      <w:r w:rsidRPr="00F27422">
        <w:rPr>
          <w:rFonts w:hint="cs"/>
          <w:b/>
          <w:bCs/>
          <w:sz w:val="32"/>
          <w:szCs w:val="32"/>
          <w:rtl/>
        </w:rPr>
        <w:t xml:space="preserve"> </w:t>
      </w:r>
      <w:r w:rsidRPr="00F27422">
        <w:rPr>
          <w:b/>
          <w:bCs/>
          <w:sz w:val="32"/>
          <w:szCs w:val="32"/>
          <w:rtl/>
        </w:rPr>
        <w:t>بسم الله الرحمن الرحيم</w:t>
      </w:r>
    </w:p>
    <w:p w14:paraId="1D9B05D9" w14:textId="77777777" w:rsidR="009A466E" w:rsidRPr="00F27422" w:rsidRDefault="009A466E"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5F3C2614" w14:textId="77777777" w:rsidR="009A466E" w:rsidRPr="00F27422" w:rsidRDefault="009A466E" w:rsidP="00122B70">
      <w:pPr>
        <w:bidi/>
        <w:rPr>
          <w:b/>
          <w:bCs/>
          <w:sz w:val="32"/>
          <w:szCs w:val="32"/>
          <w:rtl/>
        </w:rPr>
      </w:pPr>
      <w:r w:rsidRPr="00F27422">
        <w:rPr>
          <w:b/>
          <w:bCs/>
          <w:sz w:val="32"/>
          <w:szCs w:val="32"/>
          <w:rtl/>
        </w:rPr>
        <w:t>واللعن الدائم على أعدائهم أجمعين إلى قيام يوم الدين</w:t>
      </w:r>
    </w:p>
    <w:p w14:paraId="218DBBB6" w14:textId="77777777" w:rsidR="009A466E" w:rsidRPr="00F27422" w:rsidRDefault="009A466E" w:rsidP="00122B70">
      <w:pPr>
        <w:bidi/>
        <w:rPr>
          <w:b/>
          <w:bCs/>
          <w:sz w:val="32"/>
          <w:szCs w:val="32"/>
          <w:rtl/>
        </w:rPr>
      </w:pPr>
    </w:p>
    <w:p w14:paraId="556704EA" w14:textId="77777777" w:rsidR="009A466E" w:rsidRPr="00F27422" w:rsidRDefault="009A466E" w:rsidP="00122B70">
      <w:pPr>
        <w:bidi/>
        <w:rPr>
          <w:b/>
          <w:bCs/>
          <w:sz w:val="32"/>
          <w:szCs w:val="32"/>
          <w:rtl/>
        </w:rPr>
      </w:pPr>
      <w:r w:rsidRPr="00F27422">
        <w:rPr>
          <w:b/>
          <w:bCs/>
          <w:sz w:val="32"/>
          <w:szCs w:val="32"/>
          <w:rtl/>
        </w:rPr>
        <w:t xml:space="preserve">الإيرادُ الثاني: على فرض جريان الاستصحاب في الشبهات الحكمية فإنّ استصحاب الزوجية مِن قَبيل الشك في المقتضي؛ للشك في قابلية الزوجية المنشأة مِن قِبل الوليّ المُمضاة مِن </w:t>
      </w:r>
      <w:r w:rsidRPr="00F27422">
        <w:rPr>
          <w:b/>
          <w:bCs/>
          <w:sz w:val="32"/>
          <w:szCs w:val="32"/>
          <w:rtl/>
        </w:rPr>
        <w:lastRenderedPageBreak/>
        <w:t>قِبل الشارع في ظرفها للاستمرار مع الفسخ، وعلى مبنى الشيخ الأعظم (قدس سره الشريف) لا يجري الاستصحاب عند الشك في المقتضي.</w:t>
      </w:r>
    </w:p>
    <w:p w14:paraId="6C347001" w14:textId="77777777" w:rsidR="009A466E" w:rsidRPr="00F27422" w:rsidRDefault="009A466E" w:rsidP="00122B70">
      <w:pPr>
        <w:bidi/>
        <w:rPr>
          <w:b/>
          <w:bCs/>
          <w:sz w:val="32"/>
          <w:szCs w:val="32"/>
          <w:rtl/>
        </w:rPr>
      </w:pPr>
      <w:r w:rsidRPr="00F27422">
        <w:rPr>
          <w:b/>
          <w:bCs/>
          <w:sz w:val="32"/>
          <w:szCs w:val="32"/>
          <w:rtl/>
        </w:rPr>
        <w:t>ولكن يُجاب عن ذلك: بأنّ مورد الشك في المقتضي ما إذا رجع الشك في القابلية للشك في تأثير الزمان عليها، فإنّه إذا شُك في قابلية الاستمرار لاحتمال أنّ مرور الزمن مُوجبٌ لقصورها كان الاستصحاب حينئذٍ من الإستصحاب للشك في المقتضي.</w:t>
      </w:r>
    </w:p>
    <w:p w14:paraId="32B9BEE4" w14:textId="77777777" w:rsidR="009A466E" w:rsidRPr="00F27422" w:rsidRDefault="009A466E" w:rsidP="00122B70">
      <w:pPr>
        <w:bidi/>
        <w:rPr>
          <w:b/>
          <w:bCs/>
          <w:sz w:val="32"/>
          <w:szCs w:val="32"/>
          <w:rtl/>
        </w:rPr>
      </w:pPr>
      <w:r w:rsidRPr="00F27422">
        <w:rPr>
          <w:b/>
          <w:bCs/>
          <w:sz w:val="32"/>
          <w:szCs w:val="32"/>
          <w:rtl/>
        </w:rPr>
        <w:t>مثلاً: إذا قُلنا بأنّ خيار الغبن متقومٌ بالفورية، فإذا اِلتفت المَغبونُ للغبن ولَمْ يستخدم خيارهُ في أوّل الأزمنة، فشك في بقاءِ الخيار بالنسبة له، ففي هذا الفرض لا يجري استصحابُ الخيار للشك في أصل اقتضائه للبقاء مع مرور الزمن؛ باعتبار أنّ للزمن تأثيراً على نفس المُستصحَب - وهو الخيار - لتقومه بالفورية، وأمّا إذا لَمْ يكن للزمن تأثيرٌ على المُستصحَب نفسه بل هو قابلٌ للبقاء، غاية ما في الباب لا يعلم  أنّه محدودٌ بحدٍّ آخرٍ كما لو شُك في أنّ الزوجية المنشأة مِن قِبل الوليّ على المُولى عليه محدودةٌ بعدم الفسخ أم لا، فهذا ليس مِن الشك في المقتضي، وإنّما هو مِن الشك في دائرة المجعول في وعاء الاعتبار، وهو أنّ المجعول المُمضى مِن قِبل الشارع زوجيةٌ تنتهي بالفسخ أم لا؟ فهذا مِن الشك في حدود المجعول، لا مِن الشك في المقتضي للبقاء؛ إذ ليس للزمن تأثيرٌ عليه.</w:t>
      </w:r>
    </w:p>
    <w:p w14:paraId="1ADCF34B" w14:textId="77777777" w:rsidR="009A466E" w:rsidRPr="00F27422" w:rsidRDefault="009A466E" w:rsidP="00122B70">
      <w:pPr>
        <w:bidi/>
        <w:rPr>
          <w:b/>
          <w:bCs/>
          <w:sz w:val="32"/>
          <w:szCs w:val="32"/>
          <w:rtl/>
        </w:rPr>
      </w:pPr>
      <w:r w:rsidRPr="00F27422">
        <w:rPr>
          <w:b/>
          <w:bCs/>
          <w:sz w:val="32"/>
          <w:szCs w:val="32"/>
          <w:rtl/>
        </w:rPr>
        <w:t>الإيرادُ الثالث: أنّ استصحابَ الزوجية مِن استصحاب الكُلّي مِن القسم الثاني؛ لتردد الحادث بين مقطوع الزوال ومقطوع البقاء، ومع الشك في نوع الحادث فاستصحاب الكُلّي الجامع بينهما مِن استصحاب الكُلّي مِن القسم الثاني، وعلى مبنى المنع مِن جريان استصحاب الكُلّي مِن القسم الثاني لا يجري استصحاب كُلّي الزوجية في المقام</w:t>
      </w:r>
      <w:r w:rsidRPr="00F27422">
        <w:rPr>
          <w:b/>
          <w:bCs/>
          <w:sz w:val="32"/>
          <w:szCs w:val="32"/>
        </w:rPr>
        <w:t>.</w:t>
      </w:r>
    </w:p>
    <w:p w14:paraId="296E3C25" w14:textId="77777777" w:rsidR="009A466E" w:rsidRPr="00F27422" w:rsidRDefault="009A466E" w:rsidP="00122B70">
      <w:pPr>
        <w:bidi/>
        <w:rPr>
          <w:b/>
          <w:bCs/>
          <w:sz w:val="32"/>
          <w:szCs w:val="32"/>
          <w:rtl/>
        </w:rPr>
      </w:pPr>
      <w:r w:rsidRPr="00F27422">
        <w:rPr>
          <w:b/>
          <w:bCs/>
          <w:sz w:val="32"/>
          <w:szCs w:val="32"/>
          <w:rtl/>
        </w:rPr>
        <w:t>بيان ذلك: إذا أحدث المُكلف - مثلاً - ثمّ توضأ وشك في أنّ نوع الحدث الذي حصل هل هو مِن الحدث الأصغر الذي يرتفع بالوضوء، أم مِن الحدث الأكبر الذي لا يرتفع إلّا بالغُسل</w:t>
      </w:r>
      <w:r w:rsidRPr="00F27422">
        <w:rPr>
          <w:b/>
          <w:bCs/>
          <w:sz w:val="32"/>
          <w:szCs w:val="32"/>
        </w:rPr>
        <w:t>.</w:t>
      </w:r>
    </w:p>
    <w:p w14:paraId="05061E41" w14:textId="77777777" w:rsidR="009A466E" w:rsidRPr="00F27422" w:rsidRDefault="009A466E" w:rsidP="00122B70">
      <w:pPr>
        <w:bidi/>
        <w:rPr>
          <w:b/>
          <w:bCs/>
          <w:sz w:val="32"/>
          <w:szCs w:val="32"/>
          <w:rtl/>
        </w:rPr>
      </w:pPr>
      <w:r w:rsidRPr="00F27422">
        <w:rPr>
          <w:b/>
          <w:bCs/>
          <w:sz w:val="32"/>
          <w:szCs w:val="32"/>
          <w:rtl/>
        </w:rPr>
        <w:t>فاستصحابُ كُلّي الحدث الجامع بين الفردين مِن أجل ترتيب أثر الكُلّي، وهو عدم جواز مس المصحف، مِن استصحاب الكُلّي مِن القسم الثاني؛ لدوران الفرد الحادث بين فردٍ مقطوع الزوال لو كان هو الحدث الأصغر وفردٍ مقطوع البقاء لو كان هو الحدث الأكبر، واستصحاب الكُلّي مِن القسم الثاني غيرُ جارٍ؛ إمّا لعدم اتحاد القضية المتيقنة مع القضية المشكوكة فلا يكون المورد مصداقاً لـ (لَا يَنْقُضُ الْيَقِينَ بِالشَّكِّ)</w:t>
      </w:r>
      <w:r w:rsidRPr="00F27422">
        <w:rPr>
          <w:b/>
          <w:bCs/>
          <w:sz w:val="32"/>
          <w:szCs w:val="32"/>
          <w:vertAlign w:val="superscript"/>
          <w:rtl/>
        </w:rPr>
        <w:footnoteReference w:id="21"/>
      </w:r>
      <w:r w:rsidRPr="00F27422">
        <w:rPr>
          <w:b/>
          <w:bCs/>
          <w:sz w:val="32"/>
          <w:szCs w:val="32"/>
          <w:rtl/>
        </w:rPr>
        <w:t xml:space="preserve">؛ فإنّ وجود الكُلّي بوجود فرده فإذا تردد الأمر بين فردين مقطوع الارتفاع ومقطوع البقاء، فوجود الكُلّي مردد بين مقطوع الارتفاع ومقطوع البقاء، فلم يرد الشك على نفس مورد اليقين مما يعني عدم اتحاد القضية المتيقنة </w:t>
      </w:r>
      <w:r w:rsidRPr="00F27422">
        <w:rPr>
          <w:b/>
          <w:bCs/>
          <w:sz w:val="32"/>
          <w:szCs w:val="32"/>
          <w:rtl/>
        </w:rPr>
        <w:lastRenderedPageBreak/>
        <w:t>مع القضية المشكوكة، وإمّا لأنّ الشك في بقاء الكُلّي مسبب عن الشك في حدوث الفرد الثاني الذي هو مقطوع البقاء - في فرض حدوثه - فيجري استصحابُ عدم حدوث الحدث الأكبر، واستصحابُ عدم حدوث الحدث الأكبر حاكمٌ على استصحاب كُلّي الحدث</w:t>
      </w:r>
      <w:r w:rsidRPr="00F27422">
        <w:rPr>
          <w:b/>
          <w:bCs/>
          <w:sz w:val="32"/>
          <w:szCs w:val="32"/>
        </w:rPr>
        <w:t>.</w:t>
      </w:r>
    </w:p>
    <w:p w14:paraId="56C349AD" w14:textId="77777777" w:rsidR="009A466E" w:rsidRPr="00F27422" w:rsidRDefault="009A466E" w:rsidP="00122B70">
      <w:pPr>
        <w:bidi/>
        <w:rPr>
          <w:b/>
          <w:bCs/>
          <w:sz w:val="32"/>
          <w:szCs w:val="32"/>
          <w:rtl/>
        </w:rPr>
      </w:pPr>
      <w:r w:rsidRPr="00F27422">
        <w:rPr>
          <w:b/>
          <w:bCs/>
          <w:sz w:val="32"/>
          <w:szCs w:val="32"/>
          <w:rtl/>
        </w:rPr>
        <w:t>والأمرُ في المقام كذلك؛ فإنّ هناك نوعين مِن الزوجية: الأوّل: زوجيةٌ تنقضي بالفسخ، والثاني: زوجيةٌ لا أثر للفسخ فيها، ولا يعلم أنّ الزوجية التي تحقّقت مِن الوليّ بالنسبة للصبيّة المُولى عليها مِن أيِّ نوعٍ، فاستصحاب كُلّي الزوجية مع التردد في نوع الزوجية مِن استصحاب الكُلّي مِن القسم الثاني فلا يجري</w:t>
      </w:r>
      <w:r w:rsidRPr="00F27422">
        <w:rPr>
          <w:b/>
          <w:bCs/>
          <w:sz w:val="32"/>
          <w:szCs w:val="32"/>
        </w:rPr>
        <w:t>.</w:t>
      </w:r>
    </w:p>
    <w:p w14:paraId="1CEE562E" w14:textId="77777777" w:rsidR="009A466E" w:rsidRPr="00F27422" w:rsidRDefault="009A466E" w:rsidP="00122B70">
      <w:pPr>
        <w:bidi/>
        <w:rPr>
          <w:b/>
          <w:bCs/>
          <w:sz w:val="32"/>
          <w:szCs w:val="32"/>
          <w:rtl/>
        </w:rPr>
      </w:pPr>
      <w:r w:rsidRPr="00F27422">
        <w:rPr>
          <w:b/>
          <w:bCs/>
          <w:sz w:val="32"/>
          <w:szCs w:val="32"/>
          <w:rtl/>
        </w:rPr>
        <w:t>وقد أُجيب عن الإشكال بعدّة أجوبة:</w:t>
      </w:r>
    </w:p>
    <w:p w14:paraId="7E6CDE80" w14:textId="77777777" w:rsidR="009A466E" w:rsidRPr="00F27422" w:rsidRDefault="009A466E" w:rsidP="00122B70">
      <w:pPr>
        <w:bidi/>
        <w:rPr>
          <w:b/>
          <w:bCs/>
          <w:sz w:val="32"/>
          <w:szCs w:val="32"/>
          <w:rtl/>
        </w:rPr>
      </w:pPr>
      <w:r w:rsidRPr="00F27422">
        <w:rPr>
          <w:b/>
          <w:bCs/>
          <w:sz w:val="32"/>
          <w:szCs w:val="32"/>
          <w:rtl/>
        </w:rPr>
        <w:t>الجوابُ الأوّل: ما في كلمات الشيخ الأعظم (قدس سره الشريف) مِن أنّ المقام ليس مِن استصحاب الكُلّي مِن القسم الثاني.</w:t>
      </w:r>
    </w:p>
    <w:p w14:paraId="31A0D2C1" w14:textId="77777777" w:rsidR="009A466E" w:rsidRPr="00F27422" w:rsidRDefault="009A466E" w:rsidP="00122B70">
      <w:pPr>
        <w:bidi/>
        <w:rPr>
          <w:b/>
          <w:bCs/>
          <w:sz w:val="32"/>
          <w:szCs w:val="32"/>
          <w:rtl/>
        </w:rPr>
      </w:pPr>
      <w:r w:rsidRPr="00F27422">
        <w:rPr>
          <w:b/>
          <w:bCs/>
          <w:sz w:val="32"/>
          <w:szCs w:val="32"/>
          <w:rtl/>
        </w:rPr>
        <w:t>وبيانه: أنّه تارةً يكون التنوع في المُسْتصحَب وتارةً يكون التنوع في سببه - لا في نفس المُسْتصحَب -.</w:t>
      </w:r>
    </w:p>
    <w:p w14:paraId="01C21281" w14:textId="77777777" w:rsidR="009A466E" w:rsidRPr="00F27422" w:rsidRDefault="009A466E" w:rsidP="00122B70">
      <w:pPr>
        <w:bidi/>
        <w:rPr>
          <w:b/>
          <w:bCs/>
          <w:sz w:val="32"/>
          <w:szCs w:val="32"/>
          <w:rtl/>
        </w:rPr>
      </w:pPr>
      <w:r w:rsidRPr="00F27422">
        <w:rPr>
          <w:b/>
          <w:bCs/>
          <w:sz w:val="32"/>
          <w:szCs w:val="32"/>
          <w:rtl/>
        </w:rPr>
        <w:t>فلو فرض أنّ المُسْتصحَب في نفسه متنوعٌ كالحدث الذي هو شرعاً نوعان: حدث أصغر وحدث أكبر، والحدث الأصغر له آثار والحدث الأكبر له آثار</w:t>
      </w:r>
      <w:r w:rsidRPr="00F27422">
        <w:rPr>
          <w:b/>
          <w:bCs/>
          <w:sz w:val="32"/>
          <w:szCs w:val="32"/>
        </w:rPr>
        <w:t>.</w:t>
      </w:r>
    </w:p>
    <w:p w14:paraId="0D4C90EB" w14:textId="77777777" w:rsidR="009A466E" w:rsidRPr="00F27422" w:rsidRDefault="009A466E" w:rsidP="00122B70">
      <w:pPr>
        <w:bidi/>
        <w:rPr>
          <w:b/>
          <w:bCs/>
          <w:sz w:val="32"/>
          <w:szCs w:val="32"/>
          <w:rtl/>
        </w:rPr>
      </w:pPr>
      <w:r w:rsidRPr="00F27422">
        <w:rPr>
          <w:b/>
          <w:bCs/>
          <w:sz w:val="32"/>
          <w:szCs w:val="32"/>
          <w:rtl/>
        </w:rPr>
        <w:t>فهنا يقال: بأنّ المورد مِن استصحاب الكُلّي مِن القسم الثاني لتردده بين نوعين.</w:t>
      </w:r>
    </w:p>
    <w:p w14:paraId="4D6047BD" w14:textId="77777777" w:rsidR="009A466E" w:rsidRPr="00F27422" w:rsidRDefault="009A466E" w:rsidP="00122B70">
      <w:pPr>
        <w:bidi/>
        <w:rPr>
          <w:b/>
          <w:bCs/>
          <w:sz w:val="32"/>
          <w:szCs w:val="32"/>
          <w:rtl/>
        </w:rPr>
      </w:pPr>
      <w:r w:rsidRPr="00F27422">
        <w:rPr>
          <w:b/>
          <w:bCs/>
          <w:sz w:val="32"/>
          <w:szCs w:val="32"/>
          <w:rtl/>
        </w:rPr>
        <w:t>وأمّا إذا فرض أنّ المُسْتصحَب ليس له نوعان، وإنّما التنوع في سببه، بمعنى: أنّ الفرق بين الزوجية التي تزول بالفسخ وبين الزوجية التي لا أثر للفسخ عليها ليس في الزوجية نفسها بل في العقد، أي: أنّ العقد الحاصل سببٌ تنقضي سببيته بالفسخ أو لا تنقضي سببيته بذلك، فالتنوع راجعٌ للسبب وهو العقد وليس راجعاً للمُسبَب أي: الزوجية، فبما أنّ التنوع في السبب لا في المُسبَب فالجاري مِن الاستصحاب حينئذٍ ليس استصحاب السبب لتردد السبب الحادث بين نوعين، ولا الكُلّي لانتفاء الكُلّي الجامع بين فردين مختلفين في المقام، بل الجاري استصحاب المسبب وهو شخص الفرد مِن الزوجية الذي تحقّق بالفعل ببركة العقد، فإنّه قد حصل فردٌ مِن الزوجية للصبيّة قطعاً وذلك الفردُ الشخصي يشك في زواله بالفسخ فيستصحب بقاؤه لاتحاد القضية المتيقنة مع المشكوكة.</w:t>
      </w:r>
    </w:p>
    <w:p w14:paraId="01ACE942" w14:textId="77777777" w:rsidR="009A466E" w:rsidRPr="00F27422" w:rsidRDefault="009A466E" w:rsidP="00122B70">
      <w:pPr>
        <w:bidi/>
        <w:rPr>
          <w:b/>
          <w:bCs/>
          <w:sz w:val="32"/>
          <w:szCs w:val="32"/>
          <w:rtl/>
        </w:rPr>
      </w:pPr>
      <w:r w:rsidRPr="00F27422">
        <w:rPr>
          <w:b/>
          <w:bCs/>
          <w:sz w:val="32"/>
          <w:szCs w:val="32"/>
          <w:rtl/>
        </w:rPr>
        <w:t xml:space="preserve">الجوابُ الثاني: أنّه يكفي في شمول دليل الاستصحاب للمقام أنّ مِن المحتمل كون الفرد مِن الزوجية سنخ فرد قابل للاتصاف بخصوصيتي التزلزل واللزوم، فيجري استصحاب بقاءه بعد </w:t>
      </w:r>
      <w:r w:rsidRPr="00F27422">
        <w:rPr>
          <w:b/>
          <w:bCs/>
          <w:sz w:val="32"/>
          <w:szCs w:val="32"/>
          <w:rtl/>
        </w:rPr>
        <w:lastRenderedPageBreak/>
        <w:t xml:space="preserve">القطع بحدوثه والشك في </w:t>
      </w:r>
      <w:proofErr w:type="gramStart"/>
      <w:r w:rsidRPr="00F27422">
        <w:rPr>
          <w:b/>
          <w:bCs/>
          <w:sz w:val="32"/>
          <w:szCs w:val="32"/>
          <w:rtl/>
        </w:rPr>
        <w:t>بقاءه</w:t>
      </w:r>
      <w:proofErr w:type="gramEnd"/>
      <w:r w:rsidRPr="00F27422">
        <w:rPr>
          <w:b/>
          <w:bCs/>
          <w:sz w:val="32"/>
          <w:szCs w:val="32"/>
          <w:rtl/>
        </w:rPr>
        <w:t xml:space="preserve"> لاحتمال ارتفاعه بالفسخ، وإنْ لَمْ يحرز رجوع </w:t>
      </w:r>
      <w:proofErr w:type="gramStart"/>
      <w:r w:rsidRPr="00F27422">
        <w:rPr>
          <w:b/>
          <w:bCs/>
          <w:sz w:val="32"/>
          <w:szCs w:val="32"/>
          <w:rtl/>
        </w:rPr>
        <w:t>الاتصاف  بالخصوصيتين</w:t>
      </w:r>
      <w:proofErr w:type="gramEnd"/>
      <w:r w:rsidRPr="00F27422">
        <w:rPr>
          <w:b/>
          <w:bCs/>
          <w:sz w:val="32"/>
          <w:szCs w:val="32"/>
          <w:rtl/>
        </w:rPr>
        <w:t xml:space="preserve"> للسبب وهو العقد.</w:t>
      </w:r>
    </w:p>
    <w:p w14:paraId="617D37BB" w14:textId="77777777" w:rsidR="009A466E" w:rsidRPr="00F27422" w:rsidRDefault="009A466E" w:rsidP="00122B70">
      <w:pPr>
        <w:bidi/>
        <w:rPr>
          <w:b/>
          <w:bCs/>
          <w:sz w:val="32"/>
          <w:szCs w:val="32"/>
          <w:rtl/>
        </w:rPr>
      </w:pPr>
      <w:r w:rsidRPr="00F27422">
        <w:rPr>
          <w:b/>
          <w:bCs/>
          <w:sz w:val="32"/>
          <w:szCs w:val="32"/>
          <w:rtl/>
        </w:rPr>
        <w:t>ويلاحظ عليه: أنّ التمسك بعموم دليل الاستصحاب في المقام تمسكٌ بالدليل في الشبهة المصداقية.</w:t>
      </w:r>
    </w:p>
    <w:p w14:paraId="1BCFE7F7" w14:textId="77777777" w:rsidR="009A466E" w:rsidRPr="00F27422" w:rsidRDefault="009A466E" w:rsidP="00122B70">
      <w:pPr>
        <w:bidi/>
        <w:rPr>
          <w:b/>
          <w:bCs/>
          <w:sz w:val="32"/>
          <w:szCs w:val="32"/>
          <w:rtl/>
        </w:rPr>
      </w:pPr>
      <w:r w:rsidRPr="00F27422">
        <w:rPr>
          <w:b/>
          <w:bCs/>
          <w:sz w:val="32"/>
          <w:szCs w:val="32"/>
          <w:rtl/>
        </w:rPr>
        <w:t>وبيانُ ذلك: أنّ دليل الاستصحاب بناءً على هذا المبنى - وهو عدم جريان الاستصحاب في الكُلّي مِن القسم الثاني - قد خصص بأنْ لا يكون استصحاباً مِن الكُلّي مِن القسم الثاني، وبقي تحته ما كان مِن قَبيل الاستصحاب الشخصي، فإذا لَمْ نعلم أنّ الزوجية في المقام هل هي نوعان كي يكون استصحابها مِن استصحاب الكُلّي مِن القسم الثاني وهذا خارجٌ عن دليل الاستصحاب، أم أنّ التنوع في السبب - لا في المُسبَب - فيكون استصحابُ الزوجية مِن قَبيل الاستصحاب الشخصي الداخل تحت موضوع دليل الاستصحاب، فلا يُجدي في جريانه احتمال كون الفرد مِن قَبيل ما يتصف بكلّتا الخصوصيتين التزلزل واللزوم، فإنّ التمسك بعموم دليل الاستصحاب في المقام تمسكٌ بالعام في الشبهة المصداقية لموضوعه، وهو ممنوعٌ.</w:t>
      </w:r>
    </w:p>
    <w:p w14:paraId="1202AFD9" w14:textId="77777777" w:rsidR="009A466E" w:rsidRPr="00F27422" w:rsidRDefault="009A466E" w:rsidP="00122B70">
      <w:pPr>
        <w:bidi/>
        <w:rPr>
          <w:b/>
          <w:bCs/>
          <w:sz w:val="32"/>
          <w:szCs w:val="32"/>
          <w:rtl/>
        </w:rPr>
      </w:pPr>
      <w:r w:rsidRPr="00F27422">
        <w:rPr>
          <w:b/>
          <w:bCs/>
          <w:sz w:val="32"/>
          <w:szCs w:val="32"/>
          <w:rtl/>
        </w:rPr>
        <w:t>الجوابُ الثالث: ما في كلمات المحقّق النائيني (قدس سره الشريف).</w:t>
      </w:r>
    </w:p>
    <w:p w14:paraId="0C20C564" w14:textId="77777777" w:rsidR="009A466E" w:rsidRPr="00F27422" w:rsidRDefault="009A466E" w:rsidP="00122B70">
      <w:pPr>
        <w:bidi/>
        <w:rPr>
          <w:b/>
          <w:bCs/>
          <w:sz w:val="32"/>
          <w:szCs w:val="32"/>
          <w:rtl/>
        </w:rPr>
      </w:pPr>
      <w:r w:rsidRPr="00F27422">
        <w:rPr>
          <w:b/>
          <w:bCs/>
          <w:sz w:val="32"/>
          <w:szCs w:val="32"/>
          <w:rtl/>
        </w:rPr>
        <w:t>وبيانه: أنّه لو بني على جريان الاستصحاب في الكُلّي مِن القسم الثاني لَمْ يجر استصحاب الكُلّي في المقام.</w:t>
      </w:r>
    </w:p>
    <w:p w14:paraId="60415196" w14:textId="77777777" w:rsidR="009A466E" w:rsidRPr="00F27422" w:rsidRDefault="009A466E" w:rsidP="00122B70">
      <w:pPr>
        <w:bidi/>
        <w:rPr>
          <w:b/>
          <w:bCs/>
          <w:sz w:val="32"/>
          <w:szCs w:val="32"/>
          <w:rtl/>
        </w:rPr>
      </w:pPr>
      <w:r w:rsidRPr="00F27422">
        <w:rPr>
          <w:b/>
          <w:bCs/>
          <w:sz w:val="32"/>
          <w:szCs w:val="32"/>
          <w:rtl/>
        </w:rPr>
        <w:t>والوجهُ فيه: أنّ دخول المقام في استصحاب الكُلّي إنّما يتم لو كان للجامع بين الفردين انحيازٌ عن خصوصيتي البقاء والزوال، بحيث تكون خصوصية البقاء والزوال خصوصية عارضة على الجامع، وأنّ للجامع تقرراً في نفسه مع غمض النظر عن الخصوصيتين، كما في استصحاب كُلّي الحدث حيث إنّ لكلٍّ مِن الفردين أثراً في نفسه، فالحدث الأصغر لا يمنع مِن دخول المسجد بخلاف الحدث الأكبر، والحدثُ الأصغر يكفي في ارتفاعه الوضوء بخلاف الحدث الأكبر، فيتصورُ جامعٌ بينهما وهو كُلّي الحدث بلحاظ أثرٍ وهو عدم جواز مس المصحف وهذا هو الجامع بينهما، وبما أنّ للجامع تقرراً في نفسه بغض النظر عن خصوصية البقاء والارتفاع، فيمكن حينئذٍ: جريان استصحاب كُلّي الحدث وأثره عدم جواز مس المصحف</w:t>
      </w:r>
      <w:r w:rsidRPr="00F27422">
        <w:rPr>
          <w:b/>
          <w:bCs/>
          <w:sz w:val="32"/>
          <w:szCs w:val="32"/>
        </w:rPr>
        <w:t>.</w:t>
      </w:r>
    </w:p>
    <w:p w14:paraId="44E3D38A" w14:textId="77777777" w:rsidR="009A466E" w:rsidRPr="00F27422" w:rsidRDefault="009A466E" w:rsidP="00122B70">
      <w:pPr>
        <w:bidi/>
        <w:rPr>
          <w:b/>
          <w:bCs/>
          <w:sz w:val="32"/>
          <w:szCs w:val="32"/>
          <w:rtl/>
        </w:rPr>
      </w:pPr>
      <w:r w:rsidRPr="00F27422">
        <w:rPr>
          <w:b/>
          <w:bCs/>
          <w:sz w:val="32"/>
          <w:szCs w:val="32"/>
          <w:rtl/>
        </w:rPr>
        <w:t>وأمّا إذا كان الجامع مما لا يتصور فيه تنوعٌ إلّا بلحاظ البقاء أو الارتفاع، نحو جامع الزوجية في المقام فإنّه جامعٌ لا يتصور له تقرر بغض النظر عن البقاء والارتفاع فلا يجري استصحابه؛ إذ لا معنى لاستصحابه إلّا بقاؤه، والبقاء هو خصوصية أحد فرديه.</w:t>
      </w:r>
    </w:p>
    <w:p w14:paraId="73372C1F" w14:textId="77777777" w:rsidR="009A466E" w:rsidRPr="00F27422" w:rsidRDefault="009A466E" w:rsidP="00122B70">
      <w:pPr>
        <w:bidi/>
        <w:rPr>
          <w:b/>
          <w:bCs/>
          <w:sz w:val="32"/>
          <w:szCs w:val="32"/>
          <w:rtl/>
        </w:rPr>
      </w:pPr>
      <w:r w:rsidRPr="00F27422">
        <w:rPr>
          <w:b/>
          <w:bCs/>
          <w:sz w:val="32"/>
          <w:szCs w:val="32"/>
          <w:rtl/>
        </w:rPr>
        <w:lastRenderedPageBreak/>
        <w:t>والسر في ذلك أحدُ موانع:</w:t>
      </w:r>
    </w:p>
    <w:p w14:paraId="26A49D0C" w14:textId="77777777" w:rsidR="009A466E" w:rsidRPr="00F27422" w:rsidRDefault="009A466E" w:rsidP="00122B70">
      <w:pPr>
        <w:bidi/>
        <w:rPr>
          <w:b/>
          <w:bCs/>
          <w:sz w:val="32"/>
          <w:szCs w:val="32"/>
          <w:rtl/>
        </w:rPr>
      </w:pPr>
      <w:r w:rsidRPr="00F27422">
        <w:rPr>
          <w:b/>
          <w:bCs/>
          <w:sz w:val="32"/>
          <w:szCs w:val="32"/>
          <w:rtl/>
        </w:rPr>
        <w:t>الأوّل: أنْ يُقال: إنّ القضية إنّما تصحّ إذا كان المحمول فيها خارجاً عن الموضوع، وأمّا إذا كان المحمول مقوماً للموضوع لَمْ يصحّ إثباته للموضوع والمقام مِن هذا القبيل؛ حيث إنّه لا يوجد جامع بغض النظر عن البقاء والزوال، فاستصحاب البقاء هو عبارةٌ عن التعبد بثبوت الفرد الباقي لو كان هو الحادث؛ لأنّ أحد الفردين هو الزوجية التي لا أثر للفسخ عليها، والمفروضُ أنّ الفرد الذي لا يتأثر بالفسخ هو بنفسه مشكوكُ الحدوث</w:t>
      </w:r>
      <w:r w:rsidRPr="00F27422">
        <w:rPr>
          <w:b/>
          <w:bCs/>
          <w:sz w:val="32"/>
          <w:szCs w:val="32"/>
        </w:rPr>
        <w:t>.</w:t>
      </w:r>
    </w:p>
    <w:p w14:paraId="14298B89" w14:textId="77777777" w:rsidR="009A466E" w:rsidRPr="00F27422" w:rsidRDefault="009A466E" w:rsidP="00122B70">
      <w:pPr>
        <w:bidi/>
        <w:rPr>
          <w:b/>
          <w:bCs/>
          <w:sz w:val="32"/>
          <w:szCs w:val="32"/>
          <w:rtl/>
        </w:rPr>
      </w:pPr>
      <w:r w:rsidRPr="00F27422">
        <w:rPr>
          <w:b/>
          <w:bCs/>
          <w:sz w:val="32"/>
          <w:szCs w:val="32"/>
          <w:rtl/>
        </w:rPr>
        <w:t>الثاني: أنّ الاستصحاب إنّما يجري فرع ترتب أثرٍ على المُستصحَب بغض النظر عن نفس تحقّقه، والمفروض في المقام أنّ أثر استصحاب الزوجية هو بقاؤها، والبقاء هو مقومٌ لأحد الفردين مقابل الفرد الآخر فلًمْ يكن للمُستصحَب أثر وراء وجوده</w:t>
      </w:r>
      <w:r w:rsidRPr="00F27422">
        <w:rPr>
          <w:b/>
          <w:bCs/>
          <w:sz w:val="32"/>
          <w:szCs w:val="32"/>
        </w:rPr>
        <w:t>.</w:t>
      </w:r>
    </w:p>
    <w:p w14:paraId="18DAC6C3" w14:textId="77777777" w:rsidR="009A466E" w:rsidRPr="00F27422" w:rsidRDefault="009A466E" w:rsidP="00122B70">
      <w:pPr>
        <w:bidi/>
        <w:rPr>
          <w:b/>
          <w:bCs/>
          <w:sz w:val="32"/>
          <w:szCs w:val="32"/>
          <w:rtl/>
        </w:rPr>
      </w:pPr>
      <w:r w:rsidRPr="00F27422">
        <w:rPr>
          <w:b/>
          <w:bCs/>
          <w:sz w:val="32"/>
          <w:szCs w:val="32"/>
          <w:rtl/>
        </w:rPr>
        <w:t>الثالث: أنّه لا فرق في المقام بين بطلان استصحاب الفرد المردد واستصحاب الكُلّي لوحدة النكتة، فكما لا يجري استصحاب الفرد المردد بين شخصين مقطوع الارتفاع ومقطوع البقاء لعدم تعلّق الشك بما تعلّق به اليقين.</w:t>
      </w:r>
    </w:p>
    <w:p w14:paraId="1C07DEF7" w14:textId="77777777" w:rsidR="009A466E" w:rsidRPr="00F27422" w:rsidRDefault="009A466E" w:rsidP="00122B70">
      <w:pPr>
        <w:bidi/>
        <w:rPr>
          <w:b/>
          <w:bCs/>
          <w:sz w:val="32"/>
          <w:szCs w:val="32"/>
          <w:rtl/>
        </w:rPr>
      </w:pPr>
      <w:r w:rsidRPr="00F27422">
        <w:rPr>
          <w:b/>
          <w:bCs/>
          <w:sz w:val="32"/>
          <w:szCs w:val="32"/>
          <w:rtl/>
        </w:rPr>
        <w:t>كذلك لا يجري استصحاب الجامع الذي لا تقرر لجامعيته إلّا بخصوصيتي البقاء والارتفاع، فإنّ استصحابه لا يزيد على استصحاب الفرد المردد مِن حيث عدم اتحاد المتيقن والمشكوك.</w:t>
      </w:r>
    </w:p>
    <w:p w14:paraId="75015F14" w14:textId="77777777" w:rsidR="009A466E" w:rsidRPr="00F27422" w:rsidRDefault="009A466E" w:rsidP="00122B70">
      <w:pPr>
        <w:bidi/>
        <w:rPr>
          <w:b/>
          <w:bCs/>
          <w:sz w:val="32"/>
          <w:szCs w:val="32"/>
          <w:rtl/>
        </w:rPr>
      </w:pPr>
    </w:p>
    <w:p w14:paraId="50A968B1" w14:textId="77777777" w:rsidR="009A466E" w:rsidRPr="00F27422" w:rsidRDefault="009A466E" w:rsidP="00122B70">
      <w:pPr>
        <w:bidi/>
        <w:rPr>
          <w:b/>
          <w:bCs/>
          <w:sz w:val="32"/>
          <w:szCs w:val="32"/>
          <w:rtl/>
        </w:rPr>
      </w:pPr>
      <w:r w:rsidRPr="00F27422">
        <w:rPr>
          <w:b/>
          <w:bCs/>
          <w:sz w:val="32"/>
          <w:szCs w:val="32"/>
          <w:rtl/>
        </w:rPr>
        <w:t>والحمد لله رب العالمين</w:t>
      </w:r>
    </w:p>
    <w:p w14:paraId="1CC150B1" w14:textId="0E2233D5" w:rsidR="00A077B1" w:rsidRPr="00F27422" w:rsidRDefault="00A077B1" w:rsidP="00122B70">
      <w:pPr>
        <w:bidi/>
        <w:rPr>
          <w:sz w:val="32"/>
          <w:szCs w:val="32"/>
          <w:rtl/>
        </w:rPr>
      </w:pPr>
    </w:p>
    <w:p w14:paraId="553EBA71" w14:textId="77777777" w:rsidR="00A077B1" w:rsidRPr="00F27422" w:rsidRDefault="00A077B1" w:rsidP="00122B70">
      <w:pPr>
        <w:bidi/>
        <w:rPr>
          <w:sz w:val="32"/>
          <w:szCs w:val="32"/>
          <w:rtl/>
        </w:rPr>
      </w:pPr>
    </w:p>
    <w:p w14:paraId="2A1ADDCB" w14:textId="440A85F5" w:rsidR="00425532" w:rsidRPr="00F27422" w:rsidRDefault="00425532" w:rsidP="00122B70">
      <w:pPr>
        <w:bidi/>
        <w:rPr>
          <w:sz w:val="32"/>
          <w:szCs w:val="32"/>
          <w:rtl/>
        </w:rPr>
      </w:pPr>
      <w:r w:rsidRPr="00F27422">
        <w:rPr>
          <w:rFonts w:hint="cs"/>
          <w:sz w:val="32"/>
          <w:szCs w:val="32"/>
          <w:highlight w:val="yellow"/>
          <w:rtl/>
        </w:rPr>
        <w:t>الخلاصة</w:t>
      </w:r>
    </w:p>
    <w:p w14:paraId="415ABAF2" w14:textId="77777777" w:rsidR="009D337D" w:rsidRPr="00F27422" w:rsidRDefault="00FA6837" w:rsidP="00122B70">
      <w:pPr>
        <w:bidi/>
        <w:rPr>
          <w:rFonts w:ascii="Segoe UI Emoji" w:hAnsi="Segoe UI Emoji" w:cs="Segoe UI Emoji"/>
          <w:b/>
          <w:bCs/>
          <w:sz w:val="32"/>
          <w:szCs w:val="32"/>
        </w:rPr>
      </w:pPr>
      <w:r w:rsidRPr="00F27422">
        <w:rPr>
          <w:rFonts w:ascii="Segoe UI Emoji" w:hAnsi="Segoe UI Emoji" w:cs="Segoe UI Emoji" w:hint="cs"/>
          <w:b/>
          <w:bCs/>
          <w:sz w:val="32"/>
          <w:szCs w:val="32"/>
          <w:rtl/>
        </w:rPr>
        <w:t xml:space="preserve"> </w:t>
      </w:r>
      <w:r w:rsidR="009D337D" w:rsidRPr="00F27422">
        <w:rPr>
          <w:rFonts w:ascii="Arial" w:hAnsi="Arial" w:cs="Arial" w:hint="cs"/>
          <w:b/>
          <w:bCs/>
          <w:sz w:val="32"/>
          <w:szCs w:val="32"/>
          <w:rtl/>
        </w:rPr>
        <w:t>يتناول</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البحث</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مناقشة</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جريان</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الاستصحاب</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في</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مسألة</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استصحاب</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الزوجية</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في</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فرض</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فسخ</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العقد</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الصادر</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من</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الولي،</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وذلك</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من</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خلال</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عرض</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الإيرادات</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والأجوبة</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وتحليلها</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على</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ضوء</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مباني</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الأعلام،</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ولا</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سيما</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الشيخ</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الأعظم</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والمحقق</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النائيني</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قدس</w:t>
      </w:r>
      <w:r w:rsidR="009D337D" w:rsidRPr="00F27422">
        <w:rPr>
          <w:rFonts w:ascii="Segoe UI Emoji" w:hAnsi="Segoe UI Emoji" w:cs="Segoe UI Emoji"/>
          <w:b/>
          <w:bCs/>
          <w:sz w:val="32"/>
          <w:szCs w:val="32"/>
          <w:rtl/>
        </w:rPr>
        <w:t xml:space="preserve"> </w:t>
      </w:r>
      <w:r w:rsidR="009D337D" w:rsidRPr="00F27422">
        <w:rPr>
          <w:rFonts w:ascii="Arial" w:hAnsi="Arial" w:cs="Arial" w:hint="cs"/>
          <w:b/>
          <w:bCs/>
          <w:sz w:val="32"/>
          <w:szCs w:val="32"/>
          <w:rtl/>
        </w:rPr>
        <w:t>سرهما</w:t>
      </w:r>
      <w:r w:rsidR="009D337D" w:rsidRPr="00F27422">
        <w:rPr>
          <w:rFonts w:ascii="Segoe UI Emoji" w:hAnsi="Segoe UI Emoji" w:cs="Segoe UI Emoji"/>
          <w:b/>
          <w:bCs/>
          <w:sz w:val="32"/>
          <w:szCs w:val="32"/>
          <w:rtl/>
        </w:rPr>
        <w:t>)</w:t>
      </w:r>
      <w:r w:rsidR="009D337D" w:rsidRPr="00F27422">
        <w:rPr>
          <w:rFonts w:ascii="Segoe UI Emoji" w:hAnsi="Segoe UI Emoji" w:cs="Segoe UI Emoji"/>
          <w:b/>
          <w:bCs/>
          <w:sz w:val="32"/>
          <w:szCs w:val="32"/>
        </w:rPr>
        <w:t>.</w:t>
      </w:r>
    </w:p>
    <w:p w14:paraId="719A242E" w14:textId="77777777" w:rsidR="00A56A3B" w:rsidRPr="00F27422" w:rsidRDefault="009D337D" w:rsidP="00122B70">
      <w:pPr>
        <w:bidi/>
        <w:rPr>
          <w:rFonts w:ascii="Segoe UI Emoji" w:hAnsi="Segoe UI Emoji" w:cs="Times New Roman"/>
          <w:b/>
          <w:bCs/>
          <w:sz w:val="32"/>
          <w:szCs w:val="32"/>
          <w:rtl/>
        </w:rPr>
      </w:pP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الإيراد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الثاني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بُني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الإشكال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ـ</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حتى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لو</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قيل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بجريان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الشبهات</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الحكمية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ـ</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قبيل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المقتضي،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يرجع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قابلية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lastRenderedPageBreak/>
        <w:t>المنشأة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قبل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الولي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للاستمرار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بعد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الفسخ،</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المقتضي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يجري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مبنى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الشيخ</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الأعظم</w:t>
      </w:r>
      <w:r w:rsidRPr="00F27422">
        <w:rPr>
          <w:rFonts w:ascii="Segoe UI Emoji" w:hAnsi="Segoe UI Emoji" w:cs="Segoe UI Emoji"/>
          <w:b/>
          <w:bCs/>
          <w:sz w:val="32"/>
          <w:szCs w:val="32"/>
          <w:rtl/>
        </w:rPr>
        <w:t xml:space="preserve">. </w:t>
      </w:r>
    </w:p>
    <w:p w14:paraId="04A3A58E" w14:textId="77777777" w:rsidR="00834B7A" w:rsidRPr="00F27422" w:rsidRDefault="009D337D" w:rsidP="00122B70">
      <w:pPr>
        <w:bidi/>
        <w:rPr>
          <w:rFonts w:ascii="Segoe UI Emoji" w:hAnsi="Segoe UI Emoji" w:cs="Times New Roman"/>
          <w:b/>
          <w:bCs/>
          <w:sz w:val="32"/>
          <w:szCs w:val="32"/>
          <w:rtl/>
        </w:rPr>
      </w:pPr>
      <w:r w:rsidRPr="00F27422">
        <w:rPr>
          <w:rFonts w:ascii="Arial" w:hAnsi="Arial" w:cs="Arial" w:hint="cs"/>
          <w:b/>
          <w:bCs/>
          <w:sz w:val="32"/>
          <w:szCs w:val="32"/>
          <w:highlight w:val="yellow"/>
          <w:rtl/>
        </w:rPr>
        <w:t>وقد</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أُجيب</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عن</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هذا</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الإيراد</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بالتفصيل</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بين</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مورد</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يكون</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للزمان</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فيه</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تأثير</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على</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نفس</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المستصحب،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ومورد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يكون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هذا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التأثير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فالشك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المقتضي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إنما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يتحقق</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إذا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كان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ناشئاً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احتمال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قصور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المستصحب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الاستمرار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بسبب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مرور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الزمان،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كما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خيار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الغبن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المتقوم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بالفورية،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حيث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يكون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الزمان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دخيلاً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بقاء</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نفس</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الحق</w:t>
      </w:r>
      <w:r w:rsidRPr="00F27422">
        <w:rPr>
          <w:rFonts w:ascii="Segoe UI Emoji" w:hAnsi="Segoe UI Emoji" w:cs="Segoe UI Emoji"/>
          <w:b/>
          <w:bCs/>
          <w:sz w:val="32"/>
          <w:szCs w:val="32"/>
          <w:rtl/>
        </w:rPr>
        <w:t xml:space="preserve">. </w:t>
      </w:r>
    </w:p>
    <w:p w14:paraId="50C2A629" w14:textId="40FEA8EF" w:rsidR="009D337D" w:rsidRPr="00F27422" w:rsidRDefault="009D337D" w:rsidP="00122B70">
      <w:pPr>
        <w:bidi/>
        <w:rPr>
          <w:rFonts w:ascii="Segoe UI Emoji" w:hAnsi="Segoe UI Emoji" w:cs="Segoe UI Emoji"/>
          <w:b/>
          <w:bCs/>
          <w:sz w:val="32"/>
          <w:szCs w:val="32"/>
        </w:rPr>
      </w:pPr>
      <w:r w:rsidRPr="00F27422">
        <w:rPr>
          <w:rFonts w:ascii="Arial" w:hAnsi="Arial" w:cs="Arial" w:hint="cs"/>
          <w:b/>
          <w:bCs/>
          <w:sz w:val="32"/>
          <w:szCs w:val="32"/>
          <w:rtl/>
        </w:rPr>
        <w:t>أما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المقام،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حدّ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ذاتها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قابلة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للبقاء،</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والشك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ليس</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تأثير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الزمان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عليها،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كون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المجعول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الشرعي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محدوداً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بالفسخ</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أو</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غير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محدود،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وهذا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يرجع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الشك</w:t>
      </w:r>
      <w:r w:rsidRPr="00F27422">
        <w:rPr>
          <w:rFonts w:ascii="Segoe UI Emoji" w:hAnsi="Segoe UI Emoji" w:cs="Segoe UI Emoji"/>
          <w:b/>
          <w:bCs/>
          <w:sz w:val="32"/>
          <w:szCs w:val="32"/>
          <w:rtl/>
        </w:rPr>
        <w:t xml:space="preserve"> </w:t>
      </w:r>
      <w:r w:rsidRPr="00F27422">
        <w:rPr>
          <w:rFonts w:ascii="Arial" w:hAnsi="Arial" w:cs="Arial" w:hint="cs"/>
          <w:b/>
          <w:bCs/>
          <w:sz w:val="32"/>
          <w:szCs w:val="32"/>
          <w:highlight w:val="yellow"/>
          <w:rtl/>
        </w:rPr>
        <w:t>في</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سعة</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دائرة</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المجعول</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وحدوده</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الاعتبارية</w:t>
      </w:r>
      <w:r w:rsidRPr="00F27422">
        <w:rPr>
          <w:rFonts w:ascii="Arial" w:hAnsi="Arial" w:cs="Arial" w:hint="cs"/>
          <w:b/>
          <w:bCs/>
          <w:sz w:val="32"/>
          <w:szCs w:val="32"/>
          <w:rtl/>
        </w:rPr>
        <w:t>،</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أصل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اقتضاء</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للبقاء</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وعليه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يكون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المورد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المقتضي،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حدود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المجعول،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فيصح</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جريان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هذه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الجهة</w:t>
      </w:r>
      <w:r w:rsidRPr="00F27422">
        <w:rPr>
          <w:rFonts w:ascii="Segoe UI Emoji" w:hAnsi="Segoe UI Emoji" w:cs="Segoe UI Emoji"/>
          <w:b/>
          <w:bCs/>
          <w:sz w:val="32"/>
          <w:szCs w:val="32"/>
        </w:rPr>
        <w:t>.</w:t>
      </w:r>
    </w:p>
    <w:p w14:paraId="46A2ECE4" w14:textId="77777777" w:rsidR="00412ADA" w:rsidRPr="00F27422" w:rsidRDefault="009D337D" w:rsidP="00122B70">
      <w:pPr>
        <w:bidi/>
        <w:rPr>
          <w:rFonts w:ascii="Segoe UI Emoji" w:hAnsi="Segoe UI Emoji" w:cs="Times New Roman"/>
          <w:b/>
          <w:bCs/>
          <w:sz w:val="32"/>
          <w:szCs w:val="32"/>
          <w:rtl/>
        </w:rPr>
      </w:pPr>
      <w:r w:rsidRPr="00F27422">
        <w:rPr>
          <w:rFonts w:ascii="Arial" w:hAnsi="Arial" w:cs="Arial" w:hint="cs"/>
          <w:b/>
          <w:bCs/>
          <w:sz w:val="32"/>
          <w:szCs w:val="32"/>
          <w:rtl/>
        </w:rPr>
        <w:t>ثم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طُرح</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الإيراد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الثالث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القائل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الكلي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القسم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الثاني،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حيث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مرددة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نوعين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مقطوع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الزوال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بالفسخ،</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مقطوع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البقاء</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يؤثر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فيها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الفسخ،</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التردد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نوع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الحادث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يجري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الكلي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مبنى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المنع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القسم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الثاني</w:t>
      </w:r>
      <w:r w:rsidRPr="00F27422">
        <w:rPr>
          <w:rFonts w:ascii="Segoe UI Emoji" w:hAnsi="Segoe UI Emoji" w:cs="Segoe UI Emoji"/>
          <w:b/>
          <w:bCs/>
          <w:sz w:val="32"/>
          <w:szCs w:val="32"/>
          <w:rtl/>
        </w:rPr>
        <w:t xml:space="preserve">. </w:t>
      </w:r>
    </w:p>
    <w:p w14:paraId="566D6156" w14:textId="28545739" w:rsidR="009D337D" w:rsidRPr="00F27422" w:rsidRDefault="009D337D" w:rsidP="00122B70">
      <w:pPr>
        <w:bidi/>
        <w:rPr>
          <w:rFonts w:ascii="Segoe UI Emoji" w:hAnsi="Segoe UI Emoji" w:cs="Segoe UI Emoji"/>
          <w:b/>
          <w:bCs/>
          <w:sz w:val="32"/>
          <w:szCs w:val="32"/>
        </w:rPr>
      </w:pPr>
      <w:r w:rsidRPr="00F27422">
        <w:rPr>
          <w:rFonts w:ascii="Arial" w:hAnsi="Arial" w:cs="Arial" w:hint="cs"/>
          <w:b/>
          <w:bCs/>
          <w:sz w:val="32"/>
          <w:szCs w:val="32"/>
          <w:rtl/>
        </w:rPr>
        <w:t>وقد</w:t>
      </w:r>
      <w:r w:rsidRPr="00F27422">
        <w:rPr>
          <w:rFonts w:ascii="Segoe UI Emoji" w:hAnsi="Segoe UI Emoji" w:cs="Segoe UI Emoji"/>
          <w:b/>
          <w:bCs/>
          <w:sz w:val="32"/>
          <w:szCs w:val="32"/>
          <w:rtl/>
        </w:rPr>
        <w:t xml:space="preserve"> </w:t>
      </w:r>
      <w:r w:rsidRPr="00F27422">
        <w:rPr>
          <w:rFonts w:ascii="Arial" w:hAnsi="Arial" w:cs="Arial" w:hint="cs"/>
          <w:b/>
          <w:bCs/>
          <w:sz w:val="32"/>
          <w:szCs w:val="32"/>
          <w:highlight w:val="yellow"/>
          <w:rtl/>
        </w:rPr>
        <w:t>قُرّب</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هذا</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الإيراد</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بمثال</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الحدث</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المردد</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بين</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الأصغر</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والأكبر،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حيث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يجري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كلي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الحدث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لعدم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اتحاد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القضية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المتيقنة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المشكوكة،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أو</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لحكومة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عدم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حدوث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الحدث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الأكبر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عليه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وبنفس</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التقريب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قيل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كلي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يجري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التردد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نوعها</w:t>
      </w:r>
      <w:r w:rsidRPr="00F27422">
        <w:rPr>
          <w:rFonts w:ascii="Segoe UI Emoji" w:hAnsi="Segoe UI Emoji" w:cs="Segoe UI Emoji"/>
          <w:b/>
          <w:bCs/>
          <w:sz w:val="32"/>
          <w:szCs w:val="32"/>
        </w:rPr>
        <w:t>.</w:t>
      </w:r>
    </w:p>
    <w:p w14:paraId="3D3C1668" w14:textId="77777777" w:rsidR="009D337D" w:rsidRPr="00F27422" w:rsidRDefault="009D337D" w:rsidP="00122B70">
      <w:pPr>
        <w:bidi/>
        <w:rPr>
          <w:rFonts w:ascii="Segoe UI Emoji" w:hAnsi="Segoe UI Emoji" w:cs="Segoe UI Emoji"/>
          <w:b/>
          <w:bCs/>
          <w:sz w:val="32"/>
          <w:szCs w:val="32"/>
        </w:rPr>
      </w:pP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مقابل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ذلك،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ذُكرت</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عدة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أجوبة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الجواب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الأول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ـ</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المنسوب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الشيخ</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الأعظم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ـ</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يبتني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على</w:t>
      </w:r>
      <w:r w:rsidRPr="00F27422">
        <w:rPr>
          <w:rFonts w:ascii="Segoe UI Emoji" w:hAnsi="Segoe UI Emoji" w:cs="Segoe UI Emoji"/>
          <w:b/>
          <w:bCs/>
          <w:sz w:val="32"/>
          <w:szCs w:val="32"/>
          <w:rtl/>
        </w:rPr>
        <w:t xml:space="preserve"> </w:t>
      </w:r>
      <w:r w:rsidRPr="00F27422">
        <w:rPr>
          <w:rFonts w:ascii="Arial" w:hAnsi="Arial" w:cs="Arial" w:hint="cs"/>
          <w:b/>
          <w:bCs/>
          <w:sz w:val="32"/>
          <w:szCs w:val="32"/>
          <w:highlight w:val="yellow"/>
          <w:rtl/>
        </w:rPr>
        <w:t>التفريق</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بين</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التنوع</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في</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نفس</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المستصحب</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والتنـوع</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في</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سببه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موارد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كلي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الحدث،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التنوع</w:t>
      </w:r>
      <w:r w:rsidRPr="00F27422">
        <w:rPr>
          <w:rFonts w:ascii="Segoe UI Emoji" w:hAnsi="Segoe UI Emoji" w:cs="Segoe UI Emoji"/>
          <w:b/>
          <w:bCs/>
          <w:sz w:val="32"/>
          <w:szCs w:val="32"/>
          <w:rtl/>
        </w:rPr>
        <w:t xml:space="preserve"> </w:t>
      </w:r>
      <w:r w:rsidRPr="00F27422">
        <w:rPr>
          <w:rFonts w:ascii="Arial" w:hAnsi="Arial" w:cs="Arial" w:hint="cs"/>
          <w:b/>
          <w:bCs/>
          <w:color w:val="EE0000"/>
          <w:sz w:val="32"/>
          <w:szCs w:val="32"/>
          <w:rtl/>
        </w:rPr>
        <w:t>في</w:t>
      </w:r>
      <w:r w:rsidRPr="00F27422">
        <w:rPr>
          <w:rFonts w:ascii="Segoe UI Emoji" w:hAnsi="Segoe UI Emoji" w:cs="Segoe UI Emoji"/>
          <w:b/>
          <w:bCs/>
          <w:color w:val="EE0000"/>
          <w:sz w:val="32"/>
          <w:szCs w:val="32"/>
          <w:rtl/>
        </w:rPr>
        <w:t xml:space="preserve"> </w:t>
      </w:r>
      <w:r w:rsidRPr="00F27422">
        <w:rPr>
          <w:rFonts w:ascii="Arial" w:hAnsi="Arial" w:cs="Arial" w:hint="cs"/>
          <w:b/>
          <w:bCs/>
          <w:color w:val="EE0000"/>
          <w:sz w:val="32"/>
          <w:szCs w:val="32"/>
          <w:rtl/>
        </w:rPr>
        <w:t>نفس</w:t>
      </w:r>
      <w:r w:rsidRPr="00F27422">
        <w:rPr>
          <w:rFonts w:ascii="Segoe UI Emoji" w:hAnsi="Segoe UI Emoji" w:cs="Segoe UI Emoji"/>
          <w:b/>
          <w:bCs/>
          <w:color w:val="EE0000"/>
          <w:sz w:val="32"/>
          <w:szCs w:val="32"/>
          <w:rtl/>
        </w:rPr>
        <w:t xml:space="preserve"> </w:t>
      </w:r>
      <w:r w:rsidRPr="00F27422">
        <w:rPr>
          <w:rFonts w:ascii="Arial" w:hAnsi="Arial" w:cs="Arial" w:hint="cs"/>
          <w:b/>
          <w:bCs/>
          <w:color w:val="EE0000"/>
          <w:sz w:val="32"/>
          <w:szCs w:val="32"/>
          <w:rtl/>
        </w:rPr>
        <w:t>المستصحب،</w:t>
      </w:r>
      <w:r w:rsidRPr="00F27422">
        <w:rPr>
          <w:rFonts w:ascii="Segoe UI Emoji" w:hAnsi="Segoe UI Emoji" w:cs="Segoe UI Emoji"/>
          <w:b/>
          <w:bCs/>
          <w:color w:val="EE0000"/>
          <w:sz w:val="32"/>
          <w:szCs w:val="32"/>
          <w:rtl/>
        </w:rPr>
        <w:t xml:space="preserve"> </w:t>
      </w:r>
      <w:r w:rsidRPr="00F27422">
        <w:rPr>
          <w:rFonts w:ascii="Arial" w:hAnsi="Arial" w:cs="Arial" w:hint="cs"/>
          <w:b/>
          <w:bCs/>
          <w:sz w:val="32"/>
          <w:szCs w:val="32"/>
          <w:rtl/>
        </w:rPr>
        <w:t>لأن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الحدث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بنفسه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نوعان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مختلفان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شرعاً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المقام،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ليست</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نوعين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ذاتها،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وإنما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الاختلاف</w:t>
      </w:r>
      <w:r w:rsidRPr="00F27422">
        <w:rPr>
          <w:rFonts w:ascii="Segoe UI Emoji" w:hAnsi="Segoe UI Emoji" w:cs="Segoe UI Emoji"/>
          <w:b/>
          <w:bCs/>
          <w:sz w:val="32"/>
          <w:szCs w:val="32"/>
          <w:rtl/>
        </w:rPr>
        <w:t xml:space="preserve"> </w:t>
      </w:r>
      <w:r w:rsidRPr="00F27422">
        <w:rPr>
          <w:rFonts w:ascii="Arial" w:hAnsi="Arial" w:cs="Arial" w:hint="cs"/>
          <w:b/>
          <w:bCs/>
          <w:sz w:val="32"/>
          <w:szCs w:val="32"/>
          <w:highlight w:val="yellow"/>
          <w:rtl/>
        </w:rPr>
        <w:t>راجع</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إلى</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سببها</w:t>
      </w:r>
      <w:r w:rsidRPr="00F27422">
        <w:rPr>
          <w:rFonts w:ascii="Arial" w:hAnsi="Arial" w:cs="Arial" w:hint="cs"/>
          <w:b/>
          <w:bCs/>
          <w:sz w:val="32"/>
          <w:szCs w:val="32"/>
          <w:rtl/>
        </w:rPr>
        <w:t>،</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العقد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سببيته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تنقضي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بالفسخ</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أو</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وبما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التنوع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السبب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المسبب،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يكون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المورد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الكلي،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الجاري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هو</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شخص</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الفرد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الذي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تحقق</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بالفعل،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وهذا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الفرد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lastRenderedPageBreak/>
        <w:t>مشكوك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الزوال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بالفسخ</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بعد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القطع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بحدوثه،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فتتحد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القضية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المتيقنة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والمشكوكة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ويجري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الاستصحاب</w:t>
      </w:r>
      <w:r w:rsidRPr="00F27422">
        <w:rPr>
          <w:rFonts w:ascii="Segoe UI Emoji" w:hAnsi="Segoe UI Emoji" w:cs="Segoe UI Emoji"/>
          <w:b/>
          <w:bCs/>
          <w:sz w:val="32"/>
          <w:szCs w:val="32"/>
        </w:rPr>
        <w:t>.</w:t>
      </w:r>
    </w:p>
    <w:p w14:paraId="5F822B3C" w14:textId="77777777" w:rsidR="00D04800" w:rsidRPr="00F27422" w:rsidRDefault="009D337D" w:rsidP="00122B70">
      <w:pPr>
        <w:bidi/>
        <w:rPr>
          <w:rFonts w:ascii="Segoe UI Emoji" w:hAnsi="Segoe UI Emoji" w:cs="Times New Roman"/>
          <w:b/>
          <w:bCs/>
          <w:sz w:val="32"/>
          <w:szCs w:val="32"/>
          <w:rtl/>
        </w:rPr>
      </w:pPr>
      <w:r w:rsidRPr="00F27422">
        <w:rPr>
          <w:rFonts w:ascii="Arial" w:hAnsi="Arial" w:cs="Arial" w:hint="cs"/>
          <w:b/>
          <w:bCs/>
          <w:color w:val="EE0000"/>
          <w:sz w:val="32"/>
          <w:szCs w:val="32"/>
          <w:rtl/>
        </w:rPr>
        <w:t>الجواب</w:t>
      </w:r>
      <w:r w:rsidRPr="00F27422">
        <w:rPr>
          <w:rFonts w:ascii="Segoe UI Emoji" w:hAnsi="Segoe UI Emoji" w:cs="Segoe UI Emoji"/>
          <w:b/>
          <w:bCs/>
          <w:color w:val="EE0000"/>
          <w:sz w:val="32"/>
          <w:szCs w:val="32"/>
          <w:rtl/>
        </w:rPr>
        <w:t xml:space="preserve"> </w:t>
      </w:r>
      <w:r w:rsidRPr="00F27422">
        <w:rPr>
          <w:rFonts w:ascii="Arial" w:hAnsi="Arial" w:cs="Arial" w:hint="cs"/>
          <w:b/>
          <w:bCs/>
          <w:color w:val="EE0000"/>
          <w:sz w:val="32"/>
          <w:szCs w:val="32"/>
          <w:rtl/>
        </w:rPr>
        <w:t>الثاني</w:t>
      </w:r>
      <w:r w:rsidRPr="00F27422">
        <w:rPr>
          <w:rFonts w:ascii="Segoe UI Emoji" w:hAnsi="Segoe UI Emoji" w:cs="Segoe UI Emoji"/>
          <w:b/>
          <w:bCs/>
          <w:color w:val="EE0000"/>
          <w:sz w:val="32"/>
          <w:szCs w:val="32"/>
          <w:rtl/>
        </w:rPr>
        <w:t xml:space="preserve"> </w:t>
      </w:r>
      <w:r w:rsidRPr="00F27422">
        <w:rPr>
          <w:rFonts w:ascii="Arial" w:hAnsi="Arial" w:cs="Arial" w:hint="cs"/>
          <w:b/>
          <w:bCs/>
          <w:sz w:val="32"/>
          <w:szCs w:val="32"/>
          <w:rtl/>
        </w:rPr>
        <w:t>حاول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الاكتفاء</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باحتمال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كون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الفرد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سنخاً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قابلاً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للاتصاف</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بكلتا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الخصوصيتين،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التزلزل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واللزوم،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فيشمل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دليل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هذا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الفرد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المشكوك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بقاؤه</w:t>
      </w:r>
      <w:r w:rsidRPr="00F27422">
        <w:rPr>
          <w:rFonts w:ascii="Segoe UI Emoji" w:hAnsi="Segoe UI Emoji" w:cs="Segoe UI Emoji"/>
          <w:b/>
          <w:bCs/>
          <w:sz w:val="32"/>
          <w:szCs w:val="32"/>
          <w:rtl/>
        </w:rPr>
        <w:t>.</w:t>
      </w:r>
    </w:p>
    <w:p w14:paraId="4534586A" w14:textId="591A42D1" w:rsidR="009D337D" w:rsidRPr="00F27422" w:rsidRDefault="009D337D" w:rsidP="00122B70">
      <w:pPr>
        <w:bidi/>
        <w:rPr>
          <w:rFonts w:ascii="Segoe UI Emoji" w:hAnsi="Segoe UI Emoji" w:cs="Segoe UI Emoji"/>
          <w:b/>
          <w:bCs/>
          <w:sz w:val="32"/>
          <w:szCs w:val="32"/>
        </w:rPr>
      </w:pP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هذا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الجواب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نوقش</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التمسك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بعموم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دليل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حينئذ</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يكون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تمسكاً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بالعام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الشبهة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المصداقية؛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إذ</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بعد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تخصيص</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الدليل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بعدم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شمول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الكلي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القسم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الثاني،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يشك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انطباق</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موضوع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الدليل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المورد،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يصح</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التمسك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هذا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الشك</w:t>
      </w:r>
      <w:r w:rsidRPr="00F27422">
        <w:rPr>
          <w:rFonts w:ascii="Segoe UI Emoji" w:hAnsi="Segoe UI Emoji" w:cs="Segoe UI Emoji"/>
          <w:b/>
          <w:bCs/>
          <w:sz w:val="32"/>
          <w:szCs w:val="32"/>
        </w:rPr>
        <w:t>.</w:t>
      </w:r>
    </w:p>
    <w:p w14:paraId="3A764816" w14:textId="77777777" w:rsidR="009A1ABB" w:rsidRPr="00F27422" w:rsidRDefault="009D337D" w:rsidP="00122B70">
      <w:pPr>
        <w:bidi/>
        <w:rPr>
          <w:rFonts w:ascii="Segoe UI Emoji" w:hAnsi="Segoe UI Emoji" w:cs="Times New Roman"/>
          <w:b/>
          <w:bCs/>
          <w:sz w:val="32"/>
          <w:szCs w:val="32"/>
          <w:rtl/>
        </w:rPr>
      </w:pPr>
      <w:r w:rsidRPr="00F27422">
        <w:rPr>
          <w:rFonts w:ascii="Arial" w:hAnsi="Arial" w:cs="Arial" w:hint="cs"/>
          <w:b/>
          <w:bCs/>
          <w:sz w:val="32"/>
          <w:szCs w:val="32"/>
          <w:rtl/>
        </w:rPr>
        <w:t>أما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الجواب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الثالث،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وهو</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أفاده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المحقق</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النائيني،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فقد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بُني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على</w:t>
      </w:r>
      <w:r w:rsidRPr="00F27422">
        <w:rPr>
          <w:rFonts w:ascii="Segoe UI Emoji" w:hAnsi="Segoe UI Emoji" w:cs="Segoe UI Emoji"/>
          <w:b/>
          <w:bCs/>
          <w:sz w:val="32"/>
          <w:szCs w:val="32"/>
          <w:rtl/>
        </w:rPr>
        <w:t xml:space="preserve"> </w:t>
      </w:r>
      <w:r w:rsidRPr="00F27422">
        <w:rPr>
          <w:rFonts w:ascii="Arial" w:hAnsi="Arial" w:cs="Arial" w:hint="cs"/>
          <w:b/>
          <w:bCs/>
          <w:sz w:val="32"/>
          <w:szCs w:val="32"/>
          <w:highlight w:val="yellow"/>
          <w:rtl/>
        </w:rPr>
        <w:t>تحليل</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أدق</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لمفهوم</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استصحاب</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الكلي</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فبيّن</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أن</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جريان</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استصحاب</w:t>
      </w:r>
      <w:r w:rsidRPr="00F27422">
        <w:rPr>
          <w:rFonts w:ascii="Segoe UI Emoji" w:hAnsi="Segoe UI Emoji" w:cs="Segoe UI Emoji"/>
          <w:b/>
          <w:bCs/>
          <w:sz w:val="32"/>
          <w:szCs w:val="32"/>
          <w:highlight w:val="yellow"/>
          <w:rtl/>
        </w:rPr>
        <w:t xml:space="preserve"> </w:t>
      </w:r>
      <w:r w:rsidRPr="00F27422">
        <w:rPr>
          <w:rFonts w:ascii="Arial" w:hAnsi="Arial" w:cs="Arial" w:hint="cs"/>
          <w:b/>
          <w:bCs/>
          <w:sz w:val="32"/>
          <w:szCs w:val="32"/>
          <w:highlight w:val="yellow"/>
          <w:rtl/>
        </w:rPr>
        <w:t>الكلي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يتوقف</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يكون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للجامع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تقرر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نفسه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بغض</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النظر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خصوصيتي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البقاء</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والزوال،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بحيث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تكون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هاتان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الخصوصيتان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عارضتين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عليه،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كما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كلي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الحدث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بلحاظ</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أثره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الجامع</w:t>
      </w:r>
      <w:r w:rsidRPr="00F27422">
        <w:rPr>
          <w:rFonts w:ascii="Segoe UI Emoji" w:hAnsi="Segoe UI Emoji" w:cs="Segoe UI Emoji"/>
          <w:b/>
          <w:bCs/>
          <w:sz w:val="32"/>
          <w:szCs w:val="32"/>
          <w:rtl/>
        </w:rPr>
        <w:t xml:space="preserve">. </w:t>
      </w:r>
    </w:p>
    <w:p w14:paraId="0430C309" w14:textId="396D8AE5" w:rsidR="009D337D" w:rsidRPr="00F27422" w:rsidRDefault="009D337D" w:rsidP="00122B70">
      <w:pPr>
        <w:bidi/>
        <w:rPr>
          <w:rFonts w:ascii="Segoe UI Emoji" w:hAnsi="Segoe UI Emoji" w:cs="Segoe UI Emoji"/>
          <w:b/>
          <w:bCs/>
          <w:sz w:val="32"/>
          <w:szCs w:val="32"/>
        </w:rPr>
      </w:pPr>
      <w:r w:rsidRPr="00F27422">
        <w:rPr>
          <w:rFonts w:ascii="Arial" w:hAnsi="Arial" w:cs="Arial" w:hint="cs"/>
          <w:b/>
          <w:bCs/>
          <w:sz w:val="32"/>
          <w:szCs w:val="32"/>
          <w:rtl/>
        </w:rPr>
        <w:t>أما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المقام،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فإن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جامع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يتصور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تقرر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مستقل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البقاء</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والارتفاع،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الجامع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يُعقل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بلحاظ</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كونه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باقياً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أو</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مرتفعاً،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معنى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لاستصحابه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التعبد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بالبقاء،</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والبقاء</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خصوصية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أحد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الفردين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هنا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يجري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الجامع</w:t>
      </w:r>
      <w:r w:rsidRPr="00F27422">
        <w:rPr>
          <w:rFonts w:ascii="Segoe UI Emoji" w:hAnsi="Segoe UI Emoji" w:cs="Segoe UI Emoji"/>
          <w:b/>
          <w:bCs/>
          <w:sz w:val="32"/>
          <w:szCs w:val="32"/>
        </w:rPr>
        <w:t>.</w:t>
      </w:r>
    </w:p>
    <w:p w14:paraId="2D43FB99" w14:textId="77777777" w:rsidR="00D071FA" w:rsidRPr="00F27422" w:rsidRDefault="009D337D" w:rsidP="00122B70">
      <w:pPr>
        <w:bidi/>
        <w:rPr>
          <w:rFonts w:ascii="Segoe UI Emoji" w:hAnsi="Segoe UI Emoji" w:cs="Times New Roman"/>
          <w:b/>
          <w:bCs/>
          <w:sz w:val="32"/>
          <w:szCs w:val="32"/>
          <w:rtl/>
        </w:rPr>
      </w:pPr>
      <w:r w:rsidRPr="00F27422">
        <w:rPr>
          <w:rFonts w:ascii="Arial" w:hAnsi="Arial" w:cs="Arial" w:hint="cs"/>
          <w:b/>
          <w:bCs/>
          <w:sz w:val="32"/>
          <w:szCs w:val="32"/>
          <w:rtl/>
        </w:rPr>
        <w:t>وعزّز</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المحقق</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النائيني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هذا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المنع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بذكر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عدة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موانع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الأول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صحة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القضية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تقتضي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يكون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المحمول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أمراً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زائداً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الموضوع،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بينما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المقام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يكون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البقاء</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مقوِّماً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لأحد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الفردين،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يصح</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جعله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محمولاً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عليه</w:t>
      </w:r>
      <w:r w:rsidRPr="00F27422">
        <w:rPr>
          <w:rFonts w:ascii="Segoe UI Emoji" w:hAnsi="Segoe UI Emoji" w:cs="Segoe UI Emoji"/>
          <w:b/>
          <w:bCs/>
          <w:sz w:val="32"/>
          <w:szCs w:val="32"/>
          <w:rtl/>
        </w:rPr>
        <w:t xml:space="preserve">. </w:t>
      </w:r>
    </w:p>
    <w:p w14:paraId="75B9F978" w14:textId="77777777" w:rsidR="00A20209" w:rsidRPr="00F27422" w:rsidRDefault="009D337D" w:rsidP="00122B70">
      <w:pPr>
        <w:bidi/>
        <w:rPr>
          <w:rFonts w:ascii="Segoe UI Emoji" w:hAnsi="Segoe UI Emoji" w:cs="Times New Roman"/>
          <w:b/>
          <w:bCs/>
          <w:sz w:val="32"/>
          <w:szCs w:val="32"/>
          <w:rtl/>
        </w:rPr>
      </w:pPr>
      <w:r w:rsidRPr="00F27422">
        <w:rPr>
          <w:rFonts w:ascii="Arial" w:hAnsi="Arial" w:cs="Arial" w:hint="cs"/>
          <w:b/>
          <w:bCs/>
          <w:sz w:val="32"/>
          <w:szCs w:val="32"/>
          <w:rtl/>
        </w:rPr>
        <w:t>الثاني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يشترط</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ترتب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أثر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المستصحب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غير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نفس</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وجوده،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بينما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أثر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هنا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هو</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بقائها،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وهو</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مقوم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لها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أثراً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زائداً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عليها</w:t>
      </w:r>
      <w:r w:rsidRPr="00F27422">
        <w:rPr>
          <w:rFonts w:ascii="Segoe UI Emoji" w:hAnsi="Segoe UI Emoji" w:cs="Segoe UI Emoji"/>
          <w:b/>
          <w:bCs/>
          <w:sz w:val="32"/>
          <w:szCs w:val="32"/>
          <w:rtl/>
        </w:rPr>
        <w:t xml:space="preserve">. </w:t>
      </w:r>
    </w:p>
    <w:p w14:paraId="5DB6F2A8" w14:textId="505F5E85" w:rsidR="009D337D" w:rsidRPr="00F27422" w:rsidRDefault="009D337D" w:rsidP="00122B70">
      <w:pPr>
        <w:bidi/>
        <w:rPr>
          <w:rFonts w:ascii="Segoe UI Emoji" w:hAnsi="Segoe UI Emoji" w:cs="Segoe UI Emoji"/>
          <w:b/>
          <w:bCs/>
          <w:sz w:val="32"/>
          <w:szCs w:val="32"/>
        </w:rPr>
      </w:pPr>
      <w:r w:rsidRPr="00F27422">
        <w:rPr>
          <w:rFonts w:ascii="Arial" w:hAnsi="Arial" w:cs="Arial" w:hint="cs"/>
          <w:b/>
          <w:bCs/>
          <w:sz w:val="32"/>
          <w:szCs w:val="32"/>
          <w:rtl/>
        </w:rPr>
        <w:t>الثالث</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الجامع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هذا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المورد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يختلف</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حقيقته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الفرد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المردد،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وكلاهما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ممنوع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لعدم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اتحاد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تعلّق</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اليقين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تعلّق</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الشك</w:t>
      </w:r>
      <w:r w:rsidRPr="00F27422">
        <w:rPr>
          <w:rFonts w:ascii="Segoe UI Emoji" w:hAnsi="Segoe UI Emoji" w:cs="Segoe UI Emoji"/>
          <w:b/>
          <w:bCs/>
          <w:sz w:val="32"/>
          <w:szCs w:val="32"/>
        </w:rPr>
        <w:t>.</w:t>
      </w:r>
    </w:p>
    <w:p w14:paraId="4E87EE52" w14:textId="77777777" w:rsidR="009D337D" w:rsidRPr="00F27422" w:rsidRDefault="009D337D" w:rsidP="00122B70">
      <w:pPr>
        <w:bidi/>
        <w:rPr>
          <w:rFonts w:ascii="Segoe UI Emoji" w:hAnsi="Segoe UI Emoji" w:cs="Segoe UI Emoji"/>
          <w:b/>
          <w:bCs/>
          <w:sz w:val="32"/>
          <w:szCs w:val="32"/>
        </w:rPr>
      </w:pPr>
      <w:r w:rsidRPr="00F27422">
        <w:rPr>
          <w:rFonts w:ascii="Arial" w:hAnsi="Arial" w:cs="Arial" w:hint="cs"/>
          <w:b/>
          <w:bCs/>
          <w:sz w:val="32"/>
          <w:szCs w:val="32"/>
          <w:rtl/>
        </w:rPr>
        <w:t>وبذلك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تنتهي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المناقشة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إلى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الإشكال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على</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جريان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المقام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يدور</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كونه</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الشك</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حدود</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المجعول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أو</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الكلي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القسم</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الثاني،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تحليل</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طبيعة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الزوجية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والجامع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فيها،</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تتضح</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دقة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النزاع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بين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المباني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الأصولية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المختلفة</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في</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تشخيص</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موضوع</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الاستصحاب</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وإمكان</w:t>
      </w:r>
      <w:r w:rsidRPr="00F27422">
        <w:rPr>
          <w:rFonts w:ascii="Segoe UI Emoji" w:hAnsi="Segoe UI Emoji" w:cs="Segoe UI Emoji"/>
          <w:b/>
          <w:bCs/>
          <w:sz w:val="32"/>
          <w:szCs w:val="32"/>
          <w:rtl/>
        </w:rPr>
        <w:t xml:space="preserve"> </w:t>
      </w:r>
      <w:r w:rsidRPr="00F27422">
        <w:rPr>
          <w:rFonts w:ascii="Arial" w:hAnsi="Arial" w:cs="Arial" w:hint="cs"/>
          <w:b/>
          <w:bCs/>
          <w:sz w:val="32"/>
          <w:szCs w:val="32"/>
          <w:rtl/>
        </w:rPr>
        <w:t>جريانه</w:t>
      </w:r>
      <w:r w:rsidRPr="00F27422">
        <w:rPr>
          <w:rFonts w:ascii="Segoe UI Emoji" w:hAnsi="Segoe UI Emoji" w:cs="Segoe UI Emoji"/>
          <w:b/>
          <w:bCs/>
          <w:sz w:val="32"/>
          <w:szCs w:val="32"/>
        </w:rPr>
        <w:t>.</w:t>
      </w:r>
    </w:p>
    <w:p w14:paraId="0673AC35" w14:textId="4FCEB114" w:rsidR="00425532" w:rsidRPr="00F27422" w:rsidRDefault="00425532" w:rsidP="00122B70">
      <w:pPr>
        <w:bidi/>
        <w:rPr>
          <w:sz w:val="32"/>
          <w:szCs w:val="32"/>
          <w:rtl/>
        </w:rPr>
      </w:pPr>
    </w:p>
    <w:p w14:paraId="43C84438" w14:textId="77777777" w:rsidR="00425532" w:rsidRPr="00F27422" w:rsidRDefault="00425532" w:rsidP="00122B70">
      <w:pPr>
        <w:bidi/>
        <w:rPr>
          <w:sz w:val="32"/>
          <w:szCs w:val="32"/>
          <w:rtl/>
        </w:rPr>
      </w:pPr>
    </w:p>
    <w:p w14:paraId="6356F91A" w14:textId="761E4294" w:rsidR="00A077B1" w:rsidRPr="00F27422" w:rsidRDefault="00A077B1" w:rsidP="00122B70">
      <w:pPr>
        <w:pStyle w:val="Heading3"/>
        <w:bidi/>
        <w:rPr>
          <w:sz w:val="32"/>
          <w:szCs w:val="32"/>
          <w:rtl/>
        </w:rPr>
      </w:pPr>
      <w:r w:rsidRPr="00F27422">
        <w:rPr>
          <w:rFonts w:hint="cs"/>
          <w:sz w:val="32"/>
          <w:szCs w:val="32"/>
          <w:rtl/>
        </w:rPr>
        <w:t>064</w:t>
      </w:r>
    </w:p>
    <w:p w14:paraId="6D7C0136" w14:textId="77777777" w:rsidR="00EF5AF6" w:rsidRPr="00F27422" w:rsidRDefault="00EF5AF6" w:rsidP="00122B70">
      <w:pPr>
        <w:bidi/>
        <w:rPr>
          <w:b/>
          <w:bCs/>
          <w:sz w:val="32"/>
          <w:szCs w:val="32"/>
        </w:rPr>
      </w:pPr>
      <w:r w:rsidRPr="00F27422">
        <w:rPr>
          <w:b/>
          <w:bCs/>
          <w:sz w:val="32"/>
          <w:szCs w:val="32"/>
          <w:rtl/>
        </w:rPr>
        <w:t>بسم الله الرحمن الرحيم</w:t>
      </w:r>
    </w:p>
    <w:p w14:paraId="49477605" w14:textId="77777777" w:rsidR="00EF5AF6" w:rsidRPr="00F27422" w:rsidRDefault="00EF5AF6"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55876BF7" w14:textId="77777777" w:rsidR="00EF5AF6" w:rsidRPr="00F27422" w:rsidRDefault="00EF5AF6" w:rsidP="00122B70">
      <w:pPr>
        <w:bidi/>
        <w:rPr>
          <w:b/>
          <w:bCs/>
          <w:sz w:val="32"/>
          <w:szCs w:val="32"/>
          <w:rtl/>
        </w:rPr>
      </w:pPr>
      <w:r w:rsidRPr="00F27422">
        <w:rPr>
          <w:b/>
          <w:bCs/>
          <w:sz w:val="32"/>
          <w:szCs w:val="32"/>
          <w:rtl/>
        </w:rPr>
        <w:t>واللعن الدائم على أعدائهم أجمعين إلى قيام يوم الدين</w:t>
      </w:r>
    </w:p>
    <w:p w14:paraId="4745CDE1" w14:textId="77777777" w:rsidR="00EF5AF6" w:rsidRPr="00F27422" w:rsidRDefault="00EF5AF6" w:rsidP="00122B70">
      <w:pPr>
        <w:bidi/>
        <w:rPr>
          <w:sz w:val="32"/>
          <w:szCs w:val="32"/>
          <w:rtl/>
        </w:rPr>
      </w:pPr>
    </w:p>
    <w:p w14:paraId="5BF800D6" w14:textId="77777777" w:rsidR="00EF5AF6" w:rsidRPr="00F27422" w:rsidRDefault="00EF5AF6" w:rsidP="00122B70">
      <w:pPr>
        <w:bidi/>
        <w:rPr>
          <w:b/>
          <w:bCs/>
          <w:sz w:val="32"/>
          <w:szCs w:val="32"/>
          <w:rtl/>
        </w:rPr>
      </w:pPr>
      <w:r w:rsidRPr="00F27422">
        <w:rPr>
          <w:b/>
          <w:bCs/>
          <w:sz w:val="32"/>
          <w:szCs w:val="32"/>
          <w:rtl/>
        </w:rPr>
        <w:t>ويلاحظ على ما أفاده المحقّق النائيني (قدس سره الشريف)</w:t>
      </w:r>
      <w:r w:rsidRPr="00F27422">
        <w:rPr>
          <w:b/>
          <w:bCs/>
          <w:sz w:val="32"/>
          <w:szCs w:val="32"/>
        </w:rPr>
        <w:t>:</w:t>
      </w:r>
    </w:p>
    <w:p w14:paraId="5444F240" w14:textId="77777777" w:rsidR="00EF5AF6" w:rsidRPr="00F27422" w:rsidRDefault="00EF5AF6" w:rsidP="00122B70">
      <w:pPr>
        <w:bidi/>
        <w:rPr>
          <w:sz w:val="32"/>
          <w:szCs w:val="32"/>
          <w:rtl/>
        </w:rPr>
      </w:pPr>
      <w:r w:rsidRPr="00F27422">
        <w:rPr>
          <w:b/>
          <w:bCs/>
          <w:sz w:val="32"/>
          <w:szCs w:val="32"/>
          <w:rtl/>
        </w:rPr>
        <w:t>أوّلاً:</w:t>
      </w:r>
      <w:r w:rsidRPr="00F27422">
        <w:rPr>
          <w:sz w:val="32"/>
          <w:szCs w:val="32"/>
          <w:rtl/>
        </w:rPr>
        <w:t xml:space="preserve"> إنّ الجامع بين الزوجية المنقضية بالفسخ والمستمرة مما له تقررٌ في نفسه بغض النظر عن خصوصية البقاء والزوال؛ لأنّه مِن قَبيل الجامع بين الـ بشرط والـ لا بشرط، كالجامع بين القَصْر والتّمام فإنّه عبارةٌ عن الصّلاةِ المُعرّاةِ عن أيِّ خصوصية، غير أنّها جامعٌ بين نوعين من الصّلاة، </w:t>
      </w:r>
      <w:r w:rsidRPr="00F27422">
        <w:rPr>
          <w:b/>
          <w:bCs/>
          <w:sz w:val="32"/>
          <w:szCs w:val="32"/>
          <w:rtl/>
        </w:rPr>
        <w:t>أحدهما:</w:t>
      </w:r>
      <w:r w:rsidRPr="00F27422">
        <w:rPr>
          <w:sz w:val="32"/>
          <w:szCs w:val="32"/>
          <w:rtl/>
        </w:rPr>
        <w:t xml:space="preserve"> مشروطٌ بالركعتين وهو التمام، </w:t>
      </w:r>
      <w:r w:rsidRPr="00F27422">
        <w:rPr>
          <w:b/>
          <w:bCs/>
          <w:sz w:val="32"/>
          <w:szCs w:val="32"/>
          <w:rtl/>
        </w:rPr>
        <w:t>والثاني:</w:t>
      </w:r>
      <w:r w:rsidRPr="00F27422">
        <w:rPr>
          <w:sz w:val="32"/>
          <w:szCs w:val="32"/>
          <w:rtl/>
        </w:rPr>
        <w:t xml:space="preserve"> الـ لا بشرط مِن جهتها.</w:t>
      </w:r>
    </w:p>
    <w:p w14:paraId="46B103A6" w14:textId="77777777" w:rsidR="006E715E" w:rsidRPr="00F27422" w:rsidRDefault="00EF5AF6" w:rsidP="00122B70">
      <w:pPr>
        <w:bidi/>
        <w:rPr>
          <w:sz w:val="32"/>
          <w:szCs w:val="32"/>
          <w:rtl/>
        </w:rPr>
      </w:pPr>
      <w:r w:rsidRPr="00F27422">
        <w:rPr>
          <w:sz w:val="32"/>
          <w:szCs w:val="32"/>
          <w:rtl/>
        </w:rPr>
        <w:t xml:space="preserve">وكذلك الأمر في المقام؛ فإنّ المُستصحَب هو جامعُ الزوجية المُعرّاة عن أيِّ خصوصيةٍ في البين، غاية ما في الأمر أنّ الجامع - ألّا وهو الزوجية - له نوعان: </w:t>
      </w:r>
    </w:p>
    <w:p w14:paraId="303827AB" w14:textId="77777777" w:rsidR="006E715E" w:rsidRPr="00F27422" w:rsidRDefault="00EF5AF6" w:rsidP="00122B70">
      <w:pPr>
        <w:bidi/>
        <w:rPr>
          <w:sz w:val="32"/>
          <w:szCs w:val="32"/>
          <w:rtl/>
        </w:rPr>
      </w:pPr>
      <w:r w:rsidRPr="00F27422">
        <w:rPr>
          <w:b/>
          <w:bCs/>
          <w:sz w:val="32"/>
          <w:szCs w:val="32"/>
          <w:rtl/>
        </w:rPr>
        <w:t xml:space="preserve">الأوّل: </w:t>
      </w:r>
      <w:r w:rsidRPr="00F27422">
        <w:rPr>
          <w:sz w:val="32"/>
          <w:szCs w:val="32"/>
          <w:rtl/>
        </w:rPr>
        <w:t>زوجيةٌ مشروطةٌ بعدم الفسخ</w:t>
      </w:r>
      <w:r w:rsidR="006E715E" w:rsidRPr="00F27422">
        <w:rPr>
          <w:rFonts w:hint="cs"/>
          <w:sz w:val="32"/>
          <w:szCs w:val="32"/>
          <w:rtl/>
        </w:rPr>
        <w:t>.</w:t>
      </w:r>
    </w:p>
    <w:p w14:paraId="740E594A" w14:textId="00755485" w:rsidR="00EF5AF6" w:rsidRPr="00F27422" w:rsidRDefault="00EF5AF6" w:rsidP="00122B70">
      <w:pPr>
        <w:bidi/>
        <w:rPr>
          <w:sz w:val="32"/>
          <w:szCs w:val="32"/>
          <w:rtl/>
        </w:rPr>
      </w:pPr>
      <w:r w:rsidRPr="00F27422">
        <w:rPr>
          <w:sz w:val="32"/>
          <w:szCs w:val="32"/>
          <w:rtl/>
        </w:rPr>
        <w:t xml:space="preserve"> </w:t>
      </w:r>
      <w:r w:rsidRPr="00F27422">
        <w:rPr>
          <w:b/>
          <w:bCs/>
          <w:sz w:val="32"/>
          <w:szCs w:val="32"/>
          <w:rtl/>
        </w:rPr>
        <w:t xml:space="preserve">والثاني: </w:t>
      </w:r>
      <w:r w:rsidRPr="00F27422">
        <w:rPr>
          <w:sz w:val="32"/>
          <w:szCs w:val="32"/>
          <w:rtl/>
        </w:rPr>
        <w:t>زوجيةٌ لا بشرط مِن هذه الجهة، ومِن آثار ذلك أنّ الزوجية لو كانت مشروطةً بعدم الفسخ تزولُ بالفسخ، ومِن آثار عدم اشتراطها بذلك بقاؤها، فالبقاءُ والزوالُ مِن آثار تأثير الفسخ وعدم تأثيره، لا أنّ النوعين متقومان بخصوصيتي البقاء والزوال بحيث لا يكون للجامع تقررٌ في نفسه مع غمض النظر عن هاتين الخصوصيتين</w:t>
      </w:r>
      <w:r w:rsidRPr="00F27422">
        <w:rPr>
          <w:sz w:val="32"/>
          <w:szCs w:val="32"/>
        </w:rPr>
        <w:t>.</w:t>
      </w:r>
    </w:p>
    <w:p w14:paraId="65845621" w14:textId="77777777" w:rsidR="00EF5AF6" w:rsidRPr="00F27422" w:rsidRDefault="00EF5AF6" w:rsidP="00122B70">
      <w:pPr>
        <w:bidi/>
        <w:rPr>
          <w:sz w:val="32"/>
          <w:szCs w:val="32"/>
          <w:rtl/>
        </w:rPr>
      </w:pPr>
      <w:r w:rsidRPr="00F27422">
        <w:rPr>
          <w:b/>
          <w:bCs/>
          <w:sz w:val="32"/>
          <w:szCs w:val="32"/>
          <w:rtl/>
        </w:rPr>
        <w:t>وثانياً:</w:t>
      </w:r>
      <w:r w:rsidRPr="00F27422">
        <w:rPr>
          <w:sz w:val="32"/>
          <w:szCs w:val="32"/>
          <w:rtl/>
        </w:rPr>
        <w:t xml:space="preserve"> على فرض تقوم الجامع بالخصوصيتين – أي: خصوصية البقاء والزوال – فإنّ ما هو المقوم هو البقاء واقعاً، وما يرادُ إثباته بالاستصحاب </w:t>
      </w:r>
      <w:r w:rsidRPr="00F27422">
        <w:rPr>
          <w:sz w:val="32"/>
          <w:szCs w:val="32"/>
          <w:highlight w:val="yellow"/>
          <w:rtl/>
        </w:rPr>
        <w:t>البقاء ظاهراً</w:t>
      </w:r>
      <w:r w:rsidRPr="00F27422">
        <w:rPr>
          <w:sz w:val="32"/>
          <w:szCs w:val="32"/>
          <w:rtl/>
        </w:rPr>
        <w:t xml:space="preserve">، فلا يرد الإشكال المذكور منه (قدس سره) أنّ المعتبر في جريان الاستصحاب أنْ يكون للمُستصحَب أثرٌ خارجٌ عن إطار ما هو المقوم له، والمفروضُ أنّ الأثر المراد إثباته بالاستصحاب هو البقاء، والمُستصحَب متقومٌ بالبقاء، فلَمْ يثبت لهُ أثرٌ وراء ما هو مقومٌ لَهُ، فلا شمول في دليل الاستصحاب لمثل استصحاب بقاء الزوجية؛ فإنّهُ – أي: الاستصحاب - منوطٌ بترتب أثر والبقاءُ مقومٌ لَهُ وليس أثراً،  أو أنّ صحّة القضية الاستصحابية فرعُ انحياز المحمول عن الموضوع، ولا انحياز في </w:t>
      </w:r>
      <w:r w:rsidRPr="00F27422">
        <w:rPr>
          <w:sz w:val="32"/>
          <w:szCs w:val="32"/>
          <w:rtl/>
        </w:rPr>
        <w:lastRenderedPageBreak/>
        <w:t>المقام؛ إذ لا انحياز للجامع عن خصوصيتي البقاء والزوال، فإثبات البقاء لَهُ مِن قَبيل القضية الضرورية بشرط المحمول؛ إذ لا انحياز لهذه الصفة عما هو المقوم له.</w:t>
      </w:r>
    </w:p>
    <w:p w14:paraId="20E91FB5" w14:textId="77777777" w:rsidR="00EF5AF6" w:rsidRPr="00F27422" w:rsidRDefault="00EF5AF6" w:rsidP="00122B70">
      <w:pPr>
        <w:bidi/>
        <w:rPr>
          <w:sz w:val="32"/>
          <w:szCs w:val="32"/>
          <w:rtl/>
        </w:rPr>
      </w:pPr>
      <w:r w:rsidRPr="00F27422">
        <w:rPr>
          <w:b/>
          <w:bCs/>
          <w:sz w:val="32"/>
          <w:szCs w:val="32"/>
          <w:rtl/>
        </w:rPr>
        <w:t>والجواب عن ذلك:</w:t>
      </w:r>
      <w:r w:rsidRPr="00F27422">
        <w:rPr>
          <w:sz w:val="32"/>
          <w:szCs w:val="32"/>
          <w:rtl/>
        </w:rPr>
        <w:t xml:space="preserve"> أنّ أثر الاستصحاب التعبد بالبقاء ظاهراً، لا إثبات ذاك البقاء الواقعي كي يقال: بأنّ البقاء الواقعي مقومٌ فكيف يراد إثباته بالاستصحاب، بل التعبد ببقاء الزوجية ظاهراً، ومعنى التعبد ببقاء الزوجية ظاهراً ترتيب آثار الزوجية وهو غيرُ الحدّ الواقعي لما هو زوجيةٌ لا تتأثرُ بالفسخ</w:t>
      </w:r>
      <w:r w:rsidRPr="00F27422">
        <w:rPr>
          <w:sz w:val="32"/>
          <w:szCs w:val="32"/>
        </w:rPr>
        <w:t>.</w:t>
      </w:r>
    </w:p>
    <w:p w14:paraId="2A7235ED" w14:textId="77777777" w:rsidR="00EF5AF6" w:rsidRPr="00F27422" w:rsidRDefault="00EF5AF6" w:rsidP="00122B70">
      <w:pPr>
        <w:bidi/>
        <w:rPr>
          <w:sz w:val="32"/>
          <w:szCs w:val="32"/>
          <w:rtl/>
        </w:rPr>
      </w:pPr>
      <w:r w:rsidRPr="00F27422">
        <w:rPr>
          <w:sz w:val="32"/>
          <w:szCs w:val="32"/>
          <w:rtl/>
        </w:rPr>
        <w:t>وبذلك يظهر صدق نقض اليقين بالشك في المقام؛ لورود الشك في البقاء على ما هو المتيقن ألّا وهو جامعُ الزوجية، بمعنى الشك في أنّ الفسخ مؤثرٌ أو ليس بمؤثر.</w:t>
      </w:r>
    </w:p>
    <w:p w14:paraId="7A8B9066" w14:textId="77777777" w:rsidR="00EF5AF6" w:rsidRPr="00F27422" w:rsidRDefault="00EF5AF6" w:rsidP="00122B70">
      <w:pPr>
        <w:bidi/>
        <w:rPr>
          <w:sz w:val="32"/>
          <w:szCs w:val="32"/>
          <w:rtl/>
        </w:rPr>
      </w:pPr>
      <w:r w:rsidRPr="00F27422">
        <w:rPr>
          <w:b/>
          <w:bCs/>
          <w:sz w:val="32"/>
          <w:szCs w:val="32"/>
          <w:rtl/>
        </w:rPr>
        <w:t>فتلخص مِن ذلك:</w:t>
      </w:r>
      <w:r w:rsidRPr="00F27422">
        <w:rPr>
          <w:sz w:val="32"/>
          <w:szCs w:val="32"/>
          <w:rtl/>
        </w:rPr>
        <w:t xml:space="preserve"> أنّ الوجه الأوّل في إثبات لزوم العقد بعد فسخ الصبيّة هو استصحابُ الزوجية عند صدور الفسخ تامٌ لولا الإشكال الأوّل وهو أنّه استصحابٌ في الشبهة الحكمية، والاستصحاب </w:t>
      </w:r>
      <w:r w:rsidRPr="00F27422">
        <w:rPr>
          <w:sz w:val="32"/>
          <w:szCs w:val="32"/>
          <w:highlight w:val="yellow"/>
          <w:rtl/>
        </w:rPr>
        <w:t>في الشبهة الحكمية على ما هو المختار ليس بجارٍ</w:t>
      </w:r>
      <w:r w:rsidRPr="00F27422">
        <w:rPr>
          <w:sz w:val="32"/>
          <w:szCs w:val="32"/>
        </w:rPr>
        <w:t>.</w:t>
      </w:r>
    </w:p>
    <w:p w14:paraId="572F87F3" w14:textId="77777777" w:rsidR="00EF5AF6" w:rsidRPr="00F27422" w:rsidRDefault="00EF5AF6" w:rsidP="00122B70">
      <w:pPr>
        <w:bidi/>
        <w:rPr>
          <w:sz w:val="32"/>
          <w:szCs w:val="32"/>
          <w:rtl/>
        </w:rPr>
      </w:pPr>
      <w:r w:rsidRPr="00F27422">
        <w:rPr>
          <w:b/>
          <w:bCs/>
          <w:sz w:val="32"/>
          <w:szCs w:val="32"/>
          <w:rtl/>
        </w:rPr>
        <w:t>الوجهُ الثاني:</w:t>
      </w:r>
      <w:r w:rsidRPr="00F27422">
        <w:rPr>
          <w:sz w:val="32"/>
          <w:szCs w:val="32"/>
          <w:rtl/>
        </w:rPr>
        <w:t xml:space="preserve"> جريانُ الأصل في عقد النكاح الذي صدر مِن قِبل الوليّ بحق المُولى </w:t>
      </w:r>
      <w:proofErr w:type="gramStart"/>
      <w:r w:rsidRPr="00F27422">
        <w:rPr>
          <w:sz w:val="32"/>
          <w:szCs w:val="32"/>
          <w:rtl/>
        </w:rPr>
        <w:t>عليه</w:t>
      </w:r>
      <w:r w:rsidRPr="00F27422">
        <w:rPr>
          <w:sz w:val="32"/>
          <w:szCs w:val="32"/>
        </w:rPr>
        <w:t xml:space="preserve"> .</w:t>
      </w:r>
      <w:proofErr w:type="gramEnd"/>
    </w:p>
    <w:p w14:paraId="557F4886" w14:textId="77777777" w:rsidR="00EF5AF6" w:rsidRPr="00F27422" w:rsidRDefault="00EF5AF6" w:rsidP="00122B70">
      <w:pPr>
        <w:bidi/>
        <w:rPr>
          <w:sz w:val="32"/>
          <w:szCs w:val="32"/>
          <w:rtl/>
        </w:rPr>
      </w:pPr>
      <w:r w:rsidRPr="00F27422">
        <w:rPr>
          <w:b/>
          <w:bCs/>
          <w:sz w:val="32"/>
          <w:szCs w:val="32"/>
          <w:rtl/>
        </w:rPr>
        <w:t>بأنْ يُقال:</w:t>
      </w:r>
      <w:r w:rsidRPr="00F27422">
        <w:rPr>
          <w:sz w:val="32"/>
          <w:szCs w:val="32"/>
          <w:rtl/>
        </w:rPr>
        <w:t xml:space="preserve"> إذا شُك في بقاء العقد في وعاء الاعتبار الشرعي فالجاري استصحابُ بقاءه؛ لأنّ العقد ليس أمراً تكوينياً، بل هو عبارةٌ عن أمرٍ اعتباري وهو ارتباطُ الإيجاب بالقبول بنحوٍ مُنتجٍ للعلقة الوضعية، وارتباطُ الإيجاب بالقبول بنحوٍ مُنتجٍ لعلقةٍ وضعية، زوجية، مِلكيّة، حقّية، أمرٌ اعتباري يُشك بعد الفسخ في </w:t>
      </w:r>
      <w:proofErr w:type="gramStart"/>
      <w:r w:rsidRPr="00F27422">
        <w:rPr>
          <w:sz w:val="32"/>
          <w:szCs w:val="32"/>
          <w:rtl/>
        </w:rPr>
        <w:t>بقاءِهِ</w:t>
      </w:r>
      <w:proofErr w:type="gramEnd"/>
      <w:r w:rsidRPr="00F27422">
        <w:rPr>
          <w:sz w:val="32"/>
          <w:szCs w:val="32"/>
          <w:rtl/>
        </w:rPr>
        <w:t xml:space="preserve"> في وعاءِ الاعتبار فيجري استصحابُ بقاءِهِ، وهذا هو معنى أصالة اللزوم وليس شيئاً أخراً</w:t>
      </w:r>
      <w:r w:rsidRPr="00F27422">
        <w:rPr>
          <w:sz w:val="32"/>
          <w:szCs w:val="32"/>
        </w:rPr>
        <w:t>.</w:t>
      </w:r>
    </w:p>
    <w:p w14:paraId="0F0E0EF4" w14:textId="77777777" w:rsidR="00EF5AF6" w:rsidRPr="00F27422" w:rsidRDefault="00EF5AF6" w:rsidP="00122B70">
      <w:pPr>
        <w:bidi/>
        <w:rPr>
          <w:sz w:val="32"/>
          <w:szCs w:val="32"/>
          <w:rtl/>
        </w:rPr>
      </w:pPr>
      <w:r w:rsidRPr="00F27422">
        <w:rPr>
          <w:b/>
          <w:bCs/>
          <w:sz w:val="32"/>
          <w:szCs w:val="32"/>
          <w:rtl/>
        </w:rPr>
        <w:t>ويلاحظ عليه:</w:t>
      </w:r>
      <w:r w:rsidRPr="00F27422">
        <w:rPr>
          <w:sz w:val="32"/>
          <w:szCs w:val="32"/>
          <w:rtl/>
        </w:rPr>
        <w:t xml:space="preserve"> أنّ موضوع الأثار  بحسب المرتكزات العقلائية هو حدوثُ العقد – لا بقاء العقد - مِن الطرفين ذي الأهلية، - حيث إنّ العقود على ثلاثة أقسام</w:t>
      </w:r>
      <w:r w:rsidRPr="00F27422">
        <w:rPr>
          <w:sz w:val="32"/>
          <w:szCs w:val="32"/>
        </w:rPr>
        <w:t xml:space="preserve"> :</w:t>
      </w:r>
      <w:r w:rsidRPr="00F27422">
        <w:rPr>
          <w:sz w:val="32"/>
          <w:szCs w:val="32"/>
          <w:rtl/>
        </w:rPr>
        <w:t>الأوّل: عقدٌ يُنتج عُلقة اعتبارية، والثاني: عقدٌ يُنتج سلطنة على الإلزام، والثالث: عقدٌ يُنتج استحقاق الانتفاع - فسواءً كان عقداً مُنتجاً لعلقة اعتبارية كالمِلكيّة والزوجية، أو كان مُنتجاً لسلطنة مِن قِبل أحد الطرفين على الآخر كما في عقد المزارعة فإنّ لصاحب الأرض سلطنةً على العامل بعد تعهده في عقد المزارعة بتنفيذ العقد، أو كان مُنتجاً لاستحقاق الانتفاع نحو عقد العارية، فإنّ موضوع الآثار بحسب المرتكزات العقلائية حدوث العقد، وأمّا بقاءُ العقد فهو أثرٌ مِن الآثار العقلائية، أي: لو حدث عقدٌ صحيحٌ مِن طرفين ذي أهلية فمِن آثار الصحّة عند العقلاء بقاءُ العقد، لا أنّ موضوع الآثار بقاءُ العقد، بل بقاءُ العقد في وعاءِ الاعتبار من آثاره</w:t>
      </w:r>
      <w:r w:rsidRPr="00F27422">
        <w:rPr>
          <w:sz w:val="32"/>
          <w:szCs w:val="32"/>
        </w:rPr>
        <w:t>.</w:t>
      </w:r>
    </w:p>
    <w:p w14:paraId="29606B0D" w14:textId="77777777" w:rsidR="00EF5AF6" w:rsidRPr="00F27422" w:rsidRDefault="00EF5AF6" w:rsidP="00122B70">
      <w:pPr>
        <w:bidi/>
        <w:rPr>
          <w:sz w:val="32"/>
          <w:szCs w:val="32"/>
          <w:rtl/>
        </w:rPr>
      </w:pPr>
      <w:r w:rsidRPr="00F27422">
        <w:rPr>
          <w:b/>
          <w:bCs/>
          <w:sz w:val="32"/>
          <w:szCs w:val="32"/>
          <w:rtl/>
        </w:rPr>
        <w:lastRenderedPageBreak/>
        <w:t>والمفروض في المقام:</w:t>
      </w:r>
      <w:r w:rsidRPr="00F27422">
        <w:rPr>
          <w:sz w:val="32"/>
          <w:szCs w:val="32"/>
          <w:rtl/>
        </w:rPr>
        <w:t xml:space="preserve"> أنّ العقد الحادث وهو عقد النكاح مِن قِبل الوليّ على المُولى عليه وهو الصبيّة مرددٌ مِن الأصل في حقيقته بين عقدٍ مشروطٍ بعدم الفسخ أو عقدٍ لا بشرط مِن حيث الفسخ، فبما أنّ حقيقة العقد الحادث هي مرددة بين أمرين فلا موضوع لجريان استصحاب بقاء العقد؛ فإنّ بقاءَهُ فرعُ كونه لا بشرط من حيث الفسخ، والمفروضُ احتمال أنّ العقد قاصرٌ في نفسه عن البقاء؛ لكونه مشروطاً بعدم الفسخ، وقد حصل الفسخ</w:t>
      </w:r>
      <w:r w:rsidRPr="00F27422">
        <w:rPr>
          <w:sz w:val="32"/>
          <w:szCs w:val="32"/>
        </w:rPr>
        <w:t>.</w:t>
      </w:r>
    </w:p>
    <w:p w14:paraId="72F7A557" w14:textId="77777777" w:rsidR="00EF5AF6" w:rsidRPr="00F27422" w:rsidRDefault="00EF5AF6" w:rsidP="00122B70">
      <w:pPr>
        <w:bidi/>
        <w:rPr>
          <w:sz w:val="32"/>
          <w:szCs w:val="32"/>
          <w:rtl/>
        </w:rPr>
      </w:pPr>
      <w:r w:rsidRPr="00F27422">
        <w:rPr>
          <w:b/>
          <w:bCs/>
          <w:sz w:val="32"/>
          <w:szCs w:val="32"/>
          <w:rtl/>
        </w:rPr>
        <w:t>الوجهُ الثالث:</w:t>
      </w:r>
      <w:r w:rsidRPr="00F27422">
        <w:rPr>
          <w:sz w:val="32"/>
          <w:szCs w:val="32"/>
          <w:rtl/>
        </w:rPr>
        <w:t xml:space="preserve"> استصحابُ الأثر، فإنّه إذا لَمْ يمكن إجراءُ </w:t>
      </w:r>
      <w:proofErr w:type="gramStart"/>
      <w:r w:rsidRPr="00F27422">
        <w:rPr>
          <w:sz w:val="32"/>
          <w:szCs w:val="32"/>
          <w:rtl/>
        </w:rPr>
        <w:t>الأصل  في</w:t>
      </w:r>
      <w:proofErr w:type="gramEnd"/>
      <w:r w:rsidRPr="00F27422">
        <w:rPr>
          <w:sz w:val="32"/>
          <w:szCs w:val="32"/>
          <w:rtl/>
        </w:rPr>
        <w:t xml:space="preserve"> الموضوع - وهو العقد - ولا في المُسبَب - وهو المِلكيّة - فيمكن إجراءُ الأصل العملي في الأثر</w:t>
      </w:r>
      <w:r w:rsidRPr="00F27422">
        <w:rPr>
          <w:sz w:val="32"/>
          <w:szCs w:val="32"/>
        </w:rPr>
        <w:t>.</w:t>
      </w:r>
    </w:p>
    <w:p w14:paraId="218EEFB8" w14:textId="77777777" w:rsidR="00EF5AF6" w:rsidRPr="00F27422" w:rsidRDefault="00EF5AF6" w:rsidP="00122B70">
      <w:pPr>
        <w:bidi/>
        <w:rPr>
          <w:sz w:val="32"/>
          <w:szCs w:val="32"/>
          <w:rtl/>
        </w:rPr>
      </w:pPr>
      <w:r w:rsidRPr="00F27422">
        <w:rPr>
          <w:b/>
          <w:bCs/>
          <w:sz w:val="32"/>
          <w:szCs w:val="32"/>
          <w:rtl/>
        </w:rPr>
        <w:t>فيُقال:</w:t>
      </w:r>
      <w:r w:rsidRPr="00F27422">
        <w:rPr>
          <w:sz w:val="32"/>
          <w:szCs w:val="32"/>
          <w:rtl/>
        </w:rPr>
        <w:t xml:space="preserve"> لو فُرض أنّ زوج الصبيّة بالغٌ، كما لو زوج الوليُّ الصبيّة مِن بالغٍ أو بلغ قَبل أنْ تبلغ الصبيّة، فكان الزوج حين بلوغها وفسخها للعقد بالغاً عاقلاً فالجاري في حقّه بعد فسخ الصبيّة استصحابُ القوامة، حيث كانتْ له القوامة فيجري استصحابها، أو استصحابُ سلطنته على المنع مِن خروجها إلّا بإذنه، أو استصحاب السلطة على الاستمتاعات، ولا يعارضُ باستصحاب الولاية لها على نفسها، ومقتضى ولايتها على نفسها فسخُ العقد؛ لعدم إحراز ثبوت ولايتها على العقد مِن أوّل الأمر؛ إذ لو كان عقد وليّها عليها نافذاً لَمْ يكن لها ولاية على هذا العقد، فثبوت الولاية لها مِن الأوّل مشكوك الحدوث لا مشكوك البقاء كي يعارض استصحاب القوامة باستصحاب الولاية</w:t>
      </w:r>
      <w:r w:rsidRPr="00F27422">
        <w:rPr>
          <w:sz w:val="32"/>
          <w:szCs w:val="32"/>
        </w:rPr>
        <w:t>.</w:t>
      </w:r>
    </w:p>
    <w:p w14:paraId="038F3C17" w14:textId="77777777" w:rsidR="00EF5AF6" w:rsidRPr="00F27422" w:rsidRDefault="00EF5AF6" w:rsidP="00122B70">
      <w:pPr>
        <w:bidi/>
        <w:rPr>
          <w:b/>
          <w:bCs/>
          <w:sz w:val="32"/>
          <w:szCs w:val="32"/>
          <w:rtl/>
        </w:rPr>
      </w:pPr>
      <w:r w:rsidRPr="00F27422">
        <w:rPr>
          <w:b/>
          <w:bCs/>
          <w:sz w:val="32"/>
          <w:szCs w:val="32"/>
          <w:rtl/>
        </w:rPr>
        <w:t>ولكن يلاحظ عليه</w:t>
      </w:r>
      <w:r w:rsidRPr="00F27422">
        <w:rPr>
          <w:b/>
          <w:bCs/>
          <w:sz w:val="32"/>
          <w:szCs w:val="32"/>
        </w:rPr>
        <w:t>:</w:t>
      </w:r>
    </w:p>
    <w:p w14:paraId="2900F475" w14:textId="77777777" w:rsidR="00EF5AF6" w:rsidRPr="00F27422" w:rsidRDefault="00EF5AF6" w:rsidP="00122B70">
      <w:pPr>
        <w:bidi/>
        <w:rPr>
          <w:sz w:val="32"/>
          <w:szCs w:val="32"/>
          <w:rtl/>
        </w:rPr>
      </w:pPr>
      <w:r w:rsidRPr="00F27422">
        <w:rPr>
          <w:sz w:val="32"/>
          <w:szCs w:val="32"/>
          <w:rtl/>
        </w:rPr>
        <w:t xml:space="preserve">مضافاً لكونه مِن الاستصحاب في الشبهة الحكمية، أنّه مِن المشكوك فيه </w:t>
      </w:r>
      <w:proofErr w:type="spellStart"/>
      <w:r w:rsidRPr="00F27422">
        <w:rPr>
          <w:sz w:val="32"/>
          <w:szCs w:val="32"/>
          <w:rtl/>
        </w:rPr>
        <w:t>ابتداءًا</w:t>
      </w:r>
      <w:proofErr w:type="spellEnd"/>
      <w:r w:rsidRPr="00F27422">
        <w:rPr>
          <w:sz w:val="32"/>
          <w:szCs w:val="32"/>
          <w:rtl/>
        </w:rPr>
        <w:t xml:space="preserve"> ثبوتُ جملةٍ مِن هذه الآثار للرجل؛ إذ مِن المحتمل أنّ عقد النكاح الصادر مِن الوليّ مِن الأوّل هو سنخُ عقدٍ لا تترتب عليه قوامة الزوج وجملة مِن الآثار، ولذلك احتيج في ثبوت التوارث لو ماتا معاً قَبل البلوغ إلى دليلٍ خاصٍ وهو ما دلتْ عليه صحيحة أبي عبيدة الحذاء.</w:t>
      </w:r>
    </w:p>
    <w:p w14:paraId="24AEE587" w14:textId="77777777" w:rsidR="00EF5AF6" w:rsidRPr="00F27422" w:rsidRDefault="00EF5AF6" w:rsidP="00122B70">
      <w:pPr>
        <w:bidi/>
        <w:rPr>
          <w:b/>
          <w:bCs/>
          <w:sz w:val="32"/>
          <w:szCs w:val="32"/>
          <w:rtl/>
        </w:rPr>
      </w:pPr>
      <w:r w:rsidRPr="00F27422">
        <w:rPr>
          <w:sz w:val="32"/>
          <w:szCs w:val="32"/>
          <w:rtl/>
        </w:rPr>
        <w:t>فلَمْ يُحرز الموضوع كي يجري استصحابه</w:t>
      </w:r>
      <w:r w:rsidRPr="00F27422">
        <w:rPr>
          <w:sz w:val="32"/>
          <w:szCs w:val="32"/>
        </w:rPr>
        <w:t>.</w:t>
      </w:r>
    </w:p>
    <w:p w14:paraId="64A82849" w14:textId="77777777" w:rsidR="00EF5AF6" w:rsidRPr="00F27422" w:rsidRDefault="00EF5AF6" w:rsidP="00122B70">
      <w:pPr>
        <w:bidi/>
        <w:rPr>
          <w:b/>
          <w:bCs/>
          <w:sz w:val="32"/>
          <w:szCs w:val="32"/>
          <w:rtl/>
        </w:rPr>
      </w:pPr>
      <w:r w:rsidRPr="00F27422">
        <w:rPr>
          <w:b/>
          <w:bCs/>
          <w:sz w:val="32"/>
          <w:szCs w:val="32"/>
          <w:rtl/>
        </w:rPr>
        <w:t xml:space="preserve">فتلخص مما مضى كلّه: </w:t>
      </w:r>
      <w:r w:rsidRPr="00F27422">
        <w:rPr>
          <w:sz w:val="32"/>
          <w:szCs w:val="32"/>
          <w:rtl/>
        </w:rPr>
        <w:t>أنّ الصحيح نفوذُ عقد الوليّ على الصبيّة بعد بلوغها وفسخها</w:t>
      </w:r>
      <w:r w:rsidRPr="00F27422">
        <w:rPr>
          <w:sz w:val="32"/>
          <w:szCs w:val="32"/>
        </w:rPr>
        <w:t>.</w:t>
      </w:r>
    </w:p>
    <w:p w14:paraId="221E53DC" w14:textId="77777777" w:rsidR="00EF5AF6" w:rsidRPr="00F27422" w:rsidRDefault="00EF5AF6" w:rsidP="00122B70">
      <w:pPr>
        <w:bidi/>
        <w:rPr>
          <w:b/>
          <w:bCs/>
          <w:sz w:val="32"/>
          <w:szCs w:val="32"/>
          <w:rtl/>
        </w:rPr>
      </w:pPr>
      <w:r w:rsidRPr="00F27422">
        <w:rPr>
          <w:b/>
          <w:bCs/>
          <w:sz w:val="32"/>
          <w:szCs w:val="32"/>
          <w:rtl/>
        </w:rPr>
        <w:t>على مستوى الروايات الشريفة،</w:t>
      </w:r>
      <w:r w:rsidRPr="00F27422">
        <w:rPr>
          <w:sz w:val="32"/>
          <w:szCs w:val="32"/>
          <w:rtl/>
        </w:rPr>
        <w:t xml:space="preserve"> بتقديم الطائفة الدالة على نفي الخيار باعتبارها المشهورة روايةً وعملاً</w:t>
      </w:r>
      <w:r w:rsidRPr="00F27422">
        <w:rPr>
          <w:sz w:val="32"/>
          <w:szCs w:val="32"/>
        </w:rPr>
        <w:t>.</w:t>
      </w:r>
    </w:p>
    <w:p w14:paraId="0083E283" w14:textId="77777777" w:rsidR="00EF5AF6" w:rsidRPr="00F27422" w:rsidRDefault="00EF5AF6" w:rsidP="00122B70">
      <w:pPr>
        <w:bidi/>
        <w:rPr>
          <w:b/>
          <w:bCs/>
          <w:sz w:val="32"/>
          <w:szCs w:val="32"/>
          <w:rtl/>
        </w:rPr>
      </w:pPr>
      <w:r w:rsidRPr="00F27422">
        <w:rPr>
          <w:b/>
          <w:bCs/>
          <w:sz w:val="32"/>
          <w:szCs w:val="32"/>
          <w:rtl/>
        </w:rPr>
        <w:t>وعلى مستوى الأصل العملي،</w:t>
      </w:r>
      <w:r w:rsidRPr="00F27422">
        <w:rPr>
          <w:sz w:val="32"/>
          <w:szCs w:val="32"/>
          <w:rtl/>
        </w:rPr>
        <w:t xml:space="preserve"> باستصحاب اللزوم، إنْ لَمْ يرد عليه إشكال جريان الاستصحاب في الشبهة الحكمية</w:t>
      </w:r>
      <w:r w:rsidRPr="00F27422">
        <w:rPr>
          <w:sz w:val="32"/>
          <w:szCs w:val="32"/>
        </w:rPr>
        <w:t>.</w:t>
      </w:r>
    </w:p>
    <w:p w14:paraId="5E9568EC" w14:textId="77777777" w:rsidR="00EF5AF6" w:rsidRPr="00F27422" w:rsidRDefault="00EF5AF6" w:rsidP="00122B70">
      <w:pPr>
        <w:bidi/>
        <w:rPr>
          <w:b/>
          <w:bCs/>
          <w:sz w:val="32"/>
          <w:szCs w:val="32"/>
          <w:rtl/>
        </w:rPr>
      </w:pPr>
      <w:r w:rsidRPr="00F27422">
        <w:rPr>
          <w:sz w:val="32"/>
          <w:szCs w:val="32"/>
          <w:rtl/>
        </w:rPr>
        <w:lastRenderedPageBreak/>
        <w:t>تمّ الكلامُ في تحقيق مسألة تزويج الصغير أو الصغيرة ونفوذ التزويج بعد بلوغهما، مع أنّها خارجة عن بحث الإجارة، ولكن حيث إنّ الأعلام استشهدوا به في البحث واعتبروه أصلاً مسلماً ولذلك كان مِن المناسب الدخول فيه.</w:t>
      </w:r>
    </w:p>
    <w:p w14:paraId="24E6FB75" w14:textId="77777777" w:rsidR="00EF5AF6" w:rsidRPr="00F27422" w:rsidRDefault="00EF5AF6" w:rsidP="00122B70">
      <w:pPr>
        <w:bidi/>
        <w:rPr>
          <w:sz w:val="32"/>
          <w:szCs w:val="32"/>
          <w:rtl/>
        </w:rPr>
      </w:pPr>
    </w:p>
    <w:p w14:paraId="4C496EA7" w14:textId="77777777" w:rsidR="00EF5AF6" w:rsidRPr="00F27422" w:rsidRDefault="00EF5AF6" w:rsidP="00122B70">
      <w:pPr>
        <w:bidi/>
        <w:rPr>
          <w:b/>
          <w:bCs/>
          <w:sz w:val="32"/>
          <w:szCs w:val="32"/>
          <w:rtl/>
        </w:rPr>
      </w:pPr>
      <w:r w:rsidRPr="00F27422">
        <w:rPr>
          <w:b/>
          <w:bCs/>
          <w:sz w:val="32"/>
          <w:szCs w:val="32"/>
          <w:rtl/>
        </w:rPr>
        <w:t xml:space="preserve">والحمد لله رب العالمين </w:t>
      </w:r>
    </w:p>
    <w:p w14:paraId="00517BCC" w14:textId="77777777" w:rsidR="00A077B1" w:rsidRPr="00F27422" w:rsidRDefault="00A077B1" w:rsidP="00122B70">
      <w:pPr>
        <w:bidi/>
        <w:rPr>
          <w:sz w:val="32"/>
          <w:szCs w:val="32"/>
          <w:rtl/>
        </w:rPr>
      </w:pPr>
    </w:p>
    <w:p w14:paraId="68FA6C35" w14:textId="62072821" w:rsidR="00EF5AF6" w:rsidRPr="00F27422" w:rsidRDefault="00EF5AF6" w:rsidP="00122B70">
      <w:pPr>
        <w:pStyle w:val="Heading3"/>
        <w:bidi/>
        <w:rPr>
          <w:sz w:val="32"/>
          <w:szCs w:val="32"/>
          <w:rtl/>
        </w:rPr>
      </w:pPr>
      <w:r w:rsidRPr="00F27422">
        <w:rPr>
          <w:rFonts w:hint="cs"/>
          <w:sz w:val="32"/>
          <w:szCs w:val="32"/>
          <w:rtl/>
        </w:rPr>
        <w:t>065</w:t>
      </w:r>
    </w:p>
    <w:p w14:paraId="2EFCA5E5" w14:textId="77777777" w:rsidR="00EF5AF6" w:rsidRPr="00F27422" w:rsidRDefault="00EF5AF6" w:rsidP="00122B70">
      <w:pPr>
        <w:bidi/>
        <w:rPr>
          <w:sz w:val="32"/>
          <w:szCs w:val="32"/>
          <w:rtl/>
        </w:rPr>
      </w:pPr>
    </w:p>
    <w:p w14:paraId="24F467EC" w14:textId="77777777" w:rsidR="005B2956" w:rsidRPr="00F27422" w:rsidRDefault="005B2956" w:rsidP="00122B70">
      <w:pPr>
        <w:tabs>
          <w:tab w:val="left" w:pos="1070"/>
        </w:tabs>
        <w:bidi/>
        <w:rPr>
          <w:b/>
          <w:bCs/>
          <w:sz w:val="32"/>
          <w:szCs w:val="32"/>
        </w:rPr>
      </w:pPr>
      <w:r w:rsidRPr="00F27422">
        <w:rPr>
          <w:b/>
          <w:bCs/>
          <w:sz w:val="32"/>
          <w:szCs w:val="32"/>
          <w:rtl/>
        </w:rPr>
        <w:t>بسم الله الرحمن الرحيم</w:t>
      </w:r>
    </w:p>
    <w:p w14:paraId="4F438B45" w14:textId="77777777" w:rsidR="005B2956" w:rsidRPr="00F27422" w:rsidRDefault="005B2956" w:rsidP="00122B70">
      <w:pPr>
        <w:tabs>
          <w:tab w:val="left" w:pos="1070"/>
        </w:tabs>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6D42BB4B" w14:textId="77777777" w:rsidR="005B2956" w:rsidRPr="00F27422" w:rsidRDefault="005B2956" w:rsidP="00122B70">
      <w:pPr>
        <w:tabs>
          <w:tab w:val="left" w:pos="1070"/>
        </w:tabs>
        <w:bidi/>
        <w:rPr>
          <w:b/>
          <w:bCs/>
          <w:sz w:val="32"/>
          <w:szCs w:val="32"/>
          <w:rtl/>
        </w:rPr>
      </w:pPr>
      <w:r w:rsidRPr="00F27422">
        <w:rPr>
          <w:b/>
          <w:bCs/>
          <w:sz w:val="32"/>
          <w:szCs w:val="32"/>
          <w:rtl/>
        </w:rPr>
        <w:t>واللعن الدائم على أعدائهم أجمعين إلى قيام يوم الدين</w:t>
      </w:r>
    </w:p>
    <w:p w14:paraId="3418154C" w14:textId="77777777" w:rsidR="005B2956" w:rsidRPr="00F27422" w:rsidRDefault="005B2956" w:rsidP="00122B70">
      <w:pPr>
        <w:tabs>
          <w:tab w:val="left" w:pos="1070"/>
        </w:tabs>
        <w:bidi/>
        <w:rPr>
          <w:b/>
          <w:bCs/>
          <w:sz w:val="32"/>
          <w:szCs w:val="32"/>
          <w:rtl/>
        </w:rPr>
      </w:pPr>
    </w:p>
    <w:p w14:paraId="1AF5D190" w14:textId="77777777" w:rsidR="005B2956" w:rsidRPr="00F27422" w:rsidRDefault="005B2956" w:rsidP="00122B70">
      <w:pPr>
        <w:pStyle w:val="Heading3"/>
        <w:bidi/>
        <w:rPr>
          <w:b/>
          <w:bCs/>
          <w:sz w:val="32"/>
          <w:szCs w:val="32"/>
          <w:rtl/>
        </w:rPr>
      </w:pPr>
      <w:r w:rsidRPr="00F27422">
        <w:rPr>
          <w:b/>
          <w:bCs/>
          <w:sz w:val="32"/>
          <w:szCs w:val="32"/>
          <w:rtl/>
        </w:rPr>
        <w:t>المسألة الخامسة "من فصل أحكام الإجارة":</w:t>
      </w:r>
    </w:p>
    <w:p w14:paraId="637549B1" w14:textId="77777777" w:rsidR="005B2956" w:rsidRPr="00F27422" w:rsidRDefault="005B2956" w:rsidP="00122B70">
      <w:pPr>
        <w:tabs>
          <w:tab w:val="left" w:pos="1070"/>
        </w:tabs>
        <w:bidi/>
        <w:rPr>
          <w:b/>
          <w:bCs/>
          <w:sz w:val="32"/>
          <w:szCs w:val="32"/>
          <w:rtl/>
        </w:rPr>
      </w:pPr>
      <w:r w:rsidRPr="00F27422">
        <w:rPr>
          <w:sz w:val="32"/>
          <w:szCs w:val="32"/>
          <w:rtl/>
        </w:rPr>
        <w:t xml:space="preserve">قال سيد العروة (قدس سره الشريف): </w:t>
      </w:r>
      <w:r w:rsidRPr="00F27422">
        <w:rPr>
          <w:b/>
          <w:bCs/>
          <w:sz w:val="32"/>
          <w:szCs w:val="32"/>
          <w:rtl/>
        </w:rPr>
        <w:t>(مسألة 5: إذا آجرت امرأة نفسها للخدمة مدّة معيّنة فتزوّجت قبل انقضائها لم تبطل الإجارة وإن كانت الخدمة منافية لاستمتاع الزوج)</w:t>
      </w:r>
      <w:r w:rsidRPr="00F27422">
        <w:rPr>
          <w:b/>
          <w:bCs/>
          <w:sz w:val="32"/>
          <w:szCs w:val="32"/>
        </w:rPr>
        <w:t>.</w:t>
      </w:r>
    </w:p>
    <w:p w14:paraId="2598F6FA" w14:textId="77777777" w:rsidR="005B2956" w:rsidRPr="00F27422" w:rsidRDefault="005B2956" w:rsidP="00122B70">
      <w:pPr>
        <w:tabs>
          <w:tab w:val="left" w:pos="1070"/>
        </w:tabs>
        <w:bidi/>
        <w:rPr>
          <w:b/>
          <w:bCs/>
          <w:sz w:val="32"/>
          <w:szCs w:val="32"/>
          <w:rtl/>
        </w:rPr>
      </w:pPr>
      <w:r w:rsidRPr="00F27422">
        <w:rPr>
          <w:sz w:val="32"/>
          <w:szCs w:val="32"/>
          <w:rtl/>
        </w:rPr>
        <w:t>كما لو آجرت المرأةُ نفسها لخدمةٍ في مكانٍ معيّن كلّ ليلةٍ بحيثُ يكونُ وجوبُ الوفاءِ بعقد الإجارة في حقّها بعد الزواج منافياً لحقّ الزوج في الاستمتاع بها في فرض عدم تمكن الزوج مِن الاستمتاع بها نهاراً</w:t>
      </w:r>
      <w:r w:rsidRPr="00F27422">
        <w:rPr>
          <w:sz w:val="32"/>
          <w:szCs w:val="32"/>
        </w:rPr>
        <w:t>.</w:t>
      </w:r>
    </w:p>
    <w:p w14:paraId="784788F8" w14:textId="77777777" w:rsidR="005B2956" w:rsidRPr="00F27422" w:rsidRDefault="005B2956" w:rsidP="00122B70">
      <w:pPr>
        <w:tabs>
          <w:tab w:val="left" w:pos="1070"/>
        </w:tabs>
        <w:bidi/>
        <w:rPr>
          <w:b/>
          <w:bCs/>
          <w:sz w:val="32"/>
          <w:szCs w:val="32"/>
          <w:rtl/>
        </w:rPr>
      </w:pPr>
      <w:r w:rsidRPr="00F27422">
        <w:rPr>
          <w:sz w:val="32"/>
          <w:szCs w:val="32"/>
          <w:rtl/>
        </w:rPr>
        <w:t>فهل تبطلُ الإجارة في المدّة الباقية؛ لأجل وجوب تمكين الزوج مِن الاستمتاع بها، أم يجبُ عليها الوفاء بعقد الإجارة في المدّة الباقية، ويقصرُ حقّ الزوج عن الاستمتاع بها في هذه المدّة؟</w:t>
      </w:r>
    </w:p>
    <w:p w14:paraId="6B5E7C1D" w14:textId="77777777" w:rsidR="005B2956" w:rsidRPr="00F27422" w:rsidRDefault="005B2956" w:rsidP="00122B70">
      <w:pPr>
        <w:tabs>
          <w:tab w:val="left" w:pos="1070"/>
        </w:tabs>
        <w:bidi/>
        <w:rPr>
          <w:b/>
          <w:bCs/>
          <w:sz w:val="32"/>
          <w:szCs w:val="32"/>
          <w:rtl/>
        </w:rPr>
      </w:pPr>
      <w:r w:rsidRPr="00F27422">
        <w:rPr>
          <w:sz w:val="32"/>
          <w:szCs w:val="32"/>
          <w:rtl/>
        </w:rPr>
        <w:t xml:space="preserve">والمسألةُ وإنْ خصها سيد العروة (قدس سره الشريف) بالزوجة إلّا أنّها تشملُ الزوج أيضاً، فإنّه لو فرض أنّ المكلف آجر نفسه لخدمةٍ ثمّ تزوج أثناء مدّة الإجارة وكان الوفاء بعقد الإجارة مِن قِبله منافياً لحقّ المرأة في المضاجعة أو القسمة، شمله البحث وهو: هل أنّ وجوب </w:t>
      </w:r>
      <w:r w:rsidRPr="00F27422">
        <w:rPr>
          <w:sz w:val="32"/>
          <w:szCs w:val="32"/>
          <w:rtl/>
        </w:rPr>
        <w:lastRenderedPageBreak/>
        <w:t>الوفاء بعقد الإجارة مقدمٌ على وجوب تمكين الزوجة من اِستيفاء الحقّ، أم العكس؟</w:t>
      </w:r>
      <w:r w:rsidRPr="00F27422">
        <w:rPr>
          <w:b/>
          <w:bCs/>
          <w:sz w:val="32"/>
          <w:szCs w:val="32"/>
          <w:rtl/>
        </w:rPr>
        <w:t xml:space="preserve"> </w:t>
      </w:r>
      <w:r w:rsidRPr="00F27422">
        <w:rPr>
          <w:sz w:val="32"/>
          <w:szCs w:val="32"/>
          <w:rtl/>
        </w:rPr>
        <w:t>فالنكتةُ واحدة</w:t>
      </w:r>
      <w:r w:rsidRPr="00F27422">
        <w:rPr>
          <w:sz w:val="32"/>
          <w:szCs w:val="32"/>
        </w:rPr>
        <w:t>.</w:t>
      </w:r>
    </w:p>
    <w:p w14:paraId="22CC65A4" w14:textId="77777777" w:rsidR="005B2956" w:rsidRPr="00F27422" w:rsidRDefault="005B2956" w:rsidP="00122B70">
      <w:pPr>
        <w:tabs>
          <w:tab w:val="left" w:pos="1070"/>
        </w:tabs>
        <w:bidi/>
        <w:rPr>
          <w:b/>
          <w:bCs/>
          <w:sz w:val="32"/>
          <w:szCs w:val="32"/>
          <w:rtl/>
        </w:rPr>
      </w:pPr>
      <w:r w:rsidRPr="00F27422">
        <w:rPr>
          <w:sz w:val="32"/>
          <w:szCs w:val="32"/>
          <w:rtl/>
        </w:rPr>
        <w:t>وقد ذهب المشهور - كما في الجواهر - إلى أنّ الإجارة نافذة ولا حقّ للزوج في الاستمتاعات بها؛ حيث تزوجها مسلوبة المنفعة بمقتضى الإجارة السابقة على عقد الزواج</w:t>
      </w:r>
      <w:r w:rsidRPr="00F27422">
        <w:rPr>
          <w:sz w:val="32"/>
          <w:szCs w:val="32"/>
        </w:rPr>
        <w:t>.</w:t>
      </w:r>
    </w:p>
    <w:p w14:paraId="1663F6DC" w14:textId="77777777" w:rsidR="005B2956" w:rsidRPr="00F27422" w:rsidRDefault="005B2956" w:rsidP="00122B70">
      <w:pPr>
        <w:tabs>
          <w:tab w:val="left" w:pos="1070"/>
        </w:tabs>
        <w:bidi/>
        <w:rPr>
          <w:b/>
          <w:bCs/>
          <w:sz w:val="32"/>
          <w:szCs w:val="32"/>
          <w:rtl/>
        </w:rPr>
      </w:pPr>
      <w:r w:rsidRPr="00F27422">
        <w:rPr>
          <w:b/>
          <w:bCs/>
          <w:sz w:val="32"/>
          <w:szCs w:val="32"/>
          <w:rtl/>
        </w:rPr>
        <w:t>وقد استدل على رأي المشهور بعدّة وجوه</w:t>
      </w:r>
      <w:r w:rsidRPr="00F27422">
        <w:rPr>
          <w:b/>
          <w:bCs/>
          <w:sz w:val="32"/>
          <w:szCs w:val="32"/>
        </w:rPr>
        <w:t>:</w:t>
      </w:r>
    </w:p>
    <w:p w14:paraId="140204D4" w14:textId="77777777" w:rsidR="005B2956" w:rsidRPr="00F27422" w:rsidRDefault="005B2956" w:rsidP="00122B70">
      <w:pPr>
        <w:tabs>
          <w:tab w:val="left" w:pos="1070"/>
        </w:tabs>
        <w:bidi/>
        <w:rPr>
          <w:b/>
          <w:bCs/>
          <w:sz w:val="32"/>
          <w:szCs w:val="32"/>
          <w:rtl/>
        </w:rPr>
      </w:pPr>
      <w:r w:rsidRPr="00F27422">
        <w:rPr>
          <w:b/>
          <w:bCs/>
          <w:sz w:val="32"/>
          <w:szCs w:val="32"/>
          <w:rtl/>
        </w:rPr>
        <w:t xml:space="preserve">الوجهُ الأوّل: </w:t>
      </w:r>
      <w:r w:rsidRPr="00F27422">
        <w:rPr>
          <w:sz w:val="32"/>
          <w:szCs w:val="32"/>
          <w:rtl/>
        </w:rPr>
        <w:t>ما ذكره الفقيه النبيه سيد المستمسك (قدس سره الشريف) في مستمسكه</w:t>
      </w:r>
      <w:r w:rsidRPr="00F27422">
        <w:rPr>
          <w:sz w:val="32"/>
          <w:szCs w:val="32"/>
          <w:vertAlign w:val="superscript"/>
          <w:rtl/>
        </w:rPr>
        <w:footnoteReference w:id="22"/>
      </w:r>
      <w:r w:rsidRPr="00F27422">
        <w:rPr>
          <w:sz w:val="32"/>
          <w:szCs w:val="32"/>
          <w:rtl/>
        </w:rPr>
        <w:t xml:space="preserve"> بقوله: </w:t>
      </w:r>
      <w:r w:rsidRPr="00F27422">
        <w:rPr>
          <w:b/>
          <w:bCs/>
          <w:sz w:val="32"/>
          <w:szCs w:val="32"/>
          <w:rtl/>
        </w:rPr>
        <w:t>(لأن حق الاستمتاع يختص بغير صورة المزاحمة للواجب المجعول بالإجارة السابقة، ولا مجال لدعوى العكس، فيقال: الإجارة باطلة لعدم القدرة على التسليم)</w:t>
      </w:r>
      <w:r w:rsidRPr="00F27422">
        <w:rPr>
          <w:b/>
          <w:bCs/>
          <w:sz w:val="32"/>
          <w:szCs w:val="32"/>
        </w:rPr>
        <w:t>.</w:t>
      </w:r>
    </w:p>
    <w:p w14:paraId="2C80079E" w14:textId="77777777" w:rsidR="005B2956" w:rsidRPr="00F27422" w:rsidRDefault="005B2956" w:rsidP="00122B70">
      <w:pPr>
        <w:tabs>
          <w:tab w:val="left" w:pos="1070"/>
        </w:tabs>
        <w:bidi/>
        <w:rPr>
          <w:b/>
          <w:bCs/>
          <w:sz w:val="32"/>
          <w:szCs w:val="32"/>
          <w:rtl/>
        </w:rPr>
      </w:pPr>
      <w:r w:rsidRPr="00F27422">
        <w:rPr>
          <w:sz w:val="32"/>
          <w:szCs w:val="32"/>
          <w:rtl/>
        </w:rPr>
        <w:t xml:space="preserve">حيث يشترطُ في صحّة الإجارة القدرة على التسليم، والمرأة بعد زواجها لا قُدرة لها على الوفاء بعقد الإجارة؛ بلحاظ أنّ الوفاء بعقد الإجارة منافٍ لوجوب تمكين الزوج مِن الاستمتاع بها، فهل الإجارة باطلة لعدم القدرة على التسليم أم لا؟ </w:t>
      </w:r>
      <w:r w:rsidRPr="00F27422">
        <w:rPr>
          <w:b/>
          <w:bCs/>
          <w:sz w:val="32"/>
          <w:szCs w:val="32"/>
          <w:rtl/>
        </w:rPr>
        <w:t>(لأن التحقيق في العلل الشرعية، التي يكون بعضها مزاحماً للآخر، الترجيح بالسبق واللحوق، فيكون الأثر للسابق دون اللاحق)</w:t>
      </w:r>
      <w:r w:rsidRPr="00F27422">
        <w:rPr>
          <w:b/>
          <w:bCs/>
          <w:sz w:val="32"/>
          <w:szCs w:val="32"/>
        </w:rPr>
        <w:t>.</w:t>
      </w:r>
    </w:p>
    <w:p w14:paraId="46B100A1" w14:textId="77777777" w:rsidR="005B2956" w:rsidRPr="00F27422" w:rsidRDefault="005B2956" w:rsidP="00122B70">
      <w:pPr>
        <w:tabs>
          <w:tab w:val="left" w:pos="1070"/>
        </w:tabs>
        <w:bidi/>
        <w:rPr>
          <w:b/>
          <w:bCs/>
          <w:sz w:val="32"/>
          <w:szCs w:val="32"/>
          <w:rtl/>
        </w:rPr>
      </w:pPr>
      <w:r w:rsidRPr="00F27422">
        <w:rPr>
          <w:b/>
          <w:bCs/>
          <w:sz w:val="32"/>
          <w:szCs w:val="32"/>
          <w:rtl/>
        </w:rPr>
        <w:t>وحاصل كلامه (قدس سره):</w:t>
      </w:r>
      <w:r w:rsidRPr="00F27422">
        <w:rPr>
          <w:sz w:val="32"/>
          <w:szCs w:val="32"/>
          <w:rtl/>
        </w:rPr>
        <w:t xml:space="preserve"> أنّ المقام مِن باب التزاحم بين العلل الشرعية، أي موضوعات الأحكام الشرعية: نحو ما بين وجوب الوفاء بعقد الإجارة على المرأة وبين وجوب تمكين الزوج مِن الاستمتاع بها، وبما أنّ المقام مِن باب التزاحم وقد ذُكر في مرجحات التزاحم أنّ مِن المرجحات السبق الزمني، والمفروضُ أنّ وجوب الوفاء بعقد الإجارة سابق زماناً، بلحاظ أنّ عقد الإجارة سابق زماناً على عقد النكاح فهو المقدم</w:t>
      </w:r>
      <w:r w:rsidRPr="00F27422">
        <w:rPr>
          <w:sz w:val="32"/>
          <w:szCs w:val="32"/>
        </w:rPr>
        <w:t>.</w:t>
      </w:r>
    </w:p>
    <w:p w14:paraId="0F71FE3A" w14:textId="77777777" w:rsidR="005B2956" w:rsidRPr="00F27422" w:rsidRDefault="005B2956" w:rsidP="00122B70">
      <w:pPr>
        <w:tabs>
          <w:tab w:val="left" w:pos="1070"/>
        </w:tabs>
        <w:bidi/>
        <w:rPr>
          <w:b/>
          <w:bCs/>
          <w:sz w:val="32"/>
          <w:szCs w:val="32"/>
          <w:rtl/>
        </w:rPr>
      </w:pPr>
      <w:r w:rsidRPr="00F27422">
        <w:rPr>
          <w:sz w:val="32"/>
          <w:szCs w:val="32"/>
          <w:rtl/>
        </w:rPr>
        <w:t xml:space="preserve">ثمّ انتقل (قدس سره) إلى مثالٍ هو مِن المشكلات في الفقه بقوله: </w:t>
      </w:r>
      <w:r w:rsidRPr="00F27422">
        <w:rPr>
          <w:b/>
          <w:bCs/>
          <w:sz w:val="32"/>
          <w:szCs w:val="32"/>
          <w:rtl/>
        </w:rPr>
        <w:t>(ومن ذلك يظهر أنه)</w:t>
      </w:r>
      <w:r w:rsidRPr="00F27422">
        <w:rPr>
          <w:sz w:val="32"/>
          <w:szCs w:val="32"/>
          <w:rtl/>
        </w:rPr>
        <w:t xml:space="preserve"> أي: المكلف </w:t>
      </w:r>
      <w:r w:rsidRPr="00F27422">
        <w:rPr>
          <w:b/>
          <w:bCs/>
          <w:sz w:val="32"/>
          <w:szCs w:val="32"/>
          <w:rtl/>
        </w:rPr>
        <w:t>(لو نذر أن يزور الحسين (عليه السلام) يوم عرفة)</w:t>
      </w:r>
      <w:r w:rsidRPr="00F27422">
        <w:rPr>
          <w:sz w:val="32"/>
          <w:szCs w:val="32"/>
          <w:rtl/>
        </w:rPr>
        <w:t xml:space="preserve"> في هذا العام </w:t>
      </w:r>
      <w:r w:rsidRPr="00F27422">
        <w:rPr>
          <w:b/>
          <w:bCs/>
          <w:sz w:val="32"/>
          <w:szCs w:val="32"/>
          <w:rtl/>
        </w:rPr>
        <w:t>(فاستطاع)</w:t>
      </w:r>
      <w:r w:rsidRPr="00F27422">
        <w:rPr>
          <w:sz w:val="32"/>
          <w:szCs w:val="32"/>
          <w:rtl/>
        </w:rPr>
        <w:t xml:space="preserve"> للحج، </w:t>
      </w:r>
      <w:r w:rsidRPr="00F27422">
        <w:rPr>
          <w:b/>
          <w:bCs/>
          <w:sz w:val="32"/>
          <w:szCs w:val="32"/>
          <w:rtl/>
        </w:rPr>
        <w:t xml:space="preserve">(كان النذر مقدماً على الاستطاعة) </w:t>
      </w:r>
      <w:r w:rsidRPr="00F27422">
        <w:rPr>
          <w:sz w:val="32"/>
          <w:szCs w:val="32"/>
          <w:rtl/>
        </w:rPr>
        <w:t xml:space="preserve">فإنّ العلل الشرعية إذا تزاحمتْ قدم السابق والنذر سابق على تحقّق الاستطاعة، </w:t>
      </w:r>
      <w:r w:rsidRPr="00F27422">
        <w:rPr>
          <w:b/>
          <w:bCs/>
          <w:sz w:val="32"/>
          <w:szCs w:val="32"/>
          <w:rtl/>
        </w:rPr>
        <w:t>(ولو استطاع ثم نذر كانت الاستطاعة مقدمة على النذر)</w:t>
      </w:r>
      <w:r w:rsidRPr="00F27422">
        <w:rPr>
          <w:b/>
          <w:bCs/>
          <w:sz w:val="32"/>
          <w:szCs w:val="32"/>
        </w:rPr>
        <w:t>.</w:t>
      </w:r>
    </w:p>
    <w:p w14:paraId="2332B377" w14:textId="77777777" w:rsidR="005B2956" w:rsidRPr="00F27422" w:rsidRDefault="005B2956" w:rsidP="00122B70">
      <w:pPr>
        <w:tabs>
          <w:tab w:val="left" w:pos="1070"/>
        </w:tabs>
        <w:bidi/>
        <w:rPr>
          <w:b/>
          <w:bCs/>
          <w:sz w:val="32"/>
          <w:szCs w:val="32"/>
          <w:rtl/>
        </w:rPr>
      </w:pPr>
      <w:r w:rsidRPr="00F27422">
        <w:rPr>
          <w:b/>
          <w:bCs/>
          <w:sz w:val="32"/>
          <w:szCs w:val="32"/>
          <w:rtl/>
        </w:rPr>
        <w:t>وكلامُ سيد المستمسك (قدس سره الشريف) مستبطنٌ لبحوث</w:t>
      </w:r>
      <w:r w:rsidRPr="00F27422">
        <w:rPr>
          <w:b/>
          <w:bCs/>
          <w:sz w:val="32"/>
          <w:szCs w:val="32"/>
        </w:rPr>
        <w:t>:</w:t>
      </w:r>
    </w:p>
    <w:p w14:paraId="6B1B9F24" w14:textId="77777777" w:rsidR="005B2956" w:rsidRPr="00F27422" w:rsidRDefault="005B2956" w:rsidP="00122B70">
      <w:pPr>
        <w:tabs>
          <w:tab w:val="left" w:pos="1070"/>
        </w:tabs>
        <w:bidi/>
        <w:rPr>
          <w:sz w:val="32"/>
          <w:szCs w:val="32"/>
          <w:rtl/>
        </w:rPr>
      </w:pPr>
      <w:r w:rsidRPr="00F27422">
        <w:rPr>
          <w:b/>
          <w:bCs/>
          <w:sz w:val="32"/>
          <w:szCs w:val="32"/>
          <w:rtl/>
        </w:rPr>
        <w:t>الأوّل:</w:t>
      </w:r>
      <w:r w:rsidRPr="00F27422">
        <w:rPr>
          <w:sz w:val="32"/>
          <w:szCs w:val="32"/>
          <w:rtl/>
        </w:rPr>
        <w:t xml:space="preserve"> هل أنّ لأدلّة الحكمين وهما: دليل نفوذ الإجارة ودليل حقّ الاستمتاع شمول لفرض التنافي بينهما أم لا؟</w:t>
      </w:r>
    </w:p>
    <w:p w14:paraId="1DB509C9" w14:textId="77777777" w:rsidR="005B2956" w:rsidRPr="00F27422" w:rsidRDefault="005B2956" w:rsidP="00122B70">
      <w:pPr>
        <w:tabs>
          <w:tab w:val="left" w:pos="1070"/>
        </w:tabs>
        <w:bidi/>
        <w:rPr>
          <w:sz w:val="32"/>
          <w:szCs w:val="32"/>
          <w:rtl/>
        </w:rPr>
      </w:pPr>
      <w:r w:rsidRPr="00F27422">
        <w:rPr>
          <w:b/>
          <w:bCs/>
          <w:sz w:val="32"/>
          <w:szCs w:val="32"/>
          <w:rtl/>
        </w:rPr>
        <w:lastRenderedPageBreak/>
        <w:t>الثاني:</w:t>
      </w:r>
      <w:r w:rsidRPr="00F27422">
        <w:rPr>
          <w:sz w:val="32"/>
          <w:szCs w:val="32"/>
          <w:rtl/>
        </w:rPr>
        <w:t xml:space="preserve"> على فرض شمول الأدلة للمقام، فهل التنافي هنا مِن باب التزاحم أم مِن باب التعارض؟</w:t>
      </w:r>
    </w:p>
    <w:p w14:paraId="45453877" w14:textId="77777777" w:rsidR="005B2956" w:rsidRPr="00F27422" w:rsidRDefault="005B2956" w:rsidP="00122B70">
      <w:pPr>
        <w:tabs>
          <w:tab w:val="left" w:pos="1070"/>
        </w:tabs>
        <w:bidi/>
        <w:rPr>
          <w:b/>
          <w:bCs/>
          <w:sz w:val="32"/>
          <w:szCs w:val="32"/>
          <w:rtl/>
        </w:rPr>
      </w:pPr>
      <w:r w:rsidRPr="00F27422">
        <w:rPr>
          <w:b/>
          <w:bCs/>
          <w:sz w:val="32"/>
          <w:szCs w:val="32"/>
          <w:rtl/>
        </w:rPr>
        <w:t>الثالث:</w:t>
      </w:r>
      <w:r w:rsidRPr="00F27422">
        <w:rPr>
          <w:sz w:val="32"/>
          <w:szCs w:val="32"/>
          <w:rtl/>
        </w:rPr>
        <w:t xml:space="preserve"> على فرض أنّ المقام مِن باب التزاحم، فهل أنّ السبق الزمني مِن مرجحات باب التزاحم أم لا؟</w:t>
      </w:r>
    </w:p>
    <w:p w14:paraId="0B93FBE9" w14:textId="77777777" w:rsidR="005B2956" w:rsidRPr="00F27422" w:rsidRDefault="005B2956" w:rsidP="00122B70">
      <w:pPr>
        <w:tabs>
          <w:tab w:val="left" w:pos="1070"/>
        </w:tabs>
        <w:bidi/>
        <w:rPr>
          <w:sz w:val="32"/>
          <w:szCs w:val="32"/>
          <w:rtl/>
        </w:rPr>
      </w:pPr>
      <w:r w:rsidRPr="00F27422">
        <w:rPr>
          <w:b/>
          <w:bCs/>
          <w:sz w:val="32"/>
          <w:szCs w:val="32"/>
          <w:rtl/>
        </w:rPr>
        <w:t>الرابع:</w:t>
      </w:r>
      <w:r w:rsidRPr="00F27422">
        <w:rPr>
          <w:sz w:val="32"/>
          <w:szCs w:val="32"/>
          <w:rtl/>
        </w:rPr>
        <w:t xml:space="preserve"> على فرض أنّ المقام من التزاحم، فهل يمكن أنْ يُقال في المقام بالترتُب؟</w:t>
      </w:r>
    </w:p>
    <w:p w14:paraId="4733C27B" w14:textId="77777777" w:rsidR="005B2956" w:rsidRPr="00F27422" w:rsidRDefault="005B2956" w:rsidP="00122B70">
      <w:pPr>
        <w:tabs>
          <w:tab w:val="left" w:pos="1070"/>
        </w:tabs>
        <w:bidi/>
        <w:rPr>
          <w:sz w:val="32"/>
          <w:szCs w:val="32"/>
          <w:rtl/>
        </w:rPr>
      </w:pPr>
      <w:r w:rsidRPr="00F27422">
        <w:rPr>
          <w:b/>
          <w:bCs/>
          <w:sz w:val="32"/>
          <w:szCs w:val="32"/>
          <w:rtl/>
        </w:rPr>
        <w:t xml:space="preserve">بأنْ يُقال: </w:t>
      </w:r>
      <w:r w:rsidRPr="00F27422">
        <w:rPr>
          <w:sz w:val="32"/>
          <w:szCs w:val="32"/>
          <w:rtl/>
        </w:rPr>
        <w:t>يجبُ على الزوجة الوفاء بعقد الإجارة فإنْ لَمْ تَفِ فيجبُ عليها التمكين للزوج.</w:t>
      </w:r>
    </w:p>
    <w:p w14:paraId="27B8C24D" w14:textId="77777777" w:rsidR="005B2956" w:rsidRPr="00F27422" w:rsidRDefault="005B2956" w:rsidP="00122B70">
      <w:pPr>
        <w:tabs>
          <w:tab w:val="left" w:pos="1070"/>
        </w:tabs>
        <w:bidi/>
        <w:rPr>
          <w:b/>
          <w:bCs/>
          <w:sz w:val="32"/>
          <w:szCs w:val="32"/>
          <w:rtl/>
        </w:rPr>
      </w:pPr>
      <w:r w:rsidRPr="00F27422">
        <w:rPr>
          <w:b/>
          <w:bCs/>
          <w:sz w:val="32"/>
          <w:szCs w:val="32"/>
          <w:rtl/>
        </w:rPr>
        <w:t>أو يُقال:</w:t>
      </w:r>
      <w:r w:rsidRPr="00F27422">
        <w:rPr>
          <w:sz w:val="32"/>
          <w:szCs w:val="32"/>
          <w:rtl/>
        </w:rPr>
        <w:t xml:space="preserve"> يجب عليها التمكينُ للزوج فإنْ عصتْ فيجبُ عليها الوفاء بعقد الإجارة</w:t>
      </w:r>
      <w:r w:rsidRPr="00F27422">
        <w:rPr>
          <w:sz w:val="32"/>
          <w:szCs w:val="32"/>
        </w:rPr>
        <w:t>.</w:t>
      </w:r>
    </w:p>
    <w:p w14:paraId="7602C0BD" w14:textId="77777777" w:rsidR="005B2956" w:rsidRPr="00F27422" w:rsidRDefault="005B2956" w:rsidP="00122B70">
      <w:pPr>
        <w:tabs>
          <w:tab w:val="left" w:pos="1070"/>
        </w:tabs>
        <w:bidi/>
        <w:rPr>
          <w:b/>
          <w:bCs/>
          <w:sz w:val="32"/>
          <w:szCs w:val="32"/>
          <w:rtl/>
        </w:rPr>
      </w:pPr>
      <w:r w:rsidRPr="00F27422">
        <w:rPr>
          <w:b/>
          <w:bCs/>
          <w:sz w:val="32"/>
          <w:szCs w:val="32"/>
          <w:rtl/>
        </w:rPr>
        <w:t>البحثُ الأوّل والثاني:</w:t>
      </w:r>
      <w:r w:rsidRPr="00F27422">
        <w:rPr>
          <w:sz w:val="32"/>
          <w:szCs w:val="32"/>
          <w:rtl/>
        </w:rPr>
        <w:t xml:space="preserve"> هل للأدلّة شمول للمقام وهل هو مِن باب التزاحم أم مِن باب التعارض؟</w:t>
      </w:r>
    </w:p>
    <w:p w14:paraId="62A8F869" w14:textId="77777777" w:rsidR="005B2956" w:rsidRPr="00F27422" w:rsidRDefault="005B2956" w:rsidP="00122B70">
      <w:pPr>
        <w:tabs>
          <w:tab w:val="left" w:pos="1070"/>
        </w:tabs>
        <w:bidi/>
        <w:rPr>
          <w:b/>
          <w:bCs/>
          <w:sz w:val="32"/>
          <w:szCs w:val="32"/>
          <w:rtl/>
        </w:rPr>
      </w:pPr>
      <w:r w:rsidRPr="00F27422">
        <w:rPr>
          <w:sz w:val="32"/>
          <w:szCs w:val="32"/>
          <w:rtl/>
        </w:rPr>
        <w:t>وقد أفاد بعض الأجلة (رحمه الله) في كتابه الإجارة</w:t>
      </w:r>
      <w:r w:rsidRPr="00F27422">
        <w:rPr>
          <w:sz w:val="32"/>
          <w:szCs w:val="32"/>
          <w:vertAlign w:val="superscript"/>
          <w:rtl/>
        </w:rPr>
        <w:footnoteReference w:id="23"/>
      </w:r>
      <w:r w:rsidRPr="00F27422">
        <w:rPr>
          <w:sz w:val="32"/>
          <w:szCs w:val="32"/>
          <w:rtl/>
        </w:rPr>
        <w:t xml:space="preserve"> بقوله: </w:t>
      </w:r>
      <w:r w:rsidRPr="00F27422">
        <w:rPr>
          <w:b/>
          <w:bCs/>
          <w:sz w:val="32"/>
          <w:szCs w:val="32"/>
          <w:rtl/>
        </w:rPr>
        <w:t xml:space="preserve">(إنّ المقام ليس من التزاحم </w:t>
      </w:r>
      <w:proofErr w:type="gramStart"/>
      <w:r w:rsidRPr="00F27422">
        <w:rPr>
          <w:b/>
          <w:bCs/>
          <w:sz w:val="32"/>
          <w:szCs w:val="32"/>
          <w:rtl/>
        </w:rPr>
        <w:t>أصلاً</w:t>
      </w:r>
      <w:proofErr w:type="gramEnd"/>
      <w:r w:rsidRPr="00F27422">
        <w:rPr>
          <w:b/>
          <w:bCs/>
          <w:sz w:val="32"/>
          <w:szCs w:val="32"/>
          <w:rtl/>
        </w:rPr>
        <w:t xml:space="preserve"> بل من التعارض بين دليل نفوذ الإجارة السابقة ودليل حق الاستمتاع للزوج حيث إنّ ملك)</w:t>
      </w:r>
      <w:r w:rsidRPr="00F27422">
        <w:rPr>
          <w:sz w:val="32"/>
          <w:szCs w:val="32"/>
          <w:rtl/>
        </w:rPr>
        <w:t xml:space="preserve"> المستأجر الذي استأجر الزوجة للخدمة </w:t>
      </w:r>
      <w:r w:rsidRPr="00F27422">
        <w:rPr>
          <w:b/>
          <w:bCs/>
          <w:sz w:val="32"/>
          <w:szCs w:val="32"/>
          <w:rtl/>
        </w:rPr>
        <w:t>(المنفعة المضادة مع استمتاع الزوج لا يمكن أن يجتمع مع حق الاستمتاع للزوج كحكمين وضعيين)</w:t>
      </w:r>
      <w:r w:rsidRPr="00F27422">
        <w:rPr>
          <w:b/>
          <w:bCs/>
          <w:sz w:val="32"/>
          <w:szCs w:val="32"/>
        </w:rPr>
        <w:t>.</w:t>
      </w:r>
    </w:p>
    <w:p w14:paraId="074EC7C3" w14:textId="77777777" w:rsidR="005B2956" w:rsidRPr="00F27422" w:rsidRDefault="005B2956" w:rsidP="00122B70">
      <w:pPr>
        <w:tabs>
          <w:tab w:val="left" w:pos="1070"/>
        </w:tabs>
        <w:bidi/>
        <w:rPr>
          <w:b/>
          <w:bCs/>
          <w:sz w:val="32"/>
          <w:szCs w:val="32"/>
          <w:rtl/>
        </w:rPr>
      </w:pPr>
      <w:r w:rsidRPr="00F27422">
        <w:rPr>
          <w:b/>
          <w:bCs/>
          <w:sz w:val="32"/>
          <w:szCs w:val="32"/>
          <w:rtl/>
        </w:rPr>
        <w:t xml:space="preserve">بمعنى: </w:t>
      </w:r>
      <w:r w:rsidRPr="00F27422">
        <w:rPr>
          <w:sz w:val="32"/>
          <w:szCs w:val="32"/>
          <w:rtl/>
        </w:rPr>
        <w:t>أنّ المشكلة سابقة رتبةً على الحكم التكليفي؛ إذ المشكلة ليست هي المنافاة بين حكمين تكليفيين وهما: وجوب الوفاء بعقد الإجارة أو وجوب التمكين، بل المشكلة ناشئة في رتبةٍ سابقة وهي: هل يتصور اجتماع حكمين وضعيين وهما: ملكية المُستأجر الخدمة في ذمّة الزوجة في هذه الليلة، وكون عهدتها مشغولة بحقّ الاستمتاع للزوج في نفس الوقت، ولا يعقل أنْ يجتمع حكمان وضعيان متضمنان لأمرين متضادين</w:t>
      </w:r>
      <w:r w:rsidRPr="00F27422">
        <w:rPr>
          <w:sz w:val="32"/>
          <w:szCs w:val="32"/>
        </w:rPr>
        <w:t>.</w:t>
      </w:r>
    </w:p>
    <w:p w14:paraId="745241BA" w14:textId="77777777" w:rsidR="005B2956" w:rsidRPr="00F27422" w:rsidRDefault="005B2956" w:rsidP="00122B70">
      <w:pPr>
        <w:tabs>
          <w:tab w:val="left" w:pos="1070"/>
        </w:tabs>
        <w:bidi/>
        <w:rPr>
          <w:b/>
          <w:bCs/>
          <w:sz w:val="32"/>
          <w:szCs w:val="32"/>
          <w:rtl/>
        </w:rPr>
      </w:pPr>
      <w:r w:rsidRPr="00F27422">
        <w:rPr>
          <w:b/>
          <w:bCs/>
          <w:sz w:val="32"/>
          <w:szCs w:val="32"/>
          <w:rtl/>
        </w:rPr>
        <w:t>(فإنّه)</w:t>
      </w:r>
      <w:r w:rsidRPr="00F27422">
        <w:rPr>
          <w:sz w:val="32"/>
          <w:szCs w:val="32"/>
          <w:rtl/>
        </w:rPr>
        <w:t xml:space="preserve"> أي: المقام </w:t>
      </w:r>
      <w:r w:rsidRPr="00F27422">
        <w:rPr>
          <w:b/>
          <w:bCs/>
          <w:sz w:val="32"/>
          <w:szCs w:val="32"/>
          <w:rtl/>
        </w:rPr>
        <w:t>(نظير جعل الملكية)</w:t>
      </w:r>
      <w:r w:rsidRPr="00F27422">
        <w:rPr>
          <w:sz w:val="32"/>
          <w:szCs w:val="32"/>
          <w:rtl/>
        </w:rPr>
        <w:t xml:space="preserve"> للمستأجر للعين </w:t>
      </w:r>
      <w:r w:rsidRPr="00F27422">
        <w:rPr>
          <w:b/>
          <w:bCs/>
          <w:sz w:val="32"/>
          <w:szCs w:val="32"/>
          <w:rtl/>
        </w:rPr>
        <w:t>(والحق)</w:t>
      </w:r>
      <w:r w:rsidRPr="00F27422">
        <w:rPr>
          <w:sz w:val="32"/>
          <w:szCs w:val="32"/>
          <w:rtl/>
        </w:rPr>
        <w:t xml:space="preserve"> لآخر </w:t>
      </w:r>
      <w:r w:rsidRPr="00F27422">
        <w:rPr>
          <w:b/>
          <w:bCs/>
          <w:sz w:val="32"/>
          <w:szCs w:val="32"/>
          <w:rtl/>
        </w:rPr>
        <w:t>(للمنفعتين المتضادتين)</w:t>
      </w:r>
      <w:r w:rsidRPr="00F27422">
        <w:rPr>
          <w:b/>
          <w:bCs/>
          <w:sz w:val="32"/>
          <w:szCs w:val="32"/>
        </w:rPr>
        <w:t>.</w:t>
      </w:r>
    </w:p>
    <w:p w14:paraId="12B07E20" w14:textId="77777777" w:rsidR="005B2956" w:rsidRPr="00F27422" w:rsidRDefault="005B2956" w:rsidP="00122B70">
      <w:pPr>
        <w:tabs>
          <w:tab w:val="left" w:pos="1070"/>
        </w:tabs>
        <w:bidi/>
        <w:rPr>
          <w:b/>
          <w:bCs/>
          <w:sz w:val="32"/>
          <w:szCs w:val="32"/>
          <w:rtl/>
        </w:rPr>
      </w:pPr>
      <w:r w:rsidRPr="00F27422">
        <w:rPr>
          <w:b/>
          <w:bCs/>
          <w:sz w:val="32"/>
          <w:szCs w:val="32"/>
          <w:rtl/>
        </w:rPr>
        <w:t>فمثلاً:</w:t>
      </w:r>
      <w:r w:rsidRPr="00F27422">
        <w:rPr>
          <w:sz w:val="32"/>
          <w:szCs w:val="32"/>
          <w:rtl/>
        </w:rPr>
        <w:t xml:space="preserve"> لو أنّ زيداً آجرَ الدار سنةً لبكرٍ وفي نفس الوقت جعل لزوجته حقّ السُكنى في الدار مدّة هذه السنة، وقع التعارض بين الدليلين، أي: بين دليل نفوذ الإجارة ودليل ثبوت حقّ السُكنى للزوجة في نفس ظرف متعلق الإجارة</w:t>
      </w:r>
      <w:r w:rsidRPr="00F27422">
        <w:rPr>
          <w:sz w:val="32"/>
          <w:szCs w:val="32"/>
        </w:rPr>
        <w:t>.</w:t>
      </w:r>
    </w:p>
    <w:p w14:paraId="17E3475A" w14:textId="77777777" w:rsidR="005B2956" w:rsidRPr="00F27422" w:rsidRDefault="005B2956" w:rsidP="00122B70">
      <w:pPr>
        <w:tabs>
          <w:tab w:val="left" w:pos="1070"/>
        </w:tabs>
        <w:bidi/>
        <w:rPr>
          <w:b/>
          <w:bCs/>
          <w:sz w:val="32"/>
          <w:szCs w:val="32"/>
          <w:rtl/>
        </w:rPr>
      </w:pPr>
      <w:r w:rsidRPr="00F27422">
        <w:rPr>
          <w:sz w:val="32"/>
          <w:szCs w:val="32"/>
          <w:rtl/>
        </w:rPr>
        <w:t xml:space="preserve">وحيث إنّ المقام مِن باب التعارض، قال (رحمه الله): </w:t>
      </w:r>
      <w:r w:rsidRPr="00F27422">
        <w:rPr>
          <w:b/>
          <w:bCs/>
          <w:sz w:val="32"/>
          <w:szCs w:val="32"/>
          <w:rtl/>
        </w:rPr>
        <w:t>(ومن الواضح أنّ السبق الزماني ليس مرجحاً في باب التعارض)</w:t>
      </w:r>
      <w:r w:rsidRPr="00F27422">
        <w:rPr>
          <w:b/>
          <w:bCs/>
          <w:sz w:val="32"/>
          <w:szCs w:val="32"/>
        </w:rPr>
        <w:t>.</w:t>
      </w:r>
    </w:p>
    <w:p w14:paraId="0535043E" w14:textId="77777777" w:rsidR="005B2956" w:rsidRPr="00F27422" w:rsidRDefault="005B2956" w:rsidP="00122B70">
      <w:pPr>
        <w:tabs>
          <w:tab w:val="left" w:pos="1070"/>
        </w:tabs>
        <w:bidi/>
        <w:rPr>
          <w:b/>
          <w:bCs/>
          <w:sz w:val="32"/>
          <w:szCs w:val="32"/>
          <w:rtl/>
        </w:rPr>
      </w:pPr>
      <w:r w:rsidRPr="00F27422">
        <w:rPr>
          <w:sz w:val="32"/>
          <w:szCs w:val="32"/>
          <w:rtl/>
        </w:rPr>
        <w:lastRenderedPageBreak/>
        <w:t>فالمقامُ خارج موضوعاً عن باب التزاحم أصلاً كي يرجح السابق على اللاحق</w:t>
      </w:r>
      <w:r w:rsidRPr="00F27422">
        <w:rPr>
          <w:sz w:val="32"/>
          <w:szCs w:val="32"/>
        </w:rPr>
        <w:t>.</w:t>
      </w:r>
    </w:p>
    <w:p w14:paraId="5DF06902" w14:textId="77777777" w:rsidR="005B2956" w:rsidRPr="00F27422" w:rsidRDefault="005B2956" w:rsidP="00122B70">
      <w:pPr>
        <w:tabs>
          <w:tab w:val="left" w:pos="1070"/>
        </w:tabs>
        <w:bidi/>
        <w:rPr>
          <w:b/>
          <w:bCs/>
          <w:sz w:val="32"/>
          <w:szCs w:val="32"/>
          <w:rtl/>
        </w:rPr>
      </w:pPr>
      <w:r w:rsidRPr="00F27422">
        <w:rPr>
          <w:b/>
          <w:bCs/>
          <w:sz w:val="32"/>
          <w:szCs w:val="32"/>
          <w:rtl/>
        </w:rPr>
        <w:t>ولكن يمكن أنْ يُقال</w:t>
      </w:r>
      <w:r w:rsidRPr="00F27422">
        <w:rPr>
          <w:b/>
          <w:bCs/>
          <w:sz w:val="32"/>
          <w:szCs w:val="32"/>
        </w:rPr>
        <w:t>:</w:t>
      </w:r>
    </w:p>
    <w:p w14:paraId="6AF94B30" w14:textId="77777777" w:rsidR="005B2956" w:rsidRPr="00F27422" w:rsidRDefault="005B2956" w:rsidP="00122B70">
      <w:pPr>
        <w:tabs>
          <w:tab w:val="left" w:pos="1070"/>
        </w:tabs>
        <w:bidi/>
        <w:rPr>
          <w:b/>
          <w:bCs/>
          <w:sz w:val="32"/>
          <w:szCs w:val="32"/>
          <w:rtl/>
        </w:rPr>
      </w:pPr>
      <w:r w:rsidRPr="00F27422">
        <w:rPr>
          <w:b/>
          <w:bCs/>
          <w:sz w:val="32"/>
          <w:szCs w:val="32"/>
          <w:rtl/>
        </w:rPr>
        <w:t>أوّلاً:</w:t>
      </w:r>
      <w:r w:rsidRPr="00F27422">
        <w:rPr>
          <w:sz w:val="32"/>
          <w:szCs w:val="32"/>
          <w:rtl/>
        </w:rPr>
        <w:t xml:space="preserve"> إنّ البحث يبتني على وجود عمومات تفيد الصحّة في المعاملات، مع أنّه قد يُتأمل في أصل العمومات</w:t>
      </w:r>
      <w:r w:rsidRPr="00F27422">
        <w:rPr>
          <w:sz w:val="32"/>
          <w:szCs w:val="32"/>
        </w:rPr>
        <w:t>.</w:t>
      </w:r>
    </w:p>
    <w:p w14:paraId="78C66BFE" w14:textId="77777777" w:rsidR="005B2956" w:rsidRPr="00F27422" w:rsidRDefault="005B2956" w:rsidP="00122B70">
      <w:pPr>
        <w:tabs>
          <w:tab w:val="left" w:pos="1070"/>
        </w:tabs>
        <w:bidi/>
        <w:rPr>
          <w:b/>
          <w:bCs/>
          <w:sz w:val="32"/>
          <w:szCs w:val="32"/>
          <w:rtl/>
        </w:rPr>
      </w:pPr>
      <w:r w:rsidRPr="00F27422">
        <w:rPr>
          <w:b/>
          <w:bCs/>
          <w:sz w:val="32"/>
          <w:szCs w:val="32"/>
          <w:rtl/>
        </w:rPr>
        <w:t>بدعوى:</w:t>
      </w:r>
      <w:r w:rsidRPr="00F27422">
        <w:rPr>
          <w:sz w:val="32"/>
          <w:szCs w:val="32"/>
          <w:rtl/>
        </w:rPr>
        <w:t xml:space="preserve"> أنّ العمومات التي يرادُ الاتكاء عليها لتصحيح الإجارة إمّا قوله تعالى: </w:t>
      </w:r>
      <w:r w:rsidRPr="00F27422">
        <w:rPr>
          <w:b/>
          <w:bCs/>
          <w:sz w:val="32"/>
          <w:szCs w:val="32"/>
          <w:rtl/>
        </w:rPr>
        <w:t>{يَا أَيُّهَا الَّذِينَ آمَنُوا لَا تَأْكُلُوا أَمْوَالَكُم بَيْنَكُم بِالْبَاطِلِ إِلَّا أَن تَكُونَ تِجَارَةً عَن تَرَاضٍ مِّنكُمْ}</w:t>
      </w:r>
      <w:r w:rsidRPr="00F27422">
        <w:rPr>
          <w:sz w:val="32"/>
          <w:szCs w:val="32"/>
          <w:vertAlign w:val="superscript"/>
          <w:rtl/>
        </w:rPr>
        <w:footnoteReference w:id="24"/>
      </w:r>
      <w:r w:rsidRPr="00F27422">
        <w:rPr>
          <w:sz w:val="32"/>
          <w:szCs w:val="32"/>
          <w:rtl/>
        </w:rPr>
        <w:t xml:space="preserve">، وإمّا قوله تعالى: </w:t>
      </w:r>
      <w:r w:rsidRPr="00F27422">
        <w:rPr>
          <w:b/>
          <w:bCs/>
          <w:sz w:val="32"/>
          <w:szCs w:val="32"/>
          <w:rtl/>
        </w:rPr>
        <w:t>{يَا أَيُّهَا الَّذِينَ آمَنُوا أَوْفُوا بِالْعُقُودِ}</w:t>
      </w:r>
      <w:r w:rsidRPr="00F27422">
        <w:rPr>
          <w:sz w:val="32"/>
          <w:szCs w:val="32"/>
          <w:vertAlign w:val="superscript"/>
          <w:rtl/>
        </w:rPr>
        <w:footnoteReference w:id="25"/>
      </w:r>
      <w:r w:rsidRPr="00F27422">
        <w:rPr>
          <w:sz w:val="32"/>
          <w:szCs w:val="32"/>
          <w:rtl/>
        </w:rPr>
        <w:t>.</w:t>
      </w:r>
    </w:p>
    <w:p w14:paraId="6F29DD57" w14:textId="77777777" w:rsidR="005B2956" w:rsidRPr="00F27422" w:rsidRDefault="005B2956" w:rsidP="00122B70">
      <w:pPr>
        <w:tabs>
          <w:tab w:val="left" w:pos="1070"/>
        </w:tabs>
        <w:bidi/>
        <w:rPr>
          <w:b/>
          <w:bCs/>
          <w:sz w:val="32"/>
          <w:szCs w:val="32"/>
          <w:rtl/>
        </w:rPr>
      </w:pPr>
      <w:r w:rsidRPr="00F27422">
        <w:rPr>
          <w:b/>
          <w:bCs/>
          <w:sz w:val="32"/>
          <w:szCs w:val="32"/>
          <w:rtl/>
        </w:rPr>
        <w:t>أمّا الآية الأُولى</w:t>
      </w:r>
      <w:r w:rsidRPr="00F27422">
        <w:rPr>
          <w:sz w:val="32"/>
          <w:szCs w:val="32"/>
          <w:rtl/>
        </w:rPr>
        <w:t xml:space="preserve"> فهي منصرفةٌ عن الإجارة؛ إذ لا يصدق عرفاً عنوان التجارة على الإجارة</w:t>
      </w:r>
      <w:r w:rsidRPr="00F27422">
        <w:rPr>
          <w:sz w:val="32"/>
          <w:szCs w:val="32"/>
        </w:rPr>
        <w:t>.</w:t>
      </w:r>
    </w:p>
    <w:p w14:paraId="341D4C5D" w14:textId="77777777" w:rsidR="005B2956" w:rsidRPr="00F27422" w:rsidRDefault="005B2956" w:rsidP="00122B70">
      <w:pPr>
        <w:tabs>
          <w:tab w:val="left" w:pos="1070"/>
        </w:tabs>
        <w:bidi/>
        <w:rPr>
          <w:sz w:val="32"/>
          <w:szCs w:val="32"/>
          <w:rtl/>
        </w:rPr>
      </w:pPr>
      <w:r w:rsidRPr="00F27422">
        <w:rPr>
          <w:b/>
          <w:bCs/>
          <w:sz w:val="32"/>
          <w:szCs w:val="32"/>
          <w:rtl/>
        </w:rPr>
        <w:t>وأمّا الآية الثانية</w:t>
      </w:r>
      <w:r w:rsidRPr="00F27422">
        <w:rPr>
          <w:sz w:val="32"/>
          <w:szCs w:val="32"/>
          <w:rtl/>
        </w:rPr>
        <w:t xml:space="preserve"> فمما لا يُحرز شموله للعقد الذي يُشك في إطلاق مشروعية مضمونه؛ إذ المقام مِن الشك في أنّ مضمون عقد الإجارة هل هو مشروع حتى لما بعد عقد الزوجية أم لا؟، وحيث يُشك في مشروعية مضمونه فلا مجال للتمسك بـ </w:t>
      </w:r>
      <w:r w:rsidRPr="00F27422">
        <w:rPr>
          <w:b/>
          <w:bCs/>
          <w:sz w:val="32"/>
          <w:szCs w:val="32"/>
          <w:rtl/>
        </w:rPr>
        <w:t>{يَا أَيُّهَا الَّذِينَ آمَنُوا أَوْفُوا بِالْعُقُودِ}؛</w:t>
      </w:r>
      <w:r w:rsidRPr="00F27422">
        <w:rPr>
          <w:sz w:val="32"/>
          <w:szCs w:val="32"/>
          <w:rtl/>
        </w:rPr>
        <w:t xml:space="preserve"> إمّا لعدم المقتضي أو للمانع.</w:t>
      </w:r>
    </w:p>
    <w:p w14:paraId="63076C11" w14:textId="77777777" w:rsidR="005B2956" w:rsidRPr="00F27422" w:rsidRDefault="005B2956" w:rsidP="00122B70">
      <w:pPr>
        <w:tabs>
          <w:tab w:val="left" w:pos="1070"/>
        </w:tabs>
        <w:bidi/>
        <w:rPr>
          <w:b/>
          <w:bCs/>
          <w:sz w:val="32"/>
          <w:szCs w:val="32"/>
          <w:rtl/>
        </w:rPr>
      </w:pPr>
      <w:r w:rsidRPr="00F27422">
        <w:rPr>
          <w:b/>
          <w:bCs/>
          <w:sz w:val="32"/>
          <w:szCs w:val="32"/>
          <w:rtl/>
        </w:rPr>
        <w:t>أمّا عدم المقتضي:</w:t>
      </w:r>
      <w:r w:rsidRPr="00F27422">
        <w:rPr>
          <w:sz w:val="32"/>
          <w:szCs w:val="32"/>
          <w:rtl/>
        </w:rPr>
        <w:t xml:space="preserve"> فلأنّ منصرف الآية العقود المشروعة لا مطلق العقد، ولذلك لا يمكن التمسك بالآية حتى في العقد الذي يتنافى مضمونه مع الوظيفة العقلية، كما لو استأجر الإنسان على حلق اللحية الذي يلزم تركه على الأحوط وجوباً، فإنّ الوفاء بعقد الإجارة لا يتنافى مع وظيفة شرعية لكنه يتنافى مع وظيفة عقلية؛ حيث إنّ مقتضى الاحتياط الوجوبي هو حكم العقل بعدم التجري في مثل هذا المورد، أو استؤجر على أنْ يرتكب أحد أطراف العلم الإجمالي فإنّ الإجارة هنا مما تتنافى مع الوظيفة العقلية.</w:t>
      </w:r>
    </w:p>
    <w:p w14:paraId="2EC9B1AD" w14:textId="77777777" w:rsidR="005B2956" w:rsidRPr="00F27422" w:rsidRDefault="005B2956" w:rsidP="00122B70">
      <w:pPr>
        <w:tabs>
          <w:tab w:val="left" w:pos="1070"/>
        </w:tabs>
        <w:bidi/>
        <w:rPr>
          <w:b/>
          <w:bCs/>
          <w:sz w:val="32"/>
          <w:szCs w:val="32"/>
          <w:rtl/>
        </w:rPr>
      </w:pPr>
      <w:r w:rsidRPr="00F27422">
        <w:rPr>
          <w:b/>
          <w:bCs/>
          <w:sz w:val="32"/>
          <w:szCs w:val="32"/>
          <w:rtl/>
        </w:rPr>
        <w:t>وأما وجود المانع:</w:t>
      </w:r>
      <w:r w:rsidRPr="00F27422">
        <w:rPr>
          <w:sz w:val="32"/>
          <w:szCs w:val="32"/>
          <w:rtl/>
        </w:rPr>
        <w:t xml:space="preserve"> فإنّ المستفاد مِن الاستثناء الوارد في دليل نفوذ الشروط: </w:t>
      </w:r>
      <w:r w:rsidRPr="00F27422">
        <w:rPr>
          <w:b/>
          <w:bCs/>
          <w:sz w:val="32"/>
          <w:szCs w:val="32"/>
          <w:rtl/>
        </w:rPr>
        <w:t>كقول أمير المؤمنين (عليه السلام): (فإنّ المسلمين عند شروطهم إلا شرط حرم حلالاً أو أحل حراماً)</w:t>
      </w:r>
      <w:r w:rsidRPr="00F27422">
        <w:rPr>
          <w:sz w:val="32"/>
          <w:szCs w:val="32"/>
          <w:vertAlign w:val="superscript"/>
          <w:rtl/>
        </w:rPr>
        <w:footnoteReference w:id="26"/>
      </w:r>
      <w:r w:rsidRPr="00F27422">
        <w:rPr>
          <w:sz w:val="32"/>
          <w:szCs w:val="32"/>
          <w:rtl/>
        </w:rPr>
        <w:t xml:space="preserve">، أو ما ورد في الصلح </w:t>
      </w:r>
      <w:r w:rsidRPr="00F27422">
        <w:rPr>
          <w:b/>
          <w:bCs/>
          <w:sz w:val="32"/>
          <w:szCs w:val="32"/>
          <w:rtl/>
        </w:rPr>
        <w:t>عن أمير المؤمنين (عليه السلام): (أنّ الصُّلح جائزٌ بين المسلمين إلَّا صُلحاً حرَّمَ حلالاً أوْ أحلَّ حراماً)</w:t>
      </w:r>
      <w:r w:rsidRPr="00F27422">
        <w:rPr>
          <w:sz w:val="32"/>
          <w:szCs w:val="32"/>
          <w:vertAlign w:val="superscript"/>
          <w:rtl/>
        </w:rPr>
        <w:footnoteReference w:id="27"/>
      </w:r>
      <w:r w:rsidRPr="00F27422">
        <w:rPr>
          <w:sz w:val="32"/>
          <w:szCs w:val="32"/>
          <w:rtl/>
        </w:rPr>
        <w:t xml:space="preserve">. منع شمول </w:t>
      </w:r>
      <w:r w:rsidRPr="00F27422">
        <w:rPr>
          <w:b/>
          <w:bCs/>
          <w:sz w:val="32"/>
          <w:szCs w:val="32"/>
          <w:rtl/>
        </w:rPr>
        <w:t>{أَوْفُوا بِالْعُقُودِ}</w:t>
      </w:r>
      <w:r w:rsidRPr="00F27422">
        <w:rPr>
          <w:sz w:val="32"/>
          <w:szCs w:val="32"/>
          <w:rtl/>
        </w:rPr>
        <w:t xml:space="preserve"> للمقام.</w:t>
      </w:r>
    </w:p>
    <w:p w14:paraId="0AB20A19" w14:textId="77777777" w:rsidR="005B2956" w:rsidRPr="00F27422" w:rsidRDefault="005B2956" w:rsidP="00122B70">
      <w:pPr>
        <w:tabs>
          <w:tab w:val="left" w:pos="1070"/>
        </w:tabs>
        <w:bidi/>
        <w:rPr>
          <w:b/>
          <w:bCs/>
          <w:sz w:val="32"/>
          <w:szCs w:val="32"/>
          <w:rtl/>
        </w:rPr>
      </w:pPr>
      <w:r w:rsidRPr="00F27422">
        <w:rPr>
          <w:sz w:val="32"/>
          <w:szCs w:val="32"/>
          <w:rtl/>
        </w:rPr>
        <w:t xml:space="preserve">حيث لا يحتمل خصوصية لعنوان "الشرط" أو لعنوان "الصلح" مقابل العقد، بل المتفاهم عرفاً منه أنّ كلّ معاملة بين الطرفين إنّما تكون نافذة إذا لَمْ تستلزم تحريم حلالٍ أو تحليل حرامٍ، </w:t>
      </w:r>
      <w:r w:rsidRPr="00F27422">
        <w:rPr>
          <w:sz w:val="32"/>
          <w:szCs w:val="32"/>
          <w:rtl/>
        </w:rPr>
        <w:lastRenderedPageBreak/>
        <w:t xml:space="preserve">ومقتضى الاستثناء أنْ لا يُحرز شمول </w:t>
      </w:r>
      <w:r w:rsidRPr="00F27422">
        <w:rPr>
          <w:b/>
          <w:bCs/>
          <w:sz w:val="32"/>
          <w:szCs w:val="32"/>
          <w:rtl/>
        </w:rPr>
        <w:t xml:space="preserve">{أَوْفُوا بِالْعُقُودِ} </w:t>
      </w:r>
      <w:r w:rsidRPr="00F27422">
        <w:rPr>
          <w:sz w:val="32"/>
          <w:szCs w:val="32"/>
          <w:rtl/>
        </w:rPr>
        <w:t>لعقدٍ يُحتمل كونه محرماً لحلالٍ أو محللاً لحرامٍ</w:t>
      </w:r>
      <w:r w:rsidRPr="00F27422">
        <w:rPr>
          <w:sz w:val="32"/>
          <w:szCs w:val="32"/>
        </w:rPr>
        <w:t>.</w:t>
      </w:r>
    </w:p>
    <w:p w14:paraId="6B3A2929" w14:textId="77777777" w:rsidR="005B2956" w:rsidRPr="00F27422" w:rsidRDefault="005B2956" w:rsidP="00122B70">
      <w:pPr>
        <w:tabs>
          <w:tab w:val="left" w:pos="1070"/>
        </w:tabs>
        <w:bidi/>
        <w:rPr>
          <w:b/>
          <w:bCs/>
          <w:sz w:val="32"/>
          <w:szCs w:val="32"/>
          <w:rtl/>
        </w:rPr>
      </w:pPr>
      <w:r w:rsidRPr="00F27422">
        <w:rPr>
          <w:b/>
          <w:bCs/>
          <w:sz w:val="32"/>
          <w:szCs w:val="32"/>
          <w:rtl/>
        </w:rPr>
        <w:t>فإذا قُلنا:</w:t>
      </w:r>
      <w:r w:rsidRPr="00F27422">
        <w:rPr>
          <w:sz w:val="32"/>
          <w:szCs w:val="32"/>
          <w:rtl/>
        </w:rPr>
        <w:t xml:space="preserve"> بأنّ العمومات مِن الأساس لا يُحرز شمولها لمحلّ الكلام فلا حاجة للبحث أنّه مِن باب التعارض أو من باب التزاحم؛ فإنّ أصل وجود عمومٍ يشملُ محلّ الكلام غير محرز، وهذا أوّل موضع للبحث وهو وجود العمومات</w:t>
      </w:r>
      <w:r w:rsidRPr="00F27422">
        <w:rPr>
          <w:sz w:val="32"/>
          <w:szCs w:val="32"/>
        </w:rPr>
        <w:t>.</w:t>
      </w:r>
    </w:p>
    <w:p w14:paraId="314A000F" w14:textId="77777777" w:rsidR="005B2956" w:rsidRPr="00F27422" w:rsidRDefault="005B2956" w:rsidP="00122B70">
      <w:pPr>
        <w:tabs>
          <w:tab w:val="left" w:pos="1070"/>
        </w:tabs>
        <w:bidi/>
        <w:rPr>
          <w:b/>
          <w:bCs/>
          <w:sz w:val="32"/>
          <w:szCs w:val="32"/>
          <w:rtl/>
        </w:rPr>
      </w:pPr>
      <w:r w:rsidRPr="00F27422">
        <w:rPr>
          <w:sz w:val="32"/>
          <w:szCs w:val="32"/>
          <w:rtl/>
        </w:rPr>
        <w:t xml:space="preserve">وأمّا إذا بُنيّ على وجود العمومات وأنّ مقتضى قوله تعالى: </w:t>
      </w:r>
      <w:r w:rsidRPr="00F27422">
        <w:rPr>
          <w:b/>
          <w:bCs/>
          <w:sz w:val="32"/>
          <w:szCs w:val="32"/>
          <w:rtl/>
        </w:rPr>
        <w:t>{يَا أَيُّهَا الَّذِينَ آمَنُوا أَوْفُوا بِالْعُقُودِ}</w:t>
      </w:r>
      <w:r w:rsidRPr="00F27422">
        <w:rPr>
          <w:sz w:val="32"/>
          <w:szCs w:val="32"/>
          <w:vertAlign w:val="superscript"/>
          <w:rtl/>
        </w:rPr>
        <w:footnoteReference w:id="28"/>
      </w:r>
      <w:r w:rsidRPr="00F27422">
        <w:rPr>
          <w:sz w:val="32"/>
          <w:szCs w:val="32"/>
          <w:rtl/>
        </w:rPr>
        <w:t xml:space="preserve"> الشمولُ لمثل هذا العقد؛ حيث إنّ العقد في زمن وقوعه كان صحيحاً؛ لأنّ المرأة عندما آجرت نفسها للخدمة سنة كانت قادرة على الوفاء بعقد الإجارة إذ لَمْ تكن متزوجة، فالعقد حينما وقع كان صحيحاً فيشمله </w:t>
      </w:r>
      <w:r w:rsidRPr="00F27422">
        <w:rPr>
          <w:b/>
          <w:bCs/>
          <w:sz w:val="32"/>
          <w:szCs w:val="32"/>
          <w:rtl/>
        </w:rPr>
        <w:t>{أَوْفُوا بِالْعُقُودِ}</w:t>
      </w:r>
      <w:r w:rsidRPr="00F27422">
        <w:rPr>
          <w:b/>
          <w:bCs/>
          <w:sz w:val="32"/>
          <w:szCs w:val="32"/>
        </w:rPr>
        <w:t>.</w:t>
      </w:r>
    </w:p>
    <w:p w14:paraId="7EF10428" w14:textId="77777777" w:rsidR="005B2956" w:rsidRPr="00F27422" w:rsidRDefault="005B2956" w:rsidP="00122B70">
      <w:pPr>
        <w:tabs>
          <w:tab w:val="left" w:pos="1070"/>
        </w:tabs>
        <w:bidi/>
        <w:rPr>
          <w:b/>
          <w:bCs/>
          <w:sz w:val="32"/>
          <w:szCs w:val="32"/>
          <w:rtl/>
        </w:rPr>
      </w:pPr>
      <w:r w:rsidRPr="00F27422">
        <w:rPr>
          <w:sz w:val="32"/>
          <w:szCs w:val="32"/>
          <w:rtl/>
        </w:rPr>
        <w:t xml:space="preserve">سواءً قيل إنّ مفاد </w:t>
      </w:r>
      <w:r w:rsidRPr="00F27422">
        <w:rPr>
          <w:b/>
          <w:bCs/>
          <w:sz w:val="32"/>
          <w:szCs w:val="32"/>
          <w:rtl/>
        </w:rPr>
        <w:t>{أَوْفُوا بِالْعُقُودِ}</w:t>
      </w:r>
      <w:r w:rsidRPr="00F27422">
        <w:rPr>
          <w:sz w:val="32"/>
          <w:szCs w:val="32"/>
          <w:rtl/>
        </w:rPr>
        <w:t xml:space="preserve"> الإرشاد إلى عدم نفوذ الفسخ كما يقول به سيدنا الخوئي (قدس سره الشريف) في مصباح الفقاهة</w:t>
      </w:r>
      <w:r w:rsidRPr="00F27422">
        <w:rPr>
          <w:sz w:val="32"/>
          <w:szCs w:val="32"/>
          <w:vertAlign w:val="superscript"/>
          <w:rtl/>
        </w:rPr>
        <w:footnoteReference w:id="29"/>
      </w:r>
      <w:r w:rsidRPr="00F27422">
        <w:rPr>
          <w:sz w:val="32"/>
          <w:szCs w:val="32"/>
          <w:rtl/>
        </w:rPr>
        <w:t xml:space="preserve">، أو قيل بأنّ مفاد </w:t>
      </w:r>
      <w:r w:rsidRPr="00F27422">
        <w:rPr>
          <w:b/>
          <w:bCs/>
          <w:sz w:val="32"/>
          <w:szCs w:val="32"/>
          <w:rtl/>
        </w:rPr>
        <w:t xml:space="preserve">{أَوْفُوا بِالْعُقُودِ} </w:t>
      </w:r>
      <w:r w:rsidRPr="00F27422">
        <w:rPr>
          <w:sz w:val="32"/>
          <w:szCs w:val="32"/>
          <w:rtl/>
        </w:rPr>
        <w:t xml:space="preserve">مجرّد حكمٍ تكليفي وهو وجوبُ ترتيب الآثار على العقد، فهو شاملٌ لهذه الإجارة، ومقتضى شموله لهذه الإجارة عدم إمكان الجمع بين مِلكيّة المُستأجر لمنفعة المرأة وحقّ الاستمتاع، إلّا أنّ المرتكز العقلائي يرى ورود السابق على اللاحق، فليس المنظورُ هو ترجيحُ أحد المتزاحمين على الآخر بالسبق واللحوق كي يُقال: إنّ المقام ليس مِن باب التزاحم، بل المنظورُ هو أنّه وإنْ كان المقام مِن التنافي بين إطلاقي </w:t>
      </w:r>
      <w:proofErr w:type="spellStart"/>
      <w:r w:rsidRPr="00F27422">
        <w:rPr>
          <w:sz w:val="32"/>
          <w:szCs w:val="32"/>
          <w:rtl/>
        </w:rPr>
        <w:t>الدليلن</w:t>
      </w:r>
      <w:proofErr w:type="spellEnd"/>
      <w:r w:rsidRPr="00F27422">
        <w:rPr>
          <w:sz w:val="32"/>
          <w:szCs w:val="32"/>
          <w:rtl/>
        </w:rPr>
        <w:t xml:space="preserve"> لمثل هذا الفرض بدواً إلّا أنّ المرتكز العقلائي في مثل هذه الموارد يرى أنّ السابق واردٌ على اللاحق، أي: رافعٌ لموضوعه، فإنّ الزوج قد عقد على امرأةٍ مسلوبة المنفعة، كما لو اشترى داراً مسلوبة المنفعة إمّا بإجارةٍ أو صلحٍ أو ما أشبه ذلك</w:t>
      </w:r>
      <w:r w:rsidRPr="00F27422">
        <w:rPr>
          <w:sz w:val="32"/>
          <w:szCs w:val="32"/>
        </w:rPr>
        <w:t>.</w:t>
      </w:r>
    </w:p>
    <w:p w14:paraId="7F396205" w14:textId="77777777" w:rsidR="005B2956" w:rsidRPr="00F27422" w:rsidRDefault="005B2956" w:rsidP="00122B70">
      <w:pPr>
        <w:tabs>
          <w:tab w:val="left" w:pos="1070"/>
        </w:tabs>
        <w:bidi/>
        <w:rPr>
          <w:sz w:val="32"/>
          <w:szCs w:val="32"/>
          <w:rtl/>
        </w:rPr>
      </w:pPr>
      <w:r w:rsidRPr="00F27422">
        <w:rPr>
          <w:b/>
          <w:bCs/>
          <w:sz w:val="32"/>
          <w:szCs w:val="32"/>
          <w:rtl/>
        </w:rPr>
        <w:t xml:space="preserve">وثانياً: </w:t>
      </w:r>
      <w:r w:rsidRPr="00F27422">
        <w:rPr>
          <w:sz w:val="32"/>
          <w:szCs w:val="32"/>
          <w:rtl/>
        </w:rPr>
        <w:t>أنّ سر التنافي بين الحكمين الوضعيين في المقام هل هو عدمُ اجتماعهما في ذاتهما، أو أنّ منشأ التنافي هو التنافي في الحكم التكليفي؟ والحقُّ هو الثاني؛ إذ ما هو وجه امتناع الجمع بين حقّ الاستمتاع والمِلكيَّة في آنٍ واحدٍ كحكمين وضعيين مختلفين سنخاً وموضوعاً لولا قصور القدرة عن الجمع بين امتثال وجوبُ الوفاءِ بعقد الإجارة ووجوب التمكين، فمنشأ التنافي بين مِلكيَّة المُستأجر لمنفعة المرأة وحقّ استمتاع الزوج بها ليس إلّا مِن حيث الحكم التكليفي المترتب عليهما، وإلّا فلا تنافي بينهما بالذات حيث إنّهما سنخان متغايران ومختلفان مِن حيث المتعلق والموضوع.</w:t>
      </w:r>
    </w:p>
    <w:p w14:paraId="577264CF" w14:textId="77777777" w:rsidR="005B2956" w:rsidRPr="00F27422" w:rsidRDefault="005B2956" w:rsidP="00122B70">
      <w:pPr>
        <w:tabs>
          <w:tab w:val="left" w:pos="1070"/>
        </w:tabs>
        <w:bidi/>
        <w:rPr>
          <w:b/>
          <w:bCs/>
          <w:sz w:val="32"/>
          <w:szCs w:val="32"/>
          <w:rtl/>
        </w:rPr>
      </w:pPr>
      <w:r w:rsidRPr="00F27422">
        <w:rPr>
          <w:sz w:val="32"/>
          <w:szCs w:val="32"/>
          <w:rtl/>
        </w:rPr>
        <w:lastRenderedPageBreak/>
        <w:t>وحيث إنّ مصب التنافي في الحكم التكليفي أوّلاً وبالذات، فإذا أمكن حلّ هذا التنافي بالترتُب ارتفعت المشكلة</w:t>
      </w:r>
      <w:r w:rsidRPr="00F27422">
        <w:rPr>
          <w:sz w:val="32"/>
          <w:szCs w:val="32"/>
        </w:rPr>
        <w:t>.</w:t>
      </w:r>
    </w:p>
    <w:p w14:paraId="5A9230F0" w14:textId="77777777" w:rsidR="005B2956" w:rsidRPr="00F27422" w:rsidRDefault="005B2956" w:rsidP="00122B70">
      <w:pPr>
        <w:tabs>
          <w:tab w:val="left" w:pos="1070"/>
        </w:tabs>
        <w:bidi/>
        <w:rPr>
          <w:b/>
          <w:bCs/>
          <w:sz w:val="32"/>
          <w:szCs w:val="32"/>
          <w:rtl/>
        </w:rPr>
      </w:pPr>
      <w:r w:rsidRPr="00F27422">
        <w:rPr>
          <w:b/>
          <w:bCs/>
          <w:sz w:val="32"/>
          <w:szCs w:val="32"/>
          <w:rtl/>
        </w:rPr>
        <w:t>فيُقال:</w:t>
      </w:r>
      <w:r w:rsidRPr="00F27422">
        <w:rPr>
          <w:sz w:val="32"/>
          <w:szCs w:val="32"/>
          <w:rtl/>
        </w:rPr>
        <w:t xml:space="preserve"> لا تعارض بين الإطلاقين؛ لاشتراط كلّ تكليفٍ بعدم الاشتغال بواجبٍ لا يقل أهميةً</w:t>
      </w:r>
      <w:r w:rsidRPr="00F27422">
        <w:rPr>
          <w:sz w:val="32"/>
          <w:szCs w:val="32"/>
        </w:rPr>
        <w:t>.</w:t>
      </w:r>
    </w:p>
    <w:p w14:paraId="356C5BED" w14:textId="77777777" w:rsidR="005B2956" w:rsidRPr="00F27422" w:rsidRDefault="005B2956" w:rsidP="00122B70">
      <w:pPr>
        <w:tabs>
          <w:tab w:val="left" w:pos="1070"/>
        </w:tabs>
        <w:bidi/>
        <w:rPr>
          <w:b/>
          <w:bCs/>
          <w:sz w:val="32"/>
          <w:szCs w:val="32"/>
          <w:rtl/>
        </w:rPr>
      </w:pPr>
      <w:r w:rsidRPr="00F27422">
        <w:rPr>
          <w:sz w:val="32"/>
          <w:szCs w:val="32"/>
          <w:rtl/>
        </w:rPr>
        <w:t xml:space="preserve">هذا من جهة، ومن جهة أخرى فإنّ التنافي الواقع في مقام الامتثال مما يمكن علاجه بالترتُب، فإذا أمكن علاج التنافي بالترتُب فلا مانع مِن شمول إطلاقي </w:t>
      </w:r>
      <w:r w:rsidRPr="00F27422">
        <w:rPr>
          <w:b/>
          <w:bCs/>
          <w:sz w:val="32"/>
          <w:szCs w:val="32"/>
          <w:rtl/>
        </w:rPr>
        <w:t>{أَوْفُوا بِالْعُقُودِ}</w:t>
      </w:r>
      <w:r w:rsidRPr="00F27422">
        <w:rPr>
          <w:sz w:val="32"/>
          <w:szCs w:val="32"/>
          <w:rtl/>
        </w:rPr>
        <w:t xml:space="preserve"> ودليل حقّ الاستمتاع للزوج لمثل المقام؛ إذ غايته التنافي في الحكم التكليفي والتنافي في الحكم التكليفي مما يمكن علاجه بالترتُب</w:t>
      </w:r>
      <w:r w:rsidRPr="00F27422">
        <w:rPr>
          <w:sz w:val="32"/>
          <w:szCs w:val="32"/>
        </w:rPr>
        <w:t>.</w:t>
      </w:r>
    </w:p>
    <w:p w14:paraId="190F6CCA" w14:textId="77777777" w:rsidR="005B2956" w:rsidRPr="00F27422" w:rsidRDefault="005B2956" w:rsidP="00122B70">
      <w:pPr>
        <w:tabs>
          <w:tab w:val="left" w:pos="1070"/>
        </w:tabs>
        <w:bidi/>
        <w:rPr>
          <w:b/>
          <w:bCs/>
          <w:sz w:val="32"/>
          <w:szCs w:val="32"/>
          <w:rtl/>
        </w:rPr>
      </w:pPr>
      <w:r w:rsidRPr="00F27422">
        <w:rPr>
          <w:b/>
          <w:bCs/>
          <w:sz w:val="32"/>
          <w:szCs w:val="32"/>
          <w:rtl/>
        </w:rPr>
        <w:t>البحثُ الثالث:</w:t>
      </w:r>
      <w:r w:rsidRPr="00F27422">
        <w:rPr>
          <w:sz w:val="32"/>
          <w:szCs w:val="32"/>
          <w:rtl/>
        </w:rPr>
        <w:t xml:space="preserve"> على فرض أنّ المقام مِن باب التزاحم فهل أنّ السبق الزمني مِن مرجحات باب التزاحم أم لا؟</w:t>
      </w:r>
    </w:p>
    <w:p w14:paraId="7FCD451D" w14:textId="77777777" w:rsidR="005B2956" w:rsidRPr="00F27422" w:rsidRDefault="005B2956" w:rsidP="00122B70">
      <w:pPr>
        <w:tabs>
          <w:tab w:val="left" w:pos="1070"/>
        </w:tabs>
        <w:bidi/>
        <w:rPr>
          <w:b/>
          <w:bCs/>
          <w:sz w:val="32"/>
          <w:szCs w:val="32"/>
          <w:rtl/>
        </w:rPr>
      </w:pPr>
      <w:r w:rsidRPr="00F27422">
        <w:rPr>
          <w:sz w:val="32"/>
          <w:szCs w:val="32"/>
          <w:rtl/>
        </w:rPr>
        <w:t>حيث أُفيد مِن قِبل بعض الأجلة (رحمه الله) في كتابه الإجارة</w:t>
      </w:r>
      <w:r w:rsidRPr="00F27422">
        <w:rPr>
          <w:sz w:val="32"/>
          <w:szCs w:val="32"/>
          <w:vertAlign w:val="superscript"/>
          <w:rtl/>
        </w:rPr>
        <w:footnoteReference w:id="30"/>
      </w:r>
      <w:r w:rsidRPr="00F27422">
        <w:rPr>
          <w:sz w:val="32"/>
          <w:szCs w:val="32"/>
          <w:rtl/>
        </w:rPr>
        <w:t xml:space="preserve"> بقوله: </w:t>
      </w:r>
      <w:r w:rsidRPr="00F27422">
        <w:rPr>
          <w:b/>
          <w:bCs/>
          <w:sz w:val="32"/>
          <w:szCs w:val="32"/>
          <w:rtl/>
        </w:rPr>
        <w:t>(ما حقق في محله من بحوث التزاحم من أنّ السبق الزمني لا أثر له في ترجيح أحد المتزاحمين وأنّ ما ذكر)</w:t>
      </w:r>
      <w:r w:rsidRPr="00F27422">
        <w:rPr>
          <w:sz w:val="32"/>
          <w:szCs w:val="32"/>
          <w:rtl/>
        </w:rPr>
        <w:t xml:space="preserve"> مِن قِبل السيد الحكيم (قدس سره الشريف) في المستمسك </w:t>
      </w:r>
      <w:r w:rsidRPr="00F27422">
        <w:rPr>
          <w:b/>
          <w:bCs/>
          <w:sz w:val="32"/>
          <w:szCs w:val="32"/>
          <w:rtl/>
        </w:rPr>
        <w:t>(في مثال المستطيع إذا نذر زيارة الحسين (عليه السلام) يوم عرفة غير صحيح).</w:t>
      </w:r>
    </w:p>
    <w:p w14:paraId="00E17189" w14:textId="77777777" w:rsidR="005B2956" w:rsidRPr="00F27422" w:rsidRDefault="005B2956" w:rsidP="00122B70">
      <w:pPr>
        <w:tabs>
          <w:tab w:val="left" w:pos="1070"/>
        </w:tabs>
        <w:bidi/>
        <w:rPr>
          <w:sz w:val="32"/>
          <w:szCs w:val="32"/>
          <w:rtl/>
        </w:rPr>
      </w:pPr>
    </w:p>
    <w:p w14:paraId="63CD3BF5" w14:textId="77777777" w:rsidR="005B2956" w:rsidRPr="00F27422" w:rsidRDefault="005B2956" w:rsidP="00122B70">
      <w:pPr>
        <w:tabs>
          <w:tab w:val="left" w:pos="1070"/>
        </w:tabs>
        <w:bidi/>
        <w:rPr>
          <w:b/>
          <w:bCs/>
          <w:sz w:val="32"/>
          <w:szCs w:val="32"/>
          <w:rtl/>
        </w:rPr>
      </w:pPr>
      <w:r w:rsidRPr="00F27422">
        <w:rPr>
          <w:b/>
          <w:bCs/>
          <w:sz w:val="32"/>
          <w:szCs w:val="32"/>
          <w:rtl/>
        </w:rPr>
        <w:t xml:space="preserve">والحمد لله رب العالمين </w:t>
      </w:r>
    </w:p>
    <w:p w14:paraId="2B1A3218" w14:textId="270097B0" w:rsidR="005B2956" w:rsidRPr="00F27422" w:rsidRDefault="005B2956" w:rsidP="00122B70">
      <w:pPr>
        <w:tabs>
          <w:tab w:val="left" w:pos="1070"/>
        </w:tabs>
        <w:bidi/>
        <w:rPr>
          <w:sz w:val="32"/>
          <w:szCs w:val="32"/>
          <w:rtl/>
        </w:rPr>
      </w:pPr>
      <w:r w:rsidRPr="00F27422">
        <w:rPr>
          <w:sz w:val="32"/>
          <w:szCs w:val="32"/>
          <w:rtl/>
        </w:rPr>
        <w:tab/>
      </w:r>
    </w:p>
    <w:p w14:paraId="02B52943" w14:textId="4221038D" w:rsidR="005B2956" w:rsidRPr="00F27422" w:rsidRDefault="005B2956" w:rsidP="00122B70">
      <w:pPr>
        <w:pStyle w:val="Heading3"/>
        <w:bidi/>
        <w:rPr>
          <w:sz w:val="32"/>
          <w:szCs w:val="32"/>
          <w:rtl/>
        </w:rPr>
      </w:pPr>
      <w:r w:rsidRPr="00F27422">
        <w:rPr>
          <w:rFonts w:hint="cs"/>
          <w:sz w:val="32"/>
          <w:szCs w:val="32"/>
          <w:rtl/>
        </w:rPr>
        <w:t>066</w:t>
      </w:r>
    </w:p>
    <w:p w14:paraId="7FC7CDD0" w14:textId="77777777" w:rsidR="00D073BE" w:rsidRPr="00F27422" w:rsidRDefault="00D073BE"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2F2FA5F7" w14:textId="77777777" w:rsidR="00D073BE" w:rsidRPr="00F27422" w:rsidRDefault="00D073BE"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51FEC2E1"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b/>
          <w:bCs/>
          <w:sz w:val="32"/>
          <w:rtl/>
        </w:rPr>
        <w:t>واللعن الدائم على أعدائهم أجمعين إلى قيام يوم الدين</w:t>
      </w:r>
    </w:p>
    <w:p w14:paraId="35871CE3" w14:textId="77777777" w:rsidR="00D073BE" w:rsidRPr="00F27422" w:rsidRDefault="00D073BE" w:rsidP="00122B70">
      <w:pPr>
        <w:pStyle w:val="a"/>
        <w:bidi/>
        <w:spacing w:line="216" w:lineRule="auto"/>
        <w:jc w:val="left"/>
        <w:rPr>
          <w:rFonts w:ascii="mylotus" w:hAnsi="mylotus"/>
          <w:sz w:val="32"/>
          <w:rtl/>
        </w:rPr>
      </w:pPr>
    </w:p>
    <w:p w14:paraId="1B6C0091" w14:textId="77777777" w:rsidR="00D073BE" w:rsidRPr="00F27422" w:rsidRDefault="00D073BE" w:rsidP="00122B70">
      <w:pPr>
        <w:pStyle w:val="a"/>
        <w:bidi/>
        <w:spacing w:line="216" w:lineRule="auto"/>
        <w:jc w:val="left"/>
        <w:outlineLvl w:val="2"/>
        <w:rPr>
          <w:rFonts w:ascii="mylotus" w:hAnsi="mylotus"/>
          <w:sz w:val="32"/>
          <w:rtl/>
        </w:rPr>
      </w:pPr>
      <w:r w:rsidRPr="00F27422">
        <w:rPr>
          <w:rFonts w:ascii="mylotus" w:hAnsi="mylotus"/>
          <w:b/>
          <w:bCs/>
          <w:sz w:val="32"/>
          <w:rtl/>
        </w:rPr>
        <w:t>البحثُ الثالث:</w:t>
      </w:r>
      <w:r w:rsidRPr="00F27422">
        <w:rPr>
          <w:rFonts w:ascii="mylotus" w:hAnsi="mylotus"/>
          <w:sz w:val="32"/>
          <w:rtl/>
        </w:rPr>
        <w:t xml:space="preserve"> على فرض أنّ المقام مِن باب التزاحم فهل أنّ السبق الزمني مِن مرجحات باب التزاحم أم لا؟</w:t>
      </w:r>
    </w:p>
    <w:p w14:paraId="195E74D3"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sz w:val="32"/>
          <w:rtl/>
        </w:rPr>
        <w:t xml:space="preserve">قد أفاد سيدنا الخوئي (قدس سره الشريف) </w:t>
      </w:r>
      <w:r w:rsidRPr="00F27422">
        <w:rPr>
          <w:rFonts w:ascii="mylotus" w:hAnsi="mylotus" w:hint="cs"/>
          <w:sz w:val="32"/>
          <w:rtl/>
        </w:rPr>
        <w:t xml:space="preserve">في مصباح الأصول </w:t>
      </w:r>
      <w:r w:rsidRPr="00F27422">
        <w:rPr>
          <w:rFonts w:ascii="mylotus" w:hAnsi="mylotus"/>
          <w:sz w:val="32"/>
          <w:rtl/>
        </w:rPr>
        <w:t xml:space="preserve">بقوله: </w:t>
      </w:r>
      <w:r w:rsidRPr="00F27422">
        <w:rPr>
          <w:rFonts w:ascii="mylotus" w:hAnsi="mylotus"/>
          <w:b/>
          <w:bCs/>
          <w:sz w:val="32"/>
          <w:rtl/>
        </w:rPr>
        <w:t xml:space="preserve">(كون أحد الواجبين سابقاً على الآخر من حيث الزمان، بأن يكون ظرف امتثال أحدهما مقدّماً على الآخر زماناً، مع كون الوجوب فعلياً في كل منهما بنحو التعليق، كما إذا نذر أحد صوم يوم الخميس ويوم الجمعة، ثمّ علم بعدم قدرته على الصوم فيهما، فيختار صوم يوم الخميس، لكونه مقدّماً زماناً على صوم يوم الجمعة. وكذا إذا دار الأمر بين ترك القيام في صلاة الظهر وتركه في صلاة </w:t>
      </w:r>
      <w:r w:rsidRPr="00F27422">
        <w:rPr>
          <w:rFonts w:ascii="mylotus" w:hAnsi="mylotus"/>
          <w:b/>
          <w:bCs/>
          <w:sz w:val="32"/>
          <w:rtl/>
        </w:rPr>
        <w:lastRenderedPageBreak/>
        <w:t xml:space="preserve">العصر لعجزه عن القيام فيهما، فيقدّم ما هو المقدّم زماناً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وهو</w:t>
      </w:r>
      <w:r w:rsidRPr="00F27422">
        <w:rPr>
          <w:rFonts w:ascii="mylotus" w:hAnsi="mylotus"/>
          <w:b/>
          <w:bCs/>
          <w:sz w:val="32"/>
          <w:rtl/>
        </w:rPr>
        <w:t xml:space="preserve"> </w:t>
      </w:r>
      <w:r w:rsidRPr="00F27422">
        <w:rPr>
          <w:rFonts w:ascii="mylotus" w:hAnsi="mylotus" w:hint="cs"/>
          <w:b/>
          <w:bCs/>
          <w:sz w:val="32"/>
          <w:rtl/>
        </w:rPr>
        <w:t>صلاة</w:t>
      </w:r>
      <w:r w:rsidRPr="00F27422">
        <w:rPr>
          <w:rFonts w:ascii="mylotus" w:hAnsi="mylotus"/>
          <w:b/>
          <w:bCs/>
          <w:sz w:val="32"/>
          <w:rtl/>
        </w:rPr>
        <w:t xml:space="preserve"> </w:t>
      </w:r>
      <w:r w:rsidRPr="00F27422">
        <w:rPr>
          <w:rFonts w:ascii="mylotus" w:hAnsi="mylotus" w:hint="cs"/>
          <w:b/>
          <w:bCs/>
          <w:sz w:val="32"/>
          <w:rtl/>
        </w:rPr>
        <w:t>الظهر</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ويأتي</w:t>
      </w:r>
      <w:r w:rsidRPr="00F27422">
        <w:rPr>
          <w:rFonts w:ascii="mylotus" w:hAnsi="mylotus"/>
          <w:b/>
          <w:bCs/>
          <w:sz w:val="32"/>
          <w:rtl/>
        </w:rPr>
        <w:t xml:space="preserve"> </w:t>
      </w:r>
      <w:r w:rsidRPr="00F27422">
        <w:rPr>
          <w:rFonts w:ascii="mylotus" w:hAnsi="mylotus" w:hint="cs"/>
          <w:b/>
          <w:bCs/>
          <w:sz w:val="32"/>
          <w:rtl/>
        </w:rPr>
        <w:t>بصلاة</w:t>
      </w:r>
      <w:r w:rsidRPr="00F27422">
        <w:rPr>
          <w:rFonts w:ascii="mylotus" w:hAnsi="mylotus"/>
          <w:b/>
          <w:bCs/>
          <w:sz w:val="32"/>
          <w:rtl/>
        </w:rPr>
        <w:t xml:space="preserve"> </w:t>
      </w:r>
      <w:r w:rsidRPr="00F27422">
        <w:rPr>
          <w:rFonts w:ascii="mylotus" w:hAnsi="mylotus" w:hint="cs"/>
          <w:b/>
          <w:bCs/>
          <w:sz w:val="32"/>
          <w:rtl/>
        </w:rPr>
        <w:t>العصر</w:t>
      </w:r>
      <w:r w:rsidRPr="00F27422">
        <w:rPr>
          <w:rFonts w:ascii="mylotus" w:hAnsi="mylotus"/>
          <w:b/>
          <w:bCs/>
          <w:sz w:val="32"/>
          <w:rtl/>
        </w:rPr>
        <w:t xml:space="preserve"> </w:t>
      </w:r>
      <w:r w:rsidRPr="00F27422">
        <w:rPr>
          <w:rFonts w:ascii="mylotus" w:hAnsi="mylotus" w:hint="cs"/>
          <w:b/>
          <w:bCs/>
          <w:sz w:val="32"/>
          <w:rtl/>
        </w:rPr>
        <w:t>جالساً)</w:t>
      </w:r>
      <w:r w:rsidRPr="00F27422">
        <w:rPr>
          <w:rStyle w:val="FootnoteReference"/>
          <w:rFonts w:ascii="mylotus" w:hAnsi="mylotus"/>
          <w:sz w:val="32"/>
          <w:rtl/>
        </w:rPr>
        <w:footnoteReference w:id="31"/>
      </w:r>
      <w:r w:rsidRPr="00F27422">
        <w:rPr>
          <w:rFonts w:ascii="mylotus" w:hAnsi="mylotus" w:hint="cs"/>
          <w:sz w:val="32"/>
          <w:rtl/>
        </w:rPr>
        <w:t>.</w:t>
      </w:r>
    </w:p>
    <w:p w14:paraId="57B47454"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b/>
          <w:bCs/>
          <w:sz w:val="32"/>
          <w:rtl/>
        </w:rPr>
        <w:t>ومحصله:</w:t>
      </w:r>
      <w:r w:rsidRPr="00F27422">
        <w:rPr>
          <w:rFonts w:ascii="mylotus" w:hAnsi="mylotus"/>
          <w:sz w:val="32"/>
          <w:rtl/>
        </w:rPr>
        <w:t xml:space="preserve"> أنّه لو كان الوجوب في كلٍّ من الواجبين فعلياً، ولكن كان ظرف امتثال أحدهما سابقاً على ظرف امتثال الآخر، كما لو نذر المكلفُ صوم يوم الخميس وصوم يوم الجمعة، فإنّ الوجوب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وجوب</w:t>
      </w:r>
      <w:r w:rsidRPr="00F27422">
        <w:rPr>
          <w:rFonts w:ascii="mylotus" w:hAnsi="mylotus"/>
          <w:sz w:val="32"/>
          <w:rtl/>
        </w:rPr>
        <w:t xml:space="preserve"> </w:t>
      </w:r>
      <w:r w:rsidRPr="00F27422">
        <w:rPr>
          <w:rFonts w:ascii="mylotus" w:hAnsi="mylotus" w:hint="cs"/>
          <w:sz w:val="32"/>
          <w:rtl/>
        </w:rPr>
        <w:t>الوفاء</w:t>
      </w:r>
      <w:r w:rsidRPr="00F27422">
        <w:rPr>
          <w:rFonts w:ascii="mylotus" w:hAnsi="mylotus"/>
          <w:sz w:val="32"/>
          <w:rtl/>
        </w:rPr>
        <w:t xml:space="preserve"> </w:t>
      </w:r>
      <w:r w:rsidRPr="00F27422">
        <w:rPr>
          <w:rFonts w:ascii="mylotus" w:hAnsi="mylotus" w:hint="cs"/>
          <w:sz w:val="32"/>
          <w:rtl/>
        </w:rPr>
        <w:t>بالنذر</w:t>
      </w:r>
      <w:r w:rsidRPr="00F27422">
        <w:rPr>
          <w:rFonts w:ascii="mylotus" w:hAnsi="mylotus"/>
          <w:sz w:val="32"/>
          <w:rtl/>
        </w:rPr>
        <w:t xml:space="preserve"> - </w:t>
      </w:r>
      <w:r w:rsidRPr="00F27422">
        <w:rPr>
          <w:rFonts w:ascii="mylotus" w:hAnsi="mylotus" w:hint="cs"/>
          <w:sz w:val="32"/>
          <w:rtl/>
        </w:rPr>
        <w:t>فعلي</w:t>
      </w:r>
      <w:r w:rsidRPr="00F27422">
        <w:rPr>
          <w:rFonts w:ascii="mylotus" w:hAnsi="mylotus"/>
          <w:sz w:val="32"/>
          <w:rtl/>
        </w:rPr>
        <w:t xml:space="preserve"> </w:t>
      </w:r>
      <w:r w:rsidRPr="00F27422">
        <w:rPr>
          <w:rFonts w:ascii="mylotus" w:hAnsi="mylotus" w:hint="cs"/>
          <w:sz w:val="32"/>
          <w:rtl/>
        </w:rPr>
        <w:t>بمجرّد</w:t>
      </w:r>
      <w:r w:rsidRPr="00F27422">
        <w:rPr>
          <w:rFonts w:ascii="mylotus" w:hAnsi="mylotus"/>
          <w:sz w:val="32"/>
          <w:rtl/>
        </w:rPr>
        <w:t xml:space="preserve"> </w:t>
      </w:r>
      <w:r w:rsidRPr="00F27422">
        <w:rPr>
          <w:rFonts w:ascii="mylotus" w:hAnsi="mylotus" w:hint="cs"/>
          <w:sz w:val="32"/>
          <w:rtl/>
        </w:rPr>
        <w:t>النذر؛</w:t>
      </w:r>
      <w:r w:rsidRPr="00F27422">
        <w:rPr>
          <w:rFonts w:ascii="mylotus" w:hAnsi="mylotus"/>
          <w:sz w:val="32"/>
          <w:rtl/>
        </w:rPr>
        <w:t xml:space="preserve"> </w:t>
      </w:r>
      <w:r w:rsidRPr="00F27422">
        <w:rPr>
          <w:rFonts w:ascii="mylotus" w:hAnsi="mylotus" w:hint="cs"/>
          <w:sz w:val="32"/>
          <w:rtl/>
        </w:rPr>
        <w:t>إذ</w:t>
      </w:r>
      <w:r w:rsidRPr="00F27422">
        <w:rPr>
          <w:rFonts w:ascii="mylotus" w:hAnsi="mylotus"/>
          <w:sz w:val="32"/>
          <w:rtl/>
        </w:rPr>
        <w:t xml:space="preserve"> </w:t>
      </w:r>
      <w:r w:rsidRPr="00F27422">
        <w:rPr>
          <w:rFonts w:ascii="mylotus" w:hAnsi="mylotus" w:hint="cs"/>
          <w:sz w:val="32"/>
          <w:rtl/>
        </w:rPr>
        <w:t>المنذور ما</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يكن</w:t>
      </w:r>
      <w:r w:rsidRPr="00F27422">
        <w:rPr>
          <w:rFonts w:ascii="mylotus" w:hAnsi="mylotus"/>
          <w:sz w:val="32"/>
          <w:rtl/>
        </w:rPr>
        <w:t xml:space="preserve"> </w:t>
      </w:r>
      <w:r w:rsidRPr="00F27422">
        <w:rPr>
          <w:rFonts w:ascii="mylotus" w:hAnsi="mylotus" w:hint="cs"/>
          <w:sz w:val="32"/>
          <w:rtl/>
        </w:rPr>
        <w:t>مشروطاً</w:t>
      </w:r>
      <w:r w:rsidRPr="00F27422">
        <w:rPr>
          <w:rFonts w:ascii="mylotus" w:hAnsi="mylotus"/>
          <w:sz w:val="32"/>
          <w:rtl/>
        </w:rPr>
        <w:t xml:space="preserve"> </w:t>
      </w:r>
      <w:r w:rsidRPr="00F27422">
        <w:rPr>
          <w:rFonts w:ascii="mylotus" w:hAnsi="mylotus" w:hint="cs"/>
          <w:sz w:val="32"/>
          <w:rtl/>
        </w:rPr>
        <w:t>بشرطٍ</w:t>
      </w:r>
      <w:r w:rsidRPr="00F27422">
        <w:rPr>
          <w:rFonts w:ascii="mylotus" w:hAnsi="mylotus"/>
          <w:sz w:val="32"/>
          <w:rtl/>
        </w:rPr>
        <w:t xml:space="preserve"> </w:t>
      </w:r>
      <w:r w:rsidRPr="00F27422">
        <w:rPr>
          <w:rFonts w:ascii="mylotus" w:hAnsi="mylotus" w:hint="cs"/>
          <w:sz w:val="32"/>
          <w:rtl/>
        </w:rPr>
        <w:t>فوجوب</w:t>
      </w:r>
      <w:r w:rsidRPr="00F27422">
        <w:rPr>
          <w:rFonts w:ascii="mylotus" w:hAnsi="mylotus"/>
          <w:sz w:val="32"/>
          <w:rtl/>
        </w:rPr>
        <w:t xml:space="preserve"> </w:t>
      </w:r>
      <w:r w:rsidRPr="00F27422">
        <w:rPr>
          <w:rFonts w:ascii="mylotus" w:hAnsi="mylotus" w:hint="cs"/>
          <w:sz w:val="32"/>
          <w:rtl/>
        </w:rPr>
        <w:t>الوفاء</w:t>
      </w:r>
      <w:r w:rsidRPr="00F27422">
        <w:rPr>
          <w:rFonts w:ascii="mylotus" w:hAnsi="mylotus"/>
          <w:sz w:val="32"/>
          <w:rtl/>
        </w:rPr>
        <w:t xml:space="preserve"> </w:t>
      </w:r>
      <w:r w:rsidRPr="00F27422">
        <w:rPr>
          <w:rFonts w:ascii="mylotus" w:hAnsi="mylotus" w:hint="cs"/>
          <w:sz w:val="32"/>
          <w:rtl/>
        </w:rPr>
        <w:t>به</w:t>
      </w:r>
      <w:r w:rsidRPr="00F27422">
        <w:rPr>
          <w:rFonts w:ascii="mylotus" w:hAnsi="mylotus"/>
          <w:sz w:val="32"/>
          <w:rtl/>
        </w:rPr>
        <w:t xml:space="preserve"> </w:t>
      </w:r>
      <w:r w:rsidRPr="00F27422">
        <w:rPr>
          <w:rFonts w:ascii="mylotus" w:hAnsi="mylotus" w:hint="cs"/>
          <w:sz w:val="32"/>
          <w:rtl/>
        </w:rPr>
        <w:t>فعلي</w:t>
      </w:r>
      <w:r w:rsidRPr="00F27422">
        <w:rPr>
          <w:rFonts w:ascii="mylotus" w:hAnsi="mylotus"/>
          <w:sz w:val="32"/>
          <w:rtl/>
        </w:rPr>
        <w:t xml:space="preserve"> </w:t>
      </w:r>
      <w:r w:rsidRPr="00F27422">
        <w:rPr>
          <w:rFonts w:ascii="mylotus" w:hAnsi="mylotus" w:hint="cs"/>
          <w:sz w:val="32"/>
          <w:rtl/>
        </w:rPr>
        <w:t>بمجرّد</w:t>
      </w:r>
      <w:r w:rsidRPr="00F27422">
        <w:rPr>
          <w:rFonts w:ascii="mylotus" w:hAnsi="mylotus"/>
          <w:sz w:val="32"/>
          <w:rtl/>
        </w:rPr>
        <w:t xml:space="preserve"> </w:t>
      </w:r>
      <w:r w:rsidRPr="00F27422">
        <w:rPr>
          <w:rFonts w:ascii="mylotus" w:hAnsi="mylotus" w:hint="cs"/>
          <w:sz w:val="32"/>
          <w:rtl/>
        </w:rPr>
        <w:t>حصول</w:t>
      </w:r>
      <w:r w:rsidRPr="00F27422">
        <w:rPr>
          <w:rFonts w:ascii="mylotus" w:hAnsi="mylotus"/>
          <w:sz w:val="32"/>
          <w:rtl/>
        </w:rPr>
        <w:t xml:space="preserve"> </w:t>
      </w:r>
      <w:r w:rsidRPr="00F27422">
        <w:rPr>
          <w:rFonts w:ascii="mylotus" w:hAnsi="mylotus" w:hint="cs"/>
          <w:sz w:val="32"/>
          <w:rtl/>
        </w:rPr>
        <w:t>النذر،</w:t>
      </w:r>
      <w:r w:rsidRPr="00F27422">
        <w:rPr>
          <w:rFonts w:ascii="mylotus" w:hAnsi="mylotus"/>
          <w:sz w:val="32"/>
          <w:rtl/>
        </w:rPr>
        <w:t xml:space="preserve"> </w:t>
      </w:r>
      <w:r w:rsidRPr="00F27422">
        <w:rPr>
          <w:rFonts w:ascii="mylotus" w:hAnsi="mylotus" w:hint="cs"/>
          <w:sz w:val="32"/>
          <w:rtl/>
        </w:rPr>
        <w:t>وهذا</w:t>
      </w:r>
      <w:r w:rsidRPr="00F27422">
        <w:rPr>
          <w:rFonts w:ascii="mylotus" w:hAnsi="mylotus"/>
          <w:sz w:val="32"/>
          <w:rtl/>
        </w:rPr>
        <w:t xml:space="preserve"> </w:t>
      </w:r>
      <w:r w:rsidRPr="00F27422">
        <w:rPr>
          <w:rFonts w:ascii="mylotus" w:hAnsi="mylotus" w:hint="cs"/>
          <w:sz w:val="32"/>
          <w:rtl/>
        </w:rPr>
        <w:t>يعني</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وجوب</w:t>
      </w:r>
      <w:r w:rsidRPr="00F27422">
        <w:rPr>
          <w:rFonts w:ascii="mylotus" w:hAnsi="mylotus"/>
          <w:sz w:val="32"/>
          <w:rtl/>
        </w:rPr>
        <w:t xml:space="preserve"> </w:t>
      </w:r>
      <w:r w:rsidRPr="00F27422">
        <w:rPr>
          <w:rFonts w:ascii="mylotus" w:hAnsi="mylotus" w:hint="cs"/>
          <w:sz w:val="32"/>
          <w:rtl/>
        </w:rPr>
        <w:t>صوم</w:t>
      </w:r>
      <w:r w:rsidRPr="00F27422">
        <w:rPr>
          <w:rFonts w:ascii="mylotus" w:hAnsi="mylotus"/>
          <w:sz w:val="32"/>
          <w:rtl/>
        </w:rPr>
        <w:t xml:space="preserve"> </w:t>
      </w:r>
      <w:r w:rsidRPr="00F27422">
        <w:rPr>
          <w:rFonts w:ascii="mylotus" w:hAnsi="mylotus" w:hint="cs"/>
          <w:sz w:val="32"/>
          <w:rtl/>
        </w:rPr>
        <w:t>يومي</w:t>
      </w:r>
      <w:r w:rsidRPr="00F27422">
        <w:rPr>
          <w:rFonts w:ascii="mylotus" w:hAnsi="mylotus"/>
          <w:sz w:val="32"/>
          <w:rtl/>
        </w:rPr>
        <w:t xml:space="preserve"> </w:t>
      </w:r>
      <w:r w:rsidRPr="00F27422">
        <w:rPr>
          <w:rFonts w:ascii="mylotus" w:hAnsi="mylotus" w:hint="cs"/>
          <w:sz w:val="32"/>
          <w:rtl/>
        </w:rPr>
        <w:t>الخميس</w:t>
      </w:r>
      <w:r w:rsidRPr="00F27422">
        <w:rPr>
          <w:rFonts w:ascii="mylotus" w:hAnsi="mylotus"/>
          <w:sz w:val="32"/>
          <w:rtl/>
        </w:rPr>
        <w:t xml:space="preserve"> </w:t>
      </w:r>
      <w:r w:rsidRPr="00F27422">
        <w:rPr>
          <w:rFonts w:ascii="mylotus" w:hAnsi="mylotus" w:hint="cs"/>
          <w:sz w:val="32"/>
          <w:rtl/>
        </w:rPr>
        <w:t>والجمعة</w:t>
      </w:r>
      <w:r w:rsidRPr="00F27422">
        <w:rPr>
          <w:rFonts w:ascii="mylotus" w:hAnsi="mylotus"/>
          <w:sz w:val="32"/>
          <w:rtl/>
        </w:rPr>
        <w:t xml:space="preserve"> </w:t>
      </w:r>
      <w:r w:rsidRPr="00F27422">
        <w:rPr>
          <w:rFonts w:ascii="mylotus" w:hAnsi="mylotus" w:hint="cs"/>
          <w:sz w:val="32"/>
          <w:rtl/>
        </w:rPr>
        <w:t>فعلي</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حين</w:t>
      </w:r>
      <w:r w:rsidRPr="00F27422">
        <w:rPr>
          <w:rFonts w:ascii="mylotus" w:hAnsi="mylotus"/>
          <w:sz w:val="32"/>
          <w:rtl/>
        </w:rPr>
        <w:t xml:space="preserve"> </w:t>
      </w:r>
      <w:r w:rsidRPr="00F27422">
        <w:rPr>
          <w:rFonts w:ascii="mylotus" w:hAnsi="mylotus" w:hint="cs"/>
          <w:sz w:val="32"/>
          <w:rtl/>
        </w:rPr>
        <w:t>النذر،</w:t>
      </w:r>
      <w:r w:rsidRPr="00F27422">
        <w:rPr>
          <w:rFonts w:ascii="mylotus" w:hAnsi="mylotus"/>
          <w:sz w:val="32"/>
          <w:rtl/>
        </w:rPr>
        <w:t xml:space="preserve"> </w:t>
      </w:r>
      <w:r w:rsidRPr="00F27422">
        <w:rPr>
          <w:rFonts w:ascii="mylotus" w:hAnsi="mylotus" w:hint="cs"/>
          <w:sz w:val="32"/>
          <w:rtl/>
        </w:rPr>
        <w:t>إلّا</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ظرف</w:t>
      </w:r>
      <w:r w:rsidRPr="00F27422">
        <w:rPr>
          <w:rFonts w:ascii="mylotus" w:hAnsi="mylotus"/>
          <w:sz w:val="32"/>
          <w:rtl/>
        </w:rPr>
        <w:t xml:space="preserve"> </w:t>
      </w:r>
      <w:r w:rsidRPr="00F27422">
        <w:rPr>
          <w:rFonts w:ascii="mylotus" w:hAnsi="mylotus" w:hint="cs"/>
          <w:sz w:val="32"/>
          <w:rtl/>
        </w:rPr>
        <w:t>امتثال</w:t>
      </w:r>
      <w:r w:rsidRPr="00F27422">
        <w:rPr>
          <w:rFonts w:ascii="mylotus" w:hAnsi="mylotus"/>
          <w:sz w:val="32"/>
          <w:rtl/>
        </w:rPr>
        <w:t xml:space="preserve"> </w:t>
      </w:r>
      <w:r w:rsidRPr="00F27422">
        <w:rPr>
          <w:rFonts w:ascii="mylotus" w:hAnsi="mylotus" w:hint="cs"/>
          <w:sz w:val="32"/>
          <w:rtl/>
        </w:rPr>
        <w:t>أحدهما</w:t>
      </w:r>
      <w:r w:rsidRPr="00F27422">
        <w:rPr>
          <w:rFonts w:ascii="mylotus" w:hAnsi="mylotus"/>
          <w:sz w:val="32"/>
          <w:rtl/>
        </w:rPr>
        <w:t xml:space="preserve"> -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صوم</w:t>
      </w:r>
      <w:r w:rsidRPr="00F27422">
        <w:rPr>
          <w:rFonts w:ascii="mylotus" w:hAnsi="mylotus"/>
          <w:sz w:val="32"/>
          <w:rtl/>
        </w:rPr>
        <w:t xml:space="preserve"> </w:t>
      </w:r>
      <w:r w:rsidRPr="00F27422">
        <w:rPr>
          <w:rFonts w:ascii="mylotus" w:hAnsi="mylotus" w:hint="cs"/>
          <w:sz w:val="32"/>
          <w:rtl/>
        </w:rPr>
        <w:t>يوم</w:t>
      </w:r>
      <w:r w:rsidRPr="00F27422">
        <w:rPr>
          <w:rFonts w:ascii="mylotus" w:hAnsi="mylotus"/>
          <w:sz w:val="32"/>
          <w:rtl/>
        </w:rPr>
        <w:t xml:space="preserve"> </w:t>
      </w:r>
      <w:r w:rsidRPr="00F27422">
        <w:rPr>
          <w:rFonts w:ascii="mylotus" w:hAnsi="mylotus" w:hint="cs"/>
          <w:sz w:val="32"/>
          <w:rtl/>
        </w:rPr>
        <w:t>الخميس</w:t>
      </w:r>
      <w:r w:rsidRPr="00F27422">
        <w:rPr>
          <w:rFonts w:ascii="mylotus" w:hAnsi="mylotus"/>
          <w:sz w:val="32"/>
          <w:rtl/>
        </w:rPr>
        <w:t xml:space="preserve"> - </w:t>
      </w:r>
      <w:r w:rsidRPr="00F27422">
        <w:rPr>
          <w:rFonts w:ascii="mylotus" w:hAnsi="mylotus" w:hint="cs"/>
          <w:sz w:val="32"/>
          <w:rtl/>
        </w:rPr>
        <w:t>سابقٌ</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ظرف</w:t>
      </w:r>
      <w:r w:rsidRPr="00F27422">
        <w:rPr>
          <w:rFonts w:ascii="mylotus" w:hAnsi="mylotus"/>
          <w:sz w:val="32"/>
          <w:rtl/>
        </w:rPr>
        <w:t xml:space="preserve"> </w:t>
      </w:r>
      <w:r w:rsidRPr="00F27422">
        <w:rPr>
          <w:rFonts w:ascii="mylotus" w:hAnsi="mylotus" w:hint="cs"/>
          <w:sz w:val="32"/>
          <w:rtl/>
        </w:rPr>
        <w:t>امتثال</w:t>
      </w:r>
      <w:r w:rsidRPr="00F27422">
        <w:rPr>
          <w:rFonts w:ascii="mylotus" w:hAnsi="mylotus"/>
          <w:sz w:val="32"/>
          <w:rtl/>
        </w:rPr>
        <w:t xml:space="preserve"> </w:t>
      </w:r>
      <w:r w:rsidRPr="00F27422">
        <w:rPr>
          <w:rFonts w:ascii="mylotus" w:hAnsi="mylotus" w:hint="cs"/>
          <w:sz w:val="32"/>
          <w:rtl/>
        </w:rPr>
        <w:t>الآخر،</w:t>
      </w:r>
      <w:r w:rsidRPr="00F27422">
        <w:rPr>
          <w:rFonts w:ascii="mylotus" w:hAnsi="mylotus"/>
          <w:sz w:val="32"/>
          <w:rtl/>
        </w:rPr>
        <w:t xml:space="preserve"> </w:t>
      </w:r>
      <w:r w:rsidRPr="00F27422">
        <w:rPr>
          <w:rFonts w:ascii="mylotus" w:hAnsi="mylotus" w:hint="cs"/>
          <w:sz w:val="32"/>
          <w:rtl/>
        </w:rPr>
        <w:t>فلو</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يقدر</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الجمع</w:t>
      </w:r>
      <w:r w:rsidRPr="00F27422">
        <w:rPr>
          <w:rFonts w:ascii="mylotus" w:hAnsi="mylotus"/>
          <w:sz w:val="32"/>
          <w:rtl/>
        </w:rPr>
        <w:t xml:space="preserve"> </w:t>
      </w:r>
      <w:r w:rsidRPr="00F27422">
        <w:rPr>
          <w:rFonts w:ascii="mylotus" w:hAnsi="mylotus" w:hint="cs"/>
          <w:sz w:val="32"/>
          <w:rtl/>
        </w:rPr>
        <w:t>بين</w:t>
      </w:r>
      <w:r w:rsidRPr="00F27422">
        <w:rPr>
          <w:rFonts w:ascii="mylotus" w:hAnsi="mylotus"/>
          <w:sz w:val="32"/>
          <w:rtl/>
        </w:rPr>
        <w:t xml:space="preserve"> </w:t>
      </w:r>
      <w:r w:rsidRPr="00F27422">
        <w:rPr>
          <w:rFonts w:ascii="mylotus" w:hAnsi="mylotus" w:hint="cs"/>
          <w:sz w:val="32"/>
          <w:rtl/>
        </w:rPr>
        <w:t>الامتثالين،</w:t>
      </w:r>
      <w:r w:rsidRPr="00F27422">
        <w:rPr>
          <w:rFonts w:ascii="mylotus" w:hAnsi="mylotus"/>
          <w:sz w:val="32"/>
          <w:rtl/>
        </w:rPr>
        <w:t xml:space="preserve"> </w:t>
      </w:r>
      <w:r w:rsidRPr="00F27422">
        <w:rPr>
          <w:rFonts w:ascii="mylotus" w:hAnsi="mylotus" w:hint="cs"/>
          <w:sz w:val="32"/>
          <w:rtl/>
        </w:rPr>
        <w:t>بل</w:t>
      </w:r>
      <w:r w:rsidRPr="00F27422">
        <w:rPr>
          <w:rFonts w:ascii="mylotus" w:hAnsi="mylotus"/>
          <w:sz w:val="32"/>
          <w:rtl/>
        </w:rPr>
        <w:t xml:space="preserve"> </w:t>
      </w:r>
      <w:r w:rsidRPr="00F27422">
        <w:rPr>
          <w:rFonts w:ascii="mylotus" w:hAnsi="mylotus" w:hint="cs"/>
          <w:sz w:val="32"/>
          <w:rtl/>
        </w:rPr>
        <w:t>إمّا</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يصرف</w:t>
      </w:r>
      <w:r w:rsidRPr="00F27422">
        <w:rPr>
          <w:rFonts w:ascii="mylotus" w:hAnsi="mylotus"/>
          <w:sz w:val="32"/>
          <w:rtl/>
        </w:rPr>
        <w:t xml:space="preserve"> </w:t>
      </w:r>
      <w:r w:rsidRPr="00F27422">
        <w:rPr>
          <w:rFonts w:ascii="mylotus" w:hAnsi="mylotus" w:hint="cs"/>
          <w:sz w:val="32"/>
          <w:rtl/>
        </w:rPr>
        <w:t>قدرته</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صوم</w:t>
      </w:r>
      <w:r w:rsidRPr="00F27422">
        <w:rPr>
          <w:rFonts w:ascii="mylotus" w:hAnsi="mylotus"/>
          <w:sz w:val="32"/>
          <w:rtl/>
        </w:rPr>
        <w:t xml:space="preserve"> </w:t>
      </w:r>
      <w:r w:rsidRPr="00F27422">
        <w:rPr>
          <w:rFonts w:ascii="mylotus" w:hAnsi="mylotus" w:hint="cs"/>
          <w:sz w:val="32"/>
          <w:rtl/>
        </w:rPr>
        <w:t>ي</w:t>
      </w:r>
      <w:r w:rsidRPr="00F27422">
        <w:rPr>
          <w:rFonts w:ascii="mylotus" w:hAnsi="mylotus"/>
          <w:sz w:val="32"/>
          <w:rtl/>
        </w:rPr>
        <w:t>وم الخميس أو يترك صوم يوم الخميس ليحتفظ بقدرته على صوم يوم الجمعة، فإنّ المتعين صوم يوم الخميس؛ إذ القدرة التي هي شرطٌ في فعلية التكليف ليست القدرة زمان الوجوب بل القدرة زمان الامتثال، فإذا كانت القدرة الدخيلة في فعلية التكليف القدرةَ زمان الامتثال، فالقدرةُ على صوم يوم الخميس فعلية؛ لحلول يوم الخميس بالفعل، بينما القدرة المعتبرة في وجوب صوم يوم الجمعة ل</w:t>
      </w:r>
      <w:r w:rsidRPr="00F27422">
        <w:rPr>
          <w:rFonts w:ascii="mylotus" w:hAnsi="mylotus" w:hint="cs"/>
          <w:sz w:val="32"/>
          <w:rtl/>
        </w:rPr>
        <w:t>َ</w:t>
      </w:r>
      <w:r w:rsidRPr="00F27422">
        <w:rPr>
          <w:rFonts w:ascii="mylotus" w:hAnsi="mylotus"/>
          <w:sz w:val="32"/>
          <w:rtl/>
        </w:rPr>
        <w:t>م</w:t>
      </w:r>
      <w:r w:rsidRPr="00F27422">
        <w:rPr>
          <w:rFonts w:ascii="mylotus" w:hAnsi="mylotus" w:hint="cs"/>
          <w:sz w:val="32"/>
          <w:rtl/>
        </w:rPr>
        <w:t>ْ</w:t>
      </w:r>
      <w:r w:rsidRPr="00F27422">
        <w:rPr>
          <w:rFonts w:ascii="mylotus" w:hAnsi="mylotus"/>
          <w:sz w:val="32"/>
          <w:rtl/>
        </w:rPr>
        <w:t xml:space="preserve"> يحن أوانها، وبما أنّ الوجوب مشروطٌ بالقدرة في زمان الامتثال تعين عقلاً صرف القدرة في صوم يوم الخميس، وبامتثال الأمر بصوم يوم الخميس ينتفي وجوب صوم يوم الجمعة بانتفاء موضوعه وهو القدرة عليه، وهذا يعني أنّ امتثال الأمر بالوفاء بالنذر بصوم يوم الخميس وارِدٌ على وجوب صوم يوم الجمعة</w:t>
      </w:r>
      <w:r w:rsidRPr="00F27422">
        <w:rPr>
          <w:rFonts w:ascii="mylotus" w:hAnsi="mylotus"/>
          <w:sz w:val="32"/>
        </w:rPr>
        <w:t>.</w:t>
      </w:r>
    </w:p>
    <w:p w14:paraId="40DFA4C4"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sz w:val="32"/>
          <w:rtl/>
        </w:rPr>
        <w:t>ولكنه (قدس سره</w:t>
      </w:r>
      <w:r w:rsidRPr="00F27422">
        <w:rPr>
          <w:rFonts w:ascii="mylotus" w:hAnsi="mylotus" w:hint="cs"/>
          <w:sz w:val="32"/>
          <w:rtl/>
        </w:rPr>
        <w:t xml:space="preserve"> الشريف</w:t>
      </w:r>
      <w:r w:rsidRPr="00F27422">
        <w:rPr>
          <w:rFonts w:ascii="mylotus" w:hAnsi="mylotus"/>
          <w:sz w:val="32"/>
          <w:rtl/>
        </w:rPr>
        <w:t xml:space="preserve">) قد عدل عن ذلك في المحاضرات </w:t>
      </w:r>
      <w:r w:rsidRPr="00F27422">
        <w:rPr>
          <w:rFonts w:ascii="mylotus" w:hAnsi="mylotus" w:hint="cs"/>
          <w:sz w:val="32"/>
          <w:rtl/>
        </w:rPr>
        <w:t xml:space="preserve">- </w:t>
      </w:r>
      <w:r w:rsidRPr="00F27422">
        <w:rPr>
          <w:rFonts w:ascii="mylotus" w:hAnsi="mylotus"/>
          <w:sz w:val="32"/>
          <w:rtl/>
        </w:rPr>
        <w:t>بلحاظ تقدم المصباح عليه</w:t>
      </w:r>
      <w:r w:rsidRPr="00F27422">
        <w:rPr>
          <w:rFonts w:ascii="mylotus" w:hAnsi="mylotus" w:hint="cs"/>
          <w:sz w:val="32"/>
          <w:rtl/>
        </w:rPr>
        <w:t xml:space="preserve"> -</w:t>
      </w:r>
      <w:r w:rsidRPr="00F27422">
        <w:rPr>
          <w:rFonts w:ascii="mylotus" w:hAnsi="mylotus"/>
          <w:sz w:val="32"/>
          <w:rtl/>
        </w:rPr>
        <w:t xml:space="preserve">، حيث أفاد بقوله: </w:t>
      </w:r>
      <w:r w:rsidRPr="00F27422">
        <w:rPr>
          <w:rFonts w:ascii="mylotus" w:hAnsi="mylotus"/>
          <w:b/>
          <w:bCs/>
          <w:sz w:val="32"/>
          <w:rtl/>
        </w:rPr>
        <w:t xml:space="preserve">(وما ذكرناه سابقاً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ما</w:t>
      </w:r>
      <w:r w:rsidRPr="00F27422">
        <w:rPr>
          <w:rFonts w:ascii="mylotus" w:hAnsi="mylotus"/>
          <w:b/>
          <w:bCs/>
          <w:sz w:val="32"/>
          <w:rtl/>
        </w:rPr>
        <w:t xml:space="preserve"> </w:t>
      </w:r>
      <w:r w:rsidRPr="00F27422">
        <w:rPr>
          <w:rFonts w:ascii="mylotus" w:hAnsi="mylotus" w:hint="cs"/>
          <w:b/>
          <w:bCs/>
          <w:sz w:val="32"/>
          <w:rtl/>
        </w:rPr>
        <w:t>هو</w:t>
      </w:r>
      <w:r w:rsidRPr="00F27422">
        <w:rPr>
          <w:rFonts w:ascii="mylotus" w:hAnsi="mylotus"/>
          <w:b/>
          <w:bCs/>
          <w:sz w:val="32"/>
          <w:rtl/>
        </w:rPr>
        <w:t xml:space="preserve"> </w:t>
      </w:r>
      <w:r w:rsidRPr="00F27422">
        <w:rPr>
          <w:rFonts w:ascii="mylotus" w:hAnsi="mylotus" w:hint="cs"/>
          <w:b/>
          <w:bCs/>
          <w:sz w:val="32"/>
          <w:rtl/>
        </w:rPr>
        <w:t>أسبق</w:t>
      </w:r>
      <w:r w:rsidRPr="00F27422">
        <w:rPr>
          <w:rFonts w:ascii="mylotus" w:hAnsi="mylotus"/>
          <w:b/>
          <w:bCs/>
          <w:sz w:val="32"/>
          <w:rtl/>
        </w:rPr>
        <w:t xml:space="preserve"> </w:t>
      </w:r>
      <w:r w:rsidRPr="00F27422">
        <w:rPr>
          <w:rFonts w:ascii="mylotus" w:hAnsi="mylotus" w:hint="cs"/>
          <w:b/>
          <w:bCs/>
          <w:sz w:val="32"/>
          <w:rtl/>
        </w:rPr>
        <w:t>زماناً</w:t>
      </w:r>
      <w:r w:rsidRPr="00F27422">
        <w:rPr>
          <w:rFonts w:ascii="mylotus" w:hAnsi="mylotus"/>
          <w:b/>
          <w:bCs/>
          <w:sz w:val="32"/>
          <w:rtl/>
        </w:rPr>
        <w:t xml:space="preserve"> </w:t>
      </w:r>
      <w:r w:rsidRPr="00F27422">
        <w:rPr>
          <w:rFonts w:ascii="mylotus" w:hAnsi="mylotus" w:hint="cs"/>
          <w:b/>
          <w:bCs/>
          <w:sz w:val="32"/>
          <w:rtl/>
        </w:rPr>
        <w:t>يتقدم</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غيره</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إنما</w:t>
      </w:r>
      <w:r w:rsidRPr="00F27422">
        <w:rPr>
          <w:rFonts w:ascii="mylotus" w:hAnsi="mylotus"/>
          <w:b/>
          <w:bCs/>
          <w:sz w:val="32"/>
          <w:rtl/>
        </w:rPr>
        <w:t xml:space="preserve"> </w:t>
      </w:r>
      <w:r w:rsidRPr="00F27422">
        <w:rPr>
          <w:rFonts w:ascii="mylotus" w:hAnsi="mylotus" w:hint="cs"/>
          <w:b/>
          <w:bCs/>
          <w:sz w:val="32"/>
          <w:rtl/>
        </w:rPr>
        <w:t>هو</w:t>
      </w:r>
      <w:r w:rsidRPr="00F27422">
        <w:rPr>
          <w:rFonts w:ascii="mylotus" w:hAnsi="mylotus"/>
          <w:b/>
          <w:bCs/>
          <w:sz w:val="32"/>
          <w:rtl/>
        </w:rPr>
        <w:t xml:space="preserve"> </w:t>
      </w:r>
      <w:r w:rsidRPr="00F27422">
        <w:rPr>
          <w:rFonts w:ascii="mylotus" w:hAnsi="mylotus" w:hint="cs"/>
          <w:b/>
          <w:bCs/>
          <w:sz w:val="32"/>
          <w:rtl/>
        </w:rPr>
        <w:t>فيما</w:t>
      </w:r>
      <w:r w:rsidRPr="00F27422">
        <w:rPr>
          <w:rFonts w:ascii="mylotus" w:hAnsi="mylotus"/>
          <w:b/>
          <w:bCs/>
          <w:sz w:val="32"/>
          <w:rtl/>
        </w:rPr>
        <w:t xml:space="preserve"> </w:t>
      </w:r>
      <w:r w:rsidRPr="00F27422">
        <w:rPr>
          <w:rFonts w:ascii="mylotus" w:hAnsi="mylotus" w:hint="cs"/>
          <w:b/>
          <w:bCs/>
          <w:sz w:val="32"/>
          <w:rtl/>
        </w:rPr>
        <w:t>إذا</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التزاحم</w:t>
      </w:r>
      <w:r w:rsidRPr="00F27422">
        <w:rPr>
          <w:rFonts w:ascii="mylotus" w:hAnsi="mylotus"/>
          <w:b/>
          <w:bCs/>
          <w:sz w:val="32"/>
          <w:rtl/>
        </w:rPr>
        <w:t xml:space="preserve"> </w:t>
      </w:r>
      <w:r w:rsidRPr="00F27422">
        <w:rPr>
          <w:rFonts w:ascii="mylotus" w:hAnsi="mylotus" w:hint="cs"/>
          <w:b/>
          <w:bCs/>
          <w:sz w:val="32"/>
          <w:rtl/>
        </w:rPr>
        <w:t>بين</w:t>
      </w:r>
      <w:r w:rsidRPr="00F27422">
        <w:rPr>
          <w:rFonts w:ascii="mylotus" w:hAnsi="mylotus"/>
          <w:b/>
          <w:bCs/>
          <w:sz w:val="32"/>
          <w:rtl/>
        </w:rPr>
        <w:t xml:space="preserve"> </w:t>
      </w:r>
      <w:r w:rsidRPr="00F27422">
        <w:rPr>
          <w:rFonts w:ascii="mylotus" w:hAnsi="mylotus" w:hint="cs"/>
          <w:b/>
          <w:bCs/>
          <w:sz w:val="32"/>
          <w:rtl/>
        </w:rPr>
        <w:t>واجبين</w:t>
      </w:r>
      <w:r w:rsidRPr="00F27422">
        <w:rPr>
          <w:rFonts w:ascii="mylotus" w:hAnsi="mylotus"/>
          <w:b/>
          <w:bCs/>
          <w:sz w:val="32"/>
          <w:rtl/>
        </w:rPr>
        <w:t xml:space="preserve"> </w:t>
      </w:r>
      <w:r w:rsidRPr="00F27422">
        <w:rPr>
          <w:rFonts w:ascii="mylotus" w:hAnsi="mylotus" w:hint="cs"/>
          <w:b/>
          <w:bCs/>
          <w:sz w:val="32"/>
          <w:rtl/>
        </w:rPr>
        <w:t>يكون</w:t>
      </w:r>
      <w:r w:rsidRPr="00F27422">
        <w:rPr>
          <w:rFonts w:ascii="mylotus" w:hAnsi="mylotus"/>
          <w:b/>
          <w:bCs/>
          <w:sz w:val="32"/>
          <w:rtl/>
        </w:rPr>
        <w:t xml:space="preserve"> </w:t>
      </w:r>
      <w:r w:rsidRPr="00F27422">
        <w:rPr>
          <w:rFonts w:ascii="mylotus" w:hAnsi="mylotus" w:hint="cs"/>
          <w:b/>
          <w:bCs/>
          <w:sz w:val="32"/>
          <w:rtl/>
        </w:rPr>
        <w:t>كل</w:t>
      </w:r>
      <w:r w:rsidRPr="00F27422">
        <w:rPr>
          <w:rFonts w:ascii="mylotus" w:hAnsi="mylotus"/>
          <w:b/>
          <w:bCs/>
          <w:sz w:val="32"/>
          <w:rtl/>
        </w:rPr>
        <w:t xml:space="preserve"> </w:t>
      </w:r>
      <w:r w:rsidRPr="00F27422">
        <w:rPr>
          <w:rFonts w:ascii="mylotus" w:hAnsi="mylotus" w:hint="cs"/>
          <w:b/>
          <w:bCs/>
          <w:sz w:val="32"/>
          <w:rtl/>
        </w:rPr>
        <w:t>منهما</w:t>
      </w:r>
      <w:r w:rsidRPr="00F27422">
        <w:rPr>
          <w:rFonts w:ascii="mylotus" w:hAnsi="mylotus"/>
          <w:b/>
          <w:bCs/>
          <w:sz w:val="32"/>
          <w:rtl/>
        </w:rPr>
        <w:t xml:space="preserve"> </w:t>
      </w:r>
      <w:r w:rsidRPr="00F27422">
        <w:rPr>
          <w:rFonts w:ascii="mylotus" w:hAnsi="mylotus" w:hint="cs"/>
          <w:b/>
          <w:bCs/>
          <w:sz w:val="32"/>
          <w:rtl/>
        </w:rPr>
        <w:t>مشروطاً</w:t>
      </w:r>
      <w:r w:rsidRPr="00F27422">
        <w:rPr>
          <w:rFonts w:ascii="mylotus" w:hAnsi="mylotus"/>
          <w:b/>
          <w:bCs/>
          <w:sz w:val="32"/>
          <w:rtl/>
        </w:rPr>
        <w:t xml:space="preserve"> </w:t>
      </w:r>
      <w:r w:rsidRPr="00F27422">
        <w:rPr>
          <w:rFonts w:ascii="mylotus" w:hAnsi="mylotus" w:hint="cs"/>
          <w:b/>
          <w:bCs/>
          <w:sz w:val="32"/>
          <w:rtl/>
        </w:rPr>
        <w:t>بالقدرة</w:t>
      </w:r>
      <w:r w:rsidRPr="00F27422">
        <w:rPr>
          <w:rFonts w:ascii="mylotus" w:hAnsi="mylotus"/>
          <w:b/>
          <w:bCs/>
          <w:sz w:val="32"/>
          <w:rtl/>
        </w:rPr>
        <w:t xml:space="preserve"> </w:t>
      </w:r>
      <w:r w:rsidRPr="00F27422">
        <w:rPr>
          <w:rFonts w:ascii="mylotus" w:hAnsi="mylotus" w:hint="cs"/>
          <w:b/>
          <w:bCs/>
          <w:sz w:val="32"/>
          <w:rtl/>
        </w:rPr>
        <w:t>شرعاً،</w:t>
      </w:r>
      <w:r w:rsidRPr="00F27422">
        <w:rPr>
          <w:rFonts w:ascii="mylotus" w:hAnsi="mylotus"/>
          <w:b/>
          <w:bCs/>
          <w:sz w:val="32"/>
          <w:rtl/>
        </w:rPr>
        <w:t xml:space="preserve">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فيما</w:t>
      </w:r>
      <w:r w:rsidRPr="00F27422">
        <w:rPr>
          <w:rFonts w:ascii="mylotus" w:hAnsi="mylotus"/>
          <w:b/>
          <w:bCs/>
          <w:sz w:val="32"/>
          <w:rtl/>
        </w:rPr>
        <w:t xml:space="preserve"> </w:t>
      </w:r>
      <w:r w:rsidRPr="00F27422">
        <w:rPr>
          <w:rFonts w:ascii="mylotus" w:hAnsi="mylotus" w:hint="cs"/>
          <w:b/>
          <w:bCs/>
          <w:sz w:val="32"/>
          <w:rtl/>
        </w:rPr>
        <w:t>إذا</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مشروطاً</w:t>
      </w:r>
      <w:r w:rsidRPr="00F27422">
        <w:rPr>
          <w:rFonts w:ascii="mylotus" w:hAnsi="mylotus"/>
          <w:b/>
          <w:bCs/>
          <w:sz w:val="32"/>
          <w:rtl/>
        </w:rPr>
        <w:t xml:space="preserve"> </w:t>
      </w:r>
      <w:r w:rsidRPr="00F27422">
        <w:rPr>
          <w:rFonts w:ascii="mylotus" w:hAnsi="mylotus" w:hint="cs"/>
          <w:b/>
          <w:bCs/>
          <w:sz w:val="32"/>
          <w:rtl/>
        </w:rPr>
        <w:t>بها</w:t>
      </w:r>
      <w:r w:rsidRPr="00F27422">
        <w:rPr>
          <w:rFonts w:ascii="mylotus" w:hAnsi="mylotus"/>
          <w:b/>
          <w:bCs/>
          <w:sz w:val="32"/>
          <w:rtl/>
        </w:rPr>
        <w:t xml:space="preserve"> </w:t>
      </w:r>
      <w:r w:rsidRPr="00F27422">
        <w:rPr>
          <w:rFonts w:ascii="mylotus" w:hAnsi="mylotus" w:hint="cs"/>
          <w:b/>
          <w:bCs/>
          <w:sz w:val="32"/>
          <w:rtl/>
        </w:rPr>
        <w:t>عقلاً</w:t>
      </w:r>
      <w:r w:rsidRPr="00F27422">
        <w:rPr>
          <w:rFonts w:ascii="mylotus" w:hAnsi="mylotus"/>
          <w:b/>
          <w:bCs/>
          <w:sz w:val="32"/>
          <w:rtl/>
        </w:rPr>
        <w:t xml:space="preserve">. </w:t>
      </w:r>
      <w:r w:rsidRPr="00F27422">
        <w:rPr>
          <w:rFonts w:ascii="mylotus" w:hAnsi="mylotus" w:hint="cs"/>
          <w:b/>
          <w:bCs/>
          <w:sz w:val="32"/>
          <w:rtl/>
        </w:rPr>
        <w:t>ونقطة</w:t>
      </w:r>
      <w:r w:rsidRPr="00F27422">
        <w:rPr>
          <w:rFonts w:ascii="mylotus" w:hAnsi="mylotus"/>
          <w:b/>
          <w:bCs/>
          <w:sz w:val="32"/>
          <w:rtl/>
        </w:rPr>
        <w:t xml:space="preserve"> </w:t>
      </w:r>
      <w:r w:rsidRPr="00F27422">
        <w:rPr>
          <w:rFonts w:ascii="mylotus" w:hAnsi="mylotus" w:hint="cs"/>
          <w:b/>
          <w:bCs/>
          <w:sz w:val="32"/>
          <w:rtl/>
        </w:rPr>
        <w:t>الفرق</w:t>
      </w:r>
      <w:r w:rsidRPr="00F27422">
        <w:rPr>
          <w:rFonts w:ascii="mylotus" w:hAnsi="mylotus"/>
          <w:b/>
          <w:bCs/>
          <w:sz w:val="32"/>
          <w:rtl/>
        </w:rPr>
        <w:t xml:space="preserve"> </w:t>
      </w:r>
      <w:r w:rsidRPr="00F27422">
        <w:rPr>
          <w:rFonts w:ascii="mylotus" w:hAnsi="mylotus" w:hint="cs"/>
          <w:b/>
          <w:bCs/>
          <w:sz w:val="32"/>
          <w:rtl/>
        </w:rPr>
        <w:t>بينهما</w:t>
      </w:r>
      <w:r w:rsidRPr="00F27422">
        <w:rPr>
          <w:rFonts w:ascii="mylotus" w:hAnsi="mylotus"/>
          <w:b/>
          <w:bCs/>
          <w:sz w:val="32"/>
          <w:rtl/>
        </w:rPr>
        <w:t xml:space="preserve"> </w:t>
      </w:r>
      <w:r w:rsidRPr="00F27422">
        <w:rPr>
          <w:rFonts w:ascii="mylotus" w:hAnsi="mylotus" w:hint="cs"/>
          <w:b/>
          <w:bCs/>
          <w:sz w:val="32"/>
          <w:rtl/>
        </w:rPr>
        <w:t>هي</w:t>
      </w:r>
      <w:r w:rsidRPr="00F27422">
        <w:rPr>
          <w:rFonts w:ascii="mylotus" w:hAnsi="mylotus"/>
          <w:b/>
          <w:bCs/>
          <w:sz w:val="32"/>
          <w:rtl/>
        </w:rPr>
        <w:t xml:space="preserve"> </w:t>
      </w:r>
      <w:r w:rsidRPr="00F27422">
        <w:rPr>
          <w:rFonts w:ascii="mylotus" w:hAnsi="mylotus" w:hint="cs"/>
          <w:b/>
          <w:bCs/>
          <w:sz w:val="32"/>
          <w:rtl/>
        </w:rPr>
        <w:t>أنّه</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الأوّل</w:t>
      </w:r>
      <w:r w:rsidRPr="00F27422">
        <w:rPr>
          <w:rFonts w:ascii="mylotus" w:hAnsi="mylotus"/>
          <w:b/>
          <w:bCs/>
          <w:sz w:val="32"/>
          <w:rtl/>
        </w:rPr>
        <w:t xml:space="preserve"> </w:t>
      </w:r>
      <w:r w:rsidRPr="00F27422">
        <w:rPr>
          <w:rFonts w:ascii="mylotus" w:hAnsi="mylotus" w:hint="cs"/>
          <w:b/>
          <w:bCs/>
          <w:sz w:val="32"/>
          <w:rtl/>
        </w:rPr>
        <w:t>بما</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كلا</w:t>
      </w:r>
      <w:r w:rsidRPr="00F27422">
        <w:rPr>
          <w:rFonts w:ascii="mylotus" w:hAnsi="mylotus"/>
          <w:b/>
          <w:bCs/>
          <w:sz w:val="32"/>
          <w:rtl/>
        </w:rPr>
        <w:t xml:space="preserve"> </w:t>
      </w:r>
      <w:r w:rsidRPr="00F27422">
        <w:rPr>
          <w:rFonts w:ascii="mylotus" w:hAnsi="mylotus" w:hint="cs"/>
          <w:b/>
          <w:bCs/>
          <w:sz w:val="32"/>
          <w:rtl/>
        </w:rPr>
        <w:t>منهما</w:t>
      </w:r>
      <w:r w:rsidRPr="00F27422">
        <w:rPr>
          <w:rFonts w:ascii="mylotus" w:hAnsi="mylotus"/>
          <w:b/>
          <w:bCs/>
          <w:sz w:val="32"/>
          <w:rtl/>
        </w:rPr>
        <w:t xml:space="preserve"> </w:t>
      </w:r>
      <w:r w:rsidRPr="00F27422">
        <w:rPr>
          <w:rFonts w:ascii="mylotus" w:hAnsi="mylotus" w:hint="cs"/>
          <w:b/>
          <w:bCs/>
          <w:sz w:val="32"/>
          <w:rtl/>
        </w:rPr>
        <w:t>مشروط</w:t>
      </w:r>
      <w:r w:rsidRPr="00F27422">
        <w:rPr>
          <w:rFonts w:ascii="mylotus" w:hAnsi="mylotus"/>
          <w:b/>
          <w:bCs/>
          <w:sz w:val="32"/>
          <w:rtl/>
        </w:rPr>
        <w:t xml:space="preserve"> </w:t>
      </w:r>
      <w:r w:rsidRPr="00F27422">
        <w:rPr>
          <w:rFonts w:ascii="mylotus" w:hAnsi="mylotus" w:hint="cs"/>
          <w:b/>
          <w:bCs/>
          <w:sz w:val="32"/>
          <w:rtl/>
        </w:rPr>
        <w:t>بالقدرة</w:t>
      </w:r>
      <w:r w:rsidRPr="00F27422">
        <w:rPr>
          <w:rFonts w:ascii="mylotus" w:hAnsi="mylotus"/>
          <w:b/>
          <w:bCs/>
          <w:sz w:val="32"/>
          <w:rtl/>
        </w:rPr>
        <w:t xml:space="preserve"> </w:t>
      </w:r>
      <w:r w:rsidRPr="00F27422">
        <w:rPr>
          <w:rFonts w:ascii="mylotus" w:hAnsi="mylotus" w:hint="cs"/>
          <w:b/>
          <w:bCs/>
          <w:sz w:val="32"/>
          <w:rtl/>
        </w:rPr>
        <w:t>شرعاً،</w:t>
      </w:r>
      <w:r w:rsidRPr="00F27422">
        <w:rPr>
          <w:rFonts w:ascii="mylotus" w:hAnsi="mylotus"/>
          <w:b/>
          <w:bCs/>
          <w:sz w:val="32"/>
          <w:rtl/>
        </w:rPr>
        <w:t xml:space="preserve"> </w:t>
      </w:r>
      <w:r w:rsidRPr="00F27422">
        <w:rPr>
          <w:rFonts w:ascii="mylotus" w:hAnsi="mylotus" w:hint="cs"/>
          <w:b/>
          <w:bCs/>
          <w:sz w:val="32"/>
          <w:rtl/>
        </w:rPr>
        <w:t>ففي</w:t>
      </w:r>
      <w:r w:rsidRPr="00F27422">
        <w:rPr>
          <w:rFonts w:ascii="mylotus" w:hAnsi="mylotus"/>
          <w:b/>
          <w:bCs/>
          <w:sz w:val="32"/>
          <w:rtl/>
        </w:rPr>
        <w:t xml:space="preserve"> </w:t>
      </w:r>
      <w:r w:rsidRPr="00F27422">
        <w:rPr>
          <w:rFonts w:ascii="mylotus" w:hAnsi="mylotus" w:hint="cs"/>
          <w:b/>
          <w:bCs/>
          <w:sz w:val="32"/>
          <w:rtl/>
        </w:rPr>
        <w:t>فرض</w:t>
      </w:r>
      <w:r w:rsidRPr="00F27422">
        <w:rPr>
          <w:rFonts w:ascii="mylotus" w:hAnsi="mylotus"/>
          <w:b/>
          <w:bCs/>
          <w:sz w:val="32"/>
          <w:rtl/>
        </w:rPr>
        <w:t xml:space="preserve"> </w:t>
      </w:r>
      <w:r w:rsidRPr="00F27422">
        <w:rPr>
          <w:rFonts w:ascii="mylotus" w:hAnsi="mylotus" w:hint="cs"/>
          <w:b/>
          <w:bCs/>
          <w:sz w:val="32"/>
          <w:rtl/>
        </w:rPr>
        <w:t>المزاحمة</w:t>
      </w:r>
      <w:r w:rsidRPr="00F27422">
        <w:rPr>
          <w:rFonts w:ascii="mylotus" w:hAnsi="mylotus"/>
          <w:b/>
          <w:bCs/>
          <w:sz w:val="32"/>
          <w:rtl/>
        </w:rPr>
        <w:t xml:space="preserve">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مناص</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الأخذ</w:t>
      </w:r>
      <w:r w:rsidRPr="00F27422">
        <w:rPr>
          <w:rFonts w:ascii="mylotus" w:hAnsi="mylotus"/>
          <w:b/>
          <w:bCs/>
          <w:sz w:val="32"/>
          <w:rtl/>
        </w:rPr>
        <w:t xml:space="preserve"> </w:t>
      </w:r>
      <w:r w:rsidRPr="00F27422">
        <w:rPr>
          <w:rFonts w:ascii="mylotus" w:hAnsi="mylotus" w:hint="cs"/>
          <w:b/>
          <w:bCs/>
          <w:sz w:val="32"/>
          <w:rtl/>
        </w:rPr>
        <w:t>بما</w:t>
      </w:r>
      <w:r w:rsidRPr="00F27422">
        <w:rPr>
          <w:rFonts w:ascii="mylotus" w:hAnsi="mylotus"/>
          <w:b/>
          <w:bCs/>
          <w:sz w:val="32"/>
          <w:rtl/>
        </w:rPr>
        <w:t xml:space="preserve"> </w:t>
      </w:r>
      <w:r w:rsidRPr="00F27422">
        <w:rPr>
          <w:rFonts w:ascii="mylotus" w:hAnsi="mylotus" w:hint="cs"/>
          <w:b/>
          <w:bCs/>
          <w:sz w:val="32"/>
          <w:rtl/>
        </w:rPr>
        <w:t>هو</w:t>
      </w:r>
      <w:r w:rsidRPr="00F27422">
        <w:rPr>
          <w:rFonts w:ascii="mylotus" w:hAnsi="mylotus"/>
          <w:b/>
          <w:bCs/>
          <w:sz w:val="32"/>
          <w:rtl/>
        </w:rPr>
        <w:t xml:space="preserve"> </w:t>
      </w:r>
      <w:r w:rsidRPr="00F27422">
        <w:rPr>
          <w:rFonts w:ascii="mylotus" w:hAnsi="mylotus" w:hint="cs"/>
          <w:b/>
          <w:bCs/>
          <w:sz w:val="32"/>
          <w:rtl/>
        </w:rPr>
        <w:t>سابق</w:t>
      </w:r>
      <w:r w:rsidRPr="00F27422">
        <w:rPr>
          <w:rFonts w:ascii="mylotus" w:hAnsi="mylotus"/>
          <w:b/>
          <w:bCs/>
          <w:sz w:val="32"/>
          <w:rtl/>
        </w:rPr>
        <w:t xml:space="preserve"> </w:t>
      </w:r>
      <w:r w:rsidRPr="00F27422">
        <w:rPr>
          <w:rFonts w:ascii="mylotus" w:hAnsi="mylotus" w:hint="cs"/>
          <w:b/>
          <w:bCs/>
          <w:sz w:val="32"/>
          <w:rtl/>
        </w:rPr>
        <w:t>زمانا</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الآخر،</w:t>
      </w:r>
      <w:r w:rsidRPr="00F27422">
        <w:rPr>
          <w:rFonts w:ascii="mylotus" w:hAnsi="mylotus"/>
          <w:b/>
          <w:bCs/>
          <w:sz w:val="32"/>
          <w:rtl/>
        </w:rPr>
        <w:t xml:space="preserve"> </w:t>
      </w:r>
      <w:r w:rsidRPr="00F27422">
        <w:rPr>
          <w:rFonts w:ascii="mylotus" w:hAnsi="mylotus" w:hint="cs"/>
          <w:b/>
          <w:bCs/>
          <w:sz w:val="32"/>
          <w:rtl/>
        </w:rPr>
        <w:t>حيث</w:t>
      </w:r>
      <w:r w:rsidRPr="00F27422">
        <w:rPr>
          <w:rFonts w:ascii="mylotus" w:hAnsi="mylotus"/>
          <w:b/>
          <w:bCs/>
          <w:sz w:val="32"/>
          <w:rtl/>
        </w:rPr>
        <w:t xml:space="preserve"> </w:t>
      </w:r>
      <w:r w:rsidRPr="00F27422">
        <w:rPr>
          <w:rFonts w:ascii="mylotus" w:hAnsi="mylotus" w:hint="cs"/>
          <w:b/>
          <w:bCs/>
          <w:sz w:val="32"/>
          <w:rtl/>
        </w:rPr>
        <w:t>إن</w:t>
      </w:r>
      <w:r w:rsidRPr="00F27422">
        <w:rPr>
          <w:rFonts w:ascii="mylotus" w:hAnsi="mylotus"/>
          <w:b/>
          <w:bCs/>
          <w:sz w:val="32"/>
          <w:rtl/>
        </w:rPr>
        <w:t xml:space="preserve"> </w:t>
      </w:r>
      <w:r w:rsidRPr="00F27422">
        <w:rPr>
          <w:rFonts w:ascii="mylotus" w:hAnsi="mylotus" w:hint="cs"/>
          <w:b/>
          <w:bCs/>
          <w:sz w:val="32"/>
          <w:rtl/>
        </w:rPr>
        <w:t>ملاكه</w:t>
      </w:r>
      <w:r w:rsidRPr="00F27422">
        <w:rPr>
          <w:rFonts w:ascii="mylotus" w:hAnsi="mylotus"/>
          <w:b/>
          <w:bCs/>
          <w:sz w:val="32"/>
          <w:rtl/>
        </w:rPr>
        <w:t xml:space="preserve"> </w:t>
      </w:r>
      <w:r w:rsidRPr="00F27422">
        <w:rPr>
          <w:rFonts w:ascii="mylotus" w:hAnsi="mylotus" w:hint="cs"/>
          <w:b/>
          <w:bCs/>
          <w:sz w:val="32"/>
          <w:rtl/>
        </w:rPr>
        <w:t>تام</w:t>
      </w:r>
      <w:r w:rsidRPr="00F27422">
        <w:rPr>
          <w:rFonts w:ascii="mylotus" w:hAnsi="mylotus"/>
          <w:b/>
          <w:bCs/>
          <w:sz w:val="32"/>
          <w:rtl/>
        </w:rPr>
        <w:t xml:space="preserve"> </w:t>
      </w:r>
      <w:r w:rsidRPr="00F27422">
        <w:rPr>
          <w:rFonts w:ascii="mylotus" w:hAnsi="mylotus" w:hint="cs"/>
          <w:b/>
          <w:bCs/>
          <w:sz w:val="32"/>
          <w:rtl/>
        </w:rPr>
        <w:t>بالفعل</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ناحية</w:t>
      </w:r>
      <w:r w:rsidRPr="00F27422">
        <w:rPr>
          <w:rFonts w:ascii="mylotus" w:hAnsi="mylotus"/>
          <w:b/>
          <w:bCs/>
          <w:sz w:val="32"/>
          <w:rtl/>
        </w:rPr>
        <w:t xml:space="preserve"> </w:t>
      </w:r>
      <w:r w:rsidRPr="00F27422">
        <w:rPr>
          <w:rFonts w:ascii="mylotus" w:hAnsi="mylotus" w:hint="cs"/>
          <w:b/>
          <w:bCs/>
          <w:sz w:val="32"/>
          <w:rtl/>
        </w:rPr>
        <w:t>أنّه</w:t>
      </w:r>
      <w:r w:rsidRPr="00F27422">
        <w:rPr>
          <w:rFonts w:ascii="mylotus" w:hAnsi="mylotus"/>
          <w:b/>
          <w:bCs/>
          <w:sz w:val="32"/>
          <w:rtl/>
        </w:rPr>
        <w:t xml:space="preserve"> </w:t>
      </w:r>
      <w:r w:rsidRPr="00F27422">
        <w:rPr>
          <w:rFonts w:ascii="mylotus" w:hAnsi="mylotus" w:hint="cs"/>
          <w:b/>
          <w:bCs/>
          <w:sz w:val="32"/>
          <w:rtl/>
        </w:rPr>
        <w:t>مقدور</w:t>
      </w:r>
      <w:r w:rsidRPr="00F27422">
        <w:rPr>
          <w:rFonts w:ascii="mylotus" w:hAnsi="mylotus"/>
          <w:b/>
          <w:bCs/>
          <w:sz w:val="32"/>
          <w:rtl/>
        </w:rPr>
        <w:t xml:space="preserve"> </w:t>
      </w:r>
      <w:r w:rsidRPr="00F27422">
        <w:rPr>
          <w:rFonts w:ascii="mylotus" w:hAnsi="mylotus" w:hint="cs"/>
          <w:b/>
          <w:bCs/>
          <w:sz w:val="32"/>
          <w:rtl/>
        </w:rPr>
        <w:t>للمكلف</w:t>
      </w:r>
      <w:r w:rsidRPr="00F27422">
        <w:rPr>
          <w:rFonts w:ascii="mylotus" w:hAnsi="mylotus"/>
          <w:b/>
          <w:bCs/>
          <w:sz w:val="32"/>
          <w:rtl/>
        </w:rPr>
        <w:t xml:space="preserve"> </w:t>
      </w:r>
      <w:r w:rsidRPr="00F27422">
        <w:rPr>
          <w:rFonts w:ascii="mylotus" w:hAnsi="mylotus" w:hint="cs"/>
          <w:b/>
          <w:bCs/>
          <w:sz w:val="32"/>
          <w:rtl/>
        </w:rPr>
        <w:t>عقلاً</w:t>
      </w:r>
      <w:r w:rsidRPr="00F27422">
        <w:rPr>
          <w:rFonts w:ascii="mylotus" w:hAnsi="mylotus"/>
          <w:b/>
          <w:bCs/>
          <w:sz w:val="32"/>
          <w:rtl/>
        </w:rPr>
        <w:t xml:space="preserve"> </w:t>
      </w:r>
      <w:r w:rsidRPr="00F27422">
        <w:rPr>
          <w:rFonts w:ascii="mylotus" w:hAnsi="mylotus" w:hint="cs"/>
          <w:b/>
          <w:bCs/>
          <w:sz w:val="32"/>
          <w:rtl/>
        </w:rPr>
        <w:t>وشرعاً،</w:t>
      </w:r>
      <w:r w:rsidRPr="00F27422">
        <w:rPr>
          <w:rFonts w:ascii="mylotus" w:hAnsi="mylotus"/>
          <w:b/>
          <w:bCs/>
          <w:sz w:val="32"/>
          <w:rtl/>
        </w:rPr>
        <w:t xml:space="preserve"> </w:t>
      </w:r>
      <w:r w:rsidRPr="00F27422">
        <w:rPr>
          <w:rFonts w:ascii="mylotus" w:hAnsi="mylotus" w:hint="cs"/>
          <w:b/>
          <w:bCs/>
          <w:sz w:val="32"/>
          <w:rtl/>
        </w:rPr>
        <w:t>ومعه</w:t>
      </w:r>
      <w:r w:rsidRPr="00F27422">
        <w:rPr>
          <w:rFonts w:ascii="mylotus" w:hAnsi="mylotus"/>
          <w:b/>
          <w:bCs/>
          <w:sz w:val="32"/>
          <w:rtl/>
        </w:rPr>
        <w:t xml:space="preserve">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عذر</w:t>
      </w:r>
      <w:r w:rsidRPr="00F27422">
        <w:rPr>
          <w:rFonts w:ascii="mylotus" w:hAnsi="mylotus"/>
          <w:b/>
          <w:bCs/>
          <w:sz w:val="32"/>
          <w:rtl/>
        </w:rPr>
        <w:t xml:space="preserve"> </w:t>
      </w:r>
      <w:r w:rsidRPr="00F27422">
        <w:rPr>
          <w:rFonts w:ascii="mylotus" w:hAnsi="mylotus" w:hint="cs"/>
          <w:b/>
          <w:bCs/>
          <w:sz w:val="32"/>
          <w:rtl/>
        </w:rPr>
        <w:t>له</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تركه</w:t>
      </w:r>
      <w:r w:rsidRPr="00F27422">
        <w:rPr>
          <w:rFonts w:ascii="mylotus" w:hAnsi="mylotus"/>
          <w:b/>
          <w:bCs/>
          <w:sz w:val="32"/>
          <w:rtl/>
        </w:rPr>
        <w:t xml:space="preserve"> </w:t>
      </w:r>
      <w:r w:rsidRPr="00F27422">
        <w:rPr>
          <w:rFonts w:ascii="mylotus" w:hAnsi="mylotus" w:hint="cs"/>
          <w:b/>
          <w:bCs/>
          <w:sz w:val="32"/>
          <w:rtl/>
        </w:rPr>
        <w:t>أصلاً</w:t>
      </w:r>
      <w:r w:rsidRPr="00F27422">
        <w:rPr>
          <w:rFonts w:ascii="mylotus" w:hAnsi="mylotus"/>
          <w:b/>
          <w:bCs/>
          <w:sz w:val="32"/>
          <w:rtl/>
        </w:rPr>
        <w:t xml:space="preserve">. </w:t>
      </w:r>
      <w:r w:rsidRPr="00F27422">
        <w:rPr>
          <w:rFonts w:ascii="mylotus" w:hAnsi="mylotus" w:hint="cs"/>
          <w:b/>
          <w:bCs/>
          <w:sz w:val="32"/>
          <w:rtl/>
        </w:rPr>
        <w:t>هذا</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ناحية</w:t>
      </w:r>
      <w:r w:rsidRPr="00F27422">
        <w:rPr>
          <w:rFonts w:ascii="mylotus" w:hAnsi="mylotus"/>
          <w:b/>
          <w:bCs/>
          <w:sz w:val="32"/>
          <w:rtl/>
        </w:rPr>
        <w:t xml:space="preserve">. </w:t>
      </w:r>
      <w:r w:rsidRPr="00F27422">
        <w:rPr>
          <w:rFonts w:ascii="mylotus" w:hAnsi="mylotus" w:hint="cs"/>
          <w:b/>
          <w:bCs/>
          <w:sz w:val="32"/>
          <w:rtl/>
        </w:rPr>
        <w:t>وم</w:t>
      </w:r>
      <w:r w:rsidRPr="00F27422">
        <w:rPr>
          <w:rFonts w:ascii="mylotus" w:hAnsi="mylotus"/>
          <w:b/>
          <w:bCs/>
          <w:sz w:val="32"/>
          <w:rtl/>
        </w:rPr>
        <w:t>ن ناحية أُخرى أنّه لا يجب احتفاظ القدرة على الواجب المتأخر، لفرض أنّ القدرة دخيلة في ملاكه، فيستحيل أن يقتضي احتفاظها</w:t>
      </w:r>
      <w:r w:rsidRPr="00F27422">
        <w:rPr>
          <w:rFonts w:ascii="mylotus" w:hAnsi="mylotus" w:hint="cs"/>
          <w:b/>
          <w:bCs/>
          <w:sz w:val="32"/>
          <w:rtl/>
        </w:rPr>
        <w:t>)</w:t>
      </w:r>
      <w:r w:rsidRPr="00F27422">
        <w:rPr>
          <w:rStyle w:val="FootnoteReference"/>
          <w:rFonts w:ascii="mylotus" w:hAnsi="mylotus"/>
          <w:sz w:val="32"/>
          <w:rtl/>
        </w:rPr>
        <w:footnoteReference w:id="32"/>
      </w:r>
      <w:r w:rsidRPr="00F27422">
        <w:rPr>
          <w:rFonts w:ascii="mylotus" w:hAnsi="mylotus" w:hint="cs"/>
          <w:sz w:val="32"/>
          <w:rtl/>
        </w:rPr>
        <w:t>.</w:t>
      </w:r>
    </w:p>
    <w:p w14:paraId="5EC0BC68"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b/>
          <w:bCs/>
          <w:sz w:val="32"/>
          <w:rtl/>
        </w:rPr>
        <w:t xml:space="preserve">وحاصله: </w:t>
      </w:r>
      <w:r w:rsidRPr="00F27422">
        <w:rPr>
          <w:rFonts w:ascii="mylotus" w:hAnsi="mylotus"/>
          <w:sz w:val="32"/>
          <w:rtl/>
        </w:rPr>
        <w:t>أنّ ما ذكر يختص بما إذا كان الواجبان مشروطين بالقدرة الشرعية، حيث إنّ القدرة الشرعية هي القدرة الدخيلة في المِلاك، دون القدرة العقلية الدخيلة في التكليف، فإنّ الشرط حينئذٍ القدرةُ زمانَ الامتثال - لا طبيعي القدر</w:t>
      </w:r>
      <w:r w:rsidRPr="00F27422">
        <w:rPr>
          <w:rFonts w:ascii="mylotus" w:hAnsi="mylotus" w:hint="cs"/>
          <w:sz w:val="32"/>
          <w:rtl/>
        </w:rPr>
        <w:t>ة -.</w:t>
      </w:r>
    </w:p>
    <w:p w14:paraId="2308CD61"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sz w:val="32"/>
          <w:rtl/>
        </w:rPr>
        <w:t xml:space="preserve">وقد مثل (قدس سره) له بنفس المثال السابق فقال: </w:t>
      </w:r>
      <w:r w:rsidRPr="00F27422">
        <w:rPr>
          <w:rFonts w:ascii="mylotus" w:hAnsi="mylotus"/>
          <w:b/>
          <w:bCs/>
          <w:sz w:val="32"/>
          <w:rtl/>
        </w:rPr>
        <w:t>(وأما إذا كانت القدرة المعتبرة فيه قدرة خاصة وهي القدرة في ظرف العمل لا مطلقاً، كما لو نذر أحد صوم يومي الخميس والجمعة، ثمّ علم بأنّه لا يقدر على صوم كلا اليومين معاً، ففي مثل ذلك لا إشكال في لزوم تقديم ما هو أسبق زماناً على الآخر، فيقدم في المثال صوم يوم الخميس على صوم يوم الجمعة، لكونه مقدماً عليه زماناً</w:t>
      </w:r>
      <w:r w:rsidRPr="00F27422">
        <w:rPr>
          <w:rFonts w:ascii="mylotus" w:hAnsi="mylotus" w:hint="cs"/>
          <w:b/>
          <w:bCs/>
          <w:sz w:val="32"/>
          <w:rtl/>
        </w:rPr>
        <w:t>)</w:t>
      </w:r>
      <w:r w:rsidRPr="00F27422">
        <w:rPr>
          <w:rStyle w:val="FootnoteReference"/>
          <w:rFonts w:ascii="mylotus" w:hAnsi="mylotus"/>
          <w:sz w:val="32"/>
          <w:rtl/>
        </w:rPr>
        <w:footnoteReference w:id="33"/>
      </w:r>
      <w:r w:rsidRPr="00F27422">
        <w:rPr>
          <w:rFonts w:ascii="mylotus" w:hAnsi="mylotus" w:hint="cs"/>
          <w:sz w:val="32"/>
          <w:rtl/>
        </w:rPr>
        <w:t>.</w:t>
      </w:r>
    </w:p>
    <w:p w14:paraId="23BBD5C9"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sz w:val="32"/>
          <w:rtl/>
        </w:rPr>
        <w:t>أي بما أنّ كليهما منذور فكلاهما مشروط بالقدرة الشرعية، والقدرة الشرعية هي القدرة في ظرف العمل، فالمتعين عقلا</w:t>
      </w:r>
      <w:r w:rsidRPr="00F27422">
        <w:rPr>
          <w:rFonts w:ascii="mylotus" w:hAnsi="mylotus" w:hint="cs"/>
          <w:sz w:val="32"/>
          <w:rtl/>
        </w:rPr>
        <w:t>ً</w:t>
      </w:r>
      <w:r w:rsidRPr="00F27422">
        <w:rPr>
          <w:rFonts w:ascii="mylotus" w:hAnsi="mylotus"/>
          <w:sz w:val="32"/>
          <w:rtl/>
        </w:rPr>
        <w:t xml:space="preserve"> صرف القدرة في صوم يوم الخميس</w:t>
      </w:r>
      <w:r w:rsidRPr="00F27422">
        <w:rPr>
          <w:rFonts w:ascii="mylotus" w:hAnsi="mylotus"/>
          <w:sz w:val="32"/>
        </w:rPr>
        <w:t>.</w:t>
      </w:r>
    </w:p>
    <w:p w14:paraId="780547CC"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sz w:val="32"/>
          <w:rtl/>
        </w:rPr>
        <w:lastRenderedPageBreak/>
        <w:t>كما مثل له أيضاً بما لو قصرت</w:t>
      </w:r>
      <w:r w:rsidRPr="00F27422">
        <w:rPr>
          <w:rFonts w:ascii="mylotus" w:hAnsi="mylotus" w:hint="cs"/>
          <w:sz w:val="32"/>
          <w:rtl/>
        </w:rPr>
        <w:t>ْ</w:t>
      </w:r>
      <w:r w:rsidRPr="00F27422">
        <w:rPr>
          <w:rFonts w:ascii="mylotus" w:hAnsi="mylotus"/>
          <w:sz w:val="32"/>
          <w:rtl/>
        </w:rPr>
        <w:t xml:space="preserve"> قدرة المكلف عن صيام شهر رمضان المبارك </w:t>
      </w:r>
      <w:proofErr w:type="spellStart"/>
      <w:r w:rsidRPr="00F27422">
        <w:rPr>
          <w:rFonts w:ascii="mylotus" w:hAnsi="mylotus"/>
          <w:sz w:val="32"/>
          <w:rtl/>
        </w:rPr>
        <w:t>بأكلمه</w:t>
      </w:r>
      <w:proofErr w:type="spellEnd"/>
      <w:r w:rsidRPr="00F27422">
        <w:rPr>
          <w:rFonts w:ascii="mylotus" w:hAnsi="mylotus"/>
          <w:sz w:val="32"/>
          <w:rtl/>
        </w:rPr>
        <w:t xml:space="preserve">، فقال: </w:t>
      </w:r>
      <w:r w:rsidRPr="00F27422">
        <w:rPr>
          <w:rFonts w:ascii="mylotus" w:hAnsi="mylotus"/>
          <w:b/>
          <w:bCs/>
          <w:sz w:val="32"/>
          <w:rtl/>
        </w:rPr>
        <w:t xml:space="preserve">(ومن هذا القبيل ما إذا دار الأمر بين ترك الصوم في العشرة الأُولى من شهر رمضان وتركه في العشرة الثانية، كما إذا فرضنا أن شخصاً لا يتمكن من الصوم في كلتا العشرتين معاً، ولكنه قادر عليه في </w:t>
      </w:r>
      <w:proofErr w:type="spellStart"/>
      <w:r w:rsidRPr="00F27422">
        <w:rPr>
          <w:rFonts w:ascii="mylotus" w:hAnsi="mylotus"/>
          <w:b/>
          <w:bCs/>
          <w:sz w:val="32"/>
          <w:rtl/>
        </w:rPr>
        <w:t>إحدهما</w:t>
      </w:r>
      <w:proofErr w:type="spellEnd"/>
      <w:r w:rsidRPr="00F27422">
        <w:rPr>
          <w:rFonts w:ascii="mylotus" w:hAnsi="mylotus"/>
          <w:b/>
          <w:bCs/>
          <w:sz w:val="32"/>
          <w:rtl/>
        </w:rPr>
        <w:t xml:space="preserve"> دون الأُخرى، فإنّه لابد من تقديم الصوم في العشرة الأُولى على الصوم في العشرة الثانية، فإنّ وجوب الصوم في العشرة الأُولى فعلي بفعلية موضوعه، ولا حالة منتظرة له أبداً، وهذا بخلاف وجوبه في العشرة الثانية، فإنّه غير فعلي من جهة عدم فعلية موضوعه. وعليه فلا عذر له في تركه في الأُولى باحتفاظ القدرة عليه في الثانية، ضرورة أنّ القدرة المعتبرة على الصوم في كل يوم في ظرفه، فإنّ كان المكلف قادراً على الصوم في اليوم الأوّل أو الثاني فهو مكلف به، وإلا فلا تكليف به أصلاً، ولا يجوز له الاحتفاظ بالقدرة بترك الصوم في اليوم الأوّل على الصوم في اليوم الثاني، بل لابد له من الاتيان به في اليوم الأول، فإنْ تمكن منه بعده في اليوم الثاني أيضاً فهو، وإلا فينتفي بانتفاء موضوعه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وهو</w:t>
      </w:r>
      <w:r w:rsidRPr="00F27422">
        <w:rPr>
          <w:rFonts w:ascii="mylotus" w:hAnsi="mylotus"/>
          <w:b/>
          <w:bCs/>
          <w:sz w:val="32"/>
          <w:rtl/>
        </w:rPr>
        <w:t xml:space="preserve"> </w:t>
      </w:r>
      <w:r w:rsidRPr="00F27422">
        <w:rPr>
          <w:rFonts w:ascii="mylotus" w:hAnsi="mylotus" w:hint="cs"/>
          <w:b/>
          <w:bCs/>
          <w:sz w:val="32"/>
          <w:rtl/>
        </w:rPr>
        <w:t>القدرة</w:t>
      </w:r>
      <w:r w:rsidRPr="00F27422">
        <w:rPr>
          <w:rFonts w:ascii="mylotus" w:hAnsi="mylotus"/>
          <w:b/>
          <w:bCs/>
          <w:sz w:val="32"/>
          <w:rtl/>
        </w:rPr>
        <w:t xml:space="preserve"> -)</w:t>
      </w:r>
      <w:r w:rsidRPr="00F27422">
        <w:rPr>
          <w:rStyle w:val="FootnoteReference"/>
          <w:rFonts w:ascii="mylotus" w:hAnsi="mylotus"/>
          <w:sz w:val="32"/>
          <w:rtl/>
        </w:rPr>
        <w:footnoteReference w:id="34"/>
      </w:r>
      <w:r w:rsidRPr="00F27422">
        <w:rPr>
          <w:rFonts w:ascii="mylotus" w:hAnsi="mylotus" w:hint="cs"/>
          <w:b/>
          <w:bCs/>
          <w:sz w:val="32"/>
          <w:rtl/>
        </w:rPr>
        <w:t>.</w:t>
      </w:r>
    </w:p>
    <w:p w14:paraId="7DA05DC2"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sz w:val="32"/>
          <w:rtl/>
        </w:rPr>
        <w:t>أي أن</w:t>
      </w:r>
      <w:r w:rsidRPr="00F27422">
        <w:rPr>
          <w:rFonts w:ascii="mylotus" w:hAnsi="mylotus" w:hint="cs"/>
          <w:sz w:val="32"/>
          <w:rtl/>
        </w:rPr>
        <w:t>ّ</w:t>
      </w:r>
      <w:r w:rsidRPr="00F27422">
        <w:rPr>
          <w:rFonts w:ascii="mylotus" w:hAnsi="mylotus"/>
          <w:sz w:val="32"/>
          <w:rtl/>
        </w:rPr>
        <w:t>ه: لو قصرتْ قدرة المكلف عن صوم شهر رمضان كلّه، بل إمّا أنْ يصوم النصف الأوّل أو أنْ يصوم النصف الثاني مثلاً، فالمتعين عليه صرف القدرة في صوم النصف الأوّل مِن شهر رمضان، والوجه في التقديم أنّ المتنجز عليه عقلاً صوم المتقدم؛ لفعلية القدرة عليه، ونفس تنجز التكليف بصرف القدرة في المتقدم رافعٌ للقدرة على المتأخر، إلّا أنْ يُحرز أنّ مِلاك المُتأخر فعلي مِن الآن وأهم مِن مِلاك المُتقدم، كما لو دار الأمرُ بين أنْ يحفظ الأموال الخطيرة للغير هذا اليوم أو يحفظ العِرض في يوم غدٍ</w:t>
      </w:r>
      <w:r w:rsidRPr="00F27422">
        <w:rPr>
          <w:rFonts w:ascii="mylotus" w:hAnsi="mylotus" w:hint="cs"/>
          <w:sz w:val="32"/>
          <w:rtl/>
        </w:rPr>
        <w:t>؛</w:t>
      </w:r>
      <w:r w:rsidRPr="00F27422">
        <w:rPr>
          <w:rFonts w:ascii="mylotus" w:hAnsi="mylotus"/>
          <w:sz w:val="32"/>
          <w:rtl/>
        </w:rPr>
        <w:t xml:space="preserve"> إذ لا يستطيع حفظ أموال الغير وعِرضه معاً، أو دار الأمرُ بين حفظ الجنين عن التلف هذا الشهر أو حفظ الأُم عن التلف بعد شهرين مع فرض أنّ الأُم أهم مِلاكاً مثلاً، فالمتعين عقلا</w:t>
      </w:r>
      <w:r w:rsidRPr="00F27422">
        <w:rPr>
          <w:rFonts w:ascii="mylotus" w:hAnsi="mylotus" w:hint="cs"/>
          <w:sz w:val="32"/>
          <w:rtl/>
        </w:rPr>
        <w:t xml:space="preserve">ً </w:t>
      </w:r>
      <w:r w:rsidRPr="00F27422">
        <w:rPr>
          <w:rFonts w:ascii="mylotus" w:hAnsi="mylotus"/>
          <w:sz w:val="32"/>
          <w:rtl/>
        </w:rPr>
        <w:t>حفظ القدرة على المُتأخر لكون المُتأخر</w:t>
      </w:r>
      <w:r w:rsidRPr="00F27422">
        <w:rPr>
          <w:rFonts w:ascii="mylotus" w:hAnsi="mylotus" w:hint="cs"/>
          <w:sz w:val="32"/>
          <w:rtl/>
        </w:rPr>
        <w:t xml:space="preserve"> </w:t>
      </w:r>
      <w:r w:rsidRPr="00F27422">
        <w:rPr>
          <w:rFonts w:ascii="mylotus" w:hAnsi="mylotus"/>
          <w:sz w:val="32"/>
          <w:rtl/>
        </w:rPr>
        <w:t>أهمُ مِلاكاً</w:t>
      </w:r>
      <w:r w:rsidRPr="00F27422">
        <w:rPr>
          <w:rFonts w:ascii="mylotus" w:hAnsi="mylotus"/>
          <w:sz w:val="32"/>
        </w:rPr>
        <w:t xml:space="preserve"> .</w:t>
      </w:r>
    </w:p>
    <w:p w14:paraId="0C39D709" w14:textId="77777777" w:rsidR="00D073BE" w:rsidRPr="00F27422" w:rsidRDefault="00D073BE" w:rsidP="00122B70">
      <w:pPr>
        <w:pStyle w:val="a"/>
        <w:bidi/>
        <w:spacing w:line="216" w:lineRule="auto"/>
        <w:jc w:val="left"/>
        <w:rPr>
          <w:rFonts w:ascii="mylotus" w:hAnsi="mylotus"/>
          <w:b/>
          <w:bCs/>
          <w:sz w:val="32"/>
          <w:rtl/>
        </w:rPr>
      </w:pPr>
      <w:r w:rsidRPr="00F27422">
        <w:rPr>
          <w:rFonts w:ascii="mylotus" w:hAnsi="mylotus"/>
          <w:b/>
          <w:bCs/>
          <w:sz w:val="32"/>
          <w:rtl/>
        </w:rPr>
        <w:t>وهنا عدّة تأملات</w:t>
      </w:r>
      <w:r w:rsidRPr="00F27422">
        <w:rPr>
          <w:rFonts w:ascii="mylotus" w:hAnsi="mylotus"/>
          <w:b/>
          <w:bCs/>
          <w:sz w:val="32"/>
        </w:rPr>
        <w:t>:</w:t>
      </w:r>
    </w:p>
    <w:p w14:paraId="21FB3BFA"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b/>
          <w:bCs/>
          <w:sz w:val="32"/>
          <w:rtl/>
        </w:rPr>
        <w:t>الأمرُ الأوّل:</w:t>
      </w:r>
      <w:r w:rsidRPr="00F27422">
        <w:rPr>
          <w:rFonts w:ascii="mylotus" w:hAnsi="mylotus"/>
          <w:sz w:val="32"/>
          <w:rtl/>
        </w:rPr>
        <w:t xml:space="preserve"> إنّ موضوع الترجيح بالسبق الزمني ما إذا كان وجوب كليهما فعليا</w:t>
      </w:r>
      <w:r w:rsidRPr="00F27422">
        <w:rPr>
          <w:rFonts w:ascii="mylotus" w:hAnsi="mylotus" w:hint="cs"/>
          <w:sz w:val="32"/>
          <w:rtl/>
        </w:rPr>
        <w:t>ً</w:t>
      </w:r>
      <w:r w:rsidRPr="00F27422">
        <w:rPr>
          <w:rFonts w:ascii="mylotus" w:hAnsi="mylotus"/>
          <w:sz w:val="32"/>
          <w:rtl/>
        </w:rPr>
        <w:t xml:space="preserve"> وكان بين الواجبين المتفاوتين زمناً تكافؤٌ مِن جميع الجهات، فهما متكافئان مِلاكاً، ومتكافئان إطلاقا واشتراطاً، مع إحراز أن</w:t>
      </w:r>
      <w:r w:rsidRPr="00F27422">
        <w:rPr>
          <w:rFonts w:ascii="mylotus" w:hAnsi="mylotus" w:hint="cs"/>
          <w:sz w:val="32"/>
          <w:rtl/>
        </w:rPr>
        <w:t>ّ</w:t>
      </w:r>
      <w:r w:rsidRPr="00F27422">
        <w:rPr>
          <w:rFonts w:ascii="mylotus" w:hAnsi="mylotus"/>
          <w:sz w:val="32"/>
          <w:rtl/>
        </w:rPr>
        <w:t>ه لو احتفظ بالقدرة على الم</w:t>
      </w:r>
      <w:r w:rsidRPr="00F27422">
        <w:rPr>
          <w:rFonts w:ascii="mylotus" w:hAnsi="mylotus" w:hint="cs"/>
          <w:sz w:val="32"/>
          <w:rtl/>
        </w:rPr>
        <w:t>ُ</w:t>
      </w:r>
      <w:r w:rsidRPr="00F27422">
        <w:rPr>
          <w:rFonts w:ascii="mylotus" w:hAnsi="mylotus"/>
          <w:sz w:val="32"/>
          <w:rtl/>
        </w:rPr>
        <w:t>تأخر لتمكن م</w:t>
      </w:r>
      <w:r w:rsidRPr="00F27422">
        <w:rPr>
          <w:rFonts w:ascii="mylotus" w:hAnsi="mylotus" w:hint="cs"/>
          <w:sz w:val="32"/>
          <w:rtl/>
        </w:rPr>
        <w:t>ِ</w:t>
      </w:r>
      <w:r w:rsidRPr="00F27422">
        <w:rPr>
          <w:rFonts w:ascii="mylotus" w:hAnsi="mylotus"/>
          <w:sz w:val="32"/>
          <w:rtl/>
        </w:rPr>
        <w:t>ن امتثاله، كما ي</w:t>
      </w:r>
      <w:r w:rsidRPr="00F27422">
        <w:rPr>
          <w:rFonts w:ascii="mylotus" w:hAnsi="mylotus" w:hint="cs"/>
          <w:sz w:val="32"/>
          <w:rtl/>
        </w:rPr>
        <w:t>ُ</w:t>
      </w:r>
      <w:r w:rsidRPr="00F27422">
        <w:rPr>
          <w:rFonts w:ascii="mylotus" w:hAnsi="mylotus"/>
          <w:sz w:val="32"/>
          <w:rtl/>
        </w:rPr>
        <w:t>حرز التمكن م</w:t>
      </w:r>
      <w:r w:rsidRPr="00F27422">
        <w:rPr>
          <w:rFonts w:ascii="mylotus" w:hAnsi="mylotus" w:hint="cs"/>
          <w:sz w:val="32"/>
          <w:rtl/>
        </w:rPr>
        <w:t>ِ</w:t>
      </w:r>
      <w:r w:rsidRPr="00F27422">
        <w:rPr>
          <w:rFonts w:ascii="mylotus" w:hAnsi="mylotus"/>
          <w:sz w:val="32"/>
          <w:rtl/>
        </w:rPr>
        <w:t>ن امتثال الواجب الفعل</w:t>
      </w:r>
      <w:r w:rsidRPr="00F27422">
        <w:rPr>
          <w:rFonts w:ascii="mylotus" w:hAnsi="mylotus" w:hint="cs"/>
          <w:sz w:val="32"/>
          <w:rtl/>
        </w:rPr>
        <w:t>ي.</w:t>
      </w:r>
    </w:p>
    <w:p w14:paraId="3E38B924"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sz w:val="32"/>
          <w:rtl/>
        </w:rPr>
        <w:t>مما يعني أن</w:t>
      </w:r>
      <w:r w:rsidRPr="00F27422">
        <w:rPr>
          <w:rFonts w:ascii="mylotus" w:hAnsi="mylotus" w:hint="cs"/>
          <w:sz w:val="32"/>
          <w:rtl/>
        </w:rPr>
        <w:t>ْ</w:t>
      </w:r>
      <w:r w:rsidRPr="00F27422">
        <w:rPr>
          <w:rFonts w:ascii="mylotus" w:hAnsi="mylotus"/>
          <w:sz w:val="32"/>
          <w:rtl/>
        </w:rPr>
        <w:t xml:space="preserve"> لا</w:t>
      </w:r>
      <w:r w:rsidRPr="00F27422">
        <w:rPr>
          <w:rFonts w:ascii="mylotus" w:hAnsi="mylotus" w:hint="cs"/>
          <w:sz w:val="32"/>
          <w:rtl/>
        </w:rPr>
        <w:t xml:space="preserve"> </w:t>
      </w:r>
      <w:r w:rsidRPr="00F27422">
        <w:rPr>
          <w:rFonts w:ascii="mylotus" w:hAnsi="mylotus"/>
          <w:sz w:val="32"/>
          <w:rtl/>
        </w:rPr>
        <w:t>مرجح إلّا السبق الزمني، وإلّا فهما متكافئان مِن جميع الجهات</w:t>
      </w:r>
      <w:r w:rsidRPr="00F27422">
        <w:rPr>
          <w:rFonts w:ascii="mylotus" w:hAnsi="mylotus" w:hint="cs"/>
          <w:sz w:val="32"/>
          <w:rtl/>
        </w:rPr>
        <w:t>.</w:t>
      </w:r>
    </w:p>
    <w:p w14:paraId="21237352"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b/>
          <w:bCs/>
          <w:sz w:val="32"/>
          <w:rtl/>
        </w:rPr>
        <w:t>الأمرُ الثاني:</w:t>
      </w:r>
      <w:r w:rsidRPr="00F27422">
        <w:rPr>
          <w:rFonts w:ascii="mylotus" w:hAnsi="mylotus"/>
          <w:sz w:val="32"/>
          <w:rtl/>
        </w:rPr>
        <w:t xml:space="preserve"> إنّ الشرط في فعلية التكليف ليس القدرة في ظرف الامتثال، وإلّا لجاز تعجيز النفس قَبل وقتِ الواجب، مع أنّه متى ما كان الوجوب فعلياً فلا يجوز له أنْ يعجز نفسه وإنْ كان الواجب مستقبلياً</w:t>
      </w:r>
      <w:r w:rsidRPr="00F27422">
        <w:rPr>
          <w:rFonts w:ascii="mylotus" w:hAnsi="mylotus"/>
          <w:sz w:val="32"/>
        </w:rPr>
        <w:t>.</w:t>
      </w:r>
    </w:p>
    <w:p w14:paraId="680BD113"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b/>
          <w:bCs/>
          <w:sz w:val="32"/>
          <w:rtl/>
        </w:rPr>
        <w:t>فمثلاً:</w:t>
      </w:r>
      <w:r w:rsidRPr="00F27422">
        <w:rPr>
          <w:rFonts w:ascii="mylotus" w:hAnsi="mylotus"/>
          <w:sz w:val="32"/>
          <w:rtl/>
        </w:rPr>
        <w:t xml:space="preserve"> فعلية وجوب صوم شهر رمضان مِن حين رؤية الهلال </w:t>
      </w:r>
      <w:r w:rsidRPr="00F27422">
        <w:rPr>
          <w:rFonts w:ascii="mylotus" w:hAnsi="mylotus" w:hint="cs"/>
          <w:sz w:val="32"/>
          <w:rtl/>
        </w:rPr>
        <w:t>إ</w:t>
      </w:r>
      <w:r w:rsidRPr="00F27422">
        <w:rPr>
          <w:rFonts w:ascii="mylotus" w:hAnsi="mylotus"/>
          <w:sz w:val="32"/>
          <w:rtl/>
        </w:rPr>
        <w:t>ل</w:t>
      </w:r>
      <w:r w:rsidRPr="00F27422">
        <w:rPr>
          <w:rFonts w:ascii="mylotus" w:hAnsi="mylotus" w:hint="cs"/>
          <w:sz w:val="32"/>
          <w:rtl/>
        </w:rPr>
        <w:t>ّ</w:t>
      </w:r>
      <w:r w:rsidRPr="00F27422">
        <w:rPr>
          <w:rFonts w:ascii="mylotus" w:hAnsi="mylotus"/>
          <w:sz w:val="32"/>
          <w:rtl/>
        </w:rPr>
        <w:t>ا أنّ الواجب مشروطٌ بدخول الفجر، فالواجب مستقبلي والوجوب فعلي لذلك لا يجوز للإنسان أنْ يحقن جسمه بإبرة</w:t>
      </w:r>
      <w:r w:rsidRPr="00F27422">
        <w:rPr>
          <w:rFonts w:ascii="mylotus" w:hAnsi="mylotus" w:hint="cs"/>
          <w:sz w:val="32"/>
          <w:rtl/>
        </w:rPr>
        <w:t>ٍ</w:t>
      </w:r>
      <w:r w:rsidRPr="00F27422">
        <w:rPr>
          <w:rFonts w:ascii="mylotus" w:hAnsi="mylotus"/>
          <w:sz w:val="32"/>
          <w:rtl/>
        </w:rPr>
        <w:t xml:space="preserve"> قَبل ط</w:t>
      </w:r>
      <w:r w:rsidRPr="00F27422">
        <w:rPr>
          <w:rFonts w:ascii="mylotus" w:hAnsi="mylotus" w:hint="cs"/>
          <w:sz w:val="32"/>
          <w:rtl/>
        </w:rPr>
        <w:t>ُ</w:t>
      </w:r>
      <w:r w:rsidRPr="00F27422">
        <w:rPr>
          <w:rFonts w:ascii="mylotus" w:hAnsi="mylotus"/>
          <w:sz w:val="32"/>
          <w:rtl/>
        </w:rPr>
        <w:t>لوع الفجر ليعجز نفسه عنه الصوم، مما يكشف عن أنّ الشرط في فعلية التكليف ليس القدرة في ظرف العمل بل طبيعي القدرة الممكن حفظها إلى حين العمل، فمتى كان واجداً للقدرة وقادراً على حفظها إلى حين العمل صار التكليف فعلياً، وبالتالي فإذا نذر صوم يومي الخميس والجمعة - سواءً كانا مشروطين بالقدرة العقلية أو مشروطين بالقدرة الشرعية م</w:t>
      </w:r>
      <w:r w:rsidRPr="00F27422">
        <w:rPr>
          <w:rFonts w:ascii="mylotus" w:hAnsi="mylotus" w:hint="cs"/>
          <w:sz w:val="32"/>
          <w:rtl/>
        </w:rPr>
        <w:t>ِ</w:t>
      </w:r>
      <w:r w:rsidRPr="00F27422">
        <w:rPr>
          <w:rFonts w:ascii="mylotus" w:hAnsi="mylotus"/>
          <w:sz w:val="32"/>
          <w:rtl/>
        </w:rPr>
        <w:t>ن سنخ</w:t>
      </w:r>
      <w:r w:rsidRPr="00F27422">
        <w:rPr>
          <w:rFonts w:ascii="mylotus" w:hAnsi="mylotus" w:hint="cs"/>
          <w:sz w:val="32"/>
          <w:rtl/>
        </w:rPr>
        <w:t>ٍ</w:t>
      </w:r>
      <w:r w:rsidRPr="00F27422">
        <w:rPr>
          <w:rFonts w:ascii="mylotus" w:hAnsi="mylotus"/>
          <w:sz w:val="32"/>
          <w:rtl/>
        </w:rPr>
        <w:t xml:space="preserve"> واحد</w:t>
      </w:r>
      <w:r w:rsidRPr="00F27422">
        <w:rPr>
          <w:rFonts w:ascii="mylotus" w:hAnsi="mylotus" w:hint="cs"/>
          <w:sz w:val="32"/>
          <w:rtl/>
        </w:rPr>
        <w:t>ٍ</w:t>
      </w:r>
      <w:r w:rsidRPr="00F27422">
        <w:rPr>
          <w:rFonts w:ascii="mylotus" w:hAnsi="mylotus"/>
          <w:sz w:val="32"/>
          <w:rtl/>
        </w:rPr>
        <w:t xml:space="preserve"> - ولا يقدر على كليهما، فكما يجب عليه حفظ قدرته على صوم يوم الخميس كذلك </w:t>
      </w:r>
      <w:r w:rsidRPr="00F27422">
        <w:rPr>
          <w:rFonts w:ascii="mylotus" w:hAnsi="mylotus"/>
          <w:sz w:val="32"/>
          <w:rtl/>
        </w:rPr>
        <w:lastRenderedPageBreak/>
        <w:t>يجب عليه حفظ قدرته على صوم يوم الجمعة، وهو غيرُ قادرٍ على الجمع بين الحفظين، فإمّا أنْ يصرف قدرته في صوم يوم الخميس أو يتحفظ عليها لصوم يوم الجمعة، ولا مرجح؛ إذ العقل كما يرى أنّ صوم يوم الخميس منذورٌ ووجوبُهُ فعلي ومقتضى فعلية وجوبه لزوم حفظ القدرة كذلك يرى أنّ صوم يوم الجمعة منذورٌ ووجوبُهُ فعلي فيلزم على المكلف حفظ القدرة عليه، فم</w:t>
      </w:r>
      <w:r w:rsidRPr="00F27422">
        <w:rPr>
          <w:rFonts w:ascii="mylotus" w:hAnsi="mylotus" w:hint="cs"/>
          <w:sz w:val="32"/>
          <w:rtl/>
        </w:rPr>
        <w:t>ِ</w:t>
      </w:r>
      <w:r w:rsidRPr="00F27422">
        <w:rPr>
          <w:rFonts w:ascii="mylotus" w:hAnsi="mylotus"/>
          <w:sz w:val="32"/>
          <w:rtl/>
        </w:rPr>
        <w:t>ن هذه الجهة لا مرجح؛ فإنّ مجرّد سبق أحدهما زماناً على الآخر لا يصلح أنْ يكون مرجحاً عقلاً لأحدهما على الآخر</w:t>
      </w:r>
      <w:r w:rsidRPr="00F27422">
        <w:rPr>
          <w:rFonts w:ascii="mylotus" w:hAnsi="mylotus"/>
          <w:sz w:val="32"/>
        </w:rPr>
        <w:t>.</w:t>
      </w:r>
    </w:p>
    <w:p w14:paraId="2860C043"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b/>
          <w:bCs/>
          <w:sz w:val="32"/>
          <w:rtl/>
        </w:rPr>
        <w:t>الأمرُ الثالث:</w:t>
      </w:r>
      <w:r w:rsidRPr="00F27422">
        <w:rPr>
          <w:rFonts w:ascii="mylotus" w:hAnsi="mylotus"/>
          <w:sz w:val="32"/>
          <w:rtl/>
        </w:rPr>
        <w:t xml:space="preserve"> إذا كان الواجبان مشروطين بالقدرة الشرعية بمعنى أنّ لكلٍّ منهما بَدَلا، كما لو عجز عن القيام في الفريضتين، فإمّا أنْ يقوم في صلاة الظهر أو يحتفظ بقدرته للقيام في صلاة العصر</w:t>
      </w:r>
      <w:r w:rsidRPr="00F27422">
        <w:rPr>
          <w:rFonts w:ascii="mylotus" w:hAnsi="mylotus"/>
          <w:sz w:val="32"/>
        </w:rPr>
        <w:t>.</w:t>
      </w:r>
    </w:p>
    <w:p w14:paraId="22BC9592"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sz w:val="32"/>
          <w:rtl/>
        </w:rPr>
        <w:t xml:space="preserve">والمفروض أنّ القدرة على القيام في الصلاة قدرةٌ شرعية دخيلةٌ في الِملاك، وقد جعل المشرع لها بَدلاً: كما في الوسائل: </w:t>
      </w:r>
      <w:r w:rsidRPr="00F27422">
        <w:rPr>
          <w:rFonts w:ascii="mylotus" w:hAnsi="mylotus"/>
          <w:b/>
          <w:bCs/>
          <w:sz w:val="32"/>
          <w:rtl/>
        </w:rPr>
        <w:t xml:space="preserve">(وفي (عيون الأخبار): عن محمّد بن عمر الحافظ، عن جعفر بن محمّد الحسني، عن عيسى ين مهران، عن عبدالسلام بن صالح الهروي، عن الرضا، عن آبائه (عليهم السلام) قال: قال رسول الله (صلى الله عليه وآله): إذا لم يستطع الرجل أن يصلّي قائماً فليصلّ جالساً، فإن لم يستطع جالساً فليصلّ مستلقياً، ناصباً رجليه </w:t>
      </w:r>
      <w:proofErr w:type="spellStart"/>
      <w:r w:rsidRPr="00F27422">
        <w:rPr>
          <w:rFonts w:ascii="mylotus" w:hAnsi="mylotus"/>
          <w:b/>
          <w:bCs/>
          <w:sz w:val="32"/>
          <w:rtl/>
        </w:rPr>
        <w:t>بحيال</w:t>
      </w:r>
      <w:proofErr w:type="spellEnd"/>
      <w:r w:rsidRPr="00F27422">
        <w:rPr>
          <w:rFonts w:ascii="mylotus" w:hAnsi="mylotus"/>
          <w:b/>
          <w:bCs/>
          <w:sz w:val="32"/>
          <w:rtl/>
        </w:rPr>
        <w:t xml:space="preserve"> القبلة يومئ </w:t>
      </w:r>
      <w:proofErr w:type="spellStart"/>
      <w:r w:rsidRPr="00F27422">
        <w:rPr>
          <w:rFonts w:ascii="mylotus" w:hAnsi="mylotus"/>
          <w:b/>
          <w:bCs/>
          <w:sz w:val="32"/>
          <w:rtl/>
        </w:rPr>
        <w:t>إيماءاً</w:t>
      </w:r>
      <w:proofErr w:type="spellEnd"/>
      <w:r w:rsidRPr="00F27422">
        <w:rPr>
          <w:rFonts w:ascii="mylotus" w:hAnsi="mylotus"/>
          <w:b/>
          <w:bCs/>
          <w:sz w:val="32"/>
          <w:rtl/>
        </w:rPr>
        <w:t>)</w:t>
      </w:r>
      <w:r w:rsidRPr="00F27422">
        <w:rPr>
          <w:rStyle w:val="FootnoteReference"/>
          <w:rFonts w:ascii="mylotus" w:hAnsi="mylotus"/>
          <w:sz w:val="32"/>
          <w:rtl/>
        </w:rPr>
        <w:footnoteReference w:id="35"/>
      </w:r>
      <w:r w:rsidRPr="00F27422">
        <w:rPr>
          <w:rFonts w:ascii="mylotus" w:hAnsi="mylotus" w:hint="cs"/>
          <w:b/>
          <w:bCs/>
          <w:sz w:val="32"/>
          <w:rtl/>
        </w:rPr>
        <w:t>،</w:t>
      </w:r>
      <w:r w:rsidRPr="00F27422">
        <w:rPr>
          <w:rFonts w:ascii="mylotus" w:hAnsi="mylotus"/>
          <w:sz w:val="32"/>
          <w:rtl/>
        </w:rPr>
        <w:t xml:space="preserve"> فهنا يتم ما أُفيد في كلامه (قدس سره) مِن لزوم صرف القدرة في القيام في الصلاة الأُولى، لا مِن باب الترجيح بالسبق الزمني بل لأنّ دليل البدل وهو قوله (صلى الله عليه وآله): </w:t>
      </w:r>
      <w:r w:rsidRPr="00F27422">
        <w:rPr>
          <w:rFonts w:ascii="mylotus" w:hAnsi="mylotus"/>
          <w:b/>
          <w:bCs/>
          <w:sz w:val="32"/>
          <w:rtl/>
        </w:rPr>
        <w:t xml:space="preserve">(إذا لم يستطع الرجل أن يصلّي قائماً فليصلّ جالساً) </w:t>
      </w:r>
      <w:r w:rsidRPr="00F27422">
        <w:rPr>
          <w:rFonts w:ascii="mylotus" w:hAnsi="mylotus"/>
          <w:sz w:val="32"/>
          <w:rtl/>
        </w:rPr>
        <w:t>منصرفٌ عن فرض وجدان القدرة بالفعل، فإنّ المكلف القادر بالفعل على القيام في صلاة الظهر لا ينطبقُ عليه دليلُ البَدل عرفاً، إذ لا</w:t>
      </w:r>
      <w:r w:rsidRPr="00F27422">
        <w:rPr>
          <w:rFonts w:ascii="mylotus" w:hAnsi="mylotus" w:hint="cs"/>
          <w:sz w:val="32"/>
          <w:rtl/>
        </w:rPr>
        <w:t xml:space="preserve"> </w:t>
      </w:r>
      <w:r w:rsidRPr="00F27422">
        <w:rPr>
          <w:rFonts w:ascii="mylotus" w:hAnsi="mylotus"/>
          <w:sz w:val="32"/>
          <w:rtl/>
        </w:rPr>
        <w:t>يصدق عليه "مَن لَمْ يقدر على القيام فليجلس"؛ لأنّه قادرٌ على القيام، فلأنّ دليل البَدل منصرفٌ عنه بحسب النظر العرفي تعين عليه صرف القدرة في القيام في صلاة الظهر</w:t>
      </w:r>
      <w:r w:rsidRPr="00F27422">
        <w:rPr>
          <w:rFonts w:ascii="mylotus" w:hAnsi="mylotus"/>
          <w:sz w:val="32"/>
        </w:rPr>
        <w:t>.</w:t>
      </w:r>
    </w:p>
    <w:p w14:paraId="37C2C39A"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sz w:val="32"/>
          <w:rtl/>
        </w:rPr>
        <w:t>وهذا لا يعني أنّ القدرة التي هي شرطٌ في فعلية الأمر هي القدرة في ظرف الامتثال، بل إنّ القدرة الدخيلة هي طبيعي القدرة الممكن حفظها إلى زمان الامتثال، وإلّا لجاز للإنسان تعجيز نفسه بأنْ لا يقوم لا لصلاة الظهر ولا لصلاة العصر ويصرف قدرته على القيام في أيّ عملٍ آخر كالرياضة أو المشي، مع أنّه لا يجوز ذلك قطعاً، وإنّما</w:t>
      </w:r>
      <w:r w:rsidRPr="00F27422">
        <w:rPr>
          <w:rFonts w:ascii="mylotus" w:hAnsi="mylotus" w:hint="cs"/>
          <w:sz w:val="32"/>
          <w:rtl/>
        </w:rPr>
        <w:t xml:space="preserve"> </w:t>
      </w:r>
      <w:r w:rsidRPr="00F27422">
        <w:rPr>
          <w:rFonts w:ascii="mylotus" w:hAnsi="mylotus"/>
          <w:sz w:val="32"/>
          <w:rtl/>
        </w:rPr>
        <w:t>حكم العقل بتعين صرف القدرة في القيام في الفريضة الأُولى مِن باب انصراف دليل البَدل عنه، لذلك لو صلى صلاة الظهر جالساً مع قدرته على القيام تحفظاً على قدرته لصلاة العصر لَمْ تقع امتثالا للأمر</w:t>
      </w:r>
      <w:r w:rsidRPr="00F27422">
        <w:rPr>
          <w:rFonts w:ascii="mylotus" w:hAnsi="mylotus"/>
          <w:sz w:val="32"/>
        </w:rPr>
        <w:t xml:space="preserve"> .</w:t>
      </w:r>
    </w:p>
    <w:p w14:paraId="45D6C250"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b/>
          <w:bCs/>
          <w:sz w:val="32"/>
          <w:rtl/>
        </w:rPr>
        <w:t>الأمرُ الرابع:</w:t>
      </w:r>
      <w:r w:rsidRPr="00F27422">
        <w:rPr>
          <w:rFonts w:ascii="mylotus" w:hAnsi="mylotus"/>
          <w:sz w:val="32"/>
          <w:rtl/>
        </w:rPr>
        <w:t xml:space="preserve"> لو قامتْ قرينة على أنّ القدرة الدخيلة في فعلية التكليف هي القدرة في ظرف الامتثال تمّ ما ذُكر مِن أنّه يلزم صرف القدرة في الواجب المتقدم، لا مِن باب الترجيح بالسبق </w:t>
      </w:r>
      <w:proofErr w:type="gramStart"/>
      <w:r w:rsidRPr="00F27422">
        <w:rPr>
          <w:rFonts w:ascii="mylotus" w:hAnsi="mylotus"/>
          <w:sz w:val="32"/>
          <w:rtl/>
        </w:rPr>
        <w:t>الزمني</w:t>
      </w:r>
      <w:proofErr w:type="gramEnd"/>
      <w:r w:rsidRPr="00F27422">
        <w:rPr>
          <w:rFonts w:ascii="mylotus" w:hAnsi="mylotus"/>
          <w:sz w:val="32"/>
          <w:rtl/>
        </w:rPr>
        <w:t xml:space="preserve"> بل مِن باب أنّ القدرة الدخيلة في فعلية التكليف بالأوّل قد تحقّقتْ ولا يجب تحقيق القدرة على الثاني ولا تحصيلها</w:t>
      </w:r>
      <w:r w:rsidRPr="00F27422">
        <w:rPr>
          <w:rFonts w:ascii="mylotus" w:hAnsi="mylotus"/>
          <w:sz w:val="32"/>
        </w:rPr>
        <w:t>.</w:t>
      </w:r>
    </w:p>
    <w:p w14:paraId="5AE948F5"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b/>
          <w:bCs/>
          <w:sz w:val="32"/>
          <w:rtl/>
        </w:rPr>
        <w:t>الأمرُ الخامس:</w:t>
      </w:r>
      <w:r w:rsidRPr="00F27422">
        <w:rPr>
          <w:rFonts w:ascii="mylotus" w:hAnsi="mylotus"/>
          <w:sz w:val="32"/>
          <w:rtl/>
        </w:rPr>
        <w:t xml:space="preserve"> لو احتمل طرو المانع، بأنْ يحتمل أنْ لا يوفق لصوم يوم الجمعة إمّا لطرو الموت أو طرو العجز، ففي فرض احتمال طرو المانع يتعينُ عقلاً صرف القدرة في المتقدم؛ إذ لا يحكمُ العقلُ بلزوم التحفظ على القدرة على واجبٍ استقبالي لا يُحرز المكلف أنّه لو حفظ القدرة عليه فإنّه سيتمكن من امتثاله، بخلاف ما لو صرف القدرة في المتقدم فإنّه سيُحرز </w:t>
      </w:r>
      <w:r w:rsidRPr="00F27422">
        <w:rPr>
          <w:rFonts w:ascii="mylotus" w:hAnsi="mylotus"/>
          <w:sz w:val="32"/>
          <w:rtl/>
        </w:rPr>
        <w:lastRenderedPageBreak/>
        <w:t xml:space="preserve">الامتثال، فالمتعين عقلاً صرف القدرة في المتقدم لا مِن باب الترجيح بالسبق </w:t>
      </w:r>
      <w:proofErr w:type="gramStart"/>
      <w:r w:rsidRPr="00F27422">
        <w:rPr>
          <w:rFonts w:ascii="mylotus" w:hAnsi="mylotus"/>
          <w:sz w:val="32"/>
          <w:rtl/>
        </w:rPr>
        <w:t>الزمني</w:t>
      </w:r>
      <w:proofErr w:type="gramEnd"/>
      <w:r w:rsidRPr="00F27422">
        <w:rPr>
          <w:rFonts w:ascii="mylotus" w:hAnsi="mylotus"/>
          <w:sz w:val="32"/>
          <w:rtl/>
        </w:rPr>
        <w:t xml:space="preserve"> بل لعدم التكافؤ بين الواجبين؛ حيث إنّ الأوّل مُحرزُ الامتثال بخلاف الثاني</w:t>
      </w:r>
      <w:r w:rsidRPr="00F27422">
        <w:rPr>
          <w:rFonts w:ascii="mylotus" w:hAnsi="mylotus"/>
          <w:sz w:val="32"/>
        </w:rPr>
        <w:t>.</w:t>
      </w:r>
    </w:p>
    <w:p w14:paraId="42A0CD4C"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b/>
          <w:bCs/>
          <w:sz w:val="32"/>
          <w:rtl/>
        </w:rPr>
        <w:t>فتلخص مِن ذلك:</w:t>
      </w:r>
      <w:r w:rsidRPr="00F27422">
        <w:rPr>
          <w:rFonts w:ascii="mylotus" w:hAnsi="mylotus"/>
          <w:sz w:val="32"/>
          <w:rtl/>
        </w:rPr>
        <w:t xml:space="preserve"> أنّ السبق الزمني في الواجبين المتكافئين مِن تمام الجهات ليس مرجحاً.</w:t>
      </w:r>
    </w:p>
    <w:p w14:paraId="2DF0C4D6" w14:textId="77777777" w:rsidR="00D073BE" w:rsidRPr="00F27422" w:rsidRDefault="00D073BE" w:rsidP="00122B70">
      <w:pPr>
        <w:pStyle w:val="a"/>
        <w:bidi/>
        <w:spacing w:line="216" w:lineRule="auto"/>
        <w:jc w:val="left"/>
        <w:rPr>
          <w:rFonts w:ascii="mylotus" w:hAnsi="mylotus"/>
          <w:sz w:val="32"/>
          <w:rtl/>
        </w:rPr>
      </w:pPr>
      <w:r w:rsidRPr="00F27422">
        <w:rPr>
          <w:rFonts w:ascii="mylotus" w:hAnsi="mylotus"/>
          <w:sz w:val="32"/>
          <w:rtl/>
        </w:rPr>
        <w:t>والله العالمُ</w:t>
      </w:r>
      <w:r w:rsidRPr="00F27422">
        <w:rPr>
          <w:rFonts w:ascii="mylotus" w:hAnsi="mylotus" w:hint="cs"/>
          <w:sz w:val="32"/>
          <w:rtl/>
        </w:rPr>
        <w:t xml:space="preserve"> </w:t>
      </w:r>
      <w:r w:rsidRPr="00F27422">
        <w:rPr>
          <w:rFonts w:ascii="mylotus" w:hAnsi="mylotus"/>
          <w:sz w:val="32"/>
          <w:rtl/>
        </w:rPr>
        <w:t>بالصواب.</w:t>
      </w:r>
    </w:p>
    <w:p w14:paraId="08BC129F" w14:textId="77777777" w:rsidR="00D073BE" w:rsidRPr="00F27422" w:rsidRDefault="00D073BE" w:rsidP="00122B70">
      <w:pPr>
        <w:pStyle w:val="a"/>
        <w:bidi/>
        <w:spacing w:line="216" w:lineRule="auto"/>
        <w:jc w:val="left"/>
        <w:rPr>
          <w:rFonts w:ascii="mylotus" w:hAnsi="mylotus"/>
          <w:b/>
          <w:bCs/>
          <w:sz w:val="32"/>
          <w:rtl/>
        </w:rPr>
      </w:pPr>
    </w:p>
    <w:p w14:paraId="32231F2D" w14:textId="77777777" w:rsidR="00D073BE" w:rsidRPr="00F27422" w:rsidRDefault="00D073BE"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0989A476" w14:textId="77777777" w:rsidR="005B2956" w:rsidRPr="00F27422" w:rsidRDefault="005B2956" w:rsidP="00122B70">
      <w:pPr>
        <w:tabs>
          <w:tab w:val="left" w:pos="1070"/>
        </w:tabs>
        <w:bidi/>
        <w:rPr>
          <w:sz w:val="32"/>
          <w:szCs w:val="32"/>
          <w:rtl/>
        </w:rPr>
      </w:pPr>
    </w:p>
    <w:p w14:paraId="61345898" w14:textId="77777777" w:rsidR="00DC62AC" w:rsidRPr="00F27422" w:rsidRDefault="00DC62AC" w:rsidP="00122B70">
      <w:pPr>
        <w:tabs>
          <w:tab w:val="left" w:pos="1070"/>
        </w:tabs>
        <w:bidi/>
        <w:rPr>
          <w:sz w:val="32"/>
          <w:szCs w:val="32"/>
          <w:rtl/>
        </w:rPr>
      </w:pPr>
    </w:p>
    <w:p w14:paraId="607BEBA2" w14:textId="6940AE80" w:rsidR="00DC62AC" w:rsidRPr="00F27422" w:rsidRDefault="00DC62AC" w:rsidP="00122B70">
      <w:pPr>
        <w:pStyle w:val="Heading3"/>
        <w:bidi/>
        <w:rPr>
          <w:sz w:val="32"/>
          <w:szCs w:val="32"/>
          <w:rtl/>
        </w:rPr>
      </w:pPr>
      <w:r w:rsidRPr="00F27422">
        <w:rPr>
          <w:rFonts w:hint="cs"/>
          <w:sz w:val="32"/>
          <w:szCs w:val="32"/>
          <w:rtl/>
        </w:rPr>
        <w:t>067</w:t>
      </w:r>
    </w:p>
    <w:p w14:paraId="40B84C7C" w14:textId="77777777" w:rsidR="00954F52" w:rsidRPr="00F27422" w:rsidRDefault="00954F52"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795AFEBF" w14:textId="77777777" w:rsidR="00954F52" w:rsidRPr="00F27422" w:rsidRDefault="00954F52"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32EBCD17"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b/>
          <w:bCs/>
          <w:sz w:val="32"/>
          <w:rtl/>
        </w:rPr>
        <w:t>واللعن الدائم على أعدائهم أجمعين إلى قيام يوم الدين</w:t>
      </w:r>
    </w:p>
    <w:p w14:paraId="1B27ADD2" w14:textId="77777777" w:rsidR="00954F52" w:rsidRPr="00F27422" w:rsidRDefault="00954F52" w:rsidP="00122B70">
      <w:pPr>
        <w:pStyle w:val="a"/>
        <w:bidi/>
        <w:spacing w:line="216" w:lineRule="auto"/>
        <w:jc w:val="left"/>
        <w:rPr>
          <w:rFonts w:ascii="mylotus" w:hAnsi="mylotus"/>
          <w:sz w:val="32"/>
          <w:rtl/>
          <w:lang w:bidi="ar-BH"/>
        </w:rPr>
      </w:pPr>
    </w:p>
    <w:p w14:paraId="5C44092F"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وخلاصةُ ما مضى مِن البحث</w:t>
      </w:r>
      <w:r w:rsidRPr="00F27422">
        <w:rPr>
          <w:rFonts w:ascii="mylotus" w:hAnsi="mylotus"/>
          <w:b/>
          <w:bCs/>
          <w:sz w:val="32"/>
        </w:rPr>
        <w:t>:</w:t>
      </w:r>
    </w:p>
    <w:p w14:paraId="39213D3F"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sz w:val="32"/>
          <w:rtl/>
        </w:rPr>
        <w:t>أنّه إذا قصرت القدرة عن الجمع بين واجبين مع سبق أحدهما زماناً على الآخر، كما في محلّ الكلام وهو ما إذا كانت المرأة مُستأجرة قَبل الزواج لعملٍ لمدّة سنة ثمّ تزوجتْ في الأثناء فثبت في عهدتها واجب آخر وهو وجوب تمكين الزوج من الاستمتاعات بها ولا يمكن الجمع بين امتثالي الوجوبين</w:t>
      </w:r>
      <w:r w:rsidRPr="00F27422">
        <w:rPr>
          <w:rFonts w:ascii="mylotus" w:hAnsi="mylotus" w:hint="cs"/>
          <w:sz w:val="32"/>
          <w:rtl/>
        </w:rPr>
        <w:t xml:space="preserve"> </w:t>
      </w:r>
      <w:r w:rsidRPr="00F27422">
        <w:rPr>
          <w:rFonts w:ascii="mylotus" w:hAnsi="mylotus"/>
          <w:sz w:val="32"/>
          <w:rtl/>
        </w:rPr>
        <w:t>وهما: وجوب الوفاء بعقد الإجارة ووجوب تمكين الزوج من الاستمتاعات، إلّا أنّ أحد الواجبين - وهو وجوب الوفاء بعقد الإجارة - أسبقُ زماناً مِن الثاني، فهل سبقه زماناً مرجحٌ له كما أُفيد في بعض العبائر أم لا؟</w:t>
      </w:r>
    </w:p>
    <w:p w14:paraId="4B376650"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وبهذه المناسبة وقع البحث في ترجيح أحد المتزاحمين على الآخر بالسبق الزماني، وتبين أنّ البحث في الترجيح بالسبق الزماني متقومٌ بعناصر ثلاثة</w:t>
      </w:r>
      <w:r w:rsidRPr="00F27422">
        <w:rPr>
          <w:rFonts w:ascii="mylotus" w:hAnsi="mylotus"/>
          <w:b/>
          <w:bCs/>
          <w:sz w:val="32"/>
        </w:rPr>
        <w:t>:</w:t>
      </w:r>
    </w:p>
    <w:p w14:paraId="275CEF65"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b/>
          <w:bCs/>
          <w:sz w:val="32"/>
          <w:rtl/>
        </w:rPr>
        <w:t>العنصرُ الأوّل:</w:t>
      </w:r>
      <w:r w:rsidRPr="00F27422">
        <w:rPr>
          <w:rFonts w:ascii="mylotus" w:hAnsi="mylotus"/>
          <w:sz w:val="32"/>
          <w:rtl/>
        </w:rPr>
        <w:t xml:space="preserve"> أنْ يكون وجوبُ كلٍّ مِن الفعلين فعلياً مِن الأوّل، كما لو نذر المكلف صوم يومي الخميس والجمعة فإنّه بمجرّد انعقاد النذر يكون الوجوب فعلياً؛ فإن</w:t>
      </w:r>
      <w:r w:rsidRPr="00F27422">
        <w:rPr>
          <w:rFonts w:ascii="mylotus" w:hAnsi="mylotus" w:hint="cs"/>
          <w:sz w:val="32"/>
          <w:rtl/>
        </w:rPr>
        <w:t>ّ</w:t>
      </w:r>
      <w:r w:rsidRPr="00F27422">
        <w:rPr>
          <w:rFonts w:ascii="mylotus" w:hAnsi="mylotus"/>
          <w:sz w:val="32"/>
          <w:rtl/>
        </w:rPr>
        <w:t>ه وإن</w:t>
      </w:r>
      <w:r w:rsidRPr="00F27422">
        <w:rPr>
          <w:rFonts w:ascii="mylotus" w:hAnsi="mylotus" w:hint="cs"/>
          <w:sz w:val="32"/>
          <w:rtl/>
        </w:rPr>
        <w:t>ْ</w:t>
      </w:r>
      <w:r w:rsidRPr="00F27422">
        <w:rPr>
          <w:rFonts w:ascii="mylotus" w:hAnsi="mylotus"/>
          <w:sz w:val="32"/>
          <w:rtl/>
        </w:rPr>
        <w:t xml:space="preserve"> تعدد الالتزام والمُلتزم به؛ حيث التزم بفعلين، </w:t>
      </w:r>
      <w:r w:rsidRPr="00F27422">
        <w:rPr>
          <w:rFonts w:ascii="mylotus" w:hAnsi="mylotus" w:hint="cs"/>
          <w:sz w:val="32"/>
          <w:rtl/>
        </w:rPr>
        <w:t>إ</w:t>
      </w:r>
      <w:r w:rsidRPr="00F27422">
        <w:rPr>
          <w:rFonts w:ascii="mylotus" w:hAnsi="mylotus"/>
          <w:sz w:val="32"/>
          <w:rtl/>
        </w:rPr>
        <w:t>ل</w:t>
      </w:r>
      <w:r w:rsidRPr="00F27422">
        <w:rPr>
          <w:rFonts w:ascii="mylotus" w:hAnsi="mylotus" w:hint="cs"/>
          <w:sz w:val="32"/>
          <w:rtl/>
        </w:rPr>
        <w:t>ّ</w:t>
      </w:r>
      <w:r w:rsidRPr="00F27422">
        <w:rPr>
          <w:rFonts w:ascii="mylotus" w:hAnsi="mylotus"/>
          <w:sz w:val="32"/>
          <w:rtl/>
        </w:rPr>
        <w:t>ا أن</w:t>
      </w:r>
      <w:r w:rsidRPr="00F27422">
        <w:rPr>
          <w:rFonts w:ascii="mylotus" w:hAnsi="mylotus" w:hint="cs"/>
          <w:sz w:val="32"/>
          <w:rtl/>
        </w:rPr>
        <w:t>ّ</w:t>
      </w:r>
      <w:r w:rsidRPr="00F27422">
        <w:rPr>
          <w:rFonts w:ascii="mylotus" w:hAnsi="mylotus"/>
          <w:sz w:val="32"/>
          <w:rtl/>
        </w:rPr>
        <w:t xml:space="preserve"> موضوع وجوب الوفاء بالنذر انعقاده، ومقتضى ذلك فعلية الوجوبين معاً بمجرّد انعقاد النذر وإنْ كان الواجب الثاني متأخراً زماناً، وإلّا لو كان وجوب المتأخر زماناً غير فعلي لَمْ يكن المقام مِن باب التزاحم أصلاً؛ لأنّ مناط التزاحم التنافي بين الوجوبين في صرف القدرة في صالح كلٍّ منهما، فإنْ لَمْ يكن وجوب المتأخر فعلياً فلا تنافي بين الوجوبين كي يقع التزاحم</w:t>
      </w:r>
      <w:r w:rsidRPr="00F27422">
        <w:rPr>
          <w:rFonts w:ascii="mylotus" w:hAnsi="mylotus"/>
          <w:sz w:val="32"/>
        </w:rPr>
        <w:t>.</w:t>
      </w:r>
    </w:p>
    <w:p w14:paraId="3358B17C"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b/>
          <w:bCs/>
          <w:sz w:val="32"/>
          <w:rtl/>
        </w:rPr>
        <w:t>العنصرُ الثاني:</w:t>
      </w:r>
      <w:r w:rsidRPr="00F27422">
        <w:rPr>
          <w:rFonts w:ascii="mylotus" w:hAnsi="mylotus"/>
          <w:sz w:val="32"/>
          <w:rtl/>
        </w:rPr>
        <w:t xml:space="preserve"> أنْ لا مرجح لأحد الواجبين على الآخر مِن حيث الأهمية وغيرها؛ إذ لو كان لأحدهما مرجح فلا أثر للسبق الزماني، ولو فرض أنّ المتأخر زماناً هو الأهم أو محتمل الأهمية دون الأوّل تعين حفظ القدرة لما هو المتأخر زماناً، فمحلّ الكلام تساوي الواجبين مِن حيث المِلاك والمرجحات الأُخرى</w:t>
      </w:r>
      <w:r w:rsidRPr="00F27422">
        <w:rPr>
          <w:rFonts w:ascii="mylotus" w:hAnsi="mylotus"/>
          <w:sz w:val="32"/>
        </w:rPr>
        <w:t>.</w:t>
      </w:r>
    </w:p>
    <w:p w14:paraId="6C9DB9EF"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b/>
          <w:bCs/>
          <w:sz w:val="32"/>
          <w:rtl/>
        </w:rPr>
        <w:t>العنصرُ الثالث:</w:t>
      </w:r>
      <w:r w:rsidRPr="00F27422">
        <w:rPr>
          <w:rFonts w:ascii="mylotus" w:hAnsi="mylotus"/>
          <w:sz w:val="32"/>
          <w:rtl/>
        </w:rPr>
        <w:t xml:space="preserve"> أنّ القدرة المعتبرة في وجوب كلٍّ منهما طبيعي القدرة الممكن حفظها إلى حين زمان المتأخر، وإلّا لو كان المعتبر في المتأخر زماناً القدرة الخاصة وهي القدرة في ظرفه</w:t>
      </w:r>
      <w:r w:rsidRPr="00F27422">
        <w:rPr>
          <w:rFonts w:ascii="mylotus" w:hAnsi="mylotus" w:hint="cs"/>
          <w:sz w:val="32"/>
          <w:rtl/>
        </w:rPr>
        <w:t>.</w:t>
      </w:r>
    </w:p>
    <w:p w14:paraId="79F3087F"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sz w:val="32"/>
          <w:rtl/>
        </w:rPr>
        <w:lastRenderedPageBreak/>
        <w:t>نظير ما</w:t>
      </w:r>
      <w:r w:rsidRPr="00F27422">
        <w:rPr>
          <w:rFonts w:ascii="mylotus" w:hAnsi="mylotus" w:hint="cs"/>
          <w:sz w:val="32"/>
          <w:rtl/>
        </w:rPr>
        <w:t xml:space="preserve"> </w:t>
      </w:r>
      <w:r w:rsidRPr="00F27422">
        <w:rPr>
          <w:rFonts w:ascii="mylotus" w:hAnsi="mylotus"/>
          <w:sz w:val="32"/>
          <w:rtl/>
        </w:rPr>
        <w:t xml:space="preserve">ذكره بعض الفقهاء في الصوم بأنّ المعتبر في وجوب الصوم ليس طبيعي </w:t>
      </w:r>
      <w:proofErr w:type="gramStart"/>
      <w:r w:rsidRPr="00F27422">
        <w:rPr>
          <w:rFonts w:ascii="mylotus" w:hAnsi="mylotus"/>
          <w:sz w:val="32"/>
          <w:rtl/>
        </w:rPr>
        <w:t>القدرة</w:t>
      </w:r>
      <w:proofErr w:type="gramEnd"/>
      <w:r w:rsidRPr="00F27422">
        <w:rPr>
          <w:rFonts w:ascii="mylotus" w:hAnsi="mylotus"/>
          <w:sz w:val="32"/>
          <w:rtl/>
        </w:rPr>
        <w:t xml:space="preserve"> بل القدرة في زمان الامتثال وهو النهار بنحو يكون ملاك الصوم متقوماً بالقدرة عليه في زمانه، فالمِلاك لا فعلية له قَبل حلول الوقت، وبما أنّ المِلاك لا فعلية لأنّه متقوم بالقدرة عليه في زمانه فلا يجب على المكلف حفظ القدرة إلى حين زمان الصوم؛ إذ لا يلزم مِن عدم حفظ القدرة تفويت مِلاكٍ لُزومي على المولى؛ لتقومٌه بتحقّق القدرة في زمانه، فلذلك يجوز تعجيز النفس عن ذلك قَبله</w:t>
      </w:r>
      <w:r w:rsidRPr="00F27422">
        <w:rPr>
          <w:rFonts w:ascii="mylotus" w:hAnsi="mylotus"/>
          <w:sz w:val="32"/>
        </w:rPr>
        <w:t>.</w:t>
      </w:r>
    </w:p>
    <w:p w14:paraId="7B99E7F2"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b/>
          <w:bCs/>
          <w:sz w:val="32"/>
          <w:rtl/>
        </w:rPr>
        <w:t>فإذا تحقّقت العناصر الثلاثة فحينئذٍ يصح البحث:</w:t>
      </w:r>
      <w:r w:rsidRPr="00F27422">
        <w:rPr>
          <w:rFonts w:ascii="mylotus" w:hAnsi="mylotus"/>
          <w:sz w:val="32"/>
          <w:rtl/>
        </w:rPr>
        <w:t xml:space="preserve"> هل أنّ مجرّد السبق الزماني مرجحٌ، كما ذهب إليه المحقّق النائيني وسيدنا الخوئي (قدس سرهما) على ما هو المذكور في مصباح الأصول أم لا؟</w:t>
      </w:r>
    </w:p>
    <w:p w14:paraId="5A6419D6"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b/>
          <w:bCs/>
          <w:sz w:val="32"/>
          <w:rtl/>
        </w:rPr>
        <w:t>وقد تقدم:</w:t>
      </w:r>
      <w:r w:rsidRPr="00F27422">
        <w:rPr>
          <w:rFonts w:ascii="mylotus" w:hAnsi="mylotus"/>
          <w:sz w:val="32"/>
          <w:rtl/>
        </w:rPr>
        <w:t xml:space="preserve"> أنّه لا مرجح لأحدهما على الآخر، وكما يمكن للمكلف صرف القدرة في السابق يمكنه حفظ القدرة للاحق، فإن</w:t>
      </w:r>
      <w:r w:rsidRPr="00F27422">
        <w:rPr>
          <w:rFonts w:ascii="mylotus" w:hAnsi="mylotus" w:hint="cs"/>
          <w:sz w:val="32"/>
          <w:rtl/>
        </w:rPr>
        <w:t>ّ</w:t>
      </w:r>
      <w:r w:rsidRPr="00F27422">
        <w:rPr>
          <w:rFonts w:ascii="mylotus" w:hAnsi="mylotus"/>
          <w:sz w:val="32"/>
          <w:rtl/>
        </w:rPr>
        <w:t xml:space="preserve"> مقتضى تكافؤهما حكمُ العقل بالتخيير، بنفس ملاك حكم العقل بالتخيير في المتساويين العرضيين زماناً، فإن</w:t>
      </w:r>
      <w:r w:rsidRPr="00F27422">
        <w:rPr>
          <w:rFonts w:ascii="mylotus" w:hAnsi="mylotus" w:hint="cs"/>
          <w:sz w:val="32"/>
          <w:rtl/>
        </w:rPr>
        <w:t>ّ</w:t>
      </w:r>
      <w:r w:rsidRPr="00F27422">
        <w:rPr>
          <w:rFonts w:ascii="mylotus" w:hAnsi="mylotus"/>
          <w:sz w:val="32"/>
          <w:rtl/>
        </w:rPr>
        <w:t>ه لو وقع التزاحم بين متساويين عرضيين زماناً كما لو وقع التزاحم مثلاً بين صرف المال في الحج أو</w:t>
      </w:r>
      <w:r w:rsidRPr="00F27422">
        <w:rPr>
          <w:rFonts w:ascii="mylotus" w:hAnsi="mylotus" w:hint="cs"/>
          <w:sz w:val="32"/>
          <w:rtl/>
        </w:rPr>
        <w:t xml:space="preserve"> </w:t>
      </w:r>
      <w:r w:rsidRPr="00F27422">
        <w:rPr>
          <w:rFonts w:ascii="mylotus" w:hAnsi="mylotus"/>
          <w:sz w:val="32"/>
          <w:rtl/>
        </w:rPr>
        <w:t>أداء الد</w:t>
      </w:r>
      <w:r w:rsidRPr="00F27422">
        <w:rPr>
          <w:rFonts w:ascii="mylotus" w:hAnsi="mylotus" w:hint="cs"/>
          <w:sz w:val="32"/>
          <w:rtl/>
        </w:rPr>
        <w:t>َ</w:t>
      </w:r>
      <w:r w:rsidRPr="00F27422">
        <w:rPr>
          <w:rFonts w:ascii="mylotus" w:hAnsi="mylotus"/>
          <w:sz w:val="32"/>
          <w:rtl/>
        </w:rPr>
        <w:t>ين ولا مرجح لأحدهما على الآخر، فالوظيفة هي حكم العقل بالتخيير، فكذا في الواجبين المتساويين مِلاكاً مع سبق أحدهما زماناً</w:t>
      </w:r>
      <w:r w:rsidRPr="00F27422">
        <w:rPr>
          <w:rFonts w:ascii="mylotus" w:hAnsi="mylotus"/>
          <w:sz w:val="32"/>
        </w:rPr>
        <w:t>.</w:t>
      </w:r>
    </w:p>
    <w:p w14:paraId="4D400860"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b/>
          <w:bCs/>
          <w:sz w:val="32"/>
          <w:rtl/>
        </w:rPr>
        <w:t>وبعب</w:t>
      </w:r>
      <w:r w:rsidRPr="00F27422">
        <w:rPr>
          <w:rFonts w:ascii="mylotus" w:hAnsi="mylotus" w:hint="cs"/>
          <w:b/>
          <w:bCs/>
          <w:sz w:val="32"/>
          <w:rtl/>
        </w:rPr>
        <w:t>ا</w:t>
      </w:r>
      <w:r w:rsidRPr="00F27422">
        <w:rPr>
          <w:rFonts w:ascii="mylotus" w:hAnsi="mylotus"/>
          <w:b/>
          <w:bCs/>
          <w:sz w:val="32"/>
          <w:rtl/>
        </w:rPr>
        <w:t>رة</w:t>
      </w:r>
      <w:r w:rsidRPr="00F27422">
        <w:rPr>
          <w:rFonts w:ascii="mylotus" w:hAnsi="mylotus" w:hint="cs"/>
          <w:b/>
          <w:bCs/>
          <w:sz w:val="32"/>
          <w:rtl/>
        </w:rPr>
        <w:t>ٍ</w:t>
      </w:r>
      <w:r w:rsidRPr="00F27422">
        <w:rPr>
          <w:rFonts w:ascii="mylotus" w:hAnsi="mylotus"/>
          <w:b/>
          <w:bCs/>
          <w:sz w:val="32"/>
          <w:rtl/>
        </w:rPr>
        <w:t xml:space="preserve"> أ</w:t>
      </w:r>
      <w:r w:rsidRPr="00F27422">
        <w:rPr>
          <w:rFonts w:ascii="mylotus" w:hAnsi="mylotus" w:hint="cs"/>
          <w:b/>
          <w:bCs/>
          <w:sz w:val="32"/>
          <w:rtl/>
        </w:rPr>
        <w:t>ُ</w:t>
      </w:r>
      <w:r w:rsidRPr="00F27422">
        <w:rPr>
          <w:rFonts w:ascii="mylotus" w:hAnsi="mylotus"/>
          <w:b/>
          <w:bCs/>
          <w:sz w:val="32"/>
          <w:rtl/>
        </w:rPr>
        <w:t>خرى:</w:t>
      </w:r>
      <w:r w:rsidRPr="00F27422">
        <w:rPr>
          <w:rFonts w:ascii="mylotus" w:hAnsi="mylotus"/>
          <w:sz w:val="32"/>
          <w:rtl/>
        </w:rPr>
        <w:t xml:space="preserve"> إنّ إطلاق الأمر بكلٍّ منهما لاب</w:t>
      </w:r>
      <w:r w:rsidRPr="00F27422">
        <w:rPr>
          <w:rFonts w:ascii="mylotus" w:hAnsi="mylotus" w:hint="cs"/>
          <w:sz w:val="32"/>
          <w:rtl/>
        </w:rPr>
        <w:t>ُ</w:t>
      </w:r>
      <w:r w:rsidRPr="00F27422">
        <w:rPr>
          <w:rFonts w:ascii="mylotus" w:hAnsi="mylotus"/>
          <w:sz w:val="32"/>
          <w:rtl/>
        </w:rPr>
        <w:t>د</w:t>
      </w:r>
      <w:r w:rsidRPr="00F27422">
        <w:rPr>
          <w:rFonts w:ascii="mylotus" w:hAnsi="mylotus" w:hint="cs"/>
          <w:sz w:val="32"/>
          <w:rtl/>
        </w:rPr>
        <w:t>ّ</w:t>
      </w:r>
      <w:r w:rsidRPr="00F27422">
        <w:rPr>
          <w:rFonts w:ascii="mylotus" w:hAnsi="mylotus"/>
          <w:sz w:val="32"/>
          <w:rtl/>
        </w:rPr>
        <w:t xml:space="preserve"> له م</w:t>
      </w:r>
      <w:r w:rsidRPr="00F27422">
        <w:rPr>
          <w:rFonts w:ascii="mylotus" w:hAnsi="mylotus" w:hint="cs"/>
          <w:sz w:val="32"/>
          <w:rtl/>
        </w:rPr>
        <w:t>ِ</w:t>
      </w:r>
      <w:r w:rsidRPr="00F27422">
        <w:rPr>
          <w:rFonts w:ascii="mylotus" w:hAnsi="mylotus"/>
          <w:sz w:val="32"/>
          <w:rtl/>
        </w:rPr>
        <w:t>ن غرض فهل الغرض منه الجمع بينهما أم صرف كل</w:t>
      </w:r>
      <w:r w:rsidRPr="00F27422">
        <w:rPr>
          <w:rFonts w:ascii="mylotus" w:hAnsi="mylotus" w:hint="cs"/>
          <w:sz w:val="32"/>
          <w:rtl/>
        </w:rPr>
        <w:t>ّ</w:t>
      </w:r>
      <w:r w:rsidRPr="00F27422">
        <w:rPr>
          <w:rFonts w:ascii="mylotus" w:hAnsi="mylotus"/>
          <w:sz w:val="32"/>
          <w:rtl/>
        </w:rPr>
        <w:t xml:space="preserve"> أمر المكلف عن امتثال </w:t>
      </w:r>
      <w:proofErr w:type="gramStart"/>
      <w:r w:rsidRPr="00F27422">
        <w:rPr>
          <w:rFonts w:ascii="mylotus" w:hAnsi="mylotus"/>
          <w:sz w:val="32"/>
          <w:rtl/>
        </w:rPr>
        <w:t>الآخر ؟</w:t>
      </w:r>
      <w:proofErr w:type="gramEnd"/>
      <w:r w:rsidRPr="00F27422">
        <w:rPr>
          <w:rFonts w:ascii="mylotus" w:hAnsi="mylotus"/>
          <w:sz w:val="32"/>
          <w:rtl/>
        </w:rPr>
        <w:t xml:space="preserve"> فإن</w:t>
      </w:r>
      <w:r w:rsidRPr="00F27422">
        <w:rPr>
          <w:rFonts w:ascii="mylotus" w:hAnsi="mylotus" w:hint="cs"/>
          <w:sz w:val="32"/>
          <w:rtl/>
        </w:rPr>
        <w:t>ْ</w:t>
      </w:r>
      <w:r w:rsidRPr="00F27422">
        <w:rPr>
          <w:rFonts w:ascii="mylotus" w:hAnsi="mylotus"/>
          <w:sz w:val="32"/>
          <w:rtl/>
        </w:rPr>
        <w:t xml:space="preserve"> كان الأول فهذا طلبٌ للمحال؛ لأنّ الجمع بينهما غيرُ مقدور، وإنْ كان المنظورُ في إطلاق الأمر لكلٍّ منهما الثاني </w:t>
      </w:r>
      <w:r w:rsidRPr="00F27422">
        <w:rPr>
          <w:rFonts w:ascii="mylotus" w:hAnsi="mylotus" w:hint="cs"/>
          <w:sz w:val="32"/>
          <w:rtl/>
        </w:rPr>
        <w:t xml:space="preserve">- </w:t>
      </w:r>
      <w:r w:rsidRPr="00F27422">
        <w:rPr>
          <w:rFonts w:ascii="mylotus" w:hAnsi="mylotus"/>
          <w:sz w:val="32"/>
          <w:rtl/>
        </w:rPr>
        <w:t xml:space="preserve">أي صرف المكلف عن الآخر </w:t>
      </w:r>
      <w:r w:rsidRPr="00F27422">
        <w:rPr>
          <w:rFonts w:ascii="mylotus" w:hAnsi="mylotus" w:hint="cs"/>
          <w:sz w:val="32"/>
          <w:rtl/>
        </w:rPr>
        <w:t xml:space="preserve">- </w:t>
      </w:r>
      <w:r w:rsidRPr="00F27422">
        <w:rPr>
          <w:rFonts w:ascii="mylotus" w:hAnsi="mylotus"/>
          <w:sz w:val="32"/>
          <w:rtl/>
        </w:rPr>
        <w:t>فهذا قبيح؛ إذ المفروض أنّهما متساويان مِن حيث الأهمية فلا وجه لصرف المكلف عن امتثال أحدهما للآخر؛ فلا غرضَ في إطلاقِ الأمر بكلٍّ منهما، فإذا لَمْ يصح الإطلاق تعين أنْ يكون الأمر بكلٍّ منهما مقيدا</w:t>
      </w:r>
      <w:r w:rsidRPr="00F27422">
        <w:rPr>
          <w:rFonts w:ascii="mylotus" w:hAnsi="mylotus" w:hint="cs"/>
          <w:sz w:val="32"/>
          <w:rtl/>
        </w:rPr>
        <w:t>ً</w:t>
      </w:r>
      <w:r w:rsidRPr="00F27422">
        <w:rPr>
          <w:rFonts w:ascii="mylotus" w:hAnsi="mylotus"/>
          <w:sz w:val="32"/>
          <w:rtl/>
        </w:rPr>
        <w:t xml:space="preserve"> بعدم الاشتغال بالآخر، وهذا هو معنى حكم العقل بالتخيير بينهما</w:t>
      </w:r>
      <w:r w:rsidRPr="00F27422">
        <w:rPr>
          <w:rFonts w:ascii="mylotus" w:hAnsi="mylotus"/>
          <w:sz w:val="32"/>
        </w:rPr>
        <w:t>.</w:t>
      </w:r>
    </w:p>
    <w:p w14:paraId="2C8E185A"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sz w:val="32"/>
          <w:rtl/>
        </w:rPr>
        <w:t>لكن بعض الأجلة (دام توفيقه) في كتابه شرح مناسك الحج</w:t>
      </w:r>
      <w:r w:rsidRPr="00F27422">
        <w:rPr>
          <w:rStyle w:val="FootnoteReference"/>
          <w:rFonts w:ascii="mylotus" w:hAnsi="mylotus"/>
          <w:sz w:val="32"/>
          <w:rtl/>
        </w:rPr>
        <w:footnoteReference w:id="36"/>
      </w:r>
      <w:r w:rsidRPr="00F27422">
        <w:rPr>
          <w:rFonts w:ascii="mylotus" w:hAnsi="mylotus"/>
          <w:sz w:val="32"/>
          <w:rtl/>
        </w:rPr>
        <w:t xml:space="preserve"> ذهب إلى الترجيح بالسبق الزماني، وقد أفاد في ذلك بياناتٍ ثلاثة لتخريج الترجيح بالسبق الزماني على ضوء المسالك المختلفة في باب التزاحم</w:t>
      </w:r>
      <w:r w:rsidRPr="00F27422">
        <w:rPr>
          <w:rFonts w:ascii="mylotus" w:hAnsi="mylotus"/>
          <w:sz w:val="32"/>
        </w:rPr>
        <w:t>.</w:t>
      </w:r>
    </w:p>
    <w:p w14:paraId="6249077D"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البيان الأوّل</w:t>
      </w:r>
      <w:r w:rsidRPr="00F27422">
        <w:rPr>
          <w:rFonts w:ascii="mylotus" w:hAnsi="mylotus"/>
          <w:b/>
          <w:bCs/>
          <w:sz w:val="32"/>
        </w:rPr>
        <w:t>:</w:t>
      </w:r>
    </w:p>
    <w:p w14:paraId="26B13B9A"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hint="cs"/>
          <w:b/>
          <w:bCs/>
          <w:sz w:val="32"/>
          <w:rtl/>
          <w:lang w:bidi="ar-BH"/>
        </w:rPr>
        <w:t>(</w:t>
      </w:r>
      <w:r w:rsidRPr="00F27422">
        <w:rPr>
          <w:rFonts w:ascii="mylotus" w:hAnsi="mylotus"/>
          <w:b/>
          <w:bCs/>
          <w:sz w:val="32"/>
          <w:rtl/>
        </w:rPr>
        <w:t>ولكن يمكن أن يقال: إن برهان ذلك التقييد كان قائماً على أساس أنه يمتنع إطلاق الأمر في أحد المتزاحمين لفرض الاشتغال بالمزاحم الآخر الذي لا يقل عنه أهمية، لأن المراد بهذا الإطلاق إن كان هو التوصل إلى الجمع بين الضدين فهو ممتنع، وإن كان هو صرف المكلف عن ذلك المزاحم فهو خلف فرض أنه لا يقل عنه في الأهمية بنظر المولى</w:t>
      </w:r>
      <w:r w:rsidRPr="00F27422">
        <w:rPr>
          <w:rFonts w:ascii="mylotus" w:hAnsi="mylotus"/>
          <w:b/>
          <w:bCs/>
          <w:sz w:val="32"/>
        </w:rPr>
        <w:t>.</w:t>
      </w:r>
    </w:p>
    <w:p w14:paraId="784839B7"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وهذا البرهان إن تم في الواجبين المتساويين ملاكاً فإنما يتم فيما إذا لم يسبق أحدهما الآخر زماناً، وإلا فهناك وجه صحيح لإطلاق الخطاب المتقدم لصورة صرف المكلف قدرته في الإتيان بالمتأخر وهو الاحتياط للملاكات المولوية</w:t>
      </w:r>
      <w:r w:rsidRPr="00F27422">
        <w:rPr>
          <w:rFonts w:ascii="mylotus" w:hAnsi="mylotus"/>
          <w:b/>
          <w:bCs/>
          <w:sz w:val="32"/>
        </w:rPr>
        <w:t>.</w:t>
      </w:r>
    </w:p>
    <w:p w14:paraId="05DB1938"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 xml:space="preserve">وتوضيحه: أنه متى كان أحد الواجبين المتزاحمين أسبق زماناً من الآخر فإنه ليس هناك ضمان لعدم طرو ما يمنع المكلف من الإتيان بالثاني لو ترك الإتيان بالأول في وقته، أي لا </w:t>
      </w:r>
      <w:r w:rsidRPr="00F27422">
        <w:rPr>
          <w:rFonts w:ascii="mylotus" w:hAnsi="mylotus"/>
          <w:b/>
          <w:bCs/>
          <w:sz w:val="32"/>
          <w:rtl/>
        </w:rPr>
        <w:lastRenderedPageBreak/>
        <w:t>يمكن ضمان عدم فوات كلا الملاكين الإلزاميين على تقدير عدم صرف المكلف قدرته في الإتيان بالواجب المتقدم زماناً</w:t>
      </w:r>
      <w:r w:rsidRPr="00F27422">
        <w:rPr>
          <w:rFonts w:ascii="mylotus" w:hAnsi="mylotus"/>
          <w:b/>
          <w:bCs/>
          <w:sz w:val="32"/>
        </w:rPr>
        <w:t>.</w:t>
      </w:r>
    </w:p>
    <w:p w14:paraId="41633703"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وبعبارة أخرى: إنه إذا أقدم المكلف على الإتيان بالواجب الأسبق زماناً فإنه يكون قد استوفى الملاك الكامن فيه، وهو أحد الملاكين الإلزاميين في حالة التزاحم، وأما لو لم يقدم على الإتيان به عازماً على الإتيان بالمتأخر زماناً فإنه ربما يوفق للإتيان به وربما يمنعه عائق عن ذلك فتزول قدرته قبل أن يحلّ وقته، وبذلك يفوت كلا الملاكين الإلزاميين في المورد</w:t>
      </w:r>
      <w:r w:rsidRPr="00F27422">
        <w:rPr>
          <w:rFonts w:ascii="mylotus" w:hAnsi="mylotus"/>
          <w:b/>
          <w:bCs/>
          <w:sz w:val="32"/>
        </w:rPr>
        <w:t>.</w:t>
      </w:r>
    </w:p>
    <w:p w14:paraId="16423460"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 xml:space="preserve">وعلى هذا فيمكن للمولى أن يطلق خطاب الواجب الأسبق زماناً لغرض صرف المكلف عن الإتيان بمزاحمه المتأخر زماناً تحفظاً على </w:t>
      </w:r>
      <w:proofErr w:type="gramStart"/>
      <w:r w:rsidRPr="00F27422">
        <w:rPr>
          <w:rFonts w:ascii="mylotus" w:hAnsi="mylotus"/>
          <w:b/>
          <w:bCs/>
          <w:sz w:val="32"/>
          <w:rtl/>
        </w:rPr>
        <w:t>ملاكات</w:t>
      </w:r>
      <w:proofErr w:type="gramEnd"/>
      <w:r w:rsidRPr="00F27422">
        <w:rPr>
          <w:rFonts w:ascii="mylotus" w:hAnsi="mylotus"/>
          <w:b/>
          <w:bCs/>
          <w:sz w:val="32"/>
          <w:rtl/>
        </w:rPr>
        <w:t xml:space="preserve"> أحكامه مهما أمكن، أي </w:t>
      </w:r>
      <w:proofErr w:type="gramStart"/>
      <w:r w:rsidRPr="00F27422">
        <w:rPr>
          <w:rFonts w:ascii="mylotus" w:hAnsi="mylotus"/>
          <w:b/>
          <w:bCs/>
          <w:sz w:val="32"/>
          <w:rtl/>
        </w:rPr>
        <w:t>لكي لا</w:t>
      </w:r>
      <w:proofErr w:type="gramEnd"/>
      <w:r w:rsidRPr="00F27422">
        <w:rPr>
          <w:rFonts w:ascii="mylotus" w:hAnsi="mylotus"/>
          <w:b/>
          <w:bCs/>
          <w:sz w:val="32"/>
          <w:rtl/>
        </w:rPr>
        <w:t xml:space="preserve"> يضيع في بعض الأحيان كلا الملاكين المتساويين الكامنين في متعلقي التكليفين المتزاحمين</w:t>
      </w:r>
      <w:r w:rsidRPr="00F27422">
        <w:rPr>
          <w:rFonts w:ascii="mylotus" w:hAnsi="mylotus"/>
          <w:b/>
          <w:bCs/>
          <w:sz w:val="32"/>
        </w:rPr>
        <w:t>.</w:t>
      </w:r>
    </w:p>
    <w:p w14:paraId="04E008E4" w14:textId="77777777" w:rsidR="00954F52" w:rsidRPr="00F27422" w:rsidRDefault="00954F52" w:rsidP="00122B70">
      <w:pPr>
        <w:pStyle w:val="a"/>
        <w:bidi/>
        <w:spacing w:line="216" w:lineRule="auto"/>
        <w:jc w:val="left"/>
        <w:rPr>
          <w:rFonts w:ascii="mylotus" w:hAnsi="mylotus"/>
          <w:sz w:val="32"/>
          <w:rtl/>
        </w:rPr>
      </w:pPr>
      <w:r w:rsidRPr="00F27422">
        <w:rPr>
          <w:rFonts w:ascii="mylotus" w:hAnsi="mylotus"/>
          <w:b/>
          <w:bCs/>
          <w:sz w:val="32"/>
          <w:rtl/>
        </w:rPr>
        <w:t>فيلاحظ أن هذا وجه معقول لإطلاق الخطاب المتقدم زماناً لصورة صرف القدرة في الإتيان بالمتأخر زماناً مع تساويهما في الملاك...)</w:t>
      </w:r>
      <w:r w:rsidRPr="00F27422">
        <w:rPr>
          <w:rStyle w:val="FootnoteReference"/>
          <w:rFonts w:ascii="mylotus" w:hAnsi="mylotus"/>
          <w:sz w:val="32"/>
          <w:rtl/>
        </w:rPr>
        <w:footnoteReference w:id="37"/>
      </w:r>
      <w:r w:rsidRPr="00F27422">
        <w:rPr>
          <w:rFonts w:ascii="mylotus" w:hAnsi="mylotus" w:hint="cs"/>
          <w:sz w:val="32"/>
          <w:rtl/>
        </w:rPr>
        <w:t>.</w:t>
      </w:r>
    </w:p>
    <w:p w14:paraId="21C1C748"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sz w:val="32"/>
          <w:rtl/>
        </w:rPr>
        <w:t>أي</w:t>
      </w:r>
      <w:r w:rsidRPr="00F27422">
        <w:rPr>
          <w:rFonts w:ascii="mylotus" w:hAnsi="mylotus" w:hint="cs"/>
          <w:sz w:val="32"/>
          <w:rtl/>
        </w:rPr>
        <w:t>:</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الأمر بالمتأخر مقيد بأنْ لا تصرف قدرته في المتقدم لكن الأمر بالمتقدم مطلق، والمصحح لملاكه الاحتياط، أي: ضمان أنْ لا يفوت كلا المِلاكين؛ إذ قد يفوت كلا الملاكين في بعض الأحيان، وهذا وجه معقول للترجيح بالسبق الزماني</w:t>
      </w:r>
      <w:r w:rsidRPr="00F27422">
        <w:rPr>
          <w:rFonts w:ascii="mylotus" w:hAnsi="mylotus"/>
          <w:sz w:val="32"/>
        </w:rPr>
        <w:t>.</w:t>
      </w:r>
    </w:p>
    <w:p w14:paraId="2206CE54" w14:textId="77777777" w:rsidR="00954F52" w:rsidRPr="00F27422" w:rsidRDefault="00954F52" w:rsidP="00122B70">
      <w:pPr>
        <w:pStyle w:val="a"/>
        <w:bidi/>
        <w:spacing w:line="216" w:lineRule="auto"/>
        <w:jc w:val="left"/>
        <w:rPr>
          <w:rFonts w:ascii="mylotus" w:hAnsi="mylotus"/>
          <w:b/>
          <w:bCs/>
          <w:sz w:val="32"/>
          <w:rtl/>
        </w:rPr>
      </w:pPr>
      <w:r w:rsidRPr="00F27422">
        <w:rPr>
          <w:rFonts w:ascii="mylotus" w:hAnsi="mylotus"/>
          <w:b/>
          <w:bCs/>
          <w:sz w:val="32"/>
          <w:rtl/>
        </w:rPr>
        <w:t>البيان الثاني:</w:t>
      </w:r>
    </w:p>
    <w:p w14:paraId="7A2636B1"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(ويمكن أن يقال: إن البرهان الذي استند إليه أصحاب المسلك الثاني في الالتزام بتقييد وجوب كل من المتزاحمين المتساويين في الملاك بعدم صرف القدرة في الإتيان بالآخر كان يتلخص ــ كما تقدم ــ في أن الأمر يدور بين رفع اليد عن كلا التكليفين وبين رفع اليد عن إطلاقهما بالنسبة لصورة الاشتغال بامتثال الآخر، إذ لا سبيل إلى بقائهما على إطلاقهما، لأنه يستلزم طلب الجمع بين الضدين، ولا البناء على سقوط أحدهما دون الآخر لأنه من الترجيح بلا مرجح، وحيث إن الضرورات تتقدر بقدرها فلا بد من الالتزام بعدم سقوطهما من أصلهما بل سقوط إطلاقهما على النحو المذكور</w:t>
      </w:r>
      <w:r w:rsidRPr="00F27422">
        <w:rPr>
          <w:rFonts w:ascii="mylotus" w:hAnsi="mylotus"/>
          <w:b/>
          <w:bCs/>
          <w:sz w:val="32"/>
        </w:rPr>
        <w:t>.</w:t>
      </w:r>
    </w:p>
    <w:p w14:paraId="270D1DC3"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وهذا البرهان إن تم فإنما يتم في المتزاحمين المتساويين في الملاك إذا كانا عرضيين، وأما إذا كانا طوليين ــ كما هو محل البحث ــ فيمكن أن يقال: إن الإبقاء على إطلاق وجوب الواجب المتقدم زماناً وتقييد إطلاق وجوب المتأخر بعدم صرف القدرة في الإتيان بالمتقدم له ما يبرره، وهو الاحتياط للملاكات المولوية، كما سبق نظيره في تقريب تعيّن الترجيح بالسبق الزماني وفق المسلك الأول</w:t>
      </w:r>
      <w:r w:rsidRPr="00F27422">
        <w:rPr>
          <w:rFonts w:ascii="mylotus" w:hAnsi="mylotus"/>
          <w:b/>
          <w:bCs/>
          <w:sz w:val="32"/>
        </w:rPr>
        <w:t>.</w:t>
      </w:r>
    </w:p>
    <w:p w14:paraId="3D3B8640"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أي أنه لما لم يكن ضمان لعدم طرو ما يمنع المكلف عن الإتيان بالواجب المتأخر زماناً لو ترك الإتيان بالمتقدم في وقته فإن مقتضى التحفظ على الملاكات المولوية الإلزامية ــ بأن لا يضيع في بعض الأحيان كلا الملاكين الكامنين في الواجبين المتزاحمين الطوليين ــ هو الإبقاء على إطلاق خطاب الواجب المتقدم زماناً وتقييد إطلاق المتأخر خاصة، لغرض صرف المكلف عن ترك الأول بزعم التمكن من الإتيان بالثاني مع عدم التمكن منه في واقع الحال في بعض الموارد، وليس هذا من الترجيح من دون مرجح، بخلاف الحال في الواجبين المتزاحمين العرضيين كما لا يخفى</w:t>
      </w:r>
      <w:r w:rsidRPr="00F27422">
        <w:rPr>
          <w:rFonts w:ascii="mylotus" w:hAnsi="mylotus"/>
          <w:b/>
          <w:bCs/>
          <w:sz w:val="32"/>
        </w:rPr>
        <w:t>.</w:t>
      </w:r>
    </w:p>
    <w:p w14:paraId="2F9A18DF"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lastRenderedPageBreak/>
        <w:t>وبالجملة: الإبقاء على إطلاق الخطاب المتعلق بالمتقدم زماناً له ما يصححه، فلا محيص من البناء عليه، لأنه لا يجوز رفع اليد عن الإطلاق إلا مع قيام الدليل على سقوطه، ولا دليل عليه هنا بالنسبة إلى إطلاق وجوب المتقدم زماناً</w:t>
      </w:r>
      <w:r w:rsidRPr="00F27422">
        <w:rPr>
          <w:rFonts w:ascii="mylotus" w:hAnsi="mylotus"/>
          <w:b/>
          <w:bCs/>
          <w:sz w:val="32"/>
        </w:rPr>
        <w:t>.</w:t>
      </w:r>
    </w:p>
    <w:p w14:paraId="45B8F1C3"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b/>
          <w:bCs/>
          <w:sz w:val="32"/>
          <w:rtl/>
        </w:rPr>
        <w:t>فتحصل من جميع ما تقدم: أن ما بنى عليه المحقق النائيني (قدس سره) من الترجيح بالسبق الزماني هو الأوفق بالمسلك الثاني المتقدم، دون ما بنى عليه السيد الأستاذ (قدس سره) من التفصيل في المسألة)</w:t>
      </w:r>
      <w:r w:rsidRPr="00F27422">
        <w:rPr>
          <w:rStyle w:val="FootnoteReference"/>
          <w:rFonts w:ascii="mylotus" w:hAnsi="mylotus"/>
          <w:sz w:val="32"/>
          <w:rtl/>
        </w:rPr>
        <w:footnoteReference w:id="38"/>
      </w:r>
      <w:r w:rsidRPr="00F27422">
        <w:rPr>
          <w:rFonts w:ascii="mylotus" w:hAnsi="mylotus"/>
          <w:b/>
          <w:bCs/>
          <w:sz w:val="32"/>
          <w:rtl/>
        </w:rPr>
        <w:t>.</w:t>
      </w:r>
    </w:p>
    <w:p w14:paraId="631F9C01" w14:textId="77777777" w:rsidR="00954F52" w:rsidRPr="00F27422" w:rsidRDefault="00954F52" w:rsidP="00122B70">
      <w:pPr>
        <w:pStyle w:val="a"/>
        <w:bidi/>
        <w:spacing w:line="216" w:lineRule="auto"/>
        <w:jc w:val="left"/>
        <w:rPr>
          <w:rFonts w:ascii="mylotus" w:hAnsi="mylotus"/>
          <w:b/>
          <w:bCs/>
          <w:sz w:val="32"/>
          <w:rtl/>
        </w:rPr>
      </w:pPr>
      <w:r w:rsidRPr="00F27422">
        <w:rPr>
          <w:rFonts w:ascii="mylotus" w:hAnsi="mylotus"/>
          <w:b/>
          <w:bCs/>
          <w:sz w:val="32"/>
          <w:rtl/>
        </w:rPr>
        <w:t>البيان الثالث:</w:t>
      </w:r>
    </w:p>
    <w:p w14:paraId="4EB0CE38"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(أن العقلاء يعدّون القدرة الواحدة التي يمتلكها المكلف قدرة على الإتيان بالواجب المتقدم زماناً ولا يبررون الاحتفاظ بها لأداء الواجب المتأخر، والظاهر أن الوجه فيه هو الاحتياط للملاكات الإلزامية أيضاً</w:t>
      </w:r>
      <w:r w:rsidRPr="00F27422">
        <w:rPr>
          <w:rFonts w:ascii="mylotus" w:hAnsi="mylotus"/>
          <w:b/>
          <w:bCs/>
          <w:sz w:val="32"/>
        </w:rPr>
        <w:t>.</w:t>
      </w:r>
    </w:p>
    <w:p w14:paraId="6FE41DD9"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مثلاً: لو كان للطبيب المقيم في مستشفى المدينة كمية محدودة من الدواء تكفي لإنقاذ مريض واحد، فأتي إليه بمريض وعلم أن في الطريق إليه مريض آخر يصل بعد نصف ساعة مثلاً، فإن العقلاء لا يعذرون الطبيب لو امتنع عن إعطاء الدواء للمريض الأول إلى أن يموت وإن كان ذلك لأجل إنقاذ المريض الثاني، وعلى العكس من ذلك يعذرونه إذا أعطى الدواء للمريض الأول فأنقذه وجاء المريض الثاني فلم يكن عنده ما ينقذه به فمات بين يديه</w:t>
      </w:r>
      <w:r w:rsidRPr="00F27422">
        <w:rPr>
          <w:rFonts w:ascii="mylotus" w:hAnsi="mylotus"/>
          <w:b/>
          <w:bCs/>
          <w:sz w:val="32"/>
        </w:rPr>
        <w:t>.</w:t>
      </w:r>
    </w:p>
    <w:p w14:paraId="1D59F011" w14:textId="77777777" w:rsidR="00954F52" w:rsidRPr="00F27422" w:rsidRDefault="00954F52" w:rsidP="00122B70">
      <w:pPr>
        <w:pStyle w:val="a"/>
        <w:bidi/>
        <w:spacing w:line="216" w:lineRule="auto"/>
        <w:jc w:val="left"/>
        <w:rPr>
          <w:rFonts w:ascii="mylotus" w:hAnsi="mylotus"/>
          <w:b/>
          <w:bCs/>
          <w:sz w:val="32"/>
          <w:rtl/>
          <w:lang w:bidi="ar-BH"/>
        </w:rPr>
      </w:pPr>
      <w:r w:rsidRPr="00F27422">
        <w:rPr>
          <w:rFonts w:ascii="mylotus" w:hAnsi="mylotus"/>
          <w:b/>
          <w:bCs/>
          <w:sz w:val="32"/>
          <w:rtl/>
        </w:rPr>
        <w:t>وبالجملة: السبق الزماني من مرجحات باب التزاحم في نظر العقلاء في طول الترجيح بالأهمية وباحتمالها، كما لا يخفى على من تتبع سيرتهم، فلا مناص من البناء على ذلك</w:t>
      </w:r>
      <w:r w:rsidRPr="00F27422">
        <w:rPr>
          <w:rFonts w:ascii="mylotus" w:hAnsi="mylotus"/>
          <w:b/>
          <w:bCs/>
          <w:sz w:val="32"/>
        </w:rPr>
        <w:t>.</w:t>
      </w:r>
    </w:p>
    <w:p w14:paraId="1E5B74C0" w14:textId="77777777" w:rsidR="00954F52" w:rsidRPr="00F27422" w:rsidRDefault="00954F52" w:rsidP="00122B70">
      <w:pPr>
        <w:pStyle w:val="a"/>
        <w:bidi/>
        <w:spacing w:line="216" w:lineRule="auto"/>
        <w:jc w:val="left"/>
        <w:rPr>
          <w:rFonts w:ascii="mylotus" w:hAnsi="mylotus"/>
          <w:sz w:val="32"/>
          <w:rtl/>
          <w:lang w:bidi="ar-BH"/>
        </w:rPr>
      </w:pPr>
      <w:r w:rsidRPr="00F27422">
        <w:rPr>
          <w:rFonts w:ascii="mylotus" w:hAnsi="mylotus"/>
          <w:b/>
          <w:bCs/>
          <w:sz w:val="32"/>
          <w:rtl/>
        </w:rPr>
        <w:t>وهكذا يتضح: أن الأصح وفق جميع المسالك الثلاثة المتقدمة هو الالتزام بالترجيح بالسبق الزماني على خلاف ما هو المتداول في كلمات معظم الأعلام المتأخرين)</w:t>
      </w:r>
      <w:r w:rsidRPr="00F27422">
        <w:rPr>
          <w:rStyle w:val="FootnoteReference"/>
          <w:rFonts w:ascii="mylotus" w:hAnsi="mylotus"/>
          <w:sz w:val="32"/>
          <w:rtl/>
        </w:rPr>
        <w:footnoteReference w:id="39"/>
      </w:r>
      <w:r w:rsidRPr="00F27422">
        <w:rPr>
          <w:rFonts w:ascii="mylotus" w:hAnsi="mylotus"/>
          <w:b/>
          <w:bCs/>
          <w:sz w:val="32"/>
          <w:rtl/>
        </w:rPr>
        <w:t>.</w:t>
      </w:r>
      <w:r w:rsidRPr="00F27422">
        <w:rPr>
          <w:rFonts w:ascii="mylotus" w:hAnsi="mylotus"/>
          <w:sz w:val="32"/>
          <w:rtl/>
        </w:rPr>
        <w:t xml:space="preserve"> م</w:t>
      </w:r>
      <w:r w:rsidRPr="00F27422">
        <w:rPr>
          <w:rFonts w:ascii="mylotus" w:hAnsi="mylotus" w:hint="cs"/>
          <w:sz w:val="32"/>
          <w:rtl/>
        </w:rPr>
        <w:t>ِ</w:t>
      </w:r>
      <w:r w:rsidRPr="00F27422">
        <w:rPr>
          <w:rFonts w:ascii="mylotus" w:hAnsi="mylotus"/>
          <w:sz w:val="32"/>
          <w:rtl/>
        </w:rPr>
        <w:t xml:space="preserve">ن عدم الترجيح بالسبق </w:t>
      </w:r>
      <w:r w:rsidRPr="00F27422">
        <w:rPr>
          <w:rFonts w:ascii="mylotus" w:hAnsi="mylotus" w:hint="cs"/>
          <w:sz w:val="32"/>
          <w:rtl/>
        </w:rPr>
        <w:t>ال</w:t>
      </w:r>
      <w:r w:rsidRPr="00F27422">
        <w:rPr>
          <w:rFonts w:ascii="mylotus" w:hAnsi="mylotus"/>
          <w:sz w:val="32"/>
          <w:rtl/>
        </w:rPr>
        <w:t xml:space="preserve">زماني كما اخترناه نحن </w:t>
      </w:r>
      <w:proofErr w:type="gramStart"/>
      <w:r w:rsidRPr="00F27422">
        <w:rPr>
          <w:rFonts w:ascii="mylotus" w:hAnsi="mylotus"/>
          <w:sz w:val="32"/>
          <w:rtl/>
        </w:rPr>
        <w:t>في ما</w:t>
      </w:r>
      <w:proofErr w:type="gramEnd"/>
      <w:r w:rsidRPr="00F27422">
        <w:rPr>
          <w:rFonts w:ascii="mylotus" w:hAnsi="mylotus"/>
          <w:sz w:val="32"/>
          <w:rtl/>
        </w:rPr>
        <w:t xml:space="preserve"> مضى.</w:t>
      </w:r>
    </w:p>
    <w:p w14:paraId="359AA28C" w14:textId="77777777" w:rsidR="00954F52" w:rsidRPr="00F27422" w:rsidRDefault="00954F52" w:rsidP="00122B70">
      <w:pPr>
        <w:pStyle w:val="a"/>
        <w:bidi/>
        <w:spacing w:line="216" w:lineRule="auto"/>
        <w:jc w:val="left"/>
        <w:rPr>
          <w:rFonts w:ascii="mylotus" w:hAnsi="mylotus"/>
          <w:sz w:val="32"/>
          <w:rtl/>
          <w:lang w:bidi="ar-BH"/>
        </w:rPr>
      </w:pPr>
    </w:p>
    <w:p w14:paraId="085AA290" w14:textId="77777777" w:rsidR="00954F52" w:rsidRPr="00F27422" w:rsidRDefault="00954F52"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6E6D52CA" w14:textId="77777777" w:rsidR="00DC62AC" w:rsidRPr="00F27422" w:rsidRDefault="00DC62AC" w:rsidP="00122B70">
      <w:pPr>
        <w:tabs>
          <w:tab w:val="left" w:pos="1070"/>
        </w:tabs>
        <w:bidi/>
        <w:rPr>
          <w:sz w:val="32"/>
          <w:szCs w:val="32"/>
        </w:rPr>
      </w:pPr>
    </w:p>
    <w:p w14:paraId="0EA5847D" w14:textId="47B79F79" w:rsidR="00863DA8" w:rsidRPr="00F27422" w:rsidRDefault="00863DA8" w:rsidP="00122B70">
      <w:pPr>
        <w:pStyle w:val="Heading3"/>
        <w:bidi/>
        <w:rPr>
          <w:sz w:val="32"/>
          <w:szCs w:val="32"/>
        </w:rPr>
      </w:pPr>
      <w:r w:rsidRPr="00F27422">
        <w:rPr>
          <w:sz w:val="32"/>
          <w:szCs w:val="32"/>
        </w:rPr>
        <w:t>069</w:t>
      </w:r>
    </w:p>
    <w:p w14:paraId="073B760B" w14:textId="77777777" w:rsidR="00863DA8" w:rsidRPr="00F27422" w:rsidRDefault="00863DA8"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0F2C4B8E" w14:textId="77777777" w:rsidR="00863DA8" w:rsidRPr="00F27422" w:rsidRDefault="00863DA8"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315B4BF9"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b/>
          <w:bCs/>
          <w:sz w:val="32"/>
          <w:rtl/>
        </w:rPr>
        <w:t>واللعن الدائم على أعدائهم أجمعين إلى قيام يوم الدين</w:t>
      </w:r>
    </w:p>
    <w:p w14:paraId="167E4A94" w14:textId="77777777" w:rsidR="00863DA8" w:rsidRPr="00F27422" w:rsidRDefault="00863DA8" w:rsidP="00122B70">
      <w:pPr>
        <w:pStyle w:val="a"/>
        <w:bidi/>
        <w:spacing w:line="216" w:lineRule="auto"/>
        <w:jc w:val="left"/>
        <w:rPr>
          <w:rFonts w:ascii="mylotus" w:hAnsi="mylotus"/>
          <w:sz w:val="32"/>
          <w:rtl/>
        </w:rPr>
      </w:pPr>
    </w:p>
    <w:p w14:paraId="05FFCF4F" w14:textId="77777777" w:rsidR="00863DA8" w:rsidRPr="00F27422" w:rsidRDefault="00863DA8" w:rsidP="00122B70">
      <w:pPr>
        <w:pStyle w:val="a"/>
        <w:bidi/>
        <w:spacing w:line="216" w:lineRule="auto"/>
        <w:jc w:val="left"/>
        <w:rPr>
          <w:rFonts w:ascii="mylotus" w:hAnsi="mylotus"/>
          <w:b/>
          <w:bCs/>
          <w:sz w:val="32"/>
          <w:rtl/>
        </w:rPr>
      </w:pPr>
      <w:r w:rsidRPr="00F27422">
        <w:rPr>
          <w:rFonts w:ascii="mylotus" w:hAnsi="mylotus"/>
          <w:sz w:val="32"/>
          <w:rtl/>
        </w:rPr>
        <w:t>وما ذكره بعض الأجلة (دام توفيقه) قد سبقه في نفس النكتة السيد الحكيم السبط (قدس سره الشريف) في كتابه المحكم في أصول الفقه</w:t>
      </w:r>
      <w:r w:rsidRPr="00F27422">
        <w:rPr>
          <w:rStyle w:val="FootnoteReference"/>
          <w:rFonts w:ascii="mylotus" w:hAnsi="mylotus"/>
          <w:sz w:val="32"/>
          <w:rtl/>
        </w:rPr>
        <w:footnoteReference w:id="40"/>
      </w:r>
      <w:r w:rsidRPr="00F27422">
        <w:rPr>
          <w:rFonts w:ascii="mylotus" w:hAnsi="mylotus" w:hint="cs"/>
          <w:sz w:val="32"/>
          <w:rtl/>
        </w:rPr>
        <w:t xml:space="preserve"> </w:t>
      </w:r>
      <w:r w:rsidRPr="00F27422">
        <w:rPr>
          <w:rFonts w:ascii="mylotus" w:hAnsi="mylotus"/>
          <w:sz w:val="32"/>
          <w:rtl/>
        </w:rPr>
        <w:t>حيث قال</w:t>
      </w:r>
      <w:r w:rsidRPr="00F27422">
        <w:rPr>
          <w:rFonts w:ascii="mylotus" w:hAnsi="mylotus"/>
          <w:b/>
          <w:bCs/>
          <w:sz w:val="32"/>
          <w:rtl/>
        </w:rPr>
        <w:t>: (وربما يكون المتقدم منشأ للترجيح بنظر المولى تحفظاً على تحصيل ما يكن تحصيله بالفعل، لأن احتمال تحصيل كلا الغرضين مع فعل الأول، أو فوتهما مع تفويته وإن فرض عدم حصوله أو كان غير معتد به عند العقلاء، ولذا لا يجرون عليه في الترجيح في إرادتهم التكوينية - كما سبق -).</w:t>
      </w:r>
      <w:r w:rsidRPr="00F27422">
        <w:rPr>
          <w:rFonts w:ascii="mylotus" w:hAnsi="mylotus" w:hint="cs"/>
          <w:b/>
          <w:bCs/>
          <w:sz w:val="32"/>
          <w:rtl/>
        </w:rPr>
        <w:t xml:space="preserve"> </w:t>
      </w:r>
      <w:r w:rsidRPr="00F27422">
        <w:rPr>
          <w:rFonts w:ascii="mylotus" w:hAnsi="mylotus"/>
          <w:sz w:val="32"/>
          <w:rtl/>
        </w:rPr>
        <w:t>أي: لو كان للإنسان حاجتان متكافئتان م</w:t>
      </w:r>
      <w:r w:rsidRPr="00F27422">
        <w:rPr>
          <w:rFonts w:ascii="mylotus" w:hAnsi="mylotus" w:hint="cs"/>
          <w:sz w:val="32"/>
          <w:rtl/>
        </w:rPr>
        <w:t>ِ</w:t>
      </w:r>
      <w:r w:rsidRPr="00F27422">
        <w:rPr>
          <w:rFonts w:ascii="mylotus" w:hAnsi="mylotus"/>
          <w:sz w:val="32"/>
          <w:rtl/>
        </w:rPr>
        <w:t>ن حيث</w:t>
      </w:r>
      <w:r w:rsidRPr="00F27422">
        <w:rPr>
          <w:rFonts w:ascii="mylotus" w:hAnsi="mylotus" w:hint="cs"/>
          <w:sz w:val="32"/>
          <w:rtl/>
        </w:rPr>
        <w:t>ُ</w:t>
      </w:r>
      <w:r w:rsidRPr="00F27422">
        <w:rPr>
          <w:rFonts w:ascii="mylotus" w:hAnsi="mylotus"/>
          <w:sz w:val="32"/>
          <w:rtl/>
        </w:rPr>
        <w:t xml:space="preserve"> الأهمية لا يستطيع تحقيق كليهما وإحداهما سابقةٌ زماناً </w:t>
      </w:r>
      <w:r w:rsidRPr="00F27422">
        <w:rPr>
          <w:rFonts w:ascii="mylotus" w:hAnsi="mylotus"/>
          <w:sz w:val="32"/>
          <w:rtl/>
        </w:rPr>
        <w:lastRenderedPageBreak/>
        <w:t>على الأُخرى، فم</w:t>
      </w:r>
      <w:r w:rsidRPr="00F27422">
        <w:rPr>
          <w:rFonts w:ascii="mylotus" w:hAnsi="mylotus" w:hint="cs"/>
          <w:sz w:val="32"/>
          <w:rtl/>
        </w:rPr>
        <w:t>ِ</w:t>
      </w:r>
      <w:r w:rsidRPr="00F27422">
        <w:rPr>
          <w:rFonts w:ascii="mylotus" w:hAnsi="mylotus"/>
          <w:sz w:val="32"/>
          <w:rtl/>
        </w:rPr>
        <w:t>ن غير الواضح أنّه يرجح إشباع الحاجة السابقة على الحاجة اللاحقة مع تساويهما في الأهمية</w:t>
      </w:r>
      <w:r w:rsidRPr="00F27422">
        <w:rPr>
          <w:rFonts w:ascii="mylotus" w:hAnsi="mylotus"/>
          <w:sz w:val="32"/>
        </w:rPr>
        <w:t>.</w:t>
      </w:r>
    </w:p>
    <w:p w14:paraId="41C0BE60" w14:textId="77777777" w:rsidR="00863DA8" w:rsidRPr="00F27422" w:rsidRDefault="00863DA8" w:rsidP="00122B70">
      <w:pPr>
        <w:pStyle w:val="a"/>
        <w:bidi/>
        <w:spacing w:line="216" w:lineRule="auto"/>
        <w:jc w:val="left"/>
        <w:rPr>
          <w:rFonts w:ascii="mylotus" w:hAnsi="mylotus"/>
          <w:b/>
          <w:bCs/>
          <w:sz w:val="32"/>
          <w:rtl/>
        </w:rPr>
      </w:pPr>
      <w:r w:rsidRPr="00F27422">
        <w:rPr>
          <w:rFonts w:ascii="mylotus" w:hAnsi="mylotus"/>
          <w:b/>
          <w:bCs/>
          <w:sz w:val="32"/>
          <w:rtl/>
        </w:rPr>
        <w:t>(إلا أن المولى قد يلزم بالترجيح)</w:t>
      </w:r>
      <w:r w:rsidRPr="00F27422">
        <w:rPr>
          <w:rFonts w:ascii="mylotus" w:hAnsi="mylotus"/>
          <w:sz w:val="32"/>
          <w:rtl/>
        </w:rPr>
        <w:t xml:space="preserve"> أي: ترجيح السابق زماناً </w:t>
      </w:r>
      <w:r w:rsidRPr="00F27422">
        <w:rPr>
          <w:rFonts w:ascii="mylotus" w:hAnsi="mylotus"/>
          <w:b/>
          <w:bCs/>
          <w:sz w:val="32"/>
          <w:rtl/>
        </w:rPr>
        <w:t>(تحفظاً من الطوارئ غير المحتسبة لهم، أو التي لا يعتدون باحتمالها، لأن عدم احتمالهم لذلك)</w:t>
      </w:r>
      <w:r w:rsidRPr="00F27422">
        <w:rPr>
          <w:rFonts w:ascii="mylotus" w:hAnsi="mylotus"/>
          <w:sz w:val="32"/>
          <w:rtl/>
        </w:rPr>
        <w:t xml:space="preserve"> كما لو افترض أن</w:t>
      </w:r>
      <w:r w:rsidRPr="00F27422">
        <w:rPr>
          <w:rFonts w:ascii="mylotus" w:hAnsi="mylotus" w:hint="cs"/>
          <w:sz w:val="32"/>
          <w:rtl/>
        </w:rPr>
        <w:t>ّ</w:t>
      </w:r>
      <w:r w:rsidRPr="00F27422">
        <w:rPr>
          <w:rFonts w:ascii="mylotus" w:hAnsi="mylotus"/>
          <w:sz w:val="32"/>
          <w:rtl/>
        </w:rPr>
        <w:t xml:space="preserve"> المكلف قاطع بأنّه لو ترك الأو</w:t>
      </w:r>
      <w:r w:rsidRPr="00F27422">
        <w:rPr>
          <w:rFonts w:ascii="mylotus" w:hAnsi="mylotus" w:hint="cs"/>
          <w:sz w:val="32"/>
          <w:rtl/>
        </w:rPr>
        <w:t>ّ</w:t>
      </w:r>
      <w:r w:rsidRPr="00F27422">
        <w:rPr>
          <w:rFonts w:ascii="mylotus" w:hAnsi="mylotus"/>
          <w:sz w:val="32"/>
          <w:rtl/>
        </w:rPr>
        <w:t xml:space="preserve">ل سيبقى إلى زمان الثاني وهو قادر عليه </w:t>
      </w:r>
      <w:r w:rsidRPr="00F27422">
        <w:rPr>
          <w:rFonts w:ascii="mylotus" w:hAnsi="mylotus"/>
          <w:b/>
          <w:bCs/>
          <w:sz w:val="32"/>
          <w:rtl/>
        </w:rPr>
        <w:t>(أو عدم اعتنائهم باحتماله لا ينافي تحفظ المولى منه، كما قد يتحفظ المولى من خطأ قطع المكلف، ولا يحتفظ منه المكلف نفسه)</w:t>
      </w:r>
      <w:r w:rsidRPr="00F27422">
        <w:rPr>
          <w:rFonts w:ascii="mylotus" w:hAnsi="mylotus"/>
          <w:b/>
          <w:bCs/>
          <w:sz w:val="32"/>
        </w:rPr>
        <w:t>.</w:t>
      </w:r>
    </w:p>
    <w:p w14:paraId="1A5436F4"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sz w:val="32"/>
          <w:rtl/>
        </w:rPr>
        <w:t>فظاهرُ كلام السيد الحكيم السبط (قدس سره الشريف) هو نفس النكتة التي ذكرها بعض الأجلة (دام توفيقه) في شرح المناسك</w:t>
      </w:r>
      <w:r w:rsidRPr="00F27422">
        <w:rPr>
          <w:rStyle w:val="FootnoteReference"/>
          <w:rFonts w:ascii="mylotus" w:hAnsi="mylotus"/>
          <w:sz w:val="32"/>
          <w:rtl/>
        </w:rPr>
        <w:footnoteReference w:id="41"/>
      </w:r>
      <w:r w:rsidRPr="00F27422">
        <w:rPr>
          <w:rFonts w:ascii="mylotus" w:hAnsi="mylotus"/>
          <w:sz w:val="32"/>
          <w:rtl/>
        </w:rPr>
        <w:t xml:space="preserve"> وهو أنّ المبرر لإطلاق خطاب المولى بالسابق زمانا</w:t>
      </w:r>
      <w:r w:rsidRPr="00F27422">
        <w:rPr>
          <w:rFonts w:ascii="mylotus" w:hAnsi="mylotus" w:hint="cs"/>
          <w:sz w:val="32"/>
          <w:rtl/>
        </w:rPr>
        <w:t xml:space="preserve">ً </w:t>
      </w:r>
      <w:r w:rsidRPr="00F27422">
        <w:rPr>
          <w:rFonts w:ascii="mylotus" w:hAnsi="mylotus"/>
          <w:sz w:val="32"/>
          <w:rtl/>
        </w:rPr>
        <w:t>هو التحفظ على ملاكاته اللزومية فيتعين العمل به؛ إذ م</w:t>
      </w:r>
      <w:r w:rsidRPr="00F27422">
        <w:rPr>
          <w:rFonts w:ascii="mylotus" w:hAnsi="mylotus" w:hint="cs"/>
          <w:sz w:val="32"/>
          <w:rtl/>
        </w:rPr>
        <w:t>ِ</w:t>
      </w:r>
      <w:r w:rsidRPr="00F27422">
        <w:rPr>
          <w:rFonts w:ascii="mylotus" w:hAnsi="mylotus"/>
          <w:sz w:val="32"/>
          <w:rtl/>
        </w:rPr>
        <w:t>ن المحتمل أن</w:t>
      </w:r>
      <w:r w:rsidRPr="00F27422">
        <w:rPr>
          <w:rFonts w:ascii="mylotus" w:hAnsi="mylotus" w:hint="cs"/>
          <w:sz w:val="32"/>
          <w:rtl/>
        </w:rPr>
        <w:t>ّ</w:t>
      </w:r>
      <w:r w:rsidRPr="00F27422">
        <w:rPr>
          <w:rFonts w:ascii="mylotus" w:hAnsi="mylotus"/>
          <w:sz w:val="32"/>
          <w:rtl/>
        </w:rPr>
        <w:t xml:space="preserve"> المكلف إذا لَمْ يصرف القدرة في السابق تفوته القدرة على اللاحق أيضاً فيضيع كلا الغرضين </w:t>
      </w:r>
      <w:proofErr w:type="spellStart"/>
      <w:r w:rsidRPr="00F27422">
        <w:rPr>
          <w:rFonts w:ascii="mylotus" w:hAnsi="mylotus"/>
          <w:sz w:val="32"/>
          <w:rtl/>
        </w:rPr>
        <w:t>اللزوميين</w:t>
      </w:r>
      <w:proofErr w:type="spellEnd"/>
      <w:r w:rsidRPr="00F27422">
        <w:rPr>
          <w:rFonts w:ascii="mylotus" w:hAnsi="mylotus"/>
          <w:sz w:val="32"/>
          <w:rtl/>
        </w:rPr>
        <w:t>، فمِن أجل حفظ الغرض ولو أحد الغرضين قد يُلزمُ المولى بالإتيان بالسابق وإنْ كان السابق واللاحق متساويين مِن حيث</w:t>
      </w:r>
      <w:r w:rsidRPr="00F27422">
        <w:rPr>
          <w:rFonts w:ascii="mylotus" w:hAnsi="mylotus" w:hint="cs"/>
          <w:sz w:val="32"/>
          <w:rtl/>
        </w:rPr>
        <w:t>ُ</w:t>
      </w:r>
      <w:r w:rsidRPr="00F27422">
        <w:rPr>
          <w:rFonts w:ascii="mylotus" w:hAnsi="mylotus"/>
          <w:sz w:val="32"/>
          <w:rtl/>
        </w:rPr>
        <w:t xml:space="preserve"> الأهمية، وإنْ كان المكلف قاطعاً ببقاءِ حياته وقدرته إلى زمان الثاني، فإن</w:t>
      </w:r>
      <w:r w:rsidRPr="00F27422">
        <w:rPr>
          <w:rFonts w:ascii="mylotus" w:hAnsi="mylotus" w:hint="cs"/>
          <w:sz w:val="32"/>
          <w:rtl/>
        </w:rPr>
        <w:t>ّ</w:t>
      </w:r>
      <w:r w:rsidRPr="00F27422">
        <w:rPr>
          <w:rFonts w:ascii="mylotus" w:hAnsi="mylotus"/>
          <w:sz w:val="32"/>
          <w:rtl/>
        </w:rPr>
        <w:t xml:space="preserve"> قطع المكلف لا دخل له في سعة الحكم وضيقه</w:t>
      </w:r>
      <w:r w:rsidRPr="00F27422">
        <w:rPr>
          <w:rFonts w:ascii="mylotus" w:hAnsi="mylotus" w:hint="cs"/>
          <w:sz w:val="32"/>
          <w:rtl/>
        </w:rPr>
        <w:t xml:space="preserve">، </w:t>
      </w:r>
      <w:r w:rsidRPr="00F27422">
        <w:rPr>
          <w:rFonts w:ascii="mylotus" w:hAnsi="mylotus"/>
          <w:sz w:val="32"/>
          <w:rtl/>
        </w:rPr>
        <w:t>مما يعني أن</w:t>
      </w:r>
      <w:r w:rsidRPr="00F27422">
        <w:rPr>
          <w:rFonts w:ascii="mylotus" w:hAnsi="mylotus" w:hint="cs"/>
          <w:sz w:val="32"/>
          <w:rtl/>
        </w:rPr>
        <w:t>ّ</w:t>
      </w:r>
      <w:r w:rsidRPr="00F27422">
        <w:rPr>
          <w:rFonts w:ascii="mylotus" w:hAnsi="mylotus"/>
          <w:sz w:val="32"/>
          <w:rtl/>
        </w:rPr>
        <w:t xml:space="preserve"> المولى قد يُطلق خطابه بالمتقدم زماناً لأجل التحفظ على أغراضه بغض النظر عن حالات المكلف نفسه</w:t>
      </w:r>
      <w:r w:rsidRPr="00F27422">
        <w:rPr>
          <w:rFonts w:ascii="mylotus" w:hAnsi="mylotus"/>
          <w:sz w:val="32"/>
        </w:rPr>
        <w:t>.</w:t>
      </w:r>
    </w:p>
    <w:p w14:paraId="2BCCEC75" w14:textId="00A0B655" w:rsidR="00863DA8" w:rsidRPr="00F27422" w:rsidRDefault="00863DA8" w:rsidP="00122B70">
      <w:pPr>
        <w:pStyle w:val="a"/>
        <w:bidi/>
        <w:spacing w:line="216" w:lineRule="auto"/>
        <w:jc w:val="left"/>
        <w:rPr>
          <w:rFonts w:ascii="mylotus" w:hAnsi="mylotus"/>
          <w:sz w:val="32"/>
          <w:rtl/>
        </w:rPr>
      </w:pPr>
      <w:r w:rsidRPr="00F27422">
        <w:rPr>
          <w:rFonts w:ascii="mylotus" w:hAnsi="mylotus"/>
          <w:sz w:val="32"/>
          <w:rtl/>
        </w:rPr>
        <w:t xml:space="preserve">ثمّ قال السيد الحكيم السبط (قدس سره): </w:t>
      </w:r>
      <w:r w:rsidRPr="00F27422">
        <w:rPr>
          <w:rFonts w:ascii="mylotus" w:hAnsi="mylotus"/>
          <w:b/>
          <w:bCs/>
          <w:sz w:val="32"/>
          <w:rtl/>
        </w:rPr>
        <w:t>(نعم، مع إحراز أهمية المتأخر بنحوٍ معتدٍ به فلا إشكال في لزوم ترجيحه</w:t>
      </w:r>
      <w:r w:rsidRPr="00F27422">
        <w:rPr>
          <w:rFonts w:ascii="mylotus" w:hAnsi="mylotus"/>
          <w:b/>
          <w:bCs/>
          <w:sz w:val="32"/>
        </w:rPr>
        <w:t>.</w:t>
      </w:r>
      <w:r w:rsidRPr="00F27422">
        <w:rPr>
          <w:rFonts w:ascii="mylotus" w:hAnsi="mylotus" w:hint="cs"/>
          <w:b/>
          <w:bCs/>
          <w:sz w:val="32"/>
          <w:rtl/>
        </w:rPr>
        <w:t xml:space="preserve"> </w:t>
      </w:r>
      <w:r w:rsidRPr="00F27422">
        <w:rPr>
          <w:rFonts w:ascii="mylotus" w:hAnsi="mylotus"/>
          <w:b/>
          <w:bCs/>
          <w:sz w:val="32"/>
          <w:rtl/>
        </w:rPr>
        <w:t xml:space="preserve">وأما مع احتمال أهميته فالأمر لا يخلو عن إشكال، لتزاحم الاحتياطين المقتضي </w:t>
      </w:r>
      <w:r w:rsidR="00D7135D" w:rsidRPr="00F27422">
        <w:rPr>
          <w:rFonts w:ascii="mylotus" w:hAnsi="mylotus" w:hint="cs"/>
          <w:b/>
          <w:bCs/>
          <w:sz w:val="32"/>
          <w:rtl/>
        </w:rPr>
        <w:t>للتأخي</w:t>
      </w:r>
      <w:r w:rsidR="00D7135D" w:rsidRPr="00F27422">
        <w:rPr>
          <w:rFonts w:ascii="mylotus" w:hAnsi="mylotus" w:hint="eastAsia"/>
          <w:b/>
          <w:bCs/>
          <w:sz w:val="32"/>
          <w:rtl/>
        </w:rPr>
        <w:t>ر</w:t>
      </w:r>
      <w:r w:rsidRPr="00F27422">
        <w:rPr>
          <w:rFonts w:ascii="mylotus" w:hAnsi="mylotus"/>
          <w:b/>
          <w:bCs/>
          <w:sz w:val="32"/>
          <w:rtl/>
        </w:rPr>
        <w:t>).</w:t>
      </w:r>
      <w:r w:rsidRPr="00F27422">
        <w:rPr>
          <w:rFonts w:ascii="mylotus" w:hAnsi="mylotus"/>
          <w:sz w:val="32"/>
          <w:rtl/>
        </w:rPr>
        <w:t xml:space="preserve"> أي: مقتضى الاحتياط أنْ يأتي بالأوّل تحفظا</w:t>
      </w:r>
      <w:r w:rsidRPr="00F27422">
        <w:rPr>
          <w:rFonts w:ascii="mylotus" w:hAnsi="mylotus" w:hint="cs"/>
          <w:sz w:val="32"/>
          <w:rtl/>
        </w:rPr>
        <w:t>ً</w:t>
      </w:r>
      <w:r w:rsidRPr="00F27422">
        <w:rPr>
          <w:rFonts w:ascii="mylotus" w:hAnsi="mylotus"/>
          <w:sz w:val="32"/>
          <w:rtl/>
        </w:rPr>
        <w:t xml:space="preserve"> على أحد الغرضين، كما أن</w:t>
      </w:r>
      <w:r w:rsidRPr="00F27422">
        <w:rPr>
          <w:rFonts w:ascii="mylotus" w:hAnsi="mylotus" w:hint="cs"/>
          <w:sz w:val="32"/>
          <w:rtl/>
        </w:rPr>
        <w:t>ّ</w:t>
      </w:r>
      <w:r w:rsidRPr="00F27422">
        <w:rPr>
          <w:rFonts w:ascii="mylotus" w:hAnsi="mylotus"/>
          <w:sz w:val="32"/>
          <w:rtl/>
        </w:rPr>
        <w:t xml:space="preserve"> مقتضاه أنّ يحفظ قدرته للثاني لكونه محتمل الأهمية وتزاحم الاحتياطين يقتضي التخيير. </w:t>
      </w:r>
      <w:r w:rsidRPr="00F27422">
        <w:rPr>
          <w:rFonts w:ascii="mylotus" w:hAnsi="mylotus"/>
          <w:b/>
          <w:bCs/>
          <w:sz w:val="32"/>
          <w:rtl/>
        </w:rPr>
        <w:t>(ولابد من التأمل التام في المقام، لأن الأمور الوجدانية لما لم تكن خاضعة للبرهان فقد يلتبس الأمر فيها بأدنى شبهة. ومنه سبحانه وتعالى نستمد العون والتوفيق والتأييد والتسديد</w:t>
      </w:r>
      <w:r w:rsidRPr="00F27422">
        <w:rPr>
          <w:rFonts w:ascii="mylotus" w:hAnsi="mylotus" w:hint="cs"/>
          <w:b/>
          <w:bCs/>
          <w:sz w:val="32"/>
          <w:rtl/>
        </w:rPr>
        <w:t>).</w:t>
      </w:r>
    </w:p>
    <w:p w14:paraId="6F9818B9"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b/>
          <w:bCs/>
          <w:sz w:val="32"/>
          <w:rtl/>
        </w:rPr>
        <w:t>ولكن الصحيح بنظري</w:t>
      </w:r>
      <w:r w:rsidRPr="00F27422">
        <w:rPr>
          <w:rFonts w:ascii="mylotus" w:hAnsi="mylotus" w:hint="cs"/>
          <w:sz w:val="32"/>
          <w:rtl/>
        </w:rPr>
        <w:t>:</w:t>
      </w:r>
      <w:r w:rsidRPr="00F27422">
        <w:rPr>
          <w:rFonts w:ascii="mylotus" w:hAnsi="mylotus"/>
          <w:sz w:val="32"/>
          <w:rtl/>
        </w:rPr>
        <w:t xml:space="preserve"> عدمُ تمامية الترجيح بالسبق الزماني مع تكافؤ الواجبين مِن حيثُ المِلاك، وفاقاً لجمعٍ منهم السيد الشهيد الصدر (قدس سره الشريف)؛ وذلك لأحد وجهين</w:t>
      </w:r>
      <w:r w:rsidRPr="00F27422">
        <w:rPr>
          <w:rFonts w:ascii="mylotus" w:hAnsi="mylotus"/>
          <w:sz w:val="32"/>
        </w:rPr>
        <w:t>:</w:t>
      </w:r>
    </w:p>
    <w:p w14:paraId="38F95157"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b/>
          <w:bCs/>
          <w:sz w:val="32"/>
          <w:rtl/>
        </w:rPr>
        <w:t>الوجهُ الأوّل:</w:t>
      </w:r>
      <w:r w:rsidRPr="00F27422">
        <w:rPr>
          <w:rFonts w:ascii="mylotus" w:hAnsi="mylotus"/>
          <w:sz w:val="32"/>
          <w:rtl/>
        </w:rPr>
        <w:t xml:space="preserve"> لو كان التكليف وارداً في فرض تزاحم الواجبين المتفاوتين زماناً المتساويين مِلاكاً، أو كان التكليف على نحو القضية الخارجية وورد في هذا الفرض وهو فرض تزاحم الواجبين المتفاوتين زماناً، لتمّ ما قيل في المحكم وشرح المناسك م</w:t>
      </w:r>
      <w:r w:rsidRPr="00F27422">
        <w:rPr>
          <w:rFonts w:ascii="mylotus" w:hAnsi="mylotus" w:hint="cs"/>
          <w:sz w:val="32"/>
          <w:rtl/>
        </w:rPr>
        <w:t>ِ</w:t>
      </w:r>
      <w:r w:rsidRPr="00F27422">
        <w:rPr>
          <w:rFonts w:ascii="mylotus" w:hAnsi="mylotus"/>
          <w:sz w:val="32"/>
          <w:rtl/>
        </w:rPr>
        <w:t>ن أنّ إطلاق خطاب الأمر بالواجب السابق زماناً مما لهُ مبرر عقلائي، وإنْ كان هذا الإطلاق بداعي صرف المكلف عن المتأخر زماناً، والمبرر العقلائي هو التحفظ على الملاكات اللزومية لاحتمال طرو المانع وفوت كلا الملاكين عند عدم صرف القدرة في الواجب المتقدم</w:t>
      </w:r>
      <w:r w:rsidRPr="00F27422">
        <w:rPr>
          <w:rFonts w:ascii="mylotus" w:hAnsi="mylotus" w:hint="cs"/>
          <w:sz w:val="32"/>
          <w:rtl/>
        </w:rPr>
        <w:t>؛</w:t>
      </w:r>
      <w:r w:rsidRPr="00F27422">
        <w:rPr>
          <w:rFonts w:ascii="mylotus" w:hAnsi="mylotus"/>
          <w:sz w:val="32"/>
          <w:rtl/>
        </w:rPr>
        <w:t xml:space="preserve"> لأنّ الخطاب في الثاني قطعاً مقيد ولكن الأوّل الوارد في هذا الفرض مطلق للمبرر العقلائي، ومقتضى إطلاق الخطاب صرف القدرة فيه وإنْ كان المكلف ضامناً لبقاء القدرة على المتأخر لو لَمْ يصرفها في المتقدم</w:t>
      </w:r>
      <w:r w:rsidRPr="00F27422">
        <w:rPr>
          <w:rFonts w:ascii="mylotus" w:hAnsi="mylotus"/>
          <w:sz w:val="32"/>
        </w:rPr>
        <w:t>.</w:t>
      </w:r>
    </w:p>
    <w:p w14:paraId="4FB2523E"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sz w:val="32"/>
          <w:rtl/>
        </w:rPr>
        <w:t xml:space="preserve">لكن المفروض أنّ أدلّة التكاليف لَمْ ترد في صورة التزاحم؛ وإنّما وردتْ على نحو القضية الحقيقية، والمولى وإنْ كان ناظراً لفرض التزاحم إجمالاً؛ لكونه حالةً ابتلائية، إلّا أنّ ذلك لا يقتضي تقيد خطاباته بكلّ مرجحٍ عقلائي محتمل كي يكون ذلك منشأً لتقيد خطاب المتأخر </w:t>
      </w:r>
      <w:r w:rsidRPr="00F27422">
        <w:rPr>
          <w:rFonts w:ascii="mylotus" w:hAnsi="mylotus"/>
          <w:sz w:val="32"/>
          <w:rtl/>
        </w:rPr>
        <w:lastRenderedPageBreak/>
        <w:t>زمانا دون المتقدم؛ وذلك لأنّ لحاظ المولى تفاصيل مرجحات باب التزاحم مع كثرتها غير عرفي</w:t>
      </w:r>
      <w:r w:rsidRPr="00F27422">
        <w:rPr>
          <w:rFonts w:ascii="mylotus" w:hAnsi="mylotus"/>
          <w:sz w:val="32"/>
        </w:rPr>
        <w:t>.</w:t>
      </w:r>
    </w:p>
    <w:p w14:paraId="0709F3FC"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b/>
          <w:bCs/>
          <w:sz w:val="32"/>
          <w:rtl/>
        </w:rPr>
        <w:t>والنتيجة:</w:t>
      </w:r>
      <w:r w:rsidRPr="00F27422">
        <w:rPr>
          <w:rFonts w:ascii="mylotus" w:hAnsi="mylotus"/>
          <w:sz w:val="32"/>
          <w:rtl/>
        </w:rPr>
        <w:t xml:space="preserve"> أنّ خطاب المتأخر كالمتقدم مطلق م</w:t>
      </w:r>
      <w:r w:rsidRPr="00F27422">
        <w:rPr>
          <w:rFonts w:ascii="mylotus" w:hAnsi="mylotus" w:hint="cs"/>
          <w:sz w:val="32"/>
          <w:rtl/>
        </w:rPr>
        <w:t>ِ</w:t>
      </w:r>
      <w:r w:rsidRPr="00F27422">
        <w:rPr>
          <w:rFonts w:ascii="mylotus" w:hAnsi="mylotus"/>
          <w:sz w:val="32"/>
          <w:rtl/>
        </w:rPr>
        <w:t>ن جهة تقيده بالمرجح العقلائي المحتمل، وإنْ كان متقيداً بنفس القيد في المتقدم وهو عدم صرف القدرة في واجبٍ لا يقل أهمية، فهذا مقيدٌ لُبي لجميع التكاليف، ولذلك لو صرف القدرة في المتقدم كان معذوراً مِن جهة المتأخر؛ لتقيد التكاليف بهذا المقيد الارتكازي</w:t>
      </w:r>
      <w:r w:rsidRPr="00F27422">
        <w:rPr>
          <w:rFonts w:ascii="mylotus" w:hAnsi="mylotus"/>
          <w:sz w:val="32"/>
        </w:rPr>
        <w:t>.</w:t>
      </w:r>
    </w:p>
    <w:p w14:paraId="23E1CDC2"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hint="cs"/>
          <w:b/>
          <w:bCs/>
          <w:sz w:val="32"/>
          <w:rtl/>
        </w:rPr>
        <w:t>إلّا أنّ</w:t>
      </w:r>
      <w:r w:rsidRPr="00F27422">
        <w:rPr>
          <w:rFonts w:ascii="mylotus" w:hAnsi="mylotus"/>
          <w:b/>
          <w:bCs/>
          <w:sz w:val="32"/>
          <w:rtl/>
        </w:rPr>
        <w:t xml:space="preserve">ه: </w:t>
      </w:r>
      <w:r w:rsidRPr="00F27422">
        <w:rPr>
          <w:rFonts w:ascii="mylotus" w:hAnsi="mylotus"/>
          <w:sz w:val="32"/>
          <w:rtl/>
        </w:rPr>
        <w:t>لا يوجد تقييد م</w:t>
      </w:r>
      <w:r w:rsidRPr="00F27422">
        <w:rPr>
          <w:rFonts w:ascii="mylotus" w:hAnsi="mylotus" w:hint="cs"/>
          <w:sz w:val="32"/>
          <w:rtl/>
        </w:rPr>
        <w:t>ِ</w:t>
      </w:r>
      <w:r w:rsidRPr="00F27422">
        <w:rPr>
          <w:rFonts w:ascii="mylotus" w:hAnsi="mylotus"/>
          <w:sz w:val="32"/>
          <w:rtl/>
        </w:rPr>
        <w:t>ن جهة المرجحات العقلائية في باب التزاحم، وإنّما التزاحم لوحظ إجمالاً، ولَمْ يلحظ تفصيلاً حتى تلاحظ هذه المرجحات العقلائية وتتقيد بها التكاليف</w:t>
      </w:r>
      <w:r w:rsidRPr="00F27422">
        <w:rPr>
          <w:rFonts w:ascii="mylotus" w:hAnsi="mylotus"/>
          <w:sz w:val="32"/>
        </w:rPr>
        <w:t>.</w:t>
      </w:r>
    </w:p>
    <w:p w14:paraId="289F62B2"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sz w:val="32"/>
          <w:rtl/>
        </w:rPr>
        <w:t xml:space="preserve">لكن لو ادعي أنّ اِحتفاف أدلّة التكاليف بالمرتكزات العقلائية القائمة على الترجيح في باب التزاحم لكونه حالةً شائعةً منظورة بالمرجحات العقلائية يقتضي تقيد الخطابات بذلك، </w:t>
      </w:r>
      <w:r w:rsidRPr="00F27422">
        <w:rPr>
          <w:rFonts w:ascii="mylotus" w:hAnsi="mylotus"/>
          <w:b/>
          <w:bCs/>
          <w:sz w:val="32"/>
          <w:rtl/>
        </w:rPr>
        <w:t>فغايتُهُ:</w:t>
      </w:r>
      <w:r w:rsidRPr="00F27422">
        <w:rPr>
          <w:rFonts w:ascii="mylotus" w:hAnsi="mylotus"/>
          <w:sz w:val="32"/>
          <w:rtl/>
        </w:rPr>
        <w:t xml:space="preserve"> أنّ دليل التكليف مقيدٌ بقيدٍ عام وهو اشتراطه بعدم صرف القدرة في امتثال تكليف ذي مرجحٍ عقلائي لُزومي أو مساوٍ له في المرجح العقلائي اللزومي</w:t>
      </w:r>
      <w:r w:rsidRPr="00F27422">
        <w:rPr>
          <w:rFonts w:ascii="mylotus" w:hAnsi="mylotus" w:hint="cs"/>
          <w:sz w:val="32"/>
          <w:rtl/>
        </w:rPr>
        <w:t xml:space="preserve">. </w:t>
      </w:r>
      <w:r w:rsidRPr="00F27422">
        <w:rPr>
          <w:rFonts w:ascii="mylotus" w:hAnsi="mylotus"/>
          <w:sz w:val="32"/>
          <w:rtl/>
        </w:rPr>
        <w:t>وهذا م</w:t>
      </w:r>
      <w:r w:rsidRPr="00F27422">
        <w:rPr>
          <w:rFonts w:ascii="mylotus" w:hAnsi="mylotus" w:hint="cs"/>
          <w:sz w:val="32"/>
          <w:rtl/>
        </w:rPr>
        <w:t>ِ</w:t>
      </w:r>
      <w:r w:rsidRPr="00F27422">
        <w:rPr>
          <w:rFonts w:ascii="mylotus" w:hAnsi="mylotus"/>
          <w:sz w:val="32"/>
          <w:rtl/>
        </w:rPr>
        <w:t>ن حيث</w:t>
      </w:r>
      <w:r w:rsidRPr="00F27422">
        <w:rPr>
          <w:rFonts w:ascii="mylotus" w:hAnsi="mylotus" w:hint="cs"/>
          <w:sz w:val="32"/>
          <w:rtl/>
        </w:rPr>
        <w:t>ُ</w:t>
      </w:r>
      <w:r w:rsidRPr="00F27422">
        <w:rPr>
          <w:rFonts w:ascii="mylotus" w:hAnsi="mylotus"/>
          <w:sz w:val="32"/>
          <w:rtl/>
        </w:rPr>
        <w:t xml:space="preserve"> الك</w:t>
      </w:r>
      <w:r w:rsidRPr="00F27422">
        <w:rPr>
          <w:rFonts w:ascii="mylotus" w:hAnsi="mylotus" w:hint="cs"/>
          <w:sz w:val="32"/>
          <w:rtl/>
        </w:rPr>
        <w:t>ُ</w:t>
      </w:r>
      <w:r w:rsidRPr="00F27422">
        <w:rPr>
          <w:rFonts w:ascii="mylotus" w:hAnsi="mylotus"/>
          <w:sz w:val="32"/>
          <w:rtl/>
        </w:rPr>
        <w:t>برى</w:t>
      </w:r>
      <w:r w:rsidRPr="00F27422">
        <w:rPr>
          <w:rFonts w:ascii="mylotus" w:hAnsi="mylotus" w:hint="cs"/>
          <w:sz w:val="32"/>
          <w:rtl/>
        </w:rPr>
        <w:t>.</w:t>
      </w:r>
    </w:p>
    <w:p w14:paraId="059A0AA1"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sz w:val="32"/>
          <w:rtl/>
        </w:rPr>
        <w:t>وأمّا كون السبق الزماني مرجحاً عقلائياً لُزوميا في هذا المورد بحيث لا يعذره العقلاء في حفظ القدرة على المتأخر فهو مشكوكٌ، والتمسك بالدليل في هذا المورد لإثبات تقيد المتأخر وإطلاق خطاب المتقدم زماناً تمسكٌ بالدليل في الشبهة المصداقية</w:t>
      </w:r>
      <w:r w:rsidRPr="00F27422">
        <w:rPr>
          <w:rFonts w:ascii="mylotus" w:hAnsi="mylotus"/>
          <w:sz w:val="32"/>
        </w:rPr>
        <w:t>.</w:t>
      </w:r>
    </w:p>
    <w:p w14:paraId="01966C4D"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b/>
          <w:bCs/>
          <w:sz w:val="32"/>
          <w:rtl/>
        </w:rPr>
        <w:t>فإنْ قلتَ:</w:t>
      </w:r>
      <w:r w:rsidRPr="00F27422">
        <w:rPr>
          <w:rFonts w:ascii="mylotus" w:hAnsi="mylotus"/>
          <w:sz w:val="32"/>
          <w:rtl/>
        </w:rPr>
        <w:t xml:space="preserve"> إنّ المقام نظير ما إذا وقع التزاحم بين واجبين عرضيين يحتمل أهمية أحدهما، حيث أ</w:t>
      </w:r>
      <w:r w:rsidRPr="00F27422">
        <w:rPr>
          <w:rFonts w:ascii="mylotus" w:hAnsi="mylotus" w:hint="cs"/>
          <w:sz w:val="32"/>
          <w:rtl/>
        </w:rPr>
        <w:t>ُ</w:t>
      </w:r>
      <w:r w:rsidRPr="00F27422">
        <w:rPr>
          <w:rFonts w:ascii="mylotus" w:hAnsi="mylotus"/>
          <w:sz w:val="32"/>
          <w:rtl/>
        </w:rPr>
        <w:t>فيد أنّه لو وقع التزاحم بين واجبين عرضيين زماناً لكن أحدهما محتمل الأهمية فالراجح هو محتمل الأهمية، كما إذا وقع التزاحم بين صرف المال في الحج أو صرف المال في أداء الدَين الفوري وكان أداء الدَين الفوري محتمل الأهمية</w:t>
      </w:r>
      <w:r w:rsidRPr="00F27422">
        <w:rPr>
          <w:rFonts w:ascii="mylotus" w:hAnsi="mylotus"/>
          <w:sz w:val="32"/>
        </w:rPr>
        <w:t>.</w:t>
      </w:r>
    </w:p>
    <w:p w14:paraId="02C58717"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sz w:val="32"/>
          <w:rtl/>
        </w:rPr>
        <w:t>فإن</w:t>
      </w:r>
      <w:r w:rsidRPr="00F27422">
        <w:rPr>
          <w:rFonts w:ascii="mylotus" w:hAnsi="mylotus" w:hint="cs"/>
          <w:sz w:val="32"/>
          <w:rtl/>
        </w:rPr>
        <w:t>ّ</w:t>
      </w:r>
      <w:r w:rsidRPr="00F27422">
        <w:rPr>
          <w:rFonts w:ascii="mylotus" w:hAnsi="mylotus"/>
          <w:sz w:val="32"/>
          <w:rtl/>
        </w:rPr>
        <w:t xml:space="preserve"> إطلاق الأوّل - وهو خطاب الحج - ساقطٌ على كلّ حالٍ؛ لأنّه إم</w:t>
      </w:r>
      <w:r w:rsidRPr="00F27422">
        <w:rPr>
          <w:rFonts w:ascii="mylotus" w:hAnsi="mylotus" w:hint="cs"/>
          <w:sz w:val="32"/>
          <w:rtl/>
        </w:rPr>
        <w:t>ّ</w:t>
      </w:r>
      <w:r w:rsidRPr="00F27422">
        <w:rPr>
          <w:rFonts w:ascii="mylotus" w:hAnsi="mylotus"/>
          <w:sz w:val="32"/>
          <w:rtl/>
        </w:rPr>
        <w:t xml:space="preserve">ا مساوٍ أو مرجوح، بينما خطاب الثاني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أداء</w:t>
      </w:r>
      <w:r w:rsidRPr="00F27422">
        <w:rPr>
          <w:rFonts w:ascii="mylotus" w:hAnsi="mylotus"/>
          <w:sz w:val="32"/>
          <w:rtl/>
        </w:rPr>
        <w:t xml:space="preserve"> </w:t>
      </w:r>
      <w:r w:rsidRPr="00F27422">
        <w:rPr>
          <w:rFonts w:ascii="mylotus" w:hAnsi="mylotus" w:hint="cs"/>
          <w:sz w:val="32"/>
          <w:rtl/>
        </w:rPr>
        <w:t>الدّين</w:t>
      </w:r>
      <w:r w:rsidRPr="00F27422">
        <w:rPr>
          <w:rFonts w:ascii="mylotus" w:hAnsi="mylotus"/>
          <w:sz w:val="32"/>
          <w:rtl/>
        </w:rPr>
        <w:t xml:space="preserve"> </w:t>
      </w:r>
      <w:r w:rsidRPr="00F27422">
        <w:rPr>
          <w:rFonts w:ascii="mylotus" w:hAnsi="mylotus" w:hint="cs"/>
          <w:sz w:val="32"/>
          <w:rtl/>
        </w:rPr>
        <w:t>الفوري</w:t>
      </w:r>
      <w:r w:rsidRPr="00F27422">
        <w:rPr>
          <w:rFonts w:ascii="mylotus" w:hAnsi="mylotus"/>
          <w:sz w:val="32"/>
          <w:rtl/>
        </w:rPr>
        <w:t xml:space="preserve"> - </w:t>
      </w:r>
      <w:r w:rsidRPr="00F27422">
        <w:rPr>
          <w:rFonts w:ascii="mylotus" w:hAnsi="mylotus" w:hint="cs"/>
          <w:sz w:val="32"/>
          <w:rtl/>
        </w:rPr>
        <w:t>مشكوكُ</w:t>
      </w:r>
      <w:r w:rsidRPr="00F27422">
        <w:rPr>
          <w:rFonts w:ascii="mylotus" w:hAnsi="mylotus"/>
          <w:sz w:val="32"/>
          <w:rtl/>
        </w:rPr>
        <w:t xml:space="preserve"> </w:t>
      </w:r>
      <w:r w:rsidRPr="00F27422">
        <w:rPr>
          <w:rFonts w:ascii="mylotus" w:hAnsi="mylotus" w:hint="cs"/>
          <w:sz w:val="32"/>
          <w:rtl/>
        </w:rPr>
        <w:t>السقوط؛</w:t>
      </w:r>
      <w:r w:rsidRPr="00F27422">
        <w:rPr>
          <w:rFonts w:ascii="mylotus" w:hAnsi="mylotus"/>
          <w:sz w:val="32"/>
          <w:rtl/>
        </w:rPr>
        <w:t xml:space="preserve"> </w:t>
      </w:r>
      <w:r w:rsidRPr="00F27422">
        <w:rPr>
          <w:rFonts w:ascii="mylotus" w:hAnsi="mylotus" w:hint="cs"/>
          <w:sz w:val="32"/>
          <w:rtl/>
        </w:rPr>
        <w:t>إذ</w:t>
      </w:r>
      <w:r w:rsidRPr="00F27422">
        <w:rPr>
          <w:rFonts w:ascii="mylotus" w:hAnsi="mylotus"/>
          <w:sz w:val="32"/>
          <w:rtl/>
        </w:rPr>
        <w:t xml:space="preserve"> </w:t>
      </w:r>
      <w:r w:rsidRPr="00F27422">
        <w:rPr>
          <w:rFonts w:ascii="mylotus" w:hAnsi="mylotus" w:hint="cs"/>
          <w:sz w:val="32"/>
          <w:rtl/>
        </w:rPr>
        <w:t>لعلّه</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الأهم</w:t>
      </w:r>
      <w:r w:rsidRPr="00F27422">
        <w:rPr>
          <w:rFonts w:ascii="mylotus" w:hAnsi="mylotus"/>
          <w:sz w:val="32"/>
          <w:rtl/>
        </w:rPr>
        <w:t xml:space="preserve"> </w:t>
      </w:r>
      <w:r w:rsidRPr="00F27422">
        <w:rPr>
          <w:rFonts w:ascii="mylotus" w:hAnsi="mylotus" w:hint="cs"/>
          <w:sz w:val="32"/>
          <w:rtl/>
        </w:rPr>
        <w:t>واقعاً،</w:t>
      </w:r>
      <w:r w:rsidRPr="00F27422">
        <w:rPr>
          <w:rFonts w:ascii="mylotus" w:hAnsi="mylotus"/>
          <w:sz w:val="32"/>
          <w:rtl/>
        </w:rPr>
        <w:t xml:space="preserve"> </w:t>
      </w:r>
      <w:r w:rsidRPr="00F27422">
        <w:rPr>
          <w:rFonts w:ascii="mylotus" w:hAnsi="mylotus" w:hint="cs"/>
          <w:sz w:val="32"/>
          <w:rtl/>
        </w:rPr>
        <w:t>فمقتضى</w:t>
      </w:r>
      <w:r w:rsidRPr="00F27422">
        <w:rPr>
          <w:rFonts w:ascii="mylotus" w:hAnsi="mylotus"/>
          <w:sz w:val="32"/>
          <w:rtl/>
        </w:rPr>
        <w:t xml:space="preserve"> </w:t>
      </w:r>
      <w:r w:rsidRPr="00F27422">
        <w:rPr>
          <w:rFonts w:ascii="mylotus" w:hAnsi="mylotus" w:hint="cs"/>
          <w:sz w:val="32"/>
          <w:rtl/>
        </w:rPr>
        <w:t>أصالة</w:t>
      </w:r>
      <w:r w:rsidRPr="00F27422">
        <w:rPr>
          <w:rFonts w:ascii="mylotus" w:hAnsi="mylotus"/>
          <w:sz w:val="32"/>
          <w:rtl/>
        </w:rPr>
        <w:t xml:space="preserve"> </w:t>
      </w:r>
      <w:r w:rsidRPr="00F27422">
        <w:rPr>
          <w:rFonts w:ascii="mylotus" w:hAnsi="mylotus" w:hint="cs"/>
          <w:sz w:val="32"/>
          <w:rtl/>
        </w:rPr>
        <w:t>الإطلاق</w:t>
      </w:r>
      <w:r w:rsidRPr="00F27422">
        <w:rPr>
          <w:rFonts w:ascii="mylotus" w:hAnsi="mylotus"/>
          <w:sz w:val="32"/>
          <w:rtl/>
        </w:rPr>
        <w:t xml:space="preserve"> </w:t>
      </w:r>
      <w:r w:rsidRPr="00F27422">
        <w:rPr>
          <w:rFonts w:ascii="mylotus" w:hAnsi="mylotus" w:hint="cs"/>
          <w:sz w:val="32"/>
          <w:rtl/>
        </w:rPr>
        <w:t>فيه</w:t>
      </w:r>
      <w:r w:rsidRPr="00F27422">
        <w:rPr>
          <w:rFonts w:ascii="mylotus" w:hAnsi="mylotus"/>
          <w:sz w:val="32"/>
          <w:rtl/>
        </w:rPr>
        <w:t xml:space="preserve"> </w:t>
      </w:r>
      <w:r w:rsidRPr="00F27422">
        <w:rPr>
          <w:rFonts w:ascii="mylotus" w:hAnsi="mylotus" w:hint="cs"/>
          <w:sz w:val="32"/>
          <w:rtl/>
        </w:rPr>
        <w:t>العملُ</w:t>
      </w:r>
      <w:r w:rsidRPr="00F27422">
        <w:rPr>
          <w:rFonts w:ascii="mylotus" w:hAnsi="mylotus"/>
          <w:sz w:val="32"/>
          <w:rtl/>
        </w:rPr>
        <w:t xml:space="preserve"> </w:t>
      </w:r>
      <w:r w:rsidRPr="00F27422">
        <w:rPr>
          <w:rFonts w:ascii="mylotus" w:hAnsi="mylotus" w:hint="cs"/>
          <w:sz w:val="32"/>
          <w:rtl/>
        </w:rPr>
        <w:t>بِهِ</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هذا</w:t>
      </w:r>
      <w:r w:rsidRPr="00F27422">
        <w:rPr>
          <w:rFonts w:ascii="mylotus" w:hAnsi="mylotus"/>
          <w:sz w:val="32"/>
          <w:rtl/>
        </w:rPr>
        <w:t xml:space="preserve"> </w:t>
      </w:r>
      <w:r w:rsidRPr="00F27422">
        <w:rPr>
          <w:rFonts w:ascii="mylotus" w:hAnsi="mylotus" w:hint="cs"/>
          <w:sz w:val="32"/>
          <w:rtl/>
        </w:rPr>
        <w:t>المورد،</w:t>
      </w:r>
      <w:r w:rsidRPr="00F27422">
        <w:rPr>
          <w:rFonts w:ascii="mylotus" w:hAnsi="mylotus"/>
          <w:sz w:val="32"/>
          <w:rtl/>
        </w:rPr>
        <w:t xml:space="preserve"> </w:t>
      </w:r>
      <w:r w:rsidRPr="00F27422">
        <w:rPr>
          <w:rFonts w:ascii="mylotus" w:hAnsi="mylotus" w:hint="cs"/>
          <w:b/>
          <w:bCs/>
          <w:sz w:val="32"/>
          <w:rtl/>
        </w:rPr>
        <w:t>فيُقال</w:t>
      </w:r>
      <w:r w:rsidRPr="00F27422">
        <w:rPr>
          <w:rFonts w:ascii="mylotus" w:hAnsi="mylotus"/>
          <w:b/>
          <w:bCs/>
          <w:sz w:val="32"/>
          <w:rtl/>
        </w:rPr>
        <w:t xml:space="preserve"> </w:t>
      </w:r>
      <w:r w:rsidRPr="00F27422">
        <w:rPr>
          <w:rFonts w:ascii="mylotus" w:hAnsi="mylotus" w:hint="cs"/>
          <w:b/>
          <w:bCs/>
          <w:sz w:val="32"/>
          <w:rtl/>
        </w:rPr>
        <w:t>بنفس</w:t>
      </w:r>
      <w:r w:rsidRPr="00F27422">
        <w:rPr>
          <w:rFonts w:ascii="mylotus" w:hAnsi="mylotus"/>
          <w:b/>
          <w:bCs/>
          <w:sz w:val="32"/>
          <w:rtl/>
        </w:rPr>
        <w:t xml:space="preserve"> </w:t>
      </w:r>
      <w:r w:rsidRPr="00F27422">
        <w:rPr>
          <w:rFonts w:ascii="mylotus" w:hAnsi="mylotus" w:hint="cs"/>
          <w:b/>
          <w:bCs/>
          <w:sz w:val="32"/>
          <w:rtl/>
        </w:rPr>
        <w:t>هذه</w:t>
      </w:r>
      <w:r w:rsidRPr="00F27422">
        <w:rPr>
          <w:rFonts w:ascii="mylotus" w:hAnsi="mylotus"/>
          <w:b/>
          <w:bCs/>
          <w:sz w:val="32"/>
          <w:rtl/>
        </w:rPr>
        <w:t xml:space="preserve"> </w:t>
      </w:r>
      <w:r w:rsidRPr="00F27422">
        <w:rPr>
          <w:rFonts w:ascii="mylotus" w:hAnsi="mylotus" w:hint="cs"/>
          <w:b/>
          <w:bCs/>
          <w:sz w:val="32"/>
          <w:rtl/>
        </w:rPr>
        <w:t>النكتة</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المقام</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أنّه</w:t>
      </w:r>
      <w:r w:rsidRPr="00F27422">
        <w:rPr>
          <w:rFonts w:ascii="mylotus" w:hAnsi="mylotus"/>
          <w:sz w:val="32"/>
          <w:rtl/>
        </w:rPr>
        <w:t xml:space="preserve"> </w:t>
      </w:r>
      <w:r w:rsidRPr="00F27422">
        <w:rPr>
          <w:rFonts w:ascii="mylotus" w:hAnsi="mylotus" w:hint="cs"/>
          <w:sz w:val="32"/>
          <w:rtl/>
        </w:rPr>
        <w:t>إذا</w:t>
      </w:r>
      <w:r w:rsidRPr="00F27422">
        <w:rPr>
          <w:rFonts w:ascii="mylotus" w:hAnsi="mylotus"/>
          <w:sz w:val="32"/>
          <w:rtl/>
        </w:rPr>
        <w:t xml:space="preserve"> </w:t>
      </w:r>
      <w:r w:rsidRPr="00F27422">
        <w:rPr>
          <w:rFonts w:ascii="mylotus" w:hAnsi="mylotus" w:hint="cs"/>
          <w:sz w:val="32"/>
          <w:rtl/>
        </w:rPr>
        <w:t>تزاحم</w:t>
      </w:r>
      <w:r w:rsidRPr="00F27422">
        <w:rPr>
          <w:rFonts w:ascii="mylotus" w:hAnsi="mylotus"/>
          <w:sz w:val="32"/>
          <w:rtl/>
        </w:rPr>
        <w:t xml:space="preserve"> </w:t>
      </w:r>
      <w:r w:rsidRPr="00F27422">
        <w:rPr>
          <w:rFonts w:ascii="mylotus" w:hAnsi="mylotus" w:hint="cs"/>
          <w:sz w:val="32"/>
          <w:rtl/>
        </w:rPr>
        <w:t>واجبان</w:t>
      </w:r>
      <w:r w:rsidRPr="00F27422">
        <w:rPr>
          <w:rFonts w:ascii="mylotus" w:hAnsi="mylotus"/>
          <w:sz w:val="32"/>
          <w:rtl/>
        </w:rPr>
        <w:t xml:space="preserve"> </w:t>
      </w:r>
      <w:r w:rsidRPr="00F27422">
        <w:rPr>
          <w:rFonts w:ascii="mylotus" w:hAnsi="mylotus" w:hint="cs"/>
          <w:sz w:val="32"/>
          <w:rtl/>
        </w:rPr>
        <w:t>متساويان</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حيثُ</w:t>
      </w:r>
      <w:r w:rsidRPr="00F27422">
        <w:rPr>
          <w:rFonts w:ascii="mylotus" w:hAnsi="mylotus"/>
          <w:sz w:val="32"/>
          <w:rtl/>
        </w:rPr>
        <w:t xml:space="preserve"> </w:t>
      </w:r>
      <w:r w:rsidRPr="00F27422">
        <w:rPr>
          <w:rFonts w:ascii="mylotus" w:hAnsi="mylotus" w:hint="cs"/>
          <w:sz w:val="32"/>
          <w:rtl/>
        </w:rPr>
        <w:t>المِلاك</w:t>
      </w:r>
      <w:r w:rsidRPr="00F27422">
        <w:rPr>
          <w:rFonts w:ascii="mylotus" w:hAnsi="mylotus"/>
          <w:sz w:val="32"/>
          <w:rtl/>
        </w:rPr>
        <w:t xml:space="preserve"> </w:t>
      </w:r>
      <w:r w:rsidRPr="00F27422">
        <w:rPr>
          <w:rFonts w:ascii="mylotus" w:hAnsi="mylotus" w:hint="cs"/>
          <w:sz w:val="32"/>
          <w:rtl/>
        </w:rPr>
        <w:t>لكن</w:t>
      </w:r>
      <w:r w:rsidRPr="00F27422">
        <w:rPr>
          <w:rFonts w:ascii="mylotus" w:hAnsi="mylotus"/>
          <w:sz w:val="32"/>
          <w:rtl/>
        </w:rPr>
        <w:t xml:space="preserve"> </w:t>
      </w:r>
      <w:r w:rsidRPr="00F27422">
        <w:rPr>
          <w:rFonts w:ascii="mylotus" w:hAnsi="mylotus" w:hint="cs"/>
          <w:sz w:val="32"/>
          <w:rtl/>
        </w:rPr>
        <w:t>أحدهما</w:t>
      </w:r>
      <w:r w:rsidRPr="00F27422">
        <w:rPr>
          <w:rFonts w:ascii="mylotus" w:hAnsi="mylotus"/>
          <w:sz w:val="32"/>
          <w:rtl/>
        </w:rPr>
        <w:t xml:space="preserve"> </w:t>
      </w:r>
      <w:r w:rsidRPr="00F27422">
        <w:rPr>
          <w:rFonts w:ascii="mylotus" w:hAnsi="mylotus" w:hint="cs"/>
          <w:sz w:val="32"/>
          <w:rtl/>
        </w:rPr>
        <w:t>سابقٌ</w:t>
      </w:r>
      <w:r w:rsidRPr="00F27422">
        <w:rPr>
          <w:rFonts w:ascii="mylotus" w:hAnsi="mylotus"/>
          <w:sz w:val="32"/>
          <w:rtl/>
        </w:rPr>
        <w:t xml:space="preserve"> </w:t>
      </w:r>
      <w:r w:rsidRPr="00F27422">
        <w:rPr>
          <w:rFonts w:ascii="mylotus" w:hAnsi="mylotus" w:hint="cs"/>
          <w:sz w:val="32"/>
          <w:rtl/>
        </w:rPr>
        <w:t>زماناً،</w:t>
      </w:r>
      <w:r w:rsidRPr="00F27422">
        <w:rPr>
          <w:rFonts w:ascii="mylotus" w:hAnsi="mylotus"/>
          <w:sz w:val="32"/>
          <w:rtl/>
        </w:rPr>
        <w:t xml:space="preserve"> </w:t>
      </w:r>
      <w:r w:rsidRPr="00F27422">
        <w:rPr>
          <w:rFonts w:ascii="mylotus" w:hAnsi="mylotus" w:hint="cs"/>
          <w:sz w:val="32"/>
          <w:rtl/>
        </w:rPr>
        <w:t>فمِن</w:t>
      </w:r>
      <w:r w:rsidRPr="00F27422">
        <w:rPr>
          <w:rFonts w:ascii="mylotus" w:hAnsi="mylotus"/>
          <w:sz w:val="32"/>
          <w:rtl/>
        </w:rPr>
        <w:t xml:space="preserve"> </w:t>
      </w:r>
      <w:r w:rsidRPr="00F27422">
        <w:rPr>
          <w:rFonts w:ascii="mylotus" w:hAnsi="mylotus" w:hint="cs"/>
          <w:sz w:val="32"/>
          <w:rtl/>
        </w:rPr>
        <w:t>المحتمل</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السبق</w:t>
      </w:r>
      <w:r w:rsidRPr="00F27422">
        <w:rPr>
          <w:rFonts w:ascii="mylotus" w:hAnsi="mylotus"/>
          <w:sz w:val="32"/>
          <w:rtl/>
        </w:rPr>
        <w:t xml:space="preserve"> </w:t>
      </w:r>
      <w:r w:rsidRPr="00F27422">
        <w:rPr>
          <w:rFonts w:ascii="mylotus" w:hAnsi="mylotus" w:hint="cs"/>
          <w:sz w:val="32"/>
          <w:rtl/>
        </w:rPr>
        <w:t>الزماني</w:t>
      </w:r>
      <w:r w:rsidRPr="00F27422">
        <w:rPr>
          <w:rFonts w:ascii="mylotus" w:hAnsi="mylotus"/>
          <w:sz w:val="32"/>
          <w:rtl/>
        </w:rPr>
        <w:t xml:space="preserve"> </w:t>
      </w:r>
      <w:r w:rsidRPr="00F27422">
        <w:rPr>
          <w:rFonts w:ascii="mylotus" w:hAnsi="mylotus" w:hint="cs"/>
          <w:sz w:val="32"/>
          <w:rtl/>
        </w:rPr>
        <w:t>مرجحٌ</w:t>
      </w:r>
      <w:r w:rsidRPr="00F27422">
        <w:rPr>
          <w:rFonts w:ascii="mylotus" w:hAnsi="mylotus"/>
          <w:sz w:val="32"/>
          <w:rtl/>
        </w:rPr>
        <w:t xml:space="preserve"> </w:t>
      </w:r>
      <w:r w:rsidRPr="00F27422">
        <w:rPr>
          <w:rFonts w:ascii="mylotus" w:hAnsi="mylotus" w:hint="cs"/>
          <w:sz w:val="32"/>
          <w:rtl/>
        </w:rPr>
        <w:t>عقلائي</w:t>
      </w:r>
      <w:r w:rsidRPr="00F27422">
        <w:rPr>
          <w:rFonts w:ascii="mylotus" w:hAnsi="mylotus"/>
          <w:sz w:val="32"/>
          <w:rtl/>
        </w:rPr>
        <w:t xml:space="preserve"> </w:t>
      </w:r>
      <w:r w:rsidRPr="00F27422">
        <w:rPr>
          <w:rFonts w:ascii="mylotus" w:hAnsi="mylotus" w:hint="cs"/>
          <w:sz w:val="32"/>
          <w:rtl/>
        </w:rPr>
        <w:t>لزومي،</w:t>
      </w:r>
      <w:r w:rsidRPr="00F27422">
        <w:rPr>
          <w:rFonts w:ascii="mylotus" w:hAnsi="mylotus"/>
          <w:sz w:val="32"/>
          <w:rtl/>
        </w:rPr>
        <w:t xml:space="preserve"> </w:t>
      </w:r>
      <w:r w:rsidRPr="00F27422">
        <w:rPr>
          <w:rFonts w:ascii="mylotus" w:hAnsi="mylotus" w:hint="cs"/>
          <w:b/>
          <w:bCs/>
          <w:sz w:val="32"/>
          <w:rtl/>
        </w:rPr>
        <w:t>فمقتضى</w:t>
      </w:r>
      <w:r w:rsidRPr="00F27422">
        <w:rPr>
          <w:rFonts w:ascii="mylotus" w:hAnsi="mylotus"/>
          <w:b/>
          <w:bCs/>
          <w:sz w:val="32"/>
          <w:rtl/>
        </w:rPr>
        <w:t xml:space="preserve"> </w:t>
      </w:r>
      <w:r w:rsidRPr="00F27422">
        <w:rPr>
          <w:rFonts w:ascii="mylotus" w:hAnsi="mylotus" w:hint="cs"/>
          <w:b/>
          <w:bCs/>
          <w:sz w:val="32"/>
          <w:rtl/>
        </w:rPr>
        <w:t>ذلك</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يُقال</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إنّ</w:t>
      </w:r>
      <w:r w:rsidRPr="00F27422">
        <w:rPr>
          <w:rFonts w:ascii="mylotus" w:hAnsi="mylotus"/>
          <w:sz w:val="32"/>
          <w:rtl/>
        </w:rPr>
        <w:t xml:space="preserve"> </w:t>
      </w:r>
      <w:r w:rsidRPr="00F27422">
        <w:rPr>
          <w:rFonts w:ascii="mylotus" w:hAnsi="mylotus" w:hint="cs"/>
          <w:sz w:val="32"/>
          <w:rtl/>
        </w:rPr>
        <w:t>إطلاق</w:t>
      </w:r>
      <w:r w:rsidRPr="00F27422">
        <w:rPr>
          <w:rFonts w:ascii="mylotus" w:hAnsi="mylotus"/>
          <w:sz w:val="32"/>
          <w:rtl/>
        </w:rPr>
        <w:t xml:space="preserve"> </w:t>
      </w:r>
      <w:r w:rsidRPr="00F27422">
        <w:rPr>
          <w:rFonts w:ascii="mylotus" w:hAnsi="mylotus" w:hint="cs"/>
          <w:sz w:val="32"/>
          <w:rtl/>
        </w:rPr>
        <w:t>خطاب</w:t>
      </w:r>
      <w:r w:rsidRPr="00F27422">
        <w:rPr>
          <w:rFonts w:ascii="mylotus" w:hAnsi="mylotus"/>
          <w:sz w:val="32"/>
          <w:rtl/>
        </w:rPr>
        <w:t xml:space="preserve"> </w:t>
      </w:r>
      <w:r w:rsidRPr="00F27422">
        <w:rPr>
          <w:rFonts w:ascii="mylotus" w:hAnsi="mylotus" w:hint="cs"/>
          <w:sz w:val="32"/>
          <w:rtl/>
        </w:rPr>
        <w:t>المتأخر</w:t>
      </w:r>
      <w:r w:rsidRPr="00F27422">
        <w:rPr>
          <w:rFonts w:ascii="mylotus" w:hAnsi="mylotus"/>
          <w:sz w:val="32"/>
          <w:rtl/>
        </w:rPr>
        <w:t xml:space="preserve"> </w:t>
      </w:r>
      <w:r w:rsidRPr="00F27422">
        <w:rPr>
          <w:rFonts w:ascii="mylotus" w:hAnsi="mylotus" w:hint="cs"/>
          <w:sz w:val="32"/>
          <w:rtl/>
        </w:rPr>
        <w:t>ساقطٌ</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كلّ</w:t>
      </w:r>
      <w:r w:rsidRPr="00F27422">
        <w:rPr>
          <w:rFonts w:ascii="mylotus" w:hAnsi="mylotus"/>
          <w:sz w:val="32"/>
          <w:rtl/>
        </w:rPr>
        <w:t xml:space="preserve"> </w:t>
      </w:r>
      <w:r w:rsidRPr="00F27422">
        <w:rPr>
          <w:rFonts w:ascii="mylotus" w:hAnsi="mylotus" w:hint="cs"/>
          <w:sz w:val="32"/>
          <w:rtl/>
        </w:rPr>
        <w:t>حالٍ؛</w:t>
      </w:r>
      <w:r w:rsidRPr="00F27422">
        <w:rPr>
          <w:rFonts w:ascii="mylotus" w:hAnsi="mylotus"/>
          <w:sz w:val="32"/>
          <w:rtl/>
        </w:rPr>
        <w:t xml:space="preserve"> </w:t>
      </w:r>
      <w:r w:rsidRPr="00F27422">
        <w:rPr>
          <w:rFonts w:ascii="mylotus" w:hAnsi="mylotus" w:hint="cs"/>
          <w:sz w:val="32"/>
          <w:rtl/>
        </w:rPr>
        <w:t>إمّا</w:t>
      </w:r>
      <w:r w:rsidRPr="00F27422">
        <w:rPr>
          <w:rFonts w:ascii="mylotus" w:hAnsi="mylotus"/>
          <w:sz w:val="32"/>
          <w:rtl/>
        </w:rPr>
        <w:t xml:space="preserve"> </w:t>
      </w:r>
      <w:r w:rsidRPr="00F27422">
        <w:rPr>
          <w:rFonts w:ascii="mylotus" w:hAnsi="mylotus" w:hint="cs"/>
          <w:sz w:val="32"/>
          <w:rtl/>
        </w:rPr>
        <w:t>لأنّه</w:t>
      </w:r>
      <w:r w:rsidRPr="00F27422">
        <w:rPr>
          <w:rFonts w:ascii="mylotus" w:hAnsi="mylotus"/>
          <w:sz w:val="32"/>
          <w:rtl/>
        </w:rPr>
        <w:t xml:space="preserve"> </w:t>
      </w:r>
      <w:r w:rsidRPr="00F27422">
        <w:rPr>
          <w:rFonts w:ascii="mylotus" w:hAnsi="mylotus" w:hint="cs"/>
          <w:sz w:val="32"/>
          <w:rtl/>
        </w:rPr>
        <w:t>مرجوح</w:t>
      </w:r>
      <w:r w:rsidRPr="00F27422">
        <w:rPr>
          <w:rFonts w:ascii="mylotus" w:hAnsi="mylotus"/>
          <w:sz w:val="32"/>
          <w:rtl/>
        </w:rPr>
        <w:t xml:space="preserve"> </w:t>
      </w:r>
      <w:r w:rsidRPr="00F27422">
        <w:rPr>
          <w:rFonts w:ascii="mylotus" w:hAnsi="mylotus" w:hint="cs"/>
          <w:sz w:val="32"/>
          <w:rtl/>
        </w:rPr>
        <w:t>أو</w:t>
      </w:r>
      <w:r w:rsidRPr="00F27422">
        <w:rPr>
          <w:rFonts w:ascii="mylotus" w:hAnsi="mylotus"/>
          <w:sz w:val="32"/>
          <w:rtl/>
        </w:rPr>
        <w:t xml:space="preserve"> </w:t>
      </w:r>
      <w:r w:rsidRPr="00F27422">
        <w:rPr>
          <w:rFonts w:ascii="mylotus" w:hAnsi="mylotus" w:hint="cs"/>
          <w:sz w:val="32"/>
          <w:rtl/>
        </w:rPr>
        <w:t>لأنّه</w:t>
      </w:r>
      <w:r w:rsidRPr="00F27422">
        <w:rPr>
          <w:rFonts w:ascii="mylotus" w:hAnsi="mylotus"/>
          <w:sz w:val="32"/>
          <w:rtl/>
        </w:rPr>
        <w:t xml:space="preserve"> </w:t>
      </w:r>
      <w:r w:rsidRPr="00F27422">
        <w:rPr>
          <w:rFonts w:ascii="mylotus" w:hAnsi="mylotus" w:hint="cs"/>
          <w:sz w:val="32"/>
          <w:rtl/>
        </w:rPr>
        <w:t>مساوٍ،</w:t>
      </w:r>
      <w:r w:rsidRPr="00F27422">
        <w:rPr>
          <w:rFonts w:ascii="mylotus" w:hAnsi="mylotus"/>
          <w:sz w:val="32"/>
          <w:rtl/>
        </w:rPr>
        <w:t xml:space="preserve"> </w:t>
      </w:r>
      <w:r w:rsidRPr="00F27422">
        <w:rPr>
          <w:rFonts w:ascii="mylotus" w:hAnsi="mylotus" w:hint="cs"/>
          <w:sz w:val="32"/>
          <w:rtl/>
        </w:rPr>
        <w:t>بينما</w:t>
      </w:r>
      <w:r w:rsidRPr="00F27422">
        <w:rPr>
          <w:rFonts w:ascii="mylotus" w:hAnsi="mylotus"/>
          <w:sz w:val="32"/>
          <w:rtl/>
        </w:rPr>
        <w:t xml:space="preserve"> </w:t>
      </w:r>
      <w:r w:rsidRPr="00F27422">
        <w:rPr>
          <w:rFonts w:ascii="mylotus" w:hAnsi="mylotus" w:hint="cs"/>
          <w:sz w:val="32"/>
          <w:rtl/>
        </w:rPr>
        <w:t>الأوّل</w:t>
      </w:r>
      <w:r w:rsidRPr="00F27422">
        <w:rPr>
          <w:rFonts w:ascii="mylotus" w:hAnsi="mylotus"/>
          <w:sz w:val="32"/>
          <w:rtl/>
        </w:rPr>
        <w:t xml:space="preserve"> </w:t>
      </w:r>
      <w:r w:rsidRPr="00F27422">
        <w:rPr>
          <w:rFonts w:ascii="mylotus" w:hAnsi="mylotus" w:hint="cs"/>
          <w:sz w:val="32"/>
          <w:rtl/>
        </w:rPr>
        <w:t>محتمل</w:t>
      </w:r>
      <w:r w:rsidRPr="00F27422">
        <w:rPr>
          <w:rFonts w:ascii="mylotus" w:hAnsi="mylotus"/>
          <w:sz w:val="32"/>
          <w:rtl/>
        </w:rPr>
        <w:t xml:space="preserve"> </w:t>
      </w:r>
      <w:r w:rsidRPr="00F27422">
        <w:rPr>
          <w:rFonts w:ascii="mylotus" w:hAnsi="mylotus" w:hint="cs"/>
          <w:sz w:val="32"/>
          <w:rtl/>
        </w:rPr>
        <w:t>التقديم</w:t>
      </w:r>
      <w:r w:rsidRPr="00F27422">
        <w:rPr>
          <w:rFonts w:ascii="mylotus" w:hAnsi="mylotus"/>
          <w:sz w:val="32"/>
          <w:rtl/>
        </w:rPr>
        <w:t xml:space="preserve"> </w:t>
      </w:r>
      <w:r w:rsidRPr="00F27422">
        <w:rPr>
          <w:rFonts w:ascii="mylotus" w:hAnsi="mylotus" w:hint="cs"/>
          <w:sz w:val="32"/>
          <w:rtl/>
        </w:rPr>
        <w:t>ولو</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باب السبق الزماني فيتمسك بإطلاق خطابه لإثبات تعين العمل بِهِ في هذا المورد</w:t>
      </w:r>
      <w:r w:rsidRPr="00F27422">
        <w:rPr>
          <w:rFonts w:ascii="mylotus" w:hAnsi="mylotus"/>
          <w:sz w:val="32"/>
        </w:rPr>
        <w:t>.</w:t>
      </w:r>
    </w:p>
    <w:p w14:paraId="6EDC2AE9"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b/>
          <w:bCs/>
          <w:sz w:val="32"/>
          <w:rtl/>
        </w:rPr>
        <w:t>قلتُ:</w:t>
      </w:r>
      <w:r w:rsidRPr="00F27422">
        <w:rPr>
          <w:rFonts w:ascii="mylotus" w:hAnsi="mylotus"/>
          <w:sz w:val="32"/>
          <w:rtl/>
        </w:rPr>
        <w:t xml:space="preserve"> إنّ الترجيح العقلائي يبتني على قوة الاحتمال وأهمية المحتمل، فإن</w:t>
      </w:r>
      <w:r w:rsidRPr="00F27422">
        <w:rPr>
          <w:rFonts w:ascii="mylotus" w:hAnsi="mylotus" w:hint="cs"/>
          <w:sz w:val="32"/>
          <w:rtl/>
        </w:rPr>
        <w:t>ّ</w:t>
      </w:r>
      <w:r w:rsidRPr="00F27422">
        <w:rPr>
          <w:rFonts w:ascii="mylotus" w:hAnsi="mylotus"/>
          <w:sz w:val="32"/>
          <w:rtl/>
        </w:rPr>
        <w:t xml:space="preserve"> المرتكزات العقلائية لا</w:t>
      </w:r>
      <w:r w:rsidRPr="00F27422">
        <w:rPr>
          <w:rFonts w:ascii="mylotus" w:hAnsi="mylotus" w:hint="cs"/>
          <w:sz w:val="32"/>
          <w:rtl/>
        </w:rPr>
        <w:t xml:space="preserve"> </w:t>
      </w:r>
      <w:r w:rsidRPr="00F27422">
        <w:rPr>
          <w:rFonts w:ascii="mylotus" w:hAnsi="mylotus"/>
          <w:sz w:val="32"/>
          <w:rtl/>
        </w:rPr>
        <w:t>تتبنى الترجيح بأيّ احتمال وأيّ محتمل، فإذا كان احتمال كون السبق الزماني مرجحاً عقلائياً لُزوميا</w:t>
      </w:r>
      <w:r w:rsidRPr="00F27422">
        <w:rPr>
          <w:rFonts w:ascii="mylotus" w:hAnsi="mylotus" w:hint="cs"/>
          <w:sz w:val="32"/>
          <w:rtl/>
        </w:rPr>
        <w:t>ً</w:t>
      </w:r>
      <w:r w:rsidRPr="00F27422">
        <w:rPr>
          <w:rFonts w:ascii="mylotus" w:hAnsi="mylotus"/>
          <w:sz w:val="32"/>
          <w:rtl/>
        </w:rPr>
        <w:t xml:space="preserve"> احتمالاً معتداً به، والمحتمل هو عدم المعذورية للمكلف لو تحفظ على القدرة إلى الواجب المتأخر، لتم الكلام</w:t>
      </w:r>
      <w:r w:rsidRPr="00F27422">
        <w:rPr>
          <w:rFonts w:ascii="mylotus" w:hAnsi="mylotus"/>
          <w:sz w:val="32"/>
        </w:rPr>
        <w:t>.</w:t>
      </w:r>
    </w:p>
    <w:p w14:paraId="0F6722C5"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sz w:val="32"/>
          <w:rtl/>
        </w:rPr>
        <w:t>وأمّا مجرّد احتمال أنّ السابق زماناً ذو مزيةٍ بالسبق الزماني لا بمزيةٍ أُخرى، فهذا لا يكفي لدى المرتكزات العقلائية في تقديمه تعيناً على المتأخر</w:t>
      </w:r>
      <w:r w:rsidRPr="00F27422">
        <w:rPr>
          <w:rFonts w:ascii="mylotus" w:hAnsi="mylotus"/>
          <w:sz w:val="32"/>
        </w:rPr>
        <w:t>.</w:t>
      </w:r>
    </w:p>
    <w:p w14:paraId="02AD9CF0"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b/>
          <w:bCs/>
          <w:sz w:val="32"/>
          <w:rtl/>
        </w:rPr>
        <w:t>الوجهُ الثاني:</w:t>
      </w:r>
      <w:r w:rsidRPr="00F27422">
        <w:rPr>
          <w:rFonts w:ascii="mylotus" w:hAnsi="mylotus"/>
          <w:sz w:val="32"/>
          <w:rtl/>
        </w:rPr>
        <w:t xml:space="preserve"> قد أ</w:t>
      </w:r>
      <w:r w:rsidRPr="00F27422">
        <w:rPr>
          <w:rFonts w:ascii="mylotus" w:hAnsi="mylotus" w:hint="cs"/>
          <w:sz w:val="32"/>
          <w:rtl/>
        </w:rPr>
        <w:t>ُ</w:t>
      </w:r>
      <w:r w:rsidRPr="00F27422">
        <w:rPr>
          <w:rFonts w:ascii="mylotus" w:hAnsi="mylotus"/>
          <w:sz w:val="32"/>
          <w:rtl/>
        </w:rPr>
        <w:t>فيد أن</w:t>
      </w:r>
      <w:r w:rsidRPr="00F27422">
        <w:rPr>
          <w:rFonts w:ascii="mylotus" w:hAnsi="mylotus" w:hint="cs"/>
          <w:sz w:val="32"/>
          <w:rtl/>
        </w:rPr>
        <w:t>ّ</w:t>
      </w:r>
      <w:r w:rsidRPr="00F27422">
        <w:rPr>
          <w:rFonts w:ascii="mylotus" w:hAnsi="mylotus"/>
          <w:sz w:val="32"/>
          <w:rtl/>
        </w:rPr>
        <w:t xml:space="preserve"> السبق مرجح عقلائي في نفسه، والشاهدُ على ذلك أنّ الطبيب في غرفة الطوارئ لو جيء لهُ بمريضٍ وهو لا يملك إلّا </w:t>
      </w:r>
      <w:proofErr w:type="spellStart"/>
      <w:r w:rsidRPr="00F27422">
        <w:rPr>
          <w:rFonts w:ascii="mylotus" w:hAnsi="mylotus"/>
          <w:sz w:val="32"/>
          <w:rtl/>
        </w:rPr>
        <w:t>دواءاً</w:t>
      </w:r>
      <w:proofErr w:type="spellEnd"/>
      <w:r w:rsidRPr="00F27422">
        <w:rPr>
          <w:rFonts w:ascii="mylotus" w:hAnsi="mylotus"/>
          <w:sz w:val="32"/>
          <w:rtl/>
        </w:rPr>
        <w:t xml:space="preserve"> واحدا</w:t>
      </w:r>
      <w:r w:rsidRPr="00F27422">
        <w:rPr>
          <w:rFonts w:ascii="mylotus" w:hAnsi="mylotus" w:hint="cs"/>
          <w:sz w:val="32"/>
          <w:rtl/>
        </w:rPr>
        <w:t>ً</w:t>
      </w:r>
      <w:r w:rsidRPr="00F27422">
        <w:rPr>
          <w:rFonts w:ascii="mylotus" w:hAnsi="mylotus"/>
          <w:sz w:val="32"/>
          <w:rtl/>
        </w:rPr>
        <w:t xml:space="preserve"> م</w:t>
      </w:r>
      <w:r w:rsidRPr="00F27422">
        <w:rPr>
          <w:rFonts w:ascii="mylotus" w:hAnsi="mylotus" w:hint="cs"/>
          <w:sz w:val="32"/>
          <w:rtl/>
        </w:rPr>
        <w:t>َ</w:t>
      </w:r>
      <w:r w:rsidRPr="00F27422">
        <w:rPr>
          <w:rFonts w:ascii="mylotus" w:hAnsi="mylotus"/>
          <w:sz w:val="32"/>
          <w:rtl/>
        </w:rPr>
        <w:t>ع</w:t>
      </w:r>
      <w:r w:rsidRPr="00F27422">
        <w:rPr>
          <w:rFonts w:ascii="mylotus" w:hAnsi="mylotus" w:hint="cs"/>
          <w:sz w:val="32"/>
          <w:rtl/>
        </w:rPr>
        <w:t>َ</w:t>
      </w:r>
      <w:r w:rsidRPr="00F27422">
        <w:rPr>
          <w:rFonts w:ascii="mylotus" w:hAnsi="mylotus"/>
          <w:sz w:val="32"/>
          <w:rtl/>
        </w:rPr>
        <w:t xml:space="preserve"> علمه بمجيء مريضٍ آخر</w:t>
      </w:r>
      <w:r w:rsidRPr="00F27422">
        <w:rPr>
          <w:rFonts w:ascii="mylotus" w:hAnsi="mylotus" w:hint="cs"/>
          <w:sz w:val="32"/>
          <w:rtl/>
        </w:rPr>
        <w:t>ٍ</w:t>
      </w:r>
      <w:r w:rsidRPr="00F27422">
        <w:rPr>
          <w:rFonts w:ascii="mylotus" w:hAnsi="mylotus"/>
          <w:sz w:val="32"/>
          <w:rtl/>
        </w:rPr>
        <w:t xml:space="preserve"> بعد نصف ساعة يحتاجُ إلى نفس الدواء، فهو إمّا أنْ يصرف الدواء في إنقاذ الأوّل أو يصرف الدواء في إنقاذ الثاني، فإن</w:t>
      </w:r>
      <w:r w:rsidRPr="00F27422">
        <w:rPr>
          <w:rFonts w:ascii="mylotus" w:hAnsi="mylotus" w:hint="cs"/>
          <w:sz w:val="32"/>
          <w:rtl/>
        </w:rPr>
        <w:t>ّ</w:t>
      </w:r>
      <w:r w:rsidRPr="00F27422">
        <w:rPr>
          <w:rFonts w:ascii="mylotus" w:hAnsi="mylotus"/>
          <w:sz w:val="32"/>
          <w:rtl/>
        </w:rPr>
        <w:t>ه لو لَمْ يصرف الدواء لإنقاذ الأوّل محتجاً بأنّ الثاني يحتاج إلى الدواء ولا مرجح لأحدهما على الآخر لَمْ يعذره العقلاء، بخلاف ما لو صرف الدواء في إنقاذ الأوّل فلما جيء بالثاني ماتَ بين يديه لعدم وجود الدواء فإنّه معذورٌ عند العقلاء</w:t>
      </w:r>
      <w:r w:rsidRPr="00F27422">
        <w:rPr>
          <w:rFonts w:ascii="mylotus" w:hAnsi="mylotus"/>
          <w:sz w:val="32"/>
        </w:rPr>
        <w:t>.</w:t>
      </w:r>
    </w:p>
    <w:p w14:paraId="596A4D98"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b/>
          <w:bCs/>
          <w:sz w:val="32"/>
          <w:rtl/>
        </w:rPr>
        <w:lastRenderedPageBreak/>
        <w:t xml:space="preserve">ولكن يلاحظُ على ذلك: </w:t>
      </w:r>
      <w:r w:rsidRPr="00F27422">
        <w:rPr>
          <w:rFonts w:ascii="mylotus" w:hAnsi="mylotus"/>
          <w:sz w:val="32"/>
          <w:rtl/>
        </w:rPr>
        <w:t>أن</w:t>
      </w:r>
      <w:r w:rsidRPr="00F27422">
        <w:rPr>
          <w:rFonts w:ascii="mylotus" w:hAnsi="mylotus" w:hint="cs"/>
          <w:sz w:val="32"/>
          <w:rtl/>
        </w:rPr>
        <w:t>ّ</w:t>
      </w:r>
      <w:r w:rsidRPr="00F27422">
        <w:rPr>
          <w:rFonts w:ascii="mylotus" w:hAnsi="mylotus"/>
          <w:sz w:val="32"/>
          <w:rtl/>
        </w:rPr>
        <w:t>ه لو كان عند العقلاء البناء على حق</w:t>
      </w:r>
      <w:r w:rsidRPr="00F27422">
        <w:rPr>
          <w:rFonts w:ascii="mylotus" w:hAnsi="mylotus" w:hint="cs"/>
          <w:sz w:val="32"/>
          <w:rtl/>
        </w:rPr>
        <w:t>ّ</w:t>
      </w:r>
      <w:r w:rsidRPr="00F27422">
        <w:rPr>
          <w:rFonts w:ascii="mylotus" w:hAnsi="mylotus"/>
          <w:sz w:val="32"/>
          <w:rtl/>
        </w:rPr>
        <w:t xml:space="preserve"> السبق في القضايا المعيشية الضرورية لمصا</w:t>
      </w:r>
      <w:r w:rsidRPr="00F27422">
        <w:rPr>
          <w:rFonts w:ascii="mylotus" w:hAnsi="mylotus" w:hint="cs"/>
          <w:sz w:val="32"/>
          <w:rtl/>
        </w:rPr>
        <w:t>ل</w:t>
      </w:r>
      <w:r w:rsidRPr="00F27422">
        <w:rPr>
          <w:rFonts w:ascii="mylotus" w:hAnsi="mylotus"/>
          <w:sz w:val="32"/>
          <w:rtl/>
        </w:rPr>
        <w:t>ح عام</w:t>
      </w:r>
      <w:r w:rsidRPr="00F27422">
        <w:rPr>
          <w:rFonts w:ascii="mylotus" w:hAnsi="mylotus" w:hint="cs"/>
          <w:sz w:val="32"/>
          <w:rtl/>
        </w:rPr>
        <w:t>ّ</w:t>
      </w:r>
      <w:r w:rsidRPr="00F27422">
        <w:rPr>
          <w:rFonts w:ascii="mylotus" w:hAnsi="mylotus"/>
          <w:sz w:val="32"/>
          <w:rtl/>
        </w:rPr>
        <w:t>ة تقتضيه، كما هو الموجود في زماننا في القوانين الوضعية حيث</w:t>
      </w:r>
      <w:r w:rsidRPr="00F27422">
        <w:rPr>
          <w:rFonts w:ascii="mylotus" w:hAnsi="mylotus" w:hint="cs"/>
          <w:sz w:val="32"/>
          <w:rtl/>
        </w:rPr>
        <w:t>ُ</w:t>
      </w:r>
      <w:r w:rsidRPr="00F27422">
        <w:rPr>
          <w:rFonts w:ascii="mylotus" w:hAnsi="mylotus"/>
          <w:sz w:val="32"/>
          <w:rtl/>
        </w:rPr>
        <w:t xml:space="preserve"> يعتبر في عصرنا مِن الحقوق، أي: أنّ موارد الغِذاء والدواء والحاجات الضرورية المعاشية كما في مصادر الطبخ والتدفئة والتبريد ونحو ذلك يكون السبق فيها م</w:t>
      </w:r>
      <w:r w:rsidRPr="00F27422">
        <w:rPr>
          <w:rFonts w:ascii="mylotus" w:hAnsi="mylotus" w:hint="cs"/>
          <w:sz w:val="32"/>
          <w:rtl/>
        </w:rPr>
        <w:t>ِ</w:t>
      </w:r>
      <w:r w:rsidRPr="00F27422">
        <w:rPr>
          <w:rFonts w:ascii="mylotus" w:hAnsi="mylotus"/>
          <w:sz w:val="32"/>
          <w:rtl/>
        </w:rPr>
        <w:t>ن الحقوق دفعا</w:t>
      </w:r>
      <w:r w:rsidRPr="00F27422">
        <w:rPr>
          <w:rFonts w:ascii="mylotus" w:hAnsi="mylotus" w:hint="cs"/>
          <w:sz w:val="32"/>
          <w:rtl/>
        </w:rPr>
        <w:t>ً</w:t>
      </w:r>
      <w:r w:rsidRPr="00F27422">
        <w:rPr>
          <w:rFonts w:ascii="mylotus" w:hAnsi="mylotus"/>
          <w:sz w:val="32"/>
          <w:rtl/>
        </w:rPr>
        <w:t xml:space="preserve"> </w:t>
      </w:r>
      <w:proofErr w:type="spellStart"/>
      <w:r w:rsidRPr="00F27422">
        <w:rPr>
          <w:rFonts w:ascii="mylotus" w:hAnsi="mylotus"/>
          <w:sz w:val="32"/>
          <w:rtl/>
        </w:rPr>
        <w:t>للتشاح</w:t>
      </w:r>
      <w:proofErr w:type="spellEnd"/>
      <w:r w:rsidRPr="00F27422">
        <w:rPr>
          <w:rFonts w:ascii="mylotus" w:hAnsi="mylotus"/>
          <w:sz w:val="32"/>
          <w:rtl/>
        </w:rPr>
        <w:t xml:space="preserve"> والتقاتل على هذه الموارد في فرض عدم كفايتها للجميع، ومنها ما لو كان الدواء لا يكفي إلّا للمرضى المتقدمين أو المرضى المتأخرين، فللمرضى الأوّلين حقُّ السبق، لا مِن باب الترجيح بنفس السبق الزماني، بل أن</w:t>
      </w:r>
      <w:r w:rsidRPr="00F27422">
        <w:rPr>
          <w:rFonts w:ascii="mylotus" w:hAnsi="mylotus" w:hint="cs"/>
          <w:sz w:val="32"/>
          <w:rtl/>
        </w:rPr>
        <w:t>ّ</w:t>
      </w:r>
      <w:r w:rsidRPr="00F27422">
        <w:rPr>
          <w:rFonts w:ascii="mylotus" w:hAnsi="mylotus"/>
          <w:sz w:val="32"/>
          <w:rtl/>
        </w:rPr>
        <w:t xml:space="preserve"> البناء على كونه م</w:t>
      </w:r>
      <w:r w:rsidRPr="00F27422">
        <w:rPr>
          <w:rFonts w:ascii="mylotus" w:hAnsi="mylotus" w:hint="cs"/>
          <w:sz w:val="32"/>
          <w:rtl/>
        </w:rPr>
        <w:t>ِ</w:t>
      </w:r>
      <w:r w:rsidRPr="00F27422">
        <w:rPr>
          <w:rFonts w:ascii="mylotus" w:hAnsi="mylotus"/>
          <w:sz w:val="32"/>
          <w:rtl/>
        </w:rPr>
        <w:t>ن الحقوق في القضايا المعيشية الضرورية لأ</w:t>
      </w:r>
      <w:r w:rsidRPr="00F27422">
        <w:rPr>
          <w:rFonts w:ascii="mylotus" w:hAnsi="mylotus" w:hint="cs"/>
          <w:sz w:val="32"/>
          <w:rtl/>
        </w:rPr>
        <w:t>ج</w:t>
      </w:r>
      <w:r w:rsidRPr="00F27422">
        <w:rPr>
          <w:rFonts w:ascii="mylotus" w:hAnsi="mylotus"/>
          <w:sz w:val="32"/>
          <w:rtl/>
        </w:rPr>
        <w:t>ل المصالح العام</w:t>
      </w:r>
      <w:r w:rsidRPr="00F27422">
        <w:rPr>
          <w:rFonts w:ascii="mylotus" w:hAnsi="mylotus" w:hint="cs"/>
          <w:sz w:val="32"/>
          <w:rtl/>
        </w:rPr>
        <w:t>ّ</w:t>
      </w:r>
      <w:r w:rsidRPr="00F27422">
        <w:rPr>
          <w:rFonts w:ascii="mylotus" w:hAnsi="mylotus"/>
          <w:sz w:val="32"/>
          <w:rtl/>
        </w:rPr>
        <w:t>ة ودفع المفاسد، نظير ما</w:t>
      </w:r>
      <w:r w:rsidRPr="00F27422">
        <w:rPr>
          <w:rFonts w:ascii="mylotus" w:hAnsi="mylotus" w:hint="cs"/>
          <w:sz w:val="32"/>
          <w:rtl/>
        </w:rPr>
        <w:t xml:space="preserve"> </w:t>
      </w:r>
      <w:r w:rsidRPr="00F27422">
        <w:rPr>
          <w:rFonts w:ascii="mylotus" w:hAnsi="mylotus"/>
          <w:sz w:val="32"/>
          <w:rtl/>
        </w:rPr>
        <w:t>جاء ع</w:t>
      </w:r>
      <w:r w:rsidRPr="00F27422">
        <w:rPr>
          <w:rFonts w:ascii="mylotus" w:hAnsi="mylotus" w:hint="cs"/>
          <w:sz w:val="32"/>
          <w:rtl/>
        </w:rPr>
        <w:t>ن</w:t>
      </w:r>
      <w:r w:rsidRPr="00F27422">
        <w:rPr>
          <w:rFonts w:ascii="mylotus" w:hAnsi="mylotus"/>
          <w:sz w:val="32"/>
          <w:rtl/>
        </w:rPr>
        <w:t xml:space="preserve"> الشارع </w:t>
      </w:r>
      <w:r w:rsidRPr="00F27422">
        <w:rPr>
          <w:rFonts w:ascii="mylotus" w:hAnsi="mylotus" w:hint="cs"/>
          <w:sz w:val="32"/>
          <w:rtl/>
        </w:rPr>
        <w:t xml:space="preserve">كما في مستدرك الوسائل: </w:t>
      </w:r>
      <w:r w:rsidRPr="00F27422">
        <w:rPr>
          <w:rFonts w:ascii="mylotus" w:hAnsi="mylotus" w:hint="cs"/>
          <w:b/>
          <w:bCs/>
          <w:sz w:val="32"/>
          <w:rtl/>
        </w:rPr>
        <w:t>(</w:t>
      </w:r>
      <w:r w:rsidRPr="00F27422">
        <w:rPr>
          <w:rFonts w:ascii="mylotus" w:hAnsi="mylotus"/>
          <w:b/>
          <w:bCs/>
          <w:sz w:val="32"/>
          <w:rtl/>
        </w:rPr>
        <w:t xml:space="preserve">وَرُوِيَ عَنْهُ </w:t>
      </w:r>
      <w:r w:rsidRPr="00F27422">
        <w:rPr>
          <w:rFonts w:ascii="mylotus" w:hAnsi="mylotus" w:hint="cs"/>
          <w:b/>
          <w:bCs/>
          <w:sz w:val="32"/>
          <w:rtl/>
        </w:rPr>
        <w:t>(</w:t>
      </w:r>
      <w:r w:rsidRPr="00F27422">
        <w:rPr>
          <w:rFonts w:ascii="mylotus" w:hAnsi="mylotus"/>
          <w:b/>
          <w:bCs/>
          <w:sz w:val="32"/>
          <w:rtl/>
        </w:rPr>
        <w:t>صَلَّى اَلله عَلَيْهِ وَآلِهِ</w:t>
      </w:r>
      <w:r w:rsidRPr="00F27422">
        <w:rPr>
          <w:rFonts w:ascii="mylotus" w:hAnsi="mylotus" w:hint="cs"/>
          <w:b/>
          <w:bCs/>
          <w:sz w:val="32"/>
          <w:rtl/>
        </w:rPr>
        <w:t>)</w:t>
      </w:r>
      <w:r w:rsidRPr="00F27422">
        <w:rPr>
          <w:rFonts w:ascii="mylotus" w:hAnsi="mylotus"/>
          <w:b/>
          <w:bCs/>
          <w:sz w:val="32"/>
          <w:rtl/>
        </w:rPr>
        <w:t xml:space="preserve"> قَالَ: مَنْ سَبَقَ إِلَى مَا لاَ يَسْبِقُهُ إِلَيْهِ اَلْمُسْلِمُ فَهُوَ أَحَقُّ بِهِ</w:t>
      </w:r>
      <w:r w:rsidRPr="00F27422">
        <w:rPr>
          <w:rFonts w:ascii="mylotus" w:hAnsi="mylotus" w:hint="cs"/>
          <w:b/>
          <w:bCs/>
          <w:sz w:val="32"/>
          <w:rtl/>
        </w:rPr>
        <w:t>)</w:t>
      </w:r>
      <w:r w:rsidRPr="00F27422">
        <w:rPr>
          <w:rStyle w:val="FootnoteReference"/>
          <w:rFonts w:ascii="mylotus" w:hAnsi="mylotus"/>
          <w:sz w:val="32"/>
          <w:rtl/>
        </w:rPr>
        <w:footnoteReference w:id="42"/>
      </w:r>
      <w:r w:rsidRPr="00F27422">
        <w:rPr>
          <w:rFonts w:ascii="mylotus" w:hAnsi="mylotus" w:hint="cs"/>
          <w:sz w:val="32"/>
          <w:rtl/>
        </w:rPr>
        <w:t xml:space="preserve"> </w:t>
      </w:r>
      <w:r w:rsidRPr="00F27422">
        <w:rPr>
          <w:rFonts w:ascii="mylotus" w:hAnsi="mylotus"/>
          <w:sz w:val="32"/>
          <w:rtl/>
        </w:rPr>
        <w:t>الشامل للسبق في المكان وحيازة الماء والكلأ ونحو ذلك، حيث</w:t>
      </w:r>
      <w:r w:rsidRPr="00F27422">
        <w:rPr>
          <w:rFonts w:ascii="mylotus" w:hAnsi="mylotus" w:hint="cs"/>
          <w:sz w:val="32"/>
          <w:rtl/>
        </w:rPr>
        <w:t>ُ</w:t>
      </w:r>
      <w:r w:rsidRPr="00F27422">
        <w:rPr>
          <w:rFonts w:ascii="mylotus" w:hAnsi="mylotus"/>
          <w:sz w:val="32"/>
          <w:rtl/>
        </w:rPr>
        <w:t xml:space="preserve"> إن</w:t>
      </w:r>
      <w:r w:rsidRPr="00F27422">
        <w:rPr>
          <w:rFonts w:ascii="mylotus" w:hAnsi="mylotus" w:hint="cs"/>
          <w:sz w:val="32"/>
          <w:rtl/>
        </w:rPr>
        <w:t>ّ</w:t>
      </w:r>
      <w:r w:rsidRPr="00F27422">
        <w:rPr>
          <w:rFonts w:ascii="mylotus" w:hAnsi="mylotus"/>
          <w:sz w:val="32"/>
          <w:rtl/>
        </w:rPr>
        <w:t>ه حق</w:t>
      </w:r>
      <w:r w:rsidRPr="00F27422">
        <w:rPr>
          <w:rFonts w:ascii="mylotus" w:hAnsi="mylotus" w:hint="cs"/>
          <w:sz w:val="32"/>
          <w:rtl/>
        </w:rPr>
        <w:t>ّ</w:t>
      </w:r>
      <w:r w:rsidRPr="00F27422">
        <w:rPr>
          <w:rFonts w:ascii="mylotus" w:hAnsi="mylotus"/>
          <w:sz w:val="32"/>
          <w:rtl/>
        </w:rPr>
        <w:t xml:space="preserve"> جعله الشارع لمصالح عام</w:t>
      </w:r>
      <w:r w:rsidRPr="00F27422">
        <w:rPr>
          <w:rFonts w:ascii="mylotus" w:hAnsi="mylotus" w:hint="cs"/>
          <w:sz w:val="32"/>
          <w:rtl/>
        </w:rPr>
        <w:t>ّ</w:t>
      </w:r>
      <w:r w:rsidRPr="00F27422">
        <w:rPr>
          <w:rFonts w:ascii="mylotus" w:hAnsi="mylotus"/>
          <w:sz w:val="32"/>
          <w:rtl/>
        </w:rPr>
        <w:t>ة، كذلك العقلاء يرون أنّ للإنسان حقّ السبق في القضايا المعيشية الضرورية، فمثلاً: لو افترض وجود سلة غذاء والناس في حاجة</w:t>
      </w:r>
      <w:r w:rsidRPr="00F27422">
        <w:rPr>
          <w:rFonts w:ascii="mylotus" w:hAnsi="mylotus" w:hint="cs"/>
          <w:sz w:val="32"/>
          <w:rtl/>
        </w:rPr>
        <w:t>ٍ</w:t>
      </w:r>
      <w:r w:rsidRPr="00F27422">
        <w:rPr>
          <w:rFonts w:ascii="mylotus" w:hAnsi="mylotus"/>
          <w:sz w:val="32"/>
          <w:rtl/>
        </w:rPr>
        <w:t xml:space="preserve"> إليها لكنها لا</w:t>
      </w:r>
      <w:r w:rsidRPr="00F27422">
        <w:rPr>
          <w:rFonts w:ascii="mylotus" w:hAnsi="mylotus" w:hint="cs"/>
          <w:sz w:val="32"/>
          <w:rtl/>
        </w:rPr>
        <w:t xml:space="preserve"> </w:t>
      </w:r>
      <w:r w:rsidRPr="00F27422">
        <w:rPr>
          <w:rFonts w:ascii="mylotus" w:hAnsi="mylotus"/>
          <w:sz w:val="32"/>
          <w:rtl/>
        </w:rPr>
        <w:t>تكفي للجميع، فسبقت الفئةُ الأُولى على الفئة الأُخرى، فإنّ للفئة الأُولى مِن المحتاجين حقّ السبق</w:t>
      </w:r>
      <w:r w:rsidRPr="00F27422">
        <w:rPr>
          <w:rFonts w:ascii="mylotus" w:hAnsi="mylotus"/>
          <w:sz w:val="32"/>
        </w:rPr>
        <w:t>.</w:t>
      </w:r>
    </w:p>
    <w:p w14:paraId="5E2FB914"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sz w:val="32"/>
          <w:rtl/>
        </w:rPr>
        <w:t>فلو كان هناك ترجيح للمريض المتقدم بالنظر العقلائي فهو مِن باب وجود حقّ السبق في القضايا المعيشية الضرورية كالأدوية والأغذية ونحو ذلك، لا مِن باب ترجيح أحد المتزاحمين على الآخر بمجر</w:t>
      </w:r>
      <w:r w:rsidRPr="00F27422">
        <w:rPr>
          <w:rFonts w:ascii="mylotus" w:hAnsi="mylotus" w:hint="cs"/>
          <w:sz w:val="32"/>
          <w:rtl/>
        </w:rPr>
        <w:t>ّ</w:t>
      </w:r>
      <w:r w:rsidRPr="00F27422">
        <w:rPr>
          <w:rFonts w:ascii="mylotus" w:hAnsi="mylotus"/>
          <w:sz w:val="32"/>
          <w:rtl/>
        </w:rPr>
        <w:t>د السبق الزماني، وإلّا لو غض النظر عن هذه المرتكزات العقلائية فغايةُ ما يراه</w:t>
      </w:r>
      <w:r w:rsidRPr="00F27422">
        <w:rPr>
          <w:rFonts w:ascii="mylotus" w:hAnsi="mylotus" w:hint="cs"/>
          <w:sz w:val="32"/>
          <w:rtl/>
        </w:rPr>
        <w:t>ُ</w:t>
      </w:r>
      <w:r w:rsidRPr="00F27422">
        <w:rPr>
          <w:rFonts w:ascii="mylotus" w:hAnsi="mylotus"/>
          <w:sz w:val="32"/>
          <w:rtl/>
        </w:rPr>
        <w:t xml:space="preserve"> العقلاء أنّ الطبيب لو صرف الدواء في المتقدم كان معذوراً لتساويهما، لا أنّه لو تحفظ به للمتأخر كان معاقباً لأن</w:t>
      </w:r>
      <w:r w:rsidRPr="00F27422">
        <w:rPr>
          <w:rFonts w:ascii="mylotus" w:hAnsi="mylotus" w:hint="cs"/>
          <w:sz w:val="32"/>
          <w:rtl/>
        </w:rPr>
        <w:t>ّ</w:t>
      </w:r>
      <w:r w:rsidRPr="00F27422">
        <w:rPr>
          <w:rFonts w:ascii="mylotus" w:hAnsi="mylotus"/>
          <w:sz w:val="32"/>
          <w:rtl/>
        </w:rPr>
        <w:t>ه تسبب في موت الأوّل</w:t>
      </w:r>
      <w:r w:rsidRPr="00F27422">
        <w:rPr>
          <w:rFonts w:ascii="mylotus" w:hAnsi="mylotus"/>
          <w:sz w:val="32"/>
        </w:rPr>
        <w:t>.</w:t>
      </w:r>
    </w:p>
    <w:p w14:paraId="67DC2495" w14:textId="77777777" w:rsidR="00863DA8" w:rsidRPr="00F27422" w:rsidRDefault="00863DA8" w:rsidP="00122B70">
      <w:pPr>
        <w:pStyle w:val="a"/>
        <w:bidi/>
        <w:spacing w:line="216" w:lineRule="auto"/>
        <w:jc w:val="left"/>
        <w:rPr>
          <w:rFonts w:ascii="mylotus" w:hAnsi="mylotus"/>
          <w:sz w:val="32"/>
          <w:rtl/>
        </w:rPr>
      </w:pPr>
      <w:r w:rsidRPr="00F27422">
        <w:rPr>
          <w:rFonts w:ascii="mylotus" w:hAnsi="mylotus"/>
          <w:b/>
          <w:bCs/>
          <w:color w:val="7030A0"/>
          <w:sz w:val="32"/>
          <w:rtl/>
        </w:rPr>
        <w:t xml:space="preserve">فتلخص </w:t>
      </w:r>
      <w:r w:rsidRPr="00F27422">
        <w:rPr>
          <w:rFonts w:ascii="mylotus" w:hAnsi="mylotus"/>
          <w:b/>
          <w:bCs/>
          <w:sz w:val="32"/>
          <w:rtl/>
        </w:rPr>
        <w:t>بما ذكرنا كله:</w:t>
      </w:r>
      <w:r w:rsidRPr="00F27422">
        <w:rPr>
          <w:rFonts w:ascii="mylotus" w:hAnsi="mylotus"/>
          <w:sz w:val="32"/>
          <w:rtl/>
        </w:rPr>
        <w:t xml:space="preserve"> أنّه لَمْ يثبت - ولو بنحو الاحتمال العقلائي المعتد به - ترجيحُ السابق زماناً على اللاحق لمجرّد السبق الزماني مع تساويهما مِن حيثُ الأهمية.</w:t>
      </w:r>
    </w:p>
    <w:p w14:paraId="03744CB0" w14:textId="77777777" w:rsidR="00863DA8" w:rsidRPr="00F27422" w:rsidRDefault="00863DA8" w:rsidP="00122B70">
      <w:pPr>
        <w:pStyle w:val="a"/>
        <w:bidi/>
        <w:spacing w:line="216" w:lineRule="auto"/>
        <w:jc w:val="left"/>
        <w:rPr>
          <w:rFonts w:ascii="mylotus" w:hAnsi="mylotus"/>
          <w:sz w:val="32"/>
          <w:rtl/>
        </w:rPr>
      </w:pPr>
    </w:p>
    <w:p w14:paraId="1FAEA646" w14:textId="77777777" w:rsidR="00863DA8" w:rsidRPr="00F27422" w:rsidRDefault="00863DA8"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0F85468D" w14:textId="77777777" w:rsidR="00863DA8" w:rsidRPr="00F27422" w:rsidRDefault="00863DA8" w:rsidP="00122B70">
      <w:pPr>
        <w:tabs>
          <w:tab w:val="left" w:pos="1070"/>
        </w:tabs>
        <w:bidi/>
        <w:rPr>
          <w:sz w:val="32"/>
          <w:szCs w:val="32"/>
        </w:rPr>
      </w:pPr>
    </w:p>
    <w:p w14:paraId="4BF92AA7" w14:textId="70932E07" w:rsidR="00863DA8" w:rsidRPr="00F27422" w:rsidRDefault="00863DA8" w:rsidP="00122B70">
      <w:pPr>
        <w:pStyle w:val="Heading3"/>
        <w:bidi/>
        <w:rPr>
          <w:sz w:val="32"/>
          <w:szCs w:val="32"/>
        </w:rPr>
      </w:pPr>
      <w:r w:rsidRPr="00F27422">
        <w:rPr>
          <w:sz w:val="32"/>
          <w:szCs w:val="32"/>
        </w:rPr>
        <w:t>070</w:t>
      </w:r>
    </w:p>
    <w:p w14:paraId="13C7ACB3" w14:textId="77777777" w:rsidR="00A87C4C" w:rsidRPr="00F27422" w:rsidRDefault="00A87C4C" w:rsidP="00122B70">
      <w:pPr>
        <w:tabs>
          <w:tab w:val="left" w:pos="1070"/>
        </w:tabs>
        <w:bidi/>
        <w:rPr>
          <w:b/>
          <w:bCs/>
          <w:sz w:val="32"/>
          <w:szCs w:val="32"/>
        </w:rPr>
      </w:pPr>
      <w:r w:rsidRPr="00F27422">
        <w:rPr>
          <w:b/>
          <w:bCs/>
          <w:sz w:val="32"/>
          <w:szCs w:val="32"/>
          <w:rtl/>
        </w:rPr>
        <w:t>بسم الله الرحمن الرحيم</w:t>
      </w:r>
    </w:p>
    <w:p w14:paraId="6E390918" w14:textId="77777777" w:rsidR="00A87C4C" w:rsidRPr="00F27422" w:rsidRDefault="00A87C4C" w:rsidP="00122B70">
      <w:pPr>
        <w:tabs>
          <w:tab w:val="left" w:pos="1070"/>
        </w:tabs>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1D1ED528" w14:textId="77777777" w:rsidR="00A87C4C" w:rsidRPr="00F27422" w:rsidRDefault="00A87C4C" w:rsidP="00122B70">
      <w:pPr>
        <w:tabs>
          <w:tab w:val="left" w:pos="1070"/>
        </w:tabs>
        <w:bidi/>
        <w:rPr>
          <w:sz w:val="32"/>
          <w:szCs w:val="32"/>
          <w:rtl/>
        </w:rPr>
      </w:pPr>
      <w:r w:rsidRPr="00F27422">
        <w:rPr>
          <w:b/>
          <w:bCs/>
          <w:sz w:val="32"/>
          <w:szCs w:val="32"/>
          <w:rtl/>
        </w:rPr>
        <w:t>واللعن الدائم على أعدائهم أجمعين إلى قيام يوم الدين</w:t>
      </w:r>
    </w:p>
    <w:p w14:paraId="42E427B0" w14:textId="77777777" w:rsidR="00A87C4C" w:rsidRPr="00F27422" w:rsidRDefault="00A87C4C" w:rsidP="00122B70">
      <w:pPr>
        <w:tabs>
          <w:tab w:val="left" w:pos="1070"/>
        </w:tabs>
        <w:bidi/>
        <w:rPr>
          <w:sz w:val="32"/>
          <w:szCs w:val="32"/>
          <w:rtl/>
        </w:rPr>
      </w:pPr>
    </w:p>
    <w:p w14:paraId="45D361B4" w14:textId="77777777" w:rsidR="00A87C4C" w:rsidRPr="00F27422" w:rsidRDefault="00A87C4C" w:rsidP="00122B70">
      <w:pPr>
        <w:tabs>
          <w:tab w:val="left" w:pos="1070"/>
        </w:tabs>
        <w:bidi/>
        <w:rPr>
          <w:sz w:val="32"/>
          <w:szCs w:val="32"/>
          <w:rtl/>
        </w:rPr>
      </w:pPr>
      <w:r w:rsidRPr="00F27422">
        <w:rPr>
          <w:sz w:val="32"/>
          <w:szCs w:val="32"/>
          <w:rtl/>
        </w:rPr>
        <w:t>وبما تقدم تمّ الكلامُ في الكُبرى وهي عدمُ صحّة ترجيح أحد الواجبين على الآخر بالسبق الزماني</w:t>
      </w:r>
      <w:r w:rsidRPr="00F27422">
        <w:rPr>
          <w:sz w:val="32"/>
          <w:szCs w:val="32"/>
        </w:rPr>
        <w:t>.</w:t>
      </w:r>
    </w:p>
    <w:p w14:paraId="59581D44" w14:textId="77777777" w:rsidR="00A87C4C" w:rsidRPr="00F27422" w:rsidRDefault="00A87C4C" w:rsidP="00122B70">
      <w:pPr>
        <w:tabs>
          <w:tab w:val="left" w:pos="1070"/>
        </w:tabs>
        <w:bidi/>
        <w:rPr>
          <w:sz w:val="32"/>
          <w:szCs w:val="32"/>
          <w:rtl/>
        </w:rPr>
      </w:pPr>
      <w:r w:rsidRPr="00F27422">
        <w:rPr>
          <w:b/>
          <w:bCs/>
          <w:sz w:val="32"/>
          <w:szCs w:val="32"/>
          <w:rtl/>
        </w:rPr>
        <w:lastRenderedPageBreak/>
        <w:t>وأمّا البحثُ في الصُغرى:</w:t>
      </w:r>
      <w:r w:rsidRPr="00F27422">
        <w:rPr>
          <w:sz w:val="32"/>
          <w:szCs w:val="32"/>
          <w:rtl/>
        </w:rPr>
        <w:t xml:space="preserve"> وهي ما إذا آجرت المرأةُ نفسها لخدمةٍ في مدّةٍ معيّنةٍ ثمّ تزوجتْ أثناء المدّة فوقع التزاحم بالنسبة إليها بين امتثال وجوب الوفاء بعقد الإجارة وامتثال وجوب تمكين الزوج من الاستمتاعات</w:t>
      </w:r>
      <w:r w:rsidRPr="00F27422">
        <w:rPr>
          <w:sz w:val="32"/>
          <w:szCs w:val="32"/>
        </w:rPr>
        <w:t>.</w:t>
      </w:r>
    </w:p>
    <w:p w14:paraId="16777D07" w14:textId="77777777" w:rsidR="00603216" w:rsidRPr="00F27422" w:rsidRDefault="00A87C4C" w:rsidP="00122B70">
      <w:pPr>
        <w:tabs>
          <w:tab w:val="left" w:pos="1070"/>
        </w:tabs>
        <w:bidi/>
        <w:rPr>
          <w:sz w:val="32"/>
          <w:szCs w:val="32"/>
          <w:rtl/>
        </w:rPr>
      </w:pPr>
      <w:r w:rsidRPr="00F27422">
        <w:rPr>
          <w:b/>
          <w:bCs/>
          <w:sz w:val="32"/>
          <w:szCs w:val="32"/>
          <w:rtl/>
        </w:rPr>
        <w:t>فالمقامُ ليس مصداقاً للكُبرى</w:t>
      </w:r>
      <w:r w:rsidRPr="00F27422">
        <w:rPr>
          <w:sz w:val="32"/>
          <w:szCs w:val="32"/>
          <w:rtl/>
        </w:rPr>
        <w:t xml:space="preserve"> - وهي الترجيح بالسبق الزماني - حتى لو قلنا </w:t>
      </w:r>
      <w:proofErr w:type="spellStart"/>
      <w:r w:rsidRPr="00F27422">
        <w:rPr>
          <w:sz w:val="32"/>
          <w:szCs w:val="32"/>
          <w:rtl/>
        </w:rPr>
        <w:t>بتماميتها</w:t>
      </w:r>
      <w:proofErr w:type="spellEnd"/>
      <w:r w:rsidRPr="00F27422">
        <w:rPr>
          <w:sz w:val="32"/>
          <w:szCs w:val="32"/>
          <w:rtl/>
        </w:rPr>
        <w:t xml:space="preserve">؛ وذلك لأنّ مورد هذه الكُبرى </w:t>
      </w:r>
      <w:r w:rsidRPr="00F27422">
        <w:rPr>
          <w:sz w:val="32"/>
          <w:szCs w:val="32"/>
          <w:highlight w:val="yellow"/>
          <w:rtl/>
        </w:rPr>
        <w:t>فعليةُ الوجوب لكلا الواجبين</w:t>
      </w:r>
      <w:r w:rsidRPr="00F27422">
        <w:rPr>
          <w:sz w:val="32"/>
          <w:szCs w:val="32"/>
          <w:rtl/>
        </w:rPr>
        <w:t xml:space="preserve"> </w:t>
      </w:r>
      <w:r w:rsidRPr="00F27422">
        <w:rPr>
          <w:color w:val="7030A0"/>
          <w:sz w:val="32"/>
          <w:szCs w:val="32"/>
          <w:rtl/>
        </w:rPr>
        <w:t xml:space="preserve">مِن الأوّل مع سبق أحد الواجبين </w:t>
      </w:r>
      <w:r w:rsidRPr="00F27422">
        <w:rPr>
          <w:sz w:val="32"/>
          <w:szCs w:val="32"/>
          <w:rtl/>
        </w:rPr>
        <w:t>زماناً على الآخر، بحيثُ لو صرف القدرة في امتثال السابق لَمْ يكن قادراً على المتأخر إذا حل زمانه،</w:t>
      </w:r>
    </w:p>
    <w:p w14:paraId="2467A29B" w14:textId="3E8BDBAE" w:rsidR="00A87C4C" w:rsidRPr="00F27422" w:rsidRDefault="00A87C4C" w:rsidP="00122B70">
      <w:pPr>
        <w:tabs>
          <w:tab w:val="left" w:pos="1070"/>
        </w:tabs>
        <w:bidi/>
        <w:rPr>
          <w:sz w:val="32"/>
          <w:szCs w:val="32"/>
          <w:rtl/>
        </w:rPr>
      </w:pPr>
      <w:r w:rsidRPr="00F27422">
        <w:rPr>
          <w:sz w:val="32"/>
          <w:szCs w:val="32"/>
          <w:rtl/>
        </w:rPr>
        <w:t xml:space="preserve"> ولذلك كانت النكتة في الترجيح أنّ الواجب السابق فعلي وجوباً وواجباً للقدرة عليه في زمن لَمْ يتحقق فيه ظرف الواجب اللاحق، كما مر التمثيل له بما إذا نذر صوم يومي الخميس والجمعة فإنّ فعلية وجوب الوفاء بالنذر تشمل الواجبين مِن حين انعقاد النذر، إلّا أنّ أحدهما سابقٌ زماناً على الآخر، ومنشأُ التزاحم عدمُ القدرة على أدائهما معاً في ظرفهما.</w:t>
      </w:r>
    </w:p>
    <w:p w14:paraId="36D5D32D" w14:textId="77777777" w:rsidR="00A87C4C" w:rsidRPr="00F27422" w:rsidRDefault="00A87C4C" w:rsidP="00122B70">
      <w:pPr>
        <w:tabs>
          <w:tab w:val="left" w:pos="1070"/>
        </w:tabs>
        <w:bidi/>
        <w:rPr>
          <w:sz w:val="32"/>
          <w:szCs w:val="32"/>
          <w:rtl/>
        </w:rPr>
      </w:pPr>
      <w:r w:rsidRPr="00F27422">
        <w:rPr>
          <w:sz w:val="32"/>
          <w:szCs w:val="32"/>
          <w:rtl/>
        </w:rPr>
        <w:t>وأمّا لو كان الواجب أمراً انحلالياً سبقت منه أفراد وجوباً وواجباً بلا مزاحم لها في ظرفها وتأخرت أفراد وجوباً وواجباً، وإنّما يقع التزاحم في الأفراد المتأخرة المقترنة زماناً مع الواجب اللاحق  كما في محلّ كلامنا؛ حيثُ إنّ المرأة عندما آجرتْ نفسها لخدمةٍ في مدّةٍ معيّنةٍ، فَقَبْلَ أنْ تتزوج لَمْ يكن وجوب الوفاء بعقد الإجارة مزاحماً لأيِّ حكمٍ فكانت أفراد الوفاء السابقة تامة المقتضي وفقد المانع، وحينما تزوجتْ وقع التزاحمُ بين امتثال وجوب الوفاء وامتثال وجوب التمكين في زمنٍ واحدٍ في الأفراد الجديدة مِن الوفاء بعقد الإجارة المقارنة مع وجوب تمكين الزوج، لا أنّ وجوبهما فعلي من الأوّل مع سبق أحد الواجبين زماناً على الآخر، فليس المورد مِن صغريات للكبرى، بل هو مِن التزاحم بين واجبين عرضيين - لا طوليين -.</w:t>
      </w:r>
    </w:p>
    <w:p w14:paraId="44132809" w14:textId="77777777" w:rsidR="00A87C4C" w:rsidRPr="00F27422" w:rsidRDefault="00A87C4C" w:rsidP="00122B70">
      <w:pPr>
        <w:tabs>
          <w:tab w:val="left" w:pos="1070"/>
        </w:tabs>
        <w:bidi/>
        <w:rPr>
          <w:sz w:val="32"/>
          <w:szCs w:val="32"/>
          <w:rtl/>
        </w:rPr>
      </w:pPr>
      <w:r w:rsidRPr="00F27422">
        <w:rPr>
          <w:sz w:val="32"/>
          <w:szCs w:val="32"/>
          <w:rtl/>
        </w:rPr>
        <w:t>ولعلّ هذا منبهٌ على أنّ منظور الفقيه النبيه السيد الحكيم (قدس سره الشريف) في كلامه هو الورود، خلافاً لما فهمه بعض الأجلة (رحمه الله) في كتاب الإجارة</w:t>
      </w:r>
      <w:r w:rsidRPr="00F27422">
        <w:rPr>
          <w:sz w:val="32"/>
          <w:szCs w:val="32"/>
          <w:vertAlign w:val="superscript"/>
          <w:rtl/>
        </w:rPr>
        <w:footnoteReference w:id="43"/>
      </w:r>
      <w:r w:rsidRPr="00F27422">
        <w:rPr>
          <w:sz w:val="32"/>
          <w:szCs w:val="32"/>
          <w:rtl/>
        </w:rPr>
        <w:t xml:space="preserve"> مِن عبارة المستمسك وهي: </w:t>
      </w:r>
      <w:r w:rsidRPr="00F27422">
        <w:rPr>
          <w:b/>
          <w:bCs/>
          <w:sz w:val="32"/>
          <w:szCs w:val="32"/>
          <w:rtl/>
        </w:rPr>
        <w:t xml:space="preserve">(لأن التحقيق في العلل الشرعية، التي يكون بعضها مزاحماً للآخر، الترجيح بالسبق واللحوق، فيكون الأثر للسابق دون اللاحق. ومن ذلك يظهر أنه </w:t>
      </w:r>
      <w:r w:rsidRPr="00F27422">
        <w:rPr>
          <w:b/>
          <w:bCs/>
          <w:color w:val="7030A0"/>
          <w:sz w:val="32"/>
          <w:szCs w:val="32"/>
          <w:rtl/>
        </w:rPr>
        <w:t>لو نذر أن يزور الحسين (عليه السلام) يوم عرفة فاستطاع كان النذر مقدما على الاستطاعة ولو استطاع ثم نذر كانت الاستطاعة مقدمة على النذر</w:t>
      </w:r>
      <w:r w:rsidRPr="00F27422">
        <w:rPr>
          <w:b/>
          <w:bCs/>
          <w:sz w:val="32"/>
          <w:szCs w:val="32"/>
          <w:rtl/>
        </w:rPr>
        <w:t>)</w:t>
      </w:r>
      <w:r w:rsidRPr="00F27422">
        <w:rPr>
          <w:b/>
          <w:bCs/>
          <w:sz w:val="32"/>
          <w:szCs w:val="32"/>
          <w:vertAlign w:val="superscript"/>
          <w:rtl/>
        </w:rPr>
        <w:footnoteReference w:id="44"/>
      </w:r>
      <w:r w:rsidRPr="00F27422">
        <w:rPr>
          <w:sz w:val="32"/>
          <w:szCs w:val="32"/>
          <w:rtl/>
        </w:rPr>
        <w:t xml:space="preserve"> أي: ليس منظوره (</w:t>
      </w:r>
      <w:r w:rsidRPr="00F27422">
        <w:rPr>
          <w:color w:val="7030A0"/>
          <w:sz w:val="32"/>
          <w:szCs w:val="32"/>
          <w:rtl/>
        </w:rPr>
        <w:t>قدس سره</w:t>
      </w:r>
      <w:r w:rsidRPr="00F27422">
        <w:rPr>
          <w:sz w:val="32"/>
          <w:szCs w:val="32"/>
          <w:rtl/>
        </w:rPr>
        <w:t xml:space="preserve">) وقوع التزاحم بين واجبين طوليين فيرجح أحدهما على الآخر بالسبق الزماني، بل منظوره أنّ الجمع العرفي بنظر </w:t>
      </w:r>
      <w:r w:rsidRPr="00F27422">
        <w:rPr>
          <w:sz w:val="32"/>
          <w:szCs w:val="32"/>
          <w:rtl/>
        </w:rPr>
        <w:lastRenderedPageBreak/>
        <w:t>العقلاء بين الدليلين هو تنزيل العلل الشرعية منزلة العلل العقلية مِن جهة أنّ الأمر بالسابق واردٌ على اللاحق، رافعٌ لموضوعه</w:t>
      </w:r>
      <w:r w:rsidRPr="00F27422">
        <w:rPr>
          <w:sz w:val="32"/>
          <w:szCs w:val="32"/>
        </w:rPr>
        <w:t>.</w:t>
      </w:r>
    </w:p>
    <w:p w14:paraId="2DF3AE13" w14:textId="77777777" w:rsidR="00A87C4C" w:rsidRPr="00F27422" w:rsidRDefault="00A87C4C" w:rsidP="00122B70">
      <w:pPr>
        <w:tabs>
          <w:tab w:val="left" w:pos="1070"/>
        </w:tabs>
        <w:bidi/>
        <w:rPr>
          <w:sz w:val="32"/>
          <w:szCs w:val="32"/>
          <w:rtl/>
        </w:rPr>
      </w:pPr>
      <w:r w:rsidRPr="00F27422">
        <w:rPr>
          <w:sz w:val="32"/>
          <w:szCs w:val="32"/>
          <w:rtl/>
        </w:rPr>
        <w:t>والشاهدُ على ذلك - مضافاً إلى قرينية المثال وهو: "مَن نذر زيارة الحسين (عليه السلام) يوم عرفة " حيثُ إنّه مِن أمثلة سبق الوجوب لا الواجب - تصريحه بخلاف ذلك في موردين</w:t>
      </w:r>
      <w:r w:rsidRPr="00F27422">
        <w:rPr>
          <w:sz w:val="32"/>
          <w:szCs w:val="32"/>
        </w:rPr>
        <w:t>:</w:t>
      </w:r>
    </w:p>
    <w:p w14:paraId="7869C958" w14:textId="77777777" w:rsidR="00A87C4C" w:rsidRPr="00F27422" w:rsidRDefault="00A87C4C" w:rsidP="00122B70">
      <w:pPr>
        <w:tabs>
          <w:tab w:val="left" w:pos="1070"/>
        </w:tabs>
        <w:bidi/>
        <w:rPr>
          <w:sz w:val="32"/>
          <w:szCs w:val="32"/>
          <w:rtl/>
        </w:rPr>
      </w:pPr>
      <w:r w:rsidRPr="00F27422">
        <w:rPr>
          <w:b/>
          <w:bCs/>
          <w:sz w:val="32"/>
          <w:szCs w:val="32"/>
          <w:highlight w:val="yellow"/>
          <w:rtl/>
        </w:rPr>
        <w:t>الموردُ الأوّل</w:t>
      </w:r>
      <w:r w:rsidRPr="00F27422">
        <w:rPr>
          <w:b/>
          <w:bCs/>
          <w:sz w:val="32"/>
          <w:szCs w:val="32"/>
          <w:rtl/>
        </w:rPr>
        <w:t>:</w:t>
      </w:r>
      <w:r w:rsidRPr="00F27422">
        <w:rPr>
          <w:sz w:val="32"/>
          <w:szCs w:val="32"/>
          <w:rtl/>
        </w:rPr>
        <w:t xml:space="preserve"> ما ذكره (قدس سره) في المسألة 32 من مسائل الحج بقوله: </w:t>
      </w:r>
      <w:r w:rsidRPr="00F27422">
        <w:rPr>
          <w:b/>
          <w:bCs/>
          <w:sz w:val="32"/>
          <w:szCs w:val="32"/>
          <w:rtl/>
        </w:rPr>
        <w:t>(ولا ينبغي التأمل في أن الجمع العرفي يقتضي الأخذ بالسابق دون اللاحق، تنزيلاً للعلل الشرعية منزلة العلل العقلية، فكما أن العلل العقلية يكون السابق منها رافعاً للاحق كذلك العلل الشرعية. فيلغى احتمال كون اللاحق رافعاً لموضوع السابق، وإن كان احتمالاً معقولاً في العلل الشرعية، لكنه لا يعتنى به في مقام الجمع بين الدليلين. وقد أشرنا إلى ذلك في بعض مباحث القراءة من هذا الشرح. وبهذا صح ما ذكره: من تقديم الإجارة، على الحج عند سبق الإجارة، فإن سلطنة الأجير غير كافية في صحة الإجارة، إذا لم يكن قادراً على العمل في وقته مع قطع النظر عن وجوب الوفاء بالعقد)</w:t>
      </w:r>
      <w:r w:rsidRPr="00F27422">
        <w:rPr>
          <w:b/>
          <w:bCs/>
          <w:sz w:val="32"/>
          <w:szCs w:val="32"/>
          <w:vertAlign w:val="superscript"/>
          <w:rtl/>
        </w:rPr>
        <w:footnoteReference w:id="45"/>
      </w:r>
      <w:r w:rsidRPr="00F27422">
        <w:rPr>
          <w:b/>
          <w:bCs/>
          <w:sz w:val="32"/>
          <w:szCs w:val="32"/>
          <w:rtl/>
        </w:rPr>
        <w:t>.</w:t>
      </w:r>
    </w:p>
    <w:p w14:paraId="0D5E28E3" w14:textId="77777777" w:rsidR="00A87C4C" w:rsidRPr="00F27422" w:rsidRDefault="00A87C4C" w:rsidP="00122B70">
      <w:pPr>
        <w:tabs>
          <w:tab w:val="left" w:pos="1070"/>
        </w:tabs>
        <w:bidi/>
        <w:rPr>
          <w:sz w:val="32"/>
          <w:szCs w:val="32"/>
          <w:rtl/>
        </w:rPr>
      </w:pPr>
      <w:r w:rsidRPr="00F27422">
        <w:rPr>
          <w:b/>
          <w:bCs/>
          <w:sz w:val="32"/>
          <w:szCs w:val="32"/>
          <w:rtl/>
        </w:rPr>
        <w:t>وقد يقولُ قائل:</w:t>
      </w:r>
      <w:r w:rsidRPr="00F27422">
        <w:rPr>
          <w:sz w:val="32"/>
          <w:szCs w:val="32"/>
          <w:rtl/>
        </w:rPr>
        <w:t xml:space="preserve"> إنّ الحكم في الإجارة حكم وضعي، ومحلّ الكلام هو الحكم التكليفي، فلعلّه إنّما قال بالورود نظراً إلى أنّ مقتضى عقد الإجارة مِلكيَّة المُستأجر العمل في ذمّة الأجير، وثبوته كان هو الرافع لوجوب الحج على المستطيع، فلا ينافي أنْ يكون مقصوده في المقام هو التزاحم؛ لأنّ المقام مِن باب امتناع الجمع في الحكم التكليفي</w:t>
      </w:r>
      <w:r w:rsidRPr="00F27422">
        <w:rPr>
          <w:sz w:val="32"/>
          <w:szCs w:val="32"/>
        </w:rPr>
        <w:t>.</w:t>
      </w:r>
    </w:p>
    <w:p w14:paraId="70533FF0" w14:textId="77777777" w:rsidR="00A87C4C" w:rsidRPr="00F27422" w:rsidRDefault="00A87C4C" w:rsidP="00122B70">
      <w:pPr>
        <w:tabs>
          <w:tab w:val="left" w:pos="1070"/>
        </w:tabs>
        <w:bidi/>
        <w:rPr>
          <w:sz w:val="32"/>
          <w:szCs w:val="32"/>
          <w:rtl/>
        </w:rPr>
      </w:pPr>
      <w:r w:rsidRPr="00F27422">
        <w:rPr>
          <w:b/>
          <w:bCs/>
          <w:sz w:val="32"/>
          <w:szCs w:val="32"/>
          <w:rtl/>
        </w:rPr>
        <w:t>ولكن يلاحظ على ذلك:</w:t>
      </w:r>
      <w:r w:rsidRPr="00F27422">
        <w:rPr>
          <w:sz w:val="32"/>
          <w:szCs w:val="32"/>
          <w:rtl/>
        </w:rPr>
        <w:t xml:space="preserve"> أنّ منشأ التنافي بين الحج والإجارة النيابية بالأصالة كما هو مورد كلامه (قدس سره) هو الحكم التكليفي، أي: وجوب الوفاء بعقد الإجارة ووجوب الحج، لا نفس المِلكيَّة كما في المقام.</w:t>
      </w:r>
    </w:p>
    <w:p w14:paraId="44C8D239" w14:textId="77777777" w:rsidR="00A87C4C" w:rsidRPr="00F27422" w:rsidRDefault="00A87C4C" w:rsidP="00122B70">
      <w:pPr>
        <w:tabs>
          <w:tab w:val="left" w:pos="1070"/>
        </w:tabs>
        <w:bidi/>
        <w:rPr>
          <w:sz w:val="32"/>
          <w:szCs w:val="32"/>
          <w:rtl/>
        </w:rPr>
      </w:pPr>
      <w:r w:rsidRPr="00F27422">
        <w:rPr>
          <w:b/>
          <w:bCs/>
          <w:sz w:val="32"/>
          <w:szCs w:val="32"/>
          <w:rtl/>
        </w:rPr>
        <w:t>الموردُ الثاني:</w:t>
      </w:r>
      <w:r w:rsidRPr="00F27422">
        <w:rPr>
          <w:sz w:val="32"/>
          <w:szCs w:val="32"/>
          <w:rtl/>
        </w:rPr>
        <w:t xml:space="preserve"> ما ذكره في المسألة 17 وهي قول سيد العروة (قدس سره الشريف): </w:t>
      </w:r>
      <w:r w:rsidRPr="00F27422">
        <w:rPr>
          <w:b/>
          <w:bCs/>
          <w:sz w:val="32"/>
          <w:szCs w:val="32"/>
          <w:rtl/>
        </w:rPr>
        <w:t xml:space="preserve">(لو دار أمره بين الصلاة قائماً </w:t>
      </w:r>
      <w:proofErr w:type="spellStart"/>
      <w:r w:rsidRPr="00F27422">
        <w:rPr>
          <w:b/>
          <w:bCs/>
          <w:sz w:val="32"/>
          <w:szCs w:val="32"/>
          <w:rtl/>
        </w:rPr>
        <w:t>مومياً</w:t>
      </w:r>
      <w:proofErr w:type="spellEnd"/>
      <w:r w:rsidRPr="00F27422">
        <w:rPr>
          <w:b/>
          <w:bCs/>
          <w:sz w:val="32"/>
          <w:szCs w:val="32"/>
          <w:rtl/>
        </w:rPr>
        <w:t xml:space="preserve"> أو جالساً مع الركوع والسجود فالأحوط تكرار الصلاة، وفي الضيق يتخير بين الأمرين) </w:t>
      </w:r>
      <w:r w:rsidRPr="00F27422">
        <w:rPr>
          <w:sz w:val="32"/>
          <w:szCs w:val="32"/>
          <w:rtl/>
        </w:rPr>
        <w:t>أي: أنّ المكلف إذا قام في ظرف القراءة لَمْ يقدر على الركوع والسجود الاختياريين، وإذا جلس وقت القراءة أمكنه النهوضُ للركوع والقيام بالسجود الاختياريين، وهذا مِن الدوران بين واجبين متفاوتين زماناً؛ حيثُ إنّ القيام للقراءة سابقٌ زماناً على ظرف الركوع والسجود</w:t>
      </w:r>
      <w:r w:rsidRPr="00F27422">
        <w:rPr>
          <w:sz w:val="32"/>
          <w:szCs w:val="32"/>
        </w:rPr>
        <w:t>.</w:t>
      </w:r>
    </w:p>
    <w:p w14:paraId="6735AE3F" w14:textId="77777777" w:rsidR="00A87C4C" w:rsidRPr="00F27422" w:rsidRDefault="00A87C4C" w:rsidP="00122B70">
      <w:pPr>
        <w:tabs>
          <w:tab w:val="left" w:pos="1070"/>
        </w:tabs>
        <w:bidi/>
        <w:rPr>
          <w:b/>
          <w:bCs/>
          <w:sz w:val="32"/>
          <w:szCs w:val="32"/>
          <w:rtl/>
        </w:rPr>
      </w:pPr>
      <w:r w:rsidRPr="00F27422">
        <w:rPr>
          <w:sz w:val="32"/>
          <w:szCs w:val="32"/>
          <w:rtl/>
        </w:rPr>
        <w:lastRenderedPageBreak/>
        <w:t xml:space="preserve">فهنا قال السيد الحكيم (قدس سره الشريف): </w:t>
      </w:r>
      <w:r w:rsidRPr="00F27422">
        <w:rPr>
          <w:b/>
          <w:bCs/>
          <w:sz w:val="32"/>
          <w:szCs w:val="32"/>
          <w:rtl/>
        </w:rPr>
        <w:t>(لأن التكليف بالجزء الأول يقتضي صرف قدرة المكلف فيه)</w:t>
      </w:r>
      <w:r w:rsidRPr="00F27422">
        <w:rPr>
          <w:sz w:val="32"/>
          <w:szCs w:val="32"/>
          <w:rtl/>
        </w:rPr>
        <w:t xml:space="preserve"> أي: في القيام </w:t>
      </w:r>
      <w:r w:rsidRPr="00F27422">
        <w:rPr>
          <w:b/>
          <w:bCs/>
          <w:sz w:val="32"/>
          <w:szCs w:val="32"/>
          <w:rtl/>
        </w:rPr>
        <w:t>(والتكليف بالجزء الثاني)</w:t>
      </w:r>
      <w:r w:rsidRPr="00F27422">
        <w:rPr>
          <w:sz w:val="32"/>
          <w:szCs w:val="32"/>
          <w:rtl/>
        </w:rPr>
        <w:t xml:space="preserve"> وهو الركوع والسجود </w:t>
      </w:r>
      <w:r w:rsidRPr="00F27422">
        <w:rPr>
          <w:b/>
          <w:bCs/>
          <w:sz w:val="32"/>
          <w:szCs w:val="32"/>
          <w:rtl/>
        </w:rPr>
        <w:t xml:space="preserve">(يقتضي أيضاً حفظ القدرة لتصرف فيه، فإن كان مرجح لأحد الاقتضائين لأهمية الملاك) </w:t>
      </w:r>
      <w:r w:rsidRPr="00F27422">
        <w:rPr>
          <w:sz w:val="32"/>
          <w:szCs w:val="32"/>
          <w:rtl/>
        </w:rPr>
        <w:t xml:space="preserve">أي: الترجيح بأهمية الملاك </w:t>
      </w:r>
      <w:r w:rsidRPr="00F27422">
        <w:rPr>
          <w:b/>
          <w:bCs/>
          <w:sz w:val="32"/>
          <w:szCs w:val="32"/>
          <w:rtl/>
        </w:rPr>
        <w:t>(قدم وإن كان متأخراً زماناً)</w:t>
      </w:r>
      <w:r w:rsidRPr="00F27422">
        <w:rPr>
          <w:sz w:val="32"/>
          <w:szCs w:val="32"/>
          <w:rtl/>
        </w:rPr>
        <w:t xml:space="preserve"> لو فرض أنّ الركوع والسجود الاختياريين أهم </w:t>
      </w:r>
      <w:r w:rsidRPr="00F27422">
        <w:rPr>
          <w:b/>
          <w:bCs/>
          <w:sz w:val="32"/>
          <w:szCs w:val="32"/>
          <w:rtl/>
        </w:rPr>
        <w:t xml:space="preserve">(وإلا </w:t>
      </w:r>
      <w:proofErr w:type="gramStart"/>
      <w:r w:rsidRPr="00F27422">
        <w:rPr>
          <w:b/>
          <w:bCs/>
          <w:sz w:val="32"/>
          <w:szCs w:val="32"/>
          <w:rtl/>
        </w:rPr>
        <w:t>يتخير ،والتقدم</w:t>
      </w:r>
      <w:proofErr w:type="gramEnd"/>
      <w:r w:rsidRPr="00F27422">
        <w:rPr>
          <w:b/>
          <w:bCs/>
          <w:sz w:val="32"/>
          <w:szCs w:val="32"/>
          <w:rtl/>
        </w:rPr>
        <w:t xml:space="preserve"> الزماني لا أثر له في الترجيح في نظر العقل</w:t>
      </w:r>
      <w:r w:rsidRPr="00F27422">
        <w:rPr>
          <w:b/>
          <w:bCs/>
          <w:sz w:val="32"/>
          <w:szCs w:val="32"/>
        </w:rPr>
        <w:t>.</w:t>
      </w:r>
    </w:p>
    <w:p w14:paraId="116A830D" w14:textId="77777777" w:rsidR="00A87C4C" w:rsidRPr="00F27422" w:rsidRDefault="00A87C4C" w:rsidP="00122B70">
      <w:pPr>
        <w:tabs>
          <w:tab w:val="left" w:pos="1070"/>
        </w:tabs>
        <w:bidi/>
        <w:rPr>
          <w:sz w:val="32"/>
          <w:szCs w:val="32"/>
          <w:rtl/>
        </w:rPr>
      </w:pPr>
      <w:r w:rsidRPr="00F27422">
        <w:rPr>
          <w:b/>
          <w:bCs/>
          <w:sz w:val="32"/>
          <w:szCs w:val="32"/>
          <w:rtl/>
        </w:rPr>
        <w:t>نعم لو قيل بعدم وجوب حفظ القدرة إلى زمان الفعل)</w:t>
      </w:r>
      <w:r w:rsidRPr="00F27422">
        <w:rPr>
          <w:sz w:val="32"/>
          <w:szCs w:val="32"/>
          <w:rtl/>
        </w:rPr>
        <w:t xml:space="preserve"> أي: زمان الركوع والسجود </w:t>
      </w:r>
      <w:r w:rsidRPr="00F27422">
        <w:rPr>
          <w:b/>
          <w:bCs/>
          <w:sz w:val="32"/>
          <w:szCs w:val="32"/>
          <w:rtl/>
        </w:rPr>
        <w:t>(وجب القول بتعين فعل الأول، لعدم المزاحم له)</w:t>
      </w:r>
      <w:r w:rsidRPr="00F27422">
        <w:rPr>
          <w:sz w:val="32"/>
          <w:szCs w:val="32"/>
          <w:rtl/>
        </w:rPr>
        <w:t xml:space="preserve"> لأنّ المزاحم له وجوب حفظ القدرة </w:t>
      </w:r>
      <w:proofErr w:type="spellStart"/>
      <w:r w:rsidRPr="00F27422">
        <w:rPr>
          <w:sz w:val="32"/>
          <w:szCs w:val="32"/>
          <w:rtl/>
        </w:rPr>
        <w:t>ولايجب</w:t>
      </w:r>
      <w:proofErr w:type="spellEnd"/>
      <w:r w:rsidRPr="00F27422">
        <w:rPr>
          <w:sz w:val="32"/>
          <w:szCs w:val="32"/>
          <w:rtl/>
        </w:rPr>
        <w:t xml:space="preserve"> </w:t>
      </w:r>
      <w:r w:rsidRPr="00F27422">
        <w:rPr>
          <w:b/>
          <w:bCs/>
          <w:sz w:val="32"/>
          <w:szCs w:val="32"/>
          <w:rtl/>
        </w:rPr>
        <w:t xml:space="preserve">(حال فعله. لكنه خلاف التحقيق، إذ لا فرق في نظر العقل في حرمة تفويت الواجب بتفويت مقدمته) </w:t>
      </w:r>
      <w:r w:rsidRPr="00F27422">
        <w:rPr>
          <w:sz w:val="32"/>
          <w:szCs w:val="32"/>
          <w:rtl/>
        </w:rPr>
        <w:t xml:space="preserve">وهي القدرة </w:t>
      </w:r>
      <w:r w:rsidRPr="00F27422">
        <w:rPr>
          <w:b/>
          <w:bCs/>
          <w:sz w:val="32"/>
          <w:szCs w:val="32"/>
          <w:rtl/>
        </w:rPr>
        <w:t>(بين ما قبل وقته وما بعده).</w:t>
      </w:r>
    </w:p>
    <w:p w14:paraId="3E324D3C" w14:textId="77777777" w:rsidR="00A87C4C" w:rsidRPr="00F27422" w:rsidRDefault="00A87C4C" w:rsidP="00122B70">
      <w:pPr>
        <w:tabs>
          <w:tab w:val="left" w:pos="1070"/>
        </w:tabs>
        <w:bidi/>
        <w:rPr>
          <w:sz w:val="32"/>
          <w:szCs w:val="32"/>
          <w:rtl/>
        </w:rPr>
      </w:pPr>
      <w:r w:rsidRPr="00F27422">
        <w:rPr>
          <w:sz w:val="32"/>
          <w:szCs w:val="32"/>
          <w:rtl/>
        </w:rPr>
        <w:t xml:space="preserve">وليس هذا حكماً </w:t>
      </w:r>
      <w:proofErr w:type="gramStart"/>
      <w:r w:rsidRPr="00F27422">
        <w:rPr>
          <w:sz w:val="32"/>
          <w:szCs w:val="32"/>
          <w:rtl/>
        </w:rPr>
        <w:t>عقلياً</w:t>
      </w:r>
      <w:proofErr w:type="gramEnd"/>
      <w:r w:rsidRPr="00F27422">
        <w:rPr>
          <w:sz w:val="32"/>
          <w:szCs w:val="32"/>
          <w:rtl/>
        </w:rPr>
        <w:t xml:space="preserve"> بل عقلائياً أيضاً؛ حيث قال (قدس سره): </w:t>
      </w:r>
      <w:r w:rsidRPr="00F27422">
        <w:rPr>
          <w:b/>
          <w:bCs/>
          <w:sz w:val="32"/>
          <w:szCs w:val="32"/>
          <w:rtl/>
        </w:rPr>
        <w:t>(والرجوع إلى العقلاء شاهد بذلك)</w:t>
      </w:r>
      <w:r w:rsidRPr="00F27422">
        <w:rPr>
          <w:b/>
          <w:bCs/>
          <w:sz w:val="32"/>
          <w:szCs w:val="32"/>
          <w:vertAlign w:val="superscript"/>
          <w:rtl/>
        </w:rPr>
        <w:footnoteReference w:id="46"/>
      </w:r>
      <w:r w:rsidRPr="00F27422">
        <w:rPr>
          <w:b/>
          <w:bCs/>
          <w:sz w:val="32"/>
          <w:szCs w:val="32"/>
          <w:rtl/>
        </w:rPr>
        <w:t>.</w:t>
      </w:r>
    </w:p>
    <w:p w14:paraId="2AC9C386" w14:textId="77777777" w:rsidR="00A87C4C" w:rsidRPr="00F27422" w:rsidRDefault="00A87C4C" w:rsidP="00122B70">
      <w:pPr>
        <w:tabs>
          <w:tab w:val="left" w:pos="1070"/>
        </w:tabs>
        <w:bidi/>
        <w:rPr>
          <w:sz w:val="32"/>
          <w:szCs w:val="32"/>
          <w:rtl/>
        </w:rPr>
      </w:pPr>
      <w:r w:rsidRPr="00F27422">
        <w:rPr>
          <w:sz w:val="32"/>
          <w:szCs w:val="32"/>
          <w:rtl/>
        </w:rPr>
        <w:t>أي: أنّ الرجوع للعقلاء شاهدٌ بأنّه لا فرق بين لزوم صرف القدرة في المتقدم أو حفظ القدرة على المتأخر، فكلاهما في عرضٍ واحدٍ، ولا مرجح لأحدهما على الآخر</w:t>
      </w:r>
      <w:r w:rsidRPr="00F27422">
        <w:rPr>
          <w:sz w:val="32"/>
          <w:szCs w:val="32"/>
        </w:rPr>
        <w:t>.</w:t>
      </w:r>
    </w:p>
    <w:p w14:paraId="195EC585" w14:textId="77777777" w:rsidR="00A87C4C" w:rsidRPr="00F27422" w:rsidRDefault="00A87C4C" w:rsidP="00122B70">
      <w:pPr>
        <w:tabs>
          <w:tab w:val="left" w:pos="1070"/>
        </w:tabs>
        <w:bidi/>
        <w:rPr>
          <w:sz w:val="32"/>
          <w:szCs w:val="32"/>
          <w:rtl/>
        </w:rPr>
      </w:pPr>
      <w:r w:rsidRPr="00F27422">
        <w:rPr>
          <w:b/>
          <w:bCs/>
          <w:sz w:val="32"/>
          <w:szCs w:val="32"/>
          <w:rtl/>
        </w:rPr>
        <w:t>المبحث الرابع المتعلق بالوجه المذكور في المستمسك:</w:t>
      </w:r>
    </w:p>
    <w:p w14:paraId="63CC50FD" w14:textId="77777777" w:rsidR="00A87C4C" w:rsidRPr="00F27422" w:rsidRDefault="00A87C4C" w:rsidP="00122B70">
      <w:pPr>
        <w:tabs>
          <w:tab w:val="left" w:pos="1070"/>
        </w:tabs>
        <w:bidi/>
        <w:rPr>
          <w:sz w:val="32"/>
          <w:szCs w:val="32"/>
          <w:rtl/>
        </w:rPr>
      </w:pPr>
      <w:r w:rsidRPr="00F27422">
        <w:rPr>
          <w:b/>
          <w:bCs/>
          <w:sz w:val="32"/>
          <w:szCs w:val="32"/>
          <w:rtl/>
        </w:rPr>
        <w:t>قد يُقال:</w:t>
      </w:r>
      <w:r w:rsidRPr="00F27422">
        <w:rPr>
          <w:sz w:val="32"/>
          <w:szCs w:val="32"/>
          <w:rtl/>
        </w:rPr>
        <w:t xml:space="preserve"> بتقدم وجوب التمكين على وجوب الوفاء بعقد الإجارة؛ لأنّ وجوب التمكين لا منافي لَهُ في ظرفه؛ وذلك لانتفاء موضوع وجوب الوفاء بعقد الإجارة لبطلانها، والوجه في بطلان الإجارة ما أشار إليه في المستمسك مِن "</w:t>
      </w:r>
      <w:r w:rsidRPr="00F27422">
        <w:rPr>
          <w:color w:val="7030A0"/>
          <w:sz w:val="32"/>
          <w:szCs w:val="32"/>
          <w:rtl/>
        </w:rPr>
        <w:t>أنّ القدرة على التسليم شرطٌ في صحّة الإجارة والمرأة غير قادرة على التسليم؛ لأنّها مخاطبةٌ بوجوب التمكين</w:t>
      </w:r>
      <w:r w:rsidRPr="00F27422">
        <w:rPr>
          <w:sz w:val="32"/>
          <w:szCs w:val="32"/>
          <w:rtl/>
        </w:rPr>
        <w:t>".</w:t>
      </w:r>
    </w:p>
    <w:p w14:paraId="304BD34D" w14:textId="77777777" w:rsidR="00A87C4C" w:rsidRPr="00F27422" w:rsidRDefault="00A87C4C" w:rsidP="00122B70">
      <w:pPr>
        <w:tabs>
          <w:tab w:val="left" w:pos="1070"/>
        </w:tabs>
        <w:bidi/>
        <w:rPr>
          <w:sz w:val="32"/>
          <w:szCs w:val="32"/>
          <w:rtl/>
        </w:rPr>
      </w:pPr>
      <w:r w:rsidRPr="00F27422">
        <w:rPr>
          <w:b/>
          <w:bCs/>
          <w:sz w:val="32"/>
          <w:szCs w:val="32"/>
          <w:rtl/>
        </w:rPr>
        <w:t>ولكن يلاحظ على ذلك:</w:t>
      </w:r>
      <w:r w:rsidRPr="00F27422">
        <w:rPr>
          <w:sz w:val="32"/>
          <w:szCs w:val="32"/>
          <w:rtl/>
        </w:rPr>
        <w:t xml:space="preserve"> أنّ القدرة على التسليم التي هي شرطٌ في صحّة الإجارة هي القدرة التكوينية، ولا يُحرز شمولها للقدرة الشرعية؛ لأنّ مدرك اعتبار القدرة في صحّة الإجارة لا إطلاق له للقدرة الشرعية؛ فإنّ مدرك اعتبار القدرة على التسليم في صحّة الإجارة: أنّ الغرض النوعي المقوم لصحّة الإجارة وهو تبادل المالين منتفٍ في فرض عجز الأجير عن التسليم، وبما أنّ الغرض النوعي منتفٍ فالإجارة باطلة.</w:t>
      </w:r>
    </w:p>
    <w:p w14:paraId="67F5FF32" w14:textId="77777777" w:rsidR="00A87C4C" w:rsidRPr="00F27422" w:rsidRDefault="00A87C4C" w:rsidP="00122B70">
      <w:pPr>
        <w:tabs>
          <w:tab w:val="left" w:pos="1070"/>
        </w:tabs>
        <w:bidi/>
        <w:rPr>
          <w:sz w:val="32"/>
          <w:szCs w:val="32"/>
          <w:rtl/>
        </w:rPr>
      </w:pPr>
      <w:r w:rsidRPr="00F27422">
        <w:rPr>
          <w:b/>
          <w:bCs/>
          <w:sz w:val="32"/>
          <w:szCs w:val="32"/>
          <w:rtl/>
        </w:rPr>
        <w:t>أو فقل:</w:t>
      </w:r>
      <w:r w:rsidRPr="00F27422">
        <w:rPr>
          <w:sz w:val="32"/>
          <w:szCs w:val="32"/>
          <w:rtl/>
        </w:rPr>
        <w:t xml:space="preserve"> كما ذكره المحقّق الأصفهاني وسيدنا الخوئي (قدس سرهما) أنّ العمل إذا كان ممتنعاً في حقّ الأجير فهو خارجٌ عن قابلية التملك، وإذا كان خارجاً عن قابلية التملك فكيف يقوم بتمليكه للمستأجر، أو محذور اللغوية، ومِن الواضح عدم شمول هذا المِلاك للعجز الشرعي، </w:t>
      </w:r>
      <w:r w:rsidRPr="00F27422">
        <w:rPr>
          <w:sz w:val="32"/>
          <w:szCs w:val="32"/>
          <w:rtl/>
        </w:rPr>
        <w:lastRenderedPageBreak/>
        <w:t>بينما لو كان المكلف قادراً تكويناً على الإتيان بمتعلق الإجارة لكنه عاجزٌ شرعاً فإنّه لا يرد على صحّة الإجارة أيُّ محذور؛ لتحقق الغرض النوعي منها وإمكان التمليك فيها، ولا لغوية في شمول الإجارة لمثل هذا الفرض وإنْ كان الأجير عاجزاً شرعاً</w:t>
      </w:r>
      <w:r w:rsidRPr="00F27422">
        <w:rPr>
          <w:sz w:val="32"/>
          <w:szCs w:val="32"/>
        </w:rPr>
        <w:t>.</w:t>
      </w:r>
    </w:p>
    <w:p w14:paraId="634C1347" w14:textId="77777777" w:rsidR="00A87C4C" w:rsidRPr="00F27422" w:rsidRDefault="00A87C4C" w:rsidP="00122B70">
      <w:pPr>
        <w:tabs>
          <w:tab w:val="left" w:pos="1070"/>
        </w:tabs>
        <w:bidi/>
        <w:rPr>
          <w:sz w:val="32"/>
          <w:szCs w:val="32"/>
          <w:rtl/>
        </w:rPr>
      </w:pPr>
      <w:r w:rsidRPr="00F27422">
        <w:rPr>
          <w:b/>
          <w:bCs/>
          <w:sz w:val="32"/>
          <w:szCs w:val="32"/>
          <w:rtl/>
        </w:rPr>
        <w:t>وقد يقال:</w:t>
      </w:r>
      <w:r w:rsidRPr="00F27422">
        <w:rPr>
          <w:sz w:val="32"/>
          <w:szCs w:val="32"/>
          <w:rtl/>
        </w:rPr>
        <w:t xml:space="preserve"> - كما أشرنا له في بحث الحج - في توجيه اعتبار القدرة الشرعية في صحّة الإجارة بأحد وجهين، وبيانه:</w:t>
      </w:r>
    </w:p>
    <w:p w14:paraId="788C7D21" w14:textId="77777777" w:rsidR="00A87C4C" w:rsidRPr="00F27422" w:rsidRDefault="00A87C4C" w:rsidP="00122B70">
      <w:pPr>
        <w:tabs>
          <w:tab w:val="left" w:pos="1070"/>
        </w:tabs>
        <w:bidi/>
        <w:rPr>
          <w:sz w:val="32"/>
          <w:szCs w:val="32"/>
          <w:rtl/>
        </w:rPr>
      </w:pPr>
      <w:r w:rsidRPr="00F27422">
        <w:rPr>
          <w:b/>
          <w:bCs/>
          <w:sz w:val="32"/>
          <w:szCs w:val="32"/>
          <w:rtl/>
        </w:rPr>
        <w:t>الأوّل:</w:t>
      </w:r>
      <w:r w:rsidRPr="00F27422">
        <w:rPr>
          <w:sz w:val="32"/>
          <w:szCs w:val="32"/>
          <w:rtl/>
        </w:rPr>
        <w:t xml:space="preserve"> أنّ الواجبات الإمضائية كالعقود والمعاملات متقومة بالتعهد والالتزام؛ فعقد الإجارة مثلاً عبارةٌ عن تعهد الأجير والتزامه للمستأجر بأداء العمل، وبما أنّ حقيقة الواجبات الإمضائية هي التعهد والالتزام، فإنّ التعهد والالتزام إنّما يتصور في فرض كون متعلقه مقدوراً للمكلف عقلاً وعرفاً لا مطلقاً، وذلك يقتضي كون معنى شمول قوله تعالى: </w:t>
      </w:r>
      <w:r w:rsidRPr="00F27422">
        <w:rPr>
          <w:b/>
          <w:bCs/>
          <w:sz w:val="32"/>
          <w:szCs w:val="32"/>
          <w:rtl/>
        </w:rPr>
        <w:t>{يَا أَيُّهَا الَّذِينَ آمَنُوا أَوْفُوا بِالْعُقُودِ}</w:t>
      </w:r>
      <w:r w:rsidRPr="00F27422">
        <w:rPr>
          <w:sz w:val="32"/>
          <w:szCs w:val="32"/>
          <w:vertAlign w:val="superscript"/>
          <w:rtl/>
        </w:rPr>
        <w:footnoteReference w:id="47"/>
      </w:r>
      <w:r w:rsidRPr="00F27422">
        <w:rPr>
          <w:sz w:val="32"/>
          <w:szCs w:val="32"/>
          <w:rtl/>
        </w:rPr>
        <w:t xml:space="preserve"> له هو وجوب الوفاء بما التزم به الأجيرُ للمُستأجر، فكما أنّ متعلقه يقتضي الاختصاص بالمقدور عرفاً فإنّ أثره وهو وجوب الوفاء خاص بالمقدور شرعاً لكون المكلف بنظر العرف غير قادر على ما هو ممنوعٌ عنه شرعاً.</w:t>
      </w:r>
    </w:p>
    <w:p w14:paraId="40A9623C" w14:textId="77777777" w:rsidR="00A87C4C" w:rsidRPr="00F27422" w:rsidRDefault="00A87C4C" w:rsidP="00122B70">
      <w:pPr>
        <w:tabs>
          <w:tab w:val="left" w:pos="1070"/>
        </w:tabs>
        <w:bidi/>
        <w:rPr>
          <w:sz w:val="32"/>
          <w:szCs w:val="32"/>
          <w:rtl/>
        </w:rPr>
      </w:pPr>
      <w:r w:rsidRPr="00F27422">
        <w:rPr>
          <w:b/>
          <w:bCs/>
          <w:sz w:val="32"/>
          <w:szCs w:val="32"/>
          <w:rtl/>
        </w:rPr>
        <w:t xml:space="preserve">الثاني: </w:t>
      </w:r>
      <w:r w:rsidRPr="00F27422">
        <w:rPr>
          <w:sz w:val="32"/>
          <w:szCs w:val="32"/>
          <w:rtl/>
        </w:rPr>
        <w:t>أنّه لا يحتمل أنّ يكلف الشارع بالوفاء بما التزم به وهو على خلاف حكمٍ شرعي آخر، كأنْ يكلفه بصنع الخمر مِن باب وجوب الوفاء بالعقد مع كونه محرماً؛ لاستلزامه نقض الغرض مِن حكمه الآخر، أو التهافت أو اللغوية</w:t>
      </w:r>
      <w:r w:rsidRPr="00F27422">
        <w:rPr>
          <w:sz w:val="32"/>
          <w:szCs w:val="32"/>
        </w:rPr>
        <w:t>.</w:t>
      </w:r>
    </w:p>
    <w:p w14:paraId="3D2A6C64" w14:textId="77777777" w:rsidR="00A87C4C" w:rsidRPr="00F27422" w:rsidRDefault="00A87C4C" w:rsidP="00122B70">
      <w:pPr>
        <w:tabs>
          <w:tab w:val="left" w:pos="1070"/>
        </w:tabs>
        <w:bidi/>
        <w:rPr>
          <w:sz w:val="32"/>
          <w:szCs w:val="32"/>
          <w:rtl/>
        </w:rPr>
      </w:pPr>
      <w:r w:rsidRPr="00F27422">
        <w:rPr>
          <w:sz w:val="32"/>
          <w:szCs w:val="32"/>
          <w:rtl/>
        </w:rPr>
        <w:t>وبالتالي فكما تنتفي صحّة الإجارة بالعجز التكويني عن متعلقها، فإنّها تبطل بالعجز الشرعي؛ إذ لا يحتمل مِن الشارع أنْ يوجب عليه الوفاء بما هو محرمٌ</w:t>
      </w:r>
      <w:r w:rsidRPr="00F27422">
        <w:rPr>
          <w:sz w:val="32"/>
          <w:szCs w:val="32"/>
        </w:rPr>
        <w:t>.</w:t>
      </w:r>
    </w:p>
    <w:p w14:paraId="1F8D14F1" w14:textId="77777777" w:rsidR="00A87C4C" w:rsidRPr="00F27422" w:rsidRDefault="00A87C4C" w:rsidP="00122B70">
      <w:pPr>
        <w:tabs>
          <w:tab w:val="left" w:pos="1070"/>
        </w:tabs>
        <w:bidi/>
        <w:rPr>
          <w:sz w:val="32"/>
          <w:szCs w:val="32"/>
          <w:rtl/>
        </w:rPr>
      </w:pPr>
      <w:r w:rsidRPr="00F27422">
        <w:rPr>
          <w:b/>
          <w:bCs/>
          <w:sz w:val="32"/>
          <w:szCs w:val="32"/>
          <w:rtl/>
        </w:rPr>
        <w:t>ولكن يرد على الوجه الأوّل:</w:t>
      </w:r>
      <w:r w:rsidRPr="00F27422">
        <w:rPr>
          <w:sz w:val="32"/>
          <w:szCs w:val="32"/>
          <w:rtl/>
        </w:rPr>
        <w:t xml:space="preserve"> أنّ بعض الواجبات الإمضائية وإنْ كانتْ مِن قبيل التعهد كالنذر والعهد والشرط، إلّا أنّ ذلك ليس مطرداً فيها، فقد سبق في أوّل بحث الإجارة أنّ تعريف المحقّق النائيني (قدس سره) للعقود بأنّها العهد المؤكد مما لا يتطابق مع المرتكزات العرفية؛ بل العقد إنشاء ربط إيجابٍ بقبولٍ لتحقيق علقةٍ وضعيةٍ وإنْ لَمْ يكن متضمناً لتعهدٍ والتزامٍ.</w:t>
      </w:r>
    </w:p>
    <w:p w14:paraId="02692883" w14:textId="77777777" w:rsidR="00A87C4C" w:rsidRPr="00F27422" w:rsidRDefault="00A87C4C" w:rsidP="00122B70">
      <w:pPr>
        <w:tabs>
          <w:tab w:val="left" w:pos="1070"/>
        </w:tabs>
        <w:bidi/>
        <w:rPr>
          <w:sz w:val="32"/>
          <w:szCs w:val="32"/>
          <w:rtl/>
        </w:rPr>
      </w:pPr>
      <w:r w:rsidRPr="00F27422">
        <w:rPr>
          <w:b/>
          <w:bCs/>
          <w:sz w:val="32"/>
          <w:szCs w:val="32"/>
          <w:rtl/>
        </w:rPr>
        <w:t>ويردُ على كلا الوجهين:</w:t>
      </w:r>
      <w:r w:rsidRPr="00F27422">
        <w:rPr>
          <w:sz w:val="32"/>
          <w:szCs w:val="32"/>
          <w:rtl/>
        </w:rPr>
        <w:t xml:space="preserve"> أنّه على فرض أنّ مرجع العقود إلى العهود والالتزامات، وأنّ المنظور في وجوب الوفاء هو وجوب ما التزم به الأجيرُ للمُستأجر مِن العمل في حدود القدرة العرفية لا مطلقاً،  فإنّ غايته عدم عرضية الوجوبين، أي: عدم شمول وجوب الوفاء بالعقد على الأجير لفرض انقياده للواجب الآخر - وهو وجوب التمكين -، ولكن لو عصى وجوب التمكين فإنّ شمول وجوب الوفاء بعقد الإجارة لَهُ مما لا محذور فيه، حيثُ إنّه حينئذٍ قادرٌ عرفاً </w:t>
      </w:r>
      <w:r w:rsidRPr="00F27422">
        <w:rPr>
          <w:sz w:val="32"/>
          <w:szCs w:val="32"/>
          <w:rtl/>
        </w:rPr>
        <w:lastRenderedPageBreak/>
        <w:t>على الوفاء بالعقد كما لا يلزم مِن وجوب الوفاء لا نقض غرض ولا تهافت ولا لغوية لأحد الوجوبين؛ ولذلك قلنا بصحة الترتُب حتى في الواجبات الإمضائية؛ إذ المحذور في اجتماع الحكمين في عرضٍ واحدٍ، وأمّا كون أحدهما في طول ترك امتثال الآخر فمما لا مانع منه؛ حيث لا مانع أصلا من اجتماع مِلكيَّة المُستأجر العملَ في ذمّة الأجير واشتغال عهدة الأجير بحقّ التمكين للزوج كحكمين وضعيين في زمانٍ واحدٍ، وإنّما المشكلة في الحكم التكليفي وهي الجمع بين وجوب التمكين ووجوب الوفاء، وبما أنّ المشكلة في الحكم التكليفي فعلاجُ المشكلة كسائر موارد التزاحم بالترتُب، فيجبُ الوفاءُ على المرأة بعقد الإجارة إذا تركت امتثال وجوب التمكين لغفلةٍ أو جهلٍ أو عصيانٍ</w:t>
      </w:r>
      <w:r w:rsidRPr="00F27422">
        <w:rPr>
          <w:sz w:val="32"/>
          <w:szCs w:val="32"/>
        </w:rPr>
        <w:t>.</w:t>
      </w:r>
    </w:p>
    <w:p w14:paraId="1743DD98" w14:textId="77777777" w:rsidR="00A87C4C" w:rsidRPr="00F27422" w:rsidRDefault="00A87C4C" w:rsidP="00122B70">
      <w:pPr>
        <w:tabs>
          <w:tab w:val="left" w:pos="1070"/>
        </w:tabs>
        <w:bidi/>
        <w:rPr>
          <w:sz w:val="32"/>
          <w:szCs w:val="32"/>
          <w:rtl/>
        </w:rPr>
      </w:pPr>
      <w:r w:rsidRPr="00F27422">
        <w:rPr>
          <w:sz w:val="32"/>
          <w:szCs w:val="32"/>
          <w:rtl/>
        </w:rPr>
        <w:t>هذا تمام الكلام في هذا الوجه الأول لتقديم وجوب الوفاء بعقد الإجارة على وجوب التمكين وهو السبق الزماني، وما فصل مِن الكلام فيه.</w:t>
      </w:r>
    </w:p>
    <w:p w14:paraId="2198C5F2" w14:textId="77777777" w:rsidR="00A87C4C" w:rsidRPr="00F27422" w:rsidRDefault="00A87C4C" w:rsidP="00122B70">
      <w:pPr>
        <w:tabs>
          <w:tab w:val="left" w:pos="1070"/>
        </w:tabs>
        <w:bidi/>
        <w:rPr>
          <w:sz w:val="32"/>
          <w:szCs w:val="32"/>
          <w:rtl/>
        </w:rPr>
      </w:pPr>
    </w:p>
    <w:p w14:paraId="7CEEA875" w14:textId="77777777" w:rsidR="00A87C4C" w:rsidRPr="00F27422" w:rsidRDefault="00A87C4C" w:rsidP="00122B70">
      <w:pPr>
        <w:tabs>
          <w:tab w:val="left" w:pos="1070"/>
        </w:tabs>
        <w:bidi/>
        <w:rPr>
          <w:sz w:val="32"/>
          <w:szCs w:val="32"/>
          <w:rtl/>
        </w:rPr>
      </w:pPr>
      <w:r w:rsidRPr="00F27422">
        <w:rPr>
          <w:b/>
          <w:bCs/>
          <w:sz w:val="32"/>
          <w:szCs w:val="32"/>
          <w:rtl/>
        </w:rPr>
        <w:t>والحمد لله رب العالمين</w:t>
      </w:r>
    </w:p>
    <w:p w14:paraId="600A53BD" w14:textId="77777777" w:rsidR="00B276C7" w:rsidRPr="00F27422" w:rsidRDefault="00B276C7" w:rsidP="00122B70">
      <w:pPr>
        <w:tabs>
          <w:tab w:val="left" w:pos="1070"/>
        </w:tabs>
        <w:bidi/>
        <w:rPr>
          <w:sz w:val="32"/>
          <w:szCs w:val="32"/>
          <w:rtl/>
        </w:rPr>
      </w:pPr>
    </w:p>
    <w:p w14:paraId="5F4DD042" w14:textId="77777777" w:rsidR="00A87C4C" w:rsidRPr="00F27422" w:rsidRDefault="00A87C4C" w:rsidP="00122B70">
      <w:pPr>
        <w:tabs>
          <w:tab w:val="left" w:pos="1070"/>
        </w:tabs>
        <w:bidi/>
        <w:rPr>
          <w:sz w:val="32"/>
          <w:szCs w:val="32"/>
          <w:rtl/>
        </w:rPr>
      </w:pPr>
    </w:p>
    <w:p w14:paraId="4AEB482A" w14:textId="75F2D9A0" w:rsidR="00A87C4C" w:rsidRPr="00F27422" w:rsidRDefault="00A87C4C" w:rsidP="00122B70">
      <w:pPr>
        <w:pStyle w:val="Heading3"/>
        <w:bidi/>
        <w:rPr>
          <w:sz w:val="32"/>
          <w:szCs w:val="32"/>
          <w:rtl/>
        </w:rPr>
      </w:pPr>
      <w:r w:rsidRPr="00F27422">
        <w:rPr>
          <w:rFonts w:hint="cs"/>
          <w:sz w:val="32"/>
          <w:szCs w:val="32"/>
          <w:rtl/>
        </w:rPr>
        <w:t>071</w:t>
      </w:r>
    </w:p>
    <w:p w14:paraId="313BAD6A" w14:textId="77777777" w:rsidR="003D4065" w:rsidRPr="00F27422" w:rsidRDefault="003D4065" w:rsidP="00122B70">
      <w:pPr>
        <w:tabs>
          <w:tab w:val="left" w:pos="1070"/>
        </w:tabs>
        <w:bidi/>
        <w:rPr>
          <w:b/>
          <w:bCs/>
          <w:sz w:val="32"/>
          <w:szCs w:val="32"/>
        </w:rPr>
      </w:pPr>
      <w:r w:rsidRPr="00F27422">
        <w:rPr>
          <w:b/>
          <w:bCs/>
          <w:sz w:val="32"/>
          <w:szCs w:val="32"/>
          <w:rtl/>
        </w:rPr>
        <w:t>بسم الله الرحمن الرحيم</w:t>
      </w:r>
    </w:p>
    <w:p w14:paraId="59789B0A" w14:textId="77777777" w:rsidR="003D4065" w:rsidRPr="00F27422" w:rsidRDefault="003D4065" w:rsidP="00122B70">
      <w:pPr>
        <w:tabs>
          <w:tab w:val="left" w:pos="1070"/>
        </w:tabs>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02E0BF2E" w14:textId="77777777" w:rsidR="003D4065" w:rsidRPr="00F27422" w:rsidRDefault="003D4065" w:rsidP="00122B70">
      <w:pPr>
        <w:tabs>
          <w:tab w:val="left" w:pos="1070"/>
        </w:tabs>
        <w:bidi/>
        <w:rPr>
          <w:sz w:val="32"/>
          <w:szCs w:val="32"/>
          <w:rtl/>
        </w:rPr>
      </w:pPr>
      <w:r w:rsidRPr="00F27422">
        <w:rPr>
          <w:b/>
          <w:bCs/>
          <w:sz w:val="32"/>
          <w:szCs w:val="32"/>
          <w:rtl/>
        </w:rPr>
        <w:t>واللعن الدائم على أعدائهم أجمعين إلى قيام يوم الدين</w:t>
      </w:r>
    </w:p>
    <w:p w14:paraId="0312F472" w14:textId="77777777" w:rsidR="003D4065" w:rsidRPr="00F27422" w:rsidRDefault="003D4065" w:rsidP="00122B70">
      <w:pPr>
        <w:tabs>
          <w:tab w:val="left" w:pos="1070"/>
        </w:tabs>
        <w:bidi/>
        <w:rPr>
          <w:sz w:val="32"/>
          <w:szCs w:val="32"/>
          <w:rtl/>
        </w:rPr>
      </w:pPr>
    </w:p>
    <w:p w14:paraId="09387DC1" w14:textId="77777777" w:rsidR="003D4065" w:rsidRPr="00F27422" w:rsidRDefault="003D4065" w:rsidP="00122B70">
      <w:pPr>
        <w:tabs>
          <w:tab w:val="left" w:pos="1070"/>
        </w:tabs>
        <w:bidi/>
        <w:rPr>
          <w:b/>
          <w:bCs/>
          <w:sz w:val="32"/>
          <w:szCs w:val="32"/>
          <w:rtl/>
        </w:rPr>
      </w:pPr>
      <w:r w:rsidRPr="00F27422">
        <w:rPr>
          <w:b/>
          <w:bCs/>
          <w:sz w:val="32"/>
          <w:szCs w:val="32"/>
          <w:rtl/>
        </w:rPr>
        <w:t>الوجهُ الثاني:</w:t>
      </w:r>
      <w:r w:rsidRPr="00F27422">
        <w:rPr>
          <w:sz w:val="32"/>
          <w:szCs w:val="32"/>
          <w:rtl/>
        </w:rPr>
        <w:t xml:space="preserve"> - الذي استدل بِهِ على تقديم وجوب الوفاء بعقد الإجارة على حقّ الاستمتاع - ما ذكره سيدنا الخوئي (قدس سره الشريف) في موسوعته المباركة في كتاب الإجارة</w:t>
      </w:r>
      <w:r w:rsidRPr="00F27422">
        <w:rPr>
          <w:sz w:val="32"/>
          <w:szCs w:val="32"/>
          <w:vertAlign w:val="superscript"/>
          <w:rtl/>
        </w:rPr>
        <w:footnoteReference w:id="48"/>
      </w:r>
      <w:r w:rsidRPr="00F27422">
        <w:rPr>
          <w:sz w:val="32"/>
          <w:szCs w:val="32"/>
          <w:rtl/>
        </w:rPr>
        <w:t xml:space="preserve">، وقد ورد في تقرير كلامه هذه العبارة وهي قوله: </w:t>
      </w:r>
      <w:r w:rsidRPr="00F27422">
        <w:rPr>
          <w:b/>
          <w:bCs/>
          <w:sz w:val="32"/>
          <w:szCs w:val="32"/>
          <w:rtl/>
        </w:rPr>
        <w:t>(وعليه، فالمقتضي للاستمتاع قاصر من الأوّل، لاختصاصه بغير ما هو متعلّق لحقّ الغير، ولأجله تتقدّم الإجارة ولا يزاحمها استمتاع الزوج وإن كانت منافية له)</w:t>
      </w:r>
      <w:r w:rsidRPr="00F27422">
        <w:rPr>
          <w:b/>
          <w:bCs/>
          <w:sz w:val="32"/>
          <w:szCs w:val="32"/>
        </w:rPr>
        <w:t>.</w:t>
      </w:r>
    </w:p>
    <w:p w14:paraId="573D1266" w14:textId="77777777" w:rsidR="003D4065" w:rsidRPr="00F27422" w:rsidRDefault="003D4065" w:rsidP="00122B70">
      <w:pPr>
        <w:tabs>
          <w:tab w:val="left" w:pos="1070"/>
        </w:tabs>
        <w:bidi/>
        <w:rPr>
          <w:sz w:val="32"/>
          <w:szCs w:val="32"/>
          <w:rtl/>
        </w:rPr>
      </w:pPr>
      <w:r w:rsidRPr="00F27422">
        <w:rPr>
          <w:sz w:val="32"/>
          <w:szCs w:val="32"/>
          <w:rtl/>
        </w:rPr>
        <w:lastRenderedPageBreak/>
        <w:t>وظاهرُ العبارة أنّ المقتضي للاستمتاع هو القاصر عن الشمول لا أنّ إطلاقه منافٍ لإطلاق وجوب الوفاء بعقد الإجارة؛ حيثُ إنّ المستفاد مِن دليل حقّ الاستمتاع للزوج اختصاص حقّ الاستمتاع بما لَمْ تكن المرأة متعلّقاً لحقّ الغير، وهذا مِن حيثُ الكُبرى</w:t>
      </w:r>
      <w:r w:rsidRPr="00F27422">
        <w:rPr>
          <w:sz w:val="32"/>
          <w:szCs w:val="32"/>
        </w:rPr>
        <w:t>.</w:t>
      </w:r>
    </w:p>
    <w:p w14:paraId="5CF7BB99" w14:textId="77777777" w:rsidR="003D4065" w:rsidRPr="00F27422" w:rsidRDefault="003D4065" w:rsidP="00122B70">
      <w:pPr>
        <w:tabs>
          <w:tab w:val="left" w:pos="1070"/>
        </w:tabs>
        <w:bidi/>
        <w:rPr>
          <w:sz w:val="32"/>
          <w:szCs w:val="32"/>
          <w:rtl/>
        </w:rPr>
      </w:pPr>
      <w:r w:rsidRPr="00F27422">
        <w:rPr>
          <w:sz w:val="32"/>
          <w:szCs w:val="32"/>
          <w:rtl/>
        </w:rPr>
        <w:t>وأمّا مِن حيثُ الصُغرى، أي: تطبيق ذلك على محلّ الكلام وهو ما إذا آجرت المرأة نفسها لخدمةٍ في مدّةٍ معيّنةٍ ثمّ تزوجت أثناء المدّة، فهل المورد مِن موارد اشتغال ذمّة المرأة بحقّ الغير كي لا يكون لدليل حقّ الاستمتاع شمولٌ لهذا المورد أم لا؟</w:t>
      </w:r>
    </w:p>
    <w:p w14:paraId="26E4BD77" w14:textId="77777777" w:rsidR="003D4065" w:rsidRPr="00F27422" w:rsidRDefault="003D4065" w:rsidP="00122B70">
      <w:pPr>
        <w:tabs>
          <w:tab w:val="left" w:pos="1070"/>
        </w:tabs>
        <w:bidi/>
        <w:rPr>
          <w:b/>
          <w:bCs/>
          <w:sz w:val="32"/>
          <w:szCs w:val="32"/>
          <w:rtl/>
        </w:rPr>
      </w:pPr>
      <w:r w:rsidRPr="00F27422">
        <w:rPr>
          <w:b/>
          <w:bCs/>
          <w:sz w:val="32"/>
          <w:szCs w:val="32"/>
          <w:rtl/>
        </w:rPr>
        <w:t>وتطبيقُ ذلك يبتني على مقدمتين</w:t>
      </w:r>
      <w:r w:rsidRPr="00F27422">
        <w:rPr>
          <w:b/>
          <w:bCs/>
          <w:sz w:val="32"/>
          <w:szCs w:val="32"/>
        </w:rPr>
        <w:t>:</w:t>
      </w:r>
    </w:p>
    <w:p w14:paraId="304552C0" w14:textId="77777777" w:rsidR="003D4065" w:rsidRPr="00F27422" w:rsidRDefault="003D4065" w:rsidP="00122B70">
      <w:pPr>
        <w:tabs>
          <w:tab w:val="left" w:pos="1070"/>
        </w:tabs>
        <w:bidi/>
        <w:rPr>
          <w:sz w:val="32"/>
          <w:szCs w:val="32"/>
          <w:rtl/>
        </w:rPr>
      </w:pPr>
      <w:r w:rsidRPr="00F27422">
        <w:rPr>
          <w:b/>
          <w:bCs/>
          <w:sz w:val="32"/>
          <w:szCs w:val="32"/>
          <w:rtl/>
        </w:rPr>
        <w:t>المقدمةُ الأُولى:</w:t>
      </w:r>
      <w:r w:rsidRPr="00F27422">
        <w:rPr>
          <w:sz w:val="32"/>
          <w:szCs w:val="32"/>
          <w:rtl/>
        </w:rPr>
        <w:t xml:space="preserve"> أنّ المرأة حين إبرام عقد الإجارة كانت مالكةً لمنافعها، كما كانت لها الولاية على التمليك، وقد ملكت منافعها للمُستأجر بإجارةٍ جامعةٍ لشرائط الصحّة، فالمقتضي لصحّة الإجارة -وهو العناصر الثلاثة: 1-ملكية المرأة لمنافعها، 2-ولايتها على التمليك، 3-جامعية عقد الإجارة لشرائط الصحّة- موجودٌ، والمانعُ مفقودٌ، فالإجارة في تمام المدّة صحيحة.</w:t>
      </w:r>
    </w:p>
    <w:p w14:paraId="6E846564" w14:textId="77777777" w:rsidR="003D4065" w:rsidRPr="00F27422" w:rsidRDefault="003D4065" w:rsidP="00122B70">
      <w:pPr>
        <w:tabs>
          <w:tab w:val="left" w:pos="1070"/>
        </w:tabs>
        <w:bidi/>
        <w:rPr>
          <w:sz w:val="32"/>
          <w:szCs w:val="32"/>
          <w:rtl/>
        </w:rPr>
      </w:pPr>
      <w:r w:rsidRPr="00F27422">
        <w:rPr>
          <w:b/>
          <w:bCs/>
          <w:sz w:val="32"/>
          <w:szCs w:val="32"/>
          <w:rtl/>
        </w:rPr>
        <w:t>المقدمةُ الثانية:</w:t>
      </w:r>
      <w:r w:rsidRPr="00F27422">
        <w:rPr>
          <w:sz w:val="32"/>
          <w:szCs w:val="32"/>
          <w:rtl/>
        </w:rPr>
        <w:t xml:space="preserve"> إنّ الزوج قد عقد عليها مشغولة الذمّة بحقّ </w:t>
      </w:r>
      <w:proofErr w:type="gramStart"/>
      <w:r w:rsidRPr="00F27422">
        <w:rPr>
          <w:sz w:val="32"/>
          <w:szCs w:val="32"/>
          <w:rtl/>
        </w:rPr>
        <w:t>الغير الثابت</w:t>
      </w:r>
      <w:proofErr w:type="gramEnd"/>
      <w:r w:rsidRPr="00F27422">
        <w:rPr>
          <w:sz w:val="32"/>
          <w:szCs w:val="32"/>
          <w:rtl/>
        </w:rPr>
        <w:t xml:space="preserve"> بسببٍ سابق، وحيثُ إنّ المستفاد مِن أدلّة حقّ الاستمتاع أنّ للزوج الاستمتاع بما يكون تحت استيلاء الزوجة، وهذا ليس منها، فانتفاء حقّ الاستمتاع حينئذٍ بانتفاء موضوعه وهو خلو ذمّة المرأة عن حقّ الغير</w:t>
      </w:r>
      <w:r w:rsidRPr="00F27422">
        <w:rPr>
          <w:sz w:val="32"/>
          <w:szCs w:val="32"/>
        </w:rPr>
        <w:t>.</w:t>
      </w:r>
    </w:p>
    <w:p w14:paraId="68329EC4" w14:textId="77777777" w:rsidR="003D4065" w:rsidRPr="00F27422" w:rsidRDefault="003D4065" w:rsidP="00122B70">
      <w:pPr>
        <w:tabs>
          <w:tab w:val="left" w:pos="1070"/>
        </w:tabs>
        <w:bidi/>
        <w:rPr>
          <w:sz w:val="32"/>
          <w:szCs w:val="32"/>
          <w:rtl/>
        </w:rPr>
      </w:pPr>
      <w:r w:rsidRPr="00F27422">
        <w:rPr>
          <w:sz w:val="32"/>
          <w:szCs w:val="32"/>
          <w:rtl/>
        </w:rPr>
        <w:t>هذا هو تقريب كلام سيدنا الخوئي (قدس سره الشريف)</w:t>
      </w:r>
      <w:r w:rsidRPr="00F27422">
        <w:rPr>
          <w:sz w:val="32"/>
          <w:szCs w:val="32"/>
        </w:rPr>
        <w:t>.</w:t>
      </w:r>
    </w:p>
    <w:p w14:paraId="7901C5B4" w14:textId="77777777" w:rsidR="003D4065" w:rsidRPr="00F27422" w:rsidRDefault="003D4065" w:rsidP="00122B70">
      <w:pPr>
        <w:tabs>
          <w:tab w:val="left" w:pos="1070"/>
        </w:tabs>
        <w:bidi/>
        <w:rPr>
          <w:sz w:val="32"/>
          <w:szCs w:val="32"/>
          <w:rtl/>
        </w:rPr>
      </w:pPr>
      <w:r w:rsidRPr="00F27422">
        <w:rPr>
          <w:sz w:val="32"/>
          <w:szCs w:val="32"/>
          <w:rtl/>
        </w:rPr>
        <w:t xml:space="preserve">لكن حيثُ أضيف في التقرير هذه العبارة: </w:t>
      </w:r>
      <w:r w:rsidRPr="00F27422">
        <w:rPr>
          <w:b/>
          <w:bCs/>
          <w:sz w:val="32"/>
          <w:szCs w:val="32"/>
          <w:rtl/>
        </w:rPr>
        <w:t>(وإنّما يتمتّع بما يرجع أمره إلى الزوجة نفسها ويكون تحت استيلائها، فيشبه المقام بيع العين مسلوبة المنفعة كما لا يخفى)</w:t>
      </w:r>
      <w:r w:rsidRPr="00F27422">
        <w:rPr>
          <w:b/>
          <w:bCs/>
          <w:sz w:val="32"/>
          <w:szCs w:val="32"/>
          <w:vertAlign w:val="superscript"/>
          <w:rtl/>
        </w:rPr>
        <w:footnoteReference w:id="49"/>
      </w:r>
      <w:r w:rsidRPr="00F27422">
        <w:rPr>
          <w:b/>
          <w:bCs/>
          <w:sz w:val="32"/>
          <w:szCs w:val="32"/>
          <w:rtl/>
        </w:rPr>
        <w:t>.</w:t>
      </w:r>
      <w:r w:rsidRPr="00F27422">
        <w:rPr>
          <w:sz w:val="32"/>
          <w:szCs w:val="32"/>
          <w:rtl/>
        </w:rPr>
        <w:t xml:space="preserve"> لذلك أورد عليه بعض الأجلة (رحمه الله) في كتابه الإجارة</w:t>
      </w:r>
      <w:r w:rsidRPr="00F27422">
        <w:rPr>
          <w:sz w:val="32"/>
          <w:szCs w:val="32"/>
          <w:vertAlign w:val="superscript"/>
          <w:rtl/>
        </w:rPr>
        <w:footnoteReference w:id="50"/>
      </w:r>
      <w:r w:rsidRPr="00F27422">
        <w:rPr>
          <w:sz w:val="32"/>
          <w:szCs w:val="32"/>
          <w:rtl/>
        </w:rPr>
        <w:t xml:space="preserve"> بقوله: </w:t>
      </w:r>
      <w:r w:rsidRPr="00F27422">
        <w:rPr>
          <w:b/>
          <w:bCs/>
          <w:sz w:val="32"/>
          <w:szCs w:val="32"/>
          <w:rtl/>
        </w:rPr>
        <w:t>(ويلاحظ عليه: بأنّه قياس مع الفارق)</w:t>
      </w:r>
      <w:r w:rsidRPr="00F27422">
        <w:rPr>
          <w:sz w:val="32"/>
          <w:szCs w:val="32"/>
          <w:rtl/>
        </w:rPr>
        <w:t xml:space="preserve"> أي: قياسُ محلّ الكلام على بيع العين المُستأجرة </w:t>
      </w:r>
      <w:r w:rsidRPr="00F27422">
        <w:rPr>
          <w:b/>
          <w:bCs/>
          <w:sz w:val="32"/>
          <w:szCs w:val="32"/>
          <w:rtl/>
        </w:rPr>
        <w:t xml:space="preserve">(فإنّ حق الاستمتاع ليس أمراً إنشائياً تملّكه الزوجة للزوج في عقد النكاح بل هو حكم شرعي وضعي رتّبه الشارع على عقد النكاح وليس منوطاً </w:t>
      </w:r>
      <w:proofErr w:type="spellStart"/>
      <w:r w:rsidRPr="00F27422">
        <w:rPr>
          <w:b/>
          <w:bCs/>
          <w:sz w:val="32"/>
          <w:szCs w:val="32"/>
          <w:rtl/>
        </w:rPr>
        <w:t>بانشاء</w:t>
      </w:r>
      <w:proofErr w:type="spellEnd"/>
      <w:r w:rsidRPr="00F27422">
        <w:rPr>
          <w:b/>
          <w:bCs/>
          <w:sz w:val="32"/>
          <w:szCs w:val="32"/>
          <w:rtl/>
        </w:rPr>
        <w:t xml:space="preserve"> الزوجة ولا هو مقيد بحسب دليله على عدم سبق الإيجار أو ملك الزوجة للمنفعة المضادة، وهذا بخلاف بيع العين المستأجرة مسلوبة المنفعة فإنّ تأثيره)</w:t>
      </w:r>
      <w:r w:rsidRPr="00F27422">
        <w:rPr>
          <w:sz w:val="32"/>
          <w:szCs w:val="32"/>
          <w:rtl/>
        </w:rPr>
        <w:t xml:space="preserve"> أي: البيع </w:t>
      </w:r>
      <w:r w:rsidRPr="00F27422">
        <w:rPr>
          <w:b/>
          <w:bCs/>
          <w:sz w:val="32"/>
          <w:szCs w:val="32"/>
          <w:rtl/>
        </w:rPr>
        <w:t>(فرع أن يملك البائع تلك المنفعة)</w:t>
      </w:r>
      <w:r w:rsidRPr="00F27422">
        <w:rPr>
          <w:sz w:val="32"/>
          <w:szCs w:val="32"/>
          <w:rtl/>
        </w:rPr>
        <w:t xml:space="preserve"> وهو لا يملكها </w:t>
      </w:r>
      <w:r w:rsidRPr="00F27422">
        <w:rPr>
          <w:b/>
          <w:bCs/>
          <w:sz w:val="32"/>
          <w:szCs w:val="32"/>
          <w:rtl/>
        </w:rPr>
        <w:t>(ولهذا لو غفل عن الإجارة وباعها غير مسلوبة المنفعة أيضاً بطل البيع بلحاظ تلك المنفعة لأنّه لا يملكها)</w:t>
      </w:r>
      <w:r w:rsidRPr="00F27422">
        <w:rPr>
          <w:b/>
          <w:bCs/>
          <w:sz w:val="32"/>
          <w:szCs w:val="32"/>
        </w:rPr>
        <w:t>.</w:t>
      </w:r>
    </w:p>
    <w:p w14:paraId="540A77EF" w14:textId="77777777" w:rsidR="003D4065" w:rsidRPr="00F27422" w:rsidRDefault="003D4065" w:rsidP="00122B70">
      <w:pPr>
        <w:tabs>
          <w:tab w:val="left" w:pos="1070"/>
        </w:tabs>
        <w:bidi/>
        <w:rPr>
          <w:sz w:val="32"/>
          <w:szCs w:val="32"/>
          <w:rtl/>
        </w:rPr>
      </w:pPr>
      <w:r w:rsidRPr="00F27422">
        <w:rPr>
          <w:b/>
          <w:bCs/>
          <w:sz w:val="32"/>
          <w:szCs w:val="32"/>
          <w:rtl/>
        </w:rPr>
        <w:t xml:space="preserve">وحاصل كلامه (رحمه الله): </w:t>
      </w:r>
      <w:r w:rsidRPr="00F27422">
        <w:rPr>
          <w:sz w:val="32"/>
          <w:szCs w:val="32"/>
          <w:rtl/>
        </w:rPr>
        <w:t>أنّ هناك فرقاً بين الاعتبار الحقّي والاعتبار الحُكمي</w:t>
      </w:r>
      <w:r w:rsidRPr="00F27422">
        <w:rPr>
          <w:sz w:val="32"/>
          <w:szCs w:val="32"/>
        </w:rPr>
        <w:t>.</w:t>
      </w:r>
    </w:p>
    <w:p w14:paraId="30A7FB3E" w14:textId="77777777" w:rsidR="003D4065" w:rsidRPr="00F27422" w:rsidRDefault="003D4065" w:rsidP="00122B70">
      <w:pPr>
        <w:tabs>
          <w:tab w:val="left" w:pos="1070"/>
        </w:tabs>
        <w:bidi/>
        <w:rPr>
          <w:sz w:val="32"/>
          <w:szCs w:val="32"/>
          <w:rtl/>
        </w:rPr>
      </w:pPr>
      <w:r w:rsidRPr="00F27422">
        <w:rPr>
          <w:b/>
          <w:bCs/>
          <w:sz w:val="32"/>
          <w:szCs w:val="32"/>
          <w:rtl/>
        </w:rPr>
        <w:lastRenderedPageBreak/>
        <w:t>فالاعتبار الحقّي</w:t>
      </w:r>
      <w:r w:rsidRPr="00F27422">
        <w:rPr>
          <w:sz w:val="32"/>
          <w:szCs w:val="32"/>
          <w:rtl/>
        </w:rPr>
        <w:t xml:space="preserve"> أمرٌ إنشائي بيد مَن عليه الحقّ لِمَن لهُ الحقّ، أي: أنّ مَن عليه الحقّ يقومُ بجعل الحقّ للطرف الآخر، ومِن هذا القبيل – أي: الاعتبار الحقي - المِلكيَّة كمِلكيَّة العين أو مِلكيَّة المنفعة فهما بيد المالك، فلذلك لو مَلّك مالكُ العين المنفعة لزيدٍ بالإجارة ثمّ باع العينَ لبكرٍ كان البيعُ قاصرَ الشمول للانبساط على المنفعة؛ لكونها مِلك الغير سواءً صدر البيعُ مقيداً بعدم مِلك المنفعة أو مطلقاً لغفلته عن ذلك فإنّ البيع لَمْ يقع صحيحاً إلّا فيما سوى المنفعة</w:t>
      </w:r>
      <w:r w:rsidRPr="00F27422">
        <w:rPr>
          <w:sz w:val="32"/>
          <w:szCs w:val="32"/>
        </w:rPr>
        <w:t>.</w:t>
      </w:r>
    </w:p>
    <w:p w14:paraId="375E572F" w14:textId="428FD14F" w:rsidR="003D4065" w:rsidRPr="00F27422" w:rsidRDefault="003D4065" w:rsidP="00122B70">
      <w:pPr>
        <w:tabs>
          <w:tab w:val="left" w:pos="1070"/>
        </w:tabs>
        <w:bidi/>
        <w:rPr>
          <w:sz w:val="32"/>
          <w:szCs w:val="32"/>
          <w:rtl/>
        </w:rPr>
      </w:pPr>
      <w:r w:rsidRPr="00F27422">
        <w:rPr>
          <w:b/>
          <w:bCs/>
          <w:sz w:val="32"/>
          <w:szCs w:val="32"/>
          <w:rtl/>
        </w:rPr>
        <w:t>بينما الاعتبار الحُكمي</w:t>
      </w:r>
      <w:r w:rsidRPr="00F27422">
        <w:rPr>
          <w:sz w:val="32"/>
          <w:szCs w:val="32"/>
          <w:rtl/>
        </w:rPr>
        <w:t xml:space="preserve"> بيد الشارع وهو تابعٌ في سعته وضيقه لموضوعه بحسب المستفاد مِن دليله، ومنهُ حقّ الاستمتاع، فهو ليس بيد المرأة حتى تُمَلكه أو لا تملكه وتعطيه للزوج أو لا تعطيه له، بخلاف المِلكيَّة، فكيف يُشبه المقامُ باب المِلكيّة؟ وبين المقامين فرقٌ شاسعٌ واضحٌ، فإنّ حقّ </w:t>
      </w:r>
      <w:r w:rsidRPr="00F27422">
        <w:rPr>
          <w:sz w:val="32"/>
          <w:szCs w:val="32"/>
          <w:highlight w:val="yellow"/>
          <w:rtl/>
        </w:rPr>
        <w:t>الاستمتاع موضوعه تحقّق عقد النكاح</w:t>
      </w:r>
      <w:r w:rsidRPr="00F27422">
        <w:rPr>
          <w:sz w:val="32"/>
          <w:szCs w:val="32"/>
          <w:rtl/>
        </w:rPr>
        <w:t>، وليس منوطاً بإنشاء الزوجة، ولا مقيداً بعدم سبق الإجارة ونحوها، أو</w:t>
      </w:r>
      <w:r w:rsidR="005F3361" w:rsidRPr="00F27422">
        <w:rPr>
          <w:sz w:val="32"/>
          <w:szCs w:val="32"/>
        </w:rPr>
        <w:t xml:space="preserve"> </w:t>
      </w:r>
      <w:r w:rsidRPr="00F27422">
        <w:rPr>
          <w:sz w:val="32"/>
          <w:szCs w:val="32"/>
          <w:rtl/>
        </w:rPr>
        <w:t>كون الزوجة مالكةً أمرها كي يكون ذلك موجباً لانتفائه كي يُقال إنّ الزوجة قد عُقد عليها وهي فاقدةٌ لتلك الخدمة مسلوبة المنفعة، فالمقامُ ليس شبيهاً ببيع العين المُستأجرة</w:t>
      </w:r>
      <w:r w:rsidRPr="00F27422">
        <w:rPr>
          <w:sz w:val="32"/>
          <w:szCs w:val="32"/>
        </w:rPr>
        <w:t>.</w:t>
      </w:r>
    </w:p>
    <w:p w14:paraId="394381DD" w14:textId="77777777" w:rsidR="003D4065" w:rsidRPr="00F27422" w:rsidRDefault="003D4065" w:rsidP="00122B70">
      <w:pPr>
        <w:tabs>
          <w:tab w:val="left" w:pos="1070"/>
        </w:tabs>
        <w:bidi/>
        <w:rPr>
          <w:sz w:val="32"/>
          <w:szCs w:val="32"/>
          <w:rtl/>
        </w:rPr>
      </w:pPr>
      <w:r w:rsidRPr="00F27422">
        <w:rPr>
          <w:sz w:val="32"/>
          <w:szCs w:val="32"/>
          <w:rtl/>
        </w:rPr>
        <w:t xml:space="preserve">ثمّ قال (رحمه الله): </w:t>
      </w:r>
      <w:r w:rsidRPr="00F27422">
        <w:rPr>
          <w:b/>
          <w:bCs/>
          <w:sz w:val="32"/>
          <w:szCs w:val="32"/>
          <w:rtl/>
        </w:rPr>
        <w:t>(نظير ما إذا آجر نفسه للخدمة مدة وقبل انقضائها أحرم للحج أو العمرة فوجب عليه إتمامه وكان ذلك منافياً مع الخدمة المستأجر عليها – وإن كانت صحة الإجارة في هذا المثال له وجه حيث إنّ إتمام الحج تكليف وليس حقاً وضعياً فإذا لم تكن القدرة الشرعية شرطاً في صحة الإجارة فلا وجه للبطلان -)</w:t>
      </w:r>
      <w:r w:rsidRPr="00F27422">
        <w:rPr>
          <w:b/>
          <w:bCs/>
          <w:sz w:val="32"/>
          <w:szCs w:val="32"/>
          <w:vertAlign w:val="superscript"/>
          <w:rtl/>
        </w:rPr>
        <w:footnoteReference w:id="51"/>
      </w:r>
      <w:r w:rsidRPr="00F27422">
        <w:rPr>
          <w:sz w:val="32"/>
          <w:szCs w:val="32"/>
          <w:rtl/>
        </w:rPr>
        <w:t>.</w:t>
      </w:r>
    </w:p>
    <w:p w14:paraId="6DD9C251" w14:textId="77777777" w:rsidR="003D4065" w:rsidRPr="00F27422" w:rsidRDefault="003D4065" w:rsidP="00122B70">
      <w:pPr>
        <w:tabs>
          <w:tab w:val="left" w:pos="1070"/>
        </w:tabs>
        <w:bidi/>
        <w:rPr>
          <w:sz w:val="32"/>
          <w:szCs w:val="32"/>
          <w:rtl/>
        </w:rPr>
      </w:pPr>
      <w:r w:rsidRPr="00F27422">
        <w:rPr>
          <w:b/>
          <w:bCs/>
          <w:sz w:val="32"/>
          <w:szCs w:val="32"/>
          <w:rtl/>
        </w:rPr>
        <w:t>وتوضيح المطلب:</w:t>
      </w:r>
      <w:r w:rsidRPr="00F27422">
        <w:rPr>
          <w:sz w:val="32"/>
          <w:szCs w:val="32"/>
          <w:rtl/>
        </w:rPr>
        <w:t xml:space="preserve"> أنّ المثال الذي </w:t>
      </w:r>
      <w:proofErr w:type="gramStart"/>
      <w:r w:rsidRPr="00F27422">
        <w:rPr>
          <w:sz w:val="32"/>
          <w:szCs w:val="32"/>
          <w:rtl/>
        </w:rPr>
        <w:t>هو  نظير</w:t>
      </w:r>
      <w:proofErr w:type="gramEnd"/>
      <w:r w:rsidRPr="00F27422">
        <w:rPr>
          <w:sz w:val="32"/>
          <w:szCs w:val="32"/>
          <w:rtl/>
        </w:rPr>
        <w:t xml:space="preserve"> المقام مَن أحرم وهو أجير، أي: لو آجر المُكلف نفسهُ لخدمةٍ تستوعب شهر ذي الحجة، ثمّ أحرم للحج، فمِن الواضح أنّه يجبُ عليه إتمامُ الحج بالإتيان بالنُسك؛ لأنّه لا يحلّ مِن إحرامه حتى يتمّ النُسك</w:t>
      </w:r>
      <w:r w:rsidRPr="00F27422">
        <w:rPr>
          <w:sz w:val="32"/>
          <w:szCs w:val="32"/>
        </w:rPr>
        <w:t>.</w:t>
      </w:r>
    </w:p>
    <w:p w14:paraId="56007EC2" w14:textId="77777777" w:rsidR="003D4065" w:rsidRPr="00F27422" w:rsidRDefault="003D4065" w:rsidP="00122B70">
      <w:pPr>
        <w:tabs>
          <w:tab w:val="left" w:pos="1070"/>
        </w:tabs>
        <w:bidi/>
        <w:rPr>
          <w:sz w:val="32"/>
          <w:szCs w:val="32"/>
          <w:rtl/>
        </w:rPr>
      </w:pPr>
      <w:r w:rsidRPr="00F27422">
        <w:rPr>
          <w:b/>
          <w:bCs/>
          <w:sz w:val="32"/>
          <w:szCs w:val="32"/>
          <w:rtl/>
        </w:rPr>
        <w:t>فهنا قد يُقال:</w:t>
      </w:r>
      <w:r w:rsidRPr="00F27422">
        <w:rPr>
          <w:sz w:val="32"/>
          <w:szCs w:val="32"/>
          <w:rtl/>
        </w:rPr>
        <w:t xml:space="preserve"> إنّ وجوب الوفاء بعقد الإجارة يتنافى مع وجوب الإتمام، ووجوب الإتمام اعتبارٌ حُكمي - لا حقّي – أي: بيد الشارع وليس بيد الأجير إنشاؤه ولا تضيق دائرته ولا التصرف في موضوعه، بل المرجع هو دليل وجوب الإتمام على مَن أحرم للحج، هل أنّ وجوب الإتمام واردٌ على وجوب الوفاء بحقّ الإجارة؟ كما يمكنُ أنْ يُقال بالعكس</w:t>
      </w:r>
      <w:r w:rsidRPr="00F27422">
        <w:rPr>
          <w:sz w:val="32"/>
          <w:szCs w:val="32"/>
        </w:rPr>
        <w:t>.</w:t>
      </w:r>
    </w:p>
    <w:p w14:paraId="6C0BB084" w14:textId="77777777" w:rsidR="003D4065" w:rsidRPr="00F27422" w:rsidRDefault="003D4065" w:rsidP="00122B70">
      <w:pPr>
        <w:tabs>
          <w:tab w:val="left" w:pos="1070"/>
        </w:tabs>
        <w:bidi/>
        <w:rPr>
          <w:sz w:val="32"/>
          <w:szCs w:val="32"/>
          <w:rtl/>
        </w:rPr>
      </w:pPr>
      <w:r w:rsidRPr="00F27422">
        <w:rPr>
          <w:sz w:val="32"/>
          <w:szCs w:val="32"/>
          <w:rtl/>
        </w:rPr>
        <w:t>بينما الاعتبار الحقّي كمورد المِلكيَّة خارجٌ عن محلّ كلامنا.</w:t>
      </w:r>
    </w:p>
    <w:p w14:paraId="177FA234" w14:textId="28A88B95" w:rsidR="003D4065" w:rsidRPr="00F27422" w:rsidRDefault="003D4065" w:rsidP="00122B70">
      <w:pPr>
        <w:tabs>
          <w:tab w:val="left" w:pos="1070"/>
        </w:tabs>
        <w:bidi/>
        <w:rPr>
          <w:sz w:val="32"/>
          <w:szCs w:val="32"/>
          <w:rtl/>
        </w:rPr>
      </w:pPr>
      <w:r w:rsidRPr="00F27422">
        <w:rPr>
          <w:sz w:val="32"/>
          <w:szCs w:val="32"/>
          <w:rtl/>
        </w:rPr>
        <w:t xml:space="preserve">ثمّ أعقب  (رحمه الله): </w:t>
      </w:r>
      <w:r w:rsidRPr="00F27422">
        <w:rPr>
          <w:b/>
          <w:bCs/>
          <w:sz w:val="32"/>
          <w:szCs w:val="32"/>
          <w:rtl/>
        </w:rPr>
        <w:t>(ومنه يظهر وجه تقدم العقد السابق وبطلان اللاحق)</w:t>
      </w:r>
      <w:r w:rsidRPr="00F27422">
        <w:rPr>
          <w:sz w:val="32"/>
          <w:szCs w:val="32"/>
          <w:rtl/>
        </w:rPr>
        <w:t xml:space="preserve"> أي: العقد </w:t>
      </w:r>
      <w:r w:rsidRPr="00F27422">
        <w:rPr>
          <w:b/>
          <w:bCs/>
          <w:sz w:val="32"/>
          <w:szCs w:val="32"/>
          <w:rtl/>
        </w:rPr>
        <w:t>(إذا كانا متنافيين كما إذا آجر العين أوّلاً لمنفعة ثمّ آجرها لمنفعة مضادة)</w:t>
      </w:r>
      <w:r w:rsidRPr="00F27422">
        <w:rPr>
          <w:sz w:val="32"/>
          <w:szCs w:val="32"/>
          <w:rtl/>
        </w:rPr>
        <w:t xml:space="preserve"> كما إذا آجر الدُكان بأنْ </w:t>
      </w:r>
      <w:r w:rsidRPr="00F27422">
        <w:rPr>
          <w:sz w:val="32"/>
          <w:szCs w:val="32"/>
          <w:rtl/>
        </w:rPr>
        <w:lastRenderedPageBreak/>
        <w:t xml:space="preserve">يكون مخبزاً ثمّ آجره لمنفعة مضادة كإجارة الدُكان لكي يكون مخزناً أو مسرحاً </w:t>
      </w:r>
      <w:r w:rsidRPr="00F27422">
        <w:rPr>
          <w:b/>
          <w:bCs/>
          <w:sz w:val="32"/>
          <w:szCs w:val="32"/>
          <w:rtl/>
        </w:rPr>
        <w:t>(أو آجر الأجير نفسه أوّلاً على عمل ثمّ آجر نفسه على عمل مضاد في نفس الوقت، فإنّه تبطل الإجارة الثانية وتصح الاُولى لأنّ صحة كل إجار</w:t>
      </w:r>
      <w:r w:rsidRPr="00F27422">
        <w:rPr>
          <w:b/>
          <w:bCs/>
          <w:sz w:val="32"/>
          <w:szCs w:val="32"/>
          <w:highlight w:val="yellow"/>
          <w:rtl/>
        </w:rPr>
        <w:t>ة مشروطة بملك المؤجر للمنفعة أو العمل حين الإجارة وهذا الشرط في الإجارة الاُو</w:t>
      </w:r>
      <w:r w:rsidRPr="00F27422">
        <w:rPr>
          <w:b/>
          <w:bCs/>
          <w:sz w:val="32"/>
          <w:szCs w:val="32"/>
          <w:rtl/>
        </w:rPr>
        <w:t xml:space="preserve">لى محقق فيصح، وبذلك يرتفع هذا الشرط موضوعاً في الإجارة الثانية فيكون دليل العقد السابق وارداً على اللاحق </w:t>
      </w:r>
      <w:r w:rsidR="00E91B47" w:rsidRPr="00F27422">
        <w:rPr>
          <w:rFonts w:hint="cs"/>
          <w:b/>
          <w:bCs/>
          <w:sz w:val="32"/>
          <w:szCs w:val="32"/>
          <w:rtl/>
        </w:rPr>
        <w:t>ورافعا</w:t>
      </w:r>
      <w:r w:rsidRPr="00F27422">
        <w:rPr>
          <w:b/>
          <w:bCs/>
          <w:sz w:val="32"/>
          <w:szCs w:val="32"/>
          <w:rtl/>
        </w:rPr>
        <w:t xml:space="preserve"> لموضوعه)</w:t>
      </w:r>
      <w:r w:rsidRPr="00F27422">
        <w:rPr>
          <w:b/>
          <w:bCs/>
          <w:sz w:val="32"/>
          <w:szCs w:val="32"/>
          <w:vertAlign w:val="superscript"/>
          <w:rtl/>
        </w:rPr>
        <w:footnoteReference w:id="52"/>
      </w:r>
      <w:r w:rsidRPr="00F27422">
        <w:rPr>
          <w:b/>
          <w:bCs/>
          <w:sz w:val="32"/>
          <w:szCs w:val="32"/>
          <w:rtl/>
        </w:rPr>
        <w:t>.</w:t>
      </w:r>
    </w:p>
    <w:p w14:paraId="167E6E40" w14:textId="77777777" w:rsidR="003D4065" w:rsidRPr="00F27422" w:rsidRDefault="003D4065" w:rsidP="00122B70">
      <w:pPr>
        <w:tabs>
          <w:tab w:val="left" w:pos="1070"/>
        </w:tabs>
        <w:bidi/>
        <w:rPr>
          <w:sz w:val="32"/>
          <w:szCs w:val="32"/>
          <w:rtl/>
        </w:rPr>
      </w:pPr>
      <w:r w:rsidRPr="00F27422">
        <w:rPr>
          <w:sz w:val="32"/>
          <w:szCs w:val="32"/>
          <w:rtl/>
        </w:rPr>
        <w:t>هذا في الاعتبار الحقي، وأمّا في محلّ كلامنا فالاعتبار حكمي، فبما أنّه اعتبار فلابُدّ للنظر إلى دليله، فإذا كان دليل حقّ الاستمتاع مرتباً على عقد النكاح فمتى تحقّق عقدُ النكاح ثبت الاستمتاع</w:t>
      </w:r>
      <w:r w:rsidRPr="00F27422">
        <w:rPr>
          <w:sz w:val="32"/>
          <w:szCs w:val="32"/>
        </w:rPr>
        <w:t>.</w:t>
      </w:r>
    </w:p>
    <w:p w14:paraId="0B583A10" w14:textId="77777777" w:rsidR="003D4065" w:rsidRPr="00F27422" w:rsidRDefault="003D4065" w:rsidP="00122B70">
      <w:pPr>
        <w:tabs>
          <w:tab w:val="left" w:pos="1070"/>
        </w:tabs>
        <w:bidi/>
        <w:rPr>
          <w:sz w:val="32"/>
          <w:szCs w:val="32"/>
          <w:rtl/>
        </w:rPr>
      </w:pPr>
      <w:r w:rsidRPr="00F27422">
        <w:rPr>
          <w:sz w:val="32"/>
          <w:szCs w:val="32"/>
          <w:rtl/>
        </w:rPr>
        <w:t xml:space="preserve">ثمّ قال (رحمه الله): </w:t>
      </w:r>
      <w:r w:rsidRPr="00F27422">
        <w:rPr>
          <w:b/>
          <w:bCs/>
          <w:sz w:val="32"/>
          <w:szCs w:val="32"/>
          <w:rtl/>
        </w:rPr>
        <w:t xml:space="preserve">(بل مقتضى القاعدة في المقام لو تمّ الإطلاق في دليل حق الاستمتاع للزوج على زوجته هو </w:t>
      </w:r>
      <w:r w:rsidRPr="00F27422">
        <w:rPr>
          <w:b/>
          <w:bCs/>
          <w:sz w:val="32"/>
          <w:szCs w:val="32"/>
          <w:highlight w:val="yellow"/>
          <w:rtl/>
        </w:rPr>
        <w:t>الحكم ببطلان الإجارة بلحاظ ما بعد التزويج</w:t>
      </w:r>
      <w:r w:rsidRPr="00F27422">
        <w:rPr>
          <w:b/>
          <w:bCs/>
          <w:sz w:val="32"/>
          <w:szCs w:val="32"/>
          <w:rtl/>
        </w:rPr>
        <w:t xml:space="preserve"> لأنّه ينكشف بذلك عدم ملك الزوجة للمنفعة المضادة واقعاً في ذلك الزمن فلا موضوع لصحة الإجارة بالنسبة إليها)</w:t>
      </w:r>
      <w:r w:rsidRPr="00F27422">
        <w:rPr>
          <w:b/>
          <w:bCs/>
          <w:sz w:val="32"/>
          <w:szCs w:val="32"/>
          <w:vertAlign w:val="superscript"/>
          <w:rtl/>
        </w:rPr>
        <w:footnoteReference w:id="53"/>
      </w:r>
      <w:r w:rsidRPr="00F27422">
        <w:rPr>
          <w:b/>
          <w:bCs/>
          <w:sz w:val="32"/>
          <w:szCs w:val="32"/>
          <w:rtl/>
        </w:rPr>
        <w:t>.</w:t>
      </w:r>
    </w:p>
    <w:p w14:paraId="52B81CC0" w14:textId="77777777" w:rsidR="003D4065" w:rsidRPr="00F27422" w:rsidRDefault="003D4065" w:rsidP="00122B70">
      <w:pPr>
        <w:tabs>
          <w:tab w:val="left" w:pos="1070"/>
        </w:tabs>
        <w:bidi/>
        <w:rPr>
          <w:sz w:val="32"/>
          <w:szCs w:val="32"/>
          <w:rtl/>
        </w:rPr>
      </w:pPr>
      <w:r w:rsidRPr="00F27422">
        <w:rPr>
          <w:b/>
          <w:bCs/>
          <w:sz w:val="32"/>
          <w:szCs w:val="32"/>
          <w:rtl/>
        </w:rPr>
        <w:t>ولكن يلاحظ على ذلك:</w:t>
      </w:r>
      <w:r w:rsidRPr="00F27422">
        <w:rPr>
          <w:sz w:val="32"/>
          <w:szCs w:val="32"/>
          <w:rtl/>
        </w:rPr>
        <w:t xml:space="preserve"> أنّ ظاهر عبارة سيدنا الخوئي (قدس سره الشريف) في تقرير كتاب الإجارة - كما نقلناها سابقاً - أنّ المشكلة عندهُ </w:t>
      </w:r>
      <w:r w:rsidRPr="00F27422">
        <w:rPr>
          <w:sz w:val="32"/>
          <w:szCs w:val="32"/>
          <w:highlight w:val="yellow"/>
          <w:rtl/>
        </w:rPr>
        <w:t>في قصور حقّ الاستمتاع،</w:t>
      </w:r>
      <w:r w:rsidRPr="00F27422">
        <w:rPr>
          <w:sz w:val="32"/>
          <w:szCs w:val="32"/>
          <w:rtl/>
        </w:rPr>
        <w:t xml:space="preserve"> أي: أنّ المقتضي لحقّ الاستمتاع هو قاصرٌ في حدّ ذاته عن الشمول لهذا المورد، لا أنّ المُدعى أنّ المقام مِن باب الاعتبار الحقّي كي يُقال بأنّ المقام مِن باب الاعتبار الحكمي فلا موجب للخلط بين الأمرين، وليس المُدعى أنّه أمرٌ إنشائي بيد الزوجة كما في مِلكيَّة العين أو المنفعة كي يقُال إنّ حقّ الاستمتاع حكمٌ وضعي جعله الشارع لِمَن تمّ لَهُ عقدُ النكاح، فهذا مما لا نزاع فيه؛ وإنّما محلّ الكلام في أنّ الاستمتاع سواءً اعتبر أمراً حكمياً أو أمراً حقياً هل في دليله سعةٌ لما إذا كانت ذمّة الزوجة مشغولةً بحقٍّ آخرٍ أم لا؟ فهذا هو مركز كلام سيدنا الخوئي (قدس سره الشريف)، وقد أفاد بأنّ دليل حقّ الاستمتاع قاصر</w:t>
      </w:r>
      <w:r w:rsidRPr="00F27422">
        <w:rPr>
          <w:sz w:val="32"/>
          <w:szCs w:val="32"/>
        </w:rPr>
        <w:t>.</w:t>
      </w:r>
    </w:p>
    <w:p w14:paraId="7C33E0A4" w14:textId="35B37B87" w:rsidR="003D4065" w:rsidRPr="00F27422" w:rsidRDefault="003D4065" w:rsidP="00122B70">
      <w:pPr>
        <w:tabs>
          <w:tab w:val="left" w:pos="1070"/>
        </w:tabs>
        <w:bidi/>
        <w:rPr>
          <w:b/>
          <w:bCs/>
          <w:sz w:val="32"/>
          <w:szCs w:val="32"/>
          <w:rtl/>
        </w:rPr>
      </w:pPr>
      <w:r w:rsidRPr="00F27422">
        <w:rPr>
          <w:b/>
          <w:bCs/>
          <w:sz w:val="32"/>
          <w:szCs w:val="32"/>
          <w:rtl/>
        </w:rPr>
        <w:t>وقد يُقال:</w:t>
      </w:r>
      <w:r w:rsidRPr="00F27422">
        <w:rPr>
          <w:sz w:val="32"/>
          <w:szCs w:val="32"/>
          <w:rtl/>
        </w:rPr>
        <w:t xml:space="preserve"> كما أشار إليه (قدس سره) في موسوعته المباركة في كتاب النكاح</w:t>
      </w:r>
      <w:r w:rsidRPr="00F27422">
        <w:rPr>
          <w:sz w:val="32"/>
          <w:szCs w:val="32"/>
          <w:vertAlign w:val="superscript"/>
          <w:rtl/>
        </w:rPr>
        <w:footnoteReference w:id="54"/>
      </w:r>
      <w:r w:rsidRPr="00F27422">
        <w:rPr>
          <w:sz w:val="32"/>
          <w:szCs w:val="32"/>
          <w:rtl/>
        </w:rPr>
        <w:t xml:space="preserve"> حيث تعرض إلى قول سيد العروة (قدس سره الشريف): </w:t>
      </w:r>
      <w:r w:rsidRPr="00F27422">
        <w:rPr>
          <w:b/>
          <w:bCs/>
          <w:sz w:val="32"/>
          <w:szCs w:val="32"/>
          <w:rtl/>
        </w:rPr>
        <w:t>(مسألة 1: الأقوى – وفاقاً للمشهور – جواز وطء الحرة والمملوكة دبراً على كراهة شديدة)</w:t>
      </w:r>
      <w:r w:rsidRPr="00F27422">
        <w:rPr>
          <w:b/>
          <w:bCs/>
          <w:sz w:val="32"/>
          <w:szCs w:val="32"/>
        </w:rPr>
        <w:t>.</w:t>
      </w:r>
    </w:p>
    <w:p w14:paraId="6D3DED2F" w14:textId="77777777" w:rsidR="003D4065" w:rsidRPr="00F27422" w:rsidRDefault="003D4065" w:rsidP="00122B70">
      <w:pPr>
        <w:tabs>
          <w:tab w:val="left" w:pos="1070"/>
        </w:tabs>
        <w:bidi/>
        <w:rPr>
          <w:sz w:val="32"/>
          <w:szCs w:val="32"/>
          <w:rtl/>
        </w:rPr>
      </w:pPr>
      <w:r w:rsidRPr="00F27422">
        <w:rPr>
          <w:sz w:val="32"/>
          <w:szCs w:val="32"/>
          <w:rtl/>
        </w:rPr>
        <w:lastRenderedPageBreak/>
        <w:t>فتعرض إلى أنّه هل يوجدٌ إطلاقٌ في دليل حقّ الاستمتاع حتى يتمسك بِهِ لجواز وطء المرأة دبراً أم لا؟</w:t>
      </w:r>
    </w:p>
    <w:p w14:paraId="7BC11CC8" w14:textId="77777777" w:rsidR="003D4065" w:rsidRPr="00F27422" w:rsidRDefault="003D4065" w:rsidP="00122B70">
      <w:pPr>
        <w:tabs>
          <w:tab w:val="left" w:pos="1070"/>
        </w:tabs>
        <w:bidi/>
        <w:rPr>
          <w:b/>
          <w:bCs/>
          <w:sz w:val="32"/>
          <w:szCs w:val="32"/>
          <w:rtl/>
        </w:rPr>
      </w:pPr>
      <w:r w:rsidRPr="00F27422">
        <w:rPr>
          <w:sz w:val="32"/>
          <w:szCs w:val="32"/>
          <w:rtl/>
        </w:rPr>
        <w:t xml:space="preserve">فقال (قدس سره الشريف): </w:t>
      </w:r>
      <w:r w:rsidRPr="00F27422">
        <w:rPr>
          <w:b/>
          <w:bCs/>
          <w:sz w:val="32"/>
          <w:szCs w:val="32"/>
          <w:rtl/>
        </w:rPr>
        <w:t>(فقد ادُّعي استفادة الجواز من قوله تعالى: {نِسَاؤُكُمْ حَرْثٌ لَّكُمْ فَأْتُوا حَرْثَكُمْ أَنَّىٰ شِئْتُمْ}</w:t>
      </w:r>
      <w:r w:rsidRPr="00F27422">
        <w:rPr>
          <w:b/>
          <w:bCs/>
          <w:sz w:val="32"/>
          <w:szCs w:val="32"/>
          <w:vertAlign w:val="superscript"/>
          <w:rtl/>
        </w:rPr>
        <w:footnoteReference w:id="55"/>
      </w:r>
      <w:r w:rsidRPr="00F27422">
        <w:rPr>
          <w:b/>
          <w:bCs/>
          <w:sz w:val="32"/>
          <w:szCs w:val="32"/>
          <w:rtl/>
        </w:rPr>
        <w:t>.</w:t>
      </w:r>
    </w:p>
    <w:p w14:paraId="3A7A1679" w14:textId="77777777" w:rsidR="003D4065" w:rsidRPr="00F27422" w:rsidRDefault="003D4065" w:rsidP="00122B70">
      <w:pPr>
        <w:tabs>
          <w:tab w:val="left" w:pos="1070"/>
        </w:tabs>
        <w:bidi/>
        <w:rPr>
          <w:b/>
          <w:bCs/>
          <w:sz w:val="32"/>
          <w:szCs w:val="32"/>
          <w:rtl/>
        </w:rPr>
      </w:pPr>
      <w:r w:rsidRPr="00F27422">
        <w:rPr>
          <w:b/>
          <w:bCs/>
          <w:sz w:val="32"/>
          <w:szCs w:val="32"/>
          <w:rtl/>
        </w:rPr>
        <w:t>بدعوى أنّ كلمة {أَنَّىٰ} مكانية، فتدلّ على جواز إتيان النساء في أي مكان منها، فتكون دليلاً على جواز وطئها دبراً</w:t>
      </w:r>
      <w:r w:rsidRPr="00F27422">
        <w:rPr>
          <w:b/>
          <w:bCs/>
          <w:sz w:val="32"/>
          <w:szCs w:val="32"/>
        </w:rPr>
        <w:t>.</w:t>
      </w:r>
    </w:p>
    <w:p w14:paraId="78BCF67F" w14:textId="77777777" w:rsidR="003D4065" w:rsidRPr="00F27422" w:rsidRDefault="003D4065" w:rsidP="00122B70">
      <w:pPr>
        <w:tabs>
          <w:tab w:val="left" w:pos="1070"/>
        </w:tabs>
        <w:bidi/>
        <w:rPr>
          <w:sz w:val="32"/>
          <w:szCs w:val="32"/>
          <w:rtl/>
        </w:rPr>
      </w:pPr>
      <w:r w:rsidRPr="00F27422">
        <w:rPr>
          <w:b/>
          <w:bCs/>
          <w:sz w:val="32"/>
          <w:szCs w:val="32"/>
          <w:rtl/>
        </w:rPr>
        <w:t xml:space="preserve">إلّا أنّه ضعيف، فإن كلمة {أَنَّىٰ} ليست مكانية وإنّما هي زمانية </w:t>
      </w:r>
      <w:proofErr w:type="gramStart"/>
      <w:r w:rsidRPr="00F27422">
        <w:rPr>
          <w:b/>
          <w:bCs/>
          <w:sz w:val="32"/>
          <w:szCs w:val="32"/>
          <w:rtl/>
        </w:rPr>
        <w:t>صرفة</w:t>
      </w:r>
      <w:proofErr w:type="gramEnd"/>
      <w:r w:rsidRPr="00F27422">
        <w:rPr>
          <w:b/>
          <w:bCs/>
          <w:sz w:val="32"/>
          <w:szCs w:val="32"/>
          <w:rtl/>
        </w:rPr>
        <w:t>، كما يظهر ذلك من ملاحظة الآية السابقة، حيث قال تعالى: {وَيَسْأَلُونَكَ عَنِ الْمَحِيضِ قُلْ هُوَ أَذًى فَاعْتَزِلُوا النِّسَاءَ فِي الْمَحِيضِ وَلَا تَقْرَبُوهُنَّ حَتَّىٰ يَطْهُرْنَ فَإِذَا تَطَهَّرْنَ فَأْتُوهُنَّ مِنْ حَيْثُ أَمَرَكُمُ اللَّهُ إِنَّ اللَّهَ يُحِبُّ التَّوَّابِينَ وَيُحِبُّ الْمُتَطَهِّرِينَ}</w:t>
      </w:r>
      <w:r w:rsidRPr="00F27422">
        <w:rPr>
          <w:b/>
          <w:bCs/>
          <w:sz w:val="32"/>
          <w:szCs w:val="32"/>
          <w:vertAlign w:val="superscript"/>
          <w:rtl/>
        </w:rPr>
        <w:footnoteReference w:id="56"/>
      </w:r>
    </w:p>
    <w:p w14:paraId="04495E7A" w14:textId="77777777" w:rsidR="003D4065" w:rsidRPr="00F27422" w:rsidRDefault="003D4065" w:rsidP="00122B70">
      <w:pPr>
        <w:tabs>
          <w:tab w:val="left" w:pos="1070"/>
        </w:tabs>
        <w:bidi/>
        <w:rPr>
          <w:sz w:val="32"/>
          <w:szCs w:val="32"/>
          <w:rtl/>
        </w:rPr>
      </w:pPr>
      <w:r w:rsidRPr="00F27422">
        <w:rPr>
          <w:sz w:val="32"/>
          <w:szCs w:val="32"/>
          <w:rtl/>
        </w:rPr>
        <w:t>فإنّها تدلّ على أنّ الممنوع إنّما هو إتيان النساء زمان حيضهن وفي تلك الحالة، وأمّا في غيرها فيجوز إتيان الزوجة في أي وقت شاء الرجل).</w:t>
      </w:r>
    </w:p>
    <w:p w14:paraId="0DBA1703" w14:textId="77777777" w:rsidR="003D4065" w:rsidRPr="00F27422" w:rsidRDefault="003D4065" w:rsidP="00122B70">
      <w:pPr>
        <w:tabs>
          <w:tab w:val="left" w:pos="1070"/>
        </w:tabs>
        <w:bidi/>
        <w:rPr>
          <w:sz w:val="32"/>
          <w:szCs w:val="32"/>
          <w:rtl/>
        </w:rPr>
      </w:pPr>
      <w:r w:rsidRPr="00F27422">
        <w:rPr>
          <w:b/>
          <w:bCs/>
          <w:sz w:val="32"/>
          <w:szCs w:val="32"/>
          <w:rtl/>
        </w:rPr>
        <w:t>ومعناه:</w:t>
      </w:r>
      <w:r w:rsidRPr="00F27422">
        <w:rPr>
          <w:sz w:val="32"/>
          <w:szCs w:val="32"/>
          <w:rtl/>
        </w:rPr>
        <w:t xml:space="preserve"> بملاحظة سياق الآيات السابقة يكون معنى قوله تعالى: </w:t>
      </w:r>
      <w:r w:rsidRPr="00F27422">
        <w:rPr>
          <w:b/>
          <w:bCs/>
          <w:sz w:val="32"/>
          <w:szCs w:val="32"/>
          <w:rtl/>
        </w:rPr>
        <w:t>{حَرْثٌ لَّكُمْ فَأْتُوا حَرْثَكُمْ أَنَّىٰ شِئْتُمْ}</w:t>
      </w:r>
      <w:r w:rsidRPr="00F27422">
        <w:rPr>
          <w:sz w:val="32"/>
          <w:szCs w:val="32"/>
          <w:rtl/>
        </w:rPr>
        <w:t xml:space="preserve"> أي: في أيّ زمانٍ شئتم ما سوى زمان المحيض، وليست في مقام البيان مِن جهة موضع الاستمتاع كي يقال إنّ مقتضى إطلاق الآية جواز وطء المرأة</w:t>
      </w:r>
      <w:r w:rsidRPr="00F27422">
        <w:rPr>
          <w:sz w:val="32"/>
          <w:szCs w:val="32"/>
        </w:rPr>
        <w:t>.</w:t>
      </w:r>
    </w:p>
    <w:p w14:paraId="37117368" w14:textId="77777777" w:rsidR="003D4065" w:rsidRPr="00F27422" w:rsidRDefault="003D4065" w:rsidP="00122B70">
      <w:pPr>
        <w:tabs>
          <w:tab w:val="left" w:pos="1070"/>
        </w:tabs>
        <w:bidi/>
        <w:rPr>
          <w:sz w:val="32"/>
          <w:szCs w:val="32"/>
          <w:rtl/>
        </w:rPr>
      </w:pPr>
      <w:r w:rsidRPr="00F27422">
        <w:rPr>
          <w:sz w:val="32"/>
          <w:szCs w:val="32"/>
          <w:rtl/>
        </w:rPr>
        <w:t xml:space="preserve">فإنّ قوله عزّ وجلّ: </w:t>
      </w:r>
      <w:r w:rsidRPr="00F27422">
        <w:rPr>
          <w:b/>
          <w:bCs/>
          <w:sz w:val="32"/>
          <w:szCs w:val="32"/>
          <w:rtl/>
        </w:rPr>
        <w:t>{مِنْ حَيْثُ أَمَرَكُمُ اللَّهُ}</w:t>
      </w:r>
      <w:r w:rsidRPr="00F27422">
        <w:rPr>
          <w:sz w:val="32"/>
          <w:szCs w:val="32"/>
          <w:rtl/>
        </w:rPr>
        <w:t xml:space="preserve"> دال على قصور حقّ الاستمتاع وأنّ موضوعه ليس مجرّد عقد النكاح، بل موضوعه ما أباحه الله مِن الاستمتاعات إمّا </w:t>
      </w:r>
      <w:proofErr w:type="gramStart"/>
      <w:r w:rsidRPr="00F27422">
        <w:rPr>
          <w:sz w:val="32"/>
          <w:szCs w:val="32"/>
          <w:rtl/>
        </w:rPr>
        <w:t xml:space="preserve">بلحاظ ذاتها </w:t>
      </w:r>
      <w:proofErr w:type="gramEnd"/>
      <w:r w:rsidRPr="00F27422">
        <w:rPr>
          <w:sz w:val="32"/>
          <w:szCs w:val="32"/>
          <w:rtl/>
        </w:rPr>
        <w:t>أو بلحاظ زمانها أو بلحاظ مكانها، وحيثُ لا يعلم أنّ المرأة التي اشتغلتْ ذمّتها بملك المُستأجر لمنفعتها هل هي مما أباحه الله أم لا؟ أم هل هي موضوع للاستمتاع المطلق أم لا؟ فلا يصح التمسك بالآية المباركة</w:t>
      </w:r>
      <w:r w:rsidRPr="00F27422">
        <w:rPr>
          <w:sz w:val="32"/>
          <w:szCs w:val="32"/>
        </w:rPr>
        <w:t>.</w:t>
      </w:r>
    </w:p>
    <w:p w14:paraId="338521CB" w14:textId="77777777" w:rsidR="003D4065" w:rsidRPr="00F27422" w:rsidRDefault="003D4065" w:rsidP="00122B70">
      <w:pPr>
        <w:tabs>
          <w:tab w:val="left" w:pos="1070"/>
        </w:tabs>
        <w:bidi/>
        <w:rPr>
          <w:sz w:val="32"/>
          <w:szCs w:val="32"/>
          <w:rtl/>
        </w:rPr>
      </w:pPr>
      <w:r w:rsidRPr="00F27422">
        <w:rPr>
          <w:sz w:val="32"/>
          <w:szCs w:val="32"/>
          <w:rtl/>
        </w:rPr>
        <w:t>وأكد ذلك سيدنا الخوئي (قدس سره الشريف)</w:t>
      </w:r>
      <w:r w:rsidRPr="00F27422">
        <w:rPr>
          <w:sz w:val="32"/>
          <w:szCs w:val="32"/>
          <w:vertAlign w:val="superscript"/>
          <w:rtl/>
        </w:rPr>
        <w:footnoteReference w:id="57"/>
      </w:r>
      <w:r w:rsidRPr="00F27422">
        <w:rPr>
          <w:sz w:val="32"/>
          <w:szCs w:val="32"/>
          <w:rtl/>
        </w:rPr>
        <w:t xml:space="preserve"> بمعتبرة </w:t>
      </w:r>
      <w:proofErr w:type="gramStart"/>
      <w:r w:rsidRPr="00F27422">
        <w:rPr>
          <w:sz w:val="32"/>
          <w:szCs w:val="32"/>
          <w:rtl/>
        </w:rPr>
        <w:t>عبدالله</w:t>
      </w:r>
      <w:proofErr w:type="gramEnd"/>
      <w:r w:rsidRPr="00F27422">
        <w:rPr>
          <w:sz w:val="32"/>
          <w:szCs w:val="32"/>
          <w:rtl/>
        </w:rPr>
        <w:t xml:space="preserve"> بن أبي يعفور</w:t>
      </w:r>
      <w:r w:rsidRPr="00F27422">
        <w:rPr>
          <w:sz w:val="32"/>
          <w:szCs w:val="32"/>
        </w:rPr>
        <w:t>.</w:t>
      </w:r>
    </w:p>
    <w:p w14:paraId="156E2764" w14:textId="77777777" w:rsidR="003D4065" w:rsidRPr="00F27422" w:rsidRDefault="003D4065" w:rsidP="00122B70">
      <w:pPr>
        <w:tabs>
          <w:tab w:val="left" w:pos="1070"/>
        </w:tabs>
        <w:bidi/>
        <w:rPr>
          <w:sz w:val="32"/>
          <w:szCs w:val="32"/>
          <w:rtl/>
        </w:rPr>
      </w:pPr>
      <w:r w:rsidRPr="00F27422">
        <w:rPr>
          <w:sz w:val="32"/>
          <w:szCs w:val="32"/>
          <w:rtl/>
        </w:rPr>
        <w:t xml:space="preserve">وهي كما وردت في الوسائل: </w:t>
      </w:r>
      <w:r w:rsidRPr="00F27422">
        <w:rPr>
          <w:b/>
          <w:bCs/>
          <w:sz w:val="32"/>
          <w:szCs w:val="32"/>
          <w:rtl/>
        </w:rPr>
        <w:t xml:space="preserve">(وعنه، عن عليّ بن اسباط، عن محمد بن حمران، عن </w:t>
      </w:r>
      <w:proofErr w:type="gramStart"/>
      <w:r w:rsidRPr="00F27422">
        <w:rPr>
          <w:b/>
          <w:bCs/>
          <w:sz w:val="32"/>
          <w:szCs w:val="32"/>
          <w:rtl/>
        </w:rPr>
        <w:t>عبدالله</w:t>
      </w:r>
      <w:proofErr w:type="gramEnd"/>
      <w:r w:rsidRPr="00F27422">
        <w:rPr>
          <w:b/>
          <w:bCs/>
          <w:sz w:val="32"/>
          <w:szCs w:val="32"/>
          <w:rtl/>
        </w:rPr>
        <w:t xml:space="preserve"> بن أبي يعفور قال: سألت أبا </w:t>
      </w:r>
      <w:proofErr w:type="gramStart"/>
      <w:r w:rsidRPr="00F27422">
        <w:rPr>
          <w:b/>
          <w:bCs/>
          <w:sz w:val="32"/>
          <w:szCs w:val="32"/>
          <w:rtl/>
        </w:rPr>
        <w:t xml:space="preserve">عبدالله  </w:t>
      </w:r>
      <w:r w:rsidRPr="00F27422">
        <w:rPr>
          <w:b/>
          <w:bCs/>
          <w:sz w:val="32"/>
          <w:szCs w:val="32"/>
        </w:rPr>
        <w:t>‌</w:t>
      </w:r>
      <w:proofErr w:type="gramEnd"/>
      <w:r w:rsidRPr="00F27422">
        <w:rPr>
          <w:b/>
          <w:bCs/>
          <w:sz w:val="32"/>
          <w:szCs w:val="32"/>
          <w:rtl/>
        </w:rPr>
        <w:t xml:space="preserve">السلام) عن الرجل يأتي المرأة في دبرها؟ قال: لا بأس </w:t>
      </w:r>
      <w:r w:rsidRPr="00F27422">
        <w:rPr>
          <w:b/>
          <w:bCs/>
          <w:sz w:val="32"/>
          <w:szCs w:val="32"/>
          <w:rtl/>
        </w:rPr>
        <w:lastRenderedPageBreak/>
        <w:t>إذا رضيت، قلت: فأين قول الله عزّ وجلّ: {فَأْتُوهُنَّ مِنْ حَيْثُ أَمَرَكُمُ} قال: هذا في طلب الولد، فاطلبوا الولد من حيث أمركم الله إن الله تعالى يقول: {نِسَاؤُكُمْ حَرْثٌ لَّكُمْ فَأْتُوا حَرْثَكُمْ})</w:t>
      </w:r>
      <w:r w:rsidRPr="00F27422">
        <w:rPr>
          <w:b/>
          <w:bCs/>
          <w:sz w:val="32"/>
          <w:szCs w:val="32"/>
          <w:vertAlign w:val="superscript"/>
          <w:rtl/>
        </w:rPr>
        <w:footnoteReference w:id="58"/>
      </w:r>
      <w:r w:rsidRPr="00F27422">
        <w:rPr>
          <w:b/>
          <w:bCs/>
          <w:sz w:val="32"/>
          <w:szCs w:val="32"/>
          <w:rtl/>
        </w:rPr>
        <w:t>.</w:t>
      </w:r>
    </w:p>
    <w:p w14:paraId="3DE9D51C" w14:textId="77777777" w:rsidR="003D4065" w:rsidRPr="00F27422" w:rsidRDefault="003D4065" w:rsidP="00122B70">
      <w:pPr>
        <w:tabs>
          <w:tab w:val="left" w:pos="1070"/>
        </w:tabs>
        <w:bidi/>
        <w:rPr>
          <w:sz w:val="32"/>
          <w:szCs w:val="32"/>
          <w:rtl/>
        </w:rPr>
      </w:pPr>
    </w:p>
    <w:p w14:paraId="4EA16C56" w14:textId="77777777" w:rsidR="003D4065" w:rsidRPr="00F27422" w:rsidRDefault="003D4065" w:rsidP="00122B70">
      <w:pPr>
        <w:tabs>
          <w:tab w:val="left" w:pos="1070"/>
        </w:tabs>
        <w:bidi/>
        <w:rPr>
          <w:b/>
          <w:bCs/>
          <w:sz w:val="32"/>
          <w:szCs w:val="32"/>
          <w:rtl/>
        </w:rPr>
      </w:pPr>
      <w:r w:rsidRPr="00F27422">
        <w:rPr>
          <w:b/>
          <w:bCs/>
          <w:sz w:val="32"/>
          <w:szCs w:val="32"/>
          <w:rtl/>
        </w:rPr>
        <w:t>والحمد لله رب العالمين</w:t>
      </w:r>
    </w:p>
    <w:p w14:paraId="403B0A0F" w14:textId="77777777" w:rsidR="00A87C4C" w:rsidRPr="00F27422" w:rsidRDefault="00A87C4C" w:rsidP="00122B70">
      <w:pPr>
        <w:tabs>
          <w:tab w:val="left" w:pos="1070"/>
        </w:tabs>
        <w:bidi/>
        <w:rPr>
          <w:sz w:val="32"/>
          <w:szCs w:val="32"/>
        </w:rPr>
      </w:pPr>
    </w:p>
    <w:p w14:paraId="0C813A17" w14:textId="77777777" w:rsidR="003D4065" w:rsidRPr="00F27422" w:rsidRDefault="003D4065" w:rsidP="00122B70">
      <w:pPr>
        <w:tabs>
          <w:tab w:val="left" w:pos="1070"/>
        </w:tabs>
        <w:bidi/>
        <w:rPr>
          <w:sz w:val="32"/>
          <w:szCs w:val="32"/>
          <w:rtl/>
        </w:rPr>
      </w:pPr>
    </w:p>
    <w:p w14:paraId="54F056A1" w14:textId="03FFD7A8" w:rsidR="003D4065" w:rsidRPr="00F27422" w:rsidRDefault="003D4065" w:rsidP="00122B70">
      <w:pPr>
        <w:pStyle w:val="Heading3"/>
        <w:bidi/>
        <w:rPr>
          <w:sz w:val="32"/>
          <w:szCs w:val="32"/>
          <w:rtl/>
        </w:rPr>
      </w:pPr>
      <w:r w:rsidRPr="00F27422">
        <w:rPr>
          <w:rFonts w:hint="cs"/>
          <w:sz w:val="32"/>
          <w:szCs w:val="32"/>
          <w:rtl/>
        </w:rPr>
        <w:t>072</w:t>
      </w:r>
    </w:p>
    <w:p w14:paraId="0430CDC0" w14:textId="77777777" w:rsidR="003D4065" w:rsidRPr="00F27422" w:rsidRDefault="003D4065" w:rsidP="00122B70">
      <w:pPr>
        <w:tabs>
          <w:tab w:val="left" w:pos="1070"/>
        </w:tabs>
        <w:bidi/>
        <w:rPr>
          <w:sz w:val="32"/>
          <w:szCs w:val="32"/>
          <w:rtl/>
        </w:rPr>
      </w:pPr>
    </w:p>
    <w:p w14:paraId="50530004" w14:textId="77777777" w:rsidR="009B0E5B" w:rsidRPr="00F27422" w:rsidRDefault="009B0E5B" w:rsidP="00122B70">
      <w:pPr>
        <w:tabs>
          <w:tab w:val="left" w:pos="1070"/>
        </w:tabs>
        <w:bidi/>
        <w:rPr>
          <w:b/>
          <w:bCs/>
          <w:sz w:val="32"/>
          <w:szCs w:val="32"/>
        </w:rPr>
      </w:pPr>
      <w:r w:rsidRPr="00F27422">
        <w:rPr>
          <w:b/>
          <w:bCs/>
          <w:sz w:val="32"/>
          <w:szCs w:val="32"/>
          <w:rtl/>
        </w:rPr>
        <w:t>بسم الله الرحمن الرحيم</w:t>
      </w:r>
    </w:p>
    <w:p w14:paraId="1B34788A" w14:textId="77777777" w:rsidR="009B0E5B" w:rsidRPr="00F27422" w:rsidRDefault="009B0E5B" w:rsidP="00122B70">
      <w:pPr>
        <w:tabs>
          <w:tab w:val="left" w:pos="1070"/>
        </w:tabs>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47010CDD" w14:textId="77777777" w:rsidR="009B0E5B" w:rsidRPr="00F27422" w:rsidRDefault="009B0E5B" w:rsidP="00122B70">
      <w:pPr>
        <w:tabs>
          <w:tab w:val="left" w:pos="1070"/>
        </w:tabs>
        <w:bidi/>
        <w:rPr>
          <w:sz w:val="32"/>
          <w:szCs w:val="32"/>
          <w:rtl/>
        </w:rPr>
      </w:pPr>
      <w:r w:rsidRPr="00F27422">
        <w:rPr>
          <w:b/>
          <w:bCs/>
          <w:sz w:val="32"/>
          <w:szCs w:val="32"/>
          <w:rtl/>
        </w:rPr>
        <w:t>واللعن الدائم على أعدائهم أجمعين إلى قيام يوم الدين</w:t>
      </w:r>
    </w:p>
    <w:p w14:paraId="0E57661C" w14:textId="77777777" w:rsidR="009B0E5B" w:rsidRPr="00F27422" w:rsidRDefault="009B0E5B" w:rsidP="00122B70">
      <w:pPr>
        <w:tabs>
          <w:tab w:val="left" w:pos="1070"/>
        </w:tabs>
        <w:bidi/>
        <w:rPr>
          <w:sz w:val="32"/>
          <w:szCs w:val="32"/>
          <w:rtl/>
        </w:rPr>
      </w:pPr>
    </w:p>
    <w:p w14:paraId="49F50242" w14:textId="77777777" w:rsidR="009B0E5B" w:rsidRPr="00F27422" w:rsidRDefault="009B0E5B" w:rsidP="00122B70">
      <w:pPr>
        <w:tabs>
          <w:tab w:val="left" w:pos="1070"/>
        </w:tabs>
        <w:bidi/>
        <w:rPr>
          <w:sz w:val="32"/>
          <w:szCs w:val="32"/>
          <w:rtl/>
        </w:rPr>
      </w:pPr>
      <w:proofErr w:type="spellStart"/>
      <w:r w:rsidRPr="00F27422">
        <w:rPr>
          <w:b/>
          <w:bCs/>
          <w:sz w:val="32"/>
          <w:szCs w:val="32"/>
          <w:rtl/>
        </w:rPr>
        <w:t>والمحتصل</w:t>
      </w:r>
      <w:proofErr w:type="spellEnd"/>
      <w:r w:rsidRPr="00F27422">
        <w:rPr>
          <w:b/>
          <w:bCs/>
          <w:sz w:val="32"/>
          <w:szCs w:val="32"/>
          <w:rtl/>
        </w:rPr>
        <w:t xml:space="preserve"> مما سبق:</w:t>
      </w:r>
      <w:r w:rsidRPr="00F27422">
        <w:rPr>
          <w:sz w:val="32"/>
          <w:szCs w:val="32"/>
          <w:rtl/>
        </w:rPr>
        <w:t xml:space="preserve"> أنّ قوله عزّ وجلّ: </w:t>
      </w:r>
      <w:r w:rsidRPr="00F27422">
        <w:rPr>
          <w:b/>
          <w:bCs/>
          <w:sz w:val="32"/>
          <w:szCs w:val="32"/>
          <w:rtl/>
        </w:rPr>
        <w:t>{نِسَاؤُكُمْ حَرْثٌ لَّكُمْ فَأْتُوا حَرْثَكُمْ أَنَّىٰ شِئْتُمْ}</w:t>
      </w:r>
      <w:r w:rsidRPr="00F27422">
        <w:rPr>
          <w:sz w:val="32"/>
          <w:szCs w:val="32"/>
          <w:vertAlign w:val="superscript"/>
          <w:rtl/>
        </w:rPr>
        <w:footnoteReference w:id="59"/>
      </w:r>
      <w:r w:rsidRPr="00F27422">
        <w:rPr>
          <w:sz w:val="32"/>
          <w:szCs w:val="32"/>
          <w:rtl/>
        </w:rPr>
        <w:t xml:space="preserve"> لا دلالة فيه على سعة حقّ الاستمتاع.</w:t>
      </w:r>
    </w:p>
    <w:p w14:paraId="57647FC2" w14:textId="339E2A0E" w:rsidR="009B0E5B" w:rsidRPr="00F27422" w:rsidRDefault="009B0E5B" w:rsidP="00122B70">
      <w:pPr>
        <w:tabs>
          <w:tab w:val="left" w:pos="1070"/>
        </w:tabs>
        <w:bidi/>
        <w:rPr>
          <w:sz w:val="32"/>
          <w:szCs w:val="32"/>
          <w:rtl/>
        </w:rPr>
      </w:pPr>
      <w:r w:rsidRPr="00F27422">
        <w:rPr>
          <w:sz w:val="32"/>
          <w:szCs w:val="32"/>
          <w:rtl/>
        </w:rPr>
        <w:t xml:space="preserve">وخصوصاً مع ملاحظة الروايات الشريفة فإنّها وإنْ كانتْ متعارضة - في جواز وطأ الدبر - من جهة الدلالة الالتزامية، حيثُ إنّ ظاهر معتبرة عبدالله بن أبي </w:t>
      </w:r>
      <w:r w:rsidR="00E84167" w:rsidRPr="00F27422">
        <w:rPr>
          <w:rFonts w:hint="cs"/>
          <w:sz w:val="32"/>
          <w:szCs w:val="32"/>
          <w:rtl/>
        </w:rPr>
        <w:t>ي</w:t>
      </w:r>
      <w:r w:rsidRPr="00F27422">
        <w:rPr>
          <w:sz w:val="32"/>
          <w:szCs w:val="32"/>
          <w:rtl/>
        </w:rPr>
        <w:t xml:space="preserve">عفور كما في الوسائل: </w:t>
      </w:r>
      <w:r w:rsidRPr="00F27422">
        <w:rPr>
          <w:b/>
          <w:bCs/>
          <w:sz w:val="32"/>
          <w:szCs w:val="32"/>
          <w:rtl/>
        </w:rPr>
        <w:t xml:space="preserve">(وعنه، عن عليّ بن اسباط، عن محمد بن حمران، عن عبدالله بن أبي يعفور قال: سألت أبا عبدالله  </w:t>
      </w:r>
      <w:r w:rsidRPr="00F27422">
        <w:rPr>
          <w:b/>
          <w:bCs/>
          <w:sz w:val="32"/>
          <w:szCs w:val="32"/>
        </w:rPr>
        <w:t>‌</w:t>
      </w:r>
      <w:r w:rsidRPr="00F27422">
        <w:rPr>
          <w:b/>
          <w:bCs/>
          <w:sz w:val="32"/>
          <w:szCs w:val="32"/>
          <w:rtl/>
        </w:rPr>
        <w:t>السلام) عن الرجل يأتي المرأة في دبرها؟ قال: لا بأس إذا رضيت، قلت: فأين قول الله عزّ وجلّ: {فَأْتُوهُنَّ مِنْ حَيْثُ أَمَرَكُمُ} قال: هذا في طلب الولد، فاطلبوا الولد من حيث أمركم الله إن الله تعالى يقول: {نِسَاؤُكُمْ حَرْثٌ لَّكُمْ فَأْتُوا حَرْثَكُمْ})</w:t>
      </w:r>
      <w:r w:rsidRPr="00F27422">
        <w:rPr>
          <w:b/>
          <w:bCs/>
          <w:sz w:val="32"/>
          <w:szCs w:val="32"/>
          <w:vertAlign w:val="superscript"/>
          <w:rtl/>
        </w:rPr>
        <w:footnoteReference w:id="60"/>
      </w:r>
      <w:r w:rsidRPr="00F27422">
        <w:rPr>
          <w:b/>
          <w:bCs/>
          <w:sz w:val="32"/>
          <w:szCs w:val="32"/>
          <w:rtl/>
        </w:rPr>
        <w:t>.</w:t>
      </w:r>
      <w:r w:rsidRPr="00F27422">
        <w:rPr>
          <w:sz w:val="32"/>
          <w:szCs w:val="32"/>
          <w:rtl/>
        </w:rPr>
        <w:t xml:space="preserve"> الجواز، بينما المستفاد من معتبرة معمر بن خلاد كما في الوسائل: </w:t>
      </w:r>
      <w:r w:rsidRPr="00F27422">
        <w:rPr>
          <w:b/>
          <w:bCs/>
          <w:sz w:val="32"/>
          <w:szCs w:val="32"/>
          <w:rtl/>
        </w:rPr>
        <w:t xml:space="preserve">(محمّد بن الحسن بإسناده، عن أحمد بن محمّد بن عيسى، عن معمر بن خلاد قال: قال لي أبو الحسن (عليه </w:t>
      </w:r>
      <w:r w:rsidRPr="00F27422">
        <w:rPr>
          <w:b/>
          <w:bCs/>
          <w:sz w:val="32"/>
          <w:szCs w:val="32"/>
        </w:rPr>
        <w:t>‌</w:t>
      </w:r>
      <w:r w:rsidRPr="00F27422">
        <w:rPr>
          <w:b/>
          <w:bCs/>
          <w:sz w:val="32"/>
          <w:szCs w:val="32"/>
          <w:rtl/>
        </w:rPr>
        <w:t xml:space="preserve">السلام): أيُّ شيء يقولون في </w:t>
      </w:r>
      <w:r w:rsidRPr="00F27422">
        <w:rPr>
          <w:b/>
          <w:bCs/>
          <w:sz w:val="32"/>
          <w:szCs w:val="32"/>
          <w:rtl/>
        </w:rPr>
        <w:lastRenderedPageBreak/>
        <w:t xml:space="preserve">إتيان النساء في أعجازهن؟ قلت: إنه بلغني أن أهل المدينة </w:t>
      </w:r>
      <w:r w:rsidR="00E84167" w:rsidRPr="00F27422">
        <w:rPr>
          <w:rFonts w:hint="cs"/>
          <w:b/>
          <w:bCs/>
          <w:sz w:val="32"/>
          <w:szCs w:val="32"/>
          <w:rtl/>
        </w:rPr>
        <w:t>لا يرون</w:t>
      </w:r>
      <w:r w:rsidRPr="00F27422">
        <w:rPr>
          <w:b/>
          <w:bCs/>
          <w:sz w:val="32"/>
          <w:szCs w:val="32"/>
          <w:rtl/>
        </w:rPr>
        <w:t xml:space="preserve"> به بأساً، فقال: إن اليهود كانت تقول: إذا أتى الرجل المرأة من خلفها خرج ولده احول فأنزل الله عزّ وجلّ: {نِسَاؤُكُمْ حَرْثٌ لَّكُمْ فَأْتُوا حَرْثَكُمْ أَنَّىٰ شِئْتُمْ} من خلف أو قدام خلافاً لقول اليهود، ولم يعن في أدبارهن)</w:t>
      </w:r>
      <w:r w:rsidRPr="00F27422">
        <w:rPr>
          <w:b/>
          <w:bCs/>
          <w:sz w:val="32"/>
          <w:szCs w:val="32"/>
          <w:vertAlign w:val="superscript"/>
          <w:rtl/>
        </w:rPr>
        <w:footnoteReference w:id="61"/>
      </w:r>
      <w:r w:rsidRPr="00F27422">
        <w:rPr>
          <w:b/>
          <w:bCs/>
          <w:sz w:val="32"/>
          <w:szCs w:val="32"/>
          <w:rtl/>
        </w:rPr>
        <w:t>.</w:t>
      </w:r>
      <w:r w:rsidRPr="00F27422">
        <w:rPr>
          <w:sz w:val="32"/>
          <w:szCs w:val="32"/>
          <w:rtl/>
        </w:rPr>
        <w:t xml:space="preserve"> مِن باب دلالة الإشارة على وجود الحزازة في ذلك مِن قوله (عليه السلام): (</w:t>
      </w:r>
      <w:r w:rsidRPr="00F27422">
        <w:rPr>
          <w:b/>
          <w:bCs/>
          <w:sz w:val="32"/>
          <w:szCs w:val="32"/>
          <w:rtl/>
        </w:rPr>
        <w:t>أيُّ شيء يقولون</w:t>
      </w:r>
      <w:r w:rsidRPr="00F27422">
        <w:rPr>
          <w:sz w:val="32"/>
          <w:szCs w:val="32"/>
          <w:rtl/>
        </w:rPr>
        <w:t xml:space="preserve">) فإنّ ظاهر السؤال هو التعريض برأي أهل المدينة القائلين بالإباحة المطلقة، كما أنّ ظاهر تعرض الإمام (عليه السلام) للآية المباركة هو دفع استدلالهم بالآية على جواز </w:t>
      </w:r>
      <w:proofErr w:type="spellStart"/>
      <w:r w:rsidRPr="00F27422">
        <w:rPr>
          <w:sz w:val="32"/>
          <w:szCs w:val="32"/>
          <w:rtl/>
        </w:rPr>
        <w:t>الوطئ</w:t>
      </w:r>
      <w:proofErr w:type="spellEnd"/>
      <w:r w:rsidRPr="00F27422">
        <w:rPr>
          <w:sz w:val="32"/>
          <w:szCs w:val="32"/>
          <w:rtl/>
        </w:rPr>
        <w:t xml:space="preserve"> مِن الدبر بقرينة قوله (عليه السلام) في الذيل: (</w:t>
      </w:r>
      <w:r w:rsidRPr="00F27422">
        <w:rPr>
          <w:b/>
          <w:bCs/>
          <w:sz w:val="32"/>
          <w:szCs w:val="32"/>
          <w:rtl/>
        </w:rPr>
        <w:t>ولم يعن في أدبارهن</w:t>
      </w:r>
      <w:r w:rsidRPr="00F27422">
        <w:rPr>
          <w:sz w:val="32"/>
          <w:szCs w:val="32"/>
          <w:rtl/>
        </w:rPr>
        <w:t>).</w:t>
      </w:r>
    </w:p>
    <w:p w14:paraId="458610E4" w14:textId="77777777" w:rsidR="009B0E5B" w:rsidRPr="00F27422" w:rsidRDefault="009B0E5B" w:rsidP="00122B70">
      <w:pPr>
        <w:tabs>
          <w:tab w:val="left" w:pos="1070"/>
        </w:tabs>
        <w:bidi/>
        <w:rPr>
          <w:sz w:val="32"/>
          <w:szCs w:val="32"/>
          <w:rtl/>
        </w:rPr>
      </w:pPr>
      <w:r w:rsidRPr="00F27422">
        <w:rPr>
          <w:b/>
          <w:bCs/>
          <w:sz w:val="32"/>
          <w:szCs w:val="32"/>
          <w:rtl/>
        </w:rPr>
        <w:t>ببيان:</w:t>
      </w:r>
      <w:r w:rsidRPr="00F27422">
        <w:rPr>
          <w:sz w:val="32"/>
          <w:szCs w:val="32"/>
          <w:rtl/>
        </w:rPr>
        <w:t xml:space="preserve"> أنّ المقصود منها أنّ إتيان المرأة في قبلها سواءً كان ذلك مِن الأمام أم مِن الخلف لا يوجب ضرراً على الولد، ولا ربط للآية المباركة </w:t>
      </w:r>
      <w:proofErr w:type="spellStart"/>
      <w:r w:rsidRPr="00F27422">
        <w:rPr>
          <w:sz w:val="32"/>
          <w:szCs w:val="32"/>
          <w:rtl/>
        </w:rPr>
        <w:t>بالوطأ</w:t>
      </w:r>
      <w:proofErr w:type="spellEnd"/>
      <w:r w:rsidRPr="00F27422">
        <w:rPr>
          <w:sz w:val="32"/>
          <w:szCs w:val="32"/>
          <w:rtl/>
        </w:rPr>
        <w:t xml:space="preserve"> مِن الدبر.</w:t>
      </w:r>
    </w:p>
    <w:p w14:paraId="4342C562" w14:textId="77777777" w:rsidR="009B0E5B" w:rsidRPr="00F27422" w:rsidRDefault="009B0E5B" w:rsidP="00122B70">
      <w:pPr>
        <w:tabs>
          <w:tab w:val="left" w:pos="1070"/>
        </w:tabs>
        <w:bidi/>
        <w:rPr>
          <w:sz w:val="32"/>
          <w:szCs w:val="32"/>
          <w:rtl/>
        </w:rPr>
      </w:pPr>
      <w:r w:rsidRPr="00F27422">
        <w:rPr>
          <w:b/>
          <w:bCs/>
          <w:sz w:val="32"/>
          <w:szCs w:val="32"/>
          <w:rtl/>
        </w:rPr>
        <w:t>والخلاصة:</w:t>
      </w:r>
      <w:r w:rsidRPr="00F27422">
        <w:rPr>
          <w:sz w:val="32"/>
          <w:szCs w:val="32"/>
          <w:rtl/>
        </w:rPr>
        <w:t xml:space="preserve"> أنّ الروايات وإنْ كانت متعارضة في هذه الحيثية وهي جواز إتيان المرأة في دبرها، إلّا أنّها متفقة على أنّ الآية المباركة لا دلالة فيها على سعة حقّ الاستمتاع؛ حيثُ تضمنت قوله عزّ وجلّ: </w:t>
      </w:r>
      <w:r w:rsidRPr="00F27422">
        <w:rPr>
          <w:b/>
          <w:bCs/>
          <w:sz w:val="32"/>
          <w:szCs w:val="32"/>
          <w:rtl/>
        </w:rPr>
        <w:t>{فَأْتُوهُنَّ مِنْ حَيْثُ أَمَرَكُمُ اللَّهُ}</w:t>
      </w:r>
      <w:r w:rsidRPr="00F27422">
        <w:rPr>
          <w:sz w:val="32"/>
          <w:szCs w:val="32"/>
          <w:vertAlign w:val="superscript"/>
          <w:rtl/>
        </w:rPr>
        <w:footnoteReference w:id="62"/>
      </w:r>
      <w:r w:rsidRPr="00F27422">
        <w:rPr>
          <w:sz w:val="32"/>
          <w:szCs w:val="32"/>
          <w:rtl/>
        </w:rPr>
        <w:t>.</w:t>
      </w:r>
    </w:p>
    <w:p w14:paraId="739B102C" w14:textId="77777777" w:rsidR="009B0E5B" w:rsidRPr="00F27422" w:rsidRDefault="009B0E5B" w:rsidP="00122B70">
      <w:pPr>
        <w:tabs>
          <w:tab w:val="left" w:pos="1070"/>
        </w:tabs>
        <w:bidi/>
        <w:rPr>
          <w:sz w:val="32"/>
          <w:szCs w:val="32"/>
          <w:rtl/>
        </w:rPr>
      </w:pPr>
      <w:r w:rsidRPr="00F27422">
        <w:rPr>
          <w:b/>
          <w:bCs/>
          <w:sz w:val="32"/>
          <w:szCs w:val="32"/>
          <w:rtl/>
        </w:rPr>
        <w:t>وقد يُقال:</w:t>
      </w:r>
      <w:r w:rsidRPr="00F27422">
        <w:rPr>
          <w:sz w:val="32"/>
          <w:szCs w:val="32"/>
          <w:rtl/>
        </w:rPr>
        <w:t xml:space="preserve"> إنّ الآية المباركة وإنْ لًمْ تكن في مقام البيان من هذه الجهة، إلّا أنّ هناك مِن الروايات ما يدل على سعة حقّ الاستمتاع، كما في معتبرة محمد بن مسلم: </w:t>
      </w:r>
      <w:r w:rsidRPr="00F27422">
        <w:rPr>
          <w:b/>
          <w:bCs/>
          <w:sz w:val="32"/>
          <w:szCs w:val="32"/>
          <w:rtl/>
        </w:rPr>
        <w:t>(عِدَّةٌ مِنْ أَصْحَابِنَا، عَنْ أَحْمَدَ بْنِ مُحَمَّدٍ، عَنِ ابْنِ مَحْبُوبٍ، عَنْ مَالِكِ بْنِ عَطِيَّةَ، عَنْ مُحَمَّدِ بْنِ مُسْلِمٍ، عَنْ أَبِي جَعْفَرٍ (عليه السلام) قَالَ: جَاءَتِ امْرَأَةٌ إِلَى النَّبِيِّ (صلى الله عليه وآله) فَقَالَتْ: يَا رَسُولَ اللَّهِ مَا حَقُّ الزَّوْجِ عَلَى الْمَرْأَةِ؟ فَقَالَ لَهَا: أَنْ تُطِيعَهُ وَلَا تَعْصِيَهُ، وَلَا تَصَدَّقَ مِنْ بَيْتِهِ إِلَّا بِإِذْنِهِ، وَلَا تَصُومَ تَطَوُّعاً إِلَّا بِإِذْنِهِ، وَلَا تَمْنَعَهُ نَفْسَهَا وَإِنْ كَانَتْ عَلَى ظَهْرِ قَتَبٍ،</w:t>
      </w:r>
      <w:r w:rsidRPr="00F27422">
        <w:rPr>
          <w:b/>
          <w:bCs/>
          <w:sz w:val="32"/>
          <w:szCs w:val="32"/>
        </w:rPr>
        <w:t>‌</w:t>
      </w:r>
      <w:r w:rsidRPr="00F27422">
        <w:rPr>
          <w:b/>
          <w:bCs/>
          <w:sz w:val="32"/>
          <w:szCs w:val="32"/>
          <w:rtl/>
        </w:rPr>
        <w:t xml:space="preserve"> وَلَا تَخْرُجَ مِنْ بَيْتِهَا إِلَّا بِإِذْنِهِ، وَإِنْ خَرَجَتْ مِنْ بَيْتِهَا بِغَيْرِ إِذْنِهِ لَعَنَتْهَا مَلَائِكَةُ السَّمَاءِ وَمَلَائِكَةُ الْأَرْضِ وَمَلَائِكَةُ الْغَضَبِ وَمَلَائِكَةُ الرَّحْمَةِ حَتَّى تَرْجِعَ إِلَى بَيْتِهَا، فَقَالَتْ: يَا رَسُولَ اللَّهِ مَنْ أَعْظَمُ النَّاسِ حَقّاً عَلَى الرَّجُلِ؟ قَالَ: وَالِدُهُ، فَقَالَتْ: يَا رَسُولَ اللَّهِ مَنْ أَعْظَمُ النَّاسِ حَقّاً عَلَى الْمَرْأَةِ؟ قَالَ: زَوْجُهَا، قَالَتْ: فَمَا لِي عَلَيْهِ مِنَ الْحَقِّ مِثْلُ مَا لَهُ عَلَيَّ؟ قَالَ: لَا وَلَا مِنْ كُلِّ مِائَةٍ وَاحِدَةٌ، قَالَ: فَقَالَتْ: وَالَّذِي بَعَثَكَ بِالْحَقِّ نَبِيّاً لَا يَمْلِكُ رَقَبَتِي رَجُلٌ أَبَداً)</w:t>
      </w:r>
      <w:r w:rsidRPr="00F27422">
        <w:rPr>
          <w:sz w:val="32"/>
          <w:szCs w:val="32"/>
          <w:vertAlign w:val="superscript"/>
          <w:rtl/>
        </w:rPr>
        <w:footnoteReference w:id="63"/>
      </w:r>
      <w:r w:rsidRPr="00F27422">
        <w:rPr>
          <w:b/>
          <w:bCs/>
          <w:sz w:val="32"/>
          <w:szCs w:val="32"/>
          <w:rtl/>
        </w:rPr>
        <w:t>.</w:t>
      </w:r>
    </w:p>
    <w:p w14:paraId="1EC86471" w14:textId="77777777" w:rsidR="009B0E5B" w:rsidRPr="00F27422" w:rsidRDefault="009B0E5B" w:rsidP="00122B70">
      <w:pPr>
        <w:tabs>
          <w:tab w:val="left" w:pos="1070"/>
        </w:tabs>
        <w:bidi/>
        <w:rPr>
          <w:sz w:val="32"/>
          <w:szCs w:val="32"/>
          <w:rtl/>
        </w:rPr>
      </w:pPr>
      <w:r w:rsidRPr="00F27422">
        <w:rPr>
          <w:sz w:val="32"/>
          <w:szCs w:val="32"/>
          <w:rtl/>
        </w:rPr>
        <w:t xml:space="preserve">فإنّ مقتضى إطلاق هذه الفقرة وهي قوله (صلى الله عليه وآله): </w:t>
      </w:r>
      <w:r w:rsidRPr="00F27422">
        <w:rPr>
          <w:b/>
          <w:bCs/>
          <w:sz w:val="32"/>
          <w:szCs w:val="32"/>
          <w:rtl/>
        </w:rPr>
        <w:t>(وَلَا تَمْنَعَهُ نَفْسَهَا وَإِنْ كَانَتْ عَلَى ظَهْرِ قَتَبٍ)</w:t>
      </w:r>
      <w:r w:rsidRPr="00F27422">
        <w:rPr>
          <w:sz w:val="32"/>
          <w:szCs w:val="32"/>
          <w:rtl/>
        </w:rPr>
        <w:t xml:space="preserve"> أنّ للزوج حقّ الاستمتاع في تمام الأحوال.</w:t>
      </w:r>
    </w:p>
    <w:p w14:paraId="08C211A7" w14:textId="77777777" w:rsidR="009B0E5B" w:rsidRPr="00F27422" w:rsidRDefault="009B0E5B" w:rsidP="00122B70">
      <w:pPr>
        <w:tabs>
          <w:tab w:val="left" w:pos="1070"/>
        </w:tabs>
        <w:bidi/>
        <w:rPr>
          <w:sz w:val="32"/>
          <w:szCs w:val="32"/>
          <w:rtl/>
        </w:rPr>
      </w:pPr>
      <w:r w:rsidRPr="00F27422">
        <w:rPr>
          <w:b/>
          <w:bCs/>
          <w:sz w:val="32"/>
          <w:szCs w:val="32"/>
          <w:rtl/>
        </w:rPr>
        <w:lastRenderedPageBreak/>
        <w:t>وفيه:</w:t>
      </w:r>
      <w:r w:rsidRPr="00F27422">
        <w:rPr>
          <w:sz w:val="32"/>
          <w:szCs w:val="32"/>
          <w:rtl/>
        </w:rPr>
        <w:t xml:space="preserve"> إنّ المنصرف العرفي مِن هذه الجملة أنّ الرواية في مقام بيان سعة الحقّ مِن جهة الكيفية، وأنّه ليس للزوجة أنْ تمنع التمكين لحزازة في كيفية الاستمتاع ومكانه، لا أنّها في مقام البيان مِن سائر الجهات بحيث يستفاد منها إطلاقُ حقّ الاستمتاع حتى لو كانتْ مشغولة الذمّة بتكليفٍ آخرٍ كوجوب الوفاء بعقد الإجارة أو الوفاء بالنذر ونحو ذلك، ويعضدُ ذلك أنّ الفقرات السابقة عليها وهي قوله (صلى الله عليه وآله): (</w:t>
      </w:r>
      <w:r w:rsidRPr="00F27422">
        <w:rPr>
          <w:b/>
          <w:bCs/>
          <w:sz w:val="32"/>
          <w:szCs w:val="32"/>
          <w:rtl/>
        </w:rPr>
        <w:t xml:space="preserve">أَنْ تُطِيعَهُ وَلَا تَعْصِيَهُ) </w:t>
      </w:r>
      <w:r w:rsidRPr="00F27422">
        <w:rPr>
          <w:sz w:val="32"/>
          <w:szCs w:val="32"/>
          <w:rtl/>
        </w:rPr>
        <w:t>وقوله:</w:t>
      </w:r>
      <w:r w:rsidRPr="00F27422">
        <w:rPr>
          <w:b/>
          <w:bCs/>
          <w:sz w:val="32"/>
          <w:szCs w:val="32"/>
          <w:rtl/>
        </w:rPr>
        <w:t xml:space="preserve"> (وَلَا تَصَدَّقَ مِنْ بَيْتِهِ إِلَّا بِإِذْنِهِ</w:t>
      </w:r>
      <w:r w:rsidRPr="00F27422">
        <w:rPr>
          <w:sz w:val="32"/>
          <w:szCs w:val="32"/>
          <w:rtl/>
        </w:rPr>
        <w:t>) لا إطلاق لهما قطعاً لفرض ترك واجبٍ أو فعل محرمٍ.</w:t>
      </w:r>
    </w:p>
    <w:p w14:paraId="182BFBE7" w14:textId="77777777" w:rsidR="009B0E5B" w:rsidRPr="00F27422" w:rsidRDefault="009B0E5B" w:rsidP="00122B70">
      <w:pPr>
        <w:tabs>
          <w:tab w:val="left" w:pos="1070"/>
        </w:tabs>
        <w:bidi/>
        <w:rPr>
          <w:sz w:val="32"/>
          <w:szCs w:val="32"/>
          <w:rtl/>
        </w:rPr>
      </w:pPr>
      <w:r w:rsidRPr="00F27422">
        <w:rPr>
          <w:b/>
          <w:bCs/>
          <w:sz w:val="32"/>
          <w:szCs w:val="32"/>
          <w:rtl/>
        </w:rPr>
        <w:t>فتلخص مِن ذلك:</w:t>
      </w:r>
      <w:r w:rsidRPr="00F27422">
        <w:rPr>
          <w:sz w:val="32"/>
          <w:szCs w:val="32"/>
          <w:rtl/>
        </w:rPr>
        <w:t xml:space="preserve"> أنّ الصحيح ما ذكره سيدنا الخوئي (قدس سره الشريف) مِن أنّ حقّ الاستمتاع لا سعة فيه لفرض كون المرأةِ مستأجرةً بحيث تكون ذمّتها مشغولة بوجوب الوفاء بعقد الإجارة</w:t>
      </w:r>
      <w:r w:rsidRPr="00F27422">
        <w:rPr>
          <w:sz w:val="32"/>
          <w:szCs w:val="32"/>
        </w:rPr>
        <w:t>.</w:t>
      </w:r>
    </w:p>
    <w:p w14:paraId="6A6B844A" w14:textId="77777777" w:rsidR="009B0E5B" w:rsidRPr="00F27422" w:rsidRDefault="009B0E5B" w:rsidP="00122B70">
      <w:pPr>
        <w:tabs>
          <w:tab w:val="left" w:pos="1070"/>
        </w:tabs>
        <w:bidi/>
        <w:rPr>
          <w:sz w:val="32"/>
          <w:szCs w:val="32"/>
          <w:rtl/>
        </w:rPr>
      </w:pPr>
      <w:r w:rsidRPr="00F27422">
        <w:rPr>
          <w:sz w:val="32"/>
          <w:szCs w:val="32"/>
          <w:rtl/>
        </w:rPr>
        <w:t xml:space="preserve">وحيثُ إنّ ظاهر كلامه (قدس سره) كون النقطة المحورية في تقدم الإجارة هو قصور حقّ الاستمتاع، فمِن غير الفني ما صدر مِن بعض الأجلة (رحمه الله) مِن مناقشته على ضوء جملة تشبيه المقام ببيع العين المستأجرة، وإغفال النكتة الرئيسية في الإستدلال، ثمّ التعليق على كلامه بقوله: </w:t>
      </w:r>
      <w:r w:rsidRPr="00F27422">
        <w:rPr>
          <w:b/>
          <w:bCs/>
          <w:sz w:val="32"/>
          <w:szCs w:val="32"/>
          <w:rtl/>
        </w:rPr>
        <w:t>(والصحيح في توجيه هذه الفتوى المشهورة دعوى قصور أدلّة حق الاستمتاع للزوج عن شمول أكثر مما تتمكن منه الزوجة وتملكه تكويناً وشرعاً في زمان الزوجية فإذا كانت قد ملّكت عملها مدة بالإجارة للغير فهي غير مالكة لذلك فلا موضوع لحق الاستمتاع للزوج فيما ينافي ويضاد ذلك)</w:t>
      </w:r>
      <w:r w:rsidRPr="00F27422">
        <w:rPr>
          <w:b/>
          <w:bCs/>
          <w:sz w:val="32"/>
          <w:szCs w:val="32"/>
          <w:vertAlign w:val="superscript"/>
          <w:rtl/>
        </w:rPr>
        <w:footnoteReference w:id="64"/>
      </w:r>
      <w:r w:rsidRPr="00F27422">
        <w:rPr>
          <w:b/>
          <w:bCs/>
          <w:sz w:val="32"/>
          <w:szCs w:val="32"/>
          <w:rtl/>
        </w:rPr>
        <w:t>.</w:t>
      </w:r>
    </w:p>
    <w:p w14:paraId="39BEEDA4" w14:textId="1C3AC402" w:rsidR="009B0E5B" w:rsidRPr="00F27422" w:rsidRDefault="009B0E5B" w:rsidP="00122B70">
      <w:pPr>
        <w:tabs>
          <w:tab w:val="left" w:pos="1070"/>
        </w:tabs>
        <w:bidi/>
        <w:rPr>
          <w:sz w:val="32"/>
          <w:szCs w:val="32"/>
          <w:rtl/>
        </w:rPr>
      </w:pPr>
      <w:r w:rsidRPr="00F27422">
        <w:rPr>
          <w:sz w:val="32"/>
          <w:szCs w:val="32"/>
          <w:rtl/>
        </w:rPr>
        <w:t xml:space="preserve">مع أنّ هذا </w:t>
      </w:r>
      <w:r w:rsidR="00FB4F45" w:rsidRPr="00F27422">
        <w:rPr>
          <w:rFonts w:hint="cs"/>
          <w:sz w:val="32"/>
          <w:szCs w:val="32"/>
          <w:rtl/>
        </w:rPr>
        <w:t>المضمون هو</w:t>
      </w:r>
      <w:r w:rsidRPr="00F27422">
        <w:rPr>
          <w:sz w:val="32"/>
          <w:szCs w:val="32"/>
          <w:rtl/>
        </w:rPr>
        <w:t xml:space="preserve"> نفس مبنى سيدنا الخوئي (قدس سره الشريف)</w:t>
      </w:r>
      <w:r w:rsidRPr="00F27422">
        <w:rPr>
          <w:sz w:val="32"/>
          <w:szCs w:val="32"/>
        </w:rPr>
        <w:t>.</w:t>
      </w:r>
    </w:p>
    <w:p w14:paraId="6CAF6F7D" w14:textId="77777777" w:rsidR="009B0E5B" w:rsidRPr="00F27422" w:rsidRDefault="009B0E5B" w:rsidP="00122B70">
      <w:pPr>
        <w:tabs>
          <w:tab w:val="left" w:pos="1070"/>
        </w:tabs>
        <w:bidi/>
        <w:rPr>
          <w:b/>
          <w:bCs/>
          <w:sz w:val="32"/>
          <w:szCs w:val="32"/>
          <w:rtl/>
        </w:rPr>
      </w:pPr>
      <w:r w:rsidRPr="00F27422">
        <w:rPr>
          <w:b/>
          <w:bCs/>
          <w:sz w:val="32"/>
          <w:szCs w:val="32"/>
          <w:rtl/>
        </w:rPr>
        <w:t>هذا كلّه على فرض قصور حقّ الاستمتاع عن الشمول للمقام.</w:t>
      </w:r>
    </w:p>
    <w:p w14:paraId="2154F01E" w14:textId="77777777" w:rsidR="009B0E5B" w:rsidRPr="00F27422" w:rsidRDefault="009B0E5B" w:rsidP="00122B70">
      <w:pPr>
        <w:tabs>
          <w:tab w:val="left" w:pos="1070"/>
        </w:tabs>
        <w:bidi/>
        <w:rPr>
          <w:sz w:val="32"/>
          <w:szCs w:val="32"/>
          <w:rtl/>
        </w:rPr>
      </w:pPr>
      <w:r w:rsidRPr="00F27422">
        <w:rPr>
          <w:b/>
          <w:bCs/>
          <w:sz w:val="32"/>
          <w:szCs w:val="32"/>
          <w:rtl/>
        </w:rPr>
        <w:t xml:space="preserve">ولكن على فرض إطلاقه </w:t>
      </w:r>
      <w:r w:rsidRPr="00F27422">
        <w:rPr>
          <w:sz w:val="32"/>
          <w:szCs w:val="32"/>
          <w:rtl/>
        </w:rPr>
        <w:t>فقد يُقال بتقديم حقّ الاستمتاع على وجوب الوفاء بعقد الإجارة، بملاك العكس، أي: أنّه لا إطلاق في دليل وجوب الوفاء بالعقد أو النذر أو الشرط لما يشمل فرض استلزام ترك واجبٍ أو فعل محرم، وذلك لعدّة نكات</w:t>
      </w:r>
      <w:r w:rsidRPr="00F27422">
        <w:rPr>
          <w:sz w:val="32"/>
          <w:szCs w:val="32"/>
        </w:rPr>
        <w:t>:</w:t>
      </w:r>
    </w:p>
    <w:p w14:paraId="528C8358" w14:textId="77777777" w:rsidR="009B0E5B" w:rsidRPr="00F27422" w:rsidRDefault="009B0E5B" w:rsidP="00122B70">
      <w:pPr>
        <w:tabs>
          <w:tab w:val="left" w:pos="1070"/>
        </w:tabs>
        <w:bidi/>
        <w:rPr>
          <w:sz w:val="32"/>
          <w:szCs w:val="32"/>
          <w:rtl/>
        </w:rPr>
      </w:pPr>
      <w:r w:rsidRPr="00F27422">
        <w:rPr>
          <w:b/>
          <w:bCs/>
          <w:sz w:val="32"/>
          <w:szCs w:val="32"/>
          <w:rtl/>
        </w:rPr>
        <w:t>النكتةُ الأُولى:</w:t>
      </w:r>
      <w:r w:rsidRPr="00F27422">
        <w:rPr>
          <w:sz w:val="32"/>
          <w:szCs w:val="32"/>
          <w:rtl/>
        </w:rPr>
        <w:t xml:space="preserve"> انصراف العقود في قوله تبارك وتعالى: </w:t>
      </w:r>
      <w:r w:rsidRPr="00F27422">
        <w:rPr>
          <w:b/>
          <w:bCs/>
          <w:sz w:val="32"/>
          <w:szCs w:val="32"/>
          <w:rtl/>
        </w:rPr>
        <w:t>{يَا أَيُّهَا الَّذِينَ آمَنُوا أَوْفُوا بِالْعُقُودِ}</w:t>
      </w:r>
      <w:r w:rsidRPr="00F27422">
        <w:rPr>
          <w:sz w:val="32"/>
          <w:szCs w:val="32"/>
          <w:vertAlign w:val="superscript"/>
          <w:rtl/>
        </w:rPr>
        <w:footnoteReference w:id="65"/>
      </w:r>
      <w:r w:rsidRPr="00F27422">
        <w:rPr>
          <w:sz w:val="32"/>
          <w:szCs w:val="32"/>
          <w:rtl/>
        </w:rPr>
        <w:t xml:space="preserve"> للعقد المشروع سواءً كان مفاد الآية المباركة الإرشاد إلى الحكم الوضعي وهو النفوذ أم مفادها الحكم التكليفي وهو وجوب الوفاء بالعقد، ومع الشك في مشروعية عقد </w:t>
      </w:r>
      <w:r w:rsidRPr="00F27422">
        <w:rPr>
          <w:sz w:val="32"/>
          <w:szCs w:val="32"/>
          <w:rtl/>
        </w:rPr>
        <w:lastRenderedPageBreak/>
        <w:t xml:space="preserve">الإجارة لما يشمل استلزام ترك التمكين فلا يصحّ التمسك بـ </w:t>
      </w:r>
      <w:r w:rsidRPr="00F27422">
        <w:rPr>
          <w:b/>
          <w:bCs/>
          <w:sz w:val="32"/>
          <w:szCs w:val="32"/>
          <w:rtl/>
        </w:rPr>
        <w:t>{أَوْفُوا بِالْعُقُودِ}</w:t>
      </w:r>
      <w:r w:rsidRPr="00F27422">
        <w:rPr>
          <w:sz w:val="32"/>
          <w:szCs w:val="32"/>
          <w:rtl/>
        </w:rPr>
        <w:t xml:space="preserve"> في مثل هذا المورد؛ لأنّه تمسكٌ بالدليل في الشبهة المصداقية لموضوعه</w:t>
      </w:r>
      <w:r w:rsidRPr="00F27422">
        <w:rPr>
          <w:sz w:val="32"/>
          <w:szCs w:val="32"/>
        </w:rPr>
        <w:t>.</w:t>
      </w:r>
    </w:p>
    <w:p w14:paraId="739795A4" w14:textId="77777777" w:rsidR="009B0E5B" w:rsidRPr="00F27422" w:rsidRDefault="009B0E5B" w:rsidP="00122B70">
      <w:pPr>
        <w:tabs>
          <w:tab w:val="left" w:pos="1070"/>
        </w:tabs>
        <w:bidi/>
        <w:rPr>
          <w:sz w:val="32"/>
          <w:szCs w:val="32"/>
          <w:rtl/>
        </w:rPr>
      </w:pPr>
      <w:r w:rsidRPr="00F27422">
        <w:rPr>
          <w:b/>
          <w:bCs/>
          <w:sz w:val="32"/>
          <w:szCs w:val="32"/>
          <w:rtl/>
        </w:rPr>
        <w:t>ولكن يلاحظ على ذلك:</w:t>
      </w:r>
      <w:r w:rsidRPr="00F27422">
        <w:rPr>
          <w:sz w:val="32"/>
          <w:szCs w:val="32"/>
          <w:rtl/>
        </w:rPr>
        <w:t xml:space="preserve"> أنّ غاية المقيد اللُبي الارتكازي أنْ لا إطلاق للأمر بالوفاء لعقدٍ مَنَعَ منهُ الشارع لغررٍ أو خللٍ في أحد العوضين؛ لأنّه لو شمل مثل هذا الفرض لاستلزم التهافت في الجعل، ومقتضى ذلك كون موضوع </w:t>
      </w:r>
      <w:r w:rsidRPr="00F27422">
        <w:rPr>
          <w:b/>
          <w:bCs/>
          <w:sz w:val="32"/>
          <w:szCs w:val="32"/>
          <w:rtl/>
        </w:rPr>
        <w:t xml:space="preserve">{أَوْفُوا بِالْعُقُودِ} </w:t>
      </w:r>
      <w:r w:rsidRPr="00F27422">
        <w:rPr>
          <w:sz w:val="32"/>
          <w:szCs w:val="32"/>
          <w:rtl/>
        </w:rPr>
        <w:t xml:space="preserve">مركباً مِن عقدٍ ولَمْ يمنع منه الشارع، لا أنّ موضوع </w:t>
      </w:r>
      <w:r w:rsidRPr="00F27422">
        <w:rPr>
          <w:b/>
          <w:bCs/>
          <w:sz w:val="32"/>
          <w:szCs w:val="32"/>
          <w:rtl/>
        </w:rPr>
        <w:t>{أَوْفُوا بِالْعُقُودِ}</w:t>
      </w:r>
      <w:r w:rsidRPr="00F27422">
        <w:rPr>
          <w:sz w:val="32"/>
          <w:szCs w:val="32"/>
          <w:rtl/>
        </w:rPr>
        <w:t xml:space="preserve"> العقد المشروع فإنّه مؤنة زائدة لأنْ لا قرينة عليها، وبما أنّ موضوع </w:t>
      </w:r>
      <w:r w:rsidRPr="00F27422">
        <w:rPr>
          <w:b/>
          <w:bCs/>
          <w:sz w:val="32"/>
          <w:szCs w:val="32"/>
          <w:rtl/>
        </w:rPr>
        <w:t>{أَوْفُوا بِالْعُقُودِ}</w:t>
      </w:r>
      <w:r w:rsidRPr="00F27422">
        <w:rPr>
          <w:sz w:val="32"/>
          <w:szCs w:val="32"/>
          <w:rtl/>
        </w:rPr>
        <w:t xml:space="preserve"> مركب فيمكن تنقيح الجزء الثاني باستصحاب عدم منعٍ الشارع من هذا العقد المعين، ويتنقح بذلك موضوع </w:t>
      </w:r>
      <w:r w:rsidRPr="00F27422">
        <w:rPr>
          <w:b/>
          <w:bCs/>
          <w:sz w:val="32"/>
          <w:szCs w:val="32"/>
          <w:rtl/>
        </w:rPr>
        <w:t xml:space="preserve">{أَوْفُوا بِالْعُقُودِ} </w:t>
      </w:r>
      <w:r w:rsidRPr="00F27422">
        <w:rPr>
          <w:sz w:val="32"/>
          <w:szCs w:val="32"/>
          <w:rtl/>
        </w:rPr>
        <w:t>فلا يكون التمسك به تمسكاً بالدليل في الشبهة المصداقية</w:t>
      </w:r>
      <w:r w:rsidRPr="00F27422">
        <w:rPr>
          <w:sz w:val="32"/>
          <w:szCs w:val="32"/>
        </w:rPr>
        <w:t>.</w:t>
      </w:r>
    </w:p>
    <w:p w14:paraId="1954AA25" w14:textId="77777777" w:rsidR="009B0E5B" w:rsidRPr="00F27422" w:rsidRDefault="009B0E5B" w:rsidP="00122B70">
      <w:pPr>
        <w:tabs>
          <w:tab w:val="left" w:pos="1070"/>
        </w:tabs>
        <w:bidi/>
        <w:rPr>
          <w:sz w:val="32"/>
          <w:szCs w:val="32"/>
          <w:rtl/>
        </w:rPr>
      </w:pPr>
      <w:r w:rsidRPr="00F27422">
        <w:rPr>
          <w:b/>
          <w:bCs/>
          <w:sz w:val="32"/>
          <w:szCs w:val="32"/>
          <w:rtl/>
        </w:rPr>
        <w:t>النكتةُ الثانية:</w:t>
      </w:r>
      <w:r w:rsidRPr="00F27422">
        <w:rPr>
          <w:sz w:val="32"/>
          <w:szCs w:val="32"/>
          <w:rtl/>
        </w:rPr>
        <w:t xml:space="preserve"> إنّ الحكم المستفاد مِن الآية وهو: </w:t>
      </w:r>
      <w:r w:rsidRPr="00F27422">
        <w:rPr>
          <w:b/>
          <w:bCs/>
          <w:sz w:val="32"/>
          <w:szCs w:val="32"/>
          <w:rtl/>
        </w:rPr>
        <w:t>{أَوْفُوا}</w:t>
      </w:r>
      <w:r w:rsidRPr="00F27422">
        <w:rPr>
          <w:sz w:val="32"/>
          <w:szCs w:val="32"/>
          <w:rtl/>
        </w:rPr>
        <w:t xml:space="preserve"> إمضائي لا تأسيسي، والحكمُ الإمضائي لا يصادم التأسيسي بنظر المرتكز العقلائي، ووجوبُ التمكين حكمٌ تأسيسي ووجوب الوفاء بالعقد حكمٌ إمضائي، والثاني لا يصادم الأوّل</w:t>
      </w:r>
      <w:r w:rsidRPr="00F27422">
        <w:rPr>
          <w:sz w:val="32"/>
          <w:szCs w:val="32"/>
        </w:rPr>
        <w:t>.</w:t>
      </w:r>
    </w:p>
    <w:p w14:paraId="601000C4" w14:textId="77777777" w:rsidR="009B0E5B" w:rsidRPr="00F27422" w:rsidRDefault="009B0E5B" w:rsidP="00122B70">
      <w:pPr>
        <w:tabs>
          <w:tab w:val="left" w:pos="1070"/>
        </w:tabs>
        <w:bidi/>
        <w:rPr>
          <w:sz w:val="32"/>
          <w:szCs w:val="32"/>
          <w:rtl/>
        </w:rPr>
      </w:pPr>
      <w:r w:rsidRPr="00F27422">
        <w:rPr>
          <w:b/>
          <w:bCs/>
          <w:sz w:val="32"/>
          <w:szCs w:val="32"/>
          <w:rtl/>
        </w:rPr>
        <w:t>والشاهد على ذلك:</w:t>
      </w:r>
      <w:r w:rsidRPr="00F27422">
        <w:rPr>
          <w:sz w:val="32"/>
          <w:szCs w:val="32"/>
          <w:rtl/>
        </w:rPr>
        <w:t xml:space="preserve"> أنّ المرتكز العقلائي يرى أنّ ما هو المؤسس بمثابة الثوابت التي لا يكون الدليل الإمضائي مُلْغياً لها أو رافعاً لها</w:t>
      </w:r>
      <w:r w:rsidRPr="00F27422">
        <w:rPr>
          <w:sz w:val="32"/>
          <w:szCs w:val="32"/>
        </w:rPr>
        <w:t>.</w:t>
      </w:r>
    </w:p>
    <w:p w14:paraId="60FA494D" w14:textId="77777777" w:rsidR="009B0E5B" w:rsidRPr="00F27422" w:rsidRDefault="009B0E5B" w:rsidP="00122B70">
      <w:pPr>
        <w:tabs>
          <w:tab w:val="left" w:pos="1070"/>
        </w:tabs>
        <w:bidi/>
        <w:rPr>
          <w:sz w:val="32"/>
          <w:szCs w:val="32"/>
          <w:rtl/>
        </w:rPr>
      </w:pPr>
      <w:r w:rsidRPr="00F27422">
        <w:rPr>
          <w:b/>
          <w:bCs/>
          <w:sz w:val="32"/>
          <w:szCs w:val="32"/>
          <w:rtl/>
        </w:rPr>
        <w:t>ويؤكد ذلك:</w:t>
      </w:r>
      <w:r w:rsidRPr="00F27422">
        <w:rPr>
          <w:sz w:val="32"/>
          <w:szCs w:val="32"/>
          <w:rtl/>
        </w:rPr>
        <w:t xml:space="preserve"> ما ورد في دليل نفوذ الشرط: كقول أمير المؤمنين (عليه السلام): </w:t>
      </w:r>
      <w:r w:rsidRPr="00F27422">
        <w:rPr>
          <w:b/>
          <w:bCs/>
          <w:sz w:val="32"/>
          <w:szCs w:val="32"/>
          <w:rtl/>
        </w:rPr>
        <w:t>(فإنّ المسلمين عند شروطهم إلا شرط حرم حلالاً أو أحل حراماً)</w:t>
      </w:r>
      <w:r w:rsidRPr="00F27422">
        <w:rPr>
          <w:b/>
          <w:bCs/>
          <w:sz w:val="32"/>
          <w:szCs w:val="32"/>
          <w:vertAlign w:val="superscript"/>
          <w:rtl/>
        </w:rPr>
        <w:footnoteReference w:id="66"/>
      </w:r>
      <w:r w:rsidRPr="00F27422">
        <w:rPr>
          <w:sz w:val="32"/>
          <w:szCs w:val="32"/>
          <w:rtl/>
        </w:rPr>
        <w:t xml:space="preserve">، أو ما ورد في الصلح عن أمير المؤمنين (عليه السلام): </w:t>
      </w:r>
      <w:r w:rsidRPr="00F27422">
        <w:rPr>
          <w:b/>
          <w:bCs/>
          <w:sz w:val="32"/>
          <w:szCs w:val="32"/>
          <w:rtl/>
        </w:rPr>
        <w:t>(أنّ الصُّلح جائزٌ بين المسلمين إلَّا صُلحاً حرَّمَ حلالاً أوْ أحلَّ حراماً)</w:t>
      </w:r>
      <w:r w:rsidRPr="00F27422">
        <w:rPr>
          <w:sz w:val="32"/>
          <w:szCs w:val="32"/>
          <w:vertAlign w:val="superscript"/>
          <w:rtl/>
        </w:rPr>
        <w:footnoteReference w:id="67"/>
      </w:r>
      <w:r w:rsidRPr="00F27422">
        <w:rPr>
          <w:b/>
          <w:bCs/>
          <w:sz w:val="32"/>
          <w:szCs w:val="32"/>
          <w:rtl/>
        </w:rPr>
        <w:t>،</w:t>
      </w:r>
      <w:r w:rsidRPr="00F27422">
        <w:rPr>
          <w:sz w:val="32"/>
          <w:szCs w:val="32"/>
          <w:rtl/>
        </w:rPr>
        <w:t xml:space="preserve"> فإنّ ظاهرهما أنّ الإمضائي وهو وجوب الوفاء بالشرط والصلح لا يصادم التأسيسي مِن حيثُ تحليل الحرام أو تحريم الحلال، وبما أنّ الشرط والصلح لا خصوصية لهما عرفاً فيستفاد مِن هذين الدليلين نُكتة عامّة وهي: أنّ الأدلّة </w:t>
      </w:r>
      <w:proofErr w:type="spellStart"/>
      <w:r w:rsidRPr="00F27422">
        <w:rPr>
          <w:sz w:val="32"/>
          <w:szCs w:val="32"/>
          <w:rtl/>
        </w:rPr>
        <w:t>الإمضاءية</w:t>
      </w:r>
      <w:proofErr w:type="spellEnd"/>
      <w:r w:rsidRPr="00F27422">
        <w:rPr>
          <w:sz w:val="32"/>
          <w:szCs w:val="32"/>
          <w:rtl/>
        </w:rPr>
        <w:t xml:space="preserve"> لا تصلح لمعارضة الأدلّة التأسيسية.</w:t>
      </w:r>
    </w:p>
    <w:p w14:paraId="7CDAF09A" w14:textId="77777777" w:rsidR="009B0E5B" w:rsidRPr="00F27422" w:rsidRDefault="009B0E5B" w:rsidP="00122B70">
      <w:pPr>
        <w:tabs>
          <w:tab w:val="left" w:pos="1070"/>
        </w:tabs>
        <w:bidi/>
        <w:rPr>
          <w:sz w:val="32"/>
          <w:szCs w:val="32"/>
          <w:rtl/>
        </w:rPr>
      </w:pPr>
      <w:r w:rsidRPr="00F27422">
        <w:rPr>
          <w:b/>
          <w:bCs/>
          <w:sz w:val="32"/>
          <w:szCs w:val="32"/>
          <w:rtl/>
        </w:rPr>
        <w:t>والنتيجة:</w:t>
      </w:r>
      <w:r w:rsidRPr="00F27422">
        <w:rPr>
          <w:sz w:val="32"/>
          <w:szCs w:val="32"/>
          <w:rtl/>
        </w:rPr>
        <w:t xml:space="preserve"> أنْ لا نفوذ لإطلاق </w:t>
      </w:r>
      <w:r w:rsidRPr="00F27422">
        <w:rPr>
          <w:b/>
          <w:bCs/>
          <w:sz w:val="32"/>
          <w:szCs w:val="32"/>
          <w:rtl/>
        </w:rPr>
        <w:t>{أَوْفُوا بِالْعُقُودِ}</w:t>
      </w:r>
      <w:r w:rsidRPr="00F27422">
        <w:rPr>
          <w:sz w:val="32"/>
          <w:szCs w:val="32"/>
          <w:rtl/>
        </w:rPr>
        <w:t xml:space="preserve"> للإجارة لما بعد الزواج</w:t>
      </w:r>
      <w:r w:rsidRPr="00F27422">
        <w:rPr>
          <w:sz w:val="32"/>
          <w:szCs w:val="32"/>
        </w:rPr>
        <w:t>.</w:t>
      </w:r>
    </w:p>
    <w:p w14:paraId="764D37C8" w14:textId="77777777" w:rsidR="009B0E5B" w:rsidRPr="00F27422" w:rsidRDefault="009B0E5B" w:rsidP="00122B70">
      <w:pPr>
        <w:tabs>
          <w:tab w:val="left" w:pos="1070"/>
        </w:tabs>
        <w:bidi/>
        <w:rPr>
          <w:sz w:val="32"/>
          <w:szCs w:val="32"/>
          <w:rtl/>
        </w:rPr>
      </w:pPr>
      <w:r w:rsidRPr="00F27422">
        <w:rPr>
          <w:b/>
          <w:bCs/>
          <w:sz w:val="32"/>
          <w:szCs w:val="32"/>
          <w:rtl/>
        </w:rPr>
        <w:t>ويلاحظ على ذلك:</w:t>
      </w:r>
      <w:r w:rsidRPr="00F27422">
        <w:rPr>
          <w:sz w:val="32"/>
          <w:szCs w:val="32"/>
          <w:rtl/>
        </w:rPr>
        <w:t xml:space="preserve"> أنّ مفاد دليل نفوذ الشرط والصلح هو نفس مفاد قوله (عليه السلام): </w:t>
      </w:r>
      <w:r w:rsidRPr="00F27422">
        <w:rPr>
          <w:b/>
          <w:bCs/>
          <w:sz w:val="32"/>
          <w:szCs w:val="32"/>
          <w:rtl/>
        </w:rPr>
        <w:t>(إنّ شرط الله قبل شرطكم)</w:t>
      </w:r>
      <w:r w:rsidRPr="00F27422">
        <w:rPr>
          <w:b/>
          <w:bCs/>
          <w:sz w:val="32"/>
          <w:szCs w:val="32"/>
          <w:vertAlign w:val="superscript"/>
          <w:rtl/>
        </w:rPr>
        <w:footnoteReference w:id="68"/>
      </w:r>
      <w:r w:rsidRPr="00F27422">
        <w:rPr>
          <w:sz w:val="32"/>
          <w:szCs w:val="32"/>
          <w:rtl/>
        </w:rPr>
        <w:t xml:space="preserve">، وظاهرُ عنوان القبلية عدم عرضية الحكمين، لا نفي أصل الحكم </w:t>
      </w:r>
      <w:r w:rsidRPr="00F27422">
        <w:rPr>
          <w:sz w:val="32"/>
          <w:szCs w:val="32"/>
          <w:rtl/>
        </w:rPr>
        <w:lastRenderedPageBreak/>
        <w:t>الإمضائي، ومقتضى ثبوته في طوله هو نكتة الترتب الذي يقول به المشهور في الأحكام التكليفية</w:t>
      </w:r>
      <w:r w:rsidRPr="00F27422">
        <w:rPr>
          <w:sz w:val="32"/>
          <w:szCs w:val="32"/>
        </w:rPr>
        <w:t>.</w:t>
      </w:r>
    </w:p>
    <w:p w14:paraId="0B61ECF8" w14:textId="77777777" w:rsidR="009B0E5B" w:rsidRPr="00F27422" w:rsidRDefault="009B0E5B" w:rsidP="00122B70">
      <w:pPr>
        <w:tabs>
          <w:tab w:val="left" w:pos="1070"/>
        </w:tabs>
        <w:bidi/>
        <w:rPr>
          <w:sz w:val="32"/>
          <w:szCs w:val="32"/>
          <w:rtl/>
        </w:rPr>
      </w:pPr>
      <w:r w:rsidRPr="00F27422">
        <w:rPr>
          <w:sz w:val="32"/>
          <w:szCs w:val="32"/>
          <w:rtl/>
        </w:rPr>
        <w:t xml:space="preserve">مما يعني أنّ </w:t>
      </w:r>
      <w:r w:rsidRPr="00F27422">
        <w:rPr>
          <w:b/>
          <w:bCs/>
          <w:sz w:val="32"/>
          <w:szCs w:val="32"/>
          <w:rtl/>
        </w:rPr>
        <w:t>{أَوْفُوا بِالْعُقُودِ}</w:t>
      </w:r>
      <w:r w:rsidRPr="00F27422">
        <w:rPr>
          <w:sz w:val="32"/>
          <w:szCs w:val="32"/>
          <w:rtl/>
        </w:rPr>
        <w:t xml:space="preserve"> ليس في عرض وجوب التمكين فلا مصادمة، وإنّما هو في طوله، بمعنى: أنّه يجبُ على الزوجة التمكين فإنْ عصتْ فيجبُ عليها الوفاء بعقد الإجارة</w:t>
      </w:r>
      <w:r w:rsidRPr="00F27422">
        <w:rPr>
          <w:sz w:val="32"/>
          <w:szCs w:val="32"/>
        </w:rPr>
        <w:t>.</w:t>
      </w:r>
    </w:p>
    <w:p w14:paraId="46CC9C91" w14:textId="77777777" w:rsidR="009B0E5B" w:rsidRPr="00F27422" w:rsidRDefault="009B0E5B" w:rsidP="00122B70">
      <w:pPr>
        <w:tabs>
          <w:tab w:val="left" w:pos="1070"/>
        </w:tabs>
        <w:bidi/>
        <w:rPr>
          <w:sz w:val="32"/>
          <w:szCs w:val="32"/>
          <w:rtl/>
        </w:rPr>
      </w:pPr>
      <w:r w:rsidRPr="00F27422">
        <w:rPr>
          <w:b/>
          <w:bCs/>
          <w:sz w:val="32"/>
          <w:szCs w:val="32"/>
          <w:rtl/>
        </w:rPr>
        <w:t>النكتةُ الثالثة:</w:t>
      </w:r>
      <w:r w:rsidRPr="00F27422">
        <w:rPr>
          <w:sz w:val="32"/>
          <w:szCs w:val="32"/>
          <w:rtl/>
        </w:rPr>
        <w:t xml:space="preserve"> ما يستفاد مما ذكره سيدنا الخوئي (قدس سره الشريف) في بحث الحج من موسوعته المباركة</w:t>
      </w:r>
      <w:r w:rsidRPr="00F27422">
        <w:rPr>
          <w:sz w:val="32"/>
          <w:szCs w:val="32"/>
          <w:vertAlign w:val="superscript"/>
          <w:rtl/>
        </w:rPr>
        <w:footnoteReference w:id="69"/>
      </w:r>
      <w:r w:rsidRPr="00F27422">
        <w:rPr>
          <w:sz w:val="32"/>
          <w:szCs w:val="32"/>
          <w:rtl/>
        </w:rPr>
        <w:t>.</w:t>
      </w:r>
    </w:p>
    <w:p w14:paraId="329F428A" w14:textId="77777777" w:rsidR="009B0E5B" w:rsidRPr="00F27422" w:rsidRDefault="009B0E5B" w:rsidP="00122B70">
      <w:pPr>
        <w:tabs>
          <w:tab w:val="left" w:pos="1070"/>
        </w:tabs>
        <w:bidi/>
        <w:rPr>
          <w:sz w:val="32"/>
          <w:szCs w:val="32"/>
          <w:rtl/>
        </w:rPr>
      </w:pPr>
      <w:r w:rsidRPr="00F27422">
        <w:rPr>
          <w:b/>
          <w:bCs/>
          <w:sz w:val="32"/>
          <w:szCs w:val="32"/>
          <w:rtl/>
        </w:rPr>
        <w:t>بتقريبٍ منا:</w:t>
      </w:r>
      <w:r w:rsidRPr="00F27422">
        <w:rPr>
          <w:sz w:val="32"/>
          <w:szCs w:val="32"/>
          <w:rtl/>
        </w:rPr>
        <w:t xml:space="preserve"> أنّ متعلق الإجارة إمّا معلق على فرض عصيانها لوجوب التمكين أو مطلق، فإنْ كان معلقاً كان باطلاً؛ لأنّ التعليق في العقود مبطل لها، وإنْ كان مطلقاً أي: أنّ المرأة أنشأت عقد الإجارة مطلقاً فهل دليلُ وجوب الوفاء مطلق أو شموله على نحو الترتُب، فإنْ كان مطلقاً لزم مصادمة الحكم الإمضائي وهو وجوب الوفاء بالعقد للحكم التأسيسي وهو وجوب التمكين، وإنْ كان على نحو الترتُب، بأنْ قال: "يجب الوفاء إنْ عصت"، فما هو الحكم المترتب؟ هل هو الحكم الوضعي وهو أصل الصحّة أو التكليفي وهو وجوب الوفاء.</w:t>
      </w:r>
    </w:p>
    <w:p w14:paraId="22C87623" w14:textId="77777777" w:rsidR="009B0E5B" w:rsidRPr="00F27422" w:rsidRDefault="009B0E5B" w:rsidP="00122B70">
      <w:pPr>
        <w:tabs>
          <w:tab w:val="left" w:pos="1070"/>
        </w:tabs>
        <w:bidi/>
        <w:rPr>
          <w:sz w:val="32"/>
          <w:szCs w:val="32"/>
          <w:rtl/>
        </w:rPr>
      </w:pPr>
      <w:r w:rsidRPr="00F27422">
        <w:rPr>
          <w:sz w:val="32"/>
          <w:szCs w:val="32"/>
          <w:rtl/>
        </w:rPr>
        <w:t>فإنْ ادعي أنّ المترتب هو الصحّة أي: إنْ عصتْ وجوب التمكين فالإجارة صحيحة، فأصل الصحّة معلقة على العصيان، فهذا مما يستهجنه العقلاء لوجهين:</w:t>
      </w:r>
    </w:p>
    <w:p w14:paraId="7F68D38F" w14:textId="77777777" w:rsidR="009B0E5B" w:rsidRPr="00F27422" w:rsidRDefault="009B0E5B" w:rsidP="00122B70">
      <w:pPr>
        <w:tabs>
          <w:tab w:val="left" w:pos="1070"/>
        </w:tabs>
        <w:bidi/>
        <w:rPr>
          <w:sz w:val="32"/>
          <w:szCs w:val="32"/>
          <w:rtl/>
        </w:rPr>
      </w:pPr>
      <w:r w:rsidRPr="00F27422">
        <w:rPr>
          <w:b/>
          <w:bCs/>
          <w:sz w:val="32"/>
          <w:szCs w:val="32"/>
          <w:rtl/>
        </w:rPr>
        <w:t>الأوّل:</w:t>
      </w:r>
      <w:r w:rsidRPr="00F27422">
        <w:rPr>
          <w:sz w:val="32"/>
          <w:szCs w:val="32"/>
          <w:rtl/>
        </w:rPr>
        <w:t xml:space="preserve"> أنّ لازم ذلك تعليق الصحّة على اختيار المكلف، وتعليق الصحّة على اختيار المكلف مستهجن.</w:t>
      </w:r>
    </w:p>
    <w:p w14:paraId="738913A6" w14:textId="77777777" w:rsidR="009B0E5B" w:rsidRPr="00F27422" w:rsidRDefault="009B0E5B" w:rsidP="00122B70">
      <w:pPr>
        <w:tabs>
          <w:tab w:val="left" w:pos="1070"/>
        </w:tabs>
        <w:bidi/>
        <w:rPr>
          <w:sz w:val="32"/>
          <w:szCs w:val="32"/>
          <w:rtl/>
        </w:rPr>
      </w:pPr>
      <w:r w:rsidRPr="00F27422">
        <w:rPr>
          <w:b/>
          <w:bCs/>
          <w:sz w:val="32"/>
          <w:szCs w:val="32"/>
          <w:rtl/>
        </w:rPr>
        <w:t>الثاني:</w:t>
      </w:r>
      <w:r w:rsidRPr="00F27422">
        <w:rPr>
          <w:sz w:val="32"/>
          <w:szCs w:val="32"/>
          <w:rtl/>
        </w:rPr>
        <w:t xml:space="preserve"> استلزامه عدم التطابق بين الممضى والإمضاء؛ فإنّ الممضى وهو متعلق العقد مطلق بينما الإمضاء وهو الصحّة المستفادة مِن </w:t>
      </w:r>
      <w:r w:rsidRPr="00F27422">
        <w:rPr>
          <w:b/>
          <w:bCs/>
          <w:sz w:val="32"/>
          <w:szCs w:val="32"/>
          <w:rtl/>
        </w:rPr>
        <w:t>{أَوْفُوا بِالْعُقُودِ}</w:t>
      </w:r>
      <w:r w:rsidRPr="00F27422">
        <w:rPr>
          <w:sz w:val="32"/>
          <w:szCs w:val="32"/>
          <w:rtl/>
        </w:rPr>
        <w:t xml:space="preserve"> مقيدة بفرض العصيان، وعدم التطابق بين الإمضاء والممضى مستنكرٌ عقلائياً إلّا </w:t>
      </w:r>
      <w:proofErr w:type="gramStart"/>
      <w:r w:rsidRPr="00F27422">
        <w:rPr>
          <w:sz w:val="32"/>
          <w:szCs w:val="32"/>
          <w:rtl/>
        </w:rPr>
        <w:t>في ما</w:t>
      </w:r>
      <w:proofErr w:type="gramEnd"/>
      <w:r w:rsidRPr="00F27422">
        <w:rPr>
          <w:sz w:val="32"/>
          <w:szCs w:val="32"/>
          <w:rtl/>
        </w:rPr>
        <w:t xml:space="preserve"> قام الدليل الخاص عليه كما في عقد الهبة وبيع الصرف.</w:t>
      </w:r>
    </w:p>
    <w:p w14:paraId="6CC3CD80" w14:textId="77777777" w:rsidR="009B0E5B" w:rsidRPr="00F27422" w:rsidRDefault="009B0E5B" w:rsidP="00122B70">
      <w:pPr>
        <w:tabs>
          <w:tab w:val="left" w:pos="1070"/>
        </w:tabs>
        <w:bidi/>
        <w:rPr>
          <w:sz w:val="32"/>
          <w:szCs w:val="32"/>
          <w:rtl/>
        </w:rPr>
      </w:pPr>
      <w:r w:rsidRPr="00F27422">
        <w:rPr>
          <w:sz w:val="32"/>
          <w:szCs w:val="32"/>
          <w:rtl/>
        </w:rPr>
        <w:t>وإنْ كان المترتب هو الحكم التكليفي – لا الوضعي – أي: أنّ صحّة الإجارة مطلقة - غير مقيدة - إلّا أنّ وجوب الوفاء هو المعلق على العصيان فحينئذٍ يلزم التفكيك بين الحكم الوضعي وأثره وهو الحكم التكليفي، فالإجارة صحيحة لكن لا يجب الوفاء بها إلّا إذا عصي الأمر، والتفكيك بينهما غيرُ عقلائي</w:t>
      </w:r>
      <w:r w:rsidRPr="00F27422">
        <w:rPr>
          <w:sz w:val="32"/>
          <w:szCs w:val="32"/>
        </w:rPr>
        <w:t>.</w:t>
      </w:r>
    </w:p>
    <w:p w14:paraId="2EAF8DA1" w14:textId="77777777" w:rsidR="009B0E5B" w:rsidRPr="00F27422" w:rsidRDefault="009B0E5B" w:rsidP="00122B70">
      <w:pPr>
        <w:tabs>
          <w:tab w:val="left" w:pos="1070"/>
        </w:tabs>
        <w:bidi/>
        <w:rPr>
          <w:sz w:val="32"/>
          <w:szCs w:val="32"/>
          <w:rtl/>
        </w:rPr>
      </w:pPr>
      <w:r w:rsidRPr="00F27422">
        <w:rPr>
          <w:b/>
          <w:bCs/>
          <w:sz w:val="32"/>
          <w:szCs w:val="32"/>
          <w:rtl/>
        </w:rPr>
        <w:lastRenderedPageBreak/>
        <w:t>ويلاحظ على ذلك:</w:t>
      </w:r>
      <w:r w:rsidRPr="00F27422">
        <w:rPr>
          <w:sz w:val="32"/>
          <w:szCs w:val="32"/>
          <w:rtl/>
        </w:rPr>
        <w:t xml:space="preserve"> إمكان الالتزام بأنّ الصحّة مطلقة لكن وجوب الوفاء معلقٌ على فرض العصيان؛ إذ لا محذور في ذلك ثبوتاً؛ حيث يكفي في رفع استهجان كون الصحّة مطلقة ترتُب أثرٍ عليها في حقّ المُستأجر؛ فإنّ الأجير وهو المرأة وإنْ كان لا يجب عليها الوفاء إلّا إذا عصت وجوب التمكين، لكن الُمستأجر يجب عليه الوفاء بهذا العقد مطلقاً.</w:t>
      </w:r>
    </w:p>
    <w:p w14:paraId="1FD92325" w14:textId="77777777" w:rsidR="009B0E5B" w:rsidRPr="00F27422" w:rsidRDefault="009B0E5B" w:rsidP="00122B70">
      <w:pPr>
        <w:tabs>
          <w:tab w:val="left" w:pos="1070"/>
        </w:tabs>
        <w:bidi/>
        <w:rPr>
          <w:sz w:val="32"/>
          <w:szCs w:val="32"/>
          <w:rtl/>
        </w:rPr>
      </w:pPr>
      <w:r w:rsidRPr="00F27422">
        <w:rPr>
          <w:sz w:val="32"/>
          <w:szCs w:val="32"/>
          <w:rtl/>
        </w:rPr>
        <w:t xml:space="preserve">كما يكفي في رفع الاستهجان أنّ المرأة ضامنةٌ لمالية العمل المستأجَر عليه إنْ قامتْ بتفويته، وهذا كافٍ في صحّة </w:t>
      </w:r>
      <w:proofErr w:type="gramStart"/>
      <w:r w:rsidRPr="00F27422">
        <w:rPr>
          <w:sz w:val="32"/>
          <w:szCs w:val="32"/>
          <w:rtl/>
        </w:rPr>
        <w:t>الإجارة</w:t>
      </w:r>
      <w:r w:rsidRPr="00F27422">
        <w:rPr>
          <w:sz w:val="32"/>
          <w:szCs w:val="32"/>
        </w:rPr>
        <w:t xml:space="preserve"> .</w:t>
      </w:r>
      <w:proofErr w:type="gramEnd"/>
    </w:p>
    <w:p w14:paraId="68260B1F" w14:textId="77777777" w:rsidR="009B0E5B" w:rsidRPr="00F27422" w:rsidRDefault="009B0E5B" w:rsidP="00122B70">
      <w:pPr>
        <w:tabs>
          <w:tab w:val="left" w:pos="1070"/>
        </w:tabs>
        <w:bidi/>
        <w:rPr>
          <w:sz w:val="32"/>
          <w:szCs w:val="32"/>
          <w:rtl/>
        </w:rPr>
      </w:pPr>
      <w:r w:rsidRPr="00F27422">
        <w:rPr>
          <w:b/>
          <w:bCs/>
          <w:sz w:val="32"/>
          <w:szCs w:val="32"/>
          <w:rtl/>
        </w:rPr>
        <w:t>بل قد يُقال:</w:t>
      </w:r>
      <w:r w:rsidRPr="00F27422">
        <w:rPr>
          <w:sz w:val="32"/>
          <w:szCs w:val="32"/>
          <w:rtl/>
        </w:rPr>
        <w:t xml:space="preserve"> إنّ مقتضى القرينة اللُبية وهو أنّ الإمضائي لا يزاحم التأسيسي عدمُ إمكان اجتماعهما في عرضٍ واحدٍ، وعدمُ سقوطهما معاً؛ لعدم المبرر، وعدم تقديم أحدهما المعين فهو ترجيح بلا مرجح، فتعين أنْ يكون الأمر الإمضائي مترتباً على عصيان وجوب التمكين، وهذا مصحح عقلائي رافعٌ لاستهجان الصحّة المطلقة.</w:t>
      </w:r>
    </w:p>
    <w:p w14:paraId="16858572" w14:textId="77777777" w:rsidR="009B0E5B" w:rsidRPr="00F27422" w:rsidRDefault="009B0E5B" w:rsidP="00122B70">
      <w:pPr>
        <w:tabs>
          <w:tab w:val="left" w:pos="1070"/>
        </w:tabs>
        <w:bidi/>
        <w:rPr>
          <w:b/>
          <w:bCs/>
          <w:sz w:val="32"/>
          <w:szCs w:val="32"/>
          <w:rtl/>
        </w:rPr>
      </w:pPr>
    </w:p>
    <w:p w14:paraId="1B5D3072" w14:textId="77777777" w:rsidR="009B0E5B" w:rsidRPr="00F27422" w:rsidRDefault="009B0E5B" w:rsidP="00122B70">
      <w:pPr>
        <w:tabs>
          <w:tab w:val="left" w:pos="1070"/>
        </w:tabs>
        <w:bidi/>
        <w:rPr>
          <w:b/>
          <w:bCs/>
          <w:sz w:val="32"/>
          <w:szCs w:val="32"/>
          <w:rtl/>
        </w:rPr>
      </w:pPr>
      <w:r w:rsidRPr="00F27422">
        <w:rPr>
          <w:b/>
          <w:bCs/>
          <w:sz w:val="32"/>
          <w:szCs w:val="32"/>
          <w:rtl/>
        </w:rPr>
        <w:t xml:space="preserve">والحمد لله رب العالمين </w:t>
      </w:r>
    </w:p>
    <w:p w14:paraId="574A8743" w14:textId="77777777" w:rsidR="009B0E5B" w:rsidRPr="00F27422" w:rsidRDefault="009B0E5B" w:rsidP="00122B70">
      <w:pPr>
        <w:tabs>
          <w:tab w:val="left" w:pos="1070"/>
        </w:tabs>
        <w:bidi/>
        <w:rPr>
          <w:sz w:val="32"/>
          <w:szCs w:val="32"/>
          <w:rtl/>
        </w:rPr>
      </w:pPr>
    </w:p>
    <w:p w14:paraId="1FE18F98" w14:textId="6F8DB38A" w:rsidR="009B0E5B" w:rsidRPr="00F27422" w:rsidRDefault="009B0E5B" w:rsidP="00122B70">
      <w:pPr>
        <w:pStyle w:val="Heading3"/>
        <w:bidi/>
        <w:rPr>
          <w:sz w:val="32"/>
          <w:szCs w:val="32"/>
          <w:rtl/>
        </w:rPr>
      </w:pPr>
      <w:r w:rsidRPr="00F27422">
        <w:rPr>
          <w:rFonts w:hint="cs"/>
          <w:sz w:val="32"/>
          <w:szCs w:val="32"/>
          <w:rtl/>
        </w:rPr>
        <w:t>073</w:t>
      </w:r>
    </w:p>
    <w:p w14:paraId="14E561C0"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3EE3C789"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436AA2DE"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b/>
          <w:bCs/>
          <w:sz w:val="32"/>
          <w:rtl/>
        </w:rPr>
        <w:t>واللعن الدائم على أعدائهم أجمعين إلى قيام يوم الدين</w:t>
      </w:r>
    </w:p>
    <w:p w14:paraId="6CF6FF27" w14:textId="77777777" w:rsidR="00B43C27" w:rsidRPr="00F27422" w:rsidRDefault="00B43C27" w:rsidP="00122B70">
      <w:pPr>
        <w:pStyle w:val="a"/>
        <w:bidi/>
        <w:spacing w:line="216" w:lineRule="auto"/>
        <w:jc w:val="left"/>
        <w:rPr>
          <w:rFonts w:ascii="mylotus" w:hAnsi="mylotus"/>
          <w:b/>
          <w:bCs/>
          <w:sz w:val="32"/>
          <w:rtl/>
        </w:rPr>
      </w:pPr>
    </w:p>
    <w:p w14:paraId="1721EEB6" w14:textId="058325BB" w:rsidR="00B43C27" w:rsidRPr="00F27422" w:rsidRDefault="00E90634" w:rsidP="00122B70">
      <w:pPr>
        <w:pStyle w:val="a"/>
        <w:bidi/>
        <w:spacing w:line="216" w:lineRule="auto"/>
        <w:jc w:val="left"/>
        <w:rPr>
          <w:rFonts w:ascii="mylotus" w:hAnsi="mylotus" w:cs="Times New Roman"/>
          <w:b/>
          <w:bCs/>
          <w:sz w:val="32"/>
          <w:rtl/>
        </w:rPr>
      </w:pPr>
      <w:r w:rsidRPr="00F27422">
        <w:rPr>
          <w:rFonts w:ascii="mylotus" w:hAnsi="mylotus" w:hint="cs"/>
          <w:b/>
          <w:bCs/>
          <w:sz w:val="32"/>
          <w:rtl/>
        </w:rPr>
        <w:t xml:space="preserve"> </w:t>
      </w:r>
    </w:p>
    <w:p w14:paraId="0BCF6E8C" w14:textId="77777777" w:rsidR="00B43C27" w:rsidRPr="00F27422" w:rsidRDefault="00B43C27" w:rsidP="00122B70">
      <w:pPr>
        <w:pStyle w:val="a"/>
        <w:bidi/>
        <w:spacing w:line="216" w:lineRule="auto"/>
        <w:jc w:val="left"/>
        <w:rPr>
          <w:rFonts w:ascii="mylotus" w:hAnsi="mylotus"/>
          <w:sz w:val="32"/>
          <w:rtl/>
        </w:rPr>
      </w:pPr>
    </w:p>
    <w:p w14:paraId="2FD0ADB4" w14:textId="77777777" w:rsidR="00B43C27" w:rsidRPr="00F27422" w:rsidRDefault="00B43C27" w:rsidP="00122B70">
      <w:pPr>
        <w:pStyle w:val="a"/>
        <w:bidi/>
        <w:spacing w:line="216" w:lineRule="auto"/>
        <w:jc w:val="left"/>
        <w:outlineLvl w:val="2"/>
        <w:rPr>
          <w:rFonts w:ascii="mylotus" w:hAnsi="mylotus" w:cs="Times New Roman"/>
          <w:b/>
          <w:bCs/>
          <w:sz w:val="32"/>
          <w:rtl/>
        </w:rPr>
      </w:pPr>
      <w:r w:rsidRPr="00F27422">
        <w:rPr>
          <w:rFonts w:ascii="mylotus" w:hAnsi="mylotus"/>
          <w:b/>
          <w:bCs/>
          <w:sz w:val="32"/>
          <w:rtl/>
        </w:rPr>
        <w:t>المسألة السابعة "من أحكام فصل الإجارة</w:t>
      </w:r>
      <w:r w:rsidRPr="00F27422">
        <w:rPr>
          <w:rFonts w:ascii="mylotus" w:hAnsi="mylotus" w:cs="Cambria" w:hint="cs"/>
          <w:b/>
          <w:bCs/>
          <w:sz w:val="32"/>
          <w:rtl/>
        </w:rPr>
        <w:t>"</w:t>
      </w:r>
      <w:r w:rsidRPr="00F27422">
        <w:rPr>
          <w:rFonts w:ascii="mylotus" w:hAnsi="mylotus" w:hint="cs"/>
          <w:b/>
          <w:bCs/>
          <w:sz w:val="32"/>
          <w:rtl/>
        </w:rPr>
        <w:t>:</w:t>
      </w:r>
    </w:p>
    <w:p w14:paraId="73A498BF"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sz w:val="32"/>
          <w:rtl/>
        </w:rPr>
        <w:t xml:space="preserve">قال سيد العروة (قدس سره الشريف): </w:t>
      </w:r>
      <w:r w:rsidRPr="00F27422">
        <w:rPr>
          <w:rFonts w:ascii="mylotus" w:hAnsi="mylotus"/>
          <w:b/>
          <w:bCs/>
          <w:sz w:val="32"/>
          <w:rtl/>
        </w:rPr>
        <w:t xml:space="preserve">(مسألة 7: إذا وجد المستأجر في العين المستأجرة عيباً سابقاً على </w:t>
      </w:r>
      <w:proofErr w:type="gramStart"/>
      <w:r w:rsidRPr="00F27422">
        <w:rPr>
          <w:rFonts w:ascii="mylotus" w:hAnsi="mylotus"/>
          <w:b/>
          <w:bCs/>
          <w:sz w:val="32"/>
          <w:rtl/>
        </w:rPr>
        <w:t>العقد .</w:t>
      </w:r>
      <w:proofErr w:type="gramEnd"/>
      <w:r w:rsidRPr="00F27422">
        <w:rPr>
          <w:rFonts w:ascii="mylotus" w:hAnsi="mylotus"/>
          <w:b/>
          <w:bCs/>
          <w:sz w:val="32"/>
          <w:rtl/>
        </w:rPr>
        <w:t>.)</w:t>
      </w:r>
      <w:r w:rsidRPr="00F27422">
        <w:rPr>
          <w:rFonts w:ascii="mylotus" w:hAnsi="mylotus"/>
          <w:b/>
          <w:bCs/>
          <w:sz w:val="32"/>
        </w:rPr>
        <w:t>.</w:t>
      </w:r>
    </w:p>
    <w:p w14:paraId="0C84C6BC"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وحاصل المسألة:</w:t>
      </w:r>
      <w:r w:rsidRPr="00F27422">
        <w:rPr>
          <w:rFonts w:ascii="mylotus" w:hAnsi="mylotus"/>
          <w:sz w:val="32"/>
          <w:rtl/>
        </w:rPr>
        <w:t xml:space="preserve"> إذا وجد الم</w:t>
      </w:r>
      <w:r w:rsidRPr="00F27422">
        <w:rPr>
          <w:rFonts w:ascii="mylotus" w:hAnsi="mylotus" w:hint="cs"/>
          <w:sz w:val="32"/>
          <w:rtl/>
        </w:rPr>
        <w:t>ُ</w:t>
      </w:r>
      <w:r w:rsidRPr="00F27422">
        <w:rPr>
          <w:rFonts w:ascii="mylotus" w:hAnsi="mylotus"/>
          <w:sz w:val="32"/>
          <w:rtl/>
        </w:rPr>
        <w:t>ستأجر في العين المستأجرة أو العين المقبوضة وفاءً لعقد الإجارة عيباً</w:t>
      </w:r>
      <w:r w:rsidRPr="00F27422">
        <w:rPr>
          <w:rFonts w:ascii="mylotus" w:hAnsi="mylotus" w:hint="cs"/>
          <w:sz w:val="32"/>
          <w:rtl/>
        </w:rPr>
        <w:t>.</w:t>
      </w:r>
    </w:p>
    <w:p w14:paraId="5CC8CAC6" w14:textId="77777777" w:rsidR="00B43C27" w:rsidRPr="00F27422" w:rsidRDefault="00B43C27" w:rsidP="00122B70">
      <w:pPr>
        <w:pStyle w:val="a"/>
        <w:bidi/>
        <w:spacing w:line="216" w:lineRule="auto"/>
        <w:jc w:val="left"/>
        <w:rPr>
          <w:rFonts w:ascii="mylotus" w:hAnsi="mylotus" w:cs="Times New Roman"/>
          <w:b/>
          <w:bCs/>
          <w:sz w:val="32"/>
          <w:rtl/>
        </w:rPr>
      </w:pPr>
    </w:p>
    <w:p w14:paraId="1E17FBC7"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والكلام يقع في مطلبين</w:t>
      </w:r>
      <w:r w:rsidRPr="00F27422">
        <w:rPr>
          <w:rFonts w:ascii="mylotus" w:hAnsi="mylotus"/>
          <w:b/>
          <w:bCs/>
          <w:sz w:val="32"/>
        </w:rPr>
        <w:t>:</w:t>
      </w:r>
    </w:p>
    <w:p w14:paraId="1922BFB6" w14:textId="77777777" w:rsidR="00B43C27" w:rsidRPr="00F27422" w:rsidRDefault="00B43C27" w:rsidP="00122B70">
      <w:pPr>
        <w:pStyle w:val="a"/>
        <w:tabs>
          <w:tab w:val="left" w:pos="4292"/>
        </w:tabs>
        <w:bidi/>
        <w:spacing w:line="216" w:lineRule="auto"/>
        <w:jc w:val="left"/>
        <w:rPr>
          <w:rFonts w:ascii="mylotus" w:hAnsi="mylotus"/>
          <w:sz w:val="32"/>
          <w:rtl/>
        </w:rPr>
      </w:pPr>
      <w:r w:rsidRPr="00F27422">
        <w:rPr>
          <w:rFonts w:ascii="mylotus" w:hAnsi="mylotus"/>
          <w:b/>
          <w:bCs/>
          <w:sz w:val="32"/>
          <w:rtl/>
        </w:rPr>
        <w:t>المطلبُ الأوّل:</w:t>
      </w:r>
      <w:r w:rsidRPr="00F27422">
        <w:rPr>
          <w:rFonts w:ascii="mylotus" w:hAnsi="mylotus"/>
          <w:sz w:val="32"/>
          <w:rtl/>
        </w:rPr>
        <w:t xml:space="preserve"> في فهرست المسألة</w:t>
      </w:r>
      <w:r w:rsidRPr="00F27422">
        <w:rPr>
          <w:rFonts w:ascii="mylotus" w:hAnsi="mylotus" w:hint="cs"/>
          <w:sz w:val="32"/>
          <w:rtl/>
        </w:rPr>
        <w:t>.</w:t>
      </w:r>
    </w:p>
    <w:p w14:paraId="6521685B" w14:textId="77777777" w:rsidR="00B43C27" w:rsidRPr="00F27422" w:rsidRDefault="00B43C27" w:rsidP="00122B70">
      <w:pPr>
        <w:pStyle w:val="a"/>
        <w:tabs>
          <w:tab w:val="left" w:pos="4292"/>
        </w:tabs>
        <w:bidi/>
        <w:spacing w:line="216" w:lineRule="auto"/>
        <w:jc w:val="left"/>
        <w:rPr>
          <w:rFonts w:ascii="mylotus" w:hAnsi="mylotus" w:cs="Times New Roman"/>
          <w:b/>
          <w:bCs/>
          <w:sz w:val="32"/>
          <w:rtl/>
        </w:rPr>
      </w:pPr>
      <w:r w:rsidRPr="00F27422">
        <w:rPr>
          <w:rFonts w:ascii="mylotus" w:hAnsi="mylotus" w:hint="cs"/>
          <w:b/>
          <w:bCs/>
          <w:sz w:val="32"/>
          <w:rtl/>
        </w:rPr>
        <w:t>و</w:t>
      </w:r>
      <w:r w:rsidRPr="00F27422">
        <w:rPr>
          <w:rFonts w:ascii="mylotus" w:hAnsi="mylotus"/>
          <w:b/>
          <w:bCs/>
          <w:sz w:val="32"/>
          <w:rtl/>
        </w:rPr>
        <w:t>المطلبُ الثاني:</w:t>
      </w:r>
      <w:r w:rsidRPr="00F27422">
        <w:rPr>
          <w:rFonts w:ascii="mylotus" w:hAnsi="mylotus"/>
          <w:sz w:val="32"/>
          <w:rtl/>
        </w:rPr>
        <w:t xml:space="preserve"> في عرض تفاصيل المسألة</w:t>
      </w:r>
      <w:r w:rsidRPr="00F27422">
        <w:rPr>
          <w:rFonts w:ascii="mylotus" w:hAnsi="mylotus"/>
          <w:sz w:val="32"/>
        </w:rPr>
        <w:t>.</w:t>
      </w:r>
    </w:p>
    <w:p w14:paraId="4DAD5096"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المطلبُ الأوّل: في فهرست المسألة</w:t>
      </w:r>
      <w:r w:rsidRPr="00F27422">
        <w:rPr>
          <w:rFonts w:ascii="mylotus" w:hAnsi="mylotus"/>
          <w:b/>
          <w:bCs/>
          <w:sz w:val="32"/>
        </w:rPr>
        <w:t>.</w:t>
      </w:r>
    </w:p>
    <w:p w14:paraId="0CF9690E" w14:textId="784E7051"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sz w:val="32"/>
          <w:rtl/>
        </w:rPr>
        <w:lastRenderedPageBreak/>
        <w:t>قد قسم سيد العروة (قدس سره الشريف) العين المستأجرة إلى: الشخصية والكُلّية؛ إذ قد تكون العين المستأجرة عيناً شخصية، وقد تكون عيناً كُلّية، ولكن المُؤْجِر في مقام التسليم أقبضَ المُستَأجِر عيناً معيبة، فإنْ كان متعلّق الإجارة العين الشخصية وقد وجدها المُستَأجِرُ معيبةً فإمّا أنْ يكون العيب موجبا</w:t>
      </w:r>
      <w:r w:rsidRPr="00F27422">
        <w:rPr>
          <w:rFonts w:ascii="mylotus" w:hAnsi="mylotus" w:hint="cs"/>
          <w:sz w:val="32"/>
          <w:rtl/>
        </w:rPr>
        <w:t>ً</w:t>
      </w:r>
      <w:r w:rsidRPr="00F27422">
        <w:rPr>
          <w:rFonts w:ascii="mylotus" w:hAnsi="mylotus"/>
          <w:sz w:val="32"/>
          <w:rtl/>
        </w:rPr>
        <w:t xml:space="preserve"> لنقص المنفعة أو لا، وما يوجب نقص المنفعة إمّا أن يكون خراباً في العين أو لا، وما لا يكون خراباً في العين إمّا عيبٌ سابق على العقد </w:t>
      </w:r>
      <w:proofErr w:type="spellStart"/>
      <w:r w:rsidRPr="00F27422">
        <w:rPr>
          <w:rFonts w:ascii="mylotus" w:hAnsi="mylotus"/>
          <w:sz w:val="32"/>
          <w:rtl/>
        </w:rPr>
        <w:t>أوسابقٌ</w:t>
      </w:r>
      <w:proofErr w:type="spellEnd"/>
      <w:r w:rsidRPr="00F27422">
        <w:rPr>
          <w:rFonts w:ascii="mylotus" w:hAnsi="mylotus"/>
          <w:sz w:val="32"/>
          <w:rtl/>
        </w:rPr>
        <w:t xml:space="preserve"> على القبض بعد العقد أو عيب تجدّد للعين المُستأجرة بعد القبض</w:t>
      </w:r>
      <w:r w:rsidRPr="00F27422">
        <w:rPr>
          <w:rFonts w:ascii="mylotus" w:hAnsi="mylotus"/>
          <w:sz w:val="32"/>
        </w:rPr>
        <w:t>.</w:t>
      </w:r>
    </w:p>
    <w:p w14:paraId="573FFA67"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b/>
          <w:bCs/>
          <w:sz w:val="32"/>
          <w:rtl/>
        </w:rPr>
        <w:t>ويقعُ البحث ضمن هذا الفهرست للمسألة في عدّة قواعد كبروية:</w:t>
      </w:r>
    </w:p>
    <w:p w14:paraId="4C7623B9"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الأُولى:</w:t>
      </w:r>
      <w:r w:rsidRPr="00F27422">
        <w:rPr>
          <w:rFonts w:ascii="mylotus" w:hAnsi="mylotus"/>
          <w:sz w:val="32"/>
          <w:rtl/>
        </w:rPr>
        <w:t xml:space="preserve"> في مدرك ثبوت خيار العيب</w:t>
      </w:r>
      <w:r w:rsidRPr="00F27422">
        <w:rPr>
          <w:rFonts w:ascii="mylotus" w:hAnsi="mylotus"/>
          <w:sz w:val="32"/>
        </w:rPr>
        <w:t>.</w:t>
      </w:r>
    </w:p>
    <w:p w14:paraId="6B455608"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الثانية:</w:t>
      </w:r>
      <w:r w:rsidRPr="00F27422">
        <w:rPr>
          <w:rFonts w:ascii="mylotus" w:hAnsi="mylotus"/>
          <w:sz w:val="32"/>
          <w:rtl/>
        </w:rPr>
        <w:t xml:space="preserve"> في مناط ثبوت الأرش وشموله للمقام</w:t>
      </w:r>
      <w:r w:rsidRPr="00F27422">
        <w:rPr>
          <w:rFonts w:ascii="mylotus" w:hAnsi="mylotus"/>
          <w:sz w:val="32"/>
        </w:rPr>
        <w:t>.</w:t>
      </w:r>
    </w:p>
    <w:p w14:paraId="5E026B56"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Pr>
        <w:t xml:space="preserve"> </w:t>
      </w:r>
      <w:r w:rsidRPr="00F27422">
        <w:rPr>
          <w:rFonts w:ascii="mylotus" w:hAnsi="mylotus"/>
          <w:b/>
          <w:bCs/>
          <w:sz w:val="32"/>
          <w:rtl/>
        </w:rPr>
        <w:t xml:space="preserve">الثالثة: </w:t>
      </w:r>
      <w:r w:rsidRPr="00F27422">
        <w:rPr>
          <w:rFonts w:ascii="mylotus" w:hAnsi="mylotus"/>
          <w:sz w:val="32"/>
          <w:rtl/>
        </w:rPr>
        <w:t>في شمول مدرك خيار العيب للعيب الحادث قبل القبض، والحادث بعد القبض</w:t>
      </w:r>
      <w:r w:rsidRPr="00F27422">
        <w:rPr>
          <w:rFonts w:ascii="mylotus" w:hAnsi="mylotus"/>
          <w:sz w:val="32"/>
        </w:rPr>
        <w:t>.</w:t>
      </w:r>
    </w:p>
    <w:p w14:paraId="1DDCBAF4"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الرابعة:</w:t>
      </w:r>
      <w:r w:rsidRPr="00F27422">
        <w:rPr>
          <w:rFonts w:ascii="mylotus" w:hAnsi="mylotus"/>
          <w:sz w:val="32"/>
          <w:rtl/>
        </w:rPr>
        <w:t xml:space="preserve"> في حكم العيب إذا كانت العين المُستأجرة كُلّية لكن المُؤْجِر أقبضَ المُستَأجِر عيناً معيبة</w:t>
      </w:r>
      <w:r w:rsidRPr="00F27422">
        <w:rPr>
          <w:rFonts w:ascii="mylotus" w:hAnsi="mylotus"/>
          <w:sz w:val="32"/>
        </w:rPr>
        <w:t>.</w:t>
      </w:r>
    </w:p>
    <w:p w14:paraId="37FCEE05"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المطلب الثاني: في عرض تفاصيل المسألة</w:t>
      </w:r>
      <w:r w:rsidRPr="00F27422">
        <w:rPr>
          <w:rFonts w:ascii="mylotus" w:hAnsi="mylotus"/>
          <w:b/>
          <w:bCs/>
          <w:sz w:val="32"/>
        </w:rPr>
        <w:t>.</w:t>
      </w:r>
    </w:p>
    <w:p w14:paraId="7D440550"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وفيه عدّة مباحث</w:t>
      </w:r>
      <w:r w:rsidRPr="00F27422">
        <w:rPr>
          <w:rFonts w:ascii="mylotus" w:hAnsi="mylotus"/>
          <w:b/>
          <w:bCs/>
          <w:sz w:val="32"/>
        </w:rPr>
        <w:t>:</w:t>
      </w:r>
    </w:p>
    <w:p w14:paraId="358CC38D"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المبحثُ الأوّل: في مدرك ثبوت خيار العيب</w:t>
      </w:r>
      <w:r w:rsidRPr="00F27422">
        <w:rPr>
          <w:rFonts w:ascii="mylotus" w:hAnsi="mylotus"/>
          <w:sz w:val="32"/>
        </w:rPr>
        <w:t>.</w:t>
      </w:r>
    </w:p>
    <w:p w14:paraId="7436CADE"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sz w:val="32"/>
          <w:rtl/>
        </w:rPr>
        <w:t>قد</w:t>
      </w:r>
      <w:r w:rsidRPr="00F27422">
        <w:rPr>
          <w:rFonts w:ascii="mylotus" w:hAnsi="mylotus" w:hint="cs"/>
          <w:sz w:val="32"/>
          <w:rtl/>
        </w:rPr>
        <w:t xml:space="preserve"> </w:t>
      </w:r>
      <w:r w:rsidRPr="00F27422">
        <w:rPr>
          <w:rFonts w:ascii="mylotus" w:hAnsi="mylotus"/>
          <w:sz w:val="32"/>
          <w:rtl/>
        </w:rPr>
        <w:t>ذكر في مدرك ثبوت خيار العيب وجوه</w:t>
      </w:r>
      <w:r w:rsidRPr="00F27422">
        <w:rPr>
          <w:rFonts w:ascii="mylotus" w:hAnsi="mylotus" w:hint="cs"/>
          <w:sz w:val="32"/>
          <w:rtl/>
        </w:rPr>
        <w:t>ٌ</w:t>
      </w:r>
      <w:r w:rsidRPr="00F27422">
        <w:rPr>
          <w:rFonts w:ascii="mylotus" w:hAnsi="mylotus"/>
          <w:sz w:val="32"/>
        </w:rPr>
        <w:t>:</w:t>
      </w:r>
    </w:p>
    <w:p w14:paraId="75118DE6"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الوجه الأوّل:</w:t>
      </w:r>
      <w:r w:rsidRPr="00F27422">
        <w:rPr>
          <w:rFonts w:ascii="mylotus" w:hAnsi="mylotus"/>
          <w:sz w:val="32"/>
          <w:rtl/>
        </w:rPr>
        <w:t xml:space="preserve"> دعوى الإجماع</w:t>
      </w:r>
      <w:r w:rsidRPr="00F27422">
        <w:rPr>
          <w:rFonts w:ascii="mylotus" w:hAnsi="mylotus"/>
          <w:sz w:val="32"/>
        </w:rPr>
        <w:t>.</w:t>
      </w:r>
    </w:p>
    <w:p w14:paraId="3D7D9615" w14:textId="77777777" w:rsidR="00B43C27" w:rsidRPr="00F27422" w:rsidRDefault="00B43C27" w:rsidP="00122B70">
      <w:pPr>
        <w:pStyle w:val="a"/>
        <w:bidi/>
        <w:spacing w:line="216" w:lineRule="auto"/>
        <w:jc w:val="left"/>
        <w:rPr>
          <w:rFonts w:ascii="mylotus" w:hAnsi="mylotus"/>
          <w:sz w:val="32"/>
          <w:rtl/>
        </w:rPr>
      </w:pPr>
      <w:r w:rsidRPr="00F27422">
        <w:rPr>
          <w:rFonts w:ascii="mylotus" w:hAnsi="mylotus"/>
          <w:sz w:val="32"/>
          <w:rtl/>
        </w:rPr>
        <w:t>ولا إشكال في ثبوت خيار العيب، وإنّما الكلامُ في أنّ عدم الخلاف فيه هل هو إجماع محصلٌ أم لا</w:t>
      </w:r>
      <w:r w:rsidRPr="00F27422">
        <w:rPr>
          <w:rFonts w:ascii="mylotus" w:hAnsi="mylotus" w:hint="cs"/>
          <w:sz w:val="32"/>
          <w:rtl/>
        </w:rPr>
        <w:t>؟</w:t>
      </w:r>
    </w:p>
    <w:p w14:paraId="15F38244"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وال</w:t>
      </w:r>
      <w:r w:rsidRPr="00F27422">
        <w:rPr>
          <w:rFonts w:ascii="mylotus" w:hAnsi="mylotus" w:hint="cs"/>
          <w:b/>
          <w:bCs/>
          <w:sz w:val="32"/>
          <w:rtl/>
        </w:rPr>
        <w:t>إ</w:t>
      </w:r>
      <w:r w:rsidRPr="00F27422">
        <w:rPr>
          <w:rFonts w:ascii="mylotus" w:hAnsi="mylotus"/>
          <w:b/>
          <w:bCs/>
          <w:sz w:val="32"/>
          <w:rtl/>
        </w:rPr>
        <w:t xml:space="preserve">نصاف: </w:t>
      </w:r>
      <w:r w:rsidRPr="00F27422">
        <w:rPr>
          <w:rFonts w:ascii="mylotus" w:hAnsi="mylotus"/>
          <w:sz w:val="32"/>
          <w:rtl/>
        </w:rPr>
        <w:t>أن</w:t>
      </w:r>
      <w:r w:rsidRPr="00F27422">
        <w:rPr>
          <w:rFonts w:ascii="mylotus" w:hAnsi="mylotus" w:hint="cs"/>
          <w:sz w:val="32"/>
          <w:rtl/>
        </w:rPr>
        <w:t>ّ</w:t>
      </w:r>
      <w:r w:rsidRPr="00F27422">
        <w:rPr>
          <w:rFonts w:ascii="mylotus" w:hAnsi="mylotus"/>
          <w:sz w:val="32"/>
          <w:rtl/>
        </w:rPr>
        <w:t>ه مع ورود الوجوه الأُخرى التي استدل بها على ثبوت الخيار فالإجماع محتملُ المدركية، وحيثُ إنّه محتملُ المدركية فلا يمكن الاتكاء عليه في المقام</w:t>
      </w:r>
      <w:r w:rsidRPr="00F27422">
        <w:rPr>
          <w:rFonts w:ascii="mylotus" w:hAnsi="mylotus"/>
          <w:sz w:val="32"/>
        </w:rPr>
        <w:t>.</w:t>
      </w:r>
    </w:p>
    <w:p w14:paraId="39D92DFD"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الوجه الثاني:</w:t>
      </w:r>
      <w:r w:rsidRPr="00F27422">
        <w:rPr>
          <w:rFonts w:ascii="mylotus" w:hAnsi="mylotus"/>
          <w:sz w:val="32"/>
          <w:rtl/>
        </w:rPr>
        <w:t xml:space="preserve"> الأخبار الدالة على ثبوت خيار العيب في باب البيع</w:t>
      </w:r>
      <w:r w:rsidRPr="00F27422">
        <w:rPr>
          <w:rFonts w:ascii="mylotus" w:hAnsi="mylotus"/>
          <w:sz w:val="32"/>
        </w:rPr>
        <w:t>.</w:t>
      </w:r>
    </w:p>
    <w:p w14:paraId="5BC62118"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بتقريب:</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الروايات وإنْ وردتْ في باب البيع والشراء إلّا أنّ العرف يُلغي خصوصية الشراء، ويرى بمرتكزهِ أنّ المناطَ وجدانُ العيب في مورد المعاوضة سواءً كانت المعاوضة بيعاً أو إجارة</w:t>
      </w:r>
      <w:r w:rsidRPr="00F27422">
        <w:rPr>
          <w:rFonts w:ascii="mylotus" w:hAnsi="mylotus"/>
          <w:sz w:val="32"/>
        </w:rPr>
        <w:t>.</w:t>
      </w:r>
    </w:p>
    <w:p w14:paraId="5AF07BEB"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sz w:val="32"/>
          <w:rtl/>
        </w:rPr>
        <w:t xml:space="preserve">ولكن أُشكل على ذلك مِن قبل بعض الأجلة (رحمه الله) في </w:t>
      </w:r>
      <w:r w:rsidRPr="00F27422">
        <w:rPr>
          <w:rFonts w:ascii="mylotus" w:hAnsi="mylotus" w:hint="cs"/>
          <w:sz w:val="32"/>
          <w:rtl/>
        </w:rPr>
        <w:t>كتاب الإجارة</w:t>
      </w:r>
      <w:r w:rsidRPr="00F27422">
        <w:rPr>
          <w:rStyle w:val="FootnoteReference"/>
          <w:rFonts w:ascii="mylotus" w:hAnsi="mylotus"/>
          <w:sz w:val="32"/>
          <w:rtl/>
        </w:rPr>
        <w:footnoteReference w:id="70"/>
      </w:r>
      <w:r w:rsidRPr="00F27422">
        <w:rPr>
          <w:rFonts w:ascii="mylotus" w:hAnsi="mylotus"/>
          <w:sz w:val="32"/>
          <w:rtl/>
        </w:rPr>
        <w:t xml:space="preserve"> بقوله: </w:t>
      </w:r>
      <w:r w:rsidRPr="00F27422">
        <w:rPr>
          <w:rFonts w:ascii="mylotus" w:hAnsi="mylotus"/>
          <w:b/>
          <w:bCs/>
          <w:sz w:val="32"/>
          <w:rtl/>
        </w:rPr>
        <w:t>(ودعوى: صدق المبادلة والمعاوضة بلحاظ المنفعة، فلو صدق العيب عليها كان مشمولاً لتلك الروايات</w:t>
      </w:r>
      <w:r w:rsidRPr="00F27422">
        <w:rPr>
          <w:rFonts w:ascii="mylotus" w:hAnsi="mylotus"/>
          <w:b/>
          <w:bCs/>
          <w:sz w:val="32"/>
        </w:rPr>
        <w:t>.</w:t>
      </w:r>
    </w:p>
    <w:p w14:paraId="56CEDD48"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 xml:space="preserve">مدفوعة: أولاً: بعدم صدق مفهوم العيب إلّا بلحاظ العين لا المنفعة، فإنها) </w:t>
      </w:r>
      <w:r w:rsidRPr="00F27422">
        <w:rPr>
          <w:rFonts w:ascii="mylotus" w:hAnsi="mylotus"/>
          <w:sz w:val="32"/>
          <w:rtl/>
        </w:rPr>
        <w:t>أي: المنفعة</w:t>
      </w:r>
      <w:r w:rsidRPr="00F27422">
        <w:rPr>
          <w:rFonts w:ascii="mylotus" w:hAnsi="mylotus"/>
          <w:b/>
          <w:bCs/>
          <w:sz w:val="32"/>
          <w:rtl/>
        </w:rPr>
        <w:t xml:space="preserve"> (تتصف بالقلة والنقصان لا </w:t>
      </w:r>
      <w:proofErr w:type="spellStart"/>
      <w:r w:rsidRPr="00F27422">
        <w:rPr>
          <w:rFonts w:ascii="mylotus" w:hAnsi="mylotus"/>
          <w:b/>
          <w:bCs/>
          <w:sz w:val="32"/>
          <w:rtl/>
        </w:rPr>
        <w:t>بالمعيبية</w:t>
      </w:r>
      <w:proofErr w:type="spellEnd"/>
      <w:r w:rsidRPr="00F27422">
        <w:rPr>
          <w:rFonts w:ascii="mylotus" w:hAnsi="mylotus" w:hint="cs"/>
          <w:b/>
          <w:bCs/>
          <w:sz w:val="32"/>
          <w:rtl/>
        </w:rPr>
        <w:t>).</w:t>
      </w:r>
    </w:p>
    <w:p w14:paraId="590BF71C"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وتوضيح مُراده:</w:t>
      </w:r>
      <w:r w:rsidRPr="00F27422">
        <w:rPr>
          <w:rFonts w:ascii="mylotus" w:hAnsi="mylotus"/>
          <w:sz w:val="32"/>
          <w:rtl/>
        </w:rPr>
        <w:t xml:space="preserve"> أنّ ما هو مورد المعاوضة لا عيبَ فيه وهو المنفعة، وما فيه عيبٌ وهو العين ليس مورد المعاوضة؛ لأنّ الإجارة معاوضة على المنفعة لا</w:t>
      </w:r>
      <w:r w:rsidRPr="00F27422">
        <w:rPr>
          <w:rFonts w:ascii="mylotus" w:hAnsi="mylotus" w:hint="cs"/>
          <w:sz w:val="32"/>
          <w:rtl/>
        </w:rPr>
        <w:t xml:space="preserve"> </w:t>
      </w:r>
      <w:r w:rsidRPr="00F27422">
        <w:rPr>
          <w:rFonts w:ascii="mylotus" w:hAnsi="mylotus"/>
          <w:sz w:val="32"/>
          <w:rtl/>
        </w:rPr>
        <w:t>العين، وما دلت عليه رواياتُ خيار العيب ثبوته في فرض كون مورد المعاوضة معيباً، والمفروضُ في المقام أنّ مورد المعاوضة وهو المنفعة ليس معيباً</w:t>
      </w:r>
      <w:r w:rsidRPr="00F27422">
        <w:rPr>
          <w:rFonts w:ascii="mylotus" w:hAnsi="mylotus"/>
          <w:sz w:val="32"/>
        </w:rPr>
        <w:t>.</w:t>
      </w:r>
    </w:p>
    <w:p w14:paraId="3B13D2DA"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(وثانياً: مورد الروايات الشراء وهو لا يصدق إلّا على انتقال الأعيان)</w:t>
      </w:r>
      <w:r w:rsidRPr="00F27422">
        <w:rPr>
          <w:rFonts w:ascii="mylotus" w:hAnsi="mylotus"/>
          <w:sz w:val="32"/>
          <w:rtl/>
        </w:rPr>
        <w:t xml:space="preserve"> لا على انتقال المنافع كما في الإجارة </w:t>
      </w:r>
      <w:r w:rsidRPr="00F27422">
        <w:rPr>
          <w:rFonts w:ascii="mylotus" w:hAnsi="mylotus"/>
          <w:b/>
          <w:bCs/>
          <w:sz w:val="32"/>
          <w:rtl/>
        </w:rPr>
        <w:t>(فلو احتملنا الخصوصية في ذلك)</w:t>
      </w:r>
      <w:r w:rsidRPr="00F27422">
        <w:rPr>
          <w:rFonts w:ascii="mylotus" w:hAnsi="mylotus"/>
          <w:sz w:val="32"/>
          <w:rtl/>
        </w:rPr>
        <w:t xml:space="preserve"> أي: الشراء</w:t>
      </w:r>
      <w:r w:rsidRPr="00F27422">
        <w:rPr>
          <w:rFonts w:ascii="mylotus" w:hAnsi="mylotus"/>
          <w:b/>
          <w:bCs/>
          <w:sz w:val="32"/>
          <w:rtl/>
        </w:rPr>
        <w:t xml:space="preserve"> (لم يتم الإطلاق)</w:t>
      </w:r>
      <w:r w:rsidRPr="00F27422">
        <w:rPr>
          <w:rFonts w:ascii="mylotus" w:hAnsi="mylotus"/>
          <w:b/>
          <w:bCs/>
          <w:sz w:val="32"/>
        </w:rPr>
        <w:t>.</w:t>
      </w:r>
    </w:p>
    <w:p w14:paraId="028CBB55" w14:textId="77777777" w:rsidR="00B43C27" w:rsidRPr="00F27422" w:rsidRDefault="00B43C27" w:rsidP="00122B70">
      <w:pPr>
        <w:pStyle w:val="a"/>
        <w:bidi/>
        <w:spacing w:line="216" w:lineRule="auto"/>
        <w:jc w:val="left"/>
        <w:rPr>
          <w:rFonts w:ascii="mylotus" w:hAnsi="mylotus"/>
          <w:sz w:val="32"/>
          <w:rtl/>
        </w:rPr>
      </w:pPr>
      <w:r w:rsidRPr="00F27422">
        <w:rPr>
          <w:rFonts w:ascii="mylotus" w:hAnsi="mylotus"/>
          <w:b/>
          <w:bCs/>
          <w:sz w:val="32"/>
          <w:rtl/>
        </w:rPr>
        <w:lastRenderedPageBreak/>
        <w:t>ولكن هذا الإشكال غيرُ تامٍ؛ أمّا الشق الثاني منه:</w:t>
      </w:r>
      <w:r w:rsidRPr="00F27422">
        <w:rPr>
          <w:rFonts w:ascii="mylotus" w:hAnsi="mylotus"/>
          <w:sz w:val="32"/>
          <w:rtl/>
        </w:rPr>
        <w:t xml:space="preserve"> فهو خارجٌ عن مفروض البحث؛ لأنّ مُدعى مَن تمسك بالروايات </w:t>
      </w:r>
      <w:r w:rsidRPr="00F27422">
        <w:rPr>
          <w:rFonts w:ascii="Times New Roman" w:hAnsi="Times New Roman" w:cs="Times New Roman" w:hint="cs"/>
          <w:sz w:val="32"/>
          <w:rtl/>
        </w:rPr>
        <w:t>-</w:t>
      </w:r>
      <w:r w:rsidRPr="00F27422">
        <w:rPr>
          <w:rFonts w:ascii="mylotus" w:hAnsi="mylotus" w:hint="cs"/>
          <w:sz w:val="32"/>
          <w:rtl/>
        </w:rPr>
        <w:t xml:space="preserve"> </w:t>
      </w:r>
      <w:r w:rsidRPr="00F27422">
        <w:rPr>
          <w:rFonts w:ascii="mylotus" w:hAnsi="mylotus"/>
          <w:sz w:val="32"/>
          <w:rtl/>
        </w:rPr>
        <w:t>كما</w:t>
      </w:r>
      <w:r w:rsidRPr="00F27422">
        <w:rPr>
          <w:rFonts w:ascii="mylotus" w:hAnsi="mylotus" w:hint="cs"/>
          <w:sz w:val="32"/>
          <w:rtl/>
        </w:rPr>
        <w:t xml:space="preserve"> </w:t>
      </w:r>
      <w:r w:rsidRPr="00F27422">
        <w:rPr>
          <w:rFonts w:ascii="mylotus" w:hAnsi="mylotus"/>
          <w:sz w:val="32"/>
          <w:rtl/>
        </w:rPr>
        <w:t>هو</w:t>
      </w:r>
      <w:r w:rsidRPr="00F27422">
        <w:rPr>
          <w:rFonts w:ascii="mylotus" w:hAnsi="mylotus" w:hint="cs"/>
          <w:sz w:val="32"/>
          <w:rtl/>
        </w:rPr>
        <w:t xml:space="preserve"> </w:t>
      </w:r>
      <w:r w:rsidRPr="00F27422">
        <w:rPr>
          <w:rFonts w:ascii="mylotus" w:hAnsi="mylotus"/>
          <w:sz w:val="32"/>
          <w:rtl/>
        </w:rPr>
        <w:t>ليس ببعيد</w:t>
      </w:r>
      <w:r w:rsidRPr="00F27422">
        <w:rPr>
          <w:rFonts w:ascii="mylotus" w:hAnsi="mylotus" w:hint="cs"/>
          <w:sz w:val="32"/>
          <w:rtl/>
        </w:rPr>
        <w:t xml:space="preserve"> -</w:t>
      </w:r>
      <w:r w:rsidRPr="00F27422">
        <w:rPr>
          <w:rFonts w:ascii="mylotus" w:hAnsi="mylotus"/>
          <w:sz w:val="32"/>
          <w:rtl/>
        </w:rPr>
        <w:t xml:space="preserve"> أنّ العرف يُلغي خصوصية البيع والشراء ويرى أنّ المناط هو كون مورد المعاوضة والمبادلة معيبا</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إلّ</w:t>
      </w:r>
      <w:r w:rsidRPr="00F27422">
        <w:rPr>
          <w:rFonts w:ascii="mylotus" w:hAnsi="mylotus"/>
          <w:sz w:val="32"/>
          <w:rtl/>
        </w:rPr>
        <w:t>ا أن</w:t>
      </w:r>
      <w:r w:rsidRPr="00F27422">
        <w:rPr>
          <w:rFonts w:ascii="mylotus" w:hAnsi="mylotus" w:hint="cs"/>
          <w:sz w:val="32"/>
          <w:rtl/>
        </w:rPr>
        <w:t>ْ</w:t>
      </w:r>
      <w:r w:rsidRPr="00F27422">
        <w:rPr>
          <w:rFonts w:ascii="mylotus" w:hAnsi="mylotus"/>
          <w:sz w:val="32"/>
          <w:rtl/>
        </w:rPr>
        <w:t xml:space="preserve"> يكون مصب الإشكال منع نكتة ال</w:t>
      </w:r>
      <w:r w:rsidRPr="00F27422">
        <w:rPr>
          <w:rFonts w:ascii="mylotus" w:hAnsi="mylotus" w:hint="cs"/>
          <w:sz w:val="32"/>
          <w:rtl/>
        </w:rPr>
        <w:t>ا</w:t>
      </w:r>
      <w:r w:rsidRPr="00F27422">
        <w:rPr>
          <w:rFonts w:ascii="mylotus" w:hAnsi="mylotus"/>
          <w:sz w:val="32"/>
          <w:rtl/>
        </w:rPr>
        <w:t>ستدلال</w:t>
      </w:r>
      <w:r w:rsidRPr="00F27422">
        <w:rPr>
          <w:rFonts w:ascii="mylotus" w:hAnsi="mylotus" w:hint="cs"/>
          <w:sz w:val="32"/>
          <w:rtl/>
        </w:rPr>
        <w:t>.</w:t>
      </w:r>
    </w:p>
    <w:p w14:paraId="6BFB5FF4"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 xml:space="preserve">وأمّا الشق الأوّل منه ففيه: </w:t>
      </w:r>
      <w:r w:rsidRPr="00F27422">
        <w:rPr>
          <w:rFonts w:ascii="mylotus" w:hAnsi="mylotus"/>
          <w:sz w:val="32"/>
          <w:rtl/>
        </w:rPr>
        <w:t>أنّ المنصرف مِن الروايات الواردة في خيار العيب أنّ الموضوع العيبُ العرفي، والعيبُ العرفي هو الخلل الواقع في مورد المعاوضة بحيثُ يكون مزاحما</w:t>
      </w:r>
      <w:r w:rsidRPr="00F27422">
        <w:rPr>
          <w:rFonts w:ascii="mylotus" w:hAnsi="mylotus" w:hint="cs"/>
          <w:sz w:val="32"/>
          <w:rtl/>
        </w:rPr>
        <w:t>ً</w:t>
      </w:r>
      <w:r w:rsidRPr="00F27422">
        <w:rPr>
          <w:rFonts w:ascii="mylotus" w:hAnsi="mylotus"/>
          <w:sz w:val="32"/>
          <w:rtl/>
        </w:rPr>
        <w:t xml:space="preserve"> للغرض النوعي للمعاملة، والمفروض أنّ الغرض النوعي م</w:t>
      </w:r>
      <w:r w:rsidRPr="00F27422">
        <w:rPr>
          <w:rFonts w:ascii="mylotus" w:hAnsi="mylotus" w:hint="cs"/>
          <w:sz w:val="32"/>
          <w:rtl/>
        </w:rPr>
        <w:t>ِ</w:t>
      </w:r>
      <w:r w:rsidRPr="00F27422">
        <w:rPr>
          <w:rFonts w:ascii="mylotus" w:hAnsi="mylotus"/>
          <w:sz w:val="32"/>
          <w:rtl/>
        </w:rPr>
        <w:t>ن الإجارة هو إمكانُ استيفاء</w:t>
      </w:r>
      <w:r w:rsidRPr="00F27422">
        <w:rPr>
          <w:rFonts w:ascii="mylotus" w:hAnsi="mylotus" w:hint="cs"/>
          <w:sz w:val="32"/>
          <w:rtl/>
        </w:rPr>
        <w:t>ِ</w:t>
      </w:r>
      <w:r w:rsidRPr="00F27422">
        <w:rPr>
          <w:rFonts w:ascii="mylotus" w:hAnsi="mylotus"/>
          <w:sz w:val="32"/>
          <w:rtl/>
        </w:rPr>
        <w:t xml:space="preserve"> المنفعة، والعيبُ في العين الموجب للخلل في المنفعة بنحو لا يمكن استيفاء ال</w:t>
      </w:r>
      <w:r w:rsidRPr="00F27422">
        <w:rPr>
          <w:rFonts w:ascii="mylotus" w:hAnsi="mylotus" w:hint="cs"/>
          <w:sz w:val="32"/>
          <w:rtl/>
        </w:rPr>
        <w:t>ا</w:t>
      </w:r>
      <w:r w:rsidRPr="00F27422">
        <w:rPr>
          <w:rFonts w:ascii="mylotus" w:hAnsi="mylotus"/>
          <w:sz w:val="32"/>
          <w:rtl/>
        </w:rPr>
        <w:t>نتفاع المقصود م</w:t>
      </w:r>
      <w:r w:rsidRPr="00F27422">
        <w:rPr>
          <w:rFonts w:ascii="mylotus" w:hAnsi="mylotus" w:hint="cs"/>
          <w:sz w:val="32"/>
          <w:rtl/>
        </w:rPr>
        <w:t>ِ</w:t>
      </w:r>
      <w:r w:rsidRPr="00F27422">
        <w:rPr>
          <w:rFonts w:ascii="mylotus" w:hAnsi="mylotus"/>
          <w:sz w:val="32"/>
          <w:rtl/>
        </w:rPr>
        <w:t>ن المعاملة معه عيب في المنفعة عرفا</w:t>
      </w:r>
      <w:r w:rsidRPr="00F27422">
        <w:rPr>
          <w:rFonts w:ascii="mylotus" w:hAnsi="mylotus" w:hint="cs"/>
          <w:sz w:val="32"/>
          <w:rtl/>
        </w:rPr>
        <w:t>ً</w:t>
      </w:r>
      <w:r w:rsidRPr="00F27422">
        <w:rPr>
          <w:rFonts w:ascii="mylotus" w:hAnsi="mylotus"/>
          <w:sz w:val="32"/>
          <w:rtl/>
        </w:rPr>
        <w:t>، فمقتضى ذلك شمول الروايات الدالّة على خيار العيب في البيع للإجارة</w:t>
      </w:r>
      <w:r w:rsidRPr="00F27422">
        <w:rPr>
          <w:rFonts w:ascii="mylotus" w:hAnsi="mylotus"/>
          <w:sz w:val="32"/>
        </w:rPr>
        <w:t>.</w:t>
      </w:r>
    </w:p>
    <w:p w14:paraId="259CF6B3" w14:textId="77777777" w:rsidR="00B43C27" w:rsidRPr="00F27422" w:rsidRDefault="00B43C27" w:rsidP="00122B70">
      <w:pPr>
        <w:pStyle w:val="a"/>
        <w:bidi/>
        <w:spacing w:line="216" w:lineRule="auto"/>
        <w:jc w:val="left"/>
        <w:rPr>
          <w:rFonts w:ascii="mylotus" w:hAnsi="mylotus" w:cs="Times New Roman"/>
          <w:b/>
          <w:bCs/>
          <w:sz w:val="32"/>
          <w:rtl/>
        </w:rPr>
      </w:pPr>
      <w:r w:rsidRPr="00F27422">
        <w:rPr>
          <w:rFonts w:ascii="mylotus" w:hAnsi="mylotus"/>
          <w:b/>
          <w:bCs/>
          <w:sz w:val="32"/>
          <w:rtl/>
        </w:rPr>
        <w:t>الوجهُ الثالث:</w:t>
      </w:r>
      <w:r w:rsidRPr="00F27422">
        <w:rPr>
          <w:rFonts w:ascii="mylotus" w:hAnsi="mylotus"/>
          <w:sz w:val="32"/>
          <w:rtl/>
        </w:rPr>
        <w:t xml:space="preserve"> التمسكُ بقاعدة </w:t>
      </w:r>
      <w:r w:rsidRPr="00F27422">
        <w:rPr>
          <w:rFonts w:ascii="mylotus" w:hAnsi="mylotus" w:cs="Cambria" w:hint="cs"/>
          <w:sz w:val="32"/>
          <w:rtl/>
        </w:rPr>
        <w:t>"</w:t>
      </w:r>
      <w:r w:rsidRPr="00F27422">
        <w:rPr>
          <w:rFonts w:ascii="mylotus" w:hAnsi="mylotus"/>
          <w:sz w:val="32"/>
          <w:rtl/>
        </w:rPr>
        <w:t>لا ضرر</w:t>
      </w:r>
      <w:r w:rsidRPr="00F27422">
        <w:rPr>
          <w:rFonts w:ascii="mylotus" w:hAnsi="mylotus" w:cs="Cambria" w:hint="cs"/>
          <w:sz w:val="32"/>
          <w:rtl/>
        </w:rPr>
        <w:t>"</w:t>
      </w:r>
      <w:r w:rsidRPr="00F27422">
        <w:rPr>
          <w:rFonts w:ascii="mylotus" w:hAnsi="mylotus"/>
          <w:sz w:val="32"/>
        </w:rPr>
        <w:t>.</w:t>
      </w:r>
    </w:p>
    <w:p w14:paraId="11B10088"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b/>
          <w:bCs/>
          <w:sz w:val="32"/>
          <w:rtl/>
        </w:rPr>
        <w:t xml:space="preserve">والتمسكُ بقاعدة </w:t>
      </w:r>
      <w:r w:rsidRPr="00F27422">
        <w:rPr>
          <w:rFonts w:ascii="mylotus" w:hAnsi="mylotus" w:cs="Cambria" w:hint="cs"/>
          <w:b/>
          <w:bCs/>
          <w:sz w:val="32"/>
          <w:rtl/>
        </w:rPr>
        <w:t>"</w:t>
      </w:r>
      <w:r w:rsidRPr="00F27422">
        <w:rPr>
          <w:rFonts w:ascii="mylotus" w:hAnsi="mylotus"/>
          <w:b/>
          <w:bCs/>
          <w:sz w:val="32"/>
          <w:rtl/>
        </w:rPr>
        <w:t>لا ضرر</w:t>
      </w:r>
      <w:r w:rsidRPr="00F27422">
        <w:rPr>
          <w:rFonts w:ascii="mylotus" w:hAnsi="mylotus" w:cs="Cambria" w:hint="cs"/>
          <w:b/>
          <w:bCs/>
          <w:sz w:val="32"/>
          <w:rtl/>
        </w:rPr>
        <w:t>"</w:t>
      </w:r>
      <w:r w:rsidRPr="00F27422">
        <w:rPr>
          <w:rFonts w:ascii="mylotus" w:hAnsi="mylotus"/>
          <w:b/>
          <w:bCs/>
          <w:sz w:val="32"/>
          <w:rtl/>
        </w:rPr>
        <w:t xml:space="preserve"> له عد</w:t>
      </w:r>
      <w:r w:rsidRPr="00F27422">
        <w:rPr>
          <w:rFonts w:ascii="mylotus" w:hAnsi="mylotus" w:hint="cs"/>
          <w:b/>
          <w:bCs/>
          <w:sz w:val="32"/>
          <w:rtl/>
        </w:rPr>
        <w:t>ّ</w:t>
      </w:r>
      <w:r w:rsidRPr="00F27422">
        <w:rPr>
          <w:rFonts w:ascii="mylotus" w:hAnsi="mylotus"/>
          <w:b/>
          <w:bCs/>
          <w:sz w:val="32"/>
          <w:rtl/>
        </w:rPr>
        <w:t>ة تقريباتٌ</w:t>
      </w:r>
      <w:r w:rsidRPr="00F27422">
        <w:rPr>
          <w:rFonts w:ascii="mylotus" w:hAnsi="mylotus" w:hint="cs"/>
          <w:b/>
          <w:bCs/>
          <w:sz w:val="32"/>
          <w:rtl/>
        </w:rPr>
        <w:t>:</w:t>
      </w:r>
    </w:p>
    <w:p w14:paraId="4E6E0A2B" w14:textId="77777777" w:rsidR="00B43C27" w:rsidRPr="00F27422" w:rsidRDefault="00B43C27" w:rsidP="00122B70">
      <w:pPr>
        <w:pStyle w:val="a"/>
        <w:bidi/>
        <w:spacing w:line="216" w:lineRule="auto"/>
        <w:jc w:val="left"/>
        <w:rPr>
          <w:rFonts w:ascii="mylotus" w:hAnsi="mylotus"/>
          <w:sz w:val="32"/>
          <w:rtl/>
        </w:rPr>
      </w:pPr>
      <w:r w:rsidRPr="00F27422">
        <w:rPr>
          <w:rFonts w:ascii="mylotus" w:hAnsi="mylotus"/>
          <w:b/>
          <w:bCs/>
          <w:sz w:val="32"/>
          <w:rtl/>
        </w:rPr>
        <w:t xml:space="preserve">التقريبُ الأوّل: </w:t>
      </w:r>
      <w:r w:rsidRPr="00F27422">
        <w:rPr>
          <w:rFonts w:ascii="mylotus" w:hAnsi="mylotus"/>
          <w:sz w:val="32"/>
          <w:rtl/>
        </w:rPr>
        <w:t xml:space="preserve">أنّ شمول قوله تعالى: </w:t>
      </w:r>
      <w:r w:rsidRPr="00F27422">
        <w:rPr>
          <w:rFonts w:ascii="mylotus" w:hAnsi="mylotus"/>
          <w:b/>
          <w:bCs/>
          <w:sz w:val="32"/>
          <w:rtl/>
        </w:rPr>
        <w:t>{يَا أَيُّهَا الَّذِينَ آمَنُوا أَوْفُوا بِالْعُقُودِ}</w:t>
      </w:r>
      <w:r w:rsidRPr="00F27422">
        <w:rPr>
          <w:rStyle w:val="FootnoteReference"/>
          <w:rFonts w:ascii="mylotus" w:hAnsi="mylotus"/>
          <w:sz w:val="32"/>
          <w:rtl/>
        </w:rPr>
        <w:footnoteReference w:id="71"/>
      </w:r>
      <w:r w:rsidRPr="00F27422">
        <w:rPr>
          <w:rFonts w:ascii="mylotus" w:hAnsi="mylotus"/>
          <w:sz w:val="32"/>
          <w:rtl/>
        </w:rPr>
        <w:t xml:space="preserve"> للمُستَأجِر الذي لا يمكنهُ استيفاءُ المنفعة بالنحو المقصود م</w:t>
      </w:r>
      <w:r w:rsidRPr="00F27422">
        <w:rPr>
          <w:rFonts w:ascii="mylotus" w:hAnsi="mylotus" w:hint="cs"/>
          <w:sz w:val="32"/>
          <w:rtl/>
        </w:rPr>
        <w:t>ِ</w:t>
      </w:r>
      <w:r w:rsidRPr="00F27422">
        <w:rPr>
          <w:rFonts w:ascii="mylotus" w:hAnsi="mylotus"/>
          <w:sz w:val="32"/>
          <w:rtl/>
        </w:rPr>
        <w:t xml:space="preserve">ن الإجارة ضررٌ عليه، فمقتضى </w:t>
      </w:r>
      <w:r w:rsidRPr="00F27422">
        <w:rPr>
          <w:rFonts w:ascii="mylotus" w:hAnsi="mylotus" w:cs="Cambria" w:hint="cs"/>
          <w:sz w:val="32"/>
          <w:rtl/>
        </w:rPr>
        <w:t>"</w:t>
      </w:r>
      <w:r w:rsidRPr="00F27422">
        <w:rPr>
          <w:rFonts w:ascii="mylotus" w:hAnsi="mylotus"/>
          <w:sz w:val="32"/>
          <w:rtl/>
        </w:rPr>
        <w:t>لا ضرر</w:t>
      </w:r>
      <w:r w:rsidRPr="00F27422">
        <w:rPr>
          <w:rFonts w:ascii="mylotus" w:hAnsi="mylotus" w:cs="Cambria" w:hint="cs"/>
          <w:sz w:val="32"/>
          <w:rtl/>
        </w:rPr>
        <w:t>"</w:t>
      </w:r>
      <w:r w:rsidRPr="00F27422">
        <w:rPr>
          <w:rFonts w:ascii="mylotus" w:hAnsi="mylotus"/>
          <w:sz w:val="32"/>
          <w:rtl/>
        </w:rPr>
        <w:t xml:space="preserve"> عدم شمول </w:t>
      </w:r>
      <w:r w:rsidRPr="00F27422">
        <w:rPr>
          <w:rFonts w:ascii="mylotus" w:hAnsi="mylotus"/>
          <w:b/>
          <w:bCs/>
          <w:sz w:val="32"/>
          <w:rtl/>
        </w:rPr>
        <w:t>{أَوْفُوا بِالْعُقُودِ}</w:t>
      </w:r>
      <w:r w:rsidRPr="00F27422">
        <w:rPr>
          <w:rFonts w:ascii="mylotus" w:hAnsi="mylotus"/>
          <w:b/>
          <w:bCs/>
          <w:sz w:val="32"/>
        </w:rPr>
        <w:t>.</w:t>
      </w:r>
    </w:p>
    <w:p w14:paraId="6E88E644" w14:textId="77777777" w:rsidR="00B43C27" w:rsidRPr="00F27422" w:rsidRDefault="00B43C27" w:rsidP="00122B70">
      <w:pPr>
        <w:pStyle w:val="a"/>
        <w:bidi/>
        <w:spacing w:line="216" w:lineRule="auto"/>
        <w:jc w:val="left"/>
        <w:rPr>
          <w:rFonts w:ascii="mylotus" w:hAnsi="mylotus"/>
          <w:sz w:val="32"/>
          <w:rtl/>
        </w:rPr>
      </w:pPr>
      <w:r w:rsidRPr="00F27422">
        <w:rPr>
          <w:rFonts w:ascii="mylotus" w:hAnsi="mylotus"/>
          <w:b/>
          <w:bCs/>
          <w:sz w:val="32"/>
          <w:rtl/>
        </w:rPr>
        <w:t xml:space="preserve">ويلاحظ عليه: </w:t>
      </w:r>
      <w:r w:rsidRPr="00F27422">
        <w:rPr>
          <w:rFonts w:ascii="mylotus" w:hAnsi="mylotus"/>
          <w:sz w:val="32"/>
          <w:rtl/>
        </w:rPr>
        <w:t>أن</w:t>
      </w:r>
      <w:r w:rsidRPr="00F27422">
        <w:rPr>
          <w:rFonts w:ascii="mylotus" w:hAnsi="mylotus" w:hint="cs"/>
          <w:sz w:val="32"/>
          <w:rtl/>
        </w:rPr>
        <w:t>ّ</w:t>
      </w:r>
      <w:r w:rsidRPr="00F27422">
        <w:rPr>
          <w:rFonts w:ascii="mylotus" w:hAnsi="mylotus"/>
          <w:sz w:val="32"/>
          <w:rtl/>
        </w:rPr>
        <w:t>ه إن</w:t>
      </w:r>
      <w:r w:rsidRPr="00F27422">
        <w:rPr>
          <w:rFonts w:ascii="mylotus" w:hAnsi="mylotus" w:hint="cs"/>
          <w:sz w:val="32"/>
          <w:rtl/>
        </w:rPr>
        <w:t>ْ</w:t>
      </w:r>
      <w:r w:rsidRPr="00F27422">
        <w:rPr>
          <w:rFonts w:ascii="mylotus" w:hAnsi="mylotus"/>
          <w:sz w:val="32"/>
          <w:rtl/>
        </w:rPr>
        <w:t xml:space="preserve"> كان المقصود التمسك بلا ضرر لنفي شمول دليل الصح</w:t>
      </w:r>
      <w:r w:rsidRPr="00F27422">
        <w:rPr>
          <w:rFonts w:ascii="mylotus" w:hAnsi="mylotus" w:hint="cs"/>
          <w:sz w:val="32"/>
          <w:rtl/>
        </w:rPr>
        <w:t>ّ</w:t>
      </w:r>
      <w:r w:rsidRPr="00F27422">
        <w:rPr>
          <w:rFonts w:ascii="mylotus" w:hAnsi="mylotus"/>
          <w:sz w:val="32"/>
          <w:rtl/>
        </w:rPr>
        <w:t>ة للإجارة فلازم</w:t>
      </w:r>
      <w:r w:rsidRPr="00F27422">
        <w:rPr>
          <w:rFonts w:ascii="mylotus" w:hAnsi="mylotus" w:hint="cs"/>
          <w:sz w:val="32"/>
          <w:rtl/>
        </w:rPr>
        <w:t>ُ</w:t>
      </w:r>
      <w:r w:rsidRPr="00F27422">
        <w:rPr>
          <w:rFonts w:ascii="mylotus" w:hAnsi="mylotus"/>
          <w:sz w:val="32"/>
          <w:rtl/>
        </w:rPr>
        <w:t xml:space="preserve"> ذلك فساد الإجارة لا</w:t>
      </w:r>
      <w:r w:rsidRPr="00F27422">
        <w:rPr>
          <w:rFonts w:ascii="mylotus" w:hAnsi="mylotus" w:hint="cs"/>
          <w:sz w:val="32"/>
          <w:rtl/>
        </w:rPr>
        <w:t xml:space="preserve"> </w:t>
      </w:r>
      <w:r w:rsidRPr="00F27422">
        <w:rPr>
          <w:rFonts w:ascii="mylotus" w:hAnsi="mylotus"/>
          <w:sz w:val="32"/>
          <w:rtl/>
        </w:rPr>
        <w:t>ثبوت الخيار، وإن</w:t>
      </w:r>
      <w:r w:rsidRPr="00F27422">
        <w:rPr>
          <w:rFonts w:ascii="mylotus" w:hAnsi="mylotus" w:hint="cs"/>
          <w:sz w:val="32"/>
          <w:rtl/>
        </w:rPr>
        <w:t>ْ</w:t>
      </w:r>
      <w:r w:rsidRPr="00F27422">
        <w:rPr>
          <w:rFonts w:ascii="mylotus" w:hAnsi="mylotus"/>
          <w:sz w:val="32"/>
          <w:rtl/>
        </w:rPr>
        <w:t xml:space="preserve"> كان المقصود التمسك بلا</w:t>
      </w:r>
      <w:r w:rsidRPr="00F27422">
        <w:rPr>
          <w:rFonts w:ascii="mylotus" w:hAnsi="mylotus" w:hint="cs"/>
          <w:sz w:val="32"/>
          <w:rtl/>
        </w:rPr>
        <w:t xml:space="preserve"> </w:t>
      </w:r>
      <w:r w:rsidRPr="00F27422">
        <w:rPr>
          <w:rFonts w:ascii="mylotus" w:hAnsi="mylotus"/>
          <w:sz w:val="32"/>
          <w:rtl/>
        </w:rPr>
        <w:t>ضرر لنفي وجوب الوفاء تكليفا</w:t>
      </w:r>
      <w:r w:rsidRPr="00F27422">
        <w:rPr>
          <w:rFonts w:ascii="mylotus" w:hAnsi="mylotus" w:hint="cs"/>
          <w:sz w:val="32"/>
          <w:rtl/>
        </w:rPr>
        <w:t>ً.</w:t>
      </w:r>
    </w:p>
    <w:p w14:paraId="14F6A5F5" w14:textId="77777777" w:rsidR="00B43C27" w:rsidRPr="00F27422" w:rsidRDefault="00B43C27" w:rsidP="00122B70">
      <w:pPr>
        <w:pStyle w:val="a"/>
        <w:bidi/>
        <w:spacing w:line="216" w:lineRule="auto"/>
        <w:jc w:val="left"/>
        <w:rPr>
          <w:rFonts w:ascii="mylotus" w:hAnsi="mylotus"/>
          <w:sz w:val="32"/>
          <w:rtl/>
        </w:rPr>
      </w:pPr>
      <w:r w:rsidRPr="00F27422">
        <w:rPr>
          <w:rFonts w:ascii="mylotus" w:hAnsi="mylotus"/>
          <w:b/>
          <w:bCs/>
          <w:sz w:val="32"/>
          <w:rtl/>
        </w:rPr>
        <w:t>ففيه:</w:t>
      </w:r>
      <w:r w:rsidRPr="00F27422">
        <w:rPr>
          <w:rFonts w:ascii="mylotus" w:hAnsi="mylotus"/>
          <w:sz w:val="32"/>
          <w:rtl/>
        </w:rPr>
        <w:t xml:space="preserve"> مضافا</w:t>
      </w:r>
      <w:r w:rsidRPr="00F27422">
        <w:rPr>
          <w:rFonts w:ascii="mylotus" w:hAnsi="mylotus" w:hint="cs"/>
          <w:sz w:val="32"/>
          <w:rtl/>
        </w:rPr>
        <w:t>ً</w:t>
      </w:r>
      <w:r w:rsidRPr="00F27422">
        <w:rPr>
          <w:rFonts w:ascii="mylotus" w:hAnsi="mylotus"/>
          <w:sz w:val="32"/>
          <w:rtl/>
        </w:rPr>
        <w:t xml:space="preserve"> إلى أن</w:t>
      </w:r>
      <w:r w:rsidRPr="00F27422">
        <w:rPr>
          <w:rFonts w:ascii="mylotus" w:hAnsi="mylotus" w:hint="cs"/>
          <w:sz w:val="32"/>
          <w:rtl/>
        </w:rPr>
        <w:t>ّ</w:t>
      </w:r>
      <w:r w:rsidRPr="00F27422">
        <w:rPr>
          <w:rFonts w:ascii="mylotus" w:hAnsi="mylotus"/>
          <w:sz w:val="32"/>
          <w:rtl/>
        </w:rPr>
        <w:t xml:space="preserve"> المفيد في رفع الضرر عنه ثبوت الخيار وضعا</w:t>
      </w:r>
      <w:r w:rsidRPr="00F27422">
        <w:rPr>
          <w:rFonts w:ascii="mylotus" w:hAnsi="mylotus" w:hint="cs"/>
          <w:sz w:val="32"/>
          <w:rtl/>
        </w:rPr>
        <w:t>ً</w:t>
      </w:r>
      <w:r w:rsidRPr="00F27422">
        <w:rPr>
          <w:rFonts w:ascii="mylotus" w:hAnsi="mylotus"/>
          <w:sz w:val="32"/>
          <w:rtl/>
        </w:rPr>
        <w:t xml:space="preserve"> لا نفي التكليف بالوفاء، ما</w:t>
      </w:r>
      <w:r w:rsidRPr="00F27422">
        <w:rPr>
          <w:rFonts w:ascii="mylotus" w:hAnsi="mylotus" w:hint="cs"/>
          <w:sz w:val="32"/>
          <w:rtl/>
        </w:rPr>
        <w:t xml:space="preserve"> </w:t>
      </w:r>
      <w:r w:rsidRPr="00F27422">
        <w:rPr>
          <w:rFonts w:ascii="mylotus" w:hAnsi="mylotus"/>
          <w:sz w:val="32"/>
          <w:rtl/>
        </w:rPr>
        <w:t xml:space="preserve">أورده سيدنا الخوئي (قدس سره الشريف) </w:t>
      </w:r>
      <w:r w:rsidRPr="00F27422">
        <w:rPr>
          <w:rFonts w:ascii="mylotus" w:hAnsi="mylotus" w:hint="cs"/>
          <w:sz w:val="32"/>
          <w:rtl/>
        </w:rPr>
        <w:t>في كتاب الإجارة من موسوعته المباركة</w:t>
      </w:r>
      <w:r w:rsidRPr="00F27422">
        <w:rPr>
          <w:rStyle w:val="FootnoteReference"/>
          <w:rFonts w:ascii="mylotus" w:hAnsi="mylotus"/>
          <w:sz w:val="32"/>
          <w:rtl/>
        </w:rPr>
        <w:footnoteReference w:id="72"/>
      </w:r>
      <w:r w:rsidRPr="00F27422">
        <w:rPr>
          <w:rFonts w:ascii="mylotus" w:hAnsi="mylotus" w:hint="cs"/>
          <w:sz w:val="32"/>
          <w:rtl/>
        </w:rPr>
        <w:t xml:space="preserve"> </w:t>
      </w:r>
      <w:r w:rsidRPr="00F27422">
        <w:rPr>
          <w:rFonts w:ascii="mylotus" w:hAnsi="mylotus"/>
          <w:sz w:val="32"/>
          <w:rtl/>
        </w:rPr>
        <w:t>بقوله</w:t>
      </w:r>
      <w:r w:rsidRPr="00F27422">
        <w:rPr>
          <w:rFonts w:ascii="mylotus" w:hAnsi="mylotus"/>
          <w:sz w:val="32"/>
        </w:rPr>
        <w:t>:</w:t>
      </w:r>
    </w:p>
    <w:p w14:paraId="5549672B" w14:textId="77777777" w:rsidR="00B43C27" w:rsidRPr="00F27422" w:rsidRDefault="00B43C27" w:rsidP="00122B70">
      <w:pPr>
        <w:pStyle w:val="a"/>
        <w:bidi/>
        <w:spacing w:line="216" w:lineRule="auto"/>
        <w:jc w:val="left"/>
        <w:rPr>
          <w:rFonts w:ascii="mylotus" w:hAnsi="mylotus"/>
          <w:sz w:val="32"/>
          <w:rtl/>
        </w:rPr>
      </w:pPr>
      <w:r w:rsidRPr="00F27422">
        <w:rPr>
          <w:rFonts w:ascii="mylotus" w:hAnsi="mylotus"/>
          <w:b/>
          <w:bCs/>
          <w:sz w:val="32"/>
          <w:rtl/>
        </w:rPr>
        <w:t>(وملخّصه: قصور الحديث عن إثبات الخيار في المقام، إذ مفاده)</w:t>
      </w:r>
      <w:r w:rsidRPr="00F27422">
        <w:rPr>
          <w:rFonts w:ascii="mylotus" w:hAnsi="mylotus"/>
          <w:sz w:val="32"/>
          <w:rtl/>
        </w:rPr>
        <w:t xml:space="preserve"> أي: حديث لا ضرر ولا ضرار </w:t>
      </w:r>
      <w:r w:rsidRPr="00F27422">
        <w:rPr>
          <w:rFonts w:ascii="mylotus" w:hAnsi="mylotus"/>
          <w:b/>
          <w:bCs/>
          <w:sz w:val="32"/>
          <w:rtl/>
        </w:rPr>
        <w:t>(إنّما هو نفي أيّ جعل تشريعي ينشأ منه الضرر، ومن المعلوم أنّ الضرر في المقام لم ينشأ من ناحية الشارع وإنّما حصل من نفس البيع)</w:t>
      </w:r>
      <w:r w:rsidRPr="00F27422">
        <w:rPr>
          <w:rFonts w:ascii="mylotus" w:hAnsi="mylotus"/>
          <w:sz w:val="32"/>
          <w:rtl/>
        </w:rPr>
        <w:t xml:space="preserve"> أو الإجارة </w:t>
      </w:r>
      <w:r w:rsidRPr="00F27422">
        <w:rPr>
          <w:rFonts w:ascii="mylotus" w:hAnsi="mylotus"/>
          <w:b/>
          <w:bCs/>
          <w:sz w:val="32"/>
          <w:rtl/>
        </w:rPr>
        <w:t>(الصادر من المتبايعين)</w:t>
      </w:r>
      <w:r w:rsidRPr="00F27422">
        <w:rPr>
          <w:rFonts w:ascii="mylotus" w:hAnsi="mylotus"/>
          <w:b/>
          <w:bCs/>
          <w:sz w:val="32"/>
        </w:rPr>
        <w:t>.</w:t>
      </w:r>
    </w:p>
    <w:p w14:paraId="7C07BB2D" w14:textId="77777777" w:rsidR="00B43C27" w:rsidRPr="00F27422" w:rsidRDefault="00B43C27" w:rsidP="00122B70">
      <w:pPr>
        <w:pStyle w:val="a"/>
        <w:bidi/>
        <w:spacing w:line="216" w:lineRule="auto"/>
        <w:jc w:val="left"/>
        <w:rPr>
          <w:rFonts w:ascii="mylotus" w:hAnsi="mylotus"/>
          <w:sz w:val="32"/>
          <w:rtl/>
        </w:rPr>
      </w:pPr>
      <w:r w:rsidRPr="00F27422">
        <w:rPr>
          <w:rFonts w:ascii="mylotus" w:hAnsi="mylotus"/>
          <w:b/>
          <w:bCs/>
          <w:sz w:val="32"/>
          <w:rtl/>
        </w:rPr>
        <w:t>بمعنى:</w:t>
      </w:r>
      <w:r w:rsidRPr="00F27422">
        <w:rPr>
          <w:rFonts w:ascii="mylotus" w:hAnsi="mylotus"/>
          <w:sz w:val="32"/>
          <w:rtl/>
        </w:rPr>
        <w:t xml:space="preserve"> أنّ الضرر الذي هو نقصٌ في المال موجودٌ في رتبةٍ سابقةٍ على حكم الشارع، فلمْ ينشأ الضرر مِن قِبل حُكم الشارع بـ </w:t>
      </w:r>
      <w:r w:rsidRPr="00F27422">
        <w:rPr>
          <w:rFonts w:ascii="mylotus" w:hAnsi="mylotus"/>
          <w:b/>
          <w:bCs/>
          <w:sz w:val="32"/>
          <w:rtl/>
        </w:rPr>
        <w:t>{أَوْفُوا بِالْعُقُودِ}</w:t>
      </w:r>
      <w:r w:rsidRPr="00F27422">
        <w:rPr>
          <w:rFonts w:ascii="mylotus" w:hAnsi="mylotus"/>
          <w:sz w:val="32"/>
          <w:rtl/>
        </w:rPr>
        <w:t>؛ وإنّما نشأ مِن إقدامهما على المعاوضة سواءً كانتْ بيعاً أو إجارةً</w:t>
      </w:r>
      <w:r w:rsidRPr="00F27422">
        <w:rPr>
          <w:rFonts w:ascii="mylotus" w:hAnsi="mylotus"/>
          <w:sz w:val="32"/>
        </w:rPr>
        <w:t>.</w:t>
      </w:r>
    </w:p>
    <w:p w14:paraId="4FA4B664"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hint="cs"/>
          <w:b/>
          <w:bCs/>
          <w:sz w:val="32"/>
          <w:rtl/>
        </w:rPr>
        <w:t>(</w:t>
      </w:r>
      <w:r w:rsidRPr="00F27422">
        <w:rPr>
          <w:rFonts w:ascii="mylotus" w:hAnsi="mylotus"/>
          <w:b/>
          <w:bCs/>
          <w:sz w:val="32"/>
          <w:rtl/>
        </w:rPr>
        <w:t>إذ الضرر إنّما هو النقص في المال، وهذا قد يتحقّق بمجرّد البيع وما أقدما عليه من المعاوضة بين المالين، ولا علاقة ولا ارتباط له بساحة الشرع المقدّسة</w:t>
      </w:r>
      <w:r w:rsidRPr="00F27422">
        <w:rPr>
          <w:rFonts w:ascii="mylotus" w:hAnsi="mylotus" w:hint="cs"/>
          <w:b/>
          <w:bCs/>
          <w:sz w:val="32"/>
          <w:rtl/>
        </w:rPr>
        <w:t>).</w:t>
      </w:r>
    </w:p>
    <w:p w14:paraId="7CF5FCB5"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sz w:val="32"/>
          <w:rtl/>
        </w:rPr>
        <w:t xml:space="preserve">ومفادُ دليل </w:t>
      </w:r>
      <w:r w:rsidRPr="00F27422">
        <w:rPr>
          <w:rFonts w:ascii="mylotus" w:hAnsi="mylotus" w:cs="Cambria" w:hint="cs"/>
          <w:sz w:val="32"/>
          <w:rtl/>
        </w:rPr>
        <w:t>"</w:t>
      </w:r>
      <w:r w:rsidRPr="00F27422">
        <w:rPr>
          <w:rFonts w:ascii="mylotus" w:hAnsi="mylotus"/>
          <w:sz w:val="32"/>
          <w:rtl/>
        </w:rPr>
        <w:t>لا ضرر</w:t>
      </w:r>
      <w:r w:rsidRPr="00F27422">
        <w:rPr>
          <w:rFonts w:ascii="mylotus" w:hAnsi="mylotus" w:cs="Cambria" w:hint="cs"/>
          <w:sz w:val="32"/>
          <w:rtl/>
        </w:rPr>
        <w:t>"</w:t>
      </w:r>
      <w:r w:rsidRPr="00F27422">
        <w:rPr>
          <w:rFonts w:ascii="mylotus" w:hAnsi="mylotus"/>
          <w:sz w:val="32"/>
          <w:rtl/>
        </w:rPr>
        <w:t xml:space="preserve"> نفي الضرر المستند إلى المشرع</w:t>
      </w:r>
      <w:r w:rsidRPr="00F27422">
        <w:rPr>
          <w:rFonts w:ascii="mylotus" w:hAnsi="mylotus"/>
          <w:sz w:val="32"/>
        </w:rPr>
        <w:t>.</w:t>
      </w:r>
    </w:p>
    <w:p w14:paraId="03EC988E"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sz w:val="32"/>
          <w:rtl/>
        </w:rPr>
        <w:t xml:space="preserve">ثمّ أعقب ذلك (قدس سره) </w:t>
      </w:r>
      <w:proofErr w:type="gramStart"/>
      <w:r w:rsidRPr="00F27422">
        <w:rPr>
          <w:rFonts w:ascii="mylotus" w:hAnsi="mylotus"/>
          <w:sz w:val="32"/>
          <w:rtl/>
        </w:rPr>
        <w:t>بقوله :</w:t>
      </w:r>
      <w:proofErr w:type="gramEnd"/>
      <w:r w:rsidRPr="00F27422">
        <w:rPr>
          <w:rFonts w:ascii="mylotus" w:hAnsi="mylotus"/>
          <w:sz w:val="32"/>
          <w:rtl/>
        </w:rPr>
        <w:t xml:space="preserve"> </w:t>
      </w:r>
      <w:r w:rsidRPr="00F27422">
        <w:rPr>
          <w:rFonts w:ascii="mylotus" w:hAnsi="mylotus"/>
          <w:b/>
          <w:bCs/>
          <w:sz w:val="32"/>
          <w:rtl/>
        </w:rPr>
        <w:t>(على أنّه قد لا يتحقّق ضرر مالي في المقام كي يتدارك بالخيار، كما لو استأجر العين)</w:t>
      </w:r>
      <w:r w:rsidRPr="00F27422">
        <w:rPr>
          <w:rFonts w:ascii="mylotus" w:hAnsi="mylotus"/>
          <w:sz w:val="32"/>
          <w:rtl/>
        </w:rPr>
        <w:t xml:space="preserve"> المعيبة </w:t>
      </w:r>
      <w:r w:rsidRPr="00F27422">
        <w:rPr>
          <w:rFonts w:ascii="mylotus" w:hAnsi="mylotus"/>
          <w:b/>
          <w:bCs/>
          <w:sz w:val="32"/>
          <w:rtl/>
        </w:rPr>
        <w:t xml:space="preserve">(بأُجرة زهيدة، بحيثُ تسوى بهذه القيمة حتى مع كونها معيبة، بل بأكثر منها، كما لو كانت الأُجرة السوقيّة للصحيح دينارين وللمعيب ديناراً </w:t>
      </w:r>
      <w:r w:rsidRPr="00F27422">
        <w:rPr>
          <w:rFonts w:ascii="mylotus" w:hAnsi="mylotus"/>
          <w:b/>
          <w:bCs/>
          <w:sz w:val="32"/>
          <w:rtl/>
        </w:rPr>
        <w:lastRenderedPageBreak/>
        <w:t>فآجرها بنصف دينار، فإنّه لم يتحقّق في هذه المعاملة أيّ ضرر مالي كي يندفع بحديث نفي الضرر)</w:t>
      </w:r>
      <w:r w:rsidRPr="00F27422">
        <w:rPr>
          <w:rStyle w:val="FootnoteReference"/>
          <w:rFonts w:ascii="mylotus" w:hAnsi="mylotus"/>
          <w:sz w:val="32"/>
          <w:rtl/>
        </w:rPr>
        <w:footnoteReference w:id="73"/>
      </w:r>
      <w:r w:rsidRPr="00F27422">
        <w:rPr>
          <w:rFonts w:ascii="mylotus" w:hAnsi="mylotus" w:hint="cs"/>
          <w:b/>
          <w:bCs/>
          <w:sz w:val="32"/>
          <w:rtl/>
        </w:rPr>
        <w:t>.</w:t>
      </w:r>
    </w:p>
    <w:p w14:paraId="26A5292C"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sz w:val="32"/>
          <w:rtl/>
        </w:rPr>
        <w:t>ومع كون الأُجرة أُجرةً زهيدة تنسجم مع كون العين معيبة فلَمْ ينشأ ضررٌ مِن قبل المشرع كي يكون المقام مجرى لحديث لا ضرر</w:t>
      </w:r>
      <w:r w:rsidRPr="00F27422">
        <w:rPr>
          <w:rFonts w:ascii="mylotus" w:hAnsi="mylotus"/>
          <w:sz w:val="32"/>
        </w:rPr>
        <w:t>.</w:t>
      </w:r>
    </w:p>
    <w:p w14:paraId="29294F8F"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sz w:val="32"/>
          <w:rtl/>
        </w:rPr>
        <w:t>وما أفادهُ سيدنا الخوئي (قدس سره الشريف) في الشق الأوّل مِن كلامه متينٌ؛ فإنّ "لا ضرر" إنّما تنفي الحكم الضرري، ومع فرض أنّ العيب موجودٌ في رتبةٍ سابقةٍ فلَمْ ينشأ الضرر مِن نفس حُكم الشارع</w:t>
      </w:r>
      <w:r w:rsidRPr="00F27422">
        <w:rPr>
          <w:rFonts w:ascii="mylotus" w:hAnsi="mylotus"/>
          <w:sz w:val="32"/>
        </w:rPr>
        <w:t>.</w:t>
      </w:r>
    </w:p>
    <w:p w14:paraId="30DDDADF" w14:textId="77777777" w:rsidR="00B43C27" w:rsidRPr="00F27422" w:rsidRDefault="00B43C27" w:rsidP="00122B70">
      <w:pPr>
        <w:pStyle w:val="a"/>
        <w:bidi/>
        <w:spacing w:line="216" w:lineRule="auto"/>
        <w:jc w:val="left"/>
        <w:rPr>
          <w:rFonts w:ascii="mylotus" w:hAnsi="mylotus"/>
          <w:sz w:val="32"/>
          <w:rtl/>
        </w:rPr>
      </w:pPr>
      <w:r w:rsidRPr="00F27422">
        <w:rPr>
          <w:rFonts w:ascii="mylotus" w:hAnsi="mylotus"/>
          <w:sz w:val="32"/>
          <w:rtl/>
        </w:rPr>
        <w:t>إلّا أنّ الشق الثاني مِن كلامه (قدس سره) وهو: "أن</w:t>
      </w:r>
      <w:r w:rsidRPr="00F27422">
        <w:rPr>
          <w:rFonts w:ascii="mylotus" w:hAnsi="mylotus" w:hint="cs"/>
          <w:sz w:val="32"/>
          <w:rtl/>
        </w:rPr>
        <w:t>ّ</w:t>
      </w:r>
      <w:r w:rsidRPr="00F27422">
        <w:rPr>
          <w:rFonts w:ascii="mylotus" w:hAnsi="mylotus"/>
          <w:sz w:val="32"/>
          <w:rtl/>
        </w:rPr>
        <w:t>ه قد لا يكون على المكلف ضررٌ مالي كما إذا كانت الأُجرة زهيدة" غايته نفي خيار الغبن المبني على عدم التساوي بين العوضين في المالية</w:t>
      </w:r>
      <w:r w:rsidRPr="00F27422">
        <w:rPr>
          <w:rFonts w:ascii="mylotus" w:hAnsi="mylotus" w:hint="cs"/>
          <w:sz w:val="32"/>
          <w:rtl/>
        </w:rPr>
        <w:t xml:space="preserve">، </w:t>
      </w:r>
      <w:r w:rsidRPr="00F27422">
        <w:rPr>
          <w:rFonts w:ascii="mylotus" w:hAnsi="mylotus"/>
          <w:sz w:val="32"/>
          <w:rtl/>
        </w:rPr>
        <w:t>وأمّا خيار العيب فلا يدورُ مدار عدم مساواة الأُجرة مع العين المعيبة، وإن</w:t>
      </w:r>
      <w:r w:rsidRPr="00F27422">
        <w:rPr>
          <w:rFonts w:ascii="mylotus" w:hAnsi="mylotus" w:hint="cs"/>
          <w:sz w:val="32"/>
          <w:rtl/>
        </w:rPr>
        <w:t>ّ</w:t>
      </w:r>
      <w:r w:rsidRPr="00F27422">
        <w:rPr>
          <w:rFonts w:ascii="mylotus" w:hAnsi="mylotus"/>
          <w:sz w:val="32"/>
          <w:rtl/>
        </w:rPr>
        <w:t>ما المناط فيه عدم تمكن المُستَأجِر مِن استيفاءِ المنفعة بالنحو المقرر في الإجارة وإنْ كانت الأُجرة أجرةً زهيدة</w:t>
      </w:r>
      <w:r w:rsidRPr="00F27422">
        <w:rPr>
          <w:rFonts w:ascii="mylotus" w:hAnsi="mylotus"/>
          <w:sz w:val="32"/>
        </w:rPr>
        <w:t>.</w:t>
      </w:r>
    </w:p>
    <w:p w14:paraId="5D1D89DC" w14:textId="77777777" w:rsidR="000232F8" w:rsidRPr="00F27422" w:rsidRDefault="000232F8" w:rsidP="00122B70">
      <w:pPr>
        <w:pStyle w:val="a"/>
        <w:bidi/>
        <w:spacing w:line="216" w:lineRule="auto"/>
        <w:jc w:val="left"/>
        <w:rPr>
          <w:rFonts w:ascii="mylotus" w:hAnsi="mylotus"/>
          <w:b/>
          <w:bCs/>
          <w:sz w:val="32"/>
          <w:rtl/>
        </w:rPr>
      </w:pPr>
    </w:p>
    <w:p w14:paraId="4A226026" w14:textId="77777777" w:rsidR="00B43C27" w:rsidRPr="00F27422" w:rsidRDefault="00B43C27" w:rsidP="00122B70">
      <w:pPr>
        <w:pStyle w:val="a"/>
        <w:bidi/>
        <w:spacing w:line="216" w:lineRule="auto"/>
        <w:jc w:val="left"/>
        <w:rPr>
          <w:rFonts w:ascii="mylotus" w:hAnsi="mylotus"/>
          <w:sz w:val="32"/>
          <w:rtl/>
        </w:rPr>
      </w:pPr>
      <w:r w:rsidRPr="00F27422">
        <w:rPr>
          <w:rFonts w:ascii="mylotus" w:hAnsi="mylotus"/>
          <w:b/>
          <w:bCs/>
          <w:sz w:val="32"/>
          <w:highlight w:val="yellow"/>
          <w:rtl/>
        </w:rPr>
        <w:t>التقريبُ الثاني:</w:t>
      </w:r>
      <w:r w:rsidRPr="00F27422">
        <w:rPr>
          <w:rFonts w:ascii="mylotus" w:hAnsi="mylotus"/>
          <w:sz w:val="32"/>
          <w:highlight w:val="yellow"/>
          <w:rtl/>
        </w:rPr>
        <w:t xml:space="preserve"> وهو نفي اللزوم بقاعدة </w:t>
      </w:r>
      <w:r w:rsidRPr="00F27422">
        <w:rPr>
          <w:rFonts w:ascii="mylotus" w:hAnsi="mylotus" w:cs="Cambria" w:hint="cs"/>
          <w:sz w:val="32"/>
          <w:highlight w:val="yellow"/>
          <w:rtl/>
        </w:rPr>
        <w:t>"</w:t>
      </w:r>
      <w:r w:rsidRPr="00F27422">
        <w:rPr>
          <w:rFonts w:ascii="mylotus" w:hAnsi="mylotus"/>
          <w:sz w:val="32"/>
          <w:highlight w:val="yellow"/>
          <w:rtl/>
        </w:rPr>
        <w:t>لا ضرر</w:t>
      </w:r>
      <w:r w:rsidRPr="00F27422">
        <w:rPr>
          <w:rFonts w:ascii="mylotus" w:hAnsi="mylotus" w:cs="Cambria" w:hint="cs"/>
          <w:sz w:val="32"/>
          <w:highlight w:val="yellow"/>
          <w:rtl/>
        </w:rPr>
        <w:t>"</w:t>
      </w:r>
      <w:r w:rsidRPr="00F27422">
        <w:rPr>
          <w:rFonts w:ascii="mylotus" w:hAnsi="mylotus"/>
          <w:sz w:val="32"/>
          <w:highlight w:val="yellow"/>
        </w:rPr>
        <w:t>.</w:t>
      </w:r>
    </w:p>
    <w:p w14:paraId="15EB5F4B" w14:textId="77777777" w:rsidR="000232F8" w:rsidRPr="00F27422" w:rsidRDefault="000232F8" w:rsidP="00122B70">
      <w:pPr>
        <w:pStyle w:val="a"/>
        <w:bidi/>
        <w:spacing w:line="216" w:lineRule="auto"/>
        <w:jc w:val="left"/>
        <w:rPr>
          <w:rFonts w:ascii="mylotus" w:hAnsi="mylotus"/>
          <w:b/>
          <w:bCs/>
          <w:sz w:val="32"/>
          <w:rtl/>
        </w:rPr>
      </w:pPr>
    </w:p>
    <w:p w14:paraId="23CF620E" w14:textId="77777777" w:rsidR="00B43C27" w:rsidRPr="00F27422" w:rsidRDefault="00B43C27" w:rsidP="00122B70">
      <w:pPr>
        <w:pStyle w:val="a"/>
        <w:bidi/>
        <w:spacing w:line="216" w:lineRule="auto"/>
        <w:jc w:val="left"/>
        <w:rPr>
          <w:rFonts w:ascii="mylotus" w:hAnsi="mylotus"/>
          <w:sz w:val="32"/>
          <w:rtl/>
        </w:rPr>
      </w:pPr>
      <w:r w:rsidRPr="00F27422">
        <w:rPr>
          <w:rFonts w:ascii="mylotus" w:hAnsi="mylotus"/>
          <w:b/>
          <w:bCs/>
          <w:sz w:val="32"/>
          <w:rtl/>
        </w:rPr>
        <w:t xml:space="preserve">بأنْ يُقال: </w:t>
      </w:r>
      <w:r w:rsidRPr="00F27422">
        <w:rPr>
          <w:rFonts w:ascii="mylotus" w:hAnsi="mylotus"/>
          <w:sz w:val="32"/>
          <w:rtl/>
        </w:rPr>
        <w:t xml:space="preserve">إنّ المتعاقدين وإنْ أقدما باختيارهما على الإجارة لكن المفروض أنّ المُستَأجِر قد وجد عيباً في العين المُستأجرة، ومقتضى ذلك أنْ يكون </w:t>
      </w:r>
      <w:r w:rsidRPr="00F27422">
        <w:rPr>
          <w:rFonts w:ascii="mylotus" w:hAnsi="mylotus"/>
          <w:sz w:val="32"/>
          <w:highlight w:val="yellow"/>
          <w:rtl/>
        </w:rPr>
        <w:t>لزوم المعاملة في حقّه حكماً</w:t>
      </w:r>
      <w:r w:rsidRPr="00F27422">
        <w:rPr>
          <w:rFonts w:ascii="mylotus" w:hAnsi="mylotus"/>
          <w:sz w:val="32"/>
          <w:rtl/>
        </w:rPr>
        <w:t xml:space="preserve"> </w:t>
      </w:r>
      <w:r w:rsidRPr="00F27422">
        <w:rPr>
          <w:rFonts w:ascii="mylotus" w:hAnsi="mylotus"/>
          <w:sz w:val="32"/>
          <w:highlight w:val="yellow"/>
          <w:rtl/>
        </w:rPr>
        <w:t>ضررياً</w:t>
      </w:r>
      <w:r w:rsidRPr="00F27422">
        <w:rPr>
          <w:rFonts w:ascii="mylotus" w:hAnsi="mylotus"/>
          <w:sz w:val="32"/>
          <w:rtl/>
        </w:rPr>
        <w:t>، أي</w:t>
      </w:r>
      <w:r w:rsidRPr="00F27422">
        <w:rPr>
          <w:rFonts w:ascii="mylotus" w:hAnsi="mylotus" w:hint="cs"/>
          <w:sz w:val="32"/>
          <w:rtl/>
        </w:rPr>
        <w:t xml:space="preserve"> </w:t>
      </w:r>
      <w:r w:rsidRPr="00F27422">
        <w:rPr>
          <w:rFonts w:ascii="mylotus" w:hAnsi="mylotus"/>
          <w:sz w:val="32"/>
          <w:rtl/>
        </w:rPr>
        <w:t>أنّ منشأ الضرر حُكم الشارع باللزوم؛ إذ لو كانت الإجارة خيارية لَمْ يكن هناك ضررٌ على المُستأجر</w:t>
      </w:r>
      <w:r w:rsidRPr="00F27422">
        <w:rPr>
          <w:rFonts w:ascii="mylotus" w:hAnsi="mylotus"/>
          <w:sz w:val="32"/>
        </w:rPr>
        <w:t>.</w:t>
      </w:r>
    </w:p>
    <w:p w14:paraId="2540B9F7" w14:textId="77777777" w:rsidR="003D7B50" w:rsidRPr="00F27422" w:rsidRDefault="003D7B50" w:rsidP="00122B70">
      <w:pPr>
        <w:pStyle w:val="a"/>
        <w:bidi/>
        <w:spacing w:line="216" w:lineRule="auto"/>
        <w:jc w:val="left"/>
        <w:rPr>
          <w:rFonts w:ascii="mylotus" w:hAnsi="mylotus"/>
          <w:b/>
          <w:bCs/>
          <w:sz w:val="32"/>
          <w:rtl/>
        </w:rPr>
      </w:pPr>
    </w:p>
    <w:p w14:paraId="65F17B2A"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sz w:val="32"/>
          <w:rtl/>
        </w:rPr>
        <w:t>وبتقريب السيد الحكيم السبط (قدس سره الشريف) كما في</w:t>
      </w:r>
      <w:r w:rsidRPr="00F27422">
        <w:rPr>
          <w:rFonts w:ascii="mylotus" w:hAnsi="mylotus" w:hint="cs"/>
          <w:sz w:val="32"/>
          <w:rtl/>
        </w:rPr>
        <w:t xml:space="preserve"> كتابه الإجارة</w:t>
      </w:r>
      <w:r w:rsidRPr="00F27422">
        <w:rPr>
          <w:rFonts w:ascii="mylotus" w:hAnsi="mylotus"/>
          <w:sz w:val="32"/>
          <w:rtl/>
        </w:rPr>
        <w:t xml:space="preserve"> بقوله: </w:t>
      </w:r>
      <w:r w:rsidRPr="00F27422">
        <w:rPr>
          <w:rFonts w:ascii="mylotus" w:hAnsi="mylotus"/>
          <w:b/>
          <w:bCs/>
          <w:sz w:val="32"/>
          <w:rtl/>
        </w:rPr>
        <w:t>(أن نصوص خيار العيب وإن اختصت بالبيع، إلا أن دليله لا ينحصر بالنصوص المذكورة، بل هو ثابت إما بقاعدة نفي الضرر، لأن الصبر على العيب ضرر في حق المستأجر، كما تكرر في كلماتهم</w:t>
      </w:r>
      <w:r w:rsidRPr="00F27422">
        <w:rPr>
          <w:rFonts w:ascii="mylotus" w:hAnsi="mylotus" w:hint="cs"/>
          <w:b/>
          <w:bCs/>
          <w:sz w:val="32"/>
          <w:rtl/>
        </w:rPr>
        <w:t>)</w:t>
      </w:r>
      <w:r w:rsidRPr="00F27422">
        <w:rPr>
          <w:rStyle w:val="FootnoteReference"/>
          <w:rFonts w:ascii="mylotus" w:hAnsi="mylotus"/>
          <w:sz w:val="32"/>
          <w:rtl/>
        </w:rPr>
        <w:footnoteReference w:id="74"/>
      </w:r>
      <w:r w:rsidRPr="00F27422">
        <w:rPr>
          <w:rFonts w:ascii="mylotus" w:hAnsi="mylotus" w:hint="cs"/>
          <w:sz w:val="32"/>
          <w:rtl/>
        </w:rPr>
        <w:t>.</w:t>
      </w:r>
    </w:p>
    <w:p w14:paraId="7C0EF06B"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sz w:val="32"/>
          <w:rtl/>
        </w:rPr>
        <w:t xml:space="preserve">فمقتضى </w:t>
      </w:r>
      <w:r w:rsidRPr="00F27422">
        <w:rPr>
          <w:rFonts w:ascii="mylotus" w:hAnsi="mylotus" w:cs="Cambria" w:hint="cs"/>
          <w:sz w:val="32"/>
          <w:rtl/>
        </w:rPr>
        <w:t>"</w:t>
      </w:r>
      <w:r w:rsidRPr="00F27422">
        <w:rPr>
          <w:rFonts w:ascii="mylotus" w:hAnsi="mylotus"/>
          <w:sz w:val="32"/>
          <w:rtl/>
        </w:rPr>
        <w:t>لا ضرر</w:t>
      </w:r>
      <w:r w:rsidRPr="00F27422">
        <w:rPr>
          <w:rFonts w:ascii="mylotus" w:hAnsi="mylotus" w:cs="Cambria" w:hint="cs"/>
          <w:sz w:val="32"/>
          <w:rtl/>
        </w:rPr>
        <w:t>"</w:t>
      </w:r>
      <w:r w:rsidRPr="00F27422">
        <w:rPr>
          <w:rFonts w:ascii="mylotus" w:hAnsi="mylotus"/>
          <w:sz w:val="32"/>
          <w:rtl/>
        </w:rPr>
        <w:t xml:space="preserve"> نفي اللزوم</w:t>
      </w:r>
      <w:r w:rsidRPr="00F27422">
        <w:rPr>
          <w:rFonts w:ascii="mylotus" w:hAnsi="mylotus"/>
          <w:sz w:val="32"/>
        </w:rPr>
        <w:t>.</w:t>
      </w:r>
    </w:p>
    <w:p w14:paraId="642A23DE"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b/>
          <w:bCs/>
          <w:sz w:val="32"/>
          <w:rtl/>
        </w:rPr>
        <w:t>ولكن يلاحظ على ذلك:</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المفروض ثبوت العيب في العين في رتبة</w:t>
      </w:r>
      <w:r w:rsidRPr="00F27422">
        <w:rPr>
          <w:rFonts w:ascii="mylotus" w:hAnsi="mylotus" w:hint="cs"/>
          <w:sz w:val="32"/>
          <w:rtl/>
        </w:rPr>
        <w:t>ٍ</w:t>
      </w:r>
      <w:r w:rsidRPr="00F27422">
        <w:rPr>
          <w:rFonts w:ascii="mylotus" w:hAnsi="mylotus"/>
          <w:sz w:val="32"/>
          <w:rtl/>
        </w:rPr>
        <w:t xml:space="preserve"> سابقة</w:t>
      </w:r>
      <w:r w:rsidRPr="00F27422">
        <w:rPr>
          <w:rFonts w:ascii="mylotus" w:hAnsi="mylotus" w:hint="cs"/>
          <w:sz w:val="32"/>
          <w:rtl/>
        </w:rPr>
        <w:t>ٍ</w:t>
      </w:r>
      <w:r w:rsidRPr="00F27422">
        <w:rPr>
          <w:rFonts w:ascii="mylotus" w:hAnsi="mylotus"/>
          <w:sz w:val="32"/>
          <w:rtl/>
        </w:rPr>
        <w:t xml:space="preserve"> على الإجارة، وما</w:t>
      </w:r>
      <w:r w:rsidRPr="00F27422">
        <w:rPr>
          <w:rFonts w:ascii="mylotus" w:hAnsi="mylotus" w:hint="cs"/>
          <w:sz w:val="32"/>
          <w:rtl/>
        </w:rPr>
        <w:t xml:space="preserve"> </w:t>
      </w:r>
      <w:r w:rsidRPr="00F27422">
        <w:rPr>
          <w:rFonts w:ascii="mylotus" w:hAnsi="mylotus"/>
          <w:sz w:val="32"/>
          <w:rtl/>
        </w:rPr>
        <w:t>أوقع الم</w:t>
      </w:r>
      <w:r w:rsidRPr="00F27422">
        <w:rPr>
          <w:rFonts w:ascii="mylotus" w:hAnsi="mylotus" w:hint="cs"/>
          <w:sz w:val="32"/>
          <w:rtl/>
        </w:rPr>
        <w:t>ُ</w:t>
      </w:r>
      <w:r w:rsidRPr="00F27422">
        <w:rPr>
          <w:rFonts w:ascii="mylotus" w:hAnsi="mylotus"/>
          <w:sz w:val="32"/>
          <w:rtl/>
        </w:rPr>
        <w:t>ستأجر في ضرر الصبر على العيب إقدامه على المعاملة لا</w:t>
      </w:r>
      <w:r w:rsidRPr="00F27422">
        <w:rPr>
          <w:rFonts w:ascii="mylotus" w:hAnsi="mylotus" w:hint="cs"/>
          <w:sz w:val="32"/>
          <w:rtl/>
        </w:rPr>
        <w:t xml:space="preserve"> </w:t>
      </w:r>
      <w:r w:rsidRPr="00F27422">
        <w:rPr>
          <w:rFonts w:ascii="mylotus" w:hAnsi="mylotus"/>
          <w:sz w:val="32"/>
          <w:rtl/>
        </w:rPr>
        <w:t>ح</w:t>
      </w:r>
      <w:r w:rsidRPr="00F27422">
        <w:rPr>
          <w:rFonts w:ascii="mylotus" w:hAnsi="mylotus" w:hint="cs"/>
          <w:sz w:val="32"/>
          <w:rtl/>
        </w:rPr>
        <w:t>ُ</w:t>
      </w:r>
      <w:r w:rsidRPr="00F27422">
        <w:rPr>
          <w:rFonts w:ascii="mylotus" w:hAnsi="mylotus"/>
          <w:sz w:val="32"/>
          <w:rtl/>
        </w:rPr>
        <w:t>كم الشارع باللزوم، فإن</w:t>
      </w:r>
      <w:r w:rsidRPr="00F27422">
        <w:rPr>
          <w:rFonts w:ascii="mylotus" w:hAnsi="mylotus" w:hint="cs"/>
          <w:sz w:val="32"/>
          <w:rtl/>
        </w:rPr>
        <w:t>ّ</w:t>
      </w:r>
      <w:r w:rsidRPr="00F27422">
        <w:rPr>
          <w:rFonts w:ascii="mylotus" w:hAnsi="mylotus"/>
          <w:sz w:val="32"/>
          <w:rtl/>
        </w:rPr>
        <w:t xml:space="preserve"> حكمه باللزوم إمضائي لا</w:t>
      </w:r>
      <w:r w:rsidRPr="00F27422">
        <w:rPr>
          <w:rFonts w:ascii="mylotus" w:hAnsi="mylotus" w:hint="cs"/>
          <w:sz w:val="32"/>
          <w:rtl/>
        </w:rPr>
        <w:t xml:space="preserve"> </w:t>
      </w:r>
      <w:r w:rsidRPr="00F27422">
        <w:rPr>
          <w:rFonts w:ascii="mylotus" w:hAnsi="mylotus"/>
          <w:sz w:val="32"/>
          <w:rtl/>
        </w:rPr>
        <w:t>تأسيسي، أي</w:t>
      </w:r>
      <w:r w:rsidRPr="00F27422">
        <w:rPr>
          <w:rFonts w:ascii="mylotus" w:hAnsi="mylotus" w:hint="cs"/>
          <w:sz w:val="32"/>
          <w:rtl/>
        </w:rPr>
        <w:t>:</w:t>
      </w:r>
      <w:r w:rsidRPr="00F27422">
        <w:rPr>
          <w:rFonts w:ascii="mylotus" w:hAnsi="mylotus"/>
          <w:sz w:val="32"/>
          <w:rtl/>
        </w:rPr>
        <w:t xml:space="preserve"> إقرار بما</w:t>
      </w:r>
      <w:r w:rsidRPr="00F27422">
        <w:rPr>
          <w:rFonts w:ascii="mylotus" w:hAnsi="mylotus" w:hint="cs"/>
          <w:sz w:val="32"/>
          <w:rtl/>
        </w:rPr>
        <w:t xml:space="preserve"> </w:t>
      </w:r>
      <w:r w:rsidRPr="00F27422">
        <w:rPr>
          <w:rFonts w:ascii="mylotus" w:hAnsi="mylotus"/>
          <w:sz w:val="32"/>
          <w:rtl/>
        </w:rPr>
        <w:t xml:space="preserve">التزم به المتعاقدان، كما أشير لذلك في كلمات سيدنا الخوئي (قدس سره ) </w:t>
      </w:r>
      <w:r w:rsidRPr="00F27422">
        <w:rPr>
          <w:rFonts w:ascii="mylotus" w:hAnsi="mylotus" w:hint="cs"/>
          <w:sz w:val="32"/>
          <w:rtl/>
        </w:rPr>
        <w:t>في كتاب الإجارة</w:t>
      </w:r>
      <w:r w:rsidRPr="00F27422">
        <w:rPr>
          <w:rStyle w:val="FootnoteReference"/>
          <w:rFonts w:ascii="mylotus" w:hAnsi="mylotus"/>
          <w:sz w:val="32"/>
          <w:rtl/>
        </w:rPr>
        <w:footnoteReference w:id="75"/>
      </w:r>
      <w:r w:rsidRPr="00F27422">
        <w:rPr>
          <w:rFonts w:ascii="mylotus" w:hAnsi="mylotus" w:hint="cs"/>
          <w:sz w:val="32"/>
          <w:rtl/>
        </w:rPr>
        <w:t xml:space="preserve"> </w:t>
      </w:r>
      <w:r w:rsidRPr="00F27422">
        <w:rPr>
          <w:rFonts w:ascii="mylotus" w:hAnsi="mylotus"/>
          <w:sz w:val="32"/>
          <w:rtl/>
        </w:rPr>
        <w:t xml:space="preserve">بقوله: </w:t>
      </w:r>
      <w:r w:rsidRPr="00F27422">
        <w:rPr>
          <w:rFonts w:ascii="mylotus" w:hAnsi="mylotus"/>
          <w:b/>
          <w:bCs/>
          <w:sz w:val="32"/>
          <w:rtl/>
        </w:rPr>
        <w:t>(نعم، بعد أن أقدما على هذا الضرر حكم الشارع بلزوم العقد بمقتضى عمومات اللزوم، إلّا أنّ من الواضح أنّ هذا اللزوم لم يسبّب ضرراً جديداً لكي يرتفع بالحديث)</w:t>
      </w:r>
      <w:r w:rsidRPr="00F27422">
        <w:rPr>
          <w:rFonts w:ascii="mylotus" w:hAnsi="mylotus"/>
          <w:sz w:val="32"/>
          <w:rtl/>
        </w:rPr>
        <w:t xml:space="preserve"> حديث لا ضرر </w:t>
      </w:r>
      <w:r w:rsidRPr="00F27422">
        <w:rPr>
          <w:rFonts w:ascii="mylotus" w:hAnsi="mylotus"/>
          <w:b/>
          <w:bCs/>
          <w:sz w:val="32"/>
          <w:rtl/>
        </w:rPr>
        <w:t>(وإنّما هو إلزام بما أقدم عليه المغبون من الضرر</w:t>
      </w:r>
      <w:r w:rsidRPr="00F27422">
        <w:rPr>
          <w:rFonts w:ascii="mylotus" w:hAnsi="mylotus"/>
          <w:b/>
          <w:bCs/>
          <w:sz w:val="32"/>
        </w:rPr>
        <w:t>.</w:t>
      </w:r>
    </w:p>
    <w:p w14:paraId="3FAEE42C"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b/>
          <w:bCs/>
          <w:sz w:val="32"/>
          <w:rtl/>
        </w:rPr>
        <w:t>غاية ما هناك أنّ للشارع معالجة الضرر الحاصل بالبيع وتداركه بجعل الخيار، وهذا أمر آخر يحتاج إلى دليل آخر ولا يكاد يتكفّله الحديث بوجه، إذ هو ناظر إلى نفي جعل الضرر، لا إلى جعل ما يتدارك به الضرر وهذا واضح</w:t>
      </w:r>
      <w:r w:rsidRPr="00F27422">
        <w:rPr>
          <w:rFonts w:ascii="mylotus" w:hAnsi="mylotus" w:hint="cs"/>
          <w:b/>
          <w:bCs/>
          <w:sz w:val="32"/>
          <w:rtl/>
        </w:rPr>
        <w:t>).</w:t>
      </w:r>
    </w:p>
    <w:p w14:paraId="3452E283" w14:textId="77777777" w:rsidR="00542119" w:rsidRPr="00F27422" w:rsidRDefault="00542119" w:rsidP="00122B70">
      <w:pPr>
        <w:pStyle w:val="a"/>
        <w:bidi/>
        <w:spacing w:line="216" w:lineRule="auto"/>
        <w:jc w:val="left"/>
        <w:rPr>
          <w:rFonts w:ascii="mylotus" w:hAnsi="mylotus"/>
          <w:b/>
          <w:bCs/>
          <w:sz w:val="32"/>
          <w:rtl/>
        </w:rPr>
      </w:pPr>
    </w:p>
    <w:p w14:paraId="337454BC" w14:textId="77777777" w:rsidR="00B43C27" w:rsidRPr="00F27422" w:rsidRDefault="00B43C27" w:rsidP="00122B70">
      <w:pPr>
        <w:pStyle w:val="a"/>
        <w:bidi/>
        <w:spacing w:line="216" w:lineRule="auto"/>
        <w:jc w:val="left"/>
        <w:rPr>
          <w:rFonts w:ascii="mylotus" w:hAnsi="mylotus"/>
          <w:b/>
          <w:bCs/>
          <w:sz w:val="32"/>
          <w:rtl/>
        </w:rPr>
      </w:pPr>
      <w:r w:rsidRPr="00F27422">
        <w:rPr>
          <w:rFonts w:ascii="mylotus" w:hAnsi="mylotus"/>
          <w:b/>
          <w:bCs/>
          <w:sz w:val="32"/>
          <w:rtl/>
        </w:rPr>
        <w:t>التقريبُ الثالث:</w:t>
      </w:r>
      <w:r w:rsidRPr="00F27422">
        <w:rPr>
          <w:rFonts w:ascii="mylotus" w:hAnsi="mylotus"/>
          <w:sz w:val="32"/>
          <w:rtl/>
        </w:rPr>
        <w:t xml:space="preserve"> أنّ عدم تدارك الشارع للضرر ضررٌ على المكلف</w:t>
      </w:r>
      <w:r w:rsidRPr="00F27422">
        <w:rPr>
          <w:rFonts w:ascii="mylotus" w:hAnsi="mylotus"/>
          <w:sz w:val="32"/>
        </w:rPr>
        <w:t>.</w:t>
      </w:r>
    </w:p>
    <w:p w14:paraId="10E38797" w14:textId="77777777" w:rsidR="00B43C27" w:rsidRPr="00F27422" w:rsidRDefault="00B43C27" w:rsidP="00122B70">
      <w:pPr>
        <w:pStyle w:val="a"/>
        <w:bidi/>
        <w:spacing w:line="216" w:lineRule="auto"/>
        <w:jc w:val="left"/>
        <w:rPr>
          <w:rFonts w:ascii="mylotus" w:hAnsi="mylotus"/>
          <w:sz w:val="32"/>
          <w:rtl/>
        </w:rPr>
      </w:pPr>
      <w:r w:rsidRPr="00F27422">
        <w:rPr>
          <w:rFonts w:ascii="mylotus" w:hAnsi="mylotus"/>
          <w:sz w:val="32"/>
          <w:rtl/>
        </w:rPr>
        <w:t>أي</w:t>
      </w:r>
      <w:r w:rsidRPr="00F27422">
        <w:rPr>
          <w:rFonts w:ascii="mylotus" w:hAnsi="mylotus" w:hint="cs"/>
          <w:sz w:val="32"/>
          <w:rtl/>
        </w:rPr>
        <w:t>:</w:t>
      </w:r>
      <w:r w:rsidRPr="00F27422">
        <w:rPr>
          <w:rFonts w:ascii="mylotus" w:hAnsi="mylotus"/>
          <w:sz w:val="32"/>
          <w:rtl/>
        </w:rPr>
        <w:t xml:space="preserve"> أنّ المتعاقدين وإنْ أقدما على الضرر إلّا أنّ عدم معالجة الشارع للضرر بجعل الخيار ضرر منفي ب</w:t>
      </w:r>
      <w:r w:rsidRPr="00F27422">
        <w:rPr>
          <w:rFonts w:ascii="mylotus" w:hAnsi="mylotus" w:hint="cs"/>
          <w:sz w:val="32"/>
          <w:rtl/>
        </w:rPr>
        <w:t xml:space="preserve">ـ </w:t>
      </w:r>
      <w:r w:rsidRPr="00F27422">
        <w:rPr>
          <w:rFonts w:ascii="mylotus" w:hAnsi="mylotus" w:cs="Cambria" w:hint="cs"/>
          <w:sz w:val="32"/>
          <w:rtl/>
        </w:rPr>
        <w:t>"</w:t>
      </w:r>
      <w:r w:rsidRPr="00F27422">
        <w:rPr>
          <w:rFonts w:ascii="mylotus" w:hAnsi="mylotus"/>
          <w:sz w:val="32"/>
          <w:rtl/>
        </w:rPr>
        <w:t>لا</w:t>
      </w:r>
      <w:r w:rsidRPr="00F27422">
        <w:rPr>
          <w:rFonts w:ascii="mylotus" w:hAnsi="mylotus" w:hint="cs"/>
          <w:sz w:val="32"/>
          <w:rtl/>
        </w:rPr>
        <w:t xml:space="preserve"> </w:t>
      </w:r>
      <w:r w:rsidRPr="00F27422">
        <w:rPr>
          <w:rFonts w:ascii="mylotus" w:hAnsi="mylotus"/>
          <w:sz w:val="32"/>
          <w:rtl/>
        </w:rPr>
        <w:t>ضرر</w:t>
      </w:r>
      <w:r w:rsidRPr="00F27422">
        <w:rPr>
          <w:rFonts w:ascii="mylotus" w:hAnsi="mylotus" w:cs="Cambria" w:hint="cs"/>
          <w:sz w:val="32"/>
          <w:rtl/>
        </w:rPr>
        <w:t>"</w:t>
      </w:r>
      <w:r w:rsidRPr="00F27422">
        <w:rPr>
          <w:rFonts w:ascii="mylotus" w:hAnsi="mylotus"/>
          <w:sz w:val="32"/>
          <w:rtl/>
        </w:rPr>
        <w:t>، لا أنّ المقصود التمسك بالقاعدة لإثبات التدارك كي يُقال بأنّ قاعدة "لا ضرر" نافية وليست مثبتة كما يلوح من كلمات سيدنا الخوئي (قدس سره)، فمقتضى "لا ضرر" هو التدارك بالخيار.</w:t>
      </w:r>
    </w:p>
    <w:p w14:paraId="03D576CA" w14:textId="77777777" w:rsidR="00B43C27" w:rsidRPr="00F27422" w:rsidRDefault="00B43C27" w:rsidP="00122B70">
      <w:pPr>
        <w:pStyle w:val="a"/>
        <w:bidi/>
        <w:spacing w:line="216" w:lineRule="auto"/>
        <w:jc w:val="left"/>
        <w:rPr>
          <w:rFonts w:ascii="mylotus" w:hAnsi="mylotus"/>
          <w:sz w:val="32"/>
          <w:rtl/>
        </w:rPr>
      </w:pPr>
    </w:p>
    <w:p w14:paraId="2F3AC913" w14:textId="77777777" w:rsidR="00B43C27" w:rsidRPr="00F27422" w:rsidRDefault="00B43C27"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333F9C45" w14:textId="77777777" w:rsidR="009B0E5B" w:rsidRPr="00F27422" w:rsidRDefault="009B0E5B" w:rsidP="00122B70">
      <w:pPr>
        <w:tabs>
          <w:tab w:val="left" w:pos="1070"/>
        </w:tabs>
        <w:bidi/>
        <w:rPr>
          <w:sz w:val="32"/>
          <w:szCs w:val="32"/>
          <w:rtl/>
        </w:rPr>
      </w:pPr>
    </w:p>
    <w:p w14:paraId="55F06F95" w14:textId="77777777" w:rsidR="00B43C27" w:rsidRPr="00F27422" w:rsidRDefault="00B43C27" w:rsidP="00122B70">
      <w:pPr>
        <w:tabs>
          <w:tab w:val="left" w:pos="1070"/>
        </w:tabs>
        <w:bidi/>
        <w:rPr>
          <w:sz w:val="32"/>
          <w:szCs w:val="32"/>
          <w:rtl/>
        </w:rPr>
      </w:pPr>
    </w:p>
    <w:p w14:paraId="7BA6A42B" w14:textId="4ECFB22E" w:rsidR="00B43C27" w:rsidRPr="00F27422" w:rsidRDefault="00B43C27" w:rsidP="00122B70">
      <w:pPr>
        <w:pStyle w:val="Heading3"/>
        <w:bidi/>
        <w:rPr>
          <w:sz w:val="32"/>
          <w:szCs w:val="32"/>
          <w:rtl/>
        </w:rPr>
      </w:pPr>
      <w:r w:rsidRPr="00F27422">
        <w:rPr>
          <w:rFonts w:hint="cs"/>
          <w:sz w:val="32"/>
          <w:szCs w:val="32"/>
          <w:rtl/>
        </w:rPr>
        <w:t>074</w:t>
      </w:r>
    </w:p>
    <w:p w14:paraId="043BDF3A" w14:textId="77777777" w:rsidR="00FE27B0" w:rsidRPr="00F27422" w:rsidRDefault="00FE27B0" w:rsidP="00122B70">
      <w:pPr>
        <w:tabs>
          <w:tab w:val="left" w:pos="1070"/>
        </w:tabs>
        <w:bidi/>
        <w:rPr>
          <w:b/>
          <w:bCs/>
          <w:sz w:val="32"/>
          <w:szCs w:val="32"/>
        </w:rPr>
      </w:pPr>
      <w:r w:rsidRPr="00F27422">
        <w:rPr>
          <w:b/>
          <w:bCs/>
          <w:sz w:val="32"/>
          <w:szCs w:val="32"/>
          <w:rtl/>
        </w:rPr>
        <w:t>بسم الله الرحمن الرحيم</w:t>
      </w:r>
    </w:p>
    <w:p w14:paraId="07EF6826" w14:textId="77777777" w:rsidR="00FE27B0" w:rsidRPr="00F27422" w:rsidRDefault="00FE27B0" w:rsidP="00122B70">
      <w:pPr>
        <w:tabs>
          <w:tab w:val="left" w:pos="1070"/>
        </w:tabs>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067B3680" w14:textId="77777777" w:rsidR="00FE27B0" w:rsidRPr="00F27422" w:rsidRDefault="00FE27B0" w:rsidP="00122B70">
      <w:pPr>
        <w:tabs>
          <w:tab w:val="left" w:pos="1070"/>
        </w:tabs>
        <w:bidi/>
        <w:rPr>
          <w:b/>
          <w:bCs/>
          <w:sz w:val="32"/>
          <w:szCs w:val="32"/>
          <w:rtl/>
        </w:rPr>
      </w:pPr>
      <w:r w:rsidRPr="00F27422">
        <w:rPr>
          <w:b/>
          <w:bCs/>
          <w:sz w:val="32"/>
          <w:szCs w:val="32"/>
          <w:rtl/>
        </w:rPr>
        <w:t>واللعن الدائم على أعدائهم أجمعين إلى قيام يوم الدين</w:t>
      </w:r>
    </w:p>
    <w:p w14:paraId="3FE684EC" w14:textId="77777777" w:rsidR="00FE27B0" w:rsidRPr="00F27422" w:rsidRDefault="00FE27B0" w:rsidP="00122B70">
      <w:pPr>
        <w:tabs>
          <w:tab w:val="left" w:pos="1070"/>
        </w:tabs>
        <w:bidi/>
        <w:rPr>
          <w:b/>
          <w:bCs/>
          <w:sz w:val="32"/>
          <w:szCs w:val="32"/>
          <w:rtl/>
        </w:rPr>
      </w:pPr>
    </w:p>
    <w:p w14:paraId="098622F6" w14:textId="77777777" w:rsidR="00FE27B0" w:rsidRPr="00F27422" w:rsidRDefault="00FE27B0" w:rsidP="00122B70">
      <w:pPr>
        <w:tabs>
          <w:tab w:val="left" w:pos="1070"/>
        </w:tabs>
        <w:bidi/>
        <w:rPr>
          <w:b/>
          <w:bCs/>
          <w:sz w:val="32"/>
          <w:szCs w:val="32"/>
          <w:rtl/>
        </w:rPr>
      </w:pPr>
      <w:r w:rsidRPr="00F27422">
        <w:rPr>
          <w:b/>
          <w:bCs/>
          <w:sz w:val="32"/>
          <w:szCs w:val="32"/>
          <w:rtl/>
        </w:rPr>
        <w:t>الوجهُ الرابع: التمسك بالبناء العقلائي.</w:t>
      </w:r>
    </w:p>
    <w:p w14:paraId="79F7E6F2" w14:textId="77777777" w:rsidR="00FE27B0" w:rsidRPr="00F27422" w:rsidRDefault="00FE27B0" w:rsidP="00122B70">
      <w:pPr>
        <w:tabs>
          <w:tab w:val="left" w:pos="1070"/>
        </w:tabs>
        <w:bidi/>
        <w:rPr>
          <w:b/>
          <w:bCs/>
          <w:sz w:val="32"/>
          <w:szCs w:val="32"/>
          <w:rtl/>
        </w:rPr>
      </w:pPr>
      <w:r w:rsidRPr="00F27422">
        <w:rPr>
          <w:b/>
          <w:bCs/>
          <w:sz w:val="32"/>
          <w:szCs w:val="32"/>
          <w:rtl/>
        </w:rPr>
        <w:t>وبيانُ ذلك:</w:t>
      </w:r>
      <w:r w:rsidRPr="00F27422">
        <w:rPr>
          <w:sz w:val="32"/>
          <w:szCs w:val="32"/>
          <w:rtl/>
        </w:rPr>
        <w:t xml:space="preserve"> أنّ الشيخ الأعظم (قدس سره الشريف) في باب خيار العيب قد طرح إشكالاً وهو: ما هو الفارق بين وصف الصحّة والأوصاف الأُخرى الدخيلة في المالية، ففي الأوصاف الأُخرى يكون الجهل بها موجباً لفساد العقد لمحذور الغررية</w:t>
      </w:r>
      <w:r w:rsidRPr="00F27422">
        <w:rPr>
          <w:sz w:val="32"/>
          <w:szCs w:val="32"/>
        </w:rPr>
        <w:t>.</w:t>
      </w:r>
    </w:p>
    <w:p w14:paraId="3663B8DE" w14:textId="77777777" w:rsidR="00FE27B0" w:rsidRPr="00F27422" w:rsidRDefault="00FE27B0" w:rsidP="00122B70">
      <w:pPr>
        <w:tabs>
          <w:tab w:val="left" w:pos="1070"/>
        </w:tabs>
        <w:bidi/>
        <w:rPr>
          <w:b/>
          <w:bCs/>
          <w:sz w:val="32"/>
          <w:szCs w:val="32"/>
          <w:rtl/>
        </w:rPr>
      </w:pPr>
      <w:r w:rsidRPr="00F27422">
        <w:rPr>
          <w:b/>
          <w:bCs/>
          <w:sz w:val="32"/>
          <w:szCs w:val="32"/>
          <w:rtl/>
        </w:rPr>
        <w:t xml:space="preserve">فمثلاً: </w:t>
      </w:r>
      <w:r w:rsidRPr="00F27422">
        <w:rPr>
          <w:sz w:val="32"/>
          <w:szCs w:val="32"/>
          <w:rtl/>
        </w:rPr>
        <w:t xml:space="preserve">لو اشترى سلعة يجهل استجماعها للشرائط الدخيلة في الرغبة إليها نوعاً، أو استأجر سيارةً عند جهله بجامعيتها للمقومات الدخيلة في الرغبة النوعية لها كان العقد غررياً، ومقتضى </w:t>
      </w:r>
      <w:proofErr w:type="spellStart"/>
      <w:r w:rsidRPr="00F27422">
        <w:rPr>
          <w:sz w:val="32"/>
          <w:szCs w:val="32"/>
          <w:rtl/>
        </w:rPr>
        <w:t>غرريته</w:t>
      </w:r>
      <w:proofErr w:type="spellEnd"/>
      <w:r w:rsidRPr="00F27422">
        <w:rPr>
          <w:sz w:val="32"/>
          <w:szCs w:val="32"/>
          <w:rtl/>
        </w:rPr>
        <w:t xml:space="preserve"> بطلانه</w:t>
      </w:r>
      <w:r w:rsidRPr="00F27422">
        <w:rPr>
          <w:sz w:val="32"/>
          <w:szCs w:val="32"/>
        </w:rPr>
        <w:t>.</w:t>
      </w:r>
    </w:p>
    <w:p w14:paraId="2AB7E64E" w14:textId="77777777" w:rsidR="00FE27B0" w:rsidRPr="00F27422" w:rsidRDefault="00FE27B0" w:rsidP="00122B70">
      <w:pPr>
        <w:tabs>
          <w:tab w:val="left" w:pos="1070"/>
        </w:tabs>
        <w:bidi/>
        <w:rPr>
          <w:b/>
          <w:bCs/>
          <w:sz w:val="32"/>
          <w:szCs w:val="32"/>
          <w:rtl/>
        </w:rPr>
      </w:pPr>
      <w:r w:rsidRPr="00F27422">
        <w:rPr>
          <w:sz w:val="32"/>
          <w:szCs w:val="32"/>
          <w:rtl/>
        </w:rPr>
        <w:t>بينما إذا كان المعوض جامعاً للشرائط الأُخرى لكنه مجهول مِن حيثُ وصف الصحّة فالعقد صحيح، غاية ما في الباب إنْ تبين أنّه معيبٌ ثبتَ للمُشتري أو المُستأجر خيارُ العيب، فما هو الفارق بين الموردين؟</w:t>
      </w:r>
    </w:p>
    <w:p w14:paraId="6C0B0704" w14:textId="77777777" w:rsidR="00FE27B0" w:rsidRPr="00F27422" w:rsidRDefault="00FE27B0" w:rsidP="00122B70">
      <w:pPr>
        <w:tabs>
          <w:tab w:val="left" w:pos="1070"/>
        </w:tabs>
        <w:bidi/>
        <w:rPr>
          <w:b/>
          <w:bCs/>
          <w:sz w:val="32"/>
          <w:szCs w:val="32"/>
          <w:rtl/>
        </w:rPr>
      </w:pPr>
      <w:r w:rsidRPr="00F27422">
        <w:rPr>
          <w:b/>
          <w:bCs/>
          <w:sz w:val="32"/>
          <w:szCs w:val="32"/>
          <w:rtl/>
        </w:rPr>
        <w:t>وقد أجاب الشيخ الأعظم (قدس سره الشريف) عن هذا الإشكال:</w:t>
      </w:r>
      <w:r w:rsidRPr="00F27422">
        <w:rPr>
          <w:sz w:val="32"/>
          <w:szCs w:val="32"/>
          <w:rtl/>
        </w:rPr>
        <w:t xml:space="preserve"> بأنّه حيثُ لا يوجدُ أصلٌ مُؤَمِّنٌ للأوصاف الأُخرى حالة الشك فالجهلُ بأيِّ وصفٍ منها موجبٌ للغرر، بينما الجهل </w:t>
      </w:r>
      <w:r w:rsidRPr="00F27422">
        <w:rPr>
          <w:sz w:val="32"/>
          <w:szCs w:val="32"/>
          <w:rtl/>
        </w:rPr>
        <w:lastRenderedPageBreak/>
        <w:t>بوصف الصحّة لا يوجبُ المصير إلى كون العقد عقداً غررياً؛ لاحتفاف العقد بأصلٍ مُؤَمِّنٍ وهو أصالةُ السلامة.</w:t>
      </w:r>
    </w:p>
    <w:p w14:paraId="7E1905A2" w14:textId="77777777" w:rsidR="00FE27B0" w:rsidRPr="00F27422" w:rsidRDefault="00FE27B0" w:rsidP="00122B70">
      <w:pPr>
        <w:tabs>
          <w:tab w:val="left" w:pos="1070"/>
        </w:tabs>
        <w:bidi/>
        <w:rPr>
          <w:b/>
          <w:bCs/>
          <w:sz w:val="32"/>
          <w:szCs w:val="32"/>
          <w:rtl/>
        </w:rPr>
      </w:pPr>
      <w:r w:rsidRPr="00F27422">
        <w:rPr>
          <w:b/>
          <w:bCs/>
          <w:sz w:val="32"/>
          <w:szCs w:val="32"/>
          <w:rtl/>
        </w:rPr>
        <w:t>وهذا ما فتح الباب للبحث حول الأصل المُؤَمِّن في المقام.</w:t>
      </w:r>
    </w:p>
    <w:p w14:paraId="20FA0852" w14:textId="77777777" w:rsidR="00FE27B0" w:rsidRPr="00F27422" w:rsidRDefault="00FE27B0" w:rsidP="00122B70">
      <w:pPr>
        <w:tabs>
          <w:tab w:val="left" w:pos="1070"/>
        </w:tabs>
        <w:bidi/>
        <w:rPr>
          <w:b/>
          <w:bCs/>
          <w:sz w:val="32"/>
          <w:szCs w:val="32"/>
          <w:rtl/>
        </w:rPr>
      </w:pPr>
      <w:r w:rsidRPr="00F27422">
        <w:rPr>
          <w:b/>
          <w:bCs/>
          <w:sz w:val="32"/>
          <w:szCs w:val="32"/>
          <w:rtl/>
        </w:rPr>
        <w:t xml:space="preserve">من جهة أنّه: </w:t>
      </w:r>
      <w:r w:rsidRPr="00F27422">
        <w:rPr>
          <w:sz w:val="32"/>
          <w:szCs w:val="32"/>
          <w:rtl/>
        </w:rPr>
        <w:t xml:space="preserve">هل الأصل المُؤَمِّن أصلٌ تكويني، </w:t>
      </w:r>
      <w:proofErr w:type="gramStart"/>
      <w:r w:rsidRPr="00F27422">
        <w:rPr>
          <w:sz w:val="32"/>
          <w:szCs w:val="32"/>
          <w:rtl/>
        </w:rPr>
        <w:t>أم  أصلٌ</w:t>
      </w:r>
      <w:proofErr w:type="gramEnd"/>
      <w:r w:rsidRPr="00F27422">
        <w:rPr>
          <w:sz w:val="32"/>
          <w:szCs w:val="32"/>
          <w:rtl/>
        </w:rPr>
        <w:t xml:space="preserve"> شرعي، أم أصلٌ عقلائي؟</w:t>
      </w:r>
    </w:p>
    <w:p w14:paraId="331DFDFE" w14:textId="77777777" w:rsidR="00FE27B0" w:rsidRPr="00F27422" w:rsidRDefault="00FE27B0" w:rsidP="00122B70">
      <w:pPr>
        <w:tabs>
          <w:tab w:val="left" w:pos="1070"/>
        </w:tabs>
        <w:bidi/>
        <w:rPr>
          <w:b/>
          <w:bCs/>
          <w:sz w:val="32"/>
          <w:szCs w:val="32"/>
          <w:rtl/>
        </w:rPr>
      </w:pPr>
      <w:r w:rsidRPr="00F27422">
        <w:rPr>
          <w:b/>
          <w:bCs/>
          <w:sz w:val="32"/>
          <w:szCs w:val="32"/>
          <w:rtl/>
        </w:rPr>
        <w:t xml:space="preserve">فهنا محتملات </w:t>
      </w:r>
      <w:proofErr w:type="gramStart"/>
      <w:r w:rsidRPr="00F27422">
        <w:rPr>
          <w:b/>
          <w:bCs/>
          <w:sz w:val="32"/>
          <w:szCs w:val="32"/>
          <w:rtl/>
        </w:rPr>
        <w:t>ثلاثة</w:t>
      </w:r>
      <w:r w:rsidRPr="00F27422">
        <w:rPr>
          <w:b/>
          <w:bCs/>
          <w:sz w:val="32"/>
          <w:szCs w:val="32"/>
        </w:rPr>
        <w:t xml:space="preserve"> :</w:t>
      </w:r>
      <w:proofErr w:type="gramEnd"/>
    </w:p>
    <w:p w14:paraId="20A5C8B3" w14:textId="77777777" w:rsidR="00FE27B0" w:rsidRPr="00F27422" w:rsidRDefault="00FE27B0" w:rsidP="00122B70">
      <w:pPr>
        <w:tabs>
          <w:tab w:val="left" w:pos="1070"/>
        </w:tabs>
        <w:bidi/>
        <w:rPr>
          <w:b/>
          <w:bCs/>
          <w:sz w:val="32"/>
          <w:szCs w:val="32"/>
          <w:rtl/>
        </w:rPr>
      </w:pPr>
      <w:r w:rsidRPr="00F27422">
        <w:rPr>
          <w:b/>
          <w:bCs/>
          <w:sz w:val="32"/>
          <w:szCs w:val="32"/>
          <w:rtl/>
        </w:rPr>
        <w:t>المحتملُ الأوّل: أنّ المُؤَمِّن أصلٌ تكويني</w:t>
      </w:r>
      <w:r w:rsidRPr="00F27422">
        <w:rPr>
          <w:b/>
          <w:bCs/>
          <w:sz w:val="32"/>
          <w:szCs w:val="32"/>
        </w:rPr>
        <w:t>.</w:t>
      </w:r>
    </w:p>
    <w:p w14:paraId="13114330" w14:textId="77777777" w:rsidR="00FE27B0" w:rsidRPr="00F27422" w:rsidRDefault="00FE27B0" w:rsidP="00122B70">
      <w:pPr>
        <w:tabs>
          <w:tab w:val="left" w:pos="1070"/>
        </w:tabs>
        <w:bidi/>
        <w:rPr>
          <w:b/>
          <w:bCs/>
          <w:sz w:val="32"/>
          <w:szCs w:val="32"/>
          <w:rtl/>
        </w:rPr>
      </w:pPr>
      <w:r w:rsidRPr="00F27422">
        <w:rPr>
          <w:sz w:val="32"/>
          <w:szCs w:val="32"/>
          <w:rtl/>
        </w:rPr>
        <w:t xml:space="preserve">وهو ما قرره المحقّق الأصفهاني (قدس سره الشريف) في حاشيته على المكاسب، بقوله: </w:t>
      </w:r>
      <w:r w:rsidRPr="00F27422">
        <w:rPr>
          <w:b/>
          <w:bCs/>
          <w:sz w:val="32"/>
          <w:szCs w:val="32"/>
          <w:rtl/>
        </w:rPr>
        <w:t>(ومنها: أنّ الغالب في الأعيان الخارجية حيث إنّه بقائها على خلقتها الأصلية وعدم عروض ما يخرجها عما هي عليها؛ فإذا ورد العقد على مثلها فالظاهر وروده على الغالب؛ وهو الصحيح السالم، إلّا إذا قيد بشيء يصرف هذا الظهور كالتبرّي من العيب، فالظهور المستند إلى غلبة السلامة بمنزلة المقتضي لإرادة الصحيح مما ورد على العقد، والتجرّد عن المنافي، فالإطلاق على هذا الوجه بمعنى عدم التقييد بالمنافي إلّا أنّ نسبة إرادة الصحيح إلى الغلبة نسبة المقتضى إلى المقتضي، ونسبتها إلى الإطلاق والتجرّد نسبة المشروط إلى شرطه، ومنه يعلم ما في نسبة اقتضاء الصحيح إلى الإطلاق من المسامحة)</w:t>
      </w:r>
      <w:r w:rsidRPr="00F27422">
        <w:rPr>
          <w:sz w:val="32"/>
          <w:szCs w:val="32"/>
          <w:vertAlign w:val="superscript"/>
          <w:rtl/>
        </w:rPr>
        <w:footnoteReference w:id="76"/>
      </w:r>
      <w:r w:rsidRPr="00F27422">
        <w:rPr>
          <w:sz w:val="32"/>
          <w:szCs w:val="32"/>
          <w:rtl/>
        </w:rPr>
        <w:t>.</w:t>
      </w:r>
    </w:p>
    <w:p w14:paraId="184B38D8" w14:textId="77777777" w:rsidR="00FE27B0" w:rsidRPr="00F27422" w:rsidRDefault="00FE27B0" w:rsidP="00122B70">
      <w:pPr>
        <w:tabs>
          <w:tab w:val="left" w:pos="1070"/>
        </w:tabs>
        <w:bidi/>
        <w:rPr>
          <w:b/>
          <w:bCs/>
          <w:sz w:val="32"/>
          <w:szCs w:val="32"/>
          <w:rtl/>
        </w:rPr>
      </w:pPr>
      <w:r w:rsidRPr="00F27422">
        <w:rPr>
          <w:b/>
          <w:bCs/>
          <w:sz w:val="32"/>
          <w:szCs w:val="32"/>
          <w:rtl/>
        </w:rPr>
        <w:t>بتقريب:</w:t>
      </w:r>
      <w:r w:rsidRPr="00F27422">
        <w:rPr>
          <w:sz w:val="32"/>
          <w:szCs w:val="32"/>
          <w:rtl/>
        </w:rPr>
        <w:t xml:space="preserve"> أنّ مقتضى الخِلْقة في جميع الأشياء هو السلامة، والغالب فيها بقاؤها على ذلك بلحاظ أنّ طروَ العيب نقص يستند إلى عاملٍ خارجي، وحيثُ إنّ الغالب في الأشياء هو السلامة فإذا ورد العقدُ على العين فالظاهرُ مِن العقد وروده على ما هو الغالب مِن كون العين سليمة، فغلبة السلامة بمنزلة المقتضي للظهور في تعلّق الإرادة العقدية بالعين السليمة، وإطلاق العقد بمعنى تجرده مِن ذكر التبري مِن العيوب أو ضمانها بمنزلة الشرط، لا أنّ مقتضى الإطلاق هو إرادة </w:t>
      </w:r>
      <w:proofErr w:type="gramStart"/>
      <w:r w:rsidRPr="00F27422">
        <w:rPr>
          <w:sz w:val="32"/>
          <w:szCs w:val="32"/>
          <w:rtl/>
        </w:rPr>
        <w:t>الصحيح</w:t>
      </w:r>
      <w:r w:rsidRPr="00F27422">
        <w:rPr>
          <w:sz w:val="32"/>
          <w:szCs w:val="32"/>
        </w:rPr>
        <w:t xml:space="preserve"> .</w:t>
      </w:r>
      <w:proofErr w:type="gramEnd"/>
    </w:p>
    <w:p w14:paraId="18D076FC" w14:textId="77777777" w:rsidR="00FE27B0" w:rsidRPr="00F27422" w:rsidRDefault="00FE27B0" w:rsidP="00122B70">
      <w:pPr>
        <w:tabs>
          <w:tab w:val="left" w:pos="1070"/>
        </w:tabs>
        <w:bidi/>
        <w:rPr>
          <w:sz w:val="32"/>
          <w:szCs w:val="32"/>
          <w:rtl/>
        </w:rPr>
      </w:pPr>
      <w:r w:rsidRPr="00F27422">
        <w:rPr>
          <w:b/>
          <w:bCs/>
          <w:sz w:val="32"/>
          <w:szCs w:val="32"/>
          <w:rtl/>
        </w:rPr>
        <w:t>ويلاحظ على ما أُفيد:</w:t>
      </w:r>
      <w:r w:rsidRPr="00F27422">
        <w:rPr>
          <w:sz w:val="32"/>
          <w:szCs w:val="32"/>
          <w:rtl/>
        </w:rPr>
        <w:t xml:space="preserve"> أنّه أخص مِن المُدعى؛ لاختصاصه بالتكوينيات، حيث إنّ الغالب فيها أنْ تكون على مقتضى الخِلْقة وهو السلامة، وأمّا شمول ذلك للمصنوعات كالأبنية والأثاث والسيارات وما أشبه ذلك مما يقعُ متعلّقاً للمعاوضة بيعاً أو إجارةً فَلَمْ يقم شاهد على أنّ الغالب فيها أنْ تكون سليمةً مِن العيب.</w:t>
      </w:r>
    </w:p>
    <w:p w14:paraId="10716416" w14:textId="77777777" w:rsidR="00FE27B0" w:rsidRPr="00F27422" w:rsidRDefault="00FE27B0" w:rsidP="00122B70">
      <w:pPr>
        <w:tabs>
          <w:tab w:val="left" w:pos="1070"/>
        </w:tabs>
        <w:bidi/>
        <w:rPr>
          <w:sz w:val="32"/>
          <w:szCs w:val="32"/>
          <w:rtl/>
        </w:rPr>
      </w:pPr>
      <w:r w:rsidRPr="00F27422">
        <w:rPr>
          <w:sz w:val="32"/>
          <w:szCs w:val="32"/>
          <w:rtl/>
        </w:rPr>
        <w:lastRenderedPageBreak/>
        <w:t xml:space="preserve">وعلى تقدير التنزل، فإنّ ظهور العقد في إرادة تعلّقه بالسالم مشروطاً بعدم التقييد متفرعٌ على انصراف العنوان عند الإطلاق لما هو الغالب، والانصراف الناشئ عن الغلبة انصرافٌ لَمْ تُحْرز حجيته لدى العرف العقلائي، ولذا فإنّ ديدن العقلاء في البيع أو الإجارة على الفحص والتدقيق وعدم الاعتماد على الظاهر البدوي، وجريان ديدنهم على الفحص شاهدٌ على عدم التعويل على أصل أو أمارة في البين تفيد السلامة من </w:t>
      </w:r>
      <w:proofErr w:type="gramStart"/>
      <w:r w:rsidRPr="00F27422">
        <w:rPr>
          <w:sz w:val="32"/>
          <w:szCs w:val="32"/>
          <w:rtl/>
        </w:rPr>
        <w:t>العيوب</w:t>
      </w:r>
      <w:r w:rsidRPr="00F27422">
        <w:rPr>
          <w:sz w:val="32"/>
          <w:szCs w:val="32"/>
        </w:rPr>
        <w:t xml:space="preserve"> .</w:t>
      </w:r>
      <w:proofErr w:type="gramEnd"/>
    </w:p>
    <w:p w14:paraId="69195EDB" w14:textId="77777777" w:rsidR="00FE27B0" w:rsidRPr="00F27422" w:rsidRDefault="00FE27B0" w:rsidP="00122B70">
      <w:pPr>
        <w:tabs>
          <w:tab w:val="left" w:pos="1070"/>
        </w:tabs>
        <w:bidi/>
        <w:rPr>
          <w:b/>
          <w:bCs/>
          <w:sz w:val="32"/>
          <w:szCs w:val="32"/>
          <w:rtl/>
        </w:rPr>
      </w:pPr>
      <w:r w:rsidRPr="00F27422">
        <w:rPr>
          <w:b/>
          <w:bCs/>
          <w:sz w:val="32"/>
          <w:szCs w:val="32"/>
          <w:rtl/>
        </w:rPr>
        <w:t>المحتملُ الثاني: أنّ الأصل المُؤَمِّن شرعي</w:t>
      </w:r>
      <w:r w:rsidRPr="00F27422">
        <w:rPr>
          <w:b/>
          <w:bCs/>
          <w:sz w:val="32"/>
          <w:szCs w:val="32"/>
        </w:rPr>
        <w:t>.</w:t>
      </w:r>
    </w:p>
    <w:p w14:paraId="0D58E09D" w14:textId="77777777" w:rsidR="00FE27B0" w:rsidRPr="00F27422" w:rsidRDefault="00FE27B0" w:rsidP="00122B70">
      <w:pPr>
        <w:tabs>
          <w:tab w:val="left" w:pos="1070"/>
        </w:tabs>
        <w:bidi/>
        <w:rPr>
          <w:sz w:val="32"/>
          <w:szCs w:val="32"/>
          <w:rtl/>
        </w:rPr>
      </w:pPr>
      <w:r w:rsidRPr="00F27422">
        <w:rPr>
          <w:sz w:val="32"/>
          <w:szCs w:val="32"/>
          <w:rtl/>
        </w:rPr>
        <w:t>وهو: إمّا الأصل اللفظي أو الأصل العملي</w:t>
      </w:r>
      <w:r w:rsidRPr="00F27422">
        <w:rPr>
          <w:sz w:val="32"/>
          <w:szCs w:val="32"/>
        </w:rPr>
        <w:t>.</w:t>
      </w:r>
    </w:p>
    <w:p w14:paraId="25AD8D7A" w14:textId="77777777" w:rsidR="00FE27B0" w:rsidRPr="00F27422" w:rsidRDefault="00FE27B0" w:rsidP="00122B70">
      <w:pPr>
        <w:tabs>
          <w:tab w:val="left" w:pos="1070"/>
        </w:tabs>
        <w:bidi/>
        <w:rPr>
          <w:sz w:val="32"/>
          <w:szCs w:val="32"/>
          <w:rtl/>
        </w:rPr>
      </w:pPr>
      <w:r w:rsidRPr="00F27422">
        <w:rPr>
          <w:b/>
          <w:bCs/>
          <w:sz w:val="32"/>
          <w:szCs w:val="32"/>
          <w:rtl/>
        </w:rPr>
        <w:t>أمّا الأول،</w:t>
      </w:r>
      <w:r w:rsidRPr="00F27422">
        <w:rPr>
          <w:sz w:val="32"/>
          <w:szCs w:val="32"/>
          <w:rtl/>
        </w:rPr>
        <w:t xml:space="preserve"> فهو عبارةٌ عن الإطلاق، بمعنى: أنّ عدم تقييد متعلق المعاوضة بالعيب أو ضمانه أمارة عقلائية على الصحيح، وهي كسائر الأمارات الممضاة شرعاً.</w:t>
      </w:r>
    </w:p>
    <w:p w14:paraId="0E193BC5" w14:textId="77777777" w:rsidR="00FE27B0" w:rsidRPr="00F27422" w:rsidRDefault="00FE27B0" w:rsidP="00122B70">
      <w:pPr>
        <w:tabs>
          <w:tab w:val="left" w:pos="1070"/>
        </w:tabs>
        <w:bidi/>
        <w:rPr>
          <w:sz w:val="32"/>
          <w:szCs w:val="32"/>
          <w:rtl/>
        </w:rPr>
      </w:pPr>
      <w:r w:rsidRPr="00F27422">
        <w:rPr>
          <w:b/>
          <w:bCs/>
          <w:sz w:val="32"/>
          <w:szCs w:val="32"/>
          <w:rtl/>
        </w:rPr>
        <w:t xml:space="preserve">لكن </w:t>
      </w:r>
      <w:proofErr w:type="spellStart"/>
      <w:r w:rsidRPr="00F27422">
        <w:rPr>
          <w:b/>
          <w:bCs/>
          <w:sz w:val="32"/>
          <w:szCs w:val="32"/>
          <w:rtl/>
        </w:rPr>
        <w:t>لايبعد</w:t>
      </w:r>
      <w:proofErr w:type="spellEnd"/>
      <w:r w:rsidRPr="00F27422">
        <w:rPr>
          <w:b/>
          <w:bCs/>
          <w:sz w:val="32"/>
          <w:szCs w:val="32"/>
          <w:rtl/>
        </w:rPr>
        <w:t xml:space="preserve"> عدم تمامية ذلك؛</w:t>
      </w:r>
      <w:r w:rsidRPr="00F27422">
        <w:rPr>
          <w:sz w:val="32"/>
          <w:szCs w:val="32"/>
          <w:rtl/>
        </w:rPr>
        <w:t xml:space="preserve"> فمثلاً: لو نذر المكلف التصدق بشاةٍ، فهل يُقال: إنّ مقتضى الإطلاق أنْ يكون المنذور شاةً سليمةً بحيث لا يجزي في الوفاء بالنذر التصدق بالمعيب؟</w:t>
      </w:r>
    </w:p>
    <w:p w14:paraId="79169BC0" w14:textId="77777777" w:rsidR="00FE27B0" w:rsidRPr="00F27422" w:rsidRDefault="00FE27B0" w:rsidP="00122B70">
      <w:pPr>
        <w:tabs>
          <w:tab w:val="left" w:pos="1070"/>
        </w:tabs>
        <w:bidi/>
        <w:rPr>
          <w:sz w:val="32"/>
          <w:szCs w:val="32"/>
          <w:rtl/>
        </w:rPr>
      </w:pPr>
      <w:r w:rsidRPr="00F27422">
        <w:rPr>
          <w:sz w:val="32"/>
          <w:szCs w:val="32"/>
          <w:rtl/>
        </w:rPr>
        <w:t>والظاهر مِن الفتاوى عدم الالتزام به في باب النذر والعهد، وهو منبهٌ على عدم أمارية الإطلاق على كون متعلّق العقد - بيعاً أو إجارةً - هو العين السليمة، مضافاً إلى أنّه لو كان مقتضى الإطلاق كون العين عيناً سليمةً لكان مقتضى تخلّف ذلك عدمُ صحّة المعاملة لا ثبوت الخيار</w:t>
      </w:r>
      <w:r w:rsidRPr="00F27422">
        <w:rPr>
          <w:sz w:val="32"/>
          <w:szCs w:val="32"/>
        </w:rPr>
        <w:t>.</w:t>
      </w:r>
    </w:p>
    <w:p w14:paraId="736214E0" w14:textId="77777777" w:rsidR="00FE27B0" w:rsidRPr="00F27422" w:rsidRDefault="00FE27B0" w:rsidP="00122B70">
      <w:pPr>
        <w:tabs>
          <w:tab w:val="left" w:pos="1070"/>
        </w:tabs>
        <w:bidi/>
        <w:rPr>
          <w:sz w:val="32"/>
          <w:szCs w:val="32"/>
          <w:rtl/>
        </w:rPr>
      </w:pPr>
      <w:r w:rsidRPr="00F27422">
        <w:rPr>
          <w:b/>
          <w:bCs/>
          <w:sz w:val="32"/>
          <w:szCs w:val="32"/>
          <w:rtl/>
        </w:rPr>
        <w:t>وأمّا الثاني،</w:t>
      </w:r>
      <w:r w:rsidRPr="00F27422">
        <w:rPr>
          <w:sz w:val="32"/>
          <w:szCs w:val="32"/>
          <w:rtl/>
        </w:rPr>
        <w:t xml:space="preserve"> فهو الأصل العملي، وهو الاستصحاب الموضوعي، لكن الإشكال أنّ الاستصحاب إنّما يجدي في المقام إذا أحرز كون الحالةِ السابقةِ هي السلامة.</w:t>
      </w:r>
    </w:p>
    <w:p w14:paraId="14C7C698" w14:textId="77777777" w:rsidR="00FE27B0" w:rsidRPr="00F27422" w:rsidRDefault="00FE27B0" w:rsidP="00122B70">
      <w:pPr>
        <w:tabs>
          <w:tab w:val="left" w:pos="1070"/>
        </w:tabs>
        <w:bidi/>
        <w:rPr>
          <w:sz w:val="32"/>
          <w:szCs w:val="32"/>
          <w:rtl/>
        </w:rPr>
      </w:pPr>
      <w:r w:rsidRPr="00F27422">
        <w:rPr>
          <w:sz w:val="32"/>
          <w:szCs w:val="32"/>
          <w:rtl/>
        </w:rPr>
        <w:t>وهذا أخص مِن المُدعى</w:t>
      </w:r>
      <w:r w:rsidRPr="00F27422">
        <w:rPr>
          <w:sz w:val="32"/>
          <w:szCs w:val="32"/>
        </w:rPr>
        <w:t>.</w:t>
      </w:r>
    </w:p>
    <w:p w14:paraId="4F1A7A61" w14:textId="77777777" w:rsidR="00FE27B0" w:rsidRPr="00F27422" w:rsidRDefault="00FE27B0" w:rsidP="00122B70">
      <w:pPr>
        <w:tabs>
          <w:tab w:val="left" w:pos="1070"/>
        </w:tabs>
        <w:bidi/>
        <w:rPr>
          <w:b/>
          <w:bCs/>
          <w:sz w:val="32"/>
          <w:szCs w:val="32"/>
          <w:rtl/>
        </w:rPr>
      </w:pPr>
      <w:r w:rsidRPr="00F27422">
        <w:rPr>
          <w:b/>
          <w:bCs/>
          <w:sz w:val="32"/>
          <w:szCs w:val="32"/>
          <w:rtl/>
        </w:rPr>
        <w:t>المحتملُ الثالث: أنّ الأصل المُؤَمِّن عقلائي</w:t>
      </w:r>
      <w:r w:rsidRPr="00F27422">
        <w:rPr>
          <w:b/>
          <w:bCs/>
          <w:sz w:val="32"/>
          <w:szCs w:val="32"/>
        </w:rPr>
        <w:t>.</w:t>
      </w:r>
    </w:p>
    <w:p w14:paraId="45D5A7D1" w14:textId="77777777" w:rsidR="00FE27B0" w:rsidRPr="00F27422" w:rsidRDefault="00FE27B0" w:rsidP="00122B70">
      <w:pPr>
        <w:tabs>
          <w:tab w:val="left" w:pos="1070"/>
        </w:tabs>
        <w:bidi/>
        <w:rPr>
          <w:b/>
          <w:bCs/>
          <w:sz w:val="32"/>
          <w:szCs w:val="32"/>
          <w:rtl/>
        </w:rPr>
      </w:pPr>
      <w:r w:rsidRPr="00F27422">
        <w:rPr>
          <w:b/>
          <w:bCs/>
          <w:sz w:val="32"/>
          <w:szCs w:val="32"/>
          <w:rtl/>
        </w:rPr>
        <w:t>ولهذا المحتمل تقريبان</w:t>
      </w:r>
      <w:r w:rsidRPr="00F27422">
        <w:rPr>
          <w:b/>
          <w:bCs/>
          <w:sz w:val="32"/>
          <w:szCs w:val="32"/>
        </w:rPr>
        <w:t>:</w:t>
      </w:r>
    </w:p>
    <w:p w14:paraId="3093C8D4" w14:textId="77777777" w:rsidR="00FE27B0" w:rsidRPr="00F27422" w:rsidRDefault="00FE27B0" w:rsidP="00122B70">
      <w:pPr>
        <w:tabs>
          <w:tab w:val="left" w:pos="1070"/>
        </w:tabs>
        <w:bidi/>
        <w:rPr>
          <w:b/>
          <w:bCs/>
          <w:sz w:val="32"/>
          <w:szCs w:val="32"/>
          <w:rtl/>
        </w:rPr>
      </w:pPr>
      <w:r w:rsidRPr="00F27422">
        <w:rPr>
          <w:b/>
          <w:bCs/>
          <w:sz w:val="32"/>
          <w:szCs w:val="32"/>
          <w:rtl/>
        </w:rPr>
        <w:t xml:space="preserve">التقريبُ الأوّل: </w:t>
      </w:r>
      <w:r w:rsidRPr="00F27422">
        <w:rPr>
          <w:sz w:val="32"/>
          <w:szCs w:val="32"/>
          <w:rtl/>
        </w:rPr>
        <w:t>ما ذكره السيد الحكيم السبط (قدس سره الشريف) في كتابه الإجارة</w:t>
      </w:r>
      <w:r w:rsidRPr="00F27422">
        <w:rPr>
          <w:sz w:val="32"/>
          <w:szCs w:val="32"/>
          <w:vertAlign w:val="superscript"/>
          <w:rtl/>
        </w:rPr>
        <w:footnoteReference w:id="77"/>
      </w:r>
      <w:r w:rsidRPr="00F27422">
        <w:rPr>
          <w:sz w:val="32"/>
          <w:szCs w:val="32"/>
          <w:rtl/>
        </w:rPr>
        <w:t xml:space="preserve"> بقوله: </w:t>
      </w:r>
      <w:r w:rsidRPr="00F27422">
        <w:rPr>
          <w:b/>
          <w:bCs/>
          <w:sz w:val="32"/>
          <w:szCs w:val="32"/>
          <w:rtl/>
        </w:rPr>
        <w:t>(أو لبناء العقلاء على ثبوت الخيار في العقد إذا انكشف خروجه)</w:t>
      </w:r>
      <w:r w:rsidRPr="00F27422">
        <w:rPr>
          <w:sz w:val="32"/>
          <w:szCs w:val="32"/>
          <w:rtl/>
        </w:rPr>
        <w:t xml:space="preserve"> أي: خروج متعلّق العقد </w:t>
      </w:r>
      <w:r w:rsidRPr="00F27422">
        <w:rPr>
          <w:b/>
          <w:bCs/>
          <w:sz w:val="32"/>
          <w:szCs w:val="32"/>
          <w:rtl/>
        </w:rPr>
        <w:t>(عن الوضع الطبيعي المرغوب فيه نوعاً، والذي من شأنه أن يقع عليه كما قرّبناه في خيار الغبن من كتاب البيع)</w:t>
      </w:r>
      <w:r w:rsidRPr="00F27422">
        <w:rPr>
          <w:b/>
          <w:bCs/>
          <w:sz w:val="32"/>
          <w:szCs w:val="32"/>
        </w:rPr>
        <w:t>.</w:t>
      </w:r>
    </w:p>
    <w:p w14:paraId="308C46EE" w14:textId="77777777" w:rsidR="00FE27B0" w:rsidRPr="00F27422" w:rsidRDefault="00FE27B0" w:rsidP="00122B70">
      <w:pPr>
        <w:tabs>
          <w:tab w:val="left" w:pos="1070"/>
        </w:tabs>
        <w:bidi/>
        <w:rPr>
          <w:sz w:val="32"/>
          <w:szCs w:val="32"/>
          <w:rtl/>
        </w:rPr>
      </w:pPr>
      <w:r w:rsidRPr="00F27422">
        <w:rPr>
          <w:b/>
          <w:bCs/>
          <w:sz w:val="32"/>
          <w:szCs w:val="32"/>
          <w:rtl/>
        </w:rPr>
        <w:lastRenderedPageBreak/>
        <w:t>وحاصله:</w:t>
      </w:r>
      <w:r w:rsidRPr="00F27422">
        <w:rPr>
          <w:sz w:val="32"/>
          <w:szCs w:val="32"/>
          <w:rtl/>
        </w:rPr>
        <w:t xml:space="preserve"> أنّ الأصل المُؤَمِّن في المقام هو بناء العقلاء على ثبوت الخيار عند تخلّف وصف الصحّة، واحتفاف العقد بهذا البناء العقلائي هو الدافع </w:t>
      </w:r>
      <w:proofErr w:type="spellStart"/>
      <w:r w:rsidRPr="00F27422">
        <w:rPr>
          <w:sz w:val="32"/>
          <w:szCs w:val="32"/>
          <w:rtl/>
        </w:rPr>
        <w:t>للغررية</w:t>
      </w:r>
      <w:proofErr w:type="spellEnd"/>
      <w:r w:rsidRPr="00F27422">
        <w:rPr>
          <w:sz w:val="32"/>
          <w:szCs w:val="32"/>
          <w:rtl/>
        </w:rPr>
        <w:t>.</w:t>
      </w:r>
    </w:p>
    <w:p w14:paraId="1089F11B" w14:textId="77777777" w:rsidR="00FE27B0" w:rsidRPr="00F27422" w:rsidRDefault="00FE27B0" w:rsidP="00122B70">
      <w:pPr>
        <w:tabs>
          <w:tab w:val="left" w:pos="1070"/>
        </w:tabs>
        <w:bidi/>
        <w:rPr>
          <w:b/>
          <w:bCs/>
          <w:sz w:val="32"/>
          <w:szCs w:val="32"/>
          <w:rtl/>
        </w:rPr>
      </w:pPr>
      <w:r w:rsidRPr="00F27422">
        <w:rPr>
          <w:b/>
          <w:bCs/>
          <w:sz w:val="32"/>
          <w:szCs w:val="32"/>
          <w:rtl/>
        </w:rPr>
        <w:t>التقريبُ الثاني:</w:t>
      </w:r>
      <w:r w:rsidRPr="00F27422">
        <w:rPr>
          <w:sz w:val="32"/>
          <w:szCs w:val="32"/>
          <w:rtl/>
        </w:rPr>
        <w:t xml:space="preserve"> ما ذكر في تقرير كلمات بعض مشائخنا القميين (مد ظله) في كتاب بغية الراغب</w:t>
      </w:r>
      <w:r w:rsidRPr="00F27422">
        <w:rPr>
          <w:sz w:val="32"/>
          <w:szCs w:val="32"/>
          <w:vertAlign w:val="superscript"/>
          <w:rtl/>
        </w:rPr>
        <w:footnoteReference w:id="78"/>
      </w:r>
      <w:r w:rsidRPr="00F27422">
        <w:rPr>
          <w:sz w:val="32"/>
          <w:szCs w:val="32"/>
          <w:rtl/>
        </w:rPr>
        <w:t xml:space="preserve"> بقوله: </w:t>
      </w:r>
      <w:r w:rsidRPr="00F27422">
        <w:rPr>
          <w:b/>
          <w:bCs/>
          <w:sz w:val="32"/>
          <w:szCs w:val="32"/>
          <w:rtl/>
        </w:rPr>
        <w:t>(والحق في المطلب: أن الالتزامات إذا كانت مورداً لبناء العقلاء فهي تعدّ من جملة القواعد العقلائية وإن لم يلتفت الأفراد إلى أنهم في مقام إنشاء الإلزام والالتزام، وبهذا تكون حجة عقلائية، فإذا كانت كذلك كانت رافعة للغرر والخطر</w:t>
      </w:r>
      <w:r w:rsidRPr="00F27422">
        <w:rPr>
          <w:b/>
          <w:bCs/>
          <w:sz w:val="32"/>
          <w:szCs w:val="32"/>
        </w:rPr>
        <w:t>.</w:t>
      </w:r>
    </w:p>
    <w:p w14:paraId="16F347B7" w14:textId="77777777" w:rsidR="00FE27B0" w:rsidRPr="00F27422" w:rsidRDefault="00FE27B0" w:rsidP="00122B70">
      <w:pPr>
        <w:tabs>
          <w:tab w:val="left" w:pos="1070"/>
        </w:tabs>
        <w:bidi/>
        <w:rPr>
          <w:b/>
          <w:bCs/>
          <w:sz w:val="32"/>
          <w:szCs w:val="32"/>
          <w:rtl/>
        </w:rPr>
      </w:pPr>
      <w:r w:rsidRPr="00F27422">
        <w:rPr>
          <w:b/>
          <w:bCs/>
          <w:sz w:val="32"/>
          <w:szCs w:val="32"/>
          <w:rtl/>
        </w:rPr>
        <w:t>وتطبيقه على المقام: أن بناء العقلاء – فيما إذا كان أحد العوضين معيباً – قائم على إلزام صاحب المتاع المعيب بقبول الردّ، سواء التفت وجعل الشرط في ضمن المعاملة أو لم يلتفت، ويعتبر ذلك من الحقوق العقلائية لمن أعطي المعيب، وهذا البناء أو السيرة العقلائية قطعية، وقد أمضاها الشارع</w:t>
      </w:r>
      <w:r w:rsidRPr="00F27422">
        <w:rPr>
          <w:b/>
          <w:bCs/>
          <w:sz w:val="32"/>
          <w:szCs w:val="32"/>
        </w:rPr>
        <w:t>.</w:t>
      </w:r>
    </w:p>
    <w:p w14:paraId="0E130615" w14:textId="77777777" w:rsidR="00FE27B0" w:rsidRPr="00F27422" w:rsidRDefault="00FE27B0" w:rsidP="00122B70">
      <w:pPr>
        <w:tabs>
          <w:tab w:val="left" w:pos="1070"/>
        </w:tabs>
        <w:bidi/>
        <w:rPr>
          <w:b/>
          <w:bCs/>
          <w:sz w:val="32"/>
          <w:szCs w:val="32"/>
          <w:rtl/>
        </w:rPr>
      </w:pPr>
      <w:r w:rsidRPr="00F27422">
        <w:rPr>
          <w:b/>
          <w:bCs/>
          <w:sz w:val="32"/>
          <w:szCs w:val="32"/>
          <w:rtl/>
        </w:rPr>
        <w:t>وبهذا يعرف أن الرافع للغرر ليس أصل السلامة، ولا شرط المتعاملين، بل السيرة العقلائية القائمة على مؤاخذة صاحب المعيب، وإلزامه بقبول الردّ).</w:t>
      </w:r>
    </w:p>
    <w:p w14:paraId="0ADD1BDD" w14:textId="77777777" w:rsidR="00FE27B0" w:rsidRPr="00F27422" w:rsidRDefault="00FE27B0" w:rsidP="00122B70">
      <w:pPr>
        <w:tabs>
          <w:tab w:val="left" w:pos="1070"/>
        </w:tabs>
        <w:bidi/>
        <w:rPr>
          <w:sz w:val="32"/>
          <w:szCs w:val="32"/>
          <w:rtl/>
        </w:rPr>
      </w:pPr>
      <w:r w:rsidRPr="00F27422">
        <w:rPr>
          <w:b/>
          <w:bCs/>
          <w:sz w:val="32"/>
          <w:szCs w:val="32"/>
          <w:rtl/>
        </w:rPr>
        <w:t>وحاصله:</w:t>
      </w:r>
      <w:r w:rsidRPr="00F27422">
        <w:rPr>
          <w:sz w:val="32"/>
          <w:szCs w:val="32"/>
          <w:rtl/>
        </w:rPr>
        <w:t xml:space="preserve"> أنّ مِن الحقوق التي بنى عليها العقلاء إلزام صاحب العين المعيبة بقبول الردّ، سواءً كان ملتفتاً لاشتراط السلامة أو لَمْ يكن ملتفتاً، فإنّ اندفاع الغرر لا يدور مدار وجود شرطٍ يُعبر عنه باشتراط السلامة، بل كما أنّ مِن الحقوق العقلائية حقّ السبق، وحقّ الاختصاص، كذلك مِن الحقوق العقلائية أنْ للمشتري أو المستأجر لو كان متعلّق العقد معيباً إلزام صاحب العين بقبول الردّ بغض النظر عن الالتفات لوجود السلامة وعدمها</w:t>
      </w:r>
      <w:r w:rsidRPr="00F27422">
        <w:rPr>
          <w:sz w:val="32"/>
          <w:szCs w:val="32"/>
        </w:rPr>
        <w:t>.</w:t>
      </w:r>
    </w:p>
    <w:p w14:paraId="5F82A4A8" w14:textId="77777777" w:rsidR="00FE27B0" w:rsidRPr="00F27422" w:rsidRDefault="00FE27B0" w:rsidP="00122B70">
      <w:pPr>
        <w:tabs>
          <w:tab w:val="left" w:pos="1070"/>
        </w:tabs>
        <w:bidi/>
        <w:rPr>
          <w:sz w:val="32"/>
          <w:szCs w:val="32"/>
          <w:rtl/>
        </w:rPr>
      </w:pPr>
      <w:r w:rsidRPr="00F27422">
        <w:rPr>
          <w:sz w:val="32"/>
          <w:szCs w:val="32"/>
          <w:rtl/>
        </w:rPr>
        <w:t xml:space="preserve">ولذلك فإنّ التعبير عن المُؤَمِّن بكونه شرطاً ارتكازياً ليس دقيقاً؛ لأنّ الشرط سواءً كان صريحاً أو ارتكازياً فرعُ الالتفات، بينما خيار العيب ثابتٌ التفت المتعاقدان لاشتراط السلامة أم لَمْ يلتفتا، فحيثُ إنّ ثبوت خيار العيب ليس منوطاً بالالتفات ولو ارتكازاً، فهذا منبهٌ على أنّ الأصل المُؤَمِّن ليس شرطاً ارتكازياً، وإنّما </w:t>
      </w:r>
      <w:proofErr w:type="gramStart"/>
      <w:r w:rsidRPr="00F27422">
        <w:rPr>
          <w:sz w:val="32"/>
          <w:szCs w:val="32"/>
          <w:rtl/>
        </w:rPr>
        <w:t>مرجعه  إلى</w:t>
      </w:r>
      <w:proofErr w:type="gramEnd"/>
      <w:r w:rsidRPr="00F27422">
        <w:rPr>
          <w:sz w:val="32"/>
          <w:szCs w:val="32"/>
          <w:rtl/>
        </w:rPr>
        <w:t xml:space="preserve"> بناء العقلاء على أنّ مَن وجد العين معيبةً - مستأجراً أو مشترياً - فصاحب العين مُلزمٌ بقبول الردّ</w:t>
      </w:r>
      <w:r w:rsidRPr="00F27422">
        <w:rPr>
          <w:sz w:val="32"/>
          <w:szCs w:val="32"/>
        </w:rPr>
        <w:t>.</w:t>
      </w:r>
    </w:p>
    <w:p w14:paraId="31F3A3CA" w14:textId="77777777" w:rsidR="00FE27B0" w:rsidRPr="00F27422" w:rsidRDefault="00FE27B0" w:rsidP="00122B70">
      <w:pPr>
        <w:tabs>
          <w:tab w:val="left" w:pos="1070"/>
        </w:tabs>
        <w:bidi/>
        <w:rPr>
          <w:sz w:val="32"/>
          <w:szCs w:val="32"/>
          <w:rtl/>
        </w:rPr>
      </w:pPr>
      <w:r w:rsidRPr="00F27422">
        <w:rPr>
          <w:sz w:val="32"/>
          <w:szCs w:val="32"/>
          <w:rtl/>
        </w:rPr>
        <w:t xml:space="preserve">فكلا التقريبين مِنْ كلا العلمين يفيدان أنّ ثبوت خيار العيب في المقام محور بناءٍ عقلائي وهو بنفسه دافع للغرر في </w:t>
      </w:r>
      <w:proofErr w:type="gramStart"/>
      <w:r w:rsidRPr="00F27422">
        <w:rPr>
          <w:sz w:val="32"/>
          <w:szCs w:val="32"/>
          <w:rtl/>
        </w:rPr>
        <w:t>المعاملة</w:t>
      </w:r>
      <w:r w:rsidRPr="00F27422">
        <w:rPr>
          <w:sz w:val="32"/>
          <w:szCs w:val="32"/>
        </w:rPr>
        <w:t xml:space="preserve"> .</w:t>
      </w:r>
      <w:proofErr w:type="gramEnd"/>
    </w:p>
    <w:p w14:paraId="6ADF3F4B" w14:textId="77777777" w:rsidR="00FE27B0" w:rsidRPr="00F27422" w:rsidRDefault="00FE27B0" w:rsidP="00122B70">
      <w:pPr>
        <w:tabs>
          <w:tab w:val="left" w:pos="1070"/>
        </w:tabs>
        <w:bidi/>
        <w:rPr>
          <w:b/>
          <w:bCs/>
          <w:sz w:val="32"/>
          <w:szCs w:val="32"/>
          <w:rtl/>
        </w:rPr>
      </w:pPr>
      <w:r w:rsidRPr="00F27422">
        <w:rPr>
          <w:b/>
          <w:bCs/>
          <w:sz w:val="32"/>
          <w:szCs w:val="32"/>
          <w:rtl/>
        </w:rPr>
        <w:t>ويلاحظُ على كليهما</w:t>
      </w:r>
      <w:r w:rsidRPr="00F27422">
        <w:rPr>
          <w:b/>
          <w:bCs/>
          <w:sz w:val="32"/>
          <w:szCs w:val="32"/>
        </w:rPr>
        <w:t>:</w:t>
      </w:r>
    </w:p>
    <w:p w14:paraId="118C01F5" w14:textId="77777777" w:rsidR="00FE27B0" w:rsidRPr="00F27422" w:rsidRDefault="00FE27B0" w:rsidP="00122B70">
      <w:pPr>
        <w:tabs>
          <w:tab w:val="left" w:pos="1070"/>
        </w:tabs>
        <w:bidi/>
        <w:rPr>
          <w:sz w:val="32"/>
          <w:szCs w:val="32"/>
          <w:rtl/>
        </w:rPr>
      </w:pPr>
      <w:r w:rsidRPr="00F27422">
        <w:rPr>
          <w:sz w:val="32"/>
          <w:szCs w:val="32"/>
          <w:rtl/>
        </w:rPr>
        <w:lastRenderedPageBreak/>
        <w:t>أنّه لا يوجد بناءٌ عقلائي تعبدي؛ بل لابُدّ له مِن منشأ عقلائي يستندُ إليه، وذلك المنشأ إمّا أصالة السلامة كما ذهب إليه المحقق الأصفهاني (قدس سره الشريف) مِن دعوى أنّ الغالب في الأشياء السلامة وهذه الغلبة صارت منشأ لظهور العقد المعاوضي في إرادة الصحيح على نحو تعدد المطلوب، وأثره العقلائي على ثبوت الخيار عند تخلّف هذا الأصل</w:t>
      </w:r>
      <w:r w:rsidRPr="00F27422">
        <w:rPr>
          <w:sz w:val="32"/>
          <w:szCs w:val="32"/>
        </w:rPr>
        <w:t>.</w:t>
      </w:r>
    </w:p>
    <w:p w14:paraId="4333C216" w14:textId="77777777" w:rsidR="00FE27B0" w:rsidRPr="00F27422" w:rsidRDefault="00FE27B0" w:rsidP="00122B70">
      <w:pPr>
        <w:tabs>
          <w:tab w:val="left" w:pos="1070"/>
        </w:tabs>
        <w:bidi/>
        <w:rPr>
          <w:sz w:val="32"/>
          <w:szCs w:val="32"/>
          <w:rtl/>
        </w:rPr>
      </w:pPr>
      <w:r w:rsidRPr="00F27422">
        <w:rPr>
          <w:sz w:val="32"/>
          <w:szCs w:val="32"/>
          <w:rtl/>
        </w:rPr>
        <w:t>وإمّا تخلّف الغرض النوعي، أي: أنّ الغرض النوعي مِن المعاوضة أنْ يكون المعوض وافياً باستيفاء المنفعة المقصودة نوعاً مِن البيع أو الإجارة، فإذا تبين عدمه كان ذلك منشأً لثبوت خيار العيب</w:t>
      </w:r>
      <w:r w:rsidRPr="00F27422">
        <w:rPr>
          <w:sz w:val="32"/>
          <w:szCs w:val="32"/>
        </w:rPr>
        <w:t>.</w:t>
      </w:r>
    </w:p>
    <w:p w14:paraId="33A994AB" w14:textId="77777777" w:rsidR="00FE27B0" w:rsidRPr="00F27422" w:rsidRDefault="00FE27B0" w:rsidP="00122B70">
      <w:pPr>
        <w:tabs>
          <w:tab w:val="left" w:pos="1070"/>
        </w:tabs>
        <w:bidi/>
        <w:rPr>
          <w:sz w:val="32"/>
          <w:szCs w:val="32"/>
          <w:rtl/>
        </w:rPr>
      </w:pPr>
      <w:r w:rsidRPr="00F27422">
        <w:rPr>
          <w:b/>
          <w:bCs/>
          <w:sz w:val="32"/>
          <w:szCs w:val="32"/>
          <w:rtl/>
        </w:rPr>
        <w:t>ولكن فيه:</w:t>
      </w:r>
      <w:r w:rsidRPr="00F27422">
        <w:rPr>
          <w:sz w:val="32"/>
          <w:szCs w:val="32"/>
          <w:rtl/>
        </w:rPr>
        <w:t xml:space="preserve"> أنّه لو كان المنشأ هو تخلّف الغرض النوعي لكان مقتضاه البطلان، لا ثبوت الخيار</w:t>
      </w:r>
      <w:r w:rsidRPr="00F27422">
        <w:rPr>
          <w:sz w:val="32"/>
          <w:szCs w:val="32"/>
        </w:rPr>
        <w:t>.</w:t>
      </w:r>
    </w:p>
    <w:p w14:paraId="0BB93353" w14:textId="77777777" w:rsidR="00FE27B0" w:rsidRPr="00F27422" w:rsidRDefault="00FE27B0" w:rsidP="00122B70">
      <w:pPr>
        <w:tabs>
          <w:tab w:val="left" w:pos="1070"/>
        </w:tabs>
        <w:bidi/>
        <w:rPr>
          <w:sz w:val="32"/>
          <w:szCs w:val="32"/>
          <w:rtl/>
        </w:rPr>
      </w:pPr>
      <w:r w:rsidRPr="00F27422">
        <w:rPr>
          <w:sz w:val="32"/>
          <w:szCs w:val="32"/>
          <w:rtl/>
        </w:rPr>
        <w:t xml:space="preserve">أو أنْ المنشأ هو الاشتراط، أي: أنّ هناك شرطاً عقلائياً هو شرط السلامة، ولأجل تخلّف الشرط ثَبَتَ الخيار، لا لموضوعية في </w:t>
      </w:r>
      <w:proofErr w:type="gramStart"/>
      <w:r w:rsidRPr="00F27422">
        <w:rPr>
          <w:sz w:val="32"/>
          <w:szCs w:val="32"/>
          <w:rtl/>
        </w:rPr>
        <w:t>العيب</w:t>
      </w:r>
      <w:proofErr w:type="gramEnd"/>
      <w:r w:rsidRPr="00F27422">
        <w:rPr>
          <w:sz w:val="32"/>
          <w:szCs w:val="32"/>
          <w:rtl/>
        </w:rPr>
        <w:t xml:space="preserve"> بل مِن باب تخلّف الشرط</w:t>
      </w:r>
      <w:r w:rsidRPr="00F27422">
        <w:rPr>
          <w:sz w:val="32"/>
          <w:szCs w:val="32"/>
        </w:rPr>
        <w:t>.</w:t>
      </w:r>
    </w:p>
    <w:p w14:paraId="5AF2AA67" w14:textId="77777777" w:rsidR="00FE27B0" w:rsidRPr="00F27422" w:rsidRDefault="00FE27B0" w:rsidP="00122B70">
      <w:pPr>
        <w:tabs>
          <w:tab w:val="left" w:pos="1070"/>
        </w:tabs>
        <w:bidi/>
        <w:rPr>
          <w:b/>
          <w:bCs/>
          <w:sz w:val="32"/>
          <w:szCs w:val="32"/>
          <w:rtl/>
        </w:rPr>
      </w:pPr>
      <w:r w:rsidRPr="00F27422">
        <w:rPr>
          <w:sz w:val="32"/>
          <w:szCs w:val="32"/>
          <w:rtl/>
        </w:rPr>
        <w:t>وهو ما قرره سيدنا الخوئي (قدس سره الشريف) في موسوعته المباركة في كتاب الإجارة</w:t>
      </w:r>
      <w:r w:rsidRPr="00F27422">
        <w:rPr>
          <w:sz w:val="32"/>
          <w:szCs w:val="32"/>
          <w:vertAlign w:val="superscript"/>
          <w:rtl/>
        </w:rPr>
        <w:footnoteReference w:id="79"/>
      </w:r>
      <w:r w:rsidRPr="00F27422">
        <w:rPr>
          <w:sz w:val="32"/>
          <w:szCs w:val="32"/>
          <w:rtl/>
        </w:rPr>
        <w:t xml:space="preserve"> بقوله: </w:t>
      </w:r>
      <w:r w:rsidRPr="00F27422">
        <w:rPr>
          <w:b/>
          <w:bCs/>
          <w:sz w:val="32"/>
          <w:szCs w:val="32"/>
          <w:rtl/>
        </w:rPr>
        <w:t>(فلا شكّ في ثبوت الخيار)</w:t>
      </w:r>
      <w:r w:rsidRPr="00F27422">
        <w:rPr>
          <w:sz w:val="32"/>
          <w:szCs w:val="32"/>
          <w:rtl/>
        </w:rPr>
        <w:t xml:space="preserve"> أي: خيار العيب </w:t>
      </w:r>
      <w:r w:rsidRPr="00F27422">
        <w:rPr>
          <w:b/>
          <w:bCs/>
          <w:sz w:val="32"/>
          <w:szCs w:val="32"/>
          <w:rtl/>
        </w:rPr>
        <w:t>(بعين المناط الذي يثبت به البيع ولو مع الغضّ عن النصّ الشرعي)</w:t>
      </w:r>
      <w:r w:rsidRPr="00F27422">
        <w:rPr>
          <w:sz w:val="32"/>
          <w:szCs w:val="32"/>
          <w:rtl/>
        </w:rPr>
        <w:t xml:space="preserve"> أي: النص الشرعي الوارد في باب البيع </w:t>
      </w:r>
      <w:r w:rsidRPr="00F27422">
        <w:rPr>
          <w:b/>
          <w:bCs/>
          <w:sz w:val="32"/>
          <w:szCs w:val="32"/>
          <w:rtl/>
        </w:rPr>
        <w:t xml:space="preserve">(وهو تخلّف الشرط الارتكازي، لاستقرار بناء العقلاء في مقام المعاوضات والمبادلات من غير فرق بين الأعيان والمنافع على كون العين قابلة للانتفاع منفعةً مطلوبة مرغوبة سليمة عن أيّ نقص وعيب، وقد تخلّف هذا الشرط الضمني الارتكازي حسب الفرض، ونتيجته ثبوت الخيار بطبيعة الحال بين الفسخ والإمضاء من غير حاجة – في هذا المقدار -) </w:t>
      </w:r>
      <w:r w:rsidRPr="00F27422">
        <w:rPr>
          <w:sz w:val="32"/>
          <w:szCs w:val="32"/>
          <w:rtl/>
        </w:rPr>
        <w:t xml:space="preserve">وهو ثبوت الخيار </w:t>
      </w:r>
      <w:r w:rsidRPr="00F27422">
        <w:rPr>
          <w:b/>
          <w:bCs/>
          <w:sz w:val="32"/>
          <w:szCs w:val="32"/>
          <w:rtl/>
        </w:rPr>
        <w:t>(إلى نهوض أيّ دليل شرعي خاصّ لا في البيع ولا الإجارة، فيتخيّر بين الإمضاء مجّاناً، وبين فسخ العقد واسترداد الاُجرة المسمّاة في المقام</w:t>
      </w:r>
      <w:r w:rsidRPr="00F27422">
        <w:rPr>
          <w:b/>
          <w:bCs/>
          <w:sz w:val="32"/>
          <w:szCs w:val="32"/>
        </w:rPr>
        <w:t>.</w:t>
      </w:r>
    </w:p>
    <w:p w14:paraId="2A80148D" w14:textId="77777777" w:rsidR="00FE27B0" w:rsidRPr="00F27422" w:rsidRDefault="00FE27B0" w:rsidP="00122B70">
      <w:pPr>
        <w:tabs>
          <w:tab w:val="left" w:pos="1070"/>
        </w:tabs>
        <w:bidi/>
        <w:rPr>
          <w:b/>
          <w:bCs/>
          <w:sz w:val="32"/>
          <w:szCs w:val="32"/>
          <w:rtl/>
        </w:rPr>
      </w:pPr>
      <w:r w:rsidRPr="00F27422">
        <w:rPr>
          <w:b/>
          <w:bCs/>
          <w:sz w:val="32"/>
          <w:szCs w:val="32"/>
          <w:rtl/>
        </w:rPr>
        <w:t>وعلى الجملة: فالوجه في ثبوت الخيار مضافاً إلى عدم الخلاف أنّ وصف الصحّة في العين أو المنفعة شرط ضمني مبني عليه العقد في المعاملات العرفيّة، فلا جرم يثبت الخيار بتخلّفه وظهور العيب المستوجب لاختلاف القيمة).</w:t>
      </w:r>
    </w:p>
    <w:p w14:paraId="0EA1249E" w14:textId="77777777" w:rsidR="00FE27B0" w:rsidRPr="00F27422" w:rsidRDefault="00FE27B0" w:rsidP="00122B70">
      <w:pPr>
        <w:tabs>
          <w:tab w:val="left" w:pos="1070"/>
        </w:tabs>
        <w:bidi/>
        <w:rPr>
          <w:b/>
          <w:bCs/>
          <w:sz w:val="32"/>
          <w:szCs w:val="32"/>
          <w:rtl/>
        </w:rPr>
      </w:pPr>
    </w:p>
    <w:p w14:paraId="57066823" w14:textId="77777777" w:rsidR="00FE27B0" w:rsidRPr="00F27422" w:rsidRDefault="00FE27B0" w:rsidP="00122B70">
      <w:pPr>
        <w:tabs>
          <w:tab w:val="left" w:pos="1070"/>
        </w:tabs>
        <w:bidi/>
        <w:rPr>
          <w:b/>
          <w:bCs/>
          <w:sz w:val="32"/>
          <w:szCs w:val="32"/>
          <w:rtl/>
        </w:rPr>
      </w:pPr>
      <w:r w:rsidRPr="00F27422">
        <w:rPr>
          <w:b/>
          <w:bCs/>
          <w:sz w:val="32"/>
          <w:szCs w:val="32"/>
          <w:rtl/>
        </w:rPr>
        <w:t xml:space="preserve">والحمد لله رب العالمين </w:t>
      </w:r>
    </w:p>
    <w:p w14:paraId="6829566C" w14:textId="77777777" w:rsidR="00B43C27" w:rsidRPr="00F27422" w:rsidRDefault="00B43C27" w:rsidP="00122B70">
      <w:pPr>
        <w:tabs>
          <w:tab w:val="left" w:pos="1070"/>
        </w:tabs>
        <w:bidi/>
        <w:rPr>
          <w:sz w:val="32"/>
          <w:szCs w:val="32"/>
        </w:rPr>
      </w:pPr>
    </w:p>
    <w:p w14:paraId="47FB8ACA" w14:textId="77777777" w:rsidR="00383E67" w:rsidRPr="00F27422" w:rsidRDefault="00383E67" w:rsidP="00122B70">
      <w:pPr>
        <w:tabs>
          <w:tab w:val="left" w:pos="1070"/>
        </w:tabs>
        <w:bidi/>
        <w:rPr>
          <w:sz w:val="32"/>
          <w:szCs w:val="32"/>
        </w:rPr>
      </w:pPr>
    </w:p>
    <w:p w14:paraId="1286B92E" w14:textId="1F60F81D" w:rsidR="00383E67" w:rsidRPr="00F27422" w:rsidRDefault="00383E67" w:rsidP="00122B70">
      <w:pPr>
        <w:pStyle w:val="Heading3"/>
        <w:bidi/>
        <w:rPr>
          <w:sz w:val="32"/>
          <w:szCs w:val="32"/>
        </w:rPr>
      </w:pPr>
      <w:r w:rsidRPr="00F27422">
        <w:rPr>
          <w:sz w:val="32"/>
          <w:szCs w:val="32"/>
        </w:rPr>
        <w:t>075</w:t>
      </w:r>
    </w:p>
    <w:p w14:paraId="38DBFE9F" w14:textId="77777777" w:rsidR="00DC0FB5" w:rsidRPr="00F27422" w:rsidRDefault="00DC0FB5" w:rsidP="00122B70">
      <w:pPr>
        <w:bidi/>
        <w:rPr>
          <w:b/>
          <w:bCs/>
          <w:sz w:val="32"/>
          <w:szCs w:val="32"/>
        </w:rPr>
      </w:pPr>
      <w:r w:rsidRPr="00F27422">
        <w:rPr>
          <w:b/>
          <w:bCs/>
          <w:sz w:val="32"/>
          <w:szCs w:val="32"/>
          <w:rtl/>
        </w:rPr>
        <w:t>بسم الله الرحمن الرحيم</w:t>
      </w:r>
    </w:p>
    <w:p w14:paraId="6AC3EE57" w14:textId="77777777" w:rsidR="00DC0FB5" w:rsidRPr="00F27422" w:rsidRDefault="00DC0FB5"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799B82A7" w14:textId="77777777" w:rsidR="00DC0FB5" w:rsidRPr="00F27422" w:rsidRDefault="00DC0FB5" w:rsidP="00122B70">
      <w:pPr>
        <w:bidi/>
        <w:rPr>
          <w:sz w:val="32"/>
          <w:szCs w:val="32"/>
          <w:rtl/>
          <w:lang w:bidi="ar-BH"/>
        </w:rPr>
      </w:pPr>
      <w:r w:rsidRPr="00F27422">
        <w:rPr>
          <w:b/>
          <w:bCs/>
          <w:sz w:val="32"/>
          <w:szCs w:val="32"/>
          <w:rtl/>
        </w:rPr>
        <w:t>واللعن الدائم على أعدائهم أجمعين إلى قيام يوم الدين</w:t>
      </w:r>
    </w:p>
    <w:p w14:paraId="5DF034F5" w14:textId="77777777" w:rsidR="00DC0FB5" w:rsidRPr="00F27422" w:rsidRDefault="00DC0FB5" w:rsidP="00122B70">
      <w:pPr>
        <w:bidi/>
        <w:rPr>
          <w:sz w:val="32"/>
          <w:szCs w:val="32"/>
          <w:rtl/>
          <w:lang w:bidi="ar-BH"/>
        </w:rPr>
      </w:pPr>
    </w:p>
    <w:p w14:paraId="632C713F" w14:textId="77777777" w:rsidR="00DC0FB5" w:rsidRPr="00F27422" w:rsidRDefault="00DC0FB5" w:rsidP="00122B70">
      <w:pPr>
        <w:bidi/>
        <w:rPr>
          <w:sz w:val="32"/>
          <w:szCs w:val="32"/>
          <w:rtl/>
          <w:lang w:bidi="ar-BH"/>
        </w:rPr>
      </w:pPr>
      <w:r w:rsidRPr="00F27422">
        <w:rPr>
          <w:b/>
          <w:bCs/>
          <w:sz w:val="32"/>
          <w:szCs w:val="32"/>
          <w:rtl/>
        </w:rPr>
        <w:t>والنتيجة:</w:t>
      </w:r>
      <w:r w:rsidRPr="00F27422">
        <w:rPr>
          <w:sz w:val="32"/>
          <w:szCs w:val="32"/>
          <w:rtl/>
        </w:rPr>
        <w:t xml:space="preserve"> أنّ الصحيح في مدرك ثبوت خيار العيب مضافاً لقاعدة "لا ضرر" هو تخلّف اشتراط السلامة كما ذكره سيدنا الخوئي (قدس سره الشريف)</w:t>
      </w:r>
      <w:r w:rsidRPr="00F27422">
        <w:rPr>
          <w:sz w:val="32"/>
          <w:szCs w:val="32"/>
        </w:rPr>
        <w:t>.</w:t>
      </w:r>
    </w:p>
    <w:p w14:paraId="3B015A59" w14:textId="77777777" w:rsidR="00DC0FB5" w:rsidRPr="00F27422" w:rsidRDefault="00DC0FB5" w:rsidP="00122B70">
      <w:pPr>
        <w:bidi/>
        <w:rPr>
          <w:b/>
          <w:bCs/>
          <w:sz w:val="32"/>
          <w:szCs w:val="32"/>
          <w:rtl/>
          <w:lang w:bidi="ar-BH"/>
        </w:rPr>
      </w:pPr>
      <w:r w:rsidRPr="00F27422">
        <w:rPr>
          <w:b/>
          <w:bCs/>
          <w:sz w:val="32"/>
          <w:szCs w:val="32"/>
          <w:rtl/>
        </w:rPr>
        <w:t>وهنا تعليقاتٌ ثلاث</w:t>
      </w:r>
      <w:r w:rsidRPr="00F27422">
        <w:rPr>
          <w:b/>
          <w:bCs/>
          <w:sz w:val="32"/>
          <w:szCs w:val="32"/>
        </w:rPr>
        <w:t>:</w:t>
      </w:r>
    </w:p>
    <w:p w14:paraId="3DF3E7B7" w14:textId="77777777" w:rsidR="00DC0FB5" w:rsidRPr="00F27422" w:rsidRDefault="00DC0FB5" w:rsidP="00122B70">
      <w:pPr>
        <w:bidi/>
        <w:rPr>
          <w:sz w:val="32"/>
          <w:szCs w:val="32"/>
          <w:rtl/>
          <w:lang w:bidi="ar-BH"/>
        </w:rPr>
      </w:pPr>
      <w:r w:rsidRPr="00F27422">
        <w:rPr>
          <w:b/>
          <w:bCs/>
          <w:sz w:val="32"/>
          <w:szCs w:val="32"/>
          <w:rtl/>
        </w:rPr>
        <w:t>التعليقةُ الأُولى:</w:t>
      </w:r>
      <w:r w:rsidRPr="00F27422">
        <w:rPr>
          <w:sz w:val="32"/>
          <w:szCs w:val="32"/>
          <w:rtl/>
        </w:rPr>
        <w:t xml:space="preserve"> إنّ شرط السلامة بناءٌ عقلائي، لا أنّه شرطٌ جعلي مِن قِبل المتعاقدين كي يكون منوطاً بالالتفات ولو ارتكازاً، فالتعبير عن كون شرط السلامة شرطاً ارتكازياً لا يعني أنّه مجعولٌ مِن قِبل المتعاقدين، كي يشكل على ذلك: بأنّ اعتباره لابُدّ أنْ يكون عن التفاتٍ، مع أنّ الفقهاء قائلون بثبوت خيار العيب حتى مع عدم الالتفات</w:t>
      </w:r>
      <w:r w:rsidRPr="00F27422">
        <w:rPr>
          <w:sz w:val="32"/>
          <w:szCs w:val="32"/>
        </w:rPr>
        <w:t>.</w:t>
      </w:r>
    </w:p>
    <w:p w14:paraId="510D3A16" w14:textId="77777777" w:rsidR="00DC0FB5" w:rsidRPr="00F27422" w:rsidRDefault="00DC0FB5" w:rsidP="00122B70">
      <w:pPr>
        <w:bidi/>
        <w:rPr>
          <w:sz w:val="32"/>
          <w:szCs w:val="32"/>
          <w:rtl/>
        </w:rPr>
      </w:pPr>
      <w:r w:rsidRPr="00F27422">
        <w:rPr>
          <w:b/>
          <w:bCs/>
          <w:sz w:val="32"/>
          <w:szCs w:val="32"/>
          <w:rtl/>
        </w:rPr>
        <w:t>التعليقةُ الثانية:</w:t>
      </w:r>
      <w:r w:rsidRPr="00F27422">
        <w:rPr>
          <w:sz w:val="32"/>
          <w:szCs w:val="32"/>
          <w:rtl/>
        </w:rPr>
        <w:t xml:space="preserve"> إنّ مناط ثبوت الخيار اشتراطُ السلامة لا لموضوعيةٍ في العيب؛ أي: لا لأنّ عدم السلامة </w:t>
      </w:r>
      <w:proofErr w:type="gramStart"/>
      <w:r w:rsidRPr="00F27422">
        <w:rPr>
          <w:sz w:val="32"/>
          <w:szCs w:val="32"/>
          <w:rtl/>
        </w:rPr>
        <w:t>عيبٌ</w:t>
      </w:r>
      <w:proofErr w:type="gramEnd"/>
      <w:r w:rsidRPr="00F27422">
        <w:rPr>
          <w:sz w:val="32"/>
          <w:szCs w:val="32"/>
          <w:rtl/>
        </w:rPr>
        <w:t xml:space="preserve"> بل لأنّ عدم السلامة موجبٌ لنقص المالية؛ باعتبار أنّ ابتلاء المعوض بالعيب موجبٌ لنقص الرغبة فيما هو الأثر المنظور في المعاملة، ونقصُ الأثر المنظور في المعاملة موجبٌ لنقص المالية في المعوض، لذلك فما هو مصب بناء العقلاء اشتراط السلامة الحافظ للمالية، بحيثُ لو تبيّن خلافه لثبت الخيار.</w:t>
      </w:r>
    </w:p>
    <w:p w14:paraId="037A3955" w14:textId="77777777" w:rsidR="00DC0FB5" w:rsidRPr="00F27422" w:rsidRDefault="00DC0FB5" w:rsidP="00122B70">
      <w:pPr>
        <w:bidi/>
        <w:rPr>
          <w:sz w:val="32"/>
          <w:szCs w:val="32"/>
          <w:rtl/>
          <w:lang w:bidi="ar-BH"/>
        </w:rPr>
      </w:pPr>
      <w:r w:rsidRPr="00F27422">
        <w:rPr>
          <w:b/>
          <w:bCs/>
          <w:sz w:val="32"/>
          <w:szCs w:val="32"/>
          <w:rtl/>
        </w:rPr>
        <w:t>التعليقةُ الثالثة:</w:t>
      </w:r>
      <w:r w:rsidRPr="00F27422">
        <w:rPr>
          <w:sz w:val="32"/>
          <w:szCs w:val="32"/>
          <w:rtl/>
        </w:rPr>
        <w:t xml:space="preserve"> قد أُفيد في تقرير كلام بعض مشائخنا القميين (مد ظله) كما في كتاب بغية الراغب، أنّ ما ذكره سيدنا الخوئي (قدس سره الشريف) مِن أنّ ارتفاع الغرر في المعاوضة مع احتمال العيب في المعوض منوطٌ باشتراط السلامة، والإشكالُ عليه بأنّ هذه الإناطة مستلزمة للدور</w:t>
      </w:r>
      <w:r w:rsidRPr="00F27422">
        <w:rPr>
          <w:sz w:val="32"/>
          <w:szCs w:val="32"/>
        </w:rPr>
        <w:t>.</w:t>
      </w:r>
    </w:p>
    <w:p w14:paraId="02F63578" w14:textId="77777777" w:rsidR="00DC0FB5" w:rsidRPr="00F27422" w:rsidRDefault="00DC0FB5" w:rsidP="00122B70">
      <w:pPr>
        <w:bidi/>
        <w:rPr>
          <w:b/>
          <w:bCs/>
          <w:sz w:val="32"/>
          <w:szCs w:val="32"/>
          <w:rtl/>
          <w:lang w:bidi="ar-BH"/>
        </w:rPr>
      </w:pPr>
      <w:r w:rsidRPr="00F27422">
        <w:rPr>
          <w:sz w:val="32"/>
          <w:szCs w:val="32"/>
          <w:rtl/>
        </w:rPr>
        <w:t xml:space="preserve">قال في بغية الراغب: </w:t>
      </w:r>
      <w:r w:rsidRPr="00F27422">
        <w:rPr>
          <w:b/>
          <w:bCs/>
          <w:sz w:val="32"/>
          <w:szCs w:val="32"/>
          <w:rtl/>
        </w:rPr>
        <w:t>(وثالثاً: إن رفع الغرر بشرط الخيار لو تبيّن كون المبيع معيباً مستلزم للدور الباطل، وتوضيح ذلك</w:t>
      </w:r>
      <w:r w:rsidRPr="00F27422">
        <w:rPr>
          <w:b/>
          <w:bCs/>
          <w:sz w:val="32"/>
          <w:szCs w:val="32"/>
        </w:rPr>
        <w:t>:</w:t>
      </w:r>
    </w:p>
    <w:p w14:paraId="3A6DE9ED" w14:textId="77777777" w:rsidR="00DC0FB5" w:rsidRPr="00F27422" w:rsidRDefault="00DC0FB5" w:rsidP="00122B70">
      <w:pPr>
        <w:bidi/>
        <w:rPr>
          <w:b/>
          <w:bCs/>
          <w:sz w:val="32"/>
          <w:szCs w:val="32"/>
          <w:rtl/>
          <w:lang w:bidi="ar-BH"/>
        </w:rPr>
      </w:pPr>
      <w:r w:rsidRPr="00F27422">
        <w:rPr>
          <w:b/>
          <w:bCs/>
          <w:sz w:val="32"/>
          <w:szCs w:val="32"/>
          <w:rtl/>
        </w:rPr>
        <w:lastRenderedPageBreak/>
        <w:t>إن المفروض أن الخيار الرافع للغرر خيار مسبّب عن الشرط، بمعنى أن المشتري اشترط لنفسه الخيار لو كان المبيع معيباً، وهذا ما يلتزم به القائل أيضاً، وبما أن الشرط الابتدائي باطل؛ لأن المقوّم لمفهوم الشرط كونه التزاماً في ضمن التزام آخر، فلا بدّ أن يكون هذا الشرط – الذي هو منشأ للخيار – في ضمن العقد، وبما أن الإهمال بالنسبة للصحة والفساد غير معقول، لا في الشرط ولا في العقد الذي وقع فيه الشرط، وكذلك الإطلاق في العقد من جهتهما؛ لعدم الأثر للشرط في ضمن العقد الفاسد. فلا مجال إلا من القول بأن موضوع الشرط هو البيع المقيّد بكونه صحيحاً</w:t>
      </w:r>
      <w:r w:rsidRPr="00F27422">
        <w:rPr>
          <w:b/>
          <w:bCs/>
          <w:sz w:val="32"/>
          <w:szCs w:val="32"/>
        </w:rPr>
        <w:t>.</w:t>
      </w:r>
    </w:p>
    <w:p w14:paraId="25B3FED2" w14:textId="77777777" w:rsidR="00DC0FB5" w:rsidRPr="00F27422" w:rsidRDefault="00DC0FB5" w:rsidP="00122B70">
      <w:pPr>
        <w:bidi/>
        <w:rPr>
          <w:sz w:val="32"/>
          <w:szCs w:val="32"/>
          <w:rtl/>
          <w:lang w:bidi="ar-BH"/>
        </w:rPr>
      </w:pPr>
      <w:r w:rsidRPr="00F27422">
        <w:rPr>
          <w:b/>
          <w:bCs/>
          <w:sz w:val="32"/>
          <w:szCs w:val="32"/>
          <w:rtl/>
        </w:rPr>
        <w:t>وعندما يكون مقيّداً بالبيع الصحيح، وصحة البيع تتوقف على عدم الغرر، فإذا كان عدم الغرر يتوقف على هذا الخيار لزم الدور المحال، واجتماع المتقابلين؛ لأن هذا الخيار لا يرفع الغرر إلا إذا كان مورداً لإمضاء الشارع، ومحكوماً بالصحة، وصحته تتوقف على صحة الشرط، وصحة الشرط تتوقف على صحة العقد، وصحة العقد تتوقف على عدم الغرر، فإذا كان عدم الغرر مستنداً إلى هذا الخيار، فهو يستلزم أن يكون ما في الرتبة المتقدمة متأخراً، وما في الرتبة المتأخرة متقدّماً، وهذا هو اجتماع المتقابلين، وهو دور واضح)</w:t>
      </w:r>
      <w:r w:rsidRPr="00F27422">
        <w:rPr>
          <w:b/>
          <w:bCs/>
          <w:sz w:val="32"/>
          <w:szCs w:val="32"/>
          <w:vertAlign w:val="superscript"/>
          <w:rtl/>
        </w:rPr>
        <w:footnoteReference w:id="80"/>
      </w:r>
      <w:r w:rsidRPr="00F27422">
        <w:rPr>
          <w:b/>
          <w:bCs/>
          <w:sz w:val="32"/>
          <w:szCs w:val="32"/>
          <w:rtl/>
        </w:rPr>
        <w:t>.</w:t>
      </w:r>
    </w:p>
    <w:p w14:paraId="054380FB" w14:textId="77777777" w:rsidR="00DC0FB5" w:rsidRPr="00F27422" w:rsidRDefault="00DC0FB5" w:rsidP="00122B70">
      <w:pPr>
        <w:bidi/>
        <w:rPr>
          <w:b/>
          <w:bCs/>
          <w:sz w:val="32"/>
          <w:szCs w:val="32"/>
          <w:rtl/>
          <w:lang w:bidi="ar-BH"/>
        </w:rPr>
      </w:pPr>
      <w:r w:rsidRPr="00F27422">
        <w:rPr>
          <w:b/>
          <w:bCs/>
          <w:sz w:val="32"/>
          <w:szCs w:val="32"/>
          <w:rtl/>
        </w:rPr>
        <w:t>وبيانُه بذكر مقدمتين</w:t>
      </w:r>
      <w:r w:rsidRPr="00F27422">
        <w:rPr>
          <w:b/>
          <w:bCs/>
          <w:sz w:val="32"/>
          <w:szCs w:val="32"/>
        </w:rPr>
        <w:t>:</w:t>
      </w:r>
    </w:p>
    <w:p w14:paraId="09B7C3A0" w14:textId="77777777" w:rsidR="00DC0FB5" w:rsidRPr="00F27422" w:rsidRDefault="00DC0FB5" w:rsidP="00122B70">
      <w:pPr>
        <w:bidi/>
        <w:rPr>
          <w:sz w:val="32"/>
          <w:szCs w:val="32"/>
          <w:rtl/>
          <w:lang w:bidi="ar-BH"/>
        </w:rPr>
      </w:pPr>
      <w:r w:rsidRPr="00F27422">
        <w:rPr>
          <w:b/>
          <w:bCs/>
          <w:sz w:val="32"/>
          <w:szCs w:val="32"/>
          <w:rtl/>
        </w:rPr>
        <w:t>المقدمةُ الأُولى:</w:t>
      </w:r>
      <w:r w:rsidRPr="00F27422">
        <w:rPr>
          <w:sz w:val="32"/>
          <w:szCs w:val="32"/>
          <w:rtl/>
        </w:rPr>
        <w:t xml:space="preserve"> إنّ موضوع نفوذ الشرط - وهو اشتراط السلامة - المثبت للخيار هو المعاملةُ الصحيحة؛ وذلك لعدم معقولية الإهمال - بأنْ يكون موضوعُ الشرط المعاملة المهملة مِن ناحية الصحّة والفساد -، وفساد الإطلاق بأنْ يكون موضوع الشرط النافذٌ مطلق المعاملة سواءً كانتْ صحيحة أو فاسدة، وبطلان تقييد المعاملة بالفاسدة، فكلّ هذه المحتملات باطلة، والمتعين هو المُحتمل الرابع وهو أنّ موضوع نفوذ الشرط المعاملةُ </w:t>
      </w:r>
      <w:proofErr w:type="gramStart"/>
      <w:r w:rsidRPr="00F27422">
        <w:rPr>
          <w:sz w:val="32"/>
          <w:szCs w:val="32"/>
          <w:rtl/>
        </w:rPr>
        <w:t>الصحيحة</w:t>
      </w:r>
      <w:r w:rsidRPr="00F27422">
        <w:rPr>
          <w:sz w:val="32"/>
          <w:szCs w:val="32"/>
        </w:rPr>
        <w:t xml:space="preserve"> .</w:t>
      </w:r>
      <w:proofErr w:type="gramEnd"/>
    </w:p>
    <w:p w14:paraId="69D88B91" w14:textId="77777777" w:rsidR="00DC0FB5" w:rsidRPr="00F27422" w:rsidRDefault="00DC0FB5" w:rsidP="00122B70">
      <w:pPr>
        <w:bidi/>
        <w:rPr>
          <w:sz w:val="32"/>
          <w:szCs w:val="32"/>
          <w:rtl/>
          <w:lang w:bidi="ar-BH"/>
        </w:rPr>
      </w:pPr>
      <w:r w:rsidRPr="00F27422">
        <w:rPr>
          <w:b/>
          <w:bCs/>
          <w:sz w:val="32"/>
          <w:szCs w:val="32"/>
          <w:rtl/>
        </w:rPr>
        <w:t>المقدمةُ الثانية:</w:t>
      </w:r>
      <w:r w:rsidRPr="00F27422">
        <w:rPr>
          <w:sz w:val="32"/>
          <w:szCs w:val="32"/>
          <w:rtl/>
        </w:rPr>
        <w:t xml:space="preserve"> إنّ صحّة المعاملة متوقفة على عدم </w:t>
      </w:r>
      <w:proofErr w:type="spellStart"/>
      <w:r w:rsidRPr="00F27422">
        <w:rPr>
          <w:sz w:val="32"/>
          <w:szCs w:val="32"/>
          <w:rtl/>
        </w:rPr>
        <w:t>غرريتها</w:t>
      </w:r>
      <w:proofErr w:type="spellEnd"/>
      <w:r w:rsidRPr="00F27422">
        <w:rPr>
          <w:sz w:val="32"/>
          <w:szCs w:val="32"/>
          <w:rtl/>
        </w:rPr>
        <w:t xml:space="preserve">؛ لأنّ الغرر مبطلٌ للمعاملة، وعدم </w:t>
      </w:r>
      <w:proofErr w:type="spellStart"/>
      <w:r w:rsidRPr="00F27422">
        <w:rPr>
          <w:sz w:val="32"/>
          <w:szCs w:val="32"/>
          <w:rtl/>
        </w:rPr>
        <w:t>غرريتها</w:t>
      </w:r>
      <w:proofErr w:type="spellEnd"/>
      <w:r w:rsidRPr="00F27422">
        <w:rPr>
          <w:sz w:val="32"/>
          <w:szCs w:val="32"/>
          <w:rtl/>
        </w:rPr>
        <w:t xml:space="preserve"> متوقفٌ على اشتراط السلامة - كما ذكره سيدنا الخوئي (قدس سره الشريف) - ونفوذُ اشتراط السلامة متوقفٌ على صحّة المعاملة، فلازمُ ما ذكره سيدنا الخوئي (قدس سره الشريف) مِن أنّ الرافع للغرر اشتراطُ السلامة المثبت للخيار ورود محذور الدور</w:t>
      </w:r>
      <w:r w:rsidRPr="00F27422">
        <w:rPr>
          <w:sz w:val="32"/>
          <w:szCs w:val="32"/>
        </w:rPr>
        <w:t>.</w:t>
      </w:r>
    </w:p>
    <w:p w14:paraId="336F2D97" w14:textId="77777777" w:rsidR="00DC0FB5" w:rsidRPr="00F27422" w:rsidRDefault="00DC0FB5" w:rsidP="00122B70">
      <w:pPr>
        <w:bidi/>
        <w:rPr>
          <w:sz w:val="32"/>
          <w:szCs w:val="32"/>
          <w:rtl/>
          <w:lang w:bidi="ar-BH"/>
        </w:rPr>
      </w:pPr>
      <w:r w:rsidRPr="00F27422">
        <w:rPr>
          <w:b/>
          <w:bCs/>
          <w:sz w:val="32"/>
          <w:szCs w:val="32"/>
          <w:rtl/>
        </w:rPr>
        <w:t>ولكن يلاحظ على ذلك:</w:t>
      </w:r>
      <w:r w:rsidRPr="00F27422">
        <w:rPr>
          <w:sz w:val="32"/>
          <w:szCs w:val="32"/>
          <w:rtl/>
        </w:rPr>
        <w:t xml:space="preserve"> أنّ موضوع نفوذ الشرط الصحّةُ الاقتضائية - لا الصحّة الفعلية -، أي: صحّة المعاملة في نفسها مِن سائر الجهات ما عدا جهة هذا الشرط، بأنْ كانتْ جامعةً لشرائط الصحّة ما سوى شرط الغررية المرتفع باقترانها باشتراط السلامة، وحينئذٍ لا يرد محذور </w:t>
      </w:r>
      <w:r w:rsidRPr="00F27422">
        <w:rPr>
          <w:sz w:val="32"/>
          <w:szCs w:val="32"/>
          <w:rtl/>
        </w:rPr>
        <w:lastRenderedPageBreak/>
        <w:t>الدور؛ لِاخْتِلَافِ المُتَوَقِّفِ عن المُتَوَقَّفِ عليه، فما يَتَوقَّفُ عليه اشتراطُ السلامة كونُ المعاملة صحيحة مِن سائرِ الجهات ما عدا هذه الجهة، وما يَتَوَقَّف على اشتراط السلامة هو صحّتها الفعلية المنوطة بعدم الغررية المبتني على اشتراط السلامة، فبما أنّ ما يَتَوَقَّفُ عليه اشتراط السلامة الصحّة في نفسها وما يَتَوَقَّف عليه صحّتها الفعلية هو اشتراط السلامة النافي للغرر فمحذور الدور غير واردٍ</w:t>
      </w:r>
      <w:r w:rsidRPr="00F27422">
        <w:rPr>
          <w:sz w:val="32"/>
          <w:szCs w:val="32"/>
        </w:rPr>
        <w:t>.</w:t>
      </w:r>
    </w:p>
    <w:p w14:paraId="4B34D39F" w14:textId="77777777" w:rsidR="00DC0FB5" w:rsidRPr="00F27422" w:rsidRDefault="00DC0FB5" w:rsidP="00122B70">
      <w:pPr>
        <w:bidi/>
        <w:rPr>
          <w:sz w:val="32"/>
          <w:szCs w:val="32"/>
          <w:rtl/>
          <w:lang w:bidi="ar-BH"/>
        </w:rPr>
      </w:pPr>
      <w:r w:rsidRPr="00F27422">
        <w:rPr>
          <w:sz w:val="32"/>
          <w:szCs w:val="32"/>
          <w:rtl/>
        </w:rPr>
        <w:t xml:space="preserve">وإلّا لورد هذا الإشكال حتى على مبنى بعض مشائخنا القميين (مد ظله)؛ حيثُ إنّه التزمَ بأنّ الرافع للغرر بناءُ العقلاء على ثبوت الخيار؛ إذ لولا بناءُ العقلاء على ثبوت خيار العيب في المعاملة لكانت المعاملة </w:t>
      </w:r>
      <w:proofErr w:type="spellStart"/>
      <w:r w:rsidRPr="00F27422">
        <w:rPr>
          <w:sz w:val="32"/>
          <w:szCs w:val="32"/>
          <w:rtl/>
        </w:rPr>
        <w:t>غررية</w:t>
      </w:r>
      <w:proofErr w:type="spellEnd"/>
      <w:r w:rsidRPr="00F27422">
        <w:rPr>
          <w:sz w:val="32"/>
          <w:szCs w:val="32"/>
          <w:rtl/>
        </w:rPr>
        <w:t xml:space="preserve">، وهذا مورد لنفسُ الإشكال وهو: إنّ شمول بناء العقلاء على ثبوت الخيار فرعُ كون المعاملة صحيحة في نفسها؛ إذ لا يُحتمل شمول بناء العقلاء على ثبوت الخيار للمعاملة الفاسدة أو المهملة أو المطلقة، وبما أنّ صحّتها مُتَوَقِّفة على عدم </w:t>
      </w:r>
      <w:proofErr w:type="spellStart"/>
      <w:r w:rsidRPr="00F27422">
        <w:rPr>
          <w:sz w:val="32"/>
          <w:szCs w:val="32"/>
          <w:rtl/>
        </w:rPr>
        <w:t>غرريتها</w:t>
      </w:r>
      <w:proofErr w:type="spellEnd"/>
      <w:r w:rsidRPr="00F27422">
        <w:rPr>
          <w:sz w:val="32"/>
          <w:szCs w:val="32"/>
          <w:rtl/>
        </w:rPr>
        <w:t xml:space="preserve">، وعدم </w:t>
      </w:r>
      <w:proofErr w:type="spellStart"/>
      <w:r w:rsidRPr="00F27422">
        <w:rPr>
          <w:sz w:val="32"/>
          <w:szCs w:val="32"/>
          <w:rtl/>
        </w:rPr>
        <w:t>غرريتها</w:t>
      </w:r>
      <w:proofErr w:type="spellEnd"/>
      <w:r w:rsidRPr="00F27422">
        <w:rPr>
          <w:sz w:val="32"/>
          <w:szCs w:val="32"/>
          <w:rtl/>
        </w:rPr>
        <w:t xml:space="preserve"> مُتَوَقِّف على شمول بناءِ العقلاء على ثبوت خيار العيب لها لَزِم الدور، ولا رافع لمحذور الدور إلّا ما ذكر مِن أنّ نفوذ الشروط أو عموم البناءات العقلائية منوطٌ بالصحّة الاقتضائية - لا الصحّة الفعلية – أي: الصحّة في نفسها مِن سائر الجهات ما عدا هذه الجهة التي تتحقّق بالشرط ألّا وهو اشتراط السلامة</w:t>
      </w:r>
      <w:r w:rsidRPr="00F27422">
        <w:rPr>
          <w:sz w:val="32"/>
          <w:szCs w:val="32"/>
        </w:rPr>
        <w:t>.</w:t>
      </w:r>
    </w:p>
    <w:p w14:paraId="44A74577" w14:textId="77777777" w:rsidR="00DC0FB5" w:rsidRPr="00F27422" w:rsidRDefault="00DC0FB5" w:rsidP="00122B70">
      <w:pPr>
        <w:bidi/>
        <w:rPr>
          <w:sz w:val="32"/>
          <w:szCs w:val="32"/>
          <w:rtl/>
          <w:lang w:bidi="ar-BH"/>
        </w:rPr>
      </w:pPr>
      <w:r w:rsidRPr="00F27422">
        <w:rPr>
          <w:sz w:val="32"/>
          <w:szCs w:val="32"/>
          <w:rtl/>
        </w:rPr>
        <w:t>هذا تمام الكلام في المبحث الأول وهو: في مدرك ثبوت خيار العيب</w:t>
      </w:r>
      <w:r w:rsidRPr="00F27422">
        <w:rPr>
          <w:sz w:val="32"/>
          <w:szCs w:val="32"/>
        </w:rPr>
        <w:t>.</w:t>
      </w:r>
    </w:p>
    <w:p w14:paraId="6020C3BD" w14:textId="77777777" w:rsidR="00DC0FB5" w:rsidRPr="00F27422" w:rsidRDefault="00DC0FB5" w:rsidP="00122B70">
      <w:pPr>
        <w:bidi/>
        <w:rPr>
          <w:b/>
          <w:bCs/>
          <w:sz w:val="32"/>
          <w:szCs w:val="32"/>
          <w:rtl/>
          <w:lang w:bidi="ar-BH"/>
        </w:rPr>
      </w:pPr>
      <w:r w:rsidRPr="00F27422">
        <w:rPr>
          <w:b/>
          <w:bCs/>
          <w:sz w:val="32"/>
          <w:szCs w:val="32"/>
          <w:rtl/>
        </w:rPr>
        <w:t>المبحثُ الثاني: في مناط ثبوت الأرش وشموله للمقام</w:t>
      </w:r>
      <w:r w:rsidRPr="00F27422">
        <w:rPr>
          <w:b/>
          <w:bCs/>
          <w:sz w:val="32"/>
          <w:szCs w:val="32"/>
        </w:rPr>
        <w:t>.</w:t>
      </w:r>
    </w:p>
    <w:p w14:paraId="64021DDF" w14:textId="77777777" w:rsidR="00DC0FB5" w:rsidRPr="00F27422" w:rsidRDefault="00DC0FB5" w:rsidP="00122B70">
      <w:pPr>
        <w:bidi/>
        <w:rPr>
          <w:b/>
          <w:bCs/>
          <w:sz w:val="32"/>
          <w:szCs w:val="32"/>
          <w:rtl/>
          <w:lang w:bidi="ar-BH"/>
        </w:rPr>
      </w:pPr>
      <w:r w:rsidRPr="00F27422">
        <w:rPr>
          <w:b/>
          <w:bCs/>
          <w:sz w:val="32"/>
          <w:szCs w:val="32"/>
          <w:rtl/>
        </w:rPr>
        <w:t>وفيه اتجاهاتٌ ثلاثة</w:t>
      </w:r>
      <w:r w:rsidRPr="00F27422">
        <w:rPr>
          <w:b/>
          <w:bCs/>
          <w:sz w:val="32"/>
          <w:szCs w:val="32"/>
        </w:rPr>
        <w:t>:</w:t>
      </w:r>
    </w:p>
    <w:p w14:paraId="4040E9A6" w14:textId="77777777" w:rsidR="00DC0FB5" w:rsidRPr="00F27422" w:rsidRDefault="00DC0FB5" w:rsidP="00122B70">
      <w:pPr>
        <w:bidi/>
        <w:rPr>
          <w:b/>
          <w:bCs/>
          <w:sz w:val="32"/>
          <w:szCs w:val="32"/>
          <w:rtl/>
          <w:lang w:bidi="ar-BH"/>
        </w:rPr>
      </w:pPr>
      <w:r w:rsidRPr="00F27422">
        <w:rPr>
          <w:b/>
          <w:bCs/>
          <w:sz w:val="32"/>
          <w:szCs w:val="32"/>
          <w:rtl/>
        </w:rPr>
        <w:t>الأوّل: الثبوتُ مطلقاً</w:t>
      </w:r>
      <w:r w:rsidRPr="00F27422">
        <w:rPr>
          <w:b/>
          <w:bCs/>
          <w:sz w:val="32"/>
          <w:szCs w:val="32"/>
        </w:rPr>
        <w:t>.</w:t>
      </w:r>
    </w:p>
    <w:p w14:paraId="155065E4" w14:textId="77777777" w:rsidR="00DC0FB5" w:rsidRPr="00F27422" w:rsidRDefault="00DC0FB5" w:rsidP="00122B70">
      <w:pPr>
        <w:bidi/>
        <w:rPr>
          <w:b/>
          <w:bCs/>
          <w:sz w:val="32"/>
          <w:szCs w:val="32"/>
          <w:rtl/>
          <w:lang w:bidi="ar-BH"/>
        </w:rPr>
      </w:pPr>
      <w:r w:rsidRPr="00F27422">
        <w:rPr>
          <w:b/>
          <w:bCs/>
          <w:sz w:val="32"/>
          <w:szCs w:val="32"/>
          <w:rtl/>
        </w:rPr>
        <w:t>والثاني: عدمُ الثبوت مطلقاً</w:t>
      </w:r>
      <w:r w:rsidRPr="00F27422">
        <w:rPr>
          <w:b/>
          <w:bCs/>
          <w:sz w:val="32"/>
          <w:szCs w:val="32"/>
        </w:rPr>
        <w:t>.</w:t>
      </w:r>
    </w:p>
    <w:p w14:paraId="48619479" w14:textId="77777777" w:rsidR="00DC0FB5" w:rsidRPr="00F27422" w:rsidRDefault="00DC0FB5" w:rsidP="00122B70">
      <w:pPr>
        <w:bidi/>
        <w:rPr>
          <w:b/>
          <w:bCs/>
          <w:sz w:val="32"/>
          <w:szCs w:val="32"/>
          <w:rtl/>
          <w:lang w:bidi="ar-BH"/>
        </w:rPr>
      </w:pPr>
      <w:r w:rsidRPr="00F27422">
        <w:rPr>
          <w:b/>
          <w:bCs/>
          <w:sz w:val="32"/>
          <w:szCs w:val="32"/>
          <w:rtl/>
        </w:rPr>
        <w:t>والثالث: ثبوتُ الأرش في فرض تعذر ردّ العين</w:t>
      </w:r>
      <w:r w:rsidRPr="00F27422">
        <w:rPr>
          <w:b/>
          <w:bCs/>
          <w:sz w:val="32"/>
          <w:szCs w:val="32"/>
        </w:rPr>
        <w:t>.</w:t>
      </w:r>
    </w:p>
    <w:p w14:paraId="6289CC15" w14:textId="77777777" w:rsidR="00DC0FB5" w:rsidRPr="00F27422" w:rsidRDefault="00DC0FB5" w:rsidP="00122B70">
      <w:pPr>
        <w:bidi/>
        <w:rPr>
          <w:b/>
          <w:bCs/>
          <w:sz w:val="32"/>
          <w:szCs w:val="32"/>
          <w:rtl/>
          <w:lang w:bidi="ar-BH"/>
        </w:rPr>
      </w:pPr>
      <w:r w:rsidRPr="00F27422">
        <w:rPr>
          <w:b/>
          <w:bCs/>
          <w:sz w:val="32"/>
          <w:szCs w:val="32"/>
          <w:rtl/>
        </w:rPr>
        <w:t>الاتجاهُ الأوّل: ثبوتُ الأرش مطلقاً</w:t>
      </w:r>
      <w:r w:rsidRPr="00F27422">
        <w:rPr>
          <w:b/>
          <w:bCs/>
          <w:sz w:val="32"/>
          <w:szCs w:val="32"/>
        </w:rPr>
        <w:t>.</w:t>
      </w:r>
    </w:p>
    <w:p w14:paraId="5B673192" w14:textId="77777777" w:rsidR="00DC0FB5" w:rsidRPr="00F27422" w:rsidRDefault="00DC0FB5" w:rsidP="00122B70">
      <w:pPr>
        <w:bidi/>
        <w:rPr>
          <w:sz w:val="32"/>
          <w:szCs w:val="32"/>
          <w:rtl/>
          <w:lang w:bidi="ar-BH"/>
        </w:rPr>
      </w:pPr>
      <w:r w:rsidRPr="00F27422">
        <w:rPr>
          <w:sz w:val="32"/>
          <w:szCs w:val="32"/>
          <w:rtl/>
        </w:rPr>
        <w:t xml:space="preserve">وهذا ما ذهب إليه في جامع المقاصد خلافاً للمشهور، وقد تصدى لتقريبه في الروضة والمسالك الشهيد الثاني (عليه الرحمة) بأنّ مقتضى إطلاق العقد أنْ يكون متعلّقه سليماً؛ إذ لو كان معيبا لذُكر العيب في متن العقد، فمقتضى عدم ذكر العيب أو البراءة مِن العيب أنْ يكون مقتضى الإطلاق هو تعلّق العقد بالعين السليمة، ولازم ذلك أنْ يكون الجزءُ الفائت مِن المنفعة أو الوصف الفائت – وهو الصحّة - مقصوداً للمُستأجر في المعاوضة، أي : بما أنّ إطلاق </w:t>
      </w:r>
      <w:r w:rsidRPr="00F27422">
        <w:rPr>
          <w:sz w:val="32"/>
          <w:szCs w:val="32"/>
          <w:rtl/>
        </w:rPr>
        <w:lastRenderedPageBreak/>
        <w:t>العقد يقتضي ثبوت هذا الوصف فهذا الوصف ملحوظٌ مِن قِبل المُستأجر في مقام المعاوضة، وبما أنّه ملحوظٌ في مقام المعاوضة فإذا لَمْ يحصل كان تخلّفُهُ مساوقاً لنقص المعوض، ومقتضى نقص جزءٍ مِن المعوض ثبوتُ الأرش لضمان ما كان معادِلاً للجزء الناقص</w:t>
      </w:r>
      <w:r w:rsidRPr="00F27422">
        <w:rPr>
          <w:sz w:val="32"/>
          <w:szCs w:val="32"/>
        </w:rPr>
        <w:t>.</w:t>
      </w:r>
    </w:p>
    <w:p w14:paraId="20E5961E" w14:textId="77777777" w:rsidR="00DC0FB5" w:rsidRPr="00F27422" w:rsidRDefault="00DC0FB5" w:rsidP="00122B70">
      <w:pPr>
        <w:bidi/>
        <w:rPr>
          <w:sz w:val="32"/>
          <w:szCs w:val="32"/>
          <w:rtl/>
        </w:rPr>
      </w:pPr>
      <w:r w:rsidRPr="00F27422">
        <w:rPr>
          <w:b/>
          <w:bCs/>
          <w:sz w:val="32"/>
          <w:szCs w:val="32"/>
          <w:rtl/>
        </w:rPr>
        <w:t>ويلاحظ عليه:</w:t>
      </w:r>
      <w:r w:rsidRPr="00F27422">
        <w:rPr>
          <w:sz w:val="32"/>
          <w:szCs w:val="32"/>
          <w:rtl/>
        </w:rPr>
        <w:t xml:space="preserve"> أنّ الحاكم في تحديد ما هو العوض والمعوض في باب المعاوضات بيعاً أو إجارةً هو المرتكز العقلائي.</w:t>
      </w:r>
    </w:p>
    <w:p w14:paraId="22BCBBD7" w14:textId="77777777" w:rsidR="00DC0FB5" w:rsidRPr="00F27422" w:rsidRDefault="00DC0FB5" w:rsidP="00122B70">
      <w:pPr>
        <w:bidi/>
        <w:rPr>
          <w:sz w:val="32"/>
          <w:szCs w:val="32"/>
          <w:rtl/>
          <w:lang w:bidi="ar-BH"/>
        </w:rPr>
      </w:pPr>
      <w:r w:rsidRPr="00F27422">
        <w:rPr>
          <w:b/>
          <w:bCs/>
          <w:sz w:val="32"/>
          <w:szCs w:val="32"/>
          <w:rtl/>
        </w:rPr>
        <w:t xml:space="preserve">والوجه في ذلك: </w:t>
      </w:r>
      <w:r w:rsidRPr="00F27422">
        <w:rPr>
          <w:sz w:val="32"/>
          <w:szCs w:val="32"/>
          <w:rtl/>
        </w:rPr>
        <w:t>أنّ المناط في حدود المعوض حدود الغرض النوعي مِن المعاملة، وحدود الغرض النوعي مِن المعاوضة بيد العقلاء إلّا أنْ يتصدى المتعاقدان لتحديد خلاف ما هو المرتكز العقلائي، والمرتكز العقلائي في باب الإجارة والبيع يرى أنّ المعوض بالثمن والأُجرة ذاتُ العين والمنفعة، لا العين مَعَ وصف الصحّة أو المنفعة مَعَ وصف الصحّة بحيثُ يُرى وصفُ الصحّة جزءاً مِن المعوض، وإنْ كان وجودُ وصف الصحّة غرضاً، إلّا أنّ كونه غرضاً شيءٌ وكونه جزءاً مِن المعوض شيءٌ آخر</w:t>
      </w:r>
      <w:r w:rsidRPr="00F27422">
        <w:rPr>
          <w:sz w:val="32"/>
          <w:szCs w:val="32"/>
        </w:rPr>
        <w:t>.</w:t>
      </w:r>
    </w:p>
    <w:p w14:paraId="3D7EF0C3" w14:textId="77777777" w:rsidR="00DC0FB5" w:rsidRPr="00F27422" w:rsidRDefault="00DC0FB5" w:rsidP="00122B70">
      <w:pPr>
        <w:bidi/>
        <w:rPr>
          <w:sz w:val="32"/>
          <w:szCs w:val="32"/>
          <w:rtl/>
          <w:lang w:bidi="ar-BH"/>
        </w:rPr>
      </w:pPr>
      <w:r w:rsidRPr="00F27422">
        <w:rPr>
          <w:sz w:val="32"/>
          <w:szCs w:val="32"/>
          <w:rtl/>
        </w:rPr>
        <w:t>فلا معنى لكون تخلّف الوصف موجباً لتخلّف جزءٍ مِن المعوض كي يكون مساوقاً لتخلّف جزءٍ مِن العوض فيكون مضموناً بالأرش، وكونُ وصف الصحّة ملحوظاً لا يستلزم لحاظه جزءاً مِن العوض؛ إذ لعلّ لحاظه باعتبار أنّه مِن الأوصاف التوصلية لتحقيق الأثر المقصود مِن المعاملة</w:t>
      </w:r>
      <w:r w:rsidRPr="00F27422">
        <w:rPr>
          <w:sz w:val="32"/>
          <w:szCs w:val="32"/>
        </w:rPr>
        <w:t>.</w:t>
      </w:r>
    </w:p>
    <w:p w14:paraId="49E73185" w14:textId="77777777" w:rsidR="00DC0FB5" w:rsidRPr="00F27422" w:rsidRDefault="00DC0FB5" w:rsidP="00122B70">
      <w:pPr>
        <w:bidi/>
        <w:rPr>
          <w:b/>
          <w:bCs/>
          <w:sz w:val="32"/>
          <w:szCs w:val="32"/>
          <w:rtl/>
          <w:lang w:bidi="ar-BH"/>
        </w:rPr>
      </w:pPr>
      <w:r w:rsidRPr="00F27422">
        <w:rPr>
          <w:b/>
          <w:bCs/>
          <w:sz w:val="32"/>
          <w:szCs w:val="32"/>
          <w:rtl/>
        </w:rPr>
        <w:t>الاتجاه الثاني: عدمُ الثبوت مطلقاً</w:t>
      </w:r>
      <w:r w:rsidRPr="00F27422">
        <w:rPr>
          <w:b/>
          <w:bCs/>
          <w:sz w:val="32"/>
          <w:szCs w:val="32"/>
        </w:rPr>
        <w:t>.</w:t>
      </w:r>
    </w:p>
    <w:p w14:paraId="45639C80" w14:textId="77777777" w:rsidR="00DC0FB5" w:rsidRPr="00F27422" w:rsidRDefault="00DC0FB5" w:rsidP="00122B70">
      <w:pPr>
        <w:bidi/>
        <w:rPr>
          <w:sz w:val="32"/>
          <w:szCs w:val="32"/>
          <w:rtl/>
          <w:lang w:bidi="ar-BH"/>
        </w:rPr>
      </w:pPr>
      <w:r w:rsidRPr="00F27422">
        <w:rPr>
          <w:sz w:val="32"/>
          <w:szCs w:val="32"/>
          <w:rtl/>
        </w:rPr>
        <w:t>وهو المشهورُ في باب الإجارة</w:t>
      </w:r>
      <w:r w:rsidRPr="00F27422">
        <w:rPr>
          <w:sz w:val="32"/>
          <w:szCs w:val="32"/>
        </w:rPr>
        <w:t>.</w:t>
      </w:r>
    </w:p>
    <w:p w14:paraId="1977A488" w14:textId="77777777" w:rsidR="00DC0FB5" w:rsidRPr="00F27422" w:rsidRDefault="00DC0FB5" w:rsidP="00122B70">
      <w:pPr>
        <w:bidi/>
        <w:rPr>
          <w:sz w:val="32"/>
          <w:szCs w:val="32"/>
          <w:rtl/>
          <w:lang w:bidi="ar-BH"/>
        </w:rPr>
      </w:pPr>
      <w:r w:rsidRPr="00F27422">
        <w:rPr>
          <w:sz w:val="32"/>
          <w:szCs w:val="32"/>
          <w:rtl/>
        </w:rPr>
        <w:t>وهذا ما قرره سيدنا الخوئي (قدس سره الشريف) في موسوعته المباركة في كتاب الإجارة</w:t>
      </w:r>
      <w:r w:rsidRPr="00F27422">
        <w:rPr>
          <w:sz w:val="32"/>
          <w:szCs w:val="32"/>
          <w:vertAlign w:val="superscript"/>
          <w:rtl/>
        </w:rPr>
        <w:footnoteReference w:id="81"/>
      </w:r>
      <w:r w:rsidRPr="00F27422">
        <w:rPr>
          <w:sz w:val="32"/>
          <w:szCs w:val="32"/>
          <w:rtl/>
        </w:rPr>
        <w:t xml:space="preserve"> وذلك بأحد وجهين</w:t>
      </w:r>
      <w:r w:rsidRPr="00F27422">
        <w:rPr>
          <w:sz w:val="32"/>
          <w:szCs w:val="32"/>
        </w:rPr>
        <w:t>:</w:t>
      </w:r>
    </w:p>
    <w:p w14:paraId="1DEFBA91" w14:textId="77777777" w:rsidR="00DC0FB5" w:rsidRPr="00F27422" w:rsidRDefault="00DC0FB5" w:rsidP="00122B70">
      <w:pPr>
        <w:bidi/>
        <w:rPr>
          <w:b/>
          <w:bCs/>
          <w:sz w:val="32"/>
          <w:szCs w:val="32"/>
          <w:rtl/>
          <w:lang w:bidi="ar-BH"/>
        </w:rPr>
      </w:pPr>
      <w:r w:rsidRPr="00F27422">
        <w:rPr>
          <w:sz w:val="32"/>
          <w:szCs w:val="32"/>
          <w:rtl/>
        </w:rPr>
        <w:t xml:space="preserve">الوجهُ الأوّل: قوله (قدس سره): </w:t>
      </w:r>
      <w:r w:rsidRPr="00F27422">
        <w:rPr>
          <w:b/>
          <w:bCs/>
          <w:sz w:val="32"/>
          <w:szCs w:val="32"/>
          <w:rtl/>
        </w:rPr>
        <w:t>(فإنّ ذلك حكم تعبّدي خاصّ بالبيع ولا يسري إلى المقام)</w:t>
      </w:r>
      <w:r w:rsidRPr="00F27422">
        <w:rPr>
          <w:b/>
          <w:bCs/>
          <w:sz w:val="32"/>
          <w:szCs w:val="32"/>
        </w:rPr>
        <w:t>.</w:t>
      </w:r>
    </w:p>
    <w:p w14:paraId="10D51941" w14:textId="77777777" w:rsidR="00DC0FB5" w:rsidRPr="00F27422" w:rsidRDefault="00DC0FB5" w:rsidP="00122B70">
      <w:pPr>
        <w:bidi/>
        <w:rPr>
          <w:sz w:val="32"/>
          <w:szCs w:val="32"/>
          <w:rtl/>
          <w:lang w:bidi="ar-BH"/>
        </w:rPr>
      </w:pPr>
      <w:r w:rsidRPr="00F27422">
        <w:rPr>
          <w:sz w:val="32"/>
          <w:szCs w:val="32"/>
          <w:rtl/>
        </w:rPr>
        <w:t xml:space="preserve">وقوله أيضاً: </w:t>
      </w:r>
      <w:r w:rsidRPr="00F27422">
        <w:rPr>
          <w:b/>
          <w:bCs/>
          <w:sz w:val="32"/>
          <w:szCs w:val="32"/>
          <w:rtl/>
        </w:rPr>
        <w:t>(وهذا - كما ترى – حكم تعبّدي مخالف للقاعدة قد ثبت في خصوص البيع بالنصّ الخاصّ، فاللازم الاقتصار عليه ولا موجب للتعدّي عن مورده بعد عدم الدليل عليه)</w:t>
      </w:r>
      <w:r w:rsidRPr="00F27422">
        <w:rPr>
          <w:sz w:val="32"/>
          <w:szCs w:val="32"/>
          <w:vertAlign w:val="superscript"/>
          <w:rtl/>
        </w:rPr>
        <w:footnoteReference w:id="82"/>
      </w:r>
      <w:r w:rsidRPr="00F27422">
        <w:rPr>
          <w:sz w:val="32"/>
          <w:szCs w:val="32"/>
          <w:rtl/>
        </w:rPr>
        <w:t>.</w:t>
      </w:r>
    </w:p>
    <w:p w14:paraId="5A369E84" w14:textId="77777777" w:rsidR="00DC0FB5" w:rsidRPr="00F27422" w:rsidRDefault="00DC0FB5" w:rsidP="00122B70">
      <w:pPr>
        <w:bidi/>
        <w:rPr>
          <w:sz w:val="32"/>
          <w:szCs w:val="32"/>
          <w:rtl/>
          <w:lang w:bidi="ar-BH"/>
        </w:rPr>
      </w:pPr>
      <w:r w:rsidRPr="00F27422">
        <w:rPr>
          <w:b/>
          <w:bCs/>
          <w:sz w:val="32"/>
          <w:szCs w:val="32"/>
          <w:rtl/>
        </w:rPr>
        <w:lastRenderedPageBreak/>
        <w:t xml:space="preserve">وتوضيحه: </w:t>
      </w:r>
      <w:r w:rsidRPr="00F27422">
        <w:rPr>
          <w:sz w:val="32"/>
          <w:szCs w:val="32"/>
          <w:rtl/>
        </w:rPr>
        <w:t>أنّ ضمان الأرش خلافُ القاعدة؛ لأنّ الضمان يعني اشتغال ذمّة صاحب العين المعيبة بالأرش، وبما أنّه اشتغالٌ فهو خلافُ القاعدة، فيقتصر فيه على مقدار ما دلّ الدليل عليه، وما دلّ الدليل عليه إنّما هو في باب البيع فتسريته للإجارة بلا شاهد</w:t>
      </w:r>
      <w:r w:rsidRPr="00F27422">
        <w:rPr>
          <w:sz w:val="32"/>
          <w:szCs w:val="32"/>
        </w:rPr>
        <w:t>.</w:t>
      </w:r>
    </w:p>
    <w:p w14:paraId="7C6C07DD" w14:textId="77777777" w:rsidR="00DC0FB5" w:rsidRPr="00F27422" w:rsidRDefault="00DC0FB5" w:rsidP="00122B70">
      <w:pPr>
        <w:bidi/>
        <w:rPr>
          <w:b/>
          <w:bCs/>
          <w:sz w:val="32"/>
          <w:szCs w:val="32"/>
          <w:rtl/>
          <w:lang w:bidi="ar-BH"/>
        </w:rPr>
      </w:pPr>
      <w:r w:rsidRPr="00F27422">
        <w:rPr>
          <w:b/>
          <w:bCs/>
          <w:sz w:val="32"/>
          <w:szCs w:val="32"/>
          <w:rtl/>
        </w:rPr>
        <w:t>الوجهُ الثاني: وهو مؤلفٌ مِن أمرين</w:t>
      </w:r>
      <w:r w:rsidRPr="00F27422">
        <w:rPr>
          <w:b/>
          <w:bCs/>
          <w:sz w:val="32"/>
          <w:szCs w:val="32"/>
        </w:rPr>
        <w:t>:</w:t>
      </w:r>
    </w:p>
    <w:p w14:paraId="5776A84A" w14:textId="77777777" w:rsidR="00DC0FB5" w:rsidRPr="00F27422" w:rsidRDefault="00DC0FB5" w:rsidP="00122B70">
      <w:pPr>
        <w:bidi/>
        <w:rPr>
          <w:sz w:val="32"/>
          <w:szCs w:val="32"/>
          <w:rtl/>
          <w:lang w:bidi="ar-BH"/>
        </w:rPr>
      </w:pPr>
      <w:r w:rsidRPr="00F27422">
        <w:rPr>
          <w:b/>
          <w:bCs/>
          <w:sz w:val="32"/>
          <w:szCs w:val="32"/>
          <w:rtl/>
        </w:rPr>
        <w:t>الأمرُ الأوّل:</w:t>
      </w:r>
      <w:r w:rsidRPr="00F27422">
        <w:rPr>
          <w:sz w:val="32"/>
          <w:szCs w:val="32"/>
          <w:rtl/>
        </w:rPr>
        <w:t xml:space="preserve"> قوله (قدس سره): </w:t>
      </w:r>
      <w:r w:rsidRPr="00F27422">
        <w:rPr>
          <w:b/>
          <w:bCs/>
          <w:sz w:val="32"/>
          <w:szCs w:val="32"/>
          <w:rtl/>
        </w:rPr>
        <w:t>(أنّ صفة الصحّة كالأوصاف الكماليّة لا تقابل بالمال)</w:t>
      </w:r>
      <w:r w:rsidRPr="00F27422">
        <w:rPr>
          <w:sz w:val="32"/>
          <w:szCs w:val="32"/>
          <w:rtl/>
        </w:rPr>
        <w:t xml:space="preserve"> نظيرُ كون السيارة مِن صناعة الشركة الكذائية ومِن صادرات السنة الكذائية، أو كون السيارة ذات رخصة عامّة أو رخصة </w:t>
      </w:r>
      <w:r w:rsidRPr="00F27422">
        <w:rPr>
          <w:b/>
          <w:bCs/>
          <w:sz w:val="32"/>
          <w:szCs w:val="32"/>
          <w:rtl/>
        </w:rPr>
        <w:t>خاصّة (ولا يقع بإزائها جزء من الثمن أو الاُجرة، وإنّما هي تستوجب زيادة بذل المال بإزاء العين فتؤثّر في ازدياد الرغبة إلى العين الباعث على دفع القيمة الزائدة بإزائها من دون أن تقابل بنفسها بشيء.)</w:t>
      </w:r>
      <w:r w:rsidRPr="00F27422">
        <w:rPr>
          <w:sz w:val="32"/>
          <w:szCs w:val="32"/>
          <w:rtl/>
        </w:rPr>
        <w:t xml:space="preserve"> من العوض </w:t>
      </w:r>
      <w:r w:rsidRPr="00F27422">
        <w:rPr>
          <w:b/>
          <w:bCs/>
          <w:sz w:val="32"/>
          <w:szCs w:val="32"/>
          <w:rtl/>
        </w:rPr>
        <w:t>(إذن فلا مقتضي للمطالبة بالتفاوت بين القيمتين)</w:t>
      </w:r>
      <w:r w:rsidRPr="00F27422">
        <w:rPr>
          <w:sz w:val="32"/>
          <w:szCs w:val="32"/>
          <w:vertAlign w:val="superscript"/>
          <w:rtl/>
        </w:rPr>
        <w:footnoteReference w:id="83"/>
      </w:r>
      <w:r w:rsidRPr="00F27422">
        <w:rPr>
          <w:sz w:val="32"/>
          <w:szCs w:val="32"/>
          <w:rtl/>
        </w:rPr>
        <w:t>.</w:t>
      </w:r>
    </w:p>
    <w:p w14:paraId="7E22F439" w14:textId="77777777" w:rsidR="00DC0FB5" w:rsidRPr="00F27422" w:rsidRDefault="00DC0FB5" w:rsidP="00122B70">
      <w:pPr>
        <w:bidi/>
        <w:rPr>
          <w:sz w:val="32"/>
          <w:szCs w:val="32"/>
          <w:rtl/>
          <w:lang w:bidi="ar-BH"/>
        </w:rPr>
      </w:pPr>
      <w:r w:rsidRPr="00F27422">
        <w:rPr>
          <w:b/>
          <w:bCs/>
          <w:sz w:val="32"/>
          <w:szCs w:val="32"/>
          <w:rtl/>
        </w:rPr>
        <w:t>وبعبارةٍ أُخرى:</w:t>
      </w:r>
      <w:r w:rsidRPr="00F27422">
        <w:rPr>
          <w:sz w:val="32"/>
          <w:szCs w:val="32"/>
          <w:rtl/>
        </w:rPr>
        <w:t xml:space="preserve"> إنّ وصف الصحّة حيثية تعليلية للمالية، وليست حيثية </w:t>
      </w:r>
      <w:proofErr w:type="spellStart"/>
      <w:r w:rsidRPr="00F27422">
        <w:rPr>
          <w:sz w:val="32"/>
          <w:szCs w:val="32"/>
          <w:rtl/>
        </w:rPr>
        <w:t>تقيدية</w:t>
      </w:r>
      <w:proofErr w:type="spellEnd"/>
      <w:r w:rsidRPr="00F27422">
        <w:rPr>
          <w:sz w:val="32"/>
          <w:szCs w:val="32"/>
          <w:rtl/>
        </w:rPr>
        <w:t>، أي: أنّ وجودها موجبٌ لزيادة المالية، لا أنّه مقابلٌ بجزءٍ مِن المالية</w:t>
      </w:r>
      <w:r w:rsidRPr="00F27422">
        <w:rPr>
          <w:sz w:val="32"/>
          <w:szCs w:val="32"/>
        </w:rPr>
        <w:t>.</w:t>
      </w:r>
    </w:p>
    <w:p w14:paraId="1E002AA4" w14:textId="77777777" w:rsidR="00DC0FB5" w:rsidRPr="00F27422" w:rsidRDefault="00DC0FB5" w:rsidP="00122B70">
      <w:pPr>
        <w:bidi/>
        <w:rPr>
          <w:sz w:val="32"/>
          <w:szCs w:val="32"/>
          <w:rtl/>
          <w:lang w:bidi="ar-BH"/>
        </w:rPr>
      </w:pPr>
      <w:r w:rsidRPr="00F27422">
        <w:rPr>
          <w:b/>
          <w:bCs/>
          <w:sz w:val="32"/>
          <w:szCs w:val="32"/>
          <w:rtl/>
        </w:rPr>
        <w:t>الأمرُ الثاني:</w:t>
      </w:r>
      <w:r w:rsidRPr="00F27422">
        <w:rPr>
          <w:sz w:val="32"/>
          <w:szCs w:val="32"/>
          <w:rtl/>
        </w:rPr>
        <w:t xml:space="preserve"> قوله (قدس سره): </w:t>
      </w:r>
      <w:r w:rsidRPr="00F27422">
        <w:rPr>
          <w:b/>
          <w:bCs/>
          <w:sz w:val="32"/>
          <w:szCs w:val="32"/>
          <w:rtl/>
        </w:rPr>
        <w:t>(ولو سلّمنا المقابلة كان لازمها تقسيط الاُجرة لا المطالبة بالأرش)</w:t>
      </w:r>
      <w:r w:rsidRPr="00F27422">
        <w:rPr>
          <w:sz w:val="32"/>
          <w:szCs w:val="32"/>
          <w:vertAlign w:val="superscript"/>
          <w:rtl/>
        </w:rPr>
        <w:footnoteReference w:id="84"/>
      </w:r>
      <w:r w:rsidRPr="00F27422">
        <w:rPr>
          <w:sz w:val="32"/>
          <w:szCs w:val="32"/>
          <w:rtl/>
        </w:rPr>
        <w:t>.</w:t>
      </w:r>
    </w:p>
    <w:p w14:paraId="077099D7" w14:textId="77777777" w:rsidR="00DC0FB5" w:rsidRPr="00F27422" w:rsidRDefault="00DC0FB5" w:rsidP="00122B70">
      <w:pPr>
        <w:bidi/>
        <w:rPr>
          <w:sz w:val="32"/>
          <w:szCs w:val="32"/>
          <w:rtl/>
          <w:lang w:bidi="ar-BH"/>
        </w:rPr>
      </w:pPr>
      <w:r w:rsidRPr="00F27422">
        <w:rPr>
          <w:b/>
          <w:bCs/>
          <w:sz w:val="32"/>
          <w:szCs w:val="32"/>
          <w:rtl/>
        </w:rPr>
        <w:t>ومعناه:</w:t>
      </w:r>
      <w:r w:rsidRPr="00F27422">
        <w:rPr>
          <w:sz w:val="32"/>
          <w:szCs w:val="32"/>
          <w:rtl/>
        </w:rPr>
        <w:t xml:space="preserve"> أنّه لو سلّمنا أنّ هناك مقابلةً بين وصف الصحّة وجزءٍ مِن المالية لكان مقتضى ذلك: أنّ تخلّف وصف الصحّة يعني تقسيط الأُجرة، لا أنّ مقتضى تخلّف وصف الصحّة ثبوت الأرش؛ فالأرش أعم مِن تقسيط الأُجرة</w:t>
      </w:r>
      <w:r w:rsidRPr="00F27422">
        <w:rPr>
          <w:sz w:val="32"/>
          <w:szCs w:val="32"/>
        </w:rPr>
        <w:t>.</w:t>
      </w:r>
    </w:p>
    <w:p w14:paraId="05CA92CB" w14:textId="77777777" w:rsidR="00DC0FB5" w:rsidRPr="00F27422" w:rsidRDefault="00DC0FB5" w:rsidP="00122B70">
      <w:pPr>
        <w:bidi/>
        <w:rPr>
          <w:b/>
          <w:bCs/>
          <w:sz w:val="32"/>
          <w:szCs w:val="32"/>
          <w:rtl/>
          <w:lang w:bidi="ar-BH"/>
        </w:rPr>
      </w:pPr>
      <w:r w:rsidRPr="00F27422">
        <w:rPr>
          <w:sz w:val="32"/>
          <w:szCs w:val="32"/>
          <w:rtl/>
        </w:rPr>
        <w:t xml:space="preserve">ثمّ قال (قدس سره): </w:t>
      </w:r>
      <w:r w:rsidRPr="00F27422">
        <w:rPr>
          <w:b/>
          <w:bCs/>
          <w:sz w:val="32"/>
          <w:szCs w:val="32"/>
          <w:rtl/>
        </w:rPr>
        <w:t>(وتوضيحه: أنّ الأرش الثابت في باب خيار العيب ليس معناه استرداد جزء من الثمن بإزاء وصف الصحّة بحيث يبقى البائع)</w:t>
      </w:r>
      <w:r w:rsidRPr="00F27422">
        <w:rPr>
          <w:sz w:val="32"/>
          <w:szCs w:val="32"/>
          <w:rtl/>
        </w:rPr>
        <w:t xml:space="preserve"> أو المُؤجِر </w:t>
      </w:r>
      <w:r w:rsidRPr="00F27422">
        <w:rPr>
          <w:b/>
          <w:bCs/>
          <w:sz w:val="32"/>
          <w:szCs w:val="32"/>
          <w:rtl/>
        </w:rPr>
        <w:t>(مشغول الذمّة)</w:t>
      </w:r>
      <w:r w:rsidRPr="00F27422">
        <w:rPr>
          <w:sz w:val="32"/>
          <w:szCs w:val="32"/>
          <w:rtl/>
        </w:rPr>
        <w:t xml:space="preserve"> بقسطٍ من الأُجرة مقابلٍ لوصف الصحّة </w:t>
      </w:r>
      <w:r w:rsidRPr="00F27422">
        <w:rPr>
          <w:b/>
          <w:bCs/>
          <w:sz w:val="32"/>
          <w:szCs w:val="32"/>
          <w:rtl/>
        </w:rPr>
        <w:t>(بسبب تخلّف هذا الوصف، وإنّما يثبت الأرش ويضمن البائع بنفس مطالبة المشتري)</w:t>
      </w:r>
      <w:r w:rsidRPr="00F27422">
        <w:rPr>
          <w:sz w:val="32"/>
          <w:szCs w:val="32"/>
          <w:rtl/>
        </w:rPr>
        <w:t xml:space="preserve"> أو المُستأجر، </w:t>
      </w:r>
      <w:r w:rsidRPr="00F27422">
        <w:rPr>
          <w:b/>
          <w:bCs/>
          <w:sz w:val="32"/>
          <w:szCs w:val="32"/>
          <w:rtl/>
        </w:rPr>
        <w:t>(لا بفقد ذاك الوصف، بحيث لو فرضنا أنّ المشتري لم يطالب ولو لأجل أنّه لم يعلم بالعيب إلى أن مات لم تكن ذمّة البائع مشغولة بشيء، لما عرفت من عدم مقابلة هذا الوصف بجزء من الثمن)</w:t>
      </w:r>
      <w:r w:rsidRPr="00F27422">
        <w:rPr>
          <w:b/>
          <w:bCs/>
          <w:sz w:val="32"/>
          <w:szCs w:val="32"/>
        </w:rPr>
        <w:t>.</w:t>
      </w:r>
    </w:p>
    <w:p w14:paraId="476E2660" w14:textId="77777777" w:rsidR="00DC0FB5" w:rsidRPr="00F27422" w:rsidRDefault="00DC0FB5" w:rsidP="00122B70">
      <w:pPr>
        <w:bidi/>
        <w:rPr>
          <w:sz w:val="32"/>
          <w:szCs w:val="32"/>
          <w:rtl/>
          <w:lang w:bidi="ar-BH"/>
        </w:rPr>
      </w:pPr>
      <w:r w:rsidRPr="00F27422">
        <w:rPr>
          <w:b/>
          <w:bCs/>
          <w:sz w:val="32"/>
          <w:szCs w:val="32"/>
          <w:rtl/>
        </w:rPr>
        <w:t>ومعناه:</w:t>
      </w:r>
      <w:r w:rsidRPr="00F27422">
        <w:rPr>
          <w:sz w:val="32"/>
          <w:szCs w:val="32"/>
          <w:rtl/>
        </w:rPr>
        <w:t xml:space="preserve"> أنّه لولا المطالبة فلا ضمان للأرش، ولو كان وصف الصحّة مقابلاً بجزءٍ مِن الثمن والأُجرة لكان صاحب العين المعيبة مشغول الذمّة سواءً التفت الآخر أو لَمْ يلتفت، مع أنّ </w:t>
      </w:r>
      <w:r w:rsidRPr="00F27422">
        <w:rPr>
          <w:sz w:val="32"/>
          <w:szCs w:val="32"/>
          <w:rtl/>
        </w:rPr>
        <w:lastRenderedPageBreak/>
        <w:t>صاحب العين المعيبة إنّما يكون ضامناً للأرش لو التفت المُستأجر للعيب وطالب، وإلّا لو لَمْ يلتفت حتى مات أو لَمْ يطالب لَمْ يكن هناك ضمانٌ للأرش، مما يكشف عن أنّ وصف الصحّة ليس مقابلاً بجزءٍ مِن الثمن.</w:t>
      </w:r>
    </w:p>
    <w:p w14:paraId="67C3064B" w14:textId="77777777" w:rsidR="00DC0FB5" w:rsidRPr="00F27422" w:rsidRDefault="00DC0FB5" w:rsidP="00122B70">
      <w:pPr>
        <w:bidi/>
        <w:rPr>
          <w:b/>
          <w:bCs/>
          <w:sz w:val="32"/>
          <w:szCs w:val="32"/>
          <w:rtl/>
        </w:rPr>
      </w:pPr>
    </w:p>
    <w:p w14:paraId="3FD547C8" w14:textId="77777777" w:rsidR="00DC0FB5" w:rsidRPr="00F27422" w:rsidRDefault="00DC0FB5" w:rsidP="00122B70">
      <w:pPr>
        <w:bidi/>
        <w:rPr>
          <w:b/>
          <w:bCs/>
          <w:sz w:val="32"/>
          <w:szCs w:val="32"/>
          <w:rtl/>
        </w:rPr>
      </w:pPr>
      <w:r w:rsidRPr="00F27422">
        <w:rPr>
          <w:b/>
          <w:bCs/>
          <w:sz w:val="32"/>
          <w:szCs w:val="32"/>
          <w:rtl/>
        </w:rPr>
        <w:t xml:space="preserve">والحمد لله رب العالمين </w:t>
      </w:r>
    </w:p>
    <w:p w14:paraId="3F6B9D46" w14:textId="77777777" w:rsidR="00383E67" w:rsidRPr="00F27422" w:rsidRDefault="00383E67" w:rsidP="00122B70">
      <w:pPr>
        <w:bidi/>
        <w:rPr>
          <w:sz w:val="32"/>
          <w:szCs w:val="32"/>
        </w:rPr>
      </w:pPr>
    </w:p>
    <w:p w14:paraId="487064EE" w14:textId="74944396" w:rsidR="00383E67" w:rsidRPr="00F27422" w:rsidRDefault="00383E67" w:rsidP="00122B70">
      <w:pPr>
        <w:pStyle w:val="Heading3"/>
        <w:bidi/>
        <w:rPr>
          <w:sz w:val="32"/>
          <w:szCs w:val="32"/>
        </w:rPr>
      </w:pPr>
      <w:r w:rsidRPr="00F27422">
        <w:rPr>
          <w:sz w:val="32"/>
          <w:szCs w:val="32"/>
        </w:rPr>
        <w:t>076</w:t>
      </w:r>
    </w:p>
    <w:p w14:paraId="04F3E775" w14:textId="77777777" w:rsidR="001F47FD" w:rsidRPr="00F27422" w:rsidRDefault="001F47FD"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1C032D0D" w14:textId="77777777" w:rsidR="001F47FD" w:rsidRPr="00F27422" w:rsidRDefault="001F47FD"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40E41261"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واللعن الدائم على أعدائهم أجمعين إلى قيام يوم الدين</w:t>
      </w:r>
    </w:p>
    <w:p w14:paraId="08A1F818" w14:textId="77777777" w:rsidR="001F47FD" w:rsidRPr="00F27422" w:rsidRDefault="001F47FD" w:rsidP="00122B70">
      <w:pPr>
        <w:pStyle w:val="a"/>
        <w:bidi/>
        <w:spacing w:line="216" w:lineRule="auto"/>
        <w:jc w:val="left"/>
        <w:rPr>
          <w:rFonts w:ascii="mylotus" w:hAnsi="mylotus"/>
          <w:sz w:val="32"/>
          <w:rtl/>
          <w:lang w:bidi="ar-BH"/>
        </w:rPr>
      </w:pPr>
    </w:p>
    <w:p w14:paraId="48B776ED" w14:textId="77777777" w:rsidR="001F47FD" w:rsidRPr="00F27422" w:rsidRDefault="001F47FD" w:rsidP="00122B70">
      <w:pPr>
        <w:pStyle w:val="a"/>
        <w:bidi/>
        <w:spacing w:line="216" w:lineRule="auto"/>
        <w:jc w:val="left"/>
        <w:rPr>
          <w:rFonts w:ascii="mylotus" w:hAnsi="mylotus"/>
          <w:b/>
          <w:bCs/>
          <w:sz w:val="32"/>
          <w:rtl/>
          <w:lang w:bidi="ar-BH"/>
        </w:rPr>
      </w:pPr>
      <w:r w:rsidRPr="00F27422">
        <w:rPr>
          <w:rFonts w:ascii="mylotus" w:hAnsi="mylotus"/>
          <w:b/>
          <w:bCs/>
          <w:sz w:val="32"/>
          <w:rtl/>
        </w:rPr>
        <w:t>الاتجاهُ الثالث: ثبوتُ الأرش في فرض تعذر ردّ العين</w:t>
      </w:r>
      <w:r w:rsidRPr="00F27422">
        <w:rPr>
          <w:rFonts w:ascii="mylotus" w:hAnsi="mylotus"/>
          <w:b/>
          <w:bCs/>
          <w:sz w:val="32"/>
        </w:rPr>
        <w:t>.</w:t>
      </w:r>
    </w:p>
    <w:p w14:paraId="415A4381"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وهذا ما ذهب إليه بعض الأجلة (رحمه الله) كما قرره في كتابه الإجارة</w:t>
      </w:r>
      <w:r w:rsidRPr="00F27422">
        <w:rPr>
          <w:rStyle w:val="FootnoteReference"/>
          <w:rFonts w:ascii="mylotus" w:hAnsi="mylotus"/>
          <w:sz w:val="32"/>
          <w:rtl/>
        </w:rPr>
        <w:footnoteReference w:id="85"/>
      </w:r>
      <w:r w:rsidRPr="00F27422">
        <w:rPr>
          <w:rFonts w:ascii="mylotus" w:hAnsi="mylotus" w:hint="cs"/>
          <w:sz w:val="32"/>
          <w:rtl/>
          <w:lang w:bidi="ar-BH"/>
        </w:rPr>
        <w:t xml:space="preserve">، </w:t>
      </w:r>
      <w:r w:rsidRPr="00F27422">
        <w:rPr>
          <w:rFonts w:ascii="mylotus" w:hAnsi="mylotus"/>
          <w:sz w:val="32"/>
          <w:rtl/>
        </w:rPr>
        <w:t>وحاصلُ ما ذكره أمورٌ</w:t>
      </w:r>
      <w:r w:rsidRPr="00F27422">
        <w:rPr>
          <w:rFonts w:ascii="mylotus" w:hAnsi="mylotus"/>
          <w:sz w:val="32"/>
        </w:rPr>
        <w:t>:</w:t>
      </w:r>
    </w:p>
    <w:p w14:paraId="3EDC8ACC"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 xml:space="preserve">الأمرُ الأوّل: </w:t>
      </w:r>
      <w:r w:rsidRPr="00F27422">
        <w:rPr>
          <w:rFonts w:ascii="mylotus" w:hAnsi="mylotus"/>
          <w:sz w:val="32"/>
          <w:rtl/>
        </w:rPr>
        <w:t>أنّ مناط ثبوت الخيار هو كون اشتراط السلامة شرطاً ارتكازياً، ومقتضى ارتكازية شرط السلامة ارتكازية ضمان المالية؛ فإنّ أحد الارتكازين مستلزمٌ لارتكاز الآخر، فكما أنّ اشتراط السلامة في المبيع أمرٌ ارتكازي فضمان مالية النقص الحاصل بالعيب أمرٌ ارتكازي، وحيثُ إنّ الضمان لا يتحقّق دائماً بالخيار؛ إمّا لامتناع ردّ العين فلا جدوى في ثبوت الخيار، أو لتلف العين بحيثُ لو فسخ عند التلف للزمه ردّ قيمة العين بدلها وقد تكون قيمة العين يوم الفسخ أكثر مِن قيمتها يوم إبرام المعاملة فيكون المُستأجر أو المُشتري أكثر خسارةً إذا ذهب إلى الخيار مما إذا أمضى؛ لأنّه إنْ أمضى فسوف يتحمل النقص الحاصل بالعيب، بينما لو فسخ للزمه ردّ العين والعين غير موجودة فلابُدّ مِن ردّ بدلها</w:t>
      </w:r>
      <w:r w:rsidRPr="00F27422">
        <w:rPr>
          <w:rFonts w:ascii="mylotus" w:hAnsi="mylotus" w:hint="cs"/>
          <w:sz w:val="32"/>
          <w:rtl/>
        </w:rPr>
        <w:t>،</w:t>
      </w:r>
      <w:r w:rsidRPr="00F27422">
        <w:rPr>
          <w:rFonts w:ascii="mylotus" w:hAnsi="mylotus"/>
          <w:sz w:val="32"/>
          <w:rtl/>
        </w:rPr>
        <w:t xml:space="preserve"> وردّ بدلها - وهو قيمتها يوم الفسخ - قد يكون أضعاف قيمتها يوم إبرام المعاملة</w:t>
      </w:r>
      <w:r w:rsidRPr="00F27422">
        <w:rPr>
          <w:rFonts w:ascii="mylotus" w:hAnsi="mylotus"/>
          <w:sz w:val="32"/>
        </w:rPr>
        <w:t>.</w:t>
      </w:r>
    </w:p>
    <w:p w14:paraId="2DC59345"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 xml:space="preserve">فهذه منبهاتٌ على أنّ ضمان نقص المالية الحاصل بسبب العيب أمرٌ ارتكازي، فلا ريب في الضمان في مثل هذا </w:t>
      </w:r>
      <w:proofErr w:type="gramStart"/>
      <w:r w:rsidRPr="00F27422">
        <w:rPr>
          <w:rFonts w:ascii="mylotus" w:hAnsi="mylotus"/>
          <w:sz w:val="32"/>
          <w:rtl/>
        </w:rPr>
        <w:t>الفرض  في</w:t>
      </w:r>
      <w:proofErr w:type="gramEnd"/>
      <w:r w:rsidRPr="00F27422">
        <w:rPr>
          <w:rFonts w:ascii="mylotus" w:hAnsi="mylotus"/>
          <w:sz w:val="32"/>
          <w:rtl/>
        </w:rPr>
        <w:t xml:space="preserve"> البيع والإجارة</w:t>
      </w:r>
      <w:r w:rsidRPr="00F27422">
        <w:rPr>
          <w:rFonts w:ascii="mylotus" w:hAnsi="mylotus"/>
          <w:sz w:val="32"/>
        </w:rPr>
        <w:t>.</w:t>
      </w:r>
    </w:p>
    <w:p w14:paraId="0FAF8BC5"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 xml:space="preserve">قال (رحمه الله): </w:t>
      </w:r>
      <w:r w:rsidRPr="00F27422">
        <w:rPr>
          <w:rFonts w:ascii="mylotus" w:hAnsi="mylotus"/>
          <w:b/>
          <w:bCs/>
          <w:sz w:val="32"/>
          <w:rtl/>
        </w:rPr>
        <w:t>(وهذه النكتة الارتكازية لا يفرق فيها بين باب البيع وغيره من المعاوضات، فهي تجري في الإجارة أيضاً خصوصاً في المنفعة الناقصة المستوفاة قبل ظهور العيب والذي يكون بحكم التالف)</w:t>
      </w:r>
      <w:r w:rsidRPr="00F27422">
        <w:rPr>
          <w:rFonts w:ascii="mylotus" w:hAnsi="mylotus"/>
          <w:sz w:val="32"/>
          <w:rtl/>
        </w:rPr>
        <w:t xml:space="preserve"> كما لو افترضنا أنّ المُستأجر استوفى المنفعة ثمّ التفت إلى وجود العيب، فإنّ المنفعة حينئذٍ بحكم التالف ولا يمكن ردّها إلى المُؤجر </w:t>
      </w:r>
      <w:r w:rsidRPr="00F27422">
        <w:rPr>
          <w:rFonts w:ascii="mylotus" w:hAnsi="mylotus"/>
          <w:b/>
          <w:bCs/>
          <w:sz w:val="32"/>
          <w:rtl/>
        </w:rPr>
        <w:t>(حيث إنَّ القول بعدم الأرش فيه)</w:t>
      </w:r>
      <w:r w:rsidRPr="00F27422">
        <w:rPr>
          <w:rFonts w:ascii="mylotus" w:hAnsi="mylotus"/>
          <w:sz w:val="32"/>
          <w:rtl/>
        </w:rPr>
        <w:t xml:space="preserve"> أي: في هذا الفرض </w:t>
      </w:r>
      <w:r w:rsidRPr="00F27422">
        <w:rPr>
          <w:rFonts w:ascii="mylotus" w:hAnsi="mylotus"/>
          <w:b/>
          <w:bCs/>
          <w:sz w:val="32"/>
          <w:rtl/>
        </w:rPr>
        <w:t>(مع كون خيار العيب يسقط بالتلف)</w:t>
      </w:r>
      <w:r w:rsidRPr="00F27422">
        <w:rPr>
          <w:rFonts w:ascii="mylotus" w:hAnsi="mylotus"/>
          <w:sz w:val="32"/>
          <w:rtl/>
        </w:rPr>
        <w:t xml:space="preserve"> إذ لا يمكن ردّ المعوض وهو المنفعةُ للمُؤجر </w:t>
      </w:r>
      <w:r w:rsidRPr="00F27422">
        <w:rPr>
          <w:rFonts w:ascii="mylotus" w:hAnsi="mylotus"/>
          <w:b/>
          <w:bCs/>
          <w:sz w:val="32"/>
          <w:rtl/>
        </w:rPr>
        <w:t xml:space="preserve">(معناه هدر حق المستأجر مع كونه) </w:t>
      </w:r>
      <w:r w:rsidRPr="00F27422">
        <w:rPr>
          <w:rFonts w:ascii="mylotus" w:hAnsi="mylotus"/>
          <w:sz w:val="32"/>
          <w:rtl/>
        </w:rPr>
        <w:t xml:space="preserve">أي: المستأجر </w:t>
      </w:r>
      <w:r w:rsidRPr="00F27422">
        <w:rPr>
          <w:rFonts w:ascii="mylotus" w:hAnsi="mylotus"/>
          <w:b/>
          <w:bCs/>
          <w:sz w:val="32"/>
          <w:rtl/>
        </w:rPr>
        <w:t>(قد اشترط)</w:t>
      </w:r>
      <w:r w:rsidRPr="00F27422">
        <w:rPr>
          <w:rFonts w:ascii="mylotus" w:hAnsi="mylotus"/>
          <w:sz w:val="32"/>
          <w:rtl/>
        </w:rPr>
        <w:t xml:space="preserve"> السلامة مِن العيب </w:t>
      </w:r>
      <w:r w:rsidRPr="00F27422">
        <w:rPr>
          <w:rFonts w:ascii="mylotus" w:hAnsi="mylotus"/>
          <w:b/>
          <w:bCs/>
          <w:sz w:val="32"/>
          <w:rtl/>
        </w:rPr>
        <w:t xml:space="preserve">(وقد تخلف الشرط بل لو كان ملاك الخيار المذكور) </w:t>
      </w:r>
      <w:r w:rsidRPr="00F27422">
        <w:rPr>
          <w:rFonts w:ascii="mylotus" w:hAnsi="mylotus"/>
          <w:sz w:val="32"/>
          <w:rtl/>
        </w:rPr>
        <w:t xml:space="preserve">وهو خيار العيب </w:t>
      </w:r>
      <w:r w:rsidRPr="00F27422">
        <w:rPr>
          <w:rFonts w:ascii="mylotus" w:hAnsi="mylotus"/>
          <w:b/>
          <w:bCs/>
          <w:sz w:val="32"/>
          <w:rtl/>
        </w:rPr>
        <w:t>(هو الاشتراط)</w:t>
      </w:r>
      <w:r w:rsidRPr="00F27422">
        <w:rPr>
          <w:rFonts w:ascii="mylotus" w:hAnsi="mylotus"/>
          <w:sz w:val="32"/>
          <w:rtl/>
        </w:rPr>
        <w:t xml:space="preserve"> أي: اشتراط السلامة </w:t>
      </w:r>
      <w:r w:rsidRPr="00F27422">
        <w:rPr>
          <w:rFonts w:ascii="mylotus" w:hAnsi="mylotus"/>
          <w:b/>
          <w:bCs/>
          <w:sz w:val="32"/>
          <w:rtl/>
        </w:rPr>
        <w:t xml:space="preserve">(كان ثبوته على القاعدة غير منوط بوجود </w:t>
      </w:r>
      <w:r w:rsidRPr="00F27422">
        <w:rPr>
          <w:rFonts w:ascii="mylotus" w:hAnsi="mylotus"/>
          <w:b/>
          <w:bCs/>
          <w:sz w:val="32"/>
          <w:rtl/>
        </w:rPr>
        <w:lastRenderedPageBreak/>
        <w:t>المعوض وعدم التصرف فيه)</w:t>
      </w:r>
      <w:r w:rsidRPr="00F27422">
        <w:rPr>
          <w:rFonts w:ascii="mylotus" w:hAnsi="mylotus"/>
          <w:sz w:val="32"/>
          <w:rtl/>
        </w:rPr>
        <w:t xml:space="preserve"> فسواءً تصرف أو لَمْ يتصرف، وبقيّ المعوض أم تلف، فإنّ له خيار العيب؛ لأنّ مناط الخيار هو اشتراط السلامة وقد تخل</w:t>
      </w:r>
      <w:r w:rsidRPr="00F27422">
        <w:rPr>
          <w:rFonts w:ascii="mylotus" w:hAnsi="mylotus" w:hint="cs"/>
          <w:sz w:val="32"/>
          <w:rtl/>
        </w:rPr>
        <w:t>ّ</w:t>
      </w:r>
      <w:r w:rsidRPr="00F27422">
        <w:rPr>
          <w:rFonts w:ascii="mylotus" w:hAnsi="mylotus"/>
          <w:sz w:val="32"/>
          <w:rtl/>
        </w:rPr>
        <w:t>ف الشرط</w:t>
      </w:r>
      <w:r w:rsidRPr="00F27422">
        <w:rPr>
          <w:rFonts w:ascii="mylotus" w:hAnsi="mylotus"/>
          <w:sz w:val="32"/>
        </w:rPr>
        <w:t>.</w:t>
      </w:r>
    </w:p>
    <w:p w14:paraId="5C91C5E7"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الأمرُ الثاني:</w:t>
      </w:r>
      <w:r w:rsidRPr="00F27422">
        <w:rPr>
          <w:rFonts w:ascii="mylotus" w:hAnsi="mylotus"/>
          <w:sz w:val="32"/>
          <w:rtl/>
        </w:rPr>
        <w:t xml:space="preserve"> إنّه لا يبعد استفادة ذلك مِن روايات ثبوت الأرش عند تبيّن كون المبيع معيباً؛ حيثُ إنّ سياق الروايات الواردة في ثبوت الأرش سياق الإمضاء للمرتكز العقلائي - لا التعبد -، وذهابُ الفقه الوضعي لضمان الأرش شاهدٌ على ثبوت الارتكاز المذكور وهو أنّ النقص الحاصل في المالية بسبب العيب مضمونٌ</w:t>
      </w:r>
      <w:r w:rsidRPr="00F27422">
        <w:rPr>
          <w:rFonts w:ascii="mylotus" w:hAnsi="mylotus"/>
          <w:sz w:val="32"/>
        </w:rPr>
        <w:t>.</w:t>
      </w:r>
    </w:p>
    <w:p w14:paraId="5F6217BE"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بل يمكن القول: إن</w:t>
      </w:r>
      <w:r w:rsidRPr="00F27422">
        <w:rPr>
          <w:rFonts w:ascii="mylotus" w:hAnsi="mylotus" w:hint="cs"/>
          <w:sz w:val="32"/>
          <w:rtl/>
        </w:rPr>
        <w:t>ّ</w:t>
      </w:r>
      <w:r w:rsidRPr="00F27422">
        <w:rPr>
          <w:rFonts w:ascii="mylotus" w:hAnsi="mylotus"/>
          <w:sz w:val="32"/>
          <w:rtl/>
        </w:rPr>
        <w:t>ه لا يستفاد مِن روايات ثبوت الأرش في عيب المبيع إلّا ثبوته في فرض تعذر ردّ العين أو تلفها لا مطلقاً</w:t>
      </w:r>
      <w:r w:rsidRPr="00F27422">
        <w:rPr>
          <w:rFonts w:ascii="mylotus" w:hAnsi="mylotus"/>
          <w:sz w:val="32"/>
        </w:rPr>
        <w:t>.</w:t>
      </w:r>
    </w:p>
    <w:p w14:paraId="5135B248"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 xml:space="preserve">قال (رحمه الله): </w:t>
      </w:r>
      <w:r w:rsidRPr="00F27422">
        <w:rPr>
          <w:rFonts w:ascii="mylotus" w:hAnsi="mylotus"/>
          <w:b/>
          <w:bCs/>
          <w:sz w:val="32"/>
          <w:rtl/>
        </w:rPr>
        <w:t>(ومن هنا يمكن دعوى أنّ حق أخذ الأرش مطلقاً أو على الأقل في حالات تعذر ردّ العين أو عدم الفائدة فيه أمر ثابت ومركوز عند العقلاء أيضاً، وليست الروايات الخاصة الواردة في باب البيع إلّا إمضاء لذلك، بل لعل لسان بعضها يناسب الإمضاء لا الحكم التعبدي، ولعل مراجعة الفقه الوضعي أيضاً تشهد على ارتكازية حق الأرش)</w:t>
      </w:r>
      <w:r w:rsidRPr="00F27422">
        <w:rPr>
          <w:rStyle w:val="FootnoteReference"/>
          <w:rFonts w:ascii="mylotus" w:hAnsi="mylotus"/>
          <w:sz w:val="32"/>
          <w:rtl/>
        </w:rPr>
        <w:footnoteReference w:id="86"/>
      </w:r>
      <w:r w:rsidRPr="00F27422">
        <w:rPr>
          <w:rFonts w:ascii="mylotus" w:hAnsi="mylotus" w:hint="cs"/>
          <w:b/>
          <w:bCs/>
          <w:sz w:val="32"/>
          <w:rtl/>
        </w:rPr>
        <w:t>.</w:t>
      </w:r>
    </w:p>
    <w:p w14:paraId="14056154"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الأمرُ الثالث:</w:t>
      </w:r>
      <w:r w:rsidRPr="00F27422">
        <w:rPr>
          <w:rFonts w:ascii="mylotus" w:hAnsi="mylotus"/>
          <w:sz w:val="32"/>
          <w:rtl/>
        </w:rPr>
        <w:t xml:space="preserve"> إنّ ضمان الأرش لا يعني انفساخ الإجارة في الجزء المعيب؛ إذ لو كان مرجع ضمان الأرش لانفساخ الإجارة في الجزء المعيب لكان ذلك مقتضياً لتقسيط الأُجرة</w:t>
      </w:r>
      <w:r w:rsidRPr="00F27422">
        <w:rPr>
          <w:rFonts w:ascii="mylotus" w:hAnsi="mylotus" w:hint="cs"/>
          <w:sz w:val="32"/>
          <w:rtl/>
        </w:rPr>
        <w:t>.</w:t>
      </w:r>
    </w:p>
    <w:p w14:paraId="2D739FF2"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ولكن هذا ليس صحيحا</w:t>
      </w:r>
      <w:r w:rsidRPr="00F27422">
        <w:rPr>
          <w:rFonts w:ascii="mylotus" w:hAnsi="mylotus" w:hint="cs"/>
          <w:b/>
          <w:bCs/>
          <w:sz w:val="32"/>
          <w:rtl/>
        </w:rPr>
        <w:t>ً</w:t>
      </w:r>
      <w:r w:rsidRPr="00F27422">
        <w:rPr>
          <w:rFonts w:ascii="mylotus" w:hAnsi="mylotus"/>
          <w:b/>
          <w:bCs/>
          <w:sz w:val="32"/>
          <w:rtl/>
        </w:rPr>
        <w:t xml:space="preserve"> بالإجماع؛</w:t>
      </w:r>
      <w:r w:rsidRPr="00F27422">
        <w:rPr>
          <w:rFonts w:ascii="mylotus" w:hAnsi="mylotus"/>
          <w:sz w:val="32"/>
          <w:rtl/>
        </w:rPr>
        <w:t xml:space="preserve"> وإنّما ثبوت الأرش بملاك جبر النقص الحاصل بالعيب، ومقتضى ذلك أنّه لا يلزم المُؤجر التعويض مِن نفس </w:t>
      </w:r>
      <w:proofErr w:type="gramStart"/>
      <w:r w:rsidRPr="00F27422">
        <w:rPr>
          <w:rFonts w:ascii="mylotus" w:hAnsi="mylotus"/>
          <w:sz w:val="32"/>
          <w:rtl/>
        </w:rPr>
        <w:t>الأُجرة</w:t>
      </w:r>
      <w:proofErr w:type="gramEnd"/>
      <w:r w:rsidRPr="00F27422">
        <w:rPr>
          <w:rFonts w:ascii="mylotus" w:hAnsi="mylotus"/>
          <w:sz w:val="32"/>
          <w:rtl/>
        </w:rPr>
        <w:t xml:space="preserve"> بل مِن أيِّ مالٍ؛ إذ لا خصوصية لكون الضمان مِن نفس الأُجرة</w:t>
      </w:r>
      <w:r w:rsidRPr="00F27422">
        <w:rPr>
          <w:rFonts w:ascii="mylotus" w:hAnsi="mylotus"/>
          <w:sz w:val="32"/>
        </w:rPr>
        <w:t>.</w:t>
      </w:r>
    </w:p>
    <w:p w14:paraId="47CBC4E1"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 xml:space="preserve">قال (رحمه الله): </w:t>
      </w:r>
      <w:r w:rsidRPr="00F27422">
        <w:rPr>
          <w:rFonts w:ascii="mylotus" w:hAnsi="mylotus"/>
          <w:b/>
          <w:bCs/>
          <w:sz w:val="32"/>
          <w:rtl/>
        </w:rPr>
        <w:t>(كما أنّ ثبوت الأرش لا يعني لزوم كونه من عين العوض ثمناً أو اُجرة، إذ لا خصوصية في ذلك بعد أن كان الغرض العقلائي منه جبر النقيصة الحاصلة بالعيب، فليس بابه باب بطلان الإجارة والتقسيط ليكون من الحق في العوض)</w:t>
      </w:r>
      <w:r w:rsidRPr="00F27422">
        <w:rPr>
          <w:rStyle w:val="FootnoteReference"/>
          <w:rFonts w:ascii="mylotus" w:hAnsi="mylotus"/>
          <w:sz w:val="32"/>
          <w:rtl/>
        </w:rPr>
        <w:footnoteReference w:id="87"/>
      </w:r>
      <w:r w:rsidRPr="00F27422">
        <w:rPr>
          <w:rFonts w:ascii="mylotus" w:hAnsi="mylotus" w:hint="cs"/>
          <w:b/>
          <w:bCs/>
          <w:sz w:val="32"/>
          <w:rtl/>
        </w:rPr>
        <w:t>.</w:t>
      </w:r>
    </w:p>
    <w:p w14:paraId="6F4CCDE4" w14:textId="77777777" w:rsidR="001F47FD" w:rsidRPr="00F27422" w:rsidRDefault="001F47FD" w:rsidP="00122B70">
      <w:pPr>
        <w:pStyle w:val="a"/>
        <w:bidi/>
        <w:spacing w:line="216" w:lineRule="auto"/>
        <w:jc w:val="left"/>
        <w:rPr>
          <w:rFonts w:ascii="mylotus" w:hAnsi="mylotus"/>
          <w:b/>
          <w:bCs/>
          <w:sz w:val="32"/>
          <w:rtl/>
          <w:lang w:bidi="ar-BH"/>
        </w:rPr>
      </w:pPr>
      <w:r w:rsidRPr="00F27422">
        <w:rPr>
          <w:rFonts w:ascii="mylotus" w:hAnsi="mylotus"/>
          <w:sz w:val="32"/>
          <w:rtl/>
        </w:rPr>
        <w:t>وهذا خلافاً لما ذكره سيدنا الخوئي (قدس سره) في موسوعته المباركة في كتاب الإجارة</w:t>
      </w:r>
      <w:r w:rsidRPr="00F27422">
        <w:rPr>
          <w:rStyle w:val="FootnoteReference"/>
          <w:rFonts w:ascii="mylotus" w:hAnsi="mylotus"/>
          <w:sz w:val="32"/>
          <w:rtl/>
        </w:rPr>
        <w:footnoteReference w:id="88"/>
      </w:r>
      <w:r w:rsidRPr="00F27422">
        <w:rPr>
          <w:rFonts w:ascii="mylotus" w:hAnsi="mylotus"/>
          <w:sz w:val="32"/>
          <w:rtl/>
        </w:rPr>
        <w:t xml:space="preserve"> </w:t>
      </w:r>
      <w:r w:rsidRPr="00F27422">
        <w:rPr>
          <w:rFonts w:ascii="mylotus" w:hAnsi="mylotus" w:hint="cs"/>
          <w:sz w:val="32"/>
          <w:rtl/>
        </w:rPr>
        <w:t>بقوله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فضمان</w:t>
      </w:r>
      <w:r w:rsidRPr="00F27422">
        <w:rPr>
          <w:rFonts w:ascii="mylotus" w:hAnsi="mylotus"/>
          <w:b/>
          <w:bCs/>
          <w:sz w:val="32"/>
          <w:rtl/>
        </w:rPr>
        <w:t xml:space="preserve"> </w:t>
      </w:r>
      <w:r w:rsidRPr="00F27422">
        <w:rPr>
          <w:rFonts w:ascii="mylotus" w:hAnsi="mylotus" w:hint="cs"/>
          <w:b/>
          <w:bCs/>
          <w:sz w:val="32"/>
          <w:rtl/>
        </w:rPr>
        <w:t>التفاوت</w:t>
      </w:r>
      <w:r w:rsidRPr="00F27422">
        <w:rPr>
          <w:rFonts w:ascii="mylotus" w:hAnsi="mylotus"/>
          <w:b/>
          <w:bCs/>
          <w:sz w:val="32"/>
          <w:rtl/>
        </w:rPr>
        <w:t xml:space="preserve"> </w:t>
      </w:r>
      <w:r w:rsidRPr="00F27422">
        <w:rPr>
          <w:rFonts w:ascii="mylotus" w:hAnsi="mylotus" w:hint="cs"/>
          <w:b/>
          <w:bCs/>
          <w:sz w:val="32"/>
          <w:rtl/>
        </w:rPr>
        <w:t>بين</w:t>
      </w:r>
      <w:r w:rsidRPr="00F27422">
        <w:rPr>
          <w:rFonts w:ascii="mylotus" w:hAnsi="mylotus"/>
          <w:b/>
          <w:bCs/>
          <w:sz w:val="32"/>
          <w:rtl/>
        </w:rPr>
        <w:t xml:space="preserve"> </w:t>
      </w:r>
      <w:r w:rsidRPr="00F27422">
        <w:rPr>
          <w:rFonts w:ascii="mylotus" w:hAnsi="mylotus" w:hint="cs"/>
          <w:b/>
          <w:bCs/>
          <w:sz w:val="32"/>
          <w:rtl/>
        </w:rPr>
        <w:t>الصحيح</w:t>
      </w:r>
      <w:r w:rsidRPr="00F27422">
        <w:rPr>
          <w:rFonts w:ascii="mylotus" w:hAnsi="mylotus"/>
          <w:b/>
          <w:bCs/>
          <w:sz w:val="32"/>
          <w:rtl/>
        </w:rPr>
        <w:t xml:space="preserve"> </w:t>
      </w:r>
      <w:r w:rsidRPr="00F27422">
        <w:rPr>
          <w:rFonts w:ascii="mylotus" w:hAnsi="mylotus" w:hint="cs"/>
          <w:b/>
          <w:bCs/>
          <w:sz w:val="32"/>
          <w:rtl/>
        </w:rPr>
        <w:t>والمعيب</w:t>
      </w:r>
      <w:r w:rsidRPr="00F27422">
        <w:rPr>
          <w:rFonts w:ascii="mylotus" w:hAnsi="mylotus"/>
          <w:b/>
          <w:bCs/>
          <w:sz w:val="32"/>
          <w:rtl/>
        </w:rPr>
        <w:t xml:space="preserve"> </w:t>
      </w:r>
      <w:r w:rsidRPr="00F27422">
        <w:rPr>
          <w:rFonts w:ascii="mylotus" w:hAnsi="mylotus" w:hint="cs"/>
          <w:b/>
          <w:bCs/>
          <w:sz w:val="32"/>
          <w:rtl/>
        </w:rPr>
        <w:t>المعبّر</w:t>
      </w:r>
      <w:r w:rsidRPr="00F27422">
        <w:rPr>
          <w:rFonts w:ascii="mylotus" w:hAnsi="mylotus"/>
          <w:b/>
          <w:bCs/>
          <w:sz w:val="32"/>
          <w:rtl/>
        </w:rPr>
        <w:t xml:space="preserve"> </w:t>
      </w:r>
      <w:r w:rsidRPr="00F27422">
        <w:rPr>
          <w:rFonts w:ascii="mylotus" w:hAnsi="mylotus" w:hint="cs"/>
          <w:b/>
          <w:bCs/>
          <w:sz w:val="32"/>
          <w:rtl/>
        </w:rPr>
        <w:t>عنه</w:t>
      </w:r>
      <w:r w:rsidRPr="00F27422">
        <w:rPr>
          <w:rFonts w:ascii="mylotus" w:hAnsi="mylotus"/>
          <w:b/>
          <w:bCs/>
          <w:sz w:val="32"/>
          <w:rtl/>
        </w:rPr>
        <w:t xml:space="preserve"> </w:t>
      </w:r>
      <w:r w:rsidRPr="00F27422">
        <w:rPr>
          <w:rFonts w:ascii="mylotus" w:hAnsi="mylotus" w:hint="cs"/>
          <w:b/>
          <w:bCs/>
          <w:sz w:val="32"/>
          <w:rtl/>
        </w:rPr>
        <w:t>بالأرش</w:t>
      </w:r>
      <w:r w:rsidRPr="00F27422">
        <w:rPr>
          <w:rFonts w:ascii="mylotus" w:hAnsi="mylotus"/>
          <w:b/>
          <w:bCs/>
          <w:sz w:val="32"/>
          <w:rtl/>
        </w:rPr>
        <w:t xml:space="preserve"> </w:t>
      </w:r>
      <w:r w:rsidRPr="00F27422">
        <w:rPr>
          <w:rFonts w:ascii="mylotus" w:hAnsi="mylotus" w:hint="cs"/>
          <w:b/>
          <w:bCs/>
          <w:sz w:val="32"/>
          <w:rtl/>
        </w:rPr>
        <w:t>حكم</w:t>
      </w:r>
      <w:r w:rsidRPr="00F27422">
        <w:rPr>
          <w:rFonts w:ascii="mylotus" w:hAnsi="mylotus"/>
          <w:b/>
          <w:bCs/>
          <w:sz w:val="32"/>
          <w:rtl/>
        </w:rPr>
        <w:t xml:space="preserve"> </w:t>
      </w:r>
      <w:r w:rsidRPr="00F27422">
        <w:rPr>
          <w:rFonts w:ascii="mylotus" w:hAnsi="mylotus" w:hint="cs"/>
          <w:b/>
          <w:bCs/>
          <w:sz w:val="32"/>
          <w:rtl/>
        </w:rPr>
        <w:t>جديد</w:t>
      </w:r>
      <w:r w:rsidRPr="00F27422">
        <w:rPr>
          <w:rFonts w:ascii="mylotus" w:hAnsi="mylotus"/>
          <w:b/>
          <w:bCs/>
          <w:sz w:val="32"/>
          <w:rtl/>
        </w:rPr>
        <w:t xml:space="preserve"> </w:t>
      </w:r>
      <w:r w:rsidRPr="00F27422">
        <w:rPr>
          <w:rFonts w:ascii="mylotus" w:hAnsi="mylotus" w:hint="cs"/>
          <w:b/>
          <w:bCs/>
          <w:sz w:val="32"/>
          <w:rtl/>
        </w:rPr>
        <w:t>يثبت</w:t>
      </w:r>
      <w:r w:rsidRPr="00F27422">
        <w:rPr>
          <w:rFonts w:ascii="mylotus" w:hAnsi="mylotus"/>
          <w:b/>
          <w:bCs/>
          <w:sz w:val="32"/>
          <w:rtl/>
        </w:rPr>
        <w:t xml:space="preserve"> </w:t>
      </w:r>
      <w:r w:rsidRPr="00F27422">
        <w:rPr>
          <w:rFonts w:ascii="mylotus" w:hAnsi="mylotus" w:hint="cs"/>
          <w:b/>
          <w:bCs/>
          <w:sz w:val="32"/>
          <w:rtl/>
        </w:rPr>
        <w:t>بنفس</w:t>
      </w:r>
      <w:r w:rsidRPr="00F27422">
        <w:rPr>
          <w:rFonts w:ascii="mylotus" w:hAnsi="mylotus"/>
          <w:b/>
          <w:bCs/>
          <w:sz w:val="32"/>
          <w:rtl/>
        </w:rPr>
        <w:t xml:space="preserve"> </w:t>
      </w:r>
      <w:r w:rsidRPr="00F27422">
        <w:rPr>
          <w:rFonts w:ascii="mylotus" w:hAnsi="mylotus" w:hint="cs"/>
          <w:b/>
          <w:bCs/>
          <w:sz w:val="32"/>
          <w:rtl/>
        </w:rPr>
        <w:t>المطالبة</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لولا</w:t>
      </w:r>
      <w:r w:rsidRPr="00F27422">
        <w:rPr>
          <w:rFonts w:ascii="mylotus" w:hAnsi="mylotus"/>
          <w:sz w:val="32"/>
          <w:rtl/>
        </w:rPr>
        <w:t xml:space="preserve"> </w:t>
      </w:r>
      <w:r w:rsidRPr="00F27422">
        <w:rPr>
          <w:rFonts w:ascii="mylotus" w:hAnsi="mylotus" w:hint="cs"/>
          <w:sz w:val="32"/>
          <w:rtl/>
        </w:rPr>
        <w:t>المطالبة</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ضمان</w:t>
      </w:r>
      <w:r w:rsidRPr="00F27422">
        <w:rPr>
          <w:rFonts w:ascii="mylotus" w:hAnsi="mylotus"/>
          <w:sz w:val="32"/>
          <w:rtl/>
        </w:rPr>
        <w:t xml:space="preserve"> </w:t>
      </w:r>
      <w:r w:rsidRPr="00F27422">
        <w:rPr>
          <w:rFonts w:ascii="mylotus" w:hAnsi="mylotus" w:hint="cs"/>
          <w:sz w:val="32"/>
          <w:rtl/>
        </w:rPr>
        <w:t>للنقص</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وبها</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بالمطالبة</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تشتغل</w:t>
      </w:r>
      <w:r w:rsidRPr="00F27422">
        <w:rPr>
          <w:rFonts w:ascii="mylotus" w:hAnsi="mylotus"/>
          <w:b/>
          <w:bCs/>
          <w:sz w:val="32"/>
          <w:rtl/>
        </w:rPr>
        <w:t xml:space="preserve"> </w:t>
      </w:r>
      <w:r w:rsidRPr="00F27422">
        <w:rPr>
          <w:rFonts w:ascii="mylotus" w:hAnsi="mylotus" w:hint="cs"/>
          <w:b/>
          <w:bCs/>
          <w:sz w:val="32"/>
          <w:rtl/>
        </w:rPr>
        <w:t>الذمّة،</w:t>
      </w:r>
      <w:r w:rsidRPr="00F27422">
        <w:rPr>
          <w:rFonts w:ascii="mylotus" w:hAnsi="mylotus"/>
          <w:b/>
          <w:bCs/>
          <w:sz w:val="32"/>
          <w:rtl/>
        </w:rPr>
        <w:t xml:space="preserve"> </w:t>
      </w:r>
      <w:r w:rsidRPr="00F27422">
        <w:rPr>
          <w:rFonts w:ascii="mylotus" w:hAnsi="mylotus" w:hint="cs"/>
          <w:b/>
          <w:bCs/>
          <w:sz w:val="32"/>
          <w:rtl/>
        </w:rPr>
        <w:t>ومن</w:t>
      </w:r>
      <w:r w:rsidRPr="00F27422">
        <w:rPr>
          <w:rFonts w:ascii="mylotus" w:hAnsi="mylotus"/>
          <w:b/>
          <w:bCs/>
          <w:sz w:val="32"/>
          <w:rtl/>
        </w:rPr>
        <w:t xml:space="preserve"> </w:t>
      </w:r>
      <w:r w:rsidRPr="00F27422">
        <w:rPr>
          <w:rFonts w:ascii="mylotus" w:hAnsi="mylotus" w:hint="cs"/>
          <w:b/>
          <w:bCs/>
          <w:sz w:val="32"/>
          <w:rtl/>
        </w:rPr>
        <w:t>ثمّ</w:t>
      </w:r>
      <w:r w:rsidRPr="00F27422">
        <w:rPr>
          <w:rFonts w:ascii="mylotus" w:hAnsi="mylotus"/>
          <w:b/>
          <w:bCs/>
          <w:sz w:val="32"/>
          <w:rtl/>
        </w:rPr>
        <w:t xml:space="preserve"> </w:t>
      </w:r>
      <w:r w:rsidRPr="00F27422">
        <w:rPr>
          <w:rFonts w:ascii="mylotus" w:hAnsi="mylotus" w:hint="cs"/>
          <w:b/>
          <w:bCs/>
          <w:sz w:val="32"/>
          <w:rtl/>
        </w:rPr>
        <w:t>لم</w:t>
      </w:r>
      <w:r w:rsidRPr="00F27422">
        <w:rPr>
          <w:rFonts w:ascii="mylotus" w:hAnsi="mylotus"/>
          <w:b/>
          <w:bCs/>
          <w:sz w:val="32"/>
          <w:rtl/>
        </w:rPr>
        <w:t xml:space="preserve"> </w:t>
      </w:r>
      <w:r w:rsidRPr="00F27422">
        <w:rPr>
          <w:rFonts w:ascii="mylotus" w:hAnsi="mylotus" w:hint="cs"/>
          <w:b/>
          <w:bCs/>
          <w:sz w:val="32"/>
          <w:rtl/>
        </w:rPr>
        <w:t>يختصّ</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الأرش</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بجزء</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الثمن</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أو</w:t>
      </w:r>
      <w:r w:rsidRPr="00F27422">
        <w:rPr>
          <w:rFonts w:ascii="mylotus" w:hAnsi="mylotus"/>
          <w:sz w:val="32"/>
          <w:rtl/>
        </w:rPr>
        <w:t xml:space="preserve"> </w:t>
      </w:r>
      <w:r w:rsidRPr="00F27422">
        <w:rPr>
          <w:rFonts w:ascii="mylotus" w:hAnsi="mylotus" w:hint="cs"/>
          <w:sz w:val="32"/>
          <w:rtl/>
        </w:rPr>
        <w:t>الأُجرة</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بل</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المُؤجر</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الخروج</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عهدة</w:t>
      </w:r>
      <w:r w:rsidRPr="00F27422">
        <w:rPr>
          <w:rFonts w:ascii="mylotus" w:hAnsi="mylotus"/>
          <w:b/>
          <w:bCs/>
          <w:sz w:val="32"/>
          <w:rtl/>
        </w:rPr>
        <w:t xml:space="preserve"> </w:t>
      </w:r>
      <w:r w:rsidRPr="00F27422">
        <w:rPr>
          <w:rFonts w:ascii="mylotus" w:hAnsi="mylotus" w:hint="cs"/>
          <w:b/>
          <w:bCs/>
          <w:sz w:val="32"/>
          <w:rtl/>
        </w:rPr>
        <w:t>هذا</w:t>
      </w:r>
      <w:r w:rsidRPr="00F27422">
        <w:rPr>
          <w:rFonts w:ascii="mylotus" w:hAnsi="mylotus"/>
          <w:b/>
          <w:bCs/>
          <w:sz w:val="32"/>
          <w:rtl/>
        </w:rPr>
        <w:t xml:space="preserve"> </w:t>
      </w:r>
      <w:r w:rsidRPr="00F27422">
        <w:rPr>
          <w:rFonts w:ascii="mylotus" w:hAnsi="mylotus" w:hint="cs"/>
          <w:b/>
          <w:bCs/>
          <w:sz w:val="32"/>
          <w:rtl/>
        </w:rPr>
        <w:t>الضمان</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أيّ</w:t>
      </w:r>
      <w:r w:rsidRPr="00F27422">
        <w:rPr>
          <w:rFonts w:ascii="mylotus" w:hAnsi="mylotus"/>
          <w:b/>
          <w:bCs/>
          <w:sz w:val="32"/>
          <w:rtl/>
        </w:rPr>
        <w:t xml:space="preserve"> مال كان، فلو كان المناط في هذا الضمان)</w:t>
      </w:r>
      <w:r w:rsidRPr="00F27422">
        <w:rPr>
          <w:rFonts w:ascii="mylotus" w:hAnsi="mylotus"/>
          <w:sz w:val="32"/>
          <w:rtl/>
        </w:rPr>
        <w:t xml:space="preserve"> أي: ضمان الأرش </w:t>
      </w:r>
      <w:r w:rsidRPr="00F27422">
        <w:rPr>
          <w:rFonts w:ascii="mylotus" w:hAnsi="mylotus"/>
          <w:b/>
          <w:bCs/>
          <w:sz w:val="32"/>
          <w:rtl/>
        </w:rPr>
        <w:t>(المقابلة المزعومة المزبورة)</w:t>
      </w:r>
      <w:r w:rsidRPr="00F27422">
        <w:rPr>
          <w:rFonts w:ascii="mylotus" w:hAnsi="mylotus"/>
          <w:sz w:val="32"/>
          <w:rtl/>
        </w:rPr>
        <w:t xml:space="preserve"> بين الأُجرة وبين وصف الصحّة </w:t>
      </w:r>
      <w:r w:rsidRPr="00F27422">
        <w:rPr>
          <w:rFonts w:ascii="mylotus" w:hAnsi="mylotus"/>
          <w:b/>
          <w:bCs/>
          <w:sz w:val="32"/>
          <w:rtl/>
        </w:rPr>
        <w:t>(لزم استرداد جزء من نفس الثمن)</w:t>
      </w:r>
      <w:r w:rsidRPr="00F27422">
        <w:rPr>
          <w:rFonts w:ascii="mylotus" w:hAnsi="mylotus"/>
          <w:sz w:val="32"/>
          <w:rtl/>
        </w:rPr>
        <w:t xml:space="preserve"> في حال البيع </w:t>
      </w:r>
      <w:r w:rsidRPr="00F27422">
        <w:rPr>
          <w:rFonts w:ascii="mylotus" w:hAnsi="mylotus"/>
          <w:b/>
          <w:bCs/>
          <w:sz w:val="32"/>
          <w:rtl/>
        </w:rPr>
        <w:t xml:space="preserve">(طالب المشتري أم لا، علم بالعيب أم لا، لأنّ هذا المقدار من المال) </w:t>
      </w:r>
      <w:r w:rsidRPr="00F27422">
        <w:rPr>
          <w:rFonts w:ascii="mylotus" w:hAnsi="mylotus"/>
          <w:sz w:val="32"/>
          <w:rtl/>
        </w:rPr>
        <w:t xml:space="preserve">المقابل لوصف الصحّة </w:t>
      </w:r>
      <w:r w:rsidRPr="00F27422">
        <w:rPr>
          <w:rFonts w:ascii="mylotus" w:hAnsi="mylotus"/>
          <w:b/>
          <w:bCs/>
          <w:sz w:val="32"/>
          <w:rtl/>
        </w:rPr>
        <w:t>(لم يملكه البائع من الأوّل)</w:t>
      </w:r>
      <w:r w:rsidRPr="00F27422">
        <w:rPr>
          <w:rFonts w:ascii="mylotus" w:hAnsi="mylotus"/>
          <w:sz w:val="32"/>
          <w:rtl/>
        </w:rPr>
        <w:t xml:space="preserve"> لتخلّف وصف الصحّة </w:t>
      </w:r>
      <w:r w:rsidRPr="00F27422">
        <w:rPr>
          <w:rFonts w:ascii="mylotus" w:hAnsi="mylotus"/>
          <w:b/>
          <w:bCs/>
          <w:sz w:val="32"/>
          <w:rtl/>
        </w:rPr>
        <w:t xml:space="preserve">(وهذا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كما</w:t>
      </w:r>
      <w:r w:rsidRPr="00F27422">
        <w:rPr>
          <w:rFonts w:ascii="mylotus" w:hAnsi="mylotus"/>
          <w:b/>
          <w:bCs/>
          <w:sz w:val="32"/>
          <w:rtl/>
        </w:rPr>
        <w:t xml:space="preserve"> </w:t>
      </w:r>
      <w:r w:rsidRPr="00F27422">
        <w:rPr>
          <w:rFonts w:ascii="mylotus" w:hAnsi="mylotus" w:hint="cs"/>
          <w:b/>
          <w:bCs/>
          <w:sz w:val="32"/>
          <w:rtl/>
        </w:rPr>
        <w:t>ترى</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لم</w:t>
      </w:r>
      <w:r w:rsidRPr="00F27422">
        <w:rPr>
          <w:rFonts w:ascii="mylotus" w:hAnsi="mylotus"/>
          <w:b/>
          <w:bCs/>
          <w:sz w:val="32"/>
          <w:rtl/>
        </w:rPr>
        <w:t xml:space="preserve"> </w:t>
      </w:r>
      <w:r w:rsidRPr="00F27422">
        <w:rPr>
          <w:rFonts w:ascii="mylotus" w:hAnsi="mylotus" w:hint="cs"/>
          <w:b/>
          <w:bCs/>
          <w:sz w:val="32"/>
          <w:rtl/>
        </w:rPr>
        <w:t>يلتزم</w:t>
      </w:r>
      <w:r w:rsidRPr="00F27422">
        <w:rPr>
          <w:rFonts w:ascii="mylotus" w:hAnsi="mylotus"/>
          <w:b/>
          <w:bCs/>
          <w:sz w:val="32"/>
          <w:rtl/>
        </w:rPr>
        <w:t xml:space="preserve"> </w:t>
      </w:r>
      <w:r w:rsidRPr="00F27422">
        <w:rPr>
          <w:rFonts w:ascii="mylotus" w:hAnsi="mylotus" w:hint="cs"/>
          <w:b/>
          <w:bCs/>
          <w:sz w:val="32"/>
          <w:rtl/>
        </w:rPr>
        <w:t>به</w:t>
      </w:r>
      <w:r w:rsidRPr="00F27422">
        <w:rPr>
          <w:rFonts w:ascii="mylotus" w:hAnsi="mylotus"/>
          <w:b/>
          <w:bCs/>
          <w:sz w:val="32"/>
          <w:rtl/>
        </w:rPr>
        <w:t xml:space="preserve"> </w:t>
      </w:r>
      <w:r w:rsidRPr="00F27422">
        <w:rPr>
          <w:rFonts w:ascii="mylotus" w:hAnsi="mylotus" w:hint="cs"/>
          <w:b/>
          <w:bCs/>
          <w:sz w:val="32"/>
          <w:rtl/>
        </w:rPr>
        <w:t>أحد</w:t>
      </w:r>
      <w:r w:rsidRPr="00F27422">
        <w:rPr>
          <w:rFonts w:ascii="mylotus" w:hAnsi="mylotus"/>
          <w:b/>
          <w:bCs/>
          <w:sz w:val="32"/>
          <w:rtl/>
        </w:rPr>
        <w:t xml:space="preserve"> </w:t>
      </w:r>
      <w:r w:rsidRPr="00F27422">
        <w:rPr>
          <w:rFonts w:ascii="mylotus" w:hAnsi="mylotus" w:hint="cs"/>
          <w:b/>
          <w:bCs/>
          <w:sz w:val="32"/>
          <w:rtl/>
        </w:rPr>
        <w:t>جزماً،</w:t>
      </w:r>
      <w:r w:rsidRPr="00F27422">
        <w:rPr>
          <w:rFonts w:ascii="mylotus" w:hAnsi="mylotus"/>
          <w:b/>
          <w:bCs/>
          <w:sz w:val="32"/>
          <w:rtl/>
        </w:rPr>
        <w:t xml:space="preserve"> </w:t>
      </w:r>
      <w:r w:rsidRPr="00F27422">
        <w:rPr>
          <w:rFonts w:ascii="mylotus" w:hAnsi="mylotus" w:hint="cs"/>
          <w:b/>
          <w:bCs/>
          <w:sz w:val="32"/>
          <w:rtl/>
        </w:rPr>
        <w:t>لتطابق</w:t>
      </w:r>
      <w:r w:rsidRPr="00F27422">
        <w:rPr>
          <w:rFonts w:ascii="mylotus" w:hAnsi="mylotus"/>
          <w:b/>
          <w:bCs/>
          <w:sz w:val="32"/>
          <w:rtl/>
        </w:rPr>
        <w:t xml:space="preserve"> </w:t>
      </w:r>
      <w:r w:rsidRPr="00F27422">
        <w:rPr>
          <w:rFonts w:ascii="mylotus" w:hAnsi="mylotus" w:hint="cs"/>
          <w:b/>
          <w:bCs/>
          <w:sz w:val="32"/>
          <w:rtl/>
        </w:rPr>
        <w:t>النصّ</w:t>
      </w:r>
      <w:r w:rsidRPr="00F27422">
        <w:rPr>
          <w:rFonts w:ascii="mylotus" w:hAnsi="mylotus"/>
          <w:b/>
          <w:bCs/>
          <w:sz w:val="32"/>
          <w:rtl/>
        </w:rPr>
        <w:t xml:space="preserve"> </w:t>
      </w:r>
      <w:r w:rsidRPr="00F27422">
        <w:rPr>
          <w:rFonts w:ascii="mylotus" w:hAnsi="mylotus" w:hint="cs"/>
          <w:b/>
          <w:bCs/>
          <w:sz w:val="32"/>
          <w:rtl/>
        </w:rPr>
        <w:t>والفتوى</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إناطة</w:t>
      </w:r>
      <w:r w:rsidRPr="00F27422">
        <w:rPr>
          <w:rFonts w:ascii="mylotus" w:hAnsi="mylotus"/>
          <w:b/>
          <w:bCs/>
          <w:sz w:val="32"/>
          <w:rtl/>
        </w:rPr>
        <w:t xml:space="preserve"> </w:t>
      </w:r>
      <w:r w:rsidRPr="00F27422">
        <w:rPr>
          <w:rFonts w:ascii="mylotus" w:hAnsi="mylotus" w:hint="cs"/>
          <w:b/>
          <w:bCs/>
          <w:sz w:val="32"/>
          <w:rtl/>
        </w:rPr>
        <w:t>الضمان</w:t>
      </w:r>
      <w:r w:rsidRPr="00F27422">
        <w:rPr>
          <w:rFonts w:ascii="mylotus" w:hAnsi="mylotus"/>
          <w:b/>
          <w:bCs/>
          <w:sz w:val="32"/>
          <w:rtl/>
        </w:rPr>
        <w:t xml:space="preserve"> </w:t>
      </w:r>
      <w:r w:rsidRPr="00F27422">
        <w:rPr>
          <w:rFonts w:ascii="mylotus" w:hAnsi="mylotus" w:hint="cs"/>
          <w:b/>
          <w:bCs/>
          <w:sz w:val="32"/>
          <w:rtl/>
        </w:rPr>
        <w:t>بالمطالبة</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بحيثُ</w:t>
      </w:r>
      <w:r w:rsidRPr="00F27422">
        <w:rPr>
          <w:rFonts w:ascii="mylotus" w:hAnsi="mylotus"/>
          <w:sz w:val="32"/>
          <w:rtl/>
        </w:rPr>
        <w:t xml:space="preserve"> </w:t>
      </w:r>
      <w:r w:rsidRPr="00F27422">
        <w:rPr>
          <w:rFonts w:ascii="mylotus" w:hAnsi="mylotus" w:hint="cs"/>
          <w:sz w:val="32"/>
          <w:rtl/>
        </w:rPr>
        <w:t>لولا</w:t>
      </w:r>
      <w:r w:rsidRPr="00F27422">
        <w:rPr>
          <w:rFonts w:ascii="mylotus" w:hAnsi="mylotus"/>
          <w:sz w:val="32"/>
          <w:rtl/>
        </w:rPr>
        <w:t xml:space="preserve"> </w:t>
      </w:r>
      <w:r w:rsidRPr="00F27422">
        <w:rPr>
          <w:rFonts w:ascii="mylotus" w:hAnsi="mylotus" w:hint="cs"/>
          <w:sz w:val="32"/>
          <w:rtl/>
        </w:rPr>
        <w:t>المطالبة</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ضمان</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وجواز</w:t>
      </w:r>
      <w:r w:rsidRPr="00F27422">
        <w:rPr>
          <w:rFonts w:ascii="mylotus" w:hAnsi="mylotus"/>
          <w:b/>
          <w:bCs/>
          <w:sz w:val="32"/>
          <w:rtl/>
        </w:rPr>
        <w:t xml:space="preserve"> </w:t>
      </w:r>
      <w:r w:rsidRPr="00F27422">
        <w:rPr>
          <w:rFonts w:ascii="mylotus" w:hAnsi="mylotus" w:hint="cs"/>
          <w:b/>
          <w:bCs/>
          <w:sz w:val="32"/>
          <w:rtl/>
        </w:rPr>
        <w:t>الدفع</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أيّ</w:t>
      </w:r>
      <w:r w:rsidRPr="00F27422">
        <w:rPr>
          <w:rFonts w:ascii="mylotus" w:hAnsi="mylotus"/>
          <w:b/>
          <w:bCs/>
          <w:sz w:val="32"/>
          <w:rtl/>
        </w:rPr>
        <w:t xml:space="preserve"> </w:t>
      </w:r>
      <w:r w:rsidRPr="00F27422">
        <w:rPr>
          <w:rFonts w:ascii="mylotus" w:hAnsi="mylotus" w:hint="cs"/>
          <w:b/>
          <w:bCs/>
          <w:sz w:val="32"/>
          <w:rtl/>
        </w:rPr>
        <w:t>مال</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فلا</w:t>
      </w:r>
      <w:r w:rsidRPr="00F27422">
        <w:rPr>
          <w:rFonts w:ascii="mylotus" w:hAnsi="mylotus"/>
          <w:b/>
          <w:bCs/>
          <w:sz w:val="32"/>
          <w:rtl/>
        </w:rPr>
        <w:t xml:space="preserve"> </w:t>
      </w:r>
      <w:r w:rsidRPr="00F27422">
        <w:rPr>
          <w:rFonts w:ascii="mylotus" w:hAnsi="mylotus" w:hint="cs"/>
          <w:b/>
          <w:bCs/>
          <w:sz w:val="32"/>
          <w:rtl/>
        </w:rPr>
        <w:t>جرم</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هذا</w:t>
      </w:r>
      <w:r w:rsidRPr="00F27422">
        <w:rPr>
          <w:rFonts w:ascii="mylotus" w:hAnsi="mylotus"/>
          <w:b/>
          <w:bCs/>
          <w:sz w:val="32"/>
          <w:rtl/>
        </w:rPr>
        <w:t xml:space="preserve"> </w:t>
      </w:r>
      <w:r w:rsidRPr="00F27422">
        <w:rPr>
          <w:rFonts w:ascii="mylotus" w:hAnsi="mylotus" w:hint="cs"/>
          <w:b/>
          <w:bCs/>
          <w:sz w:val="32"/>
          <w:rtl/>
        </w:rPr>
        <w:t>حكماً</w:t>
      </w:r>
      <w:r w:rsidRPr="00F27422">
        <w:rPr>
          <w:rFonts w:ascii="mylotus" w:hAnsi="mylotus"/>
          <w:b/>
          <w:bCs/>
          <w:sz w:val="32"/>
          <w:rtl/>
        </w:rPr>
        <w:t xml:space="preserve"> </w:t>
      </w:r>
      <w:r w:rsidRPr="00F27422">
        <w:rPr>
          <w:rFonts w:ascii="mylotus" w:hAnsi="mylotus" w:hint="cs"/>
          <w:b/>
          <w:bCs/>
          <w:sz w:val="32"/>
          <w:rtl/>
        </w:rPr>
        <w:t>تعبّديّاً</w:t>
      </w:r>
      <w:r w:rsidRPr="00F27422">
        <w:rPr>
          <w:rFonts w:ascii="mylotus" w:hAnsi="mylotus"/>
          <w:b/>
          <w:bCs/>
          <w:sz w:val="32"/>
          <w:rtl/>
        </w:rPr>
        <w:t xml:space="preserve"> </w:t>
      </w:r>
      <w:r w:rsidRPr="00F27422">
        <w:rPr>
          <w:rFonts w:ascii="mylotus" w:hAnsi="mylotus" w:hint="cs"/>
          <w:b/>
          <w:bCs/>
          <w:sz w:val="32"/>
          <w:rtl/>
        </w:rPr>
        <w:t>مختصّاً</w:t>
      </w:r>
      <w:r w:rsidRPr="00F27422">
        <w:rPr>
          <w:rFonts w:ascii="mylotus" w:hAnsi="mylotus"/>
          <w:b/>
          <w:bCs/>
          <w:sz w:val="32"/>
          <w:rtl/>
        </w:rPr>
        <w:t xml:space="preserve"> </w:t>
      </w:r>
      <w:r w:rsidRPr="00F27422">
        <w:rPr>
          <w:rFonts w:ascii="mylotus" w:hAnsi="mylotus" w:hint="cs"/>
          <w:b/>
          <w:bCs/>
          <w:sz w:val="32"/>
          <w:rtl/>
        </w:rPr>
        <w:t>بمورده</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وهو</w:t>
      </w:r>
      <w:r w:rsidRPr="00F27422">
        <w:rPr>
          <w:rFonts w:ascii="mylotus" w:hAnsi="mylotus"/>
          <w:b/>
          <w:bCs/>
          <w:sz w:val="32"/>
          <w:rtl/>
        </w:rPr>
        <w:t xml:space="preserve"> </w:t>
      </w:r>
      <w:r w:rsidRPr="00F27422">
        <w:rPr>
          <w:rFonts w:ascii="mylotus" w:hAnsi="mylotus" w:hint="cs"/>
          <w:b/>
          <w:bCs/>
          <w:sz w:val="32"/>
          <w:rtl/>
        </w:rPr>
        <w:t>البيع</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ولا</w:t>
      </w:r>
      <w:r w:rsidRPr="00F27422">
        <w:rPr>
          <w:rFonts w:ascii="mylotus" w:hAnsi="mylotus"/>
          <w:b/>
          <w:bCs/>
          <w:sz w:val="32"/>
          <w:rtl/>
        </w:rPr>
        <w:t xml:space="preserve"> </w:t>
      </w:r>
      <w:r w:rsidRPr="00F27422">
        <w:rPr>
          <w:rFonts w:ascii="mylotus" w:hAnsi="mylotus" w:hint="cs"/>
          <w:b/>
          <w:bCs/>
          <w:sz w:val="32"/>
          <w:rtl/>
        </w:rPr>
        <w:t>ينسحب</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غيره</w:t>
      </w:r>
      <w:r w:rsidRPr="00F27422">
        <w:rPr>
          <w:rFonts w:ascii="mylotus" w:hAnsi="mylotus"/>
          <w:b/>
          <w:bCs/>
          <w:sz w:val="32"/>
          <w:rtl/>
        </w:rPr>
        <w:t>)</w:t>
      </w:r>
      <w:r w:rsidRPr="00F27422">
        <w:rPr>
          <w:rFonts w:ascii="mylotus" w:hAnsi="mylotus"/>
          <w:b/>
          <w:bCs/>
          <w:sz w:val="32"/>
        </w:rPr>
        <w:t>.</w:t>
      </w:r>
    </w:p>
    <w:p w14:paraId="7083A214"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 xml:space="preserve">وهذا هو المنظورُ في كلام بعض الأجلة (رحمه الله) الذي قال بأنّ ثبوت الأرش بملاك ضمان النقص، فإذا كان بملاك ضمان النقص فليس بملاك مقابلته بالأُجرة كي يُشكل على ذلك </w:t>
      </w:r>
      <w:r w:rsidRPr="00F27422">
        <w:rPr>
          <w:rFonts w:ascii="mylotus" w:hAnsi="mylotus"/>
          <w:sz w:val="32"/>
          <w:rtl/>
        </w:rPr>
        <w:lastRenderedPageBreak/>
        <w:t xml:space="preserve">بأنّه لو كان الأرش ثابتاً لكان مقتضى ذلك استردادُ قسطٍ مِن الأُجرة، بل هو </w:t>
      </w:r>
      <w:proofErr w:type="spellStart"/>
      <w:r w:rsidRPr="00F27422">
        <w:rPr>
          <w:rFonts w:ascii="mylotus" w:hAnsi="mylotus"/>
          <w:sz w:val="32"/>
          <w:rtl/>
        </w:rPr>
        <w:t>بميلاك</w:t>
      </w:r>
      <w:proofErr w:type="spellEnd"/>
      <w:r w:rsidRPr="00F27422">
        <w:rPr>
          <w:rFonts w:ascii="mylotus" w:hAnsi="mylotus"/>
          <w:sz w:val="32"/>
          <w:rtl/>
        </w:rPr>
        <w:t xml:space="preserve"> النقص الحاصل بالعيب، لا بملاك المقابلة كي يلزم مِن ذلك تقسيط الثمن أو تقسيط الأُجرة</w:t>
      </w:r>
      <w:r w:rsidRPr="00F27422">
        <w:rPr>
          <w:rFonts w:ascii="mylotus" w:hAnsi="mylotus"/>
          <w:sz w:val="32"/>
        </w:rPr>
        <w:t>.</w:t>
      </w:r>
    </w:p>
    <w:p w14:paraId="04EDDC05"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 xml:space="preserve">الأمرُ الرابع: </w:t>
      </w:r>
      <w:r w:rsidRPr="00F27422">
        <w:rPr>
          <w:rFonts w:ascii="mylotus" w:hAnsi="mylotus"/>
          <w:sz w:val="32"/>
          <w:rtl/>
        </w:rPr>
        <w:t>حيثُ إنّ مرتكز مَن أنكر ثبوت الأرش في باب الإجارة كسيدنا الخوئي (قدس سره الشريف) هو أنّ ضمان صاحب العين المعيبة للأرش فرعُ المطالبة، فلو كان بملاك جبر النقص لَمْ يكن متفرعاً على المطالبة، بل متى ثبت تخلّف وصف الصحّة كان صاحب العين المعيبة ضامناً؛ لأنّ المفروض أنّ ملاك الضمان هو تخلّف الوصف، فمتى تخلّف وصف الصحّة ضمن، طالب المشتري أم لا، طالب المستأجر أم لا، مع أنّ الإجماع قائمٌ أنْ لا أرش إلّا في فرض الضمان، ولذلك لو أنّ المُستأجر ماتَ قَبل أنْ يطالب فلا ضمان على المُؤجر</w:t>
      </w:r>
      <w:r w:rsidRPr="00F27422">
        <w:rPr>
          <w:rFonts w:ascii="mylotus" w:hAnsi="mylotus"/>
          <w:sz w:val="32"/>
        </w:rPr>
        <w:t>.</w:t>
      </w:r>
    </w:p>
    <w:p w14:paraId="341E5DF2"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وهذه هي النقطة المحورية في المناقشة التي أورد عليها بعض الأجلة (رحمه الله)</w:t>
      </w:r>
      <w:r w:rsidRPr="00F27422">
        <w:rPr>
          <w:rFonts w:ascii="mylotus" w:hAnsi="mylotus"/>
          <w:sz w:val="32"/>
        </w:rPr>
        <w:t>.</w:t>
      </w:r>
    </w:p>
    <w:p w14:paraId="0C06D440"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بأن</w:t>
      </w:r>
      <w:r w:rsidRPr="00F27422">
        <w:rPr>
          <w:rFonts w:ascii="mylotus" w:hAnsi="mylotus" w:hint="cs"/>
          <w:b/>
          <w:bCs/>
          <w:sz w:val="32"/>
          <w:rtl/>
        </w:rPr>
        <w:t>ّ</w:t>
      </w:r>
      <w:r w:rsidRPr="00F27422">
        <w:rPr>
          <w:rFonts w:ascii="mylotus" w:hAnsi="mylotus"/>
          <w:b/>
          <w:bCs/>
          <w:sz w:val="32"/>
          <w:rtl/>
        </w:rPr>
        <w:t>ه قد يُقال:</w:t>
      </w:r>
      <w:r w:rsidRPr="00F27422">
        <w:rPr>
          <w:rFonts w:ascii="mylotus" w:hAnsi="mylotus"/>
          <w:sz w:val="32"/>
          <w:rtl/>
        </w:rPr>
        <w:t xml:space="preserve"> كيف يمكن الجمع بين كون الأرش جبراً للنقص الحاصل بالعيب على طبق القاعدة وبين كون ثبوته فرع المطالبة، لا مِن حين تخلّف وصف الصحّة؟</w:t>
      </w:r>
    </w:p>
    <w:p w14:paraId="7D094BBA"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والجوابُ عن ذلك:</w:t>
      </w:r>
      <w:r w:rsidRPr="00F27422">
        <w:rPr>
          <w:rFonts w:ascii="mylotus" w:hAnsi="mylotus"/>
          <w:sz w:val="32"/>
          <w:rtl/>
        </w:rPr>
        <w:t xml:space="preserve"> إنّه يمكن أنْ يكون الثابت له ابتداءً هو الجامع بين الخيار والأرش على تقدير المطالبة، أي: يمكن القول: بأنّه حين تخلّف وصف الصحّة ثبت للمُستأجر الجامع بين الخيار أو ضمان الأرش على تقدير المطالبة، وهذا يعني أنّ الأرش ثابتٌ مِن الأوّل؛ لثبوت أحد فر</w:t>
      </w:r>
      <w:r w:rsidRPr="00F27422">
        <w:rPr>
          <w:rFonts w:ascii="mylotus" w:hAnsi="mylotus" w:hint="cs"/>
          <w:sz w:val="32"/>
          <w:rtl/>
        </w:rPr>
        <w:t>دي</w:t>
      </w:r>
      <w:r w:rsidRPr="00F27422">
        <w:rPr>
          <w:rFonts w:ascii="mylotus" w:hAnsi="mylotus"/>
          <w:sz w:val="32"/>
          <w:rtl/>
        </w:rPr>
        <w:t xml:space="preserve"> </w:t>
      </w:r>
      <w:r w:rsidRPr="00F27422">
        <w:rPr>
          <w:rFonts w:ascii="mylotus" w:hAnsi="mylotus" w:hint="cs"/>
          <w:sz w:val="32"/>
          <w:rtl/>
        </w:rPr>
        <w:t>الجامع</w:t>
      </w:r>
      <w:r w:rsidRPr="00F27422">
        <w:rPr>
          <w:rFonts w:ascii="mylotus" w:hAnsi="mylotus"/>
          <w:sz w:val="32"/>
          <w:rtl/>
        </w:rPr>
        <w:t xml:space="preserve"> </w:t>
      </w:r>
      <w:r w:rsidRPr="00F27422">
        <w:rPr>
          <w:rFonts w:ascii="mylotus" w:hAnsi="mylotus" w:hint="cs"/>
          <w:sz w:val="32"/>
          <w:rtl/>
        </w:rPr>
        <w:t>بثبوت</w:t>
      </w:r>
      <w:r w:rsidRPr="00F27422">
        <w:rPr>
          <w:rFonts w:ascii="mylotus" w:hAnsi="mylotus"/>
          <w:sz w:val="32"/>
          <w:rtl/>
        </w:rPr>
        <w:t xml:space="preserve"> </w:t>
      </w:r>
      <w:r w:rsidRPr="00F27422">
        <w:rPr>
          <w:rFonts w:ascii="mylotus" w:hAnsi="mylotus" w:hint="cs"/>
          <w:sz w:val="32"/>
          <w:rtl/>
        </w:rPr>
        <w:t>نفسه،</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الأرش</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يثبت</w:t>
      </w:r>
      <w:r w:rsidRPr="00F27422">
        <w:rPr>
          <w:rFonts w:ascii="mylotus" w:hAnsi="mylotus"/>
          <w:sz w:val="32"/>
          <w:rtl/>
        </w:rPr>
        <w:t xml:space="preserve"> </w:t>
      </w:r>
      <w:r w:rsidRPr="00F27422">
        <w:rPr>
          <w:rFonts w:ascii="mylotus" w:hAnsi="mylotus" w:hint="cs"/>
          <w:sz w:val="32"/>
          <w:rtl/>
        </w:rPr>
        <w:t>إلّا</w:t>
      </w:r>
      <w:r w:rsidRPr="00F27422">
        <w:rPr>
          <w:rFonts w:ascii="mylotus" w:hAnsi="mylotus"/>
          <w:sz w:val="32"/>
          <w:rtl/>
        </w:rPr>
        <w:t xml:space="preserve"> </w:t>
      </w:r>
      <w:r w:rsidRPr="00F27422">
        <w:rPr>
          <w:rFonts w:ascii="mylotus" w:hAnsi="mylotus" w:hint="cs"/>
          <w:sz w:val="32"/>
          <w:rtl/>
        </w:rPr>
        <w:t>عند</w:t>
      </w:r>
      <w:r w:rsidRPr="00F27422">
        <w:rPr>
          <w:rFonts w:ascii="mylotus" w:hAnsi="mylotus"/>
          <w:sz w:val="32"/>
          <w:rtl/>
        </w:rPr>
        <w:t xml:space="preserve"> </w:t>
      </w:r>
      <w:r w:rsidRPr="00F27422">
        <w:rPr>
          <w:rFonts w:ascii="mylotus" w:hAnsi="mylotus" w:hint="cs"/>
          <w:sz w:val="32"/>
          <w:rtl/>
        </w:rPr>
        <w:t>المطالبة</w:t>
      </w:r>
      <w:r w:rsidRPr="00F27422">
        <w:rPr>
          <w:rFonts w:ascii="mylotus" w:hAnsi="mylotus"/>
          <w:sz w:val="32"/>
        </w:rPr>
        <w:t>.</w:t>
      </w:r>
    </w:p>
    <w:p w14:paraId="68AB0C6A"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هذا تمام ما ذكره بعض الأجلة (رحمه الله) في إثبات أنّ ضمان الأرش على طبق القاعدة، وليس خلاف القاعدة، بل النصوص الواردة في أرش عيب المبيع أصلاً هي واردة على طبق المرتكز العقلائي</w:t>
      </w:r>
      <w:r w:rsidRPr="00F27422">
        <w:rPr>
          <w:rFonts w:ascii="mylotus" w:hAnsi="mylotus"/>
          <w:sz w:val="32"/>
        </w:rPr>
        <w:t>.</w:t>
      </w:r>
    </w:p>
    <w:p w14:paraId="05082371" w14:textId="77777777" w:rsidR="001F47FD" w:rsidRPr="00F27422" w:rsidRDefault="001F47FD" w:rsidP="00122B70">
      <w:pPr>
        <w:pStyle w:val="a"/>
        <w:bidi/>
        <w:spacing w:line="216" w:lineRule="auto"/>
        <w:jc w:val="left"/>
        <w:rPr>
          <w:rFonts w:ascii="mylotus" w:hAnsi="mylotus"/>
          <w:b/>
          <w:bCs/>
          <w:sz w:val="32"/>
          <w:rtl/>
          <w:lang w:bidi="ar-BH"/>
        </w:rPr>
      </w:pPr>
      <w:r w:rsidRPr="00F27422">
        <w:rPr>
          <w:rFonts w:ascii="mylotus" w:hAnsi="mylotus"/>
          <w:b/>
          <w:bCs/>
          <w:sz w:val="32"/>
          <w:rtl/>
        </w:rPr>
        <w:t>ويلاحظ على ذلك</w:t>
      </w:r>
      <w:r w:rsidRPr="00F27422">
        <w:rPr>
          <w:rFonts w:ascii="mylotus" w:hAnsi="mylotus"/>
          <w:b/>
          <w:bCs/>
          <w:sz w:val="32"/>
        </w:rPr>
        <w:t>:</w:t>
      </w:r>
    </w:p>
    <w:p w14:paraId="24444CDE"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أوّلاً:</w:t>
      </w:r>
      <w:r w:rsidRPr="00F27422">
        <w:rPr>
          <w:rFonts w:ascii="mylotus" w:hAnsi="mylotus"/>
          <w:sz w:val="32"/>
          <w:rtl/>
        </w:rPr>
        <w:t xml:space="preserve"> إنّ مناط ثبوت الخيار في المقام إمّا قاعدة "لا ضرر" أو اشتراط السلامة</w:t>
      </w:r>
      <w:r w:rsidRPr="00F27422">
        <w:rPr>
          <w:rFonts w:ascii="mylotus" w:hAnsi="mylotus"/>
          <w:sz w:val="32"/>
        </w:rPr>
        <w:t>.</w:t>
      </w:r>
    </w:p>
    <w:p w14:paraId="6B459792"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 xml:space="preserve">فإنْ كان المدرك هو الأوّل </w:t>
      </w:r>
      <w:r w:rsidRPr="00F27422">
        <w:rPr>
          <w:rFonts w:ascii="mylotus" w:hAnsi="mylotus"/>
          <w:sz w:val="32"/>
          <w:rtl/>
        </w:rPr>
        <w:t>- وهو قاعدة "لا ضرر"، فقد يُقال حينئذٍ: إنّ عدم ثبوت الأرش للمُستأجر مع عدم إمكان ردّ العين أو تلفها ضررٌ عليه، فمقتضى شمول "لا ضرر" للأحكام العدمية ثبوت الأرش؛ إذ لولا ثبوته لكان المُستأجر متضرراً مِن نقص المالية نتيجة العيب</w:t>
      </w:r>
      <w:r w:rsidRPr="00F27422">
        <w:rPr>
          <w:rFonts w:ascii="mylotus" w:hAnsi="mylotus"/>
          <w:sz w:val="32"/>
        </w:rPr>
        <w:t>.</w:t>
      </w:r>
    </w:p>
    <w:p w14:paraId="67D49B59"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كما قيل بِهِ في ضمان منافع الحر الكسوب عند حبسه، وهو أنّه لو حبس الحر الكسوب فإنّ منافعه تفوت عليه، فمقتضى شمول قاعدة "لا ضرر" للأحكام العدمية ضمان منافعه عند حبسه، فكذلك يُقال في المقام أنّه لو لَمْ يُضمن الأرش للمُستأجر لكان ذلك ضرراً، فمقتضى "لا ضرر" ضمانُ الأرش</w:t>
      </w:r>
      <w:r w:rsidRPr="00F27422">
        <w:rPr>
          <w:rFonts w:ascii="mylotus" w:hAnsi="mylotus"/>
          <w:sz w:val="32"/>
        </w:rPr>
        <w:t>.</w:t>
      </w:r>
    </w:p>
    <w:p w14:paraId="625880F8" w14:textId="77777777" w:rsidR="001F47FD" w:rsidRPr="00F27422" w:rsidRDefault="001F47FD" w:rsidP="00122B70">
      <w:pPr>
        <w:pStyle w:val="a"/>
        <w:bidi/>
        <w:spacing w:line="216" w:lineRule="auto"/>
        <w:jc w:val="left"/>
        <w:rPr>
          <w:rFonts w:ascii="mylotus" w:hAnsi="mylotus"/>
          <w:sz w:val="32"/>
          <w:rtl/>
        </w:rPr>
      </w:pPr>
      <w:r w:rsidRPr="00F27422">
        <w:rPr>
          <w:rFonts w:ascii="mylotus" w:hAnsi="mylotus"/>
          <w:sz w:val="32"/>
          <w:rtl/>
        </w:rPr>
        <w:t>إلّا أنّ هذا خروجٌ عما هو المُدعى في كلامه، وهو كون المناط في ثبوت الخيار اشتراطُ السلامة، وليس قاعدة "لا ضرر</w:t>
      </w:r>
      <w:r w:rsidRPr="00F27422">
        <w:rPr>
          <w:rFonts w:ascii="mylotus" w:hAnsi="mylotus" w:cs="Cambria" w:hint="cs"/>
          <w:sz w:val="32"/>
          <w:rtl/>
        </w:rPr>
        <w:t>"</w:t>
      </w:r>
      <w:r w:rsidRPr="00F27422">
        <w:rPr>
          <w:rFonts w:ascii="mylotus" w:hAnsi="mylotus" w:hint="cs"/>
          <w:sz w:val="32"/>
          <w:rtl/>
        </w:rPr>
        <w:t>.</w:t>
      </w:r>
    </w:p>
    <w:p w14:paraId="7858898D"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مضافاً:</w:t>
      </w:r>
      <w:r w:rsidRPr="00F27422">
        <w:rPr>
          <w:rFonts w:ascii="mylotus" w:hAnsi="mylotus"/>
          <w:sz w:val="32"/>
          <w:rtl/>
        </w:rPr>
        <w:t xml:space="preserve"> إلى أنّ لازم كون المُستند في ثبوت الأرش قاعدة "لا ضرر" ضمانُ الأرش في ظرف ثبوت الخيار، لا ضمان ال</w:t>
      </w:r>
      <w:r w:rsidRPr="00F27422">
        <w:rPr>
          <w:rFonts w:ascii="mylotus" w:hAnsi="mylotus" w:hint="cs"/>
          <w:sz w:val="32"/>
          <w:rtl/>
        </w:rPr>
        <w:t>أ</w:t>
      </w:r>
      <w:r w:rsidRPr="00F27422">
        <w:rPr>
          <w:rFonts w:ascii="mylotus" w:hAnsi="mylotus"/>
          <w:sz w:val="32"/>
          <w:rtl/>
        </w:rPr>
        <w:t>رش عند المطالبة</w:t>
      </w:r>
      <w:r w:rsidRPr="00F27422">
        <w:rPr>
          <w:rFonts w:ascii="mylotus" w:hAnsi="mylotus"/>
          <w:sz w:val="32"/>
        </w:rPr>
        <w:t>.</w:t>
      </w:r>
    </w:p>
    <w:p w14:paraId="77A1CFCB"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وإنْ كان المدرك هو الثاني</w:t>
      </w:r>
      <w:r w:rsidRPr="00F27422">
        <w:rPr>
          <w:rFonts w:ascii="mylotus" w:hAnsi="mylotus"/>
          <w:sz w:val="32"/>
          <w:rtl/>
        </w:rPr>
        <w:t xml:space="preserve">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اشتراط</w:t>
      </w:r>
      <w:r w:rsidRPr="00F27422">
        <w:rPr>
          <w:rFonts w:ascii="mylotus" w:hAnsi="mylotus"/>
          <w:sz w:val="32"/>
          <w:rtl/>
        </w:rPr>
        <w:t xml:space="preserve"> </w:t>
      </w:r>
      <w:r w:rsidRPr="00F27422">
        <w:rPr>
          <w:rFonts w:ascii="mylotus" w:hAnsi="mylotus" w:hint="cs"/>
          <w:sz w:val="32"/>
          <w:rtl/>
        </w:rPr>
        <w:t>السلامة</w:t>
      </w:r>
      <w:r w:rsidRPr="00F27422">
        <w:rPr>
          <w:rFonts w:ascii="mylotus" w:hAnsi="mylotus"/>
          <w:sz w:val="32"/>
          <w:rtl/>
        </w:rPr>
        <w:t xml:space="preserve"> - </w:t>
      </w:r>
      <w:r w:rsidRPr="00F27422">
        <w:rPr>
          <w:rFonts w:ascii="mylotus" w:hAnsi="mylotus" w:hint="cs"/>
          <w:sz w:val="32"/>
          <w:rtl/>
        </w:rPr>
        <w:t>كما</w:t>
      </w:r>
      <w:r w:rsidRPr="00F27422">
        <w:rPr>
          <w:rFonts w:ascii="mylotus" w:hAnsi="mylotus"/>
          <w:sz w:val="32"/>
          <w:rtl/>
        </w:rPr>
        <w:t xml:space="preserve"> </w:t>
      </w:r>
      <w:r w:rsidRPr="00F27422">
        <w:rPr>
          <w:rFonts w:ascii="mylotus" w:hAnsi="mylotus" w:hint="cs"/>
          <w:sz w:val="32"/>
          <w:rtl/>
        </w:rPr>
        <w:t>ورد</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كلامه،</w:t>
      </w:r>
      <w:r w:rsidRPr="00F27422">
        <w:rPr>
          <w:rFonts w:ascii="mylotus" w:hAnsi="mylotus"/>
          <w:sz w:val="32"/>
          <w:rtl/>
        </w:rPr>
        <w:t xml:space="preserve"> </w:t>
      </w:r>
      <w:r w:rsidRPr="00F27422">
        <w:rPr>
          <w:rFonts w:ascii="mylotus" w:hAnsi="mylotus" w:hint="cs"/>
          <w:sz w:val="32"/>
          <w:rtl/>
        </w:rPr>
        <w:t>فغايةُ</w:t>
      </w:r>
      <w:r w:rsidRPr="00F27422">
        <w:rPr>
          <w:rFonts w:ascii="mylotus" w:hAnsi="mylotus"/>
          <w:sz w:val="32"/>
          <w:rtl/>
        </w:rPr>
        <w:t xml:space="preserve"> </w:t>
      </w:r>
      <w:r w:rsidRPr="00F27422">
        <w:rPr>
          <w:rFonts w:ascii="mylotus" w:hAnsi="mylotus" w:hint="cs"/>
          <w:sz w:val="32"/>
          <w:rtl/>
        </w:rPr>
        <w:t>ذلك</w:t>
      </w:r>
      <w:r w:rsidRPr="00F27422">
        <w:rPr>
          <w:rFonts w:ascii="mylotus" w:hAnsi="mylotus"/>
          <w:sz w:val="32"/>
          <w:rtl/>
        </w:rPr>
        <w:t xml:space="preserve"> </w:t>
      </w:r>
      <w:r w:rsidRPr="00F27422">
        <w:rPr>
          <w:rFonts w:ascii="mylotus" w:hAnsi="mylotus" w:hint="cs"/>
          <w:sz w:val="32"/>
          <w:rtl/>
        </w:rPr>
        <w:t>ثبوت</w:t>
      </w:r>
      <w:r w:rsidRPr="00F27422">
        <w:rPr>
          <w:rFonts w:ascii="mylotus" w:hAnsi="mylotus"/>
          <w:sz w:val="32"/>
          <w:rtl/>
        </w:rPr>
        <w:t xml:space="preserve"> </w:t>
      </w:r>
      <w:r w:rsidRPr="00F27422">
        <w:rPr>
          <w:rFonts w:ascii="mylotus" w:hAnsi="mylotus" w:hint="cs"/>
          <w:sz w:val="32"/>
          <w:rtl/>
        </w:rPr>
        <w:t>خيار</w:t>
      </w:r>
      <w:r w:rsidRPr="00F27422">
        <w:rPr>
          <w:rFonts w:ascii="mylotus" w:hAnsi="mylotus"/>
          <w:sz w:val="32"/>
          <w:rtl/>
        </w:rPr>
        <w:t xml:space="preserve"> </w:t>
      </w:r>
      <w:r w:rsidRPr="00F27422">
        <w:rPr>
          <w:rFonts w:ascii="mylotus" w:hAnsi="mylotus" w:hint="cs"/>
          <w:sz w:val="32"/>
          <w:rtl/>
        </w:rPr>
        <w:t>تخلّف</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مقتضى</w:t>
      </w:r>
      <w:r w:rsidRPr="00F27422">
        <w:rPr>
          <w:rFonts w:ascii="mylotus" w:hAnsi="mylotus"/>
          <w:sz w:val="32"/>
          <w:rtl/>
        </w:rPr>
        <w:t xml:space="preserve"> </w:t>
      </w:r>
      <w:r w:rsidRPr="00F27422">
        <w:rPr>
          <w:rFonts w:ascii="mylotus" w:hAnsi="mylotus" w:hint="cs"/>
          <w:sz w:val="32"/>
          <w:rtl/>
        </w:rPr>
        <w:t>تخلّف</w:t>
      </w:r>
      <w:r w:rsidRPr="00F27422">
        <w:rPr>
          <w:rFonts w:ascii="mylotus" w:hAnsi="mylotus"/>
          <w:sz w:val="32"/>
          <w:rtl/>
        </w:rPr>
        <w:t xml:space="preserve"> </w:t>
      </w:r>
      <w:r w:rsidRPr="00F27422">
        <w:rPr>
          <w:rFonts w:ascii="mylotus" w:hAnsi="mylotus" w:hint="cs"/>
          <w:sz w:val="32"/>
          <w:rtl/>
        </w:rPr>
        <w:t>شرط</w:t>
      </w:r>
      <w:r w:rsidRPr="00F27422">
        <w:rPr>
          <w:rFonts w:ascii="mylotus" w:hAnsi="mylotus"/>
          <w:sz w:val="32"/>
          <w:rtl/>
        </w:rPr>
        <w:t xml:space="preserve"> </w:t>
      </w:r>
      <w:r w:rsidRPr="00F27422">
        <w:rPr>
          <w:rFonts w:ascii="mylotus" w:hAnsi="mylotus" w:hint="cs"/>
          <w:sz w:val="32"/>
          <w:rtl/>
        </w:rPr>
        <w:t>السلامة</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ثبوت</w:t>
      </w:r>
      <w:r w:rsidRPr="00F27422">
        <w:rPr>
          <w:rFonts w:ascii="mylotus" w:hAnsi="mylotus"/>
          <w:sz w:val="32"/>
          <w:rtl/>
        </w:rPr>
        <w:t xml:space="preserve"> </w:t>
      </w:r>
      <w:r w:rsidRPr="00F27422">
        <w:rPr>
          <w:rFonts w:ascii="mylotus" w:hAnsi="mylotus" w:hint="cs"/>
          <w:sz w:val="32"/>
          <w:rtl/>
        </w:rPr>
        <w:t>خيار</w:t>
      </w:r>
      <w:r w:rsidRPr="00F27422">
        <w:rPr>
          <w:rFonts w:ascii="mylotus" w:hAnsi="mylotus"/>
          <w:sz w:val="32"/>
          <w:rtl/>
        </w:rPr>
        <w:t xml:space="preserve"> </w:t>
      </w:r>
      <w:r w:rsidRPr="00F27422">
        <w:rPr>
          <w:rFonts w:ascii="mylotus" w:hAnsi="mylotus" w:hint="cs"/>
          <w:sz w:val="32"/>
          <w:rtl/>
        </w:rPr>
        <w:t>تخلّف</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الضمان</w:t>
      </w:r>
      <w:r w:rsidRPr="00F27422">
        <w:rPr>
          <w:rFonts w:ascii="mylotus" w:hAnsi="mylotus"/>
          <w:sz w:val="32"/>
          <w:rtl/>
        </w:rPr>
        <w:t xml:space="preserve"> -</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إذ</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مضموناً</w:t>
      </w:r>
      <w:r w:rsidRPr="00F27422">
        <w:rPr>
          <w:rFonts w:ascii="mylotus" w:hAnsi="mylotus"/>
          <w:sz w:val="32"/>
          <w:rtl/>
        </w:rPr>
        <w:t xml:space="preserve"> </w:t>
      </w:r>
      <w:r w:rsidRPr="00F27422">
        <w:rPr>
          <w:rFonts w:ascii="mylotus" w:hAnsi="mylotus" w:hint="cs"/>
          <w:sz w:val="32"/>
          <w:rtl/>
        </w:rPr>
        <w:t>وإنْ</w:t>
      </w:r>
      <w:r w:rsidRPr="00F27422">
        <w:rPr>
          <w:rFonts w:ascii="mylotus" w:hAnsi="mylotus"/>
          <w:sz w:val="32"/>
          <w:rtl/>
        </w:rPr>
        <w:t xml:space="preserve"> </w:t>
      </w:r>
      <w:r w:rsidRPr="00F27422">
        <w:rPr>
          <w:rFonts w:ascii="mylotus" w:hAnsi="mylotus" w:hint="cs"/>
          <w:sz w:val="32"/>
          <w:rtl/>
        </w:rPr>
        <w:t>كان</w:t>
      </w:r>
      <w:r w:rsidRPr="00F27422">
        <w:rPr>
          <w:rFonts w:ascii="mylotus" w:hAnsi="mylotus"/>
          <w:sz w:val="32"/>
          <w:rtl/>
        </w:rPr>
        <w:t xml:space="preserve"> </w:t>
      </w:r>
      <w:r w:rsidRPr="00F27422">
        <w:rPr>
          <w:rFonts w:ascii="mylotus" w:hAnsi="mylotus" w:hint="cs"/>
          <w:sz w:val="32"/>
          <w:rtl/>
        </w:rPr>
        <w:t>وجوده</w:t>
      </w:r>
      <w:r w:rsidRPr="00F27422">
        <w:rPr>
          <w:rFonts w:ascii="mylotus" w:hAnsi="mylotus"/>
          <w:sz w:val="32"/>
          <w:rtl/>
        </w:rPr>
        <w:t xml:space="preserve"> </w:t>
      </w:r>
      <w:r w:rsidRPr="00F27422">
        <w:rPr>
          <w:rFonts w:ascii="mylotus" w:hAnsi="mylotus" w:hint="cs"/>
          <w:sz w:val="32"/>
          <w:rtl/>
        </w:rPr>
        <w:t>حيثيةً</w:t>
      </w:r>
      <w:r w:rsidRPr="00F27422">
        <w:rPr>
          <w:rFonts w:ascii="mylotus" w:hAnsi="mylotus"/>
          <w:sz w:val="32"/>
          <w:rtl/>
        </w:rPr>
        <w:t xml:space="preserve"> </w:t>
      </w:r>
      <w:r w:rsidRPr="00F27422">
        <w:rPr>
          <w:rFonts w:ascii="mylotus" w:hAnsi="mylotus" w:hint="cs"/>
          <w:sz w:val="32"/>
          <w:rtl/>
        </w:rPr>
        <w:t>تعليليةً</w:t>
      </w:r>
      <w:r w:rsidRPr="00F27422">
        <w:rPr>
          <w:rFonts w:ascii="mylotus" w:hAnsi="mylotus"/>
          <w:sz w:val="32"/>
          <w:rtl/>
        </w:rPr>
        <w:t xml:space="preserve"> </w:t>
      </w:r>
      <w:r w:rsidRPr="00F27422">
        <w:rPr>
          <w:rFonts w:ascii="mylotus" w:hAnsi="mylotus" w:hint="cs"/>
          <w:sz w:val="32"/>
          <w:rtl/>
        </w:rPr>
        <w:t>للرغبة</w:t>
      </w:r>
      <w:r w:rsidRPr="00F27422">
        <w:rPr>
          <w:rFonts w:ascii="mylotus" w:hAnsi="mylotus"/>
          <w:sz w:val="32"/>
          <w:rtl/>
        </w:rPr>
        <w:t xml:space="preserve"> </w:t>
      </w:r>
      <w:r w:rsidRPr="00F27422">
        <w:rPr>
          <w:rFonts w:ascii="mylotus" w:hAnsi="mylotus" w:hint="cs"/>
          <w:sz w:val="32"/>
          <w:rtl/>
        </w:rPr>
        <w:t>وزيادة</w:t>
      </w:r>
      <w:r w:rsidRPr="00F27422">
        <w:rPr>
          <w:rFonts w:ascii="mylotus" w:hAnsi="mylotus"/>
          <w:sz w:val="32"/>
          <w:rtl/>
        </w:rPr>
        <w:t xml:space="preserve"> </w:t>
      </w:r>
      <w:r w:rsidRPr="00F27422">
        <w:rPr>
          <w:rFonts w:ascii="mylotus" w:hAnsi="mylotus" w:hint="cs"/>
          <w:sz w:val="32"/>
          <w:rtl/>
        </w:rPr>
        <w:t>المالية</w:t>
      </w:r>
      <w:r w:rsidRPr="00F27422">
        <w:rPr>
          <w:rFonts w:ascii="mylotus" w:hAnsi="mylotus"/>
          <w:sz w:val="32"/>
          <w:rtl/>
        </w:rPr>
        <w:t xml:space="preserve"> -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حيثية</w:t>
      </w:r>
      <w:r w:rsidRPr="00F27422">
        <w:rPr>
          <w:rFonts w:ascii="mylotus" w:hAnsi="mylotus"/>
          <w:sz w:val="32"/>
          <w:rtl/>
        </w:rPr>
        <w:t xml:space="preserve"> </w:t>
      </w:r>
      <w:r w:rsidRPr="00F27422">
        <w:rPr>
          <w:rFonts w:ascii="mylotus" w:hAnsi="mylotus" w:hint="cs"/>
          <w:sz w:val="32"/>
          <w:rtl/>
        </w:rPr>
        <w:t>تقييدية</w:t>
      </w:r>
      <w:r w:rsidRPr="00F27422">
        <w:rPr>
          <w:rFonts w:ascii="mylotus" w:hAnsi="mylotus"/>
          <w:sz w:val="32"/>
          <w:rtl/>
        </w:rPr>
        <w:t xml:space="preserve"> -</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فبما</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مضموناً</w:t>
      </w:r>
      <w:r w:rsidRPr="00F27422">
        <w:rPr>
          <w:rFonts w:ascii="mylotus" w:hAnsi="mylotus"/>
          <w:sz w:val="32"/>
          <w:rtl/>
        </w:rPr>
        <w:t xml:space="preserve"> </w:t>
      </w:r>
      <w:r w:rsidRPr="00F27422">
        <w:rPr>
          <w:rFonts w:ascii="mylotus" w:hAnsi="mylotus" w:hint="cs"/>
          <w:sz w:val="32"/>
          <w:rtl/>
        </w:rPr>
        <w:t>لذلك</w:t>
      </w:r>
      <w:r w:rsidRPr="00F27422">
        <w:rPr>
          <w:rFonts w:ascii="mylotus" w:hAnsi="mylotus"/>
          <w:sz w:val="32"/>
          <w:rtl/>
        </w:rPr>
        <w:t xml:space="preserve"> </w:t>
      </w:r>
      <w:r w:rsidRPr="00F27422">
        <w:rPr>
          <w:rFonts w:ascii="mylotus" w:hAnsi="mylotus" w:hint="cs"/>
          <w:sz w:val="32"/>
          <w:rtl/>
        </w:rPr>
        <w:t>فتخلّفه</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يوجبُ</w:t>
      </w:r>
      <w:r w:rsidRPr="00F27422">
        <w:rPr>
          <w:rFonts w:ascii="mylotus" w:hAnsi="mylotus"/>
          <w:sz w:val="32"/>
          <w:rtl/>
        </w:rPr>
        <w:t xml:space="preserve"> </w:t>
      </w:r>
      <w:r w:rsidRPr="00F27422">
        <w:rPr>
          <w:rFonts w:ascii="mylotus" w:hAnsi="mylotus" w:hint="cs"/>
          <w:sz w:val="32"/>
          <w:rtl/>
        </w:rPr>
        <w:t>اشتغال</w:t>
      </w:r>
      <w:r w:rsidRPr="00F27422">
        <w:rPr>
          <w:rFonts w:ascii="mylotus" w:hAnsi="mylotus"/>
          <w:sz w:val="32"/>
          <w:rtl/>
        </w:rPr>
        <w:t xml:space="preserve"> </w:t>
      </w:r>
      <w:r w:rsidRPr="00F27422">
        <w:rPr>
          <w:rFonts w:ascii="mylotus" w:hAnsi="mylotus" w:hint="cs"/>
          <w:sz w:val="32"/>
          <w:rtl/>
        </w:rPr>
        <w:t>ذمّة</w:t>
      </w:r>
      <w:r w:rsidRPr="00F27422">
        <w:rPr>
          <w:rFonts w:ascii="mylotus" w:hAnsi="mylotus"/>
          <w:sz w:val="32"/>
          <w:rtl/>
        </w:rPr>
        <w:t xml:space="preserve"> </w:t>
      </w:r>
      <w:r w:rsidRPr="00F27422">
        <w:rPr>
          <w:rFonts w:ascii="mylotus" w:hAnsi="mylotus" w:hint="cs"/>
          <w:sz w:val="32"/>
          <w:rtl/>
        </w:rPr>
        <w:t>المشروط</w:t>
      </w:r>
      <w:r w:rsidRPr="00F27422">
        <w:rPr>
          <w:rFonts w:ascii="mylotus" w:hAnsi="mylotus"/>
          <w:sz w:val="32"/>
          <w:rtl/>
        </w:rPr>
        <w:t xml:space="preserve"> </w:t>
      </w:r>
      <w:r w:rsidRPr="00F27422">
        <w:rPr>
          <w:rFonts w:ascii="mylotus" w:hAnsi="mylotus" w:hint="cs"/>
          <w:sz w:val="32"/>
          <w:rtl/>
        </w:rPr>
        <w:t>عليه</w:t>
      </w:r>
      <w:r w:rsidRPr="00F27422">
        <w:rPr>
          <w:rFonts w:ascii="mylotus" w:hAnsi="mylotus"/>
          <w:sz w:val="32"/>
          <w:rtl/>
        </w:rPr>
        <w:t xml:space="preserve"> </w:t>
      </w:r>
      <w:r w:rsidRPr="00F27422">
        <w:rPr>
          <w:rFonts w:ascii="mylotus" w:hAnsi="mylotus" w:hint="cs"/>
          <w:sz w:val="32"/>
          <w:rtl/>
        </w:rPr>
        <w:t>بضمان</w:t>
      </w:r>
      <w:r w:rsidRPr="00F27422">
        <w:rPr>
          <w:rFonts w:ascii="mylotus" w:hAnsi="mylotus"/>
          <w:sz w:val="32"/>
          <w:rtl/>
        </w:rPr>
        <w:t xml:space="preserve"> </w:t>
      </w:r>
      <w:r w:rsidRPr="00F27422">
        <w:rPr>
          <w:rFonts w:ascii="mylotus" w:hAnsi="mylotus" w:hint="cs"/>
          <w:sz w:val="32"/>
          <w:rtl/>
        </w:rPr>
        <w:t>نقصه،</w:t>
      </w:r>
      <w:r w:rsidRPr="00F27422">
        <w:rPr>
          <w:rFonts w:ascii="mylotus" w:hAnsi="mylotus"/>
          <w:sz w:val="32"/>
          <w:rtl/>
        </w:rPr>
        <w:t xml:space="preserve"> </w:t>
      </w:r>
      <w:r w:rsidRPr="00F27422">
        <w:rPr>
          <w:rFonts w:ascii="mylotus" w:hAnsi="mylotus" w:hint="cs"/>
          <w:sz w:val="32"/>
          <w:rtl/>
        </w:rPr>
        <w:t>ولذلك</w:t>
      </w:r>
      <w:r w:rsidRPr="00F27422">
        <w:rPr>
          <w:rFonts w:ascii="mylotus" w:hAnsi="mylotus"/>
          <w:sz w:val="32"/>
          <w:rtl/>
        </w:rPr>
        <w:t xml:space="preserve"> </w:t>
      </w:r>
      <w:r w:rsidRPr="00F27422">
        <w:rPr>
          <w:rFonts w:ascii="mylotus" w:hAnsi="mylotus" w:hint="cs"/>
          <w:sz w:val="32"/>
          <w:rtl/>
        </w:rPr>
        <w:t>يثبت</w:t>
      </w:r>
      <w:r w:rsidRPr="00F27422">
        <w:rPr>
          <w:rFonts w:ascii="mylotus" w:hAnsi="mylotus"/>
          <w:sz w:val="32"/>
          <w:rtl/>
        </w:rPr>
        <w:t xml:space="preserve"> </w:t>
      </w:r>
      <w:r w:rsidRPr="00F27422">
        <w:rPr>
          <w:rFonts w:ascii="mylotus" w:hAnsi="mylotus" w:hint="cs"/>
          <w:sz w:val="32"/>
          <w:rtl/>
        </w:rPr>
        <w:t>خيار</w:t>
      </w:r>
      <w:r w:rsidRPr="00F27422">
        <w:rPr>
          <w:rFonts w:ascii="mylotus" w:hAnsi="mylotus"/>
          <w:sz w:val="32"/>
          <w:rtl/>
        </w:rPr>
        <w:t xml:space="preserve"> </w:t>
      </w:r>
      <w:r w:rsidRPr="00F27422">
        <w:rPr>
          <w:rFonts w:ascii="mylotus" w:hAnsi="mylotus" w:hint="cs"/>
          <w:sz w:val="32"/>
          <w:rtl/>
        </w:rPr>
        <w:t>العيب</w:t>
      </w:r>
      <w:r w:rsidRPr="00F27422">
        <w:rPr>
          <w:rFonts w:ascii="mylotus" w:hAnsi="mylotus"/>
          <w:sz w:val="32"/>
          <w:rtl/>
        </w:rPr>
        <w:t xml:space="preserve"> </w:t>
      </w:r>
      <w:r w:rsidRPr="00F27422">
        <w:rPr>
          <w:rFonts w:ascii="mylotus" w:hAnsi="mylotus" w:hint="cs"/>
          <w:sz w:val="32"/>
          <w:rtl/>
        </w:rPr>
        <w:t>بملاك</w:t>
      </w:r>
      <w:r w:rsidRPr="00F27422">
        <w:rPr>
          <w:rFonts w:ascii="mylotus" w:hAnsi="mylotus"/>
          <w:sz w:val="32"/>
          <w:rtl/>
        </w:rPr>
        <w:t xml:space="preserve"> </w:t>
      </w:r>
      <w:r w:rsidRPr="00F27422">
        <w:rPr>
          <w:rFonts w:ascii="mylotus" w:hAnsi="mylotus" w:hint="cs"/>
          <w:sz w:val="32"/>
          <w:rtl/>
        </w:rPr>
        <w:t>تخلّف</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w:t>
      </w:r>
      <w:r w:rsidRPr="00F27422">
        <w:rPr>
          <w:rFonts w:ascii="mylotus" w:hAnsi="mylotus" w:hint="cs"/>
          <w:sz w:val="32"/>
          <w:rtl/>
        </w:rPr>
        <w:t>حتى</w:t>
      </w:r>
      <w:r w:rsidRPr="00F27422">
        <w:rPr>
          <w:rFonts w:ascii="mylotus" w:hAnsi="mylotus"/>
          <w:sz w:val="32"/>
          <w:rtl/>
        </w:rPr>
        <w:t xml:space="preserve"> </w:t>
      </w:r>
      <w:r w:rsidRPr="00F27422">
        <w:rPr>
          <w:rFonts w:ascii="mylotus" w:hAnsi="mylotus" w:hint="cs"/>
          <w:sz w:val="32"/>
          <w:rtl/>
        </w:rPr>
        <w:t>لو</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يكن</w:t>
      </w:r>
      <w:r w:rsidRPr="00F27422">
        <w:rPr>
          <w:rFonts w:ascii="mylotus" w:hAnsi="mylotus"/>
          <w:sz w:val="32"/>
          <w:rtl/>
        </w:rPr>
        <w:t xml:space="preserve"> </w:t>
      </w:r>
      <w:r w:rsidRPr="00F27422">
        <w:rPr>
          <w:rFonts w:ascii="mylotus" w:hAnsi="mylotus" w:hint="cs"/>
          <w:sz w:val="32"/>
          <w:rtl/>
        </w:rPr>
        <w:t>العيب</w:t>
      </w:r>
      <w:r w:rsidRPr="00F27422">
        <w:rPr>
          <w:rFonts w:ascii="mylotus" w:hAnsi="mylotus"/>
          <w:sz w:val="32"/>
          <w:rtl/>
        </w:rPr>
        <w:t xml:space="preserve"> </w:t>
      </w:r>
      <w:r w:rsidRPr="00F27422">
        <w:rPr>
          <w:rFonts w:ascii="mylotus" w:hAnsi="mylotus" w:hint="cs"/>
          <w:sz w:val="32"/>
          <w:rtl/>
        </w:rPr>
        <w:t>مستلزماً</w:t>
      </w:r>
      <w:r w:rsidRPr="00F27422">
        <w:rPr>
          <w:rFonts w:ascii="mylotus" w:hAnsi="mylotus"/>
          <w:sz w:val="32"/>
          <w:rtl/>
        </w:rPr>
        <w:t xml:space="preserve"> </w:t>
      </w:r>
      <w:r w:rsidRPr="00F27422">
        <w:rPr>
          <w:rFonts w:ascii="mylotus" w:hAnsi="mylotus" w:hint="cs"/>
          <w:sz w:val="32"/>
          <w:rtl/>
        </w:rPr>
        <w:t>لنقص</w:t>
      </w:r>
      <w:r w:rsidRPr="00F27422">
        <w:rPr>
          <w:rFonts w:ascii="mylotus" w:hAnsi="mylotus"/>
          <w:sz w:val="32"/>
          <w:rtl/>
        </w:rPr>
        <w:t xml:space="preserve"> </w:t>
      </w:r>
      <w:r w:rsidRPr="00F27422">
        <w:rPr>
          <w:rFonts w:ascii="mylotus" w:hAnsi="mylotus" w:hint="cs"/>
          <w:sz w:val="32"/>
          <w:rtl/>
        </w:rPr>
        <w:t>القيمة،</w:t>
      </w:r>
      <w:r w:rsidRPr="00F27422">
        <w:rPr>
          <w:rFonts w:ascii="mylotus" w:hAnsi="mylotus"/>
          <w:sz w:val="32"/>
          <w:rtl/>
        </w:rPr>
        <w:t xml:space="preserve"> </w:t>
      </w:r>
      <w:r w:rsidRPr="00F27422">
        <w:rPr>
          <w:rFonts w:ascii="mylotus" w:hAnsi="mylotus" w:hint="cs"/>
          <w:sz w:val="32"/>
          <w:rtl/>
        </w:rPr>
        <w:t>كما</w:t>
      </w:r>
      <w:r w:rsidRPr="00F27422">
        <w:rPr>
          <w:rFonts w:ascii="mylotus" w:hAnsi="mylotus"/>
          <w:sz w:val="32"/>
          <w:rtl/>
        </w:rPr>
        <w:t xml:space="preserve"> </w:t>
      </w:r>
      <w:r w:rsidRPr="00F27422">
        <w:rPr>
          <w:rFonts w:ascii="mylotus" w:hAnsi="mylotus" w:hint="cs"/>
          <w:sz w:val="32"/>
          <w:rtl/>
        </w:rPr>
        <w:t>لو</w:t>
      </w:r>
      <w:r w:rsidRPr="00F27422">
        <w:rPr>
          <w:rFonts w:ascii="mylotus" w:hAnsi="mylotus"/>
          <w:sz w:val="32"/>
          <w:rtl/>
        </w:rPr>
        <w:t xml:space="preserve"> </w:t>
      </w:r>
      <w:r w:rsidRPr="00F27422">
        <w:rPr>
          <w:rFonts w:ascii="mylotus" w:hAnsi="mylotus" w:hint="cs"/>
          <w:sz w:val="32"/>
          <w:rtl/>
        </w:rPr>
        <w:t>فرض</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قيمة</w:t>
      </w:r>
      <w:r w:rsidRPr="00F27422">
        <w:rPr>
          <w:rFonts w:ascii="mylotus" w:hAnsi="mylotus"/>
          <w:sz w:val="32"/>
          <w:rtl/>
        </w:rPr>
        <w:t xml:space="preserve"> </w:t>
      </w:r>
      <w:r w:rsidRPr="00F27422">
        <w:rPr>
          <w:rFonts w:ascii="mylotus" w:hAnsi="mylotus" w:hint="cs"/>
          <w:sz w:val="32"/>
          <w:rtl/>
        </w:rPr>
        <w:t>المبيع</w:t>
      </w:r>
      <w:r w:rsidRPr="00F27422">
        <w:rPr>
          <w:rFonts w:ascii="mylotus" w:hAnsi="mylotus"/>
          <w:sz w:val="32"/>
          <w:rtl/>
        </w:rPr>
        <w:t xml:space="preserve"> </w:t>
      </w:r>
      <w:r w:rsidRPr="00F27422">
        <w:rPr>
          <w:rFonts w:ascii="mylotus" w:hAnsi="mylotus" w:hint="cs"/>
          <w:sz w:val="32"/>
          <w:rtl/>
        </w:rPr>
        <w:t>المعيب</w:t>
      </w:r>
      <w:r w:rsidRPr="00F27422">
        <w:rPr>
          <w:rFonts w:ascii="mylotus" w:hAnsi="mylotus"/>
          <w:sz w:val="32"/>
          <w:rtl/>
        </w:rPr>
        <w:t xml:space="preserve"> </w:t>
      </w:r>
      <w:r w:rsidRPr="00F27422">
        <w:rPr>
          <w:rFonts w:ascii="mylotus" w:hAnsi="mylotus" w:hint="cs"/>
          <w:sz w:val="32"/>
          <w:rtl/>
        </w:rPr>
        <w:t>هي</w:t>
      </w:r>
      <w:r w:rsidRPr="00F27422">
        <w:rPr>
          <w:rFonts w:ascii="mylotus" w:hAnsi="mylotus"/>
          <w:sz w:val="32"/>
          <w:rtl/>
        </w:rPr>
        <w:t xml:space="preserve"> </w:t>
      </w:r>
      <w:r w:rsidRPr="00F27422">
        <w:rPr>
          <w:rFonts w:ascii="mylotus" w:hAnsi="mylotus" w:hint="cs"/>
          <w:sz w:val="32"/>
          <w:rtl/>
        </w:rPr>
        <w:t>قيمة</w:t>
      </w:r>
      <w:r w:rsidRPr="00F27422">
        <w:rPr>
          <w:rFonts w:ascii="mylotus" w:hAnsi="mylotus"/>
          <w:sz w:val="32"/>
          <w:rtl/>
        </w:rPr>
        <w:t xml:space="preserve"> </w:t>
      </w:r>
      <w:r w:rsidRPr="00F27422">
        <w:rPr>
          <w:rFonts w:ascii="mylotus" w:hAnsi="mylotus" w:hint="cs"/>
          <w:sz w:val="32"/>
          <w:rtl/>
        </w:rPr>
        <w:t>المثل،</w:t>
      </w:r>
      <w:r w:rsidRPr="00F27422">
        <w:rPr>
          <w:rFonts w:ascii="mylotus" w:hAnsi="mylotus"/>
          <w:sz w:val="32"/>
          <w:rtl/>
        </w:rPr>
        <w:t xml:space="preserve"> </w:t>
      </w:r>
      <w:r w:rsidRPr="00F27422">
        <w:rPr>
          <w:rFonts w:ascii="mylotus" w:hAnsi="mylotus" w:hint="cs"/>
          <w:sz w:val="32"/>
          <w:rtl/>
        </w:rPr>
        <w:t>أو</w:t>
      </w:r>
      <w:r w:rsidRPr="00F27422">
        <w:rPr>
          <w:rFonts w:ascii="mylotus" w:hAnsi="mylotus"/>
          <w:sz w:val="32"/>
          <w:rtl/>
        </w:rPr>
        <w:t xml:space="preserve"> </w:t>
      </w:r>
      <w:r w:rsidRPr="00F27422">
        <w:rPr>
          <w:rFonts w:ascii="mylotus" w:hAnsi="mylotus" w:hint="cs"/>
          <w:sz w:val="32"/>
          <w:rtl/>
        </w:rPr>
        <w:t>أُجرة</w:t>
      </w:r>
      <w:r w:rsidRPr="00F27422">
        <w:rPr>
          <w:rFonts w:ascii="mylotus" w:hAnsi="mylotus"/>
          <w:sz w:val="32"/>
          <w:rtl/>
        </w:rPr>
        <w:t xml:space="preserve"> </w:t>
      </w:r>
      <w:r w:rsidRPr="00F27422">
        <w:rPr>
          <w:rFonts w:ascii="mylotus" w:hAnsi="mylotus" w:hint="cs"/>
          <w:sz w:val="32"/>
          <w:rtl/>
        </w:rPr>
        <w:t>العين</w:t>
      </w:r>
      <w:r w:rsidRPr="00F27422">
        <w:rPr>
          <w:rFonts w:ascii="mylotus" w:hAnsi="mylotus"/>
          <w:sz w:val="32"/>
          <w:rtl/>
        </w:rPr>
        <w:t xml:space="preserve"> </w:t>
      </w:r>
      <w:r w:rsidRPr="00F27422">
        <w:rPr>
          <w:rFonts w:ascii="mylotus" w:hAnsi="mylotus" w:hint="cs"/>
          <w:sz w:val="32"/>
          <w:rtl/>
        </w:rPr>
        <w:t>المعيبة</w:t>
      </w:r>
      <w:r w:rsidRPr="00F27422">
        <w:rPr>
          <w:rFonts w:ascii="mylotus" w:hAnsi="mylotus"/>
          <w:sz w:val="32"/>
          <w:rtl/>
        </w:rPr>
        <w:t xml:space="preserve"> </w:t>
      </w:r>
      <w:r w:rsidRPr="00F27422">
        <w:rPr>
          <w:rFonts w:ascii="mylotus" w:hAnsi="mylotus" w:hint="cs"/>
          <w:sz w:val="32"/>
          <w:rtl/>
        </w:rPr>
        <w:t>ه</w:t>
      </w:r>
      <w:r w:rsidRPr="00F27422">
        <w:rPr>
          <w:rFonts w:ascii="mylotus" w:hAnsi="mylotus"/>
          <w:sz w:val="32"/>
          <w:rtl/>
        </w:rPr>
        <w:t xml:space="preserve">ي أُجرة المثل، فلا نقص في القيمة إطلاقاً، لكن مع ذلك لو كان المناط في ثبوت خيار العيب هو </w:t>
      </w:r>
      <w:r w:rsidRPr="00F27422">
        <w:rPr>
          <w:rFonts w:ascii="mylotus" w:hAnsi="mylotus"/>
          <w:sz w:val="32"/>
          <w:rtl/>
        </w:rPr>
        <w:lastRenderedPageBreak/>
        <w:t>تخلّف الشرط لكان مقتضى تخلّف الشرط ثبوت الخيار على كلّ حال نقصت القيمة أم لَمْ تنقص</w:t>
      </w:r>
      <w:r w:rsidRPr="00F27422">
        <w:rPr>
          <w:rFonts w:ascii="mylotus" w:hAnsi="mylotus"/>
          <w:sz w:val="32"/>
        </w:rPr>
        <w:t>.</w:t>
      </w:r>
    </w:p>
    <w:p w14:paraId="15AD9C67"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وإلّا لو كان المدار في ثبوت خيار العيب على نقص القيمة لحصل التداخل بين خيار العيب وخيار الغبن، والحال بأنّ الكلام في خيار العيب مستقلاً عن خيار الغبن، وهو دوران ثبوت الخيار مدار تخلّف وصف في الصحّة، لا مدار نقص القيمة</w:t>
      </w:r>
      <w:r w:rsidRPr="00F27422">
        <w:rPr>
          <w:rFonts w:ascii="mylotus" w:hAnsi="mylotus"/>
          <w:sz w:val="32"/>
        </w:rPr>
        <w:t>.</w:t>
      </w:r>
    </w:p>
    <w:p w14:paraId="4055E66C"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وأمّا حدوث الضرر المالي في بعض الموارد، كما في فرض امتناع ردّ العين أو تلفها فهو مما لا ضمان له؛ فكثيرٌ مِن الأضرار في الشريعة مما لا ضمان لها، كما في فرض حبس الحر غير الكسوب، فلو حبس الحر غير الكسوب سنة كاملة فلا إشكال أنّه يتضرر بالحبس مع ذلك لَمْ يقل أحدٌ بضمان الضرر الوارد عليه، أو لو فُرض أنّ المبيع معيبٌ لكن البائع ماتَ قبل انكشاف العيب فلا إشكال هنا بأنّ النقص ضررٌ على المشتري مع أنّه في هذا الفرض لا ضمان للنقص الحاصل؛ إذ لا خلاف حينئذٍ في عدم ثبوت الأرش مع ورود الضرر الجسيم في مثل هذه الفروض في بعض الموارد</w:t>
      </w:r>
      <w:r w:rsidRPr="00F27422">
        <w:rPr>
          <w:rFonts w:ascii="mylotus" w:hAnsi="mylotus"/>
          <w:sz w:val="32"/>
        </w:rPr>
        <w:t>.</w:t>
      </w:r>
    </w:p>
    <w:p w14:paraId="3A759041"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b/>
          <w:bCs/>
          <w:sz w:val="32"/>
          <w:rtl/>
        </w:rPr>
        <w:t>وثانياً:</w:t>
      </w:r>
      <w:r w:rsidRPr="00F27422">
        <w:rPr>
          <w:rFonts w:ascii="mylotus" w:hAnsi="mylotus"/>
          <w:sz w:val="32"/>
          <w:rtl/>
        </w:rPr>
        <w:t xml:space="preserve"> إنّ الإجماع قائمٌ على عدم ضمان الأرش إلّا في فرض المطالبة، وهو كاشفٌ عن عدم ارتكازية ضمان الأرش؛ إذ لا يجتمع ارتكازية ضمان الأرش مع كونه بملاك المطالبة لا بملاك جبر النقص، حتى مع القول بأنّ الثابت مِن حين تخلّف وصف الصحّة هو الجامع؛ فإنّ المفروض أنّ المطالبة قيدٌ في الثبوت وليس قيداً في المطلوب؛ إذ لو كانت المطالبة قيد في المطلوب لصحّ أنْ يُقال بأنّه مِن حين تخلّف وصف الصحّة يثبت الجامع بين الخيار وبين الأرش، إلّا أنّ كلمة "عند المطالبة" قيدٌ في دفع الأرش، وليس قيداً في ثبوته، فهو ثابتٌ مِن الأوّل، فإذا قلنا بهذا فهو خلاف الإجماع</w:t>
      </w:r>
      <w:r w:rsidRPr="00F27422">
        <w:rPr>
          <w:rFonts w:ascii="mylotus" w:hAnsi="mylotus"/>
          <w:sz w:val="32"/>
        </w:rPr>
        <w:t>.</w:t>
      </w:r>
    </w:p>
    <w:p w14:paraId="4B2BF158"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وأمّا إذا قلنا بأنّ أصل ضمان الأرش منوطٌ بالمطالبة فحينئذٍ هذا كاشفٌ عن كونه حكماً تعبّديّاً، وليس بملاك جبر النقص، وإلّا لكان ثابتاً مِن الأوّل</w:t>
      </w:r>
      <w:r w:rsidRPr="00F27422">
        <w:rPr>
          <w:rFonts w:ascii="mylotus" w:hAnsi="mylotus"/>
          <w:sz w:val="32"/>
        </w:rPr>
        <w:t>.</w:t>
      </w:r>
    </w:p>
    <w:p w14:paraId="6FD68DBD" w14:textId="77777777" w:rsidR="001F47FD" w:rsidRPr="00F27422" w:rsidRDefault="001F47FD" w:rsidP="00122B70">
      <w:pPr>
        <w:pStyle w:val="a"/>
        <w:bidi/>
        <w:spacing w:line="216" w:lineRule="auto"/>
        <w:jc w:val="left"/>
        <w:rPr>
          <w:rFonts w:ascii="mylotus" w:hAnsi="mylotus"/>
          <w:b/>
          <w:bCs/>
          <w:sz w:val="32"/>
          <w:rtl/>
          <w:lang w:bidi="ar-BH"/>
        </w:rPr>
      </w:pPr>
      <w:r w:rsidRPr="00F27422">
        <w:rPr>
          <w:rFonts w:ascii="mylotus" w:hAnsi="mylotus"/>
          <w:sz w:val="32"/>
          <w:rtl/>
        </w:rPr>
        <w:t>ونظير المقام ما ذكره سيدنا الخوئي (قدس سره الشريف) في موسوعته المباركة في كتاب الإجارة</w:t>
      </w:r>
      <w:r w:rsidRPr="00F27422">
        <w:rPr>
          <w:rStyle w:val="FootnoteReference"/>
          <w:rFonts w:ascii="mylotus" w:hAnsi="mylotus"/>
          <w:sz w:val="32"/>
          <w:rtl/>
        </w:rPr>
        <w:footnoteReference w:id="89"/>
      </w:r>
      <w:r w:rsidRPr="00F27422">
        <w:rPr>
          <w:rFonts w:ascii="mylotus" w:hAnsi="mylotus" w:hint="cs"/>
          <w:sz w:val="32"/>
          <w:rtl/>
        </w:rPr>
        <w:t xml:space="preserve"> </w:t>
      </w:r>
      <w:r w:rsidRPr="00F27422">
        <w:rPr>
          <w:rFonts w:ascii="mylotus" w:hAnsi="mylotus"/>
          <w:sz w:val="32"/>
          <w:rtl/>
        </w:rPr>
        <w:t xml:space="preserve">بقوله: </w:t>
      </w:r>
      <w:r w:rsidRPr="00F27422">
        <w:rPr>
          <w:rFonts w:ascii="mylotus" w:hAnsi="mylotus"/>
          <w:b/>
          <w:bCs/>
          <w:sz w:val="32"/>
          <w:rtl/>
        </w:rPr>
        <w:t>(وبالجملة: فهذا الضمان نظير الضمان الثابت في باب اللقطة، حيث إنّ الملتقط لو تصدّق بها بعد الفحص واليأس لم تكن ذمّته مشغولة بشيء كي يخرج ما يعادلها من تركته إذا مات)</w:t>
      </w:r>
      <w:r w:rsidRPr="00F27422">
        <w:rPr>
          <w:rFonts w:ascii="mylotus" w:hAnsi="mylotus"/>
          <w:sz w:val="32"/>
          <w:rtl/>
        </w:rPr>
        <w:t xml:space="preserve"> أي: أنّه لو مات المتصدّق ثمّ وصل طالب العين الملتقطة إلى الورثة لا ضمان له، ولا يخرج مِن تركته شيء، مع أنّه ضرر عليه </w:t>
      </w:r>
      <w:r w:rsidRPr="00F27422">
        <w:rPr>
          <w:rFonts w:ascii="mylotus" w:hAnsi="mylotus"/>
          <w:b/>
          <w:bCs/>
          <w:sz w:val="32"/>
          <w:rtl/>
        </w:rPr>
        <w:t>(باعتبار أنّه)</w:t>
      </w:r>
      <w:r w:rsidRPr="00F27422">
        <w:rPr>
          <w:rFonts w:ascii="mylotus" w:hAnsi="mylotus"/>
          <w:sz w:val="32"/>
          <w:rtl/>
        </w:rPr>
        <w:t xml:space="preserve"> من باب </w:t>
      </w:r>
      <w:r w:rsidRPr="00F27422">
        <w:rPr>
          <w:rFonts w:ascii="mylotus" w:hAnsi="mylotus"/>
          <w:b/>
          <w:bCs/>
          <w:sz w:val="32"/>
          <w:rtl/>
        </w:rPr>
        <w:t>(أتلف مال الغير بالتصدّق، فلا ضمان عندئذٍ بوجه، وإنّما يضمن فيما لو</w:t>
      </w:r>
      <w:r w:rsidRPr="00F27422">
        <w:rPr>
          <w:rFonts w:ascii="mylotus" w:hAnsi="mylotus"/>
          <w:sz w:val="32"/>
          <w:rtl/>
        </w:rPr>
        <w:t xml:space="preserve"> </w:t>
      </w:r>
      <w:r w:rsidRPr="00F27422">
        <w:rPr>
          <w:rFonts w:ascii="mylotus" w:hAnsi="mylotus"/>
          <w:b/>
          <w:bCs/>
          <w:sz w:val="32"/>
          <w:rtl/>
        </w:rPr>
        <w:t>وجد المالك)</w:t>
      </w:r>
      <w:r w:rsidRPr="00F27422">
        <w:rPr>
          <w:rFonts w:ascii="mylotus" w:hAnsi="mylotus"/>
          <w:sz w:val="32"/>
          <w:rtl/>
        </w:rPr>
        <w:t xml:space="preserve"> وهو حي </w:t>
      </w:r>
      <w:r w:rsidRPr="00F27422">
        <w:rPr>
          <w:rFonts w:ascii="mylotus" w:hAnsi="mylotus"/>
          <w:b/>
          <w:bCs/>
          <w:sz w:val="32"/>
          <w:rtl/>
        </w:rPr>
        <w:t>(وطالب)</w:t>
      </w:r>
      <w:r w:rsidRPr="00F27422">
        <w:rPr>
          <w:rFonts w:ascii="mylotus" w:hAnsi="mylotus"/>
          <w:sz w:val="32"/>
          <w:rtl/>
        </w:rPr>
        <w:t xml:space="preserve"> المالك بالضمان </w:t>
      </w:r>
      <w:r w:rsidRPr="00F27422">
        <w:rPr>
          <w:rFonts w:ascii="mylotus" w:hAnsi="mylotus"/>
          <w:b/>
          <w:bCs/>
          <w:sz w:val="32"/>
          <w:rtl/>
        </w:rPr>
        <w:t xml:space="preserve">(فينشأ الضمان من نفس المطالبة لا أنّه كان ضامناً) </w:t>
      </w:r>
      <w:r w:rsidRPr="00F27422">
        <w:rPr>
          <w:rFonts w:ascii="mylotus" w:hAnsi="mylotus"/>
          <w:sz w:val="32"/>
          <w:rtl/>
        </w:rPr>
        <w:t xml:space="preserve">لتلف العين </w:t>
      </w:r>
      <w:r w:rsidRPr="00F27422">
        <w:rPr>
          <w:rFonts w:ascii="mylotus" w:hAnsi="mylotus"/>
          <w:b/>
          <w:bCs/>
          <w:sz w:val="32"/>
          <w:rtl/>
        </w:rPr>
        <w:t>(من الأوّل</w:t>
      </w:r>
      <w:r w:rsidRPr="00F27422">
        <w:rPr>
          <w:rFonts w:ascii="mylotus" w:hAnsi="mylotus"/>
          <w:b/>
          <w:bCs/>
          <w:sz w:val="32"/>
        </w:rPr>
        <w:t>.</w:t>
      </w:r>
    </w:p>
    <w:p w14:paraId="15088486" w14:textId="77777777" w:rsidR="001F47FD" w:rsidRPr="00F27422" w:rsidRDefault="001F47FD" w:rsidP="00122B70">
      <w:pPr>
        <w:pStyle w:val="a"/>
        <w:bidi/>
        <w:spacing w:line="216" w:lineRule="auto"/>
        <w:jc w:val="left"/>
        <w:rPr>
          <w:rFonts w:ascii="mylotus" w:hAnsi="mylotus"/>
          <w:b/>
          <w:bCs/>
          <w:sz w:val="32"/>
          <w:rtl/>
          <w:lang w:bidi="ar-BH"/>
        </w:rPr>
      </w:pPr>
      <w:r w:rsidRPr="00F27422">
        <w:rPr>
          <w:rFonts w:ascii="mylotus" w:hAnsi="mylotus"/>
          <w:b/>
          <w:bCs/>
          <w:sz w:val="32"/>
          <w:rtl/>
        </w:rPr>
        <w:t>والمقام من هذا القبيل، فيملك البائع تمام الثمن وإن كانت العين معيبة، ولا تكون ذمّته مشغولة بجزء منه معادل لوصف الصحّة بحيث يخرج من تركته لو مات، غايته ثبوت الخيار للمشتري بين الفسخ والإمضاء مجّاناً أو مع مطالبة الأرش، فيضمن التفاوت حينئذٍ بنفس هذه المطالبة لا أنّه كان ضامناً من الأوّل</w:t>
      </w:r>
      <w:r w:rsidRPr="00F27422">
        <w:rPr>
          <w:rFonts w:ascii="mylotus" w:hAnsi="mylotus"/>
          <w:b/>
          <w:bCs/>
          <w:sz w:val="32"/>
        </w:rPr>
        <w:t>.</w:t>
      </w:r>
    </w:p>
    <w:p w14:paraId="02D0BBB6" w14:textId="77777777" w:rsidR="001F47FD" w:rsidRPr="00F27422" w:rsidRDefault="001F47FD" w:rsidP="00122B70">
      <w:pPr>
        <w:pStyle w:val="a"/>
        <w:bidi/>
        <w:spacing w:line="216" w:lineRule="auto"/>
        <w:jc w:val="left"/>
        <w:rPr>
          <w:rFonts w:ascii="mylotus" w:hAnsi="mylotus"/>
          <w:b/>
          <w:bCs/>
          <w:sz w:val="32"/>
          <w:rtl/>
          <w:lang w:bidi="ar-BH"/>
        </w:rPr>
      </w:pPr>
      <w:r w:rsidRPr="00F27422">
        <w:rPr>
          <w:rFonts w:ascii="mylotus" w:hAnsi="mylotus"/>
          <w:b/>
          <w:bCs/>
          <w:sz w:val="32"/>
          <w:rtl/>
        </w:rPr>
        <w:t xml:space="preserve">وهذا - كما ترى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حكم</w:t>
      </w:r>
      <w:r w:rsidRPr="00F27422">
        <w:rPr>
          <w:rFonts w:ascii="mylotus" w:hAnsi="mylotus"/>
          <w:b/>
          <w:bCs/>
          <w:sz w:val="32"/>
          <w:rtl/>
        </w:rPr>
        <w:t xml:space="preserve"> </w:t>
      </w:r>
      <w:r w:rsidRPr="00F27422">
        <w:rPr>
          <w:rFonts w:ascii="mylotus" w:hAnsi="mylotus" w:hint="cs"/>
          <w:b/>
          <w:bCs/>
          <w:sz w:val="32"/>
          <w:rtl/>
        </w:rPr>
        <w:t>تعبّدي</w:t>
      </w:r>
      <w:r w:rsidRPr="00F27422">
        <w:rPr>
          <w:rFonts w:ascii="mylotus" w:hAnsi="mylotus"/>
          <w:b/>
          <w:bCs/>
          <w:sz w:val="32"/>
          <w:rtl/>
        </w:rPr>
        <w:t xml:space="preserve"> </w:t>
      </w:r>
      <w:r w:rsidRPr="00F27422">
        <w:rPr>
          <w:rFonts w:ascii="mylotus" w:hAnsi="mylotus" w:hint="cs"/>
          <w:b/>
          <w:bCs/>
          <w:sz w:val="32"/>
          <w:rtl/>
        </w:rPr>
        <w:t>مخالف</w:t>
      </w:r>
      <w:r w:rsidRPr="00F27422">
        <w:rPr>
          <w:rFonts w:ascii="mylotus" w:hAnsi="mylotus"/>
          <w:b/>
          <w:bCs/>
          <w:sz w:val="32"/>
          <w:rtl/>
        </w:rPr>
        <w:t xml:space="preserve"> </w:t>
      </w:r>
      <w:r w:rsidRPr="00F27422">
        <w:rPr>
          <w:rFonts w:ascii="mylotus" w:hAnsi="mylotus" w:hint="cs"/>
          <w:b/>
          <w:bCs/>
          <w:sz w:val="32"/>
          <w:rtl/>
        </w:rPr>
        <w:t>للقاعدة</w:t>
      </w:r>
      <w:r w:rsidRPr="00F27422">
        <w:rPr>
          <w:rFonts w:ascii="mylotus" w:hAnsi="mylotus"/>
          <w:b/>
          <w:bCs/>
          <w:sz w:val="32"/>
          <w:rtl/>
        </w:rPr>
        <w:t xml:space="preserve"> </w:t>
      </w:r>
      <w:r w:rsidRPr="00F27422">
        <w:rPr>
          <w:rFonts w:ascii="mylotus" w:hAnsi="mylotus" w:hint="cs"/>
          <w:b/>
          <w:bCs/>
          <w:sz w:val="32"/>
          <w:rtl/>
        </w:rPr>
        <w:t>قد</w:t>
      </w:r>
      <w:r w:rsidRPr="00F27422">
        <w:rPr>
          <w:rFonts w:ascii="mylotus" w:hAnsi="mylotus"/>
          <w:b/>
          <w:bCs/>
          <w:sz w:val="32"/>
          <w:rtl/>
        </w:rPr>
        <w:t xml:space="preserve"> </w:t>
      </w:r>
      <w:r w:rsidRPr="00F27422">
        <w:rPr>
          <w:rFonts w:ascii="mylotus" w:hAnsi="mylotus" w:hint="cs"/>
          <w:b/>
          <w:bCs/>
          <w:sz w:val="32"/>
          <w:rtl/>
        </w:rPr>
        <w:t>ثبت</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خصوص</w:t>
      </w:r>
      <w:r w:rsidRPr="00F27422">
        <w:rPr>
          <w:rFonts w:ascii="mylotus" w:hAnsi="mylotus"/>
          <w:b/>
          <w:bCs/>
          <w:sz w:val="32"/>
          <w:rtl/>
        </w:rPr>
        <w:t xml:space="preserve"> </w:t>
      </w:r>
      <w:r w:rsidRPr="00F27422">
        <w:rPr>
          <w:rFonts w:ascii="mylotus" w:hAnsi="mylotus" w:hint="cs"/>
          <w:b/>
          <w:bCs/>
          <w:sz w:val="32"/>
          <w:rtl/>
        </w:rPr>
        <w:t>البيع</w:t>
      </w:r>
      <w:r w:rsidRPr="00F27422">
        <w:rPr>
          <w:rFonts w:ascii="mylotus" w:hAnsi="mylotus"/>
          <w:b/>
          <w:bCs/>
          <w:sz w:val="32"/>
          <w:rtl/>
        </w:rPr>
        <w:t xml:space="preserve"> </w:t>
      </w:r>
      <w:r w:rsidRPr="00F27422">
        <w:rPr>
          <w:rFonts w:ascii="mylotus" w:hAnsi="mylotus" w:hint="cs"/>
          <w:b/>
          <w:bCs/>
          <w:sz w:val="32"/>
          <w:rtl/>
        </w:rPr>
        <w:t>بالنصّ</w:t>
      </w:r>
      <w:r w:rsidRPr="00F27422">
        <w:rPr>
          <w:rFonts w:ascii="mylotus" w:hAnsi="mylotus"/>
          <w:b/>
          <w:bCs/>
          <w:sz w:val="32"/>
          <w:rtl/>
        </w:rPr>
        <w:t xml:space="preserve"> </w:t>
      </w:r>
      <w:r w:rsidRPr="00F27422">
        <w:rPr>
          <w:rFonts w:ascii="mylotus" w:hAnsi="mylotus" w:hint="cs"/>
          <w:b/>
          <w:bCs/>
          <w:sz w:val="32"/>
          <w:rtl/>
        </w:rPr>
        <w:t>الخاصّ،</w:t>
      </w:r>
      <w:r w:rsidRPr="00F27422">
        <w:rPr>
          <w:rFonts w:ascii="mylotus" w:hAnsi="mylotus"/>
          <w:b/>
          <w:bCs/>
          <w:sz w:val="32"/>
          <w:rtl/>
        </w:rPr>
        <w:t xml:space="preserve"> </w:t>
      </w:r>
      <w:r w:rsidRPr="00F27422">
        <w:rPr>
          <w:rFonts w:ascii="mylotus" w:hAnsi="mylotus" w:hint="cs"/>
          <w:b/>
          <w:bCs/>
          <w:sz w:val="32"/>
          <w:rtl/>
        </w:rPr>
        <w:t>فاللازم</w:t>
      </w:r>
      <w:r w:rsidRPr="00F27422">
        <w:rPr>
          <w:rFonts w:ascii="mylotus" w:hAnsi="mylotus"/>
          <w:b/>
          <w:bCs/>
          <w:sz w:val="32"/>
          <w:rtl/>
        </w:rPr>
        <w:t xml:space="preserve"> </w:t>
      </w:r>
      <w:r w:rsidRPr="00F27422">
        <w:rPr>
          <w:rFonts w:ascii="mylotus" w:hAnsi="mylotus" w:hint="cs"/>
          <w:b/>
          <w:bCs/>
          <w:sz w:val="32"/>
          <w:rtl/>
        </w:rPr>
        <w:t>الاقتصار</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 xml:space="preserve"> </w:t>
      </w:r>
      <w:r w:rsidRPr="00F27422">
        <w:rPr>
          <w:rFonts w:ascii="mylotus" w:hAnsi="mylotus" w:hint="cs"/>
          <w:b/>
          <w:bCs/>
          <w:sz w:val="32"/>
          <w:rtl/>
        </w:rPr>
        <w:t>ولا</w:t>
      </w:r>
      <w:r w:rsidRPr="00F27422">
        <w:rPr>
          <w:rFonts w:ascii="mylotus" w:hAnsi="mylotus"/>
          <w:b/>
          <w:bCs/>
          <w:sz w:val="32"/>
          <w:rtl/>
        </w:rPr>
        <w:t xml:space="preserve"> </w:t>
      </w:r>
      <w:r w:rsidRPr="00F27422">
        <w:rPr>
          <w:rFonts w:ascii="mylotus" w:hAnsi="mylotus" w:hint="cs"/>
          <w:b/>
          <w:bCs/>
          <w:sz w:val="32"/>
          <w:rtl/>
        </w:rPr>
        <w:t>موجب</w:t>
      </w:r>
      <w:r w:rsidRPr="00F27422">
        <w:rPr>
          <w:rFonts w:ascii="mylotus" w:hAnsi="mylotus"/>
          <w:b/>
          <w:bCs/>
          <w:sz w:val="32"/>
          <w:rtl/>
        </w:rPr>
        <w:t xml:space="preserve"> </w:t>
      </w:r>
      <w:r w:rsidRPr="00F27422">
        <w:rPr>
          <w:rFonts w:ascii="mylotus" w:hAnsi="mylotus" w:hint="cs"/>
          <w:b/>
          <w:bCs/>
          <w:sz w:val="32"/>
          <w:rtl/>
        </w:rPr>
        <w:t>للتعدّي</w:t>
      </w:r>
      <w:r w:rsidRPr="00F27422">
        <w:rPr>
          <w:rFonts w:ascii="mylotus" w:hAnsi="mylotus"/>
          <w:b/>
          <w:bCs/>
          <w:sz w:val="32"/>
          <w:rtl/>
        </w:rPr>
        <w:t xml:space="preserve"> </w:t>
      </w:r>
      <w:r w:rsidRPr="00F27422">
        <w:rPr>
          <w:rFonts w:ascii="mylotus" w:hAnsi="mylotus" w:hint="cs"/>
          <w:b/>
          <w:bCs/>
          <w:sz w:val="32"/>
          <w:rtl/>
        </w:rPr>
        <w:t>عن</w:t>
      </w:r>
      <w:r w:rsidRPr="00F27422">
        <w:rPr>
          <w:rFonts w:ascii="mylotus" w:hAnsi="mylotus"/>
          <w:b/>
          <w:bCs/>
          <w:sz w:val="32"/>
          <w:rtl/>
        </w:rPr>
        <w:t xml:space="preserve"> </w:t>
      </w:r>
      <w:r w:rsidRPr="00F27422">
        <w:rPr>
          <w:rFonts w:ascii="mylotus" w:hAnsi="mylotus" w:hint="cs"/>
          <w:b/>
          <w:bCs/>
          <w:sz w:val="32"/>
          <w:rtl/>
        </w:rPr>
        <w:t>مورده</w:t>
      </w:r>
      <w:r w:rsidRPr="00F27422">
        <w:rPr>
          <w:rFonts w:ascii="mylotus" w:hAnsi="mylotus"/>
          <w:b/>
          <w:bCs/>
          <w:sz w:val="32"/>
          <w:rtl/>
        </w:rPr>
        <w:t xml:space="preserve"> </w:t>
      </w:r>
      <w:r w:rsidRPr="00F27422">
        <w:rPr>
          <w:rFonts w:ascii="mylotus" w:hAnsi="mylotus" w:hint="cs"/>
          <w:b/>
          <w:bCs/>
          <w:sz w:val="32"/>
          <w:rtl/>
        </w:rPr>
        <w:t>بعد</w:t>
      </w:r>
      <w:r w:rsidRPr="00F27422">
        <w:rPr>
          <w:rFonts w:ascii="mylotus" w:hAnsi="mylotus"/>
          <w:b/>
          <w:bCs/>
          <w:sz w:val="32"/>
          <w:rtl/>
        </w:rPr>
        <w:t xml:space="preserve"> </w:t>
      </w:r>
      <w:r w:rsidRPr="00F27422">
        <w:rPr>
          <w:rFonts w:ascii="mylotus" w:hAnsi="mylotus" w:hint="cs"/>
          <w:b/>
          <w:bCs/>
          <w:sz w:val="32"/>
          <w:rtl/>
        </w:rPr>
        <w:t>عدم</w:t>
      </w:r>
      <w:r w:rsidRPr="00F27422">
        <w:rPr>
          <w:rFonts w:ascii="mylotus" w:hAnsi="mylotus"/>
          <w:b/>
          <w:bCs/>
          <w:sz w:val="32"/>
          <w:rtl/>
        </w:rPr>
        <w:t xml:space="preserve"> </w:t>
      </w:r>
      <w:r w:rsidRPr="00F27422">
        <w:rPr>
          <w:rFonts w:ascii="mylotus" w:hAnsi="mylotus" w:hint="cs"/>
          <w:b/>
          <w:bCs/>
          <w:sz w:val="32"/>
          <w:rtl/>
        </w:rPr>
        <w:t>الدليل</w:t>
      </w:r>
      <w:r w:rsidRPr="00F27422">
        <w:rPr>
          <w:rFonts w:ascii="mylotus" w:hAnsi="mylotus"/>
          <w:b/>
          <w:bCs/>
          <w:sz w:val="32"/>
          <w:rtl/>
        </w:rPr>
        <w:t xml:space="preserve"> </w:t>
      </w:r>
      <w:r w:rsidRPr="00F27422">
        <w:rPr>
          <w:rFonts w:ascii="mylotus" w:hAnsi="mylotus" w:hint="cs"/>
          <w:b/>
          <w:bCs/>
          <w:sz w:val="32"/>
          <w:rtl/>
        </w:rPr>
        <w:t>عل</w:t>
      </w:r>
      <w:r w:rsidRPr="00F27422">
        <w:rPr>
          <w:rFonts w:ascii="mylotus" w:hAnsi="mylotus"/>
          <w:b/>
          <w:bCs/>
          <w:sz w:val="32"/>
          <w:rtl/>
        </w:rPr>
        <w:t>يه</w:t>
      </w:r>
      <w:r w:rsidRPr="00F27422">
        <w:rPr>
          <w:rFonts w:ascii="mylotus" w:hAnsi="mylotus" w:hint="cs"/>
          <w:b/>
          <w:bCs/>
          <w:sz w:val="32"/>
          <w:rtl/>
        </w:rPr>
        <w:t>).</w:t>
      </w:r>
    </w:p>
    <w:p w14:paraId="1CBDDCFB" w14:textId="77777777" w:rsidR="001F47FD" w:rsidRPr="00F27422" w:rsidRDefault="001F47FD" w:rsidP="00122B70">
      <w:pPr>
        <w:pStyle w:val="a"/>
        <w:bidi/>
        <w:spacing w:line="216" w:lineRule="auto"/>
        <w:jc w:val="left"/>
        <w:rPr>
          <w:rFonts w:ascii="mylotus" w:hAnsi="mylotus"/>
          <w:sz w:val="32"/>
          <w:rtl/>
          <w:lang w:bidi="ar-BH"/>
        </w:rPr>
      </w:pPr>
      <w:r w:rsidRPr="00F27422">
        <w:rPr>
          <w:rFonts w:ascii="mylotus" w:hAnsi="mylotus"/>
          <w:sz w:val="32"/>
          <w:rtl/>
        </w:rPr>
        <w:t>ومراجعةُ الروايات الشريفة تشهد بأنّه لا ظهور في سياقها في أنّه حُكمٌ إمضائي، كما ذكره بعض الأجلة (رحمه الله).</w:t>
      </w:r>
    </w:p>
    <w:p w14:paraId="3AD354F0" w14:textId="77777777" w:rsidR="001F47FD" w:rsidRPr="00F27422" w:rsidRDefault="001F47FD" w:rsidP="00122B70">
      <w:pPr>
        <w:pStyle w:val="a"/>
        <w:bidi/>
        <w:spacing w:line="216" w:lineRule="auto"/>
        <w:jc w:val="left"/>
        <w:rPr>
          <w:rFonts w:ascii="mylotus" w:hAnsi="mylotus"/>
          <w:b/>
          <w:bCs/>
          <w:sz w:val="32"/>
          <w:rtl/>
        </w:rPr>
      </w:pPr>
    </w:p>
    <w:p w14:paraId="586E5E2B" w14:textId="77777777" w:rsidR="001F47FD" w:rsidRPr="00F27422" w:rsidRDefault="001F47FD"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3476DD50" w14:textId="77777777" w:rsidR="00383E67" w:rsidRPr="00F27422" w:rsidRDefault="00383E67" w:rsidP="00122B70">
      <w:pPr>
        <w:bidi/>
        <w:rPr>
          <w:sz w:val="32"/>
          <w:szCs w:val="32"/>
        </w:rPr>
      </w:pPr>
    </w:p>
    <w:p w14:paraId="7802B7C2" w14:textId="050DD428" w:rsidR="00383E67" w:rsidRPr="00F27422" w:rsidRDefault="00383E67" w:rsidP="00122B70">
      <w:pPr>
        <w:pStyle w:val="Heading3"/>
        <w:bidi/>
        <w:rPr>
          <w:sz w:val="32"/>
          <w:szCs w:val="32"/>
        </w:rPr>
      </w:pPr>
      <w:r w:rsidRPr="00F27422">
        <w:rPr>
          <w:sz w:val="32"/>
          <w:szCs w:val="32"/>
        </w:rPr>
        <w:t>077</w:t>
      </w:r>
    </w:p>
    <w:p w14:paraId="0E41D7D2" w14:textId="77777777" w:rsidR="00383E67" w:rsidRPr="00F27422" w:rsidRDefault="00383E67" w:rsidP="00122B70">
      <w:pPr>
        <w:bidi/>
        <w:rPr>
          <w:sz w:val="32"/>
          <w:szCs w:val="32"/>
        </w:rPr>
      </w:pPr>
    </w:p>
    <w:p w14:paraId="28972288" w14:textId="77777777" w:rsidR="00D578EE" w:rsidRPr="00F27422" w:rsidRDefault="00D578EE"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4914965E" w14:textId="77777777" w:rsidR="00D578EE" w:rsidRPr="00F27422" w:rsidRDefault="00D578EE"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35D9819F"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واللعن الدائم على أعدائهم أجمعين إلى قيام يوم الدين</w:t>
      </w:r>
    </w:p>
    <w:p w14:paraId="744E72B2" w14:textId="77777777" w:rsidR="00D578EE" w:rsidRPr="00F27422" w:rsidRDefault="00D578EE" w:rsidP="00122B70">
      <w:pPr>
        <w:pStyle w:val="a"/>
        <w:bidi/>
        <w:spacing w:line="216" w:lineRule="auto"/>
        <w:jc w:val="left"/>
        <w:rPr>
          <w:rFonts w:ascii="mylotus" w:hAnsi="mylotus"/>
          <w:sz w:val="32"/>
          <w:rtl/>
          <w:lang w:bidi="ar-BH"/>
        </w:rPr>
      </w:pPr>
    </w:p>
    <w:p w14:paraId="009310E0" w14:textId="77777777" w:rsidR="00D578EE" w:rsidRPr="00F27422" w:rsidRDefault="00D578EE" w:rsidP="00122B70">
      <w:pPr>
        <w:pStyle w:val="a"/>
        <w:bidi/>
        <w:spacing w:line="216" w:lineRule="auto"/>
        <w:jc w:val="left"/>
        <w:rPr>
          <w:rFonts w:ascii="mylotus" w:hAnsi="mylotus"/>
          <w:b/>
          <w:bCs/>
          <w:sz w:val="32"/>
          <w:rtl/>
          <w:lang w:bidi="ar-BH"/>
        </w:rPr>
      </w:pPr>
      <w:r w:rsidRPr="00F27422">
        <w:rPr>
          <w:rFonts w:ascii="mylotus" w:hAnsi="mylotus"/>
          <w:b/>
          <w:bCs/>
          <w:sz w:val="32"/>
          <w:rtl/>
        </w:rPr>
        <w:t>الاتجاهُ الثالث: ثبوتُ الأرش في فرض تعذر ردّ العين</w:t>
      </w:r>
      <w:r w:rsidRPr="00F27422">
        <w:rPr>
          <w:rFonts w:ascii="mylotus" w:hAnsi="mylotus"/>
          <w:b/>
          <w:bCs/>
          <w:sz w:val="32"/>
        </w:rPr>
        <w:t>.</w:t>
      </w:r>
    </w:p>
    <w:p w14:paraId="24FB1EBE"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وهذا ما ذهب إليه بعض الأجلة (رحمه الله) كما قرره في كتابه الإجارة</w:t>
      </w:r>
      <w:r w:rsidRPr="00F27422">
        <w:rPr>
          <w:rStyle w:val="FootnoteReference"/>
          <w:rFonts w:ascii="mylotus" w:hAnsi="mylotus"/>
          <w:sz w:val="32"/>
          <w:rtl/>
        </w:rPr>
        <w:footnoteReference w:id="90"/>
      </w:r>
      <w:r w:rsidRPr="00F27422">
        <w:rPr>
          <w:rFonts w:ascii="mylotus" w:hAnsi="mylotus" w:hint="cs"/>
          <w:sz w:val="32"/>
          <w:rtl/>
          <w:lang w:bidi="ar-BH"/>
        </w:rPr>
        <w:t xml:space="preserve">، </w:t>
      </w:r>
      <w:r w:rsidRPr="00F27422">
        <w:rPr>
          <w:rFonts w:ascii="mylotus" w:hAnsi="mylotus"/>
          <w:sz w:val="32"/>
          <w:rtl/>
        </w:rPr>
        <w:t>وحاصلُ ما ذكره أمورٌ</w:t>
      </w:r>
      <w:r w:rsidRPr="00F27422">
        <w:rPr>
          <w:rFonts w:ascii="mylotus" w:hAnsi="mylotus"/>
          <w:sz w:val="32"/>
        </w:rPr>
        <w:t>:</w:t>
      </w:r>
    </w:p>
    <w:p w14:paraId="50D72FCC"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 xml:space="preserve">الأمرُ الأوّل: </w:t>
      </w:r>
      <w:r w:rsidRPr="00F27422">
        <w:rPr>
          <w:rFonts w:ascii="mylotus" w:hAnsi="mylotus"/>
          <w:sz w:val="32"/>
          <w:rtl/>
        </w:rPr>
        <w:t>أنّ مناط ثبوت الخيار هو كون اشتراط السلامة شرطاً ارتكازياً، ومقتضى ارتكازية شرط السلامة ارتكازية ضمان المالية؛ فإنّ أحد الارتكازين مستلزمٌ لارتكاز الآخر، فكما أنّ اشتراط السلامة في المبيع أمرٌ ارتكازي فضمان مالية النقص الحاصل بالعيب أمرٌ ارتكازي، وحيثُ إنّ الضمان لا يتحقّق دائماً بالخيار؛ إمّا لامتناع ردّ العين فلا جدوى في ثبوت الخيار، أو لتلف العين بحيثُ لو فسخ عند التلف للزمه ردّ قيمة العين بدلها وقد تكون قيمة العين يوم الفسخ أكثر مِن قيمتها يوم إبرام المعاملة فيكون المُستأجر أو المُشتري أكثر خسارةً إذا ذهب إلى الخيار مما إذا أمضى؛ لأنّه إنْ أمضى فسوف يتحمل النقص الحاصل بالعيب، بينما لو فسخ للزمه ردّ العين والعين غير موجودة فلابُدّ مِن ردّ بدلها</w:t>
      </w:r>
      <w:r w:rsidRPr="00F27422">
        <w:rPr>
          <w:rFonts w:ascii="mylotus" w:hAnsi="mylotus" w:hint="cs"/>
          <w:sz w:val="32"/>
          <w:rtl/>
        </w:rPr>
        <w:t>،</w:t>
      </w:r>
      <w:r w:rsidRPr="00F27422">
        <w:rPr>
          <w:rFonts w:ascii="mylotus" w:hAnsi="mylotus"/>
          <w:sz w:val="32"/>
          <w:rtl/>
        </w:rPr>
        <w:t xml:space="preserve"> وردّ بدلها - وهو قيمتها يوم الفسخ - قد يكون أضعاف قيمتها يوم إبرام المعاملة</w:t>
      </w:r>
      <w:r w:rsidRPr="00F27422">
        <w:rPr>
          <w:rFonts w:ascii="mylotus" w:hAnsi="mylotus"/>
          <w:sz w:val="32"/>
        </w:rPr>
        <w:t>.</w:t>
      </w:r>
    </w:p>
    <w:p w14:paraId="6A51831B"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 xml:space="preserve">فهذه منبهاتٌ على أنّ ضمان نقص المالية الحاصل بسبب العيب أمرٌ ارتكازي، فلا ريب في الضمان في مثل هذا </w:t>
      </w:r>
      <w:proofErr w:type="gramStart"/>
      <w:r w:rsidRPr="00F27422">
        <w:rPr>
          <w:rFonts w:ascii="mylotus" w:hAnsi="mylotus"/>
          <w:sz w:val="32"/>
          <w:rtl/>
        </w:rPr>
        <w:t>الفرض  في</w:t>
      </w:r>
      <w:proofErr w:type="gramEnd"/>
      <w:r w:rsidRPr="00F27422">
        <w:rPr>
          <w:rFonts w:ascii="mylotus" w:hAnsi="mylotus"/>
          <w:sz w:val="32"/>
          <w:rtl/>
        </w:rPr>
        <w:t xml:space="preserve"> البيع والإجارة</w:t>
      </w:r>
      <w:r w:rsidRPr="00F27422">
        <w:rPr>
          <w:rFonts w:ascii="mylotus" w:hAnsi="mylotus"/>
          <w:sz w:val="32"/>
        </w:rPr>
        <w:t>.</w:t>
      </w:r>
    </w:p>
    <w:p w14:paraId="541F8ACF"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 xml:space="preserve">قال (رحمه الله): </w:t>
      </w:r>
      <w:r w:rsidRPr="00F27422">
        <w:rPr>
          <w:rFonts w:ascii="mylotus" w:hAnsi="mylotus"/>
          <w:b/>
          <w:bCs/>
          <w:sz w:val="32"/>
          <w:rtl/>
        </w:rPr>
        <w:t>(وهذه النكتة الارتكازية لا يفرق فيها بين باب البيع وغيره من المعاوضات، فهي تجري في الإجارة أيضاً خصوصاً في المنفعة الناقصة المستوفاة قبل ظهور العيب والذي يكون بحكم التالف)</w:t>
      </w:r>
      <w:r w:rsidRPr="00F27422">
        <w:rPr>
          <w:rFonts w:ascii="mylotus" w:hAnsi="mylotus"/>
          <w:sz w:val="32"/>
          <w:rtl/>
        </w:rPr>
        <w:t xml:space="preserve"> كما لو افترضنا أنّ المُستأجر استوفى المنفعة ثمّ التفت إلى وجود العيب، فإنّ المنفعة حينئذٍ بحكم التالف ولا يمكن ردّها إلى المُؤجر </w:t>
      </w:r>
      <w:r w:rsidRPr="00F27422">
        <w:rPr>
          <w:rFonts w:ascii="mylotus" w:hAnsi="mylotus"/>
          <w:b/>
          <w:bCs/>
          <w:sz w:val="32"/>
          <w:rtl/>
        </w:rPr>
        <w:t>(حيث إنَّ القول بعدم الأرش فيه)</w:t>
      </w:r>
      <w:r w:rsidRPr="00F27422">
        <w:rPr>
          <w:rFonts w:ascii="mylotus" w:hAnsi="mylotus"/>
          <w:sz w:val="32"/>
          <w:rtl/>
        </w:rPr>
        <w:t xml:space="preserve"> أي: في هذا الفرض </w:t>
      </w:r>
      <w:r w:rsidRPr="00F27422">
        <w:rPr>
          <w:rFonts w:ascii="mylotus" w:hAnsi="mylotus"/>
          <w:b/>
          <w:bCs/>
          <w:sz w:val="32"/>
          <w:rtl/>
        </w:rPr>
        <w:t>(مع كون خيار العيب يسقط بالتلف)</w:t>
      </w:r>
      <w:r w:rsidRPr="00F27422">
        <w:rPr>
          <w:rFonts w:ascii="mylotus" w:hAnsi="mylotus"/>
          <w:sz w:val="32"/>
          <w:rtl/>
        </w:rPr>
        <w:t xml:space="preserve"> إذ لا يمكن ردّ المعوض وهو المنفعةُ للمُؤجر </w:t>
      </w:r>
      <w:r w:rsidRPr="00F27422">
        <w:rPr>
          <w:rFonts w:ascii="mylotus" w:hAnsi="mylotus"/>
          <w:b/>
          <w:bCs/>
          <w:sz w:val="32"/>
          <w:rtl/>
        </w:rPr>
        <w:t xml:space="preserve">(معناه هدر حق المستأجر مع كونه) </w:t>
      </w:r>
      <w:r w:rsidRPr="00F27422">
        <w:rPr>
          <w:rFonts w:ascii="mylotus" w:hAnsi="mylotus"/>
          <w:sz w:val="32"/>
          <w:rtl/>
        </w:rPr>
        <w:t xml:space="preserve">أي: المستأجر </w:t>
      </w:r>
      <w:r w:rsidRPr="00F27422">
        <w:rPr>
          <w:rFonts w:ascii="mylotus" w:hAnsi="mylotus"/>
          <w:b/>
          <w:bCs/>
          <w:sz w:val="32"/>
          <w:rtl/>
        </w:rPr>
        <w:t>(قد اشترط)</w:t>
      </w:r>
      <w:r w:rsidRPr="00F27422">
        <w:rPr>
          <w:rFonts w:ascii="mylotus" w:hAnsi="mylotus"/>
          <w:sz w:val="32"/>
          <w:rtl/>
        </w:rPr>
        <w:t xml:space="preserve"> السلامة مِن العيب </w:t>
      </w:r>
      <w:r w:rsidRPr="00F27422">
        <w:rPr>
          <w:rFonts w:ascii="mylotus" w:hAnsi="mylotus"/>
          <w:b/>
          <w:bCs/>
          <w:sz w:val="32"/>
          <w:rtl/>
        </w:rPr>
        <w:t xml:space="preserve">(وقد تخلف الشرط بل لو كان ملاك الخيار المذكور) </w:t>
      </w:r>
      <w:r w:rsidRPr="00F27422">
        <w:rPr>
          <w:rFonts w:ascii="mylotus" w:hAnsi="mylotus"/>
          <w:sz w:val="32"/>
          <w:rtl/>
        </w:rPr>
        <w:t xml:space="preserve">وهو خيار العيب </w:t>
      </w:r>
      <w:r w:rsidRPr="00F27422">
        <w:rPr>
          <w:rFonts w:ascii="mylotus" w:hAnsi="mylotus"/>
          <w:b/>
          <w:bCs/>
          <w:sz w:val="32"/>
          <w:rtl/>
        </w:rPr>
        <w:t>(هو الاشتراط)</w:t>
      </w:r>
      <w:r w:rsidRPr="00F27422">
        <w:rPr>
          <w:rFonts w:ascii="mylotus" w:hAnsi="mylotus"/>
          <w:sz w:val="32"/>
          <w:rtl/>
        </w:rPr>
        <w:t xml:space="preserve"> أي: اشتراط السلامة </w:t>
      </w:r>
      <w:r w:rsidRPr="00F27422">
        <w:rPr>
          <w:rFonts w:ascii="mylotus" w:hAnsi="mylotus"/>
          <w:b/>
          <w:bCs/>
          <w:sz w:val="32"/>
          <w:rtl/>
        </w:rPr>
        <w:t>(كان ثبوته على القاعدة غير منوط بوجود المعوض وعدم التصرف فيه)</w:t>
      </w:r>
      <w:r w:rsidRPr="00F27422">
        <w:rPr>
          <w:rFonts w:ascii="mylotus" w:hAnsi="mylotus"/>
          <w:sz w:val="32"/>
          <w:rtl/>
        </w:rPr>
        <w:t xml:space="preserve"> فسواءً تصرف أو لَمْ يتصرف، وبقيّ المعوض أم تلف، فإنّ له خيار العيب؛ لأنّ مناط الخيار هو اشتراط السلامة وقد تخل</w:t>
      </w:r>
      <w:r w:rsidRPr="00F27422">
        <w:rPr>
          <w:rFonts w:ascii="mylotus" w:hAnsi="mylotus" w:hint="cs"/>
          <w:sz w:val="32"/>
          <w:rtl/>
        </w:rPr>
        <w:t>ّ</w:t>
      </w:r>
      <w:r w:rsidRPr="00F27422">
        <w:rPr>
          <w:rFonts w:ascii="mylotus" w:hAnsi="mylotus"/>
          <w:sz w:val="32"/>
          <w:rtl/>
        </w:rPr>
        <w:t>ف الشرط</w:t>
      </w:r>
      <w:r w:rsidRPr="00F27422">
        <w:rPr>
          <w:rFonts w:ascii="mylotus" w:hAnsi="mylotus"/>
          <w:sz w:val="32"/>
        </w:rPr>
        <w:t>.</w:t>
      </w:r>
    </w:p>
    <w:p w14:paraId="591D0588"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الأمرُ الثاني:</w:t>
      </w:r>
      <w:r w:rsidRPr="00F27422">
        <w:rPr>
          <w:rFonts w:ascii="mylotus" w:hAnsi="mylotus"/>
          <w:sz w:val="32"/>
          <w:rtl/>
        </w:rPr>
        <w:t xml:space="preserve"> إنّه لا يبعد استفادة ذلك مِن روايات ثبوت الأرش عند تبيّن كون المبيع معيباً؛ حيثُ إنّ سياق الروايات الواردة في ثبوت الأرش سياق الإمضاء للمرتكز العقلائي - لا التعبد </w:t>
      </w:r>
      <w:r w:rsidRPr="00F27422">
        <w:rPr>
          <w:rFonts w:ascii="mylotus" w:hAnsi="mylotus"/>
          <w:sz w:val="32"/>
          <w:rtl/>
        </w:rPr>
        <w:lastRenderedPageBreak/>
        <w:t>-، وذهابُ الفقه الوضعي لضمان الأرش شاهدٌ على ثبوت الارتكاز المذكور وهو أنّ النقص الحاصل في المالية بسبب العيب مضمونٌ</w:t>
      </w:r>
      <w:r w:rsidRPr="00F27422">
        <w:rPr>
          <w:rFonts w:ascii="mylotus" w:hAnsi="mylotus"/>
          <w:sz w:val="32"/>
        </w:rPr>
        <w:t>.</w:t>
      </w:r>
    </w:p>
    <w:p w14:paraId="496A268B"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بل يمكن القول: إن</w:t>
      </w:r>
      <w:r w:rsidRPr="00F27422">
        <w:rPr>
          <w:rFonts w:ascii="mylotus" w:hAnsi="mylotus" w:hint="cs"/>
          <w:sz w:val="32"/>
          <w:rtl/>
        </w:rPr>
        <w:t>ّ</w:t>
      </w:r>
      <w:r w:rsidRPr="00F27422">
        <w:rPr>
          <w:rFonts w:ascii="mylotus" w:hAnsi="mylotus"/>
          <w:sz w:val="32"/>
          <w:rtl/>
        </w:rPr>
        <w:t>ه لا يستفاد مِن روايات ثبوت الأرش في عيب المبيع إلّا ثبوته في فرض تعذر ردّ العين أو تلفها لا مطلقاً</w:t>
      </w:r>
      <w:r w:rsidRPr="00F27422">
        <w:rPr>
          <w:rFonts w:ascii="mylotus" w:hAnsi="mylotus"/>
          <w:sz w:val="32"/>
        </w:rPr>
        <w:t>.</w:t>
      </w:r>
    </w:p>
    <w:p w14:paraId="0855912B"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 xml:space="preserve">قال (رحمه الله): </w:t>
      </w:r>
      <w:r w:rsidRPr="00F27422">
        <w:rPr>
          <w:rFonts w:ascii="mylotus" w:hAnsi="mylotus"/>
          <w:b/>
          <w:bCs/>
          <w:sz w:val="32"/>
          <w:rtl/>
        </w:rPr>
        <w:t>(ومن هنا يمكن دعوى أنّ حق أخذ الأرش مطلقاً أو على الأقل في حالات تعذر ردّ العين أو عدم الفائدة فيه أمر ثابت ومركوز عند العقلاء أيضاً، وليست الروايات الخاصة الواردة في باب البيع إلّا إمضاء لذلك، بل لعل لسان بعضها يناسب الإمضاء لا الحكم التعبدي، ولعل مراجعة الفقه الوضعي أيضاً تشهد على ارتكازية حق الأرش)</w:t>
      </w:r>
      <w:r w:rsidRPr="00F27422">
        <w:rPr>
          <w:rStyle w:val="FootnoteReference"/>
          <w:rFonts w:ascii="mylotus" w:hAnsi="mylotus"/>
          <w:sz w:val="32"/>
          <w:rtl/>
        </w:rPr>
        <w:footnoteReference w:id="91"/>
      </w:r>
      <w:r w:rsidRPr="00F27422">
        <w:rPr>
          <w:rFonts w:ascii="mylotus" w:hAnsi="mylotus" w:hint="cs"/>
          <w:b/>
          <w:bCs/>
          <w:sz w:val="32"/>
          <w:rtl/>
        </w:rPr>
        <w:t>.</w:t>
      </w:r>
    </w:p>
    <w:p w14:paraId="55AEDCF6"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الأمرُ الثالث:</w:t>
      </w:r>
      <w:r w:rsidRPr="00F27422">
        <w:rPr>
          <w:rFonts w:ascii="mylotus" w:hAnsi="mylotus"/>
          <w:sz w:val="32"/>
          <w:rtl/>
        </w:rPr>
        <w:t xml:space="preserve"> إنّ ضمان الأرش لا يعني انفساخ الإجارة في الجزء المعيب؛ إذ لو كان مرجع ضمان الأرش لانفساخ الإجارة في الجزء المعيب لكان ذلك مقتضياً لتقسيط الأُجرة</w:t>
      </w:r>
      <w:r w:rsidRPr="00F27422">
        <w:rPr>
          <w:rFonts w:ascii="mylotus" w:hAnsi="mylotus" w:hint="cs"/>
          <w:sz w:val="32"/>
          <w:rtl/>
        </w:rPr>
        <w:t>.</w:t>
      </w:r>
    </w:p>
    <w:p w14:paraId="305FA801"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ولكن هذا ليس صحيحا</w:t>
      </w:r>
      <w:r w:rsidRPr="00F27422">
        <w:rPr>
          <w:rFonts w:ascii="mylotus" w:hAnsi="mylotus" w:hint="cs"/>
          <w:b/>
          <w:bCs/>
          <w:sz w:val="32"/>
          <w:rtl/>
        </w:rPr>
        <w:t>ً</w:t>
      </w:r>
      <w:r w:rsidRPr="00F27422">
        <w:rPr>
          <w:rFonts w:ascii="mylotus" w:hAnsi="mylotus"/>
          <w:b/>
          <w:bCs/>
          <w:sz w:val="32"/>
          <w:rtl/>
        </w:rPr>
        <w:t xml:space="preserve"> بالإجماع؛</w:t>
      </w:r>
      <w:r w:rsidRPr="00F27422">
        <w:rPr>
          <w:rFonts w:ascii="mylotus" w:hAnsi="mylotus"/>
          <w:sz w:val="32"/>
          <w:rtl/>
        </w:rPr>
        <w:t xml:space="preserve"> وإنّما ثبوت الأرش بملاك جبر النقص الحاصل بالعيب، ومقتضى ذلك أنّه لا يلزم المُؤجر التعويض مِن نفس </w:t>
      </w:r>
      <w:proofErr w:type="gramStart"/>
      <w:r w:rsidRPr="00F27422">
        <w:rPr>
          <w:rFonts w:ascii="mylotus" w:hAnsi="mylotus"/>
          <w:sz w:val="32"/>
          <w:rtl/>
        </w:rPr>
        <w:t>الأُجرة</w:t>
      </w:r>
      <w:proofErr w:type="gramEnd"/>
      <w:r w:rsidRPr="00F27422">
        <w:rPr>
          <w:rFonts w:ascii="mylotus" w:hAnsi="mylotus"/>
          <w:sz w:val="32"/>
          <w:rtl/>
        </w:rPr>
        <w:t xml:space="preserve"> بل مِن أيِّ مالٍ؛ إذ لا خصوصية لكون الضمان مِن نفس الأُجرة</w:t>
      </w:r>
      <w:r w:rsidRPr="00F27422">
        <w:rPr>
          <w:rFonts w:ascii="mylotus" w:hAnsi="mylotus"/>
          <w:sz w:val="32"/>
        </w:rPr>
        <w:t>.</w:t>
      </w:r>
    </w:p>
    <w:p w14:paraId="60BCF1A6"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 xml:space="preserve">قال (رحمه الله): </w:t>
      </w:r>
      <w:r w:rsidRPr="00F27422">
        <w:rPr>
          <w:rFonts w:ascii="mylotus" w:hAnsi="mylotus"/>
          <w:b/>
          <w:bCs/>
          <w:sz w:val="32"/>
          <w:rtl/>
        </w:rPr>
        <w:t>(كما أنّ ثبوت الأرش لا يعني لزوم كونه من عين العوض ثمناً أو اُجرة، إذ لا خصوصية في ذلك بعد أن كان الغرض العقلائي منه جبر النقيصة الحاصلة بالعيب، فليس بابه باب بطلان الإجارة والتقسيط ليكون من الحق في العوض)</w:t>
      </w:r>
      <w:r w:rsidRPr="00F27422">
        <w:rPr>
          <w:rStyle w:val="FootnoteReference"/>
          <w:rFonts w:ascii="mylotus" w:hAnsi="mylotus"/>
          <w:sz w:val="32"/>
          <w:rtl/>
        </w:rPr>
        <w:footnoteReference w:id="92"/>
      </w:r>
      <w:r w:rsidRPr="00F27422">
        <w:rPr>
          <w:rFonts w:ascii="mylotus" w:hAnsi="mylotus" w:hint="cs"/>
          <w:b/>
          <w:bCs/>
          <w:sz w:val="32"/>
          <w:rtl/>
        </w:rPr>
        <w:t>.</w:t>
      </w:r>
    </w:p>
    <w:p w14:paraId="4B8F4B7D" w14:textId="77777777" w:rsidR="00D578EE" w:rsidRPr="00F27422" w:rsidRDefault="00D578EE" w:rsidP="00122B70">
      <w:pPr>
        <w:pStyle w:val="a"/>
        <w:bidi/>
        <w:spacing w:line="216" w:lineRule="auto"/>
        <w:jc w:val="left"/>
        <w:rPr>
          <w:rFonts w:ascii="mylotus" w:hAnsi="mylotus"/>
          <w:b/>
          <w:bCs/>
          <w:sz w:val="32"/>
          <w:rtl/>
          <w:lang w:bidi="ar-BH"/>
        </w:rPr>
      </w:pPr>
      <w:r w:rsidRPr="00F27422">
        <w:rPr>
          <w:rFonts w:ascii="mylotus" w:hAnsi="mylotus"/>
          <w:sz w:val="32"/>
          <w:rtl/>
        </w:rPr>
        <w:t>وهذا خلافاً لما ذكره سيدنا الخوئي (قدس سره) في موسوعته المباركة في كتاب الإجارة</w:t>
      </w:r>
      <w:r w:rsidRPr="00F27422">
        <w:rPr>
          <w:rStyle w:val="FootnoteReference"/>
          <w:rFonts w:ascii="mylotus" w:hAnsi="mylotus"/>
          <w:sz w:val="32"/>
          <w:rtl/>
        </w:rPr>
        <w:footnoteReference w:id="93"/>
      </w:r>
      <w:r w:rsidRPr="00F27422">
        <w:rPr>
          <w:rFonts w:ascii="mylotus" w:hAnsi="mylotus"/>
          <w:sz w:val="32"/>
          <w:rtl/>
        </w:rPr>
        <w:t xml:space="preserve"> </w:t>
      </w:r>
      <w:r w:rsidRPr="00F27422">
        <w:rPr>
          <w:rFonts w:ascii="mylotus" w:hAnsi="mylotus" w:hint="cs"/>
          <w:sz w:val="32"/>
          <w:rtl/>
        </w:rPr>
        <w:t>بقوله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فضمان</w:t>
      </w:r>
      <w:r w:rsidRPr="00F27422">
        <w:rPr>
          <w:rFonts w:ascii="mylotus" w:hAnsi="mylotus"/>
          <w:b/>
          <w:bCs/>
          <w:sz w:val="32"/>
          <w:rtl/>
        </w:rPr>
        <w:t xml:space="preserve"> </w:t>
      </w:r>
      <w:r w:rsidRPr="00F27422">
        <w:rPr>
          <w:rFonts w:ascii="mylotus" w:hAnsi="mylotus" w:hint="cs"/>
          <w:b/>
          <w:bCs/>
          <w:sz w:val="32"/>
          <w:rtl/>
        </w:rPr>
        <w:t>التفاوت</w:t>
      </w:r>
      <w:r w:rsidRPr="00F27422">
        <w:rPr>
          <w:rFonts w:ascii="mylotus" w:hAnsi="mylotus"/>
          <w:b/>
          <w:bCs/>
          <w:sz w:val="32"/>
          <w:rtl/>
        </w:rPr>
        <w:t xml:space="preserve"> </w:t>
      </w:r>
      <w:r w:rsidRPr="00F27422">
        <w:rPr>
          <w:rFonts w:ascii="mylotus" w:hAnsi="mylotus" w:hint="cs"/>
          <w:b/>
          <w:bCs/>
          <w:sz w:val="32"/>
          <w:rtl/>
        </w:rPr>
        <w:t>بين</w:t>
      </w:r>
      <w:r w:rsidRPr="00F27422">
        <w:rPr>
          <w:rFonts w:ascii="mylotus" w:hAnsi="mylotus"/>
          <w:b/>
          <w:bCs/>
          <w:sz w:val="32"/>
          <w:rtl/>
        </w:rPr>
        <w:t xml:space="preserve"> </w:t>
      </w:r>
      <w:r w:rsidRPr="00F27422">
        <w:rPr>
          <w:rFonts w:ascii="mylotus" w:hAnsi="mylotus" w:hint="cs"/>
          <w:b/>
          <w:bCs/>
          <w:sz w:val="32"/>
          <w:rtl/>
        </w:rPr>
        <w:t>الصحيح</w:t>
      </w:r>
      <w:r w:rsidRPr="00F27422">
        <w:rPr>
          <w:rFonts w:ascii="mylotus" w:hAnsi="mylotus"/>
          <w:b/>
          <w:bCs/>
          <w:sz w:val="32"/>
          <w:rtl/>
        </w:rPr>
        <w:t xml:space="preserve"> </w:t>
      </w:r>
      <w:r w:rsidRPr="00F27422">
        <w:rPr>
          <w:rFonts w:ascii="mylotus" w:hAnsi="mylotus" w:hint="cs"/>
          <w:b/>
          <w:bCs/>
          <w:sz w:val="32"/>
          <w:rtl/>
        </w:rPr>
        <w:t>والمعيب</w:t>
      </w:r>
      <w:r w:rsidRPr="00F27422">
        <w:rPr>
          <w:rFonts w:ascii="mylotus" w:hAnsi="mylotus"/>
          <w:b/>
          <w:bCs/>
          <w:sz w:val="32"/>
          <w:rtl/>
        </w:rPr>
        <w:t xml:space="preserve"> </w:t>
      </w:r>
      <w:r w:rsidRPr="00F27422">
        <w:rPr>
          <w:rFonts w:ascii="mylotus" w:hAnsi="mylotus" w:hint="cs"/>
          <w:b/>
          <w:bCs/>
          <w:sz w:val="32"/>
          <w:rtl/>
        </w:rPr>
        <w:t>المعبّر</w:t>
      </w:r>
      <w:r w:rsidRPr="00F27422">
        <w:rPr>
          <w:rFonts w:ascii="mylotus" w:hAnsi="mylotus"/>
          <w:b/>
          <w:bCs/>
          <w:sz w:val="32"/>
          <w:rtl/>
        </w:rPr>
        <w:t xml:space="preserve"> </w:t>
      </w:r>
      <w:r w:rsidRPr="00F27422">
        <w:rPr>
          <w:rFonts w:ascii="mylotus" w:hAnsi="mylotus" w:hint="cs"/>
          <w:b/>
          <w:bCs/>
          <w:sz w:val="32"/>
          <w:rtl/>
        </w:rPr>
        <w:t>عنه</w:t>
      </w:r>
      <w:r w:rsidRPr="00F27422">
        <w:rPr>
          <w:rFonts w:ascii="mylotus" w:hAnsi="mylotus"/>
          <w:b/>
          <w:bCs/>
          <w:sz w:val="32"/>
          <w:rtl/>
        </w:rPr>
        <w:t xml:space="preserve"> </w:t>
      </w:r>
      <w:r w:rsidRPr="00F27422">
        <w:rPr>
          <w:rFonts w:ascii="mylotus" w:hAnsi="mylotus" w:hint="cs"/>
          <w:b/>
          <w:bCs/>
          <w:sz w:val="32"/>
          <w:rtl/>
        </w:rPr>
        <w:t>بالأرش</w:t>
      </w:r>
      <w:r w:rsidRPr="00F27422">
        <w:rPr>
          <w:rFonts w:ascii="mylotus" w:hAnsi="mylotus"/>
          <w:b/>
          <w:bCs/>
          <w:sz w:val="32"/>
          <w:rtl/>
        </w:rPr>
        <w:t xml:space="preserve"> </w:t>
      </w:r>
      <w:r w:rsidRPr="00F27422">
        <w:rPr>
          <w:rFonts w:ascii="mylotus" w:hAnsi="mylotus" w:hint="cs"/>
          <w:b/>
          <w:bCs/>
          <w:sz w:val="32"/>
          <w:rtl/>
        </w:rPr>
        <w:t>حكم</w:t>
      </w:r>
      <w:r w:rsidRPr="00F27422">
        <w:rPr>
          <w:rFonts w:ascii="mylotus" w:hAnsi="mylotus"/>
          <w:b/>
          <w:bCs/>
          <w:sz w:val="32"/>
          <w:rtl/>
        </w:rPr>
        <w:t xml:space="preserve"> </w:t>
      </w:r>
      <w:r w:rsidRPr="00F27422">
        <w:rPr>
          <w:rFonts w:ascii="mylotus" w:hAnsi="mylotus" w:hint="cs"/>
          <w:b/>
          <w:bCs/>
          <w:sz w:val="32"/>
          <w:rtl/>
        </w:rPr>
        <w:t>جديد</w:t>
      </w:r>
      <w:r w:rsidRPr="00F27422">
        <w:rPr>
          <w:rFonts w:ascii="mylotus" w:hAnsi="mylotus"/>
          <w:b/>
          <w:bCs/>
          <w:sz w:val="32"/>
          <w:rtl/>
        </w:rPr>
        <w:t xml:space="preserve"> </w:t>
      </w:r>
      <w:r w:rsidRPr="00F27422">
        <w:rPr>
          <w:rFonts w:ascii="mylotus" w:hAnsi="mylotus" w:hint="cs"/>
          <w:b/>
          <w:bCs/>
          <w:sz w:val="32"/>
          <w:rtl/>
        </w:rPr>
        <w:t>يثبت</w:t>
      </w:r>
      <w:r w:rsidRPr="00F27422">
        <w:rPr>
          <w:rFonts w:ascii="mylotus" w:hAnsi="mylotus"/>
          <w:b/>
          <w:bCs/>
          <w:sz w:val="32"/>
          <w:rtl/>
        </w:rPr>
        <w:t xml:space="preserve"> </w:t>
      </w:r>
      <w:r w:rsidRPr="00F27422">
        <w:rPr>
          <w:rFonts w:ascii="mylotus" w:hAnsi="mylotus" w:hint="cs"/>
          <w:b/>
          <w:bCs/>
          <w:sz w:val="32"/>
          <w:rtl/>
        </w:rPr>
        <w:t>بنفس</w:t>
      </w:r>
      <w:r w:rsidRPr="00F27422">
        <w:rPr>
          <w:rFonts w:ascii="mylotus" w:hAnsi="mylotus"/>
          <w:b/>
          <w:bCs/>
          <w:sz w:val="32"/>
          <w:rtl/>
        </w:rPr>
        <w:t xml:space="preserve"> </w:t>
      </w:r>
      <w:r w:rsidRPr="00F27422">
        <w:rPr>
          <w:rFonts w:ascii="mylotus" w:hAnsi="mylotus" w:hint="cs"/>
          <w:b/>
          <w:bCs/>
          <w:sz w:val="32"/>
          <w:rtl/>
        </w:rPr>
        <w:t>المطالبة</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لولا</w:t>
      </w:r>
      <w:r w:rsidRPr="00F27422">
        <w:rPr>
          <w:rFonts w:ascii="mylotus" w:hAnsi="mylotus"/>
          <w:sz w:val="32"/>
          <w:rtl/>
        </w:rPr>
        <w:t xml:space="preserve"> </w:t>
      </w:r>
      <w:r w:rsidRPr="00F27422">
        <w:rPr>
          <w:rFonts w:ascii="mylotus" w:hAnsi="mylotus" w:hint="cs"/>
          <w:sz w:val="32"/>
          <w:rtl/>
        </w:rPr>
        <w:t>المطالبة</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ضمان</w:t>
      </w:r>
      <w:r w:rsidRPr="00F27422">
        <w:rPr>
          <w:rFonts w:ascii="mylotus" w:hAnsi="mylotus"/>
          <w:sz w:val="32"/>
          <w:rtl/>
        </w:rPr>
        <w:t xml:space="preserve"> </w:t>
      </w:r>
      <w:r w:rsidRPr="00F27422">
        <w:rPr>
          <w:rFonts w:ascii="mylotus" w:hAnsi="mylotus" w:hint="cs"/>
          <w:sz w:val="32"/>
          <w:rtl/>
        </w:rPr>
        <w:t>للنقص</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وبها</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بالمطالبة</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تشتغل</w:t>
      </w:r>
      <w:r w:rsidRPr="00F27422">
        <w:rPr>
          <w:rFonts w:ascii="mylotus" w:hAnsi="mylotus"/>
          <w:b/>
          <w:bCs/>
          <w:sz w:val="32"/>
          <w:rtl/>
        </w:rPr>
        <w:t xml:space="preserve"> </w:t>
      </w:r>
      <w:r w:rsidRPr="00F27422">
        <w:rPr>
          <w:rFonts w:ascii="mylotus" w:hAnsi="mylotus" w:hint="cs"/>
          <w:b/>
          <w:bCs/>
          <w:sz w:val="32"/>
          <w:rtl/>
        </w:rPr>
        <w:t>الذمّة،</w:t>
      </w:r>
      <w:r w:rsidRPr="00F27422">
        <w:rPr>
          <w:rFonts w:ascii="mylotus" w:hAnsi="mylotus"/>
          <w:b/>
          <w:bCs/>
          <w:sz w:val="32"/>
          <w:rtl/>
        </w:rPr>
        <w:t xml:space="preserve"> </w:t>
      </w:r>
      <w:r w:rsidRPr="00F27422">
        <w:rPr>
          <w:rFonts w:ascii="mylotus" w:hAnsi="mylotus" w:hint="cs"/>
          <w:b/>
          <w:bCs/>
          <w:sz w:val="32"/>
          <w:rtl/>
        </w:rPr>
        <w:t>ومن</w:t>
      </w:r>
      <w:r w:rsidRPr="00F27422">
        <w:rPr>
          <w:rFonts w:ascii="mylotus" w:hAnsi="mylotus"/>
          <w:b/>
          <w:bCs/>
          <w:sz w:val="32"/>
          <w:rtl/>
        </w:rPr>
        <w:t xml:space="preserve"> </w:t>
      </w:r>
      <w:r w:rsidRPr="00F27422">
        <w:rPr>
          <w:rFonts w:ascii="mylotus" w:hAnsi="mylotus" w:hint="cs"/>
          <w:b/>
          <w:bCs/>
          <w:sz w:val="32"/>
          <w:rtl/>
        </w:rPr>
        <w:t>ثمّ</w:t>
      </w:r>
      <w:r w:rsidRPr="00F27422">
        <w:rPr>
          <w:rFonts w:ascii="mylotus" w:hAnsi="mylotus"/>
          <w:b/>
          <w:bCs/>
          <w:sz w:val="32"/>
          <w:rtl/>
        </w:rPr>
        <w:t xml:space="preserve"> </w:t>
      </w:r>
      <w:r w:rsidRPr="00F27422">
        <w:rPr>
          <w:rFonts w:ascii="mylotus" w:hAnsi="mylotus" w:hint="cs"/>
          <w:b/>
          <w:bCs/>
          <w:sz w:val="32"/>
          <w:rtl/>
        </w:rPr>
        <w:t>لم</w:t>
      </w:r>
      <w:r w:rsidRPr="00F27422">
        <w:rPr>
          <w:rFonts w:ascii="mylotus" w:hAnsi="mylotus"/>
          <w:b/>
          <w:bCs/>
          <w:sz w:val="32"/>
          <w:rtl/>
        </w:rPr>
        <w:t xml:space="preserve"> </w:t>
      </w:r>
      <w:r w:rsidRPr="00F27422">
        <w:rPr>
          <w:rFonts w:ascii="mylotus" w:hAnsi="mylotus" w:hint="cs"/>
          <w:b/>
          <w:bCs/>
          <w:sz w:val="32"/>
          <w:rtl/>
        </w:rPr>
        <w:t>يختصّ</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الأرش</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بجزء</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الثمن</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أو</w:t>
      </w:r>
      <w:r w:rsidRPr="00F27422">
        <w:rPr>
          <w:rFonts w:ascii="mylotus" w:hAnsi="mylotus"/>
          <w:sz w:val="32"/>
          <w:rtl/>
        </w:rPr>
        <w:t xml:space="preserve"> </w:t>
      </w:r>
      <w:r w:rsidRPr="00F27422">
        <w:rPr>
          <w:rFonts w:ascii="mylotus" w:hAnsi="mylotus" w:hint="cs"/>
          <w:sz w:val="32"/>
          <w:rtl/>
        </w:rPr>
        <w:t>الأُجرة</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بل</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المُؤجر</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الخروج</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عهدة</w:t>
      </w:r>
      <w:r w:rsidRPr="00F27422">
        <w:rPr>
          <w:rFonts w:ascii="mylotus" w:hAnsi="mylotus"/>
          <w:b/>
          <w:bCs/>
          <w:sz w:val="32"/>
          <w:rtl/>
        </w:rPr>
        <w:t xml:space="preserve"> </w:t>
      </w:r>
      <w:r w:rsidRPr="00F27422">
        <w:rPr>
          <w:rFonts w:ascii="mylotus" w:hAnsi="mylotus" w:hint="cs"/>
          <w:b/>
          <w:bCs/>
          <w:sz w:val="32"/>
          <w:rtl/>
        </w:rPr>
        <w:t>هذا</w:t>
      </w:r>
      <w:r w:rsidRPr="00F27422">
        <w:rPr>
          <w:rFonts w:ascii="mylotus" w:hAnsi="mylotus"/>
          <w:b/>
          <w:bCs/>
          <w:sz w:val="32"/>
          <w:rtl/>
        </w:rPr>
        <w:t xml:space="preserve"> </w:t>
      </w:r>
      <w:r w:rsidRPr="00F27422">
        <w:rPr>
          <w:rFonts w:ascii="mylotus" w:hAnsi="mylotus" w:hint="cs"/>
          <w:b/>
          <w:bCs/>
          <w:sz w:val="32"/>
          <w:rtl/>
        </w:rPr>
        <w:t>الضمان</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أيّ</w:t>
      </w:r>
      <w:r w:rsidRPr="00F27422">
        <w:rPr>
          <w:rFonts w:ascii="mylotus" w:hAnsi="mylotus"/>
          <w:b/>
          <w:bCs/>
          <w:sz w:val="32"/>
          <w:rtl/>
        </w:rPr>
        <w:t xml:space="preserve"> مال كان، فلو كان المناط في هذا الضمان)</w:t>
      </w:r>
      <w:r w:rsidRPr="00F27422">
        <w:rPr>
          <w:rFonts w:ascii="mylotus" w:hAnsi="mylotus"/>
          <w:sz w:val="32"/>
          <w:rtl/>
        </w:rPr>
        <w:t xml:space="preserve"> أي: ضمان الأرش </w:t>
      </w:r>
      <w:r w:rsidRPr="00F27422">
        <w:rPr>
          <w:rFonts w:ascii="mylotus" w:hAnsi="mylotus"/>
          <w:b/>
          <w:bCs/>
          <w:sz w:val="32"/>
          <w:rtl/>
        </w:rPr>
        <w:t>(المقابلة المزعومة المزبورة)</w:t>
      </w:r>
      <w:r w:rsidRPr="00F27422">
        <w:rPr>
          <w:rFonts w:ascii="mylotus" w:hAnsi="mylotus"/>
          <w:sz w:val="32"/>
          <w:rtl/>
        </w:rPr>
        <w:t xml:space="preserve"> بين الأُجرة وبين وصف الصحّة </w:t>
      </w:r>
      <w:r w:rsidRPr="00F27422">
        <w:rPr>
          <w:rFonts w:ascii="mylotus" w:hAnsi="mylotus"/>
          <w:b/>
          <w:bCs/>
          <w:sz w:val="32"/>
          <w:rtl/>
        </w:rPr>
        <w:t>(لزم استرداد جزء من نفس الثمن)</w:t>
      </w:r>
      <w:r w:rsidRPr="00F27422">
        <w:rPr>
          <w:rFonts w:ascii="mylotus" w:hAnsi="mylotus"/>
          <w:sz w:val="32"/>
          <w:rtl/>
        </w:rPr>
        <w:t xml:space="preserve"> في حال البيع </w:t>
      </w:r>
      <w:r w:rsidRPr="00F27422">
        <w:rPr>
          <w:rFonts w:ascii="mylotus" w:hAnsi="mylotus"/>
          <w:b/>
          <w:bCs/>
          <w:sz w:val="32"/>
          <w:rtl/>
        </w:rPr>
        <w:t xml:space="preserve">(طالب المشتري أم لا، علم بالعيب أم لا، لأنّ هذا المقدار من المال) </w:t>
      </w:r>
      <w:r w:rsidRPr="00F27422">
        <w:rPr>
          <w:rFonts w:ascii="mylotus" w:hAnsi="mylotus"/>
          <w:sz w:val="32"/>
          <w:rtl/>
        </w:rPr>
        <w:t xml:space="preserve">المقابل لوصف الصحّة </w:t>
      </w:r>
      <w:r w:rsidRPr="00F27422">
        <w:rPr>
          <w:rFonts w:ascii="mylotus" w:hAnsi="mylotus"/>
          <w:b/>
          <w:bCs/>
          <w:sz w:val="32"/>
          <w:rtl/>
        </w:rPr>
        <w:t>(لم يملكه البائع من الأوّل)</w:t>
      </w:r>
      <w:r w:rsidRPr="00F27422">
        <w:rPr>
          <w:rFonts w:ascii="mylotus" w:hAnsi="mylotus"/>
          <w:sz w:val="32"/>
          <w:rtl/>
        </w:rPr>
        <w:t xml:space="preserve"> لتخلّف وصف الصحّة </w:t>
      </w:r>
      <w:r w:rsidRPr="00F27422">
        <w:rPr>
          <w:rFonts w:ascii="mylotus" w:hAnsi="mylotus"/>
          <w:b/>
          <w:bCs/>
          <w:sz w:val="32"/>
          <w:rtl/>
        </w:rPr>
        <w:t xml:space="preserve">(وهذا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كما</w:t>
      </w:r>
      <w:r w:rsidRPr="00F27422">
        <w:rPr>
          <w:rFonts w:ascii="mylotus" w:hAnsi="mylotus"/>
          <w:b/>
          <w:bCs/>
          <w:sz w:val="32"/>
          <w:rtl/>
        </w:rPr>
        <w:t xml:space="preserve"> </w:t>
      </w:r>
      <w:r w:rsidRPr="00F27422">
        <w:rPr>
          <w:rFonts w:ascii="mylotus" w:hAnsi="mylotus" w:hint="cs"/>
          <w:b/>
          <w:bCs/>
          <w:sz w:val="32"/>
          <w:rtl/>
        </w:rPr>
        <w:t>ترى</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لم</w:t>
      </w:r>
      <w:r w:rsidRPr="00F27422">
        <w:rPr>
          <w:rFonts w:ascii="mylotus" w:hAnsi="mylotus"/>
          <w:b/>
          <w:bCs/>
          <w:sz w:val="32"/>
          <w:rtl/>
        </w:rPr>
        <w:t xml:space="preserve"> </w:t>
      </w:r>
      <w:r w:rsidRPr="00F27422">
        <w:rPr>
          <w:rFonts w:ascii="mylotus" w:hAnsi="mylotus" w:hint="cs"/>
          <w:b/>
          <w:bCs/>
          <w:sz w:val="32"/>
          <w:rtl/>
        </w:rPr>
        <w:t>يلتزم</w:t>
      </w:r>
      <w:r w:rsidRPr="00F27422">
        <w:rPr>
          <w:rFonts w:ascii="mylotus" w:hAnsi="mylotus"/>
          <w:b/>
          <w:bCs/>
          <w:sz w:val="32"/>
          <w:rtl/>
        </w:rPr>
        <w:t xml:space="preserve"> </w:t>
      </w:r>
      <w:r w:rsidRPr="00F27422">
        <w:rPr>
          <w:rFonts w:ascii="mylotus" w:hAnsi="mylotus" w:hint="cs"/>
          <w:b/>
          <w:bCs/>
          <w:sz w:val="32"/>
          <w:rtl/>
        </w:rPr>
        <w:t>به</w:t>
      </w:r>
      <w:r w:rsidRPr="00F27422">
        <w:rPr>
          <w:rFonts w:ascii="mylotus" w:hAnsi="mylotus"/>
          <w:b/>
          <w:bCs/>
          <w:sz w:val="32"/>
          <w:rtl/>
        </w:rPr>
        <w:t xml:space="preserve"> </w:t>
      </w:r>
      <w:r w:rsidRPr="00F27422">
        <w:rPr>
          <w:rFonts w:ascii="mylotus" w:hAnsi="mylotus" w:hint="cs"/>
          <w:b/>
          <w:bCs/>
          <w:sz w:val="32"/>
          <w:rtl/>
        </w:rPr>
        <w:t>أحد</w:t>
      </w:r>
      <w:r w:rsidRPr="00F27422">
        <w:rPr>
          <w:rFonts w:ascii="mylotus" w:hAnsi="mylotus"/>
          <w:b/>
          <w:bCs/>
          <w:sz w:val="32"/>
          <w:rtl/>
        </w:rPr>
        <w:t xml:space="preserve"> </w:t>
      </w:r>
      <w:r w:rsidRPr="00F27422">
        <w:rPr>
          <w:rFonts w:ascii="mylotus" w:hAnsi="mylotus" w:hint="cs"/>
          <w:b/>
          <w:bCs/>
          <w:sz w:val="32"/>
          <w:rtl/>
        </w:rPr>
        <w:t>جزماً،</w:t>
      </w:r>
      <w:r w:rsidRPr="00F27422">
        <w:rPr>
          <w:rFonts w:ascii="mylotus" w:hAnsi="mylotus"/>
          <w:b/>
          <w:bCs/>
          <w:sz w:val="32"/>
          <w:rtl/>
        </w:rPr>
        <w:t xml:space="preserve"> </w:t>
      </w:r>
      <w:r w:rsidRPr="00F27422">
        <w:rPr>
          <w:rFonts w:ascii="mylotus" w:hAnsi="mylotus" w:hint="cs"/>
          <w:b/>
          <w:bCs/>
          <w:sz w:val="32"/>
          <w:rtl/>
        </w:rPr>
        <w:t>لتطابق</w:t>
      </w:r>
      <w:r w:rsidRPr="00F27422">
        <w:rPr>
          <w:rFonts w:ascii="mylotus" w:hAnsi="mylotus"/>
          <w:b/>
          <w:bCs/>
          <w:sz w:val="32"/>
          <w:rtl/>
        </w:rPr>
        <w:t xml:space="preserve"> </w:t>
      </w:r>
      <w:r w:rsidRPr="00F27422">
        <w:rPr>
          <w:rFonts w:ascii="mylotus" w:hAnsi="mylotus" w:hint="cs"/>
          <w:b/>
          <w:bCs/>
          <w:sz w:val="32"/>
          <w:rtl/>
        </w:rPr>
        <w:t>النصّ</w:t>
      </w:r>
      <w:r w:rsidRPr="00F27422">
        <w:rPr>
          <w:rFonts w:ascii="mylotus" w:hAnsi="mylotus"/>
          <w:b/>
          <w:bCs/>
          <w:sz w:val="32"/>
          <w:rtl/>
        </w:rPr>
        <w:t xml:space="preserve"> </w:t>
      </w:r>
      <w:r w:rsidRPr="00F27422">
        <w:rPr>
          <w:rFonts w:ascii="mylotus" w:hAnsi="mylotus" w:hint="cs"/>
          <w:b/>
          <w:bCs/>
          <w:sz w:val="32"/>
          <w:rtl/>
        </w:rPr>
        <w:t>والفتوى</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إناطة</w:t>
      </w:r>
      <w:r w:rsidRPr="00F27422">
        <w:rPr>
          <w:rFonts w:ascii="mylotus" w:hAnsi="mylotus"/>
          <w:b/>
          <w:bCs/>
          <w:sz w:val="32"/>
          <w:rtl/>
        </w:rPr>
        <w:t xml:space="preserve"> </w:t>
      </w:r>
      <w:r w:rsidRPr="00F27422">
        <w:rPr>
          <w:rFonts w:ascii="mylotus" w:hAnsi="mylotus" w:hint="cs"/>
          <w:b/>
          <w:bCs/>
          <w:sz w:val="32"/>
          <w:rtl/>
        </w:rPr>
        <w:t>الضمان</w:t>
      </w:r>
      <w:r w:rsidRPr="00F27422">
        <w:rPr>
          <w:rFonts w:ascii="mylotus" w:hAnsi="mylotus"/>
          <w:b/>
          <w:bCs/>
          <w:sz w:val="32"/>
          <w:rtl/>
        </w:rPr>
        <w:t xml:space="preserve"> </w:t>
      </w:r>
      <w:r w:rsidRPr="00F27422">
        <w:rPr>
          <w:rFonts w:ascii="mylotus" w:hAnsi="mylotus" w:hint="cs"/>
          <w:b/>
          <w:bCs/>
          <w:sz w:val="32"/>
          <w:rtl/>
        </w:rPr>
        <w:t>بالمطالبة</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بحيثُ</w:t>
      </w:r>
      <w:r w:rsidRPr="00F27422">
        <w:rPr>
          <w:rFonts w:ascii="mylotus" w:hAnsi="mylotus"/>
          <w:sz w:val="32"/>
          <w:rtl/>
        </w:rPr>
        <w:t xml:space="preserve"> </w:t>
      </w:r>
      <w:r w:rsidRPr="00F27422">
        <w:rPr>
          <w:rFonts w:ascii="mylotus" w:hAnsi="mylotus" w:hint="cs"/>
          <w:sz w:val="32"/>
          <w:rtl/>
        </w:rPr>
        <w:t>لولا</w:t>
      </w:r>
      <w:r w:rsidRPr="00F27422">
        <w:rPr>
          <w:rFonts w:ascii="mylotus" w:hAnsi="mylotus"/>
          <w:sz w:val="32"/>
          <w:rtl/>
        </w:rPr>
        <w:t xml:space="preserve"> </w:t>
      </w:r>
      <w:r w:rsidRPr="00F27422">
        <w:rPr>
          <w:rFonts w:ascii="mylotus" w:hAnsi="mylotus" w:hint="cs"/>
          <w:sz w:val="32"/>
          <w:rtl/>
        </w:rPr>
        <w:t>المطالبة</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ضمان</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وجواز</w:t>
      </w:r>
      <w:r w:rsidRPr="00F27422">
        <w:rPr>
          <w:rFonts w:ascii="mylotus" w:hAnsi="mylotus"/>
          <w:b/>
          <w:bCs/>
          <w:sz w:val="32"/>
          <w:rtl/>
        </w:rPr>
        <w:t xml:space="preserve"> </w:t>
      </w:r>
      <w:r w:rsidRPr="00F27422">
        <w:rPr>
          <w:rFonts w:ascii="mylotus" w:hAnsi="mylotus" w:hint="cs"/>
          <w:b/>
          <w:bCs/>
          <w:sz w:val="32"/>
          <w:rtl/>
        </w:rPr>
        <w:t>الدفع</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أيّ</w:t>
      </w:r>
      <w:r w:rsidRPr="00F27422">
        <w:rPr>
          <w:rFonts w:ascii="mylotus" w:hAnsi="mylotus"/>
          <w:b/>
          <w:bCs/>
          <w:sz w:val="32"/>
          <w:rtl/>
        </w:rPr>
        <w:t xml:space="preserve"> </w:t>
      </w:r>
      <w:r w:rsidRPr="00F27422">
        <w:rPr>
          <w:rFonts w:ascii="mylotus" w:hAnsi="mylotus" w:hint="cs"/>
          <w:b/>
          <w:bCs/>
          <w:sz w:val="32"/>
          <w:rtl/>
        </w:rPr>
        <w:t>مال</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فلا</w:t>
      </w:r>
      <w:r w:rsidRPr="00F27422">
        <w:rPr>
          <w:rFonts w:ascii="mylotus" w:hAnsi="mylotus"/>
          <w:b/>
          <w:bCs/>
          <w:sz w:val="32"/>
          <w:rtl/>
        </w:rPr>
        <w:t xml:space="preserve"> </w:t>
      </w:r>
      <w:r w:rsidRPr="00F27422">
        <w:rPr>
          <w:rFonts w:ascii="mylotus" w:hAnsi="mylotus" w:hint="cs"/>
          <w:b/>
          <w:bCs/>
          <w:sz w:val="32"/>
          <w:rtl/>
        </w:rPr>
        <w:t>جرم</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هذا</w:t>
      </w:r>
      <w:r w:rsidRPr="00F27422">
        <w:rPr>
          <w:rFonts w:ascii="mylotus" w:hAnsi="mylotus"/>
          <w:b/>
          <w:bCs/>
          <w:sz w:val="32"/>
          <w:rtl/>
        </w:rPr>
        <w:t xml:space="preserve"> </w:t>
      </w:r>
      <w:r w:rsidRPr="00F27422">
        <w:rPr>
          <w:rFonts w:ascii="mylotus" w:hAnsi="mylotus" w:hint="cs"/>
          <w:b/>
          <w:bCs/>
          <w:sz w:val="32"/>
          <w:rtl/>
        </w:rPr>
        <w:t>حكماً</w:t>
      </w:r>
      <w:r w:rsidRPr="00F27422">
        <w:rPr>
          <w:rFonts w:ascii="mylotus" w:hAnsi="mylotus"/>
          <w:b/>
          <w:bCs/>
          <w:sz w:val="32"/>
          <w:rtl/>
        </w:rPr>
        <w:t xml:space="preserve"> </w:t>
      </w:r>
      <w:r w:rsidRPr="00F27422">
        <w:rPr>
          <w:rFonts w:ascii="mylotus" w:hAnsi="mylotus" w:hint="cs"/>
          <w:b/>
          <w:bCs/>
          <w:sz w:val="32"/>
          <w:rtl/>
        </w:rPr>
        <w:t>تعبّديّاً</w:t>
      </w:r>
      <w:r w:rsidRPr="00F27422">
        <w:rPr>
          <w:rFonts w:ascii="mylotus" w:hAnsi="mylotus"/>
          <w:b/>
          <w:bCs/>
          <w:sz w:val="32"/>
          <w:rtl/>
        </w:rPr>
        <w:t xml:space="preserve"> </w:t>
      </w:r>
      <w:r w:rsidRPr="00F27422">
        <w:rPr>
          <w:rFonts w:ascii="mylotus" w:hAnsi="mylotus" w:hint="cs"/>
          <w:b/>
          <w:bCs/>
          <w:sz w:val="32"/>
          <w:rtl/>
        </w:rPr>
        <w:t>مختصّاً</w:t>
      </w:r>
      <w:r w:rsidRPr="00F27422">
        <w:rPr>
          <w:rFonts w:ascii="mylotus" w:hAnsi="mylotus"/>
          <w:b/>
          <w:bCs/>
          <w:sz w:val="32"/>
          <w:rtl/>
        </w:rPr>
        <w:t xml:space="preserve"> </w:t>
      </w:r>
      <w:r w:rsidRPr="00F27422">
        <w:rPr>
          <w:rFonts w:ascii="mylotus" w:hAnsi="mylotus" w:hint="cs"/>
          <w:b/>
          <w:bCs/>
          <w:sz w:val="32"/>
          <w:rtl/>
        </w:rPr>
        <w:t>بمورده</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وهو</w:t>
      </w:r>
      <w:r w:rsidRPr="00F27422">
        <w:rPr>
          <w:rFonts w:ascii="mylotus" w:hAnsi="mylotus"/>
          <w:b/>
          <w:bCs/>
          <w:sz w:val="32"/>
          <w:rtl/>
        </w:rPr>
        <w:t xml:space="preserve"> </w:t>
      </w:r>
      <w:r w:rsidRPr="00F27422">
        <w:rPr>
          <w:rFonts w:ascii="mylotus" w:hAnsi="mylotus" w:hint="cs"/>
          <w:b/>
          <w:bCs/>
          <w:sz w:val="32"/>
          <w:rtl/>
        </w:rPr>
        <w:t>البيع</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ولا</w:t>
      </w:r>
      <w:r w:rsidRPr="00F27422">
        <w:rPr>
          <w:rFonts w:ascii="mylotus" w:hAnsi="mylotus"/>
          <w:b/>
          <w:bCs/>
          <w:sz w:val="32"/>
          <w:rtl/>
        </w:rPr>
        <w:t xml:space="preserve"> </w:t>
      </w:r>
      <w:r w:rsidRPr="00F27422">
        <w:rPr>
          <w:rFonts w:ascii="mylotus" w:hAnsi="mylotus" w:hint="cs"/>
          <w:b/>
          <w:bCs/>
          <w:sz w:val="32"/>
          <w:rtl/>
        </w:rPr>
        <w:t>ينسحب</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غيره</w:t>
      </w:r>
      <w:r w:rsidRPr="00F27422">
        <w:rPr>
          <w:rFonts w:ascii="mylotus" w:hAnsi="mylotus"/>
          <w:b/>
          <w:bCs/>
          <w:sz w:val="32"/>
          <w:rtl/>
        </w:rPr>
        <w:t>)</w:t>
      </w:r>
      <w:r w:rsidRPr="00F27422">
        <w:rPr>
          <w:rFonts w:ascii="mylotus" w:hAnsi="mylotus"/>
          <w:b/>
          <w:bCs/>
          <w:sz w:val="32"/>
        </w:rPr>
        <w:t>.</w:t>
      </w:r>
    </w:p>
    <w:p w14:paraId="534FE09D"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 xml:space="preserve">وهذا هو المنظورُ في كلام بعض الأجلة (رحمه الله) الذي قال بأنّ ثبوت الأرش بملاك ضمان النقص، فإذا كان بملاك ضمان النقص فليس بملاك مقابلته بالأُجرة كي يُشكل على ذلك بأنّه لو كان الأرش ثابتاً لكان مقتضى ذلك استردادُ قسطٍ مِن الأُجرة، بل هو </w:t>
      </w:r>
      <w:proofErr w:type="spellStart"/>
      <w:r w:rsidRPr="00F27422">
        <w:rPr>
          <w:rFonts w:ascii="mylotus" w:hAnsi="mylotus"/>
          <w:sz w:val="32"/>
          <w:rtl/>
        </w:rPr>
        <w:t>بميلاك</w:t>
      </w:r>
      <w:proofErr w:type="spellEnd"/>
      <w:r w:rsidRPr="00F27422">
        <w:rPr>
          <w:rFonts w:ascii="mylotus" w:hAnsi="mylotus"/>
          <w:sz w:val="32"/>
          <w:rtl/>
        </w:rPr>
        <w:t xml:space="preserve"> النقص الحاصل بالعيب، لا بملاك المقابلة كي يلزم مِن ذلك تقسيط الثمن أو تقسيط الأُجرة</w:t>
      </w:r>
      <w:r w:rsidRPr="00F27422">
        <w:rPr>
          <w:rFonts w:ascii="mylotus" w:hAnsi="mylotus"/>
          <w:sz w:val="32"/>
        </w:rPr>
        <w:t>.</w:t>
      </w:r>
    </w:p>
    <w:p w14:paraId="3A68B795"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 xml:space="preserve">الأمرُ الرابع: </w:t>
      </w:r>
      <w:r w:rsidRPr="00F27422">
        <w:rPr>
          <w:rFonts w:ascii="mylotus" w:hAnsi="mylotus"/>
          <w:sz w:val="32"/>
          <w:rtl/>
        </w:rPr>
        <w:t xml:space="preserve">حيثُ إنّ مرتكز مَن أنكر ثبوت الأرش في باب الإجارة كسيدنا الخوئي (قدس سره الشريف) هو أنّ ضمان صاحب العين المعيبة للأرش فرعُ المطالبة، فلو كان بملاك جبر النقص لَمْ يكن متفرعاً على المطالبة، بل متى ثبت تخلّف وصف الصحّة كان </w:t>
      </w:r>
      <w:r w:rsidRPr="00F27422">
        <w:rPr>
          <w:rFonts w:ascii="mylotus" w:hAnsi="mylotus"/>
          <w:sz w:val="32"/>
          <w:rtl/>
        </w:rPr>
        <w:lastRenderedPageBreak/>
        <w:t>صاحب العين المعيبة ضامناً؛ لأنّ المفروض أنّ ملاك الضمان هو تخلّف الوصف، فمتى تخلّف وصف الصحّة ضمن، طالب المشتري أم لا، طالب المستأجر أم لا، مع أنّ الإجماع قائمٌ أنْ لا أرش إلّا في فرض الضمان، ولذلك لو أنّ المُستأجر ماتَ قَبل أنْ يطالب فلا ضمان على المُؤجر</w:t>
      </w:r>
      <w:r w:rsidRPr="00F27422">
        <w:rPr>
          <w:rFonts w:ascii="mylotus" w:hAnsi="mylotus"/>
          <w:sz w:val="32"/>
        </w:rPr>
        <w:t>.</w:t>
      </w:r>
    </w:p>
    <w:p w14:paraId="5E57B315"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وهذه هي النقطة المحورية في المناقشة التي أورد عليها بعض الأجلة (رحمه الله)</w:t>
      </w:r>
      <w:r w:rsidRPr="00F27422">
        <w:rPr>
          <w:rFonts w:ascii="mylotus" w:hAnsi="mylotus"/>
          <w:sz w:val="32"/>
        </w:rPr>
        <w:t>.</w:t>
      </w:r>
    </w:p>
    <w:p w14:paraId="657E124E"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بأن</w:t>
      </w:r>
      <w:r w:rsidRPr="00F27422">
        <w:rPr>
          <w:rFonts w:ascii="mylotus" w:hAnsi="mylotus" w:hint="cs"/>
          <w:b/>
          <w:bCs/>
          <w:sz w:val="32"/>
          <w:rtl/>
        </w:rPr>
        <w:t>ّ</w:t>
      </w:r>
      <w:r w:rsidRPr="00F27422">
        <w:rPr>
          <w:rFonts w:ascii="mylotus" w:hAnsi="mylotus"/>
          <w:b/>
          <w:bCs/>
          <w:sz w:val="32"/>
          <w:rtl/>
        </w:rPr>
        <w:t>ه قد يُقال:</w:t>
      </w:r>
      <w:r w:rsidRPr="00F27422">
        <w:rPr>
          <w:rFonts w:ascii="mylotus" w:hAnsi="mylotus"/>
          <w:sz w:val="32"/>
          <w:rtl/>
        </w:rPr>
        <w:t xml:space="preserve"> كيف يمكن الجمع بين كون الأرش جبراً للنقص الحاصل بالعيب على طبق القاعدة وبين كون ثبوته فرع المطالبة، لا مِن حين تخلّف وصف الصحّة؟</w:t>
      </w:r>
    </w:p>
    <w:p w14:paraId="309126D5"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والجوابُ عن ذلك:</w:t>
      </w:r>
      <w:r w:rsidRPr="00F27422">
        <w:rPr>
          <w:rFonts w:ascii="mylotus" w:hAnsi="mylotus"/>
          <w:sz w:val="32"/>
          <w:rtl/>
        </w:rPr>
        <w:t xml:space="preserve"> إنّه يمكن أنْ يكون الثابت له ابتداءً هو الجامع بين الخيار والأرش على تقدير المطالبة، أي: يمكن القول: بأنّه حين تخلّف وصف الصحّة ثبت للمُستأجر الجامع بين الخيار أو ضمان الأرش على تقدير المطالبة، وهذا يعني أنّ الأرش ثابتٌ مِن الأوّل؛ لثبوت أحد فر</w:t>
      </w:r>
      <w:r w:rsidRPr="00F27422">
        <w:rPr>
          <w:rFonts w:ascii="mylotus" w:hAnsi="mylotus" w:hint="cs"/>
          <w:sz w:val="32"/>
          <w:rtl/>
        </w:rPr>
        <w:t>دي</w:t>
      </w:r>
      <w:r w:rsidRPr="00F27422">
        <w:rPr>
          <w:rFonts w:ascii="mylotus" w:hAnsi="mylotus"/>
          <w:sz w:val="32"/>
          <w:rtl/>
        </w:rPr>
        <w:t xml:space="preserve"> </w:t>
      </w:r>
      <w:r w:rsidRPr="00F27422">
        <w:rPr>
          <w:rFonts w:ascii="mylotus" w:hAnsi="mylotus" w:hint="cs"/>
          <w:sz w:val="32"/>
          <w:rtl/>
        </w:rPr>
        <w:t>الجامع</w:t>
      </w:r>
      <w:r w:rsidRPr="00F27422">
        <w:rPr>
          <w:rFonts w:ascii="mylotus" w:hAnsi="mylotus"/>
          <w:sz w:val="32"/>
          <w:rtl/>
        </w:rPr>
        <w:t xml:space="preserve"> </w:t>
      </w:r>
      <w:r w:rsidRPr="00F27422">
        <w:rPr>
          <w:rFonts w:ascii="mylotus" w:hAnsi="mylotus" w:hint="cs"/>
          <w:sz w:val="32"/>
          <w:rtl/>
        </w:rPr>
        <w:t>بثبوت</w:t>
      </w:r>
      <w:r w:rsidRPr="00F27422">
        <w:rPr>
          <w:rFonts w:ascii="mylotus" w:hAnsi="mylotus"/>
          <w:sz w:val="32"/>
          <w:rtl/>
        </w:rPr>
        <w:t xml:space="preserve"> </w:t>
      </w:r>
      <w:r w:rsidRPr="00F27422">
        <w:rPr>
          <w:rFonts w:ascii="mylotus" w:hAnsi="mylotus" w:hint="cs"/>
          <w:sz w:val="32"/>
          <w:rtl/>
        </w:rPr>
        <w:t>نفسه،</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الأرش</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يثبت</w:t>
      </w:r>
      <w:r w:rsidRPr="00F27422">
        <w:rPr>
          <w:rFonts w:ascii="mylotus" w:hAnsi="mylotus"/>
          <w:sz w:val="32"/>
          <w:rtl/>
        </w:rPr>
        <w:t xml:space="preserve"> </w:t>
      </w:r>
      <w:r w:rsidRPr="00F27422">
        <w:rPr>
          <w:rFonts w:ascii="mylotus" w:hAnsi="mylotus" w:hint="cs"/>
          <w:sz w:val="32"/>
          <w:rtl/>
        </w:rPr>
        <w:t>إلّا</w:t>
      </w:r>
      <w:r w:rsidRPr="00F27422">
        <w:rPr>
          <w:rFonts w:ascii="mylotus" w:hAnsi="mylotus"/>
          <w:sz w:val="32"/>
          <w:rtl/>
        </w:rPr>
        <w:t xml:space="preserve"> </w:t>
      </w:r>
      <w:r w:rsidRPr="00F27422">
        <w:rPr>
          <w:rFonts w:ascii="mylotus" w:hAnsi="mylotus" w:hint="cs"/>
          <w:sz w:val="32"/>
          <w:rtl/>
        </w:rPr>
        <w:t>عند</w:t>
      </w:r>
      <w:r w:rsidRPr="00F27422">
        <w:rPr>
          <w:rFonts w:ascii="mylotus" w:hAnsi="mylotus"/>
          <w:sz w:val="32"/>
          <w:rtl/>
        </w:rPr>
        <w:t xml:space="preserve"> </w:t>
      </w:r>
      <w:r w:rsidRPr="00F27422">
        <w:rPr>
          <w:rFonts w:ascii="mylotus" w:hAnsi="mylotus" w:hint="cs"/>
          <w:sz w:val="32"/>
          <w:rtl/>
        </w:rPr>
        <w:t>المطالبة</w:t>
      </w:r>
      <w:r w:rsidRPr="00F27422">
        <w:rPr>
          <w:rFonts w:ascii="mylotus" w:hAnsi="mylotus"/>
          <w:sz w:val="32"/>
        </w:rPr>
        <w:t>.</w:t>
      </w:r>
    </w:p>
    <w:p w14:paraId="4B8B93D1"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هذا تمام ما ذكره بعض الأجلة (رحمه الله) في إثبات أنّ ضمان الأرش على طبق القاعدة، وليس خلاف القاعدة، بل النصوص الواردة في أرش عيب المبيع أصلاً هي واردة على طبق المرتكز العقلائي</w:t>
      </w:r>
      <w:r w:rsidRPr="00F27422">
        <w:rPr>
          <w:rFonts w:ascii="mylotus" w:hAnsi="mylotus"/>
          <w:sz w:val="32"/>
        </w:rPr>
        <w:t>.</w:t>
      </w:r>
    </w:p>
    <w:p w14:paraId="44B29BFB" w14:textId="77777777" w:rsidR="00D578EE" w:rsidRPr="00F27422" w:rsidRDefault="00D578EE" w:rsidP="00122B70">
      <w:pPr>
        <w:pStyle w:val="a"/>
        <w:bidi/>
        <w:spacing w:line="216" w:lineRule="auto"/>
        <w:jc w:val="left"/>
        <w:rPr>
          <w:rFonts w:ascii="mylotus" w:hAnsi="mylotus"/>
          <w:b/>
          <w:bCs/>
          <w:sz w:val="32"/>
          <w:rtl/>
          <w:lang w:bidi="ar-BH"/>
        </w:rPr>
      </w:pPr>
      <w:r w:rsidRPr="00F27422">
        <w:rPr>
          <w:rFonts w:ascii="mylotus" w:hAnsi="mylotus"/>
          <w:b/>
          <w:bCs/>
          <w:sz w:val="32"/>
          <w:rtl/>
        </w:rPr>
        <w:t>ويلاحظ على ذلك</w:t>
      </w:r>
      <w:r w:rsidRPr="00F27422">
        <w:rPr>
          <w:rFonts w:ascii="mylotus" w:hAnsi="mylotus"/>
          <w:b/>
          <w:bCs/>
          <w:sz w:val="32"/>
        </w:rPr>
        <w:t>:</w:t>
      </w:r>
    </w:p>
    <w:p w14:paraId="1316CAF9"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أوّلاً:</w:t>
      </w:r>
      <w:r w:rsidRPr="00F27422">
        <w:rPr>
          <w:rFonts w:ascii="mylotus" w:hAnsi="mylotus"/>
          <w:sz w:val="32"/>
          <w:rtl/>
        </w:rPr>
        <w:t xml:space="preserve"> إنّ مناط ثبوت الخيار في المقام إمّا قاعدة "لا ضرر" أو اشتراط السلامة</w:t>
      </w:r>
      <w:r w:rsidRPr="00F27422">
        <w:rPr>
          <w:rFonts w:ascii="mylotus" w:hAnsi="mylotus"/>
          <w:sz w:val="32"/>
        </w:rPr>
        <w:t>.</w:t>
      </w:r>
    </w:p>
    <w:p w14:paraId="6C755D50"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 xml:space="preserve">فإنْ كان المدرك هو الأوّل </w:t>
      </w:r>
      <w:r w:rsidRPr="00F27422">
        <w:rPr>
          <w:rFonts w:ascii="mylotus" w:hAnsi="mylotus"/>
          <w:sz w:val="32"/>
          <w:rtl/>
        </w:rPr>
        <w:t>- وهو قاعدة "لا ضرر"، فقد يُقال حينئذٍ: إنّ عدم ثبوت الأرش للمُستأجر مع عدم إمكان ردّ العين أو تلفها ضررٌ عليه، فمقتضى شمول "لا ضرر" للأحكام العدمية ثبوت الأرش؛ إذ لولا ثبوته لكان المُستأجر متضرراً مِن نقص المالية نتيجة العيب</w:t>
      </w:r>
      <w:r w:rsidRPr="00F27422">
        <w:rPr>
          <w:rFonts w:ascii="mylotus" w:hAnsi="mylotus"/>
          <w:sz w:val="32"/>
        </w:rPr>
        <w:t>.</w:t>
      </w:r>
    </w:p>
    <w:p w14:paraId="6D89C25E"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كما قيل بِهِ في ضمان منافع الحر الكسوب عند حبسه، وهو أنّه لو حبس الحر الكسوب فإنّ منافعه تفوت عليه، فمقتضى شمول قاعدة "لا ضرر" للأحكام العدمية ضمان منافعه عند حبسه، فكذلك يُقال في المقام أنّه لو لَمْ يُضمن الأرش للمُستأجر لكان ذلك ضرراً، فمقتضى "لا ضرر" ضمانُ الأرش</w:t>
      </w:r>
      <w:r w:rsidRPr="00F27422">
        <w:rPr>
          <w:rFonts w:ascii="mylotus" w:hAnsi="mylotus"/>
          <w:sz w:val="32"/>
        </w:rPr>
        <w:t>.</w:t>
      </w:r>
    </w:p>
    <w:p w14:paraId="58F2772C" w14:textId="77777777" w:rsidR="00D578EE" w:rsidRPr="00F27422" w:rsidRDefault="00D578EE" w:rsidP="00122B70">
      <w:pPr>
        <w:pStyle w:val="a"/>
        <w:bidi/>
        <w:spacing w:line="216" w:lineRule="auto"/>
        <w:jc w:val="left"/>
        <w:rPr>
          <w:rFonts w:ascii="mylotus" w:hAnsi="mylotus"/>
          <w:sz w:val="32"/>
          <w:rtl/>
        </w:rPr>
      </w:pPr>
      <w:r w:rsidRPr="00F27422">
        <w:rPr>
          <w:rFonts w:ascii="mylotus" w:hAnsi="mylotus"/>
          <w:sz w:val="32"/>
          <w:rtl/>
        </w:rPr>
        <w:t>إلّا أنّ هذا خروجٌ عما هو المُدعى في كلامه، وهو كون المناط في ثبوت الخيار اشتراطُ السلامة، وليس قاعدة "لا ضرر</w:t>
      </w:r>
      <w:r w:rsidRPr="00F27422">
        <w:rPr>
          <w:rFonts w:ascii="mylotus" w:hAnsi="mylotus" w:cs="Cambria" w:hint="cs"/>
          <w:sz w:val="32"/>
          <w:rtl/>
        </w:rPr>
        <w:t>"</w:t>
      </w:r>
      <w:r w:rsidRPr="00F27422">
        <w:rPr>
          <w:rFonts w:ascii="mylotus" w:hAnsi="mylotus" w:hint="cs"/>
          <w:sz w:val="32"/>
          <w:rtl/>
        </w:rPr>
        <w:t>.</w:t>
      </w:r>
    </w:p>
    <w:p w14:paraId="68D2C9E5"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مضافاً:</w:t>
      </w:r>
      <w:r w:rsidRPr="00F27422">
        <w:rPr>
          <w:rFonts w:ascii="mylotus" w:hAnsi="mylotus"/>
          <w:sz w:val="32"/>
          <w:rtl/>
        </w:rPr>
        <w:t xml:space="preserve"> إلى أنّ لازم كون المُستند في ثبوت الأرش قاعدة "لا ضرر" ضمانُ الأرش في ظرف ثبوت الخيار، لا ضمان ال</w:t>
      </w:r>
      <w:r w:rsidRPr="00F27422">
        <w:rPr>
          <w:rFonts w:ascii="mylotus" w:hAnsi="mylotus" w:hint="cs"/>
          <w:sz w:val="32"/>
          <w:rtl/>
        </w:rPr>
        <w:t>أ</w:t>
      </w:r>
      <w:r w:rsidRPr="00F27422">
        <w:rPr>
          <w:rFonts w:ascii="mylotus" w:hAnsi="mylotus"/>
          <w:sz w:val="32"/>
          <w:rtl/>
        </w:rPr>
        <w:t>رش عند المطالبة</w:t>
      </w:r>
      <w:r w:rsidRPr="00F27422">
        <w:rPr>
          <w:rFonts w:ascii="mylotus" w:hAnsi="mylotus"/>
          <w:sz w:val="32"/>
        </w:rPr>
        <w:t>.</w:t>
      </w:r>
    </w:p>
    <w:p w14:paraId="79983A24"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وإنْ كان المدرك هو الثاني</w:t>
      </w:r>
      <w:r w:rsidRPr="00F27422">
        <w:rPr>
          <w:rFonts w:ascii="mylotus" w:hAnsi="mylotus"/>
          <w:sz w:val="32"/>
          <w:rtl/>
        </w:rPr>
        <w:t xml:space="preserve">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اشتراط</w:t>
      </w:r>
      <w:r w:rsidRPr="00F27422">
        <w:rPr>
          <w:rFonts w:ascii="mylotus" w:hAnsi="mylotus"/>
          <w:sz w:val="32"/>
          <w:rtl/>
        </w:rPr>
        <w:t xml:space="preserve"> </w:t>
      </w:r>
      <w:r w:rsidRPr="00F27422">
        <w:rPr>
          <w:rFonts w:ascii="mylotus" w:hAnsi="mylotus" w:hint="cs"/>
          <w:sz w:val="32"/>
          <w:rtl/>
        </w:rPr>
        <w:t>السلامة</w:t>
      </w:r>
      <w:r w:rsidRPr="00F27422">
        <w:rPr>
          <w:rFonts w:ascii="mylotus" w:hAnsi="mylotus"/>
          <w:sz w:val="32"/>
          <w:rtl/>
        </w:rPr>
        <w:t xml:space="preserve"> - </w:t>
      </w:r>
      <w:r w:rsidRPr="00F27422">
        <w:rPr>
          <w:rFonts w:ascii="mylotus" w:hAnsi="mylotus" w:hint="cs"/>
          <w:sz w:val="32"/>
          <w:rtl/>
        </w:rPr>
        <w:t>كما</w:t>
      </w:r>
      <w:r w:rsidRPr="00F27422">
        <w:rPr>
          <w:rFonts w:ascii="mylotus" w:hAnsi="mylotus"/>
          <w:sz w:val="32"/>
          <w:rtl/>
        </w:rPr>
        <w:t xml:space="preserve"> </w:t>
      </w:r>
      <w:r w:rsidRPr="00F27422">
        <w:rPr>
          <w:rFonts w:ascii="mylotus" w:hAnsi="mylotus" w:hint="cs"/>
          <w:sz w:val="32"/>
          <w:rtl/>
        </w:rPr>
        <w:t>ورد</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كلامه،</w:t>
      </w:r>
      <w:r w:rsidRPr="00F27422">
        <w:rPr>
          <w:rFonts w:ascii="mylotus" w:hAnsi="mylotus"/>
          <w:sz w:val="32"/>
          <w:rtl/>
        </w:rPr>
        <w:t xml:space="preserve"> </w:t>
      </w:r>
      <w:r w:rsidRPr="00F27422">
        <w:rPr>
          <w:rFonts w:ascii="mylotus" w:hAnsi="mylotus" w:hint="cs"/>
          <w:sz w:val="32"/>
          <w:rtl/>
        </w:rPr>
        <w:t>فغايةُ</w:t>
      </w:r>
      <w:r w:rsidRPr="00F27422">
        <w:rPr>
          <w:rFonts w:ascii="mylotus" w:hAnsi="mylotus"/>
          <w:sz w:val="32"/>
          <w:rtl/>
        </w:rPr>
        <w:t xml:space="preserve"> </w:t>
      </w:r>
      <w:r w:rsidRPr="00F27422">
        <w:rPr>
          <w:rFonts w:ascii="mylotus" w:hAnsi="mylotus" w:hint="cs"/>
          <w:sz w:val="32"/>
          <w:rtl/>
        </w:rPr>
        <w:t>ذلك</w:t>
      </w:r>
      <w:r w:rsidRPr="00F27422">
        <w:rPr>
          <w:rFonts w:ascii="mylotus" w:hAnsi="mylotus"/>
          <w:sz w:val="32"/>
          <w:rtl/>
        </w:rPr>
        <w:t xml:space="preserve"> </w:t>
      </w:r>
      <w:r w:rsidRPr="00F27422">
        <w:rPr>
          <w:rFonts w:ascii="mylotus" w:hAnsi="mylotus" w:hint="cs"/>
          <w:sz w:val="32"/>
          <w:rtl/>
        </w:rPr>
        <w:t>ثبوت</w:t>
      </w:r>
      <w:r w:rsidRPr="00F27422">
        <w:rPr>
          <w:rFonts w:ascii="mylotus" w:hAnsi="mylotus"/>
          <w:sz w:val="32"/>
          <w:rtl/>
        </w:rPr>
        <w:t xml:space="preserve"> </w:t>
      </w:r>
      <w:r w:rsidRPr="00F27422">
        <w:rPr>
          <w:rFonts w:ascii="mylotus" w:hAnsi="mylotus" w:hint="cs"/>
          <w:sz w:val="32"/>
          <w:rtl/>
        </w:rPr>
        <w:t>خيار</w:t>
      </w:r>
      <w:r w:rsidRPr="00F27422">
        <w:rPr>
          <w:rFonts w:ascii="mylotus" w:hAnsi="mylotus"/>
          <w:sz w:val="32"/>
          <w:rtl/>
        </w:rPr>
        <w:t xml:space="preserve"> </w:t>
      </w:r>
      <w:r w:rsidRPr="00F27422">
        <w:rPr>
          <w:rFonts w:ascii="mylotus" w:hAnsi="mylotus" w:hint="cs"/>
          <w:sz w:val="32"/>
          <w:rtl/>
        </w:rPr>
        <w:t>تخلّف</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مقتضى</w:t>
      </w:r>
      <w:r w:rsidRPr="00F27422">
        <w:rPr>
          <w:rFonts w:ascii="mylotus" w:hAnsi="mylotus"/>
          <w:sz w:val="32"/>
          <w:rtl/>
        </w:rPr>
        <w:t xml:space="preserve"> </w:t>
      </w:r>
      <w:r w:rsidRPr="00F27422">
        <w:rPr>
          <w:rFonts w:ascii="mylotus" w:hAnsi="mylotus" w:hint="cs"/>
          <w:sz w:val="32"/>
          <w:rtl/>
        </w:rPr>
        <w:t>تخلّف</w:t>
      </w:r>
      <w:r w:rsidRPr="00F27422">
        <w:rPr>
          <w:rFonts w:ascii="mylotus" w:hAnsi="mylotus"/>
          <w:sz w:val="32"/>
          <w:rtl/>
        </w:rPr>
        <w:t xml:space="preserve"> </w:t>
      </w:r>
      <w:r w:rsidRPr="00F27422">
        <w:rPr>
          <w:rFonts w:ascii="mylotus" w:hAnsi="mylotus" w:hint="cs"/>
          <w:sz w:val="32"/>
          <w:rtl/>
        </w:rPr>
        <w:t>شرط</w:t>
      </w:r>
      <w:r w:rsidRPr="00F27422">
        <w:rPr>
          <w:rFonts w:ascii="mylotus" w:hAnsi="mylotus"/>
          <w:sz w:val="32"/>
          <w:rtl/>
        </w:rPr>
        <w:t xml:space="preserve"> </w:t>
      </w:r>
      <w:r w:rsidRPr="00F27422">
        <w:rPr>
          <w:rFonts w:ascii="mylotus" w:hAnsi="mylotus" w:hint="cs"/>
          <w:sz w:val="32"/>
          <w:rtl/>
        </w:rPr>
        <w:t>السلامة</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ثبوت</w:t>
      </w:r>
      <w:r w:rsidRPr="00F27422">
        <w:rPr>
          <w:rFonts w:ascii="mylotus" w:hAnsi="mylotus"/>
          <w:sz w:val="32"/>
          <w:rtl/>
        </w:rPr>
        <w:t xml:space="preserve"> </w:t>
      </w:r>
      <w:r w:rsidRPr="00F27422">
        <w:rPr>
          <w:rFonts w:ascii="mylotus" w:hAnsi="mylotus" w:hint="cs"/>
          <w:sz w:val="32"/>
          <w:rtl/>
        </w:rPr>
        <w:t>خيار</w:t>
      </w:r>
      <w:r w:rsidRPr="00F27422">
        <w:rPr>
          <w:rFonts w:ascii="mylotus" w:hAnsi="mylotus"/>
          <w:sz w:val="32"/>
          <w:rtl/>
        </w:rPr>
        <w:t xml:space="preserve"> </w:t>
      </w:r>
      <w:r w:rsidRPr="00F27422">
        <w:rPr>
          <w:rFonts w:ascii="mylotus" w:hAnsi="mylotus" w:hint="cs"/>
          <w:sz w:val="32"/>
          <w:rtl/>
        </w:rPr>
        <w:t>تخلّف</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الضمان</w:t>
      </w:r>
      <w:r w:rsidRPr="00F27422">
        <w:rPr>
          <w:rFonts w:ascii="mylotus" w:hAnsi="mylotus"/>
          <w:sz w:val="32"/>
          <w:rtl/>
        </w:rPr>
        <w:t xml:space="preserve"> -</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إذ</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مضموناً</w:t>
      </w:r>
      <w:r w:rsidRPr="00F27422">
        <w:rPr>
          <w:rFonts w:ascii="mylotus" w:hAnsi="mylotus"/>
          <w:sz w:val="32"/>
          <w:rtl/>
        </w:rPr>
        <w:t xml:space="preserve"> </w:t>
      </w:r>
      <w:r w:rsidRPr="00F27422">
        <w:rPr>
          <w:rFonts w:ascii="mylotus" w:hAnsi="mylotus" w:hint="cs"/>
          <w:sz w:val="32"/>
          <w:rtl/>
        </w:rPr>
        <w:t>وإنْ</w:t>
      </w:r>
      <w:r w:rsidRPr="00F27422">
        <w:rPr>
          <w:rFonts w:ascii="mylotus" w:hAnsi="mylotus"/>
          <w:sz w:val="32"/>
          <w:rtl/>
        </w:rPr>
        <w:t xml:space="preserve"> </w:t>
      </w:r>
      <w:r w:rsidRPr="00F27422">
        <w:rPr>
          <w:rFonts w:ascii="mylotus" w:hAnsi="mylotus" w:hint="cs"/>
          <w:sz w:val="32"/>
          <w:rtl/>
        </w:rPr>
        <w:t>كان</w:t>
      </w:r>
      <w:r w:rsidRPr="00F27422">
        <w:rPr>
          <w:rFonts w:ascii="mylotus" w:hAnsi="mylotus"/>
          <w:sz w:val="32"/>
          <w:rtl/>
        </w:rPr>
        <w:t xml:space="preserve"> </w:t>
      </w:r>
      <w:r w:rsidRPr="00F27422">
        <w:rPr>
          <w:rFonts w:ascii="mylotus" w:hAnsi="mylotus" w:hint="cs"/>
          <w:sz w:val="32"/>
          <w:rtl/>
        </w:rPr>
        <w:t>وجوده</w:t>
      </w:r>
      <w:r w:rsidRPr="00F27422">
        <w:rPr>
          <w:rFonts w:ascii="mylotus" w:hAnsi="mylotus"/>
          <w:sz w:val="32"/>
          <w:rtl/>
        </w:rPr>
        <w:t xml:space="preserve"> </w:t>
      </w:r>
      <w:r w:rsidRPr="00F27422">
        <w:rPr>
          <w:rFonts w:ascii="mylotus" w:hAnsi="mylotus" w:hint="cs"/>
          <w:sz w:val="32"/>
          <w:rtl/>
        </w:rPr>
        <w:t>حيثيةً</w:t>
      </w:r>
      <w:r w:rsidRPr="00F27422">
        <w:rPr>
          <w:rFonts w:ascii="mylotus" w:hAnsi="mylotus"/>
          <w:sz w:val="32"/>
          <w:rtl/>
        </w:rPr>
        <w:t xml:space="preserve"> </w:t>
      </w:r>
      <w:r w:rsidRPr="00F27422">
        <w:rPr>
          <w:rFonts w:ascii="mylotus" w:hAnsi="mylotus" w:hint="cs"/>
          <w:sz w:val="32"/>
          <w:rtl/>
        </w:rPr>
        <w:t>تعليليةً</w:t>
      </w:r>
      <w:r w:rsidRPr="00F27422">
        <w:rPr>
          <w:rFonts w:ascii="mylotus" w:hAnsi="mylotus"/>
          <w:sz w:val="32"/>
          <w:rtl/>
        </w:rPr>
        <w:t xml:space="preserve"> </w:t>
      </w:r>
      <w:r w:rsidRPr="00F27422">
        <w:rPr>
          <w:rFonts w:ascii="mylotus" w:hAnsi="mylotus" w:hint="cs"/>
          <w:sz w:val="32"/>
          <w:rtl/>
        </w:rPr>
        <w:t>للرغبة</w:t>
      </w:r>
      <w:r w:rsidRPr="00F27422">
        <w:rPr>
          <w:rFonts w:ascii="mylotus" w:hAnsi="mylotus"/>
          <w:sz w:val="32"/>
          <w:rtl/>
        </w:rPr>
        <w:t xml:space="preserve"> </w:t>
      </w:r>
      <w:r w:rsidRPr="00F27422">
        <w:rPr>
          <w:rFonts w:ascii="mylotus" w:hAnsi="mylotus" w:hint="cs"/>
          <w:sz w:val="32"/>
          <w:rtl/>
        </w:rPr>
        <w:t>وزيادة</w:t>
      </w:r>
      <w:r w:rsidRPr="00F27422">
        <w:rPr>
          <w:rFonts w:ascii="mylotus" w:hAnsi="mylotus"/>
          <w:sz w:val="32"/>
          <w:rtl/>
        </w:rPr>
        <w:t xml:space="preserve"> </w:t>
      </w:r>
      <w:r w:rsidRPr="00F27422">
        <w:rPr>
          <w:rFonts w:ascii="mylotus" w:hAnsi="mylotus" w:hint="cs"/>
          <w:sz w:val="32"/>
          <w:rtl/>
        </w:rPr>
        <w:t>المالية</w:t>
      </w:r>
      <w:r w:rsidRPr="00F27422">
        <w:rPr>
          <w:rFonts w:ascii="mylotus" w:hAnsi="mylotus"/>
          <w:sz w:val="32"/>
          <w:rtl/>
        </w:rPr>
        <w:t xml:space="preserve"> -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حيثية</w:t>
      </w:r>
      <w:r w:rsidRPr="00F27422">
        <w:rPr>
          <w:rFonts w:ascii="mylotus" w:hAnsi="mylotus"/>
          <w:sz w:val="32"/>
          <w:rtl/>
        </w:rPr>
        <w:t xml:space="preserve"> </w:t>
      </w:r>
      <w:r w:rsidRPr="00F27422">
        <w:rPr>
          <w:rFonts w:ascii="mylotus" w:hAnsi="mylotus" w:hint="cs"/>
          <w:sz w:val="32"/>
          <w:rtl/>
        </w:rPr>
        <w:t>تقييدية</w:t>
      </w:r>
      <w:r w:rsidRPr="00F27422">
        <w:rPr>
          <w:rFonts w:ascii="mylotus" w:hAnsi="mylotus"/>
          <w:sz w:val="32"/>
          <w:rtl/>
        </w:rPr>
        <w:t xml:space="preserve"> -</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فبما</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مضموناً</w:t>
      </w:r>
      <w:r w:rsidRPr="00F27422">
        <w:rPr>
          <w:rFonts w:ascii="mylotus" w:hAnsi="mylotus"/>
          <w:sz w:val="32"/>
          <w:rtl/>
        </w:rPr>
        <w:t xml:space="preserve"> </w:t>
      </w:r>
      <w:r w:rsidRPr="00F27422">
        <w:rPr>
          <w:rFonts w:ascii="mylotus" w:hAnsi="mylotus" w:hint="cs"/>
          <w:sz w:val="32"/>
          <w:rtl/>
        </w:rPr>
        <w:t>لذلك</w:t>
      </w:r>
      <w:r w:rsidRPr="00F27422">
        <w:rPr>
          <w:rFonts w:ascii="mylotus" w:hAnsi="mylotus"/>
          <w:sz w:val="32"/>
          <w:rtl/>
        </w:rPr>
        <w:t xml:space="preserve"> </w:t>
      </w:r>
      <w:r w:rsidRPr="00F27422">
        <w:rPr>
          <w:rFonts w:ascii="mylotus" w:hAnsi="mylotus" w:hint="cs"/>
          <w:sz w:val="32"/>
          <w:rtl/>
        </w:rPr>
        <w:t>فتخلّفه</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يوجبُ</w:t>
      </w:r>
      <w:r w:rsidRPr="00F27422">
        <w:rPr>
          <w:rFonts w:ascii="mylotus" w:hAnsi="mylotus"/>
          <w:sz w:val="32"/>
          <w:rtl/>
        </w:rPr>
        <w:t xml:space="preserve"> </w:t>
      </w:r>
      <w:r w:rsidRPr="00F27422">
        <w:rPr>
          <w:rFonts w:ascii="mylotus" w:hAnsi="mylotus" w:hint="cs"/>
          <w:sz w:val="32"/>
          <w:rtl/>
        </w:rPr>
        <w:t>اشتغال</w:t>
      </w:r>
      <w:r w:rsidRPr="00F27422">
        <w:rPr>
          <w:rFonts w:ascii="mylotus" w:hAnsi="mylotus"/>
          <w:sz w:val="32"/>
          <w:rtl/>
        </w:rPr>
        <w:t xml:space="preserve"> </w:t>
      </w:r>
      <w:r w:rsidRPr="00F27422">
        <w:rPr>
          <w:rFonts w:ascii="mylotus" w:hAnsi="mylotus" w:hint="cs"/>
          <w:sz w:val="32"/>
          <w:rtl/>
        </w:rPr>
        <w:t>ذمّة</w:t>
      </w:r>
      <w:r w:rsidRPr="00F27422">
        <w:rPr>
          <w:rFonts w:ascii="mylotus" w:hAnsi="mylotus"/>
          <w:sz w:val="32"/>
          <w:rtl/>
        </w:rPr>
        <w:t xml:space="preserve"> </w:t>
      </w:r>
      <w:r w:rsidRPr="00F27422">
        <w:rPr>
          <w:rFonts w:ascii="mylotus" w:hAnsi="mylotus" w:hint="cs"/>
          <w:sz w:val="32"/>
          <w:rtl/>
        </w:rPr>
        <w:t>المشروط</w:t>
      </w:r>
      <w:r w:rsidRPr="00F27422">
        <w:rPr>
          <w:rFonts w:ascii="mylotus" w:hAnsi="mylotus"/>
          <w:sz w:val="32"/>
          <w:rtl/>
        </w:rPr>
        <w:t xml:space="preserve"> </w:t>
      </w:r>
      <w:r w:rsidRPr="00F27422">
        <w:rPr>
          <w:rFonts w:ascii="mylotus" w:hAnsi="mylotus" w:hint="cs"/>
          <w:sz w:val="32"/>
          <w:rtl/>
        </w:rPr>
        <w:t>عليه</w:t>
      </w:r>
      <w:r w:rsidRPr="00F27422">
        <w:rPr>
          <w:rFonts w:ascii="mylotus" w:hAnsi="mylotus"/>
          <w:sz w:val="32"/>
          <w:rtl/>
        </w:rPr>
        <w:t xml:space="preserve"> </w:t>
      </w:r>
      <w:r w:rsidRPr="00F27422">
        <w:rPr>
          <w:rFonts w:ascii="mylotus" w:hAnsi="mylotus" w:hint="cs"/>
          <w:sz w:val="32"/>
          <w:rtl/>
        </w:rPr>
        <w:t>بضمان</w:t>
      </w:r>
      <w:r w:rsidRPr="00F27422">
        <w:rPr>
          <w:rFonts w:ascii="mylotus" w:hAnsi="mylotus"/>
          <w:sz w:val="32"/>
          <w:rtl/>
        </w:rPr>
        <w:t xml:space="preserve"> </w:t>
      </w:r>
      <w:r w:rsidRPr="00F27422">
        <w:rPr>
          <w:rFonts w:ascii="mylotus" w:hAnsi="mylotus" w:hint="cs"/>
          <w:sz w:val="32"/>
          <w:rtl/>
        </w:rPr>
        <w:t>نقصه،</w:t>
      </w:r>
      <w:r w:rsidRPr="00F27422">
        <w:rPr>
          <w:rFonts w:ascii="mylotus" w:hAnsi="mylotus"/>
          <w:sz w:val="32"/>
          <w:rtl/>
        </w:rPr>
        <w:t xml:space="preserve"> </w:t>
      </w:r>
      <w:r w:rsidRPr="00F27422">
        <w:rPr>
          <w:rFonts w:ascii="mylotus" w:hAnsi="mylotus" w:hint="cs"/>
          <w:sz w:val="32"/>
          <w:rtl/>
        </w:rPr>
        <w:t>ولذلك</w:t>
      </w:r>
      <w:r w:rsidRPr="00F27422">
        <w:rPr>
          <w:rFonts w:ascii="mylotus" w:hAnsi="mylotus"/>
          <w:sz w:val="32"/>
          <w:rtl/>
        </w:rPr>
        <w:t xml:space="preserve"> </w:t>
      </w:r>
      <w:r w:rsidRPr="00F27422">
        <w:rPr>
          <w:rFonts w:ascii="mylotus" w:hAnsi="mylotus" w:hint="cs"/>
          <w:sz w:val="32"/>
          <w:rtl/>
        </w:rPr>
        <w:t>يثبت</w:t>
      </w:r>
      <w:r w:rsidRPr="00F27422">
        <w:rPr>
          <w:rFonts w:ascii="mylotus" w:hAnsi="mylotus"/>
          <w:sz w:val="32"/>
          <w:rtl/>
        </w:rPr>
        <w:t xml:space="preserve"> </w:t>
      </w:r>
      <w:r w:rsidRPr="00F27422">
        <w:rPr>
          <w:rFonts w:ascii="mylotus" w:hAnsi="mylotus" w:hint="cs"/>
          <w:sz w:val="32"/>
          <w:rtl/>
        </w:rPr>
        <w:t>خيار</w:t>
      </w:r>
      <w:r w:rsidRPr="00F27422">
        <w:rPr>
          <w:rFonts w:ascii="mylotus" w:hAnsi="mylotus"/>
          <w:sz w:val="32"/>
          <w:rtl/>
        </w:rPr>
        <w:t xml:space="preserve"> </w:t>
      </w:r>
      <w:r w:rsidRPr="00F27422">
        <w:rPr>
          <w:rFonts w:ascii="mylotus" w:hAnsi="mylotus" w:hint="cs"/>
          <w:sz w:val="32"/>
          <w:rtl/>
        </w:rPr>
        <w:t>العيب</w:t>
      </w:r>
      <w:r w:rsidRPr="00F27422">
        <w:rPr>
          <w:rFonts w:ascii="mylotus" w:hAnsi="mylotus"/>
          <w:sz w:val="32"/>
          <w:rtl/>
        </w:rPr>
        <w:t xml:space="preserve"> </w:t>
      </w:r>
      <w:r w:rsidRPr="00F27422">
        <w:rPr>
          <w:rFonts w:ascii="mylotus" w:hAnsi="mylotus" w:hint="cs"/>
          <w:sz w:val="32"/>
          <w:rtl/>
        </w:rPr>
        <w:t>بملاك</w:t>
      </w:r>
      <w:r w:rsidRPr="00F27422">
        <w:rPr>
          <w:rFonts w:ascii="mylotus" w:hAnsi="mylotus"/>
          <w:sz w:val="32"/>
          <w:rtl/>
        </w:rPr>
        <w:t xml:space="preserve"> </w:t>
      </w:r>
      <w:r w:rsidRPr="00F27422">
        <w:rPr>
          <w:rFonts w:ascii="mylotus" w:hAnsi="mylotus" w:hint="cs"/>
          <w:sz w:val="32"/>
          <w:rtl/>
        </w:rPr>
        <w:t>تخلّف</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w:t>
      </w:r>
      <w:r w:rsidRPr="00F27422">
        <w:rPr>
          <w:rFonts w:ascii="mylotus" w:hAnsi="mylotus" w:hint="cs"/>
          <w:sz w:val="32"/>
          <w:rtl/>
        </w:rPr>
        <w:t>حتى</w:t>
      </w:r>
      <w:r w:rsidRPr="00F27422">
        <w:rPr>
          <w:rFonts w:ascii="mylotus" w:hAnsi="mylotus"/>
          <w:sz w:val="32"/>
          <w:rtl/>
        </w:rPr>
        <w:t xml:space="preserve"> </w:t>
      </w:r>
      <w:r w:rsidRPr="00F27422">
        <w:rPr>
          <w:rFonts w:ascii="mylotus" w:hAnsi="mylotus" w:hint="cs"/>
          <w:sz w:val="32"/>
          <w:rtl/>
        </w:rPr>
        <w:t>لو</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يكن</w:t>
      </w:r>
      <w:r w:rsidRPr="00F27422">
        <w:rPr>
          <w:rFonts w:ascii="mylotus" w:hAnsi="mylotus"/>
          <w:sz w:val="32"/>
          <w:rtl/>
        </w:rPr>
        <w:t xml:space="preserve"> </w:t>
      </w:r>
      <w:r w:rsidRPr="00F27422">
        <w:rPr>
          <w:rFonts w:ascii="mylotus" w:hAnsi="mylotus" w:hint="cs"/>
          <w:sz w:val="32"/>
          <w:rtl/>
        </w:rPr>
        <w:t>العيب</w:t>
      </w:r>
      <w:r w:rsidRPr="00F27422">
        <w:rPr>
          <w:rFonts w:ascii="mylotus" w:hAnsi="mylotus"/>
          <w:sz w:val="32"/>
          <w:rtl/>
        </w:rPr>
        <w:t xml:space="preserve"> </w:t>
      </w:r>
      <w:r w:rsidRPr="00F27422">
        <w:rPr>
          <w:rFonts w:ascii="mylotus" w:hAnsi="mylotus" w:hint="cs"/>
          <w:sz w:val="32"/>
          <w:rtl/>
        </w:rPr>
        <w:t>مستلزماً</w:t>
      </w:r>
      <w:r w:rsidRPr="00F27422">
        <w:rPr>
          <w:rFonts w:ascii="mylotus" w:hAnsi="mylotus"/>
          <w:sz w:val="32"/>
          <w:rtl/>
        </w:rPr>
        <w:t xml:space="preserve"> </w:t>
      </w:r>
      <w:r w:rsidRPr="00F27422">
        <w:rPr>
          <w:rFonts w:ascii="mylotus" w:hAnsi="mylotus" w:hint="cs"/>
          <w:sz w:val="32"/>
          <w:rtl/>
        </w:rPr>
        <w:t>لنقص</w:t>
      </w:r>
      <w:r w:rsidRPr="00F27422">
        <w:rPr>
          <w:rFonts w:ascii="mylotus" w:hAnsi="mylotus"/>
          <w:sz w:val="32"/>
          <w:rtl/>
        </w:rPr>
        <w:t xml:space="preserve"> </w:t>
      </w:r>
      <w:r w:rsidRPr="00F27422">
        <w:rPr>
          <w:rFonts w:ascii="mylotus" w:hAnsi="mylotus" w:hint="cs"/>
          <w:sz w:val="32"/>
          <w:rtl/>
        </w:rPr>
        <w:t>القيمة،</w:t>
      </w:r>
      <w:r w:rsidRPr="00F27422">
        <w:rPr>
          <w:rFonts w:ascii="mylotus" w:hAnsi="mylotus"/>
          <w:sz w:val="32"/>
          <w:rtl/>
        </w:rPr>
        <w:t xml:space="preserve"> </w:t>
      </w:r>
      <w:r w:rsidRPr="00F27422">
        <w:rPr>
          <w:rFonts w:ascii="mylotus" w:hAnsi="mylotus" w:hint="cs"/>
          <w:sz w:val="32"/>
          <w:rtl/>
        </w:rPr>
        <w:t>كما</w:t>
      </w:r>
      <w:r w:rsidRPr="00F27422">
        <w:rPr>
          <w:rFonts w:ascii="mylotus" w:hAnsi="mylotus"/>
          <w:sz w:val="32"/>
          <w:rtl/>
        </w:rPr>
        <w:t xml:space="preserve"> </w:t>
      </w:r>
      <w:r w:rsidRPr="00F27422">
        <w:rPr>
          <w:rFonts w:ascii="mylotus" w:hAnsi="mylotus" w:hint="cs"/>
          <w:sz w:val="32"/>
          <w:rtl/>
        </w:rPr>
        <w:t>لو</w:t>
      </w:r>
      <w:r w:rsidRPr="00F27422">
        <w:rPr>
          <w:rFonts w:ascii="mylotus" w:hAnsi="mylotus"/>
          <w:sz w:val="32"/>
          <w:rtl/>
        </w:rPr>
        <w:t xml:space="preserve"> </w:t>
      </w:r>
      <w:r w:rsidRPr="00F27422">
        <w:rPr>
          <w:rFonts w:ascii="mylotus" w:hAnsi="mylotus" w:hint="cs"/>
          <w:sz w:val="32"/>
          <w:rtl/>
        </w:rPr>
        <w:t>فرض</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قيمة</w:t>
      </w:r>
      <w:r w:rsidRPr="00F27422">
        <w:rPr>
          <w:rFonts w:ascii="mylotus" w:hAnsi="mylotus"/>
          <w:sz w:val="32"/>
          <w:rtl/>
        </w:rPr>
        <w:t xml:space="preserve"> </w:t>
      </w:r>
      <w:r w:rsidRPr="00F27422">
        <w:rPr>
          <w:rFonts w:ascii="mylotus" w:hAnsi="mylotus" w:hint="cs"/>
          <w:sz w:val="32"/>
          <w:rtl/>
        </w:rPr>
        <w:t>المبيع</w:t>
      </w:r>
      <w:r w:rsidRPr="00F27422">
        <w:rPr>
          <w:rFonts w:ascii="mylotus" w:hAnsi="mylotus"/>
          <w:sz w:val="32"/>
          <w:rtl/>
        </w:rPr>
        <w:t xml:space="preserve"> </w:t>
      </w:r>
      <w:r w:rsidRPr="00F27422">
        <w:rPr>
          <w:rFonts w:ascii="mylotus" w:hAnsi="mylotus" w:hint="cs"/>
          <w:sz w:val="32"/>
          <w:rtl/>
        </w:rPr>
        <w:t>المعيب</w:t>
      </w:r>
      <w:r w:rsidRPr="00F27422">
        <w:rPr>
          <w:rFonts w:ascii="mylotus" w:hAnsi="mylotus"/>
          <w:sz w:val="32"/>
          <w:rtl/>
        </w:rPr>
        <w:t xml:space="preserve"> </w:t>
      </w:r>
      <w:r w:rsidRPr="00F27422">
        <w:rPr>
          <w:rFonts w:ascii="mylotus" w:hAnsi="mylotus" w:hint="cs"/>
          <w:sz w:val="32"/>
          <w:rtl/>
        </w:rPr>
        <w:t>هي</w:t>
      </w:r>
      <w:r w:rsidRPr="00F27422">
        <w:rPr>
          <w:rFonts w:ascii="mylotus" w:hAnsi="mylotus"/>
          <w:sz w:val="32"/>
          <w:rtl/>
        </w:rPr>
        <w:t xml:space="preserve"> </w:t>
      </w:r>
      <w:r w:rsidRPr="00F27422">
        <w:rPr>
          <w:rFonts w:ascii="mylotus" w:hAnsi="mylotus" w:hint="cs"/>
          <w:sz w:val="32"/>
          <w:rtl/>
        </w:rPr>
        <w:t>قيمة</w:t>
      </w:r>
      <w:r w:rsidRPr="00F27422">
        <w:rPr>
          <w:rFonts w:ascii="mylotus" w:hAnsi="mylotus"/>
          <w:sz w:val="32"/>
          <w:rtl/>
        </w:rPr>
        <w:t xml:space="preserve"> </w:t>
      </w:r>
      <w:r w:rsidRPr="00F27422">
        <w:rPr>
          <w:rFonts w:ascii="mylotus" w:hAnsi="mylotus" w:hint="cs"/>
          <w:sz w:val="32"/>
          <w:rtl/>
        </w:rPr>
        <w:t>المثل،</w:t>
      </w:r>
      <w:r w:rsidRPr="00F27422">
        <w:rPr>
          <w:rFonts w:ascii="mylotus" w:hAnsi="mylotus"/>
          <w:sz w:val="32"/>
          <w:rtl/>
        </w:rPr>
        <w:t xml:space="preserve"> </w:t>
      </w:r>
      <w:r w:rsidRPr="00F27422">
        <w:rPr>
          <w:rFonts w:ascii="mylotus" w:hAnsi="mylotus" w:hint="cs"/>
          <w:sz w:val="32"/>
          <w:rtl/>
        </w:rPr>
        <w:t>أو</w:t>
      </w:r>
      <w:r w:rsidRPr="00F27422">
        <w:rPr>
          <w:rFonts w:ascii="mylotus" w:hAnsi="mylotus"/>
          <w:sz w:val="32"/>
          <w:rtl/>
        </w:rPr>
        <w:t xml:space="preserve"> </w:t>
      </w:r>
      <w:r w:rsidRPr="00F27422">
        <w:rPr>
          <w:rFonts w:ascii="mylotus" w:hAnsi="mylotus" w:hint="cs"/>
          <w:sz w:val="32"/>
          <w:rtl/>
        </w:rPr>
        <w:t>أُجرة</w:t>
      </w:r>
      <w:r w:rsidRPr="00F27422">
        <w:rPr>
          <w:rFonts w:ascii="mylotus" w:hAnsi="mylotus"/>
          <w:sz w:val="32"/>
          <w:rtl/>
        </w:rPr>
        <w:t xml:space="preserve"> </w:t>
      </w:r>
      <w:r w:rsidRPr="00F27422">
        <w:rPr>
          <w:rFonts w:ascii="mylotus" w:hAnsi="mylotus" w:hint="cs"/>
          <w:sz w:val="32"/>
          <w:rtl/>
        </w:rPr>
        <w:t>العين</w:t>
      </w:r>
      <w:r w:rsidRPr="00F27422">
        <w:rPr>
          <w:rFonts w:ascii="mylotus" w:hAnsi="mylotus"/>
          <w:sz w:val="32"/>
          <w:rtl/>
        </w:rPr>
        <w:t xml:space="preserve"> </w:t>
      </w:r>
      <w:r w:rsidRPr="00F27422">
        <w:rPr>
          <w:rFonts w:ascii="mylotus" w:hAnsi="mylotus" w:hint="cs"/>
          <w:sz w:val="32"/>
          <w:rtl/>
        </w:rPr>
        <w:t>المعيبة</w:t>
      </w:r>
      <w:r w:rsidRPr="00F27422">
        <w:rPr>
          <w:rFonts w:ascii="mylotus" w:hAnsi="mylotus"/>
          <w:sz w:val="32"/>
          <w:rtl/>
        </w:rPr>
        <w:t xml:space="preserve"> </w:t>
      </w:r>
      <w:r w:rsidRPr="00F27422">
        <w:rPr>
          <w:rFonts w:ascii="mylotus" w:hAnsi="mylotus" w:hint="cs"/>
          <w:sz w:val="32"/>
          <w:rtl/>
        </w:rPr>
        <w:t>ه</w:t>
      </w:r>
      <w:r w:rsidRPr="00F27422">
        <w:rPr>
          <w:rFonts w:ascii="mylotus" w:hAnsi="mylotus"/>
          <w:sz w:val="32"/>
          <w:rtl/>
        </w:rPr>
        <w:t>ي أُجرة المثل، فلا نقص في القيمة إطلاقاً، لكن مع ذلك لو كان المناط في ثبوت خيار العيب هو تخلّف الشرط لكان مقتضى تخلّف الشرط ثبوت الخيار على كلّ حال نقصت القيمة أم لَمْ تنقص</w:t>
      </w:r>
      <w:r w:rsidRPr="00F27422">
        <w:rPr>
          <w:rFonts w:ascii="mylotus" w:hAnsi="mylotus"/>
          <w:sz w:val="32"/>
        </w:rPr>
        <w:t>.</w:t>
      </w:r>
    </w:p>
    <w:p w14:paraId="5FFB831E"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وإلّا لو كان المدار في ثبوت خيار العيب على نقص القيمة لحصل التداخل بين خيار العيب وخيار الغبن، والحال بأنّ الكلام في خيار العيب مستقلاً عن خيار الغبن، وهو دوران ثبوت الخيار مدار تخلّف وصف في الصحّة، لا مدار نقص القيمة</w:t>
      </w:r>
      <w:r w:rsidRPr="00F27422">
        <w:rPr>
          <w:rFonts w:ascii="mylotus" w:hAnsi="mylotus"/>
          <w:sz w:val="32"/>
        </w:rPr>
        <w:t>.</w:t>
      </w:r>
    </w:p>
    <w:p w14:paraId="4EE20278"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lastRenderedPageBreak/>
        <w:t>وأمّا حدوث الضرر المالي في بعض الموارد، كما في فرض امتناع ردّ العين أو تلفها فهو مما لا ضمان له؛ فكثيرٌ مِن الأضرار في الشريعة مما لا ضمان لها، كما في فرض حبس الحر غير الكسوب، فلو حبس الحر غير الكسوب سنة كاملة فلا إشكال أنّه يتضرر بالحبس مع ذلك لَمْ يقل أحدٌ بضمان الضرر الوارد عليه، أو لو فُرض أنّ المبيع معيبٌ لكن البائع ماتَ قبل انكشاف العيب فلا إشكال هنا بأنّ النقص ضررٌ على المشتري مع أنّه في هذا الفرض لا ضمان للنقص الحاصل؛ إذ لا خلاف حينئذٍ في عدم ثبوت الأرش مع ورود الضرر الجسيم في مثل هذه الفروض في بعض الموارد</w:t>
      </w:r>
      <w:r w:rsidRPr="00F27422">
        <w:rPr>
          <w:rFonts w:ascii="mylotus" w:hAnsi="mylotus"/>
          <w:sz w:val="32"/>
        </w:rPr>
        <w:t>.</w:t>
      </w:r>
    </w:p>
    <w:p w14:paraId="4F859700"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b/>
          <w:bCs/>
          <w:sz w:val="32"/>
          <w:rtl/>
        </w:rPr>
        <w:t>وثانياً:</w:t>
      </w:r>
      <w:r w:rsidRPr="00F27422">
        <w:rPr>
          <w:rFonts w:ascii="mylotus" w:hAnsi="mylotus"/>
          <w:sz w:val="32"/>
          <w:rtl/>
        </w:rPr>
        <w:t xml:space="preserve"> إنّ الإجماع قائمٌ على عدم ضمان الأرش إلّا في فرض المطالبة، وهو كاشفٌ عن عدم ارتكازية ضمان الأرش؛ إذ لا يجتمع ارتكازية ضمان الأرش مع كونه بملاك المطالبة لا بملاك جبر النقص، حتى مع القول بأنّ الثابت مِن حين تخلّف وصف الصحّة هو الجامع؛ فإنّ المفروض أنّ المطالبة قيدٌ في الثبوت وليس قيداً في المطلوب؛ إذ لو كانت المطالبة قيد في المطلوب لصحّ أنْ يُقال بأنّه مِن حين تخلّف وصف الصحّة يثبت الجامع بين الخيار وبين الأرش، إلّا أنّ كلمة "عند المطالبة" قيدٌ في دفع الأرش، وليس قيداً في ثبوته، فهو ثابتٌ مِن الأوّل، فإذا قلنا بهذا فهو خلاف الإجماع</w:t>
      </w:r>
      <w:r w:rsidRPr="00F27422">
        <w:rPr>
          <w:rFonts w:ascii="mylotus" w:hAnsi="mylotus"/>
          <w:sz w:val="32"/>
        </w:rPr>
        <w:t>.</w:t>
      </w:r>
    </w:p>
    <w:p w14:paraId="52FEB9EF"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وأمّا إذا قلنا بأنّ أصل ضمان الأرش منوطٌ بالمطالبة فحينئذٍ هذا كاشفٌ عن كونه حكماً تعبّديّاً، وليس بملاك جبر النقص، وإلّا لكان ثابتاً مِن الأوّل</w:t>
      </w:r>
      <w:r w:rsidRPr="00F27422">
        <w:rPr>
          <w:rFonts w:ascii="mylotus" w:hAnsi="mylotus"/>
          <w:sz w:val="32"/>
        </w:rPr>
        <w:t>.</w:t>
      </w:r>
    </w:p>
    <w:p w14:paraId="112FE4FD" w14:textId="77777777" w:rsidR="00D578EE" w:rsidRPr="00F27422" w:rsidRDefault="00D578EE" w:rsidP="00122B70">
      <w:pPr>
        <w:pStyle w:val="a"/>
        <w:bidi/>
        <w:spacing w:line="216" w:lineRule="auto"/>
        <w:jc w:val="left"/>
        <w:rPr>
          <w:rFonts w:ascii="mylotus" w:hAnsi="mylotus"/>
          <w:b/>
          <w:bCs/>
          <w:sz w:val="32"/>
          <w:rtl/>
          <w:lang w:bidi="ar-BH"/>
        </w:rPr>
      </w:pPr>
      <w:r w:rsidRPr="00F27422">
        <w:rPr>
          <w:rFonts w:ascii="mylotus" w:hAnsi="mylotus"/>
          <w:sz w:val="32"/>
          <w:rtl/>
        </w:rPr>
        <w:t>ونظير المقام ما ذكره سيدنا الخوئي (قدس سره الشريف) في موسوعته المباركة في كتاب الإجارة</w:t>
      </w:r>
      <w:r w:rsidRPr="00F27422">
        <w:rPr>
          <w:rStyle w:val="FootnoteReference"/>
          <w:rFonts w:ascii="mylotus" w:hAnsi="mylotus"/>
          <w:sz w:val="32"/>
          <w:rtl/>
        </w:rPr>
        <w:footnoteReference w:id="94"/>
      </w:r>
      <w:r w:rsidRPr="00F27422">
        <w:rPr>
          <w:rFonts w:ascii="mylotus" w:hAnsi="mylotus" w:hint="cs"/>
          <w:sz w:val="32"/>
          <w:rtl/>
        </w:rPr>
        <w:t xml:space="preserve"> </w:t>
      </w:r>
      <w:r w:rsidRPr="00F27422">
        <w:rPr>
          <w:rFonts w:ascii="mylotus" w:hAnsi="mylotus"/>
          <w:sz w:val="32"/>
          <w:rtl/>
        </w:rPr>
        <w:t xml:space="preserve">بقوله: </w:t>
      </w:r>
      <w:r w:rsidRPr="00F27422">
        <w:rPr>
          <w:rFonts w:ascii="mylotus" w:hAnsi="mylotus"/>
          <w:b/>
          <w:bCs/>
          <w:sz w:val="32"/>
          <w:rtl/>
        </w:rPr>
        <w:t>(وبالجملة: فهذا الضمان نظير الضمان الثابت في باب اللقطة، حيث إنّ الملتقط لو تصدّق بها بعد الفحص واليأس لم تكن ذمّته مشغولة بشيء كي يخرج ما يعادلها من تركته إذا مات)</w:t>
      </w:r>
      <w:r w:rsidRPr="00F27422">
        <w:rPr>
          <w:rFonts w:ascii="mylotus" w:hAnsi="mylotus"/>
          <w:sz w:val="32"/>
          <w:rtl/>
        </w:rPr>
        <w:t xml:space="preserve"> أي: أنّه لو مات المتصدّق ثمّ وصل طالب العين الملتقطة إلى الورثة لا ضمان له، ولا يخرج مِن تركته شيء، مع أنّه ضرر عليه </w:t>
      </w:r>
      <w:r w:rsidRPr="00F27422">
        <w:rPr>
          <w:rFonts w:ascii="mylotus" w:hAnsi="mylotus"/>
          <w:b/>
          <w:bCs/>
          <w:sz w:val="32"/>
          <w:rtl/>
        </w:rPr>
        <w:t>(باعتبار أنّه)</w:t>
      </w:r>
      <w:r w:rsidRPr="00F27422">
        <w:rPr>
          <w:rFonts w:ascii="mylotus" w:hAnsi="mylotus"/>
          <w:sz w:val="32"/>
          <w:rtl/>
        </w:rPr>
        <w:t xml:space="preserve"> من باب </w:t>
      </w:r>
      <w:r w:rsidRPr="00F27422">
        <w:rPr>
          <w:rFonts w:ascii="mylotus" w:hAnsi="mylotus"/>
          <w:b/>
          <w:bCs/>
          <w:sz w:val="32"/>
          <w:rtl/>
        </w:rPr>
        <w:t>(أتلف مال الغير بالتصدّق، فلا ضمان عندئذٍ بوجه، وإنّما يضمن فيما لو</w:t>
      </w:r>
      <w:r w:rsidRPr="00F27422">
        <w:rPr>
          <w:rFonts w:ascii="mylotus" w:hAnsi="mylotus"/>
          <w:sz w:val="32"/>
          <w:rtl/>
        </w:rPr>
        <w:t xml:space="preserve"> </w:t>
      </w:r>
      <w:r w:rsidRPr="00F27422">
        <w:rPr>
          <w:rFonts w:ascii="mylotus" w:hAnsi="mylotus"/>
          <w:b/>
          <w:bCs/>
          <w:sz w:val="32"/>
          <w:rtl/>
        </w:rPr>
        <w:t>وجد المالك)</w:t>
      </w:r>
      <w:r w:rsidRPr="00F27422">
        <w:rPr>
          <w:rFonts w:ascii="mylotus" w:hAnsi="mylotus"/>
          <w:sz w:val="32"/>
          <w:rtl/>
        </w:rPr>
        <w:t xml:space="preserve"> وهو حي </w:t>
      </w:r>
      <w:r w:rsidRPr="00F27422">
        <w:rPr>
          <w:rFonts w:ascii="mylotus" w:hAnsi="mylotus"/>
          <w:b/>
          <w:bCs/>
          <w:sz w:val="32"/>
          <w:rtl/>
        </w:rPr>
        <w:t>(وطالب)</w:t>
      </w:r>
      <w:r w:rsidRPr="00F27422">
        <w:rPr>
          <w:rFonts w:ascii="mylotus" w:hAnsi="mylotus"/>
          <w:sz w:val="32"/>
          <w:rtl/>
        </w:rPr>
        <w:t xml:space="preserve"> المالك بالضمان </w:t>
      </w:r>
      <w:r w:rsidRPr="00F27422">
        <w:rPr>
          <w:rFonts w:ascii="mylotus" w:hAnsi="mylotus"/>
          <w:b/>
          <w:bCs/>
          <w:sz w:val="32"/>
          <w:rtl/>
        </w:rPr>
        <w:t xml:space="preserve">(فينشأ الضمان من نفس المطالبة لا أنّه كان ضامناً) </w:t>
      </w:r>
      <w:r w:rsidRPr="00F27422">
        <w:rPr>
          <w:rFonts w:ascii="mylotus" w:hAnsi="mylotus"/>
          <w:sz w:val="32"/>
          <w:rtl/>
        </w:rPr>
        <w:t xml:space="preserve">لتلف العين </w:t>
      </w:r>
      <w:r w:rsidRPr="00F27422">
        <w:rPr>
          <w:rFonts w:ascii="mylotus" w:hAnsi="mylotus"/>
          <w:b/>
          <w:bCs/>
          <w:sz w:val="32"/>
          <w:rtl/>
        </w:rPr>
        <w:t>(من الأوّل</w:t>
      </w:r>
      <w:r w:rsidRPr="00F27422">
        <w:rPr>
          <w:rFonts w:ascii="mylotus" w:hAnsi="mylotus"/>
          <w:b/>
          <w:bCs/>
          <w:sz w:val="32"/>
        </w:rPr>
        <w:t>.</w:t>
      </w:r>
    </w:p>
    <w:p w14:paraId="7570653F" w14:textId="77777777" w:rsidR="00D578EE" w:rsidRPr="00F27422" w:rsidRDefault="00D578EE" w:rsidP="00122B70">
      <w:pPr>
        <w:pStyle w:val="a"/>
        <w:bidi/>
        <w:spacing w:line="216" w:lineRule="auto"/>
        <w:jc w:val="left"/>
        <w:rPr>
          <w:rFonts w:ascii="mylotus" w:hAnsi="mylotus"/>
          <w:b/>
          <w:bCs/>
          <w:sz w:val="32"/>
          <w:rtl/>
          <w:lang w:bidi="ar-BH"/>
        </w:rPr>
      </w:pPr>
      <w:r w:rsidRPr="00F27422">
        <w:rPr>
          <w:rFonts w:ascii="mylotus" w:hAnsi="mylotus"/>
          <w:b/>
          <w:bCs/>
          <w:sz w:val="32"/>
          <w:rtl/>
        </w:rPr>
        <w:t>والمقام من هذا القبيل، فيملك البائع تمام الثمن وإن كانت العين معيبة، ولا تكون ذمّته مشغولة بجزء منه معادل لوصف الصحّة بحيث يخرج من تركته لو مات، غايته ثبوت الخيار للمشتري بين الفسخ والإمضاء مجّاناً أو مع مطالبة الأرش، فيضمن التفاوت حينئذٍ بنفس هذه المطالبة لا أنّه كان ضامناً من الأوّل</w:t>
      </w:r>
      <w:r w:rsidRPr="00F27422">
        <w:rPr>
          <w:rFonts w:ascii="mylotus" w:hAnsi="mylotus"/>
          <w:b/>
          <w:bCs/>
          <w:sz w:val="32"/>
        </w:rPr>
        <w:t>.</w:t>
      </w:r>
    </w:p>
    <w:p w14:paraId="73E90996" w14:textId="77777777" w:rsidR="00D578EE" w:rsidRPr="00F27422" w:rsidRDefault="00D578EE" w:rsidP="00122B70">
      <w:pPr>
        <w:pStyle w:val="a"/>
        <w:bidi/>
        <w:spacing w:line="216" w:lineRule="auto"/>
        <w:jc w:val="left"/>
        <w:rPr>
          <w:rFonts w:ascii="mylotus" w:hAnsi="mylotus"/>
          <w:b/>
          <w:bCs/>
          <w:sz w:val="32"/>
          <w:rtl/>
          <w:lang w:bidi="ar-BH"/>
        </w:rPr>
      </w:pPr>
      <w:r w:rsidRPr="00F27422">
        <w:rPr>
          <w:rFonts w:ascii="mylotus" w:hAnsi="mylotus"/>
          <w:b/>
          <w:bCs/>
          <w:sz w:val="32"/>
          <w:rtl/>
        </w:rPr>
        <w:t xml:space="preserve">وهذا - كما ترى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حكم</w:t>
      </w:r>
      <w:r w:rsidRPr="00F27422">
        <w:rPr>
          <w:rFonts w:ascii="mylotus" w:hAnsi="mylotus"/>
          <w:b/>
          <w:bCs/>
          <w:sz w:val="32"/>
          <w:rtl/>
        </w:rPr>
        <w:t xml:space="preserve"> </w:t>
      </w:r>
      <w:r w:rsidRPr="00F27422">
        <w:rPr>
          <w:rFonts w:ascii="mylotus" w:hAnsi="mylotus" w:hint="cs"/>
          <w:b/>
          <w:bCs/>
          <w:sz w:val="32"/>
          <w:rtl/>
        </w:rPr>
        <w:t>تعبّدي</w:t>
      </w:r>
      <w:r w:rsidRPr="00F27422">
        <w:rPr>
          <w:rFonts w:ascii="mylotus" w:hAnsi="mylotus"/>
          <w:b/>
          <w:bCs/>
          <w:sz w:val="32"/>
          <w:rtl/>
        </w:rPr>
        <w:t xml:space="preserve"> </w:t>
      </w:r>
      <w:r w:rsidRPr="00F27422">
        <w:rPr>
          <w:rFonts w:ascii="mylotus" w:hAnsi="mylotus" w:hint="cs"/>
          <w:b/>
          <w:bCs/>
          <w:sz w:val="32"/>
          <w:rtl/>
        </w:rPr>
        <w:t>مخالف</w:t>
      </w:r>
      <w:r w:rsidRPr="00F27422">
        <w:rPr>
          <w:rFonts w:ascii="mylotus" w:hAnsi="mylotus"/>
          <w:b/>
          <w:bCs/>
          <w:sz w:val="32"/>
          <w:rtl/>
        </w:rPr>
        <w:t xml:space="preserve"> </w:t>
      </w:r>
      <w:r w:rsidRPr="00F27422">
        <w:rPr>
          <w:rFonts w:ascii="mylotus" w:hAnsi="mylotus" w:hint="cs"/>
          <w:b/>
          <w:bCs/>
          <w:sz w:val="32"/>
          <w:rtl/>
        </w:rPr>
        <w:t>للقاعدة</w:t>
      </w:r>
      <w:r w:rsidRPr="00F27422">
        <w:rPr>
          <w:rFonts w:ascii="mylotus" w:hAnsi="mylotus"/>
          <w:b/>
          <w:bCs/>
          <w:sz w:val="32"/>
          <w:rtl/>
        </w:rPr>
        <w:t xml:space="preserve"> </w:t>
      </w:r>
      <w:r w:rsidRPr="00F27422">
        <w:rPr>
          <w:rFonts w:ascii="mylotus" w:hAnsi="mylotus" w:hint="cs"/>
          <w:b/>
          <w:bCs/>
          <w:sz w:val="32"/>
          <w:rtl/>
        </w:rPr>
        <w:t>قد</w:t>
      </w:r>
      <w:r w:rsidRPr="00F27422">
        <w:rPr>
          <w:rFonts w:ascii="mylotus" w:hAnsi="mylotus"/>
          <w:b/>
          <w:bCs/>
          <w:sz w:val="32"/>
          <w:rtl/>
        </w:rPr>
        <w:t xml:space="preserve"> </w:t>
      </w:r>
      <w:r w:rsidRPr="00F27422">
        <w:rPr>
          <w:rFonts w:ascii="mylotus" w:hAnsi="mylotus" w:hint="cs"/>
          <w:b/>
          <w:bCs/>
          <w:sz w:val="32"/>
          <w:rtl/>
        </w:rPr>
        <w:t>ثبت</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خصوص</w:t>
      </w:r>
      <w:r w:rsidRPr="00F27422">
        <w:rPr>
          <w:rFonts w:ascii="mylotus" w:hAnsi="mylotus"/>
          <w:b/>
          <w:bCs/>
          <w:sz w:val="32"/>
          <w:rtl/>
        </w:rPr>
        <w:t xml:space="preserve"> </w:t>
      </w:r>
      <w:r w:rsidRPr="00F27422">
        <w:rPr>
          <w:rFonts w:ascii="mylotus" w:hAnsi="mylotus" w:hint="cs"/>
          <w:b/>
          <w:bCs/>
          <w:sz w:val="32"/>
          <w:rtl/>
        </w:rPr>
        <w:t>البيع</w:t>
      </w:r>
      <w:r w:rsidRPr="00F27422">
        <w:rPr>
          <w:rFonts w:ascii="mylotus" w:hAnsi="mylotus"/>
          <w:b/>
          <w:bCs/>
          <w:sz w:val="32"/>
          <w:rtl/>
        </w:rPr>
        <w:t xml:space="preserve"> </w:t>
      </w:r>
      <w:r w:rsidRPr="00F27422">
        <w:rPr>
          <w:rFonts w:ascii="mylotus" w:hAnsi="mylotus" w:hint="cs"/>
          <w:b/>
          <w:bCs/>
          <w:sz w:val="32"/>
          <w:rtl/>
        </w:rPr>
        <w:t>بالنصّ</w:t>
      </w:r>
      <w:r w:rsidRPr="00F27422">
        <w:rPr>
          <w:rFonts w:ascii="mylotus" w:hAnsi="mylotus"/>
          <w:b/>
          <w:bCs/>
          <w:sz w:val="32"/>
          <w:rtl/>
        </w:rPr>
        <w:t xml:space="preserve"> </w:t>
      </w:r>
      <w:r w:rsidRPr="00F27422">
        <w:rPr>
          <w:rFonts w:ascii="mylotus" w:hAnsi="mylotus" w:hint="cs"/>
          <w:b/>
          <w:bCs/>
          <w:sz w:val="32"/>
          <w:rtl/>
        </w:rPr>
        <w:t>الخاصّ،</w:t>
      </w:r>
      <w:r w:rsidRPr="00F27422">
        <w:rPr>
          <w:rFonts w:ascii="mylotus" w:hAnsi="mylotus"/>
          <w:b/>
          <w:bCs/>
          <w:sz w:val="32"/>
          <w:rtl/>
        </w:rPr>
        <w:t xml:space="preserve"> </w:t>
      </w:r>
      <w:r w:rsidRPr="00F27422">
        <w:rPr>
          <w:rFonts w:ascii="mylotus" w:hAnsi="mylotus" w:hint="cs"/>
          <w:b/>
          <w:bCs/>
          <w:sz w:val="32"/>
          <w:rtl/>
        </w:rPr>
        <w:t>فاللازم</w:t>
      </w:r>
      <w:r w:rsidRPr="00F27422">
        <w:rPr>
          <w:rFonts w:ascii="mylotus" w:hAnsi="mylotus"/>
          <w:b/>
          <w:bCs/>
          <w:sz w:val="32"/>
          <w:rtl/>
        </w:rPr>
        <w:t xml:space="preserve"> </w:t>
      </w:r>
      <w:r w:rsidRPr="00F27422">
        <w:rPr>
          <w:rFonts w:ascii="mylotus" w:hAnsi="mylotus" w:hint="cs"/>
          <w:b/>
          <w:bCs/>
          <w:sz w:val="32"/>
          <w:rtl/>
        </w:rPr>
        <w:t>الاقتصار</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 xml:space="preserve"> </w:t>
      </w:r>
      <w:r w:rsidRPr="00F27422">
        <w:rPr>
          <w:rFonts w:ascii="mylotus" w:hAnsi="mylotus" w:hint="cs"/>
          <w:b/>
          <w:bCs/>
          <w:sz w:val="32"/>
          <w:rtl/>
        </w:rPr>
        <w:t>ولا</w:t>
      </w:r>
      <w:r w:rsidRPr="00F27422">
        <w:rPr>
          <w:rFonts w:ascii="mylotus" w:hAnsi="mylotus"/>
          <w:b/>
          <w:bCs/>
          <w:sz w:val="32"/>
          <w:rtl/>
        </w:rPr>
        <w:t xml:space="preserve"> </w:t>
      </w:r>
      <w:r w:rsidRPr="00F27422">
        <w:rPr>
          <w:rFonts w:ascii="mylotus" w:hAnsi="mylotus" w:hint="cs"/>
          <w:b/>
          <w:bCs/>
          <w:sz w:val="32"/>
          <w:rtl/>
        </w:rPr>
        <w:t>موجب</w:t>
      </w:r>
      <w:r w:rsidRPr="00F27422">
        <w:rPr>
          <w:rFonts w:ascii="mylotus" w:hAnsi="mylotus"/>
          <w:b/>
          <w:bCs/>
          <w:sz w:val="32"/>
          <w:rtl/>
        </w:rPr>
        <w:t xml:space="preserve"> </w:t>
      </w:r>
      <w:r w:rsidRPr="00F27422">
        <w:rPr>
          <w:rFonts w:ascii="mylotus" w:hAnsi="mylotus" w:hint="cs"/>
          <w:b/>
          <w:bCs/>
          <w:sz w:val="32"/>
          <w:rtl/>
        </w:rPr>
        <w:t>للتعدّي</w:t>
      </w:r>
      <w:r w:rsidRPr="00F27422">
        <w:rPr>
          <w:rFonts w:ascii="mylotus" w:hAnsi="mylotus"/>
          <w:b/>
          <w:bCs/>
          <w:sz w:val="32"/>
          <w:rtl/>
        </w:rPr>
        <w:t xml:space="preserve"> </w:t>
      </w:r>
      <w:r w:rsidRPr="00F27422">
        <w:rPr>
          <w:rFonts w:ascii="mylotus" w:hAnsi="mylotus" w:hint="cs"/>
          <w:b/>
          <w:bCs/>
          <w:sz w:val="32"/>
          <w:rtl/>
        </w:rPr>
        <w:t>عن</w:t>
      </w:r>
      <w:r w:rsidRPr="00F27422">
        <w:rPr>
          <w:rFonts w:ascii="mylotus" w:hAnsi="mylotus"/>
          <w:b/>
          <w:bCs/>
          <w:sz w:val="32"/>
          <w:rtl/>
        </w:rPr>
        <w:t xml:space="preserve"> </w:t>
      </w:r>
      <w:r w:rsidRPr="00F27422">
        <w:rPr>
          <w:rFonts w:ascii="mylotus" w:hAnsi="mylotus" w:hint="cs"/>
          <w:b/>
          <w:bCs/>
          <w:sz w:val="32"/>
          <w:rtl/>
        </w:rPr>
        <w:t>مورده</w:t>
      </w:r>
      <w:r w:rsidRPr="00F27422">
        <w:rPr>
          <w:rFonts w:ascii="mylotus" w:hAnsi="mylotus"/>
          <w:b/>
          <w:bCs/>
          <w:sz w:val="32"/>
          <w:rtl/>
        </w:rPr>
        <w:t xml:space="preserve"> </w:t>
      </w:r>
      <w:r w:rsidRPr="00F27422">
        <w:rPr>
          <w:rFonts w:ascii="mylotus" w:hAnsi="mylotus" w:hint="cs"/>
          <w:b/>
          <w:bCs/>
          <w:sz w:val="32"/>
          <w:rtl/>
        </w:rPr>
        <w:t>بعد</w:t>
      </w:r>
      <w:r w:rsidRPr="00F27422">
        <w:rPr>
          <w:rFonts w:ascii="mylotus" w:hAnsi="mylotus"/>
          <w:b/>
          <w:bCs/>
          <w:sz w:val="32"/>
          <w:rtl/>
        </w:rPr>
        <w:t xml:space="preserve"> </w:t>
      </w:r>
      <w:r w:rsidRPr="00F27422">
        <w:rPr>
          <w:rFonts w:ascii="mylotus" w:hAnsi="mylotus" w:hint="cs"/>
          <w:b/>
          <w:bCs/>
          <w:sz w:val="32"/>
          <w:rtl/>
        </w:rPr>
        <w:t>عدم</w:t>
      </w:r>
      <w:r w:rsidRPr="00F27422">
        <w:rPr>
          <w:rFonts w:ascii="mylotus" w:hAnsi="mylotus"/>
          <w:b/>
          <w:bCs/>
          <w:sz w:val="32"/>
          <w:rtl/>
        </w:rPr>
        <w:t xml:space="preserve"> </w:t>
      </w:r>
      <w:r w:rsidRPr="00F27422">
        <w:rPr>
          <w:rFonts w:ascii="mylotus" w:hAnsi="mylotus" w:hint="cs"/>
          <w:b/>
          <w:bCs/>
          <w:sz w:val="32"/>
          <w:rtl/>
        </w:rPr>
        <w:t>الدليل</w:t>
      </w:r>
      <w:r w:rsidRPr="00F27422">
        <w:rPr>
          <w:rFonts w:ascii="mylotus" w:hAnsi="mylotus"/>
          <w:b/>
          <w:bCs/>
          <w:sz w:val="32"/>
          <w:rtl/>
        </w:rPr>
        <w:t xml:space="preserve"> </w:t>
      </w:r>
      <w:r w:rsidRPr="00F27422">
        <w:rPr>
          <w:rFonts w:ascii="mylotus" w:hAnsi="mylotus" w:hint="cs"/>
          <w:b/>
          <w:bCs/>
          <w:sz w:val="32"/>
          <w:rtl/>
        </w:rPr>
        <w:t>عل</w:t>
      </w:r>
      <w:r w:rsidRPr="00F27422">
        <w:rPr>
          <w:rFonts w:ascii="mylotus" w:hAnsi="mylotus"/>
          <w:b/>
          <w:bCs/>
          <w:sz w:val="32"/>
          <w:rtl/>
        </w:rPr>
        <w:t>يه</w:t>
      </w:r>
      <w:r w:rsidRPr="00F27422">
        <w:rPr>
          <w:rFonts w:ascii="mylotus" w:hAnsi="mylotus" w:hint="cs"/>
          <w:b/>
          <w:bCs/>
          <w:sz w:val="32"/>
          <w:rtl/>
        </w:rPr>
        <w:t>).</w:t>
      </w:r>
    </w:p>
    <w:p w14:paraId="4E21A851" w14:textId="77777777" w:rsidR="00D578EE" w:rsidRPr="00F27422" w:rsidRDefault="00D578EE" w:rsidP="00122B70">
      <w:pPr>
        <w:pStyle w:val="a"/>
        <w:bidi/>
        <w:spacing w:line="216" w:lineRule="auto"/>
        <w:jc w:val="left"/>
        <w:rPr>
          <w:rFonts w:ascii="mylotus" w:hAnsi="mylotus"/>
          <w:sz w:val="32"/>
          <w:rtl/>
          <w:lang w:bidi="ar-BH"/>
        </w:rPr>
      </w:pPr>
      <w:r w:rsidRPr="00F27422">
        <w:rPr>
          <w:rFonts w:ascii="mylotus" w:hAnsi="mylotus"/>
          <w:sz w:val="32"/>
          <w:rtl/>
        </w:rPr>
        <w:t>ومراجعةُ الروايات الشريفة تشهد بأنّه لا ظهور في سياقها في أنّه حُكمٌ إمضائي، كما ذكره بعض الأجلة (رحمه الله).</w:t>
      </w:r>
    </w:p>
    <w:p w14:paraId="7C4309C2" w14:textId="77777777" w:rsidR="00D578EE" w:rsidRPr="00F27422" w:rsidRDefault="00D578EE" w:rsidP="00122B70">
      <w:pPr>
        <w:pStyle w:val="a"/>
        <w:bidi/>
        <w:spacing w:line="216" w:lineRule="auto"/>
        <w:jc w:val="left"/>
        <w:rPr>
          <w:rFonts w:ascii="mylotus" w:hAnsi="mylotus"/>
          <w:b/>
          <w:bCs/>
          <w:sz w:val="32"/>
          <w:rtl/>
        </w:rPr>
      </w:pPr>
    </w:p>
    <w:p w14:paraId="32DA4B9E" w14:textId="77777777" w:rsidR="00D578EE" w:rsidRPr="00F27422" w:rsidRDefault="00D578EE"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6E8C1ED9" w14:textId="77777777" w:rsidR="00383E67" w:rsidRPr="00F27422" w:rsidRDefault="00383E67" w:rsidP="00122B70">
      <w:pPr>
        <w:tabs>
          <w:tab w:val="left" w:pos="1070"/>
        </w:tabs>
        <w:bidi/>
        <w:rPr>
          <w:sz w:val="32"/>
          <w:szCs w:val="32"/>
        </w:rPr>
      </w:pPr>
    </w:p>
    <w:p w14:paraId="1085046B" w14:textId="5BB4FDF3" w:rsidR="00CD2684" w:rsidRPr="00F27422" w:rsidRDefault="00CD2684" w:rsidP="00122B70">
      <w:pPr>
        <w:pStyle w:val="Heading3"/>
        <w:bidi/>
        <w:rPr>
          <w:sz w:val="32"/>
          <w:szCs w:val="32"/>
        </w:rPr>
      </w:pPr>
      <w:r w:rsidRPr="00F27422">
        <w:rPr>
          <w:sz w:val="32"/>
          <w:szCs w:val="32"/>
        </w:rPr>
        <w:lastRenderedPageBreak/>
        <w:t>078</w:t>
      </w:r>
    </w:p>
    <w:p w14:paraId="0886D729" w14:textId="77777777" w:rsidR="00CD2684" w:rsidRPr="00F27422" w:rsidRDefault="00CD2684" w:rsidP="00122B70">
      <w:pPr>
        <w:tabs>
          <w:tab w:val="left" w:pos="1070"/>
        </w:tabs>
        <w:bidi/>
        <w:rPr>
          <w:b/>
          <w:bCs/>
          <w:sz w:val="32"/>
          <w:szCs w:val="32"/>
        </w:rPr>
      </w:pPr>
      <w:r w:rsidRPr="00F27422">
        <w:rPr>
          <w:b/>
          <w:bCs/>
          <w:sz w:val="32"/>
          <w:szCs w:val="32"/>
          <w:rtl/>
        </w:rPr>
        <w:t>بسم الله الرحمن الرحيم</w:t>
      </w:r>
    </w:p>
    <w:p w14:paraId="37F8FEE9" w14:textId="77777777" w:rsidR="00CD2684" w:rsidRPr="00F27422" w:rsidRDefault="00CD2684" w:rsidP="00122B70">
      <w:pPr>
        <w:tabs>
          <w:tab w:val="left" w:pos="1070"/>
        </w:tabs>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66580144" w14:textId="77777777" w:rsidR="00CD2684" w:rsidRPr="00F27422" w:rsidRDefault="00CD2684" w:rsidP="00122B70">
      <w:pPr>
        <w:tabs>
          <w:tab w:val="left" w:pos="1070"/>
        </w:tabs>
        <w:bidi/>
        <w:rPr>
          <w:sz w:val="32"/>
          <w:szCs w:val="32"/>
          <w:rtl/>
        </w:rPr>
      </w:pPr>
      <w:r w:rsidRPr="00F27422">
        <w:rPr>
          <w:b/>
          <w:bCs/>
          <w:sz w:val="32"/>
          <w:szCs w:val="32"/>
          <w:rtl/>
        </w:rPr>
        <w:t>واللعن الدائم على أعدائهم أجمعين إلى قيام يوم الدين</w:t>
      </w:r>
    </w:p>
    <w:p w14:paraId="593578A0" w14:textId="77777777" w:rsidR="00CD2684" w:rsidRPr="00F27422" w:rsidRDefault="00CD2684" w:rsidP="00122B70">
      <w:pPr>
        <w:tabs>
          <w:tab w:val="left" w:pos="1070"/>
        </w:tabs>
        <w:bidi/>
        <w:rPr>
          <w:sz w:val="32"/>
          <w:szCs w:val="32"/>
        </w:rPr>
      </w:pPr>
    </w:p>
    <w:p w14:paraId="736173AE" w14:textId="77777777" w:rsidR="00CD2684" w:rsidRPr="00F27422" w:rsidRDefault="00CD2684" w:rsidP="00122B70">
      <w:pPr>
        <w:pStyle w:val="Heading3"/>
        <w:bidi/>
        <w:rPr>
          <w:sz w:val="32"/>
          <w:szCs w:val="32"/>
        </w:rPr>
      </w:pPr>
      <w:r w:rsidRPr="00F27422">
        <w:rPr>
          <w:b/>
          <w:bCs/>
          <w:sz w:val="32"/>
          <w:szCs w:val="32"/>
          <w:rtl/>
        </w:rPr>
        <w:t>المبحثُ الثالث</w:t>
      </w:r>
      <w:r w:rsidRPr="00F27422">
        <w:rPr>
          <w:b/>
          <w:bCs/>
          <w:sz w:val="32"/>
          <w:szCs w:val="32"/>
        </w:rPr>
        <w:t>:</w:t>
      </w:r>
      <w:r w:rsidRPr="00F27422">
        <w:rPr>
          <w:sz w:val="32"/>
          <w:szCs w:val="32"/>
          <w:rtl/>
          <w:lang w:bidi="ar-BH"/>
        </w:rPr>
        <w:t xml:space="preserve"> </w:t>
      </w:r>
      <w:r w:rsidRPr="00F27422">
        <w:rPr>
          <w:b/>
          <w:bCs/>
          <w:sz w:val="32"/>
          <w:szCs w:val="32"/>
          <w:rtl/>
        </w:rPr>
        <w:t>في التفصيل بين كون العيب مستلزماً لعدم كون المنفعة وافيةً بالغرض النوعي منها، وكون العيب مستلزماً للتبعيض في المنفعة</w:t>
      </w:r>
      <w:r w:rsidRPr="00F27422">
        <w:rPr>
          <w:b/>
          <w:bCs/>
          <w:sz w:val="32"/>
          <w:szCs w:val="32"/>
        </w:rPr>
        <w:t>.</w:t>
      </w:r>
    </w:p>
    <w:p w14:paraId="7C9FC714" w14:textId="77777777" w:rsidR="00CD2684" w:rsidRPr="00F27422" w:rsidRDefault="00CD2684" w:rsidP="00122B70">
      <w:pPr>
        <w:tabs>
          <w:tab w:val="left" w:pos="1070"/>
        </w:tabs>
        <w:bidi/>
        <w:rPr>
          <w:b/>
          <w:bCs/>
          <w:sz w:val="32"/>
          <w:szCs w:val="32"/>
          <w:rtl/>
          <w:lang w:bidi="ar-BH"/>
        </w:rPr>
      </w:pPr>
      <w:r w:rsidRPr="00F27422">
        <w:rPr>
          <w:b/>
          <w:bCs/>
          <w:sz w:val="32"/>
          <w:szCs w:val="32"/>
          <w:rtl/>
        </w:rPr>
        <w:t>فهنا صورتان</w:t>
      </w:r>
      <w:r w:rsidRPr="00F27422">
        <w:rPr>
          <w:b/>
          <w:bCs/>
          <w:sz w:val="32"/>
          <w:szCs w:val="32"/>
        </w:rPr>
        <w:t>:</w:t>
      </w:r>
    </w:p>
    <w:p w14:paraId="18A547A0" w14:textId="77777777" w:rsidR="00CD2684" w:rsidRPr="00F27422" w:rsidRDefault="00CD2684" w:rsidP="00122B70">
      <w:pPr>
        <w:tabs>
          <w:tab w:val="left" w:pos="1070"/>
        </w:tabs>
        <w:bidi/>
        <w:rPr>
          <w:sz w:val="32"/>
          <w:szCs w:val="32"/>
          <w:rtl/>
          <w:lang w:bidi="ar-BH"/>
        </w:rPr>
      </w:pPr>
      <w:r w:rsidRPr="00F27422">
        <w:rPr>
          <w:b/>
          <w:bCs/>
          <w:sz w:val="32"/>
          <w:szCs w:val="32"/>
          <w:rtl/>
        </w:rPr>
        <w:t>الصورةُ الأُولى:</w:t>
      </w:r>
      <w:r w:rsidRPr="00F27422">
        <w:rPr>
          <w:sz w:val="32"/>
          <w:szCs w:val="32"/>
          <w:rtl/>
        </w:rPr>
        <w:t xml:space="preserve"> أنْ يكون العيب مانعاً مِن كون المنفعة بمجموعها وافيةً بالغرض النوعي منها، وهذا هو مورد خيار العيب الذي سبق البحث فيه</w:t>
      </w:r>
      <w:r w:rsidRPr="00F27422">
        <w:rPr>
          <w:sz w:val="32"/>
          <w:szCs w:val="32"/>
        </w:rPr>
        <w:t>.</w:t>
      </w:r>
    </w:p>
    <w:p w14:paraId="17B97442" w14:textId="77777777" w:rsidR="00CD2684" w:rsidRPr="00F27422" w:rsidRDefault="00CD2684" w:rsidP="00122B70">
      <w:pPr>
        <w:tabs>
          <w:tab w:val="left" w:pos="1070"/>
        </w:tabs>
        <w:bidi/>
        <w:rPr>
          <w:sz w:val="32"/>
          <w:szCs w:val="32"/>
          <w:rtl/>
          <w:lang w:bidi="ar-BH"/>
        </w:rPr>
      </w:pPr>
      <w:r w:rsidRPr="00F27422">
        <w:rPr>
          <w:b/>
          <w:bCs/>
          <w:sz w:val="32"/>
          <w:szCs w:val="32"/>
          <w:rtl/>
        </w:rPr>
        <w:t xml:space="preserve">الصورةُ الثانية: </w:t>
      </w:r>
      <w:r w:rsidRPr="00F27422">
        <w:rPr>
          <w:sz w:val="32"/>
          <w:szCs w:val="32"/>
          <w:rtl/>
        </w:rPr>
        <w:t>أنْ يكون العيب مستلزماً للتبعيض في المنفعة، مع أنّ الباقي منها وافٍ بالغرض المقصود منه نوعاً</w:t>
      </w:r>
      <w:r w:rsidRPr="00F27422">
        <w:rPr>
          <w:sz w:val="32"/>
          <w:szCs w:val="32"/>
        </w:rPr>
        <w:t>.</w:t>
      </w:r>
    </w:p>
    <w:p w14:paraId="40ADC51E" w14:textId="77777777" w:rsidR="00CD2684" w:rsidRPr="00F27422" w:rsidRDefault="00CD2684" w:rsidP="00122B70">
      <w:pPr>
        <w:tabs>
          <w:tab w:val="left" w:pos="1070"/>
        </w:tabs>
        <w:bidi/>
        <w:rPr>
          <w:sz w:val="32"/>
          <w:szCs w:val="32"/>
          <w:rtl/>
          <w:lang w:bidi="ar-BH"/>
        </w:rPr>
      </w:pPr>
      <w:r w:rsidRPr="00F27422">
        <w:rPr>
          <w:sz w:val="32"/>
          <w:szCs w:val="32"/>
          <w:rtl/>
        </w:rPr>
        <w:t>فما هو حكم هذه الصورة؟</w:t>
      </w:r>
    </w:p>
    <w:p w14:paraId="656FF221" w14:textId="77777777" w:rsidR="00CD2684" w:rsidRPr="00F27422" w:rsidRDefault="00CD2684" w:rsidP="00122B70">
      <w:pPr>
        <w:tabs>
          <w:tab w:val="left" w:pos="1070"/>
        </w:tabs>
        <w:bidi/>
        <w:rPr>
          <w:b/>
          <w:bCs/>
          <w:sz w:val="32"/>
          <w:szCs w:val="32"/>
          <w:rtl/>
          <w:lang w:bidi="ar-BH"/>
        </w:rPr>
      </w:pPr>
      <w:r w:rsidRPr="00F27422">
        <w:rPr>
          <w:b/>
          <w:bCs/>
          <w:sz w:val="32"/>
          <w:szCs w:val="32"/>
          <w:rtl/>
        </w:rPr>
        <w:t>وبيانُ ذلك بذكر مطلبين</w:t>
      </w:r>
      <w:r w:rsidRPr="00F27422">
        <w:rPr>
          <w:b/>
          <w:bCs/>
          <w:sz w:val="32"/>
          <w:szCs w:val="32"/>
        </w:rPr>
        <w:t>:</w:t>
      </w:r>
    </w:p>
    <w:p w14:paraId="12A8BADA" w14:textId="77777777" w:rsidR="00CD2684" w:rsidRPr="00F27422" w:rsidRDefault="00CD2684" w:rsidP="00122B70">
      <w:pPr>
        <w:tabs>
          <w:tab w:val="left" w:pos="1070"/>
        </w:tabs>
        <w:bidi/>
        <w:rPr>
          <w:sz w:val="32"/>
          <w:szCs w:val="32"/>
          <w:rtl/>
          <w:lang w:bidi="ar-BH"/>
        </w:rPr>
      </w:pPr>
      <w:r w:rsidRPr="00F27422">
        <w:rPr>
          <w:b/>
          <w:bCs/>
          <w:sz w:val="32"/>
          <w:szCs w:val="32"/>
          <w:rtl/>
        </w:rPr>
        <w:t>المطلبُ الأوّل:</w:t>
      </w:r>
      <w:r w:rsidRPr="00F27422">
        <w:rPr>
          <w:sz w:val="32"/>
          <w:szCs w:val="32"/>
          <w:rtl/>
        </w:rPr>
        <w:t xml:space="preserve"> إنّ المنفعة بطبعها تتبعض، إمّا بلحاظ الزمان كمنفعة الدور، فإنّ لكلّ شهرٍ منفعة السُكنى، وإمّا بحسب المقدار كما في البساتين - مثلاً -، فإنّ منافعها بثمارها فيمكن التبعيض في كمية المنفعة بلحاظ مقاديرها</w:t>
      </w:r>
      <w:r w:rsidRPr="00F27422">
        <w:rPr>
          <w:sz w:val="32"/>
          <w:szCs w:val="32"/>
        </w:rPr>
        <w:t>.</w:t>
      </w:r>
    </w:p>
    <w:p w14:paraId="6E14EF05" w14:textId="77777777" w:rsidR="00CD2684" w:rsidRPr="00F27422" w:rsidRDefault="00CD2684" w:rsidP="00122B70">
      <w:pPr>
        <w:tabs>
          <w:tab w:val="left" w:pos="1070"/>
        </w:tabs>
        <w:bidi/>
        <w:rPr>
          <w:sz w:val="32"/>
          <w:szCs w:val="32"/>
          <w:rtl/>
          <w:lang w:bidi="ar-BH"/>
        </w:rPr>
      </w:pPr>
      <w:r w:rsidRPr="00F27422">
        <w:rPr>
          <w:sz w:val="32"/>
          <w:szCs w:val="32"/>
          <w:rtl/>
        </w:rPr>
        <w:t>فلو فُرض أنّ العيب الموجود في الدار اقتضى التبعيض في منافعها بحسب الأزمنة، فهي مما يمكن سكناها بالنحو الوافي في بعض الأشهر دون بعض الأشهر - مثلاً -، أو التبعيض في الكمية بحيثُ تكون كمية الثمرة المُستفادة مِن البستان - وإلّا فالثمرة جيدة - أقل مِن كمية الثمرة المُستفادة مِن البساتين الأُخرى</w:t>
      </w:r>
      <w:r w:rsidRPr="00F27422">
        <w:rPr>
          <w:sz w:val="32"/>
          <w:szCs w:val="32"/>
        </w:rPr>
        <w:t>.</w:t>
      </w:r>
    </w:p>
    <w:p w14:paraId="34228B01" w14:textId="77777777" w:rsidR="00CD2684" w:rsidRPr="00F27422" w:rsidRDefault="00CD2684" w:rsidP="00122B70">
      <w:pPr>
        <w:tabs>
          <w:tab w:val="left" w:pos="1070"/>
        </w:tabs>
        <w:bidi/>
        <w:rPr>
          <w:sz w:val="32"/>
          <w:szCs w:val="32"/>
          <w:rtl/>
          <w:lang w:bidi="ar-BH"/>
        </w:rPr>
      </w:pPr>
      <w:r w:rsidRPr="00F27422">
        <w:rPr>
          <w:sz w:val="32"/>
          <w:szCs w:val="32"/>
          <w:rtl/>
        </w:rPr>
        <w:t>ففي فرض كون العيب مستلزماً للتبعيض في المنفعة فهل تصل النوبة لتقسيط الأُجرة أم تصل النوبة لثبوت خيار العيب - كما هو في الصورة الأُولى -؟</w:t>
      </w:r>
    </w:p>
    <w:p w14:paraId="2C3B6654" w14:textId="77777777" w:rsidR="00CD2684" w:rsidRPr="00F27422" w:rsidRDefault="00CD2684" w:rsidP="00122B70">
      <w:pPr>
        <w:tabs>
          <w:tab w:val="left" w:pos="1070"/>
        </w:tabs>
        <w:bidi/>
        <w:rPr>
          <w:sz w:val="32"/>
          <w:szCs w:val="32"/>
          <w:rtl/>
        </w:rPr>
      </w:pPr>
      <w:r w:rsidRPr="00F27422">
        <w:rPr>
          <w:b/>
          <w:bCs/>
          <w:sz w:val="32"/>
          <w:szCs w:val="32"/>
          <w:rtl/>
        </w:rPr>
        <w:lastRenderedPageBreak/>
        <w:t xml:space="preserve">الصحيحُ: </w:t>
      </w:r>
      <w:r w:rsidRPr="00F27422">
        <w:rPr>
          <w:sz w:val="32"/>
          <w:szCs w:val="32"/>
          <w:rtl/>
        </w:rPr>
        <w:t>أنّ العيب إذا كان مستلزماً لنقص كمية المنفعة بطلت الإجارة في القسم المفقود، لا أنّها صحتْ وله خيار العيب، ويسقط مِن الأُجرة بمقدار ما قابله بحسب النسبة سواءً كانت المنافع متساوية في المالية أم كانت متفاوتة.</w:t>
      </w:r>
    </w:p>
    <w:p w14:paraId="7DD16A7F" w14:textId="77777777" w:rsidR="00CD2684" w:rsidRPr="00F27422" w:rsidRDefault="00CD2684" w:rsidP="00122B70">
      <w:pPr>
        <w:tabs>
          <w:tab w:val="left" w:pos="1070"/>
        </w:tabs>
        <w:bidi/>
        <w:rPr>
          <w:sz w:val="32"/>
          <w:szCs w:val="32"/>
          <w:rtl/>
          <w:lang w:bidi="ar-BH"/>
        </w:rPr>
      </w:pPr>
      <w:r w:rsidRPr="00F27422">
        <w:rPr>
          <w:sz w:val="32"/>
          <w:szCs w:val="32"/>
          <w:rtl/>
        </w:rPr>
        <w:t>فلو كانت الدار المُستأجرة ذات خَمس غرف وأُجرتها خمسة ملايين، وقد تسبب العيب في خراب غرفةٍ منها مع وفاء البقية بطلتْ الأُجرة في هذا المقدار ولهُ أنْ يسترد الخُمس المقابل لهذه المنفعة الناقصة، وهذا لا علاقة له بالأرش المصطلح عليه في باب خيار العيب؛ لأنّ الأرش موضوعه كونُ المعاملة صحيحةً بتمام جهاتها، غاية ما في الباب أنّ المُستأجر لو طالب بضمان خلل المنفعة - وهو تخلّف وصف الصحّة - لكان المُؤجر مشغول الذمّة بالأرش، وإلّا فالمعاملة تامة</w:t>
      </w:r>
      <w:r w:rsidRPr="00F27422">
        <w:rPr>
          <w:sz w:val="32"/>
          <w:szCs w:val="32"/>
        </w:rPr>
        <w:t>.</w:t>
      </w:r>
    </w:p>
    <w:p w14:paraId="65EF7D00" w14:textId="77777777" w:rsidR="00CD2684" w:rsidRPr="00F27422" w:rsidRDefault="00CD2684" w:rsidP="00122B70">
      <w:pPr>
        <w:tabs>
          <w:tab w:val="left" w:pos="1070"/>
        </w:tabs>
        <w:bidi/>
        <w:rPr>
          <w:sz w:val="32"/>
          <w:szCs w:val="32"/>
          <w:rtl/>
          <w:lang w:bidi="ar-BH"/>
        </w:rPr>
      </w:pPr>
      <w:r w:rsidRPr="00F27422">
        <w:rPr>
          <w:sz w:val="32"/>
          <w:szCs w:val="32"/>
          <w:rtl/>
        </w:rPr>
        <w:t xml:space="preserve">بينما في محلّ الكلام تكون الإجارةُ باطلة في المقدار الناقص </w:t>
      </w:r>
      <w:proofErr w:type="spellStart"/>
      <w:r w:rsidRPr="00F27422">
        <w:rPr>
          <w:sz w:val="32"/>
          <w:szCs w:val="32"/>
          <w:rtl/>
        </w:rPr>
        <w:t>وتتقسط</w:t>
      </w:r>
      <w:proofErr w:type="spellEnd"/>
      <w:r w:rsidRPr="00F27422">
        <w:rPr>
          <w:sz w:val="32"/>
          <w:szCs w:val="32"/>
          <w:rtl/>
        </w:rPr>
        <w:t xml:space="preserve"> الأُجرة بلحاظها، بغض النظر عن التفات المُستأجر وعدم التفاته ومطالبته بعد التفاته وعدم مطالبته</w:t>
      </w:r>
      <w:r w:rsidRPr="00F27422">
        <w:rPr>
          <w:sz w:val="32"/>
          <w:szCs w:val="32"/>
        </w:rPr>
        <w:t>.</w:t>
      </w:r>
    </w:p>
    <w:p w14:paraId="2F9B5460" w14:textId="77777777" w:rsidR="00CD2684" w:rsidRPr="00F27422" w:rsidRDefault="00CD2684" w:rsidP="00122B70">
      <w:pPr>
        <w:tabs>
          <w:tab w:val="left" w:pos="1070"/>
        </w:tabs>
        <w:bidi/>
        <w:rPr>
          <w:sz w:val="32"/>
          <w:szCs w:val="32"/>
          <w:rtl/>
          <w:lang w:bidi="ar-BH"/>
        </w:rPr>
      </w:pPr>
      <w:r w:rsidRPr="00F27422">
        <w:rPr>
          <w:b/>
          <w:bCs/>
          <w:sz w:val="32"/>
          <w:szCs w:val="32"/>
          <w:rtl/>
        </w:rPr>
        <w:t>المطلبُ الثاني:</w:t>
      </w:r>
      <w:r w:rsidRPr="00F27422">
        <w:rPr>
          <w:sz w:val="32"/>
          <w:szCs w:val="32"/>
          <w:rtl/>
        </w:rPr>
        <w:t xml:space="preserve"> أنّ ما مضى إنّما يتم إذا لوحظت المنافع على نحو الانحلال والتبعيض، كما في الفنادق المُستأجرة حيث تُلاحظ الغرف فيها على نحو الانحلال والتبعيض، فعدمُ صلاحية بعض غرفها للانتفاع لا يعني ثبوت خيار العيب؛ وإنّما يعني بطلان الإجارة في المقدار الناقص</w:t>
      </w:r>
      <w:r w:rsidRPr="00F27422">
        <w:rPr>
          <w:sz w:val="32"/>
          <w:szCs w:val="32"/>
        </w:rPr>
        <w:t>.</w:t>
      </w:r>
    </w:p>
    <w:p w14:paraId="7500A583" w14:textId="77777777" w:rsidR="00CD2684" w:rsidRPr="00F27422" w:rsidRDefault="00CD2684" w:rsidP="00122B70">
      <w:pPr>
        <w:tabs>
          <w:tab w:val="left" w:pos="1070"/>
        </w:tabs>
        <w:bidi/>
        <w:rPr>
          <w:b/>
          <w:bCs/>
          <w:sz w:val="32"/>
          <w:szCs w:val="32"/>
          <w:rtl/>
          <w:lang w:bidi="ar-BH"/>
        </w:rPr>
      </w:pPr>
      <w:r w:rsidRPr="00F27422">
        <w:rPr>
          <w:sz w:val="32"/>
          <w:szCs w:val="32"/>
          <w:rtl/>
        </w:rPr>
        <w:t>وأمّا لو لوحظت المنافع على نحو المجموع وأُخذت الاستفادة منها على نحو الشرط - لا على نحو الجزء - كما هو الغالب مثلاً في استئجار السيارة أو في استئجار البيت، وإنّما يقابل المجموعُ بالمجموع، وتمامية المنافع تلحظ شرطاً في الإجارة، لا جزءاً مقابَلاً بجزءٍ مِن الأُجرة فلا تبطل بتخلفه الإجارة، كما أشار لذلك سيدنا الخوئي (قدس سره الشريف) في موسوعته المباركة في كتاب الإجارة</w:t>
      </w:r>
      <w:r w:rsidRPr="00F27422">
        <w:rPr>
          <w:sz w:val="32"/>
          <w:szCs w:val="32"/>
          <w:vertAlign w:val="superscript"/>
          <w:rtl/>
        </w:rPr>
        <w:footnoteReference w:id="95"/>
      </w:r>
      <w:r w:rsidRPr="00F27422">
        <w:rPr>
          <w:sz w:val="32"/>
          <w:szCs w:val="32"/>
          <w:rtl/>
        </w:rPr>
        <w:t xml:space="preserve"> بقوله: </w:t>
      </w:r>
      <w:r w:rsidRPr="00F27422">
        <w:rPr>
          <w:b/>
          <w:bCs/>
          <w:sz w:val="32"/>
          <w:szCs w:val="32"/>
          <w:rtl/>
        </w:rPr>
        <w:t>(وأمّا إذا كان لحاظها على وجه الشرطيّة، كما لعلّه الغالب في إجارة الدور المتعارفة بين الناس، وحيث تقع الإجارة بإزاء ما صدق عليه اسم الدار، ويراعى بعنوان الاشتراط)</w:t>
      </w:r>
      <w:r w:rsidRPr="00F27422">
        <w:rPr>
          <w:sz w:val="32"/>
          <w:szCs w:val="32"/>
          <w:rtl/>
        </w:rPr>
        <w:t xml:space="preserve"> لا بعنوان الجزء </w:t>
      </w:r>
      <w:r w:rsidRPr="00F27422">
        <w:rPr>
          <w:b/>
          <w:bCs/>
          <w:sz w:val="32"/>
          <w:szCs w:val="32"/>
          <w:rtl/>
        </w:rPr>
        <w:t>(في متن العقد اتّصافها بالاشتمال على خمس غرف – مثلاً – كالاشتمال على السرداب أو المرافق الصحّيّة)</w:t>
      </w:r>
      <w:r w:rsidRPr="00F27422">
        <w:rPr>
          <w:sz w:val="32"/>
          <w:szCs w:val="32"/>
          <w:rtl/>
        </w:rPr>
        <w:t xml:space="preserve"> أو التهوية وما شابه ذلك، إلّا أنّها ليست أجزاء مقابلة بالأُجرة بل هي شروط </w:t>
      </w:r>
      <w:r w:rsidRPr="00F27422">
        <w:rPr>
          <w:b/>
          <w:bCs/>
          <w:sz w:val="32"/>
          <w:szCs w:val="32"/>
          <w:rtl/>
        </w:rPr>
        <w:t>(فإنّ التخلّف في مثل ذلك لا يترتّب عليه إلّا الخيار في الفسخ والإمضاء من أجل تخلّف الشرط)</w:t>
      </w:r>
      <w:r w:rsidRPr="00F27422">
        <w:rPr>
          <w:sz w:val="32"/>
          <w:szCs w:val="32"/>
          <w:rtl/>
        </w:rPr>
        <w:t xml:space="preserve"> وإلّا فالإجارة صحيحة </w:t>
      </w:r>
      <w:r w:rsidRPr="00F27422">
        <w:rPr>
          <w:b/>
          <w:bCs/>
          <w:sz w:val="32"/>
          <w:szCs w:val="32"/>
          <w:rtl/>
        </w:rPr>
        <w:t>(ولا مجال حينئذٍ للتقسيط بوجه كما هو ظاهر جدّاً)</w:t>
      </w:r>
      <w:r w:rsidRPr="00F27422">
        <w:rPr>
          <w:b/>
          <w:bCs/>
          <w:sz w:val="32"/>
          <w:szCs w:val="32"/>
        </w:rPr>
        <w:t>.</w:t>
      </w:r>
    </w:p>
    <w:p w14:paraId="34DA8D19" w14:textId="2978A963" w:rsidR="00CD2684" w:rsidRPr="00F27422" w:rsidRDefault="00CD2684" w:rsidP="00122B70">
      <w:pPr>
        <w:pStyle w:val="Heading3"/>
        <w:bidi/>
        <w:rPr>
          <w:b/>
          <w:bCs/>
          <w:sz w:val="32"/>
          <w:szCs w:val="32"/>
          <w:rtl/>
          <w:lang w:bidi="ar-BH"/>
        </w:rPr>
      </w:pPr>
      <w:r w:rsidRPr="00F27422">
        <w:rPr>
          <w:b/>
          <w:bCs/>
          <w:sz w:val="32"/>
          <w:szCs w:val="32"/>
          <w:rtl/>
        </w:rPr>
        <w:lastRenderedPageBreak/>
        <w:t>المبحثُ الرابع: في حكم العيب إذا كانت العين المُستأجرة كُلّية</w:t>
      </w:r>
      <w:r w:rsidR="00A96F05" w:rsidRPr="00F27422">
        <w:rPr>
          <w:rStyle w:val="FootnoteReference"/>
          <w:b/>
          <w:bCs/>
          <w:sz w:val="32"/>
          <w:szCs w:val="32"/>
          <w:rtl/>
        </w:rPr>
        <w:footnoteReference w:id="96"/>
      </w:r>
      <w:r w:rsidRPr="00F27422">
        <w:rPr>
          <w:b/>
          <w:bCs/>
          <w:sz w:val="32"/>
          <w:szCs w:val="32"/>
          <w:rtl/>
        </w:rPr>
        <w:t xml:space="preserve"> لكن المُؤْجِر أقبضَ المُستَأجِر عيناً معيبة</w:t>
      </w:r>
      <w:r w:rsidRPr="00F27422">
        <w:rPr>
          <w:b/>
          <w:bCs/>
          <w:sz w:val="32"/>
          <w:szCs w:val="32"/>
        </w:rPr>
        <w:t>.</w:t>
      </w:r>
    </w:p>
    <w:p w14:paraId="3F63D152" w14:textId="77777777" w:rsidR="00CD2684" w:rsidRPr="00F27422" w:rsidRDefault="00CD2684" w:rsidP="00122B70">
      <w:pPr>
        <w:tabs>
          <w:tab w:val="left" w:pos="1070"/>
        </w:tabs>
        <w:bidi/>
        <w:rPr>
          <w:b/>
          <w:bCs/>
          <w:sz w:val="32"/>
          <w:szCs w:val="32"/>
          <w:rtl/>
          <w:lang w:bidi="ar-BH"/>
        </w:rPr>
      </w:pPr>
      <w:r w:rsidRPr="00F27422">
        <w:rPr>
          <w:sz w:val="32"/>
          <w:szCs w:val="32"/>
          <w:rtl/>
        </w:rPr>
        <w:t xml:space="preserve">قال سيد العروة (قدس سره الشريف) في متن العروة: </w:t>
      </w:r>
      <w:r w:rsidRPr="00F27422">
        <w:rPr>
          <w:b/>
          <w:bCs/>
          <w:sz w:val="32"/>
          <w:szCs w:val="32"/>
          <w:rtl/>
        </w:rPr>
        <w:t>(وكان جاهلاً به: فإن كان ممّا تنقص به المنفعة فلا إشكال في ثبوت الخيار له بين الفسخ والإبقاء، والظاهر عدم جواز مطالبته بالأرض فله الفسخ أو الرضا بها مجاناً</w:t>
      </w:r>
      <w:r w:rsidRPr="00F27422">
        <w:rPr>
          <w:b/>
          <w:bCs/>
          <w:sz w:val="32"/>
          <w:szCs w:val="32"/>
        </w:rPr>
        <w:t>.</w:t>
      </w:r>
    </w:p>
    <w:p w14:paraId="73621D70" w14:textId="77777777" w:rsidR="00CD2684" w:rsidRPr="00F27422" w:rsidRDefault="00CD2684" w:rsidP="00122B70">
      <w:pPr>
        <w:tabs>
          <w:tab w:val="left" w:pos="1070"/>
        </w:tabs>
        <w:bidi/>
        <w:rPr>
          <w:b/>
          <w:bCs/>
          <w:sz w:val="32"/>
          <w:szCs w:val="32"/>
          <w:rtl/>
          <w:lang w:bidi="ar-BH"/>
        </w:rPr>
      </w:pPr>
      <w:r w:rsidRPr="00F27422">
        <w:rPr>
          <w:b/>
          <w:bCs/>
          <w:sz w:val="32"/>
          <w:szCs w:val="32"/>
          <w:rtl/>
        </w:rPr>
        <w:t>نعم، لو كان العيب مثل خراب بعض بيوت الدار فالظاهر تقسيط الاُجرة لأنّه يكون حينئذٍ من قبيل تبعض الصفقة</w:t>
      </w:r>
      <w:r w:rsidRPr="00F27422">
        <w:rPr>
          <w:b/>
          <w:bCs/>
          <w:sz w:val="32"/>
          <w:szCs w:val="32"/>
        </w:rPr>
        <w:t>.</w:t>
      </w:r>
    </w:p>
    <w:p w14:paraId="16104C0C" w14:textId="77777777" w:rsidR="00CD2684" w:rsidRPr="00F27422" w:rsidRDefault="00CD2684" w:rsidP="00122B70">
      <w:pPr>
        <w:tabs>
          <w:tab w:val="left" w:pos="1070"/>
        </w:tabs>
        <w:bidi/>
        <w:rPr>
          <w:b/>
          <w:bCs/>
          <w:sz w:val="32"/>
          <w:szCs w:val="32"/>
          <w:rtl/>
          <w:lang w:bidi="ar-BH"/>
        </w:rPr>
      </w:pPr>
      <w:r w:rsidRPr="00F27422">
        <w:rPr>
          <w:b/>
          <w:bCs/>
          <w:sz w:val="32"/>
          <w:szCs w:val="32"/>
          <w:rtl/>
        </w:rPr>
        <w:t>ولو كان المعيب مما لا تنقص معه المنفعة كما إذا تبيّن كون الدابّة مقطوعة الإذن أو الذنب فربّما يستشكل في ثبوت الخيار معه، لكن الأقوى ثبوته إذا كان ممّا يختلف به الرغبات وتتفاوت به الاُجرة).</w:t>
      </w:r>
    </w:p>
    <w:p w14:paraId="0A4233AA" w14:textId="77777777" w:rsidR="00CD2684" w:rsidRPr="00F27422" w:rsidRDefault="00CD2684" w:rsidP="00122B70">
      <w:pPr>
        <w:tabs>
          <w:tab w:val="left" w:pos="1070"/>
        </w:tabs>
        <w:bidi/>
        <w:rPr>
          <w:sz w:val="32"/>
          <w:szCs w:val="32"/>
          <w:rtl/>
          <w:lang w:bidi="ar-BH"/>
        </w:rPr>
      </w:pPr>
      <w:r w:rsidRPr="00F27422">
        <w:rPr>
          <w:b/>
          <w:bCs/>
          <w:sz w:val="32"/>
          <w:szCs w:val="32"/>
          <w:rtl/>
        </w:rPr>
        <w:t xml:space="preserve">وتوضيح العبارة: </w:t>
      </w:r>
      <w:r w:rsidRPr="00F27422">
        <w:rPr>
          <w:sz w:val="32"/>
          <w:szCs w:val="32"/>
          <w:rtl/>
        </w:rPr>
        <w:t>أنّه لو كان العيب ممّا لا تنقص معه المنفعة، فالمنفعةُ وافية حتى مع وجود العيب، كما إذا تبين كون الدابة مقطوعة الإذن أو الذنب، كأنْ استأجر حماراً مقطوع الإذن أو الذنب - مثلاً - لحمل الأثقال مثلاً، فلا علاقة لقطع الإذن والذنب بالمنفعة الملحوظة، فربّما يستشكل في ثبوت الخيار معه؛ لكونه معيباً، لكن الأقوى ثبوته إذا كان النقص ممّا يختلف به الرغبات وتتفاوت به الأُجرة، لا مُطلقاً</w:t>
      </w:r>
      <w:r w:rsidRPr="00F27422">
        <w:rPr>
          <w:sz w:val="32"/>
          <w:szCs w:val="32"/>
        </w:rPr>
        <w:t>.</w:t>
      </w:r>
    </w:p>
    <w:p w14:paraId="28C4C94A" w14:textId="77777777" w:rsidR="00CD2684" w:rsidRPr="00F27422" w:rsidRDefault="00CD2684" w:rsidP="00122B70">
      <w:pPr>
        <w:tabs>
          <w:tab w:val="left" w:pos="1070"/>
        </w:tabs>
        <w:bidi/>
        <w:rPr>
          <w:sz w:val="32"/>
          <w:szCs w:val="32"/>
          <w:rtl/>
          <w:lang w:bidi="ar-BH"/>
        </w:rPr>
      </w:pPr>
      <w:r w:rsidRPr="00F27422">
        <w:rPr>
          <w:b/>
          <w:bCs/>
          <w:sz w:val="32"/>
          <w:szCs w:val="32"/>
          <w:rtl/>
        </w:rPr>
        <w:t>وبيانُه:</w:t>
      </w:r>
      <w:r w:rsidRPr="00F27422">
        <w:rPr>
          <w:sz w:val="32"/>
          <w:szCs w:val="32"/>
          <w:rtl/>
        </w:rPr>
        <w:t xml:space="preserve"> </w:t>
      </w:r>
      <w:r w:rsidRPr="00F27422">
        <w:rPr>
          <w:b/>
          <w:bCs/>
          <w:sz w:val="32"/>
          <w:szCs w:val="32"/>
          <w:rtl/>
        </w:rPr>
        <w:t>إنّ العيب في العين على نوعين:</w:t>
      </w:r>
      <w:r w:rsidRPr="00F27422">
        <w:rPr>
          <w:sz w:val="32"/>
          <w:szCs w:val="32"/>
          <w:rtl/>
        </w:rPr>
        <w:t xml:space="preserve"> إذ تارةً يستلزم نقص المنفعة - وهذا ما سبق البحث فيه -وهو مورد خيار العيب، وتارةً لا يستلزم نقص المنفعة أبداً، بل العينُ المعيبة وافيةٌ بتمام المنفعة المقصودة</w:t>
      </w:r>
      <w:r w:rsidRPr="00F27422">
        <w:rPr>
          <w:sz w:val="32"/>
          <w:szCs w:val="32"/>
        </w:rPr>
        <w:t>.</w:t>
      </w:r>
    </w:p>
    <w:p w14:paraId="206AEF21" w14:textId="77777777" w:rsidR="00CD2684" w:rsidRPr="00F27422" w:rsidRDefault="00CD2684" w:rsidP="00122B70">
      <w:pPr>
        <w:tabs>
          <w:tab w:val="left" w:pos="1070"/>
        </w:tabs>
        <w:bidi/>
        <w:rPr>
          <w:b/>
          <w:bCs/>
          <w:sz w:val="32"/>
          <w:szCs w:val="32"/>
          <w:rtl/>
          <w:lang w:bidi="ar-BH"/>
        </w:rPr>
      </w:pPr>
      <w:r w:rsidRPr="00F27422">
        <w:rPr>
          <w:b/>
          <w:bCs/>
          <w:sz w:val="32"/>
          <w:szCs w:val="32"/>
          <w:rtl/>
        </w:rPr>
        <w:t>لكن ما لا يستلزم نقص المنفعة فيهِ تفصيلٌ بين فرضين</w:t>
      </w:r>
      <w:r w:rsidRPr="00F27422">
        <w:rPr>
          <w:b/>
          <w:bCs/>
          <w:sz w:val="32"/>
          <w:szCs w:val="32"/>
        </w:rPr>
        <w:t>:</w:t>
      </w:r>
    </w:p>
    <w:p w14:paraId="41649743" w14:textId="77777777" w:rsidR="00CD2684" w:rsidRPr="00F27422" w:rsidRDefault="00CD2684" w:rsidP="00122B70">
      <w:pPr>
        <w:tabs>
          <w:tab w:val="left" w:pos="1070"/>
        </w:tabs>
        <w:bidi/>
        <w:rPr>
          <w:sz w:val="32"/>
          <w:szCs w:val="32"/>
          <w:rtl/>
          <w:lang w:bidi="ar-BH"/>
        </w:rPr>
      </w:pPr>
      <w:r w:rsidRPr="00F27422">
        <w:rPr>
          <w:b/>
          <w:bCs/>
          <w:sz w:val="32"/>
          <w:szCs w:val="32"/>
          <w:rtl/>
        </w:rPr>
        <w:t>الفرضُ الأوّل:</w:t>
      </w:r>
      <w:r w:rsidRPr="00F27422">
        <w:rPr>
          <w:sz w:val="32"/>
          <w:szCs w:val="32"/>
          <w:rtl/>
        </w:rPr>
        <w:t xml:space="preserve"> أنْ يكون العيب ممّا تختلف به الرغبات - مع أنّه لا يوجب نقص المنفعة - المستلزم بطبيعة الحال لتفاوت الأُجرة، كالمثال المذكور في المتن حيثُ إنّ الحمار - مثلاً - السليم مِن أيِّ عيبٍ أشدُ رغبةً مِن الحمار المقطوع الذنب، بحيثُ يستوجب اختلاف الرغبة هنا اختلاف القيمة، وإنْ كانت المنفعة على حدٍّ سواء، بخلاف الفرس - مثلاً - فإنّه لا يقصدُ مِنهُ حملُ الأثقال وإنّما يقصدُ مِنهُ الركوب والزينة، فالفرسُ المقطوع الذنب ناقصُ المنفعة؛ لأنّ منفعة التزين بِهِ لا تتحقّق مع كونه مقطوع الذنب</w:t>
      </w:r>
      <w:r w:rsidRPr="00F27422">
        <w:rPr>
          <w:sz w:val="32"/>
          <w:szCs w:val="32"/>
        </w:rPr>
        <w:t>.</w:t>
      </w:r>
    </w:p>
    <w:p w14:paraId="4B0BA9C0" w14:textId="77777777" w:rsidR="00CD2684" w:rsidRPr="00F27422" w:rsidRDefault="00CD2684" w:rsidP="00122B70">
      <w:pPr>
        <w:tabs>
          <w:tab w:val="left" w:pos="1070"/>
        </w:tabs>
        <w:bidi/>
        <w:rPr>
          <w:sz w:val="32"/>
          <w:szCs w:val="32"/>
          <w:rtl/>
          <w:lang w:bidi="ar-BH"/>
        </w:rPr>
      </w:pPr>
      <w:r w:rsidRPr="00F27422">
        <w:rPr>
          <w:sz w:val="32"/>
          <w:szCs w:val="32"/>
          <w:rtl/>
        </w:rPr>
        <w:lastRenderedPageBreak/>
        <w:t>فهذا هو الفرق بين كون العيب مستوجباً لنقص المنفعة أو ليس مستوجباً لنقصها</w:t>
      </w:r>
      <w:r w:rsidRPr="00F27422">
        <w:rPr>
          <w:sz w:val="32"/>
          <w:szCs w:val="32"/>
        </w:rPr>
        <w:t>.</w:t>
      </w:r>
    </w:p>
    <w:p w14:paraId="197BFE5F" w14:textId="77777777" w:rsidR="00CD2684" w:rsidRPr="00F27422" w:rsidRDefault="00CD2684" w:rsidP="00122B70">
      <w:pPr>
        <w:tabs>
          <w:tab w:val="left" w:pos="1070"/>
        </w:tabs>
        <w:bidi/>
        <w:rPr>
          <w:sz w:val="32"/>
          <w:szCs w:val="32"/>
          <w:rtl/>
        </w:rPr>
      </w:pPr>
      <w:r w:rsidRPr="00F27422">
        <w:rPr>
          <w:sz w:val="32"/>
          <w:szCs w:val="32"/>
          <w:rtl/>
        </w:rPr>
        <w:t>ففي مثل ما إذا كان ممّا تختلف به الرغبات يثبتُ الخيار مع أنّه لا نقص في المنفعة؛ إذ لا مدخل لنقص المنفعة في ثبوته.</w:t>
      </w:r>
    </w:p>
    <w:p w14:paraId="44DA5143" w14:textId="77777777" w:rsidR="00CD2684" w:rsidRPr="00F27422" w:rsidRDefault="00CD2684" w:rsidP="00122B70">
      <w:pPr>
        <w:tabs>
          <w:tab w:val="left" w:pos="1070"/>
        </w:tabs>
        <w:bidi/>
        <w:rPr>
          <w:sz w:val="32"/>
          <w:szCs w:val="32"/>
          <w:rtl/>
          <w:lang w:bidi="ar-BH"/>
        </w:rPr>
      </w:pPr>
      <w:r w:rsidRPr="00F27422">
        <w:rPr>
          <w:sz w:val="32"/>
          <w:szCs w:val="32"/>
          <w:rtl/>
        </w:rPr>
        <w:t>وهذا مبني على أنّ مناط خيار العيب هو تخلّف الشرط، إذ لو كان مناط خيار العيب هو قاعدة "لا ضرر" فإنّ الدابة المقطوعة الذنب إذا كانت وافيةً بتمام المنفعة فلا ضرر كي يكون شمول حديث "لا ضرر" مستوجباً لثبوت الخيار</w:t>
      </w:r>
      <w:r w:rsidRPr="00F27422">
        <w:rPr>
          <w:sz w:val="32"/>
          <w:szCs w:val="32"/>
        </w:rPr>
        <w:t>.</w:t>
      </w:r>
    </w:p>
    <w:p w14:paraId="066C4D83" w14:textId="77777777" w:rsidR="00CD2684" w:rsidRPr="00F27422" w:rsidRDefault="00CD2684" w:rsidP="00122B70">
      <w:pPr>
        <w:tabs>
          <w:tab w:val="left" w:pos="1070"/>
        </w:tabs>
        <w:bidi/>
        <w:rPr>
          <w:sz w:val="32"/>
          <w:szCs w:val="32"/>
          <w:rtl/>
          <w:lang w:bidi="ar-BH"/>
        </w:rPr>
      </w:pPr>
      <w:r w:rsidRPr="00F27422">
        <w:rPr>
          <w:sz w:val="32"/>
          <w:szCs w:val="32"/>
          <w:rtl/>
        </w:rPr>
        <w:t>بخلاف ما لو كان مناط الخيار الشرط الارتكازي وهو كون العين سليمة مِن سائر ما يوجب قلّة الرغبة المؤثر في نقصان الأُجرة أو القيمة، والشرطُ قد تخلّف، فمقتضى تخلّف الشرط ثبوت الخيار</w:t>
      </w:r>
      <w:r w:rsidRPr="00F27422">
        <w:rPr>
          <w:sz w:val="32"/>
          <w:szCs w:val="32"/>
        </w:rPr>
        <w:t>.</w:t>
      </w:r>
    </w:p>
    <w:p w14:paraId="03E649B9" w14:textId="77777777" w:rsidR="00CD2684" w:rsidRPr="00F27422" w:rsidRDefault="00CD2684" w:rsidP="00122B70">
      <w:pPr>
        <w:tabs>
          <w:tab w:val="left" w:pos="1070"/>
        </w:tabs>
        <w:bidi/>
        <w:rPr>
          <w:sz w:val="32"/>
          <w:szCs w:val="32"/>
          <w:rtl/>
          <w:lang w:bidi="ar-BH"/>
        </w:rPr>
      </w:pPr>
      <w:r w:rsidRPr="00F27422">
        <w:rPr>
          <w:b/>
          <w:bCs/>
          <w:sz w:val="32"/>
          <w:szCs w:val="32"/>
          <w:rtl/>
        </w:rPr>
        <w:t>الفرضُ الثاني:</w:t>
      </w:r>
      <w:r w:rsidRPr="00F27422">
        <w:rPr>
          <w:sz w:val="32"/>
          <w:szCs w:val="32"/>
          <w:rtl/>
        </w:rPr>
        <w:t xml:space="preserve"> ما إذا لَمْ تختلف الرغبة - وإنْ كان العيب موجوداً - ولَمْ تتفاوت الأُجرة، كما في زماننا اليوم لو استأجر </w:t>
      </w:r>
      <w:proofErr w:type="spellStart"/>
      <w:r w:rsidRPr="00F27422">
        <w:rPr>
          <w:sz w:val="32"/>
          <w:szCs w:val="32"/>
          <w:rtl/>
        </w:rPr>
        <w:t>إمرأةً</w:t>
      </w:r>
      <w:proofErr w:type="spellEnd"/>
      <w:r w:rsidRPr="00F27422">
        <w:rPr>
          <w:sz w:val="32"/>
          <w:szCs w:val="32"/>
          <w:rtl/>
        </w:rPr>
        <w:t xml:space="preserve"> للخدمة في بيته فبان أنّها عقيمة</w:t>
      </w:r>
      <w:r w:rsidRPr="00F27422">
        <w:rPr>
          <w:sz w:val="32"/>
          <w:szCs w:val="32"/>
        </w:rPr>
        <w:t>.</w:t>
      </w:r>
    </w:p>
    <w:p w14:paraId="34A6FB59" w14:textId="77777777" w:rsidR="00CD2684" w:rsidRPr="00F27422" w:rsidRDefault="00CD2684" w:rsidP="00122B70">
      <w:pPr>
        <w:tabs>
          <w:tab w:val="left" w:pos="1070"/>
        </w:tabs>
        <w:bidi/>
        <w:rPr>
          <w:sz w:val="32"/>
          <w:szCs w:val="32"/>
          <w:rtl/>
          <w:lang w:bidi="ar-BH"/>
        </w:rPr>
      </w:pPr>
      <w:r w:rsidRPr="00F27422">
        <w:rPr>
          <w:sz w:val="32"/>
          <w:szCs w:val="32"/>
          <w:rtl/>
        </w:rPr>
        <w:t xml:space="preserve">أو كما مثل له سيدنا الخوئي (قدس سره الشريف) بقوله: </w:t>
      </w:r>
      <w:r w:rsidRPr="00F27422">
        <w:rPr>
          <w:b/>
          <w:bCs/>
          <w:sz w:val="32"/>
          <w:szCs w:val="32"/>
          <w:rtl/>
        </w:rPr>
        <w:t>(كما لو استأجر دابّة أو جارية للخدمة فبان أنّها عقيمة، أو عبداً للكتابة فبان أنّه خصي)</w:t>
      </w:r>
      <w:r w:rsidRPr="00F27422">
        <w:rPr>
          <w:b/>
          <w:bCs/>
          <w:sz w:val="32"/>
          <w:szCs w:val="32"/>
          <w:vertAlign w:val="superscript"/>
          <w:rtl/>
        </w:rPr>
        <w:footnoteReference w:id="97"/>
      </w:r>
      <w:r w:rsidRPr="00F27422">
        <w:rPr>
          <w:sz w:val="32"/>
          <w:szCs w:val="32"/>
          <w:rtl/>
        </w:rPr>
        <w:t>.</w:t>
      </w:r>
    </w:p>
    <w:p w14:paraId="05056791" w14:textId="77777777" w:rsidR="00CD2684" w:rsidRPr="00F27422" w:rsidRDefault="00CD2684" w:rsidP="00122B70">
      <w:pPr>
        <w:tabs>
          <w:tab w:val="left" w:pos="1070"/>
        </w:tabs>
        <w:bidi/>
        <w:rPr>
          <w:sz w:val="32"/>
          <w:szCs w:val="32"/>
          <w:rtl/>
          <w:lang w:bidi="ar-BH"/>
        </w:rPr>
      </w:pPr>
      <w:r w:rsidRPr="00F27422">
        <w:rPr>
          <w:sz w:val="32"/>
          <w:szCs w:val="32"/>
          <w:rtl/>
        </w:rPr>
        <w:t xml:space="preserve">أو كما مثل له السيد الحكيم السبط (قدس سره الشريف) بقوله: </w:t>
      </w:r>
      <w:r w:rsidRPr="00F27422">
        <w:rPr>
          <w:b/>
          <w:bCs/>
          <w:sz w:val="32"/>
          <w:szCs w:val="32"/>
          <w:rtl/>
        </w:rPr>
        <w:t>(مثل كون الحمار خصياً، والدار غير مسجلة بدائرة الطابو ونحوهما مما يوجب قلة الرغبة في العين ونقص قيمتها من دون أن يكون موجباً لقلة الرغبة في منفعتها التي هي موضوع الإجارة والمعاوضة)</w:t>
      </w:r>
      <w:r w:rsidRPr="00F27422">
        <w:rPr>
          <w:sz w:val="32"/>
          <w:szCs w:val="32"/>
          <w:vertAlign w:val="superscript"/>
          <w:rtl/>
        </w:rPr>
        <w:footnoteReference w:id="98"/>
      </w:r>
      <w:r w:rsidRPr="00F27422">
        <w:rPr>
          <w:sz w:val="32"/>
          <w:szCs w:val="32"/>
          <w:rtl/>
        </w:rPr>
        <w:t>. فإنّ عدم تسجيل الدار في دائرة الطابو لا علاقة له بالمنفعة، ولا تتفاوت به الرغبات في مقام الإجارة</w:t>
      </w:r>
      <w:r w:rsidRPr="00F27422">
        <w:rPr>
          <w:sz w:val="32"/>
          <w:szCs w:val="32"/>
        </w:rPr>
        <w:t>.</w:t>
      </w:r>
    </w:p>
    <w:p w14:paraId="3B62DE2C" w14:textId="77777777" w:rsidR="00CD2684" w:rsidRPr="00F27422" w:rsidRDefault="00CD2684" w:rsidP="00122B70">
      <w:pPr>
        <w:tabs>
          <w:tab w:val="left" w:pos="1070"/>
        </w:tabs>
        <w:bidi/>
        <w:rPr>
          <w:sz w:val="32"/>
          <w:szCs w:val="32"/>
          <w:rtl/>
          <w:lang w:bidi="ar-BH"/>
        </w:rPr>
      </w:pPr>
      <w:r w:rsidRPr="00F27422">
        <w:rPr>
          <w:sz w:val="32"/>
          <w:szCs w:val="32"/>
        </w:rPr>
        <w:t xml:space="preserve"> </w:t>
      </w:r>
      <w:r w:rsidRPr="00F27422">
        <w:rPr>
          <w:sz w:val="32"/>
          <w:szCs w:val="32"/>
          <w:rtl/>
        </w:rPr>
        <w:t>وإنّما تتفاوت بِهِ الرغبات في الشراء؛ إذ لا تأثير له بوجهٍ في اختلاف الرغبة بالإضافة إلى المنفعة المقصودة بالإجارة، فلم يتخلّف الشرط الارتكازي، فمن ثمّ لَمْ يثبت لأجله الخيار، وإنْ ثبت خيار العيب في باب البيع لاختلاف الرغبات في فرض النقص</w:t>
      </w:r>
      <w:r w:rsidRPr="00F27422">
        <w:rPr>
          <w:sz w:val="32"/>
          <w:szCs w:val="32"/>
        </w:rPr>
        <w:t>.</w:t>
      </w:r>
    </w:p>
    <w:p w14:paraId="5AF2162C" w14:textId="77777777" w:rsidR="00CD2684" w:rsidRPr="00F27422" w:rsidRDefault="00CD2684" w:rsidP="00122B70">
      <w:pPr>
        <w:tabs>
          <w:tab w:val="left" w:pos="1070"/>
        </w:tabs>
        <w:bidi/>
        <w:rPr>
          <w:sz w:val="32"/>
          <w:szCs w:val="32"/>
          <w:rtl/>
          <w:lang w:bidi="ar-BH"/>
        </w:rPr>
      </w:pPr>
      <w:r w:rsidRPr="00F27422">
        <w:rPr>
          <w:b/>
          <w:bCs/>
          <w:sz w:val="32"/>
          <w:szCs w:val="32"/>
          <w:rtl/>
        </w:rPr>
        <w:t xml:space="preserve">والسر في الفرق: </w:t>
      </w:r>
      <w:r w:rsidRPr="00F27422">
        <w:rPr>
          <w:sz w:val="32"/>
          <w:szCs w:val="32"/>
          <w:rtl/>
        </w:rPr>
        <w:t xml:space="preserve">أنّ المنتقل إليه في باب البيع عينٌ معيبة بالضرورة فيثبت خيار العيب، بينما المنتقل إليه في باب الإجارة هي المنفعة - وليست العين -، والمفروض أنّ المنفعة ليست </w:t>
      </w:r>
      <w:r w:rsidRPr="00F27422">
        <w:rPr>
          <w:sz w:val="32"/>
          <w:szCs w:val="32"/>
          <w:rtl/>
        </w:rPr>
        <w:lastRenderedPageBreak/>
        <w:t>معيبة؛ لأنّ عيب العين لا يستوجب نقص المنفعة إطلاقاً ولا تختلف به الرغبات، فالمقام خارجٌ موضوعاً عن ثبوت خيار العيب</w:t>
      </w:r>
      <w:r w:rsidRPr="00F27422">
        <w:rPr>
          <w:sz w:val="32"/>
          <w:szCs w:val="32"/>
        </w:rPr>
        <w:t>.</w:t>
      </w:r>
    </w:p>
    <w:p w14:paraId="14498E2C" w14:textId="77777777" w:rsidR="00CD2684" w:rsidRPr="00F27422" w:rsidRDefault="00CD2684" w:rsidP="00122B70">
      <w:pPr>
        <w:pStyle w:val="Heading3"/>
        <w:bidi/>
        <w:rPr>
          <w:sz w:val="32"/>
          <w:szCs w:val="32"/>
          <w:rtl/>
          <w:lang w:bidi="ar-BH"/>
        </w:rPr>
      </w:pPr>
      <w:r w:rsidRPr="00F27422">
        <w:rPr>
          <w:b/>
          <w:bCs/>
          <w:sz w:val="32"/>
          <w:szCs w:val="32"/>
          <w:rtl/>
        </w:rPr>
        <w:t>تعقيبٌ:</w:t>
      </w:r>
      <w:r w:rsidRPr="00F27422">
        <w:rPr>
          <w:sz w:val="32"/>
          <w:szCs w:val="32"/>
          <w:rtl/>
        </w:rPr>
        <w:t xml:space="preserve"> - لم يتعرض له الأعلام في المقام - لو شك في ثبوت الخيار في بعض هذه الموارد، فما هو مقتضى الأصل العملي في المقام؟</w:t>
      </w:r>
    </w:p>
    <w:p w14:paraId="64DFEEF2" w14:textId="77777777" w:rsidR="00CD2684" w:rsidRPr="00F27422" w:rsidRDefault="00CD2684" w:rsidP="00122B70">
      <w:pPr>
        <w:tabs>
          <w:tab w:val="left" w:pos="1070"/>
        </w:tabs>
        <w:bidi/>
        <w:rPr>
          <w:sz w:val="32"/>
          <w:szCs w:val="32"/>
          <w:rtl/>
          <w:lang w:bidi="ar-BH"/>
        </w:rPr>
      </w:pPr>
      <w:r w:rsidRPr="00F27422">
        <w:rPr>
          <w:sz w:val="32"/>
          <w:szCs w:val="32"/>
          <w:rtl/>
        </w:rPr>
        <w:t>والأصل العملي في المقام تارةً يتصور بلحاظ الموضوع، أي: جريان الأصل العملي في نفس العقد، وتارةً بلحاظ الحكم، أي: جريان الأصل العملي في الأثر وهو الملكية</w:t>
      </w:r>
      <w:r w:rsidRPr="00F27422">
        <w:rPr>
          <w:sz w:val="32"/>
          <w:szCs w:val="32"/>
        </w:rPr>
        <w:t>.</w:t>
      </w:r>
    </w:p>
    <w:p w14:paraId="7DDEA642" w14:textId="77777777" w:rsidR="00CD2684" w:rsidRPr="00F27422" w:rsidRDefault="00CD2684" w:rsidP="00122B70">
      <w:pPr>
        <w:tabs>
          <w:tab w:val="left" w:pos="1070"/>
        </w:tabs>
        <w:bidi/>
        <w:rPr>
          <w:sz w:val="32"/>
          <w:szCs w:val="32"/>
          <w:rtl/>
          <w:lang w:bidi="ar-BH"/>
        </w:rPr>
      </w:pPr>
      <w:r w:rsidRPr="00F27422">
        <w:rPr>
          <w:b/>
          <w:bCs/>
          <w:sz w:val="32"/>
          <w:szCs w:val="32"/>
          <w:rtl/>
        </w:rPr>
        <w:t>أمّا الأوّل:</w:t>
      </w:r>
      <w:r w:rsidRPr="00F27422">
        <w:rPr>
          <w:sz w:val="32"/>
          <w:szCs w:val="32"/>
          <w:rtl/>
        </w:rPr>
        <w:t xml:space="preserve"> وهو جريان الأصل العملي بلحاظ الموضوع</w:t>
      </w:r>
      <w:r w:rsidRPr="00F27422">
        <w:rPr>
          <w:sz w:val="32"/>
          <w:szCs w:val="32"/>
        </w:rPr>
        <w:t>.</w:t>
      </w:r>
    </w:p>
    <w:p w14:paraId="619D24D7" w14:textId="77777777" w:rsidR="00CD2684" w:rsidRPr="00F27422" w:rsidRDefault="00CD2684" w:rsidP="00122B70">
      <w:pPr>
        <w:tabs>
          <w:tab w:val="left" w:pos="1070"/>
        </w:tabs>
        <w:bidi/>
        <w:rPr>
          <w:sz w:val="32"/>
          <w:szCs w:val="32"/>
          <w:rtl/>
          <w:lang w:bidi="ar-BH"/>
        </w:rPr>
      </w:pPr>
      <w:r w:rsidRPr="00F27422">
        <w:rPr>
          <w:sz w:val="32"/>
          <w:szCs w:val="32"/>
          <w:rtl/>
        </w:rPr>
        <w:t>فقد أُفيد في تقريرات بعض مشائخنا القميين (مد ظله) في بغية الراغب</w:t>
      </w:r>
      <w:r w:rsidRPr="00F27422">
        <w:rPr>
          <w:sz w:val="32"/>
          <w:szCs w:val="32"/>
          <w:vertAlign w:val="superscript"/>
          <w:rtl/>
        </w:rPr>
        <w:footnoteReference w:id="99"/>
      </w:r>
      <w:r w:rsidRPr="00F27422">
        <w:rPr>
          <w:sz w:val="32"/>
          <w:szCs w:val="32"/>
          <w:rtl/>
        </w:rPr>
        <w:t xml:space="preserve"> أنّه بناءً على جريان استصحاب العدم الأزلي، فالجاري في المقام استصحاب عدم خيارية هذا العقد؛ لأنّ هذا العقد قَبل حدوثه لَمْ يكن فلَمْ يكن خيارياً، كما في المرأة إذا شك في أنّها قُرشيّة أم لا، فيُقال: هذه المرأة قَبل تكونها لَمْ تكن فلَمْ تكن قُرشيّة فيستصحب عدم قُرشيّة المرأة، فلا يترتب عليها آثار الحيض بين الخمسين والستين</w:t>
      </w:r>
      <w:r w:rsidRPr="00F27422">
        <w:rPr>
          <w:sz w:val="32"/>
          <w:szCs w:val="32"/>
        </w:rPr>
        <w:t>.</w:t>
      </w:r>
    </w:p>
    <w:p w14:paraId="649B377A" w14:textId="77777777" w:rsidR="00CD2684" w:rsidRPr="00F27422" w:rsidRDefault="00CD2684" w:rsidP="00122B70">
      <w:pPr>
        <w:tabs>
          <w:tab w:val="left" w:pos="1070"/>
        </w:tabs>
        <w:bidi/>
        <w:rPr>
          <w:sz w:val="32"/>
          <w:szCs w:val="32"/>
          <w:rtl/>
        </w:rPr>
      </w:pPr>
      <w:r w:rsidRPr="00F27422">
        <w:rPr>
          <w:sz w:val="32"/>
          <w:szCs w:val="32"/>
          <w:rtl/>
        </w:rPr>
        <w:t xml:space="preserve">وفي المقام يُقال: هذا العقد قَبل صدوره لَمْ يكن فلَمْ يكن خيارياً، لأنّ موضوع الأثر المركب – لا المقيد – أي: المركب مِن جزئين عقدٌ وعدمُ </w:t>
      </w:r>
      <w:proofErr w:type="spellStart"/>
      <w:r w:rsidRPr="00F27422">
        <w:rPr>
          <w:sz w:val="32"/>
          <w:szCs w:val="32"/>
          <w:rtl/>
        </w:rPr>
        <w:t>خياريته</w:t>
      </w:r>
      <w:proofErr w:type="spellEnd"/>
      <w:r w:rsidRPr="00F27422">
        <w:rPr>
          <w:sz w:val="32"/>
          <w:szCs w:val="32"/>
          <w:rtl/>
        </w:rPr>
        <w:t xml:space="preserve">، والعقد بالوجدان وعدم </w:t>
      </w:r>
      <w:proofErr w:type="spellStart"/>
      <w:r w:rsidRPr="00F27422">
        <w:rPr>
          <w:sz w:val="32"/>
          <w:szCs w:val="32"/>
          <w:rtl/>
        </w:rPr>
        <w:t>خياريته</w:t>
      </w:r>
      <w:proofErr w:type="spellEnd"/>
      <w:r w:rsidRPr="00F27422">
        <w:rPr>
          <w:sz w:val="32"/>
          <w:szCs w:val="32"/>
          <w:rtl/>
        </w:rPr>
        <w:t xml:space="preserve"> باستصحاب العدم الأزلي.</w:t>
      </w:r>
    </w:p>
    <w:p w14:paraId="31AC2853" w14:textId="77777777" w:rsidR="00CD2684" w:rsidRPr="00F27422" w:rsidRDefault="00CD2684" w:rsidP="00122B70">
      <w:pPr>
        <w:tabs>
          <w:tab w:val="left" w:pos="1070"/>
        </w:tabs>
        <w:bidi/>
        <w:rPr>
          <w:sz w:val="32"/>
          <w:szCs w:val="32"/>
          <w:rtl/>
          <w:lang w:bidi="ar-BH"/>
        </w:rPr>
      </w:pPr>
      <w:r w:rsidRPr="00F27422">
        <w:rPr>
          <w:sz w:val="32"/>
          <w:szCs w:val="32"/>
          <w:rtl/>
        </w:rPr>
        <w:t>لكن المشكلة - كما أفاد - أنّ استصحاب عدم خيارية هذا العقد معارضٌ باستصحاب عدم لزومه؛ فإنّ هذا العقد قَبل وجوده لَمْ يكن فلَمْ يكن لازماً، فيجري استصحاب عدم لزوم هذا العقد، فيقعُ التعارض حينئذٍ بين استصحاب عدم خيارية هذا العقد وبين استصحاب عدم لزومه</w:t>
      </w:r>
      <w:r w:rsidRPr="00F27422">
        <w:rPr>
          <w:sz w:val="32"/>
          <w:szCs w:val="32"/>
        </w:rPr>
        <w:t>.</w:t>
      </w:r>
    </w:p>
    <w:p w14:paraId="3493CC4C" w14:textId="77777777" w:rsidR="00CD2684" w:rsidRPr="00F27422" w:rsidRDefault="00CD2684" w:rsidP="00122B70">
      <w:pPr>
        <w:tabs>
          <w:tab w:val="left" w:pos="1070"/>
        </w:tabs>
        <w:bidi/>
        <w:rPr>
          <w:sz w:val="32"/>
          <w:szCs w:val="32"/>
          <w:rtl/>
          <w:lang w:bidi="ar-BH"/>
        </w:rPr>
      </w:pPr>
      <w:r w:rsidRPr="00F27422">
        <w:rPr>
          <w:b/>
          <w:bCs/>
          <w:sz w:val="32"/>
          <w:szCs w:val="32"/>
          <w:rtl/>
        </w:rPr>
        <w:t xml:space="preserve">لكن هذا الإشكال غيرُ واردٍ؛ </w:t>
      </w:r>
      <w:r w:rsidRPr="00F27422">
        <w:rPr>
          <w:sz w:val="32"/>
          <w:szCs w:val="32"/>
          <w:rtl/>
        </w:rPr>
        <w:t>بلحاظ أنّ الأثر المنظور بالأصل العملي ما هو؟ فإنّ الأثر المستفاد من الأدلة هو الدخيل في تحديد ما هو الأصل الجاري في المقام، حتى لو بنيّ على جريان استصحاب العدم الأزلي.</w:t>
      </w:r>
    </w:p>
    <w:p w14:paraId="251158C7" w14:textId="77777777" w:rsidR="00CD2684" w:rsidRPr="00F27422" w:rsidRDefault="00CD2684" w:rsidP="00122B70">
      <w:pPr>
        <w:tabs>
          <w:tab w:val="left" w:pos="1070"/>
        </w:tabs>
        <w:bidi/>
        <w:rPr>
          <w:sz w:val="32"/>
          <w:szCs w:val="32"/>
          <w:rtl/>
          <w:lang w:bidi="ar-BH"/>
        </w:rPr>
      </w:pPr>
      <w:r w:rsidRPr="00F27422">
        <w:rPr>
          <w:sz w:val="32"/>
          <w:szCs w:val="32"/>
          <w:rtl/>
        </w:rPr>
        <w:t xml:space="preserve">فإنْ كان الأثر المستفاد من الأدلة ومنها المرتكزات العقلائية هو ثبوت حقّ الخيار، أي: كون الخيار حقّاً قابلاً للإسقاط والنقل بعوض أو بدونه، فاستصحاب عدم خيارية هذا العقد يجري بلا معارضٍ؛ لأنّ استصحاب عدم خيارية هذا العقد ينفي الحقّ ولا يعارضه استصحاب عدم </w:t>
      </w:r>
      <w:r w:rsidRPr="00F27422">
        <w:rPr>
          <w:sz w:val="32"/>
          <w:szCs w:val="32"/>
          <w:rtl/>
        </w:rPr>
        <w:lastRenderedPageBreak/>
        <w:t>لزومية هذا العقد؛ إذ لا أثر له، فإنّ عدم اللزومية لا يثبت الخيار بمعنى الحقّ كي يكون معارضاً لاستصحاب عدم خيارية هذا العقد</w:t>
      </w:r>
      <w:r w:rsidRPr="00F27422">
        <w:rPr>
          <w:sz w:val="32"/>
          <w:szCs w:val="32"/>
        </w:rPr>
        <w:t>.</w:t>
      </w:r>
    </w:p>
    <w:p w14:paraId="2587839D" w14:textId="77777777" w:rsidR="00CD2684" w:rsidRPr="00F27422" w:rsidRDefault="00CD2684" w:rsidP="00122B70">
      <w:pPr>
        <w:tabs>
          <w:tab w:val="left" w:pos="1070"/>
        </w:tabs>
        <w:bidi/>
        <w:rPr>
          <w:sz w:val="32"/>
          <w:szCs w:val="32"/>
          <w:rtl/>
          <w:lang w:bidi="ar-BH"/>
        </w:rPr>
      </w:pPr>
      <w:r w:rsidRPr="00F27422">
        <w:rPr>
          <w:sz w:val="32"/>
          <w:szCs w:val="32"/>
          <w:rtl/>
        </w:rPr>
        <w:t>وإنْ كان الأثر المستفاد من الأدلة مجرّد نفي اللزوم - لا ثبوت حقّ الخيار -، فالجاري الأصل الثاني دون الأوّل، أي: استصحاب عدم لزوم هذا العقد على نحو استصحاب العدم الأزلي فينتفي به اللزوم، ولا يعارضه استصحاب عدم خيارية هذا العقد؛ لأنّه لا أثر له؛ إذ المنظور هو أثرُ عدم اللزوم</w:t>
      </w:r>
      <w:r w:rsidRPr="00F27422">
        <w:rPr>
          <w:sz w:val="32"/>
          <w:szCs w:val="32"/>
        </w:rPr>
        <w:t>.</w:t>
      </w:r>
    </w:p>
    <w:p w14:paraId="5AD0F626" w14:textId="77777777" w:rsidR="00CD2684" w:rsidRPr="00F27422" w:rsidRDefault="00CD2684" w:rsidP="00122B70">
      <w:pPr>
        <w:tabs>
          <w:tab w:val="left" w:pos="1070"/>
        </w:tabs>
        <w:bidi/>
        <w:rPr>
          <w:sz w:val="32"/>
          <w:szCs w:val="32"/>
          <w:rtl/>
          <w:lang w:bidi="ar-BH"/>
        </w:rPr>
      </w:pPr>
      <w:r w:rsidRPr="00F27422">
        <w:rPr>
          <w:sz w:val="32"/>
          <w:szCs w:val="32"/>
          <w:rtl/>
        </w:rPr>
        <w:t>فدعوى التعارض بين الأصلين غيرُ صناعية؛ لأنّ تحديد مناط الأصل بتحديد ما هو الأثر مِن جريانه</w:t>
      </w:r>
      <w:r w:rsidRPr="00F27422">
        <w:rPr>
          <w:sz w:val="32"/>
          <w:szCs w:val="32"/>
        </w:rPr>
        <w:t>.</w:t>
      </w:r>
    </w:p>
    <w:p w14:paraId="1D800106" w14:textId="77777777" w:rsidR="00CD2684" w:rsidRPr="00F27422" w:rsidRDefault="00CD2684" w:rsidP="00122B70">
      <w:pPr>
        <w:tabs>
          <w:tab w:val="left" w:pos="1070"/>
        </w:tabs>
        <w:bidi/>
        <w:rPr>
          <w:sz w:val="32"/>
          <w:szCs w:val="32"/>
          <w:rtl/>
          <w:lang w:bidi="ar-BH"/>
        </w:rPr>
      </w:pPr>
      <w:r w:rsidRPr="00F27422">
        <w:rPr>
          <w:sz w:val="32"/>
          <w:szCs w:val="32"/>
          <w:rtl/>
        </w:rPr>
        <w:t>وأمّا الأصل الجاري في الحكم وهو مسألة المِلكيّة، فيمكن أنْ يُقال في المقام: أنّه لو فَسَخَ أحدهما العقد لاعتقاده أنّ لهُ الخيار فشُك في بقاء المِلكيّة وعدمها، فالجاري استصحاب المِلكيّة</w:t>
      </w:r>
      <w:r w:rsidRPr="00F27422">
        <w:rPr>
          <w:sz w:val="32"/>
          <w:szCs w:val="32"/>
        </w:rPr>
        <w:t>.</w:t>
      </w:r>
    </w:p>
    <w:p w14:paraId="52B40843" w14:textId="77777777" w:rsidR="00CD2684" w:rsidRPr="00F27422" w:rsidRDefault="00CD2684" w:rsidP="00122B70">
      <w:pPr>
        <w:tabs>
          <w:tab w:val="left" w:pos="1070"/>
        </w:tabs>
        <w:bidi/>
        <w:rPr>
          <w:sz w:val="32"/>
          <w:szCs w:val="32"/>
          <w:rtl/>
        </w:rPr>
      </w:pPr>
      <w:r w:rsidRPr="00F27422">
        <w:rPr>
          <w:sz w:val="32"/>
          <w:szCs w:val="32"/>
          <w:rtl/>
        </w:rPr>
        <w:t>فإنْ لَمْ يجرِ الأصل في الموضوع ولو لمانعٍ كعدم جريان الاستصحاب في الأعدام الأزلية جرى الأصلُ في الحكم وهو الأثر وهو استصحاب المِلكيّة عند تحقّق الفسخ مِن قِبل أحدهما.</w:t>
      </w:r>
    </w:p>
    <w:p w14:paraId="5FADDE4F" w14:textId="77777777" w:rsidR="00CD2684" w:rsidRPr="00F27422" w:rsidRDefault="00CD2684" w:rsidP="00122B70">
      <w:pPr>
        <w:tabs>
          <w:tab w:val="left" w:pos="1070"/>
        </w:tabs>
        <w:bidi/>
        <w:rPr>
          <w:sz w:val="32"/>
          <w:szCs w:val="32"/>
          <w:rtl/>
          <w:lang w:bidi="ar-BH"/>
        </w:rPr>
      </w:pPr>
    </w:p>
    <w:p w14:paraId="2C367316" w14:textId="77777777" w:rsidR="00CD2684" w:rsidRPr="00F27422" w:rsidRDefault="00CD2684" w:rsidP="00122B70">
      <w:pPr>
        <w:tabs>
          <w:tab w:val="left" w:pos="1070"/>
        </w:tabs>
        <w:bidi/>
        <w:rPr>
          <w:sz w:val="32"/>
          <w:szCs w:val="32"/>
          <w:rtl/>
        </w:rPr>
      </w:pPr>
      <w:r w:rsidRPr="00F27422">
        <w:rPr>
          <w:b/>
          <w:bCs/>
          <w:sz w:val="32"/>
          <w:szCs w:val="32"/>
          <w:rtl/>
        </w:rPr>
        <w:t>والحمد لله رب العالمين</w:t>
      </w:r>
    </w:p>
    <w:p w14:paraId="3042FA71" w14:textId="77777777" w:rsidR="00CD2684" w:rsidRPr="00F27422" w:rsidRDefault="00CD2684" w:rsidP="00122B70">
      <w:pPr>
        <w:tabs>
          <w:tab w:val="left" w:pos="1070"/>
        </w:tabs>
        <w:bidi/>
        <w:rPr>
          <w:sz w:val="32"/>
          <w:szCs w:val="32"/>
        </w:rPr>
      </w:pPr>
    </w:p>
    <w:p w14:paraId="3A8334E9" w14:textId="68FA7AA3" w:rsidR="00CD2684" w:rsidRPr="00F27422" w:rsidRDefault="00CD2684" w:rsidP="00122B70">
      <w:pPr>
        <w:pStyle w:val="Heading3"/>
        <w:bidi/>
        <w:rPr>
          <w:sz w:val="32"/>
          <w:szCs w:val="32"/>
          <w:rtl/>
        </w:rPr>
      </w:pPr>
      <w:r w:rsidRPr="00F27422">
        <w:rPr>
          <w:sz w:val="32"/>
          <w:szCs w:val="32"/>
        </w:rPr>
        <w:t>079</w:t>
      </w:r>
    </w:p>
    <w:p w14:paraId="31DDC566" w14:textId="77777777" w:rsidR="00927A62" w:rsidRPr="00F27422" w:rsidRDefault="00927A62" w:rsidP="00122B70">
      <w:pPr>
        <w:bidi/>
        <w:rPr>
          <w:b/>
          <w:bCs/>
          <w:sz w:val="32"/>
          <w:szCs w:val="32"/>
        </w:rPr>
      </w:pPr>
      <w:r w:rsidRPr="00F27422">
        <w:rPr>
          <w:b/>
          <w:bCs/>
          <w:sz w:val="32"/>
          <w:szCs w:val="32"/>
          <w:rtl/>
        </w:rPr>
        <w:t>بسم الله الرحمن الرحيم</w:t>
      </w:r>
    </w:p>
    <w:p w14:paraId="23EA9999" w14:textId="77777777" w:rsidR="00927A62" w:rsidRPr="00F27422" w:rsidRDefault="00927A62"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7A133741" w14:textId="77777777" w:rsidR="00927A62" w:rsidRPr="00F27422" w:rsidRDefault="00927A62" w:rsidP="00122B70">
      <w:pPr>
        <w:bidi/>
        <w:rPr>
          <w:b/>
          <w:bCs/>
          <w:sz w:val="32"/>
          <w:szCs w:val="32"/>
          <w:rtl/>
          <w:lang w:bidi="ar-BH"/>
        </w:rPr>
      </w:pPr>
      <w:r w:rsidRPr="00F27422">
        <w:rPr>
          <w:b/>
          <w:bCs/>
          <w:sz w:val="32"/>
          <w:szCs w:val="32"/>
          <w:rtl/>
        </w:rPr>
        <w:t>واللعن الدائم على أعدائهم أجمعين إلى قيام يوم الدين</w:t>
      </w:r>
    </w:p>
    <w:p w14:paraId="4E3BAD0D" w14:textId="77777777" w:rsidR="00927A62" w:rsidRPr="00F27422" w:rsidRDefault="00927A62" w:rsidP="00122B70">
      <w:pPr>
        <w:bidi/>
        <w:rPr>
          <w:b/>
          <w:bCs/>
          <w:sz w:val="32"/>
          <w:szCs w:val="32"/>
          <w:rtl/>
          <w:lang w:bidi="ar-BH"/>
        </w:rPr>
      </w:pPr>
    </w:p>
    <w:p w14:paraId="626AB00D" w14:textId="77777777" w:rsidR="00927A62" w:rsidRPr="00F27422" w:rsidRDefault="00927A62" w:rsidP="00122B70">
      <w:pPr>
        <w:pStyle w:val="Heading3"/>
        <w:bidi/>
        <w:rPr>
          <w:b/>
          <w:bCs/>
          <w:sz w:val="32"/>
          <w:szCs w:val="32"/>
          <w:rtl/>
          <w:lang w:bidi="ar-BH"/>
        </w:rPr>
      </w:pPr>
      <w:r w:rsidRPr="00F27422">
        <w:rPr>
          <w:b/>
          <w:bCs/>
          <w:sz w:val="32"/>
          <w:szCs w:val="32"/>
          <w:rtl/>
        </w:rPr>
        <w:t>المبحثُ الخامس: في ثبوت خيار العيب للعيب الحادث بعد العقد</w:t>
      </w:r>
      <w:r w:rsidRPr="00F27422">
        <w:rPr>
          <w:b/>
          <w:bCs/>
          <w:sz w:val="32"/>
          <w:szCs w:val="32"/>
        </w:rPr>
        <w:t>.</w:t>
      </w:r>
    </w:p>
    <w:p w14:paraId="31F0C4E1" w14:textId="77777777" w:rsidR="00927A62" w:rsidRPr="00F27422" w:rsidRDefault="00927A62" w:rsidP="00122B70">
      <w:pPr>
        <w:bidi/>
        <w:rPr>
          <w:b/>
          <w:bCs/>
          <w:sz w:val="32"/>
          <w:szCs w:val="32"/>
          <w:rtl/>
          <w:lang w:bidi="ar-BH"/>
        </w:rPr>
      </w:pPr>
      <w:r w:rsidRPr="00F27422">
        <w:rPr>
          <w:b/>
          <w:bCs/>
          <w:sz w:val="32"/>
          <w:szCs w:val="32"/>
          <w:rtl/>
        </w:rPr>
        <w:t>والكلام هنا في موردين: الأوّل</w:t>
      </w:r>
      <w:r w:rsidRPr="00F27422">
        <w:rPr>
          <w:sz w:val="32"/>
          <w:szCs w:val="32"/>
          <w:rtl/>
        </w:rPr>
        <w:t xml:space="preserve">: في الإجارة على الأعيان، </w:t>
      </w:r>
      <w:r w:rsidRPr="00F27422">
        <w:rPr>
          <w:b/>
          <w:bCs/>
          <w:sz w:val="32"/>
          <w:szCs w:val="32"/>
          <w:rtl/>
        </w:rPr>
        <w:t>والثاني:</w:t>
      </w:r>
      <w:r w:rsidRPr="00F27422">
        <w:rPr>
          <w:sz w:val="32"/>
          <w:szCs w:val="32"/>
          <w:rtl/>
        </w:rPr>
        <w:t xml:space="preserve"> في الإجارة على الأعمال</w:t>
      </w:r>
      <w:r w:rsidRPr="00F27422">
        <w:rPr>
          <w:sz w:val="32"/>
          <w:szCs w:val="32"/>
        </w:rPr>
        <w:t>.</w:t>
      </w:r>
    </w:p>
    <w:p w14:paraId="7CBDC3A0" w14:textId="77777777" w:rsidR="00927A62" w:rsidRPr="00F27422" w:rsidRDefault="00927A62" w:rsidP="00122B70">
      <w:pPr>
        <w:bidi/>
        <w:rPr>
          <w:b/>
          <w:bCs/>
          <w:sz w:val="32"/>
          <w:szCs w:val="32"/>
          <w:rtl/>
          <w:lang w:bidi="ar-BH"/>
        </w:rPr>
      </w:pPr>
      <w:r w:rsidRPr="00F27422">
        <w:rPr>
          <w:b/>
          <w:bCs/>
          <w:sz w:val="32"/>
          <w:szCs w:val="32"/>
          <w:rtl/>
        </w:rPr>
        <w:t>الموردُ الأوّل: في الإجارة على الأعيان</w:t>
      </w:r>
      <w:r w:rsidRPr="00F27422">
        <w:rPr>
          <w:b/>
          <w:bCs/>
          <w:sz w:val="32"/>
          <w:szCs w:val="32"/>
        </w:rPr>
        <w:t>.</w:t>
      </w:r>
    </w:p>
    <w:p w14:paraId="1706D3CE" w14:textId="77777777" w:rsidR="00927A62" w:rsidRPr="00F27422" w:rsidRDefault="00927A62" w:rsidP="00122B70">
      <w:pPr>
        <w:bidi/>
        <w:rPr>
          <w:b/>
          <w:bCs/>
          <w:sz w:val="32"/>
          <w:szCs w:val="32"/>
          <w:rtl/>
          <w:lang w:bidi="ar-BH"/>
        </w:rPr>
      </w:pPr>
      <w:r w:rsidRPr="00F27422">
        <w:rPr>
          <w:b/>
          <w:bCs/>
          <w:sz w:val="32"/>
          <w:szCs w:val="32"/>
          <w:rtl/>
        </w:rPr>
        <w:t>والبحث فيها في مطلبين</w:t>
      </w:r>
      <w:r w:rsidRPr="00F27422">
        <w:rPr>
          <w:b/>
          <w:bCs/>
          <w:sz w:val="32"/>
          <w:szCs w:val="32"/>
        </w:rPr>
        <w:t>:</w:t>
      </w:r>
    </w:p>
    <w:p w14:paraId="7BF830EB" w14:textId="77777777" w:rsidR="00927A62" w:rsidRPr="00F27422" w:rsidRDefault="00927A62" w:rsidP="00122B70">
      <w:pPr>
        <w:bidi/>
        <w:rPr>
          <w:b/>
          <w:bCs/>
          <w:sz w:val="32"/>
          <w:szCs w:val="32"/>
          <w:rtl/>
          <w:lang w:bidi="ar-BH"/>
        </w:rPr>
      </w:pPr>
      <w:r w:rsidRPr="00F27422">
        <w:rPr>
          <w:b/>
          <w:bCs/>
          <w:sz w:val="32"/>
          <w:szCs w:val="32"/>
          <w:rtl/>
        </w:rPr>
        <w:lastRenderedPageBreak/>
        <w:t>الأوّل:</w:t>
      </w:r>
      <w:r w:rsidRPr="00F27422">
        <w:rPr>
          <w:sz w:val="32"/>
          <w:szCs w:val="32"/>
          <w:rtl/>
        </w:rPr>
        <w:t xml:space="preserve"> في فرض كون العيب بَعْدَ العقد وقَبل القبض</w:t>
      </w:r>
      <w:r w:rsidRPr="00F27422">
        <w:rPr>
          <w:sz w:val="32"/>
          <w:szCs w:val="32"/>
        </w:rPr>
        <w:t>.</w:t>
      </w:r>
    </w:p>
    <w:p w14:paraId="7B799237" w14:textId="77777777" w:rsidR="00927A62" w:rsidRPr="00F27422" w:rsidRDefault="00927A62" w:rsidP="00122B70">
      <w:pPr>
        <w:bidi/>
        <w:rPr>
          <w:b/>
          <w:bCs/>
          <w:sz w:val="32"/>
          <w:szCs w:val="32"/>
          <w:rtl/>
          <w:lang w:bidi="ar-BH"/>
        </w:rPr>
      </w:pPr>
      <w:r w:rsidRPr="00F27422">
        <w:rPr>
          <w:b/>
          <w:bCs/>
          <w:sz w:val="32"/>
          <w:szCs w:val="32"/>
          <w:rtl/>
        </w:rPr>
        <w:t>الثاني:</w:t>
      </w:r>
      <w:r w:rsidRPr="00F27422">
        <w:rPr>
          <w:sz w:val="32"/>
          <w:szCs w:val="32"/>
          <w:rtl/>
        </w:rPr>
        <w:t xml:space="preserve"> في فرض كون العيب بَعْدَ القبض</w:t>
      </w:r>
      <w:r w:rsidRPr="00F27422">
        <w:rPr>
          <w:sz w:val="32"/>
          <w:szCs w:val="32"/>
        </w:rPr>
        <w:t>.</w:t>
      </w:r>
    </w:p>
    <w:p w14:paraId="01EB4916" w14:textId="77777777" w:rsidR="00927A62" w:rsidRPr="00F27422" w:rsidRDefault="00927A62" w:rsidP="00122B70">
      <w:pPr>
        <w:pStyle w:val="Heading3"/>
        <w:bidi/>
        <w:rPr>
          <w:b/>
          <w:bCs/>
          <w:sz w:val="32"/>
          <w:szCs w:val="32"/>
          <w:rtl/>
          <w:lang w:bidi="ar-BH"/>
        </w:rPr>
      </w:pPr>
      <w:r w:rsidRPr="00F27422">
        <w:rPr>
          <w:b/>
          <w:bCs/>
          <w:sz w:val="32"/>
          <w:szCs w:val="32"/>
          <w:rtl/>
        </w:rPr>
        <w:t>المطلبُ الأوّل: ثبوتُ الخيار في فرض كون العيب في العين بَعْدَ العقد وقَبل القبض</w:t>
      </w:r>
      <w:r w:rsidRPr="00F27422">
        <w:rPr>
          <w:b/>
          <w:bCs/>
          <w:sz w:val="32"/>
          <w:szCs w:val="32"/>
        </w:rPr>
        <w:t>.</w:t>
      </w:r>
    </w:p>
    <w:p w14:paraId="3A5F8345" w14:textId="77777777" w:rsidR="00927A62" w:rsidRPr="00F27422" w:rsidRDefault="00927A62" w:rsidP="00122B70">
      <w:pPr>
        <w:bidi/>
        <w:rPr>
          <w:b/>
          <w:bCs/>
          <w:sz w:val="32"/>
          <w:szCs w:val="32"/>
          <w:rtl/>
          <w:lang w:bidi="ar-BH"/>
        </w:rPr>
      </w:pPr>
      <w:r w:rsidRPr="00F27422">
        <w:rPr>
          <w:sz w:val="32"/>
          <w:szCs w:val="32"/>
          <w:rtl/>
        </w:rPr>
        <w:t>وثبوت الخيار في المقام يبتني على تحديد مدرك الخيار، والمدارك لخيار العيب - كما مضى - ثلاثة</w:t>
      </w:r>
      <w:r w:rsidRPr="00F27422">
        <w:rPr>
          <w:sz w:val="32"/>
          <w:szCs w:val="32"/>
        </w:rPr>
        <w:t>:</w:t>
      </w:r>
    </w:p>
    <w:p w14:paraId="7D3BC355" w14:textId="77777777" w:rsidR="00927A62" w:rsidRPr="00F27422" w:rsidRDefault="00927A62" w:rsidP="00122B70">
      <w:pPr>
        <w:bidi/>
        <w:rPr>
          <w:b/>
          <w:bCs/>
          <w:sz w:val="32"/>
          <w:szCs w:val="32"/>
          <w:rtl/>
          <w:lang w:bidi="ar-BH"/>
        </w:rPr>
      </w:pPr>
      <w:r w:rsidRPr="00F27422">
        <w:rPr>
          <w:b/>
          <w:bCs/>
          <w:sz w:val="32"/>
          <w:szCs w:val="32"/>
          <w:rtl/>
        </w:rPr>
        <w:t>المدركُ الأوّل:</w:t>
      </w:r>
      <w:r w:rsidRPr="00F27422">
        <w:rPr>
          <w:sz w:val="32"/>
          <w:szCs w:val="32"/>
          <w:rtl/>
        </w:rPr>
        <w:t xml:space="preserve"> هو التعدي مِن روايات البيع بإلغاء الخصوصية عرفاً لباب الإجارة</w:t>
      </w:r>
      <w:r w:rsidRPr="00F27422">
        <w:rPr>
          <w:sz w:val="32"/>
          <w:szCs w:val="32"/>
        </w:rPr>
        <w:t>.</w:t>
      </w:r>
    </w:p>
    <w:p w14:paraId="78C19FD8" w14:textId="77777777" w:rsidR="00927A62" w:rsidRPr="00F27422" w:rsidRDefault="00927A62" w:rsidP="00122B70">
      <w:pPr>
        <w:bidi/>
        <w:rPr>
          <w:b/>
          <w:bCs/>
          <w:sz w:val="32"/>
          <w:szCs w:val="32"/>
          <w:rtl/>
          <w:lang w:bidi="ar-BH"/>
        </w:rPr>
      </w:pPr>
      <w:r w:rsidRPr="00F27422">
        <w:rPr>
          <w:sz w:val="32"/>
          <w:szCs w:val="32"/>
          <w:rtl/>
        </w:rPr>
        <w:t>وبناءً على هذا المدرك يُقال: إنّ مقتضى إطلاق الروايات الدالة على ثبوت الخيار عند ظهور العيب أنْ لا فرق في ذلك بين كون العيب قَبل العقد أو بَعْدَه قَبل القبض.</w:t>
      </w:r>
    </w:p>
    <w:p w14:paraId="371E06FF" w14:textId="77777777" w:rsidR="00927A62" w:rsidRPr="00F27422" w:rsidRDefault="00927A62" w:rsidP="00122B70">
      <w:pPr>
        <w:bidi/>
        <w:rPr>
          <w:b/>
          <w:bCs/>
          <w:sz w:val="32"/>
          <w:szCs w:val="32"/>
          <w:rtl/>
          <w:lang w:bidi="ar-BH"/>
        </w:rPr>
      </w:pPr>
      <w:r w:rsidRPr="00F27422">
        <w:rPr>
          <w:b/>
          <w:bCs/>
          <w:sz w:val="32"/>
          <w:szCs w:val="32"/>
          <w:rtl/>
        </w:rPr>
        <w:t>المدركُ الثاني:</w:t>
      </w:r>
      <w:r w:rsidRPr="00F27422">
        <w:rPr>
          <w:sz w:val="32"/>
          <w:szCs w:val="32"/>
          <w:rtl/>
        </w:rPr>
        <w:t xml:space="preserve"> أنّ مناط ثبوت الخيار هو اشتراط السلامة، ومقتضى ذلك بحسب المرتكزات أنّ الميزان في ثبوت الخيار هو السلامة حين القبض والاستيلاء على المعوض - وهو المنفعة -، لا السلامةُ حين </w:t>
      </w:r>
      <w:proofErr w:type="gramStart"/>
      <w:r w:rsidRPr="00F27422">
        <w:rPr>
          <w:sz w:val="32"/>
          <w:szCs w:val="32"/>
          <w:rtl/>
        </w:rPr>
        <w:t>العقد</w:t>
      </w:r>
      <w:r w:rsidRPr="00F27422">
        <w:rPr>
          <w:sz w:val="32"/>
          <w:szCs w:val="32"/>
        </w:rPr>
        <w:t xml:space="preserve"> .</w:t>
      </w:r>
      <w:proofErr w:type="gramEnd"/>
    </w:p>
    <w:p w14:paraId="15FF4346" w14:textId="77777777" w:rsidR="00927A62" w:rsidRPr="00F27422" w:rsidRDefault="00927A62" w:rsidP="00122B70">
      <w:pPr>
        <w:bidi/>
        <w:rPr>
          <w:b/>
          <w:bCs/>
          <w:sz w:val="32"/>
          <w:szCs w:val="32"/>
          <w:rtl/>
          <w:lang w:bidi="ar-BH"/>
        </w:rPr>
      </w:pPr>
      <w:r w:rsidRPr="00F27422">
        <w:rPr>
          <w:b/>
          <w:bCs/>
          <w:sz w:val="32"/>
          <w:szCs w:val="32"/>
          <w:rtl/>
        </w:rPr>
        <w:t>والسر في ذلك:</w:t>
      </w:r>
      <w:r w:rsidRPr="00F27422">
        <w:rPr>
          <w:sz w:val="32"/>
          <w:szCs w:val="32"/>
          <w:rtl/>
        </w:rPr>
        <w:t xml:space="preserve"> أنّ كلّ معاوضةٍ متقومةٌ بالغرض النوعي مِن المعاملة، فالغرض النوعي في باب البيع يختلف عن الغرض النوعي في باب الإجارة؛ فإنّ الغرض النوعي مِن المعاوضة البيعية هو التملك، وبما أنّ الغرض النوعي مِن المعاوضة البيعية هو التملك فهو حاصلٌ مِن حين العقد، بينما الغرض النوعي مِن الإجارة هو السلطنة على استيفاء المنفعة، وموطنُ هذا الغرض النوعي فرض القبض - لا فرض العقد -؛ فإنّ المُستأجر وإنْ ملك المنفعة بمجرّد العقد لكن الغرض النوعي مِن الإجارة لا موطن له إلّا بَعْدَ القبض، فلذلك كان مصب اشتراط السلامة هو السلامةُ حين القبض لا حين العقد.</w:t>
      </w:r>
    </w:p>
    <w:p w14:paraId="7CC497B6" w14:textId="77777777" w:rsidR="00927A62" w:rsidRPr="00F27422" w:rsidRDefault="00927A62" w:rsidP="00122B70">
      <w:pPr>
        <w:bidi/>
        <w:rPr>
          <w:b/>
          <w:bCs/>
          <w:sz w:val="32"/>
          <w:szCs w:val="32"/>
          <w:rtl/>
          <w:lang w:bidi="ar-BH"/>
        </w:rPr>
      </w:pPr>
      <w:r w:rsidRPr="00F27422">
        <w:rPr>
          <w:sz w:val="32"/>
          <w:szCs w:val="32"/>
          <w:rtl/>
        </w:rPr>
        <w:t xml:space="preserve">فلو كان مدرك ثبوت خيار العيب في باب البيع هو اشتراط السلامة لقلنا بأنّ مقتضاه السلامة حين البيع، بينما مقتضى الشرط الارتكازي على السلامة في باب الإجارة هو كون السلامة حين القبض، وبالتالي فإذا حدث العيبُ بَعْدَ العقد وقَبل القبض ثبت الخيار للمُستأجر؛ إذ الغرض النوعي مِن المعاوضة </w:t>
      </w:r>
      <w:proofErr w:type="spellStart"/>
      <w:r w:rsidRPr="00F27422">
        <w:rPr>
          <w:sz w:val="32"/>
          <w:szCs w:val="32"/>
          <w:rtl/>
        </w:rPr>
        <w:t>الإجارية</w:t>
      </w:r>
      <w:proofErr w:type="spellEnd"/>
      <w:r w:rsidRPr="00F27422">
        <w:rPr>
          <w:sz w:val="32"/>
          <w:szCs w:val="32"/>
          <w:rtl/>
        </w:rPr>
        <w:t xml:space="preserve"> هو استيفاء المنفعة وموطن الاستيفاء فرض القبض، فمقتضى ذلك أنْ يكون اشتراط السلامة منوطاً بالقبض، وحيثُ تخلّف الشرط ثبت الخيار</w:t>
      </w:r>
      <w:r w:rsidRPr="00F27422">
        <w:rPr>
          <w:sz w:val="32"/>
          <w:szCs w:val="32"/>
        </w:rPr>
        <w:t>.</w:t>
      </w:r>
    </w:p>
    <w:p w14:paraId="1CFD25AB" w14:textId="77777777" w:rsidR="00927A62" w:rsidRPr="00F27422" w:rsidRDefault="00927A62" w:rsidP="00122B70">
      <w:pPr>
        <w:bidi/>
        <w:rPr>
          <w:b/>
          <w:bCs/>
          <w:sz w:val="32"/>
          <w:szCs w:val="32"/>
          <w:rtl/>
          <w:lang w:bidi="ar-BH"/>
        </w:rPr>
      </w:pPr>
      <w:r w:rsidRPr="00F27422">
        <w:rPr>
          <w:b/>
          <w:bCs/>
          <w:sz w:val="32"/>
          <w:szCs w:val="32"/>
          <w:rtl/>
        </w:rPr>
        <w:t>المدركُ الثالث:</w:t>
      </w:r>
      <w:r w:rsidRPr="00F27422">
        <w:rPr>
          <w:sz w:val="32"/>
          <w:szCs w:val="32"/>
          <w:rtl/>
        </w:rPr>
        <w:t xml:space="preserve"> قاعدة "لا ضرر".</w:t>
      </w:r>
    </w:p>
    <w:p w14:paraId="369AD109" w14:textId="77777777" w:rsidR="00927A62" w:rsidRPr="00F27422" w:rsidRDefault="00927A62" w:rsidP="00122B70">
      <w:pPr>
        <w:bidi/>
        <w:rPr>
          <w:b/>
          <w:bCs/>
          <w:sz w:val="32"/>
          <w:szCs w:val="32"/>
          <w:rtl/>
          <w:lang w:bidi="ar-BH"/>
        </w:rPr>
      </w:pPr>
      <w:r w:rsidRPr="00F27422">
        <w:rPr>
          <w:sz w:val="32"/>
          <w:szCs w:val="32"/>
          <w:rtl/>
        </w:rPr>
        <w:lastRenderedPageBreak/>
        <w:t>وقد أُفيد مِن قِبل بعض الأجلة (رحمه الله) في كتابه الإجارة</w:t>
      </w:r>
      <w:r w:rsidRPr="00F27422">
        <w:rPr>
          <w:sz w:val="32"/>
          <w:szCs w:val="32"/>
          <w:vertAlign w:val="superscript"/>
          <w:rtl/>
        </w:rPr>
        <w:footnoteReference w:id="100"/>
      </w:r>
      <w:r w:rsidRPr="00F27422">
        <w:rPr>
          <w:sz w:val="32"/>
          <w:szCs w:val="32"/>
          <w:rtl/>
        </w:rPr>
        <w:t xml:space="preserve"> بقوله: </w:t>
      </w:r>
      <w:r w:rsidRPr="00F27422">
        <w:rPr>
          <w:b/>
          <w:bCs/>
          <w:sz w:val="32"/>
          <w:szCs w:val="32"/>
          <w:rtl/>
        </w:rPr>
        <w:t>(نعم قاعدة لا ضرر لا يمكن التمسك بها لا هنا)</w:t>
      </w:r>
      <w:r w:rsidRPr="00F27422">
        <w:rPr>
          <w:sz w:val="32"/>
          <w:szCs w:val="32"/>
          <w:rtl/>
        </w:rPr>
        <w:t xml:space="preserve"> أي: في باب الإجارة </w:t>
      </w:r>
      <w:r w:rsidRPr="00F27422">
        <w:rPr>
          <w:b/>
          <w:bCs/>
          <w:sz w:val="32"/>
          <w:szCs w:val="32"/>
          <w:rtl/>
        </w:rPr>
        <w:t>(ولا في باب البيع)</w:t>
      </w:r>
      <w:r w:rsidRPr="00F27422">
        <w:rPr>
          <w:sz w:val="32"/>
          <w:szCs w:val="32"/>
          <w:rtl/>
        </w:rPr>
        <w:t xml:space="preserve"> إذا حدث العيبُ بَعْدَ العقد وقَبل القبض </w:t>
      </w:r>
      <w:r w:rsidRPr="00F27422">
        <w:rPr>
          <w:b/>
          <w:bCs/>
          <w:sz w:val="32"/>
          <w:szCs w:val="32"/>
          <w:rtl/>
        </w:rPr>
        <w:t>(لأنَّ الضرر واقع على ملك المشتري)</w:t>
      </w:r>
      <w:r w:rsidRPr="00F27422">
        <w:rPr>
          <w:sz w:val="32"/>
          <w:szCs w:val="32"/>
          <w:rtl/>
        </w:rPr>
        <w:t xml:space="preserve"> وملك المُستأجر </w:t>
      </w:r>
      <w:r w:rsidRPr="00F27422">
        <w:rPr>
          <w:b/>
          <w:bCs/>
          <w:sz w:val="32"/>
          <w:szCs w:val="32"/>
          <w:rtl/>
        </w:rPr>
        <w:t xml:space="preserve">(فلا وجه لتحميله على </w:t>
      </w:r>
      <w:proofErr w:type="spellStart"/>
      <w:r w:rsidRPr="00F27422">
        <w:rPr>
          <w:b/>
          <w:bCs/>
          <w:sz w:val="32"/>
          <w:szCs w:val="32"/>
          <w:rtl/>
        </w:rPr>
        <w:t>البايع</w:t>
      </w:r>
      <w:proofErr w:type="spellEnd"/>
      <w:r w:rsidRPr="00F27422">
        <w:rPr>
          <w:b/>
          <w:bCs/>
          <w:sz w:val="32"/>
          <w:szCs w:val="32"/>
          <w:rtl/>
        </w:rPr>
        <w:t xml:space="preserve"> بل هو ضرر عليه، وهذا واضح)</w:t>
      </w:r>
      <w:r w:rsidRPr="00F27422">
        <w:rPr>
          <w:sz w:val="32"/>
          <w:szCs w:val="32"/>
          <w:rtl/>
        </w:rPr>
        <w:t xml:space="preserve"> أي: تحميل الخيار على البائع ضررٌ عليه</w:t>
      </w:r>
      <w:r w:rsidRPr="00F27422">
        <w:rPr>
          <w:sz w:val="32"/>
          <w:szCs w:val="32"/>
        </w:rPr>
        <w:t>.</w:t>
      </w:r>
    </w:p>
    <w:p w14:paraId="6C521DC9" w14:textId="77777777" w:rsidR="00927A62" w:rsidRPr="00F27422" w:rsidRDefault="00927A62" w:rsidP="00122B70">
      <w:pPr>
        <w:bidi/>
        <w:rPr>
          <w:b/>
          <w:bCs/>
          <w:sz w:val="32"/>
          <w:szCs w:val="32"/>
          <w:rtl/>
          <w:lang w:bidi="ar-BH"/>
        </w:rPr>
      </w:pPr>
      <w:r w:rsidRPr="00F27422">
        <w:rPr>
          <w:sz w:val="32"/>
          <w:szCs w:val="32"/>
          <w:rtl/>
        </w:rPr>
        <w:t xml:space="preserve">فكأنّ منظوره (رحمه الله) أنّ مستند خيار العيب لو كان هو قاعدة "لا ضرر" فإنّ الضرر الحاصل بالعيب ضررٌ في ملك المشتري؛ لأنّه حصل بَعْدَ العقد، وفي ملك المُستأجر؛ لأنّه حصل بَعْدَ معاملة الإجارة، وبما أنّه قد حصل في ملك المُستأجر فشمولُ قاعدة "لا ضرر" للمُستأجر لإثبات الخيار لهُ تحميلٌ لخسارة هذا الضرر على المُؤجر، مع أنّ "لا ضرر" مقرونةٌ بـ "لا ضرار"، ومقتضى اقتران "لا ضرر" بـ "لا ضرار" أنْ لا شمول لـ "لا ضرر" لمورد مستلزمٍ </w:t>
      </w:r>
      <w:proofErr w:type="spellStart"/>
      <w:r w:rsidRPr="00F27422">
        <w:rPr>
          <w:sz w:val="32"/>
          <w:szCs w:val="32"/>
          <w:rtl/>
        </w:rPr>
        <w:t>للضرار</w:t>
      </w:r>
      <w:proofErr w:type="spellEnd"/>
      <w:r w:rsidRPr="00F27422">
        <w:rPr>
          <w:sz w:val="32"/>
          <w:szCs w:val="32"/>
          <w:rtl/>
        </w:rPr>
        <w:t xml:space="preserve"> على الآخر، ومقتضى شمول "لا ضرر" للمُستأجر ورودُ الضرار على الُمؤجر، فلا إطلاق لـ " لا ضرر" لمثل المورد</w:t>
      </w:r>
      <w:r w:rsidRPr="00F27422">
        <w:rPr>
          <w:sz w:val="32"/>
          <w:szCs w:val="32"/>
        </w:rPr>
        <w:t>.</w:t>
      </w:r>
    </w:p>
    <w:p w14:paraId="254D87DB" w14:textId="77777777" w:rsidR="00927A62" w:rsidRPr="00F27422" w:rsidRDefault="00927A62" w:rsidP="00122B70">
      <w:pPr>
        <w:bidi/>
        <w:rPr>
          <w:b/>
          <w:bCs/>
          <w:sz w:val="32"/>
          <w:szCs w:val="32"/>
          <w:rtl/>
          <w:lang w:bidi="ar-BH"/>
        </w:rPr>
      </w:pPr>
      <w:r w:rsidRPr="00F27422">
        <w:rPr>
          <w:b/>
          <w:bCs/>
          <w:sz w:val="32"/>
          <w:szCs w:val="32"/>
          <w:rtl/>
        </w:rPr>
        <w:t>ولكن يلاحظ على ذلك:</w:t>
      </w:r>
      <w:r w:rsidRPr="00F27422">
        <w:rPr>
          <w:sz w:val="32"/>
          <w:szCs w:val="32"/>
          <w:rtl/>
        </w:rPr>
        <w:t xml:space="preserve"> أنّ "لا ضرر" لو خليتْ ونفسها فمقتضى إطلاق القاعدة أنّ لزوم العقد وهو الإجارة في حقّ المُستأجر ضررٌ عليه؛ لأنّ الضرر قد حصل قَبل القبض، فمقتضى كون اللزوم ضرراً عليه ارتفاع اللزوم بـ "لا ضرر".</w:t>
      </w:r>
    </w:p>
    <w:p w14:paraId="2A619C53" w14:textId="77777777" w:rsidR="00927A62" w:rsidRPr="00F27422" w:rsidRDefault="00927A62" w:rsidP="00122B70">
      <w:pPr>
        <w:bidi/>
        <w:rPr>
          <w:b/>
          <w:bCs/>
          <w:sz w:val="32"/>
          <w:szCs w:val="32"/>
          <w:rtl/>
          <w:lang w:bidi="ar-BH"/>
        </w:rPr>
      </w:pPr>
      <w:r w:rsidRPr="00F27422">
        <w:rPr>
          <w:sz w:val="32"/>
          <w:szCs w:val="32"/>
          <w:rtl/>
        </w:rPr>
        <w:t xml:space="preserve">إلّا أنّ تطبيق "لا ضرر" في المقام على المُستأجر دون المُؤجر أو بالعكس </w:t>
      </w:r>
      <w:r w:rsidRPr="00F27422">
        <w:rPr>
          <w:sz w:val="32"/>
          <w:szCs w:val="32"/>
          <w:highlight w:val="yellow"/>
          <w:rtl/>
        </w:rPr>
        <w:t>خاضعٌ للمرتكزات العقلائية</w:t>
      </w:r>
      <w:r w:rsidRPr="00F27422">
        <w:rPr>
          <w:sz w:val="32"/>
          <w:szCs w:val="32"/>
          <w:rtl/>
        </w:rPr>
        <w:t>، فبما أنّ التطبيق خاضعٌ للمرتكزات العقلائية والمفروضُ أنّ مصب الغرض النوعي مِن الإجارة لدى المرتكزات العقلائية فرض القبض؛ لأنّ الغرض النوعي - وهو استيفاء المنفعة - إنّما يكون في فرض القبض، فالمدارُ في تحديد موطن الضرر وعدمه فرض القبض - لا فرض العقد-، لذلك كان مقتضى احتفاف "لا ضرر" بهذه المرتكزات العقلائية انصراف تطبيقها في فرض حدوث الضرر بَعْدَ العقد وقَبل القبض على ضرر المُستأجر؛ لأنّ الضرر وإنْ حدث في ملكه إلّا أنّه حدث في نفس موطن الغرض النوعي مِن الإجارة، فمقتضى "لا ضرر" نفي اللزوم في فرض كون اللزوم ضررياً على المُستأجر، والمفروض أنّ اللزوم في المقام ضرري عليه</w:t>
      </w:r>
      <w:r w:rsidRPr="00F27422">
        <w:rPr>
          <w:sz w:val="32"/>
          <w:szCs w:val="32"/>
        </w:rPr>
        <w:t>.</w:t>
      </w:r>
    </w:p>
    <w:p w14:paraId="7DB6E5BA" w14:textId="77777777" w:rsidR="00927A62" w:rsidRPr="00F27422" w:rsidRDefault="00927A62" w:rsidP="00122B70">
      <w:pPr>
        <w:pStyle w:val="Heading3"/>
        <w:bidi/>
        <w:rPr>
          <w:b/>
          <w:bCs/>
          <w:sz w:val="32"/>
          <w:szCs w:val="32"/>
          <w:rtl/>
        </w:rPr>
      </w:pPr>
      <w:r w:rsidRPr="00F27422">
        <w:rPr>
          <w:b/>
          <w:bCs/>
          <w:sz w:val="32"/>
          <w:szCs w:val="32"/>
          <w:rtl/>
        </w:rPr>
        <w:lastRenderedPageBreak/>
        <w:t>المطلبُ الثاني: ما إذا حدث العيب بَعْدَ القبض.</w:t>
      </w:r>
    </w:p>
    <w:p w14:paraId="6C981F02" w14:textId="77777777" w:rsidR="00927A62" w:rsidRPr="00F27422" w:rsidRDefault="00927A62" w:rsidP="00122B70">
      <w:pPr>
        <w:bidi/>
        <w:rPr>
          <w:sz w:val="32"/>
          <w:szCs w:val="32"/>
          <w:rtl/>
        </w:rPr>
      </w:pPr>
      <w:r w:rsidRPr="00F27422">
        <w:rPr>
          <w:sz w:val="32"/>
          <w:szCs w:val="32"/>
          <w:rtl/>
        </w:rPr>
        <w:t xml:space="preserve">كما في قول سيد العروة (قدس سره الشريف): </w:t>
      </w:r>
      <w:r w:rsidRPr="00F27422">
        <w:rPr>
          <w:b/>
          <w:bCs/>
          <w:sz w:val="32"/>
          <w:szCs w:val="32"/>
          <w:rtl/>
        </w:rPr>
        <w:t>(وكذا له الخيار إذا حدث فيها)</w:t>
      </w:r>
      <w:r w:rsidRPr="00F27422">
        <w:rPr>
          <w:sz w:val="32"/>
          <w:szCs w:val="32"/>
          <w:rtl/>
        </w:rPr>
        <w:t xml:space="preserve"> أي: في العين </w:t>
      </w:r>
      <w:r w:rsidRPr="00F27422">
        <w:rPr>
          <w:b/>
          <w:bCs/>
          <w:sz w:val="32"/>
          <w:szCs w:val="32"/>
          <w:rtl/>
        </w:rPr>
        <w:t>(عيب بعد العقد وقبل القبض، بل بعد القبض أيضاً)</w:t>
      </w:r>
      <w:r w:rsidRPr="00F27422">
        <w:rPr>
          <w:sz w:val="32"/>
          <w:szCs w:val="32"/>
          <w:rtl/>
        </w:rPr>
        <w:t xml:space="preserve"> فلا فرق في ثبوت الخيار بين أنْ يكون العيب حادثاً قَبل القبض أو بَعْدَه.</w:t>
      </w:r>
    </w:p>
    <w:p w14:paraId="22EA751B" w14:textId="77777777" w:rsidR="00927A62" w:rsidRPr="00F27422" w:rsidRDefault="00927A62" w:rsidP="00122B70">
      <w:pPr>
        <w:bidi/>
        <w:rPr>
          <w:b/>
          <w:bCs/>
          <w:sz w:val="32"/>
          <w:szCs w:val="32"/>
          <w:rtl/>
          <w:lang w:bidi="ar-BH"/>
        </w:rPr>
      </w:pPr>
      <w:r w:rsidRPr="00F27422">
        <w:rPr>
          <w:sz w:val="32"/>
          <w:szCs w:val="32"/>
          <w:rtl/>
        </w:rPr>
        <w:t xml:space="preserve">وقد ورد في تعلّيقة المحقّق النائيني (قدس سره) على كلام الماتن في المقام قوله: </w:t>
      </w:r>
      <w:r w:rsidRPr="00F27422">
        <w:rPr>
          <w:b/>
          <w:bCs/>
          <w:sz w:val="32"/>
          <w:szCs w:val="32"/>
          <w:rtl/>
        </w:rPr>
        <w:t>(هذه المسألة مشكلة غاية الإشكال)</w:t>
      </w:r>
      <w:r w:rsidRPr="00F27422">
        <w:rPr>
          <w:b/>
          <w:bCs/>
          <w:sz w:val="32"/>
          <w:szCs w:val="32"/>
          <w:vertAlign w:val="superscript"/>
          <w:rtl/>
        </w:rPr>
        <w:footnoteReference w:id="101"/>
      </w:r>
      <w:r w:rsidRPr="00F27422">
        <w:rPr>
          <w:b/>
          <w:bCs/>
          <w:sz w:val="32"/>
          <w:szCs w:val="32"/>
          <w:rtl/>
        </w:rPr>
        <w:t>.</w:t>
      </w:r>
      <w:r w:rsidRPr="00F27422">
        <w:rPr>
          <w:sz w:val="32"/>
          <w:szCs w:val="32"/>
          <w:rtl/>
        </w:rPr>
        <w:t xml:space="preserve"> أي: أنّ تعميم الخيار حتى للعيب الحادث بَعْدَ القبض في غاية الإشكال</w:t>
      </w:r>
      <w:r w:rsidRPr="00F27422">
        <w:rPr>
          <w:sz w:val="32"/>
          <w:szCs w:val="32"/>
        </w:rPr>
        <w:t>.</w:t>
      </w:r>
    </w:p>
    <w:p w14:paraId="179B5D82" w14:textId="77777777" w:rsidR="00927A62" w:rsidRPr="00F27422" w:rsidRDefault="00927A62" w:rsidP="00122B70">
      <w:pPr>
        <w:bidi/>
        <w:rPr>
          <w:b/>
          <w:bCs/>
          <w:sz w:val="32"/>
          <w:szCs w:val="32"/>
          <w:rtl/>
          <w:lang w:bidi="ar-BH"/>
        </w:rPr>
      </w:pPr>
      <w:r w:rsidRPr="00F27422">
        <w:rPr>
          <w:sz w:val="32"/>
          <w:szCs w:val="32"/>
          <w:rtl/>
        </w:rPr>
        <w:t>لكن سيدنا الخوئي (قدس سره) في موسوعته المباركة في كتاب الإجارة</w:t>
      </w:r>
      <w:r w:rsidRPr="00F27422">
        <w:rPr>
          <w:sz w:val="32"/>
          <w:szCs w:val="32"/>
          <w:vertAlign w:val="superscript"/>
          <w:rtl/>
        </w:rPr>
        <w:footnoteReference w:id="102"/>
      </w:r>
      <w:r w:rsidRPr="00F27422">
        <w:rPr>
          <w:sz w:val="32"/>
          <w:szCs w:val="32"/>
          <w:rtl/>
        </w:rPr>
        <w:t xml:space="preserve"> أفاد بقوله: </w:t>
      </w:r>
      <w:r w:rsidRPr="00F27422">
        <w:rPr>
          <w:b/>
          <w:bCs/>
          <w:sz w:val="32"/>
          <w:szCs w:val="32"/>
          <w:rtl/>
        </w:rPr>
        <w:t>(لا إشكال في أنّ هذا العيب موجب للخيار في البيع، لإطلاق الأخبار المتضمّنة لثبوته فيمن اشترى عيناً فوجد فيها عيباً، فإنّها تشمل العيب الحادث قبل العقد وبعده. كما لا إشكال في أنّه لا يوجبه فيه فيما إذا حدث بعد القبض، لخروج العين بالتسليم عن عهدة البائع، وكون الغرامة حينئذٍ كالغنيمة في ملك المشتري</w:t>
      </w:r>
      <w:r w:rsidRPr="00F27422">
        <w:rPr>
          <w:b/>
          <w:bCs/>
          <w:sz w:val="32"/>
          <w:szCs w:val="32"/>
        </w:rPr>
        <w:t>.</w:t>
      </w:r>
    </w:p>
    <w:p w14:paraId="3E5F0FC1" w14:textId="77777777" w:rsidR="00927A62" w:rsidRPr="00F27422" w:rsidRDefault="00927A62" w:rsidP="00122B70">
      <w:pPr>
        <w:bidi/>
        <w:rPr>
          <w:b/>
          <w:bCs/>
          <w:sz w:val="32"/>
          <w:szCs w:val="32"/>
          <w:rtl/>
          <w:lang w:bidi="ar-BH"/>
        </w:rPr>
      </w:pPr>
      <w:r w:rsidRPr="00F27422">
        <w:rPr>
          <w:b/>
          <w:bCs/>
          <w:sz w:val="32"/>
          <w:szCs w:val="32"/>
          <w:rtl/>
        </w:rPr>
        <w:t>فهل الإجارة أيضاً كذلك، أو لا؟</w:t>
      </w:r>
    </w:p>
    <w:p w14:paraId="5FEC3C8C" w14:textId="77777777" w:rsidR="00927A62" w:rsidRPr="00F27422" w:rsidRDefault="00927A62" w:rsidP="00122B70">
      <w:pPr>
        <w:bidi/>
        <w:rPr>
          <w:b/>
          <w:bCs/>
          <w:sz w:val="32"/>
          <w:szCs w:val="32"/>
          <w:rtl/>
          <w:lang w:bidi="ar-BH"/>
        </w:rPr>
      </w:pPr>
      <w:r w:rsidRPr="00F27422">
        <w:rPr>
          <w:b/>
          <w:bCs/>
          <w:sz w:val="32"/>
          <w:szCs w:val="32"/>
          <w:rtl/>
        </w:rPr>
        <w:t>اختار الثاني في المتن، وأنّ الخيار يثبت بحدوث العيب مطلقاً، سواء أكان قبل العقد أم بعده، قبل القبض أم بعده، حتى إذا استوفى بعض المنفعة ومضى بعض المدّة، كما لو استأجر الدار سنة فحدث فيها عيب بعد ستّة أشهر).</w:t>
      </w:r>
      <w:r w:rsidRPr="00F27422">
        <w:rPr>
          <w:sz w:val="32"/>
          <w:szCs w:val="32"/>
          <w:rtl/>
        </w:rPr>
        <w:t xml:space="preserve"> بأنْ </w:t>
      </w:r>
      <w:proofErr w:type="gramStart"/>
      <w:r w:rsidRPr="00F27422">
        <w:rPr>
          <w:sz w:val="32"/>
          <w:szCs w:val="32"/>
          <w:rtl/>
        </w:rPr>
        <w:t>استلم</w:t>
      </w:r>
      <w:proofErr w:type="gramEnd"/>
      <w:r w:rsidRPr="00F27422">
        <w:rPr>
          <w:sz w:val="32"/>
          <w:szCs w:val="32"/>
          <w:rtl/>
        </w:rPr>
        <w:t xml:space="preserve"> الدار </w:t>
      </w:r>
      <w:proofErr w:type="gramStart"/>
      <w:r w:rsidRPr="00F27422">
        <w:rPr>
          <w:sz w:val="32"/>
          <w:szCs w:val="32"/>
          <w:rtl/>
        </w:rPr>
        <w:t>وسكنها</w:t>
      </w:r>
      <w:proofErr w:type="gramEnd"/>
      <w:r w:rsidRPr="00F27422">
        <w:rPr>
          <w:sz w:val="32"/>
          <w:szCs w:val="32"/>
          <w:rtl/>
        </w:rPr>
        <w:t xml:space="preserve"> ولكن بعد ستّة أشهر حدث خللٌ في جدرانها أو حدث خلل في مجاريها فإنّ الخيار يثبت</w:t>
      </w:r>
      <w:r w:rsidRPr="00F27422">
        <w:rPr>
          <w:sz w:val="32"/>
          <w:szCs w:val="32"/>
        </w:rPr>
        <w:t>.</w:t>
      </w:r>
    </w:p>
    <w:p w14:paraId="04DBB41C" w14:textId="77777777" w:rsidR="00927A62" w:rsidRPr="00F27422" w:rsidRDefault="00927A62" w:rsidP="00122B70">
      <w:pPr>
        <w:bidi/>
        <w:rPr>
          <w:b/>
          <w:bCs/>
          <w:sz w:val="32"/>
          <w:szCs w:val="32"/>
          <w:rtl/>
          <w:lang w:bidi="ar-BH"/>
        </w:rPr>
      </w:pPr>
      <w:r w:rsidRPr="00F27422">
        <w:rPr>
          <w:b/>
          <w:bCs/>
          <w:sz w:val="32"/>
          <w:szCs w:val="32"/>
          <w:rtl/>
        </w:rPr>
        <w:t>(والظاهر أنّ ما أفاده (قدس سره) هو الصحيح. والوجه فيه: أنّ العين في باب الإجارة باقية على ملك المؤجّر)</w:t>
      </w:r>
      <w:r w:rsidRPr="00F27422">
        <w:rPr>
          <w:sz w:val="32"/>
          <w:szCs w:val="32"/>
          <w:rtl/>
        </w:rPr>
        <w:t xml:space="preserve"> لأنّ المعاوضة ليست على العين في باب الإجارة </w:t>
      </w:r>
      <w:r w:rsidRPr="00F27422">
        <w:rPr>
          <w:b/>
          <w:bCs/>
          <w:sz w:val="32"/>
          <w:szCs w:val="32"/>
          <w:rtl/>
        </w:rPr>
        <w:t>(والذي ينتقل إلى المستأجر إنّما هي المنافع خاصّة، وقد عرفت أنّ متعلق عقد الإجارة بمقتضى الشرط الضمني الارتكازي إنّما هي العين</w:t>
      </w:r>
      <w:r w:rsidRPr="00F27422">
        <w:rPr>
          <w:sz w:val="32"/>
          <w:szCs w:val="32"/>
          <w:rtl/>
        </w:rPr>
        <w:t xml:space="preserve"> </w:t>
      </w:r>
      <w:r w:rsidRPr="00F27422">
        <w:rPr>
          <w:b/>
          <w:bCs/>
          <w:sz w:val="32"/>
          <w:szCs w:val="32"/>
          <w:rtl/>
        </w:rPr>
        <w:t>الصحيحة)</w:t>
      </w:r>
      <w:r w:rsidRPr="00F27422">
        <w:rPr>
          <w:sz w:val="32"/>
          <w:szCs w:val="32"/>
          <w:rtl/>
        </w:rPr>
        <w:t xml:space="preserve"> السليمة </w:t>
      </w:r>
      <w:r w:rsidRPr="00F27422">
        <w:rPr>
          <w:b/>
          <w:bCs/>
          <w:sz w:val="32"/>
          <w:szCs w:val="32"/>
          <w:rtl/>
        </w:rPr>
        <w:t>(القابلة للانتفاع بها منفعةً مطلوبة مرغوبة، إذ المنتقل إليه)</w:t>
      </w:r>
      <w:r w:rsidRPr="00F27422">
        <w:rPr>
          <w:sz w:val="32"/>
          <w:szCs w:val="32"/>
          <w:rtl/>
        </w:rPr>
        <w:t xml:space="preserve"> أي: إلى المُستأجر بالإجارة </w:t>
      </w:r>
      <w:r w:rsidRPr="00F27422">
        <w:rPr>
          <w:b/>
          <w:bCs/>
          <w:sz w:val="32"/>
          <w:szCs w:val="32"/>
          <w:rtl/>
        </w:rPr>
        <w:t xml:space="preserve">(إنّما هي منفعة العين الصحيحة) </w:t>
      </w:r>
      <w:r w:rsidRPr="00F27422">
        <w:rPr>
          <w:sz w:val="32"/>
          <w:szCs w:val="32"/>
          <w:rtl/>
        </w:rPr>
        <w:t xml:space="preserve">فلابُدّ أنْ يكون متعلّق الشرط الارتكازي المنفعةُ للعين الصحيحة </w:t>
      </w:r>
      <w:r w:rsidRPr="00F27422">
        <w:rPr>
          <w:b/>
          <w:bCs/>
          <w:sz w:val="32"/>
          <w:szCs w:val="32"/>
          <w:rtl/>
        </w:rPr>
        <w:t xml:space="preserve">(لا كيفما اتّفق، وهذه المنافع وإن كان قبضها بقبض نفس العين) </w:t>
      </w:r>
      <w:r w:rsidRPr="00F27422">
        <w:rPr>
          <w:sz w:val="32"/>
          <w:szCs w:val="32"/>
          <w:rtl/>
        </w:rPr>
        <w:t xml:space="preserve">بمعنى: أنّه لما استلم العين قبض المنافع مع أنّ المنافع تدريجيّة، فمنافع ما بعد ستّة أشهر لم يأتِ وقتها بعد، لكنه عندما قبض العين قبض المنافع </w:t>
      </w:r>
      <w:r w:rsidRPr="00F27422">
        <w:rPr>
          <w:b/>
          <w:bCs/>
          <w:sz w:val="32"/>
          <w:szCs w:val="32"/>
          <w:rtl/>
        </w:rPr>
        <w:t xml:space="preserve">(إلّا </w:t>
      </w:r>
      <w:r w:rsidRPr="00F27422">
        <w:rPr>
          <w:b/>
          <w:bCs/>
          <w:sz w:val="32"/>
          <w:szCs w:val="32"/>
          <w:rtl/>
        </w:rPr>
        <w:lastRenderedPageBreak/>
        <w:t>أنّها لمّا كانت تدريجيّة الحصول ولم تكن مجتمعة في الوجود فلا جرم كان وصف الصحّة)</w:t>
      </w:r>
      <w:r w:rsidRPr="00F27422">
        <w:rPr>
          <w:sz w:val="32"/>
          <w:szCs w:val="32"/>
          <w:rtl/>
        </w:rPr>
        <w:t xml:space="preserve"> المشروط بالشرط الارتكازي في العين المستأجرة </w:t>
      </w:r>
      <w:r w:rsidRPr="00F27422">
        <w:rPr>
          <w:b/>
          <w:bCs/>
          <w:sz w:val="32"/>
          <w:szCs w:val="32"/>
          <w:rtl/>
        </w:rPr>
        <w:t>(ملحوظاً ومشروطاً في العين المستأجرة حدوثاً وبقاءً بمناط واحد، فإنّ العلّة المقتضية لاعتباره)</w:t>
      </w:r>
      <w:r w:rsidRPr="00F27422">
        <w:rPr>
          <w:sz w:val="32"/>
          <w:szCs w:val="32"/>
          <w:rtl/>
        </w:rPr>
        <w:t xml:space="preserve"> أي: لاشتراطه </w:t>
      </w:r>
      <w:r w:rsidRPr="00F27422">
        <w:rPr>
          <w:b/>
          <w:bCs/>
          <w:sz w:val="32"/>
          <w:szCs w:val="32"/>
          <w:rtl/>
        </w:rPr>
        <w:t>(حدوثاً بعينها تقتضي اعتباره)</w:t>
      </w:r>
      <w:r w:rsidRPr="00F27422">
        <w:rPr>
          <w:sz w:val="32"/>
          <w:szCs w:val="32"/>
          <w:rtl/>
        </w:rPr>
        <w:t xml:space="preserve"> أو قُل: اشتراطه </w:t>
      </w:r>
      <w:r w:rsidRPr="00F27422">
        <w:rPr>
          <w:b/>
          <w:bCs/>
          <w:sz w:val="32"/>
          <w:szCs w:val="32"/>
          <w:rtl/>
        </w:rPr>
        <w:t>(بقاءً أيضاً وهي بناء العقلاء بمقتضى الشرط الارتكازي)</w:t>
      </w:r>
      <w:r w:rsidRPr="00F27422">
        <w:rPr>
          <w:sz w:val="32"/>
          <w:szCs w:val="32"/>
          <w:rtl/>
        </w:rPr>
        <w:t xml:space="preserve"> وهو شرط السلامة </w:t>
      </w:r>
      <w:r w:rsidRPr="00F27422">
        <w:rPr>
          <w:b/>
          <w:bCs/>
          <w:sz w:val="32"/>
          <w:szCs w:val="32"/>
          <w:rtl/>
        </w:rPr>
        <w:t xml:space="preserve">(على صلاحيّة العين للانتفاع بها منفعةً صحيحة) </w:t>
      </w:r>
      <w:r w:rsidRPr="00F27422">
        <w:rPr>
          <w:sz w:val="32"/>
          <w:szCs w:val="32"/>
          <w:rtl/>
        </w:rPr>
        <w:t xml:space="preserve">مدّة الإجارة، فإنّ شرط السلامة يعني أنّه يشترط صلاحية العين للانتفاع بها مدّة الإجارة </w:t>
      </w:r>
      <w:r w:rsidRPr="00F27422">
        <w:rPr>
          <w:b/>
          <w:bCs/>
          <w:sz w:val="32"/>
          <w:szCs w:val="32"/>
          <w:rtl/>
        </w:rPr>
        <w:t xml:space="preserve">(حيث إنّ لازمه اعتبار بقائها على صفة الصحّة إلى نهاية المدّة، بحث لو حدث العيب أثناءها) </w:t>
      </w:r>
      <w:r w:rsidRPr="00F27422">
        <w:rPr>
          <w:sz w:val="32"/>
          <w:szCs w:val="32"/>
          <w:rtl/>
        </w:rPr>
        <w:t xml:space="preserve">أي: أثناء المدّة </w:t>
      </w:r>
      <w:r w:rsidRPr="00F27422">
        <w:rPr>
          <w:b/>
          <w:bCs/>
          <w:sz w:val="32"/>
          <w:szCs w:val="32"/>
          <w:rtl/>
        </w:rPr>
        <w:t>(أو بعد القبض قبل الاستيفاء)</w:t>
      </w:r>
      <w:r w:rsidRPr="00F27422">
        <w:rPr>
          <w:sz w:val="32"/>
          <w:szCs w:val="32"/>
          <w:rtl/>
        </w:rPr>
        <w:t xml:space="preserve"> أي: استيفاء المنفعة المتأخرة </w:t>
      </w:r>
      <w:r w:rsidRPr="00F27422">
        <w:rPr>
          <w:b/>
          <w:bCs/>
          <w:sz w:val="32"/>
          <w:szCs w:val="32"/>
          <w:rtl/>
        </w:rPr>
        <w:t>(فضلاً عمّا قبل القبض فقد تخلّف الشرط)</w:t>
      </w:r>
      <w:r w:rsidRPr="00F27422">
        <w:rPr>
          <w:sz w:val="32"/>
          <w:szCs w:val="32"/>
          <w:rtl/>
        </w:rPr>
        <w:t xml:space="preserve"> إذ الشرط الارتكازي هو سلامة العين </w:t>
      </w:r>
      <w:r w:rsidRPr="00F27422">
        <w:rPr>
          <w:b/>
          <w:bCs/>
          <w:sz w:val="32"/>
          <w:szCs w:val="32"/>
          <w:rtl/>
        </w:rPr>
        <w:t>(لسقوط العين عن الصلاحيّة لتلك المنفعة المطلوبة في بقيّة المدّة، كما لو استأجر عبداً للكتابة يوماً فمرض أثناء النهار بحيث أصبحت كتابته بطيئة أو رديئة، أو دابّة للركوب)</w:t>
      </w:r>
      <w:r w:rsidRPr="00F27422">
        <w:rPr>
          <w:sz w:val="32"/>
          <w:szCs w:val="32"/>
          <w:rtl/>
        </w:rPr>
        <w:t xml:space="preserve"> أو استأجر في زماننا اليوم سيارةً للركوب </w:t>
      </w:r>
      <w:r w:rsidRPr="00F27422">
        <w:rPr>
          <w:b/>
          <w:bCs/>
          <w:sz w:val="32"/>
          <w:szCs w:val="32"/>
          <w:rtl/>
        </w:rPr>
        <w:t>(فحدث فيها عيب أثناء الطريق بحيث أوجب نقصاً في المنفعة).</w:t>
      </w:r>
      <w:r w:rsidRPr="00F27422">
        <w:rPr>
          <w:sz w:val="32"/>
          <w:szCs w:val="32"/>
          <w:rtl/>
        </w:rPr>
        <w:t xml:space="preserve"> فإنّه لا إشكال في ثبوت الخيار له؛ إذ مناط ثبوت الخيار اشتراط السلامة، واشتراط السلامة في باب الإجارة يعني اشتراط صلاحيّة العين للانتفاع بها مدّة الإجارة وقد تخلّف هذا الشرط في بعض المدّة، وإنْ كان قبض المنافع بقبض العين</w:t>
      </w:r>
      <w:r w:rsidRPr="00F27422">
        <w:rPr>
          <w:sz w:val="32"/>
          <w:szCs w:val="32"/>
        </w:rPr>
        <w:t>.</w:t>
      </w:r>
    </w:p>
    <w:p w14:paraId="7B994333" w14:textId="77777777" w:rsidR="00927A62" w:rsidRPr="00F27422" w:rsidRDefault="00927A62" w:rsidP="00122B70">
      <w:pPr>
        <w:bidi/>
        <w:rPr>
          <w:b/>
          <w:bCs/>
          <w:sz w:val="32"/>
          <w:szCs w:val="32"/>
          <w:rtl/>
          <w:lang w:bidi="ar-BH"/>
        </w:rPr>
      </w:pPr>
      <w:r w:rsidRPr="00F27422">
        <w:rPr>
          <w:sz w:val="32"/>
          <w:szCs w:val="32"/>
          <w:rtl/>
        </w:rPr>
        <w:t>ولكن أُورد عليه مِن قِبل بعض الأجلة (رحمه الله) في كتابه الإجارة</w:t>
      </w:r>
      <w:r w:rsidRPr="00F27422">
        <w:rPr>
          <w:sz w:val="32"/>
          <w:szCs w:val="32"/>
          <w:vertAlign w:val="superscript"/>
          <w:rtl/>
        </w:rPr>
        <w:footnoteReference w:id="103"/>
      </w:r>
      <w:r w:rsidRPr="00F27422">
        <w:rPr>
          <w:sz w:val="32"/>
          <w:szCs w:val="32"/>
          <w:rtl/>
        </w:rPr>
        <w:t xml:space="preserve"> بقوله: </w:t>
      </w:r>
      <w:r w:rsidRPr="00F27422">
        <w:rPr>
          <w:b/>
          <w:bCs/>
          <w:sz w:val="32"/>
          <w:szCs w:val="32"/>
          <w:rtl/>
        </w:rPr>
        <w:t>(واستشكل فيه المحقّق النائيني (قدس سره) وذكر أنّ المسألة في غاية الإشكال، واستغرب من ذلك بعض أساتذتنا العظام (قدس سره))</w:t>
      </w:r>
      <w:r w:rsidRPr="00F27422">
        <w:rPr>
          <w:sz w:val="32"/>
          <w:szCs w:val="32"/>
          <w:rtl/>
        </w:rPr>
        <w:t xml:space="preserve"> أي: السيد الخوئي </w:t>
      </w:r>
      <w:r w:rsidRPr="00F27422">
        <w:rPr>
          <w:b/>
          <w:bCs/>
          <w:sz w:val="32"/>
          <w:szCs w:val="32"/>
          <w:rtl/>
        </w:rPr>
        <w:t>(جاعلاً الشرط الضمني هو السلامة إلى آخر مدة الانتفاع، لأنَّ تسلّم المنفعة وتحقق الانتفاع تدريجي الحصول وليس من قبيل العين الذي يتحقق تسلّمه بمجرد القبض)</w:t>
      </w:r>
      <w:r w:rsidRPr="00F27422">
        <w:rPr>
          <w:b/>
          <w:bCs/>
          <w:sz w:val="32"/>
          <w:szCs w:val="32"/>
        </w:rPr>
        <w:t>.</w:t>
      </w:r>
    </w:p>
    <w:p w14:paraId="41B40219" w14:textId="77777777" w:rsidR="00927A62" w:rsidRPr="00F27422" w:rsidRDefault="00927A62" w:rsidP="00122B70">
      <w:pPr>
        <w:bidi/>
        <w:rPr>
          <w:b/>
          <w:bCs/>
          <w:sz w:val="32"/>
          <w:szCs w:val="32"/>
          <w:rtl/>
          <w:lang w:bidi="ar-BH"/>
        </w:rPr>
      </w:pPr>
      <w:r w:rsidRPr="00F27422">
        <w:rPr>
          <w:sz w:val="32"/>
          <w:szCs w:val="32"/>
          <w:rtl/>
        </w:rPr>
        <w:t>أي: أنّ مرجع كلام السيد الخوئي (قدس سره) إلى الفرق بين البيع والإجارة في القبض؛ حيث إنّ متعلّق البيع هو العين واستلامها مِن حين القبض، بينما متعلّق الإجارة المنافع، والمنافع تدريجيّة الحصول، فمقتضى كونها تدريجيّة الحصول، أنْ يصدق على المنافع التي قَبل حصول العيب أنّها منافع بَعْدَ القبض، بينما المنافع التي حصلت بَعْدَ حصول العيب أنّها مِن قبيل العيب قبل القبض</w:t>
      </w:r>
      <w:r w:rsidRPr="00F27422">
        <w:rPr>
          <w:sz w:val="32"/>
          <w:szCs w:val="32"/>
        </w:rPr>
        <w:t>.</w:t>
      </w:r>
    </w:p>
    <w:p w14:paraId="31C15B9D" w14:textId="77777777" w:rsidR="00927A62" w:rsidRPr="00F27422" w:rsidRDefault="00927A62" w:rsidP="00122B70">
      <w:pPr>
        <w:bidi/>
        <w:rPr>
          <w:b/>
          <w:bCs/>
          <w:sz w:val="32"/>
          <w:szCs w:val="32"/>
          <w:rtl/>
          <w:lang w:bidi="ar-BH"/>
        </w:rPr>
      </w:pPr>
      <w:r w:rsidRPr="00F27422">
        <w:rPr>
          <w:sz w:val="32"/>
          <w:szCs w:val="32"/>
          <w:rtl/>
        </w:rPr>
        <w:t>فهذا هو الفرق بين البيع والإجارة، وهذا ما هو في ذهن سيدنا الخوئي (قدس سره الشريف)</w:t>
      </w:r>
      <w:r w:rsidRPr="00F27422">
        <w:rPr>
          <w:sz w:val="32"/>
          <w:szCs w:val="32"/>
        </w:rPr>
        <w:t>.</w:t>
      </w:r>
    </w:p>
    <w:p w14:paraId="61E46A67" w14:textId="77777777" w:rsidR="00927A62" w:rsidRPr="00F27422" w:rsidRDefault="00927A62" w:rsidP="00122B70">
      <w:pPr>
        <w:bidi/>
        <w:rPr>
          <w:b/>
          <w:bCs/>
          <w:sz w:val="32"/>
          <w:szCs w:val="32"/>
          <w:rtl/>
          <w:lang w:bidi="ar-BH"/>
        </w:rPr>
      </w:pPr>
      <w:r w:rsidRPr="00F27422">
        <w:rPr>
          <w:sz w:val="32"/>
          <w:szCs w:val="32"/>
          <w:rtl/>
        </w:rPr>
        <w:lastRenderedPageBreak/>
        <w:t xml:space="preserve">ثمّ قال بعض الأجلة (رحمه الله): </w:t>
      </w:r>
      <w:r w:rsidRPr="00F27422">
        <w:rPr>
          <w:b/>
          <w:bCs/>
          <w:sz w:val="32"/>
          <w:szCs w:val="32"/>
          <w:rtl/>
        </w:rPr>
        <w:t>(فبحصول العيب ولو بعد القبض ومضي مدة الانتفاع ينكشف أنَّ المؤجر لم يكن يملك بقاءً إلّا المنفعة الناقصة المعيبة فيكون للمستأجر حق الفسخ كما لو حصل العيب والنقص في الابتداء)</w:t>
      </w:r>
      <w:r w:rsidRPr="00F27422">
        <w:rPr>
          <w:b/>
          <w:bCs/>
          <w:sz w:val="32"/>
          <w:szCs w:val="32"/>
        </w:rPr>
        <w:t>.</w:t>
      </w:r>
    </w:p>
    <w:p w14:paraId="12D2DF7E" w14:textId="77777777" w:rsidR="00927A62" w:rsidRPr="00F27422" w:rsidRDefault="00927A62" w:rsidP="00122B70">
      <w:pPr>
        <w:bidi/>
        <w:rPr>
          <w:b/>
          <w:bCs/>
          <w:sz w:val="32"/>
          <w:szCs w:val="32"/>
          <w:rtl/>
        </w:rPr>
      </w:pPr>
      <w:r w:rsidRPr="00F27422">
        <w:rPr>
          <w:sz w:val="32"/>
          <w:szCs w:val="32"/>
          <w:rtl/>
        </w:rPr>
        <w:t xml:space="preserve">ثم أشكل (رحمه الله) </w:t>
      </w:r>
      <w:proofErr w:type="spellStart"/>
      <w:r w:rsidRPr="00F27422">
        <w:rPr>
          <w:sz w:val="32"/>
          <w:szCs w:val="32"/>
          <w:rtl/>
        </w:rPr>
        <w:t>علىه</w:t>
      </w:r>
      <w:proofErr w:type="spellEnd"/>
      <w:r w:rsidRPr="00F27422">
        <w:rPr>
          <w:sz w:val="32"/>
          <w:szCs w:val="32"/>
          <w:rtl/>
        </w:rPr>
        <w:t xml:space="preserve"> بقوله: </w:t>
      </w:r>
      <w:r w:rsidRPr="00F27422">
        <w:rPr>
          <w:b/>
          <w:bCs/>
          <w:sz w:val="32"/>
          <w:szCs w:val="32"/>
          <w:rtl/>
        </w:rPr>
        <w:t xml:space="preserve">(وفيه: أنَّ العرف والعقلاء يرون قبض العين المستأجرة والاستيلاء عليها من قبل المستأجر في تمام تلك المدة في حوزته، ولهذا لو </w:t>
      </w:r>
      <w:proofErr w:type="gramStart"/>
      <w:r w:rsidRPr="00F27422">
        <w:rPr>
          <w:b/>
          <w:bCs/>
          <w:sz w:val="32"/>
          <w:szCs w:val="32"/>
          <w:rtl/>
        </w:rPr>
        <w:t>اتلفها</w:t>
      </w:r>
      <w:proofErr w:type="gramEnd"/>
      <w:r w:rsidRPr="00F27422">
        <w:rPr>
          <w:b/>
          <w:bCs/>
          <w:sz w:val="32"/>
          <w:szCs w:val="32"/>
          <w:rtl/>
        </w:rPr>
        <w:t xml:space="preserve"> عليه الغاصب كان ضامناً لقيمتها له لا للمؤجر ولا تنفسخ الإجارة. فلو أُريد بالبيان المذكور أنَّ شرط السلامة الارتكازي متخلف في المقام فمن الواضح أنَّ ذلك الشرط ليس بأكثر من شرط السلامة إلى حين الاستلام ودخول المعوض في حوزة صاحبه لا أكثر وهذا متحقّق في المقام، وإن أُريد أنَّ العيب كالتلف خسارة واقعة على العين بالأصالة فيتحملها المالك للعين وهو المؤجر لا المستأجر فهذا لو سلّم في التلف لا يسلّم في العيب الذي تكون العين موجودة وفي حوزة المستأجر وكذلك أصل المنفعة المملوكة له).</w:t>
      </w:r>
    </w:p>
    <w:p w14:paraId="3ED491BB" w14:textId="77777777" w:rsidR="00927A62" w:rsidRPr="00F27422" w:rsidRDefault="00927A62" w:rsidP="00122B70">
      <w:pPr>
        <w:bidi/>
        <w:rPr>
          <w:sz w:val="32"/>
          <w:szCs w:val="32"/>
          <w:rtl/>
        </w:rPr>
      </w:pPr>
    </w:p>
    <w:p w14:paraId="7BE78C2B" w14:textId="77777777" w:rsidR="00927A62" w:rsidRPr="00F27422" w:rsidRDefault="00927A62" w:rsidP="00122B70">
      <w:pPr>
        <w:bidi/>
        <w:rPr>
          <w:b/>
          <w:bCs/>
          <w:sz w:val="32"/>
          <w:szCs w:val="32"/>
          <w:rtl/>
          <w:lang w:bidi="ar-BH"/>
        </w:rPr>
      </w:pPr>
      <w:r w:rsidRPr="00F27422">
        <w:rPr>
          <w:b/>
          <w:bCs/>
          <w:sz w:val="32"/>
          <w:szCs w:val="32"/>
          <w:rtl/>
        </w:rPr>
        <w:t>والحمد لله رب العالمين</w:t>
      </w:r>
    </w:p>
    <w:p w14:paraId="75CC06E7" w14:textId="77777777" w:rsidR="00927A62" w:rsidRPr="00F27422" w:rsidRDefault="00927A62" w:rsidP="00122B70">
      <w:pPr>
        <w:bidi/>
        <w:rPr>
          <w:sz w:val="32"/>
          <w:szCs w:val="32"/>
          <w:rtl/>
        </w:rPr>
      </w:pPr>
    </w:p>
    <w:p w14:paraId="21237908" w14:textId="131166BA" w:rsidR="00927A62" w:rsidRPr="00F27422" w:rsidRDefault="00927A62" w:rsidP="00122B70">
      <w:pPr>
        <w:pStyle w:val="Heading3"/>
        <w:bidi/>
        <w:rPr>
          <w:sz w:val="32"/>
          <w:szCs w:val="32"/>
          <w:rtl/>
        </w:rPr>
      </w:pPr>
      <w:r w:rsidRPr="00F27422">
        <w:rPr>
          <w:rFonts w:hint="cs"/>
          <w:sz w:val="32"/>
          <w:szCs w:val="32"/>
          <w:rtl/>
        </w:rPr>
        <w:t>080</w:t>
      </w:r>
    </w:p>
    <w:p w14:paraId="653D996D" w14:textId="77777777" w:rsidR="00C64898" w:rsidRPr="00F27422" w:rsidRDefault="00C64898" w:rsidP="00122B70">
      <w:pPr>
        <w:bidi/>
        <w:rPr>
          <w:b/>
          <w:bCs/>
          <w:sz w:val="32"/>
          <w:szCs w:val="32"/>
        </w:rPr>
      </w:pPr>
      <w:r w:rsidRPr="00F27422">
        <w:rPr>
          <w:b/>
          <w:bCs/>
          <w:sz w:val="32"/>
          <w:szCs w:val="32"/>
          <w:rtl/>
        </w:rPr>
        <w:t>بسم الله الرحمن الرحيم</w:t>
      </w:r>
    </w:p>
    <w:p w14:paraId="0733D72C" w14:textId="77777777" w:rsidR="00C64898" w:rsidRPr="00F27422" w:rsidRDefault="00C64898"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6AD26E07" w14:textId="77777777" w:rsidR="00C64898" w:rsidRPr="00F27422" w:rsidRDefault="00C64898" w:rsidP="00122B70">
      <w:pPr>
        <w:bidi/>
        <w:rPr>
          <w:sz w:val="32"/>
          <w:szCs w:val="32"/>
          <w:rtl/>
        </w:rPr>
      </w:pPr>
      <w:r w:rsidRPr="00F27422">
        <w:rPr>
          <w:b/>
          <w:bCs/>
          <w:sz w:val="32"/>
          <w:szCs w:val="32"/>
          <w:rtl/>
        </w:rPr>
        <w:t>واللعن الدائم على أعدائهم أجمعين إلى قيام يوم الدين</w:t>
      </w:r>
    </w:p>
    <w:p w14:paraId="25D3E17B" w14:textId="77777777" w:rsidR="00C64898" w:rsidRPr="00F27422" w:rsidRDefault="00C64898" w:rsidP="00122B70">
      <w:pPr>
        <w:bidi/>
        <w:rPr>
          <w:sz w:val="32"/>
          <w:szCs w:val="32"/>
          <w:rtl/>
        </w:rPr>
      </w:pPr>
    </w:p>
    <w:p w14:paraId="4C7DE48E" w14:textId="77777777" w:rsidR="00C64898" w:rsidRPr="00F27422" w:rsidRDefault="00C64898" w:rsidP="00122B70">
      <w:pPr>
        <w:bidi/>
        <w:rPr>
          <w:sz w:val="32"/>
          <w:szCs w:val="32"/>
          <w:rtl/>
        </w:rPr>
      </w:pPr>
      <w:r w:rsidRPr="00F27422">
        <w:rPr>
          <w:sz w:val="32"/>
          <w:szCs w:val="32"/>
          <w:rtl/>
        </w:rPr>
        <w:t>وحاصلُ إشكال بعض الأجلة (رحمه الله) على مطلب سيدنا الخوئي (قدس سره الشريف) الموافق لمتن العروة مِن ثبوت خيار العيب بالعيب الحادث بَعْدَ القبض، يبتني على مقدمتين</w:t>
      </w:r>
      <w:r w:rsidRPr="00F27422">
        <w:rPr>
          <w:sz w:val="32"/>
          <w:szCs w:val="32"/>
        </w:rPr>
        <w:t>:</w:t>
      </w:r>
    </w:p>
    <w:p w14:paraId="14B5F042" w14:textId="77777777" w:rsidR="00C64898" w:rsidRPr="00F27422" w:rsidRDefault="00C64898" w:rsidP="00122B70">
      <w:pPr>
        <w:bidi/>
        <w:rPr>
          <w:sz w:val="32"/>
          <w:szCs w:val="32"/>
          <w:rtl/>
        </w:rPr>
      </w:pPr>
      <w:r w:rsidRPr="00F27422">
        <w:rPr>
          <w:b/>
          <w:bCs/>
          <w:sz w:val="32"/>
          <w:szCs w:val="32"/>
          <w:rtl/>
        </w:rPr>
        <w:t xml:space="preserve">المقدمة الأُولى: </w:t>
      </w:r>
      <w:r w:rsidRPr="00F27422">
        <w:rPr>
          <w:sz w:val="32"/>
          <w:szCs w:val="32"/>
          <w:rtl/>
        </w:rPr>
        <w:t>تحقّق قبض المنافع بقبض العين</w:t>
      </w:r>
      <w:r w:rsidRPr="00F27422">
        <w:rPr>
          <w:sz w:val="32"/>
          <w:szCs w:val="32"/>
        </w:rPr>
        <w:t>.</w:t>
      </w:r>
    </w:p>
    <w:p w14:paraId="22CED132" w14:textId="77777777" w:rsidR="00C64898" w:rsidRPr="00F27422" w:rsidRDefault="00C64898" w:rsidP="00122B70">
      <w:pPr>
        <w:bidi/>
        <w:rPr>
          <w:sz w:val="32"/>
          <w:szCs w:val="32"/>
          <w:rtl/>
        </w:rPr>
      </w:pPr>
      <w:r w:rsidRPr="00F27422">
        <w:rPr>
          <w:b/>
          <w:bCs/>
          <w:sz w:val="32"/>
          <w:szCs w:val="32"/>
          <w:rtl/>
        </w:rPr>
        <w:t>وبيانُه:</w:t>
      </w:r>
      <w:r w:rsidRPr="00F27422">
        <w:rPr>
          <w:sz w:val="32"/>
          <w:szCs w:val="32"/>
          <w:rtl/>
        </w:rPr>
        <w:t xml:space="preserve"> أنّ العرف العقلائي يرى أنّ قبض المنافع في باب الإجارة - وإنْ كانت المنافع تدريجيّة الوجود - مما يتحقّق بقبض العين المُستأجرة والاستيلاء عليها مِن قِبل المستأجر، وأنّ المنافع المتجددة هي في حوزة الُمستأجر</w:t>
      </w:r>
      <w:r w:rsidRPr="00F27422">
        <w:rPr>
          <w:sz w:val="32"/>
          <w:szCs w:val="32"/>
        </w:rPr>
        <w:t>.</w:t>
      </w:r>
    </w:p>
    <w:p w14:paraId="733C2DFF" w14:textId="77777777" w:rsidR="00C64898" w:rsidRPr="00F27422" w:rsidRDefault="00C64898" w:rsidP="00122B70">
      <w:pPr>
        <w:bidi/>
        <w:rPr>
          <w:sz w:val="32"/>
          <w:szCs w:val="32"/>
          <w:rtl/>
        </w:rPr>
      </w:pPr>
      <w:r w:rsidRPr="00F27422">
        <w:rPr>
          <w:b/>
          <w:bCs/>
          <w:sz w:val="32"/>
          <w:szCs w:val="32"/>
          <w:rtl/>
        </w:rPr>
        <w:lastRenderedPageBreak/>
        <w:t>والشاهد على ذلك:</w:t>
      </w:r>
      <w:r w:rsidRPr="00F27422">
        <w:rPr>
          <w:sz w:val="32"/>
          <w:szCs w:val="32"/>
          <w:rtl/>
        </w:rPr>
        <w:t xml:space="preserve"> أنّه لو أتلفها عليه الغاصب لكان ضامناً لقيمتها للمُستأجر - لا للمؤجر -، كما لا تنفسخ الإجارة بذلك</w:t>
      </w:r>
      <w:r w:rsidRPr="00F27422">
        <w:rPr>
          <w:sz w:val="32"/>
          <w:szCs w:val="32"/>
        </w:rPr>
        <w:t>.</w:t>
      </w:r>
    </w:p>
    <w:p w14:paraId="66BD90BC" w14:textId="77777777" w:rsidR="00C64898" w:rsidRPr="00F27422" w:rsidRDefault="00C64898" w:rsidP="00122B70">
      <w:pPr>
        <w:bidi/>
        <w:rPr>
          <w:sz w:val="32"/>
          <w:szCs w:val="32"/>
          <w:rtl/>
        </w:rPr>
      </w:pPr>
      <w:r w:rsidRPr="00F27422">
        <w:rPr>
          <w:sz w:val="32"/>
          <w:szCs w:val="32"/>
          <w:rtl/>
        </w:rPr>
        <w:t>وهذا منبهٌ على أنّ المنافع مما يتحقّق قبضها بقبض العين</w:t>
      </w:r>
      <w:r w:rsidRPr="00F27422">
        <w:rPr>
          <w:sz w:val="32"/>
          <w:szCs w:val="32"/>
        </w:rPr>
        <w:t>.</w:t>
      </w:r>
    </w:p>
    <w:p w14:paraId="11667B4E" w14:textId="77777777" w:rsidR="00C64898" w:rsidRPr="00F27422" w:rsidRDefault="00C64898" w:rsidP="00122B70">
      <w:pPr>
        <w:bidi/>
        <w:rPr>
          <w:sz w:val="32"/>
          <w:szCs w:val="32"/>
          <w:rtl/>
        </w:rPr>
      </w:pPr>
      <w:r w:rsidRPr="00F27422">
        <w:rPr>
          <w:b/>
          <w:bCs/>
          <w:sz w:val="32"/>
          <w:szCs w:val="32"/>
          <w:rtl/>
        </w:rPr>
        <w:t>المقدمة الثانية:</w:t>
      </w:r>
      <w:r w:rsidRPr="00F27422">
        <w:rPr>
          <w:sz w:val="32"/>
          <w:szCs w:val="32"/>
          <w:rtl/>
        </w:rPr>
        <w:t xml:space="preserve"> إنّ مبنى السيد الخوئي (قدس سره الشريف) هو: أنّ مدرك امتداد الخيار لفرض تجدّد العيب بَعْدَ القبض إمّا شرط السلامة أو قاعدة "لا ضرر" أو كون العيب مِن سنخ التلف</w:t>
      </w:r>
      <w:r w:rsidRPr="00F27422">
        <w:rPr>
          <w:sz w:val="32"/>
          <w:szCs w:val="32"/>
        </w:rPr>
        <w:t>.</w:t>
      </w:r>
    </w:p>
    <w:p w14:paraId="23950E3E" w14:textId="77777777" w:rsidR="00C64898" w:rsidRPr="00F27422" w:rsidRDefault="00C64898" w:rsidP="00122B70">
      <w:pPr>
        <w:bidi/>
        <w:rPr>
          <w:sz w:val="32"/>
          <w:szCs w:val="32"/>
          <w:rtl/>
        </w:rPr>
      </w:pPr>
      <w:r w:rsidRPr="00F27422">
        <w:rPr>
          <w:b/>
          <w:bCs/>
          <w:sz w:val="32"/>
          <w:szCs w:val="32"/>
          <w:rtl/>
        </w:rPr>
        <w:t>فإنّ كان المنظور هو الأوّل،</w:t>
      </w:r>
      <w:r w:rsidRPr="00F27422">
        <w:rPr>
          <w:sz w:val="32"/>
          <w:szCs w:val="32"/>
          <w:rtl/>
        </w:rPr>
        <w:t xml:space="preserve"> وهو أنّ مقتضى شرط السلامة ثبوتُ خيار العيب في العيب المتجدد بَعْدَ القبض، فمِن الواضح أنّ ذلك الشرط ليس بأكثر مِن شرط السلامة إلى حين الاستلام ودخول المعوض في حوزة المُستأجر، وهذا متحقّق في المقام؛ حيثُ </w:t>
      </w:r>
      <w:proofErr w:type="gramStart"/>
      <w:r w:rsidRPr="00F27422">
        <w:rPr>
          <w:sz w:val="32"/>
          <w:szCs w:val="32"/>
          <w:rtl/>
        </w:rPr>
        <w:t>استلم</w:t>
      </w:r>
      <w:proofErr w:type="gramEnd"/>
      <w:r w:rsidRPr="00F27422">
        <w:rPr>
          <w:sz w:val="32"/>
          <w:szCs w:val="32"/>
          <w:rtl/>
        </w:rPr>
        <w:t xml:space="preserve"> المنفعة سليمةً وتامةً</w:t>
      </w:r>
      <w:r w:rsidRPr="00F27422">
        <w:rPr>
          <w:sz w:val="32"/>
          <w:szCs w:val="32"/>
        </w:rPr>
        <w:t>.</w:t>
      </w:r>
    </w:p>
    <w:p w14:paraId="28502F20" w14:textId="77777777" w:rsidR="00C64898" w:rsidRPr="00F27422" w:rsidRDefault="00C64898" w:rsidP="00122B70">
      <w:pPr>
        <w:bidi/>
        <w:rPr>
          <w:sz w:val="32"/>
          <w:szCs w:val="32"/>
          <w:rtl/>
        </w:rPr>
      </w:pPr>
      <w:r w:rsidRPr="00F27422">
        <w:rPr>
          <w:b/>
          <w:bCs/>
          <w:sz w:val="32"/>
          <w:szCs w:val="32"/>
          <w:rtl/>
        </w:rPr>
        <w:t>وإنْ كان المنظور هو الثاني،</w:t>
      </w:r>
      <w:r w:rsidRPr="00F27422">
        <w:rPr>
          <w:sz w:val="32"/>
          <w:szCs w:val="32"/>
          <w:rtl/>
        </w:rPr>
        <w:t xml:space="preserve"> وهو الاستناد لقاعدة "لا ضرر"، فقد سبق أنْ لا موجب لتحميل الضرر على المُؤجر مع حصوله في ملك المُستأجر</w:t>
      </w:r>
      <w:r w:rsidRPr="00F27422">
        <w:rPr>
          <w:sz w:val="32"/>
          <w:szCs w:val="32"/>
        </w:rPr>
        <w:t>.</w:t>
      </w:r>
    </w:p>
    <w:p w14:paraId="272CA6DC" w14:textId="77777777" w:rsidR="00C64898" w:rsidRPr="00F27422" w:rsidRDefault="00C64898" w:rsidP="00122B70">
      <w:pPr>
        <w:bidi/>
        <w:rPr>
          <w:sz w:val="32"/>
          <w:szCs w:val="32"/>
          <w:rtl/>
        </w:rPr>
      </w:pPr>
      <w:r w:rsidRPr="00F27422">
        <w:rPr>
          <w:b/>
          <w:bCs/>
          <w:sz w:val="32"/>
          <w:szCs w:val="32"/>
          <w:rtl/>
        </w:rPr>
        <w:t>وإنْ كان المنظور هو الثالث،</w:t>
      </w:r>
      <w:r w:rsidRPr="00F27422">
        <w:rPr>
          <w:sz w:val="32"/>
          <w:szCs w:val="32"/>
          <w:rtl/>
        </w:rPr>
        <w:t xml:space="preserve"> وهو قياس العيب بالتلف، كما لو تلف جزءٌ مِن الدار أو تلف جهازٌ في السيارة مثلاً</w:t>
      </w:r>
      <w:r w:rsidRPr="00F27422">
        <w:rPr>
          <w:sz w:val="32"/>
          <w:szCs w:val="32"/>
        </w:rPr>
        <w:t>.</w:t>
      </w:r>
    </w:p>
    <w:p w14:paraId="7709FD4A" w14:textId="77777777" w:rsidR="00C64898" w:rsidRPr="00F27422" w:rsidRDefault="00C64898" w:rsidP="00122B70">
      <w:pPr>
        <w:bidi/>
        <w:rPr>
          <w:sz w:val="32"/>
          <w:szCs w:val="32"/>
          <w:rtl/>
        </w:rPr>
      </w:pPr>
      <w:r w:rsidRPr="00F27422">
        <w:rPr>
          <w:b/>
          <w:bCs/>
          <w:sz w:val="32"/>
          <w:szCs w:val="32"/>
          <w:rtl/>
        </w:rPr>
        <w:t>بتقريب:</w:t>
      </w:r>
      <w:r w:rsidRPr="00F27422">
        <w:rPr>
          <w:sz w:val="32"/>
          <w:szCs w:val="32"/>
          <w:rtl/>
        </w:rPr>
        <w:t xml:space="preserve"> أنّ العيب كالتلف خسارةٌ واقعةٌ على العين بالأصالة، ومقتضى ذلك أنْ يتحملها مالكُ العين وهو المُؤجر – لا المُستأجر -، فهذا لو سُلّم في التلف فلا يسلّم في العيب التي تكون العين معه موجودةٌ وفي حوزة المُستأجر، غاية ما في الأمر أنّ هناك نقصاً، وإلّا فالعينُ والمنفعةُ في حوزة المُستأجر</w:t>
      </w:r>
      <w:r w:rsidRPr="00F27422">
        <w:rPr>
          <w:sz w:val="32"/>
          <w:szCs w:val="32"/>
        </w:rPr>
        <w:t>.</w:t>
      </w:r>
    </w:p>
    <w:p w14:paraId="55470900" w14:textId="77777777" w:rsidR="00C64898" w:rsidRPr="00F27422" w:rsidRDefault="00C64898" w:rsidP="00122B70">
      <w:pPr>
        <w:bidi/>
        <w:rPr>
          <w:sz w:val="32"/>
          <w:szCs w:val="32"/>
          <w:rtl/>
        </w:rPr>
      </w:pPr>
      <w:r w:rsidRPr="00F27422">
        <w:rPr>
          <w:b/>
          <w:bCs/>
          <w:sz w:val="32"/>
          <w:szCs w:val="32"/>
          <w:rtl/>
        </w:rPr>
        <w:t>والحاصلُ:</w:t>
      </w:r>
      <w:r w:rsidRPr="00F27422">
        <w:rPr>
          <w:sz w:val="32"/>
          <w:szCs w:val="32"/>
          <w:rtl/>
        </w:rPr>
        <w:t xml:space="preserve"> أنّ العرف يرى أنّ العيب الحادث بَعْدَ القبض يُنقص كلا المالين - العينُ المملوكة للمُؤجر والمنفعةُ المملوكة للمُستأجر -، وحيثُ إنّ المنفعة بحوزة المُستأجر فلا وجه لأنْ يتحمل صاحب العين خسارتها، كما لا وجه لأنْ يتحمل المُستأجر خسارة </w:t>
      </w:r>
      <w:proofErr w:type="gramStart"/>
      <w:r w:rsidRPr="00F27422">
        <w:rPr>
          <w:sz w:val="32"/>
          <w:szCs w:val="32"/>
          <w:rtl/>
        </w:rPr>
        <w:t>العين؛  كذلك</w:t>
      </w:r>
      <w:proofErr w:type="gramEnd"/>
      <w:r w:rsidRPr="00F27422">
        <w:rPr>
          <w:sz w:val="32"/>
          <w:szCs w:val="32"/>
          <w:rtl/>
        </w:rPr>
        <w:t xml:space="preserve"> إذا حصلت الخسارة في المنفعة فلا وجه لتحميلها على المُؤجر، فالحكمُ بثبوت الخيار في حالة ما بَعْدَ القبض مِن باب الشرط الضمني كما ذهب إليه سيدنا الخوئي (قدس سره الشريف) وفاقاً للعروة غيرُ تامٍ.</w:t>
      </w:r>
    </w:p>
    <w:p w14:paraId="21312E6D" w14:textId="77777777" w:rsidR="00C64898" w:rsidRPr="00F27422" w:rsidRDefault="00C64898" w:rsidP="00122B70">
      <w:pPr>
        <w:bidi/>
        <w:rPr>
          <w:b/>
          <w:bCs/>
          <w:sz w:val="32"/>
          <w:szCs w:val="32"/>
          <w:rtl/>
        </w:rPr>
      </w:pPr>
      <w:r w:rsidRPr="00F27422">
        <w:rPr>
          <w:b/>
          <w:bCs/>
          <w:sz w:val="32"/>
          <w:szCs w:val="32"/>
          <w:rtl/>
        </w:rPr>
        <w:t>ويلاحظُ عليه:</w:t>
      </w:r>
    </w:p>
    <w:p w14:paraId="76CED4E0" w14:textId="77777777" w:rsidR="00C64898" w:rsidRPr="00F27422" w:rsidRDefault="00C64898" w:rsidP="00122B70">
      <w:pPr>
        <w:bidi/>
        <w:rPr>
          <w:sz w:val="32"/>
          <w:szCs w:val="32"/>
          <w:rtl/>
        </w:rPr>
      </w:pPr>
      <w:r w:rsidRPr="00F27422">
        <w:rPr>
          <w:sz w:val="32"/>
          <w:szCs w:val="32"/>
          <w:rtl/>
        </w:rPr>
        <w:lastRenderedPageBreak/>
        <w:t>أنّ الظاهر مِن تقرير كلام سيدنا الخوئي (قدس سره الشريف) أنّ مناط ثبوت الخيار في العيب الحادث بَعْدَ القبض في باب الإجارة هو اشتراط السلامة، غاية ما في الباب أنّ تطبيق شرط السلامة في باب الإجارة على الأعيان مما يختلف عن تطبيقه في باب البيع</w:t>
      </w:r>
      <w:r w:rsidRPr="00F27422">
        <w:rPr>
          <w:sz w:val="32"/>
          <w:szCs w:val="32"/>
        </w:rPr>
        <w:t>.</w:t>
      </w:r>
    </w:p>
    <w:p w14:paraId="77C987F0" w14:textId="77777777" w:rsidR="00C64898" w:rsidRPr="00F27422" w:rsidRDefault="00C64898" w:rsidP="00122B70">
      <w:pPr>
        <w:bidi/>
        <w:rPr>
          <w:sz w:val="32"/>
          <w:szCs w:val="32"/>
          <w:rtl/>
        </w:rPr>
      </w:pPr>
      <w:r w:rsidRPr="00F27422">
        <w:rPr>
          <w:b/>
          <w:bCs/>
          <w:sz w:val="32"/>
          <w:szCs w:val="32"/>
          <w:rtl/>
        </w:rPr>
        <w:t xml:space="preserve">والسر في ذلك: </w:t>
      </w:r>
      <w:r w:rsidRPr="00F27422">
        <w:rPr>
          <w:sz w:val="32"/>
          <w:szCs w:val="32"/>
          <w:rtl/>
        </w:rPr>
        <w:t>اختلاف الغرض النوعي مِن المعاملتين؛ فإنّ الغرض النوعي مِن باب البيع ليس هو استيفاء المنافع وإنّما تملك العين، فمقتضى ذلك أنّ موطن ثبوت خيار العيب في باب البيع ما كان العيبُ قَبل القبض سواءً كان قَبل العقد أم بَعْدَه؛ فإنّ مقتضى اشتراط السلامة أنْ يصل إليه ملكه سالماً، فإذا وصل إليه ملكه سالماً فلا خيار له وإنْ حصل عيبٌ بَعْدَ القبض</w:t>
      </w:r>
      <w:r w:rsidRPr="00F27422">
        <w:rPr>
          <w:sz w:val="32"/>
          <w:szCs w:val="32"/>
        </w:rPr>
        <w:t>.</w:t>
      </w:r>
    </w:p>
    <w:p w14:paraId="0970F80E" w14:textId="77777777" w:rsidR="00C64898" w:rsidRPr="00F27422" w:rsidRDefault="00C64898" w:rsidP="00122B70">
      <w:pPr>
        <w:bidi/>
        <w:rPr>
          <w:b/>
          <w:bCs/>
          <w:sz w:val="32"/>
          <w:szCs w:val="32"/>
          <w:rtl/>
        </w:rPr>
      </w:pPr>
      <w:r w:rsidRPr="00F27422">
        <w:rPr>
          <w:sz w:val="32"/>
          <w:szCs w:val="32"/>
          <w:rtl/>
        </w:rPr>
        <w:t>وأمّا بلحاظ الروايات الواردة في باب خيار البيع فقد اختلف كلام سيدنا الخوئي (قدس سره الشريف)؛ ففي موسوعته المباركة في كتاب الإجارة</w:t>
      </w:r>
      <w:r w:rsidRPr="00F27422">
        <w:rPr>
          <w:sz w:val="32"/>
          <w:szCs w:val="32"/>
          <w:vertAlign w:val="superscript"/>
          <w:rtl/>
        </w:rPr>
        <w:footnoteReference w:id="104"/>
      </w:r>
      <w:r w:rsidRPr="00F27422">
        <w:rPr>
          <w:sz w:val="32"/>
          <w:szCs w:val="32"/>
          <w:rtl/>
        </w:rPr>
        <w:t xml:space="preserve"> - الذي هو متأخرٌ عن كلامه في كتاب البيع - قد أفاد بقوله: </w:t>
      </w:r>
      <w:r w:rsidRPr="00F27422">
        <w:rPr>
          <w:b/>
          <w:bCs/>
          <w:sz w:val="32"/>
          <w:szCs w:val="32"/>
          <w:rtl/>
        </w:rPr>
        <w:t>(لا إشكال في أنّ هذا العيب موجب للخيار في البيع، لإطلاق الأخبار المتضمنّة لثبوته فيمن اشترى عيناً فوجد فيها عيباً، فإنّها)</w:t>
      </w:r>
      <w:r w:rsidRPr="00F27422">
        <w:rPr>
          <w:sz w:val="32"/>
          <w:szCs w:val="32"/>
          <w:rtl/>
        </w:rPr>
        <w:t xml:space="preserve"> أي: الروايات بإطلاقها </w:t>
      </w:r>
      <w:r w:rsidRPr="00F27422">
        <w:rPr>
          <w:b/>
          <w:bCs/>
          <w:sz w:val="32"/>
          <w:szCs w:val="32"/>
          <w:rtl/>
        </w:rPr>
        <w:t>(تشمل العيب الحادث قبل العقد وبعده. كما لا إشكال في أنّه لا يوجبه)</w:t>
      </w:r>
      <w:r w:rsidRPr="00F27422">
        <w:rPr>
          <w:sz w:val="32"/>
          <w:szCs w:val="32"/>
          <w:rtl/>
        </w:rPr>
        <w:t xml:space="preserve"> أي: الخيار </w:t>
      </w:r>
      <w:r w:rsidRPr="00F27422">
        <w:rPr>
          <w:b/>
          <w:bCs/>
          <w:sz w:val="32"/>
          <w:szCs w:val="32"/>
          <w:rtl/>
        </w:rPr>
        <w:t>(فيه فيما إذا حدث بعد القبض، لخروج العين بالتسليم عن عهدة البائع، وكون الغرامة حينئذٍ كالغنيمة في ملك المشتري)</w:t>
      </w:r>
      <w:r w:rsidRPr="00F27422">
        <w:rPr>
          <w:b/>
          <w:bCs/>
          <w:sz w:val="32"/>
          <w:szCs w:val="32"/>
        </w:rPr>
        <w:t>.</w:t>
      </w:r>
    </w:p>
    <w:p w14:paraId="4DE8D9EC" w14:textId="77777777" w:rsidR="00C64898" w:rsidRPr="00F27422" w:rsidRDefault="00C64898" w:rsidP="00122B70">
      <w:pPr>
        <w:bidi/>
        <w:rPr>
          <w:b/>
          <w:bCs/>
          <w:sz w:val="32"/>
          <w:szCs w:val="32"/>
          <w:rtl/>
        </w:rPr>
      </w:pPr>
      <w:r w:rsidRPr="00F27422">
        <w:rPr>
          <w:sz w:val="32"/>
          <w:szCs w:val="32"/>
          <w:rtl/>
        </w:rPr>
        <w:t>بينما أفاد (قدس سره الشريف) في كتاب التنقيح في شرح المكاسب</w:t>
      </w:r>
      <w:r w:rsidRPr="00F27422">
        <w:rPr>
          <w:sz w:val="32"/>
          <w:szCs w:val="32"/>
          <w:vertAlign w:val="superscript"/>
          <w:rtl/>
        </w:rPr>
        <w:footnoteReference w:id="105"/>
      </w:r>
      <w:r w:rsidRPr="00F27422">
        <w:rPr>
          <w:sz w:val="32"/>
          <w:szCs w:val="32"/>
          <w:rtl/>
        </w:rPr>
        <w:t xml:space="preserve"> بقوله: </w:t>
      </w:r>
      <w:r w:rsidRPr="00F27422">
        <w:rPr>
          <w:b/>
          <w:bCs/>
          <w:sz w:val="32"/>
          <w:szCs w:val="32"/>
          <w:rtl/>
        </w:rPr>
        <w:t>(ولا يخفى أنّ ما أفاده (قدّس سرّه) من تفسير ضمان البائع للعيب الحادث قبل القبض وفي زمان الخيار بكونه كالعيب الموجود قبل العقد في كونه سبباً للخيار يحتاج إلى دليل يلحق العيب الحادث بعد العقد في زمان الخيار</w:t>
      </w:r>
      <w:r w:rsidRPr="00F27422">
        <w:rPr>
          <w:sz w:val="32"/>
          <w:szCs w:val="32"/>
          <w:rtl/>
        </w:rPr>
        <w:t xml:space="preserve"> </w:t>
      </w:r>
      <w:r w:rsidRPr="00F27422">
        <w:rPr>
          <w:b/>
          <w:bCs/>
          <w:sz w:val="32"/>
          <w:szCs w:val="32"/>
          <w:rtl/>
        </w:rPr>
        <w:t>أو قبل القبض بالعيب الموجود قبل العقد، فإنّ الروايات الواردة في أنّ العيب سبب للخيار تختص بالعيب السابق على العقد والبيع)</w:t>
      </w:r>
      <w:r w:rsidRPr="00F27422">
        <w:rPr>
          <w:sz w:val="32"/>
          <w:szCs w:val="32"/>
          <w:rtl/>
        </w:rPr>
        <w:t xml:space="preserve"> لا السابق على القبض </w:t>
      </w:r>
      <w:r w:rsidRPr="00F27422">
        <w:rPr>
          <w:b/>
          <w:bCs/>
          <w:sz w:val="32"/>
          <w:szCs w:val="32"/>
          <w:rtl/>
        </w:rPr>
        <w:t>(لقوله (عليه السلام) في رواية زرارة (أيّما رجل اشترى شيئاً وبه عيب وعوار) الخ وأمّا العيب الحادث بعد البيع ولو في زمان الخيار وقبل القبض فلا يستفاد من الأخبار أنه سبب للخيار)</w:t>
      </w:r>
      <w:r w:rsidRPr="00F27422">
        <w:rPr>
          <w:b/>
          <w:bCs/>
          <w:sz w:val="32"/>
          <w:szCs w:val="32"/>
        </w:rPr>
        <w:t>.</w:t>
      </w:r>
    </w:p>
    <w:p w14:paraId="78FD0C58" w14:textId="77777777" w:rsidR="00C64898" w:rsidRPr="00F27422" w:rsidRDefault="00C64898" w:rsidP="00122B70">
      <w:pPr>
        <w:bidi/>
        <w:rPr>
          <w:sz w:val="32"/>
          <w:szCs w:val="32"/>
          <w:rtl/>
        </w:rPr>
      </w:pPr>
      <w:r w:rsidRPr="00F27422">
        <w:rPr>
          <w:sz w:val="32"/>
          <w:szCs w:val="32"/>
          <w:rtl/>
        </w:rPr>
        <w:t xml:space="preserve">والتعبير بقوله (عليه السلام): </w:t>
      </w:r>
      <w:r w:rsidRPr="00F27422">
        <w:rPr>
          <w:b/>
          <w:bCs/>
          <w:sz w:val="32"/>
          <w:szCs w:val="32"/>
          <w:rtl/>
        </w:rPr>
        <w:t xml:space="preserve">(اشترى شيئاً وبه عيب وعوار) </w:t>
      </w:r>
      <w:r w:rsidRPr="00F27422">
        <w:rPr>
          <w:sz w:val="32"/>
          <w:szCs w:val="32"/>
          <w:rtl/>
        </w:rPr>
        <w:t>ظاهرٌ في سبق العيب على الشراء، وتعدية ذلك للعيب الحادث بَعْدَ العقد ولو كان قَبل القبض مما يحتاج إلى الشاهد والقرينة، ولا قرينة</w:t>
      </w:r>
      <w:r w:rsidRPr="00F27422">
        <w:rPr>
          <w:sz w:val="32"/>
          <w:szCs w:val="32"/>
        </w:rPr>
        <w:t>.</w:t>
      </w:r>
    </w:p>
    <w:p w14:paraId="1ECF9577" w14:textId="77777777" w:rsidR="00C64898" w:rsidRPr="00F27422" w:rsidRDefault="00C64898" w:rsidP="00122B70">
      <w:pPr>
        <w:bidi/>
        <w:rPr>
          <w:sz w:val="32"/>
          <w:szCs w:val="32"/>
          <w:rtl/>
        </w:rPr>
      </w:pPr>
      <w:r w:rsidRPr="00F27422">
        <w:rPr>
          <w:sz w:val="32"/>
          <w:szCs w:val="32"/>
          <w:rtl/>
        </w:rPr>
        <w:lastRenderedPageBreak/>
        <w:t>فكلامه (قدس سره الشريف) مِن جهة شرط السلامة واحدٌ، وأمّا كلامه في باب البيع فيما يستفاد مِن الروايات فهو مختلفٌ</w:t>
      </w:r>
      <w:r w:rsidRPr="00F27422">
        <w:rPr>
          <w:sz w:val="32"/>
          <w:szCs w:val="32"/>
        </w:rPr>
        <w:t>.</w:t>
      </w:r>
    </w:p>
    <w:p w14:paraId="1CA5B5B2" w14:textId="77777777" w:rsidR="00C64898" w:rsidRPr="00F27422" w:rsidRDefault="00C64898" w:rsidP="00122B70">
      <w:pPr>
        <w:bidi/>
        <w:rPr>
          <w:sz w:val="32"/>
          <w:szCs w:val="32"/>
          <w:rtl/>
        </w:rPr>
      </w:pPr>
      <w:r w:rsidRPr="00F27422">
        <w:rPr>
          <w:sz w:val="32"/>
          <w:szCs w:val="32"/>
          <w:rtl/>
        </w:rPr>
        <w:t xml:space="preserve">وأمّا في باب الإجارة، فحيثُ إنّ الغرض النوعي مِن الإجارة هو السلطنة على استيفاء المنفعة - سواءً بالأصالة أو بالوكالة أو بالنيابة - فمقتضى ذلك أنْ يكون موضوعُ اشتراط السلامة - كما صرح به (قدس سره) - صلاحيةُ العين للانتفاع بها مدّة الإجارة، </w:t>
      </w:r>
      <w:r w:rsidRPr="00F27422">
        <w:rPr>
          <w:sz w:val="32"/>
          <w:szCs w:val="32"/>
          <w:highlight w:val="yellow"/>
          <w:rtl/>
        </w:rPr>
        <w:t>فإذا انتفت الصلاحية أثناء مدّة الإجارة بعاملٍ لا يستندُ للمُستأجر</w:t>
      </w:r>
      <w:r w:rsidRPr="00F27422">
        <w:rPr>
          <w:sz w:val="32"/>
          <w:szCs w:val="32"/>
          <w:rtl/>
        </w:rPr>
        <w:t xml:space="preserve"> - إذ لو فرض أنّ العيب حدث نتيجة الاستهلاك فهنا </w:t>
      </w:r>
      <w:r w:rsidRPr="00F27422">
        <w:rPr>
          <w:sz w:val="32"/>
          <w:szCs w:val="32"/>
          <w:highlight w:val="yellow"/>
          <w:rtl/>
        </w:rPr>
        <w:t>لا خيار للمُستأجر لأنّها راجعةٌ له</w:t>
      </w:r>
      <w:r w:rsidRPr="00F27422">
        <w:rPr>
          <w:sz w:val="32"/>
          <w:szCs w:val="32"/>
          <w:rtl/>
        </w:rPr>
        <w:t xml:space="preserve"> - وإنّما لعاملٍ سماوي كالزلزلة أو عملِ آدمي أو عدم صلاحية العين نفسها بمقتضى صنعها كالسيارة القديمة - مثلاً - أو الدار المتهالكة للانتفاع بها على المدى الطويل ثبت لهُ الخيار بمقتضى شرط السلامة</w:t>
      </w:r>
      <w:r w:rsidRPr="00F27422">
        <w:rPr>
          <w:sz w:val="32"/>
          <w:szCs w:val="32"/>
        </w:rPr>
        <w:t>.</w:t>
      </w:r>
    </w:p>
    <w:p w14:paraId="1C3841BC" w14:textId="77777777" w:rsidR="00C64898" w:rsidRPr="00F27422" w:rsidRDefault="00C64898" w:rsidP="00122B70">
      <w:pPr>
        <w:bidi/>
        <w:rPr>
          <w:sz w:val="32"/>
          <w:szCs w:val="32"/>
          <w:rtl/>
        </w:rPr>
      </w:pPr>
      <w:r w:rsidRPr="00F27422">
        <w:rPr>
          <w:sz w:val="32"/>
          <w:szCs w:val="32"/>
          <w:rtl/>
        </w:rPr>
        <w:t>وبالتالي فليس مستندُ هذه الدعوى مِن قِبل سيدنا الخوئي (قدس سره الشريف) هو أنّ المنفعة لَمْ تُقبض بقبض العين، وإنّما قبض كلّ منفعة بحلول زمانها، كي يشكل عليه (قدس سره) مِن قِبل بعض الأجلة (رحمه الله) بأنّ قبض المنافع بقبض العين وبالتالي فقد حصل العيب في حوزته وأنّ مورد اشتراط السلامة هو اشتراطُ السلامة حين القبض لا حين الانتفاع. كيف وقد صرح سيدنا الخوئي (قدس سره) بنفسه بأنّ قبض المنافع بقبض العين، ومع ذلك قال بثبوت الخيار في العيب المتجدد بَعْدَ القبض بمقتضى اشتراط السلامة</w:t>
      </w:r>
      <w:r w:rsidRPr="00F27422">
        <w:rPr>
          <w:sz w:val="32"/>
          <w:szCs w:val="32"/>
        </w:rPr>
        <w:t>.</w:t>
      </w:r>
    </w:p>
    <w:p w14:paraId="353E9B7F" w14:textId="77777777" w:rsidR="00C64898" w:rsidRPr="00F27422" w:rsidRDefault="00C64898" w:rsidP="00122B70">
      <w:pPr>
        <w:bidi/>
        <w:rPr>
          <w:sz w:val="32"/>
          <w:szCs w:val="32"/>
          <w:rtl/>
        </w:rPr>
      </w:pPr>
      <w:r w:rsidRPr="00F27422">
        <w:rPr>
          <w:sz w:val="32"/>
          <w:szCs w:val="32"/>
          <w:rtl/>
        </w:rPr>
        <w:t>فقد صرح بذلك في موسوعته المباركة في كتاب الإجارة</w:t>
      </w:r>
      <w:r w:rsidRPr="00F27422">
        <w:rPr>
          <w:sz w:val="32"/>
          <w:szCs w:val="32"/>
          <w:vertAlign w:val="superscript"/>
          <w:rtl/>
        </w:rPr>
        <w:footnoteReference w:id="106"/>
      </w:r>
      <w:r w:rsidRPr="00F27422">
        <w:rPr>
          <w:sz w:val="32"/>
          <w:szCs w:val="32"/>
          <w:rtl/>
        </w:rPr>
        <w:t xml:space="preserve"> حيثُ قال: </w:t>
      </w:r>
      <w:r w:rsidRPr="00F27422">
        <w:rPr>
          <w:b/>
          <w:bCs/>
          <w:sz w:val="32"/>
          <w:szCs w:val="32"/>
          <w:rtl/>
        </w:rPr>
        <w:t>(وعلى هذا يترتّب ما هو المقرّر عند العقلاء والمتشرّعة من أنّ الغاصب لو غصب العين المستأجرة بعد ما قبضها المستأجر</w:t>
      </w:r>
      <w:r w:rsidRPr="00F27422">
        <w:rPr>
          <w:sz w:val="32"/>
          <w:szCs w:val="32"/>
          <w:rtl/>
        </w:rPr>
        <w:t xml:space="preserve"> – </w:t>
      </w:r>
      <w:r w:rsidRPr="00F27422">
        <w:rPr>
          <w:b/>
          <w:bCs/>
          <w:sz w:val="32"/>
          <w:szCs w:val="32"/>
          <w:rtl/>
        </w:rPr>
        <w:t>الذي يكون بقبضه هذا قابضاً للمنفعة أيضاً – كان ضامناً)</w:t>
      </w:r>
      <w:r w:rsidRPr="00F27422">
        <w:rPr>
          <w:sz w:val="32"/>
          <w:szCs w:val="32"/>
          <w:rtl/>
        </w:rPr>
        <w:t xml:space="preserve"> أي: الغاصب </w:t>
      </w:r>
      <w:r w:rsidRPr="00F27422">
        <w:rPr>
          <w:b/>
          <w:bCs/>
          <w:sz w:val="32"/>
          <w:szCs w:val="32"/>
          <w:rtl/>
        </w:rPr>
        <w:t xml:space="preserve">(للمنافع للمستأجر لا للمالك، فهو) </w:t>
      </w:r>
      <w:r w:rsidRPr="00F27422">
        <w:rPr>
          <w:sz w:val="32"/>
          <w:szCs w:val="32"/>
          <w:rtl/>
        </w:rPr>
        <w:t xml:space="preserve">أي: المُستأجر </w:t>
      </w:r>
      <w:r w:rsidRPr="00F27422">
        <w:rPr>
          <w:b/>
          <w:bCs/>
          <w:sz w:val="32"/>
          <w:szCs w:val="32"/>
          <w:rtl/>
        </w:rPr>
        <w:t xml:space="preserve">(الذي يطالب الغاصب </w:t>
      </w:r>
      <w:proofErr w:type="spellStart"/>
      <w:r w:rsidRPr="00F27422">
        <w:rPr>
          <w:b/>
          <w:bCs/>
          <w:sz w:val="32"/>
          <w:szCs w:val="32"/>
          <w:rtl/>
        </w:rPr>
        <w:t>باُجرة</w:t>
      </w:r>
      <w:proofErr w:type="spellEnd"/>
      <w:r w:rsidRPr="00F27422">
        <w:rPr>
          <w:b/>
          <w:bCs/>
          <w:sz w:val="32"/>
          <w:szCs w:val="32"/>
          <w:rtl/>
        </w:rPr>
        <w:t xml:space="preserve"> المثل للمنافع المستوفاة في تلك المدّة التي ربّما تزيد على الاُجرة المسمّاة بكثير، باعتبار تعلّق الغصب بملكه)</w:t>
      </w:r>
      <w:r w:rsidRPr="00F27422">
        <w:rPr>
          <w:sz w:val="32"/>
          <w:szCs w:val="32"/>
          <w:rtl/>
        </w:rPr>
        <w:t xml:space="preserve"> باعتبار أنّ ضمان الغاصب للمُستأجر لا علاقة لهُ بخيار العيب؛ فإنّ موضوع ضمان الغاصب للمُستأجر أنّه فوت عليه ملكه، وقد حصل ملكه بنفس الإجارة </w:t>
      </w:r>
      <w:r w:rsidRPr="00F27422">
        <w:rPr>
          <w:b/>
          <w:bCs/>
          <w:sz w:val="32"/>
          <w:szCs w:val="32"/>
          <w:rtl/>
        </w:rPr>
        <w:t>(فهو المضمون له دون مالك العين، فلو ردّها إليه لا يضمن له شيئاً بتاتاً)</w:t>
      </w:r>
      <w:r w:rsidRPr="00F27422">
        <w:rPr>
          <w:b/>
          <w:bCs/>
          <w:sz w:val="32"/>
          <w:szCs w:val="32"/>
        </w:rPr>
        <w:t>.</w:t>
      </w:r>
    </w:p>
    <w:p w14:paraId="3DE01494" w14:textId="77777777" w:rsidR="00C64898" w:rsidRPr="00F27422" w:rsidRDefault="00C64898" w:rsidP="00122B70">
      <w:pPr>
        <w:bidi/>
        <w:rPr>
          <w:sz w:val="32"/>
          <w:szCs w:val="32"/>
          <w:rtl/>
        </w:rPr>
      </w:pPr>
      <w:r w:rsidRPr="00F27422">
        <w:rPr>
          <w:sz w:val="32"/>
          <w:szCs w:val="32"/>
          <w:rtl/>
        </w:rPr>
        <w:t xml:space="preserve">كما صرح به أيضاً في موضعٍ آخر من نفس الكتاب، حيثُ قال: </w:t>
      </w:r>
      <w:r w:rsidRPr="00F27422">
        <w:rPr>
          <w:b/>
          <w:bCs/>
          <w:sz w:val="32"/>
          <w:szCs w:val="32"/>
          <w:rtl/>
        </w:rPr>
        <w:t xml:space="preserve">(وهذه المنافع وإن كان قبضها بقبض نفس العين إلّا أنّها لمّا كانت تدريجيّة الحصول ولم تكن مجتمعة في الوجود </w:t>
      </w:r>
      <w:r w:rsidRPr="00F27422">
        <w:rPr>
          <w:b/>
          <w:bCs/>
          <w:sz w:val="32"/>
          <w:szCs w:val="32"/>
          <w:rtl/>
        </w:rPr>
        <w:lastRenderedPageBreak/>
        <w:t>فلا جرم كان وصف الصحّة ملحوظاً ومشروطاً في العين المستأجرة حدوثاً وبقاءً بمناط واحد)</w:t>
      </w:r>
      <w:r w:rsidRPr="00F27422">
        <w:rPr>
          <w:sz w:val="32"/>
          <w:szCs w:val="32"/>
          <w:vertAlign w:val="superscript"/>
          <w:rtl/>
        </w:rPr>
        <w:footnoteReference w:id="107"/>
      </w:r>
      <w:r w:rsidRPr="00F27422">
        <w:rPr>
          <w:sz w:val="32"/>
          <w:szCs w:val="32"/>
          <w:rtl/>
        </w:rPr>
        <w:t>. وهو صلاحية العين للانتفاع بها</w:t>
      </w:r>
      <w:r w:rsidRPr="00F27422">
        <w:rPr>
          <w:sz w:val="32"/>
          <w:szCs w:val="32"/>
        </w:rPr>
        <w:t>.</w:t>
      </w:r>
    </w:p>
    <w:p w14:paraId="58824981" w14:textId="77777777" w:rsidR="00C64898" w:rsidRPr="00F27422" w:rsidRDefault="00C64898" w:rsidP="00122B70">
      <w:pPr>
        <w:bidi/>
        <w:rPr>
          <w:sz w:val="32"/>
          <w:szCs w:val="32"/>
          <w:rtl/>
        </w:rPr>
      </w:pPr>
      <w:r w:rsidRPr="00F27422">
        <w:rPr>
          <w:sz w:val="32"/>
          <w:szCs w:val="32"/>
          <w:rtl/>
        </w:rPr>
        <w:t>إذن، فالإشكال على سيدنا الخوئي (قدس سره الشريف) بما ذُكر غيرُ واردٍ</w:t>
      </w:r>
      <w:r w:rsidRPr="00F27422">
        <w:rPr>
          <w:sz w:val="32"/>
          <w:szCs w:val="32"/>
        </w:rPr>
        <w:t>.</w:t>
      </w:r>
    </w:p>
    <w:p w14:paraId="194ACE9B" w14:textId="77777777" w:rsidR="00C64898" w:rsidRPr="00F27422" w:rsidRDefault="00C64898" w:rsidP="00122B70">
      <w:pPr>
        <w:bidi/>
        <w:rPr>
          <w:b/>
          <w:bCs/>
          <w:sz w:val="32"/>
          <w:szCs w:val="32"/>
          <w:rtl/>
        </w:rPr>
      </w:pPr>
      <w:r w:rsidRPr="00F27422">
        <w:rPr>
          <w:b/>
          <w:bCs/>
          <w:sz w:val="32"/>
          <w:szCs w:val="32"/>
          <w:rtl/>
        </w:rPr>
        <w:t>تعقيبٌ</w:t>
      </w:r>
      <w:r w:rsidRPr="00F27422">
        <w:rPr>
          <w:b/>
          <w:bCs/>
          <w:sz w:val="32"/>
          <w:szCs w:val="32"/>
        </w:rPr>
        <w:t>:</w:t>
      </w:r>
    </w:p>
    <w:p w14:paraId="65E4C3A2" w14:textId="77777777" w:rsidR="00C64898" w:rsidRPr="00F27422" w:rsidRDefault="00C64898" w:rsidP="00122B70">
      <w:pPr>
        <w:bidi/>
        <w:rPr>
          <w:sz w:val="32"/>
          <w:szCs w:val="32"/>
          <w:rtl/>
        </w:rPr>
      </w:pPr>
      <w:r w:rsidRPr="00F27422">
        <w:rPr>
          <w:sz w:val="32"/>
          <w:szCs w:val="32"/>
          <w:rtl/>
        </w:rPr>
        <w:t>إنّ القائل بعدم ثبوت خيار العيب في العيب الحادث بَعْدَ القبض كالمحقق النائيني (قدس سره) لا ينفي خيار العيب بَعْدَ القبض مطلقاً، وإنّما يرى أنّ العيب لو كان ناشئاً عن قصورٍ في العين نفسها - فإنّه يثبت بِهِ الخيار ولو كان العيب بَعْدَ القبض - مِن أوّل الأمر وعدم صلاحيتها للبقاء سالمة في تمام المدّة، فإنّ مثل هذا يعتبرُ عيباً قديماً ونُقصاناً في قابلية الانتفاع مِن أوّل الأمر فيكونُ للمُستأجر خيار العيب لا محالة</w:t>
      </w:r>
      <w:r w:rsidRPr="00F27422">
        <w:rPr>
          <w:sz w:val="32"/>
          <w:szCs w:val="32"/>
        </w:rPr>
        <w:t>.</w:t>
      </w:r>
    </w:p>
    <w:p w14:paraId="143207F4" w14:textId="77777777" w:rsidR="00C64898" w:rsidRPr="00F27422" w:rsidRDefault="00C64898" w:rsidP="00122B70">
      <w:pPr>
        <w:bidi/>
        <w:rPr>
          <w:sz w:val="32"/>
          <w:szCs w:val="32"/>
          <w:rtl/>
        </w:rPr>
      </w:pPr>
      <w:r w:rsidRPr="00F27422">
        <w:rPr>
          <w:sz w:val="32"/>
          <w:szCs w:val="32"/>
          <w:rtl/>
        </w:rPr>
        <w:t>هذا تمامُ الكلام في المورد الأوّل وهو الإجارة على الأعيان</w:t>
      </w:r>
      <w:r w:rsidRPr="00F27422">
        <w:rPr>
          <w:sz w:val="32"/>
          <w:szCs w:val="32"/>
        </w:rPr>
        <w:t>.</w:t>
      </w:r>
    </w:p>
    <w:p w14:paraId="5E67D6E8" w14:textId="77777777" w:rsidR="00C64898" w:rsidRPr="00F27422" w:rsidRDefault="00C64898" w:rsidP="00122B70">
      <w:pPr>
        <w:bidi/>
        <w:rPr>
          <w:b/>
          <w:bCs/>
          <w:sz w:val="32"/>
          <w:szCs w:val="32"/>
          <w:rtl/>
        </w:rPr>
      </w:pPr>
      <w:r w:rsidRPr="00F27422">
        <w:rPr>
          <w:b/>
          <w:bCs/>
          <w:sz w:val="32"/>
          <w:szCs w:val="32"/>
          <w:rtl/>
        </w:rPr>
        <w:t>الموردُ الثاني: في الإجارة على الأعمال</w:t>
      </w:r>
      <w:r w:rsidRPr="00F27422">
        <w:rPr>
          <w:b/>
          <w:bCs/>
          <w:sz w:val="32"/>
          <w:szCs w:val="32"/>
        </w:rPr>
        <w:t>.</w:t>
      </w:r>
    </w:p>
    <w:p w14:paraId="50AC761F" w14:textId="77777777" w:rsidR="00C64898" w:rsidRPr="00F27422" w:rsidRDefault="00C64898" w:rsidP="00122B70">
      <w:pPr>
        <w:bidi/>
        <w:rPr>
          <w:sz w:val="32"/>
          <w:szCs w:val="32"/>
          <w:rtl/>
        </w:rPr>
      </w:pPr>
      <w:r w:rsidRPr="00F27422">
        <w:rPr>
          <w:sz w:val="32"/>
          <w:szCs w:val="32"/>
          <w:rtl/>
        </w:rPr>
        <w:t xml:space="preserve">لو حدث عيبٌ في الأجير أثناء العمل، أي: بَعْدَ أنْ </w:t>
      </w:r>
      <w:proofErr w:type="gramStart"/>
      <w:r w:rsidRPr="00F27422">
        <w:rPr>
          <w:sz w:val="32"/>
          <w:szCs w:val="32"/>
          <w:rtl/>
        </w:rPr>
        <w:t>استلم</w:t>
      </w:r>
      <w:proofErr w:type="gramEnd"/>
      <w:r w:rsidRPr="00F27422">
        <w:rPr>
          <w:sz w:val="32"/>
          <w:szCs w:val="32"/>
          <w:rtl/>
        </w:rPr>
        <w:t xml:space="preserve"> المُستأجرُ مِن الأجيرِ مقداراً مِن العمل حدثَ عيبٌ لا يتمكن معهُ الأجير مِن أداء العمل – لا مطلقاً - كما هو منظورٌ في عقد الإجارة، فهل يثبتُ للمُستأجر خيار العيب أم لا؟</w:t>
      </w:r>
    </w:p>
    <w:p w14:paraId="033C5610" w14:textId="77777777" w:rsidR="00C64898" w:rsidRPr="00F27422" w:rsidRDefault="00C64898" w:rsidP="00122B70">
      <w:pPr>
        <w:bidi/>
        <w:rPr>
          <w:sz w:val="32"/>
          <w:szCs w:val="32"/>
          <w:rtl/>
        </w:rPr>
      </w:pPr>
      <w:r w:rsidRPr="00F27422">
        <w:rPr>
          <w:sz w:val="32"/>
          <w:szCs w:val="32"/>
          <w:rtl/>
        </w:rPr>
        <w:t xml:space="preserve">كما إذا آجر الأبُ ولده غيرَ البالغ للخياطة، أو استأجر شخصاً لسياقة السيارة بحيث يكون الأجيرُ هو السائق، فحدث النقصُ في الأجير – لا في السيارة </w:t>
      </w:r>
      <w:proofErr w:type="gramStart"/>
      <w:r w:rsidRPr="00F27422">
        <w:rPr>
          <w:sz w:val="32"/>
          <w:szCs w:val="32"/>
          <w:rtl/>
        </w:rPr>
        <w:t>-  بَعْدَ</w:t>
      </w:r>
      <w:proofErr w:type="gramEnd"/>
      <w:r w:rsidRPr="00F27422">
        <w:rPr>
          <w:sz w:val="32"/>
          <w:szCs w:val="32"/>
          <w:rtl/>
        </w:rPr>
        <w:t xml:space="preserve"> قبض المستأجر لجزءٍ مِن العمل بحيثُ يقع العملُ الباقي ناقصاً</w:t>
      </w:r>
      <w:r w:rsidRPr="00F27422">
        <w:rPr>
          <w:sz w:val="32"/>
          <w:szCs w:val="32"/>
        </w:rPr>
        <w:t>.</w:t>
      </w:r>
    </w:p>
    <w:p w14:paraId="3CBE4C46" w14:textId="77777777" w:rsidR="00C64898" w:rsidRPr="00F27422" w:rsidRDefault="00C64898" w:rsidP="00122B70">
      <w:pPr>
        <w:bidi/>
        <w:rPr>
          <w:sz w:val="32"/>
          <w:szCs w:val="32"/>
          <w:rtl/>
        </w:rPr>
      </w:pPr>
      <w:r w:rsidRPr="00F27422">
        <w:rPr>
          <w:sz w:val="32"/>
          <w:szCs w:val="32"/>
          <w:rtl/>
        </w:rPr>
        <w:t>فإنّه في مثل ذلك لا إشكال في ثبوت الخيار؛ لأنّ العمل قبضُهُ بفعله لا قبضُهُ مِن حين الشروع، فلا يتحقّق القبض إلّا بإتمامه؛ لأنّ متعلق الإجارة في الأعمال هو العمل، لا الصلاحية والقابلية كما في إجارة الأعيان، فلا يكون تسليمه إلّا بتحقيقه خارجاً</w:t>
      </w:r>
      <w:r w:rsidRPr="00F27422">
        <w:rPr>
          <w:sz w:val="32"/>
          <w:szCs w:val="32"/>
        </w:rPr>
        <w:t>.</w:t>
      </w:r>
    </w:p>
    <w:p w14:paraId="6B80F691" w14:textId="77777777" w:rsidR="00C64898" w:rsidRPr="00F27422" w:rsidRDefault="00C64898" w:rsidP="00122B70">
      <w:pPr>
        <w:bidi/>
        <w:rPr>
          <w:sz w:val="32"/>
          <w:szCs w:val="32"/>
          <w:rtl/>
        </w:rPr>
      </w:pPr>
      <w:r w:rsidRPr="00F27422">
        <w:rPr>
          <w:b/>
          <w:bCs/>
          <w:sz w:val="32"/>
          <w:szCs w:val="32"/>
          <w:rtl/>
        </w:rPr>
        <w:t>وإنْ شئتَ قُلت:</w:t>
      </w:r>
      <w:r w:rsidRPr="00F27422">
        <w:rPr>
          <w:sz w:val="32"/>
          <w:szCs w:val="32"/>
          <w:rtl/>
        </w:rPr>
        <w:t xml:space="preserve"> أنّه لا يصدقُ النقصُ والخسارةُ أنّها وقعتْ في مالِ المُستأجر كما في نقصان منفعة الدار المُستأجرة، بل يكونُ العملُ المُستَأجَر عليه قد أُديّ للمُستأجر ناقصاً فيكونُ لهُ خيار الفسخ أو الأرش على الاختلاف في ذلك.</w:t>
      </w:r>
    </w:p>
    <w:p w14:paraId="4D80010D" w14:textId="77777777" w:rsidR="00C64898" w:rsidRPr="00F27422" w:rsidRDefault="00C64898" w:rsidP="00122B70">
      <w:pPr>
        <w:bidi/>
        <w:rPr>
          <w:b/>
          <w:bCs/>
          <w:sz w:val="32"/>
          <w:szCs w:val="32"/>
          <w:rtl/>
        </w:rPr>
      </w:pPr>
    </w:p>
    <w:p w14:paraId="42B52A9C" w14:textId="77777777" w:rsidR="00C64898" w:rsidRPr="00F27422" w:rsidRDefault="00C64898" w:rsidP="00122B70">
      <w:pPr>
        <w:bidi/>
        <w:rPr>
          <w:b/>
          <w:bCs/>
          <w:sz w:val="32"/>
          <w:szCs w:val="32"/>
          <w:rtl/>
        </w:rPr>
      </w:pPr>
      <w:r w:rsidRPr="00F27422">
        <w:rPr>
          <w:b/>
          <w:bCs/>
          <w:sz w:val="32"/>
          <w:szCs w:val="32"/>
          <w:rtl/>
        </w:rPr>
        <w:lastRenderedPageBreak/>
        <w:t xml:space="preserve">والحمد لله رب العالمين </w:t>
      </w:r>
    </w:p>
    <w:p w14:paraId="6C3B7C82" w14:textId="77777777" w:rsidR="00927A62" w:rsidRPr="00F27422" w:rsidRDefault="00927A62" w:rsidP="00122B70">
      <w:pPr>
        <w:bidi/>
        <w:rPr>
          <w:sz w:val="32"/>
          <w:szCs w:val="32"/>
          <w:rtl/>
        </w:rPr>
      </w:pPr>
    </w:p>
    <w:p w14:paraId="2F55B0C3" w14:textId="28D3F713" w:rsidR="00927A62" w:rsidRPr="00F27422" w:rsidRDefault="00927A62" w:rsidP="00122B70">
      <w:pPr>
        <w:pStyle w:val="Heading3"/>
        <w:bidi/>
        <w:rPr>
          <w:sz w:val="32"/>
          <w:szCs w:val="32"/>
        </w:rPr>
      </w:pPr>
      <w:r w:rsidRPr="00F27422">
        <w:rPr>
          <w:rFonts w:hint="cs"/>
          <w:sz w:val="32"/>
          <w:szCs w:val="32"/>
          <w:rtl/>
        </w:rPr>
        <w:t>081</w:t>
      </w:r>
    </w:p>
    <w:p w14:paraId="5322AF9A" w14:textId="77777777" w:rsidR="0047280E" w:rsidRPr="00F27422" w:rsidRDefault="0047280E" w:rsidP="00122B70">
      <w:pPr>
        <w:bidi/>
        <w:rPr>
          <w:b/>
          <w:bCs/>
          <w:sz w:val="32"/>
          <w:szCs w:val="32"/>
        </w:rPr>
      </w:pPr>
      <w:r w:rsidRPr="00F27422">
        <w:rPr>
          <w:b/>
          <w:bCs/>
          <w:sz w:val="32"/>
          <w:szCs w:val="32"/>
          <w:rtl/>
        </w:rPr>
        <w:t>بسم الله الرحمن الرحيم</w:t>
      </w:r>
    </w:p>
    <w:p w14:paraId="74B78880" w14:textId="77777777" w:rsidR="0047280E" w:rsidRPr="00F27422" w:rsidRDefault="0047280E"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3FFC835F" w14:textId="77777777" w:rsidR="0047280E" w:rsidRPr="00F27422" w:rsidRDefault="0047280E" w:rsidP="00122B70">
      <w:pPr>
        <w:bidi/>
        <w:rPr>
          <w:sz w:val="32"/>
          <w:szCs w:val="32"/>
          <w:rtl/>
          <w:lang w:bidi="ar-BH"/>
        </w:rPr>
      </w:pPr>
      <w:r w:rsidRPr="00F27422">
        <w:rPr>
          <w:b/>
          <w:bCs/>
          <w:sz w:val="32"/>
          <w:szCs w:val="32"/>
          <w:rtl/>
        </w:rPr>
        <w:t>واللعن الدائم على أعدائهم أجمعين إلى قيام يوم الدين</w:t>
      </w:r>
    </w:p>
    <w:p w14:paraId="5548AA81" w14:textId="77777777" w:rsidR="0047280E" w:rsidRPr="00F27422" w:rsidRDefault="0047280E" w:rsidP="00122B70">
      <w:pPr>
        <w:bidi/>
        <w:rPr>
          <w:sz w:val="32"/>
          <w:szCs w:val="32"/>
          <w:rtl/>
          <w:lang w:bidi="ar-BH"/>
        </w:rPr>
      </w:pPr>
    </w:p>
    <w:p w14:paraId="5FC1EC48" w14:textId="77777777" w:rsidR="0047280E" w:rsidRPr="00F27422" w:rsidRDefault="0047280E" w:rsidP="00122B70">
      <w:pPr>
        <w:bidi/>
        <w:rPr>
          <w:sz w:val="32"/>
          <w:szCs w:val="32"/>
          <w:rtl/>
          <w:lang w:bidi="ar-BH"/>
        </w:rPr>
      </w:pPr>
      <w:r w:rsidRPr="00F27422">
        <w:rPr>
          <w:b/>
          <w:bCs/>
          <w:sz w:val="32"/>
          <w:szCs w:val="32"/>
          <w:rtl/>
          <w:lang w:bidi="ar-BH"/>
        </w:rPr>
        <w:t>ا</w:t>
      </w:r>
      <w:r w:rsidRPr="00F27422">
        <w:rPr>
          <w:b/>
          <w:bCs/>
          <w:sz w:val="32"/>
          <w:szCs w:val="32"/>
          <w:rtl/>
        </w:rPr>
        <w:t>لمطلبُ الثالث:</w:t>
      </w:r>
      <w:r w:rsidRPr="00F27422">
        <w:rPr>
          <w:sz w:val="32"/>
          <w:szCs w:val="32"/>
          <w:rtl/>
        </w:rPr>
        <w:t xml:space="preserve"> حيثُ ثبتَ للمُستأجر حقُّ المطالبة بالبدل عند كون الفرد المقبوض مِن المنفعة فرداً معيباً، فإذا امتنعَ المُؤجّر مِن أداء البدل فهل يثبتُ للمُستأجر خيار فسخ العقد أم لا؟</w:t>
      </w:r>
    </w:p>
    <w:p w14:paraId="2D9262B2" w14:textId="77777777" w:rsidR="0047280E" w:rsidRPr="00F27422" w:rsidRDefault="0047280E" w:rsidP="00122B70">
      <w:pPr>
        <w:bidi/>
        <w:rPr>
          <w:sz w:val="32"/>
          <w:szCs w:val="32"/>
          <w:rtl/>
          <w:lang w:bidi="ar-BH"/>
        </w:rPr>
      </w:pPr>
      <w:r w:rsidRPr="00F27422">
        <w:rPr>
          <w:sz w:val="32"/>
          <w:szCs w:val="32"/>
          <w:rtl/>
        </w:rPr>
        <w:t>ولم يذكر هذه النقطة ماتن العروة (قدس سره الشريف)، ولذلك لَمْ يتعرض لها سيدنا الخوئي (قدس سره الشريف) في شرحه على العروة</w:t>
      </w:r>
      <w:r w:rsidRPr="00F27422">
        <w:rPr>
          <w:sz w:val="32"/>
          <w:szCs w:val="32"/>
        </w:rPr>
        <w:t>.</w:t>
      </w:r>
    </w:p>
    <w:p w14:paraId="63E106A7" w14:textId="77777777" w:rsidR="0047280E" w:rsidRPr="00F27422" w:rsidRDefault="0047280E" w:rsidP="00122B70">
      <w:pPr>
        <w:bidi/>
        <w:rPr>
          <w:sz w:val="32"/>
          <w:szCs w:val="32"/>
          <w:rtl/>
          <w:lang w:bidi="ar-BH"/>
        </w:rPr>
      </w:pPr>
      <w:r w:rsidRPr="00F27422">
        <w:rPr>
          <w:b/>
          <w:bCs/>
          <w:sz w:val="32"/>
          <w:szCs w:val="32"/>
          <w:rtl/>
        </w:rPr>
        <w:t>وبيانُ المسألة:</w:t>
      </w:r>
      <w:r w:rsidRPr="00F27422">
        <w:rPr>
          <w:sz w:val="32"/>
          <w:szCs w:val="32"/>
          <w:rtl/>
        </w:rPr>
        <w:t xml:space="preserve"> أنّ مجرّد امتناع المُؤجر عن أداء البدل ليس منشأً لوقوع الضرر على المُستأجر ولا موجباً لتخلّف الغرض النوعي مِن الإجارة، وإنّما الذي هو منشأُ الضرر على المُستأجر امتناعُ المُؤجّر عن الإبدال إلى حين استيفاء المنفعة، أي: إلى حلول وقت استيفاء المنفعة، وحينئذٍ هل يتعين أنْ يستعين المُستأجرُ بالحاكم الشرعي على إجبار المُؤجّر على دفع البدل؛ لأنّ عدم أدائه البدل ضررٌ عليه؟</w:t>
      </w:r>
    </w:p>
    <w:p w14:paraId="4AC91327" w14:textId="77777777" w:rsidR="0047280E" w:rsidRPr="00F27422" w:rsidRDefault="0047280E" w:rsidP="00122B70">
      <w:pPr>
        <w:bidi/>
        <w:rPr>
          <w:sz w:val="32"/>
          <w:szCs w:val="32"/>
          <w:rtl/>
          <w:lang w:bidi="ar-BH"/>
        </w:rPr>
      </w:pPr>
      <w:r w:rsidRPr="00F27422">
        <w:rPr>
          <w:sz w:val="32"/>
          <w:szCs w:val="32"/>
          <w:rtl/>
        </w:rPr>
        <w:t>قد ذهب الشهيد الثاني (عليه الرحمة) في المسالك تبعاً للعلامة (رحمه الله) في التذكرة بأنّه المتعين</w:t>
      </w:r>
      <w:r w:rsidRPr="00F27422">
        <w:rPr>
          <w:sz w:val="32"/>
          <w:szCs w:val="32"/>
        </w:rPr>
        <w:t>.</w:t>
      </w:r>
    </w:p>
    <w:p w14:paraId="1EF09AE2" w14:textId="77777777" w:rsidR="0047280E" w:rsidRPr="00F27422" w:rsidRDefault="0047280E" w:rsidP="00122B70">
      <w:pPr>
        <w:bidi/>
        <w:rPr>
          <w:sz w:val="32"/>
          <w:szCs w:val="32"/>
          <w:rtl/>
          <w:lang w:bidi="ar-BH"/>
        </w:rPr>
      </w:pPr>
      <w:r w:rsidRPr="00F27422">
        <w:rPr>
          <w:b/>
          <w:bCs/>
          <w:sz w:val="32"/>
          <w:szCs w:val="32"/>
          <w:rtl/>
        </w:rPr>
        <w:t>بتقريب:</w:t>
      </w:r>
      <w:r w:rsidRPr="00F27422">
        <w:rPr>
          <w:sz w:val="32"/>
          <w:szCs w:val="32"/>
          <w:rtl/>
        </w:rPr>
        <w:t xml:space="preserve"> أنّ لزوم عقد الإجارة في فرض إمكان الإجبار عن طريق الحاكم ليس ضررياً كي يرتفع بقاعدة "لا ضرر" ولا أنّ عدم ثبوت خيار فسخ العقد في ظرف إمكان الإجبار ضرري كي يرتفع عدم ثبوت الخيار بثبوته، فالحقّ المتاح بالنسبة للمُستأجر هو إجبار المُؤجّر على الإبدال</w:t>
      </w:r>
      <w:r w:rsidRPr="00F27422">
        <w:rPr>
          <w:sz w:val="32"/>
          <w:szCs w:val="32"/>
        </w:rPr>
        <w:t>.</w:t>
      </w:r>
    </w:p>
    <w:p w14:paraId="0F72902B" w14:textId="77777777" w:rsidR="0047280E" w:rsidRPr="00F27422" w:rsidRDefault="0047280E" w:rsidP="00122B70">
      <w:pPr>
        <w:bidi/>
        <w:rPr>
          <w:b/>
          <w:bCs/>
          <w:sz w:val="32"/>
          <w:szCs w:val="32"/>
          <w:rtl/>
          <w:lang w:bidi="ar-BH"/>
        </w:rPr>
      </w:pPr>
      <w:r w:rsidRPr="00F27422">
        <w:rPr>
          <w:b/>
          <w:bCs/>
          <w:sz w:val="32"/>
          <w:szCs w:val="32"/>
          <w:rtl/>
        </w:rPr>
        <w:t>ولكن يلاحظ على ذلك</w:t>
      </w:r>
      <w:r w:rsidRPr="00F27422">
        <w:rPr>
          <w:b/>
          <w:bCs/>
          <w:sz w:val="32"/>
          <w:szCs w:val="32"/>
        </w:rPr>
        <w:t>:</w:t>
      </w:r>
    </w:p>
    <w:p w14:paraId="391180B6" w14:textId="77777777" w:rsidR="0047280E" w:rsidRPr="00F27422" w:rsidRDefault="0047280E" w:rsidP="00122B70">
      <w:pPr>
        <w:bidi/>
        <w:rPr>
          <w:sz w:val="32"/>
          <w:szCs w:val="32"/>
          <w:rtl/>
        </w:rPr>
      </w:pPr>
      <w:r w:rsidRPr="00F27422">
        <w:rPr>
          <w:sz w:val="32"/>
          <w:szCs w:val="32"/>
          <w:rtl/>
        </w:rPr>
        <w:lastRenderedPageBreak/>
        <w:t xml:space="preserve">أنّ المقابل لوسيلة الإجبار ليس الخيار كي يُقال: إنّ لزوم العقد مع إمكان الإجبار ليس </w:t>
      </w:r>
      <w:proofErr w:type="gramStart"/>
      <w:r w:rsidRPr="00F27422">
        <w:rPr>
          <w:sz w:val="32"/>
          <w:szCs w:val="32"/>
          <w:rtl/>
        </w:rPr>
        <w:t>ضررياً،  بل</w:t>
      </w:r>
      <w:proofErr w:type="gramEnd"/>
      <w:r w:rsidRPr="00F27422">
        <w:rPr>
          <w:sz w:val="32"/>
          <w:szCs w:val="32"/>
          <w:rtl/>
        </w:rPr>
        <w:t xml:space="preserve"> المقابل لدعوى تعين الخيار أو تعين الإجبار هو جامع الحقّ، أي: السلطنة على كلا الطرفين، سواءً قُلنا بأنّ مدرك الخيار هو قاعدة "لا ضرر" أو تخلّف الغرض النوعي.</w:t>
      </w:r>
    </w:p>
    <w:p w14:paraId="6F839DB5" w14:textId="77777777" w:rsidR="0047280E" w:rsidRPr="00F27422" w:rsidRDefault="0047280E" w:rsidP="00122B70">
      <w:pPr>
        <w:bidi/>
        <w:rPr>
          <w:sz w:val="32"/>
          <w:szCs w:val="32"/>
          <w:rtl/>
        </w:rPr>
      </w:pPr>
      <w:r w:rsidRPr="00F27422">
        <w:rPr>
          <w:b/>
          <w:bCs/>
          <w:sz w:val="32"/>
          <w:szCs w:val="32"/>
          <w:rtl/>
        </w:rPr>
        <w:t>وبيانُ ذلك:</w:t>
      </w:r>
      <w:r w:rsidRPr="00F27422">
        <w:rPr>
          <w:sz w:val="32"/>
          <w:szCs w:val="32"/>
          <w:rtl/>
        </w:rPr>
        <w:t xml:space="preserve"> أنّ "لا ضرر" وإنْ كان مفادها النفي مِن دون تعيين إحدى الوسيلتين، لكن حيثُ إنّ تطبيقها في مواردها منوط بالمرتكزات العقلائية بنحو متمم الجعل التطبيقي كان المرجع للمرتكزات في كلّ مورد بحسبه، وحيثُ إنّ المرتكز يرى في المقام أنّ منشأ الضرر وما يوجب تخلّف الغرض النوعي هو عدم السلطنة على الجامع، كان مقتضى "لا ضرر" هو ذلك؛ لأنّ عدم ثبوت هذا الحقّ له - الذي له فردان إمّا الفسخ أو الإجبار على الإبدال - ضررٌ عليه، فمقتضى "لا ضرر" ثبوتُ السلطنة على الجامع.</w:t>
      </w:r>
    </w:p>
    <w:p w14:paraId="27460F8F" w14:textId="77777777" w:rsidR="0047280E" w:rsidRPr="00F27422" w:rsidRDefault="0047280E" w:rsidP="00122B70">
      <w:pPr>
        <w:bidi/>
        <w:rPr>
          <w:sz w:val="32"/>
          <w:szCs w:val="32"/>
          <w:rtl/>
        </w:rPr>
      </w:pPr>
      <w:r w:rsidRPr="00F27422">
        <w:rPr>
          <w:b/>
          <w:bCs/>
          <w:sz w:val="32"/>
          <w:szCs w:val="32"/>
          <w:rtl/>
        </w:rPr>
        <w:t>كذلك:</w:t>
      </w:r>
      <w:r w:rsidRPr="00F27422">
        <w:rPr>
          <w:sz w:val="32"/>
          <w:szCs w:val="32"/>
          <w:rtl/>
        </w:rPr>
        <w:t xml:space="preserve"> بما أنّ الغرض النوعي مِن الإجارة هو استيفاء المنفعة ولا يمكن استيفاؤها مع امتناعه عن الإبدال، فما يوجب تخلّف الغرض النوعي عند امتناعه عن الإبدال لدى المرتكز العقلائي عدم السلطنة على الجامع لا عدم </w:t>
      </w:r>
      <w:proofErr w:type="spellStart"/>
      <w:r w:rsidRPr="00F27422">
        <w:rPr>
          <w:sz w:val="32"/>
          <w:szCs w:val="32"/>
          <w:rtl/>
        </w:rPr>
        <w:t>السطنة</w:t>
      </w:r>
      <w:proofErr w:type="spellEnd"/>
      <w:r w:rsidRPr="00F27422">
        <w:rPr>
          <w:sz w:val="32"/>
          <w:szCs w:val="32"/>
          <w:rtl/>
        </w:rPr>
        <w:t xml:space="preserve"> على الفسخ أو الإجبار.</w:t>
      </w:r>
    </w:p>
    <w:p w14:paraId="45CF9C84" w14:textId="77777777" w:rsidR="0047280E" w:rsidRPr="00F27422" w:rsidRDefault="0047280E" w:rsidP="00122B70">
      <w:pPr>
        <w:bidi/>
        <w:rPr>
          <w:sz w:val="32"/>
          <w:szCs w:val="32"/>
          <w:rtl/>
          <w:lang w:bidi="ar-BH"/>
        </w:rPr>
      </w:pPr>
      <w:r w:rsidRPr="00F27422">
        <w:rPr>
          <w:b/>
          <w:bCs/>
          <w:sz w:val="32"/>
          <w:szCs w:val="32"/>
          <w:rtl/>
        </w:rPr>
        <w:t>المطلبُ الرابع:</w:t>
      </w:r>
      <w:r w:rsidRPr="00F27422">
        <w:rPr>
          <w:sz w:val="32"/>
          <w:szCs w:val="32"/>
          <w:rtl/>
        </w:rPr>
        <w:t xml:space="preserve"> لو تعذّر الإبدال، كأنْ دفع المُؤجّر للمُستأجر سيارةً فاكتشف المُستأجرُ للسيارة أنّها معيبة، فطالبَ بالإبدال فتبيّن أنّ توفير البدل متعذّرٌ</w:t>
      </w:r>
      <w:r w:rsidRPr="00F27422">
        <w:rPr>
          <w:sz w:val="32"/>
          <w:szCs w:val="32"/>
        </w:rPr>
        <w:t>.</w:t>
      </w:r>
    </w:p>
    <w:p w14:paraId="48B45D4D" w14:textId="77777777" w:rsidR="0047280E" w:rsidRPr="00F27422" w:rsidRDefault="0047280E" w:rsidP="00122B70">
      <w:pPr>
        <w:bidi/>
        <w:rPr>
          <w:sz w:val="32"/>
          <w:szCs w:val="32"/>
          <w:rtl/>
          <w:lang w:bidi="ar-BH"/>
        </w:rPr>
      </w:pPr>
      <w:r w:rsidRPr="00F27422">
        <w:rPr>
          <w:sz w:val="32"/>
          <w:szCs w:val="32"/>
          <w:rtl/>
        </w:rPr>
        <w:t xml:space="preserve">فهنا ذكر سيدنا الخوئي (قدس سره الشريف) تبعاً لسيد العروة (قدس سره الشريف) أنّه: </w:t>
      </w:r>
      <w:r w:rsidRPr="00F27422">
        <w:rPr>
          <w:b/>
          <w:bCs/>
          <w:sz w:val="32"/>
          <w:szCs w:val="32"/>
          <w:rtl/>
        </w:rPr>
        <w:t>(نعم، لو تعذّر البدل يثبت الخيار من أجل تعذّر التسليم، وذاك أمر آخر)</w:t>
      </w:r>
      <w:r w:rsidRPr="00F27422">
        <w:rPr>
          <w:sz w:val="32"/>
          <w:szCs w:val="32"/>
          <w:vertAlign w:val="superscript"/>
          <w:rtl/>
        </w:rPr>
        <w:footnoteReference w:id="108"/>
      </w:r>
      <w:r w:rsidRPr="00F27422">
        <w:rPr>
          <w:sz w:val="32"/>
          <w:szCs w:val="32"/>
          <w:rtl/>
        </w:rPr>
        <w:t>.</w:t>
      </w:r>
    </w:p>
    <w:p w14:paraId="4A6C3BA6" w14:textId="77777777" w:rsidR="0047280E" w:rsidRPr="00F27422" w:rsidRDefault="0047280E" w:rsidP="00122B70">
      <w:pPr>
        <w:bidi/>
        <w:rPr>
          <w:sz w:val="32"/>
          <w:szCs w:val="32"/>
          <w:rtl/>
          <w:lang w:bidi="ar-BH"/>
        </w:rPr>
      </w:pPr>
      <w:r w:rsidRPr="00F27422">
        <w:rPr>
          <w:sz w:val="32"/>
          <w:szCs w:val="32"/>
          <w:rtl/>
        </w:rPr>
        <w:t xml:space="preserve">أي: لو تعذّر البدل فإنّه يثبت خيار فسخ العقد لا بملاك خيار </w:t>
      </w:r>
      <w:proofErr w:type="gramStart"/>
      <w:r w:rsidRPr="00F27422">
        <w:rPr>
          <w:sz w:val="32"/>
          <w:szCs w:val="32"/>
          <w:rtl/>
        </w:rPr>
        <w:t>العيب</w:t>
      </w:r>
      <w:proofErr w:type="gramEnd"/>
      <w:r w:rsidRPr="00F27422">
        <w:rPr>
          <w:sz w:val="32"/>
          <w:szCs w:val="32"/>
          <w:rtl/>
        </w:rPr>
        <w:t xml:space="preserve"> بل بملاك خيار تخلّف الشرط وهو شرط التسليم؛ حيثُ إنّ كلّ معاوضةٍ مشروطةٌ بتسليم العوضين فتخلّف شرط التسليم ولو لامتناعه موجب لثبوت </w:t>
      </w:r>
      <w:proofErr w:type="gramStart"/>
      <w:r w:rsidRPr="00F27422">
        <w:rPr>
          <w:sz w:val="32"/>
          <w:szCs w:val="32"/>
          <w:rtl/>
        </w:rPr>
        <w:t>الخيار</w:t>
      </w:r>
      <w:r w:rsidRPr="00F27422">
        <w:rPr>
          <w:sz w:val="32"/>
          <w:szCs w:val="32"/>
        </w:rPr>
        <w:t xml:space="preserve"> .</w:t>
      </w:r>
      <w:proofErr w:type="gramEnd"/>
    </w:p>
    <w:p w14:paraId="35391FA1" w14:textId="77777777" w:rsidR="0047280E" w:rsidRPr="00F27422" w:rsidRDefault="0047280E" w:rsidP="00122B70">
      <w:pPr>
        <w:bidi/>
        <w:rPr>
          <w:sz w:val="32"/>
          <w:szCs w:val="32"/>
          <w:rtl/>
        </w:rPr>
      </w:pPr>
      <w:r w:rsidRPr="00F27422">
        <w:rPr>
          <w:sz w:val="32"/>
          <w:szCs w:val="32"/>
          <w:rtl/>
        </w:rPr>
        <w:t>ولكن المحقّق الأصفهاني (قدس سره) في كتابه الإجارة</w:t>
      </w:r>
      <w:r w:rsidRPr="00F27422">
        <w:rPr>
          <w:sz w:val="32"/>
          <w:szCs w:val="32"/>
          <w:vertAlign w:val="superscript"/>
          <w:rtl/>
        </w:rPr>
        <w:footnoteReference w:id="109"/>
      </w:r>
      <w:r w:rsidRPr="00F27422">
        <w:rPr>
          <w:sz w:val="32"/>
          <w:szCs w:val="32"/>
          <w:rtl/>
        </w:rPr>
        <w:t xml:space="preserve"> تأمل في المقام في ثبوت الخيار عند تعذّر البدل.</w:t>
      </w:r>
    </w:p>
    <w:p w14:paraId="6B7F3289" w14:textId="77777777" w:rsidR="0047280E" w:rsidRPr="00F27422" w:rsidRDefault="0047280E" w:rsidP="00122B70">
      <w:pPr>
        <w:bidi/>
        <w:rPr>
          <w:sz w:val="32"/>
          <w:szCs w:val="32"/>
          <w:rtl/>
          <w:lang w:bidi="ar-BH"/>
        </w:rPr>
      </w:pPr>
      <w:r w:rsidRPr="00F27422">
        <w:rPr>
          <w:b/>
          <w:bCs/>
          <w:sz w:val="32"/>
          <w:szCs w:val="32"/>
          <w:rtl/>
        </w:rPr>
        <w:t>وحاصلُ تأمله:</w:t>
      </w:r>
      <w:r w:rsidRPr="00F27422">
        <w:rPr>
          <w:sz w:val="32"/>
          <w:szCs w:val="32"/>
          <w:rtl/>
        </w:rPr>
        <w:t xml:space="preserve"> أنّه إذا تعذر البدل فلا فائدة في الرد حيثُ لا يندفع به الضرر، بل المحتملات ثلاثة أمامَ المستأجر</w:t>
      </w:r>
      <w:r w:rsidRPr="00F27422">
        <w:rPr>
          <w:sz w:val="32"/>
          <w:szCs w:val="32"/>
        </w:rPr>
        <w:t>:</w:t>
      </w:r>
    </w:p>
    <w:p w14:paraId="09C2A3D0" w14:textId="77777777" w:rsidR="0047280E" w:rsidRPr="00F27422" w:rsidRDefault="0047280E" w:rsidP="00122B70">
      <w:pPr>
        <w:bidi/>
        <w:rPr>
          <w:sz w:val="32"/>
          <w:szCs w:val="32"/>
          <w:rtl/>
        </w:rPr>
      </w:pPr>
      <w:r w:rsidRPr="00F27422">
        <w:rPr>
          <w:b/>
          <w:bCs/>
          <w:sz w:val="32"/>
          <w:szCs w:val="32"/>
          <w:rtl/>
        </w:rPr>
        <w:t>المحتملُ الأولّ:</w:t>
      </w:r>
      <w:r w:rsidRPr="00F27422">
        <w:rPr>
          <w:sz w:val="32"/>
          <w:szCs w:val="32"/>
          <w:rtl/>
        </w:rPr>
        <w:t xml:space="preserve"> الفسخ، كما هو المشهور في باب السلم عند تعذر المسلم فيه.</w:t>
      </w:r>
    </w:p>
    <w:p w14:paraId="0B1327BA" w14:textId="77777777" w:rsidR="0047280E" w:rsidRPr="00F27422" w:rsidRDefault="0047280E" w:rsidP="00122B70">
      <w:pPr>
        <w:bidi/>
        <w:rPr>
          <w:sz w:val="32"/>
          <w:szCs w:val="32"/>
          <w:rtl/>
          <w:lang w:bidi="ar-BH"/>
        </w:rPr>
      </w:pPr>
      <w:r w:rsidRPr="00F27422">
        <w:rPr>
          <w:b/>
          <w:bCs/>
          <w:sz w:val="32"/>
          <w:szCs w:val="32"/>
          <w:rtl/>
        </w:rPr>
        <w:lastRenderedPageBreak/>
        <w:t>المحتملُ الثاني:</w:t>
      </w:r>
      <w:r w:rsidRPr="00F27422">
        <w:rPr>
          <w:sz w:val="32"/>
          <w:szCs w:val="32"/>
          <w:rtl/>
        </w:rPr>
        <w:t xml:space="preserve"> وجوب الصبر</w:t>
      </w:r>
      <w:r w:rsidRPr="00F27422">
        <w:rPr>
          <w:sz w:val="32"/>
          <w:szCs w:val="32"/>
        </w:rPr>
        <w:t>.</w:t>
      </w:r>
    </w:p>
    <w:p w14:paraId="78E7B0C8" w14:textId="77777777" w:rsidR="0047280E" w:rsidRPr="00F27422" w:rsidRDefault="0047280E" w:rsidP="00122B70">
      <w:pPr>
        <w:bidi/>
        <w:rPr>
          <w:sz w:val="32"/>
          <w:szCs w:val="32"/>
          <w:rtl/>
          <w:lang w:bidi="ar-BH"/>
        </w:rPr>
      </w:pPr>
      <w:r w:rsidRPr="00F27422">
        <w:rPr>
          <w:sz w:val="32"/>
          <w:szCs w:val="32"/>
          <w:rtl/>
        </w:rPr>
        <w:t xml:space="preserve">كسائر الديون، كما لو فُرض أنّ شخصاً أقرضَ شخصاً آخرَ مبلغاً وتعذّر على المَدِين أداءُ الدَّين، فإنّه لا مجال لَهُ إلّا الصبر؛ </w:t>
      </w:r>
      <w:proofErr w:type="gramStart"/>
      <w:r w:rsidRPr="00F27422">
        <w:rPr>
          <w:sz w:val="32"/>
          <w:szCs w:val="32"/>
          <w:rtl/>
        </w:rPr>
        <w:t>لأنّه</w:t>
      </w:r>
      <w:proofErr w:type="gramEnd"/>
      <w:r w:rsidRPr="00F27422">
        <w:rPr>
          <w:sz w:val="32"/>
          <w:szCs w:val="32"/>
          <w:rtl/>
        </w:rPr>
        <w:t xml:space="preserve"> حتى لو استعان بالحاكم الشرعي على سجن المَدِين فإنّ السجن لن يجبر ضرره باعتبار أنّ ماله ما زال مُحْتَبساً ومتعذر الوصول إليه</w:t>
      </w:r>
      <w:r w:rsidRPr="00F27422">
        <w:rPr>
          <w:sz w:val="32"/>
          <w:szCs w:val="32"/>
        </w:rPr>
        <w:t>.</w:t>
      </w:r>
    </w:p>
    <w:p w14:paraId="6B75DAEB" w14:textId="77777777" w:rsidR="0047280E" w:rsidRPr="00F27422" w:rsidRDefault="0047280E" w:rsidP="00122B70">
      <w:pPr>
        <w:bidi/>
        <w:rPr>
          <w:sz w:val="32"/>
          <w:szCs w:val="32"/>
          <w:rtl/>
          <w:lang w:bidi="ar-BH"/>
        </w:rPr>
      </w:pPr>
      <w:r w:rsidRPr="00F27422">
        <w:rPr>
          <w:b/>
          <w:bCs/>
          <w:sz w:val="32"/>
          <w:szCs w:val="32"/>
          <w:rtl/>
        </w:rPr>
        <w:t>المحتملُ الثالث:</w:t>
      </w:r>
      <w:r w:rsidRPr="00F27422">
        <w:rPr>
          <w:sz w:val="32"/>
          <w:szCs w:val="32"/>
          <w:rtl/>
        </w:rPr>
        <w:t xml:space="preserve"> المطالبة بالمالية</w:t>
      </w:r>
      <w:r w:rsidRPr="00F27422">
        <w:rPr>
          <w:sz w:val="32"/>
          <w:szCs w:val="32"/>
        </w:rPr>
        <w:t>.</w:t>
      </w:r>
    </w:p>
    <w:p w14:paraId="235C69BA" w14:textId="77777777" w:rsidR="0047280E" w:rsidRPr="00F27422" w:rsidRDefault="0047280E" w:rsidP="00122B70">
      <w:pPr>
        <w:bidi/>
        <w:rPr>
          <w:sz w:val="32"/>
          <w:szCs w:val="32"/>
          <w:rtl/>
        </w:rPr>
      </w:pPr>
      <w:r w:rsidRPr="00F27422">
        <w:rPr>
          <w:sz w:val="32"/>
          <w:szCs w:val="32"/>
          <w:rtl/>
        </w:rPr>
        <w:t>أي: حيثُ تعذر توفيرُ سيارةٍ وافيةٍ بنفس الشروط المقررة في متن العقد فله المطالبة بقيمة المنفعة الفائتة عليه.</w:t>
      </w:r>
    </w:p>
    <w:p w14:paraId="2B50BDE4" w14:textId="77777777" w:rsidR="0047280E" w:rsidRPr="00F27422" w:rsidRDefault="0047280E" w:rsidP="00122B70">
      <w:pPr>
        <w:bidi/>
        <w:rPr>
          <w:sz w:val="32"/>
          <w:szCs w:val="32"/>
          <w:rtl/>
          <w:lang w:bidi="ar-BH"/>
        </w:rPr>
      </w:pPr>
      <w:r w:rsidRPr="00F27422">
        <w:rPr>
          <w:sz w:val="32"/>
          <w:szCs w:val="32"/>
          <w:rtl/>
        </w:rPr>
        <w:t>والأوفق بالقواعد هو الأخير - المطالبة بالمالية - إذ التعذر لا يوجب صيرورة اللزوم ضررياً بعد وقوع العقد على الكُلّي، وخيار تعذر التسليم المتيقن منه تعذر تسليم الشخصي، الذي لا دافع لضرره إلّا الخيار حيثُ لا يستحق عليه المالية فإنّ نفس ماله متعذر، وليس كالدَّين الذي لا يتمكن مِن أدائه حتى ينتظر الميسرة لفرض تمكنه مِن أداء القيمة.</w:t>
      </w:r>
    </w:p>
    <w:p w14:paraId="5391ABF1" w14:textId="77777777" w:rsidR="0047280E" w:rsidRPr="00F27422" w:rsidRDefault="0047280E" w:rsidP="00122B70">
      <w:pPr>
        <w:bidi/>
        <w:rPr>
          <w:b/>
          <w:bCs/>
          <w:sz w:val="32"/>
          <w:szCs w:val="32"/>
          <w:rtl/>
        </w:rPr>
      </w:pPr>
      <w:r w:rsidRPr="00F27422">
        <w:rPr>
          <w:b/>
          <w:bCs/>
          <w:sz w:val="32"/>
          <w:szCs w:val="32"/>
          <w:rtl/>
        </w:rPr>
        <w:t>ولكن يلاحظ عليه:</w:t>
      </w:r>
    </w:p>
    <w:p w14:paraId="167E2DC5" w14:textId="77777777" w:rsidR="0047280E" w:rsidRPr="00F27422" w:rsidRDefault="0047280E" w:rsidP="00122B70">
      <w:pPr>
        <w:bidi/>
        <w:rPr>
          <w:sz w:val="32"/>
          <w:szCs w:val="32"/>
          <w:rtl/>
        </w:rPr>
      </w:pPr>
      <w:r w:rsidRPr="00F27422">
        <w:rPr>
          <w:b/>
          <w:bCs/>
          <w:sz w:val="32"/>
          <w:szCs w:val="32"/>
          <w:rtl/>
        </w:rPr>
        <w:t>أوّلاً:</w:t>
      </w:r>
      <w:r w:rsidRPr="00F27422">
        <w:rPr>
          <w:sz w:val="32"/>
          <w:szCs w:val="32"/>
          <w:rtl/>
        </w:rPr>
        <w:t xml:space="preserve"> أنّ مستند الخيار عند تعذر التسليم هو تخلّف الشرط المركوز في جميع المعاوضات وهو التسليم لتوقف الغرض النوعي مِن المعاملة عليه مِن دون خصوصية لإمكان التسليم أو تعذره، لا أنّه حكم تعبدي قيل به في باب السلم.</w:t>
      </w:r>
    </w:p>
    <w:p w14:paraId="01AEA3A8" w14:textId="77777777" w:rsidR="0047280E" w:rsidRPr="00F27422" w:rsidRDefault="0047280E" w:rsidP="00122B70">
      <w:pPr>
        <w:bidi/>
        <w:rPr>
          <w:sz w:val="32"/>
          <w:szCs w:val="32"/>
          <w:rtl/>
        </w:rPr>
      </w:pPr>
      <w:r w:rsidRPr="00F27422">
        <w:rPr>
          <w:b/>
          <w:bCs/>
          <w:sz w:val="32"/>
          <w:szCs w:val="32"/>
          <w:rtl/>
        </w:rPr>
        <w:t>وثانياً:</w:t>
      </w:r>
      <w:r w:rsidRPr="00F27422">
        <w:rPr>
          <w:sz w:val="32"/>
          <w:szCs w:val="32"/>
          <w:rtl/>
        </w:rPr>
        <w:t xml:space="preserve"> أنّ المستند إمّا قاعدة "لا ضرر" أو تخلّف الشرط </w:t>
      </w:r>
      <w:proofErr w:type="spellStart"/>
      <w:r w:rsidRPr="00F27422">
        <w:rPr>
          <w:sz w:val="32"/>
          <w:szCs w:val="32"/>
          <w:rtl/>
        </w:rPr>
        <w:t>الإرتكازي</w:t>
      </w:r>
      <w:proofErr w:type="spellEnd"/>
      <w:r w:rsidRPr="00F27422">
        <w:rPr>
          <w:sz w:val="32"/>
          <w:szCs w:val="32"/>
          <w:rtl/>
        </w:rPr>
        <w:t>.</w:t>
      </w:r>
    </w:p>
    <w:p w14:paraId="23C90347" w14:textId="77777777" w:rsidR="0047280E" w:rsidRPr="00F27422" w:rsidRDefault="0047280E" w:rsidP="00122B70">
      <w:pPr>
        <w:bidi/>
        <w:rPr>
          <w:sz w:val="32"/>
          <w:szCs w:val="32"/>
          <w:rtl/>
        </w:rPr>
      </w:pPr>
      <w:r w:rsidRPr="00F27422">
        <w:rPr>
          <w:b/>
          <w:bCs/>
          <w:sz w:val="32"/>
          <w:szCs w:val="32"/>
          <w:rtl/>
        </w:rPr>
        <w:t>فإنْ كان المستند القاعدة</w:t>
      </w:r>
      <w:r w:rsidRPr="00F27422">
        <w:rPr>
          <w:sz w:val="32"/>
          <w:szCs w:val="32"/>
          <w:rtl/>
        </w:rPr>
        <w:t xml:space="preserve"> فمقتضى قاعدة "لا ضرر" أنْ يثبتَ لهُ جامعُ السلطنة بين الفسخ أو المطالبة بالمالية، لا أنّ المتعين له المطالبة بالمالية لا مِن باب أنّ ثبوت الحقّ في الجامع عقلائي كي يُقال: إنّه يكفي في ثبوته عدم الردع عنه بلا حاجة للتوسل بـ "</w:t>
      </w:r>
      <w:proofErr w:type="spellStart"/>
      <w:r w:rsidRPr="00F27422">
        <w:rPr>
          <w:sz w:val="32"/>
          <w:szCs w:val="32"/>
          <w:rtl/>
        </w:rPr>
        <w:t>لاضرر</w:t>
      </w:r>
      <w:proofErr w:type="spellEnd"/>
      <w:r w:rsidRPr="00F27422">
        <w:rPr>
          <w:sz w:val="32"/>
          <w:szCs w:val="32"/>
          <w:rtl/>
        </w:rPr>
        <w:t>"، بل مِن باب احتفاف "لا ضرر" في مقام التطبيق بالمرتكزات العقلائية التي ترى أنّ منشأ الضرر في عدم جامع السلطنة لاندفاع الضرر بأيٍّ مِن الفردين.</w:t>
      </w:r>
    </w:p>
    <w:p w14:paraId="718F8AD1" w14:textId="77777777" w:rsidR="0047280E" w:rsidRPr="00F27422" w:rsidRDefault="0047280E" w:rsidP="00122B70">
      <w:pPr>
        <w:bidi/>
        <w:rPr>
          <w:sz w:val="32"/>
          <w:szCs w:val="32"/>
          <w:rtl/>
        </w:rPr>
      </w:pPr>
      <w:r w:rsidRPr="00F27422">
        <w:rPr>
          <w:b/>
          <w:bCs/>
          <w:sz w:val="32"/>
          <w:szCs w:val="32"/>
          <w:rtl/>
        </w:rPr>
        <w:t>وإنْ كان المستندُ في المقام هو تخلّف الغرض النوعي</w:t>
      </w:r>
      <w:r w:rsidRPr="00F27422">
        <w:rPr>
          <w:sz w:val="32"/>
          <w:szCs w:val="32"/>
          <w:rtl/>
        </w:rPr>
        <w:t xml:space="preserve"> فما يوجب تخلّفه بحسب المرتكزات العقلائية ليس خصوص عدم جبر نقص المالية، أو لزوم العقد، مع استبعاد محتمل وجوب الصبر لعدم تأثيره في جبر النقص بنظر العقلاء، بل عدم ثبوت السلطنة على الجامع بين أنْ يفسخ الإجارة فيسترد الأُجرة وبين أنْ يُمضي ويطالب بالمالية، ولكن ثبوت السلطنة له على الجامع محدود بأنْ لا يكون التطبيق على أحد الفردين منشأ ضرر مضاعف على صاحب </w:t>
      </w:r>
      <w:r w:rsidRPr="00F27422">
        <w:rPr>
          <w:sz w:val="32"/>
          <w:szCs w:val="32"/>
          <w:rtl/>
        </w:rPr>
        <w:lastRenderedPageBreak/>
        <w:t>العين المعيبة - إذا كان العيب بعاملٍ سماوي وتعذر البدل قهراً عليه -؛ إذ قد يكون مقدار المالية في زمن تعذّر البدل أضعاف الأُجرة التي لو فسخ استردها، فيكون ضرراً فاحشاً على صاحب العين، والمفروض أنّ نكتة ثبوت السلطنة على الجامع عقلائية فلا امتداد لها لمثل هذا الفرض.</w:t>
      </w:r>
    </w:p>
    <w:p w14:paraId="2ACD6478" w14:textId="77777777" w:rsidR="0047280E" w:rsidRPr="00F27422" w:rsidRDefault="0047280E" w:rsidP="00122B70">
      <w:pPr>
        <w:bidi/>
        <w:rPr>
          <w:sz w:val="32"/>
          <w:szCs w:val="32"/>
          <w:rtl/>
        </w:rPr>
      </w:pPr>
    </w:p>
    <w:p w14:paraId="249422D7" w14:textId="77777777" w:rsidR="0047280E" w:rsidRPr="00F27422" w:rsidRDefault="0047280E" w:rsidP="00122B70">
      <w:pPr>
        <w:bidi/>
        <w:rPr>
          <w:b/>
          <w:bCs/>
          <w:sz w:val="32"/>
          <w:szCs w:val="32"/>
          <w:rtl/>
          <w:lang w:bidi="ar-BH"/>
        </w:rPr>
      </w:pPr>
      <w:r w:rsidRPr="00F27422">
        <w:rPr>
          <w:b/>
          <w:bCs/>
          <w:sz w:val="32"/>
          <w:szCs w:val="32"/>
          <w:rtl/>
        </w:rPr>
        <w:t>المسألة الثامنة "من أحكام فصل الإجارة".</w:t>
      </w:r>
    </w:p>
    <w:p w14:paraId="62096460" w14:textId="77777777" w:rsidR="0047280E" w:rsidRPr="00F27422" w:rsidRDefault="0047280E" w:rsidP="00122B70">
      <w:pPr>
        <w:bidi/>
        <w:rPr>
          <w:b/>
          <w:bCs/>
          <w:sz w:val="32"/>
          <w:szCs w:val="32"/>
          <w:rtl/>
          <w:lang w:bidi="ar-BH"/>
        </w:rPr>
      </w:pPr>
      <w:r w:rsidRPr="00F27422">
        <w:rPr>
          <w:sz w:val="32"/>
          <w:szCs w:val="32"/>
          <w:rtl/>
        </w:rPr>
        <w:t xml:space="preserve">قال سيد العروة (قدس سره الشريف): </w:t>
      </w:r>
      <w:r w:rsidRPr="00F27422">
        <w:rPr>
          <w:b/>
          <w:bCs/>
          <w:sz w:val="32"/>
          <w:szCs w:val="32"/>
          <w:rtl/>
        </w:rPr>
        <w:t>(إذا وجد المؤجّر عيباً سابقاً في الاُجرة ولم يكن عالماً به كان له فسخ العقد وله الرضا به، وهل له مطالبة الأرش معه؟ لا يبعد ذلك، بل ربّما يدّعى عدم الخلاف فيه، لكن هذا إذا لم تكن الاُجرة منفعة عين، وإلّا فلا أرش فيه مثل ما مرّ في المسألة السابقة من كون العين المستأجرة معيبة. هذا إذا كانت الاُجرة عيناً شخصيّة. وأمّا إذا كانت كلّيّة فله مطالبة البدل لا فسخ أصل العقد، إلّا مع تعذّر البدل على حذو ما مرّ في المسألة السابقة)</w:t>
      </w:r>
      <w:r w:rsidRPr="00F27422">
        <w:rPr>
          <w:b/>
          <w:bCs/>
          <w:sz w:val="32"/>
          <w:szCs w:val="32"/>
        </w:rPr>
        <w:t>.</w:t>
      </w:r>
    </w:p>
    <w:p w14:paraId="1D5CA1A6" w14:textId="77777777" w:rsidR="0047280E" w:rsidRPr="00F27422" w:rsidRDefault="0047280E" w:rsidP="00122B70">
      <w:pPr>
        <w:bidi/>
        <w:rPr>
          <w:sz w:val="32"/>
          <w:szCs w:val="32"/>
          <w:rtl/>
          <w:lang w:bidi="ar-BH"/>
        </w:rPr>
      </w:pPr>
      <w:r w:rsidRPr="00F27422">
        <w:rPr>
          <w:b/>
          <w:bCs/>
          <w:sz w:val="32"/>
          <w:szCs w:val="32"/>
          <w:rtl/>
        </w:rPr>
        <w:t>وتوضيحُ المسألة:</w:t>
      </w:r>
      <w:r w:rsidRPr="00F27422">
        <w:rPr>
          <w:sz w:val="32"/>
          <w:szCs w:val="32"/>
          <w:rtl/>
        </w:rPr>
        <w:t xml:space="preserve"> قد أفاد سيدنا الخوئي (قدس سره الشريف) في موسوعته المباركة</w:t>
      </w:r>
      <w:r w:rsidRPr="00F27422">
        <w:rPr>
          <w:sz w:val="32"/>
          <w:szCs w:val="32"/>
          <w:vertAlign w:val="superscript"/>
          <w:rtl/>
        </w:rPr>
        <w:footnoteReference w:id="110"/>
      </w:r>
      <w:r w:rsidRPr="00F27422">
        <w:rPr>
          <w:sz w:val="32"/>
          <w:szCs w:val="32"/>
          <w:rtl/>
        </w:rPr>
        <w:t xml:space="preserve"> بقوله</w:t>
      </w:r>
      <w:r w:rsidRPr="00F27422">
        <w:rPr>
          <w:sz w:val="32"/>
          <w:szCs w:val="32"/>
        </w:rPr>
        <w:t>:</w:t>
      </w:r>
    </w:p>
    <w:p w14:paraId="05B230EE" w14:textId="77777777" w:rsidR="0047280E" w:rsidRPr="00F27422" w:rsidRDefault="0047280E" w:rsidP="00122B70">
      <w:pPr>
        <w:bidi/>
        <w:rPr>
          <w:b/>
          <w:bCs/>
          <w:sz w:val="32"/>
          <w:szCs w:val="32"/>
          <w:rtl/>
          <w:lang w:bidi="ar-BH"/>
        </w:rPr>
      </w:pPr>
      <w:r w:rsidRPr="00F27422">
        <w:rPr>
          <w:b/>
          <w:bCs/>
          <w:sz w:val="32"/>
          <w:szCs w:val="32"/>
          <w:rtl/>
        </w:rPr>
        <w:t>(قسّم (قدس سره) العيب السابق في الاُجرة)</w:t>
      </w:r>
      <w:r w:rsidRPr="00F27422">
        <w:rPr>
          <w:sz w:val="32"/>
          <w:szCs w:val="32"/>
          <w:rtl/>
        </w:rPr>
        <w:t xml:space="preserve"> لا العيب المتجدد في الأجرة </w:t>
      </w:r>
      <w:r w:rsidRPr="00F27422">
        <w:rPr>
          <w:b/>
          <w:bCs/>
          <w:sz w:val="32"/>
          <w:szCs w:val="32"/>
          <w:rtl/>
        </w:rPr>
        <w:t>(أيضاً إلى صور</w:t>
      </w:r>
      <w:r w:rsidRPr="00F27422">
        <w:rPr>
          <w:b/>
          <w:bCs/>
          <w:sz w:val="32"/>
          <w:szCs w:val="32"/>
        </w:rPr>
        <w:t>:</w:t>
      </w:r>
    </w:p>
    <w:p w14:paraId="200BC2D9" w14:textId="77777777" w:rsidR="0047280E" w:rsidRPr="00F27422" w:rsidRDefault="0047280E" w:rsidP="00122B70">
      <w:pPr>
        <w:bidi/>
        <w:rPr>
          <w:b/>
          <w:bCs/>
          <w:sz w:val="32"/>
          <w:szCs w:val="32"/>
          <w:rtl/>
          <w:lang w:bidi="ar-BH"/>
        </w:rPr>
      </w:pPr>
      <w:r w:rsidRPr="00F27422">
        <w:rPr>
          <w:b/>
          <w:bCs/>
          <w:sz w:val="32"/>
          <w:szCs w:val="32"/>
          <w:rtl/>
        </w:rPr>
        <w:t>إذ قد تكون الاُجرة منفعة، وحكمه ما مرّ في وجدان العيب في العين المستأجرة من ثبوت الخيار فقط دون الأرش، لوحدة المناط كما هو واضح</w:t>
      </w:r>
      <w:r w:rsidRPr="00F27422">
        <w:rPr>
          <w:b/>
          <w:bCs/>
          <w:sz w:val="32"/>
          <w:szCs w:val="32"/>
        </w:rPr>
        <w:t>.</w:t>
      </w:r>
    </w:p>
    <w:p w14:paraId="7E3ED4FF" w14:textId="77777777" w:rsidR="0047280E" w:rsidRPr="00F27422" w:rsidRDefault="0047280E" w:rsidP="00122B70">
      <w:pPr>
        <w:bidi/>
        <w:rPr>
          <w:sz w:val="32"/>
          <w:szCs w:val="32"/>
          <w:rtl/>
          <w:lang w:bidi="ar-BH"/>
        </w:rPr>
      </w:pPr>
      <w:r w:rsidRPr="00F27422">
        <w:rPr>
          <w:b/>
          <w:bCs/>
          <w:sz w:val="32"/>
          <w:szCs w:val="32"/>
          <w:rtl/>
        </w:rPr>
        <w:t>واُخرى: تكون)</w:t>
      </w:r>
      <w:r w:rsidRPr="00F27422">
        <w:rPr>
          <w:sz w:val="32"/>
          <w:szCs w:val="32"/>
          <w:rtl/>
        </w:rPr>
        <w:t xml:space="preserve"> الأُجرة </w:t>
      </w:r>
      <w:r w:rsidRPr="00F27422">
        <w:rPr>
          <w:b/>
          <w:bCs/>
          <w:sz w:val="32"/>
          <w:szCs w:val="32"/>
          <w:rtl/>
        </w:rPr>
        <w:t>(عيناً كلّيّة وقد سلّمه الفرد المعيب، ولا خيار هنا من أصله فضلاً عن الأرش، إذ ما فيه العيب لم يتعلّق به العقد، وما تعلّق به)</w:t>
      </w:r>
      <w:r w:rsidRPr="00F27422">
        <w:rPr>
          <w:sz w:val="32"/>
          <w:szCs w:val="32"/>
          <w:rtl/>
        </w:rPr>
        <w:t xml:space="preserve"> العقد </w:t>
      </w:r>
      <w:r w:rsidRPr="00F27422">
        <w:rPr>
          <w:b/>
          <w:bCs/>
          <w:sz w:val="32"/>
          <w:szCs w:val="32"/>
          <w:rtl/>
        </w:rPr>
        <w:t>(لا عيب فيه)،</w:t>
      </w:r>
      <w:r w:rsidRPr="00F27422">
        <w:rPr>
          <w:sz w:val="32"/>
          <w:szCs w:val="32"/>
          <w:rtl/>
        </w:rPr>
        <w:t xml:space="preserve"> فلا موضوع للخيار</w:t>
      </w:r>
      <w:r w:rsidRPr="00F27422">
        <w:rPr>
          <w:sz w:val="32"/>
          <w:szCs w:val="32"/>
        </w:rPr>
        <w:t>.</w:t>
      </w:r>
    </w:p>
    <w:p w14:paraId="4B7E367E" w14:textId="77777777" w:rsidR="0047280E" w:rsidRPr="00F27422" w:rsidRDefault="0047280E" w:rsidP="00122B70">
      <w:pPr>
        <w:bidi/>
        <w:rPr>
          <w:b/>
          <w:bCs/>
          <w:sz w:val="32"/>
          <w:szCs w:val="32"/>
          <w:rtl/>
          <w:lang w:bidi="ar-BH"/>
        </w:rPr>
      </w:pPr>
      <w:r w:rsidRPr="00F27422">
        <w:rPr>
          <w:b/>
          <w:bCs/>
          <w:sz w:val="32"/>
          <w:szCs w:val="32"/>
          <w:rtl/>
        </w:rPr>
        <w:t>(نعم، له المطالبة بالبدل، فإن تعذّر ثبت الخيار من جهة تعذّر التسليم كما تقدّم</w:t>
      </w:r>
      <w:r w:rsidRPr="00F27422">
        <w:rPr>
          <w:b/>
          <w:bCs/>
          <w:sz w:val="32"/>
          <w:szCs w:val="32"/>
        </w:rPr>
        <w:t>.</w:t>
      </w:r>
    </w:p>
    <w:p w14:paraId="43FD635A" w14:textId="77777777" w:rsidR="0047280E" w:rsidRPr="00F27422" w:rsidRDefault="0047280E" w:rsidP="00122B70">
      <w:pPr>
        <w:bidi/>
        <w:rPr>
          <w:b/>
          <w:bCs/>
          <w:sz w:val="32"/>
          <w:szCs w:val="32"/>
          <w:rtl/>
          <w:lang w:bidi="ar-BH"/>
        </w:rPr>
      </w:pPr>
      <w:r w:rsidRPr="00F27422">
        <w:rPr>
          <w:b/>
          <w:bCs/>
          <w:sz w:val="32"/>
          <w:szCs w:val="32"/>
          <w:rtl/>
        </w:rPr>
        <w:t>وثالثة: تكون)</w:t>
      </w:r>
      <w:r w:rsidRPr="00F27422">
        <w:rPr>
          <w:sz w:val="32"/>
          <w:szCs w:val="32"/>
          <w:rtl/>
        </w:rPr>
        <w:t xml:space="preserve"> الأُجرة </w:t>
      </w:r>
      <w:r w:rsidRPr="00F27422">
        <w:rPr>
          <w:b/>
          <w:bCs/>
          <w:sz w:val="32"/>
          <w:szCs w:val="32"/>
          <w:rtl/>
        </w:rPr>
        <w:t>(عيناً شخصيّة)</w:t>
      </w:r>
      <w:r w:rsidRPr="00F27422">
        <w:rPr>
          <w:sz w:val="32"/>
          <w:szCs w:val="32"/>
          <w:rtl/>
        </w:rPr>
        <w:t xml:space="preserve"> وقد انكشف أنّ العين معيبة </w:t>
      </w:r>
      <w:r w:rsidRPr="00F27422">
        <w:rPr>
          <w:b/>
          <w:bCs/>
          <w:sz w:val="32"/>
          <w:szCs w:val="32"/>
          <w:rtl/>
        </w:rPr>
        <w:t>(وقد اختار الماتن الخيار والأرش معاً كما لعلّه المشهور</w:t>
      </w:r>
      <w:r w:rsidRPr="00F27422">
        <w:rPr>
          <w:b/>
          <w:bCs/>
          <w:sz w:val="32"/>
          <w:szCs w:val="32"/>
        </w:rPr>
        <w:t>.</w:t>
      </w:r>
    </w:p>
    <w:p w14:paraId="6AD95CE4" w14:textId="77777777" w:rsidR="0047280E" w:rsidRPr="00F27422" w:rsidRDefault="0047280E" w:rsidP="00122B70">
      <w:pPr>
        <w:bidi/>
        <w:rPr>
          <w:sz w:val="32"/>
          <w:szCs w:val="32"/>
          <w:rtl/>
          <w:lang w:bidi="ar-BH"/>
        </w:rPr>
      </w:pPr>
      <w:r w:rsidRPr="00F27422">
        <w:rPr>
          <w:b/>
          <w:bCs/>
          <w:sz w:val="32"/>
          <w:szCs w:val="32"/>
          <w:rtl/>
        </w:rPr>
        <w:lastRenderedPageBreak/>
        <w:t>أمّا الخيار: ففي محلّه، نظراً إلى تخلّف الشرط الارتكازي على ما سبق).</w:t>
      </w:r>
      <w:r w:rsidRPr="00F27422">
        <w:rPr>
          <w:sz w:val="32"/>
          <w:szCs w:val="32"/>
          <w:rtl/>
        </w:rPr>
        <w:t xml:space="preserve"> وهو اشترط السلامة؛ فإنّ اشتراط السلامة عند العقلاء </w:t>
      </w:r>
      <w:proofErr w:type="gramStart"/>
      <w:r w:rsidRPr="00F27422">
        <w:rPr>
          <w:sz w:val="32"/>
          <w:szCs w:val="32"/>
          <w:rtl/>
        </w:rPr>
        <w:t>يشمل  المعوض</w:t>
      </w:r>
      <w:proofErr w:type="gramEnd"/>
      <w:r w:rsidRPr="00F27422">
        <w:rPr>
          <w:sz w:val="32"/>
          <w:szCs w:val="32"/>
          <w:rtl/>
        </w:rPr>
        <w:t xml:space="preserve"> والعوض</w:t>
      </w:r>
      <w:r w:rsidRPr="00F27422">
        <w:rPr>
          <w:sz w:val="32"/>
          <w:szCs w:val="32"/>
        </w:rPr>
        <w:t>.</w:t>
      </w:r>
    </w:p>
    <w:p w14:paraId="2FCD97EE" w14:textId="77777777" w:rsidR="0047280E" w:rsidRPr="00F27422" w:rsidRDefault="0047280E" w:rsidP="00122B70">
      <w:pPr>
        <w:bidi/>
        <w:rPr>
          <w:b/>
          <w:bCs/>
          <w:sz w:val="32"/>
          <w:szCs w:val="32"/>
          <w:rtl/>
          <w:lang w:bidi="ar-BH"/>
        </w:rPr>
      </w:pPr>
      <w:r w:rsidRPr="00F27422">
        <w:rPr>
          <w:b/>
          <w:bCs/>
          <w:sz w:val="32"/>
          <w:szCs w:val="32"/>
          <w:rtl/>
        </w:rPr>
        <w:t xml:space="preserve">(وأمّا الأرش: فقد عرفت أنّه يثبت بالمطالبة) </w:t>
      </w:r>
      <w:r w:rsidRPr="00F27422">
        <w:rPr>
          <w:sz w:val="32"/>
          <w:szCs w:val="32"/>
          <w:rtl/>
        </w:rPr>
        <w:t xml:space="preserve">أي: أنّ الأرش إنّما يثبت إذا طالب به المتضرر </w:t>
      </w:r>
      <w:r w:rsidRPr="00F27422">
        <w:rPr>
          <w:b/>
          <w:bCs/>
          <w:sz w:val="32"/>
          <w:szCs w:val="32"/>
          <w:rtl/>
        </w:rPr>
        <w:t xml:space="preserve">(لا بنفس العقد) </w:t>
      </w:r>
      <w:r w:rsidRPr="00F27422">
        <w:rPr>
          <w:sz w:val="32"/>
          <w:szCs w:val="32"/>
          <w:rtl/>
        </w:rPr>
        <w:t xml:space="preserve">وبما أنّ ضمان الطرف الآخر للأرش فرع المطالبة، </w:t>
      </w:r>
      <w:r w:rsidRPr="00F27422">
        <w:rPr>
          <w:b/>
          <w:bCs/>
          <w:sz w:val="32"/>
          <w:szCs w:val="32"/>
          <w:rtl/>
        </w:rPr>
        <w:t>(فهو حكم مخالف للقاعدة)</w:t>
      </w:r>
      <w:r w:rsidRPr="00F27422">
        <w:rPr>
          <w:sz w:val="32"/>
          <w:szCs w:val="32"/>
          <w:rtl/>
        </w:rPr>
        <w:t xml:space="preserve"> إذ ليس في الشريعة مِن المجعولات اشتغالُ الذمّة بالمطالبة، وإنّما اشتغال الذمّة إمّا </w:t>
      </w:r>
      <w:proofErr w:type="gramStart"/>
      <w:r w:rsidRPr="00F27422">
        <w:rPr>
          <w:sz w:val="32"/>
          <w:szCs w:val="32"/>
          <w:rtl/>
        </w:rPr>
        <w:t>بالاقتراض</w:t>
      </w:r>
      <w:proofErr w:type="gramEnd"/>
      <w:r w:rsidRPr="00F27422">
        <w:rPr>
          <w:sz w:val="32"/>
          <w:szCs w:val="32"/>
          <w:rtl/>
        </w:rPr>
        <w:t xml:space="preserve"> وإمّا بالإتلاف وإمّا بالتلف عن تقصيرٍ، فثبوته مخالف للقاعدة </w:t>
      </w:r>
      <w:r w:rsidRPr="00F27422">
        <w:rPr>
          <w:b/>
          <w:bCs/>
          <w:sz w:val="32"/>
          <w:szCs w:val="32"/>
          <w:rtl/>
        </w:rPr>
        <w:t>(ثبت بدليل خاصّ يقتصر على مورده وهو البيع المتضمّن لنقل العين، ولا يعمّ)</w:t>
      </w:r>
      <w:r w:rsidRPr="00F27422">
        <w:rPr>
          <w:sz w:val="32"/>
          <w:szCs w:val="32"/>
          <w:rtl/>
        </w:rPr>
        <w:t xml:space="preserve"> الإجارة التي هي </w:t>
      </w:r>
      <w:r w:rsidRPr="00F27422">
        <w:rPr>
          <w:b/>
          <w:bCs/>
          <w:sz w:val="32"/>
          <w:szCs w:val="32"/>
          <w:rtl/>
        </w:rPr>
        <w:t>(نقل المنفعة، ولأجله لا يتعدّى إلى الإجارة)</w:t>
      </w:r>
      <w:r w:rsidRPr="00F27422">
        <w:rPr>
          <w:b/>
          <w:bCs/>
          <w:sz w:val="32"/>
          <w:szCs w:val="32"/>
        </w:rPr>
        <w:t>.</w:t>
      </w:r>
    </w:p>
    <w:p w14:paraId="7D4A5E19" w14:textId="77777777" w:rsidR="0047280E" w:rsidRPr="00F27422" w:rsidRDefault="0047280E" w:rsidP="00122B70">
      <w:pPr>
        <w:bidi/>
        <w:rPr>
          <w:sz w:val="32"/>
          <w:szCs w:val="32"/>
          <w:rtl/>
          <w:lang w:bidi="ar-BH"/>
        </w:rPr>
      </w:pPr>
      <w:r w:rsidRPr="00F27422">
        <w:rPr>
          <w:sz w:val="32"/>
          <w:szCs w:val="32"/>
          <w:rtl/>
        </w:rPr>
        <w:t>لكن صاحب العروة (قدس سره الشريف) تعدّى إلى مطلق نقل الأعيان، سواءً كان النقل للأعيان بالبيع أو النقل لها بالإجارة؛ إذ المفروض أنّ الأُجرة عين شخصيّة فصارت الإجارة مشابهة للبيع مِن هذه الجهة وهي استلزامها لنقل العين ألّا وهي الأُجرة</w:t>
      </w:r>
      <w:r w:rsidRPr="00F27422">
        <w:rPr>
          <w:sz w:val="32"/>
          <w:szCs w:val="32"/>
        </w:rPr>
        <w:t>.</w:t>
      </w:r>
    </w:p>
    <w:p w14:paraId="2908E0B7" w14:textId="77777777" w:rsidR="0047280E" w:rsidRPr="00F27422" w:rsidRDefault="0047280E" w:rsidP="00122B70">
      <w:pPr>
        <w:bidi/>
        <w:rPr>
          <w:b/>
          <w:bCs/>
          <w:sz w:val="32"/>
          <w:szCs w:val="32"/>
          <w:rtl/>
          <w:lang w:bidi="ar-BH"/>
        </w:rPr>
      </w:pPr>
      <w:r w:rsidRPr="00F27422">
        <w:rPr>
          <w:b/>
          <w:bCs/>
          <w:sz w:val="32"/>
          <w:szCs w:val="32"/>
          <w:rtl/>
        </w:rPr>
        <w:t xml:space="preserve">(إنّما الكلام في أنّه هل يتعدّى إلى مطلق نقل الأعيان ولو في ضمن غير البيع كما في المقام، حيث إنّ الاُجرة عين خارجية </w:t>
      </w:r>
      <w:proofErr w:type="spellStart"/>
      <w:r w:rsidRPr="00F27422">
        <w:rPr>
          <w:b/>
          <w:bCs/>
          <w:sz w:val="32"/>
          <w:szCs w:val="32"/>
          <w:rtl/>
        </w:rPr>
        <w:t>معيبةبدعوى</w:t>
      </w:r>
      <w:proofErr w:type="spellEnd"/>
      <w:r w:rsidRPr="00F27422">
        <w:rPr>
          <w:b/>
          <w:bCs/>
          <w:sz w:val="32"/>
          <w:szCs w:val="32"/>
          <w:rtl/>
        </w:rPr>
        <w:t xml:space="preserve"> إلغاء خصوصيّة المورد وأنّ موضوع الأرش كلّ عين معيبة) </w:t>
      </w:r>
      <w:r w:rsidRPr="00F27422">
        <w:rPr>
          <w:sz w:val="32"/>
          <w:szCs w:val="32"/>
          <w:rtl/>
        </w:rPr>
        <w:t xml:space="preserve">سواء كان بيعاً أو إجارةً </w:t>
      </w:r>
      <w:r w:rsidRPr="00F27422">
        <w:rPr>
          <w:b/>
          <w:bCs/>
          <w:sz w:val="32"/>
          <w:szCs w:val="32"/>
          <w:rtl/>
        </w:rPr>
        <w:t>(منقولة بعوض، كما لعلّ المشهور فهموا ذلك؟</w:t>
      </w:r>
    </w:p>
    <w:p w14:paraId="54A19B3B" w14:textId="77777777" w:rsidR="0047280E" w:rsidRPr="00F27422" w:rsidRDefault="0047280E" w:rsidP="00122B70">
      <w:pPr>
        <w:bidi/>
        <w:rPr>
          <w:b/>
          <w:bCs/>
          <w:sz w:val="32"/>
          <w:szCs w:val="32"/>
          <w:rtl/>
          <w:lang w:bidi="ar-BH"/>
        </w:rPr>
      </w:pPr>
      <w:r w:rsidRPr="00F27422">
        <w:rPr>
          <w:b/>
          <w:bCs/>
          <w:sz w:val="32"/>
          <w:szCs w:val="32"/>
          <w:rtl/>
        </w:rPr>
        <w:t>أو أنّه يقتصر الحكم المخالف للقاعدة على مورد النصّ وهو البيع كما اختاره بعضهم</w:t>
      </w:r>
      <w:r w:rsidRPr="00F27422">
        <w:rPr>
          <w:b/>
          <w:bCs/>
          <w:sz w:val="32"/>
          <w:szCs w:val="32"/>
        </w:rPr>
        <w:t>.</w:t>
      </w:r>
    </w:p>
    <w:p w14:paraId="56CCFC9A" w14:textId="77777777" w:rsidR="0047280E" w:rsidRPr="00F27422" w:rsidRDefault="0047280E" w:rsidP="00122B70">
      <w:pPr>
        <w:bidi/>
        <w:rPr>
          <w:b/>
          <w:bCs/>
          <w:sz w:val="32"/>
          <w:szCs w:val="32"/>
          <w:rtl/>
          <w:lang w:bidi="ar-BH"/>
        </w:rPr>
      </w:pPr>
      <w:r w:rsidRPr="00F27422">
        <w:rPr>
          <w:b/>
          <w:bCs/>
          <w:sz w:val="32"/>
          <w:szCs w:val="32"/>
          <w:rtl/>
        </w:rPr>
        <w:t>وحيث إنّه لا إجماع في البين على التعدّي كما لا دليل عليه تركن النفس إليه فالتعدّي مشكل جدّاً).</w:t>
      </w:r>
    </w:p>
    <w:p w14:paraId="11037571" w14:textId="77777777" w:rsidR="0047280E" w:rsidRPr="00F27422" w:rsidRDefault="0047280E" w:rsidP="00122B70">
      <w:pPr>
        <w:bidi/>
        <w:rPr>
          <w:sz w:val="32"/>
          <w:szCs w:val="32"/>
          <w:rtl/>
        </w:rPr>
      </w:pPr>
    </w:p>
    <w:p w14:paraId="4CBD2D31" w14:textId="77777777" w:rsidR="0047280E" w:rsidRPr="00F27422" w:rsidRDefault="0047280E" w:rsidP="00122B70">
      <w:pPr>
        <w:bidi/>
        <w:rPr>
          <w:b/>
          <w:bCs/>
          <w:sz w:val="32"/>
          <w:szCs w:val="32"/>
          <w:rtl/>
        </w:rPr>
      </w:pPr>
      <w:r w:rsidRPr="00F27422">
        <w:rPr>
          <w:b/>
          <w:bCs/>
          <w:sz w:val="32"/>
          <w:szCs w:val="32"/>
          <w:rtl/>
        </w:rPr>
        <w:t>والحمد لله رب العالمين</w:t>
      </w:r>
    </w:p>
    <w:p w14:paraId="46AABB06" w14:textId="77777777" w:rsidR="0047280E" w:rsidRPr="00F27422" w:rsidRDefault="0047280E" w:rsidP="00122B70">
      <w:pPr>
        <w:bidi/>
        <w:rPr>
          <w:sz w:val="32"/>
          <w:szCs w:val="32"/>
        </w:rPr>
      </w:pPr>
    </w:p>
    <w:p w14:paraId="08B90CB2" w14:textId="64EE00AC" w:rsidR="0047280E" w:rsidRPr="00F27422" w:rsidRDefault="0047280E" w:rsidP="00122B70">
      <w:pPr>
        <w:pStyle w:val="Heading3"/>
        <w:bidi/>
        <w:rPr>
          <w:sz w:val="32"/>
          <w:szCs w:val="32"/>
        </w:rPr>
      </w:pPr>
      <w:r w:rsidRPr="00F27422">
        <w:rPr>
          <w:sz w:val="32"/>
          <w:szCs w:val="32"/>
        </w:rPr>
        <w:t>082</w:t>
      </w:r>
    </w:p>
    <w:p w14:paraId="2D684C28" w14:textId="77777777" w:rsidR="0047280E" w:rsidRPr="00F27422" w:rsidRDefault="0047280E" w:rsidP="00122B70">
      <w:pPr>
        <w:bidi/>
        <w:rPr>
          <w:sz w:val="32"/>
          <w:szCs w:val="32"/>
        </w:rPr>
      </w:pPr>
    </w:p>
    <w:p w14:paraId="2470CD51" w14:textId="77777777" w:rsidR="00E8392D" w:rsidRPr="00F27422" w:rsidRDefault="00E8392D" w:rsidP="00122B70">
      <w:pPr>
        <w:bidi/>
        <w:rPr>
          <w:b/>
          <w:bCs/>
          <w:sz w:val="32"/>
          <w:szCs w:val="32"/>
        </w:rPr>
      </w:pPr>
      <w:r w:rsidRPr="00F27422">
        <w:rPr>
          <w:b/>
          <w:bCs/>
          <w:sz w:val="32"/>
          <w:szCs w:val="32"/>
          <w:rtl/>
        </w:rPr>
        <w:t>بسم الله الرحمن الرحيم</w:t>
      </w:r>
    </w:p>
    <w:p w14:paraId="16816615" w14:textId="77777777" w:rsidR="00E8392D" w:rsidRPr="00F27422" w:rsidRDefault="00E8392D"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7D35FC4E" w14:textId="77777777" w:rsidR="00E8392D" w:rsidRPr="00F27422" w:rsidRDefault="00E8392D" w:rsidP="00122B70">
      <w:pPr>
        <w:bidi/>
        <w:rPr>
          <w:sz w:val="32"/>
          <w:szCs w:val="32"/>
          <w:rtl/>
          <w:lang w:bidi="ar-BH"/>
        </w:rPr>
      </w:pPr>
      <w:r w:rsidRPr="00F27422">
        <w:rPr>
          <w:b/>
          <w:bCs/>
          <w:sz w:val="32"/>
          <w:szCs w:val="32"/>
          <w:rtl/>
        </w:rPr>
        <w:t>واللعن الدائم على أعدائهم أجمعين إلى قيام يوم الدين</w:t>
      </w:r>
    </w:p>
    <w:p w14:paraId="1B1D43E2" w14:textId="77777777" w:rsidR="00E8392D" w:rsidRPr="00F27422" w:rsidRDefault="00E8392D" w:rsidP="00122B70">
      <w:pPr>
        <w:bidi/>
        <w:rPr>
          <w:sz w:val="32"/>
          <w:szCs w:val="32"/>
          <w:rtl/>
          <w:lang w:bidi="ar-BH"/>
        </w:rPr>
      </w:pPr>
    </w:p>
    <w:p w14:paraId="4CC1FF35" w14:textId="77777777" w:rsidR="00E8392D" w:rsidRPr="00F27422" w:rsidRDefault="00E8392D" w:rsidP="00122B70">
      <w:pPr>
        <w:bidi/>
        <w:rPr>
          <w:b/>
          <w:bCs/>
          <w:sz w:val="32"/>
          <w:szCs w:val="32"/>
          <w:rtl/>
          <w:lang w:bidi="ar-BH"/>
        </w:rPr>
      </w:pPr>
      <w:r w:rsidRPr="00F27422">
        <w:rPr>
          <w:b/>
          <w:bCs/>
          <w:sz w:val="32"/>
          <w:szCs w:val="32"/>
          <w:rtl/>
        </w:rPr>
        <w:t>وتحقيقُ المسألة</w:t>
      </w:r>
      <w:r w:rsidRPr="00F27422">
        <w:rPr>
          <w:b/>
          <w:bCs/>
          <w:sz w:val="32"/>
          <w:szCs w:val="32"/>
        </w:rPr>
        <w:t>:</w:t>
      </w:r>
    </w:p>
    <w:p w14:paraId="49686061" w14:textId="77777777" w:rsidR="00E8392D" w:rsidRPr="00F27422" w:rsidRDefault="00E8392D" w:rsidP="00122B70">
      <w:pPr>
        <w:bidi/>
        <w:rPr>
          <w:sz w:val="32"/>
          <w:szCs w:val="32"/>
          <w:rtl/>
          <w:lang w:bidi="ar-BH"/>
        </w:rPr>
      </w:pPr>
      <w:r w:rsidRPr="00F27422">
        <w:rPr>
          <w:sz w:val="32"/>
          <w:szCs w:val="32"/>
          <w:rtl/>
        </w:rPr>
        <w:t>إذا وجد المُؤجّر عيباً في الأُجرة وكانت الأُجرة عيناً شخصيةً فهل يثبتُ للمُؤجّر الخيار بين الفسخ والإمضاء مع الأرش أم لا؟</w:t>
      </w:r>
    </w:p>
    <w:p w14:paraId="4446580F" w14:textId="77777777" w:rsidR="00E8392D" w:rsidRPr="00F27422" w:rsidRDefault="00E8392D" w:rsidP="00122B70">
      <w:pPr>
        <w:bidi/>
        <w:rPr>
          <w:sz w:val="32"/>
          <w:szCs w:val="32"/>
          <w:rtl/>
          <w:lang w:bidi="ar-BH"/>
        </w:rPr>
      </w:pPr>
      <w:r w:rsidRPr="00F27422">
        <w:rPr>
          <w:sz w:val="32"/>
          <w:szCs w:val="32"/>
          <w:rtl/>
        </w:rPr>
        <w:t>وقد أفادَ جملةٌ مِن الأعلام ومنهم سيدنا الخوئي (قدس سره الشريف) أنّ ثبوت الأرش خلافُ القاعدة؛ لأنّه ضمانٌ متفرعٌ على المطالبة فثبوتُهُ يحتاج لدليل، وحيثُ لا دليل فيقتصر فيه على مورده وهو الروايات الواردة في باب البيع</w:t>
      </w:r>
      <w:r w:rsidRPr="00F27422">
        <w:rPr>
          <w:sz w:val="32"/>
          <w:szCs w:val="32"/>
        </w:rPr>
        <w:t>.</w:t>
      </w:r>
    </w:p>
    <w:p w14:paraId="59AD03BA" w14:textId="77777777" w:rsidR="00E8392D" w:rsidRPr="00F27422" w:rsidRDefault="00E8392D" w:rsidP="00122B70">
      <w:pPr>
        <w:bidi/>
        <w:rPr>
          <w:sz w:val="32"/>
          <w:szCs w:val="32"/>
          <w:rtl/>
        </w:rPr>
      </w:pPr>
      <w:r w:rsidRPr="00F27422">
        <w:rPr>
          <w:sz w:val="32"/>
          <w:szCs w:val="32"/>
          <w:rtl/>
        </w:rPr>
        <w:t>لكن قد يُقال كما في كلمات بعض الأجلة (رحمه الله) في كتابه الإجارة</w:t>
      </w:r>
      <w:r w:rsidRPr="00F27422">
        <w:rPr>
          <w:sz w:val="32"/>
          <w:szCs w:val="32"/>
          <w:vertAlign w:val="superscript"/>
          <w:rtl/>
        </w:rPr>
        <w:footnoteReference w:id="111"/>
      </w:r>
      <w:r w:rsidRPr="00F27422">
        <w:rPr>
          <w:sz w:val="32"/>
          <w:szCs w:val="32"/>
          <w:rtl/>
        </w:rPr>
        <w:t>:</w:t>
      </w:r>
    </w:p>
    <w:p w14:paraId="5D74CCF6" w14:textId="77777777" w:rsidR="00E8392D" w:rsidRPr="00F27422" w:rsidRDefault="00E8392D" w:rsidP="00122B70">
      <w:pPr>
        <w:bidi/>
        <w:rPr>
          <w:sz w:val="32"/>
          <w:szCs w:val="32"/>
          <w:rtl/>
        </w:rPr>
      </w:pPr>
      <w:r w:rsidRPr="00F27422">
        <w:rPr>
          <w:sz w:val="32"/>
          <w:szCs w:val="32"/>
          <w:rtl/>
        </w:rPr>
        <w:t xml:space="preserve">إنّ الروايات الواردة في باب البيع ومنها رواية زرارة كما في الوسائل: </w:t>
      </w:r>
      <w:r w:rsidRPr="00F27422">
        <w:rPr>
          <w:b/>
          <w:bCs/>
          <w:sz w:val="32"/>
          <w:szCs w:val="32"/>
          <w:rtl/>
        </w:rPr>
        <w:t xml:space="preserve">(وعنهم، عن أحمد بن محمّد، عن الحسين بن سعيد، عن فضالة، عن موسى بن بكر، عن زرارة، عن أبي جعفر (عليه </w:t>
      </w:r>
      <w:r w:rsidRPr="00F27422">
        <w:rPr>
          <w:b/>
          <w:bCs/>
          <w:sz w:val="32"/>
          <w:szCs w:val="32"/>
        </w:rPr>
        <w:t>‌</w:t>
      </w:r>
      <w:r w:rsidRPr="00F27422">
        <w:rPr>
          <w:b/>
          <w:bCs/>
          <w:sz w:val="32"/>
          <w:szCs w:val="32"/>
          <w:rtl/>
        </w:rPr>
        <w:t>السلام) قال: أيما رجل اشترى شيئا وبه عيب وعوار لم يتبرأ إليه ولم يبين له، فأحدث فيه بعد ما قبضه شيئا ثم علم بذلك العوار وبذلك الداء، أنه يمضي عليه البيع ويرد عليه بقدر ما نقص من ذلك الداء والعيب من ثمن ذلك لو لم يكن به)</w:t>
      </w:r>
      <w:r w:rsidRPr="00F27422">
        <w:rPr>
          <w:b/>
          <w:bCs/>
          <w:sz w:val="32"/>
          <w:szCs w:val="32"/>
          <w:vertAlign w:val="superscript"/>
          <w:rtl/>
        </w:rPr>
        <w:footnoteReference w:id="112"/>
      </w:r>
      <w:r w:rsidRPr="00F27422">
        <w:rPr>
          <w:b/>
          <w:bCs/>
          <w:sz w:val="32"/>
          <w:szCs w:val="32"/>
          <w:rtl/>
        </w:rPr>
        <w:t>.</w:t>
      </w:r>
      <w:r w:rsidRPr="00F27422">
        <w:rPr>
          <w:sz w:val="32"/>
          <w:szCs w:val="32"/>
          <w:rtl/>
        </w:rPr>
        <w:t xml:space="preserve"> وإنْ اشتملت على عنوان الشراء إلّا أنّ العرف يُلغي خصوصيّة الشراء بمقتضى مناسبة الحكم للموضوع، ولو كان لعنوان الشراء لما أفتى المشهور بأنّه لا فرق بين الثمن والمثمن في أنّ العيب الموجود في أيٍّ منهما موضوعٌ لخيار العيب، مما يعني رفع اليد عن خصوصيّة الشراء، وأنّ المناط انتقال العين الشخصيّة بالمعاوضة، فبما أنّ المنفهم عرفاً هو انتقال عينٍ شخصيّةٍ بالمعاوضة صدق ذلك على الأُجرة في باب الإجارة؛ حيثُ إنّ الأُجرة الشخصيّة قد انتقلت إلى المُؤجّر بالمعاوضة بين الأُجرة والمنفعة، فإذا وجد بها عيباً شملتها روايات ثبوت الخيار في العيب.</w:t>
      </w:r>
    </w:p>
    <w:p w14:paraId="64E7E3C3" w14:textId="77777777" w:rsidR="00E8392D" w:rsidRPr="00F27422" w:rsidRDefault="00E8392D" w:rsidP="00122B70">
      <w:pPr>
        <w:bidi/>
        <w:rPr>
          <w:sz w:val="32"/>
          <w:szCs w:val="32"/>
          <w:rtl/>
          <w:lang w:bidi="ar-BH"/>
        </w:rPr>
      </w:pPr>
      <w:r w:rsidRPr="00F27422">
        <w:rPr>
          <w:b/>
          <w:bCs/>
          <w:sz w:val="32"/>
          <w:szCs w:val="32"/>
          <w:rtl/>
        </w:rPr>
        <w:t>ولكن:</w:t>
      </w:r>
      <w:r w:rsidRPr="00F27422">
        <w:rPr>
          <w:sz w:val="32"/>
          <w:szCs w:val="32"/>
          <w:rtl/>
        </w:rPr>
        <w:t xml:space="preserve"> إنّ العرف وإنْ تعدى مِن المثمن للثمن في قوله (عليه السلام) في رواية زرارة: </w:t>
      </w:r>
      <w:r w:rsidRPr="00F27422">
        <w:rPr>
          <w:b/>
          <w:bCs/>
          <w:sz w:val="32"/>
          <w:szCs w:val="32"/>
          <w:rtl/>
        </w:rPr>
        <w:t>(أيما رجل اشترى شيئا وبه عيب وعوار)</w:t>
      </w:r>
      <w:r w:rsidRPr="00F27422">
        <w:rPr>
          <w:sz w:val="32"/>
          <w:szCs w:val="32"/>
          <w:rtl/>
        </w:rPr>
        <w:t xml:space="preserve"> إلّا أنّه لَمْ يخرج عن محيط الدلالة وهو انتقال العين الشخصيّة بمعاملةٍ متقومة بالشراء وإنْ لَمْ يتعلّق الشراء بنفس العين، بل التعبير بـ "الشراء" بالنسبة للثمن واردٌ أيضاً في بعض الروايات بمعنى مطلق الابتياع للثمن أو المثمن، فالتعدي في باب البيع عرفي</w:t>
      </w:r>
      <w:r w:rsidRPr="00F27422">
        <w:rPr>
          <w:sz w:val="32"/>
          <w:szCs w:val="32"/>
        </w:rPr>
        <w:t>.</w:t>
      </w:r>
    </w:p>
    <w:p w14:paraId="2F19AD59" w14:textId="77777777" w:rsidR="00E8392D" w:rsidRPr="00F27422" w:rsidRDefault="00E8392D" w:rsidP="00122B70">
      <w:pPr>
        <w:bidi/>
        <w:rPr>
          <w:sz w:val="32"/>
          <w:szCs w:val="32"/>
          <w:rtl/>
          <w:lang w:bidi="ar-BH"/>
        </w:rPr>
      </w:pPr>
      <w:r w:rsidRPr="00F27422">
        <w:rPr>
          <w:sz w:val="32"/>
          <w:szCs w:val="32"/>
          <w:rtl/>
        </w:rPr>
        <w:lastRenderedPageBreak/>
        <w:t xml:space="preserve">وأمّا إلغاء خصوصيّة الشراء بالمرة، بدعوى: أنّ المناط هو أنْ تنتقل إليه عينٌ بالمعاوضة ولو كان إجارةً أو صلحاً أو هبةً </w:t>
      </w:r>
      <w:proofErr w:type="spellStart"/>
      <w:r w:rsidRPr="00F27422">
        <w:rPr>
          <w:sz w:val="32"/>
          <w:szCs w:val="32"/>
          <w:rtl/>
        </w:rPr>
        <w:t>معوضةً</w:t>
      </w:r>
      <w:proofErr w:type="spellEnd"/>
      <w:r w:rsidRPr="00F27422">
        <w:rPr>
          <w:sz w:val="32"/>
          <w:szCs w:val="32"/>
          <w:rtl/>
        </w:rPr>
        <w:t xml:space="preserve"> - على مَن يرى أنّ العوض في الهبة مقابل الموهوب -، فهو مما لَمْ يُحرز عرفيته</w:t>
      </w:r>
      <w:r w:rsidRPr="00F27422">
        <w:rPr>
          <w:sz w:val="32"/>
          <w:szCs w:val="32"/>
        </w:rPr>
        <w:t>.</w:t>
      </w:r>
    </w:p>
    <w:p w14:paraId="071BEC54" w14:textId="77777777" w:rsidR="00E8392D" w:rsidRPr="00F27422" w:rsidRDefault="00E8392D" w:rsidP="00122B70">
      <w:pPr>
        <w:bidi/>
        <w:rPr>
          <w:sz w:val="32"/>
          <w:szCs w:val="32"/>
          <w:rtl/>
          <w:lang w:bidi="ar-BH"/>
        </w:rPr>
      </w:pPr>
      <w:r w:rsidRPr="00F27422">
        <w:rPr>
          <w:sz w:val="32"/>
          <w:szCs w:val="32"/>
          <w:rtl/>
        </w:rPr>
        <w:t xml:space="preserve">فما ذكره بعض الأجلة (رحمه الله) مِن التعدي إلى الإجارة، في كتابه الإجارة بقوله: </w:t>
      </w:r>
      <w:r w:rsidRPr="00F27422">
        <w:rPr>
          <w:b/>
          <w:bCs/>
          <w:sz w:val="32"/>
          <w:szCs w:val="32"/>
          <w:rtl/>
        </w:rPr>
        <w:t>(وهذا الفهم هو الصحيح، فإننا ذكرنا في بحث سابق أنّ مناسبات الحكم والموضوع لابدَّ من إعمالها في مقام اقتناص الظهور النهائي من الدليل، وهي في كل مقام تقتضي فهماً خاصاً للحكم الوارد فيه، فإنَّ بعض الأحكام يتناسب عرفاً أن يكون مربوطاً بالإنشاء أو بالعناوين العقدية المنشأة وبعضها يكون المناسب رجوعها إلى أصل المعاوضة والمبادلة بين المالين وحفظ حقّ كل من الطرفين في ماله وهذا الحكم من هذا القبيل، والله الهادي للصواب)</w:t>
      </w:r>
      <w:r w:rsidRPr="00F27422">
        <w:rPr>
          <w:b/>
          <w:bCs/>
          <w:sz w:val="32"/>
          <w:szCs w:val="32"/>
          <w:vertAlign w:val="superscript"/>
          <w:rtl/>
        </w:rPr>
        <w:footnoteReference w:id="113"/>
      </w:r>
      <w:r w:rsidRPr="00F27422">
        <w:rPr>
          <w:b/>
          <w:bCs/>
          <w:sz w:val="32"/>
          <w:szCs w:val="32"/>
          <w:rtl/>
        </w:rPr>
        <w:t>.</w:t>
      </w:r>
    </w:p>
    <w:p w14:paraId="55460072" w14:textId="77777777" w:rsidR="00E8392D" w:rsidRPr="00F27422" w:rsidRDefault="00E8392D" w:rsidP="00122B70">
      <w:pPr>
        <w:bidi/>
        <w:rPr>
          <w:sz w:val="32"/>
          <w:szCs w:val="32"/>
          <w:rtl/>
          <w:lang w:bidi="ar-BH"/>
        </w:rPr>
      </w:pPr>
      <w:r w:rsidRPr="00F27422">
        <w:rPr>
          <w:b/>
          <w:bCs/>
          <w:sz w:val="32"/>
          <w:szCs w:val="32"/>
          <w:rtl/>
        </w:rPr>
        <w:t>ليس واضحاً؛</w:t>
      </w:r>
      <w:r w:rsidRPr="00F27422">
        <w:rPr>
          <w:sz w:val="32"/>
          <w:szCs w:val="32"/>
          <w:rtl/>
        </w:rPr>
        <w:t xml:space="preserve"> إذ مناسبة الحكم للموضوع تعتمد على تحديد ما هو الموضوع، والموضوعُ في الروايات مَن انتقلت إليه عينٌ معيبةٌ بسبب معاملةٍ متقومة بالشراء، والحكمُ هو ثبوتُ خيار العيب، فلو اختص هذا الحكم بهذا الموضوع لَمْ يكن طرحاً لقرينة مناسبة الحكم للموضوع كي يُقال: بأنّ مقتضى قرينة مناسبة الحكم للموضوع التعدي لانتقال عينٍ معيبةٍ بمعاوضة وإنْ لَمْ تكن بيعاً ولا إجارةً ولا غير ذلك</w:t>
      </w:r>
      <w:r w:rsidRPr="00F27422">
        <w:rPr>
          <w:sz w:val="32"/>
          <w:szCs w:val="32"/>
        </w:rPr>
        <w:t>.</w:t>
      </w:r>
    </w:p>
    <w:p w14:paraId="798BFC83" w14:textId="77777777" w:rsidR="00E8392D" w:rsidRPr="00F27422" w:rsidRDefault="00E8392D" w:rsidP="00122B70">
      <w:pPr>
        <w:bidi/>
        <w:rPr>
          <w:sz w:val="32"/>
          <w:szCs w:val="32"/>
          <w:rtl/>
          <w:lang w:bidi="ar-BH"/>
        </w:rPr>
      </w:pPr>
    </w:p>
    <w:p w14:paraId="0A632B66" w14:textId="77777777" w:rsidR="00E8392D" w:rsidRPr="00F27422" w:rsidRDefault="00E8392D" w:rsidP="00122B70">
      <w:pPr>
        <w:bidi/>
        <w:rPr>
          <w:b/>
          <w:bCs/>
          <w:sz w:val="32"/>
          <w:szCs w:val="32"/>
          <w:rtl/>
          <w:lang w:bidi="ar-BH"/>
        </w:rPr>
      </w:pPr>
      <w:r w:rsidRPr="00F27422">
        <w:rPr>
          <w:b/>
          <w:bCs/>
          <w:sz w:val="32"/>
          <w:szCs w:val="32"/>
          <w:rtl/>
        </w:rPr>
        <w:t>المسألة التاسعة "من أحكام فصل الإجارة".</w:t>
      </w:r>
    </w:p>
    <w:p w14:paraId="19849AA2" w14:textId="77777777" w:rsidR="00E8392D" w:rsidRPr="00F27422" w:rsidRDefault="00E8392D" w:rsidP="00122B70">
      <w:pPr>
        <w:bidi/>
        <w:rPr>
          <w:b/>
          <w:bCs/>
          <w:sz w:val="32"/>
          <w:szCs w:val="32"/>
          <w:rtl/>
          <w:lang w:bidi="ar-BH"/>
        </w:rPr>
      </w:pPr>
      <w:r w:rsidRPr="00F27422">
        <w:rPr>
          <w:sz w:val="32"/>
          <w:szCs w:val="32"/>
          <w:rtl/>
        </w:rPr>
        <w:t xml:space="preserve">قال سيد العروة (قدس سره الشريف): </w:t>
      </w:r>
      <w:r w:rsidRPr="00F27422">
        <w:rPr>
          <w:b/>
          <w:bCs/>
          <w:sz w:val="32"/>
          <w:szCs w:val="32"/>
          <w:rtl/>
        </w:rPr>
        <w:t xml:space="preserve">(مسألة 9: إذا أفلس المستأجر </w:t>
      </w:r>
      <w:proofErr w:type="spellStart"/>
      <w:r w:rsidRPr="00F27422">
        <w:rPr>
          <w:b/>
          <w:bCs/>
          <w:sz w:val="32"/>
          <w:szCs w:val="32"/>
          <w:rtl/>
        </w:rPr>
        <w:t>بالاُجرة</w:t>
      </w:r>
      <w:proofErr w:type="spellEnd"/>
      <w:r w:rsidRPr="00F27422">
        <w:rPr>
          <w:b/>
          <w:bCs/>
          <w:sz w:val="32"/>
          <w:szCs w:val="32"/>
          <w:rtl/>
        </w:rPr>
        <w:t xml:space="preserve"> كان للمؤجّر الخيار بين الفسخ واسترداد العين وبين الضرب مع الغرماء، نظير ما إذا أفلس المشتري بالثمن حيث إنّ للبائع الخيار إذا وجد عين ماله)</w:t>
      </w:r>
      <w:r w:rsidRPr="00F27422">
        <w:rPr>
          <w:b/>
          <w:bCs/>
          <w:sz w:val="32"/>
          <w:szCs w:val="32"/>
        </w:rPr>
        <w:t>.</w:t>
      </w:r>
    </w:p>
    <w:p w14:paraId="0F2D03A2" w14:textId="77777777" w:rsidR="00E8392D" w:rsidRPr="00F27422" w:rsidRDefault="00E8392D" w:rsidP="00122B70">
      <w:pPr>
        <w:bidi/>
        <w:rPr>
          <w:sz w:val="32"/>
          <w:szCs w:val="32"/>
          <w:rtl/>
          <w:lang w:bidi="ar-BH"/>
        </w:rPr>
      </w:pPr>
      <w:r w:rsidRPr="00F27422">
        <w:rPr>
          <w:sz w:val="32"/>
          <w:szCs w:val="32"/>
          <w:rtl/>
        </w:rPr>
        <w:t>لا ريب أنّ باب الإجارة موضوعٌ للخيارات كخيار الغبن وخيار تخلّف الشرط وخيار تبعض الصفقة</w:t>
      </w:r>
      <w:r w:rsidRPr="00F27422">
        <w:rPr>
          <w:sz w:val="32"/>
          <w:szCs w:val="32"/>
        </w:rPr>
        <w:t>.</w:t>
      </w:r>
    </w:p>
    <w:p w14:paraId="4CF11BF7" w14:textId="77777777" w:rsidR="00E8392D" w:rsidRPr="00F27422" w:rsidRDefault="00E8392D" w:rsidP="00122B70">
      <w:pPr>
        <w:bidi/>
        <w:rPr>
          <w:sz w:val="32"/>
          <w:szCs w:val="32"/>
          <w:rtl/>
          <w:lang w:bidi="ar-BH"/>
        </w:rPr>
      </w:pPr>
      <w:r w:rsidRPr="00F27422">
        <w:rPr>
          <w:sz w:val="32"/>
          <w:szCs w:val="32"/>
          <w:rtl/>
        </w:rPr>
        <w:t>وإنّما الكلام في ثبوت خيار التفليس، والمقصودُ بخيار التفليس ما إذا أفلس المُستأجر فلَمْ يقدر على أداء الأُجرة، فهل يثبتُ للمُؤجّر الخيار مِن باب خيار التفليس؟</w:t>
      </w:r>
    </w:p>
    <w:p w14:paraId="58CAC2D2" w14:textId="77777777" w:rsidR="00E8392D" w:rsidRPr="00F27422" w:rsidRDefault="00E8392D" w:rsidP="00122B70">
      <w:pPr>
        <w:bidi/>
        <w:rPr>
          <w:sz w:val="32"/>
          <w:szCs w:val="32"/>
          <w:rtl/>
          <w:lang w:bidi="ar-BH"/>
        </w:rPr>
      </w:pPr>
      <w:r w:rsidRPr="00F27422">
        <w:rPr>
          <w:sz w:val="32"/>
          <w:szCs w:val="32"/>
          <w:rtl/>
        </w:rPr>
        <w:t>قد استدل على ثبوت خيار التفليس للمُؤجّر بوجوهٍ</w:t>
      </w:r>
      <w:r w:rsidRPr="00F27422">
        <w:rPr>
          <w:sz w:val="32"/>
          <w:szCs w:val="32"/>
        </w:rPr>
        <w:t>:</w:t>
      </w:r>
    </w:p>
    <w:p w14:paraId="75A0E84C" w14:textId="77777777" w:rsidR="00E8392D" w:rsidRPr="00F27422" w:rsidRDefault="00E8392D" w:rsidP="00122B70">
      <w:pPr>
        <w:bidi/>
        <w:rPr>
          <w:sz w:val="32"/>
          <w:szCs w:val="32"/>
          <w:rtl/>
          <w:lang w:bidi="ar-BH"/>
        </w:rPr>
      </w:pPr>
      <w:r w:rsidRPr="00F27422">
        <w:rPr>
          <w:b/>
          <w:bCs/>
          <w:sz w:val="32"/>
          <w:szCs w:val="32"/>
          <w:rtl/>
        </w:rPr>
        <w:t>الوجهُ الأوّل:</w:t>
      </w:r>
      <w:r w:rsidRPr="00F27422">
        <w:rPr>
          <w:sz w:val="32"/>
          <w:szCs w:val="32"/>
          <w:rtl/>
        </w:rPr>
        <w:t xml:space="preserve"> </w:t>
      </w:r>
      <w:r w:rsidRPr="00F27422">
        <w:rPr>
          <w:b/>
          <w:bCs/>
          <w:sz w:val="32"/>
          <w:szCs w:val="32"/>
          <w:rtl/>
        </w:rPr>
        <w:t>التمسك بقاعدة "لا ضرر".</w:t>
      </w:r>
    </w:p>
    <w:p w14:paraId="38FCAF09" w14:textId="77777777" w:rsidR="00E8392D" w:rsidRPr="00F27422" w:rsidRDefault="00E8392D" w:rsidP="00122B70">
      <w:pPr>
        <w:bidi/>
        <w:rPr>
          <w:sz w:val="32"/>
          <w:szCs w:val="32"/>
          <w:rtl/>
          <w:lang w:bidi="ar-BH"/>
        </w:rPr>
      </w:pPr>
      <w:r w:rsidRPr="00F27422">
        <w:rPr>
          <w:sz w:val="32"/>
          <w:szCs w:val="32"/>
          <w:rtl/>
        </w:rPr>
        <w:lastRenderedPageBreak/>
        <w:t>حيثُ إنّ لزوم العقد في حقّ المُؤجّر مع إفلاس المُستأجر عن أداءِ الأُجرة لزومٌ ضرري، فمقتضى "لا ضرر" ارتفاعه</w:t>
      </w:r>
      <w:r w:rsidRPr="00F27422">
        <w:rPr>
          <w:sz w:val="32"/>
          <w:szCs w:val="32"/>
        </w:rPr>
        <w:t>.</w:t>
      </w:r>
    </w:p>
    <w:p w14:paraId="50D3B6D3" w14:textId="77777777" w:rsidR="00E8392D" w:rsidRPr="00F27422" w:rsidRDefault="00E8392D" w:rsidP="00122B70">
      <w:pPr>
        <w:bidi/>
        <w:rPr>
          <w:sz w:val="32"/>
          <w:szCs w:val="32"/>
          <w:rtl/>
          <w:lang w:bidi="ar-BH"/>
        </w:rPr>
      </w:pPr>
      <w:r w:rsidRPr="00F27422">
        <w:rPr>
          <w:sz w:val="32"/>
          <w:szCs w:val="32"/>
          <w:rtl/>
        </w:rPr>
        <w:t>إلّا أنّ الاستدلال إنّما يتم لو انحصر انتفاء الضرر في رفع اللزوم، وأمّا لو كانت هناك وسائلُ أُخرى لجبر الضرر غير لزوم العقد كأنْ يكون مع الغرماء فلا يكون مقتضى "لا ضرر" انتفاء اللزوم، مضافاً إلى أنّه لا مرجح لضرر المُستأجر على ضرر المُؤجّر كي تجري بلحاظ الثاني وإنْ استلزم الضرار على الأوّل.</w:t>
      </w:r>
    </w:p>
    <w:p w14:paraId="65198C39" w14:textId="77777777" w:rsidR="00E8392D" w:rsidRPr="00F27422" w:rsidRDefault="00E8392D" w:rsidP="00122B70">
      <w:pPr>
        <w:bidi/>
        <w:rPr>
          <w:sz w:val="32"/>
          <w:szCs w:val="32"/>
          <w:rtl/>
          <w:lang w:bidi="ar-BH"/>
        </w:rPr>
      </w:pPr>
      <w:r w:rsidRPr="00F27422">
        <w:rPr>
          <w:b/>
          <w:bCs/>
          <w:sz w:val="32"/>
          <w:szCs w:val="32"/>
          <w:rtl/>
        </w:rPr>
        <w:t>الوجهُ الثاني:</w:t>
      </w:r>
      <w:r w:rsidRPr="00F27422">
        <w:rPr>
          <w:sz w:val="32"/>
          <w:szCs w:val="32"/>
          <w:rtl/>
        </w:rPr>
        <w:t xml:space="preserve"> </w:t>
      </w:r>
      <w:r w:rsidRPr="00F27422">
        <w:rPr>
          <w:b/>
          <w:bCs/>
          <w:sz w:val="32"/>
          <w:szCs w:val="32"/>
          <w:rtl/>
        </w:rPr>
        <w:t>التمسك ببعض الروايات الخاصة الواردة في التفليس</w:t>
      </w:r>
      <w:r w:rsidRPr="00F27422">
        <w:rPr>
          <w:b/>
          <w:bCs/>
          <w:sz w:val="32"/>
          <w:szCs w:val="32"/>
        </w:rPr>
        <w:t>.</w:t>
      </w:r>
    </w:p>
    <w:p w14:paraId="2025632A" w14:textId="77777777" w:rsidR="00E8392D" w:rsidRPr="00F27422" w:rsidRDefault="00E8392D" w:rsidP="00122B70">
      <w:pPr>
        <w:bidi/>
        <w:rPr>
          <w:sz w:val="32"/>
          <w:szCs w:val="32"/>
          <w:rtl/>
          <w:lang w:bidi="ar-BH"/>
        </w:rPr>
      </w:pPr>
      <w:r w:rsidRPr="00F27422">
        <w:rPr>
          <w:sz w:val="32"/>
          <w:szCs w:val="32"/>
          <w:rtl/>
        </w:rPr>
        <w:t xml:space="preserve">وأوضحُ الروايات هي صحيحة عمر بن يزيد، كما في الوسائل: </w:t>
      </w:r>
      <w:r w:rsidRPr="00F27422">
        <w:rPr>
          <w:b/>
          <w:bCs/>
          <w:sz w:val="32"/>
          <w:szCs w:val="32"/>
          <w:rtl/>
        </w:rPr>
        <w:t>(وبإسناده عن محمّد بن أحمد بن يحيى، عن العباس، عن حماد بن عيسى، عن عمر بن يزيد، عن أبي الحسن (عليه السلام) قال: سألته عن الرجل يركبه الدين فيوجد متاع رجل عنده بعينه؟ قال: لا يحاصه الغرماء)</w:t>
      </w:r>
      <w:r w:rsidRPr="00F27422">
        <w:rPr>
          <w:sz w:val="32"/>
          <w:szCs w:val="32"/>
          <w:vertAlign w:val="superscript"/>
          <w:rtl/>
        </w:rPr>
        <w:footnoteReference w:id="114"/>
      </w:r>
      <w:r w:rsidRPr="00F27422">
        <w:rPr>
          <w:sz w:val="32"/>
          <w:szCs w:val="32"/>
          <w:rtl/>
        </w:rPr>
        <w:t>.</w:t>
      </w:r>
    </w:p>
    <w:p w14:paraId="555A10C8" w14:textId="77777777" w:rsidR="00E8392D" w:rsidRPr="00F27422" w:rsidRDefault="00E8392D" w:rsidP="00122B70">
      <w:pPr>
        <w:bidi/>
        <w:rPr>
          <w:sz w:val="32"/>
          <w:szCs w:val="32"/>
          <w:rtl/>
          <w:lang w:bidi="ar-BH"/>
        </w:rPr>
      </w:pPr>
      <w:r w:rsidRPr="00F27422">
        <w:rPr>
          <w:sz w:val="32"/>
          <w:szCs w:val="32"/>
          <w:rtl/>
        </w:rPr>
        <w:t xml:space="preserve">وقد تمسك سيدنا الخوئي (قدس سره الشريف) بإطلاق الرواية، بدعوى: أنّ عنوان المتاع يشمل العين حال البيع والعين المتضمنة للمنفعة حال الإجارة، فإنّ المقصود بقول الراوي: </w:t>
      </w:r>
      <w:r w:rsidRPr="00F27422">
        <w:rPr>
          <w:b/>
          <w:bCs/>
          <w:sz w:val="32"/>
          <w:szCs w:val="32"/>
          <w:rtl/>
        </w:rPr>
        <w:t>(سألته عن الرجل يركبه الدين)</w:t>
      </w:r>
      <w:r w:rsidRPr="00F27422">
        <w:rPr>
          <w:sz w:val="32"/>
          <w:szCs w:val="32"/>
          <w:rtl/>
        </w:rPr>
        <w:t xml:space="preserve"> هو الدائن بلحاظ أنّ عدم تسديد ديونه لتفليس المدين ثقل عليه </w:t>
      </w:r>
      <w:r w:rsidRPr="00F27422">
        <w:rPr>
          <w:b/>
          <w:bCs/>
          <w:sz w:val="32"/>
          <w:szCs w:val="32"/>
          <w:rtl/>
        </w:rPr>
        <w:t>(فيوجد متاع رجل عنده بعينه)</w:t>
      </w:r>
      <w:r w:rsidRPr="00F27422">
        <w:rPr>
          <w:sz w:val="32"/>
          <w:szCs w:val="32"/>
          <w:rtl/>
        </w:rPr>
        <w:t xml:space="preserve"> فهل يسترد دينه منه أو يضرب مع الغرماء؟ فأجابه (عليه السلام) بقوله: </w:t>
      </w:r>
      <w:r w:rsidRPr="00F27422">
        <w:rPr>
          <w:b/>
          <w:bCs/>
          <w:sz w:val="32"/>
          <w:szCs w:val="32"/>
          <w:rtl/>
        </w:rPr>
        <w:t>(لا يحاصه الغرماء)</w:t>
      </w:r>
      <w:r w:rsidRPr="00F27422">
        <w:rPr>
          <w:sz w:val="32"/>
          <w:szCs w:val="32"/>
          <w:rtl/>
        </w:rPr>
        <w:t>، أي: يمكنه أنْ يسترد؛ إذ لا معنى لأنّ تكون العين خاصةً بِهِ إلّا في فرض الاسترداد والفسخ، وإلّا لكان مع الغرماء</w:t>
      </w:r>
      <w:r w:rsidRPr="00F27422">
        <w:rPr>
          <w:sz w:val="32"/>
          <w:szCs w:val="32"/>
        </w:rPr>
        <w:t>.</w:t>
      </w:r>
    </w:p>
    <w:p w14:paraId="7B42B047" w14:textId="77777777" w:rsidR="00E8392D" w:rsidRPr="00F27422" w:rsidRDefault="00E8392D" w:rsidP="00122B70">
      <w:pPr>
        <w:bidi/>
        <w:rPr>
          <w:b/>
          <w:bCs/>
          <w:sz w:val="32"/>
          <w:szCs w:val="32"/>
          <w:rtl/>
        </w:rPr>
      </w:pPr>
      <w:r w:rsidRPr="00F27422">
        <w:rPr>
          <w:sz w:val="32"/>
          <w:szCs w:val="32"/>
          <w:rtl/>
        </w:rPr>
        <w:t xml:space="preserve">وقد أشار لذلك سيدنا الخوئي (قدس سره الشريف) بقوله: </w:t>
      </w:r>
      <w:r w:rsidRPr="00F27422">
        <w:rPr>
          <w:b/>
          <w:bCs/>
          <w:sz w:val="32"/>
          <w:szCs w:val="32"/>
          <w:rtl/>
        </w:rPr>
        <w:t>(فإنّ دعوى شمولها للمقام)</w:t>
      </w:r>
      <w:r w:rsidRPr="00F27422">
        <w:rPr>
          <w:sz w:val="32"/>
          <w:szCs w:val="32"/>
          <w:rtl/>
        </w:rPr>
        <w:t xml:space="preserve"> أي: باب الإجارة </w:t>
      </w:r>
      <w:r w:rsidRPr="00F27422">
        <w:rPr>
          <w:b/>
          <w:bCs/>
          <w:sz w:val="32"/>
          <w:szCs w:val="32"/>
          <w:rtl/>
        </w:rPr>
        <w:t>(غير بعيدة باعتبار أنّ وجدان المتاع عنده مطلق يشمل ما لو كان ذلك بعنوان البيع أو الإجارة، وكونه مالكاً لمنافعه لا لعينه، إذ لم يتقيّد ذلك بصورة البيع</w:t>
      </w:r>
      <w:r w:rsidRPr="00F27422">
        <w:rPr>
          <w:b/>
          <w:bCs/>
          <w:sz w:val="32"/>
          <w:szCs w:val="32"/>
        </w:rPr>
        <w:t>.</w:t>
      </w:r>
    </w:p>
    <w:p w14:paraId="48719C03" w14:textId="77777777" w:rsidR="00E8392D" w:rsidRPr="00F27422" w:rsidRDefault="00E8392D" w:rsidP="00122B70">
      <w:pPr>
        <w:bidi/>
        <w:rPr>
          <w:sz w:val="32"/>
          <w:szCs w:val="32"/>
          <w:rtl/>
        </w:rPr>
      </w:pPr>
      <w:r w:rsidRPr="00F27422">
        <w:rPr>
          <w:b/>
          <w:bCs/>
          <w:sz w:val="32"/>
          <w:szCs w:val="32"/>
          <w:rtl/>
        </w:rPr>
        <w:t>إذن فلا بأس بالتعدّي استناداً إلى هذه الصحيحة، التي إطلاقها غير قاصر الشمول للمقام، مضافاً إلى عدم الخلاف في المسألة كما عرفت)</w:t>
      </w:r>
      <w:r w:rsidRPr="00F27422">
        <w:rPr>
          <w:sz w:val="32"/>
          <w:szCs w:val="32"/>
          <w:vertAlign w:val="superscript"/>
          <w:rtl/>
        </w:rPr>
        <w:footnoteReference w:id="115"/>
      </w:r>
      <w:r w:rsidRPr="00F27422">
        <w:rPr>
          <w:sz w:val="32"/>
          <w:szCs w:val="32"/>
          <w:rtl/>
        </w:rPr>
        <w:t>.</w:t>
      </w:r>
    </w:p>
    <w:p w14:paraId="497B019F" w14:textId="77777777" w:rsidR="00E8392D" w:rsidRPr="00F27422" w:rsidRDefault="00E8392D" w:rsidP="00122B70">
      <w:pPr>
        <w:bidi/>
        <w:rPr>
          <w:b/>
          <w:bCs/>
          <w:sz w:val="32"/>
          <w:szCs w:val="32"/>
          <w:rtl/>
        </w:rPr>
      </w:pPr>
      <w:r w:rsidRPr="00F27422">
        <w:rPr>
          <w:sz w:val="32"/>
          <w:szCs w:val="32"/>
          <w:rtl/>
        </w:rPr>
        <w:t xml:space="preserve">وفي مقابل ذلك، ما ذكره السيد الحكيم السبط (قدس سره الشريف) في كتابه الإجارة: </w:t>
      </w:r>
      <w:r w:rsidRPr="00F27422">
        <w:rPr>
          <w:b/>
          <w:bCs/>
          <w:sz w:val="32"/>
          <w:szCs w:val="32"/>
          <w:rtl/>
        </w:rPr>
        <w:t xml:space="preserve">(ومثله الاستدلال بإطلاق الصحيح، كما يظهر مما عن بعض مشايخنا (قدس سره)، بدعوى شمول </w:t>
      </w:r>
      <w:r w:rsidRPr="00F27422">
        <w:rPr>
          <w:b/>
          <w:bCs/>
          <w:sz w:val="32"/>
          <w:szCs w:val="32"/>
          <w:rtl/>
        </w:rPr>
        <w:lastRenderedPageBreak/>
        <w:t>المتاع للعين المستأجرة. إذ فيه: أنه ينصرف للمتاع المقابل للدين المملوك للمفلس والذي من شأن الغرماء المحاصة فيه كسائر أملاكه. مع أنّه يقصر عن الإجارة على العمل</w:t>
      </w:r>
      <w:r w:rsidRPr="00F27422">
        <w:rPr>
          <w:b/>
          <w:bCs/>
          <w:sz w:val="32"/>
          <w:szCs w:val="32"/>
        </w:rPr>
        <w:t>.</w:t>
      </w:r>
    </w:p>
    <w:p w14:paraId="0EFA0522" w14:textId="77777777" w:rsidR="00E8392D" w:rsidRPr="00F27422" w:rsidRDefault="00E8392D" w:rsidP="00122B70">
      <w:pPr>
        <w:bidi/>
        <w:rPr>
          <w:b/>
          <w:bCs/>
          <w:sz w:val="32"/>
          <w:szCs w:val="32"/>
          <w:rtl/>
        </w:rPr>
      </w:pPr>
      <w:r w:rsidRPr="00F27422">
        <w:rPr>
          <w:b/>
          <w:bCs/>
          <w:sz w:val="32"/>
          <w:szCs w:val="32"/>
          <w:rtl/>
        </w:rPr>
        <w:t>وكذا الاستدلال بقاعدة نفي الضرر. إذ لا مرجح لضرر المستأجر على ضرر غيره من الغرماء</w:t>
      </w:r>
      <w:r w:rsidRPr="00F27422">
        <w:rPr>
          <w:b/>
          <w:bCs/>
          <w:sz w:val="32"/>
          <w:szCs w:val="32"/>
        </w:rPr>
        <w:t>.</w:t>
      </w:r>
    </w:p>
    <w:p w14:paraId="28A3B10F" w14:textId="77777777" w:rsidR="00E8392D" w:rsidRPr="00F27422" w:rsidRDefault="00E8392D" w:rsidP="00122B70">
      <w:pPr>
        <w:bidi/>
        <w:rPr>
          <w:b/>
          <w:bCs/>
          <w:sz w:val="32"/>
          <w:szCs w:val="32"/>
          <w:rtl/>
        </w:rPr>
      </w:pPr>
      <w:r w:rsidRPr="00F27422">
        <w:rPr>
          <w:b/>
          <w:bCs/>
          <w:sz w:val="32"/>
          <w:szCs w:val="32"/>
          <w:rtl/>
        </w:rPr>
        <w:t>هذا وقد قال في كتاب الحجر من مفتاح الكرامة بعد أن تعرض لبعض ما ذكرنا: (لكنا لم نجد مخالفاً ولا متأملاً منّا في الباب ولا في الإجارة). وكأنّه يحاول بذلك تتميم الاستدلال بالإجماع</w:t>
      </w:r>
      <w:r w:rsidRPr="00F27422">
        <w:rPr>
          <w:b/>
          <w:bCs/>
          <w:sz w:val="32"/>
          <w:szCs w:val="32"/>
        </w:rPr>
        <w:t>.</w:t>
      </w:r>
    </w:p>
    <w:p w14:paraId="2ACC5FC5" w14:textId="77777777" w:rsidR="00E8392D" w:rsidRPr="00F27422" w:rsidRDefault="00E8392D" w:rsidP="00122B70">
      <w:pPr>
        <w:bidi/>
        <w:rPr>
          <w:sz w:val="32"/>
          <w:szCs w:val="32"/>
          <w:rtl/>
        </w:rPr>
      </w:pPr>
      <w:r w:rsidRPr="00F27422">
        <w:rPr>
          <w:b/>
          <w:bCs/>
          <w:sz w:val="32"/>
          <w:szCs w:val="32"/>
          <w:rtl/>
        </w:rPr>
        <w:t>لكنه في غاية الإشكال، لقلة من تعرض للخيار المذكور، ولقرب اعتمادهم على بعض الوجوه المتقدمة والآتية، من دون أن يكون إجماعاً تعبدياً ينهض بالاستدلال)</w:t>
      </w:r>
      <w:r w:rsidRPr="00F27422">
        <w:rPr>
          <w:sz w:val="32"/>
          <w:szCs w:val="32"/>
          <w:vertAlign w:val="superscript"/>
          <w:rtl/>
        </w:rPr>
        <w:footnoteReference w:id="116"/>
      </w:r>
      <w:r w:rsidRPr="00F27422">
        <w:rPr>
          <w:sz w:val="32"/>
          <w:szCs w:val="32"/>
          <w:rtl/>
        </w:rPr>
        <w:t>.</w:t>
      </w:r>
    </w:p>
    <w:p w14:paraId="7D82E1CD" w14:textId="77777777" w:rsidR="00E8392D" w:rsidRPr="00F27422" w:rsidRDefault="00E8392D" w:rsidP="00122B70">
      <w:pPr>
        <w:bidi/>
        <w:rPr>
          <w:sz w:val="32"/>
          <w:szCs w:val="32"/>
          <w:rtl/>
        </w:rPr>
      </w:pPr>
      <w:r w:rsidRPr="00F27422">
        <w:rPr>
          <w:sz w:val="32"/>
          <w:szCs w:val="32"/>
          <w:rtl/>
        </w:rPr>
        <w:t>ومنهُ يتضح أنّ دعوى عدم الخلاف في الحكم محلّ تأمل؛ حيثُ إنّ الإجماع المنقول مما لَمْ يُحرز في المقام، وإنّما المدارُ على الرواية وأنّه هل يتعدّى منها أم لا؟</w:t>
      </w:r>
    </w:p>
    <w:p w14:paraId="211D827D" w14:textId="77777777" w:rsidR="00E8392D" w:rsidRPr="00F27422" w:rsidRDefault="00E8392D" w:rsidP="00122B70">
      <w:pPr>
        <w:bidi/>
        <w:rPr>
          <w:b/>
          <w:bCs/>
          <w:sz w:val="32"/>
          <w:szCs w:val="32"/>
          <w:rtl/>
        </w:rPr>
      </w:pPr>
      <w:r w:rsidRPr="00F27422">
        <w:rPr>
          <w:b/>
          <w:bCs/>
          <w:sz w:val="32"/>
          <w:szCs w:val="32"/>
          <w:rtl/>
        </w:rPr>
        <w:t>والتعدّي مبني على عناصر:</w:t>
      </w:r>
    </w:p>
    <w:p w14:paraId="0423C98F" w14:textId="77777777" w:rsidR="00E8392D" w:rsidRPr="00F27422" w:rsidRDefault="00E8392D" w:rsidP="00122B70">
      <w:pPr>
        <w:bidi/>
        <w:rPr>
          <w:sz w:val="32"/>
          <w:szCs w:val="32"/>
          <w:rtl/>
        </w:rPr>
      </w:pPr>
      <w:r w:rsidRPr="00F27422">
        <w:rPr>
          <w:b/>
          <w:bCs/>
          <w:sz w:val="32"/>
          <w:szCs w:val="32"/>
          <w:rtl/>
        </w:rPr>
        <w:t>الأوّل:</w:t>
      </w:r>
      <w:r w:rsidRPr="00F27422">
        <w:rPr>
          <w:sz w:val="32"/>
          <w:szCs w:val="32"/>
          <w:rtl/>
        </w:rPr>
        <w:t xml:space="preserve"> أنّ المراد من قوله: </w:t>
      </w:r>
      <w:r w:rsidRPr="00F27422">
        <w:rPr>
          <w:b/>
          <w:bCs/>
          <w:sz w:val="32"/>
          <w:szCs w:val="32"/>
          <w:rtl/>
        </w:rPr>
        <w:t>(فيوجد متاع رجل عنده)</w:t>
      </w:r>
      <w:r w:rsidRPr="00F27422">
        <w:rPr>
          <w:sz w:val="32"/>
          <w:szCs w:val="32"/>
          <w:rtl/>
        </w:rPr>
        <w:t xml:space="preserve"> أي: ما كان متعلقاً للمعاملة كالعين في عقد الإجارة، - غاية ما في الأمر أنّ المُؤجّر لَمْ ينقل نفس العين وإنما مَلّكَ منفعتها للمستأجر -، ولو بقرينة الصدر والذيل وهو فرض الإفلاس</w:t>
      </w:r>
      <w:r w:rsidRPr="00F27422">
        <w:rPr>
          <w:sz w:val="32"/>
          <w:szCs w:val="32"/>
        </w:rPr>
        <w:t>.</w:t>
      </w:r>
    </w:p>
    <w:p w14:paraId="6BF825C0" w14:textId="77777777" w:rsidR="00E8392D" w:rsidRPr="00F27422" w:rsidRDefault="00E8392D" w:rsidP="00122B70">
      <w:pPr>
        <w:bidi/>
        <w:rPr>
          <w:sz w:val="32"/>
          <w:szCs w:val="32"/>
          <w:rtl/>
        </w:rPr>
      </w:pPr>
      <w:r w:rsidRPr="00F27422">
        <w:rPr>
          <w:b/>
          <w:bCs/>
          <w:sz w:val="32"/>
          <w:szCs w:val="32"/>
          <w:rtl/>
        </w:rPr>
        <w:t xml:space="preserve">الثاني: </w:t>
      </w:r>
      <w:r w:rsidRPr="00F27422">
        <w:rPr>
          <w:sz w:val="32"/>
          <w:szCs w:val="32"/>
          <w:rtl/>
        </w:rPr>
        <w:t xml:space="preserve">أنّ قول الإمام (عليه السلام): </w:t>
      </w:r>
      <w:r w:rsidRPr="00F27422">
        <w:rPr>
          <w:b/>
          <w:bCs/>
          <w:sz w:val="32"/>
          <w:szCs w:val="32"/>
          <w:rtl/>
        </w:rPr>
        <w:t xml:space="preserve">(لا يحاصه الغرماء) </w:t>
      </w:r>
      <w:r w:rsidRPr="00F27422">
        <w:rPr>
          <w:sz w:val="32"/>
          <w:szCs w:val="32"/>
          <w:rtl/>
        </w:rPr>
        <w:t>مما يدل على كون العين مورد محاصة الغرماء لولا حكم الشارع.</w:t>
      </w:r>
    </w:p>
    <w:p w14:paraId="29CD166F" w14:textId="77777777" w:rsidR="00E8392D" w:rsidRPr="00F27422" w:rsidRDefault="00E8392D" w:rsidP="00122B70">
      <w:pPr>
        <w:bidi/>
        <w:rPr>
          <w:sz w:val="32"/>
          <w:szCs w:val="32"/>
          <w:rtl/>
        </w:rPr>
      </w:pPr>
      <w:r w:rsidRPr="00F27422">
        <w:rPr>
          <w:b/>
          <w:bCs/>
          <w:sz w:val="32"/>
          <w:szCs w:val="32"/>
          <w:rtl/>
        </w:rPr>
        <w:t xml:space="preserve">الثالث: </w:t>
      </w:r>
      <w:r w:rsidRPr="00F27422">
        <w:rPr>
          <w:sz w:val="32"/>
          <w:szCs w:val="32"/>
          <w:rtl/>
        </w:rPr>
        <w:t xml:space="preserve">إنّ ظاهر كلمة "بعينه" في قول الراوي: </w:t>
      </w:r>
      <w:r w:rsidRPr="00F27422">
        <w:rPr>
          <w:b/>
          <w:bCs/>
          <w:sz w:val="32"/>
          <w:szCs w:val="32"/>
          <w:rtl/>
        </w:rPr>
        <w:t xml:space="preserve">(فيوجد متاع رجل عنده بعينه) </w:t>
      </w:r>
      <w:r w:rsidRPr="00F27422">
        <w:rPr>
          <w:sz w:val="32"/>
          <w:szCs w:val="32"/>
          <w:rtl/>
        </w:rPr>
        <w:t>ظاهرٌ في المتاع الذي هو محل للمعاوضة حتى يصدق كلمة بعينه</w:t>
      </w:r>
      <w:r w:rsidRPr="00F27422">
        <w:rPr>
          <w:sz w:val="32"/>
          <w:szCs w:val="32"/>
        </w:rPr>
        <w:t>.</w:t>
      </w:r>
    </w:p>
    <w:p w14:paraId="3BE27884" w14:textId="77777777" w:rsidR="00E8392D" w:rsidRPr="00F27422" w:rsidRDefault="00E8392D" w:rsidP="00122B70">
      <w:pPr>
        <w:bidi/>
        <w:rPr>
          <w:sz w:val="32"/>
          <w:szCs w:val="32"/>
          <w:rtl/>
        </w:rPr>
      </w:pPr>
      <w:r w:rsidRPr="00F27422">
        <w:rPr>
          <w:b/>
          <w:bCs/>
          <w:sz w:val="32"/>
          <w:szCs w:val="32"/>
          <w:rtl/>
        </w:rPr>
        <w:t xml:space="preserve">إلّا أنّ هذه العملية في </w:t>
      </w:r>
      <w:proofErr w:type="spellStart"/>
      <w:r w:rsidRPr="00F27422">
        <w:rPr>
          <w:b/>
          <w:bCs/>
          <w:sz w:val="32"/>
          <w:szCs w:val="32"/>
          <w:rtl/>
        </w:rPr>
        <w:t>الإستظهار</w:t>
      </w:r>
      <w:proofErr w:type="spellEnd"/>
      <w:r w:rsidRPr="00F27422">
        <w:rPr>
          <w:b/>
          <w:bCs/>
          <w:sz w:val="32"/>
          <w:szCs w:val="32"/>
          <w:rtl/>
        </w:rPr>
        <w:t xml:space="preserve"> أشبهُ بالعملية الجراحية مِن أجل تعدية مفاد الرواية لما هو محلّ الكلام؛</w:t>
      </w:r>
      <w:r w:rsidRPr="00F27422">
        <w:rPr>
          <w:sz w:val="32"/>
          <w:szCs w:val="32"/>
          <w:rtl/>
        </w:rPr>
        <w:t xml:space="preserve"> فإنّ الرواية لو طُرحتْ على العرف فإنّ ما يفهمه العرف من كلمة </w:t>
      </w:r>
      <w:r w:rsidRPr="00F27422">
        <w:rPr>
          <w:b/>
          <w:bCs/>
          <w:sz w:val="32"/>
          <w:szCs w:val="32"/>
          <w:rtl/>
        </w:rPr>
        <w:t>(فيوجد متاع رجل عنده بعينه)</w:t>
      </w:r>
      <w:r w:rsidRPr="00F27422">
        <w:rPr>
          <w:sz w:val="32"/>
          <w:szCs w:val="32"/>
          <w:rtl/>
        </w:rPr>
        <w:t xml:space="preserve"> أنّ المراد به المتاعُ المقابل للدَّين الذي انتقل بالمعاوضة للمدين، كما يظهر من التعبير (بعينه) ولا ظهور في الرواية لما يشمل ما هو متاع للدائن بالفعل؛ لأنّه في حالة الإجارة تكون العين المُستأجرة  ملك للمُؤجّر لا أنّها متاعٌ للمدين، فالتعدية لباب الإجارة متوقف على إطلاق المتاع على المنفعة، بأنْ يُقال: بما أنّ العين المُستأجرة موجودة لدى </w:t>
      </w:r>
      <w:r w:rsidRPr="00F27422">
        <w:rPr>
          <w:sz w:val="32"/>
          <w:szCs w:val="32"/>
          <w:rtl/>
        </w:rPr>
        <w:lastRenderedPageBreak/>
        <w:t>المُؤجّر فالمنفعة أيضاً موجودة لدى المُؤجّر، والمنفعة مما يصدقُ عليها "المتاع" فيشمله حكم الرواية</w:t>
      </w:r>
      <w:r w:rsidRPr="00F27422">
        <w:rPr>
          <w:sz w:val="32"/>
          <w:szCs w:val="32"/>
        </w:rPr>
        <w:t>.</w:t>
      </w:r>
    </w:p>
    <w:p w14:paraId="7A3631C6" w14:textId="77777777" w:rsidR="00E8392D" w:rsidRPr="00F27422" w:rsidRDefault="00E8392D" w:rsidP="00122B70">
      <w:pPr>
        <w:bidi/>
        <w:rPr>
          <w:sz w:val="32"/>
          <w:szCs w:val="32"/>
          <w:rtl/>
        </w:rPr>
      </w:pPr>
      <w:r w:rsidRPr="00F27422">
        <w:rPr>
          <w:sz w:val="32"/>
          <w:szCs w:val="32"/>
          <w:rtl/>
        </w:rPr>
        <w:t>مع أنّ ظاهر المتاع هو العين التي انتقلت للمدين، ووَقَعَ في حوزة الدائن وقوعاً شرعياً بالأمانة أو الولاية، فهنا يُقال: للدائن أنْ يستوفي دَينه مِنهُ ولا يحاصه الغرماء</w:t>
      </w:r>
      <w:r w:rsidRPr="00F27422">
        <w:rPr>
          <w:sz w:val="32"/>
          <w:szCs w:val="32"/>
        </w:rPr>
        <w:t>.</w:t>
      </w:r>
    </w:p>
    <w:p w14:paraId="0C206042" w14:textId="77777777" w:rsidR="00E8392D" w:rsidRPr="00F27422" w:rsidRDefault="00E8392D" w:rsidP="00122B70">
      <w:pPr>
        <w:bidi/>
        <w:rPr>
          <w:sz w:val="32"/>
          <w:szCs w:val="32"/>
          <w:rtl/>
        </w:rPr>
      </w:pPr>
      <w:r w:rsidRPr="00F27422">
        <w:rPr>
          <w:sz w:val="32"/>
          <w:szCs w:val="32"/>
          <w:rtl/>
        </w:rPr>
        <w:t xml:space="preserve">وأمّا شموله للمنفعة فليس </w:t>
      </w:r>
      <w:proofErr w:type="gramStart"/>
      <w:r w:rsidRPr="00F27422">
        <w:rPr>
          <w:sz w:val="32"/>
          <w:szCs w:val="32"/>
          <w:rtl/>
        </w:rPr>
        <w:t>بعرفي</w:t>
      </w:r>
      <w:r w:rsidRPr="00F27422">
        <w:rPr>
          <w:sz w:val="32"/>
          <w:szCs w:val="32"/>
        </w:rPr>
        <w:t xml:space="preserve"> .</w:t>
      </w:r>
      <w:proofErr w:type="gramEnd"/>
    </w:p>
    <w:p w14:paraId="51198A09" w14:textId="77777777" w:rsidR="00E8392D" w:rsidRPr="00F27422" w:rsidRDefault="00E8392D" w:rsidP="00122B70">
      <w:pPr>
        <w:bidi/>
        <w:rPr>
          <w:sz w:val="32"/>
          <w:szCs w:val="32"/>
          <w:rtl/>
        </w:rPr>
      </w:pPr>
      <w:r w:rsidRPr="00F27422">
        <w:rPr>
          <w:b/>
          <w:bCs/>
          <w:sz w:val="32"/>
          <w:szCs w:val="32"/>
          <w:rtl/>
        </w:rPr>
        <w:t xml:space="preserve">والنتيجة: </w:t>
      </w:r>
      <w:r w:rsidRPr="00F27422">
        <w:rPr>
          <w:sz w:val="32"/>
          <w:szCs w:val="32"/>
          <w:rtl/>
        </w:rPr>
        <w:t>أنّ الاستدلال على ثبوت خيار التفليس لمحلّ الكلام بالرواية غيرُ تامٍ.</w:t>
      </w:r>
    </w:p>
    <w:p w14:paraId="5BD14EBD" w14:textId="77777777" w:rsidR="00E8392D" w:rsidRPr="00F27422" w:rsidRDefault="00E8392D" w:rsidP="00122B70">
      <w:pPr>
        <w:bidi/>
        <w:ind w:firstLine="720"/>
        <w:rPr>
          <w:sz w:val="32"/>
          <w:szCs w:val="32"/>
          <w:rtl/>
        </w:rPr>
      </w:pPr>
    </w:p>
    <w:p w14:paraId="07C68FD7" w14:textId="77777777" w:rsidR="00E8392D" w:rsidRPr="00F27422" w:rsidRDefault="00E8392D" w:rsidP="00122B70">
      <w:pPr>
        <w:bidi/>
        <w:rPr>
          <w:b/>
          <w:bCs/>
          <w:sz w:val="32"/>
          <w:szCs w:val="32"/>
          <w:rtl/>
        </w:rPr>
      </w:pPr>
      <w:r w:rsidRPr="00F27422">
        <w:rPr>
          <w:b/>
          <w:bCs/>
          <w:sz w:val="32"/>
          <w:szCs w:val="32"/>
          <w:rtl/>
        </w:rPr>
        <w:t xml:space="preserve">والحمد لله رب العالمين </w:t>
      </w:r>
    </w:p>
    <w:p w14:paraId="149C395F" w14:textId="77777777" w:rsidR="0047280E" w:rsidRPr="00F27422" w:rsidRDefault="0047280E" w:rsidP="00122B70">
      <w:pPr>
        <w:bidi/>
        <w:rPr>
          <w:sz w:val="32"/>
          <w:szCs w:val="32"/>
        </w:rPr>
      </w:pPr>
    </w:p>
    <w:p w14:paraId="0249CC05" w14:textId="79453DB9" w:rsidR="0047280E" w:rsidRPr="00F27422" w:rsidRDefault="0047280E" w:rsidP="00122B70">
      <w:pPr>
        <w:pStyle w:val="Heading3"/>
        <w:bidi/>
        <w:rPr>
          <w:sz w:val="32"/>
          <w:szCs w:val="32"/>
        </w:rPr>
      </w:pPr>
      <w:r w:rsidRPr="00F27422">
        <w:rPr>
          <w:sz w:val="32"/>
          <w:szCs w:val="32"/>
        </w:rPr>
        <w:t>083</w:t>
      </w:r>
    </w:p>
    <w:p w14:paraId="62457EE7" w14:textId="77777777" w:rsidR="004D3D8B" w:rsidRPr="00F27422" w:rsidRDefault="004D3D8B"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1F2257AF" w14:textId="77777777" w:rsidR="004D3D8B" w:rsidRPr="00F27422" w:rsidRDefault="004D3D8B"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038AA068" w14:textId="77777777" w:rsidR="004D3D8B" w:rsidRPr="00F27422" w:rsidRDefault="004D3D8B" w:rsidP="00122B70">
      <w:pPr>
        <w:pStyle w:val="a"/>
        <w:bidi/>
        <w:spacing w:line="216" w:lineRule="auto"/>
        <w:jc w:val="left"/>
        <w:rPr>
          <w:rFonts w:ascii="mylotus" w:hAnsi="mylotus"/>
          <w:sz w:val="32"/>
          <w:rtl/>
          <w:lang w:bidi="ar-BH"/>
        </w:rPr>
      </w:pPr>
      <w:r w:rsidRPr="00F27422">
        <w:rPr>
          <w:rFonts w:ascii="mylotus" w:hAnsi="mylotus"/>
          <w:b/>
          <w:bCs/>
          <w:sz w:val="32"/>
          <w:rtl/>
        </w:rPr>
        <w:t>واللعن الدائم على أعدائهم أجمعين إلى قيام يوم الدين</w:t>
      </w:r>
    </w:p>
    <w:p w14:paraId="7838625C" w14:textId="77777777" w:rsidR="004D3D8B" w:rsidRPr="00F27422" w:rsidRDefault="004D3D8B" w:rsidP="00122B70">
      <w:pPr>
        <w:pStyle w:val="a"/>
        <w:bidi/>
        <w:spacing w:line="216" w:lineRule="auto"/>
        <w:jc w:val="left"/>
        <w:rPr>
          <w:rFonts w:ascii="mylotus" w:hAnsi="mylotus"/>
          <w:sz w:val="32"/>
          <w:rtl/>
          <w:lang w:bidi="ar-BH"/>
        </w:rPr>
      </w:pPr>
    </w:p>
    <w:p w14:paraId="2622668C"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b/>
          <w:bCs/>
          <w:sz w:val="32"/>
          <w:rtl/>
        </w:rPr>
        <w:t>وتنقيحُ المطلب</w:t>
      </w:r>
      <w:r w:rsidRPr="00F27422">
        <w:rPr>
          <w:rFonts w:ascii="mylotus" w:hAnsi="mylotus"/>
          <w:b/>
          <w:bCs/>
          <w:sz w:val="32"/>
        </w:rPr>
        <w:t>:</w:t>
      </w:r>
    </w:p>
    <w:p w14:paraId="10C4DDE8"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أنّ في المقام عدّة روايات تعرض لها الشيخ الحر العاملي (رحمه الله) في الوسائل في كتاب الحجر، منها</w:t>
      </w:r>
      <w:r w:rsidRPr="00F27422">
        <w:rPr>
          <w:rFonts w:ascii="mylotus" w:hAnsi="mylotus"/>
          <w:sz w:val="32"/>
        </w:rPr>
        <w:t>:</w:t>
      </w:r>
    </w:p>
    <w:p w14:paraId="6B81C6F9"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b/>
          <w:bCs/>
          <w:sz w:val="32"/>
          <w:rtl/>
        </w:rPr>
        <w:t>الروايةُ الأُولى:</w:t>
      </w:r>
      <w:r w:rsidRPr="00F27422">
        <w:rPr>
          <w:rFonts w:ascii="mylotus" w:hAnsi="mylotus"/>
          <w:sz w:val="32"/>
          <w:rtl/>
        </w:rPr>
        <w:t xml:space="preserve"> مُرسلة جميل: </w:t>
      </w:r>
      <w:r w:rsidRPr="00F27422">
        <w:rPr>
          <w:rFonts w:ascii="mylotus" w:hAnsi="mylotus"/>
          <w:b/>
          <w:bCs/>
          <w:sz w:val="32"/>
          <w:rtl/>
        </w:rPr>
        <w:t xml:space="preserve">(محمد بن يعقوب، عن عليّ بن إبراهيم، عن أبيه، عن ابن أبي عمير، عن جميل، عن بعض أصحابنا، 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السلام</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رجل</w:t>
      </w:r>
      <w:r w:rsidRPr="00F27422">
        <w:rPr>
          <w:rFonts w:ascii="mylotus" w:hAnsi="mylotus"/>
          <w:b/>
          <w:bCs/>
          <w:sz w:val="32"/>
          <w:rtl/>
        </w:rPr>
        <w:t xml:space="preserve"> </w:t>
      </w:r>
      <w:r w:rsidRPr="00F27422">
        <w:rPr>
          <w:rFonts w:ascii="mylotus" w:hAnsi="mylotus" w:hint="cs"/>
          <w:b/>
          <w:bCs/>
          <w:sz w:val="32"/>
          <w:rtl/>
        </w:rPr>
        <w:t>باع</w:t>
      </w:r>
      <w:r w:rsidRPr="00F27422">
        <w:rPr>
          <w:rFonts w:ascii="mylotus" w:hAnsi="mylotus"/>
          <w:b/>
          <w:bCs/>
          <w:sz w:val="32"/>
          <w:rtl/>
        </w:rPr>
        <w:t xml:space="preserve"> </w:t>
      </w:r>
      <w:r w:rsidRPr="00F27422">
        <w:rPr>
          <w:rFonts w:ascii="mylotus" w:hAnsi="mylotus" w:hint="cs"/>
          <w:b/>
          <w:bCs/>
          <w:sz w:val="32"/>
          <w:rtl/>
        </w:rPr>
        <w:t>متاعاً</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رجلٍ</w:t>
      </w:r>
      <w:r w:rsidRPr="00F27422">
        <w:rPr>
          <w:rFonts w:ascii="mylotus" w:hAnsi="mylotus"/>
          <w:b/>
          <w:bCs/>
          <w:sz w:val="32"/>
          <w:rtl/>
        </w:rPr>
        <w:t xml:space="preserve"> </w:t>
      </w:r>
      <w:r w:rsidRPr="00F27422">
        <w:rPr>
          <w:rFonts w:ascii="mylotus" w:hAnsi="mylotus" w:hint="cs"/>
          <w:b/>
          <w:bCs/>
          <w:sz w:val="32"/>
          <w:rtl/>
        </w:rPr>
        <w:t>فقبض</w:t>
      </w:r>
      <w:r w:rsidRPr="00F27422">
        <w:rPr>
          <w:rFonts w:ascii="mylotus" w:hAnsi="mylotus"/>
          <w:b/>
          <w:bCs/>
          <w:sz w:val="32"/>
          <w:rtl/>
        </w:rPr>
        <w:t xml:space="preserve"> </w:t>
      </w:r>
      <w:r w:rsidRPr="00F27422">
        <w:rPr>
          <w:rFonts w:ascii="mylotus" w:hAnsi="mylotus" w:hint="cs"/>
          <w:b/>
          <w:bCs/>
          <w:sz w:val="32"/>
          <w:rtl/>
        </w:rPr>
        <w:t>المشتري</w:t>
      </w:r>
      <w:r w:rsidRPr="00F27422">
        <w:rPr>
          <w:rFonts w:ascii="mylotus" w:hAnsi="mylotus"/>
          <w:b/>
          <w:bCs/>
          <w:sz w:val="32"/>
          <w:rtl/>
        </w:rPr>
        <w:t xml:space="preserve"> </w:t>
      </w:r>
      <w:r w:rsidRPr="00F27422">
        <w:rPr>
          <w:rFonts w:ascii="mylotus" w:hAnsi="mylotus" w:hint="cs"/>
          <w:b/>
          <w:bCs/>
          <w:sz w:val="32"/>
          <w:rtl/>
        </w:rPr>
        <w:t>المتاع</w:t>
      </w:r>
      <w:r w:rsidRPr="00F27422">
        <w:rPr>
          <w:rFonts w:ascii="mylotus" w:hAnsi="mylotus"/>
          <w:b/>
          <w:bCs/>
          <w:sz w:val="32"/>
          <w:rtl/>
        </w:rPr>
        <w:t xml:space="preserve"> </w:t>
      </w:r>
      <w:r w:rsidRPr="00F27422">
        <w:rPr>
          <w:rFonts w:ascii="mylotus" w:hAnsi="mylotus" w:hint="cs"/>
          <w:b/>
          <w:bCs/>
          <w:sz w:val="32"/>
          <w:rtl/>
        </w:rPr>
        <w:t>ولم</w:t>
      </w:r>
      <w:r w:rsidRPr="00F27422">
        <w:rPr>
          <w:rFonts w:ascii="mylotus" w:hAnsi="mylotus"/>
          <w:b/>
          <w:bCs/>
          <w:sz w:val="32"/>
          <w:rtl/>
        </w:rPr>
        <w:t xml:space="preserve"> </w:t>
      </w:r>
      <w:r w:rsidRPr="00F27422">
        <w:rPr>
          <w:rFonts w:ascii="mylotus" w:hAnsi="mylotus" w:hint="cs"/>
          <w:b/>
          <w:bCs/>
          <w:sz w:val="32"/>
          <w:rtl/>
        </w:rPr>
        <w:t>يدفع</w:t>
      </w:r>
      <w:r w:rsidRPr="00F27422">
        <w:rPr>
          <w:rFonts w:ascii="mylotus" w:hAnsi="mylotus"/>
          <w:b/>
          <w:bCs/>
          <w:sz w:val="32"/>
          <w:rtl/>
        </w:rPr>
        <w:t xml:space="preserve"> </w:t>
      </w:r>
      <w:r w:rsidRPr="00F27422">
        <w:rPr>
          <w:rFonts w:ascii="mylotus" w:hAnsi="mylotus" w:hint="cs"/>
          <w:b/>
          <w:bCs/>
          <w:sz w:val="32"/>
          <w:rtl/>
        </w:rPr>
        <w:t>الثمن</w:t>
      </w:r>
      <w:r w:rsidRPr="00F27422">
        <w:rPr>
          <w:rFonts w:ascii="mylotus" w:hAnsi="mylotus"/>
          <w:b/>
          <w:bCs/>
          <w:sz w:val="32"/>
          <w:rtl/>
        </w:rPr>
        <w:t xml:space="preserve"> </w:t>
      </w:r>
      <w:r w:rsidRPr="00F27422">
        <w:rPr>
          <w:rFonts w:ascii="mylotus" w:hAnsi="mylotus" w:hint="cs"/>
          <w:b/>
          <w:bCs/>
          <w:sz w:val="32"/>
          <w:rtl/>
        </w:rPr>
        <w:t>ثم</w:t>
      </w:r>
      <w:r w:rsidRPr="00F27422">
        <w:rPr>
          <w:rFonts w:ascii="mylotus" w:hAnsi="mylotus"/>
          <w:b/>
          <w:bCs/>
          <w:sz w:val="32"/>
          <w:rtl/>
        </w:rPr>
        <w:t xml:space="preserve"> </w:t>
      </w:r>
      <w:r w:rsidRPr="00F27422">
        <w:rPr>
          <w:rFonts w:ascii="mylotus" w:hAnsi="mylotus" w:hint="cs"/>
          <w:b/>
          <w:bCs/>
          <w:sz w:val="32"/>
          <w:rtl/>
        </w:rPr>
        <w:t>مات</w:t>
      </w:r>
      <w:r w:rsidRPr="00F27422">
        <w:rPr>
          <w:rFonts w:ascii="mylotus" w:hAnsi="mylotus"/>
          <w:b/>
          <w:bCs/>
          <w:sz w:val="32"/>
          <w:rtl/>
        </w:rPr>
        <w:t xml:space="preserve"> </w:t>
      </w:r>
      <w:r w:rsidRPr="00F27422">
        <w:rPr>
          <w:rFonts w:ascii="mylotus" w:hAnsi="mylotus" w:hint="cs"/>
          <w:b/>
          <w:bCs/>
          <w:sz w:val="32"/>
          <w:rtl/>
        </w:rPr>
        <w:t>المشتري</w:t>
      </w:r>
      <w:r w:rsidRPr="00F27422">
        <w:rPr>
          <w:rFonts w:ascii="mylotus" w:hAnsi="mylotus"/>
          <w:b/>
          <w:bCs/>
          <w:sz w:val="32"/>
          <w:rtl/>
        </w:rPr>
        <w:t xml:space="preserve"> </w:t>
      </w:r>
      <w:r w:rsidRPr="00F27422">
        <w:rPr>
          <w:rFonts w:ascii="mylotus" w:hAnsi="mylotus" w:hint="cs"/>
          <w:b/>
          <w:bCs/>
          <w:sz w:val="32"/>
          <w:rtl/>
        </w:rPr>
        <w:t>والمتاع</w:t>
      </w:r>
      <w:r w:rsidRPr="00F27422">
        <w:rPr>
          <w:rFonts w:ascii="mylotus" w:hAnsi="mylotus"/>
          <w:b/>
          <w:bCs/>
          <w:sz w:val="32"/>
          <w:rtl/>
        </w:rPr>
        <w:t xml:space="preserve"> </w:t>
      </w:r>
      <w:r w:rsidRPr="00F27422">
        <w:rPr>
          <w:rFonts w:ascii="mylotus" w:hAnsi="mylotus" w:hint="cs"/>
          <w:b/>
          <w:bCs/>
          <w:sz w:val="32"/>
          <w:rtl/>
        </w:rPr>
        <w:t>قائم</w:t>
      </w:r>
      <w:r w:rsidRPr="00F27422">
        <w:rPr>
          <w:rFonts w:ascii="mylotus" w:hAnsi="mylotus"/>
          <w:b/>
          <w:bCs/>
          <w:sz w:val="32"/>
          <w:rtl/>
        </w:rPr>
        <w:t xml:space="preserve"> </w:t>
      </w:r>
      <w:r w:rsidRPr="00F27422">
        <w:rPr>
          <w:rFonts w:ascii="mylotus" w:hAnsi="mylotus" w:hint="cs"/>
          <w:b/>
          <w:bCs/>
          <w:sz w:val="32"/>
          <w:rtl/>
        </w:rPr>
        <w:t>بعينه،</w:t>
      </w:r>
      <w:r w:rsidRPr="00F27422">
        <w:rPr>
          <w:rFonts w:ascii="mylotus" w:hAnsi="mylotus"/>
          <w:b/>
          <w:bCs/>
          <w:sz w:val="32"/>
          <w:rtl/>
        </w:rPr>
        <w:t xml:space="preserve"> </w:t>
      </w:r>
      <w:r w:rsidRPr="00F27422">
        <w:rPr>
          <w:rFonts w:ascii="mylotus" w:hAnsi="mylotus" w:hint="cs"/>
          <w:b/>
          <w:bCs/>
          <w:sz w:val="32"/>
          <w:rtl/>
        </w:rPr>
        <w:t>فقال</w:t>
      </w:r>
      <w:r w:rsidRPr="00F27422">
        <w:rPr>
          <w:rFonts w:ascii="mylotus" w:hAnsi="mylotus"/>
          <w:b/>
          <w:bCs/>
          <w:sz w:val="32"/>
          <w:rtl/>
        </w:rPr>
        <w:t xml:space="preserve">: </w:t>
      </w:r>
      <w:r w:rsidRPr="00F27422">
        <w:rPr>
          <w:rFonts w:ascii="mylotus" w:hAnsi="mylotus" w:hint="cs"/>
          <w:b/>
          <w:bCs/>
          <w:sz w:val="32"/>
          <w:rtl/>
        </w:rPr>
        <w:t>إذا</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المتاع</w:t>
      </w:r>
      <w:r w:rsidRPr="00F27422">
        <w:rPr>
          <w:rFonts w:ascii="mylotus" w:hAnsi="mylotus"/>
          <w:b/>
          <w:bCs/>
          <w:sz w:val="32"/>
          <w:rtl/>
        </w:rPr>
        <w:t xml:space="preserve"> </w:t>
      </w:r>
      <w:r w:rsidRPr="00F27422">
        <w:rPr>
          <w:rFonts w:ascii="mylotus" w:hAnsi="mylotus" w:hint="cs"/>
          <w:b/>
          <w:bCs/>
          <w:sz w:val="32"/>
          <w:rtl/>
        </w:rPr>
        <w:t>قائماً</w:t>
      </w:r>
      <w:r w:rsidRPr="00F27422">
        <w:rPr>
          <w:rFonts w:ascii="mylotus" w:hAnsi="mylotus"/>
          <w:b/>
          <w:bCs/>
          <w:sz w:val="32"/>
          <w:rtl/>
        </w:rPr>
        <w:t xml:space="preserve"> </w:t>
      </w:r>
      <w:r w:rsidRPr="00F27422">
        <w:rPr>
          <w:rFonts w:ascii="mylotus" w:hAnsi="mylotus" w:hint="cs"/>
          <w:b/>
          <w:bCs/>
          <w:sz w:val="32"/>
          <w:rtl/>
        </w:rPr>
        <w:t>بعينه</w:t>
      </w:r>
      <w:r w:rsidRPr="00F27422">
        <w:rPr>
          <w:rFonts w:ascii="mylotus" w:hAnsi="mylotus"/>
          <w:b/>
          <w:bCs/>
          <w:sz w:val="32"/>
          <w:rtl/>
        </w:rPr>
        <w:t xml:space="preserve"> </w:t>
      </w:r>
      <w:r w:rsidRPr="00F27422">
        <w:rPr>
          <w:rFonts w:ascii="mylotus" w:hAnsi="mylotus" w:hint="cs"/>
          <w:b/>
          <w:bCs/>
          <w:sz w:val="32"/>
          <w:rtl/>
        </w:rPr>
        <w:t>رد</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صاحب</w:t>
      </w:r>
      <w:r w:rsidRPr="00F27422">
        <w:rPr>
          <w:rFonts w:ascii="mylotus" w:hAnsi="mylotus"/>
          <w:b/>
          <w:bCs/>
          <w:sz w:val="32"/>
          <w:rtl/>
        </w:rPr>
        <w:t xml:space="preserve"> </w:t>
      </w:r>
      <w:r w:rsidRPr="00F27422">
        <w:rPr>
          <w:rFonts w:ascii="mylotus" w:hAnsi="mylotus" w:hint="cs"/>
          <w:b/>
          <w:bCs/>
          <w:sz w:val="32"/>
          <w:rtl/>
        </w:rPr>
        <w:t>المتاع،</w:t>
      </w:r>
      <w:r w:rsidRPr="00F27422">
        <w:rPr>
          <w:rFonts w:ascii="mylotus" w:hAnsi="mylotus"/>
          <w:b/>
          <w:bCs/>
          <w:sz w:val="32"/>
          <w:rtl/>
        </w:rPr>
        <w:t xml:space="preserve"> </w:t>
      </w:r>
      <w:r w:rsidRPr="00F27422">
        <w:rPr>
          <w:rFonts w:ascii="mylotus" w:hAnsi="mylotus" w:hint="cs"/>
          <w:b/>
          <w:bCs/>
          <w:sz w:val="32"/>
          <w:rtl/>
        </w:rPr>
        <w:t>وقال</w:t>
      </w:r>
      <w:r w:rsidRPr="00F27422">
        <w:rPr>
          <w:rFonts w:ascii="mylotus" w:hAnsi="mylotus"/>
          <w:b/>
          <w:bCs/>
          <w:sz w:val="32"/>
          <w:rtl/>
        </w:rPr>
        <w:t xml:space="preserve">: </w:t>
      </w:r>
      <w:r w:rsidRPr="00F27422">
        <w:rPr>
          <w:rFonts w:ascii="mylotus" w:hAnsi="mylotus" w:hint="cs"/>
          <w:b/>
          <w:bCs/>
          <w:sz w:val="32"/>
          <w:rtl/>
        </w:rPr>
        <w:t>ليس</w:t>
      </w:r>
      <w:r w:rsidRPr="00F27422">
        <w:rPr>
          <w:rFonts w:ascii="mylotus" w:hAnsi="mylotus"/>
          <w:b/>
          <w:bCs/>
          <w:sz w:val="32"/>
          <w:rtl/>
        </w:rPr>
        <w:t xml:space="preserve"> </w:t>
      </w:r>
      <w:r w:rsidRPr="00F27422">
        <w:rPr>
          <w:rFonts w:ascii="mylotus" w:hAnsi="mylotus" w:hint="cs"/>
          <w:b/>
          <w:bCs/>
          <w:sz w:val="32"/>
          <w:rtl/>
        </w:rPr>
        <w:t>للغرماء</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يحاصوه</w:t>
      </w:r>
      <w:r w:rsidRPr="00F27422">
        <w:rPr>
          <w:rFonts w:ascii="mylotus" w:hAnsi="mylotus"/>
          <w:b/>
          <w:bCs/>
          <w:sz w:val="32"/>
          <w:rtl/>
        </w:rPr>
        <w:t>)</w:t>
      </w:r>
      <w:r w:rsidRPr="00F27422">
        <w:rPr>
          <w:rStyle w:val="FootnoteReference"/>
          <w:rFonts w:ascii="mylotus" w:hAnsi="mylotus"/>
          <w:b/>
          <w:bCs/>
          <w:sz w:val="32"/>
          <w:rtl/>
        </w:rPr>
        <w:footnoteReference w:id="117"/>
      </w:r>
      <w:r w:rsidRPr="00F27422">
        <w:rPr>
          <w:rFonts w:ascii="mylotus" w:hAnsi="mylotus" w:hint="cs"/>
          <w:b/>
          <w:bCs/>
          <w:sz w:val="32"/>
          <w:rtl/>
        </w:rPr>
        <w:t>.</w:t>
      </w:r>
    </w:p>
    <w:p w14:paraId="6CBB3969"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والظاهرُ الأولي م</w:t>
      </w:r>
      <w:r w:rsidRPr="00F27422">
        <w:rPr>
          <w:rFonts w:ascii="mylotus" w:hAnsi="mylotus" w:hint="cs"/>
          <w:sz w:val="32"/>
          <w:rtl/>
        </w:rPr>
        <w:t>ِ</w:t>
      </w:r>
      <w:r w:rsidRPr="00F27422">
        <w:rPr>
          <w:rFonts w:ascii="mylotus" w:hAnsi="mylotus"/>
          <w:sz w:val="32"/>
          <w:rtl/>
        </w:rPr>
        <w:t>ن هذه الرواية الشريفة أنّ للدائن وهو صاحبُ المتاع حق</w:t>
      </w:r>
      <w:r w:rsidRPr="00F27422">
        <w:rPr>
          <w:rFonts w:ascii="mylotus" w:hAnsi="mylotus" w:hint="cs"/>
          <w:sz w:val="32"/>
          <w:rtl/>
        </w:rPr>
        <w:t>ّ</w:t>
      </w:r>
      <w:r w:rsidRPr="00F27422">
        <w:rPr>
          <w:rFonts w:ascii="mylotus" w:hAnsi="mylotus"/>
          <w:sz w:val="32"/>
          <w:rtl/>
        </w:rPr>
        <w:t xml:space="preserve"> استرداد المثمن وليس للغرماء محاصةٌ معه بغض النظر عن أنّ في تركة المدين ما يفي بديون الآخرين مِن الغرماء أم لا؛ لأنّ الرواية مطلقة من هذه الجهة</w:t>
      </w:r>
      <w:r w:rsidRPr="00F27422">
        <w:rPr>
          <w:rFonts w:ascii="mylotus" w:hAnsi="mylotus"/>
          <w:sz w:val="32"/>
        </w:rPr>
        <w:t>.</w:t>
      </w:r>
    </w:p>
    <w:p w14:paraId="65967431" w14:textId="77777777" w:rsidR="004D3D8B" w:rsidRPr="00F27422" w:rsidRDefault="004D3D8B" w:rsidP="00122B70">
      <w:pPr>
        <w:pStyle w:val="a"/>
        <w:bidi/>
        <w:spacing w:line="216" w:lineRule="auto"/>
        <w:jc w:val="left"/>
        <w:rPr>
          <w:rFonts w:ascii="mylotus" w:hAnsi="mylotus"/>
          <w:sz w:val="32"/>
          <w:rtl/>
        </w:rPr>
      </w:pPr>
      <w:r w:rsidRPr="00F27422">
        <w:rPr>
          <w:rFonts w:ascii="mylotus" w:hAnsi="mylotus"/>
          <w:sz w:val="32"/>
          <w:rtl/>
        </w:rPr>
        <w:t xml:space="preserve">الروايةُ الثانية: صحيحة عمر بن يزيد: </w:t>
      </w:r>
      <w:r w:rsidRPr="00F27422">
        <w:rPr>
          <w:rFonts w:ascii="mylotus" w:hAnsi="mylotus"/>
          <w:b/>
          <w:bCs/>
          <w:sz w:val="32"/>
          <w:rtl/>
        </w:rPr>
        <w:t xml:space="preserve">(وبإسناده عن محمد بن أحمد بن يحيى، عن العباس، عن حماد بن عيسى، عن عمر بن يزيد، عن أبي الحسن (عليه </w:t>
      </w:r>
      <w:r w:rsidRPr="00F27422">
        <w:rPr>
          <w:rFonts w:ascii="Times New Roman" w:hAnsi="Times New Roman" w:cs="Times New Roman" w:hint="cs"/>
          <w:b/>
          <w:bCs/>
          <w:sz w:val="32"/>
          <w:rtl/>
        </w:rPr>
        <w:t>‌</w:t>
      </w:r>
      <w:r w:rsidRPr="00F27422">
        <w:rPr>
          <w:rFonts w:ascii="mylotus" w:hAnsi="mylotus" w:hint="cs"/>
          <w:b/>
          <w:bCs/>
          <w:sz w:val="32"/>
          <w:rtl/>
        </w:rPr>
        <w:t>السلام</w:t>
      </w:r>
      <w:r w:rsidRPr="00F27422">
        <w:rPr>
          <w:rFonts w:ascii="mylotus" w:hAnsi="mylotus"/>
          <w:b/>
          <w:bCs/>
          <w:sz w:val="32"/>
          <w:rtl/>
        </w:rPr>
        <w:t xml:space="preserve">) </w:t>
      </w:r>
      <w:r w:rsidRPr="00F27422">
        <w:rPr>
          <w:rFonts w:ascii="mylotus" w:hAnsi="mylotus" w:hint="cs"/>
          <w:b/>
          <w:bCs/>
          <w:sz w:val="32"/>
          <w:rtl/>
        </w:rPr>
        <w:t>قال</w:t>
      </w:r>
      <w:r w:rsidRPr="00F27422">
        <w:rPr>
          <w:rFonts w:ascii="mylotus" w:hAnsi="mylotus"/>
          <w:b/>
          <w:bCs/>
          <w:sz w:val="32"/>
          <w:rtl/>
        </w:rPr>
        <w:t xml:space="preserve">: </w:t>
      </w:r>
      <w:r w:rsidRPr="00F27422">
        <w:rPr>
          <w:rFonts w:ascii="mylotus" w:hAnsi="mylotus" w:hint="cs"/>
          <w:b/>
          <w:bCs/>
          <w:sz w:val="32"/>
          <w:rtl/>
        </w:rPr>
        <w:t>سألته</w:t>
      </w:r>
      <w:r w:rsidRPr="00F27422">
        <w:rPr>
          <w:rFonts w:ascii="mylotus" w:hAnsi="mylotus"/>
          <w:b/>
          <w:bCs/>
          <w:sz w:val="32"/>
          <w:rtl/>
        </w:rPr>
        <w:t xml:space="preserve"> </w:t>
      </w:r>
      <w:r w:rsidRPr="00F27422">
        <w:rPr>
          <w:rFonts w:ascii="mylotus" w:hAnsi="mylotus" w:hint="cs"/>
          <w:b/>
          <w:bCs/>
          <w:sz w:val="32"/>
          <w:rtl/>
        </w:rPr>
        <w:t>عن</w:t>
      </w:r>
      <w:r w:rsidRPr="00F27422">
        <w:rPr>
          <w:rFonts w:ascii="mylotus" w:hAnsi="mylotus"/>
          <w:b/>
          <w:bCs/>
          <w:sz w:val="32"/>
          <w:rtl/>
        </w:rPr>
        <w:t xml:space="preserve"> </w:t>
      </w:r>
      <w:r w:rsidRPr="00F27422">
        <w:rPr>
          <w:rFonts w:ascii="mylotus" w:hAnsi="mylotus" w:hint="cs"/>
          <w:b/>
          <w:bCs/>
          <w:sz w:val="32"/>
          <w:rtl/>
        </w:rPr>
        <w:t>الرجل</w:t>
      </w:r>
      <w:r w:rsidRPr="00F27422">
        <w:rPr>
          <w:rFonts w:ascii="mylotus" w:hAnsi="mylotus"/>
          <w:b/>
          <w:bCs/>
          <w:sz w:val="32"/>
          <w:rtl/>
        </w:rPr>
        <w:t xml:space="preserve"> </w:t>
      </w:r>
      <w:r w:rsidRPr="00F27422">
        <w:rPr>
          <w:rFonts w:ascii="mylotus" w:hAnsi="mylotus" w:hint="cs"/>
          <w:b/>
          <w:bCs/>
          <w:sz w:val="32"/>
          <w:rtl/>
        </w:rPr>
        <w:t>يركبه</w:t>
      </w:r>
      <w:r w:rsidRPr="00F27422">
        <w:rPr>
          <w:rFonts w:ascii="mylotus" w:hAnsi="mylotus"/>
          <w:b/>
          <w:bCs/>
          <w:sz w:val="32"/>
          <w:rtl/>
        </w:rPr>
        <w:t xml:space="preserve"> </w:t>
      </w:r>
      <w:r w:rsidRPr="00F27422">
        <w:rPr>
          <w:rFonts w:ascii="mylotus" w:hAnsi="mylotus" w:hint="cs"/>
          <w:b/>
          <w:bCs/>
          <w:sz w:val="32"/>
          <w:rtl/>
        </w:rPr>
        <w:t>الدين</w:t>
      </w:r>
      <w:r w:rsidRPr="00F27422">
        <w:rPr>
          <w:rFonts w:ascii="mylotus" w:hAnsi="mylotus"/>
          <w:b/>
          <w:bCs/>
          <w:sz w:val="32"/>
          <w:rtl/>
        </w:rPr>
        <w:t xml:space="preserve"> </w:t>
      </w:r>
      <w:r w:rsidRPr="00F27422">
        <w:rPr>
          <w:rFonts w:ascii="mylotus" w:hAnsi="mylotus" w:hint="cs"/>
          <w:b/>
          <w:bCs/>
          <w:sz w:val="32"/>
          <w:rtl/>
        </w:rPr>
        <w:t>فيوجد</w:t>
      </w:r>
      <w:r w:rsidRPr="00F27422">
        <w:rPr>
          <w:rFonts w:ascii="mylotus" w:hAnsi="mylotus"/>
          <w:b/>
          <w:bCs/>
          <w:sz w:val="32"/>
          <w:rtl/>
        </w:rPr>
        <w:t xml:space="preserve"> </w:t>
      </w:r>
      <w:r w:rsidRPr="00F27422">
        <w:rPr>
          <w:rFonts w:ascii="mylotus" w:hAnsi="mylotus" w:hint="cs"/>
          <w:b/>
          <w:bCs/>
          <w:sz w:val="32"/>
          <w:rtl/>
        </w:rPr>
        <w:t>متاع</w:t>
      </w:r>
      <w:r w:rsidRPr="00F27422">
        <w:rPr>
          <w:rFonts w:ascii="mylotus" w:hAnsi="mylotus"/>
          <w:b/>
          <w:bCs/>
          <w:sz w:val="32"/>
          <w:rtl/>
        </w:rPr>
        <w:t xml:space="preserve"> </w:t>
      </w:r>
      <w:r w:rsidRPr="00F27422">
        <w:rPr>
          <w:rFonts w:ascii="mylotus" w:hAnsi="mylotus" w:hint="cs"/>
          <w:b/>
          <w:bCs/>
          <w:sz w:val="32"/>
          <w:rtl/>
        </w:rPr>
        <w:t>رجل</w:t>
      </w:r>
      <w:r w:rsidRPr="00F27422">
        <w:rPr>
          <w:rFonts w:ascii="mylotus" w:hAnsi="mylotus"/>
          <w:b/>
          <w:bCs/>
          <w:sz w:val="32"/>
          <w:rtl/>
        </w:rPr>
        <w:t xml:space="preserve"> </w:t>
      </w:r>
      <w:r w:rsidRPr="00F27422">
        <w:rPr>
          <w:rFonts w:ascii="mylotus" w:hAnsi="mylotus" w:hint="cs"/>
          <w:b/>
          <w:bCs/>
          <w:sz w:val="32"/>
          <w:rtl/>
        </w:rPr>
        <w:t>عنده</w:t>
      </w:r>
      <w:r w:rsidRPr="00F27422">
        <w:rPr>
          <w:rFonts w:ascii="mylotus" w:hAnsi="mylotus"/>
          <w:b/>
          <w:bCs/>
          <w:sz w:val="32"/>
          <w:rtl/>
        </w:rPr>
        <w:t xml:space="preserve"> </w:t>
      </w:r>
      <w:r w:rsidRPr="00F27422">
        <w:rPr>
          <w:rFonts w:ascii="mylotus" w:hAnsi="mylotus" w:hint="cs"/>
          <w:b/>
          <w:bCs/>
          <w:sz w:val="32"/>
          <w:rtl/>
        </w:rPr>
        <w:t>بعينه؟</w:t>
      </w:r>
      <w:r w:rsidRPr="00F27422">
        <w:rPr>
          <w:rFonts w:ascii="mylotus" w:hAnsi="mylotus"/>
          <w:b/>
          <w:bCs/>
          <w:sz w:val="32"/>
          <w:rtl/>
        </w:rPr>
        <w:t xml:space="preserve"> </w:t>
      </w:r>
      <w:proofErr w:type="gramStart"/>
      <w:r w:rsidRPr="00F27422">
        <w:rPr>
          <w:rFonts w:ascii="mylotus" w:hAnsi="mylotus" w:hint="cs"/>
          <w:b/>
          <w:bCs/>
          <w:sz w:val="32"/>
          <w:rtl/>
        </w:rPr>
        <w:t>قال</w:t>
      </w:r>
      <w:r w:rsidRPr="00F27422">
        <w:rPr>
          <w:rFonts w:ascii="mylotus" w:hAnsi="mylotus"/>
          <w:b/>
          <w:bCs/>
          <w:sz w:val="32"/>
          <w:rtl/>
        </w:rPr>
        <w:t xml:space="preserve"> :</w:t>
      </w:r>
      <w:proofErr w:type="gramEnd"/>
      <w:r w:rsidRPr="00F27422">
        <w:rPr>
          <w:rFonts w:ascii="mylotus" w:hAnsi="mylotus"/>
          <w:b/>
          <w:bCs/>
          <w:sz w:val="32"/>
          <w:rtl/>
        </w:rPr>
        <w:t xml:space="preserve">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يحاصه</w:t>
      </w:r>
      <w:r w:rsidRPr="00F27422">
        <w:rPr>
          <w:rFonts w:ascii="mylotus" w:hAnsi="mylotus"/>
          <w:b/>
          <w:bCs/>
          <w:sz w:val="32"/>
          <w:rtl/>
        </w:rPr>
        <w:t xml:space="preserve"> </w:t>
      </w:r>
      <w:r w:rsidRPr="00F27422">
        <w:rPr>
          <w:rFonts w:ascii="mylotus" w:hAnsi="mylotus" w:hint="cs"/>
          <w:b/>
          <w:bCs/>
          <w:sz w:val="32"/>
          <w:rtl/>
        </w:rPr>
        <w:t>الغرماء</w:t>
      </w:r>
      <w:r w:rsidRPr="00F27422">
        <w:rPr>
          <w:rFonts w:ascii="mylotus" w:hAnsi="mylotus"/>
          <w:b/>
          <w:bCs/>
          <w:sz w:val="32"/>
          <w:rtl/>
        </w:rPr>
        <w:t>)</w:t>
      </w:r>
      <w:r w:rsidRPr="00F27422">
        <w:rPr>
          <w:rStyle w:val="FootnoteReference"/>
          <w:rFonts w:ascii="mylotus" w:hAnsi="mylotus"/>
          <w:b/>
          <w:bCs/>
          <w:sz w:val="32"/>
          <w:rtl/>
        </w:rPr>
        <w:footnoteReference w:id="118"/>
      </w:r>
      <w:r w:rsidRPr="00F27422">
        <w:rPr>
          <w:rFonts w:ascii="mylotus" w:hAnsi="mylotus"/>
          <w:b/>
          <w:bCs/>
          <w:sz w:val="32"/>
          <w:rtl/>
        </w:rPr>
        <w:t>.</w:t>
      </w:r>
    </w:p>
    <w:p w14:paraId="57F4702A"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lastRenderedPageBreak/>
        <w:t>وظاهر</w:t>
      </w:r>
      <w:r w:rsidRPr="00F27422">
        <w:rPr>
          <w:rFonts w:ascii="mylotus" w:hAnsi="mylotus" w:hint="cs"/>
          <w:sz w:val="32"/>
          <w:rtl/>
        </w:rPr>
        <w:t>ُ</w:t>
      </w:r>
      <w:r w:rsidRPr="00F27422">
        <w:rPr>
          <w:rFonts w:ascii="mylotus" w:hAnsi="mylotus"/>
          <w:sz w:val="32"/>
          <w:rtl/>
        </w:rPr>
        <w:t xml:space="preserve"> الرواية بقرينة المقابلة أنّ م</w:t>
      </w:r>
      <w:r w:rsidRPr="00F27422">
        <w:rPr>
          <w:rFonts w:ascii="mylotus" w:hAnsi="mylotus" w:hint="cs"/>
          <w:sz w:val="32"/>
          <w:rtl/>
        </w:rPr>
        <w:t>َ</w:t>
      </w:r>
      <w:r w:rsidRPr="00F27422">
        <w:rPr>
          <w:rFonts w:ascii="mylotus" w:hAnsi="mylotus"/>
          <w:sz w:val="32"/>
          <w:rtl/>
        </w:rPr>
        <w:t>ن يركبه الدين هو الدائن، بمعنى: أنّ عدم تسديد دَينه ثقلٌ عليه، فإذا وقع بيده المتاع الذي جرت عليه المعاوضة بينهما فللدائن حقّ استرداد ماله وليس للغرماء أنْ يحاصوه</w:t>
      </w:r>
      <w:r w:rsidRPr="00F27422">
        <w:rPr>
          <w:rFonts w:ascii="mylotus" w:hAnsi="mylotus"/>
          <w:sz w:val="32"/>
        </w:rPr>
        <w:t>.</w:t>
      </w:r>
    </w:p>
    <w:p w14:paraId="577FD878"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وظاهره</w:t>
      </w:r>
      <w:r w:rsidRPr="00F27422">
        <w:rPr>
          <w:rFonts w:ascii="mylotus" w:hAnsi="mylotus" w:hint="cs"/>
          <w:sz w:val="32"/>
          <w:rtl/>
        </w:rPr>
        <w:t>ُ</w:t>
      </w:r>
      <w:r w:rsidRPr="00F27422">
        <w:rPr>
          <w:rFonts w:ascii="mylotus" w:hAnsi="mylotus"/>
          <w:sz w:val="32"/>
          <w:rtl/>
        </w:rPr>
        <w:t xml:space="preserve"> الإطلاق، أي: سواء</w:t>
      </w:r>
      <w:r w:rsidRPr="00F27422">
        <w:rPr>
          <w:rFonts w:ascii="mylotus" w:hAnsi="mylotus" w:hint="cs"/>
          <w:sz w:val="32"/>
          <w:rtl/>
        </w:rPr>
        <w:t>ً</w:t>
      </w:r>
      <w:r w:rsidRPr="00F27422">
        <w:rPr>
          <w:rFonts w:ascii="mylotus" w:hAnsi="mylotus"/>
          <w:sz w:val="32"/>
          <w:rtl/>
        </w:rPr>
        <w:t xml:space="preserve"> كان للمدين ما يوفي باقي الديون أم لا، كما أنّها مطلقةٌ مِن ناحية كون المدين حيّاً أو ميتاً، وإنْ كانت مرسلة جميل المتقدمة واردةً في الميت</w:t>
      </w:r>
      <w:r w:rsidRPr="00F27422">
        <w:rPr>
          <w:rFonts w:ascii="mylotus" w:hAnsi="mylotus"/>
          <w:sz w:val="32"/>
        </w:rPr>
        <w:t>.</w:t>
      </w:r>
    </w:p>
    <w:p w14:paraId="5EA04BEF"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 xml:space="preserve">الروايةُ الثالثة: صحيحة أبي ولاد: </w:t>
      </w:r>
      <w:r w:rsidRPr="00F27422">
        <w:rPr>
          <w:rFonts w:ascii="mylotus" w:hAnsi="mylotus"/>
          <w:b/>
          <w:bCs/>
          <w:sz w:val="32"/>
          <w:rtl/>
        </w:rPr>
        <w:t xml:space="preserve">(وبإسناده عن محمد بن عليّ بن محبوب، عن أحمد بن محمد، عن ابن محبوب، عن أبي ولاد قال: سألت أبا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w:t>
      </w:r>
      <w:r w:rsidRPr="00F27422">
        <w:rPr>
          <w:rFonts w:ascii="Times New Roman" w:hAnsi="Times New Roman" w:cs="Times New Roman" w:hint="cs"/>
          <w:b/>
          <w:bCs/>
          <w:sz w:val="32"/>
          <w:rtl/>
        </w:rPr>
        <w:t>‌</w:t>
      </w:r>
      <w:r w:rsidRPr="00F27422">
        <w:rPr>
          <w:rFonts w:ascii="mylotus" w:hAnsi="mylotus" w:hint="cs"/>
          <w:b/>
          <w:bCs/>
          <w:sz w:val="32"/>
          <w:rtl/>
        </w:rPr>
        <w:t>السلام</w:t>
      </w:r>
      <w:r w:rsidRPr="00F27422">
        <w:rPr>
          <w:rFonts w:ascii="mylotus" w:hAnsi="mylotus"/>
          <w:b/>
          <w:bCs/>
          <w:sz w:val="32"/>
          <w:rtl/>
        </w:rPr>
        <w:t xml:space="preserve">) </w:t>
      </w:r>
      <w:r w:rsidRPr="00F27422">
        <w:rPr>
          <w:rFonts w:ascii="mylotus" w:hAnsi="mylotus" w:hint="cs"/>
          <w:b/>
          <w:bCs/>
          <w:sz w:val="32"/>
          <w:rtl/>
        </w:rPr>
        <w:t>عن</w:t>
      </w:r>
      <w:r w:rsidRPr="00F27422">
        <w:rPr>
          <w:rFonts w:ascii="mylotus" w:hAnsi="mylotus"/>
          <w:b/>
          <w:bCs/>
          <w:sz w:val="32"/>
          <w:rtl/>
        </w:rPr>
        <w:t xml:space="preserve"> </w:t>
      </w:r>
      <w:r w:rsidRPr="00F27422">
        <w:rPr>
          <w:rFonts w:ascii="mylotus" w:hAnsi="mylotus" w:hint="cs"/>
          <w:b/>
          <w:bCs/>
          <w:sz w:val="32"/>
          <w:rtl/>
        </w:rPr>
        <w:t>رجل</w:t>
      </w:r>
      <w:r w:rsidRPr="00F27422">
        <w:rPr>
          <w:rFonts w:ascii="mylotus" w:hAnsi="mylotus"/>
          <w:b/>
          <w:bCs/>
          <w:sz w:val="32"/>
          <w:rtl/>
        </w:rPr>
        <w:t xml:space="preserve"> </w:t>
      </w:r>
      <w:r w:rsidRPr="00F27422">
        <w:rPr>
          <w:rFonts w:ascii="mylotus" w:hAnsi="mylotus" w:hint="cs"/>
          <w:b/>
          <w:bCs/>
          <w:sz w:val="32"/>
          <w:rtl/>
        </w:rPr>
        <w:t>باع</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رجل</w:t>
      </w:r>
      <w:r w:rsidRPr="00F27422">
        <w:rPr>
          <w:rFonts w:ascii="mylotus" w:hAnsi="mylotus"/>
          <w:b/>
          <w:bCs/>
          <w:sz w:val="32"/>
          <w:rtl/>
        </w:rPr>
        <w:t xml:space="preserve"> </w:t>
      </w:r>
      <w:r w:rsidRPr="00F27422">
        <w:rPr>
          <w:rFonts w:ascii="mylotus" w:hAnsi="mylotus" w:hint="cs"/>
          <w:b/>
          <w:bCs/>
          <w:sz w:val="32"/>
          <w:rtl/>
        </w:rPr>
        <w:t>متاعاً</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سنة</w:t>
      </w:r>
      <w:r w:rsidRPr="00F27422">
        <w:rPr>
          <w:rFonts w:ascii="mylotus" w:hAnsi="mylotus"/>
          <w:b/>
          <w:bCs/>
          <w:sz w:val="32"/>
          <w:rtl/>
        </w:rPr>
        <w:t xml:space="preserve"> </w:t>
      </w:r>
      <w:r w:rsidRPr="00F27422">
        <w:rPr>
          <w:rFonts w:ascii="mylotus" w:hAnsi="mylotus" w:hint="cs"/>
          <w:b/>
          <w:bCs/>
          <w:sz w:val="32"/>
          <w:rtl/>
        </w:rPr>
        <w:t>فمات</w:t>
      </w:r>
      <w:r w:rsidRPr="00F27422">
        <w:rPr>
          <w:rFonts w:ascii="mylotus" w:hAnsi="mylotus"/>
          <w:b/>
          <w:bCs/>
          <w:sz w:val="32"/>
          <w:rtl/>
        </w:rPr>
        <w:t xml:space="preserve"> </w:t>
      </w:r>
      <w:r w:rsidRPr="00F27422">
        <w:rPr>
          <w:rFonts w:ascii="mylotus" w:hAnsi="mylotus" w:hint="cs"/>
          <w:b/>
          <w:bCs/>
          <w:sz w:val="32"/>
          <w:rtl/>
        </w:rPr>
        <w:t>المشتري</w:t>
      </w:r>
      <w:r w:rsidRPr="00F27422">
        <w:rPr>
          <w:rFonts w:ascii="mylotus" w:hAnsi="mylotus"/>
          <w:b/>
          <w:bCs/>
          <w:sz w:val="32"/>
          <w:rtl/>
        </w:rPr>
        <w:t xml:space="preserve"> </w:t>
      </w:r>
      <w:r w:rsidRPr="00F27422">
        <w:rPr>
          <w:rFonts w:ascii="mylotus" w:hAnsi="mylotus" w:hint="cs"/>
          <w:b/>
          <w:bCs/>
          <w:sz w:val="32"/>
          <w:rtl/>
        </w:rPr>
        <w:t>قبل</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يحل</w:t>
      </w:r>
      <w:r w:rsidRPr="00F27422">
        <w:rPr>
          <w:rFonts w:ascii="mylotus" w:hAnsi="mylotus"/>
          <w:b/>
          <w:bCs/>
          <w:sz w:val="32"/>
          <w:rtl/>
        </w:rPr>
        <w:t xml:space="preserve"> </w:t>
      </w:r>
      <w:r w:rsidRPr="00F27422">
        <w:rPr>
          <w:rFonts w:ascii="mylotus" w:hAnsi="mylotus" w:hint="cs"/>
          <w:b/>
          <w:bCs/>
          <w:sz w:val="32"/>
          <w:rtl/>
        </w:rPr>
        <w:t>ماله،</w:t>
      </w:r>
      <w:r w:rsidRPr="00F27422">
        <w:rPr>
          <w:rFonts w:ascii="mylotus" w:hAnsi="mylotus"/>
          <w:b/>
          <w:bCs/>
          <w:sz w:val="32"/>
          <w:rtl/>
        </w:rPr>
        <w:t xml:space="preserve"> </w:t>
      </w:r>
      <w:r w:rsidRPr="00F27422">
        <w:rPr>
          <w:rFonts w:ascii="mylotus" w:hAnsi="mylotus" w:hint="cs"/>
          <w:b/>
          <w:bCs/>
          <w:sz w:val="32"/>
          <w:rtl/>
        </w:rPr>
        <w:t>وأصاب</w:t>
      </w:r>
      <w:r w:rsidRPr="00F27422">
        <w:rPr>
          <w:rFonts w:ascii="mylotus" w:hAnsi="mylotus"/>
          <w:b/>
          <w:bCs/>
          <w:sz w:val="32"/>
          <w:rtl/>
        </w:rPr>
        <w:t xml:space="preserve"> </w:t>
      </w:r>
      <w:r w:rsidRPr="00F27422">
        <w:rPr>
          <w:rFonts w:ascii="mylotus" w:hAnsi="mylotus" w:hint="cs"/>
          <w:b/>
          <w:bCs/>
          <w:sz w:val="32"/>
          <w:rtl/>
        </w:rPr>
        <w:t>البائع</w:t>
      </w:r>
      <w:r w:rsidRPr="00F27422">
        <w:rPr>
          <w:rFonts w:ascii="mylotus" w:hAnsi="mylotus"/>
          <w:b/>
          <w:bCs/>
          <w:sz w:val="32"/>
          <w:rtl/>
        </w:rPr>
        <w:t xml:space="preserve"> </w:t>
      </w:r>
      <w:r w:rsidRPr="00F27422">
        <w:rPr>
          <w:rFonts w:ascii="mylotus" w:hAnsi="mylotus" w:hint="cs"/>
          <w:b/>
          <w:bCs/>
          <w:sz w:val="32"/>
          <w:rtl/>
        </w:rPr>
        <w:t>متاعه</w:t>
      </w:r>
      <w:r w:rsidRPr="00F27422">
        <w:rPr>
          <w:rFonts w:ascii="mylotus" w:hAnsi="mylotus"/>
          <w:b/>
          <w:bCs/>
          <w:sz w:val="32"/>
          <w:rtl/>
        </w:rPr>
        <w:t xml:space="preserve"> </w:t>
      </w:r>
      <w:r w:rsidRPr="00F27422">
        <w:rPr>
          <w:rFonts w:ascii="mylotus" w:hAnsi="mylotus" w:hint="cs"/>
          <w:b/>
          <w:bCs/>
          <w:sz w:val="32"/>
          <w:rtl/>
        </w:rPr>
        <w:t>بعينه،</w:t>
      </w:r>
      <w:r w:rsidRPr="00F27422">
        <w:rPr>
          <w:rFonts w:ascii="mylotus" w:hAnsi="mylotus"/>
          <w:b/>
          <w:bCs/>
          <w:sz w:val="32"/>
          <w:rtl/>
        </w:rPr>
        <w:t xml:space="preserve"> </w:t>
      </w:r>
      <w:r w:rsidRPr="00F27422">
        <w:rPr>
          <w:rFonts w:ascii="mylotus" w:hAnsi="mylotus" w:hint="cs"/>
          <w:b/>
          <w:bCs/>
          <w:sz w:val="32"/>
          <w:rtl/>
        </w:rPr>
        <w:t>له</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يأخذه</w:t>
      </w:r>
      <w:r w:rsidRPr="00F27422">
        <w:rPr>
          <w:rFonts w:ascii="mylotus" w:hAnsi="mylotus"/>
          <w:b/>
          <w:bCs/>
          <w:sz w:val="32"/>
          <w:rtl/>
        </w:rPr>
        <w:t xml:space="preserve"> </w:t>
      </w:r>
      <w:r w:rsidRPr="00F27422">
        <w:rPr>
          <w:rFonts w:ascii="mylotus" w:hAnsi="mylotus" w:hint="cs"/>
          <w:b/>
          <w:bCs/>
          <w:sz w:val="32"/>
          <w:rtl/>
        </w:rPr>
        <w:t>إذا</w:t>
      </w:r>
      <w:r w:rsidRPr="00F27422">
        <w:rPr>
          <w:rFonts w:ascii="mylotus" w:hAnsi="mylotus"/>
          <w:b/>
          <w:bCs/>
          <w:sz w:val="32"/>
          <w:rtl/>
        </w:rPr>
        <w:t xml:space="preserve"> </w:t>
      </w:r>
      <w:r w:rsidRPr="00F27422">
        <w:rPr>
          <w:rFonts w:ascii="mylotus" w:hAnsi="mylotus" w:hint="cs"/>
          <w:b/>
          <w:bCs/>
          <w:sz w:val="32"/>
          <w:rtl/>
        </w:rPr>
        <w:t>خفي</w:t>
      </w:r>
      <w:r w:rsidRPr="00F27422">
        <w:rPr>
          <w:rFonts w:ascii="mylotus" w:hAnsi="mylotus"/>
          <w:b/>
          <w:bCs/>
          <w:sz w:val="32"/>
          <w:rtl/>
        </w:rPr>
        <w:t xml:space="preserve"> </w:t>
      </w:r>
      <w:r w:rsidRPr="00F27422">
        <w:rPr>
          <w:rFonts w:ascii="mylotus" w:hAnsi="mylotus" w:hint="cs"/>
          <w:b/>
          <w:bCs/>
          <w:sz w:val="32"/>
          <w:rtl/>
        </w:rPr>
        <w:t>له؟</w:t>
      </w:r>
      <w:r w:rsidRPr="00F27422">
        <w:rPr>
          <w:rFonts w:ascii="mylotus" w:hAnsi="mylotus"/>
          <w:b/>
          <w:bCs/>
          <w:sz w:val="32"/>
          <w:rtl/>
        </w:rPr>
        <w:t xml:space="preserve"> </w:t>
      </w:r>
      <w:r w:rsidRPr="00F27422">
        <w:rPr>
          <w:rFonts w:ascii="mylotus" w:hAnsi="mylotus" w:hint="cs"/>
          <w:b/>
          <w:bCs/>
          <w:sz w:val="32"/>
          <w:rtl/>
        </w:rPr>
        <w:t>قال</w:t>
      </w:r>
      <w:r w:rsidRPr="00F27422">
        <w:rPr>
          <w:rFonts w:ascii="mylotus" w:hAnsi="mylotus"/>
          <w:b/>
          <w:bCs/>
          <w:sz w:val="32"/>
          <w:rtl/>
        </w:rPr>
        <w:t xml:space="preserve">: </w:t>
      </w:r>
      <w:r w:rsidRPr="00F27422">
        <w:rPr>
          <w:rFonts w:ascii="mylotus" w:hAnsi="mylotus" w:hint="cs"/>
          <w:b/>
          <w:bCs/>
          <w:sz w:val="32"/>
          <w:rtl/>
        </w:rPr>
        <w:t>فقال</w:t>
      </w:r>
      <w:r w:rsidRPr="00F27422">
        <w:rPr>
          <w:rFonts w:ascii="mylotus" w:hAnsi="mylotus"/>
          <w:b/>
          <w:bCs/>
          <w:sz w:val="32"/>
          <w:rtl/>
        </w:rPr>
        <w:t xml:space="preserve">: </w:t>
      </w:r>
      <w:r w:rsidRPr="00F27422">
        <w:rPr>
          <w:rFonts w:ascii="mylotus" w:hAnsi="mylotus" w:hint="cs"/>
          <w:b/>
          <w:bCs/>
          <w:sz w:val="32"/>
          <w:rtl/>
        </w:rPr>
        <w:t>إن</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 xml:space="preserve"> </w:t>
      </w:r>
      <w:r w:rsidRPr="00F27422">
        <w:rPr>
          <w:rFonts w:ascii="mylotus" w:hAnsi="mylotus" w:hint="cs"/>
          <w:b/>
          <w:bCs/>
          <w:sz w:val="32"/>
          <w:rtl/>
        </w:rPr>
        <w:t>دين</w:t>
      </w:r>
      <w:r w:rsidRPr="00F27422">
        <w:rPr>
          <w:rFonts w:ascii="mylotus" w:hAnsi="mylotus"/>
          <w:b/>
          <w:bCs/>
          <w:sz w:val="32"/>
          <w:rtl/>
        </w:rPr>
        <w:t xml:space="preserve"> </w:t>
      </w:r>
      <w:r w:rsidRPr="00F27422">
        <w:rPr>
          <w:rFonts w:ascii="mylotus" w:hAnsi="mylotus" w:hint="cs"/>
          <w:b/>
          <w:bCs/>
          <w:sz w:val="32"/>
          <w:rtl/>
        </w:rPr>
        <w:t>وترك</w:t>
      </w:r>
      <w:r w:rsidRPr="00F27422">
        <w:rPr>
          <w:rFonts w:ascii="mylotus" w:hAnsi="mylotus"/>
          <w:b/>
          <w:bCs/>
          <w:sz w:val="32"/>
          <w:rtl/>
        </w:rPr>
        <w:t xml:space="preserve"> </w:t>
      </w:r>
      <w:r w:rsidRPr="00F27422">
        <w:rPr>
          <w:rFonts w:ascii="mylotus" w:hAnsi="mylotus" w:hint="cs"/>
          <w:b/>
          <w:bCs/>
          <w:sz w:val="32"/>
          <w:rtl/>
        </w:rPr>
        <w:t>نحواً</w:t>
      </w:r>
      <w:r w:rsidRPr="00F27422">
        <w:rPr>
          <w:rFonts w:ascii="mylotus" w:hAnsi="mylotus"/>
          <w:b/>
          <w:bCs/>
          <w:sz w:val="32"/>
          <w:rtl/>
        </w:rPr>
        <w:t xml:space="preserve"> </w:t>
      </w:r>
      <w:r w:rsidRPr="00F27422">
        <w:rPr>
          <w:rFonts w:ascii="mylotus" w:hAnsi="mylotus" w:hint="cs"/>
          <w:b/>
          <w:bCs/>
          <w:sz w:val="32"/>
          <w:rtl/>
        </w:rPr>
        <w:t>مما</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 xml:space="preserve"> </w:t>
      </w:r>
      <w:r w:rsidRPr="00F27422">
        <w:rPr>
          <w:rFonts w:ascii="mylotus" w:hAnsi="mylotus" w:hint="cs"/>
          <w:b/>
          <w:bCs/>
          <w:sz w:val="32"/>
          <w:rtl/>
        </w:rPr>
        <w:t>فليأخذه</w:t>
      </w:r>
      <w:r w:rsidRPr="00F27422">
        <w:rPr>
          <w:rFonts w:ascii="mylotus" w:hAnsi="mylotus"/>
          <w:b/>
          <w:bCs/>
          <w:sz w:val="32"/>
          <w:rtl/>
        </w:rPr>
        <w:t xml:space="preserve"> </w:t>
      </w:r>
      <w:r w:rsidRPr="00F27422">
        <w:rPr>
          <w:rFonts w:ascii="mylotus" w:hAnsi="mylotus" w:hint="cs"/>
          <w:b/>
          <w:bCs/>
          <w:sz w:val="32"/>
          <w:rtl/>
        </w:rPr>
        <w:t>إن</w:t>
      </w:r>
      <w:r w:rsidRPr="00F27422">
        <w:rPr>
          <w:rFonts w:ascii="mylotus" w:hAnsi="mylotus"/>
          <w:b/>
          <w:bCs/>
          <w:sz w:val="32"/>
          <w:rtl/>
        </w:rPr>
        <w:t xml:space="preserve"> </w:t>
      </w:r>
      <w:r w:rsidRPr="00F27422">
        <w:rPr>
          <w:rFonts w:ascii="mylotus" w:hAnsi="mylotus" w:hint="cs"/>
          <w:b/>
          <w:bCs/>
          <w:sz w:val="32"/>
          <w:rtl/>
        </w:rPr>
        <w:t>أخفي</w:t>
      </w:r>
      <w:r w:rsidRPr="00F27422">
        <w:rPr>
          <w:rFonts w:ascii="mylotus" w:hAnsi="mylotus"/>
          <w:b/>
          <w:bCs/>
          <w:sz w:val="32"/>
          <w:rtl/>
        </w:rPr>
        <w:t xml:space="preserve"> </w:t>
      </w:r>
      <w:r w:rsidRPr="00F27422">
        <w:rPr>
          <w:rFonts w:ascii="mylotus" w:hAnsi="mylotus" w:hint="cs"/>
          <w:b/>
          <w:bCs/>
          <w:sz w:val="32"/>
          <w:rtl/>
        </w:rPr>
        <w:t>له</w:t>
      </w:r>
      <w:r w:rsidRPr="00F27422">
        <w:rPr>
          <w:rFonts w:ascii="mylotus" w:hAnsi="mylotus"/>
          <w:b/>
          <w:bCs/>
          <w:sz w:val="32"/>
          <w:rtl/>
        </w:rPr>
        <w:t xml:space="preserve"> </w:t>
      </w:r>
      <w:r w:rsidRPr="00F27422">
        <w:rPr>
          <w:rFonts w:ascii="mylotus" w:hAnsi="mylotus" w:hint="cs"/>
          <w:b/>
          <w:bCs/>
          <w:sz w:val="32"/>
          <w:rtl/>
        </w:rPr>
        <w:t>فإن</w:t>
      </w:r>
      <w:r w:rsidRPr="00F27422">
        <w:rPr>
          <w:rFonts w:ascii="mylotus" w:hAnsi="mylotus"/>
          <w:b/>
          <w:bCs/>
          <w:sz w:val="32"/>
          <w:rtl/>
        </w:rPr>
        <w:t xml:space="preserve"> </w:t>
      </w:r>
      <w:r w:rsidRPr="00F27422">
        <w:rPr>
          <w:rFonts w:ascii="mylotus" w:hAnsi="mylotus" w:hint="cs"/>
          <w:b/>
          <w:bCs/>
          <w:sz w:val="32"/>
          <w:rtl/>
        </w:rPr>
        <w:t>ذلك</w:t>
      </w:r>
      <w:r w:rsidRPr="00F27422">
        <w:rPr>
          <w:rFonts w:ascii="mylotus" w:hAnsi="mylotus"/>
          <w:b/>
          <w:bCs/>
          <w:sz w:val="32"/>
          <w:rtl/>
        </w:rPr>
        <w:t xml:space="preserve"> </w:t>
      </w:r>
      <w:r w:rsidRPr="00F27422">
        <w:rPr>
          <w:rFonts w:ascii="mylotus" w:hAnsi="mylotus" w:hint="cs"/>
          <w:b/>
          <w:bCs/>
          <w:sz w:val="32"/>
          <w:rtl/>
        </w:rPr>
        <w:t>حلال</w:t>
      </w:r>
      <w:r w:rsidRPr="00F27422">
        <w:rPr>
          <w:rFonts w:ascii="mylotus" w:hAnsi="mylotus"/>
          <w:b/>
          <w:bCs/>
          <w:sz w:val="32"/>
          <w:rtl/>
        </w:rPr>
        <w:t xml:space="preserve"> </w:t>
      </w:r>
      <w:r w:rsidRPr="00F27422">
        <w:rPr>
          <w:rFonts w:ascii="mylotus" w:hAnsi="mylotus" w:hint="cs"/>
          <w:b/>
          <w:bCs/>
          <w:sz w:val="32"/>
          <w:rtl/>
        </w:rPr>
        <w:t>له،</w:t>
      </w:r>
      <w:r w:rsidRPr="00F27422">
        <w:rPr>
          <w:rFonts w:ascii="mylotus" w:hAnsi="mylotus"/>
          <w:b/>
          <w:bCs/>
          <w:sz w:val="32"/>
          <w:rtl/>
        </w:rPr>
        <w:t xml:space="preserve"> </w:t>
      </w:r>
      <w:r w:rsidRPr="00F27422">
        <w:rPr>
          <w:rFonts w:ascii="mylotus" w:hAnsi="mylotus" w:hint="cs"/>
          <w:b/>
          <w:bCs/>
          <w:sz w:val="32"/>
          <w:rtl/>
        </w:rPr>
        <w:t>ولو</w:t>
      </w:r>
      <w:r w:rsidRPr="00F27422">
        <w:rPr>
          <w:rFonts w:ascii="mylotus" w:hAnsi="mylotus"/>
          <w:b/>
          <w:bCs/>
          <w:sz w:val="32"/>
          <w:rtl/>
        </w:rPr>
        <w:t xml:space="preserve"> </w:t>
      </w:r>
      <w:r w:rsidRPr="00F27422">
        <w:rPr>
          <w:rFonts w:ascii="mylotus" w:hAnsi="mylotus" w:hint="cs"/>
          <w:b/>
          <w:bCs/>
          <w:sz w:val="32"/>
          <w:rtl/>
        </w:rPr>
        <w:t>لم</w:t>
      </w:r>
      <w:r w:rsidRPr="00F27422">
        <w:rPr>
          <w:rFonts w:ascii="mylotus" w:hAnsi="mylotus"/>
          <w:b/>
          <w:bCs/>
          <w:sz w:val="32"/>
          <w:rtl/>
        </w:rPr>
        <w:t xml:space="preserve"> </w:t>
      </w:r>
      <w:r w:rsidRPr="00F27422">
        <w:rPr>
          <w:rFonts w:ascii="mylotus" w:hAnsi="mylotus" w:hint="cs"/>
          <w:b/>
          <w:bCs/>
          <w:sz w:val="32"/>
          <w:rtl/>
        </w:rPr>
        <w:t>يترك</w:t>
      </w:r>
      <w:r w:rsidRPr="00F27422">
        <w:rPr>
          <w:rFonts w:ascii="mylotus" w:hAnsi="mylotus"/>
          <w:b/>
          <w:bCs/>
          <w:sz w:val="32"/>
          <w:rtl/>
        </w:rPr>
        <w:t xml:space="preserve"> </w:t>
      </w:r>
      <w:r w:rsidRPr="00F27422">
        <w:rPr>
          <w:rFonts w:ascii="mylotus" w:hAnsi="mylotus" w:hint="cs"/>
          <w:b/>
          <w:bCs/>
          <w:sz w:val="32"/>
          <w:rtl/>
        </w:rPr>
        <w:t>نحواً</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دينه</w:t>
      </w:r>
      <w:r w:rsidRPr="00F27422">
        <w:rPr>
          <w:rFonts w:ascii="mylotus" w:hAnsi="mylotus"/>
          <w:b/>
          <w:bCs/>
          <w:sz w:val="32"/>
          <w:rtl/>
        </w:rPr>
        <w:t xml:space="preserve"> </w:t>
      </w:r>
      <w:r w:rsidRPr="00F27422">
        <w:rPr>
          <w:rFonts w:ascii="mylotus" w:hAnsi="mylotus" w:hint="cs"/>
          <w:b/>
          <w:bCs/>
          <w:sz w:val="32"/>
          <w:rtl/>
        </w:rPr>
        <w:t>فإن</w:t>
      </w:r>
      <w:r w:rsidRPr="00F27422">
        <w:rPr>
          <w:rFonts w:ascii="mylotus" w:hAnsi="mylotus"/>
          <w:b/>
          <w:bCs/>
          <w:sz w:val="32"/>
          <w:rtl/>
        </w:rPr>
        <w:t xml:space="preserve"> </w:t>
      </w:r>
      <w:r w:rsidRPr="00F27422">
        <w:rPr>
          <w:rFonts w:ascii="mylotus" w:hAnsi="mylotus" w:hint="cs"/>
          <w:b/>
          <w:bCs/>
          <w:sz w:val="32"/>
          <w:rtl/>
        </w:rPr>
        <w:t>صاحب</w:t>
      </w:r>
      <w:r w:rsidRPr="00F27422">
        <w:rPr>
          <w:rFonts w:ascii="mylotus" w:hAnsi="mylotus"/>
          <w:b/>
          <w:bCs/>
          <w:sz w:val="32"/>
          <w:rtl/>
        </w:rPr>
        <w:t xml:space="preserve"> </w:t>
      </w:r>
      <w:r w:rsidRPr="00F27422">
        <w:rPr>
          <w:rFonts w:ascii="mylotus" w:hAnsi="mylotus" w:hint="cs"/>
          <w:b/>
          <w:bCs/>
          <w:sz w:val="32"/>
          <w:rtl/>
        </w:rPr>
        <w:t>المتاع</w:t>
      </w:r>
      <w:r w:rsidRPr="00F27422">
        <w:rPr>
          <w:rFonts w:ascii="mylotus" w:hAnsi="mylotus"/>
          <w:b/>
          <w:bCs/>
          <w:sz w:val="32"/>
          <w:rtl/>
        </w:rPr>
        <w:t xml:space="preserve"> </w:t>
      </w:r>
      <w:r w:rsidRPr="00F27422">
        <w:rPr>
          <w:rFonts w:ascii="mylotus" w:hAnsi="mylotus" w:hint="cs"/>
          <w:b/>
          <w:bCs/>
          <w:sz w:val="32"/>
          <w:rtl/>
        </w:rPr>
        <w:t>كواحدٍ</w:t>
      </w:r>
      <w:r w:rsidRPr="00F27422">
        <w:rPr>
          <w:rFonts w:ascii="mylotus" w:hAnsi="mylotus"/>
          <w:b/>
          <w:bCs/>
          <w:sz w:val="32"/>
          <w:rtl/>
        </w:rPr>
        <w:t xml:space="preserve"> </w:t>
      </w:r>
      <w:r w:rsidRPr="00F27422">
        <w:rPr>
          <w:rFonts w:ascii="mylotus" w:hAnsi="mylotus" w:hint="cs"/>
          <w:b/>
          <w:bCs/>
          <w:sz w:val="32"/>
          <w:rtl/>
        </w:rPr>
        <w:t>ممن</w:t>
      </w:r>
      <w:r w:rsidRPr="00F27422">
        <w:rPr>
          <w:rFonts w:ascii="mylotus" w:hAnsi="mylotus"/>
          <w:b/>
          <w:bCs/>
          <w:sz w:val="32"/>
          <w:rtl/>
        </w:rPr>
        <w:t xml:space="preserve"> </w:t>
      </w:r>
      <w:r w:rsidRPr="00F27422">
        <w:rPr>
          <w:rFonts w:ascii="mylotus" w:hAnsi="mylotus" w:hint="cs"/>
          <w:b/>
          <w:bCs/>
          <w:sz w:val="32"/>
          <w:rtl/>
        </w:rPr>
        <w:t>له</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 xml:space="preserve"> </w:t>
      </w:r>
      <w:r w:rsidRPr="00F27422">
        <w:rPr>
          <w:rFonts w:ascii="mylotus" w:hAnsi="mylotus" w:hint="cs"/>
          <w:b/>
          <w:bCs/>
          <w:sz w:val="32"/>
          <w:rtl/>
        </w:rPr>
        <w:t>شيء</w:t>
      </w:r>
      <w:r w:rsidRPr="00F27422">
        <w:rPr>
          <w:rFonts w:ascii="mylotus" w:hAnsi="mylotus"/>
          <w:b/>
          <w:bCs/>
          <w:sz w:val="32"/>
          <w:rtl/>
        </w:rPr>
        <w:t xml:space="preserve"> </w:t>
      </w:r>
      <w:r w:rsidRPr="00F27422">
        <w:rPr>
          <w:rFonts w:ascii="mylotus" w:hAnsi="mylotus" w:hint="cs"/>
          <w:b/>
          <w:bCs/>
          <w:sz w:val="32"/>
          <w:rtl/>
        </w:rPr>
        <w:t>يأخذ</w:t>
      </w:r>
      <w:r w:rsidRPr="00F27422">
        <w:rPr>
          <w:rFonts w:ascii="mylotus" w:hAnsi="mylotus"/>
          <w:b/>
          <w:bCs/>
          <w:sz w:val="32"/>
          <w:rtl/>
        </w:rPr>
        <w:t xml:space="preserve"> </w:t>
      </w:r>
      <w:r w:rsidRPr="00F27422">
        <w:rPr>
          <w:rFonts w:ascii="mylotus" w:hAnsi="mylotus" w:hint="cs"/>
          <w:b/>
          <w:bCs/>
          <w:sz w:val="32"/>
          <w:rtl/>
        </w:rPr>
        <w:t>بحصته</w:t>
      </w:r>
      <w:r w:rsidRPr="00F27422">
        <w:rPr>
          <w:rFonts w:ascii="mylotus" w:hAnsi="mylotus"/>
          <w:b/>
          <w:bCs/>
          <w:sz w:val="32"/>
          <w:rtl/>
        </w:rPr>
        <w:t xml:space="preserve"> </w:t>
      </w:r>
      <w:r w:rsidRPr="00F27422">
        <w:rPr>
          <w:rFonts w:ascii="mylotus" w:hAnsi="mylotus" w:hint="cs"/>
          <w:b/>
          <w:bCs/>
          <w:sz w:val="32"/>
          <w:rtl/>
        </w:rPr>
        <w:t>ولا</w:t>
      </w:r>
      <w:r w:rsidRPr="00F27422">
        <w:rPr>
          <w:rFonts w:ascii="mylotus" w:hAnsi="mylotus"/>
          <w:b/>
          <w:bCs/>
          <w:sz w:val="32"/>
          <w:rtl/>
        </w:rPr>
        <w:t xml:space="preserve"> </w:t>
      </w:r>
      <w:r w:rsidRPr="00F27422">
        <w:rPr>
          <w:rFonts w:ascii="mylotus" w:hAnsi="mylotus" w:hint="cs"/>
          <w:b/>
          <w:bCs/>
          <w:sz w:val="32"/>
          <w:rtl/>
        </w:rPr>
        <w:t>سبيل</w:t>
      </w:r>
      <w:r w:rsidRPr="00F27422">
        <w:rPr>
          <w:rFonts w:ascii="mylotus" w:hAnsi="mylotus"/>
          <w:b/>
          <w:bCs/>
          <w:sz w:val="32"/>
          <w:rtl/>
        </w:rPr>
        <w:t xml:space="preserve"> </w:t>
      </w:r>
      <w:r w:rsidRPr="00F27422">
        <w:rPr>
          <w:rFonts w:ascii="mylotus" w:hAnsi="mylotus" w:hint="cs"/>
          <w:b/>
          <w:bCs/>
          <w:sz w:val="32"/>
          <w:rtl/>
        </w:rPr>
        <w:t>له</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المتاع</w:t>
      </w:r>
      <w:r w:rsidRPr="00F27422">
        <w:rPr>
          <w:rFonts w:ascii="mylotus" w:hAnsi="mylotus"/>
          <w:b/>
          <w:bCs/>
          <w:sz w:val="32"/>
          <w:rtl/>
        </w:rPr>
        <w:t>)</w:t>
      </w:r>
      <w:r w:rsidRPr="00F27422">
        <w:rPr>
          <w:rStyle w:val="FootnoteReference"/>
          <w:rFonts w:ascii="mylotus" w:hAnsi="mylotus"/>
          <w:b/>
          <w:bCs/>
          <w:sz w:val="32"/>
          <w:rtl/>
        </w:rPr>
        <w:footnoteReference w:id="119"/>
      </w:r>
      <w:r w:rsidRPr="00F27422">
        <w:rPr>
          <w:rFonts w:ascii="mylotus" w:hAnsi="mylotus" w:hint="cs"/>
          <w:b/>
          <w:bCs/>
          <w:sz w:val="32"/>
          <w:rtl/>
        </w:rPr>
        <w:t>.</w:t>
      </w:r>
    </w:p>
    <w:p w14:paraId="468DEF95"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 xml:space="preserve">وظاهر قول الراوي: </w:t>
      </w:r>
      <w:r w:rsidRPr="00F27422">
        <w:rPr>
          <w:rFonts w:ascii="mylotus" w:hAnsi="mylotus"/>
          <w:b/>
          <w:bCs/>
          <w:sz w:val="32"/>
          <w:rtl/>
        </w:rPr>
        <w:t>(متاعاً إلى سنة)</w:t>
      </w:r>
      <w:r w:rsidRPr="00F27422">
        <w:rPr>
          <w:rFonts w:ascii="mylotus" w:hAnsi="mylotus"/>
          <w:sz w:val="32"/>
          <w:rtl/>
        </w:rPr>
        <w:t xml:space="preserve"> أنّه اشتُرط في البيع أنّ لهُ أنْ يُؤخر الثمن إلى سنة</w:t>
      </w:r>
      <w:r w:rsidRPr="00F27422">
        <w:rPr>
          <w:rFonts w:ascii="mylotus" w:hAnsi="mylotus"/>
          <w:sz w:val="32"/>
        </w:rPr>
        <w:t>.</w:t>
      </w:r>
    </w:p>
    <w:p w14:paraId="4E2D0636"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وقوله: (</w:t>
      </w:r>
      <w:r w:rsidRPr="00F27422">
        <w:rPr>
          <w:rFonts w:ascii="mylotus" w:hAnsi="mylotus"/>
          <w:b/>
          <w:bCs/>
          <w:sz w:val="32"/>
          <w:rtl/>
        </w:rPr>
        <w:t>قبل أن يحل ماله</w:t>
      </w:r>
      <w:r w:rsidRPr="00F27422">
        <w:rPr>
          <w:rFonts w:ascii="mylotus" w:hAnsi="mylotus"/>
          <w:sz w:val="32"/>
          <w:rtl/>
        </w:rPr>
        <w:t>) أي: البائع</w:t>
      </w:r>
      <w:r w:rsidRPr="00F27422">
        <w:rPr>
          <w:rFonts w:ascii="mylotus" w:hAnsi="mylotus"/>
          <w:sz w:val="32"/>
        </w:rPr>
        <w:t>.</w:t>
      </w:r>
    </w:p>
    <w:p w14:paraId="305432B7"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 xml:space="preserve">وقوله: </w:t>
      </w:r>
      <w:r w:rsidRPr="00F27422">
        <w:rPr>
          <w:rFonts w:ascii="mylotus" w:hAnsi="mylotus"/>
          <w:b/>
          <w:bCs/>
          <w:sz w:val="32"/>
          <w:rtl/>
        </w:rPr>
        <w:t>(له أن يأخذه إذا خفي له)</w:t>
      </w:r>
      <w:r w:rsidRPr="00F27422">
        <w:rPr>
          <w:rFonts w:ascii="mylotus" w:hAnsi="mylotus"/>
          <w:sz w:val="32"/>
          <w:rtl/>
        </w:rPr>
        <w:t xml:space="preserve"> بمعنى: أنّه تيسر له أنْ يأخذه م</w:t>
      </w:r>
      <w:r w:rsidRPr="00F27422">
        <w:rPr>
          <w:rFonts w:ascii="mylotus" w:hAnsi="mylotus" w:hint="cs"/>
          <w:sz w:val="32"/>
          <w:rtl/>
        </w:rPr>
        <w:t>ِ</w:t>
      </w:r>
      <w:r w:rsidRPr="00F27422">
        <w:rPr>
          <w:rFonts w:ascii="mylotus" w:hAnsi="mylotus"/>
          <w:sz w:val="32"/>
          <w:rtl/>
        </w:rPr>
        <w:t>ن دون إثارة لورثته</w:t>
      </w:r>
      <w:r w:rsidRPr="00F27422">
        <w:rPr>
          <w:rFonts w:ascii="mylotus" w:hAnsi="mylotus"/>
          <w:sz w:val="32"/>
        </w:rPr>
        <w:t>.</w:t>
      </w:r>
    </w:p>
    <w:p w14:paraId="292A5BF1"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فقول الإمام (عليه السلام): (</w:t>
      </w:r>
      <w:r w:rsidRPr="00F27422">
        <w:rPr>
          <w:rFonts w:ascii="mylotus" w:hAnsi="mylotus"/>
          <w:b/>
          <w:bCs/>
          <w:sz w:val="32"/>
          <w:rtl/>
        </w:rPr>
        <w:t>إن كان عليه دين</w:t>
      </w:r>
      <w:r w:rsidRPr="00F27422">
        <w:rPr>
          <w:rFonts w:ascii="mylotus" w:hAnsi="mylotus"/>
          <w:sz w:val="32"/>
          <w:rtl/>
        </w:rPr>
        <w:t>) أي: على المشتري</w:t>
      </w:r>
      <w:r w:rsidRPr="00F27422">
        <w:rPr>
          <w:rFonts w:ascii="mylotus" w:hAnsi="mylotus"/>
          <w:sz w:val="32"/>
        </w:rPr>
        <w:t>.</w:t>
      </w:r>
    </w:p>
    <w:p w14:paraId="5915EEA3"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 xml:space="preserve">وقوله (عليه السلام): </w:t>
      </w:r>
      <w:r w:rsidRPr="00F27422">
        <w:rPr>
          <w:rFonts w:ascii="mylotus" w:hAnsi="mylotus"/>
          <w:b/>
          <w:bCs/>
          <w:sz w:val="32"/>
          <w:rtl/>
        </w:rPr>
        <w:t>(وترك نحواً مما عليه)</w:t>
      </w:r>
      <w:r w:rsidRPr="00F27422">
        <w:rPr>
          <w:rFonts w:ascii="mylotus" w:hAnsi="mylotus"/>
          <w:sz w:val="32"/>
          <w:rtl/>
        </w:rPr>
        <w:t xml:space="preserve"> أي: ترك مقداراً مِن التركة يمكن أنْ تُقضى به الديون الأُخرى ولو بالتوزيع</w:t>
      </w:r>
      <w:r w:rsidRPr="00F27422">
        <w:rPr>
          <w:rFonts w:ascii="mylotus" w:hAnsi="mylotus"/>
          <w:sz w:val="32"/>
        </w:rPr>
        <w:t>.</w:t>
      </w:r>
    </w:p>
    <w:p w14:paraId="3970C4FF"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 xml:space="preserve">وقوله (عليه السلام): </w:t>
      </w:r>
      <w:r w:rsidRPr="00F27422">
        <w:rPr>
          <w:rFonts w:ascii="mylotus" w:hAnsi="mylotus"/>
          <w:b/>
          <w:bCs/>
          <w:sz w:val="32"/>
          <w:rtl/>
        </w:rPr>
        <w:t>(فليأخذه إن أخفي له)</w:t>
      </w:r>
      <w:r w:rsidRPr="00F27422">
        <w:rPr>
          <w:rFonts w:ascii="mylotus" w:hAnsi="mylotus"/>
          <w:sz w:val="32"/>
          <w:rtl/>
        </w:rPr>
        <w:t xml:space="preserve"> أي: فليأخذ الدائن هذا المتاع إنْ تيسر له أنْ يأخذه</w:t>
      </w:r>
      <w:r w:rsidRPr="00F27422">
        <w:rPr>
          <w:rFonts w:ascii="mylotus" w:hAnsi="mylotus"/>
          <w:sz w:val="32"/>
        </w:rPr>
        <w:t>.</w:t>
      </w:r>
    </w:p>
    <w:p w14:paraId="3642460D"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 xml:space="preserve">وهذه الرواية الشريفة وإنْ وردتْ في الميت إلّا أنّها اشتملتْ على تفصيلٍ وهو: أنّ حقّ الدائن في استرداد المتاع أو استيفاء دَينه مِنه إنّما هو في فرض أنّ المدين قد ترك ما يفي به ديونه، وأمّا لو لم </w:t>
      </w:r>
      <w:proofErr w:type="gramStart"/>
      <w:r w:rsidRPr="00F27422">
        <w:rPr>
          <w:rFonts w:ascii="mylotus" w:hAnsi="mylotus"/>
          <w:sz w:val="32"/>
          <w:rtl/>
        </w:rPr>
        <w:t>يترك  إلّا</w:t>
      </w:r>
      <w:proofErr w:type="gramEnd"/>
      <w:r w:rsidRPr="00F27422">
        <w:rPr>
          <w:rFonts w:ascii="mylotus" w:hAnsi="mylotus"/>
          <w:sz w:val="32"/>
          <w:rtl/>
        </w:rPr>
        <w:t xml:space="preserve"> هذا المتاع فإنّ للدائن حصةً كباقي الغرماء</w:t>
      </w:r>
      <w:r w:rsidRPr="00F27422">
        <w:rPr>
          <w:rFonts w:ascii="mylotus" w:hAnsi="mylotus"/>
          <w:sz w:val="32"/>
        </w:rPr>
        <w:t>.</w:t>
      </w:r>
    </w:p>
    <w:p w14:paraId="27862B47"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وهو ما</w:t>
      </w:r>
      <w:r w:rsidRPr="00F27422">
        <w:rPr>
          <w:rFonts w:ascii="mylotus" w:hAnsi="mylotus" w:hint="cs"/>
          <w:sz w:val="32"/>
          <w:rtl/>
        </w:rPr>
        <w:t xml:space="preserve"> </w:t>
      </w:r>
      <w:r w:rsidRPr="00F27422">
        <w:rPr>
          <w:rFonts w:ascii="mylotus" w:hAnsi="mylotus"/>
          <w:sz w:val="32"/>
          <w:rtl/>
        </w:rPr>
        <w:t xml:space="preserve">أفاده الشيخ الطوسي (رحمه الله) في الاستبصار بقوله: </w:t>
      </w:r>
      <w:r w:rsidRPr="00F27422">
        <w:rPr>
          <w:rFonts w:ascii="mylotus" w:hAnsi="mylotus"/>
          <w:b/>
          <w:bCs/>
          <w:sz w:val="32"/>
          <w:rtl/>
        </w:rPr>
        <w:t>(إنما يجب أن يرد المتاع بعينه على صاحبه إذا خلف الميت ما يقضي به دين الباقين من غير ذلك فأما إذا لم يخلف غير ذلك المتاع بعينه فصاحبه أسوة للغرماء الباقين يقسم بينهم بالسوية)</w:t>
      </w:r>
      <w:r w:rsidRPr="00F27422">
        <w:rPr>
          <w:rStyle w:val="FootnoteReference"/>
          <w:rFonts w:ascii="mylotus" w:hAnsi="mylotus"/>
          <w:b/>
          <w:bCs/>
          <w:sz w:val="32"/>
          <w:rtl/>
        </w:rPr>
        <w:footnoteReference w:id="120"/>
      </w:r>
      <w:r w:rsidRPr="00F27422">
        <w:rPr>
          <w:rFonts w:ascii="mylotus" w:hAnsi="mylotus"/>
          <w:b/>
          <w:bCs/>
          <w:sz w:val="32"/>
          <w:rtl/>
        </w:rPr>
        <w:t>.</w:t>
      </w:r>
    </w:p>
    <w:p w14:paraId="6137125D"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وتعبير الشيخ (رحمه الله) بأنْ يرد المتاع بعينه، كما يجتمع مع الخيار يجتمع مع الانفساخ القهري</w:t>
      </w:r>
      <w:r w:rsidRPr="00F27422">
        <w:rPr>
          <w:rFonts w:ascii="mylotus" w:hAnsi="mylotus"/>
          <w:sz w:val="32"/>
        </w:rPr>
        <w:t>.</w:t>
      </w:r>
    </w:p>
    <w:p w14:paraId="18C8763E"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b/>
          <w:bCs/>
          <w:sz w:val="32"/>
          <w:rtl/>
        </w:rPr>
        <w:t>والبحث في هذه الروايات الشريفة مِن عدّة جهات</w:t>
      </w:r>
      <w:r w:rsidRPr="00F27422">
        <w:rPr>
          <w:rFonts w:ascii="mylotus" w:hAnsi="mylotus"/>
          <w:b/>
          <w:bCs/>
          <w:sz w:val="32"/>
        </w:rPr>
        <w:t>:</w:t>
      </w:r>
    </w:p>
    <w:p w14:paraId="5D6CF70C"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b/>
          <w:bCs/>
          <w:sz w:val="32"/>
          <w:rtl/>
        </w:rPr>
        <w:t>الجهةُ الأُولى:</w:t>
      </w:r>
      <w:r w:rsidRPr="00F27422">
        <w:rPr>
          <w:rFonts w:ascii="mylotus" w:hAnsi="mylotus"/>
          <w:sz w:val="32"/>
          <w:rtl/>
        </w:rPr>
        <w:t xml:space="preserve"> في إمكان الجمع بين الروايات بحمل المطلق على المقيد، وهذا تام</w:t>
      </w:r>
      <w:r w:rsidRPr="00F27422">
        <w:rPr>
          <w:rFonts w:ascii="mylotus" w:hAnsi="mylotus" w:hint="cs"/>
          <w:sz w:val="32"/>
          <w:rtl/>
        </w:rPr>
        <w:t>ٌ</w:t>
      </w:r>
      <w:r w:rsidRPr="00F27422">
        <w:rPr>
          <w:rFonts w:ascii="mylotus" w:hAnsi="mylotus"/>
          <w:sz w:val="32"/>
          <w:rtl/>
        </w:rPr>
        <w:t xml:space="preserve"> على مسلك المشهور</w:t>
      </w:r>
      <w:r w:rsidRPr="00F27422">
        <w:rPr>
          <w:rFonts w:ascii="mylotus" w:hAnsi="mylotus"/>
          <w:sz w:val="32"/>
        </w:rPr>
        <w:t>.</w:t>
      </w:r>
    </w:p>
    <w:p w14:paraId="384E6EFC" w14:textId="77777777" w:rsidR="004D3D8B" w:rsidRPr="00F27422" w:rsidRDefault="004D3D8B" w:rsidP="00122B70">
      <w:pPr>
        <w:pStyle w:val="a"/>
        <w:bidi/>
        <w:spacing w:line="216" w:lineRule="auto"/>
        <w:jc w:val="left"/>
        <w:rPr>
          <w:rFonts w:ascii="mylotus" w:hAnsi="mylotus"/>
          <w:b/>
          <w:bCs/>
          <w:sz w:val="32"/>
          <w:rtl/>
          <w:lang w:bidi="ar-BH"/>
        </w:rPr>
      </w:pPr>
      <w:r w:rsidRPr="00F27422">
        <w:rPr>
          <w:rFonts w:ascii="mylotus" w:hAnsi="mylotus"/>
          <w:sz w:val="32"/>
          <w:rtl/>
        </w:rPr>
        <w:t>ولكن على مسلك السيد الأُستاذ (مد ظله) مِن أنّهُ كما يستهجن أنْ يُحمل المُطلق الترخيصي الوارد في مقام الإفتاء على المقيد الإلزامي الوارد بعد وقت العمل، كذلك مِن المستهجن إطلاقُ الترخيص في المُتأخر الوارد في مقام الإفتاء مع اشتمال المُتقدم على المقيد الإلزامي</w:t>
      </w:r>
      <w:r w:rsidRPr="00F27422">
        <w:rPr>
          <w:rFonts w:ascii="mylotus" w:hAnsi="mylotus"/>
          <w:sz w:val="32"/>
        </w:rPr>
        <w:t>.</w:t>
      </w:r>
    </w:p>
    <w:p w14:paraId="34049B67" w14:textId="77777777" w:rsidR="004D3D8B" w:rsidRPr="00F27422" w:rsidRDefault="004D3D8B" w:rsidP="00122B70">
      <w:pPr>
        <w:pStyle w:val="a"/>
        <w:bidi/>
        <w:spacing w:line="216" w:lineRule="auto"/>
        <w:jc w:val="left"/>
        <w:rPr>
          <w:rFonts w:ascii="mylotus" w:hAnsi="mylotus"/>
          <w:sz w:val="32"/>
          <w:rtl/>
        </w:rPr>
      </w:pPr>
      <w:r w:rsidRPr="00F27422">
        <w:rPr>
          <w:rFonts w:ascii="mylotus" w:hAnsi="mylotus"/>
          <w:b/>
          <w:bCs/>
          <w:sz w:val="32"/>
          <w:rtl/>
        </w:rPr>
        <w:t>وبيانُ ذلك:</w:t>
      </w:r>
    </w:p>
    <w:p w14:paraId="2FCAA0CD" w14:textId="77777777" w:rsidR="004D3D8B" w:rsidRPr="00F27422" w:rsidRDefault="004D3D8B" w:rsidP="00122B70">
      <w:pPr>
        <w:pStyle w:val="a"/>
        <w:bidi/>
        <w:spacing w:line="216" w:lineRule="auto"/>
        <w:jc w:val="left"/>
        <w:rPr>
          <w:rFonts w:ascii="mylotus" w:hAnsi="mylotus" w:cs="Times New Roman"/>
          <w:b/>
          <w:bCs/>
          <w:sz w:val="32"/>
          <w:rtl/>
          <w:lang w:bidi="ar-BH"/>
        </w:rPr>
      </w:pPr>
      <w:r w:rsidRPr="00F27422">
        <w:rPr>
          <w:rFonts w:ascii="mylotus" w:hAnsi="mylotus"/>
          <w:sz w:val="32"/>
          <w:rtl/>
        </w:rPr>
        <w:t xml:space="preserve">أنّه لو صدر مِن الإمامين الصادق والكاظم (صلوات الله عليهما) روايتان، والروايةُ الأُولى تشتمل على ترخيص بإطلاقها بأنْ تقول: "للدائن حقّ استرداد ماله إذا ظفر بالمتاع"، والرواية </w:t>
      </w:r>
      <w:r w:rsidRPr="00F27422">
        <w:rPr>
          <w:rFonts w:ascii="mylotus" w:hAnsi="mylotus"/>
          <w:sz w:val="32"/>
          <w:rtl/>
        </w:rPr>
        <w:lastRenderedPageBreak/>
        <w:t>الثانية عن أبي الحسن (عليه السلام)</w:t>
      </w:r>
      <w:r w:rsidRPr="00F27422">
        <w:rPr>
          <w:rFonts w:ascii="mylotus" w:hAnsi="mylotus" w:hint="cs"/>
          <w:sz w:val="32"/>
          <w:rtl/>
        </w:rPr>
        <w:t xml:space="preserve"> </w:t>
      </w:r>
      <w:r w:rsidRPr="00F27422">
        <w:rPr>
          <w:rFonts w:ascii="mylotus" w:hAnsi="mylotus"/>
          <w:sz w:val="32"/>
          <w:rtl/>
        </w:rPr>
        <w:t>مفادها</w:t>
      </w:r>
      <w:r w:rsidRPr="00F27422">
        <w:rPr>
          <w:rFonts w:ascii="mylotus" w:hAnsi="mylotus" w:hint="cs"/>
          <w:sz w:val="32"/>
          <w:rtl/>
        </w:rPr>
        <w:t xml:space="preserve">: </w:t>
      </w:r>
      <w:r w:rsidRPr="00F27422">
        <w:rPr>
          <w:rFonts w:ascii="mylotus" w:hAnsi="mylotus" w:cs="Cambria" w:hint="cs"/>
          <w:sz w:val="32"/>
          <w:rtl/>
        </w:rPr>
        <w:t>"</w:t>
      </w:r>
      <w:r w:rsidRPr="00F27422">
        <w:rPr>
          <w:rFonts w:ascii="mylotus" w:hAnsi="mylotus"/>
          <w:sz w:val="32"/>
          <w:rtl/>
        </w:rPr>
        <w:t>إنّما يكون للدائن حقّ الاسترداد إذا كان للمدين ما يفي بباقي الديو</w:t>
      </w:r>
      <w:r w:rsidRPr="00F27422">
        <w:rPr>
          <w:rFonts w:ascii="mylotus" w:hAnsi="mylotus" w:hint="cs"/>
          <w:sz w:val="32"/>
          <w:rtl/>
        </w:rPr>
        <w:t>ن.</w:t>
      </w:r>
    </w:p>
    <w:p w14:paraId="0B879EE9" w14:textId="77777777" w:rsidR="004D3D8B" w:rsidRPr="00F27422" w:rsidRDefault="004D3D8B" w:rsidP="00122B70">
      <w:pPr>
        <w:pStyle w:val="a"/>
        <w:bidi/>
        <w:spacing w:line="216" w:lineRule="auto"/>
        <w:jc w:val="left"/>
        <w:rPr>
          <w:rFonts w:ascii="mylotus" w:hAnsi="mylotus" w:cs="Times New Roman"/>
          <w:b/>
          <w:bCs/>
          <w:sz w:val="32"/>
          <w:rtl/>
          <w:lang w:bidi="ar-BH"/>
        </w:rPr>
      </w:pPr>
      <w:r w:rsidRPr="00F27422">
        <w:rPr>
          <w:rFonts w:ascii="mylotus" w:hAnsi="mylotus"/>
          <w:sz w:val="32"/>
          <w:rtl/>
        </w:rPr>
        <w:t>مع فرض أنّ الروايتين واردتان في مقام الإفتاء - لا في مقام التعليم -، وحيث إنّ مقام الإفتاء مقام تحديد الوظيفة الفعلية للمستفتي، فلا يصح</w:t>
      </w:r>
      <w:r w:rsidRPr="00F27422">
        <w:rPr>
          <w:rFonts w:ascii="mylotus" w:hAnsi="mylotus" w:hint="cs"/>
          <w:sz w:val="32"/>
          <w:rtl/>
        </w:rPr>
        <w:t>ّ</w:t>
      </w:r>
      <w:r w:rsidRPr="00F27422">
        <w:rPr>
          <w:rFonts w:ascii="mylotus" w:hAnsi="mylotus"/>
          <w:sz w:val="32"/>
          <w:rtl/>
        </w:rPr>
        <w:t xml:space="preserve"> لدى العقلاء الجمعُ بينهما بحمل المُطلق على المقيد؛ لأنّ تحديد الوظيفة الفعلية بالترخيص اتكالاً على المقيد الإلزامي الذي سيرد بعد وقت العمل مِن تأخير البيان عن وقت الحاجة وإلقاء المُكلف في مخالفةِ الواقع وتفويت الغرض اللزومي على المولى؛ وهو مستهجنٌ، فلا محالة يقع التعارض بين المُطلق الترخيصي والمُقيد الإلزامي المتأخر عنه</w:t>
      </w:r>
      <w:r w:rsidRPr="00F27422">
        <w:rPr>
          <w:rFonts w:ascii="mylotus" w:hAnsi="mylotus"/>
          <w:sz w:val="32"/>
        </w:rPr>
        <w:t>.</w:t>
      </w:r>
    </w:p>
    <w:p w14:paraId="6CE7FA3A" w14:textId="77777777" w:rsidR="004D3D8B" w:rsidRPr="00F27422" w:rsidRDefault="004D3D8B" w:rsidP="00122B70">
      <w:pPr>
        <w:pStyle w:val="a"/>
        <w:bidi/>
        <w:spacing w:line="216" w:lineRule="auto"/>
        <w:jc w:val="left"/>
        <w:rPr>
          <w:rFonts w:ascii="mylotus" w:hAnsi="mylotus" w:cs="Times New Roman"/>
          <w:b/>
          <w:bCs/>
          <w:sz w:val="32"/>
          <w:rtl/>
          <w:lang w:bidi="ar-BH"/>
        </w:rPr>
      </w:pPr>
      <w:r w:rsidRPr="00F27422">
        <w:rPr>
          <w:rFonts w:ascii="mylotus" w:hAnsi="mylotus"/>
          <w:sz w:val="32"/>
          <w:rtl/>
        </w:rPr>
        <w:t xml:space="preserve">وكما أنّ هذا مستهجن، كذلك العكس بأنْ يصدر المُقيد الإلزامي مِن الإمام السابق، كما في محلّ كلامنا حيث صدر المُقيد الإلزامي مِن أبي </w:t>
      </w:r>
      <w:proofErr w:type="gramStart"/>
      <w:r w:rsidRPr="00F27422">
        <w:rPr>
          <w:rFonts w:ascii="mylotus" w:hAnsi="mylotus"/>
          <w:sz w:val="32"/>
          <w:rtl/>
        </w:rPr>
        <w:t>عبدالله</w:t>
      </w:r>
      <w:proofErr w:type="gramEnd"/>
      <w:r w:rsidRPr="00F27422">
        <w:rPr>
          <w:rFonts w:ascii="mylotus" w:hAnsi="mylotus"/>
          <w:sz w:val="32"/>
          <w:rtl/>
        </w:rPr>
        <w:t xml:space="preserve"> (عليه السلام) كما في صحيحة أبي ولاد، ولكن المُطلق الترخيصي صدر مِن أبي الحسن (عليه السلام)، وحينئذٍ إن</w:t>
      </w:r>
      <w:r w:rsidRPr="00F27422">
        <w:rPr>
          <w:rFonts w:ascii="mylotus" w:hAnsi="mylotus" w:hint="cs"/>
          <w:sz w:val="32"/>
          <w:rtl/>
        </w:rPr>
        <w:t>ْ</w:t>
      </w:r>
      <w:r w:rsidRPr="00F27422">
        <w:rPr>
          <w:rFonts w:ascii="mylotus" w:hAnsi="mylotus"/>
          <w:sz w:val="32"/>
          <w:rtl/>
        </w:rPr>
        <w:t xml:space="preserve"> كان التقييد ارتكازاً متشرعياً ولو نشأ هذا الارتكاز المتشرعي مِن الروايةِ المُتقدمة فالروايةُ المُتأخرة لَمْ تصدر مطلقة؛ لأنّها صدرتْ محفوفة بارتكاز متشرعي على التقييد فلا مشكلة حينئذٍ</w:t>
      </w:r>
      <w:r w:rsidRPr="00F27422">
        <w:rPr>
          <w:rFonts w:ascii="mylotus" w:hAnsi="mylotus"/>
          <w:sz w:val="32"/>
        </w:rPr>
        <w:t>.</w:t>
      </w:r>
    </w:p>
    <w:p w14:paraId="1A777C02" w14:textId="77777777" w:rsidR="004D3D8B" w:rsidRPr="00F27422" w:rsidRDefault="004D3D8B" w:rsidP="00122B70">
      <w:pPr>
        <w:pStyle w:val="a"/>
        <w:bidi/>
        <w:spacing w:line="216" w:lineRule="auto"/>
        <w:jc w:val="left"/>
        <w:rPr>
          <w:rFonts w:ascii="mylotus" w:hAnsi="mylotus" w:cs="Times New Roman"/>
          <w:b/>
          <w:bCs/>
          <w:sz w:val="32"/>
          <w:rtl/>
          <w:lang w:bidi="ar-BH"/>
        </w:rPr>
      </w:pPr>
      <w:r w:rsidRPr="00F27422">
        <w:rPr>
          <w:rFonts w:ascii="mylotus" w:hAnsi="mylotus"/>
          <w:sz w:val="32"/>
          <w:rtl/>
        </w:rPr>
        <w:t xml:space="preserve">وأمّا إذا فُرض أنّ التقييد لَمْ يصل إلى حدّ الارتكاز الذي يعني </w:t>
      </w:r>
      <w:proofErr w:type="spellStart"/>
      <w:r w:rsidRPr="00F27422">
        <w:rPr>
          <w:rFonts w:ascii="mylotus" w:hAnsi="mylotus"/>
          <w:sz w:val="32"/>
          <w:rtl/>
        </w:rPr>
        <w:t>محفوفية</w:t>
      </w:r>
      <w:proofErr w:type="spellEnd"/>
      <w:r w:rsidRPr="00F27422">
        <w:rPr>
          <w:rFonts w:ascii="mylotus" w:hAnsi="mylotus"/>
          <w:sz w:val="32"/>
          <w:rtl/>
        </w:rPr>
        <w:t xml:space="preserve"> المُتأخر بِهِ فصدورُ إطلاق الترخيص مِن أبي الحسن (عليه السلام) </w:t>
      </w:r>
      <w:proofErr w:type="spellStart"/>
      <w:r w:rsidRPr="00F27422">
        <w:rPr>
          <w:rFonts w:ascii="mylotus" w:hAnsi="mylotus"/>
          <w:sz w:val="32"/>
          <w:rtl/>
        </w:rPr>
        <w:t>اتكاءا</w:t>
      </w:r>
      <w:r w:rsidRPr="00F27422">
        <w:rPr>
          <w:rFonts w:ascii="mylotus" w:hAnsi="mylotus" w:hint="cs"/>
          <w:sz w:val="32"/>
          <w:rtl/>
        </w:rPr>
        <w:t>ً</w:t>
      </w:r>
      <w:proofErr w:type="spellEnd"/>
      <w:r w:rsidRPr="00F27422">
        <w:rPr>
          <w:rFonts w:ascii="mylotus" w:hAnsi="mylotus"/>
          <w:sz w:val="32"/>
          <w:rtl/>
        </w:rPr>
        <w:t xml:space="preserve"> على مقيدٍ إلزامي سابقٍ مُستهجنٌ في مقامِ الإفتاء وتحديد الوظيفة الفعلية</w:t>
      </w:r>
      <w:r w:rsidRPr="00F27422">
        <w:rPr>
          <w:rFonts w:ascii="mylotus" w:hAnsi="mylotus"/>
          <w:sz w:val="32"/>
        </w:rPr>
        <w:t>.</w:t>
      </w:r>
    </w:p>
    <w:p w14:paraId="74DD12CB" w14:textId="77777777" w:rsidR="004D3D8B" w:rsidRPr="00F27422" w:rsidRDefault="004D3D8B" w:rsidP="00122B70">
      <w:pPr>
        <w:pStyle w:val="a"/>
        <w:bidi/>
        <w:spacing w:line="216" w:lineRule="auto"/>
        <w:jc w:val="left"/>
        <w:rPr>
          <w:rFonts w:ascii="mylotus" w:hAnsi="mylotus" w:cs="Times New Roman"/>
          <w:b/>
          <w:bCs/>
          <w:sz w:val="32"/>
          <w:rtl/>
          <w:lang w:bidi="ar-BH"/>
        </w:rPr>
      </w:pPr>
      <w:r w:rsidRPr="00F27422">
        <w:rPr>
          <w:rFonts w:ascii="mylotus" w:hAnsi="mylotus"/>
          <w:sz w:val="32"/>
          <w:rtl/>
        </w:rPr>
        <w:t>فلو كُنا نحنُ وهذا المحذور العقلائي لقُلنا بالتعارض، لا بحمل المُطلق على المقيد</w:t>
      </w:r>
      <w:r w:rsidRPr="00F27422">
        <w:rPr>
          <w:rFonts w:ascii="mylotus" w:hAnsi="mylotus"/>
          <w:sz w:val="32"/>
        </w:rPr>
        <w:t>.</w:t>
      </w:r>
    </w:p>
    <w:p w14:paraId="6026ED2E" w14:textId="77777777" w:rsidR="004D3D8B" w:rsidRPr="00F27422" w:rsidRDefault="004D3D8B" w:rsidP="00122B70">
      <w:pPr>
        <w:pStyle w:val="a"/>
        <w:bidi/>
        <w:spacing w:line="216" w:lineRule="auto"/>
        <w:jc w:val="left"/>
        <w:rPr>
          <w:rFonts w:ascii="mylotus" w:hAnsi="mylotus" w:cs="Times New Roman"/>
          <w:b/>
          <w:bCs/>
          <w:sz w:val="32"/>
          <w:rtl/>
          <w:lang w:bidi="ar-BH"/>
        </w:rPr>
      </w:pPr>
      <w:r w:rsidRPr="00F27422">
        <w:rPr>
          <w:rFonts w:ascii="mylotus" w:hAnsi="mylotus"/>
          <w:b/>
          <w:bCs/>
          <w:sz w:val="32"/>
          <w:rtl/>
        </w:rPr>
        <w:t>ومِن هنا صح</w:t>
      </w:r>
      <w:r w:rsidRPr="00F27422">
        <w:rPr>
          <w:rFonts w:ascii="mylotus" w:hAnsi="mylotus" w:hint="cs"/>
          <w:b/>
          <w:bCs/>
          <w:sz w:val="32"/>
          <w:rtl/>
        </w:rPr>
        <w:t>ّ</w:t>
      </w:r>
      <w:r w:rsidRPr="00F27422">
        <w:rPr>
          <w:rFonts w:ascii="mylotus" w:hAnsi="mylotus"/>
          <w:b/>
          <w:bCs/>
          <w:sz w:val="32"/>
          <w:rtl/>
        </w:rPr>
        <w:t xml:space="preserve"> البحث: بأن</w:t>
      </w:r>
      <w:r w:rsidRPr="00F27422">
        <w:rPr>
          <w:rFonts w:ascii="mylotus" w:hAnsi="mylotus" w:hint="cs"/>
          <w:b/>
          <w:bCs/>
          <w:sz w:val="32"/>
          <w:rtl/>
        </w:rPr>
        <w:t>ّ</w:t>
      </w:r>
      <w:r w:rsidRPr="00F27422">
        <w:rPr>
          <w:rFonts w:ascii="mylotus" w:hAnsi="mylotus"/>
          <w:b/>
          <w:bCs/>
          <w:sz w:val="32"/>
          <w:rtl/>
        </w:rPr>
        <w:t>ه هل يمكن علاج ذلك بتقديم الأحدث؟</w:t>
      </w:r>
    </w:p>
    <w:p w14:paraId="5065EC3B" w14:textId="77777777" w:rsidR="004D3D8B" w:rsidRPr="00F27422" w:rsidRDefault="004D3D8B" w:rsidP="00122B70">
      <w:pPr>
        <w:pStyle w:val="a"/>
        <w:bidi/>
        <w:spacing w:line="216" w:lineRule="auto"/>
        <w:jc w:val="left"/>
        <w:rPr>
          <w:rFonts w:ascii="mylotus" w:hAnsi="mylotus" w:cs="Times New Roman"/>
          <w:b/>
          <w:bCs/>
          <w:sz w:val="32"/>
          <w:rtl/>
          <w:lang w:bidi="ar-BH"/>
        </w:rPr>
      </w:pPr>
      <w:r w:rsidRPr="00F27422">
        <w:rPr>
          <w:rFonts w:ascii="mylotus" w:hAnsi="mylotus"/>
          <w:b/>
          <w:bCs/>
          <w:sz w:val="32"/>
          <w:rtl/>
        </w:rPr>
        <w:t>فيُقال:</w:t>
      </w:r>
      <w:r w:rsidRPr="00F27422">
        <w:rPr>
          <w:rFonts w:ascii="mylotus" w:hAnsi="mylotus"/>
          <w:sz w:val="32"/>
          <w:rtl/>
        </w:rPr>
        <w:t xml:space="preserve"> إنّ الخبر الأحدث صدوراً مقدمٌ، فلا يقعُ التعارض بينهما، سواءً كان الأحدث هو المُقيد أو هو المُطلق، والمفروضُ أنّ ما صدر عن أبي الحسن (عليه السلام) هنا هو الأحدث كما في صحيحة أبي ولاد</w:t>
      </w:r>
      <w:r w:rsidRPr="00F27422">
        <w:rPr>
          <w:rFonts w:ascii="mylotus" w:hAnsi="mylotus"/>
          <w:sz w:val="32"/>
        </w:rPr>
        <w:t>.</w:t>
      </w:r>
    </w:p>
    <w:p w14:paraId="71246A33" w14:textId="77777777" w:rsidR="004D3D8B" w:rsidRPr="00F27422" w:rsidRDefault="004D3D8B" w:rsidP="00122B70">
      <w:pPr>
        <w:pStyle w:val="a"/>
        <w:bidi/>
        <w:spacing w:line="216" w:lineRule="auto"/>
        <w:jc w:val="left"/>
        <w:rPr>
          <w:rFonts w:ascii="mylotus" w:hAnsi="mylotus" w:cs="Times New Roman"/>
          <w:b/>
          <w:bCs/>
          <w:sz w:val="32"/>
          <w:rtl/>
          <w:lang w:bidi="ar-BH"/>
        </w:rPr>
      </w:pPr>
      <w:r w:rsidRPr="00F27422">
        <w:rPr>
          <w:rFonts w:ascii="mylotus" w:hAnsi="mylotus"/>
          <w:sz w:val="32"/>
          <w:rtl/>
        </w:rPr>
        <w:t xml:space="preserve">وهذا يقتضي النظر في روايات </w:t>
      </w:r>
      <w:proofErr w:type="spellStart"/>
      <w:r w:rsidRPr="00F27422">
        <w:rPr>
          <w:rFonts w:ascii="mylotus" w:hAnsi="mylotus"/>
          <w:sz w:val="32"/>
          <w:rtl/>
        </w:rPr>
        <w:t>الأحدثية</w:t>
      </w:r>
      <w:proofErr w:type="spellEnd"/>
      <w:r w:rsidRPr="00F27422">
        <w:rPr>
          <w:rFonts w:ascii="mylotus" w:hAnsi="mylotus"/>
          <w:sz w:val="32"/>
          <w:rtl/>
        </w:rPr>
        <w:t xml:space="preserve">، فهل يستفاد مِن روايات </w:t>
      </w:r>
      <w:proofErr w:type="spellStart"/>
      <w:r w:rsidRPr="00F27422">
        <w:rPr>
          <w:rFonts w:ascii="mylotus" w:hAnsi="mylotus"/>
          <w:sz w:val="32"/>
          <w:rtl/>
        </w:rPr>
        <w:t>الأحدثية</w:t>
      </w:r>
      <w:proofErr w:type="spellEnd"/>
      <w:r w:rsidRPr="00F27422">
        <w:rPr>
          <w:rFonts w:ascii="mylotus" w:hAnsi="mylotus"/>
          <w:sz w:val="32"/>
          <w:rtl/>
        </w:rPr>
        <w:t xml:space="preserve"> الترجيح التعبدي وأنّ الرواية الأحدث يُؤخذُ بها؟</w:t>
      </w:r>
    </w:p>
    <w:p w14:paraId="1D0B0D68" w14:textId="77777777" w:rsidR="004D3D8B" w:rsidRPr="00F27422" w:rsidRDefault="004D3D8B" w:rsidP="00122B70">
      <w:pPr>
        <w:pStyle w:val="a"/>
        <w:bidi/>
        <w:spacing w:line="216" w:lineRule="auto"/>
        <w:jc w:val="left"/>
        <w:rPr>
          <w:rFonts w:ascii="mylotus" w:hAnsi="mylotus" w:cs="Times New Roman"/>
          <w:b/>
          <w:bCs/>
          <w:sz w:val="32"/>
          <w:rtl/>
          <w:lang w:bidi="ar-BH"/>
        </w:rPr>
      </w:pPr>
      <w:r w:rsidRPr="00F27422">
        <w:rPr>
          <w:rFonts w:ascii="mylotus" w:hAnsi="mylotus"/>
          <w:b/>
          <w:bCs/>
          <w:sz w:val="32"/>
          <w:rtl/>
        </w:rPr>
        <w:t>فمِن تلك الروايات</w:t>
      </w:r>
      <w:r w:rsidRPr="00F27422">
        <w:rPr>
          <w:rFonts w:ascii="mylotus" w:hAnsi="mylotus"/>
          <w:b/>
          <w:bCs/>
          <w:sz w:val="32"/>
        </w:rPr>
        <w:t>:</w:t>
      </w:r>
    </w:p>
    <w:p w14:paraId="4C0E1164" w14:textId="77777777" w:rsidR="004D3D8B" w:rsidRPr="00F27422" w:rsidRDefault="004D3D8B" w:rsidP="00122B70">
      <w:pPr>
        <w:pStyle w:val="a"/>
        <w:bidi/>
        <w:spacing w:line="216" w:lineRule="auto"/>
        <w:jc w:val="left"/>
        <w:rPr>
          <w:rFonts w:ascii="mylotus" w:hAnsi="mylotus" w:cs="Times New Roman"/>
          <w:b/>
          <w:bCs/>
          <w:sz w:val="32"/>
          <w:rtl/>
          <w:lang w:bidi="ar-BH"/>
        </w:rPr>
      </w:pPr>
      <w:r w:rsidRPr="00F27422">
        <w:rPr>
          <w:rFonts w:ascii="mylotus" w:hAnsi="mylotus"/>
          <w:b/>
          <w:bCs/>
          <w:sz w:val="32"/>
          <w:rtl/>
        </w:rPr>
        <w:t xml:space="preserve">الروايةُ الأُولى: </w:t>
      </w:r>
      <w:r w:rsidRPr="00F27422">
        <w:rPr>
          <w:rFonts w:ascii="mylotus" w:hAnsi="mylotus"/>
          <w:sz w:val="32"/>
          <w:rtl/>
        </w:rPr>
        <w:t xml:space="preserve">كما في الوسائل: </w:t>
      </w:r>
      <w:r w:rsidRPr="00F27422">
        <w:rPr>
          <w:rFonts w:ascii="mylotus" w:hAnsi="mylotus"/>
          <w:b/>
          <w:bCs/>
          <w:sz w:val="32"/>
          <w:rtl/>
        </w:rPr>
        <w:t xml:space="preserve">(وعن محمّد بن يحيى، عن أحمد بن محمّد بن عيسى، عن الحسن بن محبوب، عن هشام بن سالم، عن أبي عمرو الكناني، قال: قال لي أبو </w:t>
      </w:r>
      <w:proofErr w:type="gramStart"/>
      <w:r w:rsidRPr="00F27422">
        <w:rPr>
          <w:rFonts w:ascii="mylotus" w:hAnsi="mylotus"/>
          <w:b/>
          <w:bCs/>
          <w:sz w:val="32"/>
          <w:rtl/>
        </w:rPr>
        <w:t>عبدالله</w:t>
      </w:r>
      <w:proofErr w:type="gramEnd"/>
      <w:r w:rsidRPr="00F27422">
        <w:rPr>
          <w:rFonts w:ascii="mylotus" w:hAnsi="mylotus"/>
          <w:b/>
          <w:bCs/>
          <w:sz w:val="32"/>
          <w:rtl/>
        </w:rPr>
        <w:t xml:space="preserve"> (عليه السلام): يا أبا عمرو! أرأيت لو حدّثتك بحديث، أو أفتيتك بفتيا، ثمَّ جئتني بعد ذلك فسألتني عنه، فأخبرتك بخلاف ما كنت أخبرتك، أو أفتيتك بخلاف ذلك، بأيّهما كنت تأخذ؟ قلت: </w:t>
      </w:r>
      <w:proofErr w:type="spellStart"/>
      <w:r w:rsidRPr="00F27422">
        <w:rPr>
          <w:rFonts w:ascii="mylotus" w:hAnsi="mylotus"/>
          <w:b/>
          <w:bCs/>
          <w:sz w:val="32"/>
          <w:rtl/>
        </w:rPr>
        <w:t>بأحدثهما</w:t>
      </w:r>
      <w:proofErr w:type="spellEnd"/>
      <w:r w:rsidRPr="00F27422">
        <w:rPr>
          <w:rFonts w:ascii="mylotus" w:hAnsi="mylotus"/>
          <w:b/>
          <w:bCs/>
          <w:sz w:val="32"/>
          <w:rtl/>
        </w:rPr>
        <w:t>، وأدع الآخر، فقال: قد أصبت يا أبا عمرو، أبى الله إلّا أن يعبد سرّاً، أما والله لئن فعلتم ذلك إنّه لخير لي ولكم، أبى الله عزَّ وجلَّ لنا في دينه إلاّ التقيّة)</w:t>
      </w:r>
      <w:r w:rsidRPr="00F27422">
        <w:rPr>
          <w:rStyle w:val="FootnoteReference"/>
          <w:rFonts w:ascii="mylotus" w:hAnsi="mylotus"/>
          <w:b/>
          <w:bCs/>
          <w:sz w:val="32"/>
          <w:rtl/>
        </w:rPr>
        <w:footnoteReference w:id="121"/>
      </w:r>
      <w:r w:rsidRPr="00F27422">
        <w:rPr>
          <w:rFonts w:ascii="mylotus" w:hAnsi="mylotus" w:hint="cs"/>
          <w:b/>
          <w:bCs/>
          <w:sz w:val="32"/>
          <w:rtl/>
        </w:rPr>
        <w:t>.</w:t>
      </w:r>
    </w:p>
    <w:p w14:paraId="52BE1586" w14:textId="77777777" w:rsidR="004D3D8B" w:rsidRPr="00F27422" w:rsidRDefault="004D3D8B" w:rsidP="00122B70">
      <w:pPr>
        <w:pStyle w:val="a"/>
        <w:bidi/>
        <w:spacing w:line="216" w:lineRule="auto"/>
        <w:jc w:val="left"/>
        <w:rPr>
          <w:rFonts w:ascii="mylotus" w:hAnsi="mylotus"/>
          <w:b/>
          <w:bCs/>
          <w:sz w:val="32"/>
          <w:rtl/>
        </w:rPr>
      </w:pPr>
      <w:r w:rsidRPr="00F27422">
        <w:rPr>
          <w:rFonts w:ascii="mylotus" w:hAnsi="mylotus"/>
          <w:b/>
          <w:bCs/>
          <w:sz w:val="32"/>
          <w:rtl/>
        </w:rPr>
        <w:t>والروايةُ غير تامة سنداً؛</w:t>
      </w:r>
      <w:r w:rsidRPr="00F27422">
        <w:rPr>
          <w:rFonts w:ascii="mylotus" w:hAnsi="mylotus"/>
          <w:sz w:val="32"/>
          <w:rtl/>
        </w:rPr>
        <w:t xml:space="preserve"> إذ لا يوجد توثيق للكناني، وإنْ نُقلت الرواية في موضعٍ آخر مِن قِبل صاحب الوسائل نفسه في كتاب الأمر بالمعروف والنهي عن المنكر عن محاسن البرقي عن هشام بن سالم عن أبي </w:t>
      </w:r>
      <w:proofErr w:type="gramStart"/>
      <w:r w:rsidRPr="00F27422">
        <w:rPr>
          <w:rFonts w:ascii="mylotus" w:hAnsi="mylotus"/>
          <w:sz w:val="32"/>
          <w:rtl/>
        </w:rPr>
        <w:t>عبدالله</w:t>
      </w:r>
      <w:proofErr w:type="gramEnd"/>
      <w:r w:rsidRPr="00F27422">
        <w:rPr>
          <w:rFonts w:ascii="mylotus" w:hAnsi="mylotus"/>
          <w:sz w:val="32"/>
          <w:rtl/>
        </w:rPr>
        <w:t xml:space="preserve"> (عليه السلام)، لا عن هشام بن سالم عن أبي عمرو، ولكن بملاحظة المقارنة بين الروايتين ومراجعة مصادر </w:t>
      </w:r>
      <w:proofErr w:type="gramStart"/>
      <w:r w:rsidRPr="00F27422">
        <w:rPr>
          <w:rFonts w:ascii="mylotus" w:hAnsi="mylotus"/>
          <w:sz w:val="32"/>
          <w:rtl/>
        </w:rPr>
        <w:t>الوسائل  فإنّ</w:t>
      </w:r>
      <w:proofErr w:type="gramEnd"/>
      <w:r w:rsidRPr="00F27422">
        <w:rPr>
          <w:rFonts w:ascii="mylotus" w:hAnsi="mylotus"/>
          <w:sz w:val="32"/>
          <w:rtl/>
        </w:rPr>
        <w:t xml:space="preserve"> الظاهر سقوط الواسطة في الرواية الأُخرى بين هشام وبين الإمام (عليه السلام).</w:t>
      </w:r>
    </w:p>
    <w:p w14:paraId="614C9A9B" w14:textId="77777777" w:rsidR="004D3D8B" w:rsidRPr="00F27422" w:rsidRDefault="004D3D8B"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5B08FBCE" w14:textId="77777777" w:rsidR="0047280E" w:rsidRPr="00F27422" w:rsidRDefault="0047280E" w:rsidP="00122B70">
      <w:pPr>
        <w:bidi/>
        <w:rPr>
          <w:sz w:val="32"/>
          <w:szCs w:val="32"/>
        </w:rPr>
      </w:pPr>
    </w:p>
    <w:p w14:paraId="3A4A450F" w14:textId="343A70EB" w:rsidR="004D3D8B" w:rsidRPr="00F27422" w:rsidRDefault="004D3D8B" w:rsidP="00122B70">
      <w:pPr>
        <w:pStyle w:val="Heading3"/>
        <w:bidi/>
        <w:rPr>
          <w:sz w:val="32"/>
          <w:szCs w:val="32"/>
        </w:rPr>
      </w:pPr>
      <w:r w:rsidRPr="00F27422">
        <w:rPr>
          <w:sz w:val="32"/>
          <w:szCs w:val="32"/>
        </w:rPr>
        <w:t>084</w:t>
      </w:r>
    </w:p>
    <w:p w14:paraId="6161135E" w14:textId="77777777" w:rsidR="0091405A" w:rsidRPr="00F27422" w:rsidRDefault="0091405A" w:rsidP="00122B70">
      <w:pPr>
        <w:bidi/>
        <w:rPr>
          <w:b/>
          <w:bCs/>
          <w:sz w:val="32"/>
          <w:szCs w:val="32"/>
        </w:rPr>
      </w:pPr>
      <w:r w:rsidRPr="00F27422">
        <w:rPr>
          <w:b/>
          <w:bCs/>
          <w:sz w:val="32"/>
          <w:szCs w:val="32"/>
          <w:rtl/>
        </w:rPr>
        <w:t>بسم الله الرحمن الرحيم</w:t>
      </w:r>
    </w:p>
    <w:p w14:paraId="6430E97E" w14:textId="77777777" w:rsidR="0091405A" w:rsidRPr="00F27422" w:rsidRDefault="0091405A"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437A79A3" w14:textId="77777777" w:rsidR="0091405A" w:rsidRPr="00F27422" w:rsidRDefault="0091405A" w:rsidP="00122B70">
      <w:pPr>
        <w:bidi/>
        <w:rPr>
          <w:sz w:val="32"/>
          <w:szCs w:val="32"/>
          <w:rtl/>
        </w:rPr>
      </w:pPr>
      <w:r w:rsidRPr="00F27422">
        <w:rPr>
          <w:b/>
          <w:bCs/>
          <w:sz w:val="32"/>
          <w:szCs w:val="32"/>
          <w:rtl/>
        </w:rPr>
        <w:t>واللعن الدائم على أعدائهم أجمعين إلى قيام يوم الدين</w:t>
      </w:r>
    </w:p>
    <w:p w14:paraId="4C994D83" w14:textId="77777777" w:rsidR="0091405A" w:rsidRPr="00F27422" w:rsidRDefault="0091405A" w:rsidP="00122B70">
      <w:pPr>
        <w:bidi/>
        <w:rPr>
          <w:sz w:val="32"/>
          <w:szCs w:val="32"/>
          <w:rtl/>
        </w:rPr>
      </w:pPr>
    </w:p>
    <w:p w14:paraId="303F78A0" w14:textId="77777777" w:rsidR="0091405A" w:rsidRPr="00F27422" w:rsidRDefault="0091405A" w:rsidP="00122B70">
      <w:pPr>
        <w:bidi/>
        <w:rPr>
          <w:sz w:val="32"/>
          <w:szCs w:val="32"/>
          <w:rtl/>
        </w:rPr>
      </w:pPr>
      <w:r w:rsidRPr="00F27422">
        <w:rPr>
          <w:sz w:val="32"/>
          <w:szCs w:val="32"/>
          <w:rtl/>
        </w:rPr>
        <w:t xml:space="preserve">ودعوى اتحاد أبي عمرو الكناني مع </w:t>
      </w:r>
      <w:proofErr w:type="gramStart"/>
      <w:r w:rsidRPr="00F27422">
        <w:rPr>
          <w:sz w:val="32"/>
          <w:szCs w:val="32"/>
          <w:rtl/>
        </w:rPr>
        <w:t>عبدالله</w:t>
      </w:r>
      <w:proofErr w:type="gramEnd"/>
      <w:r w:rsidRPr="00F27422">
        <w:rPr>
          <w:sz w:val="32"/>
          <w:szCs w:val="32"/>
          <w:rtl/>
        </w:rPr>
        <w:t xml:space="preserve"> بن سعيد الثقة مما لَمْ تقم شواهد واضحة عليها.</w:t>
      </w:r>
    </w:p>
    <w:p w14:paraId="0E036A65" w14:textId="77777777" w:rsidR="0091405A" w:rsidRPr="00F27422" w:rsidRDefault="0091405A" w:rsidP="00122B70">
      <w:pPr>
        <w:bidi/>
        <w:rPr>
          <w:sz w:val="32"/>
          <w:szCs w:val="32"/>
          <w:rtl/>
        </w:rPr>
      </w:pPr>
      <w:r w:rsidRPr="00F27422">
        <w:rPr>
          <w:b/>
          <w:bCs/>
          <w:sz w:val="32"/>
          <w:szCs w:val="32"/>
          <w:rtl/>
        </w:rPr>
        <w:t>الروايةُ الثانية:</w:t>
      </w:r>
      <w:r w:rsidRPr="00F27422">
        <w:rPr>
          <w:sz w:val="32"/>
          <w:szCs w:val="32"/>
          <w:rtl/>
        </w:rPr>
        <w:t xml:space="preserve"> رواية الحسين بن المختار، كما في الوسائل: </w:t>
      </w:r>
      <w:r w:rsidRPr="00F27422">
        <w:rPr>
          <w:b/>
          <w:bCs/>
          <w:sz w:val="32"/>
          <w:szCs w:val="32"/>
          <w:rtl/>
        </w:rPr>
        <w:t xml:space="preserve">(وعنه، عن أبيه، عن عثمان بن عيسى، عن الحسين بن المختار، عن بعض أصحابنا، عن أبي </w:t>
      </w:r>
      <w:proofErr w:type="gramStart"/>
      <w:r w:rsidRPr="00F27422">
        <w:rPr>
          <w:b/>
          <w:bCs/>
          <w:sz w:val="32"/>
          <w:szCs w:val="32"/>
          <w:rtl/>
        </w:rPr>
        <w:t>عبدالله</w:t>
      </w:r>
      <w:proofErr w:type="gramEnd"/>
      <w:r w:rsidRPr="00F27422">
        <w:rPr>
          <w:b/>
          <w:bCs/>
          <w:sz w:val="32"/>
          <w:szCs w:val="32"/>
          <w:rtl/>
        </w:rPr>
        <w:t xml:space="preserve"> (عليه السلام)، قال: أرأيتك لو حدّثتك بحديث العام، ثمَّ جئتني من قابل فحدَّثتك بخلافه، بأيّهما كنت تأخذ؟ قال: كنت آخذ بالأخير، فقال لي: رحمك الله)</w:t>
      </w:r>
      <w:r w:rsidRPr="00F27422">
        <w:rPr>
          <w:b/>
          <w:bCs/>
          <w:sz w:val="32"/>
          <w:szCs w:val="32"/>
          <w:vertAlign w:val="superscript"/>
          <w:rtl/>
        </w:rPr>
        <w:footnoteReference w:id="122"/>
      </w:r>
      <w:r w:rsidRPr="00F27422">
        <w:rPr>
          <w:b/>
          <w:bCs/>
          <w:sz w:val="32"/>
          <w:szCs w:val="32"/>
          <w:rtl/>
        </w:rPr>
        <w:t>.</w:t>
      </w:r>
    </w:p>
    <w:p w14:paraId="3415571F" w14:textId="77777777" w:rsidR="0091405A" w:rsidRPr="00F27422" w:rsidRDefault="0091405A" w:rsidP="00122B70">
      <w:pPr>
        <w:bidi/>
        <w:rPr>
          <w:sz w:val="32"/>
          <w:szCs w:val="32"/>
          <w:rtl/>
        </w:rPr>
      </w:pPr>
      <w:r w:rsidRPr="00F27422">
        <w:rPr>
          <w:sz w:val="32"/>
          <w:szCs w:val="32"/>
          <w:rtl/>
        </w:rPr>
        <w:t>وظاهرُ هذه الرواية أنّ المدار في تحديد الوظيفة على المُتأخر، إلّا أنّ الرواية ساقطةٌ سنداً؛ لعدم وثاقة الحسين بن المختار - إلّا بناءً على تمامية كُبرى "وثاقة مَن يروي عنه ابن أبي عمير" -، والإرسال مِن جهةٍ أُخرى</w:t>
      </w:r>
      <w:r w:rsidRPr="00F27422">
        <w:rPr>
          <w:sz w:val="32"/>
          <w:szCs w:val="32"/>
        </w:rPr>
        <w:t>.</w:t>
      </w:r>
    </w:p>
    <w:p w14:paraId="31BBFD1B" w14:textId="77777777" w:rsidR="0091405A" w:rsidRPr="00F27422" w:rsidRDefault="0091405A" w:rsidP="00122B70">
      <w:pPr>
        <w:bidi/>
        <w:rPr>
          <w:sz w:val="32"/>
          <w:szCs w:val="32"/>
          <w:rtl/>
        </w:rPr>
      </w:pPr>
      <w:r w:rsidRPr="00F27422">
        <w:rPr>
          <w:b/>
          <w:bCs/>
          <w:sz w:val="32"/>
          <w:szCs w:val="32"/>
          <w:rtl/>
        </w:rPr>
        <w:t>الروايةُ الثالثة:</w:t>
      </w:r>
      <w:r w:rsidRPr="00F27422">
        <w:rPr>
          <w:sz w:val="32"/>
          <w:szCs w:val="32"/>
          <w:rtl/>
        </w:rPr>
        <w:t xml:space="preserve"> رواية المعلّى بن خنيس، كما في الوسائل: </w:t>
      </w:r>
      <w:r w:rsidRPr="00F27422">
        <w:rPr>
          <w:b/>
          <w:bCs/>
          <w:sz w:val="32"/>
          <w:szCs w:val="32"/>
          <w:rtl/>
        </w:rPr>
        <w:t xml:space="preserve">(وعنه، عن أبيه، عن إسماعيل بن مرار، عن يونس، عن داود بن فرقد، عن المعلّى بن خنيس، قال: قلت لأبي </w:t>
      </w:r>
      <w:proofErr w:type="gramStart"/>
      <w:r w:rsidRPr="00F27422">
        <w:rPr>
          <w:b/>
          <w:bCs/>
          <w:sz w:val="32"/>
          <w:szCs w:val="32"/>
          <w:rtl/>
        </w:rPr>
        <w:t>عبدالله</w:t>
      </w:r>
      <w:proofErr w:type="gramEnd"/>
      <w:r w:rsidRPr="00F27422">
        <w:rPr>
          <w:b/>
          <w:bCs/>
          <w:sz w:val="32"/>
          <w:szCs w:val="32"/>
          <w:rtl/>
        </w:rPr>
        <w:t xml:space="preserve"> (عليه السلام): إذا جاء حديث عن أوَّلكم وحديث عن آخركم، بأيّهما نأخذ؟ فقال: خذوا به حتّى يبلغكم عن الحيِّ، فإن بلغكم عن الحيّ فخذوا بقوله، قال: ثمَّ قال أبو </w:t>
      </w:r>
      <w:proofErr w:type="gramStart"/>
      <w:r w:rsidRPr="00F27422">
        <w:rPr>
          <w:b/>
          <w:bCs/>
          <w:sz w:val="32"/>
          <w:szCs w:val="32"/>
          <w:rtl/>
        </w:rPr>
        <w:t>عبدالله</w:t>
      </w:r>
      <w:proofErr w:type="gramEnd"/>
      <w:r w:rsidRPr="00F27422">
        <w:rPr>
          <w:b/>
          <w:bCs/>
          <w:sz w:val="32"/>
          <w:szCs w:val="32"/>
          <w:rtl/>
        </w:rPr>
        <w:t xml:space="preserve"> (عليه السلام): إنّا ـ والله ـ لا ندخلكم إلاّ فيما يسعكم)</w:t>
      </w:r>
      <w:r w:rsidRPr="00F27422">
        <w:rPr>
          <w:b/>
          <w:bCs/>
          <w:sz w:val="32"/>
          <w:szCs w:val="32"/>
          <w:vertAlign w:val="superscript"/>
          <w:rtl/>
        </w:rPr>
        <w:footnoteReference w:id="123"/>
      </w:r>
      <w:r w:rsidRPr="00F27422">
        <w:rPr>
          <w:sz w:val="32"/>
          <w:szCs w:val="32"/>
          <w:rtl/>
        </w:rPr>
        <w:t>.</w:t>
      </w:r>
    </w:p>
    <w:p w14:paraId="13E9BB2B" w14:textId="77777777" w:rsidR="0091405A" w:rsidRPr="00F27422" w:rsidRDefault="0091405A" w:rsidP="00122B70">
      <w:pPr>
        <w:bidi/>
        <w:rPr>
          <w:sz w:val="32"/>
          <w:szCs w:val="32"/>
          <w:rtl/>
        </w:rPr>
      </w:pPr>
      <w:r w:rsidRPr="00F27422">
        <w:rPr>
          <w:sz w:val="32"/>
          <w:szCs w:val="32"/>
          <w:rtl/>
        </w:rPr>
        <w:t>والرواية في سندها إسماعيل بن مرار الذي لَمْ يرد في حقّه توثيق، فالقول بوثاقته متوقفٌ على ثبوت رواية ابن أبي عمير عنه - بناءً على تمامية الكبرى - أو مبنى سيدنا الخوئي (قدس سره الشريف) مِن تمامية وثاقة مَن ورد في تفسير القمي حيثُ ورد إسماعيل بن مرار في التفسير</w:t>
      </w:r>
      <w:r w:rsidRPr="00F27422">
        <w:rPr>
          <w:sz w:val="32"/>
          <w:szCs w:val="32"/>
        </w:rPr>
        <w:t>.</w:t>
      </w:r>
    </w:p>
    <w:p w14:paraId="08BE299B" w14:textId="77777777" w:rsidR="0091405A" w:rsidRPr="00F27422" w:rsidRDefault="0091405A" w:rsidP="00122B70">
      <w:pPr>
        <w:bidi/>
        <w:rPr>
          <w:sz w:val="32"/>
          <w:szCs w:val="32"/>
          <w:rtl/>
        </w:rPr>
      </w:pPr>
      <w:r w:rsidRPr="00F27422">
        <w:rPr>
          <w:b/>
          <w:bCs/>
          <w:sz w:val="32"/>
          <w:szCs w:val="32"/>
          <w:rtl/>
        </w:rPr>
        <w:lastRenderedPageBreak/>
        <w:t>وأمّا البحثُ في الدلالة</w:t>
      </w:r>
      <w:r w:rsidRPr="00F27422">
        <w:rPr>
          <w:sz w:val="32"/>
          <w:szCs w:val="32"/>
          <w:rtl/>
        </w:rPr>
        <w:t xml:space="preserve">: فقد ذكر بعضُ الأعلام بأنّ المقصود من قوله (عليه السلام): </w:t>
      </w:r>
      <w:r w:rsidRPr="00F27422">
        <w:rPr>
          <w:b/>
          <w:bCs/>
          <w:sz w:val="32"/>
          <w:szCs w:val="32"/>
          <w:rtl/>
        </w:rPr>
        <w:t>(خذوا به حتّى يبلغكم عن الحيِّ)</w:t>
      </w:r>
      <w:r w:rsidRPr="00F27422">
        <w:rPr>
          <w:sz w:val="32"/>
          <w:szCs w:val="32"/>
          <w:rtl/>
        </w:rPr>
        <w:t xml:space="preserve"> هو الأخذُ بأيّهما، أي: أنّ مرجع الضمير إلى الجامع بين الحديثين، فكأنّه قال: إذا ورد حديثٌ عن الإمام الأوّل وحديثٌ عن الإمام الآخر فيؤخذ بأيّهما فإذا بلغ عن الحيِّ شيء فيؤخذ بقوله</w:t>
      </w:r>
      <w:r w:rsidRPr="00F27422">
        <w:rPr>
          <w:sz w:val="32"/>
          <w:szCs w:val="32"/>
        </w:rPr>
        <w:t>.</w:t>
      </w:r>
    </w:p>
    <w:p w14:paraId="024ECFA4" w14:textId="77777777" w:rsidR="0091405A" w:rsidRPr="00F27422" w:rsidRDefault="0091405A" w:rsidP="00122B70">
      <w:pPr>
        <w:bidi/>
        <w:rPr>
          <w:sz w:val="32"/>
          <w:szCs w:val="32"/>
          <w:rtl/>
        </w:rPr>
      </w:pPr>
      <w:r w:rsidRPr="00F27422">
        <w:rPr>
          <w:b/>
          <w:bCs/>
          <w:sz w:val="32"/>
          <w:szCs w:val="32"/>
          <w:rtl/>
        </w:rPr>
        <w:t>ولكن ما ذكره خلاف الظاهر؛</w:t>
      </w:r>
      <w:r w:rsidRPr="00F27422">
        <w:rPr>
          <w:sz w:val="32"/>
          <w:szCs w:val="32"/>
          <w:rtl/>
        </w:rPr>
        <w:t xml:space="preserve"> فإنّ ظاهر السياق رجوعُ الضمير إلى المنظور بالسياق وظاهره أنّ المنظور هو الحديثُ المُتأخر، وبالتالي تكون هذه الرواية كسائر الروايات السابقة ناظرةٌ لتقديم الأحدث</w:t>
      </w:r>
      <w:r w:rsidRPr="00F27422">
        <w:rPr>
          <w:sz w:val="32"/>
          <w:szCs w:val="32"/>
        </w:rPr>
        <w:t>.</w:t>
      </w:r>
    </w:p>
    <w:p w14:paraId="24808020" w14:textId="77777777" w:rsidR="0091405A" w:rsidRPr="00F27422" w:rsidRDefault="0091405A" w:rsidP="00122B70">
      <w:pPr>
        <w:bidi/>
        <w:rPr>
          <w:b/>
          <w:bCs/>
          <w:sz w:val="32"/>
          <w:szCs w:val="32"/>
          <w:rtl/>
        </w:rPr>
      </w:pPr>
      <w:r w:rsidRPr="00F27422">
        <w:rPr>
          <w:b/>
          <w:bCs/>
          <w:sz w:val="32"/>
          <w:szCs w:val="32"/>
          <w:rtl/>
        </w:rPr>
        <w:t>وبعد عرض الروايات فإنّ في تحديد مدلولها اتجاهاتٌ ثلاثة</w:t>
      </w:r>
      <w:r w:rsidRPr="00F27422">
        <w:rPr>
          <w:b/>
          <w:bCs/>
          <w:sz w:val="32"/>
          <w:szCs w:val="32"/>
        </w:rPr>
        <w:t>:</w:t>
      </w:r>
    </w:p>
    <w:p w14:paraId="70C01248" w14:textId="77777777" w:rsidR="0091405A" w:rsidRPr="00F27422" w:rsidRDefault="0091405A" w:rsidP="00122B70">
      <w:pPr>
        <w:bidi/>
        <w:rPr>
          <w:sz w:val="32"/>
          <w:szCs w:val="32"/>
          <w:rtl/>
        </w:rPr>
      </w:pPr>
      <w:r w:rsidRPr="00F27422">
        <w:rPr>
          <w:b/>
          <w:bCs/>
          <w:sz w:val="32"/>
          <w:szCs w:val="32"/>
          <w:rtl/>
        </w:rPr>
        <w:t xml:space="preserve">الاتجاهُ الأوّل: </w:t>
      </w:r>
      <w:r w:rsidRPr="00F27422">
        <w:rPr>
          <w:sz w:val="32"/>
          <w:szCs w:val="32"/>
          <w:rtl/>
        </w:rPr>
        <w:t xml:space="preserve">الترجيح </w:t>
      </w:r>
      <w:proofErr w:type="spellStart"/>
      <w:r w:rsidRPr="00F27422">
        <w:rPr>
          <w:sz w:val="32"/>
          <w:szCs w:val="32"/>
          <w:rtl/>
        </w:rPr>
        <w:t>بالأحدثية</w:t>
      </w:r>
      <w:proofErr w:type="spellEnd"/>
      <w:r w:rsidRPr="00F27422">
        <w:rPr>
          <w:sz w:val="32"/>
          <w:szCs w:val="32"/>
        </w:rPr>
        <w:t>.</w:t>
      </w:r>
    </w:p>
    <w:p w14:paraId="138A5004" w14:textId="77777777" w:rsidR="0091405A" w:rsidRPr="00F27422" w:rsidRDefault="0091405A" w:rsidP="00122B70">
      <w:pPr>
        <w:bidi/>
        <w:rPr>
          <w:b/>
          <w:bCs/>
          <w:sz w:val="32"/>
          <w:szCs w:val="32"/>
          <w:rtl/>
        </w:rPr>
      </w:pPr>
      <w:r w:rsidRPr="00F27422">
        <w:rPr>
          <w:b/>
          <w:bCs/>
          <w:sz w:val="32"/>
          <w:szCs w:val="32"/>
          <w:rtl/>
        </w:rPr>
        <w:t>بدعوى:</w:t>
      </w:r>
      <w:r w:rsidRPr="00F27422">
        <w:rPr>
          <w:sz w:val="32"/>
          <w:szCs w:val="32"/>
          <w:rtl/>
        </w:rPr>
        <w:t xml:space="preserve"> أنّ الترجيح </w:t>
      </w:r>
      <w:proofErr w:type="spellStart"/>
      <w:r w:rsidRPr="00F27422">
        <w:rPr>
          <w:sz w:val="32"/>
          <w:szCs w:val="32"/>
          <w:u w:val="single"/>
          <w:rtl/>
        </w:rPr>
        <w:t>بالأحدثية</w:t>
      </w:r>
      <w:proofErr w:type="spellEnd"/>
      <w:r w:rsidRPr="00F27422">
        <w:rPr>
          <w:sz w:val="32"/>
          <w:szCs w:val="32"/>
          <w:u w:val="single"/>
          <w:rtl/>
        </w:rPr>
        <w:t xml:space="preserve"> مطابق للمرتكز العقلائي</w:t>
      </w:r>
      <w:r w:rsidRPr="00F27422">
        <w:rPr>
          <w:sz w:val="32"/>
          <w:szCs w:val="32"/>
          <w:rtl/>
        </w:rPr>
        <w:t>، والروايات الشريفة ما هي إلّا إمضاءٌ لهذا المرتكز القائم على أنّه لو صدر مِن الدولة قانونان مُتقدمٌ ومُتأخرٌ وهما متنافيان بحسب الظاهر فالمُتأخرُ مقدمٌ مِن حيثُ الحجية</w:t>
      </w:r>
      <w:r w:rsidRPr="00F27422">
        <w:rPr>
          <w:sz w:val="32"/>
          <w:szCs w:val="32"/>
        </w:rPr>
        <w:t>.</w:t>
      </w:r>
    </w:p>
    <w:p w14:paraId="3C2C66AC" w14:textId="77777777" w:rsidR="0091405A" w:rsidRPr="00F27422" w:rsidRDefault="0091405A" w:rsidP="00122B70">
      <w:pPr>
        <w:bidi/>
        <w:rPr>
          <w:b/>
          <w:bCs/>
          <w:sz w:val="32"/>
          <w:szCs w:val="32"/>
          <w:rtl/>
        </w:rPr>
      </w:pPr>
      <w:r w:rsidRPr="00F27422">
        <w:rPr>
          <w:b/>
          <w:bCs/>
          <w:sz w:val="32"/>
          <w:szCs w:val="32"/>
          <w:rtl/>
        </w:rPr>
        <w:t>والنكتةُ في ذلك:</w:t>
      </w:r>
      <w:r w:rsidRPr="00F27422">
        <w:rPr>
          <w:sz w:val="32"/>
          <w:szCs w:val="32"/>
          <w:rtl/>
        </w:rPr>
        <w:t xml:space="preserve"> أنّ بناء التقنين في المرتكزات العقلائية على جعل قاعدةٍ عامّة ذات ملاك بحدودٍ معينةٍ ثمّ تقنين التفاصيل المُتفرعة على القاعدة العامّة، فإذا جاء تفريعٌ على تلك القاعدة واستمر لمدّةٍ ثمّ جاء تفريعٌ آخر منافٍ له فإنّ المرتكز العقلائي على الأخذ بالتفريع الثاني؛ باعتبار أنّ التفريعات والتفاصيل ما هي إلّا بيانُ حدود القاعدة السابقة بلحاظ حدود ملاكها؛ ومقتضى ذلك تقديم المُتأخر حدوثاً مِن التفاصيل والتفريعات على المُتقدم؛ لأنّ مرجعه إلى بيان أنّه الموافق لملاك القاعدة المنظور إليها</w:t>
      </w:r>
      <w:r w:rsidRPr="00F27422">
        <w:rPr>
          <w:sz w:val="32"/>
          <w:szCs w:val="32"/>
        </w:rPr>
        <w:t>.</w:t>
      </w:r>
    </w:p>
    <w:p w14:paraId="0E6B9753" w14:textId="77777777" w:rsidR="0091405A" w:rsidRPr="00F27422" w:rsidRDefault="0091405A" w:rsidP="00122B70">
      <w:pPr>
        <w:bidi/>
        <w:rPr>
          <w:b/>
          <w:bCs/>
          <w:sz w:val="32"/>
          <w:szCs w:val="32"/>
          <w:rtl/>
        </w:rPr>
      </w:pPr>
      <w:r w:rsidRPr="00F27422">
        <w:rPr>
          <w:sz w:val="32"/>
          <w:szCs w:val="32"/>
          <w:rtl/>
        </w:rPr>
        <w:t xml:space="preserve">نظير حكومة قاعدة "لا تعاد" المشتملة على الذيل وهو قوله (عليه السلام): </w:t>
      </w:r>
      <w:r w:rsidRPr="00F27422">
        <w:rPr>
          <w:b/>
          <w:bCs/>
          <w:sz w:val="32"/>
          <w:szCs w:val="32"/>
          <w:rtl/>
        </w:rPr>
        <w:t>(ولا تنقض السنّة الفريضة)</w:t>
      </w:r>
      <w:r w:rsidRPr="00F27422">
        <w:rPr>
          <w:sz w:val="32"/>
          <w:szCs w:val="32"/>
          <w:vertAlign w:val="superscript"/>
          <w:rtl/>
        </w:rPr>
        <w:footnoteReference w:id="124"/>
      </w:r>
      <w:r w:rsidRPr="00F27422">
        <w:rPr>
          <w:sz w:val="32"/>
          <w:szCs w:val="32"/>
          <w:rtl/>
        </w:rPr>
        <w:t xml:space="preserve"> على ما دلّ على الجزئية والشرطية؛ حيثُ إنّ مفاد قاعدة "لا تعاد" هو أنّ ما دلّ على الجزئية والشرطية مِن السنّن لا يشمل فرض الخلّل بِهِ عن عذرٍ، كما في حال الجهل القصوري والنسيان، وحكومة ما دلّ على أنّ النجاسة المنسية مبطلٌ للصلاة بخلاف النجاسة المجهولة؛ فإنّ المُكلف لو صلى في الثوب النجس جاهلاً بالنجاسة كانت صلاتُهُ صحيحة بقاعدة "لا تعاد" ولكنه لو صلى في الثوب النجس غافلاً - بعد أنْ علم بالنجاسة - فإنّ صلاته </w:t>
      </w:r>
      <w:r w:rsidRPr="00F27422">
        <w:rPr>
          <w:sz w:val="32"/>
          <w:szCs w:val="32"/>
          <w:rtl/>
        </w:rPr>
        <w:lastRenderedPageBreak/>
        <w:t xml:space="preserve">فاسدة؛ لحكومة ما دلّ على مبطلية النجاسة المنسية للصلاة على قاعدة: </w:t>
      </w:r>
      <w:r w:rsidRPr="00F27422">
        <w:rPr>
          <w:b/>
          <w:bCs/>
          <w:sz w:val="32"/>
          <w:szCs w:val="32"/>
          <w:rtl/>
        </w:rPr>
        <w:t>(ولا تنقض السنّة الفريضة)</w:t>
      </w:r>
      <w:r w:rsidRPr="00F27422">
        <w:rPr>
          <w:b/>
          <w:bCs/>
          <w:sz w:val="32"/>
          <w:szCs w:val="32"/>
        </w:rPr>
        <w:t>.</w:t>
      </w:r>
    </w:p>
    <w:p w14:paraId="5098FF87" w14:textId="77777777" w:rsidR="0091405A" w:rsidRPr="00F27422" w:rsidRDefault="0091405A" w:rsidP="00122B70">
      <w:pPr>
        <w:bidi/>
        <w:rPr>
          <w:b/>
          <w:bCs/>
          <w:sz w:val="32"/>
          <w:szCs w:val="32"/>
          <w:rtl/>
        </w:rPr>
      </w:pPr>
      <w:r w:rsidRPr="00F27422">
        <w:rPr>
          <w:b/>
          <w:bCs/>
          <w:sz w:val="32"/>
          <w:szCs w:val="32"/>
          <w:rtl/>
        </w:rPr>
        <w:t>والحاصل:</w:t>
      </w:r>
      <w:r w:rsidRPr="00F27422">
        <w:rPr>
          <w:sz w:val="32"/>
          <w:szCs w:val="32"/>
          <w:rtl/>
        </w:rPr>
        <w:t xml:space="preserve"> أنّ الترجيح بالأحدث مرتكز عقلائي، فما ورد في الروايات الشريفة إمضاءٌ لهذا المرتكز وليس أمراً تعبدياً</w:t>
      </w:r>
      <w:r w:rsidRPr="00F27422">
        <w:rPr>
          <w:sz w:val="32"/>
          <w:szCs w:val="32"/>
        </w:rPr>
        <w:t>.</w:t>
      </w:r>
    </w:p>
    <w:p w14:paraId="188FB69C" w14:textId="77777777" w:rsidR="0091405A" w:rsidRPr="00F27422" w:rsidRDefault="0091405A" w:rsidP="00122B70">
      <w:pPr>
        <w:bidi/>
        <w:rPr>
          <w:b/>
          <w:bCs/>
          <w:sz w:val="32"/>
          <w:szCs w:val="32"/>
          <w:rtl/>
        </w:rPr>
      </w:pPr>
      <w:r w:rsidRPr="00F27422">
        <w:rPr>
          <w:b/>
          <w:bCs/>
          <w:sz w:val="32"/>
          <w:szCs w:val="32"/>
          <w:rtl/>
        </w:rPr>
        <w:t>ويلاحظ على ذلك</w:t>
      </w:r>
      <w:r w:rsidRPr="00F27422">
        <w:rPr>
          <w:b/>
          <w:bCs/>
          <w:sz w:val="32"/>
          <w:szCs w:val="32"/>
        </w:rPr>
        <w:t>:</w:t>
      </w:r>
    </w:p>
    <w:p w14:paraId="5C5D4CF8" w14:textId="77777777" w:rsidR="0091405A" w:rsidRPr="00F27422" w:rsidRDefault="0091405A" w:rsidP="00122B70">
      <w:pPr>
        <w:bidi/>
        <w:rPr>
          <w:b/>
          <w:bCs/>
          <w:sz w:val="32"/>
          <w:szCs w:val="32"/>
          <w:rtl/>
        </w:rPr>
      </w:pPr>
      <w:r w:rsidRPr="00F27422">
        <w:rPr>
          <w:sz w:val="32"/>
          <w:szCs w:val="32"/>
          <w:rtl/>
        </w:rPr>
        <w:t xml:space="preserve">أنّ ما أُفيد إنّما يتم لو كان المنظورُ في هذه القوانين التشريعُ القابل للتغيير والتبديل بحسب المصالح والمفاسد المستجدة والمتغيرة، كما في القوانين الوضعية؛ حيثُ إنّ التشريع مِن حين جعله مبني على قابليته للتغيير والتبديل نتيجة مواكبة هذا التشريع للمصالح والمفاسد المستجدة والمتغيرة، وحينئذٍ يكون الترجيح </w:t>
      </w:r>
      <w:proofErr w:type="spellStart"/>
      <w:r w:rsidRPr="00F27422">
        <w:rPr>
          <w:sz w:val="32"/>
          <w:szCs w:val="32"/>
          <w:rtl/>
        </w:rPr>
        <w:t>بالأحدثية</w:t>
      </w:r>
      <w:proofErr w:type="spellEnd"/>
      <w:r w:rsidRPr="00F27422">
        <w:rPr>
          <w:sz w:val="32"/>
          <w:szCs w:val="32"/>
          <w:rtl/>
        </w:rPr>
        <w:t xml:space="preserve"> على طبق المرتكزات</w:t>
      </w:r>
      <w:r w:rsidRPr="00F27422">
        <w:rPr>
          <w:sz w:val="32"/>
          <w:szCs w:val="32"/>
        </w:rPr>
        <w:t>.</w:t>
      </w:r>
    </w:p>
    <w:p w14:paraId="025EBF2F" w14:textId="77777777" w:rsidR="0091405A" w:rsidRPr="00F27422" w:rsidRDefault="0091405A" w:rsidP="00122B70">
      <w:pPr>
        <w:bidi/>
        <w:rPr>
          <w:b/>
          <w:bCs/>
          <w:sz w:val="32"/>
          <w:szCs w:val="32"/>
          <w:rtl/>
        </w:rPr>
      </w:pPr>
      <w:r w:rsidRPr="00F27422">
        <w:rPr>
          <w:sz w:val="32"/>
          <w:szCs w:val="32"/>
          <w:rtl/>
        </w:rPr>
        <w:t xml:space="preserve">بخلاف ما لو كان المنظور في هذه </w:t>
      </w:r>
      <w:proofErr w:type="spellStart"/>
      <w:r w:rsidRPr="00F27422">
        <w:rPr>
          <w:sz w:val="32"/>
          <w:szCs w:val="32"/>
          <w:rtl/>
        </w:rPr>
        <w:t>التقنينات</w:t>
      </w:r>
      <w:proofErr w:type="spellEnd"/>
      <w:r w:rsidRPr="00F27422">
        <w:rPr>
          <w:sz w:val="32"/>
          <w:szCs w:val="32"/>
          <w:rtl/>
        </w:rPr>
        <w:t xml:space="preserve"> إلى تشريعٍ صادرٍ في زمنٍ معين فلا يكون الترجيح </w:t>
      </w:r>
      <w:proofErr w:type="spellStart"/>
      <w:r w:rsidRPr="00F27422">
        <w:rPr>
          <w:sz w:val="32"/>
          <w:szCs w:val="32"/>
          <w:rtl/>
        </w:rPr>
        <w:t>بالأحدثية</w:t>
      </w:r>
      <w:proofErr w:type="spellEnd"/>
      <w:r w:rsidRPr="00F27422">
        <w:rPr>
          <w:sz w:val="32"/>
          <w:szCs w:val="32"/>
          <w:rtl/>
        </w:rPr>
        <w:t xml:space="preserve"> حينئذٍ على طبق القاعدة، كما هو في المقام؛ فإنّ المنظور في الروايات الصادرة عن المعصومين (صلوات الله عليهم أجمعين) إلى لوح التشريع الصادر عن النبي الأعظم (صلى الله عليه وآله)، فبما أنّ المنظور في كلا الخبرين - المُتقدم والمُتأخر - إلى حُكمٍ واحدٍ مجعولٍ مِن حين زمان النبي الأعظم (صلى الله عليه وآله) فلا محالة يكون الترجيح </w:t>
      </w:r>
      <w:proofErr w:type="spellStart"/>
      <w:r w:rsidRPr="00F27422">
        <w:rPr>
          <w:sz w:val="32"/>
          <w:szCs w:val="32"/>
          <w:rtl/>
        </w:rPr>
        <w:t>بالأحدثية</w:t>
      </w:r>
      <w:proofErr w:type="spellEnd"/>
      <w:r w:rsidRPr="00F27422">
        <w:rPr>
          <w:sz w:val="32"/>
          <w:szCs w:val="32"/>
          <w:rtl/>
        </w:rPr>
        <w:t xml:space="preserve"> على خلاف القاعدة؛ لأنّ كليهما بيان لحكمٍ مجعولٍ مِن قبل النبي الأعظم (صلى الله عليه وآله) في زمانٍ معين، وبما أنّهما بيانان لحكمٍ مجعولٍ في زمانٍ معينٍ وليس بياناً لتشريعٍ قابلٍ للتغيير والتبديل فلا محالة يكون الترجيح </w:t>
      </w:r>
      <w:proofErr w:type="spellStart"/>
      <w:r w:rsidRPr="00F27422">
        <w:rPr>
          <w:sz w:val="32"/>
          <w:szCs w:val="32"/>
          <w:rtl/>
        </w:rPr>
        <w:t>بالأحدثية</w:t>
      </w:r>
      <w:proofErr w:type="spellEnd"/>
      <w:r w:rsidRPr="00F27422">
        <w:rPr>
          <w:sz w:val="32"/>
          <w:szCs w:val="32"/>
          <w:rtl/>
        </w:rPr>
        <w:t xml:space="preserve"> مخالفاً للقاعدة</w:t>
      </w:r>
      <w:r w:rsidRPr="00F27422">
        <w:rPr>
          <w:sz w:val="32"/>
          <w:szCs w:val="32"/>
        </w:rPr>
        <w:t>.</w:t>
      </w:r>
    </w:p>
    <w:p w14:paraId="07D90F92" w14:textId="77777777" w:rsidR="0091405A" w:rsidRPr="00F27422" w:rsidRDefault="0091405A" w:rsidP="00122B70">
      <w:pPr>
        <w:bidi/>
        <w:rPr>
          <w:sz w:val="32"/>
          <w:szCs w:val="32"/>
          <w:rtl/>
        </w:rPr>
      </w:pPr>
      <w:r w:rsidRPr="00F27422">
        <w:rPr>
          <w:sz w:val="32"/>
          <w:szCs w:val="32"/>
          <w:rtl/>
        </w:rPr>
        <w:t>نعم، لو قيل بأنّ للمعصومين (صلوات الله عليهم أجمعين) ولايةٌ على التشريع وإنْ لَمْ يكن صادراً عن النبي الأعظم (صلى الله عليه وآله) بحدود علومهم بالمصالح والمفاسد فحينئذٍ كما يُتصور كونُ الترجيح بالأحدث على طبق القاعدة فإنّه يُتصور النسخ أيضاً، بأنْ يكون حديثهم (عليهم السلام) ناسخاً لحديث النبي الأعظم (صلى الله عليه وآله) كما هو ناسخٌ لحديث الُمتقدم منهم (عليهم السلام)، والمعروف بين علمائنا (رضوان الله تعالى عليهم) عدم المصير إلى ذلك. وقد بحثنا هذه المسألة مفصلاً في باب التعارض</w:t>
      </w:r>
      <w:r w:rsidRPr="00F27422">
        <w:rPr>
          <w:sz w:val="32"/>
          <w:szCs w:val="32"/>
        </w:rPr>
        <w:t>.</w:t>
      </w:r>
    </w:p>
    <w:p w14:paraId="2D370EF0" w14:textId="77777777" w:rsidR="0091405A" w:rsidRPr="00F27422" w:rsidRDefault="0091405A" w:rsidP="00122B70">
      <w:pPr>
        <w:bidi/>
        <w:rPr>
          <w:b/>
          <w:bCs/>
          <w:sz w:val="32"/>
          <w:szCs w:val="32"/>
          <w:rtl/>
        </w:rPr>
      </w:pPr>
      <w:r w:rsidRPr="00F27422">
        <w:rPr>
          <w:b/>
          <w:bCs/>
          <w:sz w:val="32"/>
          <w:szCs w:val="32"/>
          <w:rtl/>
        </w:rPr>
        <w:lastRenderedPageBreak/>
        <w:t>الاتجاهُ الثاني:</w:t>
      </w:r>
      <w:r w:rsidRPr="00F27422">
        <w:rPr>
          <w:sz w:val="32"/>
          <w:szCs w:val="32"/>
          <w:rtl/>
        </w:rPr>
        <w:t xml:space="preserve"> ما ذهب إليه بعض الأعلام القميين (قدس سره) في كتابه آراؤنا في أصول الفقه</w:t>
      </w:r>
      <w:r w:rsidRPr="00F27422">
        <w:rPr>
          <w:sz w:val="32"/>
          <w:szCs w:val="32"/>
          <w:vertAlign w:val="superscript"/>
          <w:rtl/>
        </w:rPr>
        <w:footnoteReference w:id="125"/>
      </w:r>
      <w:r w:rsidRPr="00F27422">
        <w:rPr>
          <w:sz w:val="32"/>
          <w:szCs w:val="32"/>
          <w:rtl/>
        </w:rPr>
        <w:t xml:space="preserve"> وفي كتابه مباني منهاج الصالحين</w:t>
      </w:r>
      <w:r w:rsidRPr="00F27422">
        <w:rPr>
          <w:sz w:val="32"/>
          <w:szCs w:val="32"/>
          <w:vertAlign w:val="superscript"/>
          <w:rtl/>
        </w:rPr>
        <w:footnoteReference w:id="126"/>
      </w:r>
      <w:r w:rsidRPr="00F27422">
        <w:rPr>
          <w:sz w:val="32"/>
          <w:szCs w:val="32"/>
          <w:rtl/>
        </w:rPr>
        <w:t xml:space="preserve"> حيثُ أفاد: بأنّ الترجيح </w:t>
      </w:r>
      <w:proofErr w:type="spellStart"/>
      <w:r w:rsidRPr="00F27422">
        <w:rPr>
          <w:sz w:val="32"/>
          <w:szCs w:val="32"/>
          <w:rtl/>
        </w:rPr>
        <w:t>بالأحدثية</w:t>
      </w:r>
      <w:proofErr w:type="spellEnd"/>
      <w:r w:rsidRPr="00F27422">
        <w:rPr>
          <w:sz w:val="32"/>
          <w:szCs w:val="32"/>
          <w:rtl/>
        </w:rPr>
        <w:t xml:space="preserve"> وإنْ كان على خلاف القاعدة إلاّ أنّه ترجيحٌ تعبدي مستفاد مِن بعض الروايات الشريفة</w:t>
      </w:r>
      <w:r w:rsidRPr="00F27422">
        <w:rPr>
          <w:sz w:val="32"/>
          <w:szCs w:val="32"/>
        </w:rPr>
        <w:t>.</w:t>
      </w:r>
    </w:p>
    <w:p w14:paraId="3444CED1" w14:textId="77777777" w:rsidR="0091405A" w:rsidRPr="00F27422" w:rsidRDefault="0091405A" w:rsidP="00122B70">
      <w:pPr>
        <w:bidi/>
        <w:rPr>
          <w:b/>
          <w:bCs/>
          <w:sz w:val="32"/>
          <w:szCs w:val="32"/>
          <w:rtl/>
        </w:rPr>
      </w:pPr>
      <w:r w:rsidRPr="00F27422">
        <w:rPr>
          <w:sz w:val="32"/>
          <w:szCs w:val="32"/>
          <w:rtl/>
        </w:rPr>
        <w:t xml:space="preserve">ومِن الروايات التي استند إليها (قدس سره) هي موثقة محمّد بن مسلم، كما في الوسائل: </w:t>
      </w:r>
      <w:r w:rsidRPr="00F27422">
        <w:rPr>
          <w:b/>
          <w:bCs/>
          <w:sz w:val="32"/>
          <w:szCs w:val="32"/>
          <w:rtl/>
        </w:rPr>
        <w:t xml:space="preserve">(وعن عدَّة من أصحابنا، عن أحمد بن محمّد، عن عثمان بن عيسى، عن أيّوب الخرّاز، عن محمّد بن مسلم، عن أبي </w:t>
      </w:r>
      <w:proofErr w:type="gramStart"/>
      <w:r w:rsidRPr="00F27422">
        <w:rPr>
          <w:b/>
          <w:bCs/>
          <w:sz w:val="32"/>
          <w:szCs w:val="32"/>
          <w:rtl/>
        </w:rPr>
        <w:t>عبدالله</w:t>
      </w:r>
      <w:proofErr w:type="gramEnd"/>
      <w:r w:rsidRPr="00F27422">
        <w:rPr>
          <w:b/>
          <w:bCs/>
          <w:sz w:val="32"/>
          <w:szCs w:val="32"/>
          <w:rtl/>
        </w:rPr>
        <w:t xml:space="preserve"> (عليه السلام) قال: قلت له: ما بال أقوام يروون عن فلان وفلان، عن رسول الله (صلى الله عليه وآله)، لا يتّهمون بالكذب، فيجيء منكم خلافه؟ قال: إنَّ الحديث ينسخ كما ينسخ القرآن)</w:t>
      </w:r>
      <w:r w:rsidRPr="00F27422">
        <w:rPr>
          <w:b/>
          <w:bCs/>
          <w:sz w:val="32"/>
          <w:szCs w:val="32"/>
          <w:vertAlign w:val="superscript"/>
          <w:rtl/>
        </w:rPr>
        <w:footnoteReference w:id="127"/>
      </w:r>
      <w:r w:rsidRPr="00F27422">
        <w:rPr>
          <w:b/>
          <w:bCs/>
          <w:sz w:val="32"/>
          <w:szCs w:val="32"/>
          <w:rtl/>
        </w:rPr>
        <w:t>.</w:t>
      </w:r>
    </w:p>
    <w:p w14:paraId="4EBEF703" w14:textId="77777777" w:rsidR="0091405A" w:rsidRPr="00F27422" w:rsidRDefault="0091405A" w:rsidP="00122B70">
      <w:pPr>
        <w:bidi/>
        <w:rPr>
          <w:b/>
          <w:bCs/>
          <w:sz w:val="32"/>
          <w:szCs w:val="32"/>
          <w:rtl/>
        </w:rPr>
      </w:pPr>
      <w:r w:rsidRPr="00F27422">
        <w:rPr>
          <w:b/>
          <w:bCs/>
          <w:sz w:val="32"/>
          <w:szCs w:val="32"/>
          <w:rtl/>
        </w:rPr>
        <w:t>وظاهرُ الحديث بدواً:</w:t>
      </w:r>
      <w:r w:rsidRPr="00F27422">
        <w:rPr>
          <w:sz w:val="32"/>
          <w:szCs w:val="32"/>
          <w:rtl/>
        </w:rPr>
        <w:t xml:space="preserve"> أنّ حديث المعصوم (عليه السلام) ناسخٌ لحديث النبي الأعظم (صلى الله عليه وآله) كما أنّ مقتضى إطلاق جواب الإمام (عليه السلام) ثبوته سواءً كان الحديثُ المُتقدم مروياً عن النبي الأكرم (صلى الله عليه وآله) أو عن إمامٍ آخر، وحيثُ إنّ نسخ ما صدر عن المعصوم (عليه السلام) لما صدر عن النبي الأعظم (صلى الله عليه وآله) باطلٌ بالضرورة فلا محالة يكون المراد مِن قوله (عليه السلام): </w:t>
      </w:r>
      <w:r w:rsidRPr="00F27422">
        <w:rPr>
          <w:b/>
          <w:bCs/>
          <w:sz w:val="32"/>
          <w:szCs w:val="32"/>
          <w:rtl/>
        </w:rPr>
        <w:t>(إنَّ الحديث ينسخ كما ينسخ القرآن)</w:t>
      </w:r>
      <w:r w:rsidRPr="00F27422">
        <w:rPr>
          <w:sz w:val="32"/>
          <w:szCs w:val="32"/>
          <w:rtl/>
        </w:rPr>
        <w:t xml:space="preserve"> يعني الترجيح </w:t>
      </w:r>
      <w:proofErr w:type="spellStart"/>
      <w:r w:rsidRPr="00F27422">
        <w:rPr>
          <w:sz w:val="32"/>
          <w:szCs w:val="32"/>
          <w:rtl/>
        </w:rPr>
        <w:t>بالأحدثية</w:t>
      </w:r>
      <w:proofErr w:type="spellEnd"/>
      <w:r w:rsidRPr="00F27422">
        <w:rPr>
          <w:sz w:val="32"/>
          <w:szCs w:val="32"/>
          <w:rtl/>
        </w:rPr>
        <w:t>، أي: أنّه لو صدر خبران متنافيان يؤخذ بالأحدث منهما، فهذا هو المقصود بالنسخ - لا النسخ الاصطلاحي -.</w:t>
      </w:r>
    </w:p>
    <w:p w14:paraId="0F171070" w14:textId="77777777" w:rsidR="0091405A" w:rsidRPr="00F27422" w:rsidRDefault="0091405A" w:rsidP="00122B70">
      <w:pPr>
        <w:bidi/>
        <w:rPr>
          <w:b/>
          <w:bCs/>
          <w:sz w:val="32"/>
          <w:szCs w:val="32"/>
          <w:rtl/>
        </w:rPr>
      </w:pPr>
      <w:r w:rsidRPr="00F27422">
        <w:rPr>
          <w:sz w:val="32"/>
          <w:szCs w:val="32"/>
          <w:rtl/>
        </w:rPr>
        <w:t>نعم، لو كان الحديث المُتقدم مقطوع الصدور عن النبي (صلى الله عليه وآله) فبمقتضى أنّ ضرورة المذهب عدم إمكان نسخ القطعي بالظني رفعُ اليد عن إطلاق الموثقة لهذا الفرض وهو فرض كون الحديث المُتقدم مقطوعُ الصدور</w:t>
      </w:r>
      <w:r w:rsidRPr="00F27422">
        <w:rPr>
          <w:sz w:val="32"/>
          <w:szCs w:val="32"/>
        </w:rPr>
        <w:t>.</w:t>
      </w:r>
    </w:p>
    <w:p w14:paraId="02DE487F" w14:textId="77777777" w:rsidR="0091405A" w:rsidRPr="00F27422" w:rsidRDefault="0091405A" w:rsidP="00122B70">
      <w:pPr>
        <w:bidi/>
        <w:rPr>
          <w:b/>
          <w:bCs/>
          <w:sz w:val="32"/>
          <w:szCs w:val="32"/>
          <w:rtl/>
        </w:rPr>
      </w:pPr>
      <w:r w:rsidRPr="00F27422">
        <w:rPr>
          <w:sz w:val="32"/>
          <w:szCs w:val="32"/>
          <w:rtl/>
        </w:rPr>
        <w:t xml:space="preserve">وهذا الكلامُ منه (قدس سره) في مقابل كلام سيدنا الخوئي (قدس سره الشريف) حيثُ حمل الرواية على التخصيص والتقييد، كما ذكر ذلك في موسوعته المباركة في مصباح الأصول بقوله: </w:t>
      </w:r>
      <w:r w:rsidRPr="00F27422">
        <w:rPr>
          <w:b/>
          <w:bCs/>
          <w:sz w:val="32"/>
          <w:szCs w:val="32"/>
          <w:rtl/>
        </w:rPr>
        <w:t xml:space="preserve">(أمّا الرواية الاُولى، فلا يصح التمسك بها للترجيح، إذ لو كان المراد من النسخ في هذه الرواية هو النسخ الاصطلاحي - بناءً على إمكانه بعد انقطاع الوحي أيضاً، لكونه بمعنى بيان أمد الحكم لا ارتفاع الحكم المستمر - فلا بدّ من أن يكون المراد من الحديث الناسخ للحديث النبوي مقطوع الصدور، فان ضرورة المذهب قاضية بعدم نسخ الكتّاب والسنّة بالخبر الظني، بل هذا مما اتفق عليه الفريقان. </w:t>
      </w:r>
      <w:proofErr w:type="spellStart"/>
      <w:r w:rsidRPr="00F27422">
        <w:rPr>
          <w:b/>
          <w:bCs/>
          <w:sz w:val="32"/>
          <w:szCs w:val="32"/>
          <w:rtl/>
        </w:rPr>
        <w:t>فاذن</w:t>
      </w:r>
      <w:proofErr w:type="spellEnd"/>
      <w:r w:rsidRPr="00F27422">
        <w:rPr>
          <w:b/>
          <w:bCs/>
          <w:sz w:val="32"/>
          <w:szCs w:val="32"/>
          <w:rtl/>
        </w:rPr>
        <w:t xml:space="preserve"> لو كان المراد من النسخ هو النسخ </w:t>
      </w:r>
      <w:r w:rsidRPr="00F27422">
        <w:rPr>
          <w:b/>
          <w:bCs/>
          <w:sz w:val="32"/>
          <w:szCs w:val="32"/>
          <w:rtl/>
        </w:rPr>
        <w:lastRenderedPageBreak/>
        <w:t xml:space="preserve">الاصطلاحي، فلا بدّ من أن يكون المراد من الناسخ المقطوع الصدور، وهو خارج عن محل الكلام. وإن كان المراد من النسخ معناه اللغوي ليشمل التخصيص والتقييد - كما قد اُطلق عليهما في بعض الأخبار - فكان المراد تخصيص العموم المروي عن النبي (صلّى اللََّه عليه وآله) بالمخصص المروي عن الإمام (عليه السلام) أو تقييده به، ولا مانع </w:t>
      </w:r>
      <w:proofErr w:type="gramStart"/>
      <w:r w:rsidRPr="00F27422">
        <w:rPr>
          <w:b/>
          <w:bCs/>
          <w:sz w:val="32"/>
          <w:szCs w:val="32"/>
          <w:rtl/>
        </w:rPr>
        <w:t>منه</w:t>
      </w:r>
      <w:proofErr w:type="gramEnd"/>
      <w:r w:rsidRPr="00F27422">
        <w:rPr>
          <w:b/>
          <w:bCs/>
          <w:sz w:val="32"/>
          <w:szCs w:val="32"/>
          <w:rtl/>
        </w:rPr>
        <w:t xml:space="preserve"> ولكنّه</w:t>
      </w:r>
      <w:r w:rsidRPr="00F27422">
        <w:rPr>
          <w:sz w:val="32"/>
          <w:szCs w:val="32"/>
          <w:rtl/>
        </w:rPr>
        <w:t xml:space="preserve"> </w:t>
      </w:r>
      <w:r w:rsidRPr="00F27422">
        <w:rPr>
          <w:b/>
          <w:bCs/>
          <w:sz w:val="32"/>
          <w:szCs w:val="32"/>
          <w:rtl/>
        </w:rPr>
        <w:t>أيضاً خارج عن محل الكلام، لأنّ الكلام في المتعارضين اللذين لا يكون بينهما جمع عرفي كما تقدّم</w:t>
      </w:r>
      <w:r w:rsidRPr="00F27422">
        <w:rPr>
          <w:b/>
          <w:bCs/>
          <w:sz w:val="32"/>
          <w:szCs w:val="32"/>
        </w:rPr>
        <w:t>‌</w:t>
      </w:r>
      <w:r w:rsidRPr="00F27422">
        <w:rPr>
          <w:b/>
          <w:bCs/>
          <w:sz w:val="32"/>
          <w:szCs w:val="32"/>
          <w:rtl/>
        </w:rPr>
        <w:t>)</w:t>
      </w:r>
      <w:r w:rsidRPr="00F27422">
        <w:rPr>
          <w:b/>
          <w:bCs/>
          <w:sz w:val="32"/>
          <w:szCs w:val="32"/>
          <w:vertAlign w:val="superscript"/>
          <w:rtl/>
        </w:rPr>
        <w:footnoteReference w:id="128"/>
      </w:r>
      <w:r w:rsidRPr="00F27422">
        <w:rPr>
          <w:b/>
          <w:bCs/>
          <w:sz w:val="32"/>
          <w:szCs w:val="32"/>
          <w:rtl/>
        </w:rPr>
        <w:t>.</w:t>
      </w:r>
    </w:p>
    <w:p w14:paraId="248FDF45" w14:textId="77777777" w:rsidR="0091405A" w:rsidRPr="00F27422" w:rsidRDefault="0091405A" w:rsidP="00122B70">
      <w:pPr>
        <w:bidi/>
        <w:rPr>
          <w:b/>
          <w:bCs/>
          <w:sz w:val="32"/>
          <w:szCs w:val="32"/>
          <w:rtl/>
        </w:rPr>
      </w:pPr>
      <w:r w:rsidRPr="00F27422">
        <w:rPr>
          <w:sz w:val="32"/>
          <w:szCs w:val="32"/>
          <w:rtl/>
        </w:rPr>
        <w:t>وحاصلُ كلام سيدنا الخوئي (قدس سره): أنّ الرواية ذكرت "النسخ"، فإمّا أنْ يُراد بـ "النسخ" هو النسخ الاصطلاحي وهو باطلٌ بالضرورة؛ إذ لا يُتصور نسخ ما يصدر عن المعصوم (عليه السلام) لما صدر عن النبي الأعظم (صلى الله عليه وآله)، فلا محالة يحمل على النسخ اللغوي بمعنى التقييد والتخصيص، أي: يكون المُتأخر مقيداً أو مخصصاً للمُتقدم</w:t>
      </w:r>
      <w:r w:rsidRPr="00F27422">
        <w:rPr>
          <w:sz w:val="32"/>
          <w:szCs w:val="32"/>
        </w:rPr>
        <w:t>.</w:t>
      </w:r>
    </w:p>
    <w:p w14:paraId="3E751736" w14:textId="77777777" w:rsidR="0091405A" w:rsidRPr="00F27422" w:rsidRDefault="0091405A" w:rsidP="00122B70">
      <w:pPr>
        <w:bidi/>
        <w:rPr>
          <w:b/>
          <w:bCs/>
          <w:sz w:val="32"/>
          <w:szCs w:val="32"/>
          <w:rtl/>
        </w:rPr>
      </w:pPr>
      <w:r w:rsidRPr="00F27422">
        <w:rPr>
          <w:sz w:val="32"/>
          <w:szCs w:val="32"/>
          <w:rtl/>
        </w:rPr>
        <w:t>ففي مقابل ما ذكره سيدنا الخوئي (قدس سره الشريف) ذكر تلميذه (قدس سره) في مباني منهاج الصالحين أنّه لا موجب للحمل على المعنى اللغوي - وهو التقييد أو التخصيص – بل المقصود بالنسخ أنّ الأحدث مُقدمٌ في مقام الحجية على السابق</w:t>
      </w:r>
      <w:r w:rsidRPr="00F27422">
        <w:rPr>
          <w:sz w:val="32"/>
          <w:szCs w:val="32"/>
        </w:rPr>
        <w:t>.</w:t>
      </w:r>
    </w:p>
    <w:p w14:paraId="2D08457D" w14:textId="77777777" w:rsidR="0091405A" w:rsidRPr="00F27422" w:rsidRDefault="0091405A" w:rsidP="00122B70">
      <w:pPr>
        <w:bidi/>
        <w:rPr>
          <w:b/>
          <w:bCs/>
          <w:sz w:val="32"/>
          <w:szCs w:val="32"/>
          <w:rtl/>
        </w:rPr>
      </w:pPr>
      <w:r w:rsidRPr="00F27422">
        <w:rPr>
          <w:b/>
          <w:bCs/>
          <w:sz w:val="32"/>
          <w:szCs w:val="32"/>
          <w:rtl/>
        </w:rPr>
        <w:t>ويلاحظ عليه</w:t>
      </w:r>
      <w:r w:rsidRPr="00F27422">
        <w:rPr>
          <w:b/>
          <w:bCs/>
          <w:sz w:val="32"/>
          <w:szCs w:val="32"/>
        </w:rPr>
        <w:t>:</w:t>
      </w:r>
    </w:p>
    <w:p w14:paraId="315EA234" w14:textId="77777777" w:rsidR="0091405A" w:rsidRPr="00F27422" w:rsidRDefault="0091405A" w:rsidP="00122B70">
      <w:pPr>
        <w:bidi/>
        <w:rPr>
          <w:b/>
          <w:bCs/>
          <w:sz w:val="32"/>
          <w:szCs w:val="32"/>
          <w:rtl/>
        </w:rPr>
      </w:pPr>
      <w:r w:rsidRPr="00F27422">
        <w:rPr>
          <w:sz w:val="32"/>
          <w:szCs w:val="32"/>
          <w:rtl/>
        </w:rPr>
        <w:t>أنّ هذه الرواية ليستْ في مقام البيان مِن جهة ترجيح المُتأخر على المُتقدم في الحجية، فإنّ ظاهر سياقها واضحُ الدلالة في أنّ الخبر المُتأخر مخالفٌ لخبرٍ موثوقٍ بصدوره عن النبي الأكرم (صلى الله عليه وآله) لرواية الثقات عنه، فهي ظاهرةٌ في النسخ لا في ترجيح أحد خبرين على الآخر.</w:t>
      </w:r>
    </w:p>
    <w:p w14:paraId="16817DE9" w14:textId="77777777" w:rsidR="0091405A" w:rsidRPr="00F27422" w:rsidRDefault="0091405A" w:rsidP="00122B70">
      <w:pPr>
        <w:bidi/>
        <w:rPr>
          <w:b/>
          <w:bCs/>
          <w:sz w:val="32"/>
          <w:szCs w:val="32"/>
          <w:rtl/>
        </w:rPr>
      </w:pPr>
      <w:r w:rsidRPr="00F27422">
        <w:rPr>
          <w:b/>
          <w:bCs/>
          <w:sz w:val="32"/>
          <w:szCs w:val="32"/>
          <w:rtl/>
        </w:rPr>
        <w:t>فإنْ قيل:</w:t>
      </w:r>
      <w:r w:rsidRPr="00F27422">
        <w:rPr>
          <w:sz w:val="32"/>
          <w:szCs w:val="32"/>
          <w:rtl/>
        </w:rPr>
        <w:t xml:space="preserve"> باستمرار التشريع لزمان المعصومين (صلوات الله عليه أجمعين) وأنّ لهم الولاية على التشريع كما أنّ للنبي الأعظم (صلى الله عليه وآله) الولاية على التشريع، فهو نسخٌ حقيقي</w:t>
      </w:r>
      <w:r w:rsidRPr="00F27422">
        <w:rPr>
          <w:sz w:val="32"/>
          <w:szCs w:val="32"/>
        </w:rPr>
        <w:t>.</w:t>
      </w:r>
    </w:p>
    <w:p w14:paraId="00C7FF08" w14:textId="77777777" w:rsidR="0091405A" w:rsidRPr="00F27422" w:rsidRDefault="0091405A" w:rsidP="00122B70">
      <w:pPr>
        <w:bidi/>
        <w:rPr>
          <w:b/>
          <w:bCs/>
          <w:sz w:val="32"/>
          <w:szCs w:val="32"/>
          <w:rtl/>
        </w:rPr>
      </w:pPr>
      <w:r w:rsidRPr="00F27422">
        <w:rPr>
          <w:b/>
          <w:bCs/>
          <w:sz w:val="32"/>
          <w:szCs w:val="32"/>
          <w:rtl/>
        </w:rPr>
        <w:t>وإنْ قيل:</w:t>
      </w:r>
      <w:r w:rsidRPr="00F27422">
        <w:rPr>
          <w:sz w:val="32"/>
          <w:szCs w:val="32"/>
          <w:rtl/>
        </w:rPr>
        <w:t xml:space="preserve"> بانتهاء زمان التشريع برحيل النبي الأكرم (صلى الله عليه وآله) كما هو ظاهرُ بعض الروايات الشريفة، منها ما رواه الشيخ الكليني (عليه الرحمة) عن أبي بصير، كما في الكافي</w:t>
      </w:r>
      <w:r w:rsidRPr="00F27422">
        <w:rPr>
          <w:sz w:val="32"/>
          <w:szCs w:val="32"/>
        </w:rPr>
        <w:t>:</w:t>
      </w:r>
    </w:p>
    <w:p w14:paraId="138F8FE7" w14:textId="77777777" w:rsidR="0091405A" w:rsidRPr="00F27422" w:rsidRDefault="0091405A" w:rsidP="00122B70">
      <w:pPr>
        <w:bidi/>
        <w:rPr>
          <w:b/>
          <w:bCs/>
          <w:sz w:val="32"/>
          <w:szCs w:val="32"/>
          <w:rtl/>
        </w:rPr>
      </w:pPr>
      <w:r w:rsidRPr="00F27422">
        <w:rPr>
          <w:b/>
          <w:bCs/>
          <w:sz w:val="32"/>
          <w:szCs w:val="32"/>
          <w:rtl/>
        </w:rPr>
        <w:lastRenderedPageBreak/>
        <w:t>(عِدَّةٌ مِنْ أَصْحَابِنَا، عَنْ أَحْمَدَ بْنِ مُحَمَّدٍ، عَنْ عَبْدِ اللَّهِ بْنِ الْحَجَّالِ، عَنْ أَحْمَدَ بْنِ</w:t>
      </w:r>
      <w:r w:rsidRPr="00F27422">
        <w:rPr>
          <w:b/>
          <w:bCs/>
          <w:sz w:val="32"/>
          <w:szCs w:val="32"/>
        </w:rPr>
        <w:t>‌</w:t>
      </w:r>
      <w:r w:rsidRPr="00F27422">
        <w:rPr>
          <w:b/>
          <w:bCs/>
          <w:sz w:val="32"/>
          <w:szCs w:val="32"/>
          <w:rtl/>
        </w:rPr>
        <w:t xml:space="preserve"> عُمَرَ الْحَلَبِيِّ، عَنْ أَبِي بَصِيرٍ قَالَ: دَخَلْتُ عَلَى أَبِي عَبْدِ اللَّهِ (عليه السلام) فَقُلْتُ لَهُ: جُعِلْتُ فِدَاكَ إِنِّي أَسْأَلُكَ عَنْ مَسْأَلَةٍ هَاهُنَا أَحَدٌ يَسْمَعُ كَلَامِي</w:t>
      </w:r>
      <w:r w:rsidRPr="00F27422">
        <w:rPr>
          <w:b/>
          <w:bCs/>
          <w:sz w:val="32"/>
          <w:szCs w:val="32"/>
        </w:rPr>
        <w:t>‌</w:t>
      </w:r>
      <w:r w:rsidRPr="00F27422">
        <w:rPr>
          <w:b/>
          <w:bCs/>
          <w:sz w:val="32"/>
          <w:szCs w:val="32"/>
          <w:rtl/>
        </w:rPr>
        <w:t>، قَالَ فَرَفَعَ أَبُو عَبْدِ اللَّهِ (عليه السلام) سِتْراً بَيْنَهُ وَبَيْنَ بَيْتٍ آخَرَ فَاطَّلَعَ فِيهِ ثُمَّ قَالَ: يَا أَبَا مُحَمَّدٍ سَلْ عَمَّا بَدَا لَكَ، قَالَ: قُلْتُ: جُعِلْتُ فِدَاكَ إِنَّ شِيعَتَكَ يَتَحَدَّثُونَ أَنَّ رَسُولَ اللَّهِ (صلى الله عليه وآله) عَلَّمَ عَلِيّاً (عليه السلام) بَاباً يُفْتَحُ لَهُ مِنْهُ أَلْفُ بَابٍ؟ قَالَ: فَقَالَ: يَا أَبَا مُحَمَّدٍ عَلَّمَ رَسُولُ اللَّهِ (صلى الله عليه وآله) عَلِيّاً (عليه السلام) أَلْفَ بَابٍ يُفْتَحُ مِنْ كُلِّ بَابٍ أَلْفُ بَابٍ، قَالَ: قُلْتُ: هَذَا وَاللَّهِ</w:t>
      </w:r>
      <w:r w:rsidRPr="00F27422">
        <w:rPr>
          <w:sz w:val="32"/>
          <w:szCs w:val="32"/>
          <w:rtl/>
        </w:rPr>
        <w:t xml:space="preserve"> </w:t>
      </w:r>
      <w:r w:rsidRPr="00F27422">
        <w:rPr>
          <w:b/>
          <w:bCs/>
          <w:sz w:val="32"/>
          <w:szCs w:val="32"/>
          <w:rtl/>
        </w:rPr>
        <w:t>الْعِلْمُ،</w:t>
      </w:r>
      <w:r w:rsidRPr="00F27422">
        <w:rPr>
          <w:sz w:val="32"/>
          <w:szCs w:val="32"/>
          <w:rtl/>
        </w:rPr>
        <w:t xml:space="preserve"> </w:t>
      </w:r>
      <w:r w:rsidRPr="00F27422">
        <w:rPr>
          <w:b/>
          <w:bCs/>
          <w:sz w:val="32"/>
          <w:szCs w:val="32"/>
          <w:rtl/>
        </w:rPr>
        <w:t>قَالَ: فَنَكَتَ سَاعَةً فِي الْأَرْضِ ثُمَّ قَالَ: إِنَّهُ لَعِلْمٌ وَمَا هُوَ بِذَاكَ، قَالَ: ثُمَّ قَالَ: يَا أَبَا مُحَمَّدٍ وَإِنَّ عِنْدَنَا الْجَامِعَةَ وَمَا يُدْرِيهِمْ مَا الْجَامِعَةُ، قَالَ: قُلْتُ: جُعِلْتُ فِدَاكَ وَمَا الْجَامِعَةُ؟ قَالَ: صَحِيفَةٌ طُولُهَا سَبْعُونَ ذِرَاعاً بِذِرَاعِ رَسُولِ اللَّهِ (صلى الله عليه وآله) وَإِمْلَائِهِ</w:t>
      </w:r>
      <w:r w:rsidRPr="00F27422">
        <w:rPr>
          <w:b/>
          <w:bCs/>
          <w:sz w:val="32"/>
          <w:szCs w:val="32"/>
        </w:rPr>
        <w:t>‌</w:t>
      </w:r>
      <w:r w:rsidRPr="00F27422">
        <w:rPr>
          <w:b/>
          <w:bCs/>
          <w:sz w:val="32"/>
          <w:szCs w:val="32"/>
          <w:rtl/>
        </w:rPr>
        <w:t xml:space="preserve"> مِنْ فَلْقِ فِيهِ وَخَطِّ عَلِيٍّ بِيَمِينِهِ، فِيهَا كُلُّ حَلَالٍ وَحَرَامٍ وَكُلُّ شَيْ</w:t>
      </w:r>
      <w:r w:rsidRPr="00F27422">
        <w:rPr>
          <w:b/>
          <w:bCs/>
          <w:sz w:val="32"/>
          <w:szCs w:val="32"/>
        </w:rPr>
        <w:t>‌</w:t>
      </w:r>
      <w:r w:rsidRPr="00F27422">
        <w:rPr>
          <w:b/>
          <w:bCs/>
          <w:sz w:val="32"/>
          <w:szCs w:val="32"/>
          <w:rtl/>
        </w:rPr>
        <w:t>ءٍ يَحْتَاجُ النَّاسُ إِلَيْهِ حَتَّى الْأَرْشُ فِي الْخَدْشِ، وَضَرَبَ بِيَدِهِ إِلَيَّ فَقَالَ: تَأْذَنُ لِي</w:t>
      </w:r>
      <w:r w:rsidRPr="00F27422">
        <w:rPr>
          <w:b/>
          <w:bCs/>
          <w:sz w:val="32"/>
          <w:szCs w:val="32"/>
        </w:rPr>
        <w:t>‌</w:t>
      </w:r>
      <w:r w:rsidRPr="00F27422">
        <w:rPr>
          <w:b/>
          <w:bCs/>
          <w:sz w:val="32"/>
          <w:szCs w:val="32"/>
          <w:rtl/>
        </w:rPr>
        <w:t xml:space="preserve"> يَا أَبَا مُحَمَّدٍ؟ قَالَ: قُلْتُ: جُعِلْتُ فِدَاكَ إِنَّمَا أَنَا لَكَ فَاصْنَعْ مَا شِئْتَ، قَالَ: فَغَمَزَنِي بِيَدِهِ وَقَالَ: حَتَّى أَرْشُ هَذَا كَأَنَّهُ مُغْضَبٌ، قَالَ: قُلْتُ: هَذَا وَاللَّهِ الْعِلْمُ</w:t>
      </w:r>
      <w:r w:rsidRPr="00F27422">
        <w:rPr>
          <w:b/>
          <w:bCs/>
          <w:sz w:val="32"/>
          <w:szCs w:val="32"/>
        </w:rPr>
        <w:t>‌</w:t>
      </w:r>
      <w:r w:rsidRPr="00F27422">
        <w:rPr>
          <w:b/>
          <w:bCs/>
          <w:sz w:val="32"/>
          <w:szCs w:val="32"/>
          <w:rtl/>
        </w:rPr>
        <w:t xml:space="preserve">، قَالَ: إِنَّهُ لَعِلْمٌ وَلَيْسَ بِذَاكَ... </w:t>
      </w:r>
      <w:proofErr w:type="spellStart"/>
      <w:r w:rsidRPr="00F27422">
        <w:rPr>
          <w:b/>
          <w:bCs/>
          <w:sz w:val="32"/>
          <w:szCs w:val="32"/>
          <w:rtl/>
        </w:rPr>
        <w:t>ألخ</w:t>
      </w:r>
      <w:proofErr w:type="spellEnd"/>
      <w:r w:rsidRPr="00F27422">
        <w:rPr>
          <w:b/>
          <w:bCs/>
          <w:sz w:val="32"/>
          <w:szCs w:val="32"/>
          <w:rtl/>
        </w:rPr>
        <w:t>)</w:t>
      </w:r>
      <w:r w:rsidRPr="00F27422">
        <w:rPr>
          <w:b/>
          <w:bCs/>
          <w:sz w:val="32"/>
          <w:szCs w:val="32"/>
          <w:vertAlign w:val="superscript"/>
          <w:rtl/>
        </w:rPr>
        <w:footnoteReference w:id="129"/>
      </w:r>
      <w:r w:rsidRPr="00F27422">
        <w:rPr>
          <w:b/>
          <w:bCs/>
          <w:sz w:val="32"/>
          <w:szCs w:val="32"/>
          <w:rtl/>
        </w:rPr>
        <w:t>.</w:t>
      </w:r>
    </w:p>
    <w:p w14:paraId="05905B07" w14:textId="77777777" w:rsidR="0091405A" w:rsidRPr="00F27422" w:rsidRDefault="0091405A" w:rsidP="00122B70">
      <w:pPr>
        <w:bidi/>
        <w:rPr>
          <w:b/>
          <w:bCs/>
          <w:sz w:val="32"/>
          <w:szCs w:val="32"/>
          <w:rtl/>
        </w:rPr>
      </w:pPr>
      <w:r w:rsidRPr="00F27422">
        <w:rPr>
          <w:sz w:val="32"/>
          <w:szCs w:val="32"/>
          <w:rtl/>
        </w:rPr>
        <w:t>حيثُ إنّ ظاهر الرواية الشريفة أنّ التشريع اكتمل في زمان النبي الأعظم (صلى الله عليه وآله) فما صدر عنهم (عليهم السلام) بيانٌ لذلك اللوح التشريعي المكتمل منذ زمان النبي (صلى الله عليه وآله)، وبما أنّه بيانٌ فلا يُتصور نسخٌ مِن حديثهم (عليهم السلام) لحديث النبي (صلى الله عليه وآله)</w:t>
      </w:r>
      <w:r w:rsidRPr="00F27422">
        <w:rPr>
          <w:sz w:val="32"/>
          <w:szCs w:val="32"/>
        </w:rPr>
        <w:t>.</w:t>
      </w:r>
    </w:p>
    <w:p w14:paraId="0E00CCD0" w14:textId="77777777" w:rsidR="0091405A" w:rsidRPr="00F27422" w:rsidRDefault="0091405A" w:rsidP="00122B70">
      <w:pPr>
        <w:bidi/>
        <w:rPr>
          <w:b/>
          <w:bCs/>
          <w:sz w:val="32"/>
          <w:szCs w:val="32"/>
          <w:rtl/>
        </w:rPr>
      </w:pPr>
      <w:r w:rsidRPr="00F27422">
        <w:rPr>
          <w:sz w:val="32"/>
          <w:szCs w:val="32"/>
          <w:rtl/>
        </w:rPr>
        <w:t xml:space="preserve">وحيثُ إنّ حمل النسخ على التخصيص والتقييد أيضاً خلافُ الظاهر، فالمتعين هو حمل مفاد الرواية الشريفة على أنّ المُتأخر بيان لما هو الناسخ الصادر عن النبي الأعظم (صلى الله عليه وآله) نفسه، أو بيان للوظيفة الفعلية للمستفتي، لا مِن باب النسخ ولا التخصيص ولا الترجيح </w:t>
      </w:r>
      <w:proofErr w:type="spellStart"/>
      <w:r w:rsidRPr="00F27422">
        <w:rPr>
          <w:sz w:val="32"/>
          <w:szCs w:val="32"/>
          <w:rtl/>
        </w:rPr>
        <w:t>بالأحدثية</w:t>
      </w:r>
      <w:proofErr w:type="spellEnd"/>
      <w:r w:rsidRPr="00F27422">
        <w:rPr>
          <w:sz w:val="32"/>
          <w:szCs w:val="32"/>
          <w:rtl/>
        </w:rPr>
        <w:t xml:space="preserve"> </w:t>
      </w:r>
      <w:proofErr w:type="gramStart"/>
      <w:r w:rsidRPr="00F27422">
        <w:rPr>
          <w:sz w:val="32"/>
          <w:szCs w:val="32"/>
          <w:rtl/>
        </w:rPr>
        <w:t>تعبداً .</w:t>
      </w:r>
      <w:proofErr w:type="gramEnd"/>
    </w:p>
    <w:p w14:paraId="4FBDF84D" w14:textId="77777777" w:rsidR="0091405A" w:rsidRPr="00F27422" w:rsidRDefault="0091405A" w:rsidP="00122B70">
      <w:pPr>
        <w:bidi/>
        <w:rPr>
          <w:sz w:val="32"/>
          <w:szCs w:val="32"/>
          <w:rtl/>
        </w:rPr>
      </w:pPr>
    </w:p>
    <w:p w14:paraId="45EB9506" w14:textId="77777777" w:rsidR="0091405A" w:rsidRPr="00F27422" w:rsidRDefault="0091405A" w:rsidP="00122B70">
      <w:pPr>
        <w:bidi/>
        <w:rPr>
          <w:b/>
          <w:bCs/>
          <w:sz w:val="32"/>
          <w:szCs w:val="32"/>
          <w:rtl/>
        </w:rPr>
      </w:pPr>
      <w:r w:rsidRPr="00F27422">
        <w:rPr>
          <w:b/>
          <w:bCs/>
          <w:sz w:val="32"/>
          <w:szCs w:val="32"/>
          <w:rtl/>
        </w:rPr>
        <w:t>والحمد لله رب العالمين</w:t>
      </w:r>
    </w:p>
    <w:p w14:paraId="5250010F" w14:textId="77777777" w:rsidR="004D3D8B" w:rsidRPr="00F27422" w:rsidRDefault="004D3D8B" w:rsidP="00122B70">
      <w:pPr>
        <w:bidi/>
        <w:rPr>
          <w:sz w:val="32"/>
          <w:szCs w:val="32"/>
          <w:rtl/>
        </w:rPr>
      </w:pPr>
    </w:p>
    <w:p w14:paraId="7F3D40CF" w14:textId="7C456325" w:rsidR="0091405A" w:rsidRPr="00F27422" w:rsidRDefault="0091405A" w:rsidP="00122B70">
      <w:pPr>
        <w:pStyle w:val="Heading3"/>
        <w:bidi/>
        <w:rPr>
          <w:sz w:val="32"/>
          <w:szCs w:val="32"/>
          <w:rtl/>
        </w:rPr>
      </w:pPr>
      <w:r w:rsidRPr="00F27422">
        <w:rPr>
          <w:rFonts w:hint="cs"/>
          <w:sz w:val="32"/>
          <w:szCs w:val="32"/>
          <w:rtl/>
        </w:rPr>
        <w:t>085</w:t>
      </w:r>
    </w:p>
    <w:p w14:paraId="25B0C4FD" w14:textId="77777777" w:rsidR="0058696A" w:rsidRPr="00F27422" w:rsidRDefault="0058696A"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0981DE21" w14:textId="77777777" w:rsidR="0058696A" w:rsidRPr="00F27422" w:rsidRDefault="0058696A"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56333EA6"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lastRenderedPageBreak/>
        <w:t>واللعن الدائم على أعدائهم أجمعين إلى قيام يوم الدين</w:t>
      </w:r>
    </w:p>
    <w:p w14:paraId="06F75C05" w14:textId="77777777" w:rsidR="0058696A" w:rsidRPr="00F27422" w:rsidRDefault="0058696A" w:rsidP="00122B70">
      <w:pPr>
        <w:pStyle w:val="a"/>
        <w:bidi/>
        <w:spacing w:line="216" w:lineRule="auto"/>
        <w:jc w:val="left"/>
        <w:rPr>
          <w:rFonts w:ascii="mylotus" w:hAnsi="mylotus"/>
          <w:sz w:val="32"/>
          <w:rtl/>
        </w:rPr>
      </w:pPr>
    </w:p>
    <w:p w14:paraId="5A91ED01" w14:textId="77777777" w:rsidR="0058696A" w:rsidRPr="00F27422" w:rsidRDefault="0058696A" w:rsidP="00122B70">
      <w:pPr>
        <w:pStyle w:val="a"/>
        <w:bidi/>
        <w:spacing w:line="216" w:lineRule="auto"/>
        <w:jc w:val="left"/>
        <w:rPr>
          <w:rFonts w:ascii="mylotus" w:hAnsi="mylotus"/>
          <w:b/>
          <w:bCs/>
          <w:sz w:val="32"/>
          <w:rtl/>
        </w:rPr>
      </w:pPr>
      <w:r w:rsidRPr="00F27422">
        <w:rPr>
          <w:rFonts w:ascii="mylotus" w:hAnsi="mylotus"/>
          <w:b/>
          <w:bCs/>
          <w:sz w:val="32"/>
          <w:rtl/>
        </w:rPr>
        <w:t xml:space="preserve">وحاصلُ مناقشة سيدنا الخوئي (قدس سره الشريف) لما دلّ على الترجيح </w:t>
      </w:r>
      <w:proofErr w:type="spellStart"/>
      <w:r w:rsidRPr="00F27422">
        <w:rPr>
          <w:rFonts w:ascii="mylotus" w:hAnsi="mylotus"/>
          <w:b/>
          <w:bCs/>
          <w:sz w:val="32"/>
          <w:rtl/>
        </w:rPr>
        <w:t>بالأحدثية</w:t>
      </w:r>
      <w:proofErr w:type="spellEnd"/>
      <w:r w:rsidRPr="00F27422">
        <w:rPr>
          <w:rFonts w:ascii="mylotus" w:hAnsi="mylotus"/>
          <w:b/>
          <w:bCs/>
          <w:sz w:val="32"/>
          <w:rtl/>
        </w:rPr>
        <w:t>:</w:t>
      </w:r>
    </w:p>
    <w:p w14:paraId="2B3E1A41"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sz w:val="32"/>
          <w:rtl/>
        </w:rPr>
        <w:t>أن</w:t>
      </w:r>
      <w:r w:rsidRPr="00F27422">
        <w:rPr>
          <w:rFonts w:ascii="mylotus" w:hAnsi="mylotus" w:hint="cs"/>
          <w:sz w:val="32"/>
          <w:rtl/>
        </w:rPr>
        <w:t>ّ</w:t>
      </w:r>
      <w:r w:rsidRPr="00F27422">
        <w:rPr>
          <w:rFonts w:ascii="mylotus" w:hAnsi="mylotus"/>
          <w:sz w:val="32"/>
          <w:rtl/>
        </w:rPr>
        <w:t xml:space="preserve"> لازم الروايات الدالة على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طرح روايات الترجيح بالشهرة وموافقة الكتاب ومخالفة العامّة؛ وذلك لأنّ الخبرين المتعارضين إمّا أن يكونا معلومي التاريخ أو مجهولي التاريخ</w:t>
      </w:r>
      <w:r w:rsidRPr="00F27422">
        <w:rPr>
          <w:rFonts w:ascii="mylotus" w:hAnsi="mylotus" w:hint="cs"/>
          <w:sz w:val="32"/>
          <w:rtl/>
        </w:rPr>
        <w:t>.</w:t>
      </w:r>
    </w:p>
    <w:p w14:paraId="0881EFC1"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sz w:val="32"/>
          <w:rtl/>
        </w:rPr>
        <w:t xml:space="preserve">فإنْ كانا معلومي التاريخ فمقتضى روايات </w:t>
      </w:r>
      <w:proofErr w:type="spellStart"/>
      <w:r w:rsidRPr="00F27422">
        <w:rPr>
          <w:rFonts w:ascii="mylotus" w:hAnsi="mylotus"/>
          <w:sz w:val="32"/>
          <w:rtl/>
        </w:rPr>
        <w:t>الأحدثية</w:t>
      </w:r>
      <w:proofErr w:type="spellEnd"/>
      <w:r w:rsidRPr="00F27422">
        <w:rPr>
          <w:rFonts w:ascii="mylotus" w:hAnsi="mylotus"/>
          <w:sz w:val="32"/>
          <w:rtl/>
        </w:rPr>
        <w:t xml:space="preserve"> الأخذ </w:t>
      </w:r>
      <w:proofErr w:type="spellStart"/>
      <w:r w:rsidRPr="00F27422">
        <w:rPr>
          <w:rFonts w:ascii="mylotus" w:hAnsi="mylotus"/>
          <w:sz w:val="32"/>
          <w:rtl/>
        </w:rPr>
        <w:t>بأحدثهما</w:t>
      </w:r>
      <w:proofErr w:type="spellEnd"/>
      <w:r w:rsidRPr="00F27422">
        <w:rPr>
          <w:rFonts w:ascii="mylotus" w:hAnsi="mylotus"/>
          <w:sz w:val="32"/>
          <w:rtl/>
        </w:rPr>
        <w:t xml:space="preserve"> </w:t>
      </w:r>
      <w:r w:rsidRPr="00F27422">
        <w:rPr>
          <w:rFonts w:ascii="mylotus" w:hAnsi="mylotus" w:hint="cs"/>
          <w:sz w:val="32"/>
          <w:rtl/>
        </w:rPr>
        <w:t xml:space="preserve">- </w:t>
      </w:r>
      <w:r w:rsidRPr="00F27422">
        <w:rPr>
          <w:rFonts w:ascii="mylotus" w:hAnsi="mylotus"/>
          <w:sz w:val="32"/>
          <w:rtl/>
        </w:rPr>
        <w:t>وإنْ كان الأحدث موافقاً للعامّة أو مخالفاً للكتاب أو غير مشهور</w:t>
      </w:r>
      <w:r w:rsidRPr="00F27422">
        <w:rPr>
          <w:rFonts w:ascii="mylotus" w:hAnsi="mylotus" w:hint="cs"/>
          <w:sz w:val="32"/>
          <w:rtl/>
        </w:rPr>
        <w:t xml:space="preserve"> -</w:t>
      </w:r>
      <w:r w:rsidRPr="00F27422">
        <w:rPr>
          <w:rFonts w:ascii="mylotus" w:hAnsi="mylotus"/>
          <w:sz w:val="32"/>
          <w:rtl/>
        </w:rPr>
        <w:t>.</w:t>
      </w:r>
    </w:p>
    <w:p w14:paraId="7BD7852B"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sz w:val="32"/>
          <w:rtl/>
        </w:rPr>
        <w:t xml:space="preserve">وإنْ كانا مجهولي التاريخ لَمْ يمكن الأخذ لا بروايات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لأنّ موردها ما عُلم أنّه أحدث، ولا بالروايات الأُخرى؛ لأنّ المورد حينئذٍ يكون مِن اشتباه الحجة بـ اللاحجة؛ إذ بعد فرض تمامية روايات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فما هو الحجة بالفعل ما كان متأخراً وحيث اشتبه المُتأخر بالمُتقدم كان مِن اشتباه الحجة بـ اللاحجة، واشتباه الحجة بـ اللاحجة خارجٌ موضوعاً عن باب التعارض فلا معنى للتمسك بروايات الترجيح فيه</w:t>
      </w:r>
      <w:r w:rsidRPr="00F27422">
        <w:rPr>
          <w:rFonts w:ascii="mylotus" w:hAnsi="mylotus"/>
          <w:sz w:val="32"/>
        </w:rPr>
        <w:t>.</w:t>
      </w:r>
    </w:p>
    <w:p w14:paraId="161CBC75"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t>إلّا أنّ يقال:</w:t>
      </w:r>
      <w:r w:rsidRPr="00F27422">
        <w:rPr>
          <w:rFonts w:ascii="mylotus" w:hAnsi="mylotus"/>
          <w:sz w:val="32"/>
          <w:rtl/>
        </w:rPr>
        <w:t xml:space="preserve"> مقتضى الجمع بين الطائفتين - ما دلّ على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وما دلّ على الترجيح بغيرها - أنّه إنْ كان الخبران المتعارضان معلومي التاريخ فهو مورد روايات الترجيح </w:t>
      </w:r>
      <w:proofErr w:type="spellStart"/>
      <w:r w:rsidRPr="00F27422">
        <w:rPr>
          <w:rFonts w:ascii="mylotus" w:hAnsi="mylotus"/>
          <w:sz w:val="32"/>
          <w:rtl/>
        </w:rPr>
        <w:t>بالأحدثية</w:t>
      </w:r>
      <w:proofErr w:type="spellEnd"/>
      <w:r w:rsidRPr="00F27422">
        <w:rPr>
          <w:rFonts w:ascii="mylotus" w:hAnsi="mylotus"/>
          <w:sz w:val="32"/>
          <w:rtl/>
        </w:rPr>
        <w:t>، وإنْ كانا مجهولي التاريخ فهو مورد روايات الترجيح بغيرها</w:t>
      </w:r>
      <w:r w:rsidRPr="00F27422">
        <w:rPr>
          <w:rFonts w:ascii="mylotus" w:hAnsi="mylotus"/>
          <w:sz w:val="32"/>
        </w:rPr>
        <w:t>.</w:t>
      </w:r>
    </w:p>
    <w:p w14:paraId="67769577" w14:textId="77777777" w:rsidR="0058696A" w:rsidRPr="00F27422" w:rsidRDefault="0058696A" w:rsidP="00122B70">
      <w:pPr>
        <w:pStyle w:val="a"/>
        <w:bidi/>
        <w:spacing w:line="216" w:lineRule="auto"/>
        <w:jc w:val="left"/>
        <w:rPr>
          <w:rFonts w:ascii="mylotus" w:hAnsi="mylotus"/>
          <w:b/>
          <w:bCs/>
          <w:sz w:val="32"/>
          <w:rtl/>
        </w:rPr>
      </w:pPr>
      <w:r w:rsidRPr="00F27422">
        <w:rPr>
          <w:rFonts w:ascii="mylotus" w:hAnsi="mylotus"/>
          <w:b/>
          <w:bCs/>
          <w:sz w:val="32"/>
          <w:rtl/>
        </w:rPr>
        <w:t>ويلاحظ على ما أُفيد</w:t>
      </w:r>
      <w:r w:rsidRPr="00F27422">
        <w:rPr>
          <w:rFonts w:ascii="mylotus" w:hAnsi="mylotus"/>
          <w:b/>
          <w:bCs/>
          <w:sz w:val="32"/>
        </w:rPr>
        <w:t>:</w:t>
      </w:r>
    </w:p>
    <w:p w14:paraId="4B50E294"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t>أولاً:</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مقتضى الجمع العرفي بين روايات الترجيح وما دلّ على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كونُ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في طول روايات الترجيح بغيرها، ولا تعارض بينهما</w:t>
      </w:r>
      <w:r w:rsidRPr="00F27422">
        <w:rPr>
          <w:rFonts w:ascii="mylotus" w:hAnsi="mylotus"/>
          <w:sz w:val="32"/>
        </w:rPr>
        <w:t>.</w:t>
      </w:r>
    </w:p>
    <w:p w14:paraId="79111444"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t>والسر في ذلك:</w:t>
      </w:r>
      <w:r w:rsidRPr="00F27422">
        <w:rPr>
          <w:rFonts w:ascii="mylotus" w:hAnsi="mylotus"/>
          <w:sz w:val="32"/>
          <w:rtl/>
        </w:rPr>
        <w:t xml:space="preserve"> أنّ عمدة روايات الترجيح مقبولةُ عمر بن حنظلة، وظاهرُ سياق المقبولة أنّ الترجيح بالشهرة وموافقة الكتاب ومخالفة العامّة ليس </w:t>
      </w:r>
      <w:proofErr w:type="gramStart"/>
      <w:r w:rsidRPr="00F27422">
        <w:rPr>
          <w:rFonts w:ascii="mylotus" w:hAnsi="mylotus"/>
          <w:sz w:val="32"/>
          <w:rtl/>
        </w:rPr>
        <w:t>تعبدياً</w:t>
      </w:r>
      <w:proofErr w:type="gramEnd"/>
      <w:r w:rsidRPr="00F27422">
        <w:rPr>
          <w:rFonts w:ascii="mylotus" w:hAnsi="mylotus"/>
          <w:sz w:val="32"/>
          <w:rtl/>
        </w:rPr>
        <w:t xml:space="preserve"> بل هو مستند لاشتمالها على نكتة الطريقية للواقع</w:t>
      </w:r>
      <w:r w:rsidRPr="00F27422">
        <w:rPr>
          <w:rFonts w:ascii="mylotus" w:hAnsi="mylotus"/>
          <w:sz w:val="32"/>
        </w:rPr>
        <w:t>.</w:t>
      </w:r>
    </w:p>
    <w:p w14:paraId="1F436001"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t>فمثلاً:</w:t>
      </w:r>
      <w:r w:rsidRPr="00F27422">
        <w:rPr>
          <w:rFonts w:ascii="mylotus" w:hAnsi="mylotus"/>
          <w:sz w:val="32"/>
          <w:rtl/>
        </w:rPr>
        <w:t xml:space="preserve"> عندما تعرضت المقبولة للترجيح بالشهرة أردفتْ ذلك بقوله (عليه السلام): </w:t>
      </w:r>
      <w:r w:rsidRPr="00F27422">
        <w:rPr>
          <w:rFonts w:ascii="mylotus" w:hAnsi="mylotus"/>
          <w:b/>
          <w:bCs/>
          <w:sz w:val="32"/>
          <w:rtl/>
        </w:rPr>
        <w:t>(وَيُتْرَكُ الشَّاذُّ الَّذِي لَيْسَ بِمَشْهُورٍ عِنْدَ أَصْحَابِكَ فَإِنَّ الْمُجْمَعَ عَلَيْهِ لَا رَيْبَ فِيهِ، وَإِنَّمَا الْأُمُورُ ثَلَاثَةٌ أَمْرٌ بَيِّنٌ رُشْدُهُ فَيُتَّبَعُ وَأَمْرٌ بَيِّنٌ غَيُّهُ فَيُجْتَنَبُ وَأَمْرٌ مُشْكِلٌ يُرَدُّ عِلْمُهُ إِلَى اللَّهِ وَإِلَى رَسُولِهِ)</w:t>
      </w:r>
      <w:r w:rsidRPr="00F27422">
        <w:rPr>
          <w:rStyle w:val="FootnoteReference"/>
          <w:rFonts w:ascii="mylotus" w:hAnsi="mylotus"/>
          <w:sz w:val="32"/>
          <w:rtl/>
        </w:rPr>
        <w:footnoteReference w:id="130"/>
      </w:r>
      <w:r w:rsidRPr="00F27422">
        <w:rPr>
          <w:rFonts w:ascii="mylotus" w:hAnsi="mylotus"/>
          <w:b/>
          <w:bCs/>
          <w:sz w:val="32"/>
          <w:rtl/>
        </w:rPr>
        <w:t>.</w:t>
      </w:r>
      <w:r w:rsidRPr="00F27422">
        <w:rPr>
          <w:rFonts w:ascii="mylotus" w:hAnsi="mylotus"/>
          <w:sz w:val="32"/>
          <w:rtl/>
        </w:rPr>
        <w:t xml:space="preserve"> وظاهرُ هذا التعليل أنّ نكتة الترجيح بالشهرة لا لموضوعية في </w:t>
      </w:r>
      <w:proofErr w:type="gramStart"/>
      <w:r w:rsidRPr="00F27422">
        <w:rPr>
          <w:rFonts w:ascii="mylotus" w:hAnsi="mylotus"/>
          <w:sz w:val="32"/>
          <w:rtl/>
        </w:rPr>
        <w:t>الشهرة</w:t>
      </w:r>
      <w:proofErr w:type="gramEnd"/>
      <w:r w:rsidRPr="00F27422">
        <w:rPr>
          <w:rFonts w:ascii="mylotus" w:hAnsi="mylotus"/>
          <w:sz w:val="32"/>
          <w:rtl/>
        </w:rPr>
        <w:t xml:space="preserve"> بل لأنّ الشهرة توجب كون المشهور مِن البَيّن رُشْده في مقابل ما هو أمرٌ مشكل أو ما هو البيّن غيه، وهي نكتة طريقية واضحة</w:t>
      </w:r>
      <w:r w:rsidRPr="00F27422">
        <w:rPr>
          <w:rFonts w:ascii="mylotus" w:hAnsi="mylotus"/>
          <w:sz w:val="32"/>
        </w:rPr>
        <w:t>.</w:t>
      </w:r>
    </w:p>
    <w:p w14:paraId="76C6BE08"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sz w:val="32"/>
          <w:rtl/>
        </w:rPr>
        <w:t xml:space="preserve">وعندما تعرضت للترجيح بمخالفة العامّة أعقبته بقوله (عليه السلام): </w:t>
      </w:r>
      <w:r w:rsidRPr="00F27422">
        <w:rPr>
          <w:rFonts w:ascii="mylotus" w:hAnsi="mylotus"/>
          <w:b/>
          <w:bCs/>
          <w:sz w:val="32"/>
          <w:rtl/>
        </w:rPr>
        <w:t>(مَا خَالَفَ الْعَامَّةَ فَفِيهِ الرَّشَادُ)</w:t>
      </w:r>
      <w:r w:rsidRPr="00F27422">
        <w:rPr>
          <w:rStyle w:val="FootnoteReference"/>
          <w:rFonts w:ascii="mylotus" w:hAnsi="mylotus"/>
          <w:sz w:val="32"/>
          <w:rtl/>
        </w:rPr>
        <w:footnoteReference w:id="131"/>
      </w:r>
      <w:r w:rsidRPr="00F27422">
        <w:rPr>
          <w:rFonts w:ascii="mylotus" w:hAnsi="mylotus"/>
          <w:sz w:val="32"/>
          <w:rtl/>
        </w:rPr>
        <w:t xml:space="preserve"> ولا معنى للرشاد إلّا موافقة الواقع</w:t>
      </w:r>
      <w:r w:rsidRPr="00F27422">
        <w:rPr>
          <w:rFonts w:ascii="mylotus" w:hAnsi="mylotus"/>
          <w:sz w:val="32"/>
        </w:rPr>
        <w:t>.</w:t>
      </w:r>
    </w:p>
    <w:p w14:paraId="41753789"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sz w:val="32"/>
          <w:rtl/>
        </w:rPr>
        <w:t>وهذا يعني أنّ الترجيح بها طريقي - لا تعبدي</w:t>
      </w:r>
      <w:r w:rsidRPr="00F27422">
        <w:rPr>
          <w:rFonts w:ascii="mylotus" w:hAnsi="mylotus"/>
          <w:sz w:val="32"/>
        </w:rPr>
        <w:t xml:space="preserve"> </w:t>
      </w:r>
      <w:r w:rsidRPr="00F27422">
        <w:rPr>
          <w:rFonts w:ascii="mylotus" w:hAnsi="mylotus" w:hint="cs"/>
          <w:sz w:val="32"/>
          <w:rtl/>
        </w:rPr>
        <w:t>-.</w:t>
      </w:r>
    </w:p>
    <w:p w14:paraId="48E05BB6"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sz w:val="32"/>
          <w:rtl/>
        </w:rPr>
        <w:t xml:space="preserve">بينما ظاهرُ سياق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أنّه ترجيحٌ تعبدي؛ إذ لا معنى في مقام الطريقية للواقع  للأخذ بالأحدث؛ مع أنّ كلا الخبرين - السابق واللاحق - بيان للوح تشريعٍ واحدٍ، مما يعني خروج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عن نكتة الطريقية</w:t>
      </w:r>
      <w:r w:rsidRPr="00F27422">
        <w:rPr>
          <w:rFonts w:ascii="mylotus" w:hAnsi="mylotus" w:hint="cs"/>
          <w:sz w:val="32"/>
          <w:rtl/>
        </w:rPr>
        <w:t>،</w:t>
      </w:r>
      <w:r w:rsidRPr="00F27422">
        <w:rPr>
          <w:rFonts w:ascii="mylotus" w:hAnsi="mylotus"/>
          <w:sz w:val="32"/>
          <w:rtl/>
        </w:rPr>
        <w:t xml:space="preserve"> فمقتضى الجمع بينهما كون ما دلّ على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في طول روايات الترجيح بغيرها، بمعنى: أنّه لو فرض أنّ الخبرين المتعارضين </w:t>
      </w:r>
      <w:r w:rsidRPr="00F27422">
        <w:rPr>
          <w:rFonts w:ascii="mylotus" w:hAnsi="mylotus"/>
          <w:sz w:val="32"/>
          <w:rtl/>
        </w:rPr>
        <w:lastRenderedPageBreak/>
        <w:t xml:space="preserve">مما لا شهرة ولا مخالفة للكتاب ولا موافقة للعامّة في أحدهما فحينئذٍ يكون المدار على </w:t>
      </w:r>
      <w:proofErr w:type="spellStart"/>
      <w:r w:rsidRPr="00F27422">
        <w:rPr>
          <w:rFonts w:ascii="mylotus" w:hAnsi="mylotus"/>
          <w:sz w:val="32"/>
          <w:rtl/>
        </w:rPr>
        <w:t>الأحدثية</w:t>
      </w:r>
      <w:proofErr w:type="spellEnd"/>
      <w:r w:rsidRPr="00F27422">
        <w:rPr>
          <w:rFonts w:ascii="mylotus" w:hAnsi="mylotus"/>
          <w:sz w:val="32"/>
          <w:rtl/>
        </w:rPr>
        <w:t>، فلا يلزم م</w:t>
      </w:r>
      <w:r w:rsidRPr="00F27422">
        <w:rPr>
          <w:rFonts w:ascii="mylotus" w:hAnsi="mylotus" w:hint="cs"/>
          <w:sz w:val="32"/>
          <w:rtl/>
        </w:rPr>
        <w:t>ِ</w:t>
      </w:r>
      <w:r w:rsidRPr="00F27422">
        <w:rPr>
          <w:rFonts w:ascii="mylotus" w:hAnsi="mylotus"/>
          <w:sz w:val="32"/>
          <w:rtl/>
        </w:rPr>
        <w:t xml:space="preserve">ن الأخذ بروايات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طرح روايات الترجيح بغيرها</w:t>
      </w:r>
      <w:r w:rsidRPr="00F27422">
        <w:rPr>
          <w:rFonts w:ascii="mylotus" w:hAnsi="mylotus"/>
          <w:sz w:val="32"/>
        </w:rPr>
        <w:t>.</w:t>
      </w:r>
    </w:p>
    <w:p w14:paraId="622B1FE5"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t>وثانياً:</w:t>
      </w:r>
      <w:r w:rsidRPr="00F27422">
        <w:rPr>
          <w:rFonts w:ascii="mylotus" w:hAnsi="mylotus"/>
          <w:sz w:val="32"/>
          <w:rtl/>
        </w:rPr>
        <w:t xml:space="preserve"> على فرض التنافي بينهما بأنْ يُقال: إنْ مقتضى إطلاق روايات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عدمُ الاهتمام بوجود مرجحٍ آخرٍ لأحدهما، بينما مقتضى إطلاق روايات الترجيح بغير </w:t>
      </w:r>
      <w:proofErr w:type="spellStart"/>
      <w:r w:rsidRPr="00F27422">
        <w:rPr>
          <w:rFonts w:ascii="mylotus" w:hAnsi="mylotus"/>
          <w:sz w:val="32"/>
          <w:rtl/>
        </w:rPr>
        <w:t>الأحدثية</w:t>
      </w:r>
      <w:proofErr w:type="spellEnd"/>
      <w:r w:rsidRPr="00F27422">
        <w:rPr>
          <w:rFonts w:ascii="mylotus" w:hAnsi="mylotus"/>
          <w:sz w:val="32"/>
          <w:rtl/>
        </w:rPr>
        <w:t xml:space="preserve"> أنّ المدار عليها بغض النظر عن كون الخبر الواجد للمرجح مُتقدماً أو مُتأخراً فيقع التعارض بينهما</w:t>
      </w:r>
      <w:r w:rsidRPr="00F27422">
        <w:rPr>
          <w:rFonts w:ascii="mylotus" w:hAnsi="mylotus" w:hint="cs"/>
          <w:sz w:val="32"/>
          <w:rtl/>
        </w:rPr>
        <w:t>.</w:t>
      </w:r>
    </w:p>
    <w:p w14:paraId="2B7378AC"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t>فلا</w:t>
      </w:r>
      <w:r w:rsidRPr="00F27422">
        <w:rPr>
          <w:rFonts w:ascii="mylotus" w:hAnsi="mylotus" w:hint="cs"/>
          <w:b/>
          <w:bCs/>
          <w:sz w:val="32"/>
          <w:rtl/>
        </w:rPr>
        <w:t xml:space="preserve"> </w:t>
      </w:r>
      <w:r w:rsidRPr="00F27422">
        <w:rPr>
          <w:rFonts w:ascii="mylotus" w:hAnsi="mylotus"/>
          <w:b/>
          <w:bCs/>
          <w:sz w:val="32"/>
          <w:rtl/>
        </w:rPr>
        <w:t>وجه للقول:</w:t>
      </w:r>
      <w:r w:rsidRPr="00F27422">
        <w:rPr>
          <w:rFonts w:ascii="mylotus" w:hAnsi="mylotus"/>
          <w:sz w:val="32"/>
          <w:rtl/>
        </w:rPr>
        <w:t xml:space="preserve"> حيثُ إنّ لازم الأخذ بروايات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طرح الروايات الأُخرى فمقتضى الجمع بينهما أنْ يكون موردُ روايات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معلومي التاريخ، وا</w:t>
      </w:r>
      <w:r w:rsidRPr="00F27422">
        <w:rPr>
          <w:rFonts w:ascii="mylotus" w:hAnsi="mylotus" w:hint="cs"/>
          <w:sz w:val="32"/>
          <w:rtl/>
        </w:rPr>
        <w:t>خ</w:t>
      </w:r>
      <w:r w:rsidRPr="00F27422">
        <w:rPr>
          <w:rFonts w:ascii="mylotus" w:hAnsi="mylotus"/>
          <w:sz w:val="32"/>
          <w:rtl/>
        </w:rPr>
        <w:t>تصاص روايات الترجيح بمجهولي التاريخ</w:t>
      </w:r>
      <w:r w:rsidRPr="00F27422">
        <w:rPr>
          <w:rFonts w:ascii="mylotus" w:hAnsi="mylotus"/>
          <w:sz w:val="32"/>
        </w:rPr>
        <w:t>.</w:t>
      </w:r>
    </w:p>
    <w:p w14:paraId="07E92838"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t>إذ ليس اللازم المذكور قرينة عرفية على الجمع بينهما،</w:t>
      </w:r>
      <w:r w:rsidRPr="00F27422">
        <w:rPr>
          <w:rFonts w:ascii="mylotus" w:hAnsi="mylotus"/>
          <w:sz w:val="32"/>
          <w:rtl/>
        </w:rPr>
        <w:t xml:space="preserve"> بل نتيجة استلزام الأخذ بهذا الطرف طرح الطرف الآخر هو استقرار التعارض، لا الجمع العرفي بينهما بحمل ما دلّ على الترجيح بغير </w:t>
      </w:r>
      <w:proofErr w:type="spellStart"/>
      <w:r w:rsidRPr="00F27422">
        <w:rPr>
          <w:rFonts w:ascii="mylotus" w:hAnsi="mylotus"/>
          <w:sz w:val="32"/>
          <w:rtl/>
        </w:rPr>
        <w:t>الأحدثية</w:t>
      </w:r>
      <w:proofErr w:type="spellEnd"/>
      <w:r w:rsidRPr="00F27422">
        <w:rPr>
          <w:rFonts w:ascii="mylotus" w:hAnsi="mylotus"/>
          <w:sz w:val="32"/>
          <w:rtl/>
        </w:rPr>
        <w:t xml:space="preserve"> على فرض كون الخبرين مجهولي التاريخ</w:t>
      </w:r>
      <w:r w:rsidRPr="00F27422">
        <w:rPr>
          <w:rFonts w:ascii="mylotus" w:hAnsi="mylotus" w:hint="cs"/>
          <w:sz w:val="32"/>
          <w:rtl/>
        </w:rPr>
        <w:t>.</w:t>
      </w:r>
    </w:p>
    <w:p w14:paraId="16B895A2"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t>الاتجاهُ الثالث:</w:t>
      </w:r>
      <w:r w:rsidRPr="00F27422">
        <w:rPr>
          <w:rFonts w:ascii="mylotus" w:hAnsi="mylotus"/>
          <w:sz w:val="32"/>
          <w:rtl/>
        </w:rPr>
        <w:t xml:space="preserve"> في تحليل معنى روايات الترجيح </w:t>
      </w:r>
      <w:proofErr w:type="spellStart"/>
      <w:r w:rsidRPr="00F27422">
        <w:rPr>
          <w:rFonts w:ascii="mylotus" w:hAnsi="mylotus"/>
          <w:sz w:val="32"/>
          <w:rtl/>
        </w:rPr>
        <w:t>بالأحدثية</w:t>
      </w:r>
      <w:proofErr w:type="spellEnd"/>
      <w:r w:rsidRPr="00F27422">
        <w:rPr>
          <w:rFonts w:ascii="mylotus" w:hAnsi="mylotus" w:hint="cs"/>
          <w:sz w:val="32"/>
          <w:rtl/>
        </w:rPr>
        <w:t>.</w:t>
      </w:r>
    </w:p>
    <w:p w14:paraId="42511E8D"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sz w:val="32"/>
          <w:rtl/>
        </w:rPr>
        <w:t>أنّه لا</w:t>
      </w:r>
      <w:r w:rsidRPr="00F27422">
        <w:rPr>
          <w:rFonts w:ascii="mylotus" w:hAnsi="mylotus" w:hint="cs"/>
          <w:sz w:val="32"/>
          <w:rtl/>
        </w:rPr>
        <w:t xml:space="preserve"> </w:t>
      </w:r>
      <w:r w:rsidRPr="00F27422">
        <w:rPr>
          <w:rFonts w:ascii="mylotus" w:hAnsi="mylotus"/>
          <w:sz w:val="32"/>
          <w:rtl/>
        </w:rPr>
        <w:t xml:space="preserve">ظهور في هذه الروايات في كونها في مقام الترجيح بين المتعارضين </w:t>
      </w:r>
      <w:proofErr w:type="spellStart"/>
      <w:r w:rsidRPr="00F27422">
        <w:rPr>
          <w:rFonts w:ascii="mylotus" w:hAnsi="mylotus"/>
          <w:sz w:val="32"/>
          <w:rtl/>
        </w:rPr>
        <w:t>بالأحدثية</w:t>
      </w:r>
      <w:proofErr w:type="spellEnd"/>
      <w:r w:rsidRPr="00F27422">
        <w:rPr>
          <w:rFonts w:ascii="mylotus" w:hAnsi="mylotus"/>
          <w:sz w:val="32"/>
          <w:rtl/>
        </w:rPr>
        <w:t xml:space="preserve"> مِن حيثُ الحجية، كروايات الترجيح بغيرها، وإن</w:t>
      </w:r>
      <w:r w:rsidRPr="00F27422">
        <w:rPr>
          <w:rFonts w:ascii="mylotus" w:hAnsi="mylotus" w:hint="cs"/>
          <w:sz w:val="32"/>
          <w:rtl/>
        </w:rPr>
        <w:t>ّ</w:t>
      </w:r>
      <w:r w:rsidRPr="00F27422">
        <w:rPr>
          <w:rFonts w:ascii="mylotus" w:hAnsi="mylotus"/>
          <w:sz w:val="32"/>
          <w:rtl/>
        </w:rPr>
        <w:t>ما مفادها تحديد ما</w:t>
      </w:r>
      <w:r w:rsidRPr="00F27422">
        <w:rPr>
          <w:rFonts w:ascii="mylotus" w:hAnsi="mylotus" w:hint="cs"/>
          <w:sz w:val="32"/>
          <w:rtl/>
        </w:rPr>
        <w:t xml:space="preserve"> </w:t>
      </w:r>
      <w:r w:rsidRPr="00F27422">
        <w:rPr>
          <w:rFonts w:ascii="mylotus" w:hAnsi="mylotus"/>
          <w:sz w:val="32"/>
          <w:rtl/>
        </w:rPr>
        <w:t>هي الوظيفة الفعلية</w:t>
      </w:r>
      <w:r w:rsidRPr="00F27422">
        <w:rPr>
          <w:rFonts w:ascii="mylotus" w:hAnsi="mylotus" w:hint="cs"/>
          <w:sz w:val="32"/>
          <w:rtl/>
        </w:rPr>
        <w:t>،</w:t>
      </w:r>
      <w:r w:rsidRPr="00F27422">
        <w:rPr>
          <w:rFonts w:ascii="mylotus" w:hAnsi="mylotus"/>
          <w:sz w:val="32"/>
          <w:rtl/>
        </w:rPr>
        <w:t xml:space="preserve"> أي</w:t>
      </w:r>
      <w:r w:rsidRPr="00F27422">
        <w:rPr>
          <w:rFonts w:ascii="mylotus" w:hAnsi="mylotus" w:hint="cs"/>
          <w:sz w:val="32"/>
          <w:rtl/>
        </w:rPr>
        <w:t>:</w:t>
      </w:r>
      <w:r w:rsidRPr="00F27422">
        <w:rPr>
          <w:rFonts w:ascii="mylotus" w:hAnsi="mylotus"/>
          <w:sz w:val="32"/>
          <w:rtl/>
        </w:rPr>
        <w:t xml:space="preserve"> أنّ المُكلف إذا ورد عليه خبران حجتان - بالوجدان أو بالطريق المعتبر - وكانا متنافيين فوظيفته الفعلية الأخذ بالأحدث، سواءً كانت هي الوظيفة الواقعية بالعنوان الأولي أو هي الوظيفة الواقعية بالعنوان الثانوي كما لو كان في حال التقية</w:t>
      </w:r>
      <w:r w:rsidRPr="00F27422">
        <w:rPr>
          <w:rFonts w:ascii="mylotus" w:hAnsi="mylotus" w:hint="cs"/>
          <w:sz w:val="32"/>
          <w:rtl/>
        </w:rPr>
        <w:t>.</w:t>
      </w:r>
    </w:p>
    <w:p w14:paraId="3D0DD1A1"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t>والسر في ذلك:</w:t>
      </w:r>
      <w:r w:rsidRPr="00F27422">
        <w:rPr>
          <w:rFonts w:ascii="mylotus" w:hAnsi="mylotus"/>
          <w:sz w:val="32"/>
          <w:rtl/>
        </w:rPr>
        <w:t xml:space="preserve"> - كما مر بيانه سابقاً - أن</w:t>
      </w:r>
      <w:r w:rsidRPr="00F27422">
        <w:rPr>
          <w:rFonts w:ascii="mylotus" w:hAnsi="mylotus" w:hint="cs"/>
          <w:sz w:val="32"/>
          <w:rtl/>
        </w:rPr>
        <w:t>ّ</w:t>
      </w:r>
      <w:r w:rsidRPr="00F27422">
        <w:rPr>
          <w:rFonts w:ascii="mylotus" w:hAnsi="mylotus"/>
          <w:sz w:val="32"/>
          <w:rtl/>
        </w:rPr>
        <w:t xml:space="preserve"> الشيعة</w:t>
      </w:r>
      <w:r w:rsidRPr="00F27422">
        <w:rPr>
          <w:rFonts w:ascii="mylotus" w:hAnsi="mylotus" w:hint="cs"/>
          <w:sz w:val="32"/>
          <w:rtl/>
        </w:rPr>
        <w:t xml:space="preserve"> </w:t>
      </w:r>
      <w:r w:rsidRPr="00F27422">
        <w:rPr>
          <w:rFonts w:ascii="mylotus" w:hAnsi="mylotus"/>
          <w:sz w:val="32"/>
          <w:rtl/>
        </w:rPr>
        <w:t>حيث</w:t>
      </w:r>
      <w:r w:rsidRPr="00F27422">
        <w:rPr>
          <w:rFonts w:ascii="mylotus" w:hAnsi="mylotus" w:hint="cs"/>
          <w:sz w:val="32"/>
          <w:rtl/>
        </w:rPr>
        <w:t>ُ</w:t>
      </w:r>
      <w:r w:rsidRPr="00F27422">
        <w:rPr>
          <w:rFonts w:ascii="mylotus" w:hAnsi="mylotus"/>
          <w:sz w:val="32"/>
          <w:rtl/>
        </w:rPr>
        <w:t xml:space="preserve"> كانوا في معرض التقية كانت روايات أهل البيت (عليهم السلام) الناظرة لهم مبتلاة </w:t>
      </w:r>
      <w:proofErr w:type="spellStart"/>
      <w:r w:rsidRPr="00F27422">
        <w:rPr>
          <w:rFonts w:ascii="mylotus" w:hAnsi="mylotus"/>
          <w:sz w:val="32"/>
          <w:rtl/>
        </w:rPr>
        <w:t>بمعرضية</w:t>
      </w:r>
      <w:proofErr w:type="spellEnd"/>
      <w:r w:rsidRPr="00F27422">
        <w:rPr>
          <w:rFonts w:ascii="mylotus" w:hAnsi="mylotus"/>
          <w:sz w:val="32"/>
          <w:rtl/>
        </w:rPr>
        <w:t xml:space="preserve"> التقية، وهو منشأ عقل</w:t>
      </w:r>
      <w:r w:rsidRPr="00F27422">
        <w:rPr>
          <w:rFonts w:ascii="mylotus" w:hAnsi="mylotus" w:hint="cs"/>
          <w:sz w:val="32"/>
          <w:rtl/>
        </w:rPr>
        <w:t>ا</w:t>
      </w:r>
      <w:r w:rsidRPr="00F27422">
        <w:rPr>
          <w:rFonts w:ascii="mylotus" w:hAnsi="mylotus"/>
          <w:sz w:val="32"/>
          <w:rtl/>
        </w:rPr>
        <w:t>ئي للاشتباه مِن قِبل مَن ترد عليه روايتان مختلفتان في أنّه لعلّ أحدهما صادرٌ على سبيل التقية، فالإمام (عليه السلام) في مقام علاج هذا المحذور أبان حكما</w:t>
      </w:r>
      <w:r w:rsidRPr="00F27422">
        <w:rPr>
          <w:rFonts w:ascii="mylotus" w:hAnsi="mylotus" w:hint="cs"/>
          <w:sz w:val="32"/>
          <w:rtl/>
        </w:rPr>
        <w:t>ً</w:t>
      </w:r>
      <w:r w:rsidRPr="00F27422">
        <w:rPr>
          <w:rFonts w:ascii="mylotus" w:hAnsi="mylotus"/>
          <w:sz w:val="32"/>
          <w:rtl/>
        </w:rPr>
        <w:t xml:space="preserve"> ظاهريا</w:t>
      </w:r>
      <w:r w:rsidRPr="00F27422">
        <w:rPr>
          <w:rFonts w:ascii="mylotus" w:hAnsi="mylotus" w:hint="cs"/>
          <w:sz w:val="32"/>
          <w:rtl/>
        </w:rPr>
        <w:t>ً</w:t>
      </w:r>
      <w:r w:rsidRPr="00F27422">
        <w:rPr>
          <w:rFonts w:ascii="mylotus" w:hAnsi="mylotus"/>
          <w:sz w:val="32"/>
          <w:rtl/>
        </w:rPr>
        <w:t xml:space="preserve"> وهو الأخذ</w:t>
      </w:r>
      <w:r w:rsidRPr="00F27422">
        <w:rPr>
          <w:rFonts w:ascii="mylotus" w:hAnsi="mylotus" w:hint="cs"/>
          <w:sz w:val="32"/>
          <w:rtl/>
        </w:rPr>
        <w:t>ُ</w:t>
      </w:r>
      <w:r w:rsidRPr="00F27422">
        <w:rPr>
          <w:rFonts w:ascii="mylotus" w:hAnsi="mylotus"/>
          <w:sz w:val="32"/>
          <w:rtl/>
        </w:rPr>
        <w:t xml:space="preserve"> بالم</w:t>
      </w:r>
      <w:r w:rsidRPr="00F27422">
        <w:rPr>
          <w:rFonts w:ascii="mylotus" w:hAnsi="mylotus" w:hint="cs"/>
          <w:sz w:val="32"/>
          <w:rtl/>
        </w:rPr>
        <w:t>ُ</w:t>
      </w:r>
      <w:r w:rsidRPr="00F27422">
        <w:rPr>
          <w:rFonts w:ascii="mylotus" w:hAnsi="mylotus"/>
          <w:sz w:val="32"/>
          <w:rtl/>
        </w:rPr>
        <w:t>تأخر</w:t>
      </w:r>
      <w:r w:rsidRPr="00F27422">
        <w:rPr>
          <w:rFonts w:ascii="mylotus" w:hAnsi="mylotus" w:hint="cs"/>
          <w:sz w:val="32"/>
          <w:rtl/>
        </w:rPr>
        <w:t>؛</w:t>
      </w:r>
      <w:r w:rsidRPr="00F27422">
        <w:rPr>
          <w:rFonts w:ascii="mylotus" w:hAnsi="mylotus"/>
          <w:sz w:val="32"/>
          <w:rtl/>
        </w:rPr>
        <w:t xml:space="preserve"> بلحاظ أن</w:t>
      </w:r>
      <w:r w:rsidRPr="00F27422">
        <w:rPr>
          <w:rFonts w:ascii="mylotus" w:hAnsi="mylotus" w:hint="cs"/>
          <w:sz w:val="32"/>
          <w:rtl/>
        </w:rPr>
        <w:t>ّ</w:t>
      </w:r>
      <w:r w:rsidRPr="00F27422">
        <w:rPr>
          <w:rFonts w:ascii="mylotus" w:hAnsi="mylotus"/>
          <w:sz w:val="32"/>
          <w:rtl/>
        </w:rPr>
        <w:t xml:space="preserve"> العمل بما</w:t>
      </w:r>
      <w:r w:rsidRPr="00F27422">
        <w:rPr>
          <w:rFonts w:ascii="mylotus" w:hAnsi="mylotus" w:hint="cs"/>
          <w:sz w:val="32"/>
          <w:rtl/>
        </w:rPr>
        <w:t xml:space="preserve"> </w:t>
      </w:r>
      <w:r w:rsidRPr="00F27422">
        <w:rPr>
          <w:rFonts w:ascii="mylotus" w:hAnsi="mylotus"/>
          <w:sz w:val="32"/>
          <w:rtl/>
        </w:rPr>
        <w:t>يصدر م</w:t>
      </w:r>
      <w:r w:rsidRPr="00F27422">
        <w:rPr>
          <w:rFonts w:ascii="mylotus" w:hAnsi="mylotus" w:hint="cs"/>
          <w:sz w:val="32"/>
          <w:rtl/>
        </w:rPr>
        <w:t>ُ</w:t>
      </w:r>
      <w:r w:rsidRPr="00F27422">
        <w:rPr>
          <w:rFonts w:ascii="mylotus" w:hAnsi="mylotus"/>
          <w:sz w:val="32"/>
          <w:rtl/>
        </w:rPr>
        <w:t>تأخرا</w:t>
      </w:r>
      <w:r w:rsidRPr="00F27422">
        <w:rPr>
          <w:rFonts w:ascii="mylotus" w:hAnsi="mylotus" w:hint="cs"/>
          <w:sz w:val="32"/>
          <w:rtl/>
        </w:rPr>
        <w:t>ً</w:t>
      </w:r>
      <w:r w:rsidRPr="00F27422">
        <w:rPr>
          <w:rFonts w:ascii="mylotus" w:hAnsi="mylotus"/>
          <w:sz w:val="32"/>
          <w:rtl/>
        </w:rPr>
        <w:t xml:space="preserve"> مبرئ للذم</w:t>
      </w:r>
      <w:r w:rsidRPr="00F27422">
        <w:rPr>
          <w:rFonts w:ascii="mylotus" w:hAnsi="mylotus" w:hint="cs"/>
          <w:sz w:val="32"/>
          <w:rtl/>
        </w:rPr>
        <w:t>ّ</w:t>
      </w:r>
      <w:r w:rsidRPr="00F27422">
        <w:rPr>
          <w:rFonts w:ascii="mylotus" w:hAnsi="mylotus"/>
          <w:sz w:val="32"/>
          <w:rtl/>
        </w:rPr>
        <w:t>ة على كل</w:t>
      </w:r>
      <w:r w:rsidRPr="00F27422">
        <w:rPr>
          <w:rFonts w:ascii="mylotus" w:hAnsi="mylotus" w:hint="cs"/>
          <w:sz w:val="32"/>
          <w:rtl/>
        </w:rPr>
        <w:t>ّ</w:t>
      </w:r>
      <w:r w:rsidRPr="00F27422">
        <w:rPr>
          <w:rFonts w:ascii="mylotus" w:hAnsi="mylotus"/>
          <w:sz w:val="32"/>
          <w:rtl/>
        </w:rPr>
        <w:t xml:space="preserve"> حال</w:t>
      </w:r>
      <w:r w:rsidRPr="00F27422">
        <w:rPr>
          <w:rFonts w:ascii="mylotus" w:hAnsi="mylotus" w:hint="cs"/>
          <w:sz w:val="32"/>
          <w:rtl/>
        </w:rPr>
        <w:t>ٍ</w:t>
      </w:r>
      <w:r w:rsidRPr="00F27422">
        <w:rPr>
          <w:rFonts w:ascii="mylotus" w:hAnsi="mylotus"/>
          <w:sz w:val="32"/>
          <w:rtl/>
        </w:rPr>
        <w:t>، فإن</w:t>
      </w:r>
      <w:r w:rsidRPr="00F27422">
        <w:rPr>
          <w:rFonts w:ascii="mylotus" w:hAnsi="mylotus" w:hint="cs"/>
          <w:sz w:val="32"/>
          <w:rtl/>
        </w:rPr>
        <w:t>ّ</w:t>
      </w:r>
      <w:r w:rsidRPr="00F27422">
        <w:rPr>
          <w:rFonts w:ascii="mylotus" w:hAnsi="mylotus"/>
          <w:sz w:val="32"/>
          <w:rtl/>
        </w:rPr>
        <w:t>ه إن</w:t>
      </w:r>
      <w:r w:rsidRPr="00F27422">
        <w:rPr>
          <w:rFonts w:ascii="mylotus" w:hAnsi="mylotus" w:hint="cs"/>
          <w:sz w:val="32"/>
          <w:rtl/>
        </w:rPr>
        <w:t>ْ</w:t>
      </w:r>
      <w:r w:rsidRPr="00F27422">
        <w:rPr>
          <w:rFonts w:ascii="mylotus" w:hAnsi="mylotus"/>
          <w:sz w:val="32"/>
          <w:rtl/>
        </w:rPr>
        <w:t xml:space="preserve"> كان مفاد الم</w:t>
      </w:r>
      <w:r w:rsidRPr="00F27422">
        <w:rPr>
          <w:rFonts w:ascii="mylotus" w:hAnsi="mylotus" w:hint="cs"/>
          <w:sz w:val="32"/>
          <w:rtl/>
        </w:rPr>
        <w:t>ُ</w:t>
      </w:r>
      <w:r w:rsidRPr="00F27422">
        <w:rPr>
          <w:rFonts w:ascii="mylotus" w:hAnsi="mylotus"/>
          <w:sz w:val="32"/>
          <w:rtl/>
        </w:rPr>
        <w:t>تقدم الوظيفة الثانوية كان مفاد الم</w:t>
      </w:r>
      <w:r w:rsidRPr="00F27422">
        <w:rPr>
          <w:rFonts w:ascii="mylotus" w:hAnsi="mylotus" w:hint="cs"/>
          <w:sz w:val="32"/>
          <w:rtl/>
        </w:rPr>
        <w:t>ُ</w:t>
      </w:r>
      <w:r w:rsidRPr="00F27422">
        <w:rPr>
          <w:rFonts w:ascii="mylotus" w:hAnsi="mylotus"/>
          <w:sz w:val="32"/>
          <w:rtl/>
        </w:rPr>
        <w:t>تأخر وظيفة أو</w:t>
      </w:r>
      <w:r w:rsidRPr="00F27422">
        <w:rPr>
          <w:rFonts w:ascii="mylotus" w:hAnsi="mylotus" w:hint="cs"/>
          <w:sz w:val="32"/>
          <w:rtl/>
        </w:rPr>
        <w:t>ّ</w:t>
      </w:r>
      <w:r w:rsidRPr="00F27422">
        <w:rPr>
          <w:rFonts w:ascii="mylotus" w:hAnsi="mylotus"/>
          <w:sz w:val="32"/>
          <w:rtl/>
        </w:rPr>
        <w:t>لي</w:t>
      </w:r>
      <w:r w:rsidRPr="00F27422">
        <w:rPr>
          <w:rFonts w:ascii="mylotus" w:hAnsi="mylotus" w:hint="cs"/>
          <w:sz w:val="32"/>
          <w:rtl/>
        </w:rPr>
        <w:t>ّ</w:t>
      </w:r>
      <w:r w:rsidRPr="00F27422">
        <w:rPr>
          <w:rFonts w:ascii="mylotus" w:hAnsi="mylotus"/>
          <w:sz w:val="32"/>
          <w:rtl/>
        </w:rPr>
        <w:t>ة</w:t>
      </w:r>
      <w:r w:rsidRPr="00F27422">
        <w:rPr>
          <w:rFonts w:ascii="mylotus" w:hAnsi="mylotus" w:hint="cs"/>
          <w:sz w:val="32"/>
          <w:rtl/>
        </w:rPr>
        <w:t>،</w:t>
      </w:r>
      <w:r w:rsidRPr="00F27422">
        <w:rPr>
          <w:rFonts w:ascii="mylotus" w:hAnsi="mylotus"/>
          <w:sz w:val="32"/>
          <w:rtl/>
        </w:rPr>
        <w:t xml:space="preserve"> وإن</w:t>
      </w:r>
      <w:r w:rsidRPr="00F27422">
        <w:rPr>
          <w:rFonts w:ascii="mylotus" w:hAnsi="mylotus" w:hint="cs"/>
          <w:sz w:val="32"/>
          <w:rtl/>
        </w:rPr>
        <w:t>ْ</w:t>
      </w:r>
      <w:r w:rsidRPr="00F27422">
        <w:rPr>
          <w:rFonts w:ascii="mylotus" w:hAnsi="mylotus"/>
          <w:sz w:val="32"/>
          <w:rtl/>
        </w:rPr>
        <w:t xml:space="preserve"> كان العكس فالعكس، والنتيجة</w:t>
      </w:r>
      <w:r w:rsidRPr="00F27422">
        <w:rPr>
          <w:rFonts w:ascii="mylotus" w:hAnsi="mylotus" w:hint="cs"/>
          <w:sz w:val="32"/>
          <w:rtl/>
        </w:rPr>
        <w:t>ُ</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العمل بما</w:t>
      </w:r>
      <w:r w:rsidRPr="00F27422">
        <w:rPr>
          <w:rFonts w:ascii="mylotus" w:hAnsi="mylotus" w:hint="cs"/>
          <w:sz w:val="32"/>
          <w:rtl/>
        </w:rPr>
        <w:t xml:space="preserve"> </w:t>
      </w:r>
      <w:r w:rsidRPr="00F27422">
        <w:rPr>
          <w:rFonts w:ascii="mylotus" w:hAnsi="mylotus"/>
          <w:sz w:val="32"/>
          <w:rtl/>
        </w:rPr>
        <w:t>هو</w:t>
      </w:r>
      <w:r w:rsidRPr="00F27422">
        <w:rPr>
          <w:rFonts w:ascii="mylotus" w:hAnsi="mylotus" w:hint="cs"/>
          <w:sz w:val="32"/>
          <w:rtl/>
        </w:rPr>
        <w:t xml:space="preserve"> </w:t>
      </w:r>
      <w:r w:rsidRPr="00F27422">
        <w:rPr>
          <w:rFonts w:ascii="mylotus" w:hAnsi="mylotus"/>
          <w:sz w:val="32"/>
          <w:rtl/>
        </w:rPr>
        <w:t>الم</w:t>
      </w:r>
      <w:r w:rsidRPr="00F27422">
        <w:rPr>
          <w:rFonts w:ascii="mylotus" w:hAnsi="mylotus" w:hint="cs"/>
          <w:sz w:val="32"/>
          <w:rtl/>
        </w:rPr>
        <w:t>ُ</w:t>
      </w:r>
      <w:r w:rsidRPr="00F27422">
        <w:rPr>
          <w:rFonts w:ascii="mylotus" w:hAnsi="mylotus"/>
          <w:sz w:val="32"/>
          <w:rtl/>
        </w:rPr>
        <w:t>تأخر مبرئ للذم</w:t>
      </w:r>
      <w:r w:rsidRPr="00F27422">
        <w:rPr>
          <w:rFonts w:ascii="mylotus" w:hAnsi="mylotus" w:hint="cs"/>
          <w:sz w:val="32"/>
          <w:rtl/>
        </w:rPr>
        <w:t>ّ</w:t>
      </w:r>
      <w:r w:rsidRPr="00F27422">
        <w:rPr>
          <w:rFonts w:ascii="mylotus" w:hAnsi="mylotus"/>
          <w:sz w:val="32"/>
          <w:rtl/>
        </w:rPr>
        <w:t>ة على كل</w:t>
      </w:r>
      <w:r w:rsidRPr="00F27422">
        <w:rPr>
          <w:rFonts w:ascii="mylotus" w:hAnsi="mylotus" w:hint="cs"/>
          <w:sz w:val="32"/>
          <w:rtl/>
        </w:rPr>
        <w:t>ّ</w:t>
      </w:r>
      <w:r w:rsidRPr="00F27422">
        <w:rPr>
          <w:rFonts w:ascii="mylotus" w:hAnsi="mylotus"/>
          <w:sz w:val="32"/>
          <w:rtl/>
        </w:rPr>
        <w:t xml:space="preserve"> حال</w:t>
      </w:r>
      <w:r w:rsidRPr="00F27422">
        <w:rPr>
          <w:rFonts w:ascii="mylotus" w:hAnsi="mylotus" w:hint="cs"/>
          <w:sz w:val="32"/>
          <w:rtl/>
        </w:rPr>
        <w:t>ٍ</w:t>
      </w:r>
      <w:r w:rsidRPr="00F27422">
        <w:rPr>
          <w:rFonts w:ascii="mylotus" w:hAnsi="mylotus"/>
          <w:sz w:val="32"/>
        </w:rPr>
        <w:t>.</w:t>
      </w:r>
    </w:p>
    <w:p w14:paraId="562FCF20" w14:textId="77777777" w:rsidR="0058696A" w:rsidRPr="00F27422" w:rsidRDefault="0058696A" w:rsidP="00122B70">
      <w:pPr>
        <w:pStyle w:val="a"/>
        <w:bidi/>
        <w:spacing w:line="216" w:lineRule="auto"/>
        <w:jc w:val="left"/>
        <w:rPr>
          <w:rFonts w:ascii="mylotus" w:hAnsi="mylotus"/>
          <w:b/>
          <w:bCs/>
          <w:sz w:val="32"/>
          <w:rtl/>
        </w:rPr>
      </w:pPr>
      <w:r w:rsidRPr="00F27422">
        <w:rPr>
          <w:rFonts w:ascii="mylotus" w:hAnsi="mylotus"/>
          <w:b/>
          <w:bCs/>
          <w:sz w:val="32"/>
          <w:rtl/>
        </w:rPr>
        <w:t>والنكتة في حمل الروايات على طبق هذا الاتجاه أحد ملاكي</w:t>
      </w:r>
      <w:r w:rsidRPr="00F27422">
        <w:rPr>
          <w:rFonts w:ascii="mylotus" w:hAnsi="mylotus" w:hint="cs"/>
          <w:b/>
          <w:bCs/>
          <w:sz w:val="32"/>
          <w:rtl/>
        </w:rPr>
        <w:t>ن:</w:t>
      </w:r>
    </w:p>
    <w:p w14:paraId="0329DCF7" w14:textId="77777777" w:rsidR="0058696A" w:rsidRPr="00F27422" w:rsidRDefault="0058696A" w:rsidP="00122B70">
      <w:pPr>
        <w:pStyle w:val="a"/>
        <w:bidi/>
        <w:spacing w:line="216" w:lineRule="auto"/>
        <w:jc w:val="left"/>
        <w:rPr>
          <w:rFonts w:ascii="mylotus" w:hAnsi="mylotus"/>
          <w:b/>
          <w:bCs/>
          <w:sz w:val="32"/>
          <w:rtl/>
        </w:rPr>
      </w:pPr>
      <w:r w:rsidRPr="00F27422">
        <w:rPr>
          <w:rFonts w:ascii="mylotus" w:hAnsi="mylotus"/>
          <w:b/>
          <w:bCs/>
          <w:sz w:val="32"/>
          <w:rtl/>
        </w:rPr>
        <w:t>الأوّل:</w:t>
      </w:r>
      <w:r w:rsidRPr="00F27422">
        <w:rPr>
          <w:rFonts w:ascii="mylotus" w:hAnsi="mylotus"/>
          <w:sz w:val="32"/>
          <w:rtl/>
        </w:rPr>
        <w:t xml:space="preserve"> ما ذكره السيد الشهيد الصدر (قدس سره) في بحوث في علم الأصول</w:t>
      </w:r>
      <w:r w:rsidRPr="00F27422">
        <w:rPr>
          <w:rStyle w:val="FootnoteReference"/>
          <w:rFonts w:ascii="mylotus" w:hAnsi="mylotus"/>
          <w:sz w:val="32"/>
          <w:rtl/>
        </w:rPr>
        <w:footnoteReference w:id="132"/>
      </w:r>
      <w:r w:rsidRPr="00F27422">
        <w:rPr>
          <w:rFonts w:ascii="mylotus" w:hAnsi="mylotus"/>
          <w:sz w:val="32"/>
          <w:rtl/>
        </w:rPr>
        <w:t xml:space="preserve"> بقوله: </w:t>
      </w:r>
      <w:r w:rsidRPr="00F27422">
        <w:rPr>
          <w:rFonts w:ascii="mylotus" w:hAnsi="mylotus"/>
          <w:b/>
          <w:bCs/>
          <w:sz w:val="32"/>
          <w:rtl/>
        </w:rPr>
        <w:t>(الصحيح أنها لو فرض تمامية دلالتها)</w:t>
      </w:r>
      <w:r w:rsidRPr="00F27422">
        <w:rPr>
          <w:rFonts w:ascii="mylotus" w:hAnsi="mylotus"/>
          <w:sz w:val="32"/>
          <w:rtl/>
        </w:rPr>
        <w:t xml:space="preserve"> أي: روايات الترجيح </w:t>
      </w:r>
      <w:r w:rsidRPr="00F27422">
        <w:rPr>
          <w:rFonts w:ascii="mylotus" w:hAnsi="mylotus"/>
          <w:b/>
          <w:bCs/>
          <w:sz w:val="32"/>
          <w:rtl/>
        </w:rPr>
        <w:t xml:space="preserve">(على الترجيح فإنما تدل عليه في غير محل </w:t>
      </w:r>
      <w:proofErr w:type="gramStart"/>
      <w:r w:rsidRPr="00F27422">
        <w:rPr>
          <w:rFonts w:ascii="mylotus" w:hAnsi="mylotus"/>
          <w:b/>
          <w:bCs/>
          <w:sz w:val="32"/>
          <w:rtl/>
        </w:rPr>
        <w:t>الكلام ،لأن</w:t>
      </w:r>
      <w:proofErr w:type="gramEnd"/>
      <w:r w:rsidRPr="00F27422">
        <w:rPr>
          <w:rFonts w:ascii="mylotus" w:hAnsi="mylotus"/>
          <w:b/>
          <w:bCs/>
          <w:sz w:val="32"/>
          <w:rtl/>
        </w:rPr>
        <w:t xml:space="preserve"> الترجيح </w:t>
      </w:r>
      <w:proofErr w:type="spellStart"/>
      <w:r w:rsidRPr="00F27422">
        <w:rPr>
          <w:rFonts w:ascii="mylotus" w:hAnsi="mylotus"/>
          <w:b/>
          <w:bCs/>
          <w:sz w:val="32"/>
          <w:rtl/>
        </w:rPr>
        <w:t>بالأحدثية</w:t>
      </w:r>
      <w:proofErr w:type="spellEnd"/>
      <w:r w:rsidRPr="00F27422">
        <w:rPr>
          <w:rFonts w:ascii="mylotus" w:hAnsi="mylotus"/>
          <w:b/>
          <w:bCs/>
          <w:sz w:val="32"/>
          <w:rtl/>
        </w:rPr>
        <w:t xml:space="preserve"> حكم تعبدي بحت لا يطابق القواعد العقلائية المرتكزة في باب الطريقية فلا محالة يقتصر على مورد النص بعد أن لم يكن فيه إطلاق لفظي)</w:t>
      </w:r>
      <w:r w:rsidRPr="00F27422">
        <w:rPr>
          <w:rFonts w:ascii="mylotus" w:hAnsi="mylotus" w:hint="cs"/>
          <w:b/>
          <w:bCs/>
          <w:sz w:val="32"/>
          <w:rtl/>
        </w:rPr>
        <w:t>.</w:t>
      </w:r>
    </w:p>
    <w:p w14:paraId="780E9724" w14:textId="77777777" w:rsidR="0058696A" w:rsidRPr="00F27422" w:rsidRDefault="0058696A" w:rsidP="00122B70">
      <w:pPr>
        <w:pStyle w:val="a"/>
        <w:bidi/>
        <w:spacing w:line="216" w:lineRule="auto"/>
        <w:jc w:val="left"/>
        <w:rPr>
          <w:rFonts w:ascii="mylotus" w:hAnsi="mylotus"/>
          <w:b/>
          <w:bCs/>
          <w:sz w:val="32"/>
          <w:rtl/>
        </w:rPr>
      </w:pPr>
      <w:r w:rsidRPr="00F27422">
        <w:rPr>
          <w:rFonts w:ascii="mylotus" w:hAnsi="mylotus"/>
          <w:sz w:val="32"/>
          <w:rtl/>
        </w:rPr>
        <w:t>والوجه</w:t>
      </w:r>
      <w:r w:rsidRPr="00F27422">
        <w:rPr>
          <w:rFonts w:ascii="mylotus" w:hAnsi="mylotus" w:hint="cs"/>
          <w:sz w:val="32"/>
          <w:rtl/>
        </w:rPr>
        <w:t>ُ</w:t>
      </w:r>
      <w:r w:rsidRPr="00F27422">
        <w:rPr>
          <w:rFonts w:ascii="mylotus" w:hAnsi="mylotus"/>
          <w:sz w:val="32"/>
          <w:rtl/>
        </w:rPr>
        <w:t xml:space="preserve"> في عدم الإطلاق اللفظي</w:t>
      </w:r>
      <w:r w:rsidRPr="00F27422">
        <w:rPr>
          <w:rFonts w:ascii="mylotus" w:hAnsi="mylotus" w:hint="cs"/>
          <w:sz w:val="32"/>
          <w:rtl/>
        </w:rPr>
        <w:t>:</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لفظ الرواية سؤالٌ وجوابٌ عن مورد السؤال بقوله (عليه السلام): </w:t>
      </w:r>
      <w:r w:rsidRPr="00F27422">
        <w:rPr>
          <w:rFonts w:ascii="mylotus" w:hAnsi="mylotus"/>
          <w:b/>
          <w:bCs/>
          <w:sz w:val="32"/>
          <w:rtl/>
        </w:rPr>
        <w:t xml:space="preserve">(يا أبا عمرو! أرأيت لو حدّثتك بحديث، أو أفتيتك بفتيا، ثمَّ جئتني بعد ذلك فسألتني عنه، فأخبرتك بخلاف ما كنت أخبرتك، أو أفتيتك بخلاف ذلك، بأيّهما كنت تأخذ؟ قلت: </w:t>
      </w:r>
      <w:proofErr w:type="spellStart"/>
      <w:r w:rsidRPr="00F27422">
        <w:rPr>
          <w:rFonts w:ascii="mylotus" w:hAnsi="mylotus"/>
          <w:b/>
          <w:bCs/>
          <w:sz w:val="32"/>
          <w:rtl/>
        </w:rPr>
        <w:t>بأحدثهما</w:t>
      </w:r>
      <w:proofErr w:type="spellEnd"/>
      <w:r w:rsidRPr="00F27422">
        <w:rPr>
          <w:rFonts w:ascii="mylotus" w:hAnsi="mylotus"/>
          <w:b/>
          <w:bCs/>
          <w:sz w:val="32"/>
          <w:rtl/>
        </w:rPr>
        <w:t>، وأدع الآخر، فقال: قد أصبت يا أبا عمرو)</w:t>
      </w:r>
      <w:r w:rsidRPr="00F27422">
        <w:rPr>
          <w:rStyle w:val="FootnoteReference"/>
          <w:rFonts w:ascii="mylotus" w:hAnsi="mylotus"/>
          <w:sz w:val="32"/>
          <w:rtl/>
        </w:rPr>
        <w:footnoteReference w:id="133"/>
      </w:r>
      <w:r w:rsidRPr="00F27422">
        <w:rPr>
          <w:rFonts w:ascii="mylotus" w:hAnsi="mylotus"/>
          <w:sz w:val="32"/>
          <w:rtl/>
        </w:rPr>
        <w:t xml:space="preserve"> خلاف</w:t>
      </w:r>
      <w:r w:rsidRPr="00F27422">
        <w:rPr>
          <w:rFonts w:ascii="mylotus" w:hAnsi="mylotus" w:hint="cs"/>
          <w:sz w:val="32"/>
          <w:rtl/>
        </w:rPr>
        <w:t>ُ</w:t>
      </w:r>
      <w:r w:rsidRPr="00F27422">
        <w:rPr>
          <w:rFonts w:ascii="mylotus" w:hAnsi="mylotus"/>
          <w:sz w:val="32"/>
          <w:rtl/>
        </w:rPr>
        <w:t xml:space="preserve"> المرتكزات بقوله</w:t>
      </w:r>
      <w:r w:rsidRPr="00F27422">
        <w:rPr>
          <w:rFonts w:ascii="mylotus" w:hAnsi="mylotus" w:hint="cs"/>
          <w:sz w:val="32"/>
          <w:rtl/>
        </w:rPr>
        <w:t xml:space="preserve"> (قدس </w:t>
      </w:r>
      <w:r w:rsidRPr="00F27422">
        <w:rPr>
          <w:rFonts w:ascii="mylotus" w:hAnsi="mylotus" w:hint="cs"/>
          <w:sz w:val="32"/>
          <w:rtl/>
        </w:rPr>
        <w:lastRenderedPageBreak/>
        <w:t>سره)</w:t>
      </w:r>
      <w:r w:rsidRPr="00F27422">
        <w:rPr>
          <w:rFonts w:ascii="mylotus" w:hAnsi="mylotus"/>
          <w:sz w:val="32"/>
          <w:rtl/>
        </w:rPr>
        <w:t xml:space="preserve">: </w:t>
      </w:r>
      <w:r w:rsidRPr="00F27422">
        <w:rPr>
          <w:rFonts w:ascii="mylotus" w:hAnsi="mylotus"/>
          <w:b/>
          <w:bCs/>
          <w:sz w:val="32"/>
          <w:rtl/>
        </w:rPr>
        <w:t xml:space="preserve">(فإن كلمات الأئمة عليهم </w:t>
      </w:r>
      <w:r w:rsidRPr="00F27422">
        <w:rPr>
          <w:rFonts w:ascii="Times New Roman" w:hAnsi="Times New Roman" w:cs="Times New Roman" w:hint="cs"/>
          <w:b/>
          <w:bCs/>
          <w:sz w:val="32"/>
          <w:rtl/>
        </w:rPr>
        <w:t>‌</w:t>
      </w:r>
      <w:r w:rsidRPr="00F27422">
        <w:rPr>
          <w:rFonts w:ascii="mylotus" w:hAnsi="mylotus" w:hint="cs"/>
          <w:b/>
          <w:bCs/>
          <w:sz w:val="32"/>
          <w:rtl/>
        </w:rPr>
        <w:t>السلام</w:t>
      </w:r>
      <w:r w:rsidRPr="00F27422">
        <w:rPr>
          <w:rFonts w:ascii="mylotus" w:hAnsi="mylotus"/>
          <w:b/>
          <w:bCs/>
          <w:sz w:val="32"/>
          <w:rtl/>
        </w:rPr>
        <w:t xml:space="preserve"> </w:t>
      </w:r>
      <w:r w:rsidRPr="00F27422">
        <w:rPr>
          <w:rFonts w:ascii="mylotus" w:hAnsi="mylotus" w:hint="cs"/>
          <w:b/>
          <w:bCs/>
          <w:sz w:val="32"/>
          <w:rtl/>
        </w:rPr>
        <w:t>تنظر</w:t>
      </w:r>
      <w:r w:rsidRPr="00F27422">
        <w:rPr>
          <w:rFonts w:ascii="mylotus" w:hAnsi="mylotus"/>
          <w:b/>
          <w:bCs/>
          <w:sz w:val="32"/>
          <w:rtl/>
        </w:rPr>
        <w:t xml:space="preserve"> </w:t>
      </w:r>
      <w:r w:rsidRPr="00F27422">
        <w:rPr>
          <w:rFonts w:ascii="mylotus" w:hAnsi="mylotus" w:hint="cs"/>
          <w:b/>
          <w:bCs/>
          <w:sz w:val="32"/>
          <w:rtl/>
        </w:rPr>
        <w:t>جميعاً</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وقت</w:t>
      </w:r>
      <w:r w:rsidRPr="00F27422">
        <w:rPr>
          <w:rFonts w:ascii="mylotus" w:hAnsi="mylotus"/>
          <w:b/>
          <w:bCs/>
          <w:sz w:val="32"/>
          <w:rtl/>
        </w:rPr>
        <w:t xml:space="preserve"> </w:t>
      </w:r>
      <w:r w:rsidRPr="00F27422">
        <w:rPr>
          <w:rFonts w:ascii="mylotus" w:hAnsi="mylotus" w:hint="cs"/>
          <w:b/>
          <w:bCs/>
          <w:sz w:val="32"/>
          <w:rtl/>
        </w:rPr>
        <w:t>واحد</w:t>
      </w:r>
      <w:r w:rsidRPr="00F27422">
        <w:rPr>
          <w:rFonts w:ascii="mylotus" w:hAnsi="mylotus"/>
          <w:b/>
          <w:bCs/>
          <w:sz w:val="32"/>
          <w:rtl/>
        </w:rPr>
        <w:t xml:space="preserve"> </w:t>
      </w:r>
      <w:r w:rsidRPr="00F27422">
        <w:rPr>
          <w:rFonts w:ascii="mylotus" w:hAnsi="mylotus" w:hint="cs"/>
          <w:b/>
          <w:bCs/>
          <w:sz w:val="32"/>
          <w:rtl/>
        </w:rPr>
        <w:t>وتكشف</w:t>
      </w:r>
      <w:r w:rsidRPr="00F27422">
        <w:rPr>
          <w:rFonts w:ascii="mylotus" w:hAnsi="mylotus"/>
          <w:b/>
          <w:bCs/>
          <w:sz w:val="32"/>
          <w:rtl/>
        </w:rPr>
        <w:t xml:space="preserve"> </w:t>
      </w:r>
      <w:r w:rsidRPr="00F27422">
        <w:rPr>
          <w:rFonts w:ascii="mylotus" w:hAnsi="mylotus" w:hint="cs"/>
          <w:b/>
          <w:bCs/>
          <w:sz w:val="32"/>
          <w:rtl/>
        </w:rPr>
        <w:t>عن</w:t>
      </w:r>
      <w:r w:rsidRPr="00F27422">
        <w:rPr>
          <w:rFonts w:ascii="mylotus" w:hAnsi="mylotus"/>
          <w:b/>
          <w:bCs/>
          <w:sz w:val="32"/>
          <w:rtl/>
        </w:rPr>
        <w:t xml:space="preserve"> </w:t>
      </w:r>
      <w:r w:rsidRPr="00F27422">
        <w:rPr>
          <w:rFonts w:ascii="mylotus" w:hAnsi="mylotus" w:hint="cs"/>
          <w:b/>
          <w:bCs/>
          <w:sz w:val="32"/>
          <w:rtl/>
        </w:rPr>
        <w:t>حكم</w:t>
      </w:r>
      <w:r w:rsidRPr="00F27422">
        <w:rPr>
          <w:rFonts w:ascii="mylotus" w:hAnsi="mylotus"/>
          <w:b/>
          <w:bCs/>
          <w:sz w:val="32"/>
          <w:rtl/>
        </w:rPr>
        <w:t xml:space="preserve"> </w:t>
      </w:r>
      <w:r w:rsidRPr="00F27422">
        <w:rPr>
          <w:rFonts w:ascii="mylotus" w:hAnsi="mylotus" w:hint="cs"/>
          <w:b/>
          <w:bCs/>
          <w:sz w:val="32"/>
          <w:rtl/>
        </w:rPr>
        <w:t>شرع</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صدر</w:t>
      </w:r>
      <w:r w:rsidRPr="00F27422">
        <w:rPr>
          <w:rFonts w:ascii="mylotus" w:hAnsi="mylotus"/>
          <w:b/>
          <w:bCs/>
          <w:sz w:val="32"/>
          <w:rtl/>
        </w:rPr>
        <w:t xml:space="preserve"> </w:t>
      </w:r>
      <w:r w:rsidRPr="00F27422">
        <w:rPr>
          <w:rFonts w:ascii="mylotus" w:hAnsi="mylotus" w:hint="cs"/>
          <w:b/>
          <w:bCs/>
          <w:sz w:val="32"/>
          <w:rtl/>
        </w:rPr>
        <w:t>الإسلام</w:t>
      </w:r>
      <w:r w:rsidRPr="00F27422">
        <w:rPr>
          <w:rFonts w:ascii="mylotus" w:hAnsi="mylotus"/>
          <w:b/>
          <w:bCs/>
          <w:sz w:val="32"/>
          <w:rtl/>
        </w:rPr>
        <w:t xml:space="preserve"> </w:t>
      </w:r>
      <w:r w:rsidRPr="00F27422">
        <w:rPr>
          <w:rFonts w:ascii="mylotus" w:hAnsi="mylotus" w:hint="cs"/>
          <w:b/>
          <w:bCs/>
          <w:sz w:val="32"/>
          <w:rtl/>
        </w:rPr>
        <w:t>فلا</w:t>
      </w:r>
      <w:r w:rsidRPr="00F27422">
        <w:rPr>
          <w:rFonts w:ascii="mylotus" w:hAnsi="mylotus"/>
          <w:b/>
          <w:bCs/>
          <w:sz w:val="32"/>
          <w:rtl/>
        </w:rPr>
        <w:t xml:space="preserve"> </w:t>
      </w:r>
      <w:r w:rsidRPr="00F27422">
        <w:rPr>
          <w:rFonts w:ascii="mylotus" w:hAnsi="mylotus" w:hint="cs"/>
          <w:b/>
          <w:bCs/>
          <w:sz w:val="32"/>
          <w:rtl/>
        </w:rPr>
        <w:t>أثر</w:t>
      </w:r>
      <w:r w:rsidRPr="00F27422">
        <w:rPr>
          <w:rFonts w:ascii="mylotus" w:hAnsi="mylotus"/>
          <w:b/>
          <w:bCs/>
          <w:sz w:val="32"/>
          <w:rtl/>
        </w:rPr>
        <w:t xml:space="preserve"> </w:t>
      </w:r>
      <w:r w:rsidRPr="00F27422">
        <w:rPr>
          <w:rFonts w:ascii="mylotus" w:hAnsi="mylotus" w:hint="cs"/>
          <w:b/>
          <w:bCs/>
          <w:sz w:val="32"/>
          <w:rtl/>
        </w:rPr>
        <w:t>لمجرد</w:t>
      </w:r>
      <w:r w:rsidRPr="00F27422">
        <w:rPr>
          <w:rFonts w:ascii="mylotus" w:hAnsi="mylotus"/>
          <w:sz w:val="32"/>
          <w:rtl/>
        </w:rPr>
        <w:t xml:space="preserve"> </w:t>
      </w:r>
      <w:r w:rsidRPr="00F27422">
        <w:rPr>
          <w:rFonts w:ascii="mylotus" w:hAnsi="mylotus" w:hint="cs"/>
          <w:b/>
          <w:bCs/>
          <w:sz w:val="32"/>
          <w:rtl/>
        </w:rPr>
        <w:t>كون</w:t>
      </w:r>
      <w:r w:rsidRPr="00F27422">
        <w:rPr>
          <w:rFonts w:ascii="mylotus" w:hAnsi="mylotus"/>
          <w:b/>
          <w:bCs/>
          <w:sz w:val="32"/>
          <w:rtl/>
        </w:rPr>
        <w:t xml:space="preserve"> </w:t>
      </w:r>
      <w:r w:rsidRPr="00F27422">
        <w:rPr>
          <w:rFonts w:ascii="mylotus" w:hAnsi="mylotus" w:hint="cs"/>
          <w:b/>
          <w:bCs/>
          <w:sz w:val="32"/>
          <w:rtl/>
        </w:rPr>
        <w:t>أحد</w:t>
      </w:r>
      <w:r w:rsidRPr="00F27422">
        <w:rPr>
          <w:rFonts w:ascii="mylotus" w:hAnsi="mylotus"/>
          <w:b/>
          <w:bCs/>
          <w:sz w:val="32"/>
          <w:rtl/>
        </w:rPr>
        <w:t xml:space="preserve"> </w:t>
      </w:r>
      <w:r w:rsidRPr="00F27422">
        <w:rPr>
          <w:rFonts w:ascii="mylotus" w:hAnsi="mylotus" w:hint="cs"/>
          <w:b/>
          <w:bCs/>
          <w:sz w:val="32"/>
          <w:rtl/>
        </w:rPr>
        <w:t>الخبرين</w:t>
      </w:r>
      <w:r w:rsidRPr="00F27422">
        <w:rPr>
          <w:rFonts w:ascii="mylotus" w:hAnsi="mylotus"/>
          <w:b/>
          <w:bCs/>
          <w:sz w:val="32"/>
          <w:rtl/>
        </w:rPr>
        <w:t xml:space="preserve"> </w:t>
      </w:r>
      <w:r w:rsidRPr="00F27422">
        <w:rPr>
          <w:rFonts w:ascii="mylotus" w:hAnsi="mylotus" w:hint="cs"/>
          <w:b/>
          <w:bCs/>
          <w:sz w:val="32"/>
          <w:rtl/>
        </w:rPr>
        <w:t>أحدث</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الآخر</w:t>
      </w:r>
      <w:r w:rsidRPr="00F27422">
        <w:rPr>
          <w:rFonts w:ascii="mylotus" w:hAnsi="mylotus"/>
          <w:b/>
          <w:bCs/>
          <w:sz w:val="32"/>
          <w:rtl/>
        </w:rPr>
        <w:t xml:space="preserve"> </w:t>
      </w:r>
      <w:r w:rsidRPr="00F27422">
        <w:rPr>
          <w:rFonts w:ascii="mylotus" w:hAnsi="mylotus" w:hint="cs"/>
          <w:b/>
          <w:bCs/>
          <w:sz w:val="32"/>
          <w:rtl/>
        </w:rPr>
        <w:t>صدوراً</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الكاشفية</w:t>
      </w:r>
      <w:r w:rsidRPr="00F27422">
        <w:rPr>
          <w:rFonts w:ascii="mylotus" w:hAnsi="mylotus"/>
          <w:b/>
          <w:bCs/>
          <w:sz w:val="32"/>
          <w:rtl/>
        </w:rPr>
        <w:t xml:space="preserve"> </w:t>
      </w:r>
      <w:r w:rsidRPr="00F27422">
        <w:rPr>
          <w:rFonts w:ascii="mylotus" w:hAnsi="mylotus" w:hint="cs"/>
          <w:b/>
          <w:bCs/>
          <w:sz w:val="32"/>
          <w:rtl/>
        </w:rPr>
        <w:t>والطريقية</w:t>
      </w:r>
      <w:r w:rsidRPr="00F27422">
        <w:rPr>
          <w:rFonts w:ascii="mylotus" w:hAnsi="mylotus"/>
          <w:b/>
          <w:bCs/>
          <w:sz w:val="32"/>
          <w:rtl/>
        </w:rPr>
        <w:t xml:space="preserve"> </w:t>
      </w:r>
      <w:r w:rsidRPr="00F27422">
        <w:rPr>
          <w:rFonts w:ascii="mylotus" w:hAnsi="mylotus" w:hint="cs"/>
          <w:b/>
          <w:bCs/>
          <w:sz w:val="32"/>
          <w:rtl/>
        </w:rPr>
        <w:t>التي</w:t>
      </w:r>
      <w:r w:rsidRPr="00F27422">
        <w:rPr>
          <w:rFonts w:ascii="mylotus" w:hAnsi="mylotus"/>
          <w:b/>
          <w:bCs/>
          <w:sz w:val="32"/>
          <w:rtl/>
        </w:rPr>
        <w:t xml:space="preserve"> </w:t>
      </w:r>
      <w:r w:rsidRPr="00F27422">
        <w:rPr>
          <w:rFonts w:ascii="mylotus" w:hAnsi="mylotus" w:hint="cs"/>
          <w:b/>
          <w:bCs/>
          <w:sz w:val="32"/>
          <w:rtl/>
        </w:rPr>
        <w:t>هي</w:t>
      </w:r>
      <w:r w:rsidRPr="00F27422">
        <w:rPr>
          <w:rFonts w:ascii="mylotus" w:hAnsi="mylotus"/>
          <w:b/>
          <w:bCs/>
          <w:sz w:val="32"/>
          <w:rtl/>
        </w:rPr>
        <w:t xml:space="preserve"> </w:t>
      </w:r>
      <w:r w:rsidRPr="00F27422">
        <w:rPr>
          <w:rFonts w:ascii="mylotus" w:hAnsi="mylotus" w:hint="cs"/>
          <w:b/>
          <w:bCs/>
          <w:sz w:val="32"/>
          <w:rtl/>
        </w:rPr>
        <w:t>ملاك</w:t>
      </w:r>
      <w:r w:rsidRPr="00F27422">
        <w:rPr>
          <w:rFonts w:ascii="mylotus" w:hAnsi="mylotus"/>
          <w:b/>
          <w:bCs/>
          <w:sz w:val="32"/>
          <w:rtl/>
        </w:rPr>
        <w:t xml:space="preserve"> </w:t>
      </w:r>
      <w:r w:rsidRPr="00F27422">
        <w:rPr>
          <w:rFonts w:ascii="mylotus" w:hAnsi="mylotus" w:hint="cs"/>
          <w:b/>
          <w:bCs/>
          <w:sz w:val="32"/>
          <w:rtl/>
        </w:rPr>
        <w:t>الحجية</w:t>
      </w:r>
      <w:r w:rsidRPr="00F27422">
        <w:rPr>
          <w:rFonts w:ascii="mylotus" w:hAnsi="mylotus"/>
          <w:b/>
          <w:bCs/>
          <w:sz w:val="32"/>
          <w:rtl/>
        </w:rPr>
        <w:t xml:space="preserve"> </w:t>
      </w:r>
      <w:r w:rsidRPr="00F27422">
        <w:rPr>
          <w:rFonts w:ascii="mylotus" w:hAnsi="mylotus" w:hint="cs"/>
          <w:b/>
          <w:bCs/>
          <w:sz w:val="32"/>
          <w:rtl/>
        </w:rPr>
        <w:t>والاعتبار</w:t>
      </w:r>
      <w:r w:rsidRPr="00F27422">
        <w:rPr>
          <w:rFonts w:ascii="mylotus" w:hAnsi="mylotus"/>
          <w:b/>
          <w:bCs/>
          <w:sz w:val="32"/>
          <w:rtl/>
        </w:rPr>
        <w:t>)</w:t>
      </w:r>
      <w:r w:rsidRPr="00F27422">
        <w:rPr>
          <w:rFonts w:ascii="mylotus" w:hAnsi="mylotus" w:hint="cs"/>
          <w:b/>
          <w:bCs/>
          <w:sz w:val="32"/>
          <w:rtl/>
        </w:rPr>
        <w:t>.</w:t>
      </w:r>
    </w:p>
    <w:p w14:paraId="62C92EBF"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sz w:val="32"/>
          <w:rtl/>
        </w:rPr>
        <w:t>فإن</w:t>
      </w:r>
      <w:r w:rsidRPr="00F27422">
        <w:rPr>
          <w:rFonts w:ascii="mylotus" w:hAnsi="mylotus" w:hint="cs"/>
          <w:sz w:val="32"/>
          <w:rtl/>
        </w:rPr>
        <w:t>ّ</w:t>
      </w:r>
      <w:r w:rsidRPr="00F27422">
        <w:rPr>
          <w:rFonts w:ascii="mylotus" w:hAnsi="mylotus"/>
          <w:sz w:val="32"/>
          <w:rtl/>
        </w:rPr>
        <w:t xml:space="preserve"> عدم دخل </w:t>
      </w:r>
      <w:proofErr w:type="spellStart"/>
      <w:r w:rsidRPr="00F27422">
        <w:rPr>
          <w:rFonts w:ascii="mylotus" w:hAnsi="mylotus"/>
          <w:sz w:val="32"/>
          <w:rtl/>
        </w:rPr>
        <w:t>الأحدثية</w:t>
      </w:r>
      <w:proofErr w:type="spellEnd"/>
      <w:r w:rsidRPr="00F27422">
        <w:rPr>
          <w:rFonts w:ascii="mylotus" w:hAnsi="mylotus"/>
          <w:sz w:val="32"/>
          <w:rtl/>
        </w:rPr>
        <w:t xml:space="preserve"> في الطريقية قرينةً على كون هذه الروايات بصدد تحديد الوظيفة الفعلية، لا بصدد ترجيح أحد الخبرين على الآخر مِن حيث</w:t>
      </w:r>
      <w:r w:rsidRPr="00F27422">
        <w:rPr>
          <w:rFonts w:ascii="mylotus" w:hAnsi="mylotus" w:hint="cs"/>
          <w:sz w:val="32"/>
          <w:rtl/>
        </w:rPr>
        <w:t>ُ</w:t>
      </w:r>
      <w:r w:rsidRPr="00F27422">
        <w:rPr>
          <w:rFonts w:ascii="mylotus" w:hAnsi="mylotus"/>
          <w:sz w:val="32"/>
          <w:rtl/>
        </w:rPr>
        <w:t xml:space="preserve"> الحجية</w:t>
      </w:r>
      <w:r w:rsidRPr="00F27422">
        <w:rPr>
          <w:rFonts w:ascii="mylotus" w:hAnsi="mylotus" w:hint="cs"/>
          <w:sz w:val="32"/>
          <w:rtl/>
        </w:rPr>
        <w:t xml:space="preserve">، </w:t>
      </w:r>
      <w:r w:rsidRPr="00F27422">
        <w:rPr>
          <w:rFonts w:ascii="mylotus" w:hAnsi="mylotus"/>
          <w:sz w:val="32"/>
          <w:rtl/>
        </w:rPr>
        <w:t>و</w:t>
      </w:r>
      <w:r w:rsidRPr="00F27422">
        <w:rPr>
          <w:rFonts w:ascii="mylotus" w:hAnsi="mylotus" w:hint="cs"/>
          <w:sz w:val="32"/>
          <w:rtl/>
        </w:rPr>
        <w:t>إ</w:t>
      </w:r>
      <w:r w:rsidRPr="00F27422">
        <w:rPr>
          <w:rFonts w:ascii="mylotus" w:hAnsi="mylotus"/>
          <w:sz w:val="32"/>
          <w:rtl/>
        </w:rPr>
        <w:t>ن</w:t>
      </w:r>
      <w:r w:rsidRPr="00F27422">
        <w:rPr>
          <w:rFonts w:ascii="mylotus" w:hAnsi="mylotus" w:hint="cs"/>
          <w:sz w:val="32"/>
          <w:rtl/>
        </w:rPr>
        <w:t>ْ</w:t>
      </w:r>
      <w:r w:rsidRPr="00F27422">
        <w:rPr>
          <w:rFonts w:ascii="mylotus" w:hAnsi="mylotus"/>
          <w:sz w:val="32"/>
          <w:rtl/>
        </w:rPr>
        <w:t xml:space="preserve"> ساقها السيد</w:t>
      </w:r>
      <w:r w:rsidRPr="00F27422">
        <w:rPr>
          <w:rFonts w:ascii="mylotus" w:hAnsi="mylotus" w:hint="cs"/>
          <w:sz w:val="32"/>
          <w:rtl/>
        </w:rPr>
        <w:t xml:space="preserve"> (قدس سره)</w:t>
      </w:r>
      <w:r w:rsidRPr="00F27422">
        <w:rPr>
          <w:rFonts w:ascii="mylotus" w:hAnsi="mylotus"/>
          <w:sz w:val="32"/>
          <w:rtl/>
        </w:rPr>
        <w:t xml:space="preserve"> لتقييد</w:t>
      </w:r>
      <w:r w:rsidRPr="00F27422">
        <w:rPr>
          <w:rFonts w:ascii="mylotus" w:hAnsi="mylotus" w:hint="cs"/>
          <w:sz w:val="32"/>
          <w:rtl/>
        </w:rPr>
        <w:t xml:space="preserve"> </w:t>
      </w:r>
      <w:r w:rsidRPr="00F27422">
        <w:rPr>
          <w:rFonts w:ascii="mylotus" w:hAnsi="mylotus"/>
          <w:sz w:val="32"/>
          <w:rtl/>
        </w:rPr>
        <w:t xml:space="preserve">مورد الترجيح </w:t>
      </w:r>
      <w:proofErr w:type="spellStart"/>
      <w:r w:rsidRPr="00F27422">
        <w:rPr>
          <w:rFonts w:ascii="mylotus" w:hAnsi="mylotus"/>
          <w:sz w:val="32"/>
          <w:rtl/>
        </w:rPr>
        <w:t>بالأحدثية</w:t>
      </w:r>
      <w:proofErr w:type="spellEnd"/>
      <w:r w:rsidRPr="00F27422">
        <w:rPr>
          <w:rFonts w:ascii="mylotus" w:hAnsi="mylotus"/>
          <w:sz w:val="32"/>
        </w:rPr>
        <w:t>.</w:t>
      </w:r>
    </w:p>
    <w:p w14:paraId="5B135118"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t>الثاني:</w:t>
      </w:r>
      <w:r w:rsidRPr="00F27422">
        <w:rPr>
          <w:rFonts w:ascii="mylotus" w:hAnsi="mylotus"/>
          <w:sz w:val="32"/>
          <w:rtl/>
        </w:rPr>
        <w:t xml:space="preserve"> أنّ ظهور سياق الروايات في كون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ارتكازياً، كما هو ظاهر</w:t>
      </w:r>
      <w:r w:rsidRPr="00F27422">
        <w:rPr>
          <w:rFonts w:ascii="mylotus" w:hAnsi="mylotus" w:hint="cs"/>
          <w:sz w:val="32"/>
          <w:rtl/>
        </w:rPr>
        <w:t>ُ</w:t>
      </w:r>
      <w:r w:rsidRPr="00F27422">
        <w:rPr>
          <w:rFonts w:ascii="mylotus" w:hAnsi="mylotus"/>
          <w:sz w:val="32"/>
          <w:rtl/>
        </w:rPr>
        <w:t xml:space="preserve"> الذيل في رواية الكناني حيث</w:t>
      </w:r>
      <w:r w:rsidRPr="00F27422">
        <w:rPr>
          <w:rFonts w:ascii="mylotus" w:hAnsi="mylotus" w:hint="cs"/>
          <w:sz w:val="32"/>
          <w:rtl/>
        </w:rPr>
        <w:t>ُ</w:t>
      </w:r>
      <w:r w:rsidRPr="00F27422">
        <w:rPr>
          <w:rFonts w:ascii="mylotus" w:hAnsi="mylotus"/>
          <w:sz w:val="32"/>
          <w:rtl/>
        </w:rPr>
        <w:t xml:space="preserve"> قال (عليه السلام): </w:t>
      </w:r>
      <w:r w:rsidRPr="00F27422">
        <w:rPr>
          <w:rFonts w:ascii="mylotus" w:hAnsi="mylotus"/>
          <w:b/>
          <w:bCs/>
          <w:sz w:val="32"/>
          <w:rtl/>
        </w:rPr>
        <w:t>(قد أصبت يا أبا عمرو، أبى الله إلّا أن يعبد سرّاً، أما والله لئن فعلتم ذلك إنّه لخير لي ولكم، أبى الله عزَّ وجلَّ لنا في دينه إلاّ التقيّة)</w:t>
      </w:r>
      <w:r w:rsidRPr="00F27422">
        <w:rPr>
          <w:rStyle w:val="FootnoteReference"/>
          <w:rFonts w:ascii="mylotus" w:hAnsi="mylotus"/>
          <w:sz w:val="32"/>
          <w:rtl/>
        </w:rPr>
        <w:footnoteReference w:id="134"/>
      </w:r>
      <w:r w:rsidRPr="00F27422">
        <w:rPr>
          <w:rFonts w:ascii="mylotus" w:hAnsi="mylotus" w:hint="cs"/>
          <w:b/>
          <w:bCs/>
          <w:sz w:val="32"/>
          <w:rtl/>
        </w:rPr>
        <w:t>.</w:t>
      </w:r>
    </w:p>
    <w:p w14:paraId="0F1ADB4A"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sz w:val="32"/>
          <w:rtl/>
        </w:rPr>
        <w:t>وكون</w:t>
      </w:r>
      <w:r w:rsidRPr="00F27422">
        <w:rPr>
          <w:rFonts w:ascii="mylotus" w:hAnsi="mylotus" w:hint="cs"/>
          <w:sz w:val="32"/>
          <w:rtl/>
        </w:rPr>
        <w:t>ُ</w:t>
      </w:r>
      <w:r w:rsidRPr="00F27422">
        <w:rPr>
          <w:rFonts w:ascii="mylotus" w:hAnsi="mylotus"/>
          <w:sz w:val="32"/>
          <w:rtl/>
        </w:rPr>
        <w:t xml:space="preserve"> الترجيح </w:t>
      </w:r>
      <w:proofErr w:type="spellStart"/>
      <w:r w:rsidRPr="00F27422">
        <w:rPr>
          <w:rFonts w:ascii="mylotus" w:hAnsi="mylotus"/>
          <w:sz w:val="32"/>
          <w:rtl/>
        </w:rPr>
        <w:t>بالأحدثية</w:t>
      </w:r>
      <w:proofErr w:type="spellEnd"/>
      <w:r w:rsidRPr="00F27422">
        <w:rPr>
          <w:rFonts w:ascii="mylotus" w:hAnsi="mylotus"/>
          <w:sz w:val="32"/>
          <w:rtl/>
        </w:rPr>
        <w:t xml:space="preserve"> أمراً ارتكازياً لا ينسجم إلّا مع كون الأخذ بالأحدث م</w:t>
      </w:r>
      <w:r w:rsidRPr="00F27422">
        <w:rPr>
          <w:rFonts w:ascii="mylotus" w:hAnsi="mylotus" w:hint="cs"/>
          <w:sz w:val="32"/>
          <w:rtl/>
        </w:rPr>
        <w:t>ِ</w:t>
      </w:r>
      <w:r w:rsidRPr="00F27422">
        <w:rPr>
          <w:rFonts w:ascii="mylotus" w:hAnsi="mylotus"/>
          <w:sz w:val="32"/>
          <w:rtl/>
        </w:rPr>
        <w:t>ن باب أنّه هو الوظيفة الفعلية، لا مِن باب الترجيح في الحجية؛ إذ لا معنى للترجيح في الحجية المتقومة بالطريقية بالأحدث مع أنّ كلا الخبرين يكشف عن تشريعٍ واحدٍ خصوصاٍ في أحاديث الأئمة الطاهرين (عليهم السلام) أنفسهم التي هي بمثابة لسانٍ واحدٍ معبرٍ عن لوحٍ واحدٍ، فنفسُ ارتكازية الأخذ بالم</w:t>
      </w:r>
      <w:r w:rsidRPr="00F27422">
        <w:rPr>
          <w:rFonts w:ascii="mylotus" w:hAnsi="mylotus" w:hint="cs"/>
          <w:sz w:val="32"/>
          <w:rtl/>
        </w:rPr>
        <w:t>ُ</w:t>
      </w:r>
      <w:r w:rsidRPr="00F27422">
        <w:rPr>
          <w:rFonts w:ascii="mylotus" w:hAnsi="mylotus"/>
          <w:sz w:val="32"/>
          <w:rtl/>
        </w:rPr>
        <w:t>تأخر قرينة على كون المنظور تحديد الوظيفة الفعلية في الأخذ بالأحدث، وإلّا فلا يتصور ارتكاز بينهم في أمٍر مخالفٍ للمبنى العقلائي ما لَمْ يكن معقد الارتكاز هو النظر للوظيفة لا</w:t>
      </w:r>
      <w:r w:rsidRPr="00F27422">
        <w:rPr>
          <w:rFonts w:ascii="mylotus" w:hAnsi="mylotus" w:hint="cs"/>
          <w:sz w:val="32"/>
          <w:rtl/>
        </w:rPr>
        <w:t xml:space="preserve"> </w:t>
      </w:r>
      <w:r w:rsidRPr="00F27422">
        <w:rPr>
          <w:rFonts w:ascii="mylotus" w:hAnsi="mylotus"/>
          <w:sz w:val="32"/>
          <w:rtl/>
        </w:rPr>
        <w:t>تحديد الطري</w:t>
      </w:r>
      <w:r w:rsidRPr="00F27422">
        <w:rPr>
          <w:rFonts w:ascii="mylotus" w:hAnsi="mylotus" w:hint="cs"/>
          <w:sz w:val="32"/>
          <w:rtl/>
        </w:rPr>
        <w:t>ق.</w:t>
      </w:r>
    </w:p>
    <w:p w14:paraId="145B69FF" w14:textId="77777777" w:rsidR="0058696A" w:rsidRPr="00F27422" w:rsidRDefault="0058696A" w:rsidP="00122B70">
      <w:pPr>
        <w:pStyle w:val="a"/>
        <w:bidi/>
        <w:spacing w:line="216" w:lineRule="auto"/>
        <w:jc w:val="left"/>
        <w:rPr>
          <w:rFonts w:ascii="mylotus" w:hAnsi="mylotus"/>
          <w:sz w:val="32"/>
          <w:rtl/>
        </w:rPr>
      </w:pPr>
      <w:r w:rsidRPr="00F27422">
        <w:rPr>
          <w:rFonts w:ascii="mylotus" w:hAnsi="mylotus"/>
          <w:b/>
          <w:bCs/>
          <w:sz w:val="32"/>
          <w:rtl/>
        </w:rPr>
        <w:t>والنتيجة:</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ه لا</w:t>
      </w:r>
      <w:r w:rsidRPr="00F27422">
        <w:rPr>
          <w:rFonts w:ascii="mylotus" w:hAnsi="mylotus" w:hint="cs"/>
          <w:sz w:val="32"/>
          <w:rtl/>
        </w:rPr>
        <w:t xml:space="preserve"> </w:t>
      </w:r>
      <w:r w:rsidRPr="00F27422">
        <w:rPr>
          <w:rFonts w:ascii="mylotus" w:hAnsi="mylotus"/>
          <w:sz w:val="32"/>
          <w:rtl/>
        </w:rPr>
        <w:t xml:space="preserve">وجه لترجيح الرواية الصادرة في المقام عن الإمام الكاظم (عليه السلام) على ما دلّ على التفصيل وهو صحيحة أبي ولاد الصادرة عن أبي </w:t>
      </w:r>
      <w:proofErr w:type="gramStart"/>
      <w:r w:rsidRPr="00F27422">
        <w:rPr>
          <w:rFonts w:ascii="mylotus" w:hAnsi="mylotus"/>
          <w:sz w:val="32"/>
          <w:rtl/>
        </w:rPr>
        <w:t>عبدالله</w:t>
      </w:r>
      <w:proofErr w:type="gramEnd"/>
      <w:r w:rsidRPr="00F27422">
        <w:rPr>
          <w:rFonts w:ascii="mylotus" w:hAnsi="mylotus"/>
          <w:sz w:val="32"/>
          <w:rtl/>
        </w:rPr>
        <w:t xml:space="preserve"> (عليه السلام) بنكتة </w:t>
      </w:r>
      <w:proofErr w:type="spellStart"/>
      <w:r w:rsidRPr="00F27422">
        <w:rPr>
          <w:rFonts w:ascii="mylotus" w:hAnsi="mylotus"/>
          <w:sz w:val="32"/>
          <w:rtl/>
        </w:rPr>
        <w:t>الأحدثية</w:t>
      </w:r>
      <w:proofErr w:type="spellEnd"/>
      <w:r w:rsidRPr="00F27422">
        <w:rPr>
          <w:rFonts w:ascii="mylotus" w:hAnsi="mylotus"/>
          <w:sz w:val="32"/>
          <w:rtl/>
        </w:rPr>
        <w:t>.</w:t>
      </w:r>
    </w:p>
    <w:p w14:paraId="11FE1363" w14:textId="77777777" w:rsidR="0058696A" w:rsidRPr="00F27422" w:rsidRDefault="0058696A" w:rsidP="00122B70">
      <w:pPr>
        <w:pStyle w:val="a"/>
        <w:bidi/>
        <w:spacing w:line="216" w:lineRule="auto"/>
        <w:jc w:val="left"/>
        <w:rPr>
          <w:rFonts w:ascii="mylotus" w:hAnsi="mylotus"/>
          <w:sz w:val="32"/>
          <w:rtl/>
        </w:rPr>
      </w:pPr>
    </w:p>
    <w:p w14:paraId="5B3A75D6" w14:textId="77777777" w:rsidR="0058696A" w:rsidRPr="00F27422" w:rsidRDefault="0058696A"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15EC6D2F" w14:textId="77777777" w:rsidR="0058696A" w:rsidRPr="00F27422" w:rsidRDefault="0058696A" w:rsidP="00122B70">
      <w:pPr>
        <w:bidi/>
        <w:rPr>
          <w:sz w:val="32"/>
          <w:szCs w:val="32"/>
          <w:rtl/>
        </w:rPr>
      </w:pPr>
    </w:p>
    <w:p w14:paraId="778AF7A6" w14:textId="733E1725" w:rsidR="0058696A" w:rsidRPr="00F27422" w:rsidRDefault="0058696A" w:rsidP="00122B70">
      <w:pPr>
        <w:pStyle w:val="Heading3"/>
        <w:bidi/>
        <w:rPr>
          <w:sz w:val="32"/>
          <w:szCs w:val="32"/>
          <w:rtl/>
        </w:rPr>
      </w:pPr>
      <w:r w:rsidRPr="00F27422">
        <w:rPr>
          <w:rFonts w:hint="cs"/>
          <w:sz w:val="32"/>
          <w:szCs w:val="32"/>
          <w:rtl/>
        </w:rPr>
        <w:t>086</w:t>
      </w:r>
    </w:p>
    <w:p w14:paraId="73C69E7B" w14:textId="5AA2149D" w:rsidR="00572AA8" w:rsidRPr="00F27422" w:rsidRDefault="009B553D" w:rsidP="00122B70">
      <w:pPr>
        <w:pStyle w:val="a"/>
        <w:bidi/>
        <w:spacing w:line="216" w:lineRule="auto"/>
        <w:jc w:val="left"/>
        <w:rPr>
          <w:rFonts w:ascii="mylotus" w:hAnsi="mylotus"/>
          <w:b/>
          <w:bCs/>
          <w:sz w:val="32"/>
        </w:rPr>
      </w:pPr>
      <w:r w:rsidRPr="00F27422">
        <w:rPr>
          <w:rFonts w:ascii="mylotus" w:hAnsi="mylotus" w:hint="cs"/>
          <w:b/>
          <w:bCs/>
          <w:sz w:val="32"/>
          <w:rtl/>
        </w:rPr>
        <w:t xml:space="preserve"> </w:t>
      </w:r>
    </w:p>
    <w:p w14:paraId="2E198FDC" w14:textId="77777777" w:rsidR="0058696A" w:rsidRPr="00F27422" w:rsidRDefault="0058696A" w:rsidP="00122B70">
      <w:pPr>
        <w:bidi/>
        <w:rPr>
          <w:sz w:val="32"/>
          <w:szCs w:val="32"/>
          <w:rtl/>
        </w:rPr>
      </w:pPr>
    </w:p>
    <w:p w14:paraId="59D6B3F8" w14:textId="21E8475E" w:rsidR="0091405A" w:rsidRPr="00F27422" w:rsidRDefault="00572AA8" w:rsidP="00122B70">
      <w:pPr>
        <w:pStyle w:val="Heading3"/>
        <w:bidi/>
        <w:rPr>
          <w:sz w:val="32"/>
          <w:szCs w:val="32"/>
          <w:rtl/>
        </w:rPr>
      </w:pPr>
      <w:r w:rsidRPr="00F27422">
        <w:rPr>
          <w:rFonts w:hint="cs"/>
          <w:sz w:val="32"/>
          <w:szCs w:val="32"/>
          <w:rtl/>
        </w:rPr>
        <w:t>087</w:t>
      </w:r>
    </w:p>
    <w:p w14:paraId="56E0E409" w14:textId="77777777" w:rsidR="00CB6487" w:rsidRPr="00F27422" w:rsidRDefault="00CB6487" w:rsidP="00122B70">
      <w:pPr>
        <w:bidi/>
        <w:rPr>
          <w:b/>
          <w:bCs/>
          <w:sz w:val="32"/>
          <w:szCs w:val="32"/>
        </w:rPr>
      </w:pPr>
      <w:r w:rsidRPr="00F27422">
        <w:rPr>
          <w:b/>
          <w:bCs/>
          <w:sz w:val="32"/>
          <w:szCs w:val="32"/>
          <w:rtl/>
        </w:rPr>
        <w:t>بسم الله الرحمن الرحيم</w:t>
      </w:r>
    </w:p>
    <w:p w14:paraId="0C990158" w14:textId="77777777" w:rsidR="00CB6487" w:rsidRPr="00F27422" w:rsidRDefault="00CB6487"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64D538CD" w14:textId="77777777" w:rsidR="00CB6487" w:rsidRPr="00F27422" w:rsidRDefault="00CB6487" w:rsidP="00122B70">
      <w:pPr>
        <w:bidi/>
        <w:rPr>
          <w:b/>
          <w:bCs/>
          <w:sz w:val="32"/>
          <w:szCs w:val="32"/>
          <w:rtl/>
        </w:rPr>
      </w:pPr>
      <w:r w:rsidRPr="00F27422">
        <w:rPr>
          <w:b/>
          <w:bCs/>
          <w:sz w:val="32"/>
          <w:szCs w:val="32"/>
          <w:rtl/>
        </w:rPr>
        <w:t>واللعن الدائم على أعدائهم أجمعين إلى قيام يوم الدين</w:t>
      </w:r>
    </w:p>
    <w:p w14:paraId="62F0F446" w14:textId="77777777" w:rsidR="00CB6487" w:rsidRPr="00F27422" w:rsidRDefault="00CB6487" w:rsidP="00122B70">
      <w:pPr>
        <w:bidi/>
        <w:rPr>
          <w:b/>
          <w:bCs/>
          <w:sz w:val="32"/>
          <w:szCs w:val="32"/>
          <w:rtl/>
        </w:rPr>
      </w:pPr>
    </w:p>
    <w:p w14:paraId="50D81F89" w14:textId="77777777" w:rsidR="00CB6487" w:rsidRPr="00F27422" w:rsidRDefault="00CB6487" w:rsidP="00122B70">
      <w:pPr>
        <w:bidi/>
        <w:rPr>
          <w:sz w:val="32"/>
          <w:szCs w:val="32"/>
          <w:rtl/>
        </w:rPr>
      </w:pPr>
      <w:r w:rsidRPr="00F27422">
        <w:rPr>
          <w:b/>
          <w:bCs/>
          <w:sz w:val="32"/>
          <w:szCs w:val="32"/>
          <w:rtl/>
        </w:rPr>
        <w:lastRenderedPageBreak/>
        <w:t>وحاصل المطلب:</w:t>
      </w:r>
      <w:r w:rsidRPr="00F27422">
        <w:rPr>
          <w:sz w:val="32"/>
          <w:szCs w:val="32"/>
          <w:rtl/>
        </w:rPr>
        <w:t xml:space="preserve"> أنّه قد </w:t>
      </w:r>
      <w:proofErr w:type="gramStart"/>
      <w:r w:rsidRPr="00F27422">
        <w:rPr>
          <w:sz w:val="32"/>
          <w:szCs w:val="32"/>
          <w:rtl/>
        </w:rPr>
        <w:t>استدل  بصحيحة</w:t>
      </w:r>
      <w:proofErr w:type="gramEnd"/>
      <w:r w:rsidRPr="00F27422">
        <w:rPr>
          <w:sz w:val="32"/>
          <w:szCs w:val="32"/>
          <w:rtl/>
        </w:rPr>
        <w:t xml:space="preserve"> عمر بن يزيد، كما في الوسائل: </w:t>
      </w:r>
      <w:r w:rsidRPr="00F27422">
        <w:rPr>
          <w:b/>
          <w:bCs/>
          <w:sz w:val="32"/>
          <w:szCs w:val="32"/>
          <w:rtl/>
        </w:rPr>
        <w:t xml:space="preserve">(وبإسناده عن محمد بن أحمد بن يحيى، عن العباس، عن حماد بن عيسى، عن عمر بن يزيد، عن أبي الحسن (عليه </w:t>
      </w:r>
      <w:r w:rsidRPr="00F27422">
        <w:rPr>
          <w:b/>
          <w:bCs/>
          <w:sz w:val="32"/>
          <w:szCs w:val="32"/>
        </w:rPr>
        <w:t>‌</w:t>
      </w:r>
      <w:r w:rsidRPr="00F27422">
        <w:rPr>
          <w:b/>
          <w:bCs/>
          <w:sz w:val="32"/>
          <w:szCs w:val="32"/>
          <w:rtl/>
        </w:rPr>
        <w:t>السلام) قال: سألته عن الرجل يركبه الدين فيوجد متاع رجل عنده بعينه؟ قال: لا يحاصه الغرماء)</w:t>
      </w:r>
      <w:r w:rsidRPr="00F27422">
        <w:rPr>
          <w:b/>
          <w:bCs/>
          <w:sz w:val="32"/>
          <w:szCs w:val="32"/>
          <w:vertAlign w:val="superscript"/>
          <w:rtl/>
        </w:rPr>
        <w:footnoteReference w:id="135"/>
      </w:r>
      <w:r w:rsidRPr="00F27422">
        <w:rPr>
          <w:sz w:val="32"/>
          <w:szCs w:val="32"/>
          <w:rtl/>
        </w:rPr>
        <w:t xml:space="preserve"> على ثبوت الخيار للبائع أو المُؤجّر إذا كان المُشتري أو المُستأجر مفلساً بحيثُ لا يمكنه أداء الثمن أو الأُجرة.</w:t>
      </w:r>
    </w:p>
    <w:p w14:paraId="0E3E9926" w14:textId="77777777" w:rsidR="00CB6487" w:rsidRPr="00F27422" w:rsidRDefault="00CB6487" w:rsidP="00122B70">
      <w:pPr>
        <w:bidi/>
        <w:rPr>
          <w:b/>
          <w:bCs/>
          <w:sz w:val="32"/>
          <w:szCs w:val="32"/>
          <w:rtl/>
        </w:rPr>
      </w:pPr>
      <w:r w:rsidRPr="00F27422">
        <w:rPr>
          <w:sz w:val="32"/>
          <w:szCs w:val="32"/>
          <w:rtl/>
        </w:rPr>
        <w:t xml:space="preserve">وهو ما ذهب إليه سيدنا الخوئي (قدس سره الشريف) في موسوعته المباركة في كتاب الإجارة حيثُ قال: </w:t>
      </w:r>
      <w:r w:rsidRPr="00F27422">
        <w:rPr>
          <w:b/>
          <w:bCs/>
          <w:sz w:val="32"/>
          <w:szCs w:val="32"/>
          <w:rtl/>
        </w:rPr>
        <w:t>(ولكن يمكن أن يقال باستفادة الحكم من نفس الأخبار، ولعل المشهور أيضاً استندوا إليها لا أنّهم عوّلوا على التعبّد المحض أو الدعوى المجرّدة، وهي صحيحة عمر بن يزيد عن أبي الحسن (عليه السلام)، قال: سألته عن الرجل يركبه الدين فيوجد متاع رجل عنده بعينه، قال: لا يحاصه الغرماء).</w:t>
      </w:r>
    </w:p>
    <w:p w14:paraId="1285FA22" w14:textId="77777777" w:rsidR="00CB6487" w:rsidRPr="00F27422" w:rsidRDefault="00CB6487" w:rsidP="00122B70">
      <w:pPr>
        <w:bidi/>
        <w:rPr>
          <w:b/>
          <w:bCs/>
          <w:sz w:val="32"/>
          <w:szCs w:val="32"/>
          <w:rtl/>
        </w:rPr>
      </w:pPr>
      <w:r w:rsidRPr="00F27422">
        <w:rPr>
          <w:b/>
          <w:bCs/>
          <w:sz w:val="32"/>
          <w:szCs w:val="32"/>
          <w:rtl/>
        </w:rPr>
        <w:t>فإنّ دعوى شمولها للمقام غير بعيدة باعتبار أنّ وجدان المتاع عنده مطلق يشمل ما لو كان ذلك بعنوان البيع أو الإجارة، وكونه مالكاً لمنافعه لا لعينه، إذ لم يتقيّد ذلك بصورة البيع</w:t>
      </w:r>
      <w:r w:rsidRPr="00F27422">
        <w:rPr>
          <w:b/>
          <w:bCs/>
          <w:sz w:val="32"/>
          <w:szCs w:val="32"/>
        </w:rPr>
        <w:t>.</w:t>
      </w:r>
    </w:p>
    <w:p w14:paraId="38D9AE16" w14:textId="77777777" w:rsidR="00CB6487" w:rsidRPr="00F27422" w:rsidRDefault="00CB6487" w:rsidP="00122B70">
      <w:pPr>
        <w:bidi/>
        <w:rPr>
          <w:b/>
          <w:bCs/>
          <w:sz w:val="32"/>
          <w:szCs w:val="32"/>
          <w:rtl/>
        </w:rPr>
      </w:pPr>
      <w:r w:rsidRPr="00F27422">
        <w:rPr>
          <w:b/>
          <w:bCs/>
          <w:sz w:val="32"/>
          <w:szCs w:val="32"/>
          <w:rtl/>
        </w:rPr>
        <w:t>إذن فلا بأس بالتعدّي استناداً إلى هذه الصحيحة، التي إطلاقها غير قاصر الشمول للمقام)</w:t>
      </w:r>
      <w:r w:rsidRPr="00F27422">
        <w:rPr>
          <w:b/>
          <w:bCs/>
          <w:sz w:val="32"/>
          <w:szCs w:val="32"/>
          <w:vertAlign w:val="superscript"/>
          <w:rtl/>
        </w:rPr>
        <w:footnoteReference w:id="136"/>
      </w:r>
      <w:r w:rsidRPr="00F27422">
        <w:rPr>
          <w:b/>
          <w:bCs/>
          <w:sz w:val="32"/>
          <w:szCs w:val="32"/>
          <w:rtl/>
        </w:rPr>
        <w:t>.</w:t>
      </w:r>
    </w:p>
    <w:p w14:paraId="11F863A0" w14:textId="77777777" w:rsidR="00CB6487" w:rsidRPr="00F27422" w:rsidRDefault="00CB6487" w:rsidP="00122B70">
      <w:pPr>
        <w:bidi/>
        <w:rPr>
          <w:sz w:val="32"/>
          <w:szCs w:val="32"/>
          <w:rtl/>
        </w:rPr>
      </w:pPr>
      <w:r w:rsidRPr="00F27422">
        <w:rPr>
          <w:b/>
          <w:bCs/>
          <w:sz w:val="32"/>
          <w:szCs w:val="32"/>
          <w:rtl/>
        </w:rPr>
        <w:t>ولكن في هذا الاستدلال</w:t>
      </w:r>
      <w:r w:rsidRPr="00F27422">
        <w:rPr>
          <w:sz w:val="32"/>
          <w:szCs w:val="32"/>
          <w:rtl/>
        </w:rPr>
        <w:t xml:space="preserve"> </w:t>
      </w:r>
      <w:r w:rsidRPr="00F27422">
        <w:rPr>
          <w:b/>
          <w:bCs/>
          <w:sz w:val="32"/>
          <w:szCs w:val="32"/>
          <w:rtl/>
        </w:rPr>
        <w:t>- كما سبق -</w:t>
      </w:r>
      <w:r w:rsidRPr="00F27422">
        <w:rPr>
          <w:sz w:val="32"/>
          <w:szCs w:val="32"/>
          <w:rtl/>
        </w:rPr>
        <w:t xml:space="preserve"> </w:t>
      </w:r>
      <w:r w:rsidRPr="00F27422">
        <w:rPr>
          <w:b/>
          <w:bCs/>
          <w:sz w:val="32"/>
          <w:szCs w:val="32"/>
          <w:rtl/>
        </w:rPr>
        <w:t>عدّة مناقشات:</w:t>
      </w:r>
    </w:p>
    <w:p w14:paraId="0112BE9B" w14:textId="77777777" w:rsidR="00CB6487" w:rsidRPr="00F27422" w:rsidRDefault="00CB6487" w:rsidP="00122B70">
      <w:pPr>
        <w:bidi/>
        <w:rPr>
          <w:sz w:val="32"/>
          <w:szCs w:val="32"/>
          <w:rtl/>
        </w:rPr>
      </w:pPr>
      <w:r w:rsidRPr="00F27422">
        <w:rPr>
          <w:b/>
          <w:bCs/>
          <w:sz w:val="32"/>
          <w:szCs w:val="32"/>
          <w:rtl/>
        </w:rPr>
        <w:t>المناقشةُ الأوّلى:</w:t>
      </w:r>
    </w:p>
    <w:p w14:paraId="4726ECBE" w14:textId="77777777" w:rsidR="00CB6487" w:rsidRPr="00F27422" w:rsidRDefault="00CB6487" w:rsidP="00122B70">
      <w:pPr>
        <w:bidi/>
        <w:rPr>
          <w:sz w:val="32"/>
          <w:szCs w:val="32"/>
          <w:rtl/>
        </w:rPr>
      </w:pPr>
      <w:r w:rsidRPr="00F27422">
        <w:rPr>
          <w:sz w:val="32"/>
          <w:szCs w:val="32"/>
          <w:rtl/>
        </w:rPr>
        <w:t>وهي أنّ إطلاق صحيحة عمر بن يزيد مقيّد بالتفصيل الوارد في صحيحة أبي ولاد بين فرض كون المدين واجداً لما يفي بِهِ ديون الغرماء فللدائن أخذ المتاع ولا يحاصه الغرماء فيه، وفرض عدم وجود ما يفي بِهِ ديون الغرماء وحينئذٍ يكون الدائن كأحدهم.</w:t>
      </w:r>
    </w:p>
    <w:p w14:paraId="3B5503DA" w14:textId="77777777" w:rsidR="00CB6487" w:rsidRPr="00F27422" w:rsidRDefault="00CB6487" w:rsidP="00122B70">
      <w:pPr>
        <w:bidi/>
        <w:rPr>
          <w:b/>
          <w:bCs/>
          <w:sz w:val="32"/>
          <w:szCs w:val="32"/>
          <w:rtl/>
        </w:rPr>
      </w:pPr>
      <w:r w:rsidRPr="00F27422">
        <w:rPr>
          <w:b/>
          <w:bCs/>
          <w:sz w:val="32"/>
          <w:szCs w:val="32"/>
          <w:rtl/>
        </w:rPr>
        <w:t>ولكن حمل مفاد صحيح عمر بن يزيد على التفصيل في صحيح أبي ولاد غيرُ عرفي لعدّة موانع:</w:t>
      </w:r>
    </w:p>
    <w:p w14:paraId="4781846F" w14:textId="77777777" w:rsidR="00CB6487" w:rsidRPr="00F27422" w:rsidRDefault="00CB6487" w:rsidP="00122B70">
      <w:pPr>
        <w:bidi/>
        <w:rPr>
          <w:sz w:val="32"/>
          <w:szCs w:val="32"/>
          <w:rtl/>
        </w:rPr>
      </w:pPr>
      <w:r w:rsidRPr="00F27422">
        <w:rPr>
          <w:b/>
          <w:bCs/>
          <w:sz w:val="32"/>
          <w:szCs w:val="32"/>
          <w:rtl/>
        </w:rPr>
        <w:t xml:space="preserve">المانعُ الأوّل: </w:t>
      </w:r>
      <w:r w:rsidRPr="00F27422">
        <w:rPr>
          <w:sz w:val="32"/>
          <w:szCs w:val="32"/>
          <w:rtl/>
        </w:rPr>
        <w:t xml:space="preserve">ما مضى مِن أنّ حمل إطلاق صحيح عمر بن يزيد على التفصيل الوارد في صحيحة أبي ولاد مستهجنٌ لدى العرف العقلائي؛ بلحاظ أنّ حمل الإطلاق الترخيصي على </w:t>
      </w:r>
      <w:r w:rsidRPr="00F27422">
        <w:rPr>
          <w:sz w:val="32"/>
          <w:szCs w:val="32"/>
          <w:rtl/>
        </w:rPr>
        <w:lastRenderedPageBreak/>
        <w:t>المقيّد الإلزامي المنفصل عنه إيقاعٌ للمكلف في تفويت الغرض اللزومي للمولى وهو قبيحٌ. وقد مضى الكلامُ فيه مفصلاً</w:t>
      </w:r>
      <w:r w:rsidRPr="00F27422">
        <w:rPr>
          <w:sz w:val="32"/>
          <w:szCs w:val="32"/>
        </w:rPr>
        <w:t>.</w:t>
      </w:r>
    </w:p>
    <w:p w14:paraId="4EC25FAE" w14:textId="77777777" w:rsidR="00CB6487" w:rsidRPr="00F27422" w:rsidRDefault="00CB6487" w:rsidP="00122B70">
      <w:pPr>
        <w:bidi/>
        <w:rPr>
          <w:sz w:val="32"/>
          <w:szCs w:val="32"/>
          <w:rtl/>
        </w:rPr>
      </w:pPr>
      <w:r w:rsidRPr="00F27422">
        <w:rPr>
          <w:b/>
          <w:bCs/>
          <w:sz w:val="32"/>
          <w:szCs w:val="32"/>
          <w:rtl/>
        </w:rPr>
        <w:t>المانعُ الثاني:</w:t>
      </w:r>
      <w:r w:rsidRPr="00F27422">
        <w:rPr>
          <w:sz w:val="32"/>
          <w:szCs w:val="32"/>
          <w:rtl/>
        </w:rPr>
        <w:t xml:space="preserve"> أنّ قول السائل في صحيحة عمر بن </w:t>
      </w:r>
      <w:proofErr w:type="gramStart"/>
      <w:r w:rsidRPr="00F27422">
        <w:rPr>
          <w:sz w:val="32"/>
          <w:szCs w:val="32"/>
          <w:rtl/>
        </w:rPr>
        <w:t>يزيد :</w:t>
      </w:r>
      <w:proofErr w:type="gramEnd"/>
      <w:r w:rsidRPr="00F27422">
        <w:rPr>
          <w:sz w:val="32"/>
          <w:szCs w:val="32"/>
          <w:rtl/>
        </w:rPr>
        <w:t xml:space="preserve"> </w:t>
      </w:r>
      <w:r w:rsidRPr="00F27422">
        <w:rPr>
          <w:b/>
          <w:bCs/>
          <w:sz w:val="32"/>
          <w:szCs w:val="32"/>
          <w:rtl/>
        </w:rPr>
        <w:t>(سألته عن الرجل يركبه الدين فيوجد متاع رجل عنده)</w:t>
      </w:r>
      <w:r w:rsidRPr="00F27422">
        <w:rPr>
          <w:sz w:val="32"/>
          <w:szCs w:val="32"/>
          <w:rtl/>
        </w:rPr>
        <w:t xml:space="preserve"> فيه محتملان</w:t>
      </w:r>
      <w:r w:rsidRPr="00F27422">
        <w:rPr>
          <w:sz w:val="32"/>
          <w:szCs w:val="32"/>
        </w:rPr>
        <w:t>:</w:t>
      </w:r>
    </w:p>
    <w:p w14:paraId="11DD6962" w14:textId="77777777" w:rsidR="00CB6487" w:rsidRPr="00F27422" w:rsidRDefault="00CB6487" w:rsidP="00122B70">
      <w:pPr>
        <w:bidi/>
        <w:rPr>
          <w:b/>
          <w:bCs/>
          <w:sz w:val="32"/>
          <w:szCs w:val="32"/>
          <w:rtl/>
        </w:rPr>
      </w:pPr>
      <w:r w:rsidRPr="00F27422">
        <w:rPr>
          <w:b/>
          <w:bCs/>
          <w:sz w:val="32"/>
          <w:szCs w:val="32"/>
          <w:rtl/>
        </w:rPr>
        <w:t>المحتملُ الأوّل:</w:t>
      </w:r>
      <w:r w:rsidRPr="00F27422">
        <w:rPr>
          <w:sz w:val="32"/>
          <w:szCs w:val="32"/>
          <w:rtl/>
        </w:rPr>
        <w:t xml:space="preserve"> عود الضميرين في قوله: </w:t>
      </w:r>
      <w:r w:rsidRPr="00F27422">
        <w:rPr>
          <w:b/>
          <w:bCs/>
          <w:sz w:val="32"/>
          <w:szCs w:val="32"/>
          <w:rtl/>
        </w:rPr>
        <w:t xml:space="preserve">(يركبه) </w:t>
      </w:r>
      <w:r w:rsidRPr="00F27422">
        <w:rPr>
          <w:sz w:val="32"/>
          <w:szCs w:val="32"/>
          <w:rtl/>
        </w:rPr>
        <w:t xml:space="preserve">و </w:t>
      </w:r>
      <w:r w:rsidRPr="00F27422">
        <w:rPr>
          <w:b/>
          <w:bCs/>
          <w:sz w:val="32"/>
          <w:szCs w:val="32"/>
          <w:rtl/>
        </w:rPr>
        <w:t>(عنده)</w:t>
      </w:r>
      <w:r w:rsidRPr="00F27422">
        <w:rPr>
          <w:sz w:val="32"/>
          <w:szCs w:val="32"/>
          <w:rtl/>
        </w:rPr>
        <w:t xml:space="preserve"> على الدائن، بمعنى: أنّ الدائن إذا ركبه الدين بمعنى أثقله، ووجد متاع المدين عنده فإنّه لا يحاصه فيه </w:t>
      </w:r>
      <w:proofErr w:type="gramStart"/>
      <w:r w:rsidRPr="00F27422">
        <w:rPr>
          <w:sz w:val="32"/>
          <w:szCs w:val="32"/>
          <w:rtl/>
        </w:rPr>
        <w:t>الغرماء</w:t>
      </w:r>
      <w:proofErr w:type="gramEnd"/>
      <w:r w:rsidRPr="00F27422">
        <w:rPr>
          <w:sz w:val="32"/>
          <w:szCs w:val="32"/>
          <w:rtl/>
        </w:rPr>
        <w:t xml:space="preserve"> بل لهُ أنْ يأخذ متاع المدين</w:t>
      </w:r>
      <w:r w:rsidRPr="00F27422">
        <w:rPr>
          <w:sz w:val="32"/>
          <w:szCs w:val="32"/>
        </w:rPr>
        <w:t>.</w:t>
      </w:r>
    </w:p>
    <w:p w14:paraId="76209FE7" w14:textId="77777777" w:rsidR="00CB6487" w:rsidRPr="00F27422" w:rsidRDefault="00CB6487" w:rsidP="00122B70">
      <w:pPr>
        <w:bidi/>
        <w:rPr>
          <w:sz w:val="32"/>
          <w:szCs w:val="32"/>
          <w:rtl/>
        </w:rPr>
      </w:pPr>
      <w:r w:rsidRPr="00F27422">
        <w:rPr>
          <w:sz w:val="32"/>
          <w:szCs w:val="32"/>
          <w:rtl/>
        </w:rPr>
        <w:t>وبناءً على هذا المحتمل تكونُ الرواية مطلقة وصحيحة أبي ولاد مفصلة لها، وهي أنّه: إنّما لهُ أنْ يأخذ المتاع إذا كان للمدين ما يفي بِهِ ديون الغرماء، لا مطلقاً.</w:t>
      </w:r>
    </w:p>
    <w:p w14:paraId="5CA34FCF" w14:textId="77777777" w:rsidR="00CB6487" w:rsidRPr="00F27422" w:rsidRDefault="00CB6487" w:rsidP="00122B70">
      <w:pPr>
        <w:bidi/>
        <w:rPr>
          <w:sz w:val="32"/>
          <w:szCs w:val="32"/>
          <w:rtl/>
        </w:rPr>
      </w:pPr>
      <w:r w:rsidRPr="00F27422">
        <w:rPr>
          <w:b/>
          <w:bCs/>
          <w:sz w:val="32"/>
          <w:szCs w:val="32"/>
          <w:rtl/>
        </w:rPr>
        <w:t>المحتملُ الثاني:</w:t>
      </w:r>
      <w:r w:rsidRPr="00F27422">
        <w:rPr>
          <w:sz w:val="32"/>
          <w:szCs w:val="32"/>
          <w:rtl/>
        </w:rPr>
        <w:t xml:space="preserve"> وهو أنّ الضميرين في قوله: </w:t>
      </w:r>
      <w:r w:rsidRPr="00F27422">
        <w:rPr>
          <w:b/>
          <w:bCs/>
          <w:sz w:val="32"/>
          <w:szCs w:val="32"/>
          <w:rtl/>
        </w:rPr>
        <w:t>(يركبه)</w:t>
      </w:r>
      <w:r w:rsidRPr="00F27422">
        <w:rPr>
          <w:sz w:val="32"/>
          <w:szCs w:val="32"/>
          <w:rtl/>
        </w:rPr>
        <w:t xml:space="preserve"> و </w:t>
      </w:r>
      <w:r w:rsidRPr="00F27422">
        <w:rPr>
          <w:b/>
          <w:bCs/>
          <w:sz w:val="32"/>
          <w:szCs w:val="32"/>
          <w:rtl/>
        </w:rPr>
        <w:t>(عنده)</w:t>
      </w:r>
      <w:r w:rsidRPr="00F27422">
        <w:rPr>
          <w:sz w:val="32"/>
          <w:szCs w:val="32"/>
          <w:rtl/>
        </w:rPr>
        <w:t xml:space="preserve"> يعودان للمدين - لا للدائن - بقرينة قوله: </w:t>
      </w:r>
      <w:r w:rsidRPr="00F27422">
        <w:rPr>
          <w:b/>
          <w:bCs/>
          <w:sz w:val="32"/>
          <w:szCs w:val="32"/>
          <w:rtl/>
        </w:rPr>
        <w:t>(يركبه الدين)؛</w:t>
      </w:r>
      <w:r w:rsidRPr="00F27422">
        <w:rPr>
          <w:sz w:val="32"/>
          <w:szCs w:val="32"/>
          <w:rtl/>
        </w:rPr>
        <w:t xml:space="preserve"> فإنّ الذي يعبر عنه عرفا بأنّه يركبه الدين هو المدين - لا الدائن -، ويكون مؤدى السؤال في هذا المورد: أنّه إذا كان المدين ممن ركبه الدَين وكان في حوزته متاعُ رجلٍ آخر - أي الدائن - فهل للدائن وهو الرجل الآخر أنْ يأخذ المتاع منه أم هو كسائر الغرماء؟ فأجاب الإمام (عليه السلام): </w:t>
      </w:r>
      <w:r w:rsidRPr="00F27422">
        <w:rPr>
          <w:b/>
          <w:bCs/>
          <w:sz w:val="32"/>
          <w:szCs w:val="32"/>
          <w:rtl/>
        </w:rPr>
        <w:t>(لا يحاصه الغرماء)</w:t>
      </w:r>
      <w:r w:rsidRPr="00F27422">
        <w:rPr>
          <w:sz w:val="32"/>
          <w:szCs w:val="32"/>
          <w:rtl/>
        </w:rPr>
        <w:t xml:space="preserve">، بحيث يعود الضمير في </w:t>
      </w:r>
      <w:r w:rsidRPr="00F27422">
        <w:rPr>
          <w:b/>
          <w:bCs/>
          <w:sz w:val="32"/>
          <w:szCs w:val="32"/>
          <w:rtl/>
        </w:rPr>
        <w:t>(لا يحاصه)</w:t>
      </w:r>
      <w:r w:rsidRPr="00F27422">
        <w:rPr>
          <w:sz w:val="32"/>
          <w:szCs w:val="32"/>
          <w:rtl/>
        </w:rPr>
        <w:t xml:space="preserve"> للدائن، فكأنّه قال: لا يحاصُ صاحبَ المتاع الموجود عند المدين </w:t>
      </w:r>
      <w:proofErr w:type="gramStart"/>
      <w:r w:rsidRPr="00F27422">
        <w:rPr>
          <w:sz w:val="32"/>
          <w:szCs w:val="32"/>
          <w:rtl/>
        </w:rPr>
        <w:t>الغرماء</w:t>
      </w:r>
      <w:proofErr w:type="gramEnd"/>
      <w:r w:rsidRPr="00F27422">
        <w:rPr>
          <w:sz w:val="32"/>
          <w:szCs w:val="32"/>
          <w:rtl/>
        </w:rPr>
        <w:t xml:space="preserve"> بل لصاحب المتاع أنْ يأخذ المتاع ولا يكون للغرماء شركة معه</w:t>
      </w:r>
      <w:r w:rsidRPr="00F27422">
        <w:rPr>
          <w:sz w:val="32"/>
          <w:szCs w:val="32"/>
        </w:rPr>
        <w:t>.</w:t>
      </w:r>
    </w:p>
    <w:p w14:paraId="0039B1D0" w14:textId="77777777" w:rsidR="00CB6487" w:rsidRPr="00F27422" w:rsidRDefault="00CB6487" w:rsidP="00122B70">
      <w:pPr>
        <w:bidi/>
        <w:rPr>
          <w:sz w:val="32"/>
          <w:szCs w:val="32"/>
          <w:rtl/>
        </w:rPr>
      </w:pPr>
      <w:r w:rsidRPr="00F27422">
        <w:rPr>
          <w:sz w:val="32"/>
          <w:szCs w:val="32"/>
          <w:rtl/>
        </w:rPr>
        <w:t xml:space="preserve">وبناءً على هذا المحتمل لا يكون في الرواية إطلاقٌ لفرض ملك المدين ما يفي بِهِ ديون الغرماء، كما هو ظاهرُ قوله: </w:t>
      </w:r>
      <w:r w:rsidRPr="00F27422">
        <w:rPr>
          <w:b/>
          <w:bCs/>
          <w:sz w:val="32"/>
          <w:szCs w:val="32"/>
          <w:rtl/>
        </w:rPr>
        <w:t>(يركبه الدين)</w:t>
      </w:r>
      <w:r w:rsidRPr="00F27422">
        <w:rPr>
          <w:sz w:val="32"/>
          <w:szCs w:val="32"/>
          <w:rtl/>
        </w:rPr>
        <w:t xml:space="preserve"> فإنّ معناه أنّه لا يجدُ ما يفي بِهِ ديونه، فليس في صحيحة عمر بن يزيد إطلاقٌ كي يحمل على التفصيل الوارد في صحيحة أبي ولاد.</w:t>
      </w:r>
    </w:p>
    <w:p w14:paraId="40672479" w14:textId="77777777" w:rsidR="00CB6487" w:rsidRPr="00F27422" w:rsidRDefault="00CB6487" w:rsidP="00122B70">
      <w:pPr>
        <w:bidi/>
        <w:rPr>
          <w:sz w:val="32"/>
          <w:szCs w:val="32"/>
          <w:rtl/>
        </w:rPr>
      </w:pPr>
      <w:r w:rsidRPr="00F27422">
        <w:rPr>
          <w:sz w:val="32"/>
          <w:szCs w:val="32"/>
          <w:rtl/>
        </w:rPr>
        <w:t>ومقتضى ذلك وقوع المعارضة بين صحيحة عمر بن يزيد التي تفيد بأنّ للدائن أنْ يأخذ المتاع في صورة ضيق المدين وعدم وجود ما يفي بِهِ ديون الغرماء، وصحيحة أبي ولاد التي تفيد أنّه: إنّما يكون للدائن أخذ المتاع إذا كان للمدين ما يفي بِهِ ديون الغرماء لا مطلقاً، فيقع التهافت بينهما ما لَمْ يحل بأحد الوجوه الآتية.</w:t>
      </w:r>
    </w:p>
    <w:p w14:paraId="4FEEFA5E" w14:textId="77777777" w:rsidR="00CB6487" w:rsidRPr="00F27422" w:rsidRDefault="00CB6487" w:rsidP="00122B70">
      <w:pPr>
        <w:bidi/>
        <w:rPr>
          <w:b/>
          <w:bCs/>
          <w:sz w:val="32"/>
          <w:szCs w:val="32"/>
          <w:rtl/>
        </w:rPr>
      </w:pPr>
      <w:r w:rsidRPr="00F27422">
        <w:rPr>
          <w:b/>
          <w:bCs/>
          <w:sz w:val="32"/>
          <w:szCs w:val="32"/>
          <w:rtl/>
        </w:rPr>
        <w:t xml:space="preserve">إلّا أنْ يُقال: </w:t>
      </w:r>
      <w:r w:rsidRPr="00F27422">
        <w:rPr>
          <w:sz w:val="32"/>
          <w:szCs w:val="32"/>
          <w:rtl/>
        </w:rPr>
        <w:t xml:space="preserve">إنّ ظاهر السياق مطابقة الجواب للسؤال في مرجع الضمير، وبما أنّ مرجع الضمير في الجواب - في قوله (عليه السلام): </w:t>
      </w:r>
      <w:r w:rsidRPr="00F27422">
        <w:rPr>
          <w:b/>
          <w:bCs/>
          <w:sz w:val="32"/>
          <w:szCs w:val="32"/>
          <w:rtl/>
        </w:rPr>
        <w:t>(لا يحاصه الغرماء)</w:t>
      </w:r>
      <w:r w:rsidRPr="00F27422">
        <w:rPr>
          <w:sz w:val="32"/>
          <w:szCs w:val="32"/>
          <w:rtl/>
        </w:rPr>
        <w:t xml:space="preserve"> - هو الدائن، فمقتضى سياق مطابقة الجواب للسؤال أنْ يكون مرجع الضمير في السؤال للدائن أيضاً - لا للمدين -، </w:t>
      </w:r>
      <w:r w:rsidRPr="00F27422">
        <w:rPr>
          <w:sz w:val="32"/>
          <w:szCs w:val="32"/>
          <w:rtl/>
        </w:rPr>
        <w:lastRenderedPageBreak/>
        <w:t>وبذلك تكونُ الرواية مطلقة فيصحّ حملها على التفصيل الوارد في صحيحة أبي ولاد، إنْ صحّ حملُ الإطلاق الترخيصي على المقيّد الإلزامي</w:t>
      </w:r>
      <w:r w:rsidRPr="00F27422">
        <w:rPr>
          <w:sz w:val="32"/>
          <w:szCs w:val="32"/>
        </w:rPr>
        <w:t>.</w:t>
      </w:r>
    </w:p>
    <w:p w14:paraId="1E07CA28" w14:textId="77777777" w:rsidR="00CB6487" w:rsidRPr="00F27422" w:rsidRDefault="00CB6487" w:rsidP="00122B70">
      <w:pPr>
        <w:bidi/>
        <w:rPr>
          <w:sz w:val="32"/>
          <w:szCs w:val="32"/>
          <w:rtl/>
        </w:rPr>
      </w:pPr>
      <w:r w:rsidRPr="00F27422">
        <w:rPr>
          <w:b/>
          <w:bCs/>
          <w:sz w:val="32"/>
          <w:szCs w:val="32"/>
          <w:rtl/>
        </w:rPr>
        <w:t>المانعُ الثالث: قد يُقال:</w:t>
      </w:r>
      <w:r w:rsidRPr="00F27422">
        <w:rPr>
          <w:sz w:val="32"/>
          <w:szCs w:val="32"/>
          <w:rtl/>
        </w:rPr>
        <w:t xml:space="preserve"> على فرض إطلاق صحيح عمر بن يزيد فإنّ المانع مِن حمله على التفصيل في صحيح أبي ولاد احتمال الفرق بين الحيّ والميت عرفاً مِن حيثُ الحكم؛ فإنّ مورد صحيحة أبي ولاد ومرسلة جميل هو الميت.</w:t>
      </w:r>
    </w:p>
    <w:p w14:paraId="2BE32A7D" w14:textId="77777777" w:rsidR="00CB6487" w:rsidRPr="00F27422" w:rsidRDefault="00CB6487" w:rsidP="00122B70">
      <w:pPr>
        <w:bidi/>
        <w:rPr>
          <w:b/>
          <w:bCs/>
          <w:sz w:val="32"/>
          <w:szCs w:val="32"/>
          <w:rtl/>
        </w:rPr>
      </w:pPr>
      <w:r w:rsidRPr="00F27422">
        <w:rPr>
          <w:sz w:val="32"/>
          <w:szCs w:val="32"/>
          <w:rtl/>
        </w:rPr>
        <w:t xml:space="preserve">ففي صحيحة أبي ولاد، كما في الوسائل: </w:t>
      </w:r>
      <w:r w:rsidRPr="00F27422">
        <w:rPr>
          <w:b/>
          <w:bCs/>
          <w:sz w:val="32"/>
          <w:szCs w:val="32"/>
          <w:rtl/>
        </w:rPr>
        <w:t xml:space="preserve">(وبإسناده عن محمد بن عليّ بن محبوب، عن أحمد بن محمد، عن ابن محبوب، عن أبي ولاد قال: سألت أبا </w:t>
      </w:r>
      <w:proofErr w:type="gramStart"/>
      <w:r w:rsidRPr="00F27422">
        <w:rPr>
          <w:b/>
          <w:bCs/>
          <w:sz w:val="32"/>
          <w:szCs w:val="32"/>
          <w:rtl/>
        </w:rPr>
        <w:t>عبدالله</w:t>
      </w:r>
      <w:proofErr w:type="gramEnd"/>
      <w:r w:rsidRPr="00F27422">
        <w:rPr>
          <w:b/>
          <w:bCs/>
          <w:sz w:val="32"/>
          <w:szCs w:val="32"/>
          <w:rtl/>
        </w:rPr>
        <w:t xml:space="preserve"> (عليه </w:t>
      </w:r>
      <w:r w:rsidRPr="00F27422">
        <w:rPr>
          <w:b/>
          <w:bCs/>
          <w:sz w:val="32"/>
          <w:szCs w:val="32"/>
        </w:rPr>
        <w:t>‌</w:t>
      </w:r>
      <w:r w:rsidRPr="00F27422">
        <w:rPr>
          <w:b/>
          <w:bCs/>
          <w:sz w:val="32"/>
          <w:szCs w:val="32"/>
          <w:rtl/>
        </w:rPr>
        <w:t>السلام) عن رجل باع من رجل متاعاً إلى سنة فمات المشتري قبل أن يحل ماله، وأصاب البائع متاعه بعينه، له أن يأخذه إذا خفي له؟ قال: فقال: إن كان عليه دين وترك نحواً مما عليه فليأخذه إن أخفي له فإن ذلك حلال له، ولو لم يترك نحواً من دينه فإن صاحب المتاع كواحدٍ ممن له عليه شيء يأخذ بحصته ولا سبيل له على المتاع)</w:t>
      </w:r>
      <w:r w:rsidRPr="00F27422">
        <w:rPr>
          <w:b/>
          <w:bCs/>
          <w:sz w:val="32"/>
          <w:szCs w:val="32"/>
          <w:vertAlign w:val="superscript"/>
          <w:rtl/>
        </w:rPr>
        <w:footnoteReference w:id="137"/>
      </w:r>
      <w:r w:rsidRPr="00F27422">
        <w:rPr>
          <w:b/>
          <w:bCs/>
          <w:sz w:val="32"/>
          <w:szCs w:val="32"/>
          <w:rtl/>
        </w:rPr>
        <w:t>.</w:t>
      </w:r>
    </w:p>
    <w:p w14:paraId="44E1BB9A" w14:textId="77777777" w:rsidR="00CB6487" w:rsidRPr="00F27422" w:rsidRDefault="00CB6487" w:rsidP="00122B70">
      <w:pPr>
        <w:bidi/>
        <w:rPr>
          <w:b/>
          <w:bCs/>
          <w:sz w:val="32"/>
          <w:szCs w:val="32"/>
          <w:rtl/>
        </w:rPr>
      </w:pPr>
      <w:r w:rsidRPr="00F27422">
        <w:rPr>
          <w:sz w:val="32"/>
          <w:szCs w:val="32"/>
          <w:rtl/>
        </w:rPr>
        <w:t xml:space="preserve">وكذلك مرسلة جميل، كما في الوسائل: </w:t>
      </w:r>
      <w:r w:rsidRPr="00F27422">
        <w:rPr>
          <w:b/>
          <w:bCs/>
          <w:sz w:val="32"/>
          <w:szCs w:val="32"/>
          <w:rtl/>
        </w:rPr>
        <w:t xml:space="preserve">(محمد بن يعقوب، عن عليّ بن إبراهيم، عن أبيه، عن ابن أبي عمير، عن جميل، عن بعض أصحابنا، عن أبي </w:t>
      </w:r>
      <w:proofErr w:type="gramStart"/>
      <w:r w:rsidRPr="00F27422">
        <w:rPr>
          <w:b/>
          <w:bCs/>
          <w:sz w:val="32"/>
          <w:szCs w:val="32"/>
          <w:rtl/>
        </w:rPr>
        <w:t>عبدالله</w:t>
      </w:r>
      <w:proofErr w:type="gramEnd"/>
      <w:r w:rsidRPr="00F27422">
        <w:rPr>
          <w:b/>
          <w:bCs/>
          <w:sz w:val="32"/>
          <w:szCs w:val="32"/>
          <w:rtl/>
        </w:rPr>
        <w:t xml:space="preserve"> (عليه</w:t>
      </w:r>
      <w:r w:rsidRPr="00F27422">
        <w:rPr>
          <w:b/>
          <w:bCs/>
          <w:sz w:val="32"/>
          <w:szCs w:val="32"/>
        </w:rPr>
        <w:t>‌</w:t>
      </w:r>
      <w:r w:rsidRPr="00F27422">
        <w:rPr>
          <w:b/>
          <w:bCs/>
          <w:sz w:val="32"/>
          <w:szCs w:val="32"/>
          <w:rtl/>
        </w:rPr>
        <w:t xml:space="preserve"> السلام) في رجل باع متاعاً مِن رجلٍ فقبض المشتري المتاع ولم يدفع الثمن ثم مات المشتري والمتاع قائم بعينه، فقال: إذا كان المتاع قائماً بعينه رد إلى صاحب المتاع، وقال: ليس للغرماء أن يحاصوه)</w:t>
      </w:r>
      <w:r w:rsidRPr="00F27422">
        <w:rPr>
          <w:b/>
          <w:bCs/>
          <w:sz w:val="32"/>
          <w:szCs w:val="32"/>
          <w:vertAlign w:val="superscript"/>
          <w:rtl/>
        </w:rPr>
        <w:footnoteReference w:id="138"/>
      </w:r>
      <w:r w:rsidRPr="00F27422">
        <w:rPr>
          <w:b/>
          <w:bCs/>
          <w:sz w:val="32"/>
          <w:szCs w:val="32"/>
          <w:rtl/>
        </w:rPr>
        <w:t>.</w:t>
      </w:r>
    </w:p>
    <w:p w14:paraId="22E6D3A5" w14:textId="77777777" w:rsidR="00CB6487" w:rsidRPr="00F27422" w:rsidRDefault="00CB6487" w:rsidP="00122B70">
      <w:pPr>
        <w:bidi/>
        <w:rPr>
          <w:b/>
          <w:bCs/>
          <w:sz w:val="32"/>
          <w:szCs w:val="32"/>
          <w:rtl/>
        </w:rPr>
      </w:pPr>
      <w:r w:rsidRPr="00F27422">
        <w:rPr>
          <w:sz w:val="32"/>
          <w:szCs w:val="32"/>
        </w:rPr>
        <w:t xml:space="preserve"> </w:t>
      </w:r>
      <w:r w:rsidRPr="00F27422">
        <w:rPr>
          <w:sz w:val="32"/>
          <w:szCs w:val="32"/>
          <w:rtl/>
        </w:rPr>
        <w:t>ومِن الواضح أنّ موردهما هو المدين الميت</w:t>
      </w:r>
      <w:r w:rsidRPr="00F27422">
        <w:rPr>
          <w:sz w:val="32"/>
          <w:szCs w:val="32"/>
        </w:rPr>
        <w:t>.</w:t>
      </w:r>
    </w:p>
    <w:p w14:paraId="0C522C79" w14:textId="77777777" w:rsidR="00CB6487" w:rsidRPr="00F27422" w:rsidRDefault="00CB6487" w:rsidP="00122B70">
      <w:pPr>
        <w:bidi/>
        <w:rPr>
          <w:sz w:val="32"/>
          <w:szCs w:val="32"/>
          <w:rtl/>
        </w:rPr>
      </w:pPr>
      <w:r w:rsidRPr="00F27422">
        <w:rPr>
          <w:sz w:val="32"/>
          <w:szCs w:val="32"/>
          <w:rtl/>
        </w:rPr>
        <w:t>بينما منصرف صحيحة عمر بن يزيد المتقدمة كون المدين حيّاً، ولا أقل مِن إطلاقها.</w:t>
      </w:r>
    </w:p>
    <w:p w14:paraId="4780D507" w14:textId="77777777" w:rsidR="00CB6487" w:rsidRPr="00F27422" w:rsidRDefault="00CB6487" w:rsidP="00122B70">
      <w:pPr>
        <w:bidi/>
        <w:rPr>
          <w:b/>
          <w:bCs/>
          <w:sz w:val="32"/>
          <w:szCs w:val="32"/>
          <w:rtl/>
        </w:rPr>
      </w:pPr>
      <w:r w:rsidRPr="00F27422">
        <w:rPr>
          <w:sz w:val="32"/>
          <w:szCs w:val="32"/>
          <w:rtl/>
        </w:rPr>
        <w:t>وحيثُ يحتمل العرف الفرق بين كون المدين ميتاً وكون المدين حيّاً؛ فإنّه إنْ كان المدين ميتاً فليس له قدرة على الكسب، ولا يُحتمل في حقّه فرصة لتسديد الديون الأُخرى، لذا اتجه التفصيلُ في حقّه بأنّه إنْ كان في تركته ما يفي بِهِ ديون الغرماء فللدائن أخذ متاعه، وإلّا فليس له؛ لأنّه ليس له مورد غير ما ترك</w:t>
      </w:r>
      <w:r w:rsidRPr="00F27422">
        <w:rPr>
          <w:sz w:val="32"/>
          <w:szCs w:val="32"/>
        </w:rPr>
        <w:t>.</w:t>
      </w:r>
    </w:p>
    <w:p w14:paraId="34795ACA" w14:textId="77777777" w:rsidR="00CB6487" w:rsidRPr="00F27422" w:rsidRDefault="00CB6487" w:rsidP="00122B70">
      <w:pPr>
        <w:bidi/>
        <w:rPr>
          <w:b/>
          <w:bCs/>
          <w:sz w:val="32"/>
          <w:szCs w:val="32"/>
          <w:rtl/>
        </w:rPr>
      </w:pPr>
      <w:r w:rsidRPr="00F27422">
        <w:rPr>
          <w:sz w:val="32"/>
          <w:szCs w:val="32"/>
          <w:rtl/>
        </w:rPr>
        <w:t xml:space="preserve">بخلاف ما لو كان المدين حيّاً؛ فإنّ لهُ فرصة أنْ يسدد ما عليه للغرماء، وبما أنّ لهُ فرصة الكسب والقدرة على تسديد ديون الغرماء لذلك اتجه إطلاقُ الحكم في صحيح عمر بن يزيد: </w:t>
      </w:r>
      <w:r w:rsidRPr="00F27422">
        <w:rPr>
          <w:b/>
          <w:bCs/>
          <w:sz w:val="32"/>
          <w:szCs w:val="32"/>
          <w:rtl/>
        </w:rPr>
        <w:t>(بأنّ للدائن أنْ يأخذ المتاع على كل حال)</w:t>
      </w:r>
      <w:r w:rsidRPr="00F27422">
        <w:rPr>
          <w:sz w:val="32"/>
          <w:szCs w:val="32"/>
          <w:rtl/>
        </w:rPr>
        <w:t xml:space="preserve">؛ باعتبار أنّ المدين حيٌّ ولهُ فرصة الكسب والقدرة </w:t>
      </w:r>
      <w:r w:rsidRPr="00F27422">
        <w:rPr>
          <w:sz w:val="32"/>
          <w:szCs w:val="32"/>
          <w:rtl/>
        </w:rPr>
        <w:lastRenderedPageBreak/>
        <w:t>على تسديد ديون الغرماء، فبما أنّه يُحتمل الفرقُ عرفاً بينهما فلا مُوجبَ لحمل إطلاق صحيح عمر بن يزيد على التفصيل المذكور في صحيحة أبي ولاد الوارد في المدين الميت</w:t>
      </w:r>
      <w:r w:rsidRPr="00F27422">
        <w:rPr>
          <w:sz w:val="32"/>
          <w:szCs w:val="32"/>
        </w:rPr>
        <w:t>.</w:t>
      </w:r>
    </w:p>
    <w:p w14:paraId="2E9CCAC8" w14:textId="77777777" w:rsidR="00CB6487" w:rsidRPr="00F27422" w:rsidRDefault="00CB6487" w:rsidP="00122B70">
      <w:pPr>
        <w:bidi/>
        <w:rPr>
          <w:sz w:val="32"/>
          <w:szCs w:val="32"/>
          <w:rtl/>
        </w:rPr>
      </w:pPr>
      <w:r w:rsidRPr="00F27422">
        <w:rPr>
          <w:b/>
          <w:bCs/>
          <w:sz w:val="32"/>
          <w:szCs w:val="32"/>
          <w:rtl/>
        </w:rPr>
        <w:t>المناقشة الثانية لمختار سيدنا الخوئي (قدس سره الشريف):</w:t>
      </w:r>
    </w:p>
    <w:p w14:paraId="501C1480" w14:textId="77777777" w:rsidR="00CB6487" w:rsidRPr="00F27422" w:rsidRDefault="00CB6487" w:rsidP="00122B70">
      <w:pPr>
        <w:bidi/>
        <w:rPr>
          <w:b/>
          <w:bCs/>
          <w:sz w:val="32"/>
          <w:szCs w:val="32"/>
          <w:rtl/>
        </w:rPr>
      </w:pPr>
      <w:r w:rsidRPr="00F27422">
        <w:rPr>
          <w:sz w:val="32"/>
          <w:szCs w:val="32"/>
          <w:rtl/>
        </w:rPr>
        <w:t>وهي أنّ دلالة صحيح عمر بن يزيد على ثبوت الخيار للبائع أو المُؤجّر في فرض إفلاس المشتري أو المستأجر مما لا يمكن استخراجه مِن لسان الرواية؛ بلحاظ أنّ الوارد في مُرسلة جميل هو الرد، والرد يحتملُ الانفساخ القهري للعقد عرفاً؛ حيث قال (عليه السلام) في مرسلة جميل: (</w:t>
      </w:r>
      <w:r w:rsidRPr="00F27422">
        <w:rPr>
          <w:b/>
          <w:bCs/>
          <w:sz w:val="32"/>
          <w:szCs w:val="32"/>
          <w:rtl/>
        </w:rPr>
        <w:t xml:space="preserve">إذا كان المتاع قائماً بعينه رد إلى صاحب المتاع، وقال: ليس للغرماء أن يحاصوه) </w:t>
      </w:r>
      <w:r w:rsidRPr="00F27422">
        <w:rPr>
          <w:sz w:val="32"/>
          <w:szCs w:val="32"/>
          <w:rtl/>
        </w:rPr>
        <w:t>لا أنّ للدائن الخيار في أنْ يفسخ ويسترد المتاع أو يمضي ويصبر إلى ظرف قُدرة المدين على أداء الدين</w:t>
      </w:r>
      <w:r w:rsidRPr="00F27422">
        <w:rPr>
          <w:sz w:val="32"/>
          <w:szCs w:val="32"/>
        </w:rPr>
        <w:t>.</w:t>
      </w:r>
    </w:p>
    <w:p w14:paraId="604B5507" w14:textId="77777777" w:rsidR="00CB6487" w:rsidRPr="00F27422" w:rsidRDefault="00CB6487" w:rsidP="00122B70">
      <w:pPr>
        <w:bidi/>
        <w:rPr>
          <w:b/>
          <w:bCs/>
          <w:sz w:val="32"/>
          <w:szCs w:val="32"/>
          <w:rtl/>
        </w:rPr>
      </w:pPr>
      <w:r w:rsidRPr="00F27422">
        <w:rPr>
          <w:sz w:val="32"/>
          <w:szCs w:val="32"/>
          <w:rtl/>
        </w:rPr>
        <w:t xml:space="preserve">كما أنّ العنوان الوارد في صحيحة أبي ولاد قوله (عليه السلام): </w:t>
      </w:r>
      <w:r w:rsidRPr="00F27422">
        <w:rPr>
          <w:b/>
          <w:bCs/>
          <w:sz w:val="32"/>
          <w:szCs w:val="32"/>
          <w:rtl/>
        </w:rPr>
        <w:t>(فليأخذه إن أخفي له)</w:t>
      </w:r>
      <w:r w:rsidRPr="00F27422">
        <w:rPr>
          <w:sz w:val="32"/>
          <w:szCs w:val="32"/>
          <w:rtl/>
        </w:rPr>
        <w:t xml:space="preserve"> مما يحتمل عرفاً الانفساخ القهري ولو بقرينة تعليقه على التيسر وإمكان الأخذ.</w:t>
      </w:r>
    </w:p>
    <w:p w14:paraId="4509E847" w14:textId="77777777" w:rsidR="00CB6487" w:rsidRPr="00F27422" w:rsidRDefault="00CB6487" w:rsidP="00122B70">
      <w:pPr>
        <w:bidi/>
        <w:rPr>
          <w:b/>
          <w:bCs/>
          <w:sz w:val="32"/>
          <w:szCs w:val="32"/>
          <w:rtl/>
        </w:rPr>
      </w:pPr>
      <w:r w:rsidRPr="00F27422">
        <w:rPr>
          <w:b/>
          <w:bCs/>
          <w:sz w:val="32"/>
          <w:szCs w:val="32"/>
          <w:rtl/>
        </w:rPr>
        <w:t>ولكن قد يُتأمل في ذلك:</w:t>
      </w:r>
      <w:r w:rsidRPr="00F27422">
        <w:rPr>
          <w:sz w:val="32"/>
          <w:szCs w:val="32"/>
          <w:rtl/>
        </w:rPr>
        <w:t xml:space="preserve"> بأنّ محور استدلال سيدنا الخوئي (قدس سره الشريف) كما صرح به هو صحيحة عمر بن يزيد، وقد عبر فيها: </w:t>
      </w:r>
      <w:r w:rsidRPr="00F27422">
        <w:rPr>
          <w:b/>
          <w:bCs/>
          <w:sz w:val="32"/>
          <w:szCs w:val="32"/>
          <w:rtl/>
        </w:rPr>
        <w:t>(لا يحاصه الغرماء)،</w:t>
      </w:r>
      <w:r w:rsidRPr="00F27422">
        <w:rPr>
          <w:sz w:val="32"/>
          <w:szCs w:val="32"/>
          <w:rtl/>
        </w:rPr>
        <w:t xml:space="preserve"> وظاهره: أنّ لهُ الحقّ والسلطنة على المتاع بفسخ العقد، كما أنّ ظاهر التعبير في صحيحة أبي ولاد بقوله (عليه السلام): </w:t>
      </w:r>
      <w:r w:rsidRPr="00F27422">
        <w:rPr>
          <w:b/>
          <w:bCs/>
          <w:sz w:val="32"/>
          <w:szCs w:val="32"/>
          <w:rtl/>
        </w:rPr>
        <w:t xml:space="preserve">(فإن ذلك حلال له) </w:t>
      </w:r>
      <w:r w:rsidRPr="00F27422">
        <w:rPr>
          <w:sz w:val="32"/>
          <w:szCs w:val="32"/>
          <w:rtl/>
        </w:rPr>
        <w:t>هو أنّ لهُ الحقّ والسلطنة على الفسخ، لا أنّ العقد قد انفسخ قهراً والوظيفة الشرعية رد المتاع إلى صاحبه</w:t>
      </w:r>
      <w:r w:rsidRPr="00F27422">
        <w:rPr>
          <w:sz w:val="32"/>
          <w:szCs w:val="32"/>
        </w:rPr>
        <w:t>.</w:t>
      </w:r>
    </w:p>
    <w:p w14:paraId="2820B380" w14:textId="77777777" w:rsidR="00CB6487" w:rsidRPr="00F27422" w:rsidRDefault="00CB6487" w:rsidP="00122B70">
      <w:pPr>
        <w:bidi/>
        <w:rPr>
          <w:sz w:val="32"/>
          <w:szCs w:val="32"/>
          <w:rtl/>
        </w:rPr>
      </w:pPr>
      <w:r w:rsidRPr="00F27422">
        <w:rPr>
          <w:b/>
          <w:bCs/>
          <w:sz w:val="32"/>
          <w:szCs w:val="32"/>
          <w:rtl/>
        </w:rPr>
        <w:t>المناقشة الثالثة:</w:t>
      </w:r>
    </w:p>
    <w:p w14:paraId="099308D3" w14:textId="77777777" w:rsidR="00CB6487" w:rsidRPr="00F27422" w:rsidRDefault="00CB6487" w:rsidP="00122B70">
      <w:pPr>
        <w:bidi/>
        <w:rPr>
          <w:b/>
          <w:bCs/>
          <w:sz w:val="32"/>
          <w:szCs w:val="32"/>
          <w:rtl/>
        </w:rPr>
      </w:pPr>
      <w:r w:rsidRPr="00F27422">
        <w:rPr>
          <w:sz w:val="32"/>
          <w:szCs w:val="32"/>
          <w:rtl/>
        </w:rPr>
        <w:t xml:space="preserve">أنّ مِن المُحتمل عرفاً في صحيحة عمر بن يزيد حيث قال (عليه السلام) فيها: </w:t>
      </w:r>
      <w:r w:rsidRPr="00F27422">
        <w:rPr>
          <w:b/>
          <w:bCs/>
          <w:sz w:val="32"/>
          <w:szCs w:val="32"/>
          <w:rtl/>
        </w:rPr>
        <w:t>(لا يحاصه الغرماء)</w:t>
      </w:r>
      <w:r w:rsidRPr="00F27422">
        <w:rPr>
          <w:sz w:val="32"/>
          <w:szCs w:val="32"/>
          <w:rtl/>
        </w:rPr>
        <w:t xml:space="preserve"> هو الحقّ في استيفاء دَينه مِن المتاع، لا الخيار ولا الانفساخ </w:t>
      </w:r>
      <w:proofErr w:type="gramStart"/>
      <w:r w:rsidRPr="00F27422">
        <w:rPr>
          <w:sz w:val="32"/>
          <w:szCs w:val="32"/>
          <w:rtl/>
        </w:rPr>
        <w:t>القهري</w:t>
      </w:r>
      <w:proofErr w:type="gramEnd"/>
      <w:r w:rsidRPr="00F27422">
        <w:rPr>
          <w:sz w:val="32"/>
          <w:szCs w:val="32"/>
          <w:rtl/>
        </w:rPr>
        <w:t xml:space="preserve"> بل العقدُ تامٌ ولازمٌ، غايةُ ما في الأمر أنّ للدائنٌ أنْ يستوفي دَينه وذلك ببيع المتاع واستيفاء دَينه منه، والبيع لازمٌ</w:t>
      </w:r>
      <w:r w:rsidRPr="00F27422">
        <w:rPr>
          <w:sz w:val="32"/>
          <w:szCs w:val="32"/>
        </w:rPr>
        <w:t>.</w:t>
      </w:r>
    </w:p>
    <w:p w14:paraId="68C63987" w14:textId="77777777" w:rsidR="00CB6487" w:rsidRPr="00F27422" w:rsidRDefault="00CB6487" w:rsidP="00122B70">
      <w:pPr>
        <w:bidi/>
        <w:rPr>
          <w:b/>
          <w:bCs/>
          <w:sz w:val="32"/>
          <w:szCs w:val="32"/>
          <w:rtl/>
        </w:rPr>
      </w:pPr>
      <w:r w:rsidRPr="00F27422">
        <w:rPr>
          <w:b/>
          <w:bCs/>
          <w:sz w:val="32"/>
          <w:szCs w:val="32"/>
          <w:rtl/>
        </w:rPr>
        <w:t>إلّا أنْ يُقال:</w:t>
      </w:r>
      <w:r w:rsidRPr="00F27422">
        <w:rPr>
          <w:sz w:val="32"/>
          <w:szCs w:val="32"/>
          <w:rtl/>
        </w:rPr>
        <w:t xml:space="preserve"> بما أنّ عنوان: </w:t>
      </w:r>
      <w:r w:rsidRPr="00F27422">
        <w:rPr>
          <w:b/>
          <w:bCs/>
          <w:sz w:val="32"/>
          <w:szCs w:val="32"/>
          <w:rtl/>
        </w:rPr>
        <w:t>(لا يحاصه الغرماء)</w:t>
      </w:r>
      <w:r w:rsidRPr="00F27422">
        <w:rPr>
          <w:sz w:val="32"/>
          <w:szCs w:val="32"/>
          <w:rtl/>
        </w:rPr>
        <w:t xml:space="preserve"> محتملٌ عرفاً للسلطنة على الفسخ المعبر عنه </w:t>
      </w:r>
      <w:proofErr w:type="gramStart"/>
      <w:r w:rsidRPr="00F27422">
        <w:rPr>
          <w:sz w:val="32"/>
          <w:szCs w:val="32"/>
          <w:rtl/>
        </w:rPr>
        <w:t>بالخيار،  والسلطنة</w:t>
      </w:r>
      <w:proofErr w:type="gramEnd"/>
      <w:r w:rsidRPr="00F27422">
        <w:rPr>
          <w:sz w:val="32"/>
          <w:szCs w:val="32"/>
          <w:rtl/>
        </w:rPr>
        <w:t xml:space="preserve"> على استيفاء الدَين مع لزوم العقد، فمقتضى الجمع بين مفاد هذه الروايات الشريفة وبين ما دلّ على صحّة العقد بإطلاقه كما في قوله تعالى: </w:t>
      </w:r>
      <w:r w:rsidRPr="00F27422">
        <w:rPr>
          <w:b/>
          <w:bCs/>
          <w:sz w:val="32"/>
          <w:szCs w:val="32"/>
          <w:rtl/>
        </w:rPr>
        <w:t xml:space="preserve">{يَا أَيُّهَا الَّذِينَ آمَنُوا أَوْفُوا </w:t>
      </w:r>
      <w:r w:rsidRPr="00F27422">
        <w:rPr>
          <w:b/>
          <w:bCs/>
          <w:sz w:val="32"/>
          <w:szCs w:val="32"/>
          <w:rtl/>
        </w:rPr>
        <w:lastRenderedPageBreak/>
        <w:t>بِالْعُقُودِ}</w:t>
      </w:r>
      <w:r w:rsidRPr="00F27422">
        <w:rPr>
          <w:b/>
          <w:bCs/>
          <w:sz w:val="32"/>
          <w:szCs w:val="32"/>
          <w:vertAlign w:val="superscript"/>
          <w:rtl/>
        </w:rPr>
        <w:footnoteReference w:id="139"/>
      </w:r>
      <w:r w:rsidRPr="00F27422">
        <w:rPr>
          <w:sz w:val="32"/>
          <w:szCs w:val="32"/>
          <w:rtl/>
        </w:rPr>
        <w:t>، التي مفادها الإرشاد إلى نفوذ العقد، هو حملُ مفاد هذه الرواية على انتفاء اللزوم فقط، ومعنى أنّه ليس لازماً أنّ للدائن السلطنة على الفسخ</w:t>
      </w:r>
      <w:r w:rsidRPr="00F27422">
        <w:rPr>
          <w:sz w:val="32"/>
          <w:szCs w:val="32"/>
        </w:rPr>
        <w:t>.</w:t>
      </w:r>
    </w:p>
    <w:p w14:paraId="1799D6B3" w14:textId="77777777" w:rsidR="00CB6487" w:rsidRPr="00F27422" w:rsidRDefault="00CB6487" w:rsidP="00122B70">
      <w:pPr>
        <w:bidi/>
        <w:rPr>
          <w:b/>
          <w:bCs/>
          <w:sz w:val="32"/>
          <w:szCs w:val="32"/>
          <w:rtl/>
        </w:rPr>
      </w:pPr>
      <w:r w:rsidRPr="00F27422">
        <w:rPr>
          <w:b/>
          <w:bCs/>
          <w:sz w:val="32"/>
          <w:szCs w:val="32"/>
          <w:rtl/>
        </w:rPr>
        <w:t>إلّا أنّ هذا النحو مِن الجمع غيرُ عرفي؛</w:t>
      </w:r>
      <w:r w:rsidRPr="00F27422">
        <w:rPr>
          <w:sz w:val="32"/>
          <w:szCs w:val="32"/>
          <w:rtl/>
        </w:rPr>
        <w:t xml:space="preserve"> فإنّ مقتضى إطلاق {</w:t>
      </w:r>
      <w:r w:rsidRPr="00F27422">
        <w:rPr>
          <w:b/>
          <w:bCs/>
          <w:sz w:val="32"/>
          <w:szCs w:val="32"/>
          <w:rtl/>
        </w:rPr>
        <w:t>أَوْفُوا بِالْعُقُودِ</w:t>
      </w:r>
      <w:r w:rsidRPr="00F27422">
        <w:rPr>
          <w:sz w:val="32"/>
          <w:szCs w:val="32"/>
          <w:rtl/>
        </w:rPr>
        <w:t>} وإنْ كان هو صحّة العقد، إلّا أنّ التحفظ عليه إنّما يتم عرفاً لو كانت النسبة بين المحتملات الثلاثة – وهي: الأوّل: الخيار، والثاني: الانفساخ، والثالث: الحقّ في استيفاء الدين - هي الأقل والأكثر حيثُ يقال حينئذٍ: إنّ القدر المتيقن مما ثبت للدائن هو الخيار الذي لا يتنافى مع مفاد الآية وهو صحّة العقد، وأمّا دعوى الانفساخ القهري أو الحقّ في استيفاء الدين مع لزوم العقد فهو مما يحتاج لمؤنة، فيقتصر على الأوّل، ولكن المحتملات الثلاثة في عرض واحد بالنظر العرفي، فإذا كان لفظ الصحيحة مجملاً مِن هذه الجهة سقط الاستدلال بها، وتعين العمل بالمطلقات الدالّة على الصحّة واللزوم، ما لَمْ يقم مرتكزٌ عقلائي على ثبوت أحد المحتملات.</w:t>
      </w:r>
    </w:p>
    <w:p w14:paraId="03CE3EAA" w14:textId="77777777" w:rsidR="00CB6487" w:rsidRPr="00F27422" w:rsidRDefault="00CB6487" w:rsidP="00122B70">
      <w:pPr>
        <w:bidi/>
        <w:rPr>
          <w:b/>
          <w:bCs/>
          <w:sz w:val="32"/>
          <w:szCs w:val="32"/>
          <w:rtl/>
        </w:rPr>
      </w:pPr>
      <w:r w:rsidRPr="00F27422">
        <w:rPr>
          <w:b/>
          <w:bCs/>
          <w:sz w:val="32"/>
          <w:szCs w:val="32"/>
          <w:rtl/>
        </w:rPr>
        <w:t>والنتيجة:</w:t>
      </w:r>
      <w:r w:rsidRPr="00F27422">
        <w:rPr>
          <w:sz w:val="32"/>
          <w:szCs w:val="32"/>
          <w:rtl/>
        </w:rPr>
        <w:t xml:space="preserve"> أنّ ما ذكره سيدنا الخوئي (قدس سره الشريف) مِن الاستدلال بهذه الصحيحة على ثبوت خيار التفليس غيرُ تامٍ.</w:t>
      </w:r>
    </w:p>
    <w:p w14:paraId="1A46A4A0" w14:textId="77777777" w:rsidR="00CB6487" w:rsidRPr="00F27422" w:rsidRDefault="00CB6487" w:rsidP="00122B70">
      <w:pPr>
        <w:bidi/>
        <w:rPr>
          <w:b/>
          <w:bCs/>
          <w:sz w:val="32"/>
          <w:szCs w:val="32"/>
          <w:rtl/>
        </w:rPr>
      </w:pPr>
    </w:p>
    <w:p w14:paraId="23264FB0" w14:textId="77777777" w:rsidR="00CB6487" w:rsidRPr="00F27422" w:rsidRDefault="00CB6487" w:rsidP="00122B70">
      <w:pPr>
        <w:bidi/>
        <w:rPr>
          <w:b/>
          <w:bCs/>
          <w:sz w:val="32"/>
          <w:szCs w:val="32"/>
          <w:rtl/>
        </w:rPr>
      </w:pPr>
      <w:r w:rsidRPr="00F27422">
        <w:rPr>
          <w:b/>
          <w:bCs/>
          <w:sz w:val="32"/>
          <w:szCs w:val="32"/>
          <w:rtl/>
        </w:rPr>
        <w:t>والحمد لله رب العالمين</w:t>
      </w:r>
    </w:p>
    <w:p w14:paraId="038EC3A5" w14:textId="77777777" w:rsidR="00572AA8" w:rsidRPr="00F27422" w:rsidRDefault="00572AA8" w:rsidP="00122B70">
      <w:pPr>
        <w:bidi/>
        <w:rPr>
          <w:sz w:val="32"/>
          <w:szCs w:val="32"/>
          <w:rtl/>
        </w:rPr>
      </w:pPr>
    </w:p>
    <w:p w14:paraId="5564CDAB" w14:textId="77777777" w:rsidR="005D4E65" w:rsidRPr="00F27422" w:rsidRDefault="005D4E65" w:rsidP="00122B70">
      <w:pPr>
        <w:bidi/>
        <w:rPr>
          <w:sz w:val="32"/>
          <w:szCs w:val="32"/>
          <w:rtl/>
        </w:rPr>
      </w:pPr>
    </w:p>
    <w:p w14:paraId="18A838A7" w14:textId="0E5029A5" w:rsidR="005D4E65" w:rsidRPr="00F27422" w:rsidRDefault="005D4E65" w:rsidP="00122B70">
      <w:pPr>
        <w:pStyle w:val="Heading3"/>
        <w:bidi/>
        <w:rPr>
          <w:sz w:val="32"/>
          <w:szCs w:val="32"/>
          <w:rtl/>
        </w:rPr>
      </w:pPr>
      <w:r w:rsidRPr="00F27422">
        <w:rPr>
          <w:rFonts w:hint="cs"/>
          <w:sz w:val="32"/>
          <w:szCs w:val="32"/>
          <w:rtl/>
        </w:rPr>
        <w:t>088</w:t>
      </w:r>
    </w:p>
    <w:p w14:paraId="6383A959" w14:textId="77777777" w:rsidR="003842B9" w:rsidRPr="00F27422" w:rsidRDefault="003842B9"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4D04B205" w14:textId="77777777" w:rsidR="003842B9" w:rsidRPr="00F27422" w:rsidRDefault="003842B9"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482E38DE"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b/>
          <w:bCs/>
          <w:sz w:val="32"/>
          <w:rtl/>
        </w:rPr>
        <w:t>واللعن الدائم على أعدائهم أجمعين إلى قيام يوم الدين</w:t>
      </w:r>
    </w:p>
    <w:p w14:paraId="30486854" w14:textId="77777777" w:rsidR="003842B9" w:rsidRPr="00F27422" w:rsidRDefault="003842B9" w:rsidP="00122B70">
      <w:pPr>
        <w:pStyle w:val="a"/>
        <w:bidi/>
        <w:spacing w:line="216" w:lineRule="auto"/>
        <w:jc w:val="left"/>
        <w:rPr>
          <w:rFonts w:ascii="mylotus" w:hAnsi="mylotus"/>
          <w:sz w:val="32"/>
          <w:rtl/>
          <w:lang w:bidi="ar-BH"/>
        </w:rPr>
      </w:pPr>
    </w:p>
    <w:p w14:paraId="64D72386"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b/>
          <w:bCs/>
          <w:sz w:val="32"/>
          <w:rtl/>
        </w:rPr>
        <w:t>الوجهُ الثالث:</w:t>
      </w:r>
      <w:r w:rsidRPr="00F27422">
        <w:rPr>
          <w:rFonts w:ascii="mylotus" w:hAnsi="mylotus"/>
          <w:sz w:val="32"/>
          <w:rtl/>
        </w:rPr>
        <w:t xml:space="preserve"> - مِن وجوه ثبوت خيار التفليس - الاستناد للارتكاز العقلائي</w:t>
      </w:r>
      <w:r w:rsidRPr="00F27422">
        <w:rPr>
          <w:rFonts w:ascii="mylotus" w:hAnsi="mylotus"/>
          <w:sz w:val="32"/>
        </w:rPr>
        <w:t>.</w:t>
      </w:r>
    </w:p>
    <w:p w14:paraId="2C7AB0AF" w14:textId="77777777" w:rsidR="003842B9" w:rsidRPr="00F27422" w:rsidRDefault="003842B9" w:rsidP="00122B70">
      <w:pPr>
        <w:pStyle w:val="a"/>
        <w:bidi/>
        <w:spacing w:line="216" w:lineRule="auto"/>
        <w:jc w:val="left"/>
        <w:rPr>
          <w:rFonts w:ascii="mylotus" w:hAnsi="mylotus"/>
          <w:b/>
          <w:bCs/>
          <w:sz w:val="32"/>
          <w:rtl/>
          <w:lang w:bidi="ar-BH"/>
        </w:rPr>
      </w:pPr>
      <w:r w:rsidRPr="00F27422">
        <w:rPr>
          <w:rFonts w:ascii="mylotus" w:hAnsi="mylotus"/>
          <w:b/>
          <w:bCs/>
          <w:sz w:val="32"/>
          <w:rtl/>
        </w:rPr>
        <w:t>وبيانُ ذلك بذكر مقدمتين</w:t>
      </w:r>
      <w:r w:rsidRPr="00F27422">
        <w:rPr>
          <w:rFonts w:ascii="mylotus" w:hAnsi="mylotus"/>
          <w:b/>
          <w:bCs/>
          <w:sz w:val="32"/>
        </w:rPr>
        <w:t>:</w:t>
      </w:r>
    </w:p>
    <w:p w14:paraId="79D8FDB7" w14:textId="77777777" w:rsidR="003842B9" w:rsidRPr="00F27422" w:rsidRDefault="003842B9" w:rsidP="00122B70">
      <w:pPr>
        <w:pStyle w:val="a"/>
        <w:bidi/>
        <w:spacing w:line="216" w:lineRule="auto"/>
        <w:jc w:val="left"/>
        <w:rPr>
          <w:rFonts w:ascii="mylotus" w:hAnsi="mylotus"/>
          <w:sz w:val="32"/>
          <w:rtl/>
        </w:rPr>
      </w:pPr>
      <w:r w:rsidRPr="00F27422">
        <w:rPr>
          <w:rFonts w:ascii="mylotus" w:hAnsi="mylotus"/>
          <w:b/>
          <w:bCs/>
          <w:sz w:val="32"/>
          <w:rtl/>
        </w:rPr>
        <w:t>المقدمةُ الأُولى:</w:t>
      </w:r>
      <w:r w:rsidRPr="00F27422">
        <w:rPr>
          <w:rFonts w:ascii="mylotus" w:hAnsi="mylotus"/>
          <w:sz w:val="32"/>
          <w:rtl/>
        </w:rPr>
        <w:t xml:space="preserve"> قد وَقَعَ النزاعُ في تعريف الإجارة في نقطتين مرتبطتين بدخالة العين في عقد الإجارة أو</w:t>
      </w:r>
      <w:r w:rsidRPr="00F27422">
        <w:rPr>
          <w:rFonts w:ascii="mylotus" w:hAnsi="mylotus" w:hint="cs"/>
          <w:sz w:val="32"/>
          <w:rtl/>
        </w:rPr>
        <w:t xml:space="preserve"> </w:t>
      </w:r>
      <w:r w:rsidRPr="00F27422">
        <w:rPr>
          <w:rFonts w:ascii="mylotus" w:hAnsi="mylotus"/>
          <w:sz w:val="32"/>
          <w:rtl/>
        </w:rPr>
        <w:t>في صحتها</w:t>
      </w:r>
      <w:r w:rsidRPr="00F27422">
        <w:rPr>
          <w:rFonts w:ascii="mylotus" w:hAnsi="mylotus" w:hint="cs"/>
          <w:sz w:val="32"/>
          <w:rtl/>
        </w:rPr>
        <w:t>:</w:t>
      </w:r>
    </w:p>
    <w:p w14:paraId="148A5503" w14:textId="77777777" w:rsidR="003842B9" w:rsidRPr="00F27422" w:rsidRDefault="003842B9" w:rsidP="00122B70">
      <w:pPr>
        <w:pStyle w:val="a"/>
        <w:bidi/>
        <w:spacing w:line="216" w:lineRule="auto"/>
        <w:jc w:val="left"/>
        <w:rPr>
          <w:rFonts w:ascii="mylotus" w:hAnsi="mylotus"/>
          <w:sz w:val="32"/>
          <w:rtl/>
        </w:rPr>
      </w:pPr>
      <w:r w:rsidRPr="00F27422">
        <w:rPr>
          <w:rFonts w:ascii="mylotus" w:hAnsi="mylotus"/>
          <w:b/>
          <w:bCs/>
          <w:sz w:val="32"/>
          <w:rtl/>
        </w:rPr>
        <w:t>النقطةُ الأُولى:</w:t>
      </w:r>
      <w:r w:rsidRPr="00F27422">
        <w:rPr>
          <w:rFonts w:ascii="mylotus" w:hAnsi="mylotus"/>
          <w:sz w:val="32"/>
          <w:rtl/>
        </w:rPr>
        <w:t xml:space="preserve"> هل أنّ العين دخيلةٌ في مفهوم الإجارة بحسب العرف العقلائي أم أنّها دخيلةٌ في عنوان الإجارة بحسب العرف اللغوي العربي؟</w:t>
      </w:r>
    </w:p>
    <w:p w14:paraId="19EC0D90"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b/>
          <w:bCs/>
          <w:sz w:val="32"/>
          <w:rtl/>
        </w:rPr>
        <w:lastRenderedPageBreak/>
        <w:t>النقطةُ الثانية:</w:t>
      </w:r>
      <w:r w:rsidRPr="00F27422">
        <w:rPr>
          <w:rFonts w:ascii="mylotus" w:hAnsi="mylotus"/>
          <w:sz w:val="32"/>
          <w:rtl/>
        </w:rPr>
        <w:t xml:space="preserve"> هل أنّ السلطنة على العين بالتسليم مِن قِبل المُؤجّر للمُستأجر مقومةٌ لصحّة عقد الإجارة أم شرطٍ مِن شروط الإجارة؟</w:t>
      </w:r>
    </w:p>
    <w:p w14:paraId="0FD10D01"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b/>
          <w:bCs/>
          <w:sz w:val="32"/>
          <w:rtl/>
        </w:rPr>
        <w:t>أمّا النقطةُ الأُولى:</w:t>
      </w:r>
      <w:r w:rsidRPr="00F27422">
        <w:rPr>
          <w:rFonts w:ascii="mylotus" w:hAnsi="mylotus"/>
          <w:sz w:val="32"/>
          <w:rtl/>
        </w:rPr>
        <w:t xml:space="preserve"> فقد قال سيد العروة (قدس سره) في المتن: </w:t>
      </w:r>
      <w:r w:rsidRPr="00F27422">
        <w:rPr>
          <w:rFonts w:ascii="mylotus" w:hAnsi="mylotus"/>
          <w:b/>
          <w:bCs/>
          <w:sz w:val="32"/>
          <w:rtl/>
        </w:rPr>
        <w:t>(كتاب الإجارة وهي تمليك عمل أو منفعة بعوض)</w:t>
      </w:r>
      <w:r w:rsidRPr="00F27422">
        <w:rPr>
          <w:rFonts w:ascii="mylotus" w:hAnsi="mylotus"/>
          <w:sz w:val="32"/>
          <w:rtl/>
        </w:rPr>
        <w:t>، ومقتضى هذا التعريف أنْ لا دخل للعين في مفهوم عقد الإجارة؛ فإنّ مفهوم عقد الإجارة متقومٌ بالمنفعة</w:t>
      </w:r>
      <w:r w:rsidRPr="00F27422">
        <w:rPr>
          <w:rFonts w:ascii="mylotus" w:hAnsi="mylotus"/>
          <w:sz w:val="32"/>
        </w:rPr>
        <w:t>.</w:t>
      </w:r>
    </w:p>
    <w:p w14:paraId="61ECA1F9"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sz w:val="32"/>
          <w:rtl/>
        </w:rPr>
        <w:t>لكن المحقّق الأصفهاني (قدس سره) أشكل على ذلك بأنّ الإجارة لا تتعلّق إلّا بالعين، فيُقال: "</w:t>
      </w:r>
      <w:r w:rsidRPr="00F27422">
        <w:rPr>
          <w:rFonts w:ascii="mylotus" w:hAnsi="mylotus" w:hint="cs"/>
          <w:sz w:val="32"/>
          <w:rtl/>
        </w:rPr>
        <w:t>آجرتُكَ</w:t>
      </w:r>
      <w:r w:rsidRPr="00F27422">
        <w:rPr>
          <w:rFonts w:ascii="mylotus" w:hAnsi="mylotus"/>
          <w:sz w:val="32"/>
          <w:rtl/>
        </w:rPr>
        <w:t xml:space="preserve"> </w:t>
      </w:r>
      <w:r w:rsidRPr="00F27422">
        <w:rPr>
          <w:rFonts w:ascii="mylotus" w:hAnsi="mylotus" w:hint="cs"/>
          <w:sz w:val="32"/>
          <w:rtl/>
        </w:rPr>
        <w:t>الدار</w:t>
      </w:r>
      <w:r w:rsidRPr="00F27422">
        <w:rPr>
          <w:rFonts w:ascii="mylotus" w:hAnsi="mylotus"/>
          <w:sz w:val="32"/>
          <w:rtl/>
        </w:rPr>
        <w:t xml:space="preserve">" </w:t>
      </w:r>
      <w:r w:rsidRPr="00F27422">
        <w:rPr>
          <w:rFonts w:ascii="mylotus" w:hAnsi="mylotus" w:hint="cs"/>
          <w:sz w:val="32"/>
          <w:rtl/>
        </w:rPr>
        <w:t>ولا</w:t>
      </w:r>
      <w:r w:rsidRPr="00F27422">
        <w:rPr>
          <w:rFonts w:ascii="mylotus" w:hAnsi="mylotus"/>
          <w:sz w:val="32"/>
          <w:rtl/>
        </w:rPr>
        <w:t xml:space="preserve"> </w:t>
      </w:r>
      <w:r w:rsidRPr="00F27422">
        <w:rPr>
          <w:rFonts w:ascii="mylotus" w:hAnsi="mylotus" w:hint="cs"/>
          <w:sz w:val="32"/>
          <w:rtl/>
        </w:rPr>
        <w:t>يُقال</w:t>
      </w:r>
      <w:r w:rsidRPr="00F27422">
        <w:rPr>
          <w:rFonts w:ascii="mylotus" w:hAnsi="mylotus"/>
          <w:sz w:val="32"/>
          <w:rtl/>
        </w:rPr>
        <w:t>: "</w:t>
      </w:r>
      <w:r w:rsidRPr="00F27422">
        <w:rPr>
          <w:rFonts w:ascii="mylotus" w:hAnsi="mylotus" w:hint="cs"/>
          <w:sz w:val="32"/>
          <w:rtl/>
        </w:rPr>
        <w:t>آجرتك</w:t>
      </w:r>
      <w:r w:rsidRPr="00F27422">
        <w:rPr>
          <w:rFonts w:ascii="mylotus" w:hAnsi="mylotus"/>
          <w:sz w:val="32"/>
          <w:rtl/>
        </w:rPr>
        <w:t xml:space="preserve"> </w:t>
      </w:r>
      <w:r w:rsidRPr="00F27422">
        <w:rPr>
          <w:rFonts w:ascii="mylotus" w:hAnsi="mylotus" w:hint="cs"/>
          <w:sz w:val="32"/>
          <w:rtl/>
        </w:rPr>
        <w:t>منفعة</w:t>
      </w:r>
      <w:r w:rsidRPr="00F27422">
        <w:rPr>
          <w:rFonts w:ascii="mylotus" w:hAnsi="mylotus"/>
          <w:sz w:val="32"/>
          <w:rtl/>
        </w:rPr>
        <w:t xml:space="preserve"> </w:t>
      </w:r>
      <w:r w:rsidRPr="00F27422">
        <w:rPr>
          <w:rFonts w:ascii="mylotus" w:hAnsi="mylotus" w:hint="cs"/>
          <w:sz w:val="32"/>
          <w:rtl/>
        </w:rPr>
        <w:t>الدار</w:t>
      </w:r>
      <w:r w:rsidRPr="00F27422">
        <w:rPr>
          <w:rFonts w:ascii="mylotus" w:hAnsi="mylotus"/>
          <w:sz w:val="32"/>
          <w:rtl/>
        </w:rPr>
        <w:t xml:space="preserve">" </w:t>
      </w:r>
      <w:r w:rsidRPr="00F27422">
        <w:rPr>
          <w:rFonts w:ascii="mylotus" w:hAnsi="mylotus" w:hint="cs"/>
          <w:sz w:val="32"/>
          <w:rtl/>
        </w:rPr>
        <w:t>مع</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مقتضى</w:t>
      </w:r>
      <w:r w:rsidRPr="00F27422">
        <w:rPr>
          <w:rFonts w:ascii="mylotus" w:hAnsi="mylotus"/>
          <w:sz w:val="32"/>
          <w:rtl/>
        </w:rPr>
        <w:t xml:space="preserve"> </w:t>
      </w:r>
      <w:r w:rsidRPr="00F27422">
        <w:rPr>
          <w:rFonts w:ascii="mylotus" w:hAnsi="mylotus" w:hint="cs"/>
          <w:sz w:val="32"/>
          <w:rtl/>
        </w:rPr>
        <w:t>التعريف</w:t>
      </w:r>
      <w:r w:rsidRPr="00F27422">
        <w:rPr>
          <w:rFonts w:ascii="mylotus" w:hAnsi="mylotus"/>
          <w:sz w:val="32"/>
          <w:rtl/>
        </w:rPr>
        <w:t xml:space="preserve"> </w:t>
      </w:r>
      <w:r w:rsidRPr="00F27422">
        <w:rPr>
          <w:rFonts w:ascii="mylotus" w:hAnsi="mylotus" w:hint="cs"/>
          <w:sz w:val="32"/>
          <w:rtl/>
        </w:rPr>
        <w:t>المزبور</w:t>
      </w:r>
      <w:r w:rsidRPr="00F27422">
        <w:rPr>
          <w:rFonts w:ascii="mylotus" w:hAnsi="mylotus"/>
          <w:sz w:val="32"/>
          <w:rtl/>
        </w:rPr>
        <w:t xml:space="preserve"> -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تمليك</w:t>
      </w:r>
      <w:r w:rsidRPr="00F27422">
        <w:rPr>
          <w:rFonts w:ascii="mylotus" w:hAnsi="mylotus"/>
          <w:sz w:val="32"/>
          <w:rtl/>
        </w:rPr>
        <w:t xml:space="preserve"> </w:t>
      </w:r>
      <w:r w:rsidRPr="00F27422">
        <w:rPr>
          <w:rFonts w:ascii="mylotus" w:hAnsi="mylotus" w:hint="cs"/>
          <w:sz w:val="32"/>
          <w:rtl/>
        </w:rPr>
        <w:t>منفعة</w:t>
      </w:r>
      <w:r w:rsidRPr="00F27422">
        <w:rPr>
          <w:rFonts w:ascii="mylotus" w:hAnsi="mylotus"/>
          <w:sz w:val="32"/>
          <w:rtl/>
        </w:rPr>
        <w:t xml:space="preserve"> </w:t>
      </w:r>
      <w:r w:rsidRPr="00F27422">
        <w:rPr>
          <w:rFonts w:ascii="mylotus" w:hAnsi="mylotus" w:hint="cs"/>
          <w:sz w:val="32"/>
          <w:rtl/>
        </w:rPr>
        <w:t>بعوض -</w:t>
      </w:r>
      <w:r w:rsidRPr="00F27422">
        <w:rPr>
          <w:rFonts w:ascii="mylotus" w:hAnsi="mylotus"/>
          <w:sz w:val="32"/>
          <w:rtl/>
        </w:rPr>
        <w:t xml:space="preserve"> </w:t>
      </w:r>
      <w:r w:rsidRPr="00F27422">
        <w:rPr>
          <w:rFonts w:ascii="mylotus" w:hAnsi="mylotus" w:hint="cs"/>
          <w:sz w:val="32"/>
          <w:rtl/>
        </w:rPr>
        <w:t>تعلقها</w:t>
      </w:r>
      <w:r w:rsidRPr="00F27422">
        <w:rPr>
          <w:rFonts w:ascii="mylotus" w:hAnsi="mylotus"/>
          <w:sz w:val="32"/>
          <w:rtl/>
        </w:rPr>
        <w:t xml:space="preserve"> </w:t>
      </w:r>
      <w:r w:rsidRPr="00F27422">
        <w:rPr>
          <w:rFonts w:ascii="mylotus" w:hAnsi="mylotus" w:hint="cs"/>
          <w:sz w:val="32"/>
          <w:rtl/>
        </w:rPr>
        <w:t>بالمنفعة</w:t>
      </w:r>
      <w:r w:rsidRPr="00F27422">
        <w:rPr>
          <w:rFonts w:ascii="mylotus" w:hAnsi="mylotus"/>
          <w:sz w:val="32"/>
          <w:rtl/>
        </w:rPr>
        <w:t xml:space="preserve"> </w:t>
      </w:r>
      <w:r w:rsidRPr="00F27422">
        <w:rPr>
          <w:rFonts w:ascii="mylotus" w:hAnsi="mylotus" w:hint="cs"/>
          <w:sz w:val="32"/>
          <w:rtl/>
        </w:rPr>
        <w:t>وصحّة</w:t>
      </w:r>
      <w:r w:rsidRPr="00F27422">
        <w:rPr>
          <w:rFonts w:ascii="mylotus" w:hAnsi="mylotus"/>
          <w:sz w:val="32"/>
          <w:rtl/>
        </w:rPr>
        <w:t xml:space="preserve"> </w:t>
      </w:r>
      <w:r w:rsidRPr="00F27422">
        <w:rPr>
          <w:rFonts w:ascii="mylotus" w:hAnsi="mylotus" w:hint="cs"/>
          <w:sz w:val="32"/>
          <w:rtl/>
        </w:rPr>
        <w:t>الإطلاق</w:t>
      </w:r>
      <w:r w:rsidRPr="00F27422">
        <w:rPr>
          <w:rFonts w:ascii="mylotus" w:hAnsi="mylotus"/>
          <w:sz w:val="32"/>
          <w:rtl/>
        </w:rPr>
        <w:t xml:space="preserve"> </w:t>
      </w:r>
      <w:r w:rsidRPr="00F27422">
        <w:rPr>
          <w:rFonts w:ascii="mylotus" w:hAnsi="mylotus" w:hint="cs"/>
          <w:sz w:val="32"/>
          <w:rtl/>
        </w:rPr>
        <w:t>المذكور</w:t>
      </w:r>
      <w:r w:rsidRPr="00F27422">
        <w:rPr>
          <w:rFonts w:ascii="mylotus" w:hAnsi="mylotus"/>
          <w:sz w:val="32"/>
        </w:rPr>
        <w:t>.</w:t>
      </w:r>
    </w:p>
    <w:p w14:paraId="4E0EB9A7" w14:textId="77777777" w:rsidR="003842B9" w:rsidRPr="00F27422" w:rsidRDefault="003842B9" w:rsidP="00122B70">
      <w:pPr>
        <w:pStyle w:val="a"/>
        <w:bidi/>
        <w:spacing w:line="216" w:lineRule="auto"/>
        <w:jc w:val="left"/>
        <w:rPr>
          <w:rFonts w:ascii="mylotus" w:hAnsi="mylotus"/>
          <w:b/>
          <w:bCs/>
          <w:sz w:val="32"/>
          <w:rtl/>
        </w:rPr>
      </w:pPr>
      <w:r w:rsidRPr="00F27422">
        <w:rPr>
          <w:rFonts w:ascii="mylotus" w:hAnsi="mylotus"/>
          <w:sz w:val="32"/>
          <w:rtl/>
        </w:rPr>
        <w:t>وقد علّق على ذلك سيدنا الخوئي (قدس سره) كما في التقرير</w:t>
      </w:r>
      <w:r w:rsidRPr="00F27422">
        <w:rPr>
          <w:rStyle w:val="FootnoteReference"/>
          <w:rFonts w:ascii="mylotus" w:hAnsi="mylotus"/>
          <w:sz w:val="32"/>
          <w:rtl/>
        </w:rPr>
        <w:footnoteReference w:id="140"/>
      </w:r>
      <w:r w:rsidRPr="00F27422">
        <w:rPr>
          <w:rFonts w:ascii="mylotus" w:hAnsi="mylotus"/>
          <w:sz w:val="32"/>
          <w:rtl/>
        </w:rPr>
        <w:t xml:space="preserve">: </w:t>
      </w:r>
      <w:r w:rsidRPr="00F27422">
        <w:rPr>
          <w:rFonts w:ascii="mylotus" w:hAnsi="mylotus"/>
          <w:b/>
          <w:bCs/>
          <w:sz w:val="32"/>
          <w:rtl/>
        </w:rPr>
        <w:t>(قال سيّدنا الأستاذ</w:t>
      </w:r>
      <w:r w:rsidRPr="00F27422">
        <w:rPr>
          <w:rFonts w:ascii="mylotus" w:hAnsi="mylotus" w:hint="cs"/>
          <w:b/>
          <w:bCs/>
          <w:sz w:val="32"/>
          <w:rtl/>
          <w:lang w:bidi="ar-BH"/>
        </w:rPr>
        <w:t xml:space="preserve"> </w:t>
      </w:r>
      <w:r w:rsidRPr="00F27422">
        <w:rPr>
          <w:rFonts w:ascii="mylotus" w:hAnsi="mylotus"/>
          <w:b/>
          <w:bCs/>
          <w:sz w:val="32"/>
          <w:rtl/>
        </w:rPr>
        <w:t>(دام ظلّه): وأظنّ أن هذا الإشكال)</w:t>
      </w:r>
      <w:r w:rsidRPr="00F27422">
        <w:rPr>
          <w:rFonts w:ascii="mylotus" w:hAnsi="mylotus"/>
          <w:sz w:val="32"/>
          <w:rtl/>
        </w:rPr>
        <w:t xml:space="preserve"> مِن قِبل المحقّق الأصفهاني </w:t>
      </w:r>
      <w:r w:rsidRPr="00F27422">
        <w:rPr>
          <w:rFonts w:ascii="mylotus" w:hAnsi="mylotus" w:hint="cs"/>
          <w:sz w:val="32"/>
          <w:rtl/>
        </w:rPr>
        <w:t>(</w:t>
      </w:r>
      <w:r w:rsidRPr="00F27422">
        <w:rPr>
          <w:rFonts w:ascii="mylotus" w:hAnsi="mylotus"/>
          <w:sz w:val="32"/>
          <w:rtl/>
        </w:rPr>
        <w:t>قد</w:t>
      </w:r>
      <w:r w:rsidRPr="00F27422">
        <w:rPr>
          <w:rFonts w:ascii="mylotus" w:hAnsi="mylotus" w:hint="cs"/>
          <w:sz w:val="32"/>
          <w:rtl/>
        </w:rPr>
        <w:t>س سره)</w:t>
      </w:r>
      <w:r w:rsidRPr="00F27422">
        <w:rPr>
          <w:rFonts w:ascii="mylotus" w:hAnsi="mylotus"/>
          <w:sz w:val="32"/>
          <w:rtl/>
        </w:rPr>
        <w:t xml:space="preserve"> </w:t>
      </w:r>
      <w:r w:rsidRPr="00F27422">
        <w:rPr>
          <w:rFonts w:ascii="mylotus" w:hAnsi="mylotus"/>
          <w:b/>
          <w:bCs/>
          <w:sz w:val="32"/>
          <w:rtl/>
        </w:rPr>
        <w:t>(ضعيفٌ غاية الضعف، بداهة أنّ تمليك المنفعة لا بدّ وأن يتعلّق بالعين)</w:t>
      </w:r>
      <w:r w:rsidRPr="00F27422">
        <w:rPr>
          <w:rFonts w:ascii="mylotus" w:hAnsi="mylotus"/>
          <w:sz w:val="32"/>
          <w:rtl/>
        </w:rPr>
        <w:t xml:space="preserve"> لأنّ متعلّق التمليك هو منفعة عينٍ </w:t>
      </w:r>
      <w:r w:rsidRPr="00F27422">
        <w:rPr>
          <w:rFonts w:ascii="mylotus" w:hAnsi="mylotus"/>
          <w:b/>
          <w:bCs/>
          <w:sz w:val="32"/>
          <w:rtl/>
        </w:rPr>
        <w:t>(فإنّا لا ندّعي أنّ مفهوم الإجارة هو التمليك المطلق، بل حصّة خاصّة منه)</w:t>
      </w:r>
      <w:r w:rsidRPr="00F27422">
        <w:rPr>
          <w:rFonts w:ascii="mylotus" w:hAnsi="mylotus"/>
          <w:sz w:val="32"/>
          <w:rtl/>
        </w:rPr>
        <w:t xml:space="preserve"> وهي تمليك منفعة العين </w:t>
      </w:r>
      <w:r w:rsidRPr="00F27422">
        <w:rPr>
          <w:rFonts w:ascii="mylotus" w:hAnsi="mylotus"/>
          <w:b/>
          <w:bCs/>
          <w:sz w:val="32"/>
          <w:rtl/>
        </w:rPr>
        <w:t>(وهي المتعلّقة بالمنفعة، فالتقيّد بها مأخوذ في مدلول الإجارة ومشروب في مفهومها)</w:t>
      </w:r>
      <w:r w:rsidRPr="00F27422">
        <w:rPr>
          <w:rFonts w:ascii="mylotus" w:hAnsi="mylotus"/>
          <w:sz w:val="32"/>
          <w:rtl/>
        </w:rPr>
        <w:t xml:space="preserve"> بلحاظ أنّه لا يتصور منفعة بلا عين </w:t>
      </w:r>
      <w:r w:rsidRPr="00F27422">
        <w:rPr>
          <w:rFonts w:ascii="mylotus" w:hAnsi="mylotus"/>
          <w:b/>
          <w:bCs/>
          <w:sz w:val="32"/>
          <w:rtl/>
        </w:rPr>
        <w:t>(وما</w:t>
      </w:r>
      <w:r w:rsidRPr="00F27422">
        <w:rPr>
          <w:rFonts w:ascii="mylotus" w:hAnsi="mylotus"/>
          <w:sz w:val="32"/>
          <w:rtl/>
        </w:rPr>
        <w:t xml:space="preserve"> </w:t>
      </w:r>
      <w:r w:rsidRPr="00F27422">
        <w:rPr>
          <w:rFonts w:ascii="mylotus" w:hAnsi="mylotus"/>
          <w:b/>
          <w:bCs/>
          <w:sz w:val="32"/>
          <w:rtl/>
        </w:rPr>
        <w:t>هذا شأنه لا مناص من تعلّقه بالعين، ولا معنى لتعلّقه بالمنفعة)</w:t>
      </w:r>
      <w:r w:rsidRPr="00F27422">
        <w:rPr>
          <w:rFonts w:ascii="mylotus" w:hAnsi="mylotus"/>
          <w:sz w:val="32"/>
          <w:rtl/>
        </w:rPr>
        <w:t xml:space="preserve"> أي: المنفعة المجرّدة </w:t>
      </w:r>
      <w:r w:rsidRPr="00F27422">
        <w:rPr>
          <w:rFonts w:ascii="mylotus" w:hAnsi="mylotus"/>
          <w:b/>
          <w:bCs/>
          <w:sz w:val="32"/>
          <w:rtl/>
        </w:rPr>
        <w:t>(وإّلا)</w:t>
      </w:r>
      <w:r w:rsidRPr="00F27422">
        <w:rPr>
          <w:rFonts w:ascii="mylotus" w:hAnsi="mylotus"/>
          <w:sz w:val="32"/>
          <w:rtl/>
        </w:rPr>
        <w:t xml:space="preserve"> لو تعلّقت الإجارة بالمنفعة المجرّدة </w:t>
      </w:r>
      <w:r w:rsidRPr="00F27422">
        <w:rPr>
          <w:rFonts w:ascii="mylotus" w:hAnsi="mylotus"/>
          <w:b/>
          <w:bCs/>
          <w:sz w:val="32"/>
          <w:rtl/>
        </w:rPr>
        <w:t>(لرجع إلى قولنا: أنّ الإجارة هي تمليك منفعة المنفعة ولا محصّل له، فالتمليك المتعلّق بالمنفعة متعلّق بالعين بطبيعة الحال. فيقال: آجرتك الدار، لا منفعة الدار</w:t>
      </w:r>
      <w:r w:rsidRPr="00F27422">
        <w:rPr>
          <w:rFonts w:ascii="mylotus" w:hAnsi="mylotus" w:hint="cs"/>
          <w:b/>
          <w:bCs/>
          <w:sz w:val="32"/>
          <w:rtl/>
        </w:rPr>
        <w:t>.</w:t>
      </w:r>
    </w:p>
    <w:p w14:paraId="25F52099"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b/>
          <w:bCs/>
          <w:sz w:val="32"/>
          <w:rtl/>
        </w:rPr>
        <w:t>وعلى الجملة: فالتمليك وإن كان متعلّقاً بالمنفعة إلّا أنّ تمليك المنفعة متعلّق بالعين بالضرورة، فإنّ قولك: آجرتك الدار، بمنزلة قولك: ملّكتك منفعة الدار، الذي لا بدّ من تعلّقه بالعين، فلا ينافي ذلك كون الإجارة)</w:t>
      </w:r>
      <w:r w:rsidRPr="00F27422">
        <w:rPr>
          <w:rFonts w:ascii="mylotus" w:hAnsi="mylotus"/>
          <w:sz w:val="32"/>
          <w:rtl/>
        </w:rPr>
        <w:t xml:space="preserve"> كما ذكر سيد العروة </w:t>
      </w:r>
      <w:r w:rsidRPr="00F27422">
        <w:rPr>
          <w:rFonts w:ascii="mylotus" w:hAnsi="mylotus"/>
          <w:b/>
          <w:bCs/>
          <w:sz w:val="32"/>
          <w:rtl/>
        </w:rPr>
        <w:t>(بمعنى تمليك المنفعة كما هو أوضح من أن يخفى)</w:t>
      </w:r>
      <w:r w:rsidRPr="00F27422">
        <w:rPr>
          <w:rFonts w:ascii="mylotus" w:hAnsi="mylotus"/>
          <w:b/>
          <w:bCs/>
          <w:sz w:val="32"/>
        </w:rPr>
        <w:t>.</w:t>
      </w:r>
    </w:p>
    <w:p w14:paraId="47F05AC2"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b/>
          <w:bCs/>
          <w:sz w:val="32"/>
          <w:rtl/>
        </w:rPr>
        <w:t>أقولُ:</w:t>
      </w:r>
      <w:r w:rsidRPr="00F27422">
        <w:rPr>
          <w:rFonts w:ascii="mylotus" w:hAnsi="mylotus"/>
          <w:sz w:val="32"/>
          <w:rtl/>
        </w:rPr>
        <w:t xml:space="preserve"> إنّ ما</w:t>
      </w:r>
      <w:r w:rsidRPr="00F27422">
        <w:rPr>
          <w:rFonts w:ascii="mylotus" w:hAnsi="mylotus" w:hint="cs"/>
          <w:sz w:val="32"/>
          <w:rtl/>
        </w:rPr>
        <w:t xml:space="preserve"> </w:t>
      </w:r>
      <w:r w:rsidRPr="00F27422">
        <w:rPr>
          <w:rFonts w:ascii="mylotus" w:hAnsi="mylotus"/>
          <w:sz w:val="32"/>
          <w:rtl/>
        </w:rPr>
        <w:t>أ</w:t>
      </w:r>
      <w:r w:rsidRPr="00F27422">
        <w:rPr>
          <w:rFonts w:ascii="mylotus" w:hAnsi="mylotus" w:hint="cs"/>
          <w:sz w:val="32"/>
          <w:rtl/>
        </w:rPr>
        <w:t>ُ</w:t>
      </w:r>
      <w:r w:rsidRPr="00F27422">
        <w:rPr>
          <w:rFonts w:ascii="mylotus" w:hAnsi="mylotus"/>
          <w:sz w:val="32"/>
          <w:rtl/>
        </w:rPr>
        <w:t>فيد م</w:t>
      </w:r>
      <w:r w:rsidRPr="00F27422">
        <w:rPr>
          <w:rFonts w:ascii="mylotus" w:hAnsi="mylotus" w:hint="cs"/>
          <w:sz w:val="32"/>
          <w:rtl/>
        </w:rPr>
        <w:t>ِ</w:t>
      </w:r>
      <w:r w:rsidRPr="00F27422">
        <w:rPr>
          <w:rFonts w:ascii="mylotus" w:hAnsi="mylotus"/>
          <w:sz w:val="32"/>
          <w:rtl/>
        </w:rPr>
        <w:t>ن ق</w:t>
      </w:r>
      <w:r w:rsidRPr="00F27422">
        <w:rPr>
          <w:rFonts w:ascii="mylotus" w:hAnsi="mylotus" w:hint="cs"/>
          <w:sz w:val="32"/>
          <w:rtl/>
        </w:rPr>
        <w:t>ِ</w:t>
      </w:r>
      <w:r w:rsidRPr="00F27422">
        <w:rPr>
          <w:rFonts w:ascii="mylotus" w:hAnsi="mylotus"/>
          <w:sz w:val="32"/>
          <w:rtl/>
        </w:rPr>
        <w:t>بل سيدنا الخوئي (قدس سره الشريف) يعني أنّ دخالة العين في مفهوم عقد الإجارة لتقوم المملوك بها، لا لتقوم التمليك بها؛ فإنّ مصب التمليك هو المنفعة لكن المملوك هو منفعة العين فدخالة العين لأنّها موضوعُ ما هو المملوك، لا لأنّها مقومةٌ للتمليك الإيجاري مقابل التمليك البيعي</w:t>
      </w:r>
      <w:r w:rsidRPr="00F27422">
        <w:rPr>
          <w:rFonts w:ascii="mylotus" w:hAnsi="mylotus"/>
          <w:sz w:val="32"/>
        </w:rPr>
        <w:t>.</w:t>
      </w:r>
    </w:p>
    <w:p w14:paraId="6AD6A1C3" w14:textId="77777777" w:rsidR="003842B9" w:rsidRPr="00F27422" w:rsidRDefault="003842B9" w:rsidP="00122B70">
      <w:pPr>
        <w:pStyle w:val="a"/>
        <w:bidi/>
        <w:spacing w:line="216" w:lineRule="auto"/>
        <w:jc w:val="left"/>
        <w:rPr>
          <w:rFonts w:ascii="mylotus" w:hAnsi="mylotus"/>
          <w:sz w:val="32"/>
          <w:rtl/>
        </w:rPr>
      </w:pPr>
      <w:r w:rsidRPr="00F27422">
        <w:rPr>
          <w:rFonts w:ascii="mylotus" w:hAnsi="mylotus"/>
          <w:b/>
          <w:bCs/>
          <w:sz w:val="32"/>
          <w:rtl/>
        </w:rPr>
        <w:t>والتعليق</w:t>
      </w:r>
      <w:r w:rsidRPr="00F27422">
        <w:rPr>
          <w:rFonts w:ascii="mylotus" w:hAnsi="mylotus" w:hint="cs"/>
          <w:b/>
          <w:bCs/>
          <w:sz w:val="32"/>
          <w:rtl/>
        </w:rPr>
        <w:t>ُ</w:t>
      </w:r>
      <w:r w:rsidRPr="00F27422">
        <w:rPr>
          <w:rFonts w:ascii="mylotus" w:hAnsi="mylotus"/>
          <w:b/>
          <w:bCs/>
          <w:sz w:val="32"/>
          <w:rtl/>
        </w:rPr>
        <w:t xml:space="preserve"> على ذلك:</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ه لو فُرض وجود منفعة متجردة عن العين، فهل يكون تمليكها مِن باب الإجارة أو يكون بيعاً أو</w:t>
      </w:r>
      <w:r w:rsidRPr="00F27422">
        <w:rPr>
          <w:rFonts w:ascii="mylotus" w:hAnsi="mylotus" w:hint="cs"/>
          <w:sz w:val="32"/>
          <w:rtl/>
        </w:rPr>
        <w:t xml:space="preserve"> </w:t>
      </w:r>
      <w:r w:rsidRPr="00F27422">
        <w:rPr>
          <w:rFonts w:ascii="mylotus" w:hAnsi="mylotus"/>
          <w:sz w:val="32"/>
          <w:rtl/>
        </w:rPr>
        <w:t>عقدا</w:t>
      </w:r>
      <w:r w:rsidRPr="00F27422">
        <w:rPr>
          <w:rFonts w:ascii="mylotus" w:hAnsi="mylotus" w:hint="cs"/>
          <w:sz w:val="32"/>
          <w:rtl/>
        </w:rPr>
        <w:t>ً</w:t>
      </w:r>
      <w:r w:rsidRPr="00F27422">
        <w:rPr>
          <w:rFonts w:ascii="mylotus" w:hAnsi="mylotus"/>
          <w:sz w:val="32"/>
          <w:rtl/>
        </w:rPr>
        <w:t xml:space="preserve"> مستحدثا</w:t>
      </w:r>
      <w:r w:rsidRPr="00F27422">
        <w:rPr>
          <w:rFonts w:ascii="mylotus" w:hAnsi="mylotus" w:hint="cs"/>
          <w:sz w:val="32"/>
          <w:rtl/>
        </w:rPr>
        <w:t>ً</w:t>
      </w:r>
      <w:r w:rsidRPr="00F27422">
        <w:rPr>
          <w:rFonts w:ascii="mylotus" w:hAnsi="mylotus"/>
          <w:sz w:val="32"/>
          <w:rtl/>
        </w:rPr>
        <w:t>؟ كما في الطاقات المبثوثة في الفضاء في عصرنا الحاضر، حيث</w:t>
      </w:r>
      <w:r w:rsidRPr="00F27422">
        <w:rPr>
          <w:rFonts w:ascii="mylotus" w:hAnsi="mylotus" w:hint="cs"/>
          <w:sz w:val="32"/>
          <w:rtl/>
        </w:rPr>
        <w:t>ُ</w:t>
      </w:r>
      <w:r w:rsidRPr="00F27422">
        <w:rPr>
          <w:rFonts w:ascii="mylotus" w:hAnsi="mylotus"/>
          <w:sz w:val="32"/>
          <w:rtl/>
        </w:rPr>
        <w:t xml:space="preserve"> تقوم بعض الدول العظمى بتمليكها لبعض الشركات بعوضٍ محدد لمدّةٍ معينةٍ، لا</w:t>
      </w:r>
      <w:r w:rsidRPr="00F27422">
        <w:rPr>
          <w:rFonts w:ascii="mylotus" w:hAnsi="mylotus" w:hint="cs"/>
          <w:sz w:val="32"/>
          <w:rtl/>
        </w:rPr>
        <w:t xml:space="preserve"> </w:t>
      </w:r>
      <w:r w:rsidRPr="00F27422">
        <w:rPr>
          <w:rFonts w:ascii="mylotus" w:hAnsi="mylotus"/>
          <w:sz w:val="32"/>
          <w:rtl/>
        </w:rPr>
        <w:t>م</w:t>
      </w:r>
      <w:r w:rsidRPr="00F27422">
        <w:rPr>
          <w:rFonts w:ascii="mylotus" w:hAnsi="mylotus" w:hint="cs"/>
          <w:sz w:val="32"/>
          <w:rtl/>
        </w:rPr>
        <w:t>ِ</w:t>
      </w:r>
      <w:r w:rsidRPr="00F27422">
        <w:rPr>
          <w:rFonts w:ascii="mylotus" w:hAnsi="mylotus"/>
          <w:sz w:val="32"/>
          <w:rtl/>
        </w:rPr>
        <w:t xml:space="preserve">ن باب رفع اليد عن </w:t>
      </w:r>
      <w:proofErr w:type="gramStart"/>
      <w:r w:rsidRPr="00F27422">
        <w:rPr>
          <w:rFonts w:ascii="mylotus" w:hAnsi="mylotus"/>
          <w:sz w:val="32"/>
          <w:rtl/>
        </w:rPr>
        <w:t>الحق</w:t>
      </w:r>
      <w:r w:rsidRPr="00F27422">
        <w:rPr>
          <w:rFonts w:ascii="mylotus" w:hAnsi="mylotus" w:hint="cs"/>
          <w:sz w:val="32"/>
          <w:rtl/>
        </w:rPr>
        <w:t>ّ</w:t>
      </w:r>
      <w:proofErr w:type="gramEnd"/>
      <w:r w:rsidRPr="00F27422">
        <w:rPr>
          <w:rFonts w:ascii="mylotus" w:hAnsi="mylotus"/>
          <w:sz w:val="32"/>
          <w:rtl/>
        </w:rPr>
        <w:t xml:space="preserve"> بل م</w:t>
      </w:r>
      <w:r w:rsidRPr="00F27422">
        <w:rPr>
          <w:rFonts w:ascii="mylotus" w:hAnsi="mylotus" w:hint="cs"/>
          <w:sz w:val="32"/>
          <w:rtl/>
        </w:rPr>
        <w:t>ِ</w:t>
      </w:r>
      <w:r w:rsidRPr="00F27422">
        <w:rPr>
          <w:rFonts w:ascii="mylotus" w:hAnsi="mylotus"/>
          <w:sz w:val="32"/>
          <w:rtl/>
        </w:rPr>
        <w:t>ن باب التمليك، مِن دون أنْ</w:t>
      </w:r>
      <w:r w:rsidRPr="00F27422">
        <w:rPr>
          <w:rFonts w:ascii="mylotus" w:hAnsi="mylotus"/>
          <w:sz w:val="32"/>
        </w:rPr>
        <w:t xml:space="preserve"> </w:t>
      </w:r>
      <w:r w:rsidRPr="00F27422">
        <w:rPr>
          <w:rFonts w:ascii="mylotus" w:hAnsi="mylotus"/>
          <w:sz w:val="32"/>
          <w:rtl/>
        </w:rPr>
        <w:t>تقوم تلك الطاقة بعينٍ مِن الأعيان أو فضاء مملوك لبلد</w:t>
      </w:r>
      <w:r w:rsidRPr="00F27422">
        <w:rPr>
          <w:rFonts w:ascii="mylotus" w:hAnsi="mylotus" w:hint="cs"/>
          <w:sz w:val="32"/>
          <w:rtl/>
        </w:rPr>
        <w:t>ٍ</w:t>
      </w:r>
      <w:r w:rsidRPr="00F27422">
        <w:rPr>
          <w:rFonts w:ascii="mylotus" w:hAnsi="mylotus"/>
          <w:sz w:val="32"/>
          <w:rtl/>
        </w:rPr>
        <w:t xml:space="preserve"> معين</w:t>
      </w:r>
      <w:r w:rsidRPr="00F27422">
        <w:rPr>
          <w:rFonts w:ascii="mylotus" w:hAnsi="mylotus" w:hint="cs"/>
          <w:sz w:val="32"/>
          <w:rtl/>
        </w:rPr>
        <w:t>ٍ.</w:t>
      </w:r>
    </w:p>
    <w:p w14:paraId="47089526"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sz w:val="32"/>
          <w:rtl/>
        </w:rPr>
        <w:t>فبناءً على أنّ البيع تمليكُ عينٍ بعوضٍ وتقابله الإجارة وهي تمليك منفعةٍ العين بعوضٍ سوف يكون تمليك هذه الطاقات لا بيعاً ولا إجارةً، فهل هو عقدٌ جديدٌ أو صلحٌ؟</w:t>
      </w:r>
    </w:p>
    <w:p w14:paraId="2F4EAE71"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b/>
          <w:bCs/>
          <w:sz w:val="32"/>
          <w:rtl/>
        </w:rPr>
        <w:t>أو يُقال:</w:t>
      </w:r>
      <w:r w:rsidRPr="00F27422">
        <w:rPr>
          <w:rFonts w:ascii="mylotus" w:hAnsi="mylotus"/>
          <w:sz w:val="32"/>
          <w:rtl/>
        </w:rPr>
        <w:t xml:space="preserve"> إن</w:t>
      </w:r>
      <w:r w:rsidRPr="00F27422">
        <w:rPr>
          <w:rFonts w:ascii="mylotus" w:hAnsi="mylotus" w:hint="cs"/>
          <w:sz w:val="32"/>
          <w:rtl/>
        </w:rPr>
        <w:t>ّ</w:t>
      </w:r>
      <w:r w:rsidRPr="00F27422">
        <w:rPr>
          <w:rFonts w:ascii="mylotus" w:hAnsi="mylotus"/>
          <w:sz w:val="32"/>
          <w:rtl/>
        </w:rPr>
        <w:t xml:space="preserve"> هذا المورد م</w:t>
      </w:r>
      <w:r w:rsidRPr="00F27422">
        <w:rPr>
          <w:rFonts w:ascii="mylotus" w:hAnsi="mylotus" w:hint="cs"/>
          <w:sz w:val="32"/>
          <w:rtl/>
        </w:rPr>
        <w:t>ِ</w:t>
      </w:r>
      <w:r w:rsidRPr="00F27422">
        <w:rPr>
          <w:rFonts w:ascii="mylotus" w:hAnsi="mylotus"/>
          <w:sz w:val="32"/>
          <w:rtl/>
        </w:rPr>
        <w:t>ن قبيل الإجارة</w:t>
      </w:r>
      <w:r w:rsidRPr="00F27422">
        <w:rPr>
          <w:rFonts w:ascii="mylotus" w:hAnsi="mylotus" w:hint="cs"/>
          <w:sz w:val="32"/>
          <w:rtl/>
        </w:rPr>
        <w:t>؛</w:t>
      </w:r>
      <w:r w:rsidRPr="00F27422">
        <w:rPr>
          <w:rFonts w:ascii="mylotus" w:hAnsi="mylotus"/>
          <w:sz w:val="32"/>
          <w:rtl/>
        </w:rPr>
        <w:t xml:space="preserve"> لأن التمليك مؤقت، والطاقة أمر</w:t>
      </w:r>
      <w:r w:rsidRPr="00F27422">
        <w:rPr>
          <w:rFonts w:ascii="mylotus" w:hAnsi="mylotus" w:hint="cs"/>
          <w:sz w:val="32"/>
          <w:rtl/>
        </w:rPr>
        <w:t>ٌ</w:t>
      </w:r>
      <w:r w:rsidRPr="00F27422">
        <w:rPr>
          <w:rFonts w:ascii="mylotus" w:hAnsi="mylotus"/>
          <w:sz w:val="32"/>
          <w:rtl/>
        </w:rPr>
        <w:t xml:space="preserve"> متجدد كسائر المنافع في وجودها التدريجي المنتقل م</w:t>
      </w:r>
      <w:r w:rsidRPr="00F27422">
        <w:rPr>
          <w:rFonts w:ascii="mylotus" w:hAnsi="mylotus" w:hint="cs"/>
          <w:sz w:val="32"/>
          <w:rtl/>
        </w:rPr>
        <w:t>ِ</w:t>
      </w:r>
      <w:r w:rsidRPr="00F27422">
        <w:rPr>
          <w:rFonts w:ascii="mylotus" w:hAnsi="mylotus"/>
          <w:sz w:val="32"/>
          <w:rtl/>
        </w:rPr>
        <w:t>ن القوة إلى الفعل</w:t>
      </w:r>
      <w:r w:rsidRPr="00F27422">
        <w:rPr>
          <w:rFonts w:ascii="mylotus" w:hAnsi="mylotus" w:hint="cs"/>
          <w:sz w:val="32"/>
          <w:rtl/>
        </w:rPr>
        <w:t>؛</w:t>
      </w:r>
      <w:r w:rsidRPr="00F27422">
        <w:rPr>
          <w:rFonts w:ascii="mylotus" w:hAnsi="mylotus"/>
          <w:sz w:val="32"/>
          <w:rtl/>
        </w:rPr>
        <w:t xml:space="preserve"> إذ ليس البحثُ في مفهوم لفظ "الإجارة" في اللغة العربية كي يُقال: إنّ الإجارة في اللغة العربية عبارةٌ عن تمليك منفعةِ العين،  فيُقال: "آجرتُكَ الدار" و "آجرتُكَ السيارة"، ولا يُقال: "آجرتُكَ منفعةَ الدار" أو "آجرتك </w:t>
      </w:r>
      <w:r w:rsidRPr="00F27422">
        <w:rPr>
          <w:rFonts w:ascii="mylotus" w:hAnsi="mylotus"/>
          <w:sz w:val="32"/>
          <w:rtl/>
        </w:rPr>
        <w:lastRenderedPageBreak/>
        <w:t>منفعة السيارة"، وإنّما البحثُ في أنّ العقلاء هل يرون تمليك المنفعة المجردة عن الأعيان</w:t>
      </w:r>
      <w:r w:rsidRPr="00F27422">
        <w:rPr>
          <w:rFonts w:ascii="mylotus" w:hAnsi="mylotus" w:hint="cs"/>
          <w:sz w:val="32"/>
          <w:rtl/>
        </w:rPr>
        <w:t xml:space="preserve"> - </w:t>
      </w:r>
      <w:r w:rsidRPr="00F27422">
        <w:rPr>
          <w:rFonts w:ascii="mylotus" w:hAnsi="mylotus"/>
          <w:sz w:val="32"/>
          <w:rtl/>
        </w:rPr>
        <w:t>وإنْ لَمْ تكن في غالب الأحيان إلّا موجودةً ضمن عينٍ مِن الأعيان</w:t>
      </w:r>
      <w:r w:rsidRPr="00F27422">
        <w:rPr>
          <w:rFonts w:ascii="mylotus" w:hAnsi="mylotus" w:hint="cs"/>
          <w:sz w:val="32"/>
          <w:rtl/>
        </w:rPr>
        <w:t xml:space="preserve"> - </w:t>
      </w:r>
      <w:r w:rsidRPr="00F27422">
        <w:rPr>
          <w:rFonts w:ascii="mylotus" w:hAnsi="mylotus"/>
          <w:sz w:val="32"/>
          <w:rtl/>
        </w:rPr>
        <w:t>مِن باب الإجارة أو مِن باب البيع؟</w:t>
      </w:r>
    </w:p>
    <w:p w14:paraId="78870482"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sz w:val="32"/>
          <w:rtl/>
        </w:rPr>
        <w:t xml:space="preserve">وقد ذهب جملةٌ مِن الأعلام منهم بعض الأكابر (قدس سره الشريف) في كتاب البيع إلى أنّ البيع لا يختص بنقل </w:t>
      </w:r>
      <w:proofErr w:type="gramStart"/>
      <w:r w:rsidRPr="00F27422">
        <w:rPr>
          <w:rFonts w:ascii="mylotus" w:hAnsi="mylotus"/>
          <w:sz w:val="32"/>
          <w:rtl/>
        </w:rPr>
        <w:t>الأعيان</w:t>
      </w:r>
      <w:proofErr w:type="gramEnd"/>
      <w:r w:rsidRPr="00F27422">
        <w:rPr>
          <w:rFonts w:ascii="mylotus" w:hAnsi="mylotus"/>
          <w:sz w:val="32"/>
          <w:rtl/>
        </w:rPr>
        <w:t xml:space="preserve"> بل يشمل حتى الحقوق، كما لو ملكه حقّ السرقفلية أو ملكه حقّ الاختصاص، فإنّ هذا مِن البيع</w:t>
      </w:r>
      <w:r w:rsidRPr="00F27422">
        <w:rPr>
          <w:rFonts w:ascii="mylotus" w:hAnsi="mylotus"/>
          <w:sz w:val="32"/>
        </w:rPr>
        <w:t>.</w:t>
      </w:r>
    </w:p>
    <w:p w14:paraId="6EC4D8CC"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sz w:val="32"/>
          <w:rtl/>
        </w:rPr>
        <w:t>إلّا أنّ الفرق بين هذا المسلك والعقد الجديد هو: أنّ تمليك الحقّ لا بشرطٍ مِن حيثُ الوقت مما يمكن اندراجه في باب البيع، وأم</w:t>
      </w:r>
      <w:r w:rsidRPr="00F27422">
        <w:rPr>
          <w:rFonts w:ascii="mylotus" w:hAnsi="mylotus" w:hint="cs"/>
          <w:sz w:val="32"/>
          <w:rtl/>
        </w:rPr>
        <w:t>ّ</w:t>
      </w:r>
      <w:r w:rsidRPr="00F27422">
        <w:rPr>
          <w:rFonts w:ascii="mylotus" w:hAnsi="mylotus"/>
          <w:sz w:val="32"/>
          <w:rtl/>
        </w:rPr>
        <w:t>ا تمليك حصّةٍ مِن المنفعة أو حصّةٍ مِن الانتفاع محددة بوقتٍ معينٍ فالظاهرُ بحسب المرتكزات العقلائية أنّه إجارةٌ، فلا دخل لكون المنفعة متقومةً في وجودها بالعين في مفهوم الإجارة</w:t>
      </w:r>
      <w:r w:rsidRPr="00F27422">
        <w:rPr>
          <w:rFonts w:ascii="mylotus" w:hAnsi="mylotus"/>
          <w:sz w:val="32"/>
        </w:rPr>
        <w:t>.</w:t>
      </w:r>
    </w:p>
    <w:p w14:paraId="10BE07C4" w14:textId="77777777" w:rsidR="003842B9" w:rsidRPr="00F27422" w:rsidRDefault="003842B9" w:rsidP="00122B70">
      <w:pPr>
        <w:pStyle w:val="a"/>
        <w:bidi/>
        <w:spacing w:line="216" w:lineRule="auto"/>
        <w:jc w:val="left"/>
        <w:rPr>
          <w:rFonts w:ascii="mylotus" w:hAnsi="mylotus"/>
          <w:b/>
          <w:bCs/>
          <w:sz w:val="32"/>
          <w:rtl/>
          <w:lang w:bidi="ar-BH"/>
        </w:rPr>
      </w:pPr>
      <w:r w:rsidRPr="00F27422">
        <w:rPr>
          <w:rFonts w:ascii="mylotus" w:hAnsi="mylotus" w:hint="cs"/>
          <w:sz w:val="32"/>
          <w:rtl/>
        </w:rPr>
        <w:t xml:space="preserve">وأمّا </w:t>
      </w:r>
      <w:r w:rsidRPr="00F27422">
        <w:rPr>
          <w:rFonts w:ascii="mylotus" w:hAnsi="mylotus"/>
          <w:sz w:val="32"/>
          <w:rtl/>
        </w:rPr>
        <w:t xml:space="preserve">النقطةُ الثانية: قد أفاد سيد العروة (قدس سره) في متن العروة بقوله: </w:t>
      </w:r>
      <w:r w:rsidRPr="00F27422">
        <w:rPr>
          <w:rFonts w:ascii="mylotus" w:hAnsi="mylotus"/>
          <w:b/>
          <w:bCs/>
          <w:sz w:val="32"/>
          <w:rtl/>
        </w:rPr>
        <w:t>(ويمكن أن يقال: إنّ حقيقتها)</w:t>
      </w:r>
      <w:r w:rsidRPr="00F27422">
        <w:rPr>
          <w:rFonts w:ascii="mylotus" w:hAnsi="mylotus"/>
          <w:sz w:val="32"/>
          <w:rtl/>
        </w:rPr>
        <w:t xml:space="preserve"> أي: حقيقة الإجارة </w:t>
      </w:r>
      <w:r w:rsidRPr="00F27422">
        <w:rPr>
          <w:rFonts w:ascii="mylotus" w:hAnsi="mylotus"/>
          <w:b/>
          <w:bCs/>
          <w:sz w:val="32"/>
          <w:rtl/>
        </w:rPr>
        <w:t>(التسليط على عين للانتفاع بها بعوض)</w:t>
      </w:r>
      <w:r w:rsidRPr="00F27422">
        <w:rPr>
          <w:rFonts w:ascii="mylotus" w:hAnsi="mylotus"/>
          <w:b/>
          <w:bCs/>
          <w:sz w:val="32"/>
        </w:rPr>
        <w:t>.</w:t>
      </w:r>
    </w:p>
    <w:p w14:paraId="653CB534" w14:textId="77777777" w:rsidR="003842B9" w:rsidRPr="00F27422" w:rsidRDefault="003842B9" w:rsidP="00122B70">
      <w:pPr>
        <w:pStyle w:val="a"/>
        <w:bidi/>
        <w:spacing w:line="216" w:lineRule="auto"/>
        <w:jc w:val="left"/>
        <w:rPr>
          <w:rFonts w:ascii="mylotus" w:hAnsi="mylotus"/>
          <w:b/>
          <w:bCs/>
          <w:sz w:val="32"/>
          <w:rtl/>
          <w:lang w:bidi="ar-BH"/>
        </w:rPr>
      </w:pPr>
      <w:r w:rsidRPr="00F27422">
        <w:rPr>
          <w:rFonts w:ascii="mylotus" w:hAnsi="mylotus"/>
          <w:sz w:val="32"/>
          <w:rtl/>
        </w:rPr>
        <w:t>وهنا علّق سيدنا الخوئي (قدس سره الشريف) بقوله</w:t>
      </w:r>
      <w:r w:rsidRPr="00F27422">
        <w:rPr>
          <w:rStyle w:val="FootnoteReference"/>
          <w:rFonts w:ascii="mylotus" w:hAnsi="mylotus"/>
          <w:sz w:val="32"/>
          <w:rtl/>
        </w:rPr>
        <w:footnoteReference w:id="141"/>
      </w:r>
      <w:r w:rsidRPr="00F27422">
        <w:rPr>
          <w:rFonts w:ascii="mylotus" w:hAnsi="mylotus"/>
          <w:sz w:val="32"/>
          <w:rtl/>
        </w:rPr>
        <w:t xml:space="preserve">: </w:t>
      </w:r>
      <w:r w:rsidRPr="00F27422">
        <w:rPr>
          <w:rFonts w:ascii="mylotus" w:hAnsi="mylotus"/>
          <w:b/>
          <w:bCs/>
          <w:sz w:val="32"/>
          <w:rtl/>
        </w:rPr>
        <w:t xml:space="preserve">(غير خفي أنّ التسليط من آثار الإجارة والأحكام المترتبة عليها بعد انعقادها - حيث يجب على المؤجّر تسليم العين للمستأجر لينتفع بها - لا أنّه مساوق لمفهومها) </w:t>
      </w:r>
      <w:r w:rsidRPr="00F27422">
        <w:rPr>
          <w:rFonts w:ascii="mylotus" w:hAnsi="mylotus"/>
          <w:sz w:val="32"/>
          <w:rtl/>
        </w:rPr>
        <w:t xml:space="preserve">أي: أنّ التسليط على العين غير داخل في مفهوم الإجارة </w:t>
      </w:r>
      <w:r w:rsidRPr="00F27422">
        <w:rPr>
          <w:rFonts w:ascii="mylotus" w:hAnsi="mylotus"/>
          <w:b/>
          <w:bCs/>
          <w:sz w:val="32"/>
          <w:rtl/>
        </w:rPr>
        <w:t>(فهذا التعريف لا يمكن المساعدة عليه بوجه</w:t>
      </w:r>
      <w:r w:rsidRPr="00F27422">
        <w:rPr>
          <w:rFonts w:ascii="mylotus" w:hAnsi="mylotus"/>
          <w:b/>
          <w:bCs/>
          <w:sz w:val="32"/>
        </w:rPr>
        <w:t>.</w:t>
      </w:r>
    </w:p>
    <w:p w14:paraId="65008546" w14:textId="77777777" w:rsidR="003842B9" w:rsidRPr="00F27422" w:rsidRDefault="003842B9" w:rsidP="00122B70">
      <w:pPr>
        <w:pStyle w:val="a"/>
        <w:bidi/>
        <w:spacing w:line="216" w:lineRule="auto"/>
        <w:jc w:val="left"/>
        <w:rPr>
          <w:rFonts w:ascii="mylotus" w:hAnsi="mylotus"/>
          <w:sz w:val="32"/>
          <w:rtl/>
        </w:rPr>
      </w:pPr>
      <w:r w:rsidRPr="00F27422">
        <w:rPr>
          <w:rFonts w:ascii="mylotus" w:hAnsi="mylotus"/>
          <w:b/>
          <w:bCs/>
          <w:sz w:val="32"/>
          <w:rtl/>
        </w:rPr>
        <w:t>على أنّه يختصّ)</w:t>
      </w:r>
      <w:r w:rsidRPr="00F27422">
        <w:rPr>
          <w:rFonts w:ascii="mylotus" w:hAnsi="mylotus"/>
          <w:sz w:val="32"/>
          <w:rtl/>
        </w:rPr>
        <w:t xml:space="preserve"> التسليط </w:t>
      </w:r>
      <w:r w:rsidRPr="00F27422">
        <w:rPr>
          <w:rFonts w:ascii="mylotus" w:hAnsi="mylotus"/>
          <w:b/>
          <w:bCs/>
          <w:sz w:val="32"/>
          <w:rtl/>
        </w:rPr>
        <w:t xml:space="preserve">(بما إذا توقّف استيفاء المنفعة على الاستيلاء على العين والسلطنة عليها دون ما لم يتوقّف) </w:t>
      </w:r>
      <w:r w:rsidRPr="00F27422">
        <w:rPr>
          <w:rFonts w:ascii="mylotus" w:hAnsi="mylotus"/>
          <w:sz w:val="32"/>
          <w:rtl/>
        </w:rPr>
        <w:t>فإذا كان الانتفاع بالعين مما</w:t>
      </w:r>
      <w:r w:rsidRPr="00F27422">
        <w:rPr>
          <w:rFonts w:ascii="mylotus" w:hAnsi="mylotus" w:hint="cs"/>
          <w:sz w:val="32"/>
          <w:rtl/>
        </w:rPr>
        <w:t xml:space="preserve"> </w:t>
      </w:r>
      <w:r w:rsidRPr="00F27422">
        <w:rPr>
          <w:rFonts w:ascii="mylotus" w:hAnsi="mylotus"/>
          <w:sz w:val="32"/>
          <w:rtl/>
        </w:rPr>
        <w:t xml:space="preserve">لا يحتاج للسلطنة على العين فلا يجب التسليم </w:t>
      </w:r>
      <w:r w:rsidRPr="00F27422">
        <w:rPr>
          <w:rFonts w:ascii="mylotus" w:hAnsi="mylotus"/>
          <w:b/>
          <w:bCs/>
          <w:sz w:val="32"/>
          <w:rtl/>
        </w:rPr>
        <w:t>(كما في الإجارة على الأعمال من الخياطة، أو الصلاة عن الميّت، ونحو ذلك ممّا كان تسليم العمل بالإتيان به خارجاً من غير أيّ تسليط في البين كما هو واضح).</w:t>
      </w:r>
      <w:r w:rsidRPr="00F27422">
        <w:rPr>
          <w:rFonts w:ascii="mylotus" w:hAnsi="mylotus"/>
          <w:sz w:val="32"/>
          <w:rtl/>
        </w:rPr>
        <w:t xml:space="preserve"> فإنّ الإجارة على الأعمال كما إذا قال: "استأجرتُكَ لكنس المسجد"</w:t>
      </w:r>
      <w:r w:rsidRPr="00F27422">
        <w:rPr>
          <w:rFonts w:ascii="mylotus" w:hAnsi="mylotus" w:hint="cs"/>
          <w:sz w:val="32"/>
          <w:rtl/>
        </w:rPr>
        <w:t xml:space="preserve"> </w:t>
      </w:r>
      <w:r w:rsidRPr="00F27422">
        <w:rPr>
          <w:rFonts w:ascii="mylotus" w:hAnsi="mylotus"/>
          <w:sz w:val="32"/>
          <w:rtl/>
        </w:rPr>
        <w:t>لا يتوقف الانتفاع فيها على سلطنة المُستأجر على جسم الأجير؛ إذ يتحقّق الاستيفاء للمنفعة مِن دون هذه السلطنة</w:t>
      </w:r>
      <w:r w:rsidRPr="00F27422">
        <w:rPr>
          <w:rFonts w:ascii="mylotus" w:hAnsi="mylotus" w:hint="cs"/>
          <w:sz w:val="32"/>
          <w:rtl/>
        </w:rPr>
        <w:t>.</w:t>
      </w:r>
    </w:p>
    <w:p w14:paraId="6005B228"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sz w:val="32"/>
          <w:rtl/>
        </w:rPr>
        <w:t>ونظير</w:t>
      </w:r>
      <w:r w:rsidRPr="00F27422">
        <w:rPr>
          <w:rFonts w:ascii="mylotus" w:hAnsi="mylotus" w:hint="cs"/>
          <w:sz w:val="32"/>
          <w:rtl/>
        </w:rPr>
        <w:t>ُ</w:t>
      </w:r>
      <w:r w:rsidRPr="00F27422">
        <w:rPr>
          <w:rFonts w:ascii="mylotus" w:hAnsi="mylotus"/>
          <w:sz w:val="32"/>
          <w:rtl/>
        </w:rPr>
        <w:t xml:space="preserve"> باب الإجارة على الأعمال</w:t>
      </w:r>
      <w:r w:rsidRPr="00F27422">
        <w:rPr>
          <w:rFonts w:ascii="mylotus" w:hAnsi="mylotus" w:hint="cs"/>
          <w:sz w:val="32"/>
          <w:rtl/>
        </w:rPr>
        <w:t>،</w:t>
      </w:r>
      <w:r w:rsidRPr="00F27422">
        <w:rPr>
          <w:rFonts w:ascii="mylotus" w:hAnsi="mylotus"/>
          <w:sz w:val="32"/>
          <w:rtl/>
        </w:rPr>
        <w:t xml:space="preserve"> الإجارة</w:t>
      </w:r>
      <w:r w:rsidRPr="00F27422">
        <w:rPr>
          <w:rFonts w:ascii="mylotus" w:hAnsi="mylotus" w:hint="cs"/>
          <w:sz w:val="32"/>
          <w:rtl/>
        </w:rPr>
        <w:t>ُ</w:t>
      </w:r>
      <w:r w:rsidRPr="00F27422">
        <w:rPr>
          <w:rFonts w:ascii="mylotus" w:hAnsi="mylotus"/>
          <w:sz w:val="32"/>
          <w:rtl/>
        </w:rPr>
        <w:t xml:space="preserve"> على الأعيان كما في إجارة المعرض والمتحف والمكتبة في زماننا هذا، حيث</w:t>
      </w:r>
      <w:r w:rsidRPr="00F27422">
        <w:rPr>
          <w:rFonts w:ascii="mylotus" w:hAnsi="mylotus" w:hint="cs"/>
          <w:sz w:val="32"/>
          <w:rtl/>
        </w:rPr>
        <w:t>ُ</w:t>
      </w:r>
      <w:r w:rsidRPr="00F27422">
        <w:rPr>
          <w:rFonts w:ascii="mylotus" w:hAnsi="mylotus"/>
          <w:sz w:val="32"/>
          <w:rtl/>
        </w:rPr>
        <w:t xml:space="preserve"> إن</w:t>
      </w:r>
      <w:r w:rsidRPr="00F27422">
        <w:rPr>
          <w:rFonts w:ascii="mylotus" w:hAnsi="mylotus" w:hint="cs"/>
          <w:sz w:val="32"/>
          <w:rtl/>
        </w:rPr>
        <w:t>ّ</w:t>
      </w:r>
      <w:r w:rsidRPr="00F27422">
        <w:rPr>
          <w:rFonts w:ascii="mylotus" w:hAnsi="mylotus"/>
          <w:sz w:val="32"/>
          <w:rtl/>
        </w:rPr>
        <w:t xml:space="preserve"> السلطنة بيد المؤجّر، والمُستأجر لا دور له إلّا أنْ يدخل معرض السيارات ليسجل بعض المعلومات بحسب الماركات والأسعار والأنواع ليخرج بذلك بمنتج</w:t>
      </w:r>
      <w:r w:rsidRPr="00F27422">
        <w:rPr>
          <w:rFonts w:ascii="mylotus" w:hAnsi="mylotus" w:hint="cs"/>
          <w:sz w:val="32"/>
          <w:rtl/>
        </w:rPr>
        <w:t>ٍ</w:t>
      </w:r>
      <w:r w:rsidRPr="00F27422">
        <w:rPr>
          <w:rFonts w:ascii="mylotus" w:hAnsi="mylotus"/>
          <w:sz w:val="32"/>
          <w:rtl/>
        </w:rPr>
        <w:t xml:space="preserve"> إعلامي يقوم بإبرازه بعد ذلك مِن دون سلطنةٍ لهُ على العين</w:t>
      </w:r>
      <w:r w:rsidRPr="00F27422">
        <w:rPr>
          <w:rFonts w:ascii="mylotus" w:hAnsi="mylotus"/>
          <w:sz w:val="32"/>
        </w:rPr>
        <w:t>.</w:t>
      </w:r>
    </w:p>
    <w:p w14:paraId="55909FAB"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sz w:val="32"/>
          <w:rtl/>
        </w:rPr>
        <w:t xml:space="preserve">وكذلك إجارة المتحف أو إجارة المكتبة، فإنّه مِن باب الإجارة على الأعيان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الأعمال</w:t>
      </w:r>
      <w:r w:rsidRPr="00F27422">
        <w:rPr>
          <w:rFonts w:ascii="mylotus" w:hAnsi="mylotus"/>
          <w:sz w:val="32"/>
          <w:rtl/>
        </w:rPr>
        <w:t xml:space="preserve"> -</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لكنه</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يتضمن</w:t>
      </w:r>
      <w:r w:rsidRPr="00F27422">
        <w:rPr>
          <w:rFonts w:ascii="mylotus" w:hAnsi="mylotus"/>
          <w:sz w:val="32"/>
          <w:rtl/>
        </w:rPr>
        <w:t xml:space="preserve"> </w:t>
      </w:r>
      <w:r w:rsidRPr="00F27422">
        <w:rPr>
          <w:rFonts w:ascii="mylotus" w:hAnsi="mylotus" w:hint="cs"/>
          <w:sz w:val="32"/>
          <w:rtl/>
        </w:rPr>
        <w:t>إعطاء</w:t>
      </w:r>
      <w:r w:rsidRPr="00F27422">
        <w:rPr>
          <w:rFonts w:ascii="mylotus" w:hAnsi="mylotus"/>
          <w:sz w:val="32"/>
          <w:rtl/>
        </w:rPr>
        <w:t xml:space="preserve"> </w:t>
      </w:r>
      <w:r w:rsidRPr="00F27422">
        <w:rPr>
          <w:rFonts w:ascii="mylotus" w:hAnsi="mylotus" w:hint="cs"/>
          <w:sz w:val="32"/>
          <w:rtl/>
        </w:rPr>
        <w:t>المُستأجر</w:t>
      </w:r>
      <w:r w:rsidRPr="00F27422">
        <w:rPr>
          <w:rFonts w:ascii="mylotus" w:hAnsi="mylotus"/>
          <w:sz w:val="32"/>
          <w:rtl/>
        </w:rPr>
        <w:t xml:space="preserve"> </w:t>
      </w:r>
      <w:r w:rsidRPr="00F27422">
        <w:rPr>
          <w:rFonts w:ascii="mylotus" w:hAnsi="mylotus" w:hint="cs"/>
          <w:sz w:val="32"/>
          <w:rtl/>
        </w:rPr>
        <w:t>سلطنةً</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العين</w:t>
      </w:r>
      <w:r w:rsidRPr="00F27422">
        <w:rPr>
          <w:rFonts w:ascii="mylotus" w:hAnsi="mylotus"/>
          <w:sz w:val="32"/>
          <w:rtl/>
        </w:rPr>
        <w:t xml:space="preserve"> </w:t>
      </w:r>
      <w:r w:rsidRPr="00F27422">
        <w:rPr>
          <w:rFonts w:ascii="mylotus" w:hAnsi="mylotus" w:hint="cs"/>
          <w:sz w:val="32"/>
          <w:rtl/>
        </w:rPr>
        <w:t>ولا</w:t>
      </w:r>
      <w:r w:rsidRPr="00F27422">
        <w:rPr>
          <w:rFonts w:ascii="mylotus" w:hAnsi="mylotus"/>
          <w:sz w:val="32"/>
          <w:rtl/>
        </w:rPr>
        <w:t xml:space="preserve"> </w:t>
      </w:r>
      <w:r w:rsidRPr="00F27422">
        <w:rPr>
          <w:rFonts w:ascii="mylotus" w:hAnsi="mylotus" w:hint="cs"/>
          <w:sz w:val="32"/>
          <w:rtl/>
        </w:rPr>
        <w:t>يجبُ</w:t>
      </w:r>
      <w:r w:rsidRPr="00F27422">
        <w:rPr>
          <w:rFonts w:ascii="mylotus" w:hAnsi="mylotus"/>
          <w:sz w:val="32"/>
          <w:rtl/>
        </w:rPr>
        <w:t xml:space="preserve"> </w:t>
      </w:r>
      <w:r w:rsidRPr="00F27422">
        <w:rPr>
          <w:rFonts w:ascii="mylotus" w:hAnsi="mylotus" w:hint="cs"/>
          <w:sz w:val="32"/>
          <w:rtl/>
        </w:rPr>
        <w:t>التسليم</w:t>
      </w:r>
      <w:r w:rsidRPr="00F27422">
        <w:rPr>
          <w:rFonts w:ascii="mylotus" w:hAnsi="mylotus"/>
          <w:sz w:val="32"/>
        </w:rPr>
        <w:t>.</w:t>
      </w:r>
    </w:p>
    <w:p w14:paraId="284A359E"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sz w:val="32"/>
          <w:rtl/>
        </w:rPr>
        <w:t>فالتسليم مجرّد شرطٍ في عقد الإجارة في فرض توقّف الاستيفاء على التسليم</w:t>
      </w:r>
      <w:r w:rsidRPr="00F27422">
        <w:rPr>
          <w:rFonts w:ascii="mylotus" w:hAnsi="mylotus"/>
          <w:sz w:val="32"/>
        </w:rPr>
        <w:t>.</w:t>
      </w:r>
    </w:p>
    <w:p w14:paraId="41F7C7B7"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b/>
          <w:bCs/>
          <w:sz w:val="32"/>
          <w:rtl/>
        </w:rPr>
        <w:t>المقدمةُ الثانية:</w:t>
      </w:r>
      <w:r w:rsidRPr="00F27422">
        <w:rPr>
          <w:rFonts w:ascii="mylotus" w:hAnsi="mylotus"/>
          <w:sz w:val="32"/>
          <w:rtl/>
        </w:rPr>
        <w:t xml:space="preserve"> قد استدل على ثبوت خيار عقد التفليس بأنّ مقتضى العقد هو تمكن كلٍّ مِن المتعاملين مِن الانتفاع بالعوض والمعوض، وهو ما نعبر عنه</w:t>
      </w:r>
      <w:r w:rsidRPr="00F27422">
        <w:rPr>
          <w:rFonts w:ascii="mylotus" w:hAnsi="mylotus" w:hint="cs"/>
          <w:sz w:val="32"/>
          <w:rtl/>
        </w:rPr>
        <w:t>ُ</w:t>
      </w:r>
      <w:r w:rsidRPr="00F27422">
        <w:rPr>
          <w:rFonts w:ascii="mylotus" w:hAnsi="mylotus"/>
          <w:sz w:val="32"/>
          <w:rtl/>
        </w:rPr>
        <w:t xml:space="preserve"> بالغرض النوعي مِن الإجارة، فالخروجُ عن مقتضى العقد منشأٌ لثبوت الخيار بغض النظر عن شرط التسليم والتسلّم؛ إذ قد يتحقّق الانتفاع بالعوض والمعوض بدون التسليم والتسلّم</w:t>
      </w:r>
      <w:r w:rsidRPr="00F27422">
        <w:rPr>
          <w:rFonts w:ascii="mylotus" w:hAnsi="mylotus"/>
          <w:sz w:val="32"/>
        </w:rPr>
        <w:t>.</w:t>
      </w:r>
    </w:p>
    <w:p w14:paraId="59B57EBC" w14:textId="77777777" w:rsidR="003842B9" w:rsidRPr="00F27422" w:rsidRDefault="003842B9" w:rsidP="00122B70">
      <w:pPr>
        <w:pStyle w:val="a"/>
        <w:bidi/>
        <w:spacing w:line="216" w:lineRule="auto"/>
        <w:jc w:val="left"/>
        <w:rPr>
          <w:rFonts w:ascii="mylotus" w:hAnsi="mylotus"/>
          <w:sz w:val="32"/>
          <w:rtl/>
        </w:rPr>
      </w:pPr>
      <w:r w:rsidRPr="00F27422">
        <w:rPr>
          <w:rFonts w:ascii="mylotus" w:hAnsi="mylotus"/>
          <w:b/>
          <w:bCs/>
          <w:sz w:val="32"/>
          <w:rtl/>
        </w:rPr>
        <w:t>أو فقل:</w:t>
      </w:r>
      <w:r w:rsidRPr="00F27422">
        <w:rPr>
          <w:rFonts w:ascii="mylotus" w:hAnsi="mylotus"/>
          <w:sz w:val="32"/>
          <w:rtl/>
        </w:rPr>
        <w:t xml:space="preserve"> إنّ اشتراط التسليم والتسلّم في المعاوضة لا بمعنى قبض </w:t>
      </w:r>
      <w:proofErr w:type="gramStart"/>
      <w:r w:rsidRPr="00F27422">
        <w:rPr>
          <w:rFonts w:ascii="mylotus" w:hAnsi="mylotus"/>
          <w:sz w:val="32"/>
          <w:rtl/>
        </w:rPr>
        <w:t>العين</w:t>
      </w:r>
      <w:proofErr w:type="gramEnd"/>
      <w:r w:rsidRPr="00F27422">
        <w:rPr>
          <w:rFonts w:ascii="mylotus" w:hAnsi="mylotus"/>
          <w:sz w:val="32"/>
          <w:rtl/>
        </w:rPr>
        <w:t xml:space="preserve"> بل بمعنى السلطنة على الانتفاع ولو لَمْ يكن هناك تسلّم للعين، كما في استئجار المكاتب والمتاحف والمعارض، بمعنى: أنّ للمُستأجر حصّة مِن الوقت للاستفادة مِن ذلك مِن دون تسلّم العين، فإذا كان </w:t>
      </w:r>
      <w:r w:rsidRPr="00F27422">
        <w:rPr>
          <w:rFonts w:ascii="mylotus" w:hAnsi="mylotus"/>
          <w:sz w:val="32"/>
          <w:rtl/>
        </w:rPr>
        <w:lastRenderedPageBreak/>
        <w:t>المُستأجر مفلساً وهو لا يتمكن مِن أداء العوض فلا يتمكن المؤجّر مِن الانتفاع بالعوض - وهو الثمن - فيثبت لهُ خيار التفليس، لا بالإجماع ولا بالروايات، بل بتخلّف مقتضى العقد، أي</w:t>
      </w:r>
      <w:r w:rsidRPr="00F27422">
        <w:rPr>
          <w:rFonts w:ascii="mylotus" w:hAnsi="mylotus" w:hint="cs"/>
          <w:sz w:val="32"/>
          <w:rtl/>
        </w:rPr>
        <w:t>:</w:t>
      </w:r>
      <w:r w:rsidRPr="00F27422">
        <w:rPr>
          <w:rFonts w:ascii="mylotus" w:hAnsi="mylotus"/>
          <w:sz w:val="32"/>
          <w:rtl/>
        </w:rPr>
        <w:t xml:space="preserve"> الغرض النوعي</w:t>
      </w:r>
      <w:r w:rsidRPr="00F27422">
        <w:rPr>
          <w:rFonts w:ascii="mylotus" w:hAnsi="mylotus" w:hint="cs"/>
          <w:sz w:val="32"/>
          <w:rtl/>
        </w:rPr>
        <w:t>.</w:t>
      </w:r>
    </w:p>
    <w:p w14:paraId="22CBE889" w14:textId="77777777" w:rsidR="003842B9" w:rsidRPr="00F27422" w:rsidRDefault="003842B9" w:rsidP="00122B70">
      <w:pPr>
        <w:pStyle w:val="a"/>
        <w:bidi/>
        <w:spacing w:line="216" w:lineRule="auto"/>
        <w:jc w:val="left"/>
        <w:rPr>
          <w:rFonts w:ascii="mylotus" w:hAnsi="mylotus"/>
          <w:b/>
          <w:bCs/>
          <w:sz w:val="32"/>
          <w:rtl/>
          <w:lang w:bidi="ar-BH"/>
        </w:rPr>
      </w:pPr>
      <w:r w:rsidRPr="00F27422">
        <w:rPr>
          <w:rFonts w:ascii="mylotus" w:hAnsi="mylotus"/>
          <w:sz w:val="32"/>
          <w:rtl/>
        </w:rPr>
        <w:t>وبذلك تتضح المناقشة فيما ذكره السيد الحكيم السبط (قدس سره الشريف) في كتاب الإجارة</w:t>
      </w:r>
      <w:r w:rsidRPr="00F27422">
        <w:rPr>
          <w:rStyle w:val="FootnoteReference"/>
          <w:rFonts w:ascii="mylotus" w:hAnsi="mylotus"/>
          <w:sz w:val="32"/>
          <w:rtl/>
        </w:rPr>
        <w:footnoteReference w:id="142"/>
      </w:r>
      <w:r w:rsidRPr="00F27422">
        <w:rPr>
          <w:rFonts w:ascii="mylotus" w:hAnsi="mylotus"/>
          <w:sz w:val="32"/>
          <w:rtl/>
        </w:rPr>
        <w:t xml:space="preserve"> </w:t>
      </w:r>
      <w:r w:rsidRPr="00F27422">
        <w:rPr>
          <w:rFonts w:ascii="mylotus" w:hAnsi="mylotus" w:hint="cs"/>
          <w:sz w:val="32"/>
          <w:rtl/>
        </w:rPr>
        <w:t>حيثُ</w:t>
      </w:r>
      <w:r w:rsidRPr="00F27422">
        <w:rPr>
          <w:rFonts w:ascii="mylotus" w:hAnsi="mylotus"/>
          <w:sz w:val="32"/>
          <w:rtl/>
        </w:rPr>
        <w:t xml:space="preserve"> </w:t>
      </w:r>
      <w:r w:rsidRPr="00F27422">
        <w:rPr>
          <w:rFonts w:ascii="mylotus" w:hAnsi="mylotus" w:hint="cs"/>
          <w:sz w:val="32"/>
          <w:rtl/>
        </w:rPr>
        <w:t>قال</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نعم</w:t>
      </w:r>
      <w:r w:rsidRPr="00F27422">
        <w:rPr>
          <w:rFonts w:ascii="mylotus" w:hAnsi="mylotus"/>
          <w:b/>
          <w:bCs/>
          <w:sz w:val="32"/>
          <w:rtl/>
        </w:rPr>
        <w:t xml:space="preserve"> </w:t>
      </w:r>
      <w:r w:rsidRPr="00F27422">
        <w:rPr>
          <w:rFonts w:ascii="mylotus" w:hAnsi="mylotus" w:hint="cs"/>
          <w:b/>
          <w:bCs/>
          <w:sz w:val="32"/>
          <w:rtl/>
        </w:rPr>
        <w:t>تقدم</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أثناء</w:t>
      </w:r>
      <w:r w:rsidRPr="00F27422">
        <w:rPr>
          <w:rFonts w:ascii="mylotus" w:hAnsi="mylotus"/>
          <w:sz w:val="32"/>
          <w:rtl/>
        </w:rPr>
        <w:t xml:space="preserve"> </w:t>
      </w:r>
      <w:r w:rsidRPr="00F27422">
        <w:rPr>
          <w:rFonts w:ascii="mylotus" w:hAnsi="mylotus" w:hint="cs"/>
          <w:sz w:val="32"/>
          <w:rtl/>
        </w:rPr>
        <w:t>بحثه</w:t>
      </w:r>
      <w:r w:rsidRPr="00F27422">
        <w:rPr>
          <w:rFonts w:ascii="mylotus" w:hAnsi="mylotus"/>
          <w:sz w:val="32"/>
          <w:rtl/>
        </w:rPr>
        <w:t xml:space="preserve"> </w:t>
      </w:r>
      <w:r w:rsidRPr="00F27422">
        <w:rPr>
          <w:rFonts w:ascii="mylotus" w:hAnsi="mylotus" w:hint="cs"/>
          <w:sz w:val="32"/>
          <w:rtl/>
        </w:rPr>
        <w:t>عن</w:t>
      </w:r>
      <w:r w:rsidRPr="00F27422">
        <w:rPr>
          <w:rFonts w:ascii="mylotus" w:hAnsi="mylotus"/>
          <w:sz w:val="32"/>
          <w:rtl/>
        </w:rPr>
        <w:t xml:space="preserve"> </w:t>
      </w:r>
      <w:r w:rsidRPr="00F27422">
        <w:rPr>
          <w:rFonts w:ascii="mylotus" w:hAnsi="mylotus" w:hint="cs"/>
          <w:sz w:val="32"/>
          <w:rtl/>
        </w:rPr>
        <w:t>خيار</w:t>
      </w:r>
      <w:r w:rsidRPr="00F27422">
        <w:rPr>
          <w:rFonts w:ascii="mylotus" w:hAnsi="mylotus"/>
          <w:sz w:val="32"/>
          <w:rtl/>
        </w:rPr>
        <w:t xml:space="preserve"> </w:t>
      </w:r>
      <w:r w:rsidRPr="00F27422">
        <w:rPr>
          <w:rFonts w:ascii="mylotus" w:hAnsi="mylotus" w:hint="cs"/>
          <w:sz w:val="32"/>
          <w:rtl/>
        </w:rPr>
        <w:t>التفليس</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ابتناء</w:t>
      </w:r>
      <w:r w:rsidRPr="00F27422">
        <w:rPr>
          <w:rFonts w:ascii="mylotus" w:hAnsi="mylotus"/>
          <w:b/>
          <w:bCs/>
          <w:sz w:val="32"/>
          <w:rtl/>
        </w:rPr>
        <w:t xml:space="preserve"> </w:t>
      </w:r>
      <w:r w:rsidRPr="00F27422">
        <w:rPr>
          <w:rFonts w:ascii="mylotus" w:hAnsi="mylotus" w:hint="cs"/>
          <w:b/>
          <w:bCs/>
          <w:sz w:val="32"/>
          <w:rtl/>
        </w:rPr>
        <w:t>الإجارة</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كسائر</w:t>
      </w:r>
      <w:r w:rsidRPr="00F27422">
        <w:rPr>
          <w:rFonts w:ascii="mylotus" w:hAnsi="mylotus"/>
          <w:b/>
          <w:bCs/>
          <w:sz w:val="32"/>
          <w:rtl/>
        </w:rPr>
        <w:t xml:space="preserve"> </w:t>
      </w:r>
      <w:r w:rsidRPr="00F27422">
        <w:rPr>
          <w:rFonts w:ascii="mylotus" w:hAnsi="mylotus" w:hint="cs"/>
          <w:b/>
          <w:bCs/>
          <w:sz w:val="32"/>
          <w:rtl/>
        </w:rPr>
        <w:t>المعاوضات</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التسليم</w:t>
      </w:r>
      <w:r w:rsidRPr="00F27422">
        <w:rPr>
          <w:rFonts w:ascii="mylotus" w:hAnsi="mylotus"/>
          <w:b/>
          <w:bCs/>
          <w:sz w:val="32"/>
          <w:rtl/>
        </w:rPr>
        <w:t xml:space="preserve"> </w:t>
      </w:r>
      <w:r w:rsidRPr="00F27422">
        <w:rPr>
          <w:rFonts w:ascii="mylotus" w:hAnsi="mylotus" w:hint="cs"/>
          <w:b/>
          <w:bCs/>
          <w:sz w:val="32"/>
          <w:rtl/>
        </w:rPr>
        <w:t>والتسلم،</w:t>
      </w:r>
      <w:r w:rsidRPr="00F27422">
        <w:rPr>
          <w:rFonts w:ascii="mylotus" w:hAnsi="mylotus"/>
          <w:b/>
          <w:bCs/>
          <w:sz w:val="32"/>
          <w:rtl/>
        </w:rPr>
        <w:t xml:space="preserve"> </w:t>
      </w:r>
      <w:r w:rsidRPr="00F27422">
        <w:rPr>
          <w:rFonts w:ascii="mylotus" w:hAnsi="mylotus" w:hint="cs"/>
          <w:b/>
          <w:bCs/>
          <w:sz w:val="32"/>
          <w:rtl/>
        </w:rPr>
        <w:t>فمع</w:t>
      </w:r>
      <w:r w:rsidRPr="00F27422">
        <w:rPr>
          <w:rFonts w:ascii="mylotus" w:hAnsi="mylotus"/>
          <w:b/>
          <w:bCs/>
          <w:sz w:val="32"/>
          <w:rtl/>
        </w:rPr>
        <w:t xml:space="preserve"> </w:t>
      </w:r>
      <w:r w:rsidRPr="00F27422">
        <w:rPr>
          <w:rFonts w:ascii="mylotus" w:hAnsi="mylotus" w:hint="cs"/>
          <w:b/>
          <w:bCs/>
          <w:sz w:val="32"/>
          <w:rtl/>
        </w:rPr>
        <w:t>تعذر</w:t>
      </w:r>
      <w:r w:rsidRPr="00F27422">
        <w:rPr>
          <w:rFonts w:ascii="mylotus" w:hAnsi="mylotus"/>
          <w:b/>
          <w:bCs/>
          <w:sz w:val="32"/>
          <w:rtl/>
        </w:rPr>
        <w:t xml:space="preserve"> </w:t>
      </w:r>
      <w:r w:rsidRPr="00F27422">
        <w:rPr>
          <w:rFonts w:ascii="mylotus" w:hAnsi="mylotus" w:hint="cs"/>
          <w:b/>
          <w:bCs/>
          <w:sz w:val="32"/>
          <w:rtl/>
        </w:rPr>
        <w:t>تسليم</w:t>
      </w:r>
      <w:r w:rsidRPr="00F27422">
        <w:rPr>
          <w:rFonts w:ascii="mylotus" w:hAnsi="mylotus"/>
          <w:b/>
          <w:bCs/>
          <w:sz w:val="32"/>
          <w:rtl/>
        </w:rPr>
        <w:t xml:space="preserve"> </w:t>
      </w:r>
      <w:r w:rsidRPr="00F27422">
        <w:rPr>
          <w:rFonts w:ascii="mylotus" w:hAnsi="mylotus" w:hint="cs"/>
          <w:b/>
          <w:bCs/>
          <w:sz w:val="32"/>
          <w:rtl/>
        </w:rPr>
        <w:t>أحد</w:t>
      </w:r>
      <w:r w:rsidRPr="00F27422">
        <w:rPr>
          <w:rFonts w:ascii="mylotus" w:hAnsi="mylotus"/>
          <w:b/>
          <w:bCs/>
          <w:sz w:val="32"/>
          <w:rtl/>
        </w:rPr>
        <w:t xml:space="preserve"> </w:t>
      </w:r>
      <w:r w:rsidRPr="00F27422">
        <w:rPr>
          <w:rFonts w:ascii="mylotus" w:hAnsi="mylotus" w:hint="cs"/>
          <w:b/>
          <w:bCs/>
          <w:sz w:val="32"/>
          <w:rtl/>
        </w:rPr>
        <w:t>العوضين</w:t>
      </w:r>
      <w:r w:rsidRPr="00F27422">
        <w:rPr>
          <w:rFonts w:ascii="mylotus" w:hAnsi="mylotus"/>
          <w:b/>
          <w:bCs/>
          <w:sz w:val="32"/>
          <w:rtl/>
        </w:rPr>
        <w:t xml:space="preserve"> </w:t>
      </w:r>
      <w:r w:rsidRPr="00F27422">
        <w:rPr>
          <w:rFonts w:ascii="mylotus" w:hAnsi="mylotus" w:hint="cs"/>
          <w:b/>
          <w:bCs/>
          <w:sz w:val="32"/>
          <w:rtl/>
        </w:rPr>
        <w:t>يكون</w:t>
      </w:r>
      <w:r w:rsidRPr="00F27422">
        <w:rPr>
          <w:rFonts w:ascii="mylotus" w:hAnsi="mylotus"/>
          <w:b/>
          <w:bCs/>
          <w:sz w:val="32"/>
          <w:rtl/>
        </w:rPr>
        <w:t xml:space="preserve"> </w:t>
      </w:r>
      <w:r w:rsidRPr="00F27422">
        <w:rPr>
          <w:rFonts w:ascii="mylotus" w:hAnsi="mylotus" w:hint="cs"/>
          <w:b/>
          <w:bCs/>
          <w:sz w:val="32"/>
          <w:rtl/>
        </w:rPr>
        <w:t>لصاحبه</w:t>
      </w:r>
      <w:r w:rsidRPr="00F27422">
        <w:rPr>
          <w:rFonts w:ascii="mylotus" w:hAnsi="mylotus"/>
          <w:b/>
          <w:bCs/>
          <w:sz w:val="32"/>
          <w:rtl/>
        </w:rPr>
        <w:t xml:space="preserve"> </w:t>
      </w:r>
      <w:r w:rsidRPr="00F27422">
        <w:rPr>
          <w:rFonts w:ascii="mylotus" w:hAnsi="mylotus" w:hint="cs"/>
          <w:b/>
          <w:bCs/>
          <w:sz w:val="32"/>
          <w:rtl/>
        </w:rPr>
        <w:t>الفسخ،</w:t>
      </w:r>
      <w:r w:rsidRPr="00F27422">
        <w:rPr>
          <w:rFonts w:ascii="mylotus" w:hAnsi="mylotus"/>
          <w:b/>
          <w:bCs/>
          <w:sz w:val="32"/>
          <w:rtl/>
        </w:rPr>
        <w:t xml:space="preserve"> </w:t>
      </w:r>
      <w:r w:rsidRPr="00F27422">
        <w:rPr>
          <w:rFonts w:ascii="mylotus" w:hAnsi="mylotus" w:hint="cs"/>
          <w:b/>
          <w:bCs/>
          <w:sz w:val="32"/>
          <w:rtl/>
        </w:rPr>
        <w:t>للخروج</w:t>
      </w:r>
      <w:r w:rsidRPr="00F27422">
        <w:rPr>
          <w:rFonts w:ascii="mylotus" w:hAnsi="mylotus"/>
          <w:b/>
          <w:bCs/>
          <w:sz w:val="32"/>
          <w:rtl/>
        </w:rPr>
        <w:t xml:space="preserve"> </w:t>
      </w:r>
      <w:r w:rsidRPr="00F27422">
        <w:rPr>
          <w:rFonts w:ascii="mylotus" w:hAnsi="mylotus" w:hint="cs"/>
          <w:b/>
          <w:bCs/>
          <w:sz w:val="32"/>
          <w:rtl/>
        </w:rPr>
        <w:t>عن</w:t>
      </w:r>
      <w:r w:rsidRPr="00F27422">
        <w:rPr>
          <w:rFonts w:ascii="mylotus" w:hAnsi="mylotus"/>
          <w:b/>
          <w:bCs/>
          <w:sz w:val="32"/>
          <w:rtl/>
        </w:rPr>
        <w:t xml:space="preserve"> </w:t>
      </w:r>
      <w:r w:rsidRPr="00F27422">
        <w:rPr>
          <w:rFonts w:ascii="mylotus" w:hAnsi="mylotus" w:hint="cs"/>
          <w:b/>
          <w:bCs/>
          <w:sz w:val="32"/>
          <w:rtl/>
        </w:rPr>
        <w:t>مقتضى</w:t>
      </w:r>
      <w:r w:rsidRPr="00F27422">
        <w:rPr>
          <w:rFonts w:ascii="mylotus" w:hAnsi="mylotus"/>
          <w:b/>
          <w:bCs/>
          <w:sz w:val="32"/>
          <w:rtl/>
        </w:rPr>
        <w:t xml:space="preserve"> </w:t>
      </w:r>
      <w:r w:rsidRPr="00F27422">
        <w:rPr>
          <w:rFonts w:ascii="mylotus" w:hAnsi="mylotus" w:hint="cs"/>
          <w:b/>
          <w:bCs/>
          <w:sz w:val="32"/>
          <w:rtl/>
        </w:rPr>
        <w:t>العقد</w:t>
      </w:r>
      <w:r w:rsidRPr="00F27422">
        <w:rPr>
          <w:rFonts w:ascii="mylotus" w:hAnsi="mylotus"/>
          <w:b/>
          <w:bCs/>
          <w:sz w:val="32"/>
        </w:rPr>
        <w:t>.</w:t>
      </w:r>
    </w:p>
    <w:p w14:paraId="03A49B60"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b/>
          <w:bCs/>
          <w:sz w:val="32"/>
          <w:rtl/>
        </w:rPr>
        <w:t xml:space="preserve">لكن ذلك يرجع لخيار تعذر التسليم المتقدم، ويقصر عما إذا رضي المؤجر بعدم المبادرة للتسليم، وتنازل عن حقه في الفسخ من أجله، ثم حصل الفلس) </w:t>
      </w:r>
      <w:r w:rsidRPr="00F27422">
        <w:rPr>
          <w:rFonts w:ascii="mylotus" w:hAnsi="mylotus"/>
          <w:sz w:val="32"/>
          <w:rtl/>
        </w:rPr>
        <w:t>فلو فُرض أنّه قد تمت الإجارة، وقال المؤجّر للمُستأجر: "أنا راضٍ بتأخرك في تسليم الأُجرة إلى أنْ تتمكن ويتيسر لك" فبرضاهُ بعدم المبادرة للتسليم تنازل عن حقّه، وحيث تنازل عن حقّه فليس له</w:t>
      </w:r>
      <w:r w:rsidRPr="00F27422">
        <w:rPr>
          <w:rFonts w:ascii="mylotus" w:hAnsi="mylotus" w:hint="cs"/>
          <w:sz w:val="32"/>
          <w:rtl/>
        </w:rPr>
        <w:t>ُ</w:t>
      </w:r>
      <w:r w:rsidRPr="00F27422">
        <w:rPr>
          <w:rFonts w:ascii="mylotus" w:hAnsi="mylotus"/>
          <w:sz w:val="32"/>
          <w:rtl/>
        </w:rPr>
        <w:t xml:space="preserve"> خيار عدم التسليم </w:t>
      </w:r>
      <w:r w:rsidRPr="00F27422">
        <w:rPr>
          <w:rFonts w:ascii="mylotus" w:hAnsi="mylotus"/>
          <w:b/>
          <w:bCs/>
          <w:sz w:val="32"/>
          <w:rtl/>
        </w:rPr>
        <w:t>(حيث لا دليل على تجديد الخيار له بذلك)</w:t>
      </w:r>
      <w:r w:rsidRPr="00F27422">
        <w:rPr>
          <w:rFonts w:ascii="mylotus" w:hAnsi="mylotus"/>
          <w:sz w:val="32"/>
          <w:rtl/>
        </w:rPr>
        <w:t xml:space="preserve"> أي: بالفلس الحاصل بعد تنازله عن حقّه </w:t>
      </w:r>
      <w:r w:rsidRPr="00F27422">
        <w:rPr>
          <w:rFonts w:ascii="mylotus" w:hAnsi="mylotus"/>
          <w:b/>
          <w:bCs/>
          <w:sz w:val="32"/>
          <w:rtl/>
        </w:rPr>
        <w:t>(بعد عدم نهوض ما سبق به).</w:t>
      </w:r>
      <w:r w:rsidRPr="00F27422">
        <w:rPr>
          <w:rFonts w:ascii="mylotus" w:hAnsi="mylotus"/>
          <w:sz w:val="32"/>
          <w:rtl/>
        </w:rPr>
        <w:t xml:space="preserve"> فإنّ الثابت لهُ خيار عدم التسليم وقد رفع يده عن خياره</w:t>
      </w:r>
      <w:r w:rsidRPr="00F27422">
        <w:rPr>
          <w:rFonts w:ascii="mylotus" w:hAnsi="mylotus"/>
          <w:sz w:val="32"/>
        </w:rPr>
        <w:t>.</w:t>
      </w:r>
    </w:p>
    <w:p w14:paraId="5CE96FEA" w14:textId="77777777" w:rsidR="003842B9" w:rsidRPr="00F27422" w:rsidRDefault="003842B9" w:rsidP="00122B70">
      <w:pPr>
        <w:pStyle w:val="a"/>
        <w:bidi/>
        <w:spacing w:line="216" w:lineRule="auto"/>
        <w:jc w:val="left"/>
        <w:rPr>
          <w:rFonts w:ascii="mylotus" w:hAnsi="mylotus"/>
          <w:sz w:val="32"/>
          <w:rtl/>
          <w:lang w:bidi="ar-BH"/>
        </w:rPr>
      </w:pPr>
      <w:r w:rsidRPr="00F27422">
        <w:rPr>
          <w:rFonts w:ascii="mylotus" w:hAnsi="mylotus"/>
          <w:sz w:val="32"/>
          <w:rtl/>
        </w:rPr>
        <w:t>وظاهر</w:t>
      </w:r>
      <w:r w:rsidRPr="00F27422">
        <w:rPr>
          <w:rFonts w:ascii="mylotus" w:hAnsi="mylotus" w:hint="cs"/>
          <w:sz w:val="32"/>
          <w:rtl/>
        </w:rPr>
        <w:t>ُ</w:t>
      </w:r>
      <w:r w:rsidRPr="00F27422">
        <w:rPr>
          <w:rFonts w:ascii="mylotus" w:hAnsi="mylotus"/>
          <w:sz w:val="32"/>
          <w:rtl/>
        </w:rPr>
        <w:t xml:space="preserve"> كلامه</w:t>
      </w:r>
      <w:r w:rsidRPr="00F27422">
        <w:rPr>
          <w:rFonts w:ascii="mylotus" w:hAnsi="mylotus" w:hint="cs"/>
          <w:sz w:val="32"/>
          <w:rtl/>
        </w:rPr>
        <w:t xml:space="preserve"> (قدس سره)</w:t>
      </w:r>
      <w:r w:rsidRPr="00F27422">
        <w:rPr>
          <w:rFonts w:ascii="mylotus" w:hAnsi="mylotus"/>
          <w:sz w:val="32"/>
          <w:rtl/>
        </w:rPr>
        <w:t xml:space="preserve"> الربط بين كون مدرك خيار التفليس الخروج عن مقتضى العقد - أي: تخلّف الغرض النوعي - وبين تعذر التسليم، فلذلك أفاد بأنّه لو تنازل المؤجر عن ذلك إلى آخر المدّة فليس له الخيار، مع أنّ الخيار بنكتة تخلّف مقتضى العقد لا</w:t>
      </w:r>
      <w:r w:rsidRPr="00F27422">
        <w:rPr>
          <w:rFonts w:ascii="mylotus" w:hAnsi="mylotus" w:hint="cs"/>
          <w:sz w:val="32"/>
          <w:rtl/>
        </w:rPr>
        <w:t xml:space="preserve"> </w:t>
      </w:r>
      <w:proofErr w:type="gramStart"/>
      <w:r w:rsidRPr="00F27422">
        <w:rPr>
          <w:rFonts w:ascii="mylotus" w:hAnsi="mylotus"/>
          <w:sz w:val="32"/>
          <w:rtl/>
        </w:rPr>
        <w:t>يرتفع</w:t>
      </w:r>
      <w:proofErr w:type="gramEnd"/>
      <w:r w:rsidRPr="00F27422">
        <w:rPr>
          <w:rFonts w:ascii="mylotus" w:hAnsi="mylotus"/>
          <w:sz w:val="32"/>
          <w:rtl/>
        </w:rPr>
        <w:t xml:space="preserve"> حتى لو رضي بتأخر التسليم؛ فإنّ هذا لا علاقة له بالخروج عن مقتضى العقد.</w:t>
      </w:r>
    </w:p>
    <w:p w14:paraId="02774D23" w14:textId="77777777" w:rsidR="003842B9" w:rsidRPr="00F27422" w:rsidRDefault="003842B9" w:rsidP="00122B70">
      <w:pPr>
        <w:pStyle w:val="a"/>
        <w:bidi/>
        <w:spacing w:line="216" w:lineRule="auto"/>
        <w:jc w:val="left"/>
        <w:rPr>
          <w:rFonts w:ascii="mylotus" w:hAnsi="mylotus"/>
          <w:sz w:val="32"/>
          <w:rtl/>
        </w:rPr>
      </w:pPr>
    </w:p>
    <w:p w14:paraId="35D6E51F" w14:textId="77777777" w:rsidR="003842B9" w:rsidRPr="00F27422" w:rsidRDefault="003842B9"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0840E2BC" w14:textId="77777777" w:rsidR="005D4E65" w:rsidRPr="00F27422" w:rsidRDefault="005D4E65" w:rsidP="00122B70">
      <w:pPr>
        <w:bidi/>
        <w:rPr>
          <w:sz w:val="32"/>
          <w:szCs w:val="32"/>
          <w:rtl/>
        </w:rPr>
      </w:pPr>
    </w:p>
    <w:p w14:paraId="0CB1D288" w14:textId="7C5586DB" w:rsidR="005D4E65" w:rsidRPr="00F27422" w:rsidRDefault="005D4E65" w:rsidP="00122B70">
      <w:pPr>
        <w:pStyle w:val="Heading3"/>
        <w:bidi/>
        <w:rPr>
          <w:sz w:val="32"/>
          <w:szCs w:val="32"/>
          <w:rtl/>
        </w:rPr>
      </w:pPr>
      <w:r w:rsidRPr="00F27422">
        <w:rPr>
          <w:rFonts w:hint="cs"/>
          <w:sz w:val="32"/>
          <w:szCs w:val="32"/>
          <w:rtl/>
        </w:rPr>
        <w:t>089</w:t>
      </w:r>
    </w:p>
    <w:p w14:paraId="20B78078"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3AC84B78"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31040633" w14:textId="77777777" w:rsidR="005D4E65" w:rsidRPr="00F27422" w:rsidRDefault="005D4E65" w:rsidP="00122B70">
      <w:pPr>
        <w:pStyle w:val="a"/>
        <w:bidi/>
        <w:spacing w:line="216" w:lineRule="auto"/>
        <w:jc w:val="left"/>
        <w:rPr>
          <w:rFonts w:ascii="mylotus" w:hAnsi="mylotus"/>
          <w:sz w:val="32"/>
          <w:rtl/>
        </w:rPr>
      </w:pPr>
      <w:r w:rsidRPr="00F27422">
        <w:rPr>
          <w:rFonts w:ascii="mylotus" w:hAnsi="mylotus"/>
          <w:b/>
          <w:bCs/>
          <w:sz w:val="32"/>
          <w:rtl/>
        </w:rPr>
        <w:t>واللعن الدائم على أعدائهم أجمعين إلى قيام يوم الدين</w:t>
      </w:r>
    </w:p>
    <w:p w14:paraId="026E9092" w14:textId="77777777" w:rsidR="005D4E65" w:rsidRPr="00F27422" w:rsidRDefault="005D4E65" w:rsidP="00122B70">
      <w:pPr>
        <w:pStyle w:val="a"/>
        <w:bidi/>
        <w:spacing w:line="216" w:lineRule="auto"/>
        <w:jc w:val="left"/>
        <w:rPr>
          <w:rFonts w:ascii="mylotus" w:hAnsi="mylotus"/>
          <w:sz w:val="32"/>
          <w:rtl/>
        </w:rPr>
      </w:pPr>
    </w:p>
    <w:p w14:paraId="66ACF3CC"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المسألة العاشرة "من أحكام فصل الإجارة</w:t>
      </w:r>
      <w:r w:rsidRPr="00F27422">
        <w:rPr>
          <w:rFonts w:ascii="mylotus" w:hAnsi="mylotus" w:cs="Cambria" w:hint="cs"/>
          <w:b/>
          <w:bCs/>
          <w:sz w:val="32"/>
          <w:rtl/>
        </w:rPr>
        <w:t>"</w:t>
      </w:r>
      <w:r w:rsidRPr="00F27422">
        <w:rPr>
          <w:rFonts w:ascii="mylotus" w:hAnsi="mylotus" w:hint="cs"/>
          <w:b/>
          <w:bCs/>
          <w:sz w:val="32"/>
          <w:rtl/>
        </w:rPr>
        <w:t>.</w:t>
      </w:r>
    </w:p>
    <w:p w14:paraId="1411D33F" w14:textId="77777777" w:rsidR="005D4E65" w:rsidRPr="00F27422" w:rsidRDefault="005D4E65" w:rsidP="00122B70">
      <w:pPr>
        <w:pStyle w:val="a"/>
        <w:bidi/>
        <w:spacing w:line="216" w:lineRule="auto"/>
        <w:jc w:val="left"/>
        <w:rPr>
          <w:rFonts w:ascii="mylotus" w:hAnsi="mylotus"/>
          <w:sz w:val="32"/>
          <w:rtl/>
        </w:rPr>
      </w:pPr>
      <w:r w:rsidRPr="00F27422">
        <w:rPr>
          <w:rFonts w:ascii="mylotus" w:hAnsi="mylotus"/>
          <w:sz w:val="32"/>
          <w:rtl/>
        </w:rPr>
        <w:t xml:space="preserve">قال سيد العروة (قدس سره): </w:t>
      </w:r>
      <w:r w:rsidRPr="00F27422">
        <w:rPr>
          <w:rFonts w:ascii="mylotus" w:hAnsi="mylotus"/>
          <w:b/>
          <w:bCs/>
          <w:sz w:val="32"/>
          <w:rtl/>
        </w:rPr>
        <w:t>(مسألة 10: إذا تبيّن غبن المؤجّر أو المُستأجر فله الخيار إذا لم يكن عالماً به حال العقد، إلّا إذا اشترطا سقوطه في ضمن العقد)</w:t>
      </w:r>
      <w:r w:rsidRPr="00F27422">
        <w:rPr>
          <w:rFonts w:ascii="mylotus" w:hAnsi="mylotus"/>
          <w:b/>
          <w:bCs/>
          <w:sz w:val="32"/>
        </w:rPr>
        <w:t>.</w:t>
      </w:r>
    </w:p>
    <w:p w14:paraId="0AE1E537" w14:textId="77777777" w:rsidR="005D4E65" w:rsidRPr="00F27422" w:rsidRDefault="005D4E65" w:rsidP="00122B70">
      <w:pPr>
        <w:pStyle w:val="a"/>
        <w:bidi/>
        <w:spacing w:line="216" w:lineRule="auto"/>
        <w:jc w:val="left"/>
        <w:rPr>
          <w:rFonts w:ascii="mylotus" w:hAnsi="mylotus"/>
          <w:sz w:val="32"/>
          <w:rtl/>
        </w:rPr>
      </w:pPr>
    </w:p>
    <w:p w14:paraId="172333D8"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المسألة الحادية عشر "من أحكام فصل الإجارة</w:t>
      </w:r>
      <w:r w:rsidRPr="00F27422">
        <w:rPr>
          <w:rFonts w:ascii="mylotus" w:hAnsi="mylotus" w:cs="Cambria" w:hint="cs"/>
          <w:b/>
          <w:bCs/>
          <w:sz w:val="32"/>
          <w:rtl/>
        </w:rPr>
        <w:t>"</w:t>
      </w:r>
      <w:r w:rsidRPr="00F27422">
        <w:rPr>
          <w:rFonts w:ascii="mylotus" w:hAnsi="mylotus" w:hint="cs"/>
          <w:b/>
          <w:bCs/>
          <w:sz w:val="32"/>
          <w:rtl/>
        </w:rPr>
        <w:t>.</w:t>
      </w:r>
    </w:p>
    <w:p w14:paraId="3C88962C"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 xml:space="preserve">قال سيد العروة (قدس سره): </w:t>
      </w:r>
      <w:r w:rsidRPr="00F27422">
        <w:rPr>
          <w:rFonts w:ascii="mylotus" w:hAnsi="mylotus"/>
          <w:b/>
          <w:bCs/>
          <w:sz w:val="32"/>
          <w:rtl/>
        </w:rPr>
        <w:t>(مسألة 11: ليس في الإجارة خيار المجلس ولا خيار الحيوان، بل ولا خيار التأخير على الوجه المذكور في البيع، ويجري فيها خيار الشرط حتى للأجنبي وخيار العيب والغبن كما ذكرنا، بل يجري فيها سائر الخيارات، كخيار الاشتراط وتبعض الصفقة وتعذّر التسليم والتفليس والتدليس والشركة، وما يفسد ليومه وخيار شرط ردّ العوض نظير شرط ردّ الثمن في البيع)</w:t>
      </w:r>
      <w:r w:rsidRPr="00F27422">
        <w:rPr>
          <w:rFonts w:ascii="mylotus" w:hAnsi="mylotus"/>
          <w:b/>
          <w:bCs/>
          <w:sz w:val="32"/>
        </w:rPr>
        <w:t>.</w:t>
      </w:r>
    </w:p>
    <w:p w14:paraId="5EF5F25F"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lastRenderedPageBreak/>
        <w:t xml:space="preserve">فقوله (قدس سره): </w:t>
      </w:r>
      <w:r w:rsidRPr="00F27422">
        <w:rPr>
          <w:rFonts w:ascii="mylotus" w:hAnsi="mylotus"/>
          <w:b/>
          <w:bCs/>
          <w:sz w:val="32"/>
          <w:rtl/>
        </w:rPr>
        <w:t>(ولا خيار التأخير على الوجه المذكور في البيع)</w:t>
      </w:r>
      <w:r w:rsidRPr="00F27422">
        <w:rPr>
          <w:rFonts w:ascii="mylotus" w:hAnsi="mylotus"/>
          <w:sz w:val="32"/>
          <w:rtl/>
        </w:rPr>
        <w:t xml:space="preserve"> حيثُ إنّ خيار التأخير في باب البيع محدد بثلاثةِ أيامٍ، ففي الإجارة لهُ خيارُ التأخير، ولكن لا بهذا الحد وهو ثلاثة أيام</w:t>
      </w:r>
      <w:r w:rsidRPr="00F27422">
        <w:rPr>
          <w:rFonts w:ascii="mylotus" w:hAnsi="mylotus"/>
          <w:sz w:val="32"/>
        </w:rPr>
        <w:t>.</w:t>
      </w:r>
    </w:p>
    <w:p w14:paraId="1C5FFEEE"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 xml:space="preserve">وقوله (قدس سره): </w:t>
      </w:r>
      <w:r w:rsidRPr="00F27422">
        <w:rPr>
          <w:rFonts w:ascii="mylotus" w:hAnsi="mylotus"/>
          <w:b/>
          <w:bCs/>
          <w:sz w:val="32"/>
          <w:rtl/>
        </w:rPr>
        <w:t>(ويجري فيها خيار الشرط حتى للأجنبي)</w:t>
      </w:r>
      <w:r w:rsidRPr="00F27422">
        <w:rPr>
          <w:rFonts w:ascii="mylotus" w:hAnsi="mylotus"/>
          <w:sz w:val="32"/>
          <w:rtl/>
        </w:rPr>
        <w:t xml:space="preserve"> كما لو اشترط </w:t>
      </w:r>
      <w:proofErr w:type="spellStart"/>
      <w:r w:rsidRPr="00F27422">
        <w:rPr>
          <w:rFonts w:ascii="mylotus" w:hAnsi="mylotus"/>
          <w:sz w:val="32"/>
          <w:rtl/>
        </w:rPr>
        <w:t>المتعاوضان</w:t>
      </w:r>
      <w:proofErr w:type="spellEnd"/>
      <w:r w:rsidRPr="00F27422">
        <w:rPr>
          <w:rFonts w:ascii="mylotus" w:hAnsi="mylotus"/>
          <w:sz w:val="32"/>
          <w:rtl/>
        </w:rPr>
        <w:t xml:space="preserve"> خياراً لثالثٍ</w:t>
      </w:r>
      <w:r w:rsidRPr="00F27422">
        <w:rPr>
          <w:rFonts w:ascii="mylotus" w:hAnsi="mylotus"/>
          <w:sz w:val="32"/>
        </w:rPr>
        <w:t>.</w:t>
      </w:r>
    </w:p>
    <w:p w14:paraId="29C3B0D3"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 xml:space="preserve">وقوله (قدس سره): </w:t>
      </w:r>
      <w:r w:rsidRPr="00F27422">
        <w:rPr>
          <w:rFonts w:ascii="mylotus" w:hAnsi="mylotus"/>
          <w:b/>
          <w:bCs/>
          <w:sz w:val="32"/>
          <w:rtl/>
        </w:rPr>
        <w:t>(كخيار الاشتراط)</w:t>
      </w:r>
      <w:r w:rsidRPr="00F27422">
        <w:rPr>
          <w:rFonts w:ascii="mylotus" w:hAnsi="mylotus"/>
          <w:sz w:val="32"/>
          <w:rtl/>
        </w:rPr>
        <w:t xml:space="preserve"> أي: خيار الشرط</w:t>
      </w:r>
      <w:r w:rsidRPr="00F27422">
        <w:rPr>
          <w:rFonts w:ascii="mylotus" w:hAnsi="mylotus"/>
          <w:sz w:val="32"/>
        </w:rPr>
        <w:t>.</w:t>
      </w:r>
    </w:p>
    <w:p w14:paraId="5363699D"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 xml:space="preserve">وقوله (قدس سره): </w:t>
      </w:r>
      <w:r w:rsidRPr="00F27422">
        <w:rPr>
          <w:rFonts w:ascii="mylotus" w:hAnsi="mylotus"/>
          <w:b/>
          <w:bCs/>
          <w:sz w:val="32"/>
          <w:rtl/>
        </w:rPr>
        <w:t xml:space="preserve">(والشركة) </w:t>
      </w:r>
      <w:r w:rsidRPr="00F27422">
        <w:rPr>
          <w:rFonts w:ascii="mylotus" w:hAnsi="mylotus"/>
          <w:sz w:val="32"/>
          <w:rtl/>
        </w:rPr>
        <w:t>كما لو تبين أنّه شريك مع شخصٍ آخرٍ</w:t>
      </w:r>
      <w:r w:rsidRPr="00F27422">
        <w:rPr>
          <w:rFonts w:ascii="mylotus" w:hAnsi="mylotus"/>
          <w:sz w:val="32"/>
        </w:rPr>
        <w:t>.</w:t>
      </w:r>
    </w:p>
    <w:p w14:paraId="27D79982"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فكُلُّ هذه الخيارات كما هي في البيع تشملُ الإجارة</w:t>
      </w:r>
      <w:r w:rsidRPr="00F27422">
        <w:rPr>
          <w:rFonts w:ascii="mylotus" w:hAnsi="mylotus"/>
          <w:sz w:val="32"/>
        </w:rPr>
        <w:t>.</w:t>
      </w:r>
    </w:p>
    <w:p w14:paraId="1528D22B"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وقد ذكر جملةٌ مِن الأعلام ومنهم سيدنا الخوئي (قدس سره الشريف)</w:t>
      </w:r>
      <w:r w:rsidRPr="00F27422">
        <w:rPr>
          <w:rFonts w:ascii="mylotus" w:hAnsi="mylotus" w:hint="cs"/>
          <w:sz w:val="32"/>
          <w:rtl/>
        </w:rPr>
        <w:t xml:space="preserve"> كما في موسوعته المباركة</w:t>
      </w:r>
      <w:r w:rsidRPr="00F27422">
        <w:rPr>
          <w:rStyle w:val="FootnoteReference"/>
          <w:rFonts w:ascii="mylotus" w:hAnsi="mylotus"/>
          <w:sz w:val="32"/>
          <w:rtl/>
        </w:rPr>
        <w:footnoteReference w:id="143"/>
      </w:r>
      <w:r w:rsidRPr="00F27422">
        <w:rPr>
          <w:rFonts w:ascii="mylotus" w:hAnsi="mylotus"/>
          <w:sz w:val="32"/>
          <w:rtl/>
        </w:rPr>
        <w:t xml:space="preserve"> </w:t>
      </w:r>
      <w:r w:rsidRPr="00F27422">
        <w:rPr>
          <w:rFonts w:ascii="mylotus" w:hAnsi="mylotus" w:hint="cs"/>
          <w:sz w:val="32"/>
          <w:rtl/>
        </w:rPr>
        <w:t>قاعدة</w:t>
      </w:r>
      <w:r w:rsidRPr="00F27422">
        <w:rPr>
          <w:rFonts w:ascii="mylotus" w:hAnsi="mylotus"/>
          <w:sz w:val="32"/>
          <w:rtl/>
        </w:rPr>
        <w:t xml:space="preserve"> </w:t>
      </w:r>
      <w:r w:rsidRPr="00F27422">
        <w:rPr>
          <w:rFonts w:ascii="mylotus" w:hAnsi="mylotus" w:hint="cs"/>
          <w:sz w:val="32"/>
          <w:rtl/>
        </w:rPr>
        <w:t>كبروية</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المقام</w:t>
      </w:r>
      <w:r w:rsidRPr="00F27422">
        <w:rPr>
          <w:rFonts w:ascii="mylotus" w:hAnsi="mylotus"/>
          <w:sz w:val="32"/>
          <w:rtl/>
        </w:rPr>
        <w:t xml:space="preserve"> </w:t>
      </w:r>
      <w:r w:rsidRPr="00F27422">
        <w:rPr>
          <w:rFonts w:ascii="mylotus" w:hAnsi="mylotus" w:hint="cs"/>
          <w:sz w:val="32"/>
          <w:rtl/>
        </w:rPr>
        <w:t>وهي</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الدليل</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الخيار</w:t>
      </w:r>
      <w:r w:rsidRPr="00F27422">
        <w:rPr>
          <w:rFonts w:ascii="mylotus" w:hAnsi="mylotus"/>
          <w:sz w:val="32"/>
          <w:rtl/>
        </w:rPr>
        <w:t xml:space="preserve"> </w:t>
      </w:r>
      <w:r w:rsidRPr="00F27422">
        <w:rPr>
          <w:rFonts w:ascii="mylotus" w:hAnsi="mylotus" w:hint="cs"/>
          <w:sz w:val="32"/>
          <w:rtl/>
        </w:rPr>
        <w:t>إمّا</w:t>
      </w:r>
      <w:r w:rsidRPr="00F27422">
        <w:rPr>
          <w:rFonts w:ascii="mylotus" w:hAnsi="mylotus"/>
          <w:sz w:val="32"/>
          <w:rtl/>
        </w:rPr>
        <w:t xml:space="preserve"> </w:t>
      </w:r>
      <w:r w:rsidRPr="00F27422">
        <w:rPr>
          <w:rFonts w:ascii="mylotus" w:hAnsi="mylotus" w:hint="cs"/>
          <w:sz w:val="32"/>
          <w:rtl/>
        </w:rPr>
        <w:t>دليٌل</w:t>
      </w:r>
      <w:r w:rsidRPr="00F27422">
        <w:rPr>
          <w:rFonts w:ascii="mylotus" w:hAnsi="mylotus"/>
          <w:sz w:val="32"/>
          <w:rtl/>
        </w:rPr>
        <w:t xml:space="preserve"> </w:t>
      </w:r>
      <w:r w:rsidRPr="00F27422">
        <w:rPr>
          <w:rFonts w:ascii="mylotus" w:hAnsi="mylotus" w:hint="cs"/>
          <w:sz w:val="32"/>
          <w:rtl/>
        </w:rPr>
        <w:t>خاصّ</w:t>
      </w:r>
      <w:r w:rsidRPr="00F27422">
        <w:rPr>
          <w:rFonts w:ascii="mylotus" w:hAnsi="mylotus"/>
          <w:sz w:val="32"/>
          <w:rtl/>
        </w:rPr>
        <w:t xml:space="preserve"> </w:t>
      </w:r>
      <w:r w:rsidRPr="00F27422">
        <w:rPr>
          <w:rFonts w:ascii="mylotus" w:hAnsi="mylotus" w:hint="cs"/>
          <w:sz w:val="32"/>
          <w:rtl/>
        </w:rPr>
        <w:t>أو</w:t>
      </w:r>
      <w:r w:rsidRPr="00F27422">
        <w:rPr>
          <w:rFonts w:ascii="mylotus" w:hAnsi="mylotus"/>
          <w:sz w:val="32"/>
          <w:rtl/>
        </w:rPr>
        <w:t xml:space="preserve"> </w:t>
      </w:r>
      <w:r w:rsidRPr="00F27422">
        <w:rPr>
          <w:rFonts w:ascii="mylotus" w:hAnsi="mylotus" w:hint="cs"/>
          <w:sz w:val="32"/>
          <w:rtl/>
        </w:rPr>
        <w:t>دليلٌ</w:t>
      </w:r>
      <w:r w:rsidRPr="00F27422">
        <w:rPr>
          <w:rFonts w:ascii="mylotus" w:hAnsi="mylotus"/>
          <w:sz w:val="32"/>
          <w:rtl/>
        </w:rPr>
        <w:t xml:space="preserve"> </w:t>
      </w:r>
      <w:r w:rsidRPr="00F27422">
        <w:rPr>
          <w:rFonts w:ascii="mylotus" w:hAnsi="mylotus" w:hint="cs"/>
          <w:sz w:val="32"/>
          <w:rtl/>
        </w:rPr>
        <w:t>عام</w:t>
      </w:r>
      <w:r w:rsidRPr="00F27422">
        <w:rPr>
          <w:rFonts w:ascii="mylotus" w:hAnsi="mylotus"/>
          <w:sz w:val="32"/>
        </w:rPr>
        <w:t>.</w:t>
      </w:r>
    </w:p>
    <w:p w14:paraId="5A13691A"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فإنّ كان الدليل على الخيار دليلاً خاصّاً كخيار المجلس، وخيار الحيوان حيث</w:t>
      </w:r>
      <w:r w:rsidRPr="00F27422">
        <w:rPr>
          <w:rFonts w:ascii="mylotus" w:hAnsi="mylotus" w:hint="cs"/>
          <w:sz w:val="32"/>
          <w:rtl/>
        </w:rPr>
        <w:t>ُ</w:t>
      </w:r>
      <w:r w:rsidRPr="00F27422">
        <w:rPr>
          <w:rFonts w:ascii="mylotus" w:hAnsi="mylotus"/>
          <w:sz w:val="32"/>
          <w:rtl/>
        </w:rPr>
        <w:t xml:space="preserve"> إنّ المستند فيه الروايات الخاصّة فثبوته في الإجارة يحتاج إلى قرينة؛ لأنّ الدليل الخاصّ ورد بثبوته في باب البيع والتعدية إلى الإجارة يحتاج إلى قرينة إلّا أنْ يتم اشتراطه، بأنْ يشترط المُؤجّر والمُستأجر ضمن عقد الإجارة أنّ لهما خيار المجلس أو خيار الحيوان بحسب ما هو مقرر في اشتراطهما</w:t>
      </w:r>
      <w:r w:rsidRPr="00F27422">
        <w:rPr>
          <w:rFonts w:ascii="mylotus" w:hAnsi="mylotus"/>
          <w:sz w:val="32"/>
        </w:rPr>
        <w:t>.</w:t>
      </w:r>
    </w:p>
    <w:p w14:paraId="35B3EE1A"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 xml:space="preserve">وإنْ كان ثبوتُ الخيار بالدليل العام كالسيرةِ العقلائيةِ المُمضاة شرعاً أو قاعدة "لا ضرر" أو الشرط الارتكازي، فمقتضى هذه الأدلّة العامّة ثبوتُ الخيار في جميع المعاوضات بيعاً أو إجارة؛ حيثُ إنّ هذه الأدلّة العامّة - سواءً كان السيرة العقلائية الممضاة أو قاعدة </w:t>
      </w:r>
      <w:r w:rsidRPr="00F27422">
        <w:rPr>
          <w:rFonts w:ascii="mylotus" w:hAnsi="mylotus" w:cs="Cambria" w:hint="cs"/>
          <w:sz w:val="32"/>
          <w:rtl/>
        </w:rPr>
        <w:t>"</w:t>
      </w:r>
      <w:r w:rsidRPr="00F27422">
        <w:rPr>
          <w:rFonts w:ascii="mylotus" w:hAnsi="mylotus"/>
          <w:sz w:val="32"/>
          <w:rtl/>
        </w:rPr>
        <w:t>لا ضرر</w:t>
      </w:r>
      <w:r w:rsidRPr="00F27422">
        <w:rPr>
          <w:rFonts w:ascii="mylotus" w:hAnsi="mylotus" w:cs="Cambria" w:hint="cs"/>
          <w:sz w:val="32"/>
          <w:rtl/>
        </w:rPr>
        <w:t>"</w:t>
      </w:r>
      <w:r w:rsidRPr="00F27422">
        <w:rPr>
          <w:rFonts w:ascii="mylotus" w:hAnsi="mylotus"/>
          <w:sz w:val="32"/>
          <w:rtl/>
        </w:rPr>
        <w:t xml:space="preserve"> أو الاشتراط الارتكازي - لا فرق في مناطها بين البيع والإجارة فموضوعها كُلّ معاوضةٍ</w:t>
      </w:r>
      <w:r w:rsidRPr="00F27422">
        <w:rPr>
          <w:rFonts w:ascii="mylotus" w:hAnsi="mylotus"/>
          <w:sz w:val="32"/>
        </w:rPr>
        <w:t>.</w:t>
      </w:r>
    </w:p>
    <w:p w14:paraId="52C22540"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ولكن المختار لدينا:</w:t>
      </w:r>
      <w:r w:rsidRPr="00F27422">
        <w:rPr>
          <w:rFonts w:ascii="mylotus" w:hAnsi="mylotus"/>
          <w:sz w:val="32"/>
          <w:rtl/>
        </w:rPr>
        <w:t xml:space="preserve"> </w:t>
      </w:r>
      <w:r w:rsidRPr="00F27422">
        <w:rPr>
          <w:rFonts w:ascii="mylotus" w:hAnsi="mylotus"/>
          <w:b/>
          <w:bCs/>
          <w:sz w:val="32"/>
          <w:rtl/>
        </w:rPr>
        <w:t>ثبوتُ سائر الخيارات في باب الإجارة كالبيع</w:t>
      </w:r>
      <w:r w:rsidRPr="00F27422">
        <w:rPr>
          <w:rFonts w:ascii="mylotus" w:hAnsi="mylotus"/>
          <w:b/>
          <w:bCs/>
          <w:sz w:val="32"/>
        </w:rPr>
        <w:t>.</w:t>
      </w:r>
    </w:p>
    <w:p w14:paraId="7D1BDEDD"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وبيانُ ذلك بذكرِ أمورٍ ثلاثة</w:t>
      </w:r>
      <w:r w:rsidRPr="00F27422">
        <w:rPr>
          <w:rFonts w:ascii="mylotus" w:hAnsi="mylotus"/>
          <w:b/>
          <w:bCs/>
          <w:sz w:val="32"/>
        </w:rPr>
        <w:t>:</w:t>
      </w:r>
    </w:p>
    <w:p w14:paraId="3141C397"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الأمرُ الأوّل:</w:t>
      </w:r>
      <w:r w:rsidRPr="00F27422">
        <w:rPr>
          <w:rFonts w:ascii="mylotus" w:hAnsi="mylotus"/>
          <w:sz w:val="32"/>
          <w:rtl/>
        </w:rPr>
        <w:t xml:space="preserve"> أنّ الارتكاز العقلائي قائمٌ على ثبوت سائر الخيارات - حتى ما ثبت بالدليل الخاصّ في باب البيع - لسائر المعارضات</w:t>
      </w:r>
      <w:r w:rsidRPr="00F27422">
        <w:rPr>
          <w:rFonts w:ascii="mylotus" w:hAnsi="mylotus"/>
          <w:sz w:val="32"/>
        </w:rPr>
        <w:t>.</w:t>
      </w:r>
    </w:p>
    <w:p w14:paraId="42F942B5"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والنكتة في ذلك:</w:t>
      </w:r>
      <w:r w:rsidRPr="00F27422">
        <w:rPr>
          <w:rFonts w:ascii="mylotus" w:hAnsi="mylotus"/>
          <w:sz w:val="32"/>
          <w:rtl/>
        </w:rPr>
        <w:t xml:space="preserve"> أنّ المعاوضة سواءً كانتْ بيعاً أو إجارةً متقومةٌ بغرضٍ نوعي واحدٍ وهو التمكن مِن الاستفادة مِن كُلٍّ مِن العوض والمعوض بالحدّ المتعارف عند  العقلاء مِن المعاوضة ما لَمْ تقم قرينة على خلاف ذلك، وتخلّف الغرض النوعي موجبٌ للخيار، وهو ما يمكن التعبير عنه بتخلّف الشرط الارتكازي؛ إذ ليس المراد مِن الشرط الارتكازي ما هو ظاهر بعض الكلمات: مِن أنّ الشرط الارتكازي عبارةٌ عن اشتراط مِن المتعاملين فما لَمْ يكن المتعاملان ملتفتين للشرط فليس هناك شرط، بل المرادُ مِن الشرط الارتكازي هو بناءُ المرتكز العقلائي على اشتراطه في كُلّ معاملة وجري المتعاملين على وفق المرتكز ما لَمْ يتفقا على الخلاف، فإنّ المتعاملين في باب الإجارة أو في باب البيع وسائر المعاوضات إنّما يجريان معاوضة على وفق المرتكزات العقلائية فإذا كان لدى المرتكزات العقلائية هذا الشرط وهو التحفظ على الغرض النوعي مِن المعاملة بحيثُ لو تخلّف لثبت الخيار فحينئذٍ يكون اشتراطه ارتكازياً لدى المتعاملين وإنْ كانا غافلين؛ لأنّهما أقدما على المعاملة على طبق ما عليه المرتكز العقلائي في هذا الباب</w:t>
      </w:r>
      <w:r w:rsidRPr="00F27422">
        <w:rPr>
          <w:rFonts w:ascii="mylotus" w:hAnsi="mylotus"/>
          <w:sz w:val="32"/>
        </w:rPr>
        <w:t>.</w:t>
      </w:r>
    </w:p>
    <w:p w14:paraId="6F810533"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lastRenderedPageBreak/>
        <w:t>فيثبتُ بذلك خيار الغبن، وخيار العيب، وخيار التدليس وغيرها؛ لأنّ كل</w:t>
      </w:r>
      <w:r w:rsidRPr="00F27422">
        <w:rPr>
          <w:rFonts w:ascii="mylotus" w:hAnsi="mylotus" w:hint="cs"/>
          <w:sz w:val="32"/>
          <w:rtl/>
        </w:rPr>
        <w:t>ّ</w:t>
      </w:r>
      <w:r w:rsidRPr="00F27422">
        <w:rPr>
          <w:rFonts w:ascii="mylotus" w:hAnsi="mylotus"/>
          <w:sz w:val="32"/>
          <w:rtl/>
        </w:rPr>
        <w:t xml:space="preserve"> هذه العناوين دخيلة في تخلّف الغرض النوعي</w:t>
      </w:r>
      <w:r w:rsidRPr="00F27422">
        <w:rPr>
          <w:rFonts w:ascii="mylotus" w:hAnsi="mylotus"/>
          <w:sz w:val="32"/>
        </w:rPr>
        <w:t>.</w:t>
      </w:r>
    </w:p>
    <w:p w14:paraId="43B16180" w14:textId="77777777" w:rsidR="005D4E65" w:rsidRPr="00F27422" w:rsidRDefault="005D4E65" w:rsidP="00122B70">
      <w:pPr>
        <w:pStyle w:val="a"/>
        <w:bidi/>
        <w:spacing w:line="216" w:lineRule="auto"/>
        <w:jc w:val="left"/>
        <w:rPr>
          <w:rFonts w:ascii="mylotus" w:hAnsi="mylotus"/>
          <w:sz w:val="32"/>
          <w:rtl/>
        </w:rPr>
      </w:pPr>
      <w:r w:rsidRPr="00F27422">
        <w:rPr>
          <w:rFonts w:ascii="mylotus" w:hAnsi="mylotus"/>
          <w:b/>
          <w:bCs/>
          <w:sz w:val="32"/>
          <w:rtl/>
        </w:rPr>
        <w:t>الأمرُ الثاني:</w:t>
      </w:r>
      <w:r w:rsidRPr="00F27422">
        <w:rPr>
          <w:rFonts w:ascii="mylotus" w:hAnsi="mylotus"/>
          <w:sz w:val="32"/>
          <w:rtl/>
        </w:rPr>
        <w:t xml:space="preserve"> ما</w:t>
      </w:r>
      <w:r w:rsidRPr="00F27422">
        <w:rPr>
          <w:rFonts w:ascii="mylotus" w:hAnsi="mylotus" w:hint="cs"/>
          <w:sz w:val="32"/>
          <w:rtl/>
        </w:rPr>
        <w:t xml:space="preserve"> </w:t>
      </w:r>
      <w:r w:rsidRPr="00F27422">
        <w:rPr>
          <w:rFonts w:ascii="mylotus" w:hAnsi="mylotus"/>
          <w:sz w:val="32"/>
          <w:rtl/>
        </w:rPr>
        <w:t>مضى كان بغض النظر عن خيار المجلس وخيار الحيوان، وأما في هذين الخيارين فإن</w:t>
      </w:r>
      <w:r w:rsidRPr="00F27422">
        <w:rPr>
          <w:rFonts w:ascii="mylotus" w:hAnsi="mylotus" w:hint="cs"/>
          <w:sz w:val="32"/>
          <w:rtl/>
        </w:rPr>
        <w:t>ّ</w:t>
      </w:r>
      <w:r w:rsidRPr="00F27422">
        <w:rPr>
          <w:rFonts w:ascii="mylotus" w:hAnsi="mylotus"/>
          <w:sz w:val="32"/>
          <w:rtl/>
        </w:rPr>
        <w:t xml:space="preserve"> الدليل الوارد في باب البيع كدليل خيار العيب ليس دليلاً تعبديّاً صرفاً؛ وإنّما هو إرشادٌ للمرتكز العقلائي القائم على التحوط في المعاملة</w:t>
      </w:r>
      <w:r w:rsidRPr="00F27422">
        <w:rPr>
          <w:rFonts w:ascii="mylotus" w:hAnsi="mylotus" w:hint="cs"/>
          <w:sz w:val="32"/>
          <w:rtl/>
        </w:rPr>
        <w:t>.</w:t>
      </w:r>
    </w:p>
    <w:p w14:paraId="06F63B9A"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والمقصودُ بذلك:</w:t>
      </w:r>
      <w:r w:rsidRPr="00F27422">
        <w:rPr>
          <w:rFonts w:ascii="mylotus" w:hAnsi="mylotus"/>
          <w:sz w:val="32"/>
          <w:rtl/>
        </w:rPr>
        <w:t xml:space="preserve"> </w:t>
      </w:r>
      <w:r w:rsidRPr="00F27422">
        <w:rPr>
          <w:rFonts w:ascii="mylotus" w:hAnsi="mylotus" w:hint="cs"/>
          <w:sz w:val="32"/>
          <w:rtl/>
        </w:rPr>
        <w:t>أ</w:t>
      </w:r>
      <w:r w:rsidRPr="00F27422">
        <w:rPr>
          <w:rFonts w:ascii="mylotus" w:hAnsi="mylotus"/>
          <w:sz w:val="32"/>
          <w:rtl/>
        </w:rPr>
        <w:t>ن</w:t>
      </w:r>
      <w:r w:rsidRPr="00F27422">
        <w:rPr>
          <w:rFonts w:ascii="mylotus" w:hAnsi="mylotus" w:hint="cs"/>
          <w:sz w:val="32"/>
          <w:rtl/>
        </w:rPr>
        <w:t>ّ</w:t>
      </w:r>
      <w:r w:rsidRPr="00F27422">
        <w:rPr>
          <w:rFonts w:ascii="mylotus" w:hAnsi="mylotus"/>
          <w:sz w:val="32"/>
          <w:rtl/>
        </w:rPr>
        <w:t xml:space="preserve"> مقتضى التحوط على الأموال أنْ لا يقدم المتعاملان على المعاملة المالية - وهي المبادلة بين الأموال - إلّا مع ضمان الوصول إلى الغرض النوعي بهذه المعاملة، ومقتضى كون المنظور في المعاملة هو</w:t>
      </w:r>
      <w:r w:rsidRPr="00F27422">
        <w:rPr>
          <w:rFonts w:ascii="mylotus" w:hAnsi="mylotus" w:hint="cs"/>
          <w:sz w:val="32"/>
          <w:rtl/>
        </w:rPr>
        <w:t xml:space="preserve"> </w:t>
      </w:r>
      <w:r w:rsidRPr="00F27422">
        <w:rPr>
          <w:rFonts w:ascii="mylotus" w:hAnsi="mylotus"/>
          <w:sz w:val="32"/>
          <w:rtl/>
        </w:rPr>
        <w:t>ذلك التحوط على الشرائط مِن أجل التوصل إلى الغرض النوعي،</w:t>
      </w:r>
      <w:r w:rsidRPr="00F27422">
        <w:rPr>
          <w:rFonts w:ascii="mylotus" w:hAnsi="mylotus" w:hint="cs"/>
          <w:sz w:val="32"/>
          <w:rtl/>
        </w:rPr>
        <w:t xml:space="preserve"> </w:t>
      </w:r>
      <w:r w:rsidRPr="00F27422">
        <w:rPr>
          <w:rFonts w:ascii="mylotus" w:hAnsi="mylotus"/>
          <w:sz w:val="32"/>
          <w:rtl/>
        </w:rPr>
        <w:t>وبذلك يتجه ثبوتُ خيار المجلس</w:t>
      </w:r>
      <w:r w:rsidRPr="00F27422">
        <w:rPr>
          <w:rFonts w:ascii="mylotus" w:hAnsi="mylotus" w:hint="cs"/>
          <w:sz w:val="32"/>
          <w:rtl/>
        </w:rPr>
        <w:t>؛</w:t>
      </w:r>
      <w:r w:rsidRPr="00F27422">
        <w:rPr>
          <w:rFonts w:ascii="mylotus" w:hAnsi="mylotus"/>
          <w:sz w:val="32"/>
          <w:rtl/>
        </w:rPr>
        <w:t xml:space="preserve"> فإن</w:t>
      </w:r>
      <w:r w:rsidRPr="00F27422">
        <w:rPr>
          <w:rFonts w:ascii="mylotus" w:hAnsi="mylotus" w:hint="cs"/>
          <w:sz w:val="32"/>
          <w:rtl/>
        </w:rPr>
        <w:t>ّ</w:t>
      </w:r>
      <w:r w:rsidRPr="00F27422">
        <w:rPr>
          <w:rFonts w:ascii="mylotus" w:hAnsi="mylotus"/>
          <w:sz w:val="32"/>
          <w:rtl/>
        </w:rPr>
        <w:t xml:space="preserve"> نكتته العقلائية استفراغ الوسع في دراسة المعاملة لكي يكون الإقدام محكما</w:t>
      </w:r>
      <w:r w:rsidRPr="00F27422">
        <w:rPr>
          <w:rFonts w:ascii="mylotus" w:hAnsi="mylotus" w:hint="cs"/>
          <w:sz w:val="32"/>
          <w:rtl/>
        </w:rPr>
        <w:t>ً</w:t>
      </w:r>
      <w:r w:rsidRPr="00F27422">
        <w:rPr>
          <w:rFonts w:ascii="mylotus" w:hAnsi="mylotus"/>
          <w:sz w:val="32"/>
          <w:rtl/>
        </w:rPr>
        <w:t xml:space="preserve"> لا</w:t>
      </w:r>
      <w:r w:rsidRPr="00F27422">
        <w:rPr>
          <w:rFonts w:ascii="mylotus" w:hAnsi="mylotus" w:hint="cs"/>
          <w:sz w:val="32"/>
          <w:rtl/>
        </w:rPr>
        <w:t xml:space="preserve"> </w:t>
      </w:r>
      <w:r w:rsidRPr="00F27422">
        <w:rPr>
          <w:rFonts w:ascii="mylotus" w:hAnsi="mylotus"/>
          <w:sz w:val="32"/>
          <w:rtl/>
        </w:rPr>
        <w:t>ج</w:t>
      </w:r>
      <w:r w:rsidRPr="00F27422">
        <w:rPr>
          <w:rFonts w:ascii="mylotus" w:hAnsi="mylotus" w:hint="cs"/>
          <w:sz w:val="32"/>
          <w:rtl/>
        </w:rPr>
        <w:t>ُ</w:t>
      </w:r>
      <w:r w:rsidRPr="00F27422">
        <w:rPr>
          <w:rFonts w:ascii="mylotus" w:hAnsi="mylotus"/>
          <w:sz w:val="32"/>
          <w:rtl/>
        </w:rPr>
        <w:t>زافا</w:t>
      </w:r>
      <w:r w:rsidRPr="00F27422">
        <w:rPr>
          <w:rFonts w:ascii="mylotus" w:hAnsi="mylotus" w:hint="cs"/>
          <w:sz w:val="32"/>
          <w:rtl/>
        </w:rPr>
        <w:t>ً</w:t>
      </w:r>
      <w:r w:rsidRPr="00F27422">
        <w:rPr>
          <w:rFonts w:ascii="mylotus" w:hAnsi="mylotus"/>
          <w:sz w:val="32"/>
          <w:rtl/>
        </w:rPr>
        <w:t>، ولأجل هذه النكتة فلا</w:t>
      </w:r>
      <w:r w:rsidRPr="00F27422">
        <w:rPr>
          <w:rFonts w:ascii="mylotus" w:hAnsi="mylotus" w:hint="cs"/>
          <w:sz w:val="32"/>
          <w:rtl/>
        </w:rPr>
        <w:t xml:space="preserve"> </w:t>
      </w:r>
      <w:r w:rsidRPr="00F27422">
        <w:rPr>
          <w:rFonts w:ascii="mylotus" w:hAnsi="mylotus"/>
          <w:sz w:val="32"/>
          <w:rtl/>
        </w:rPr>
        <w:t>فرق في ثبوت الخيار بين وجود مجلس أو عدمه كما في البيع عن طريق وسائل التواصل الاجتماعي، كما</w:t>
      </w:r>
      <w:r w:rsidRPr="00F27422">
        <w:rPr>
          <w:rFonts w:ascii="mylotus" w:hAnsi="mylotus" w:hint="cs"/>
          <w:sz w:val="32"/>
          <w:rtl/>
        </w:rPr>
        <w:t xml:space="preserve"> </w:t>
      </w:r>
      <w:r w:rsidRPr="00F27422">
        <w:rPr>
          <w:rFonts w:ascii="mylotus" w:hAnsi="mylotus"/>
          <w:sz w:val="32"/>
          <w:rtl/>
        </w:rPr>
        <w:t>يشمل خيار الحيوان باب الإجارة لو كانت الدابة مُستأجرة وليست مبيعاً</w:t>
      </w:r>
      <w:r w:rsidRPr="00F27422">
        <w:rPr>
          <w:rFonts w:ascii="mylotus" w:hAnsi="mylotus"/>
          <w:sz w:val="32"/>
        </w:rPr>
        <w:t>.</w:t>
      </w:r>
    </w:p>
    <w:p w14:paraId="2F593D17"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ولأجل أنّ النكتة في ثبوته عقلائية فلا فرق بين كون وسيلة الإجارة للنقل أو الحمل أو الزينة  حيواناً أو سيارةً أو قطاراً أو غير ذلك مِن وسائل النقل؛ فليس هناك خصوصية للحيوان وإنْ ورد دليل خيار الحيوان في الحيوان، إلّا أنّه لا خصوصية له بحسب المرتكزات العقلائية، وإنّما لأنّ وسيلة النقل والحمل في تلك الأزمنة هي الحيوان كان الدليل وارداً في الحيوان، ولعل</w:t>
      </w:r>
      <w:r w:rsidRPr="00F27422">
        <w:rPr>
          <w:rFonts w:ascii="mylotus" w:hAnsi="mylotus" w:hint="cs"/>
          <w:sz w:val="32"/>
          <w:rtl/>
        </w:rPr>
        <w:t>ّ</w:t>
      </w:r>
      <w:r w:rsidRPr="00F27422">
        <w:rPr>
          <w:rFonts w:ascii="mylotus" w:hAnsi="mylotus"/>
          <w:sz w:val="32"/>
          <w:rtl/>
        </w:rPr>
        <w:t xml:space="preserve"> التحديد في الدليل الخاص</w:t>
      </w:r>
      <w:r w:rsidRPr="00F27422">
        <w:rPr>
          <w:rFonts w:ascii="mylotus" w:hAnsi="mylotus" w:hint="cs"/>
          <w:sz w:val="32"/>
          <w:rtl/>
        </w:rPr>
        <w:t>ّ</w:t>
      </w:r>
      <w:r w:rsidRPr="00F27422">
        <w:rPr>
          <w:rFonts w:ascii="mylotus" w:hAnsi="mylotus"/>
          <w:sz w:val="32"/>
          <w:rtl/>
        </w:rPr>
        <w:t xml:space="preserve"> الوارد في باب البيع بثلاثةِ أيامٍ لا لتعبدٍ صرفٍ بل لأنّ الثلاثة الأيام كافيةٌ لدى المرتكز العقلائي للفحص وضمان سلامة الدابة لأنْ تكون وسيلةً للنقل والحمل</w:t>
      </w:r>
      <w:r w:rsidRPr="00F27422">
        <w:rPr>
          <w:rFonts w:ascii="mylotus" w:hAnsi="mylotus"/>
          <w:sz w:val="32"/>
        </w:rPr>
        <w:t>.</w:t>
      </w:r>
    </w:p>
    <w:p w14:paraId="0D897366"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أي</w:t>
      </w:r>
      <w:r w:rsidRPr="00F27422">
        <w:rPr>
          <w:rFonts w:ascii="mylotus" w:hAnsi="mylotus" w:hint="cs"/>
          <w:sz w:val="32"/>
          <w:rtl/>
        </w:rPr>
        <w:t>:</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الحد المتعارف للفحص في تلك الأزمنة ثلاثة أيام، ويمكن في زماننا هذا مع توفر وسائل الفحص الدقيقة أن</w:t>
      </w:r>
      <w:r w:rsidRPr="00F27422">
        <w:rPr>
          <w:rFonts w:ascii="mylotus" w:hAnsi="mylotus" w:hint="cs"/>
          <w:sz w:val="32"/>
          <w:rtl/>
        </w:rPr>
        <w:t>ْ</w:t>
      </w:r>
      <w:r w:rsidRPr="00F27422">
        <w:rPr>
          <w:rFonts w:ascii="mylotus" w:hAnsi="mylotus"/>
          <w:sz w:val="32"/>
          <w:rtl/>
        </w:rPr>
        <w:t xml:space="preserve"> يكون زمان الفحص ساعة وتكتشف به عيوب الحيوان، ونحوه استئجار السيارات بالحد المتعارف للفحص</w:t>
      </w:r>
      <w:r w:rsidRPr="00F27422">
        <w:rPr>
          <w:rFonts w:ascii="mylotus" w:hAnsi="mylotus" w:hint="cs"/>
          <w:sz w:val="32"/>
          <w:rtl/>
        </w:rPr>
        <w:t>.</w:t>
      </w:r>
    </w:p>
    <w:p w14:paraId="6D1CD3F0"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نعم</w:t>
      </w:r>
      <w:r w:rsidRPr="00F27422">
        <w:rPr>
          <w:rFonts w:ascii="mylotus" w:hAnsi="mylotus" w:hint="cs"/>
          <w:sz w:val="32"/>
          <w:rtl/>
        </w:rPr>
        <w:t>،</w:t>
      </w:r>
      <w:r w:rsidRPr="00F27422">
        <w:rPr>
          <w:rFonts w:ascii="mylotus" w:hAnsi="mylotus"/>
          <w:sz w:val="32"/>
          <w:rtl/>
        </w:rPr>
        <w:t xml:space="preserve"> التحديد بثلاثة أيامٍ في باب خيار الحيوان يمكن أن</w:t>
      </w:r>
      <w:r w:rsidRPr="00F27422">
        <w:rPr>
          <w:rFonts w:ascii="mylotus" w:hAnsi="mylotus" w:hint="cs"/>
          <w:sz w:val="32"/>
          <w:rtl/>
        </w:rPr>
        <w:t>ْ</w:t>
      </w:r>
      <w:r w:rsidRPr="00F27422">
        <w:rPr>
          <w:rFonts w:ascii="mylotus" w:hAnsi="mylotus"/>
          <w:sz w:val="32"/>
          <w:rtl/>
        </w:rPr>
        <w:t xml:space="preserve"> يكون لملاك خفي لدى الشارع، </w:t>
      </w:r>
      <w:r w:rsidRPr="00F27422">
        <w:rPr>
          <w:rFonts w:ascii="mylotus" w:hAnsi="mylotus" w:hint="cs"/>
          <w:sz w:val="32"/>
          <w:rtl/>
        </w:rPr>
        <w:t>إ</w:t>
      </w:r>
      <w:r w:rsidRPr="00F27422">
        <w:rPr>
          <w:rFonts w:ascii="mylotus" w:hAnsi="mylotus"/>
          <w:sz w:val="32"/>
          <w:rtl/>
        </w:rPr>
        <w:t>ل</w:t>
      </w:r>
      <w:r w:rsidRPr="00F27422">
        <w:rPr>
          <w:rFonts w:ascii="mylotus" w:hAnsi="mylotus" w:hint="cs"/>
          <w:sz w:val="32"/>
          <w:rtl/>
        </w:rPr>
        <w:t>ّ</w:t>
      </w:r>
      <w:r w:rsidRPr="00F27422">
        <w:rPr>
          <w:rFonts w:ascii="mylotus" w:hAnsi="mylotus"/>
          <w:sz w:val="32"/>
          <w:rtl/>
        </w:rPr>
        <w:t>ا أن</w:t>
      </w:r>
      <w:r w:rsidRPr="00F27422">
        <w:rPr>
          <w:rFonts w:ascii="mylotus" w:hAnsi="mylotus" w:hint="cs"/>
          <w:sz w:val="32"/>
          <w:rtl/>
        </w:rPr>
        <w:t>ّ</w:t>
      </w:r>
      <w:r w:rsidRPr="00F27422">
        <w:rPr>
          <w:rFonts w:ascii="mylotus" w:hAnsi="mylotus"/>
          <w:sz w:val="32"/>
          <w:rtl/>
        </w:rPr>
        <w:t xml:space="preserve"> المهم أن</w:t>
      </w:r>
      <w:r w:rsidRPr="00F27422">
        <w:rPr>
          <w:rFonts w:ascii="mylotus" w:hAnsi="mylotus" w:hint="cs"/>
          <w:sz w:val="32"/>
          <w:rtl/>
        </w:rPr>
        <w:t>ّ</w:t>
      </w:r>
      <w:r w:rsidRPr="00F27422">
        <w:rPr>
          <w:rFonts w:ascii="mylotus" w:hAnsi="mylotus"/>
          <w:sz w:val="32"/>
          <w:rtl/>
        </w:rPr>
        <w:t xml:space="preserve"> جذور خيار المجلس والحيوان نكات عقلائية لا</w:t>
      </w:r>
      <w:r w:rsidRPr="00F27422">
        <w:rPr>
          <w:rFonts w:ascii="mylotus" w:hAnsi="mylotus" w:hint="cs"/>
          <w:sz w:val="32"/>
          <w:rtl/>
        </w:rPr>
        <w:t xml:space="preserve"> </w:t>
      </w:r>
      <w:r w:rsidRPr="00F27422">
        <w:rPr>
          <w:rFonts w:ascii="mylotus" w:hAnsi="mylotus"/>
          <w:sz w:val="32"/>
          <w:rtl/>
        </w:rPr>
        <w:t xml:space="preserve">تدور مدار الحد المذكور فربما تقصر </w:t>
      </w:r>
      <w:r w:rsidRPr="00F27422">
        <w:rPr>
          <w:rFonts w:ascii="mylotus" w:hAnsi="mylotus" w:hint="cs"/>
          <w:sz w:val="32"/>
          <w:rtl/>
        </w:rPr>
        <w:t>أ</w:t>
      </w:r>
      <w:r w:rsidRPr="00F27422">
        <w:rPr>
          <w:rFonts w:ascii="mylotus" w:hAnsi="mylotus"/>
          <w:sz w:val="32"/>
          <w:rtl/>
        </w:rPr>
        <w:t>و تزيد، ومقتضى التقي</w:t>
      </w:r>
      <w:r w:rsidRPr="00F27422">
        <w:rPr>
          <w:rFonts w:ascii="mylotus" w:hAnsi="mylotus" w:hint="cs"/>
          <w:sz w:val="32"/>
          <w:rtl/>
        </w:rPr>
        <w:t>ّ</w:t>
      </w:r>
      <w:r w:rsidRPr="00F27422">
        <w:rPr>
          <w:rFonts w:ascii="mylotus" w:hAnsi="mylotus"/>
          <w:sz w:val="32"/>
          <w:rtl/>
        </w:rPr>
        <w:t>د بالرواية الجمود على مفادها م</w:t>
      </w:r>
      <w:r w:rsidRPr="00F27422">
        <w:rPr>
          <w:rFonts w:ascii="mylotus" w:hAnsi="mylotus" w:hint="cs"/>
          <w:sz w:val="32"/>
          <w:rtl/>
        </w:rPr>
        <w:t>ِ</w:t>
      </w:r>
      <w:r w:rsidRPr="00F27422">
        <w:rPr>
          <w:rFonts w:ascii="mylotus" w:hAnsi="mylotus"/>
          <w:sz w:val="32"/>
          <w:rtl/>
        </w:rPr>
        <w:t>ن حيث</w:t>
      </w:r>
      <w:r w:rsidRPr="00F27422">
        <w:rPr>
          <w:rFonts w:ascii="mylotus" w:hAnsi="mylotus" w:hint="cs"/>
          <w:sz w:val="32"/>
          <w:rtl/>
        </w:rPr>
        <w:t>ُ</w:t>
      </w:r>
      <w:r w:rsidRPr="00F27422">
        <w:rPr>
          <w:rFonts w:ascii="mylotus" w:hAnsi="mylotus"/>
          <w:sz w:val="32"/>
          <w:rtl/>
        </w:rPr>
        <w:t xml:space="preserve"> الحد</w:t>
      </w:r>
      <w:r w:rsidRPr="00F27422">
        <w:rPr>
          <w:rFonts w:ascii="mylotus" w:hAnsi="mylotus"/>
          <w:sz w:val="32"/>
        </w:rPr>
        <w:t>.</w:t>
      </w:r>
    </w:p>
    <w:p w14:paraId="05FB8DC2"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الأمرُ الثالث:</w:t>
      </w:r>
      <w:r w:rsidRPr="00F27422">
        <w:rPr>
          <w:rFonts w:ascii="mylotus" w:hAnsi="mylotus"/>
          <w:sz w:val="32"/>
          <w:rtl/>
        </w:rPr>
        <w:t xml:space="preserve"> قد ذكرنا عند البحث في قاعدة "لا ضرر" أنّ قاعدة "لا ضرر" قاعدةٌ عقلائية، لا تعبدية، فمتى ما كان القانون سبباً لوقوع الضرر على المُكلف ارتفع القانون، أي</w:t>
      </w:r>
      <w:r w:rsidRPr="00F27422">
        <w:rPr>
          <w:rFonts w:ascii="mylotus" w:hAnsi="mylotus" w:hint="cs"/>
          <w:sz w:val="32"/>
          <w:rtl/>
        </w:rPr>
        <w:t>:</w:t>
      </w:r>
      <w:r w:rsidRPr="00F27422">
        <w:rPr>
          <w:rFonts w:ascii="mylotus" w:hAnsi="mylotus"/>
          <w:sz w:val="32"/>
          <w:rtl/>
        </w:rPr>
        <w:t xml:space="preserve"> لا إطلاق للقانون لفرض كونه قانوناً ضررياً</w:t>
      </w:r>
      <w:r w:rsidRPr="00F27422">
        <w:rPr>
          <w:rFonts w:ascii="mylotus" w:hAnsi="mylotus"/>
          <w:sz w:val="32"/>
        </w:rPr>
        <w:t>.</w:t>
      </w:r>
    </w:p>
    <w:p w14:paraId="1E7A10CA"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وبعبارةٍ أُخرى:</w:t>
      </w:r>
      <w:r w:rsidRPr="00F27422">
        <w:rPr>
          <w:rFonts w:ascii="mylotus" w:hAnsi="mylotus"/>
          <w:sz w:val="32"/>
          <w:rtl/>
        </w:rPr>
        <w:t xml:space="preserve"> إنّ جوهر النكتة العقلائية هي أنّ المقنن الحكيم لا يكون سبباً لإيقاع الضرر على الملتزمين بقوانينه، وكذلك المشرع الحكيم مما لَمْ يصدر منه تسبيبٌ لإيقاع الضرر على المكلفين</w:t>
      </w:r>
      <w:r w:rsidRPr="00F27422">
        <w:rPr>
          <w:rFonts w:ascii="mylotus" w:hAnsi="mylotus"/>
          <w:sz w:val="32"/>
        </w:rPr>
        <w:t>.</w:t>
      </w:r>
    </w:p>
    <w:p w14:paraId="4BE2C988"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 xml:space="preserve">فبما أنّ قاعدة "لا ضرر" قاعدةٌ عقلائية فليس مِن البعيد أنْ يكون منشأُ سائر الخيارات لدى المرتكزات العقلائية هو قاعدة "لا ضرر"، أي: أنّ بناء العقلاء على ثبوت خيار </w:t>
      </w:r>
      <w:proofErr w:type="gramStart"/>
      <w:r w:rsidRPr="00F27422">
        <w:rPr>
          <w:rFonts w:ascii="mylotus" w:hAnsi="mylotus"/>
          <w:sz w:val="32"/>
          <w:rtl/>
        </w:rPr>
        <w:t>الغبن</w:t>
      </w:r>
      <w:proofErr w:type="gramEnd"/>
      <w:r w:rsidRPr="00F27422">
        <w:rPr>
          <w:rFonts w:ascii="mylotus" w:hAnsi="mylotus"/>
          <w:sz w:val="32"/>
          <w:rtl/>
        </w:rPr>
        <w:t xml:space="preserve"> أو العيب أو التدليس أو تبع</w:t>
      </w:r>
      <w:r w:rsidRPr="00F27422">
        <w:rPr>
          <w:rFonts w:ascii="mylotus" w:hAnsi="mylotus" w:hint="cs"/>
          <w:sz w:val="32"/>
          <w:rtl/>
        </w:rPr>
        <w:t>ّ</w:t>
      </w:r>
      <w:r w:rsidRPr="00F27422">
        <w:rPr>
          <w:rFonts w:ascii="mylotus" w:hAnsi="mylotus"/>
          <w:sz w:val="32"/>
          <w:rtl/>
        </w:rPr>
        <w:t>ض الصفقة أو تعذر التسليم منطلقٌ مِن أنّ عدم ثبوت الخيار في هذه الموارد منشأٌ للضرر</w:t>
      </w:r>
      <w:r w:rsidRPr="00F27422">
        <w:rPr>
          <w:rFonts w:ascii="mylotus" w:hAnsi="mylotus"/>
          <w:sz w:val="32"/>
        </w:rPr>
        <w:t>.</w:t>
      </w:r>
    </w:p>
    <w:p w14:paraId="565A506E"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وبما أنّ قاعدة "لا ضرر" تشملُ الأحكام الوجودية والأحكام العدمية، فكُلّ حكمٍ يلزمُ مِن عدم تشريعه ورود ضررٍ على نوع المكلفين فمقتضى قاعدة "لا ضرر" ثبوته وتشريعه، ومنها هذه الخيارات</w:t>
      </w:r>
      <w:r w:rsidRPr="00F27422">
        <w:rPr>
          <w:rFonts w:ascii="mylotus" w:hAnsi="mylotus"/>
          <w:sz w:val="32"/>
        </w:rPr>
        <w:t>.</w:t>
      </w:r>
    </w:p>
    <w:p w14:paraId="61CC669F"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lastRenderedPageBreak/>
        <w:t>وبعد بيان ما هو المختار، نتعرضُ لما ذكره سيدنا الخوئي (قدس سره الشريف) حيثُ التزم بالقاعدة الكبروية السابقة</w:t>
      </w:r>
      <w:r w:rsidRPr="00F27422">
        <w:rPr>
          <w:rFonts w:ascii="mylotus" w:hAnsi="mylotus" w:hint="cs"/>
          <w:b/>
          <w:bCs/>
          <w:sz w:val="32"/>
          <w:rtl/>
        </w:rPr>
        <w:t>.</w:t>
      </w:r>
    </w:p>
    <w:p w14:paraId="7989D9B8"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sz w:val="32"/>
          <w:rtl/>
        </w:rPr>
        <w:t>فقد قال (قدس سره الشريف) في التعليق على المسألة الحادية عشر</w:t>
      </w:r>
      <w:r w:rsidRPr="00F27422">
        <w:rPr>
          <w:rStyle w:val="FootnoteReference"/>
          <w:rFonts w:ascii="mylotus" w:hAnsi="mylotus"/>
          <w:sz w:val="32"/>
          <w:rtl/>
        </w:rPr>
        <w:footnoteReference w:id="144"/>
      </w:r>
      <w:r w:rsidRPr="00F27422">
        <w:rPr>
          <w:rFonts w:ascii="mylotus" w:hAnsi="mylotus"/>
          <w:sz w:val="32"/>
          <w:rtl/>
        </w:rPr>
        <w:t>:</w:t>
      </w:r>
      <w:r w:rsidRPr="00F27422">
        <w:rPr>
          <w:rFonts w:ascii="mylotus" w:hAnsi="mylotus" w:hint="cs"/>
          <w:b/>
          <w:bCs/>
          <w:sz w:val="32"/>
          <w:rtl/>
        </w:rPr>
        <w:t xml:space="preserve"> </w:t>
      </w:r>
      <w:r w:rsidRPr="00F27422">
        <w:rPr>
          <w:rFonts w:ascii="mylotus" w:hAnsi="mylotus"/>
          <w:b/>
          <w:bCs/>
          <w:sz w:val="32"/>
          <w:rtl/>
        </w:rPr>
        <w:t>(توضيح المقام: أنّ الخيار الثابت في البيع قد يستند إلى التعبّد الشرعي من غير إناطة بجعل المتعاملين، واُخرى من أجل أنّه مقتضى الشرط الضمني الارتكازي المبنيّ عليه العقد الذي لا يختصّ مناطه بعقد دون عقد، أو أنّه ثبت بدليل آخر)</w:t>
      </w:r>
      <w:r w:rsidRPr="00F27422">
        <w:rPr>
          <w:rFonts w:ascii="mylotus" w:hAnsi="mylotus"/>
          <w:sz w:val="32"/>
          <w:rtl/>
        </w:rPr>
        <w:t xml:space="preserve"> كقاعدة "لا ضرر" </w:t>
      </w:r>
      <w:r w:rsidRPr="00F27422">
        <w:rPr>
          <w:rFonts w:ascii="mylotus" w:hAnsi="mylotus"/>
          <w:b/>
          <w:bCs/>
          <w:sz w:val="32"/>
          <w:rtl/>
        </w:rPr>
        <w:t>(يشمل البيع وغيره</w:t>
      </w:r>
      <w:r w:rsidRPr="00F27422">
        <w:rPr>
          <w:rFonts w:ascii="mylotus" w:hAnsi="mylotus"/>
          <w:b/>
          <w:bCs/>
          <w:sz w:val="32"/>
        </w:rPr>
        <w:t>.</w:t>
      </w:r>
    </w:p>
    <w:p w14:paraId="387260A1"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ففي القسم الأوّل:)</w:t>
      </w:r>
      <w:r w:rsidRPr="00F27422">
        <w:rPr>
          <w:rFonts w:ascii="mylotus" w:hAnsi="mylotus"/>
          <w:sz w:val="32"/>
          <w:rtl/>
        </w:rPr>
        <w:t xml:space="preserve"> وهو ما استند إلى التعبّد الشرعي، أي: الدليل الخاص </w:t>
      </w:r>
      <w:r w:rsidRPr="00F27422">
        <w:rPr>
          <w:rFonts w:ascii="mylotus" w:hAnsi="mylotus"/>
          <w:b/>
          <w:bCs/>
          <w:sz w:val="32"/>
          <w:rtl/>
        </w:rPr>
        <w:t>(يختصّ الخيار بمورد التعبّد وهو البيع، ولا مقتضي للتعدّي إلى غيره من إجارة ونحوها، وهذا كما في خياري المجلس والحيوان، حيث إنّ الدليل المتكفّل لإثباتهما خاصّ بالبيع، بل وكذا خيار التأخير)</w:t>
      </w:r>
      <w:r w:rsidRPr="00F27422">
        <w:rPr>
          <w:rFonts w:ascii="mylotus" w:hAnsi="mylotus"/>
          <w:sz w:val="32"/>
          <w:rtl/>
        </w:rPr>
        <w:t xml:space="preserve"> إذا تأخر في دفع الثمن أو في دفع المثمن </w:t>
      </w:r>
      <w:r w:rsidRPr="00F27422">
        <w:rPr>
          <w:rFonts w:ascii="mylotus" w:hAnsi="mylotus"/>
          <w:b/>
          <w:bCs/>
          <w:sz w:val="32"/>
          <w:rtl/>
        </w:rPr>
        <w:t>(نظراً إلى أنّ التأخير في تسليم الثمن بل مطلق العوض عن الوقت المتعارف تسليمه فيه لمّا كان تخلّفاً عن الشرط الضمني الارتكاز المبني عليه العقد، حيث إنّ بناء العقلاء في باب المعاوضات قائم على التمليك إلى الطرف الآخر مشروطاً بتسليم كلّ منهما ما انتقل عنه بإزاء تسلّم المنتقل إليه بمثابةٍ يعدّ ذلك)</w:t>
      </w:r>
      <w:r w:rsidRPr="00F27422">
        <w:rPr>
          <w:rFonts w:ascii="mylotus" w:hAnsi="mylotus"/>
          <w:sz w:val="32"/>
          <w:rtl/>
        </w:rPr>
        <w:t xml:space="preserve"> الشرط </w:t>
      </w:r>
      <w:r w:rsidRPr="00F27422">
        <w:rPr>
          <w:rFonts w:ascii="mylotus" w:hAnsi="mylotus"/>
          <w:b/>
          <w:bCs/>
          <w:sz w:val="32"/>
          <w:rtl/>
        </w:rPr>
        <w:t>(كمتمّم للعقد في نظرهم، فلا جرم يثبت به خيار تخلّف الشرط، فالخيار بهذا المقدار ثابت في كافّة العقود بمقتضى القاعدة</w:t>
      </w:r>
      <w:r w:rsidRPr="00F27422">
        <w:rPr>
          <w:rFonts w:ascii="mylotus" w:hAnsi="mylotus"/>
          <w:b/>
          <w:bCs/>
          <w:sz w:val="32"/>
        </w:rPr>
        <w:t>.</w:t>
      </w:r>
    </w:p>
    <w:p w14:paraId="16F1D2D6"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 xml:space="preserve">إلّا أنّ خيار التأخير الثابت في البيع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الذي</w:t>
      </w:r>
      <w:r w:rsidRPr="00F27422">
        <w:rPr>
          <w:rFonts w:ascii="mylotus" w:hAnsi="mylotus"/>
          <w:b/>
          <w:bCs/>
          <w:sz w:val="32"/>
          <w:rtl/>
        </w:rPr>
        <w:t xml:space="preserve"> </w:t>
      </w:r>
      <w:r w:rsidRPr="00F27422">
        <w:rPr>
          <w:rFonts w:ascii="mylotus" w:hAnsi="mylotus" w:hint="cs"/>
          <w:b/>
          <w:bCs/>
          <w:sz w:val="32"/>
          <w:rtl/>
        </w:rPr>
        <w:t>هو</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الحقيقة</w:t>
      </w:r>
      <w:r w:rsidRPr="00F27422">
        <w:rPr>
          <w:rFonts w:ascii="mylotus" w:hAnsi="mylotus"/>
          <w:b/>
          <w:bCs/>
          <w:sz w:val="32"/>
          <w:rtl/>
        </w:rPr>
        <w:t xml:space="preserve"> </w:t>
      </w:r>
      <w:r w:rsidRPr="00F27422">
        <w:rPr>
          <w:rFonts w:ascii="mylotus" w:hAnsi="mylotus" w:hint="cs"/>
          <w:b/>
          <w:bCs/>
          <w:sz w:val="32"/>
          <w:rtl/>
        </w:rPr>
        <w:t>قسم</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هذا</w:t>
      </w:r>
      <w:r w:rsidRPr="00F27422">
        <w:rPr>
          <w:rFonts w:ascii="mylotus" w:hAnsi="mylotus"/>
          <w:b/>
          <w:bCs/>
          <w:sz w:val="32"/>
          <w:rtl/>
        </w:rPr>
        <w:t xml:space="preserve"> </w:t>
      </w:r>
      <w:r w:rsidRPr="00F27422">
        <w:rPr>
          <w:rFonts w:ascii="mylotus" w:hAnsi="mylotus" w:hint="cs"/>
          <w:b/>
          <w:bCs/>
          <w:sz w:val="32"/>
          <w:rtl/>
        </w:rPr>
        <w:t>الخيار</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أضيق</w:t>
      </w:r>
      <w:r w:rsidRPr="00F27422">
        <w:rPr>
          <w:rFonts w:ascii="mylotus" w:hAnsi="mylotus"/>
          <w:b/>
          <w:bCs/>
          <w:sz w:val="32"/>
          <w:rtl/>
        </w:rPr>
        <w:t xml:space="preserve"> </w:t>
      </w:r>
      <w:r w:rsidRPr="00F27422">
        <w:rPr>
          <w:rFonts w:ascii="mylotus" w:hAnsi="mylotus" w:hint="cs"/>
          <w:b/>
          <w:bCs/>
          <w:sz w:val="32"/>
          <w:rtl/>
        </w:rPr>
        <w:t>دائرةً</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ذلك،</w:t>
      </w:r>
      <w:r w:rsidRPr="00F27422">
        <w:rPr>
          <w:rFonts w:ascii="mylotus" w:hAnsi="mylotus"/>
          <w:b/>
          <w:bCs/>
          <w:sz w:val="32"/>
          <w:rtl/>
        </w:rPr>
        <w:t xml:space="preserve"> </w:t>
      </w:r>
      <w:r w:rsidRPr="00F27422">
        <w:rPr>
          <w:rFonts w:ascii="mylotus" w:hAnsi="mylotus" w:hint="cs"/>
          <w:b/>
          <w:bCs/>
          <w:sz w:val="32"/>
          <w:rtl/>
        </w:rPr>
        <w:t>حيث</w:t>
      </w:r>
      <w:r w:rsidRPr="00F27422">
        <w:rPr>
          <w:rFonts w:ascii="mylotus" w:hAnsi="mylotus"/>
          <w:b/>
          <w:bCs/>
          <w:sz w:val="32"/>
          <w:rtl/>
        </w:rPr>
        <w:t xml:space="preserve"> </w:t>
      </w:r>
      <w:r w:rsidRPr="00F27422">
        <w:rPr>
          <w:rFonts w:ascii="mylotus" w:hAnsi="mylotus" w:hint="cs"/>
          <w:b/>
          <w:bCs/>
          <w:sz w:val="32"/>
          <w:rtl/>
        </w:rPr>
        <w:t>إنّه</w:t>
      </w:r>
      <w:r w:rsidRPr="00F27422">
        <w:rPr>
          <w:rFonts w:ascii="mylotus" w:hAnsi="mylotus"/>
          <w:b/>
          <w:bCs/>
          <w:sz w:val="32"/>
          <w:rtl/>
        </w:rPr>
        <w:t xml:space="preserve"> </w:t>
      </w:r>
      <w:r w:rsidRPr="00F27422">
        <w:rPr>
          <w:rFonts w:ascii="mylotus" w:hAnsi="mylotus" w:hint="cs"/>
          <w:b/>
          <w:bCs/>
          <w:sz w:val="32"/>
          <w:rtl/>
        </w:rPr>
        <w:t>محدود</w:t>
      </w:r>
      <w:r w:rsidRPr="00F27422">
        <w:rPr>
          <w:rFonts w:ascii="mylotus" w:hAnsi="mylotus"/>
          <w:b/>
          <w:bCs/>
          <w:sz w:val="32"/>
          <w:rtl/>
        </w:rPr>
        <w:t xml:space="preserve"> </w:t>
      </w:r>
      <w:r w:rsidRPr="00F27422">
        <w:rPr>
          <w:rFonts w:ascii="mylotus" w:hAnsi="mylotus" w:hint="cs"/>
          <w:b/>
          <w:bCs/>
          <w:sz w:val="32"/>
          <w:rtl/>
        </w:rPr>
        <w:t>بثلاثة</w:t>
      </w:r>
      <w:r w:rsidRPr="00F27422">
        <w:rPr>
          <w:rFonts w:ascii="mylotus" w:hAnsi="mylotus"/>
          <w:b/>
          <w:bCs/>
          <w:sz w:val="32"/>
          <w:rtl/>
        </w:rPr>
        <w:t xml:space="preserve"> </w:t>
      </w:r>
      <w:r w:rsidRPr="00F27422">
        <w:rPr>
          <w:rFonts w:ascii="mylotus" w:hAnsi="mylotus" w:hint="cs"/>
          <w:b/>
          <w:bCs/>
          <w:sz w:val="32"/>
          <w:rtl/>
        </w:rPr>
        <w:t>أيّام،</w:t>
      </w:r>
      <w:r w:rsidRPr="00F27422">
        <w:rPr>
          <w:rFonts w:ascii="mylotus" w:hAnsi="mylotus"/>
          <w:b/>
          <w:bCs/>
          <w:sz w:val="32"/>
          <w:rtl/>
        </w:rPr>
        <w:t xml:space="preserve"> </w:t>
      </w:r>
      <w:r w:rsidRPr="00F27422">
        <w:rPr>
          <w:rFonts w:ascii="mylotus" w:hAnsi="mylotus" w:hint="cs"/>
          <w:b/>
          <w:bCs/>
          <w:sz w:val="32"/>
          <w:rtl/>
        </w:rPr>
        <w:t>فلا</w:t>
      </w:r>
      <w:r w:rsidRPr="00F27422">
        <w:rPr>
          <w:rFonts w:ascii="mylotus" w:hAnsi="mylotus"/>
          <w:b/>
          <w:bCs/>
          <w:sz w:val="32"/>
          <w:rtl/>
        </w:rPr>
        <w:t xml:space="preserve"> </w:t>
      </w:r>
      <w:r w:rsidRPr="00F27422">
        <w:rPr>
          <w:rFonts w:ascii="mylotus" w:hAnsi="mylotus" w:hint="cs"/>
          <w:b/>
          <w:bCs/>
          <w:sz w:val="32"/>
          <w:rtl/>
        </w:rPr>
        <w:t>خيار</w:t>
      </w:r>
      <w:r w:rsidRPr="00F27422">
        <w:rPr>
          <w:rFonts w:ascii="mylotus" w:hAnsi="mylotus"/>
          <w:b/>
          <w:bCs/>
          <w:sz w:val="32"/>
          <w:rtl/>
        </w:rPr>
        <w:t xml:space="preserve"> </w:t>
      </w:r>
      <w:r w:rsidRPr="00F27422">
        <w:rPr>
          <w:rFonts w:ascii="mylotus" w:hAnsi="mylotus" w:hint="cs"/>
          <w:b/>
          <w:bCs/>
          <w:sz w:val="32"/>
          <w:rtl/>
        </w:rPr>
        <w:t>إلّا</w:t>
      </w:r>
      <w:r w:rsidRPr="00F27422">
        <w:rPr>
          <w:rFonts w:ascii="mylotus" w:hAnsi="mylotus"/>
          <w:b/>
          <w:bCs/>
          <w:sz w:val="32"/>
          <w:rtl/>
        </w:rPr>
        <w:t xml:space="preserve"> </w:t>
      </w:r>
      <w:r w:rsidRPr="00F27422">
        <w:rPr>
          <w:rFonts w:ascii="mylotus" w:hAnsi="mylotus" w:hint="cs"/>
          <w:b/>
          <w:bCs/>
          <w:sz w:val="32"/>
          <w:rtl/>
        </w:rPr>
        <w:t>بعد</w:t>
      </w:r>
      <w:r w:rsidRPr="00F27422">
        <w:rPr>
          <w:rFonts w:ascii="mylotus" w:hAnsi="mylotus"/>
          <w:b/>
          <w:bCs/>
          <w:sz w:val="32"/>
          <w:rtl/>
        </w:rPr>
        <w:t xml:space="preserve"> </w:t>
      </w:r>
      <w:r w:rsidRPr="00F27422">
        <w:rPr>
          <w:rFonts w:ascii="mylotus" w:hAnsi="mylotus" w:hint="cs"/>
          <w:b/>
          <w:bCs/>
          <w:sz w:val="32"/>
          <w:rtl/>
        </w:rPr>
        <w:t>انقضائها</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فإذا</w:t>
      </w:r>
      <w:r w:rsidRPr="00F27422">
        <w:rPr>
          <w:rFonts w:ascii="mylotus" w:hAnsi="mylotus"/>
          <w:sz w:val="32"/>
          <w:rtl/>
        </w:rPr>
        <w:t xml:space="preserve"> </w:t>
      </w:r>
      <w:r w:rsidRPr="00F27422">
        <w:rPr>
          <w:rFonts w:ascii="mylotus" w:hAnsi="mylotus" w:hint="cs"/>
          <w:sz w:val="32"/>
          <w:rtl/>
        </w:rPr>
        <w:t>انقضت</w:t>
      </w:r>
      <w:r w:rsidRPr="00F27422">
        <w:rPr>
          <w:rFonts w:ascii="mylotus" w:hAnsi="mylotus"/>
          <w:sz w:val="32"/>
          <w:rtl/>
        </w:rPr>
        <w:t xml:space="preserve"> </w:t>
      </w:r>
      <w:r w:rsidRPr="00F27422">
        <w:rPr>
          <w:rFonts w:ascii="mylotus" w:hAnsi="mylotus" w:hint="cs"/>
          <w:sz w:val="32"/>
          <w:rtl/>
        </w:rPr>
        <w:t>الثلاثة</w:t>
      </w:r>
      <w:r w:rsidRPr="00F27422">
        <w:rPr>
          <w:rFonts w:ascii="mylotus" w:hAnsi="mylotus"/>
          <w:sz w:val="32"/>
          <w:rtl/>
        </w:rPr>
        <w:t xml:space="preserve"> </w:t>
      </w:r>
      <w:r w:rsidRPr="00F27422">
        <w:rPr>
          <w:rFonts w:ascii="mylotus" w:hAnsi="mylotus" w:hint="cs"/>
          <w:sz w:val="32"/>
          <w:rtl/>
        </w:rPr>
        <w:t>الأيّام</w:t>
      </w:r>
      <w:r w:rsidRPr="00F27422">
        <w:rPr>
          <w:rFonts w:ascii="mylotus" w:hAnsi="mylotus"/>
          <w:sz w:val="32"/>
          <w:rtl/>
        </w:rPr>
        <w:t xml:space="preserve"> </w:t>
      </w:r>
      <w:r w:rsidRPr="00F27422">
        <w:rPr>
          <w:rFonts w:ascii="mylotus" w:hAnsi="mylotus" w:hint="cs"/>
          <w:sz w:val="32"/>
          <w:rtl/>
        </w:rPr>
        <w:t>ولم</w:t>
      </w:r>
      <w:r w:rsidRPr="00F27422">
        <w:rPr>
          <w:rFonts w:ascii="mylotus" w:hAnsi="mylotus"/>
          <w:sz w:val="32"/>
          <w:rtl/>
        </w:rPr>
        <w:t xml:space="preserve"> </w:t>
      </w:r>
      <w:r w:rsidRPr="00F27422">
        <w:rPr>
          <w:rFonts w:ascii="mylotus" w:hAnsi="mylotus" w:hint="cs"/>
          <w:sz w:val="32"/>
          <w:rtl/>
        </w:rPr>
        <w:t>يأتِ</w:t>
      </w:r>
      <w:r w:rsidRPr="00F27422">
        <w:rPr>
          <w:rFonts w:ascii="mylotus" w:hAnsi="mylotus"/>
          <w:sz w:val="32"/>
          <w:rtl/>
        </w:rPr>
        <w:t xml:space="preserve"> </w:t>
      </w:r>
      <w:r w:rsidRPr="00F27422">
        <w:rPr>
          <w:rFonts w:ascii="mylotus" w:hAnsi="mylotus" w:hint="cs"/>
          <w:sz w:val="32"/>
          <w:rtl/>
        </w:rPr>
        <w:t>بالثمن</w:t>
      </w:r>
      <w:r w:rsidRPr="00F27422">
        <w:rPr>
          <w:rFonts w:ascii="mylotus" w:hAnsi="mylotus"/>
          <w:sz w:val="32"/>
          <w:rtl/>
        </w:rPr>
        <w:t xml:space="preserve"> </w:t>
      </w:r>
      <w:r w:rsidRPr="00F27422">
        <w:rPr>
          <w:rFonts w:ascii="mylotus" w:hAnsi="mylotus" w:hint="cs"/>
          <w:sz w:val="32"/>
          <w:rtl/>
        </w:rPr>
        <w:t>فيثبتُ</w:t>
      </w:r>
      <w:r w:rsidRPr="00F27422">
        <w:rPr>
          <w:rFonts w:ascii="mylotus" w:hAnsi="mylotus"/>
          <w:sz w:val="32"/>
          <w:rtl/>
        </w:rPr>
        <w:t xml:space="preserve"> </w:t>
      </w:r>
      <w:r w:rsidRPr="00F27422">
        <w:rPr>
          <w:rFonts w:ascii="mylotus" w:hAnsi="mylotus" w:hint="cs"/>
          <w:sz w:val="32"/>
          <w:rtl/>
        </w:rPr>
        <w:t>الخيار</w:t>
      </w:r>
      <w:r w:rsidRPr="00F27422">
        <w:rPr>
          <w:rFonts w:ascii="mylotus" w:hAnsi="mylotus"/>
          <w:sz w:val="32"/>
          <w:rtl/>
        </w:rPr>
        <w:t xml:space="preserve"> </w:t>
      </w:r>
      <w:r w:rsidRPr="00F27422">
        <w:rPr>
          <w:rFonts w:ascii="mylotus" w:hAnsi="mylotus" w:hint="cs"/>
          <w:sz w:val="32"/>
          <w:rtl/>
        </w:rPr>
        <w:t>وإلّا</w:t>
      </w:r>
      <w:r w:rsidRPr="00F27422">
        <w:rPr>
          <w:rFonts w:ascii="mylotus" w:hAnsi="mylotus"/>
          <w:sz w:val="32"/>
          <w:rtl/>
        </w:rPr>
        <w:t xml:space="preserve"> </w:t>
      </w:r>
      <w:r w:rsidRPr="00F27422">
        <w:rPr>
          <w:rFonts w:ascii="mylotus" w:hAnsi="mylotus" w:hint="cs"/>
          <w:sz w:val="32"/>
          <w:rtl/>
        </w:rPr>
        <w:t>فقبل</w:t>
      </w:r>
      <w:r w:rsidRPr="00F27422">
        <w:rPr>
          <w:rFonts w:ascii="mylotus" w:hAnsi="mylotus"/>
          <w:sz w:val="32"/>
          <w:rtl/>
        </w:rPr>
        <w:t xml:space="preserve"> </w:t>
      </w:r>
      <w:r w:rsidRPr="00F27422">
        <w:rPr>
          <w:rFonts w:ascii="mylotus" w:hAnsi="mylotus" w:hint="cs"/>
          <w:sz w:val="32"/>
          <w:rtl/>
        </w:rPr>
        <w:t>الأيام</w:t>
      </w:r>
      <w:r w:rsidRPr="00F27422">
        <w:rPr>
          <w:rFonts w:ascii="mylotus" w:hAnsi="mylotus"/>
          <w:sz w:val="32"/>
          <w:rtl/>
        </w:rPr>
        <w:t xml:space="preserve"> </w:t>
      </w:r>
      <w:r w:rsidRPr="00F27422">
        <w:rPr>
          <w:rFonts w:ascii="mylotus" w:hAnsi="mylotus" w:hint="cs"/>
          <w:sz w:val="32"/>
          <w:rtl/>
        </w:rPr>
        <w:t>الثلاثة</w:t>
      </w:r>
      <w:r w:rsidRPr="00F27422">
        <w:rPr>
          <w:rFonts w:ascii="mylotus" w:hAnsi="mylotus"/>
          <w:sz w:val="32"/>
          <w:rtl/>
        </w:rPr>
        <w:t xml:space="preserve">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له</w:t>
      </w:r>
      <w:r w:rsidRPr="00F27422">
        <w:rPr>
          <w:rFonts w:ascii="mylotus" w:hAnsi="mylotus"/>
          <w:sz w:val="32"/>
          <w:rtl/>
        </w:rPr>
        <w:t xml:space="preserve"> </w:t>
      </w:r>
      <w:r w:rsidRPr="00F27422">
        <w:rPr>
          <w:rFonts w:ascii="mylotus" w:hAnsi="mylotus" w:hint="cs"/>
          <w:sz w:val="32"/>
          <w:rtl/>
        </w:rPr>
        <w:t>خيار</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وهذا</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كما</w:t>
      </w:r>
      <w:r w:rsidRPr="00F27422">
        <w:rPr>
          <w:rFonts w:ascii="mylotus" w:hAnsi="mylotus"/>
          <w:b/>
          <w:bCs/>
          <w:sz w:val="32"/>
          <w:rtl/>
        </w:rPr>
        <w:t xml:space="preserve"> </w:t>
      </w:r>
      <w:r w:rsidRPr="00F27422">
        <w:rPr>
          <w:rFonts w:ascii="mylotus" w:hAnsi="mylotus" w:hint="cs"/>
          <w:b/>
          <w:bCs/>
          <w:sz w:val="32"/>
          <w:rtl/>
        </w:rPr>
        <w:t>ترى</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حكم</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خلاف</w:t>
      </w:r>
      <w:r w:rsidRPr="00F27422">
        <w:rPr>
          <w:rFonts w:ascii="mylotus" w:hAnsi="mylotus"/>
          <w:b/>
          <w:bCs/>
          <w:sz w:val="32"/>
          <w:rtl/>
        </w:rPr>
        <w:t xml:space="preserve"> </w:t>
      </w:r>
      <w:r w:rsidRPr="00F27422">
        <w:rPr>
          <w:rFonts w:ascii="mylotus" w:hAnsi="mylotus" w:hint="cs"/>
          <w:b/>
          <w:bCs/>
          <w:sz w:val="32"/>
          <w:rtl/>
        </w:rPr>
        <w:t>القاعدة</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فإنّ</w:t>
      </w:r>
      <w:r w:rsidRPr="00F27422">
        <w:rPr>
          <w:rFonts w:ascii="mylotus" w:hAnsi="mylotus"/>
          <w:sz w:val="32"/>
          <w:rtl/>
        </w:rPr>
        <w:t xml:space="preserve"> </w:t>
      </w:r>
      <w:r w:rsidRPr="00F27422">
        <w:rPr>
          <w:rFonts w:ascii="mylotus" w:hAnsi="mylotus" w:hint="cs"/>
          <w:sz w:val="32"/>
          <w:rtl/>
        </w:rPr>
        <w:t>مقتضى</w:t>
      </w:r>
      <w:r w:rsidRPr="00F27422">
        <w:rPr>
          <w:rFonts w:ascii="mylotus" w:hAnsi="mylotus"/>
          <w:sz w:val="32"/>
          <w:rtl/>
        </w:rPr>
        <w:t xml:space="preserve"> </w:t>
      </w:r>
      <w:r w:rsidRPr="00F27422">
        <w:rPr>
          <w:rFonts w:ascii="mylotus" w:hAnsi="mylotus" w:hint="cs"/>
          <w:sz w:val="32"/>
          <w:rtl/>
        </w:rPr>
        <w:t>القاعدة</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يثبت</w:t>
      </w:r>
      <w:r w:rsidRPr="00F27422">
        <w:rPr>
          <w:rFonts w:ascii="mylotus" w:hAnsi="mylotus"/>
          <w:sz w:val="32"/>
          <w:rtl/>
        </w:rPr>
        <w:t xml:space="preserve"> </w:t>
      </w:r>
      <w:r w:rsidRPr="00F27422">
        <w:rPr>
          <w:rFonts w:ascii="mylotus" w:hAnsi="mylotus" w:hint="cs"/>
          <w:sz w:val="32"/>
          <w:rtl/>
        </w:rPr>
        <w:t>له</w:t>
      </w:r>
      <w:r w:rsidRPr="00F27422">
        <w:rPr>
          <w:rFonts w:ascii="mylotus" w:hAnsi="mylotus"/>
          <w:sz w:val="32"/>
          <w:rtl/>
        </w:rPr>
        <w:t xml:space="preserve"> </w:t>
      </w:r>
      <w:r w:rsidRPr="00F27422">
        <w:rPr>
          <w:rFonts w:ascii="mylotus" w:hAnsi="mylotus" w:hint="cs"/>
          <w:sz w:val="32"/>
          <w:rtl/>
        </w:rPr>
        <w:t>خيار</w:t>
      </w:r>
      <w:r w:rsidRPr="00F27422">
        <w:rPr>
          <w:rFonts w:ascii="mylotus" w:hAnsi="mylotus"/>
          <w:sz w:val="32"/>
          <w:rtl/>
        </w:rPr>
        <w:t xml:space="preserve"> </w:t>
      </w:r>
      <w:r w:rsidRPr="00F27422">
        <w:rPr>
          <w:rFonts w:ascii="mylotus" w:hAnsi="mylotus" w:hint="cs"/>
          <w:sz w:val="32"/>
          <w:rtl/>
        </w:rPr>
        <w:t>التأخير</w:t>
      </w:r>
      <w:r w:rsidRPr="00F27422">
        <w:rPr>
          <w:rFonts w:ascii="mylotus" w:hAnsi="mylotus"/>
          <w:sz w:val="32"/>
          <w:rtl/>
        </w:rPr>
        <w:t xml:space="preserve"> </w:t>
      </w:r>
      <w:r w:rsidRPr="00F27422">
        <w:rPr>
          <w:rFonts w:ascii="mylotus" w:hAnsi="mylotus" w:hint="cs"/>
          <w:sz w:val="32"/>
          <w:rtl/>
        </w:rPr>
        <w:t>إذا</w:t>
      </w:r>
      <w:r w:rsidRPr="00F27422">
        <w:rPr>
          <w:rFonts w:ascii="mylotus" w:hAnsi="mylotus"/>
          <w:sz w:val="32"/>
          <w:rtl/>
        </w:rPr>
        <w:t xml:space="preserve"> </w:t>
      </w:r>
      <w:r w:rsidRPr="00F27422">
        <w:rPr>
          <w:rFonts w:ascii="mylotus" w:hAnsi="mylotus" w:hint="cs"/>
          <w:sz w:val="32"/>
          <w:rtl/>
        </w:rPr>
        <w:t>تخلّف</w:t>
      </w:r>
      <w:r w:rsidRPr="00F27422">
        <w:rPr>
          <w:rFonts w:ascii="mylotus" w:hAnsi="mylotus"/>
          <w:sz w:val="32"/>
          <w:rtl/>
        </w:rPr>
        <w:t xml:space="preserve"> </w:t>
      </w:r>
      <w:r w:rsidRPr="00F27422">
        <w:rPr>
          <w:rFonts w:ascii="mylotus" w:hAnsi="mylotus" w:hint="cs"/>
          <w:sz w:val="32"/>
          <w:rtl/>
        </w:rPr>
        <w:t>عن</w:t>
      </w:r>
      <w:r w:rsidRPr="00F27422">
        <w:rPr>
          <w:rFonts w:ascii="mylotus" w:hAnsi="mylotus"/>
          <w:sz w:val="32"/>
          <w:rtl/>
        </w:rPr>
        <w:t xml:space="preserve"> </w:t>
      </w:r>
      <w:r w:rsidRPr="00F27422">
        <w:rPr>
          <w:rFonts w:ascii="mylotus" w:hAnsi="mylotus" w:hint="cs"/>
          <w:sz w:val="32"/>
          <w:rtl/>
        </w:rPr>
        <w:t>دفع</w:t>
      </w:r>
      <w:r w:rsidRPr="00F27422">
        <w:rPr>
          <w:rFonts w:ascii="mylotus" w:hAnsi="mylotus"/>
          <w:sz w:val="32"/>
          <w:rtl/>
        </w:rPr>
        <w:t xml:space="preserve"> </w:t>
      </w:r>
      <w:r w:rsidRPr="00F27422">
        <w:rPr>
          <w:rFonts w:ascii="mylotus" w:hAnsi="mylotus" w:hint="cs"/>
          <w:sz w:val="32"/>
          <w:rtl/>
        </w:rPr>
        <w:t>الثمن</w:t>
      </w:r>
      <w:r w:rsidRPr="00F27422">
        <w:rPr>
          <w:rFonts w:ascii="mylotus" w:hAnsi="mylotus"/>
          <w:sz w:val="32"/>
          <w:rtl/>
        </w:rPr>
        <w:t xml:space="preserve"> </w:t>
      </w:r>
      <w:r w:rsidRPr="00F27422">
        <w:rPr>
          <w:rFonts w:ascii="mylotus" w:hAnsi="mylotus" w:hint="cs"/>
          <w:sz w:val="32"/>
          <w:rtl/>
        </w:rPr>
        <w:t>عن</w:t>
      </w:r>
      <w:r w:rsidRPr="00F27422">
        <w:rPr>
          <w:rFonts w:ascii="mylotus" w:hAnsi="mylotus"/>
          <w:sz w:val="32"/>
          <w:rtl/>
        </w:rPr>
        <w:t xml:space="preserve"> </w:t>
      </w:r>
      <w:r w:rsidRPr="00F27422">
        <w:rPr>
          <w:rFonts w:ascii="mylotus" w:hAnsi="mylotus" w:hint="cs"/>
          <w:sz w:val="32"/>
          <w:rtl/>
        </w:rPr>
        <w:t>الحد</w:t>
      </w:r>
      <w:r w:rsidRPr="00F27422">
        <w:rPr>
          <w:rFonts w:ascii="mylotus" w:hAnsi="mylotus"/>
          <w:sz w:val="32"/>
          <w:rtl/>
        </w:rPr>
        <w:t xml:space="preserve"> </w:t>
      </w:r>
      <w:r w:rsidRPr="00F27422">
        <w:rPr>
          <w:rFonts w:ascii="mylotus" w:hAnsi="mylotus" w:hint="cs"/>
          <w:sz w:val="32"/>
          <w:rtl/>
        </w:rPr>
        <w:t>المتعارف</w:t>
      </w:r>
      <w:r w:rsidRPr="00F27422">
        <w:rPr>
          <w:rFonts w:ascii="mylotus" w:hAnsi="mylotus"/>
          <w:sz w:val="32"/>
          <w:rtl/>
        </w:rPr>
        <w:t xml:space="preserve"> </w:t>
      </w:r>
      <w:r w:rsidRPr="00F27422">
        <w:rPr>
          <w:rFonts w:ascii="mylotus" w:hAnsi="mylotus" w:hint="cs"/>
          <w:sz w:val="32"/>
          <w:rtl/>
        </w:rPr>
        <w:t>تسليم</w:t>
      </w:r>
      <w:r w:rsidRPr="00F27422">
        <w:rPr>
          <w:rFonts w:ascii="mylotus" w:hAnsi="mylotus"/>
          <w:sz w:val="32"/>
          <w:rtl/>
        </w:rPr>
        <w:t xml:space="preserve"> </w:t>
      </w:r>
      <w:r w:rsidRPr="00F27422">
        <w:rPr>
          <w:rFonts w:ascii="mylotus" w:hAnsi="mylotus" w:hint="cs"/>
          <w:sz w:val="32"/>
          <w:rtl/>
        </w:rPr>
        <w:t>الثمن</w:t>
      </w:r>
      <w:r w:rsidRPr="00F27422">
        <w:rPr>
          <w:rFonts w:ascii="mylotus" w:hAnsi="mylotus"/>
          <w:sz w:val="32"/>
          <w:rtl/>
        </w:rPr>
        <w:t xml:space="preserve"> </w:t>
      </w:r>
      <w:r w:rsidRPr="00F27422">
        <w:rPr>
          <w:rFonts w:ascii="mylotus" w:hAnsi="mylotus" w:hint="cs"/>
          <w:sz w:val="32"/>
          <w:rtl/>
        </w:rPr>
        <w:t>فيه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يقتصر</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مورد</w:t>
      </w:r>
      <w:r w:rsidRPr="00F27422">
        <w:rPr>
          <w:rFonts w:ascii="mylotus" w:hAnsi="mylotus"/>
          <w:b/>
          <w:bCs/>
          <w:sz w:val="32"/>
          <w:rtl/>
        </w:rPr>
        <w:t xml:space="preserve"> </w:t>
      </w:r>
      <w:r w:rsidRPr="00F27422">
        <w:rPr>
          <w:rFonts w:ascii="mylotus" w:hAnsi="mylotus" w:hint="cs"/>
          <w:b/>
          <w:bCs/>
          <w:sz w:val="32"/>
          <w:rtl/>
        </w:rPr>
        <w:t>قيام</w:t>
      </w:r>
      <w:r w:rsidRPr="00F27422">
        <w:rPr>
          <w:rFonts w:ascii="mylotus" w:hAnsi="mylotus"/>
          <w:b/>
          <w:bCs/>
          <w:sz w:val="32"/>
          <w:rtl/>
        </w:rPr>
        <w:t xml:space="preserve"> </w:t>
      </w:r>
      <w:r w:rsidRPr="00F27422">
        <w:rPr>
          <w:rFonts w:ascii="mylotus" w:hAnsi="mylotus" w:hint="cs"/>
          <w:b/>
          <w:bCs/>
          <w:sz w:val="32"/>
          <w:rtl/>
        </w:rPr>
        <w:t>النصّ</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وهو</w:t>
      </w:r>
      <w:r w:rsidRPr="00F27422">
        <w:rPr>
          <w:rFonts w:ascii="mylotus" w:hAnsi="mylotus"/>
          <w:b/>
          <w:bCs/>
          <w:sz w:val="32"/>
          <w:rtl/>
        </w:rPr>
        <w:t xml:space="preserve"> </w:t>
      </w:r>
      <w:r w:rsidRPr="00F27422">
        <w:rPr>
          <w:rFonts w:ascii="mylotus" w:hAnsi="mylotus" w:hint="cs"/>
          <w:b/>
          <w:bCs/>
          <w:sz w:val="32"/>
          <w:rtl/>
        </w:rPr>
        <w:t>البيع</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ولا</w:t>
      </w:r>
      <w:r w:rsidRPr="00F27422">
        <w:rPr>
          <w:rFonts w:ascii="mylotus" w:hAnsi="mylotus"/>
          <w:b/>
          <w:bCs/>
          <w:sz w:val="32"/>
          <w:rtl/>
        </w:rPr>
        <w:t xml:space="preserve"> </w:t>
      </w:r>
      <w:r w:rsidRPr="00F27422">
        <w:rPr>
          <w:rFonts w:ascii="mylotus" w:hAnsi="mylotus" w:hint="cs"/>
          <w:b/>
          <w:bCs/>
          <w:sz w:val="32"/>
          <w:rtl/>
        </w:rPr>
        <w:t>يتعدّى</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غيره</w:t>
      </w:r>
      <w:r w:rsidRPr="00F27422">
        <w:rPr>
          <w:rFonts w:ascii="mylotus" w:hAnsi="mylotus"/>
          <w:b/>
          <w:bCs/>
          <w:sz w:val="32"/>
        </w:rPr>
        <w:t>.</w:t>
      </w:r>
    </w:p>
    <w:p w14:paraId="5632271E"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وبالجملة: ففي كلّ مورد ثبت الخيار بالتعبّد اختصّ بمورده ولا يتعدّى عنه</w:t>
      </w:r>
      <w:r w:rsidRPr="00F27422">
        <w:rPr>
          <w:rFonts w:ascii="mylotus" w:hAnsi="mylotus"/>
          <w:b/>
          <w:bCs/>
          <w:sz w:val="32"/>
        </w:rPr>
        <w:t>.</w:t>
      </w:r>
    </w:p>
    <w:p w14:paraId="5D139FC2"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وأمّا في القسم الثاني:)</w:t>
      </w:r>
      <w:r w:rsidRPr="00F27422">
        <w:rPr>
          <w:rFonts w:ascii="mylotus" w:hAnsi="mylotus"/>
          <w:sz w:val="32"/>
          <w:rtl/>
        </w:rPr>
        <w:t xml:space="preserve"> وهو ما ثبت بدليلٍ عام </w:t>
      </w:r>
      <w:r w:rsidRPr="00F27422">
        <w:rPr>
          <w:rFonts w:ascii="mylotus" w:hAnsi="mylotus"/>
          <w:b/>
          <w:bCs/>
          <w:sz w:val="32"/>
          <w:rtl/>
        </w:rPr>
        <w:t xml:space="preserve">(فيجري في البيع وغيره، للاشتراك في المناط الذي من أجله ثبت الخيار في البيع، كما لو استندنا في ثبوت خيار الغبن إلى دليل نفي الضرر، فإنّ هذا وإن كان ممنوعاً لدينا كما سبق إلّا أنّا لو فرضنا كون اللزوم ضرريّاً في مورد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كما</w:t>
      </w:r>
      <w:r w:rsidRPr="00F27422">
        <w:rPr>
          <w:rFonts w:ascii="mylotus" w:hAnsi="mylotus"/>
          <w:b/>
          <w:bCs/>
          <w:sz w:val="32"/>
          <w:rtl/>
        </w:rPr>
        <w:t xml:space="preserve"> </w:t>
      </w:r>
      <w:r w:rsidRPr="00F27422">
        <w:rPr>
          <w:rFonts w:ascii="mylotus" w:hAnsi="mylotus" w:hint="cs"/>
          <w:b/>
          <w:bCs/>
          <w:sz w:val="32"/>
          <w:rtl/>
        </w:rPr>
        <w:t>ستعرف</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ومن</w:t>
      </w:r>
      <w:r w:rsidRPr="00F27422">
        <w:rPr>
          <w:rFonts w:ascii="mylotus" w:hAnsi="mylotus"/>
          <w:b/>
          <w:bCs/>
          <w:sz w:val="32"/>
          <w:rtl/>
        </w:rPr>
        <w:t xml:space="preserve"> </w:t>
      </w:r>
      <w:r w:rsidRPr="00F27422">
        <w:rPr>
          <w:rFonts w:ascii="mylotus" w:hAnsi="mylotus" w:hint="cs"/>
          <w:b/>
          <w:bCs/>
          <w:sz w:val="32"/>
          <w:rtl/>
        </w:rPr>
        <w:t>أجله</w:t>
      </w:r>
      <w:r w:rsidRPr="00F27422">
        <w:rPr>
          <w:rFonts w:ascii="mylotus" w:hAnsi="mylotus"/>
          <w:b/>
          <w:bCs/>
          <w:sz w:val="32"/>
          <w:rtl/>
        </w:rPr>
        <w:t xml:space="preserve"> </w:t>
      </w:r>
      <w:r w:rsidRPr="00F27422">
        <w:rPr>
          <w:rFonts w:ascii="mylotus" w:hAnsi="mylotus" w:hint="cs"/>
          <w:b/>
          <w:bCs/>
          <w:sz w:val="32"/>
          <w:rtl/>
        </w:rPr>
        <w:t>قبت</w:t>
      </w:r>
      <w:r w:rsidRPr="00F27422">
        <w:rPr>
          <w:rFonts w:ascii="mylotus" w:hAnsi="mylotus"/>
          <w:b/>
          <w:bCs/>
          <w:sz w:val="32"/>
          <w:rtl/>
        </w:rPr>
        <w:t xml:space="preserve"> </w:t>
      </w:r>
      <w:r w:rsidRPr="00F27422">
        <w:rPr>
          <w:rFonts w:ascii="mylotus" w:hAnsi="mylotus" w:hint="cs"/>
          <w:b/>
          <w:bCs/>
          <w:sz w:val="32"/>
          <w:rtl/>
        </w:rPr>
        <w:t>الخيار،</w:t>
      </w:r>
      <w:r w:rsidRPr="00F27422">
        <w:rPr>
          <w:rFonts w:ascii="mylotus" w:hAnsi="mylotus"/>
          <w:b/>
          <w:bCs/>
          <w:sz w:val="32"/>
          <w:rtl/>
        </w:rPr>
        <w:t xml:space="preserve"> </w:t>
      </w:r>
      <w:r w:rsidRPr="00F27422">
        <w:rPr>
          <w:rFonts w:ascii="mylotus" w:hAnsi="mylotus" w:hint="cs"/>
          <w:b/>
          <w:bCs/>
          <w:sz w:val="32"/>
          <w:rtl/>
        </w:rPr>
        <w:t>فهذا</w:t>
      </w:r>
      <w:r w:rsidRPr="00F27422">
        <w:rPr>
          <w:rFonts w:ascii="mylotus" w:hAnsi="mylotus"/>
          <w:b/>
          <w:bCs/>
          <w:sz w:val="32"/>
          <w:rtl/>
        </w:rPr>
        <w:t xml:space="preserve"> </w:t>
      </w:r>
      <w:r w:rsidRPr="00F27422">
        <w:rPr>
          <w:rFonts w:ascii="mylotus" w:hAnsi="mylotus" w:hint="cs"/>
          <w:b/>
          <w:bCs/>
          <w:sz w:val="32"/>
          <w:rtl/>
        </w:rPr>
        <w:t>الملاك</w:t>
      </w:r>
      <w:r w:rsidRPr="00F27422">
        <w:rPr>
          <w:rFonts w:ascii="mylotus" w:hAnsi="mylotus"/>
          <w:b/>
          <w:bCs/>
          <w:sz w:val="32"/>
          <w:rtl/>
        </w:rPr>
        <w:t xml:space="preserve"> </w:t>
      </w:r>
      <w:r w:rsidRPr="00F27422">
        <w:rPr>
          <w:rFonts w:ascii="mylotus" w:hAnsi="mylotus" w:hint="cs"/>
          <w:b/>
          <w:bCs/>
          <w:sz w:val="32"/>
          <w:rtl/>
        </w:rPr>
        <w:t>عام</w:t>
      </w:r>
      <w:r w:rsidRPr="00F27422">
        <w:rPr>
          <w:rFonts w:ascii="mylotus" w:hAnsi="mylotus"/>
          <w:b/>
          <w:bCs/>
          <w:sz w:val="32"/>
          <w:rtl/>
        </w:rPr>
        <w:t xml:space="preserve"> </w:t>
      </w:r>
      <w:r w:rsidRPr="00F27422">
        <w:rPr>
          <w:rFonts w:ascii="mylotus" w:hAnsi="mylotus" w:hint="cs"/>
          <w:b/>
          <w:bCs/>
          <w:sz w:val="32"/>
          <w:rtl/>
        </w:rPr>
        <w:t>يشمل</w:t>
      </w:r>
      <w:r w:rsidRPr="00F27422">
        <w:rPr>
          <w:rFonts w:ascii="mylotus" w:hAnsi="mylotus"/>
          <w:b/>
          <w:bCs/>
          <w:sz w:val="32"/>
          <w:rtl/>
        </w:rPr>
        <w:t xml:space="preserve"> </w:t>
      </w:r>
      <w:r w:rsidRPr="00F27422">
        <w:rPr>
          <w:rFonts w:ascii="mylotus" w:hAnsi="mylotus" w:hint="cs"/>
          <w:b/>
          <w:bCs/>
          <w:sz w:val="32"/>
          <w:rtl/>
        </w:rPr>
        <w:t>البيع</w:t>
      </w:r>
      <w:r w:rsidRPr="00F27422">
        <w:rPr>
          <w:rFonts w:ascii="mylotus" w:hAnsi="mylotus"/>
          <w:b/>
          <w:bCs/>
          <w:sz w:val="32"/>
          <w:rtl/>
        </w:rPr>
        <w:t xml:space="preserve"> </w:t>
      </w:r>
      <w:r w:rsidRPr="00F27422">
        <w:rPr>
          <w:rFonts w:ascii="mylotus" w:hAnsi="mylotus" w:hint="cs"/>
          <w:b/>
          <w:bCs/>
          <w:sz w:val="32"/>
          <w:rtl/>
        </w:rPr>
        <w:t>وغيره</w:t>
      </w:r>
      <w:r w:rsidRPr="00F27422">
        <w:rPr>
          <w:rFonts w:ascii="mylotus" w:hAnsi="mylotus"/>
          <w:b/>
          <w:bCs/>
          <w:sz w:val="32"/>
        </w:rPr>
        <w:t>.</w:t>
      </w:r>
    </w:p>
    <w:p w14:paraId="54E4CAF7"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 xml:space="preserve">وكما في تخلّف الشرط الضمني الارتكازي الذي تبتني عليه جملة من الخيارات، كخيار الغبن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الأصحّ</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والعيب</w:t>
      </w:r>
      <w:r w:rsidRPr="00F27422">
        <w:rPr>
          <w:rFonts w:ascii="mylotus" w:hAnsi="mylotus"/>
          <w:b/>
          <w:bCs/>
          <w:sz w:val="32"/>
          <w:rtl/>
        </w:rPr>
        <w:t xml:space="preserve"> </w:t>
      </w:r>
      <w:r w:rsidRPr="00F27422">
        <w:rPr>
          <w:rFonts w:ascii="mylotus" w:hAnsi="mylotus" w:hint="cs"/>
          <w:b/>
          <w:bCs/>
          <w:sz w:val="32"/>
          <w:rtl/>
        </w:rPr>
        <w:t>وتبعّض</w:t>
      </w:r>
      <w:r w:rsidRPr="00F27422">
        <w:rPr>
          <w:rFonts w:ascii="mylotus" w:hAnsi="mylotus"/>
          <w:b/>
          <w:bCs/>
          <w:sz w:val="32"/>
          <w:rtl/>
        </w:rPr>
        <w:t xml:space="preserve"> </w:t>
      </w:r>
      <w:r w:rsidRPr="00F27422">
        <w:rPr>
          <w:rFonts w:ascii="mylotus" w:hAnsi="mylotus" w:hint="cs"/>
          <w:b/>
          <w:bCs/>
          <w:sz w:val="32"/>
          <w:rtl/>
        </w:rPr>
        <w:t>الصفقة</w:t>
      </w:r>
      <w:r w:rsidRPr="00F27422">
        <w:rPr>
          <w:rFonts w:ascii="mylotus" w:hAnsi="mylotus"/>
          <w:b/>
          <w:bCs/>
          <w:sz w:val="32"/>
          <w:rtl/>
        </w:rPr>
        <w:t xml:space="preserve"> </w:t>
      </w:r>
      <w:r w:rsidRPr="00F27422">
        <w:rPr>
          <w:rFonts w:ascii="mylotus" w:hAnsi="mylotus" w:hint="cs"/>
          <w:b/>
          <w:bCs/>
          <w:sz w:val="32"/>
          <w:rtl/>
        </w:rPr>
        <w:t>والشركة</w:t>
      </w:r>
      <w:r w:rsidRPr="00F27422">
        <w:rPr>
          <w:rFonts w:ascii="mylotus" w:hAnsi="mylotus"/>
          <w:b/>
          <w:bCs/>
          <w:sz w:val="32"/>
          <w:rtl/>
        </w:rPr>
        <w:t xml:space="preserve"> </w:t>
      </w:r>
      <w:r w:rsidRPr="00F27422">
        <w:rPr>
          <w:rFonts w:ascii="mylotus" w:hAnsi="mylotus" w:hint="cs"/>
          <w:b/>
          <w:bCs/>
          <w:sz w:val="32"/>
          <w:rtl/>
        </w:rPr>
        <w:t>وغيرها،</w:t>
      </w:r>
      <w:r w:rsidRPr="00F27422">
        <w:rPr>
          <w:rFonts w:ascii="mylotus" w:hAnsi="mylotus"/>
          <w:b/>
          <w:bCs/>
          <w:sz w:val="32"/>
          <w:rtl/>
        </w:rPr>
        <w:t xml:space="preserve"> </w:t>
      </w:r>
      <w:r w:rsidRPr="00F27422">
        <w:rPr>
          <w:rFonts w:ascii="mylotus" w:hAnsi="mylotus" w:hint="cs"/>
          <w:b/>
          <w:bCs/>
          <w:sz w:val="32"/>
          <w:rtl/>
        </w:rPr>
        <w:t>أو</w:t>
      </w:r>
      <w:r w:rsidRPr="00F27422">
        <w:rPr>
          <w:rFonts w:ascii="mylotus" w:hAnsi="mylotus"/>
          <w:b/>
          <w:bCs/>
          <w:sz w:val="32"/>
          <w:rtl/>
        </w:rPr>
        <w:t xml:space="preserve"> </w:t>
      </w:r>
      <w:r w:rsidRPr="00F27422">
        <w:rPr>
          <w:rFonts w:ascii="mylotus" w:hAnsi="mylotus" w:hint="cs"/>
          <w:b/>
          <w:bCs/>
          <w:sz w:val="32"/>
          <w:rtl/>
        </w:rPr>
        <w:t>تخلّف</w:t>
      </w:r>
      <w:r w:rsidRPr="00F27422">
        <w:rPr>
          <w:rFonts w:ascii="mylotus" w:hAnsi="mylotus"/>
          <w:b/>
          <w:bCs/>
          <w:sz w:val="32"/>
          <w:rtl/>
        </w:rPr>
        <w:t xml:space="preserve"> </w:t>
      </w:r>
      <w:r w:rsidRPr="00F27422">
        <w:rPr>
          <w:rFonts w:ascii="mylotus" w:hAnsi="mylotus" w:hint="cs"/>
          <w:b/>
          <w:bCs/>
          <w:sz w:val="32"/>
          <w:rtl/>
        </w:rPr>
        <w:t>الشرط</w:t>
      </w:r>
      <w:r w:rsidRPr="00F27422">
        <w:rPr>
          <w:rFonts w:ascii="mylotus" w:hAnsi="mylotus"/>
          <w:b/>
          <w:bCs/>
          <w:sz w:val="32"/>
          <w:rtl/>
        </w:rPr>
        <w:t xml:space="preserve"> </w:t>
      </w:r>
      <w:r w:rsidRPr="00F27422">
        <w:rPr>
          <w:rFonts w:ascii="mylotus" w:hAnsi="mylotus" w:hint="cs"/>
          <w:b/>
          <w:bCs/>
          <w:sz w:val="32"/>
          <w:rtl/>
        </w:rPr>
        <w:t>الصريح</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متن</w:t>
      </w:r>
      <w:r w:rsidRPr="00F27422">
        <w:rPr>
          <w:rFonts w:ascii="mylotus" w:hAnsi="mylotus"/>
          <w:b/>
          <w:bCs/>
          <w:sz w:val="32"/>
          <w:rtl/>
        </w:rPr>
        <w:t xml:space="preserve"> </w:t>
      </w:r>
      <w:r w:rsidRPr="00F27422">
        <w:rPr>
          <w:rFonts w:ascii="mylotus" w:hAnsi="mylotus" w:hint="cs"/>
          <w:b/>
          <w:bCs/>
          <w:sz w:val="32"/>
          <w:rtl/>
        </w:rPr>
        <w:t>العقد</w:t>
      </w:r>
      <w:r w:rsidRPr="00F27422">
        <w:rPr>
          <w:rFonts w:ascii="mylotus" w:hAnsi="mylotus"/>
          <w:b/>
          <w:bCs/>
          <w:sz w:val="32"/>
          <w:rtl/>
        </w:rPr>
        <w:t xml:space="preserve"> </w:t>
      </w:r>
      <w:r w:rsidRPr="00F27422">
        <w:rPr>
          <w:rFonts w:ascii="mylotus" w:hAnsi="mylotus" w:hint="cs"/>
          <w:b/>
          <w:bCs/>
          <w:sz w:val="32"/>
          <w:rtl/>
        </w:rPr>
        <w:t>كخيار</w:t>
      </w:r>
      <w:r w:rsidRPr="00F27422">
        <w:rPr>
          <w:rFonts w:ascii="mylotus" w:hAnsi="mylotus"/>
          <w:b/>
          <w:bCs/>
          <w:sz w:val="32"/>
          <w:rtl/>
        </w:rPr>
        <w:t xml:space="preserve"> </w:t>
      </w:r>
      <w:r w:rsidRPr="00F27422">
        <w:rPr>
          <w:rFonts w:ascii="mylotus" w:hAnsi="mylotus" w:hint="cs"/>
          <w:b/>
          <w:bCs/>
          <w:sz w:val="32"/>
          <w:rtl/>
        </w:rPr>
        <w:t>الاشتراط،</w:t>
      </w:r>
      <w:r w:rsidRPr="00F27422">
        <w:rPr>
          <w:rFonts w:ascii="mylotus" w:hAnsi="mylotus"/>
          <w:b/>
          <w:bCs/>
          <w:sz w:val="32"/>
          <w:rtl/>
        </w:rPr>
        <w:t xml:space="preserve"> </w:t>
      </w:r>
      <w:r w:rsidRPr="00F27422">
        <w:rPr>
          <w:rFonts w:ascii="mylotus" w:hAnsi="mylotus" w:hint="cs"/>
          <w:b/>
          <w:bCs/>
          <w:sz w:val="32"/>
          <w:rtl/>
        </w:rPr>
        <w:t>أي</w:t>
      </w:r>
      <w:r w:rsidRPr="00F27422">
        <w:rPr>
          <w:rFonts w:ascii="mylotus" w:hAnsi="mylotus"/>
          <w:b/>
          <w:bCs/>
          <w:sz w:val="32"/>
          <w:rtl/>
        </w:rPr>
        <w:t xml:space="preserve"> </w:t>
      </w:r>
      <w:r w:rsidRPr="00F27422">
        <w:rPr>
          <w:rFonts w:ascii="mylotus" w:hAnsi="mylotus" w:hint="cs"/>
          <w:b/>
          <w:bCs/>
          <w:sz w:val="32"/>
          <w:rtl/>
        </w:rPr>
        <w:t>تخلّف</w:t>
      </w:r>
      <w:r w:rsidRPr="00F27422">
        <w:rPr>
          <w:rFonts w:ascii="mylotus" w:hAnsi="mylotus"/>
          <w:b/>
          <w:bCs/>
          <w:sz w:val="32"/>
          <w:rtl/>
        </w:rPr>
        <w:t xml:space="preserve"> </w:t>
      </w:r>
      <w:r w:rsidRPr="00F27422">
        <w:rPr>
          <w:rFonts w:ascii="mylotus" w:hAnsi="mylotus" w:hint="cs"/>
          <w:b/>
          <w:bCs/>
          <w:sz w:val="32"/>
          <w:rtl/>
        </w:rPr>
        <w:t>الوصف</w:t>
      </w:r>
      <w:r w:rsidRPr="00F27422">
        <w:rPr>
          <w:rFonts w:ascii="mylotus" w:hAnsi="mylotus"/>
          <w:b/>
          <w:bCs/>
          <w:sz w:val="32"/>
          <w:rtl/>
        </w:rPr>
        <w:t xml:space="preserve"> </w:t>
      </w:r>
      <w:r w:rsidRPr="00F27422">
        <w:rPr>
          <w:rFonts w:ascii="mylotus" w:hAnsi="mylotus" w:hint="cs"/>
          <w:b/>
          <w:bCs/>
          <w:sz w:val="32"/>
          <w:rtl/>
        </w:rPr>
        <w:t>المشروط</w:t>
      </w:r>
      <w:r w:rsidRPr="00F27422">
        <w:rPr>
          <w:rFonts w:ascii="mylotus" w:hAnsi="mylotus"/>
          <w:b/>
          <w:bCs/>
          <w:sz w:val="32"/>
          <w:rtl/>
        </w:rPr>
        <w:t xml:space="preserve"> </w:t>
      </w:r>
      <w:r w:rsidRPr="00F27422">
        <w:rPr>
          <w:rFonts w:ascii="mylotus" w:hAnsi="mylotus" w:hint="cs"/>
          <w:b/>
          <w:bCs/>
          <w:sz w:val="32"/>
          <w:rtl/>
        </w:rPr>
        <w:t>ككون</w:t>
      </w:r>
      <w:r w:rsidRPr="00F27422">
        <w:rPr>
          <w:rFonts w:ascii="mylotus" w:hAnsi="mylotus"/>
          <w:b/>
          <w:bCs/>
          <w:sz w:val="32"/>
          <w:rtl/>
        </w:rPr>
        <w:t xml:space="preserve"> </w:t>
      </w:r>
      <w:r w:rsidRPr="00F27422">
        <w:rPr>
          <w:rFonts w:ascii="mylotus" w:hAnsi="mylotus" w:hint="cs"/>
          <w:b/>
          <w:bCs/>
          <w:sz w:val="32"/>
          <w:rtl/>
        </w:rPr>
        <w:t>العبد</w:t>
      </w:r>
      <w:r w:rsidRPr="00F27422">
        <w:rPr>
          <w:rFonts w:ascii="mylotus" w:hAnsi="mylotus"/>
          <w:b/>
          <w:bCs/>
          <w:sz w:val="32"/>
          <w:rtl/>
        </w:rPr>
        <w:t xml:space="preserve"> </w:t>
      </w:r>
      <w:r w:rsidRPr="00F27422">
        <w:rPr>
          <w:rFonts w:ascii="mylotus" w:hAnsi="mylotus" w:hint="cs"/>
          <w:b/>
          <w:bCs/>
          <w:sz w:val="32"/>
          <w:rtl/>
        </w:rPr>
        <w:t>كاتباً،</w:t>
      </w:r>
      <w:r w:rsidRPr="00F27422">
        <w:rPr>
          <w:rFonts w:ascii="mylotus" w:hAnsi="mylotus"/>
          <w:b/>
          <w:bCs/>
          <w:sz w:val="32"/>
          <w:rtl/>
        </w:rPr>
        <w:t xml:space="preserve"> </w:t>
      </w:r>
      <w:r w:rsidRPr="00F27422">
        <w:rPr>
          <w:rFonts w:ascii="mylotus" w:hAnsi="mylotus" w:hint="cs"/>
          <w:b/>
          <w:bCs/>
          <w:sz w:val="32"/>
          <w:rtl/>
        </w:rPr>
        <w:t>أو</w:t>
      </w:r>
      <w:r w:rsidRPr="00F27422">
        <w:rPr>
          <w:rFonts w:ascii="mylotus" w:hAnsi="mylotus"/>
          <w:b/>
          <w:bCs/>
          <w:sz w:val="32"/>
          <w:rtl/>
        </w:rPr>
        <w:t xml:space="preserve"> </w:t>
      </w:r>
      <w:r w:rsidRPr="00F27422">
        <w:rPr>
          <w:rFonts w:ascii="mylotus" w:hAnsi="mylotus" w:hint="cs"/>
          <w:b/>
          <w:bCs/>
          <w:sz w:val="32"/>
          <w:rtl/>
        </w:rPr>
        <w:t>خيار</w:t>
      </w:r>
      <w:r w:rsidRPr="00F27422">
        <w:rPr>
          <w:rFonts w:ascii="mylotus" w:hAnsi="mylotus"/>
          <w:b/>
          <w:bCs/>
          <w:sz w:val="32"/>
          <w:rtl/>
        </w:rPr>
        <w:t xml:space="preserve"> </w:t>
      </w:r>
      <w:r w:rsidRPr="00F27422">
        <w:rPr>
          <w:rFonts w:ascii="mylotus" w:hAnsi="mylotus" w:hint="cs"/>
          <w:b/>
          <w:bCs/>
          <w:sz w:val="32"/>
          <w:rtl/>
        </w:rPr>
        <w:t>الشرط،</w:t>
      </w:r>
      <w:r w:rsidRPr="00F27422">
        <w:rPr>
          <w:rFonts w:ascii="mylotus" w:hAnsi="mylotus"/>
          <w:b/>
          <w:bCs/>
          <w:sz w:val="32"/>
          <w:rtl/>
        </w:rPr>
        <w:t xml:space="preserve"> </w:t>
      </w:r>
      <w:r w:rsidRPr="00F27422">
        <w:rPr>
          <w:rFonts w:ascii="mylotus" w:hAnsi="mylotus" w:hint="cs"/>
          <w:b/>
          <w:bCs/>
          <w:sz w:val="32"/>
          <w:rtl/>
        </w:rPr>
        <w:t>أي</w:t>
      </w:r>
      <w:r w:rsidRPr="00F27422">
        <w:rPr>
          <w:rFonts w:ascii="mylotus" w:hAnsi="mylotus"/>
          <w:b/>
          <w:bCs/>
          <w:sz w:val="32"/>
          <w:rtl/>
        </w:rPr>
        <w:t xml:space="preserve"> </w:t>
      </w:r>
      <w:r w:rsidRPr="00F27422">
        <w:rPr>
          <w:rFonts w:ascii="mylotus" w:hAnsi="mylotus" w:hint="cs"/>
          <w:b/>
          <w:bCs/>
          <w:sz w:val="32"/>
          <w:rtl/>
        </w:rPr>
        <w:t>جعل</w:t>
      </w:r>
      <w:r w:rsidRPr="00F27422">
        <w:rPr>
          <w:rFonts w:ascii="mylotus" w:hAnsi="mylotus"/>
          <w:b/>
          <w:bCs/>
          <w:sz w:val="32"/>
          <w:rtl/>
        </w:rPr>
        <w:t xml:space="preserve"> </w:t>
      </w:r>
      <w:r w:rsidRPr="00F27422">
        <w:rPr>
          <w:rFonts w:ascii="mylotus" w:hAnsi="mylotus" w:hint="cs"/>
          <w:b/>
          <w:bCs/>
          <w:sz w:val="32"/>
          <w:rtl/>
        </w:rPr>
        <w:t>الخيار</w:t>
      </w:r>
      <w:r w:rsidRPr="00F27422">
        <w:rPr>
          <w:rFonts w:ascii="mylotus" w:hAnsi="mylotus"/>
          <w:b/>
          <w:bCs/>
          <w:sz w:val="32"/>
          <w:rtl/>
        </w:rPr>
        <w:t xml:space="preserve"> </w:t>
      </w:r>
      <w:r w:rsidRPr="00F27422">
        <w:rPr>
          <w:rFonts w:ascii="mylotus" w:hAnsi="mylotus" w:hint="cs"/>
          <w:b/>
          <w:bCs/>
          <w:sz w:val="32"/>
          <w:rtl/>
        </w:rPr>
        <w:t>لأحدهما</w:t>
      </w:r>
      <w:r w:rsidRPr="00F27422">
        <w:rPr>
          <w:rFonts w:ascii="mylotus" w:hAnsi="mylotus"/>
          <w:b/>
          <w:bCs/>
          <w:sz w:val="32"/>
          <w:rtl/>
        </w:rPr>
        <w:t xml:space="preserve"> </w:t>
      </w:r>
      <w:r w:rsidRPr="00F27422">
        <w:rPr>
          <w:rFonts w:ascii="mylotus" w:hAnsi="mylotus" w:hint="cs"/>
          <w:b/>
          <w:bCs/>
          <w:sz w:val="32"/>
          <w:rtl/>
        </w:rPr>
        <w:t>أو</w:t>
      </w:r>
      <w:r w:rsidRPr="00F27422">
        <w:rPr>
          <w:rFonts w:ascii="mylotus" w:hAnsi="mylotus"/>
          <w:b/>
          <w:bCs/>
          <w:sz w:val="32"/>
          <w:rtl/>
        </w:rPr>
        <w:t xml:space="preserve"> </w:t>
      </w:r>
      <w:r w:rsidRPr="00F27422">
        <w:rPr>
          <w:rFonts w:ascii="mylotus" w:hAnsi="mylotus" w:hint="cs"/>
          <w:b/>
          <w:bCs/>
          <w:sz w:val="32"/>
          <w:rtl/>
        </w:rPr>
        <w:t>للأجنبي،</w:t>
      </w:r>
      <w:r w:rsidRPr="00F27422">
        <w:rPr>
          <w:rFonts w:ascii="mylotus" w:hAnsi="mylotus"/>
          <w:b/>
          <w:bCs/>
          <w:sz w:val="32"/>
          <w:rtl/>
        </w:rPr>
        <w:t xml:space="preserve"> </w:t>
      </w:r>
      <w:r w:rsidRPr="00F27422">
        <w:rPr>
          <w:rFonts w:ascii="mylotus" w:hAnsi="mylotus" w:hint="cs"/>
          <w:b/>
          <w:bCs/>
          <w:sz w:val="32"/>
          <w:rtl/>
        </w:rPr>
        <w:t>حيث</w:t>
      </w:r>
      <w:r w:rsidRPr="00F27422">
        <w:rPr>
          <w:rFonts w:ascii="mylotus" w:hAnsi="mylotus"/>
          <w:b/>
          <w:bCs/>
          <w:sz w:val="32"/>
          <w:rtl/>
        </w:rPr>
        <w:t xml:space="preserve"> </w:t>
      </w:r>
      <w:r w:rsidRPr="00F27422">
        <w:rPr>
          <w:rFonts w:ascii="mylotus" w:hAnsi="mylotus" w:hint="cs"/>
          <w:b/>
          <w:bCs/>
          <w:sz w:val="32"/>
          <w:rtl/>
        </w:rPr>
        <w:t>إنّ</w:t>
      </w:r>
      <w:r w:rsidRPr="00F27422">
        <w:rPr>
          <w:rFonts w:ascii="mylotus" w:hAnsi="mylotus"/>
          <w:b/>
          <w:bCs/>
          <w:sz w:val="32"/>
          <w:rtl/>
        </w:rPr>
        <w:t xml:space="preserve"> </w:t>
      </w:r>
      <w:r w:rsidRPr="00F27422">
        <w:rPr>
          <w:rFonts w:ascii="mylotus" w:hAnsi="mylotus" w:hint="cs"/>
          <w:b/>
          <w:bCs/>
          <w:sz w:val="32"/>
          <w:rtl/>
        </w:rPr>
        <w:t>الخيار</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جميع</w:t>
      </w:r>
      <w:r w:rsidRPr="00F27422">
        <w:rPr>
          <w:rFonts w:ascii="mylotus" w:hAnsi="mylotus"/>
          <w:b/>
          <w:bCs/>
          <w:sz w:val="32"/>
          <w:rtl/>
        </w:rPr>
        <w:t xml:space="preserve"> </w:t>
      </w:r>
      <w:r w:rsidRPr="00F27422">
        <w:rPr>
          <w:rFonts w:ascii="mylotus" w:hAnsi="mylotus" w:hint="cs"/>
          <w:b/>
          <w:bCs/>
          <w:sz w:val="32"/>
          <w:rtl/>
        </w:rPr>
        <w:t>ذلك</w:t>
      </w:r>
      <w:r w:rsidRPr="00F27422">
        <w:rPr>
          <w:rFonts w:ascii="mylotus" w:hAnsi="mylotus"/>
          <w:b/>
          <w:bCs/>
          <w:sz w:val="32"/>
          <w:rtl/>
        </w:rPr>
        <w:t xml:space="preserve"> </w:t>
      </w:r>
      <w:r w:rsidRPr="00F27422">
        <w:rPr>
          <w:rFonts w:ascii="mylotus" w:hAnsi="mylotus" w:hint="cs"/>
          <w:b/>
          <w:bCs/>
          <w:sz w:val="32"/>
          <w:rtl/>
        </w:rPr>
        <w:t>مستند</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عموم</w:t>
      </w:r>
      <w:r w:rsidRPr="00F27422">
        <w:rPr>
          <w:rFonts w:ascii="mylotus" w:hAnsi="mylotus"/>
          <w:b/>
          <w:bCs/>
          <w:sz w:val="32"/>
          <w:rtl/>
        </w:rPr>
        <w:t xml:space="preserve"> </w:t>
      </w:r>
      <w:r w:rsidRPr="00F27422">
        <w:rPr>
          <w:rFonts w:ascii="mylotus" w:hAnsi="mylotus" w:hint="cs"/>
          <w:b/>
          <w:bCs/>
          <w:sz w:val="32"/>
          <w:rtl/>
        </w:rPr>
        <w:t>دليل</w:t>
      </w:r>
      <w:r w:rsidRPr="00F27422">
        <w:rPr>
          <w:rFonts w:ascii="mylotus" w:hAnsi="mylotus"/>
          <w:b/>
          <w:bCs/>
          <w:sz w:val="32"/>
          <w:rtl/>
        </w:rPr>
        <w:t xml:space="preserve"> </w:t>
      </w:r>
      <w:r w:rsidRPr="00F27422">
        <w:rPr>
          <w:rFonts w:ascii="mylotus" w:hAnsi="mylotus" w:hint="cs"/>
          <w:b/>
          <w:bCs/>
          <w:sz w:val="32"/>
          <w:rtl/>
        </w:rPr>
        <w:t>نفوذ</w:t>
      </w:r>
      <w:r w:rsidRPr="00F27422">
        <w:rPr>
          <w:rFonts w:ascii="mylotus" w:hAnsi="mylotus"/>
          <w:b/>
          <w:bCs/>
          <w:sz w:val="32"/>
          <w:rtl/>
        </w:rPr>
        <w:t xml:space="preserve"> </w:t>
      </w:r>
      <w:r w:rsidRPr="00F27422">
        <w:rPr>
          <w:rFonts w:ascii="mylotus" w:hAnsi="mylotus" w:hint="cs"/>
          <w:b/>
          <w:bCs/>
          <w:sz w:val="32"/>
          <w:rtl/>
        </w:rPr>
        <w:t>الشرط</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المؤمنون</w:t>
      </w:r>
      <w:r w:rsidRPr="00F27422">
        <w:rPr>
          <w:rFonts w:ascii="mylotus" w:hAnsi="mylotus"/>
          <w:sz w:val="32"/>
          <w:rtl/>
        </w:rPr>
        <w:t xml:space="preserve"> </w:t>
      </w:r>
      <w:r w:rsidRPr="00F27422">
        <w:rPr>
          <w:rFonts w:ascii="mylotus" w:hAnsi="mylotus" w:hint="cs"/>
          <w:sz w:val="32"/>
          <w:rtl/>
        </w:rPr>
        <w:t>عند</w:t>
      </w:r>
      <w:r w:rsidRPr="00F27422">
        <w:rPr>
          <w:rFonts w:ascii="mylotus" w:hAnsi="mylotus"/>
          <w:sz w:val="32"/>
          <w:rtl/>
        </w:rPr>
        <w:t xml:space="preserve"> </w:t>
      </w:r>
      <w:r w:rsidRPr="00F27422">
        <w:rPr>
          <w:rFonts w:ascii="mylotus" w:hAnsi="mylotus" w:hint="cs"/>
          <w:sz w:val="32"/>
          <w:rtl/>
        </w:rPr>
        <w:t>شروطهم</w:t>
      </w:r>
      <w:r w:rsidRPr="00F27422">
        <w:rPr>
          <w:rFonts w:ascii="mylotus" w:hAnsi="mylotus" w:cs="Cambria" w:hint="cs"/>
          <w:sz w:val="32"/>
          <w:rtl/>
        </w:rPr>
        <w:t>"</w:t>
      </w:r>
      <w:r w:rsidRPr="00F27422">
        <w:rPr>
          <w:rFonts w:ascii="mylotus" w:hAnsi="mylotus" w:hint="cs"/>
          <w:sz w:val="32"/>
          <w:rtl/>
        </w:rPr>
        <w:t>.</w:t>
      </w:r>
    </w:p>
    <w:p w14:paraId="684B3860"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hint="cs"/>
          <w:b/>
          <w:bCs/>
          <w:sz w:val="32"/>
          <w:rtl/>
        </w:rPr>
        <w:t>(</w:t>
      </w:r>
      <w:r w:rsidRPr="00F27422">
        <w:rPr>
          <w:rFonts w:ascii="mylotus" w:hAnsi="mylotus"/>
          <w:b/>
          <w:bCs/>
          <w:sz w:val="32"/>
          <w:rtl/>
        </w:rPr>
        <w:t>والضابط في المقام: أنّ في كلّ مورد ثبت الخيار بدليل عام كدليل نفي الضرر أو دليل نفوذ الشرط جرى في البيع وغيره، وفي كلّ مورد ثبت بالتعبّد اقتصر على مورده حسبما عرفت</w:t>
      </w:r>
      <w:r w:rsidRPr="00F27422">
        <w:rPr>
          <w:rFonts w:ascii="mylotus" w:hAnsi="mylotus" w:hint="cs"/>
          <w:b/>
          <w:bCs/>
          <w:sz w:val="32"/>
          <w:rtl/>
        </w:rPr>
        <w:t>).</w:t>
      </w:r>
    </w:p>
    <w:p w14:paraId="28BEA221" w14:textId="77777777" w:rsidR="005D4E65" w:rsidRPr="00F27422" w:rsidRDefault="005D4E65" w:rsidP="00122B70">
      <w:pPr>
        <w:pStyle w:val="a"/>
        <w:bidi/>
        <w:spacing w:line="216" w:lineRule="auto"/>
        <w:jc w:val="left"/>
        <w:rPr>
          <w:rFonts w:ascii="mylotus" w:hAnsi="mylotus"/>
          <w:b/>
          <w:bCs/>
          <w:sz w:val="32"/>
          <w:rtl/>
        </w:rPr>
      </w:pPr>
      <w:r w:rsidRPr="00F27422">
        <w:rPr>
          <w:rFonts w:ascii="mylotus" w:hAnsi="mylotus"/>
          <w:b/>
          <w:bCs/>
          <w:sz w:val="32"/>
          <w:rtl/>
        </w:rPr>
        <w:t>والمناقشةُ في كلامه (قدس سره الشريف) هي في الصُغرى</w:t>
      </w:r>
      <w:r w:rsidRPr="00F27422">
        <w:rPr>
          <w:rFonts w:ascii="mylotus" w:hAnsi="mylotus"/>
          <w:sz w:val="32"/>
          <w:rtl/>
        </w:rPr>
        <w:t xml:space="preserve"> </w:t>
      </w:r>
      <w:r w:rsidRPr="00F27422">
        <w:rPr>
          <w:rFonts w:ascii="mylotus" w:hAnsi="mylotus"/>
          <w:b/>
          <w:bCs/>
          <w:sz w:val="32"/>
          <w:rtl/>
        </w:rPr>
        <w:t>وهي:</w:t>
      </w:r>
      <w:r w:rsidRPr="00F27422">
        <w:rPr>
          <w:rFonts w:ascii="mylotus" w:hAnsi="mylotus"/>
          <w:sz w:val="32"/>
          <w:rtl/>
        </w:rPr>
        <w:t xml:space="preserve"> دعوى أنّ ثبوت بعض الخيارات في باب البيع إنّما هو بالتعبّد المحض لا بنكتةٍ عقلائية محل</w:t>
      </w:r>
      <w:r w:rsidRPr="00F27422">
        <w:rPr>
          <w:rFonts w:ascii="mylotus" w:hAnsi="mylotus" w:hint="cs"/>
          <w:sz w:val="32"/>
          <w:rtl/>
        </w:rPr>
        <w:t>ُّ</w:t>
      </w:r>
      <w:r w:rsidRPr="00F27422">
        <w:rPr>
          <w:rFonts w:ascii="mylotus" w:hAnsi="mylotus"/>
          <w:sz w:val="32"/>
          <w:rtl/>
        </w:rPr>
        <w:t xml:space="preserve"> منع</w:t>
      </w:r>
      <w:r w:rsidRPr="00F27422">
        <w:rPr>
          <w:rFonts w:ascii="mylotus" w:hAnsi="mylotus" w:hint="cs"/>
          <w:sz w:val="32"/>
          <w:rtl/>
        </w:rPr>
        <w:t>ٍ</w:t>
      </w:r>
      <w:r w:rsidRPr="00F27422">
        <w:rPr>
          <w:rFonts w:ascii="mylotus" w:hAnsi="mylotus"/>
          <w:sz w:val="32"/>
          <w:rtl/>
        </w:rPr>
        <w:t>.</w:t>
      </w:r>
    </w:p>
    <w:p w14:paraId="345E8B01" w14:textId="77777777" w:rsidR="005D4E65" w:rsidRPr="00F27422" w:rsidRDefault="005D4E65" w:rsidP="00122B70">
      <w:pPr>
        <w:pStyle w:val="a"/>
        <w:bidi/>
        <w:spacing w:line="216" w:lineRule="auto"/>
        <w:jc w:val="left"/>
        <w:rPr>
          <w:rFonts w:ascii="mylotus" w:hAnsi="mylotus"/>
          <w:sz w:val="32"/>
          <w:rtl/>
        </w:rPr>
      </w:pPr>
    </w:p>
    <w:p w14:paraId="2A0775FD" w14:textId="77777777" w:rsidR="005D4E65" w:rsidRPr="00F27422" w:rsidRDefault="005D4E65"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01AA730A" w14:textId="77777777" w:rsidR="005D4E65" w:rsidRPr="00F27422" w:rsidRDefault="005D4E65" w:rsidP="00122B70">
      <w:pPr>
        <w:bidi/>
        <w:rPr>
          <w:sz w:val="32"/>
          <w:szCs w:val="32"/>
          <w:rtl/>
        </w:rPr>
      </w:pPr>
    </w:p>
    <w:p w14:paraId="7FD13B76" w14:textId="5FFA2E69" w:rsidR="005D4E65" w:rsidRPr="00F27422" w:rsidRDefault="005D4E65" w:rsidP="00122B70">
      <w:pPr>
        <w:pStyle w:val="Heading3"/>
        <w:bidi/>
        <w:rPr>
          <w:sz w:val="32"/>
          <w:szCs w:val="32"/>
          <w:rtl/>
        </w:rPr>
      </w:pPr>
      <w:r w:rsidRPr="00F27422">
        <w:rPr>
          <w:rFonts w:hint="cs"/>
          <w:sz w:val="32"/>
          <w:szCs w:val="32"/>
          <w:rtl/>
        </w:rPr>
        <w:t>090</w:t>
      </w:r>
    </w:p>
    <w:p w14:paraId="313A6076"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279366E9"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5CDFBC87"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b/>
          <w:bCs/>
          <w:sz w:val="32"/>
          <w:rtl/>
        </w:rPr>
        <w:t>واللعن الدائم على أعدائهم أجمعين إلى قيام يوم الدين</w:t>
      </w:r>
    </w:p>
    <w:p w14:paraId="0E50769D" w14:textId="77777777" w:rsidR="00C16F1A" w:rsidRPr="00F27422" w:rsidRDefault="00C16F1A" w:rsidP="00122B70">
      <w:pPr>
        <w:pStyle w:val="a"/>
        <w:bidi/>
        <w:spacing w:line="216" w:lineRule="auto"/>
        <w:jc w:val="left"/>
        <w:rPr>
          <w:rFonts w:ascii="mylotus" w:hAnsi="mylotus"/>
          <w:sz w:val="32"/>
          <w:rtl/>
        </w:rPr>
      </w:pPr>
    </w:p>
    <w:p w14:paraId="3FE32A45" w14:textId="77777777" w:rsidR="00C16F1A" w:rsidRPr="00F27422" w:rsidRDefault="00C16F1A" w:rsidP="00122B70">
      <w:pPr>
        <w:pStyle w:val="a"/>
        <w:bidi/>
        <w:spacing w:line="216" w:lineRule="auto"/>
        <w:jc w:val="left"/>
        <w:outlineLvl w:val="2"/>
        <w:rPr>
          <w:rFonts w:ascii="mylotus" w:hAnsi="mylotus"/>
          <w:b/>
          <w:bCs/>
          <w:sz w:val="32"/>
          <w:rtl/>
        </w:rPr>
      </w:pPr>
      <w:r w:rsidRPr="00F27422">
        <w:rPr>
          <w:rFonts w:ascii="mylotus" w:hAnsi="mylotus"/>
          <w:b/>
          <w:bCs/>
          <w:sz w:val="32"/>
          <w:rtl/>
        </w:rPr>
        <w:t>خيارُ ما يفسدُ ليومه</w:t>
      </w:r>
      <w:r w:rsidRPr="00F27422">
        <w:rPr>
          <w:rFonts w:ascii="mylotus" w:hAnsi="mylotus" w:hint="cs"/>
          <w:b/>
          <w:bCs/>
          <w:sz w:val="32"/>
          <w:rtl/>
        </w:rPr>
        <w:t>:</w:t>
      </w:r>
    </w:p>
    <w:p w14:paraId="08D96C9D"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sz w:val="32"/>
          <w:rtl/>
        </w:rPr>
        <w:t>قد ذُكر في متن العرة أنّ مِن الخيارات التي ثبتتْ في البيع هو خيارُ ما يفسدُ ليومه، وهذا الخيار يشمل باب الإجارة كما هو في البيع</w:t>
      </w:r>
      <w:r w:rsidRPr="00F27422">
        <w:rPr>
          <w:rFonts w:ascii="mylotus" w:hAnsi="mylotus"/>
          <w:sz w:val="32"/>
        </w:rPr>
        <w:t>.</w:t>
      </w:r>
    </w:p>
    <w:p w14:paraId="18288AD2"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sz w:val="32"/>
          <w:rtl/>
        </w:rPr>
        <w:t>وقد تعرض لذلك سيدنا الخوئي (قدس سره الشريف) في شرح</w:t>
      </w:r>
      <w:r w:rsidRPr="00F27422">
        <w:rPr>
          <w:rFonts w:ascii="mylotus" w:hAnsi="mylotus" w:hint="cs"/>
          <w:sz w:val="32"/>
          <w:rtl/>
        </w:rPr>
        <w:t>ه</w:t>
      </w:r>
      <w:r w:rsidRPr="00F27422">
        <w:rPr>
          <w:rStyle w:val="FootnoteReference"/>
          <w:rFonts w:ascii="mylotus" w:hAnsi="mylotus"/>
          <w:sz w:val="32"/>
          <w:rtl/>
        </w:rPr>
        <w:footnoteReference w:id="145"/>
      </w:r>
      <w:r w:rsidRPr="00F27422">
        <w:rPr>
          <w:rFonts w:ascii="mylotus" w:hAnsi="mylotus"/>
          <w:sz w:val="32"/>
          <w:rtl/>
        </w:rPr>
        <w:t xml:space="preserve"> </w:t>
      </w:r>
      <w:r w:rsidRPr="00F27422">
        <w:rPr>
          <w:rFonts w:ascii="mylotus" w:hAnsi="mylotus" w:hint="cs"/>
          <w:sz w:val="32"/>
          <w:rtl/>
        </w:rPr>
        <w:t>مناقشاً</w:t>
      </w:r>
      <w:r w:rsidRPr="00F27422">
        <w:rPr>
          <w:rFonts w:ascii="mylotus" w:hAnsi="mylotus"/>
          <w:sz w:val="32"/>
          <w:rtl/>
        </w:rPr>
        <w:t xml:space="preserve"> </w:t>
      </w:r>
      <w:r w:rsidRPr="00F27422">
        <w:rPr>
          <w:rFonts w:ascii="mylotus" w:hAnsi="mylotus" w:hint="cs"/>
          <w:sz w:val="32"/>
          <w:rtl/>
        </w:rPr>
        <w:t>لسيد</w:t>
      </w:r>
      <w:r w:rsidRPr="00F27422">
        <w:rPr>
          <w:rFonts w:ascii="mylotus" w:hAnsi="mylotus"/>
          <w:sz w:val="32"/>
          <w:rtl/>
        </w:rPr>
        <w:t xml:space="preserve"> </w:t>
      </w:r>
      <w:r w:rsidRPr="00F27422">
        <w:rPr>
          <w:rFonts w:ascii="mylotus" w:hAnsi="mylotus" w:hint="cs"/>
          <w:sz w:val="32"/>
          <w:rtl/>
        </w:rPr>
        <w:t>العروة</w:t>
      </w:r>
      <w:r w:rsidRPr="00F27422">
        <w:rPr>
          <w:rFonts w:ascii="mylotus" w:hAnsi="mylotus"/>
          <w:sz w:val="32"/>
          <w:rtl/>
        </w:rPr>
        <w:t xml:space="preserve"> </w:t>
      </w:r>
      <w:r w:rsidRPr="00F27422">
        <w:rPr>
          <w:rFonts w:ascii="mylotus" w:hAnsi="mylotus" w:hint="cs"/>
          <w:sz w:val="32"/>
          <w:rtl/>
        </w:rPr>
        <w:t>بقوله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إن</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المستند</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هذا</w:t>
      </w:r>
      <w:r w:rsidRPr="00F27422">
        <w:rPr>
          <w:rFonts w:ascii="mylotus" w:hAnsi="mylotus"/>
          <w:b/>
          <w:bCs/>
          <w:sz w:val="32"/>
          <w:rtl/>
        </w:rPr>
        <w:t xml:space="preserve"> </w:t>
      </w:r>
      <w:r w:rsidRPr="00F27422">
        <w:rPr>
          <w:rFonts w:ascii="mylotus" w:hAnsi="mylotus" w:hint="cs"/>
          <w:b/>
          <w:bCs/>
          <w:sz w:val="32"/>
          <w:rtl/>
        </w:rPr>
        <w:t>الخيار</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خيارُ</w:t>
      </w:r>
      <w:r w:rsidRPr="00F27422">
        <w:rPr>
          <w:rFonts w:ascii="mylotus" w:hAnsi="mylotus"/>
          <w:sz w:val="32"/>
          <w:rtl/>
        </w:rPr>
        <w:t xml:space="preserve"> </w:t>
      </w:r>
      <w:r w:rsidRPr="00F27422">
        <w:rPr>
          <w:rFonts w:ascii="mylotus" w:hAnsi="mylotus" w:hint="cs"/>
          <w:sz w:val="32"/>
          <w:rtl/>
        </w:rPr>
        <w:t>ما</w:t>
      </w:r>
      <w:r w:rsidRPr="00F27422">
        <w:rPr>
          <w:rFonts w:ascii="mylotus" w:hAnsi="mylotus"/>
          <w:sz w:val="32"/>
          <w:rtl/>
        </w:rPr>
        <w:t xml:space="preserve"> </w:t>
      </w:r>
      <w:r w:rsidRPr="00F27422">
        <w:rPr>
          <w:rFonts w:ascii="mylotus" w:hAnsi="mylotus" w:hint="cs"/>
          <w:sz w:val="32"/>
          <w:rtl/>
        </w:rPr>
        <w:t>يفسدُ</w:t>
      </w:r>
      <w:r w:rsidRPr="00F27422">
        <w:rPr>
          <w:rFonts w:ascii="mylotus" w:hAnsi="mylotus"/>
          <w:sz w:val="32"/>
          <w:rtl/>
        </w:rPr>
        <w:t xml:space="preserve"> </w:t>
      </w:r>
      <w:r w:rsidRPr="00F27422">
        <w:rPr>
          <w:rFonts w:ascii="mylotus" w:hAnsi="mylotus" w:hint="cs"/>
          <w:sz w:val="32"/>
          <w:rtl/>
        </w:rPr>
        <w:t>ليومه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هو</w:t>
      </w:r>
      <w:r w:rsidRPr="00F27422">
        <w:rPr>
          <w:rFonts w:ascii="mylotus" w:hAnsi="mylotus"/>
          <w:b/>
          <w:bCs/>
          <w:sz w:val="32"/>
          <w:rtl/>
        </w:rPr>
        <w:t xml:space="preserve"> </w:t>
      </w:r>
      <w:r w:rsidRPr="00F27422">
        <w:rPr>
          <w:rFonts w:ascii="mylotus" w:hAnsi="mylotus" w:hint="cs"/>
          <w:b/>
          <w:bCs/>
          <w:sz w:val="32"/>
          <w:rtl/>
        </w:rPr>
        <w:t>النصّ</w:t>
      </w:r>
      <w:r w:rsidRPr="00F27422">
        <w:rPr>
          <w:rFonts w:ascii="mylotus" w:hAnsi="mylotus"/>
          <w:b/>
          <w:bCs/>
          <w:sz w:val="32"/>
          <w:rtl/>
        </w:rPr>
        <w:t xml:space="preserve"> </w:t>
      </w:r>
      <w:r w:rsidRPr="00F27422">
        <w:rPr>
          <w:rFonts w:ascii="mylotus" w:hAnsi="mylotus" w:hint="cs"/>
          <w:b/>
          <w:bCs/>
          <w:sz w:val="32"/>
          <w:rtl/>
        </w:rPr>
        <w:t>الخاصّ</w:t>
      </w:r>
      <w:r w:rsidRPr="00F27422">
        <w:rPr>
          <w:rFonts w:ascii="mylotus" w:hAnsi="mylotus"/>
          <w:b/>
          <w:bCs/>
          <w:sz w:val="32"/>
          <w:rtl/>
        </w:rPr>
        <w:t xml:space="preserve"> </w:t>
      </w:r>
      <w:r w:rsidRPr="00F27422">
        <w:rPr>
          <w:rFonts w:ascii="mylotus" w:hAnsi="mylotus" w:hint="cs"/>
          <w:b/>
          <w:bCs/>
          <w:sz w:val="32"/>
          <w:rtl/>
        </w:rPr>
        <w:t>الوارد</w:t>
      </w:r>
      <w:r w:rsidRPr="00F27422">
        <w:rPr>
          <w:rFonts w:ascii="mylotus" w:hAnsi="mylotus"/>
          <w:b/>
          <w:bCs/>
          <w:sz w:val="32"/>
          <w:rtl/>
        </w:rPr>
        <w:t xml:space="preserve"> </w:t>
      </w:r>
      <w:r w:rsidRPr="00F27422">
        <w:rPr>
          <w:rFonts w:ascii="mylotus" w:hAnsi="mylotus" w:hint="cs"/>
          <w:b/>
          <w:bCs/>
          <w:sz w:val="32"/>
          <w:rtl/>
        </w:rPr>
        <w:t>فيه</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حاله</w:t>
      </w:r>
      <w:r w:rsidRPr="00F27422">
        <w:rPr>
          <w:rFonts w:ascii="mylotus" w:hAnsi="mylotus"/>
          <w:b/>
          <w:bCs/>
          <w:sz w:val="32"/>
          <w:rtl/>
        </w:rPr>
        <w:t xml:space="preserve"> </w:t>
      </w:r>
      <w:r w:rsidRPr="00F27422">
        <w:rPr>
          <w:rFonts w:ascii="mylotus" w:hAnsi="mylotus" w:hint="cs"/>
          <w:b/>
          <w:bCs/>
          <w:sz w:val="32"/>
          <w:rtl/>
        </w:rPr>
        <w:t>حال</w:t>
      </w:r>
      <w:r w:rsidRPr="00F27422">
        <w:rPr>
          <w:rFonts w:ascii="mylotus" w:hAnsi="mylotus"/>
          <w:b/>
          <w:bCs/>
          <w:sz w:val="32"/>
          <w:rtl/>
        </w:rPr>
        <w:t xml:space="preserve"> </w:t>
      </w:r>
      <w:r w:rsidRPr="00F27422">
        <w:rPr>
          <w:rFonts w:ascii="mylotus" w:hAnsi="mylotus" w:hint="cs"/>
          <w:b/>
          <w:bCs/>
          <w:sz w:val="32"/>
          <w:rtl/>
        </w:rPr>
        <w:t>ما</w:t>
      </w:r>
      <w:r w:rsidRPr="00F27422">
        <w:rPr>
          <w:rFonts w:ascii="mylotus" w:hAnsi="mylotus"/>
          <w:b/>
          <w:bCs/>
          <w:sz w:val="32"/>
          <w:rtl/>
        </w:rPr>
        <w:t xml:space="preserve"> </w:t>
      </w:r>
      <w:r w:rsidRPr="00F27422">
        <w:rPr>
          <w:rFonts w:ascii="mylotus" w:hAnsi="mylotus" w:hint="cs"/>
          <w:b/>
          <w:bCs/>
          <w:sz w:val="32"/>
          <w:rtl/>
        </w:rPr>
        <w:t>تقدّم</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خيار</w:t>
      </w:r>
      <w:r w:rsidRPr="00F27422">
        <w:rPr>
          <w:rFonts w:ascii="mylotus" w:hAnsi="mylotus"/>
          <w:b/>
          <w:bCs/>
          <w:sz w:val="32"/>
          <w:rtl/>
        </w:rPr>
        <w:t xml:space="preserve"> </w:t>
      </w:r>
      <w:r w:rsidRPr="00F27422">
        <w:rPr>
          <w:rFonts w:ascii="mylotus" w:hAnsi="mylotus" w:hint="cs"/>
          <w:b/>
          <w:bCs/>
          <w:sz w:val="32"/>
          <w:rtl/>
        </w:rPr>
        <w:t>المجلس</w:t>
      </w:r>
      <w:r w:rsidRPr="00F27422">
        <w:rPr>
          <w:rFonts w:ascii="mylotus" w:hAnsi="mylotus"/>
          <w:b/>
          <w:bCs/>
          <w:sz w:val="32"/>
          <w:rtl/>
        </w:rPr>
        <w:t xml:space="preserve"> </w:t>
      </w:r>
      <w:r w:rsidRPr="00F27422">
        <w:rPr>
          <w:rFonts w:ascii="mylotus" w:hAnsi="mylotus" w:hint="cs"/>
          <w:b/>
          <w:bCs/>
          <w:sz w:val="32"/>
          <w:rtl/>
        </w:rPr>
        <w:t>والحيوان</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لزوم</w:t>
      </w:r>
      <w:r w:rsidRPr="00F27422">
        <w:rPr>
          <w:rFonts w:ascii="mylotus" w:hAnsi="mylotus"/>
          <w:b/>
          <w:bCs/>
          <w:sz w:val="32"/>
          <w:rtl/>
        </w:rPr>
        <w:t xml:space="preserve"> </w:t>
      </w:r>
      <w:r w:rsidRPr="00F27422">
        <w:rPr>
          <w:rFonts w:ascii="mylotus" w:hAnsi="mylotus" w:hint="cs"/>
          <w:b/>
          <w:bCs/>
          <w:sz w:val="32"/>
          <w:rtl/>
        </w:rPr>
        <w:t>الاقتصار</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مورده</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باب</w:t>
      </w:r>
      <w:r w:rsidRPr="00F27422">
        <w:rPr>
          <w:rFonts w:ascii="mylotus" w:hAnsi="mylotus"/>
          <w:sz w:val="32"/>
          <w:rtl/>
        </w:rPr>
        <w:t xml:space="preserve"> </w:t>
      </w:r>
      <w:r w:rsidRPr="00F27422">
        <w:rPr>
          <w:rFonts w:ascii="mylotus" w:hAnsi="mylotus" w:hint="cs"/>
          <w:sz w:val="32"/>
          <w:rtl/>
        </w:rPr>
        <w:t>البيع</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وعدم</w:t>
      </w:r>
      <w:r w:rsidRPr="00F27422">
        <w:rPr>
          <w:rFonts w:ascii="mylotus" w:hAnsi="mylotus"/>
          <w:b/>
          <w:bCs/>
          <w:sz w:val="32"/>
          <w:rtl/>
        </w:rPr>
        <w:t xml:space="preserve"> </w:t>
      </w:r>
      <w:r w:rsidRPr="00F27422">
        <w:rPr>
          <w:rFonts w:ascii="mylotus" w:hAnsi="mylotus" w:hint="cs"/>
          <w:b/>
          <w:bCs/>
          <w:sz w:val="32"/>
          <w:rtl/>
        </w:rPr>
        <w:t>التعدّي</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الإجارة،</w:t>
      </w:r>
      <w:r w:rsidRPr="00F27422">
        <w:rPr>
          <w:rFonts w:ascii="mylotus" w:hAnsi="mylotus"/>
          <w:b/>
          <w:bCs/>
          <w:sz w:val="32"/>
          <w:rtl/>
        </w:rPr>
        <w:t xml:space="preserve"> </w:t>
      </w:r>
      <w:r w:rsidRPr="00F27422">
        <w:rPr>
          <w:rFonts w:ascii="mylotus" w:hAnsi="mylotus" w:hint="cs"/>
          <w:b/>
          <w:bCs/>
          <w:sz w:val="32"/>
          <w:rtl/>
        </w:rPr>
        <w:t>فلا</w:t>
      </w:r>
      <w:r w:rsidRPr="00F27422">
        <w:rPr>
          <w:rFonts w:ascii="mylotus" w:hAnsi="mylotus"/>
          <w:b/>
          <w:bCs/>
          <w:sz w:val="32"/>
          <w:rtl/>
        </w:rPr>
        <w:t xml:space="preserve"> </w:t>
      </w:r>
      <w:r w:rsidRPr="00F27422">
        <w:rPr>
          <w:rFonts w:ascii="mylotus" w:hAnsi="mylotus" w:hint="cs"/>
          <w:b/>
          <w:bCs/>
          <w:sz w:val="32"/>
          <w:rtl/>
        </w:rPr>
        <w:t>خيار</w:t>
      </w:r>
      <w:r w:rsidRPr="00F27422">
        <w:rPr>
          <w:rFonts w:ascii="mylotus" w:hAnsi="mylotus"/>
          <w:b/>
          <w:bCs/>
          <w:sz w:val="32"/>
          <w:rtl/>
        </w:rPr>
        <w:t xml:space="preserve"> </w:t>
      </w:r>
      <w:r w:rsidRPr="00F27422">
        <w:rPr>
          <w:rFonts w:ascii="mylotus" w:hAnsi="mylotus" w:hint="cs"/>
          <w:b/>
          <w:bCs/>
          <w:sz w:val="32"/>
          <w:rtl/>
        </w:rPr>
        <w:t>فيما</w:t>
      </w:r>
      <w:r w:rsidRPr="00F27422">
        <w:rPr>
          <w:rFonts w:ascii="mylotus" w:hAnsi="mylotus"/>
          <w:b/>
          <w:bCs/>
          <w:sz w:val="32"/>
          <w:rtl/>
        </w:rPr>
        <w:t xml:space="preserve"> </w:t>
      </w:r>
      <w:r w:rsidRPr="00F27422">
        <w:rPr>
          <w:rFonts w:ascii="mylotus" w:hAnsi="mylotus" w:hint="cs"/>
          <w:b/>
          <w:bCs/>
          <w:sz w:val="32"/>
          <w:rtl/>
        </w:rPr>
        <w:t>لو</w:t>
      </w:r>
      <w:r w:rsidRPr="00F27422">
        <w:rPr>
          <w:rFonts w:ascii="mylotus" w:hAnsi="mylotus"/>
          <w:b/>
          <w:bCs/>
          <w:sz w:val="32"/>
          <w:rtl/>
        </w:rPr>
        <w:t xml:space="preserve"> </w:t>
      </w:r>
      <w:r w:rsidRPr="00F27422">
        <w:rPr>
          <w:rFonts w:ascii="mylotus" w:hAnsi="mylotus" w:hint="cs"/>
          <w:b/>
          <w:bCs/>
          <w:sz w:val="32"/>
          <w:rtl/>
        </w:rPr>
        <w:t>جعل</w:t>
      </w:r>
      <w:r w:rsidRPr="00F27422">
        <w:rPr>
          <w:rFonts w:ascii="mylotus" w:hAnsi="mylotus"/>
          <w:b/>
          <w:bCs/>
          <w:sz w:val="32"/>
          <w:rtl/>
        </w:rPr>
        <w:t xml:space="preserve"> </w:t>
      </w:r>
      <w:r w:rsidRPr="00F27422">
        <w:rPr>
          <w:rFonts w:ascii="mylotus" w:hAnsi="mylotus" w:hint="cs"/>
          <w:b/>
          <w:bCs/>
          <w:sz w:val="32"/>
          <w:rtl/>
        </w:rPr>
        <w:t>الاُجرة</w:t>
      </w:r>
      <w:r w:rsidRPr="00F27422">
        <w:rPr>
          <w:rFonts w:ascii="mylotus" w:hAnsi="mylotus"/>
          <w:b/>
          <w:bCs/>
          <w:sz w:val="32"/>
          <w:rtl/>
        </w:rPr>
        <w:t xml:space="preserve"> </w:t>
      </w:r>
      <w:r w:rsidRPr="00F27422">
        <w:rPr>
          <w:rFonts w:ascii="mylotus" w:hAnsi="mylotus" w:hint="cs"/>
          <w:b/>
          <w:bCs/>
          <w:sz w:val="32"/>
          <w:rtl/>
        </w:rPr>
        <w:t>عيناً</w:t>
      </w:r>
      <w:r w:rsidRPr="00F27422">
        <w:rPr>
          <w:rFonts w:ascii="mylotus" w:hAnsi="mylotus"/>
          <w:b/>
          <w:bCs/>
          <w:sz w:val="32"/>
          <w:rtl/>
        </w:rPr>
        <w:t xml:space="preserve"> </w:t>
      </w:r>
      <w:r w:rsidRPr="00F27422">
        <w:rPr>
          <w:rFonts w:ascii="mylotus" w:hAnsi="mylotus" w:hint="cs"/>
          <w:b/>
          <w:bCs/>
          <w:sz w:val="32"/>
          <w:rtl/>
        </w:rPr>
        <w:t>شخصيّة</w:t>
      </w:r>
      <w:r w:rsidRPr="00F27422">
        <w:rPr>
          <w:rFonts w:ascii="mylotus" w:hAnsi="mylotus"/>
          <w:b/>
          <w:bCs/>
          <w:sz w:val="32"/>
          <w:rtl/>
        </w:rPr>
        <w:t xml:space="preserve"> </w:t>
      </w:r>
      <w:r w:rsidRPr="00F27422">
        <w:rPr>
          <w:rFonts w:ascii="mylotus" w:hAnsi="mylotus" w:hint="cs"/>
          <w:b/>
          <w:bCs/>
          <w:sz w:val="32"/>
          <w:rtl/>
        </w:rPr>
        <w:t>تفسد</w:t>
      </w:r>
      <w:r w:rsidRPr="00F27422">
        <w:rPr>
          <w:rFonts w:ascii="mylotus" w:hAnsi="mylotus"/>
          <w:b/>
          <w:bCs/>
          <w:sz w:val="32"/>
          <w:rtl/>
        </w:rPr>
        <w:t xml:space="preserve"> </w:t>
      </w:r>
      <w:r w:rsidRPr="00F27422">
        <w:rPr>
          <w:rFonts w:ascii="mylotus" w:hAnsi="mylotus" w:hint="cs"/>
          <w:b/>
          <w:bCs/>
          <w:sz w:val="32"/>
          <w:rtl/>
        </w:rPr>
        <w:t>ليومها</w:t>
      </w:r>
      <w:r w:rsidRPr="00F27422">
        <w:rPr>
          <w:rFonts w:ascii="mylotus" w:hAnsi="mylotus"/>
          <w:b/>
          <w:bCs/>
          <w:sz w:val="32"/>
          <w:rtl/>
        </w:rPr>
        <w:t xml:space="preserve"> </w:t>
      </w:r>
      <w:r w:rsidRPr="00F27422">
        <w:rPr>
          <w:rFonts w:ascii="mylotus" w:hAnsi="mylotus" w:hint="cs"/>
          <w:b/>
          <w:bCs/>
          <w:sz w:val="32"/>
          <w:rtl/>
        </w:rPr>
        <w:t>كبطّيخة</w:t>
      </w:r>
      <w:r w:rsidRPr="00F27422">
        <w:rPr>
          <w:rFonts w:ascii="mylotus" w:hAnsi="mylotus"/>
          <w:b/>
          <w:bCs/>
          <w:sz w:val="32"/>
          <w:rtl/>
        </w:rPr>
        <w:t xml:space="preserve"> </w:t>
      </w:r>
      <w:r w:rsidRPr="00F27422">
        <w:rPr>
          <w:rFonts w:ascii="mylotus" w:hAnsi="mylotus" w:hint="cs"/>
          <w:b/>
          <w:bCs/>
          <w:sz w:val="32"/>
          <w:rtl/>
        </w:rPr>
        <w:t>ونحوها</w:t>
      </w:r>
      <w:r w:rsidRPr="00F27422">
        <w:rPr>
          <w:rFonts w:ascii="mylotus" w:hAnsi="mylotus"/>
          <w:b/>
          <w:bCs/>
          <w:sz w:val="32"/>
          <w:rtl/>
        </w:rPr>
        <w:t xml:space="preserve"> </w:t>
      </w:r>
      <w:r w:rsidRPr="00F27422">
        <w:rPr>
          <w:rFonts w:ascii="mylotus" w:hAnsi="mylotus" w:hint="cs"/>
          <w:b/>
          <w:bCs/>
          <w:sz w:val="32"/>
          <w:rtl/>
        </w:rPr>
        <w:t>م</w:t>
      </w:r>
      <w:r w:rsidRPr="00F27422">
        <w:rPr>
          <w:rFonts w:ascii="mylotus" w:hAnsi="mylotus"/>
          <w:b/>
          <w:bCs/>
          <w:sz w:val="32"/>
          <w:rtl/>
        </w:rPr>
        <w:t>ن الخضروات وغيرها)</w:t>
      </w:r>
      <w:r w:rsidRPr="00F27422">
        <w:rPr>
          <w:rFonts w:ascii="mylotus" w:hAnsi="mylotus"/>
          <w:b/>
          <w:bCs/>
          <w:sz w:val="32"/>
        </w:rPr>
        <w:t>.</w:t>
      </w:r>
    </w:p>
    <w:p w14:paraId="66624E36"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sz w:val="32"/>
          <w:rtl/>
        </w:rPr>
        <w:t xml:space="preserve">حيثُ روى الكليني والشيخ (قدس سرهما) كما في الكافي: </w:t>
      </w:r>
      <w:r w:rsidRPr="00F27422">
        <w:rPr>
          <w:rFonts w:ascii="mylotus" w:hAnsi="mylotus"/>
          <w:b/>
          <w:bCs/>
          <w:sz w:val="32"/>
          <w:rtl/>
        </w:rPr>
        <w:t xml:space="preserve">(محمّد بن يحيى، عن محمّد بن أحمد، عن يعقوب بن يزيد، عن محمّد بن أبي حمزة أو غيره، عمَّن ذكرهُ، عن أبي </w:t>
      </w:r>
      <w:proofErr w:type="gramStart"/>
      <w:r w:rsidRPr="00F27422">
        <w:rPr>
          <w:rFonts w:ascii="mylotus" w:hAnsi="mylotus"/>
          <w:b/>
          <w:bCs/>
          <w:sz w:val="32"/>
          <w:rtl/>
        </w:rPr>
        <w:t>عبدالله</w:t>
      </w:r>
      <w:proofErr w:type="gramEnd"/>
      <w:r w:rsidRPr="00F27422">
        <w:rPr>
          <w:rFonts w:ascii="mylotus" w:hAnsi="mylotus"/>
          <w:b/>
          <w:bCs/>
          <w:sz w:val="32"/>
          <w:rtl/>
        </w:rPr>
        <w:t xml:space="preserve"> أو أبي الحسن (عليهما السلام): في الرَّجل يشتري الشَّيْءَ الَّذي يفسُدُ في يومِهِ ويَتْرُكُهُ حتَّى يأتيَهُ بالثَّمن، قال: إنْ جاءَ فيما بَيْنَهُ وبين اللَّيلِ بالثَّمن وإلّا فلا بَيْعَ لهُ)</w:t>
      </w:r>
      <w:r w:rsidRPr="00F27422">
        <w:rPr>
          <w:rStyle w:val="FootnoteReference"/>
          <w:rFonts w:ascii="mylotus" w:hAnsi="mylotus"/>
          <w:sz w:val="32"/>
          <w:rtl/>
        </w:rPr>
        <w:footnoteReference w:id="146"/>
      </w:r>
      <w:r w:rsidRPr="00F27422">
        <w:rPr>
          <w:rFonts w:ascii="mylotus" w:hAnsi="mylotus"/>
          <w:sz w:val="32"/>
          <w:rtl/>
        </w:rPr>
        <w:t>.</w:t>
      </w:r>
    </w:p>
    <w:p w14:paraId="645F6919"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sz w:val="32"/>
          <w:rtl/>
        </w:rPr>
        <w:t xml:space="preserve">والروايةُ مُرسلةٌ، وجواب الإمام (عليه السلام) ظاهر </w:t>
      </w:r>
      <w:proofErr w:type="gramStart"/>
      <w:r w:rsidRPr="00F27422">
        <w:rPr>
          <w:rFonts w:ascii="mylotus" w:hAnsi="mylotus"/>
          <w:sz w:val="32"/>
          <w:rtl/>
        </w:rPr>
        <w:t>في  أنّه</w:t>
      </w:r>
      <w:proofErr w:type="gramEnd"/>
      <w:r w:rsidRPr="00F27422">
        <w:rPr>
          <w:rFonts w:ascii="mylotus" w:hAnsi="mylotus"/>
          <w:sz w:val="32"/>
          <w:rtl/>
        </w:rPr>
        <w:t xml:space="preserve"> ليس له </w:t>
      </w:r>
      <w:proofErr w:type="gramStart"/>
      <w:r w:rsidRPr="00F27422">
        <w:rPr>
          <w:rFonts w:ascii="mylotus" w:hAnsi="mylotus"/>
          <w:sz w:val="32"/>
          <w:rtl/>
        </w:rPr>
        <w:t>الخيار</w:t>
      </w:r>
      <w:proofErr w:type="gramEnd"/>
      <w:r w:rsidRPr="00F27422">
        <w:rPr>
          <w:rFonts w:ascii="mylotus" w:hAnsi="mylotus"/>
          <w:sz w:val="32"/>
          <w:rtl/>
        </w:rPr>
        <w:t xml:space="preserve"> بل البيع ينفسخ قهراً، أي: أنّ عدم مجيئه بالثمن في الحد المتعارف للقبض موجبٌ لانفساخ البيع.</w:t>
      </w:r>
    </w:p>
    <w:p w14:paraId="3B4FCB1C"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sz w:val="32"/>
          <w:rtl/>
        </w:rPr>
        <w:t>لكن بعض الأعلام ولعل</w:t>
      </w:r>
      <w:r w:rsidRPr="00F27422">
        <w:rPr>
          <w:rFonts w:ascii="mylotus" w:hAnsi="mylotus" w:hint="cs"/>
          <w:sz w:val="32"/>
          <w:rtl/>
        </w:rPr>
        <w:t>ّ</w:t>
      </w:r>
      <w:r w:rsidRPr="00F27422">
        <w:rPr>
          <w:rFonts w:ascii="mylotus" w:hAnsi="mylotus"/>
          <w:sz w:val="32"/>
          <w:rtl/>
        </w:rPr>
        <w:t xml:space="preserve"> منهم سيد العروة </w:t>
      </w:r>
      <w:r w:rsidRPr="00F27422">
        <w:rPr>
          <w:rFonts w:ascii="mylotus" w:hAnsi="mylotus" w:hint="cs"/>
          <w:sz w:val="32"/>
          <w:rtl/>
        </w:rPr>
        <w:t xml:space="preserve">(قدس سره) </w:t>
      </w:r>
      <w:r w:rsidRPr="00F27422">
        <w:rPr>
          <w:rFonts w:ascii="mylotus" w:hAnsi="mylotus"/>
          <w:sz w:val="32"/>
          <w:rtl/>
        </w:rPr>
        <w:t>حمل النفي في</w:t>
      </w:r>
      <w:r w:rsidRPr="00F27422">
        <w:rPr>
          <w:rFonts w:ascii="mylotus" w:hAnsi="mylotus" w:hint="cs"/>
          <w:sz w:val="32"/>
          <w:rtl/>
        </w:rPr>
        <w:t xml:space="preserve"> قوله (عليه السلام): </w:t>
      </w:r>
      <w:r w:rsidRPr="00F27422">
        <w:rPr>
          <w:rFonts w:ascii="mylotus" w:hAnsi="mylotus"/>
          <w:sz w:val="32"/>
          <w:rtl/>
        </w:rPr>
        <w:t>(</w:t>
      </w:r>
      <w:r w:rsidRPr="00F27422">
        <w:rPr>
          <w:rFonts w:ascii="mylotus" w:hAnsi="mylotus"/>
          <w:b/>
          <w:bCs/>
          <w:sz w:val="32"/>
          <w:rtl/>
        </w:rPr>
        <w:t>فلا بَيْعَ لهُ</w:t>
      </w:r>
      <w:r w:rsidRPr="00F27422">
        <w:rPr>
          <w:rFonts w:ascii="mylotus" w:hAnsi="mylotus"/>
          <w:sz w:val="32"/>
          <w:rtl/>
        </w:rPr>
        <w:t>) على نفي اللزوم لا</w:t>
      </w:r>
      <w:r w:rsidRPr="00F27422">
        <w:rPr>
          <w:rFonts w:ascii="mylotus" w:hAnsi="mylotus" w:hint="cs"/>
          <w:sz w:val="32"/>
          <w:rtl/>
        </w:rPr>
        <w:t xml:space="preserve"> </w:t>
      </w:r>
      <w:r w:rsidRPr="00F27422">
        <w:rPr>
          <w:rFonts w:ascii="mylotus" w:hAnsi="mylotus"/>
          <w:sz w:val="32"/>
          <w:rtl/>
        </w:rPr>
        <w:t>نفي النفوذ، وبالتالي فإنّ مقتضى وروده في باب البيع الاقتصارُ على مورده</w:t>
      </w:r>
      <w:r w:rsidRPr="00F27422">
        <w:rPr>
          <w:rFonts w:ascii="mylotus" w:hAnsi="mylotus" w:hint="cs"/>
          <w:sz w:val="32"/>
          <w:rtl/>
        </w:rPr>
        <w:t>،</w:t>
      </w:r>
      <w:r w:rsidRPr="00F27422">
        <w:rPr>
          <w:rFonts w:ascii="mylotus" w:hAnsi="mylotus"/>
          <w:sz w:val="32"/>
          <w:rtl/>
        </w:rPr>
        <w:t xml:space="preserve"> وفي ذلك تأمل</w:t>
      </w:r>
      <w:r w:rsidRPr="00F27422">
        <w:rPr>
          <w:rFonts w:ascii="mylotus" w:hAnsi="mylotus" w:hint="cs"/>
          <w:sz w:val="32"/>
          <w:rtl/>
        </w:rPr>
        <w:t>ٌ</w:t>
      </w:r>
      <w:r w:rsidRPr="00F27422">
        <w:rPr>
          <w:rFonts w:ascii="mylotus" w:hAnsi="mylotus"/>
          <w:sz w:val="32"/>
          <w:rtl/>
        </w:rPr>
        <w:t xml:space="preserve"> واضح</w:t>
      </w:r>
      <w:r w:rsidRPr="00F27422">
        <w:rPr>
          <w:rFonts w:ascii="mylotus" w:hAnsi="mylotus" w:hint="cs"/>
          <w:sz w:val="32"/>
          <w:rtl/>
        </w:rPr>
        <w:t>ٌ.</w:t>
      </w:r>
    </w:p>
    <w:p w14:paraId="7F2FC1A4"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sz w:val="32"/>
          <w:rtl/>
        </w:rPr>
        <w:t xml:space="preserve">ثمّ قال (قدس سره): </w:t>
      </w:r>
      <w:r w:rsidRPr="00F27422">
        <w:rPr>
          <w:rFonts w:ascii="mylotus" w:hAnsi="mylotus"/>
          <w:b/>
          <w:bCs/>
          <w:sz w:val="32"/>
          <w:rtl/>
        </w:rPr>
        <w:t>(وأمّا إذا كان المستند دليل نفي الضرر كما ذكره الشيخ (قدس سره) في المكاسب</w:t>
      </w:r>
      <w:r w:rsidRPr="00F27422">
        <w:rPr>
          <w:rStyle w:val="FootnoteReference"/>
          <w:rFonts w:ascii="mylotus" w:hAnsi="mylotus"/>
          <w:sz w:val="32"/>
          <w:rtl/>
        </w:rPr>
        <w:footnoteReference w:id="147"/>
      </w:r>
      <w:r w:rsidRPr="00F27422">
        <w:rPr>
          <w:rFonts w:ascii="mylotus" w:hAnsi="mylotus" w:hint="cs"/>
          <w:b/>
          <w:bCs/>
          <w:sz w:val="32"/>
          <w:rtl/>
        </w:rPr>
        <w:t>،</w:t>
      </w:r>
      <w:r w:rsidRPr="00F27422">
        <w:rPr>
          <w:rFonts w:ascii="mylotus" w:hAnsi="mylotus"/>
          <w:b/>
          <w:bCs/>
          <w:sz w:val="32"/>
          <w:rtl/>
        </w:rPr>
        <w:t xml:space="preserve"> فحينئذٍ)</w:t>
      </w:r>
      <w:r w:rsidRPr="00F27422">
        <w:rPr>
          <w:rFonts w:ascii="mylotus" w:hAnsi="mylotus"/>
          <w:sz w:val="32"/>
          <w:rtl/>
        </w:rPr>
        <w:t xml:space="preserve"> كما يجري في البيع </w:t>
      </w:r>
      <w:r w:rsidRPr="00F27422">
        <w:rPr>
          <w:rFonts w:ascii="mylotus" w:hAnsi="mylotus"/>
          <w:b/>
          <w:bCs/>
          <w:sz w:val="32"/>
          <w:rtl/>
        </w:rPr>
        <w:t>(يجري في الإجارة أيضاً)</w:t>
      </w:r>
      <w:r w:rsidRPr="00F27422">
        <w:rPr>
          <w:rFonts w:ascii="mylotus" w:hAnsi="mylotus"/>
          <w:b/>
          <w:bCs/>
          <w:sz w:val="32"/>
        </w:rPr>
        <w:t>.</w:t>
      </w:r>
    </w:p>
    <w:p w14:paraId="6624B3ED"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sz w:val="32"/>
          <w:rtl/>
        </w:rPr>
        <w:t>وتقريب ذلك يبتني على قاعدةٍ في رتبة</w:t>
      </w:r>
      <w:r w:rsidRPr="00F27422">
        <w:rPr>
          <w:rFonts w:ascii="mylotus" w:hAnsi="mylotus" w:hint="cs"/>
          <w:sz w:val="32"/>
          <w:rtl/>
        </w:rPr>
        <w:t>ٍ</w:t>
      </w:r>
      <w:r w:rsidRPr="00F27422">
        <w:rPr>
          <w:rFonts w:ascii="mylotus" w:hAnsi="mylotus"/>
          <w:sz w:val="32"/>
          <w:rtl/>
        </w:rPr>
        <w:t xml:space="preserve"> سابقةٍ وهي: هل أنّ تلّف المعوض أو العوض قَبل قبضه مِن مال مَن اِنتقل عنه أو مِن مال مَن اِنتقل إليه؟</w:t>
      </w:r>
    </w:p>
    <w:p w14:paraId="291774F9"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sz w:val="32"/>
          <w:rtl/>
        </w:rPr>
        <w:t>فإذا قُلنا بالأوّل كان ذلك في المقام محق</w:t>
      </w:r>
      <w:r w:rsidRPr="00F27422">
        <w:rPr>
          <w:rFonts w:ascii="mylotus" w:hAnsi="mylotus" w:hint="cs"/>
          <w:sz w:val="32"/>
          <w:rtl/>
        </w:rPr>
        <w:t>ّ</w:t>
      </w:r>
      <w:r w:rsidRPr="00F27422">
        <w:rPr>
          <w:rFonts w:ascii="mylotus" w:hAnsi="mylotus"/>
          <w:sz w:val="32"/>
          <w:rtl/>
        </w:rPr>
        <w:t>قا</w:t>
      </w:r>
      <w:r w:rsidRPr="00F27422">
        <w:rPr>
          <w:rFonts w:ascii="mylotus" w:hAnsi="mylotus" w:hint="cs"/>
          <w:sz w:val="32"/>
          <w:rtl/>
        </w:rPr>
        <w:t>ً</w:t>
      </w:r>
      <w:r w:rsidRPr="00F27422">
        <w:rPr>
          <w:rFonts w:ascii="mylotus" w:hAnsi="mylotus"/>
          <w:sz w:val="32"/>
          <w:rtl/>
        </w:rPr>
        <w:t xml:space="preserve"> لموضوع قاعدة </w:t>
      </w:r>
      <w:r w:rsidRPr="00F27422">
        <w:rPr>
          <w:rFonts w:ascii="mylotus" w:hAnsi="mylotus" w:cs="Cambria" w:hint="cs"/>
          <w:sz w:val="32"/>
          <w:rtl/>
        </w:rPr>
        <w:t>"</w:t>
      </w:r>
      <w:r w:rsidRPr="00F27422">
        <w:rPr>
          <w:rFonts w:ascii="mylotus" w:hAnsi="mylotus"/>
          <w:sz w:val="32"/>
          <w:rtl/>
        </w:rPr>
        <w:t>لا</w:t>
      </w:r>
      <w:r w:rsidRPr="00F27422">
        <w:rPr>
          <w:rFonts w:ascii="mylotus" w:hAnsi="mylotus" w:hint="cs"/>
          <w:sz w:val="32"/>
          <w:rtl/>
        </w:rPr>
        <w:t xml:space="preserve"> </w:t>
      </w:r>
      <w:r w:rsidRPr="00F27422">
        <w:rPr>
          <w:rFonts w:ascii="mylotus" w:hAnsi="mylotus"/>
          <w:sz w:val="32"/>
          <w:rtl/>
        </w:rPr>
        <w:t>ضرر</w:t>
      </w:r>
      <w:r w:rsidRPr="00F27422">
        <w:rPr>
          <w:rFonts w:ascii="mylotus" w:hAnsi="mylotus" w:cs="Cambria" w:hint="cs"/>
          <w:sz w:val="32"/>
          <w:rtl/>
        </w:rPr>
        <w:t>"</w:t>
      </w:r>
      <w:r w:rsidRPr="00F27422">
        <w:rPr>
          <w:rFonts w:ascii="mylotus" w:hAnsi="mylotus"/>
          <w:sz w:val="32"/>
          <w:rtl/>
        </w:rPr>
        <w:t>، وتوضيحه</w:t>
      </w:r>
      <w:r w:rsidRPr="00F27422">
        <w:rPr>
          <w:rFonts w:ascii="mylotus" w:hAnsi="mylotus" w:hint="cs"/>
          <w:sz w:val="32"/>
          <w:rtl/>
        </w:rPr>
        <w:t>ُ</w:t>
      </w:r>
      <w:r w:rsidRPr="00F27422">
        <w:rPr>
          <w:rFonts w:ascii="mylotus" w:hAnsi="mylotus"/>
          <w:sz w:val="32"/>
          <w:rtl/>
        </w:rPr>
        <w:t xml:space="preserve"> كما أفاد سيدنا (قدس سره) بقوله: </w:t>
      </w:r>
      <w:r w:rsidRPr="00F27422">
        <w:rPr>
          <w:rFonts w:ascii="mylotus" w:hAnsi="mylotus"/>
          <w:b/>
          <w:bCs/>
          <w:sz w:val="32"/>
          <w:rtl/>
        </w:rPr>
        <w:t xml:space="preserve">(وأمّا إذا كان المستند دليل نفي الضرر كما ذكره الشيخ (قدس سره) في المكاسب، فحينئذٍ يجري في الإجارة أيضاً، بناءً على القول بعدم اختصاص قاعدة التلف قبل القبض بالبيع) </w:t>
      </w:r>
      <w:r w:rsidRPr="00F27422">
        <w:rPr>
          <w:rFonts w:ascii="mylotus" w:hAnsi="mylotus"/>
          <w:sz w:val="32"/>
          <w:rtl/>
        </w:rPr>
        <w:t>سواء</w:t>
      </w:r>
      <w:r w:rsidRPr="00F27422">
        <w:rPr>
          <w:rFonts w:ascii="mylotus" w:hAnsi="mylotus" w:hint="cs"/>
          <w:sz w:val="32"/>
          <w:rtl/>
        </w:rPr>
        <w:t>ً</w:t>
      </w:r>
      <w:r w:rsidRPr="00F27422">
        <w:rPr>
          <w:rFonts w:ascii="mylotus" w:hAnsi="mylotus"/>
          <w:sz w:val="32"/>
          <w:rtl/>
        </w:rPr>
        <w:t xml:space="preserve"> كان تلّف المعوض أو</w:t>
      </w:r>
      <w:r w:rsidRPr="00F27422">
        <w:rPr>
          <w:rFonts w:ascii="mylotus" w:hAnsi="mylotus" w:hint="cs"/>
          <w:sz w:val="32"/>
          <w:rtl/>
        </w:rPr>
        <w:t xml:space="preserve"> </w:t>
      </w:r>
      <w:r w:rsidRPr="00F27422">
        <w:rPr>
          <w:rFonts w:ascii="mylotus" w:hAnsi="mylotus"/>
          <w:sz w:val="32"/>
          <w:rtl/>
        </w:rPr>
        <w:t xml:space="preserve">تلّف العوض بيعاً أو إجارة </w:t>
      </w:r>
      <w:r w:rsidRPr="00F27422">
        <w:rPr>
          <w:rFonts w:ascii="mylotus" w:hAnsi="mylotus"/>
          <w:b/>
          <w:bCs/>
          <w:sz w:val="32"/>
          <w:rtl/>
        </w:rPr>
        <w:t xml:space="preserve">(بدعوى أنّ </w:t>
      </w:r>
      <w:r w:rsidRPr="00F27422">
        <w:rPr>
          <w:rFonts w:ascii="mylotus" w:hAnsi="mylotus"/>
          <w:b/>
          <w:bCs/>
          <w:sz w:val="32"/>
          <w:rtl/>
        </w:rPr>
        <w:lastRenderedPageBreak/>
        <w:t>موردها وإن كان هو البيع إلّا أنّه لا خصوصيّة له، بل تطّرد في كلّ ما يوجب انتقال المال، فإنّ متمّم التمليك هو القبض والتسليم الخارجي، فما لم يقبض يكون ضمانه على من عنده المال).</w:t>
      </w:r>
      <w:r w:rsidRPr="00F27422">
        <w:rPr>
          <w:rFonts w:ascii="mylotus" w:hAnsi="mylotus"/>
          <w:sz w:val="32"/>
          <w:rtl/>
        </w:rPr>
        <w:t xml:space="preserve"> أي: على مَن اِنتقل عنه</w:t>
      </w:r>
      <w:r w:rsidRPr="00F27422">
        <w:rPr>
          <w:rFonts w:ascii="mylotus" w:hAnsi="mylotus"/>
          <w:sz w:val="32"/>
        </w:rPr>
        <w:t>.</w:t>
      </w:r>
    </w:p>
    <w:p w14:paraId="03EF4130"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b/>
          <w:bCs/>
          <w:sz w:val="32"/>
          <w:rtl/>
        </w:rPr>
        <w:t>(فإنّ هذا المبنى وإن كان محلّ كلام وإشكال)</w:t>
      </w:r>
      <w:r w:rsidRPr="00F27422">
        <w:rPr>
          <w:rFonts w:ascii="mylotus" w:hAnsi="mylotus"/>
          <w:sz w:val="32"/>
          <w:rtl/>
        </w:rPr>
        <w:t xml:space="preserve"> في محلّه في باب البيع </w:t>
      </w:r>
      <w:r w:rsidRPr="00F27422">
        <w:rPr>
          <w:rFonts w:ascii="mylotus" w:hAnsi="mylotus"/>
          <w:b/>
          <w:bCs/>
          <w:sz w:val="32"/>
          <w:rtl/>
        </w:rPr>
        <w:t xml:space="preserve">(إلّا أنه بناءً عليه يثبت الخيار في المقام أيضاً، نظراً إلى نشوء الضرر حينئذٍ من لزوم العقد لا من أصله كما في خيار الغبن، فلو استأجر الدابّة ببطّيخة شخصيّة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مثلاً</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وقد</w:t>
      </w:r>
      <w:r w:rsidRPr="00F27422">
        <w:rPr>
          <w:rFonts w:ascii="mylotus" w:hAnsi="mylotus"/>
          <w:b/>
          <w:bCs/>
          <w:sz w:val="32"/>
          <w:rtl/>
        </w:rPr>
        <w:t xml:space="preserve"> </w:t>
      </w:r>
      <w:r w:rsidRPr="00F27422">
        <w:rPr>
          <w:rFonts w:ascii="mylotus" w:hAnsi="mylotus" w:hint="cs"/>
          <w:b/>
          <w:bCs/>
          <w:sz w:val="32"/>
          <w:rtl/>
        </w:rPr>
        <w:t>بقيت</w:t>
      </w:r>
      <w:r w:rsidRPr="00F27422">
        <w:rPr>
          <w:rFonts w:ascii="mylotus" w:hAnsi="mylotus"/>
          <w:b/>
          <w:bCs/>
          <w:sz w:val="32"/>
          <w:rtl/>
        </w:rPr>
        <w:t xml:space="preserve"> </w:t>
      </w:r>
      <w:r w:rsidRPr="00F27422">
        <w:rPr>
          <w:rFonts w:ascii="mylotus" w:hAnsi="mylotus" w:hint="cs"/>
          <w:b/>
          <w:bCs/>
          <w:sz w:val="32"/>
          <w:rtl/>
        </w:rPr>
        <w:t>عنده</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عند</w:t>
      </w:r>
      <w:r w:rsidRPr="00F27422">
        <w:rPr>
          <w:rFonts w:ascii="mylotus" w:hAnsi="mylotus"/>
          <w:sz w:val="32"/>
          <w:rtl/>
        </w:rPr>
        <w:t xml:space="preserve"> </w:t>
      </w:r>
      <w:r w:rsidRPr="00F27422">
        <w:rPr>
          <w:rFonts w:ascii="mylotus" w:hAnsi="mylotus" w:hint="cs"/>
          <w:sz w:val="32"/>
          <w:rtl/>
        </w:rPr>
        <w:t>المُستأجر</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الليل</w:t>
      </w:r>
      <w:r w:rsidRPr="00F27422">
        <w:rPr>
          <w:rFonts w:ascii="mylotus" w:hAnsi="mylotus"/>
          <w:b/>
          <w:bCs/>
          <w:sz w:val="32"/>
          <w:rtl/>
        </w:rPr>
        <w:t xml:space="preserve"> </w:t>
      </w:r>
      <w:r w:rsidRPr="00F27422">
        <w:rPr>
          <w:rFonts w:ascii="mylotus" w:hAnsi="mylotus" w:hint="cs"/>
          <w:b/>
          <w:bCs/>
          <w:sz w:val="32"/>
          <w:rtl/>
        </w:rPr>
        <w:t>ولم</w:t>
      </w:r>
      <w:r w:rsidRPr="00F27422">
        <w:rPr>
          <w:rFonts w:ascii="mylotus" w:hAnsi="mylotus"/>
          <w:b/>
          <w:bCs/>
          <w:sz w:val="32"/>
          <w:rtl/>
        </w:rPr>
        <w:t xml:space="preserve"> </w:t>
      </w:r>
      <w:r w:rsidRPr="00F27422">
        <w:rPr>
          <w:rFonts w:ascii="mylotus" w:hAnsi="mylotus" w:hint="cs"/>
          <w:b/>
          <w:bCs/>
          <w:sz w:val="32"/>
          <w:rtl/>
        </w:rPr>
        <w:t>يجيء</w:t>
      </w:r>
      <w:r w:rsidRPr="00F27422">
        <w:rPr>
          <w:rFonts w:ascii="mylotus" w:hAnsi="mylotus"/>
          <w:b/>
          <w:bCs/>
          <w:sz w:val="32"/>
          <w:rtl/>
        </w:rPr>
        <w:t xml:space="preserve"> </w:t>
      </w:r>
      <w:r w:rsidRPr="00F27422">
        <w:rPr>
          <w:rFonts w:ascii="mylotus" w:hAnsi="mylotus" w:hint="cs"/>
          <w:b/>
          <w:bCs/>
          <w:sz w:val="32"/>
          <w:rtl/>
        </w:rPr>
        <w:t>المؤجّر</w:t>
      </w:r>
      <w:r w:rsidRPr="00F27422">
        <w:rPr>
          <w:rFonts w:ascii="mylotus" w:hAnsi="mylotus"/>
          <w:b/>
          <w:bCs/>
          <w:sz w:val="32"/>
          <w:rtl/>
        </w:rPr>
        <w:t xml:space="preserve"> </w:t>
      </w:r>
      <w:r w:rsidRPr="00F27422">
        <w:rPr>
          <w:rFonts w:ascii="mylotus" w:hAnsi="mylotus" w:hint="cs"/>
          <w:b/>
          <w:bCs/>
          <w:sz w:val="32"/>
          <w:rtl/>
        </w:rPr>
        <w:t>ليتسلّمها،</w:t>
      </w:r>
      <w:r w:rsidRPr="00F27422">
        <w:rPr>
          <w:rFonts w:ascii="mylotus" w:hAnsi="mylotus"/>
          <w:b/>
          <w:bCs/>
          <w:sz w:val="32"/>
          <w:rtl/>
        </w:rPr>
        <w:t xml:space="preserve"> </w:t>
      </w:r>
      <w:r w:rsidRPr="00F27422">
        <w:rPr>
          <w:rFonts w:ascii="mylotus" w:hAnsi="mylotus" w:hint="cs"/>
          <w:b/>
          <w:bCs/>
          <w:sz w:val="32"/>
          <w:rtl/>
        </w:rPr>
        <w:t>فبما</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تلفها</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أي</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المستأجر</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حسب</w:t>
      </w:r>
      <w:r w:rsidRPr="00F27422">
        <w:rPr>
          <w:rFonts w:ascii="mylotus" w:hAnsi="mylotus"/>
          <w:b/>
          <w:bCs/>
          <w:sz w:val="32"/>
          <w:rtl/>
        </w:rPr>
        <w:t xml:space="preserve"> </w:t>
      </w:r>
      <w:r w:rsidRPr="00F27422">
        <w:rPr>
          <w:rFonts w:ascii="mylotus" w:hAnsi="mylotus" w:hint="cs"/>
          <w:b/>
          <w:bCs/>
          <w:sz w:val="32"/>
          <w:rtl/>
        </w:rPr>
        <w:t>الفرض</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بحسب</w:t>
      </w:r>
      <w:r w:rsidRPr="00F27422">
        <w:rPr>
          <w:rFonts w:ascii="mylotus" w:hAnsi="mylotus"/>
          <w:sz w:val="32"/>
          <w:rtl/>
        </w:rPr>
        <w:t xml:space="preserve"> </w:t>
      </w:r>
      <w:r w:rsidRPr="00F27422">
        <w:rPr>
          <w:rFonts w:ascii="mylotus" w:hAnsi="mylotus" w:hint="cs"/>
          <w:sz w:val="32"/>
          <w:rtl/>
        </w:rPr>
        <w:t>القاعدة</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وقد</w:t>
      </w:r>
      <w:r w:rsidRPr="00F27422">
        <w:rPr>
          <w:rFonts w:ascii="mylotus" w:hAnsi="mylotus"/>
          <w:b/>
          <w:bCs/>
          <w:sz w:val="32"/>
          <w:rtl/>
        </w:rPr>
        <w:t xml:space="preserve"> </w:t>
      </w:r>
      <w:r w:rsidRPr="00F27422">
        <w:rPr>
          <w:rFonts w:ascii="mylotus" w:hAnsi="mylotus" w:hint="cs"/>
          <w:b/>
          <w:bCs/>
          <w:sz w:val="32"/>
          <w:rtl/>
        </w:rPr>
        <w:t>نشأ</w:t>
      </w:r>
      <w:r w:rsidRPr="00F27422">
        <w:rPr>
          <w:rFonts w:ascii="mylotus" w:hAnsi="mylotus"/>
          <w:b/>
          <w:bCs/>
          <w:sz w:val="32"/>
          <w:rtl/>
        </w:rPr>
        <w:t xml:space="preserve"> </w:t>
      </w:r>
      <w:r w:rsidRPr="00F27422">
        <w:rPr>
          <w:rFonts w:ascii="mylotus" w:hAnsi="mylotus" w:hint="cs"/>
          <w:b/>
          <w:bCs/>
          <w:sz w:val="32"/>
          <w:rtl/>
        </w:rPr>
        <w:t>هذا</w:t>
      </w:r>
      <w:r w:rsidRPr="00F27422">
        <w:rPr>
          <w:rFonts w:ascii="mylotus" w:hAnsi="mylotus"/>
          <w:b/>
          <w:bCs/>
          <w:sz w:val="32"/>
          <w:rtl/>
        </w:rPr>
        <w:t xml:space="preserve"> </w:t>
      </w:r>
      <w:r w:rsidRPr="00F27422">
        <w:rPr>
          <w:rFonts w:ascii="mylotus" w:hAnsi="mylotus" w:hint="cs"/>
          <w:b/>
          <w:bCs/>
          <w:sz w:val="32"/>
          <w:rtl/>
        </w:rPr>
        <w:t>الضرر</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لزوم</w:t>
      </w:r>
      <w:r w:rsidRPr="00F27422">
        <w:rPr>
          <w:rFonts w:ascii="mylotus" w:hAnsi="mylotus"/>
          <w:b/>
          <w:bCs/>
          <w:sz w:val="32"/>
          <w:rtl/>
        </w:rPr>
        <w:t xml:space="preserve"> </w:t>
      </w:r>
      <w:r w:rsidRPr="00F27422">
        <w:rPr>
          <w:rFonts w:ascii="mylotus" w:hAnsi="mylotus" w:hint="cs"/>
          <w:b/>
          <w:bCs/>
          <w:sz w:val="32"/>
          <w:rtl/>
        </w:rPr>
        <w:t>العقد</w:t>
      </w:r>
      <w:r w:rsidRPr="00F27422">
        <w:rPr>
          <w:rFonts w:ascii="mylotus" w:hAnsi="mylotus"/>
          <w:b/>
          <w:bCs/>
          <w:sz w:val="32"/>
          <w:rtl/>
        </w:rPr>
        <w:t xml:space="preserve"> </w:t>
      </w:r>
      <w:r w:rsidRPr="00F27422">
        <w:rPr>
          <w:rFonts w:ascii="mylotus" w:hAnsi="mylotus" w:hint="cs"/>
          <w:b/>
          <w:bCs/>
          <w:sz w:val="32"/>
          <w:rtl/>
        </w:rPr>
        <w:t>فيرتفع</w:t>
      </w:r>
      <w:r w:rsidRPr="00F27422">
        <w:rPr>
          <w:rFonts w:ascii="mylotus" w:hAnsi="mylotus"/>
          <w:b/>
          <w:bCs/>
          <w:sz w:val="32"/>
          <w:rtl/>
        </w:rPr>
        <w:t xml:space="preserve"> </w:t>
      </w:r>
      <w:r w:rsidRPr="00F27422">
        <w:rPr>
          <w:rFonts w:ascii="mylotus" w:hAnsi="mylotus" w:hint="cs"/>
          <w:b/>
          <w:bCs/>
          <w:sz w:val="32"/>
          <w:rtl/>
        </w:rPr>
        <w:t>بدليل</w:t>
      </w:r>
      <w:r w:rsidRPr="00F27422">
        <w:rPr>
          <w:rFonts w:ascii="mylotus" w:hAnsi="mylotus"/>
          <w:b/>
          <w:bCs/>
          <w:sz w:val="32"/>
          <w:rtl/>
        </w:rPr>
        <w:t xml:space="preserve"> </w:t>
      </w:r>
      <w:r w:rsidRPr="00F27422">
        <w:rPr>
          <w:rFonts w:ascii="mylotus" w:hAnsi="mylotus" w:hint="cs"/>
          <w:b/>
          <w:bCs/>
          <w:sz w:val="32"/>
          <w:rtl/>
        </w:rPr>
        <w:t>نفي</w:t>
      </w:r>
      <w:r w:rsidRPr="00F27422">
        <w:rPr>
          <w:rFonts w:ascii="mylotus" w:hAnsi="mylotus"/>
          <w:b/>
          <w:bCs/>
          <w:sz w:val="32"/>
          <w:rtl/>
        </w:rPr>
        <w:t xml:space="preserve"> </w:t>
      </w:r>
      <w:r w:rsidRPr="00F27422">
        <w:rPr>
          <w:rFonts w:ascii="mylotus" w:hAnsi="mylotus" w:hint="cs"/>
          <w:b/>
          <w:bCs/>
          <w:sz w:val="32"/>
          <w:rtl/>
        </w:rPr>
        <w:t>الضرر،</w:t>
      </w:r>
      <w:r w:rsidRPr="00F27422">
        <w:rPr>
          <w:rFonts w:ascii="mylotus" w:hAnsi="mylotus"/>
          <w:b/>
          <w:bCs/>
          <w:sz w:val="32"/>
          <w:rtl/>
        </w:rPr>
        <w:t xml:space="preserve"> </w:t>
      </w:r>
      <w:r w:rsidRPr="00F27422">
        <w:rPr>
          <w:rFonts w:ascii="mylotus" w:hAnsi="mylotus" w:hint="cs"/>
          <w:b/>
          <w:bCs/>
          <w:sz w:val="32"/>
          <w:rtl/>
        </w:rPr>
        <w:t>ونتيجته</w:t>
      </w:r>
      <w:r w:rsidRPr="00F27422">
        <w:rPr>
          <w:rFonts w:ascii="mylotus" w:hAnsi="mylotus"/>
          <w:b/>
          <w:bCs/>
          <w:sz w:val="32"/>
          <w:rtl/>
        </w:rPr>
        <w:t xml:space="preserve"> </w:t>
      </w:r>
      <w:r w:rsidRPr="00F27422">
        <w:rPr>
          <w:rFonts w:ascii="mylotus" w:hAnsi="mylotus" w:hint="cs"/>
          <w:b/>
          <w:bCs/>
          <w:sz w:val="32"/>
          <w:rtl/>
        </w:rPr>
        <w:t>ثبوت</w:t>
      </w:r>
      <w:r w:rsidRPr="00F27422">
        <w:rPr>
          <w:rFonts w:ascii="mylotus" w:hAnsi="mylotus"/>
          <w:b/>
          <w:bCs/>
          <w:sz w:val="32"/>
          <w:rtl/>
        </w:rPr>
        <w:t xml:space="preserve"> </w:t>
      </w:r>
      <w:r w:rsidRPr="00F27422">
        <w:rPr>
          <w:rFonts w:ascii="mylotus" w:hAnsi="mylotus" w:hint="cs"/>
          <w:b/>
          <w:bCs/>
          <w:sz w:val="32"/>
          <w:rtl/>
        </w:rPr>
        <w:t>الخيار</w:t>
      </w:r>
      <w:r w:rsidRPr="00F27422">
        <w:rPr>
          <w:rFonts w:ascii="mylotus" w:hAnsi="mylotus"/>
          <w:b/>
          <w:bCs/>
          <w:sz w:val="32"/>
          <w:rtl/>
        </w:rPr>
        <w:t xml:space="preserve"> </w:t>
      </w:r>
      <w:r w:rsidRPr="00F27422">
        <w:rPr>
          <w:rFonts w:ascii="mylotus" w:hAnsi="mylotus" w:hint="cs"/>
          <w:b/>
          <w:bCs/>
          <w:sz w:val="32"/>
          <w:rtl/>
        </w:rPr>
        <w:t>كما</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البيع</w:t>
      </w:r>
      <w:r w:rsidRPr="00F27422">
        <w:rPr>
          <w:rFonts w:ascii="mylotus" w:hAnsi="mylotus"/>
          <w:b/>
          <w:bCs/>
          <w:sz w:val="32"/>
          <w:rtl/>
        </w:rPr>
        <w:t xml:space="preserve"> </w:t>
      </w:r>
      <w:r w:rsidRPr="00F27422">
        <w:rPr>
          <w:rFonts w:ascii="mylotus" w:hAnsi="mylotus" w:hint="cs"/>
          <w:b/>
          <w:bCs/>
          <w:sz w:val="32"/>
          <w:rtl/>
        </w:rPr>
        <w:t>بمناط</w:t>
      </w:r>
      <w:r w:rsidRPr="00F27422">
        <w:rPr>
          <w:rFonts w:ascii="mylotus" w:hAnsi="mylotus"/>
          <w:b/>
          <w:bCs/>
          <w:sz w:val="32"/>
          <w:rtl/>
        </w:rPr>
        <w:t xml:space="preserve"> </w:t>
      </w:r>
      <w:r w:rsidRPr="00F27422">
        <w:rPr>
          <w:rFonts w:ascii="mylotus" w:hAnsi="mylotus" w:hint="cs"/>
          <w:b/>
          <w:bCs/>
          <w:sz w:val="32"/>
          <w:rtl/>
        </w:rPr>
        <w:t>واحد</w:t>
      </w:r>
      <w:r w:rsidRPr="00F27422">
        <w:rPr>
          <w:rFonts w:ascii="mylotus" w:hAnsi="mylotus"/>
          <w:b/>
          <w:bCs/>
          <w:sz w:val="32"/>
          <w:rtl/>
        </w:rPr>
        <w:t>)</w:t>
      </w:r>
      <w:r w:rsidRPr="00F27422">
        <w:rPr>
          <w:rFonts w:ascii="mylotus" w:hAnsi="mylotus"/>
          <w:b/>
          <w:bCs/>
          <w:sz w:val="32"/>
        </w:rPr>
        <w:t>.</w:t>
      </w:r>
    </w:p>
    <w:p w14:paraId="0CA481EB"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sz w:val="32"/>
          <w:rtl/>
        </w:rPr>
        <w:t>وبالرجوع إلى ما ذكره سيدنا الخوئي (قدس سره الشريف) في التنقيح في كتاب الخيارات من موسوعته المباركة</w:t>
      </w:r>
      <w:r w:rsidRPr="00F27422">
        <w:rPr>
          <w:rStyle w:val="FootnoteReference"/>
          <w:rFonts w:ascii="mylotus" w:hAnsi="mylotus"/>
          <w:sz w:val="32"/>
          <w:rtl/>
        </w:rPr>
        <w:footnoteReference w:id="148"/>
      </w:r>
      <w:r w:rsidRPr="00F27422">
        <w:rPr>
          <w:rFonts w:ascii="mylotus" w:hAnsi="mylotus"/>
          <w:sz w:val="32"/>
          <w:rtl/>
        </w:rPr>
        <w:t xml:space="preserve"> </w:t>
      </w:r>
      <w:r w:rsidRPr="00F27422">
        <w:rPr>
          <w:rFonts w:ascii="mylotus" w:hAnsi="mylotus" w:hint="cs"/>
          <w:sz w:val="32"/>
          <w:rtl/>
        </w:rPr>
        <w:t>يقع</w:t>
      </w:r>
      <w:r w:rsidRPr="00F27422">
        <w:rPr>
          <w:rFonts w:ascii="mylotus" w:hAnsi="mylotus"/>
          <w:sz w:val="32"/>
          <w:rtl/>
        </w:rPr>
        <w:t xml:space="preserve"> </w:t>
      </w:r>
      <w:r w:rsidRPr="00F27422">
        <w:rPr>
          <w:rFonts w:ascii="mylotus" w:hAnsi="mylotus" w:hint="cs"/>
          <w:sz w:val="32"/>
          <w:rtl/>
        </w:rPr>
        <w:t>البحُث</w:t>
      </w:r>
      <w:r w:rsidRPr="00F27422">
        <w:rPr>
          <w:rFonts w:ascii="mylotus" w:hAnsi="mylotus"/>
          <w:sz w:val="32"/>
          <w:rtl/>
        </w:rPr>
        <w:t xml:space="preserve"> </w:t>
      </w:r>
      <w:r w:rsidRPr="00F27422">
        <w:rPr>
          <w:rFonts w:ascii="mylotus" w:hAnsi="mylotus" w:hint="cs"/>
          <w:sz w:val="32"/>
          <w:rtl/>
        </w:rPr>
        <w:t>معه</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جهتين</w:t>
      </w:r>
      <w:r w:rsidRPr="00F27422">
        <w:rPr>
          <w:rFonts w:ascii="mylotus" w:hAnsi="mylotus"/>
          <w:sz w:val="32"/>
        </w:rPr>
        <w:t>:</w:t>
      </w:r>
    </w:p>
    <w:p w14:paraId="1E18BFAF"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b/>
          <w:bCs/>
          <w:sz w:val="32"/>
          <w:rtl/>
        </w:rPr>
        <w:t>الجهةُ الأُولى:</w:t>
      </w:r>
      <w:r w:rsidRPr="00F27422">
        <w:rPr>
          <w:rFonts w:ascii="mylotus" w:hAnsi="mylotus"/>
          <w:sz w:val="32"/>
          <w:rtl/>
        </w:rPr>
        <w:t xml:space="preserve"> أصلُ القاعدة، وهي: تلّف المبيع قَبل قبضه مِن مال بائعه، هل هذه القاعدة تامة كي يتعدى لباب الإجارة أم لا؟</w:t>
      </w:r>
    </w:p>
    <w:p w14:paraId="367E4F9A"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b/>
          <w:bCs/>
          <w:sz w:val="32"/>
          <w:rtl/>
        </w:rPr>
        <w:t>الجهةُ الثانية:</w:t>
      </w:r>
      <w:r w:rsidRPr="00F27422">
        <w:rPr>
          <w:rFonts w:ascii="mylotus" w:hAnsi="mylotus"/>
          <w:sz w:val="32"/>
          <w:rtl/>
        </w:rPr>
        <w:t xml:space="preserve"> على فرض ثبوت القاعدة، هل التمسك بقاعدة "لا ضرر" في المقام يُجدي في ثبوت الخيار للمُؤجّر أو المُستأجر - عند ورود الضرر على أيٍّ منهما -؟</w:t>
      </w:r>
    </w:p>
    <w:p w14:paraId="26C0952C"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b/>
          <w:bCs/>
          <w:sz w:val="32"/>
          <w:rtl/>
        </w:rPr>
        <w:t>أمّا الجهةُ الأولى</w:t>
      </w:r>
      <w:r w:rsidRPr="00F27422">
        <w:rPr>
          <w:rFonts w:ascii="mylotus" w:hAnsi="mylotus"/>
          <w:b/>
          <w:bCs/>
          <w:sz w:val="32"/>
        </w:rPr>
        <w:t>:</w:t>
      </w:r>
    </w:p>
    <w:p w14:paraId="452784BD"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sz w:val="32"/>
          <w:rtl/>
        </w:rPr>
        <w:t xml:space="preserve">قد أفاد (قدس سره) بقوله: </w:t>
      </w:r>
      <w:r w:rsidRPr="00F27422">
        <w:rPr>
          <w:rFonts w:ascii="mylotus" w:hAnsi="mylotus"/>
          <w:b/>
          <w:bCs/>
          <w:sz w:val="32"/>
          <w:rtl/>
        </w:rPr>
        <w:t>(الجهة الاُولى: في مدرك هذه القاعدة وأنّ المبيع مع أنه ملك المشتري كيف يكون ضمانه ودركه على بائعه فيما إذا تلف قبل قبضه وأنه يوجب انفساخ المعاملة وأنّ مدرك ذلك أي شيء، وهذه القاعدة مسلّمة عند الأصحاب، بل يظهر من كلمات شيخنا الأنصاري (قدّس سرّه) أنّها ممّا لا خلاف فيه عند العامة أيضاً، فعليه فالقاعدة متسالم عليها بين المسلمين، وإنما الكلام في مدركها</w:t>
      </w:r>
      <w:r w:rsidRPr="00F27422">
        <w:rPr>
          <w:rFonts w:ascii="mylotus" w:hAnsi="mylotus"/>
          <w:b/>
          <w:bCs/>
          <w:sz w:val="32"/>
        </w:rPr>
        <w:t>.</w:t>
      </w:r>
    </w:p>
    <w:p w14:paraId="181C12A4"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b/>
          <w:bCs/>
          <w:sz w:val="32"/>
          <w:rtl/>
        </w:rPr>
        <w:t xml:space="preserve">وما يحتمل أن يستند إليه) </w:t>
      </w:r>
      <w:r w:rsidRPr="00F27422">
        <w:rPr>
          <w:rFonts w:ascii="mylotus" w:hAnsi="mylotus"/>
          <w:sz w:val="32"/>
          <w:rtl/>
        </w:rPr>
        <w:t xml:space="preserve">كمدرك </w:t>
      </w:r>
      <w:r w:rsidRPr="00F27422">
        <w:rPr>
          <w:rFonts w:ascii="mylotus" w:hAnsi="mylotus"/>
          <w:b/>
          <w:bCs/>
          <w:sz w:val="32"/>
          <w:rtl/>
        </w:rPr>
        <w:t>(في المقام اُمور</w:t>
      </w:r>
      <w:r w:rsidRPr="00F27422">
        <w:rPr>
          <w:rFonts w:ascii="mylotus" w:hAnsi="mylotus"/>
          <w:b/>
          <w:bCs/>
          <w:sz w:val="32"/>
        </w:rPr>
        <w:t>:</w:t>
      </w:r>
    </w:p>
    <w:p w14:paraId="0803D81A"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b/>
          <w:bCs/>
          <w:sz w:val="32"/>
          <w:rtl/>
        </w:rPr>
        <w:t>أحدها: الرواية النبوية من أنّ (كل مبيع تلف قبل قبضه فهو من مال بائعه)</w:t>
      </w:r>
      <w:r w:rsidRPr="00F27422">
        <w:rPr>
          <w:rStyle w:val="FootnoteReference"/>
          <w:rFonts w:ascii="mylotus" w:hAnsi="mylotus"/>
          <w:sz w:val="32"/>
          <w:rtl/>
        </w:rPr>
        <w:footnoteReference w:id="149"/>
      </w:r>
      <w:r w:rsidRPr="00F27422">
        <w:rPr>
          <w:rFonts w:ascii="mylotus" w:hAnsi="mylotus"/>
          <w:b/>
          <w:bCs/>
          <w:sz w:val="32"/>
          <w:rtl/>
        </w:rPr>
        <w:t xml:space="preserve"> ومقتضاها أنّ تلفه قبل قبضه يوجب انفساخ المعاملة فيكون تلفه في ملك البائع</w:t>
      </w:r>
      <w:r w:rsidRPr="00F27422">
        <w:rPr>
          <w:rFonts w:ascii="mylotus" w:hAnsi="mylotus"/>
          <w:b/>
          <w:bCs/>
          <w:sz w:val="32"/>
        </w:rPr>
        <w:t>.</w:t>
      </w:r>
    </w:p>
    <w:p w14:paraId="16860B9B"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b/>
          <w:bCs/>
          <w:sz w:val="32"/>
          <w:rtl/>
        </w:rPr>
        <w:t>والاستدلال بها في المقام يتوقّف على القول باعتبار النبويات ولو بدعوى انجبار ضعفها بعمل الأصحاب، أمّا إذا أنكرنا الانجبار بعمل المشهور وقلنا بعدم اعتبار النبويات كما ذكرناهما في محلّه فلا يبقى للاعتماد عليها مجال</w:t>
      </w:r>
      <w:r w:rsidRPr="00F27422">
        <w:rPr>
          <w:rFonts w:ascii="mylotus" w:hAnsi="mylotus"/>
          <w:b/>
          <w:bCs/>
          <w:sz w:val="32"/>
        </w:rPr>
        <w:t>.</w:t>
      </w:r>
    </w:p>
    <w:p w14:paraId="2F77E897"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b/>
          <w:bCs/>
          <w:sz w:val="32"/>
          <w:rtl/>
        </w:rPr>
        <w:t>وثانيها: رواية عقبة بن خالد</w:t>
      </w:r>
      <w:r w:rsidRPr="00F27422">
        <w:rPr>
          <w:rStyle w:val="FootnoteReference"/>
          <w:rFonts w:ascii="mylotus" w:hAnsi="mylotus"/>
          <w:sz w:val="32"/>
          <w:rtl/>
        </w:rPr>
        <w:footnoteReference w:id="150"/>
      </w:r>
      <w:r w:rsidRPr="00F27422">
        <w:rPr>
          <w:rFonts w:ascii="mylotus" w:hAnsi="mylotus"/>
          <w:b/>
          <w:bCs/>
          <w:sz w:val="32"/>
          <w:rtl/>
        </w:rPr>
        <w:t xml:space="preserve"> في رجل اشترى متاعاً من رجل وتلف قبل أن يقبضه من المشتري فعلى من يكون ضمانه؟ قال (عليه السلام) ضمانه على مالكه حتى يخرجه من بيته ويقبضه المشتري، ومقتضى هذه الرواية أيضاً أنّ تلف المبيع قبل قبضه يوجب انفساخ المعاملة ودركه على بائعه</w:t>
      </w:r>
      <w:r w:rsidRPr="00F27422">
        <w:rPr>
          <w:rFonts w:ascii="mylotus" w:hAnsi="mylotus"/>
          <w:b/>
          <w:bCs/>
          <w:sz w:val="32"/>
        </w:rPr>
        <w:t>.</w:t>
      </w:r>
    </w:p>
    <w:p w14:paraId="2622B3EF"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b/>
          <w:bCs/>
          <w:sz w:val="32"/>
          <w:rtl/>
        </w:rPr>
        <w:lastRenderedPageBreak/>
        <w:t>والاعتماد على هذه الرواية أيضاً يبتني على القول بانجبار ضعف الرواية بعمل الأصحاب، ومع المنع عن الانجبار بعمل الأصحاب كبرى وصغرى كما قدّمناهما في محلّهما لا يمكننا الاعتماد على هذه الرواية أيضاً</w:t>
      </w:r>
      <w:r w:rsidRPr="00F27422">
        <w:rPr>
          <w:rFonts w:ascii="mylotus" w:hAnsi="mylotus"/>
          <w:b/>
          <w:bCs/>
          <w:sz w:val="32"/>
        </w:rPr>
        <w:t>.</w:t>
      </w:r>
    </w:p>
    <w:p w14:paraId="1C5DB1D1"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b/>
          <w:bCs/>
          <w:sz w:val="32"/>
          <w:rtl/>
        </w:rPr>
        <w:t>وثالثها: دعوى الاجماع على الضمان فيما لو تلف قبل قبضه كما في كلام شيخنا الأنصاري (قدسّ سرّه)</w:t>
      </w:r>
      <w:r w:rsidRPr="00F27422">
        <w:rPr>
          <w:rStyle w:val="FootnoteReference"/>
          <w:rFonts w:ascii="mylotus" w:hAnsi="mylotus"/>
          <w:sz w:val="32"/>
          <w:rtl/>
        </w:rPr>
        <w:footnoteReference w:id="151"/>
      </w:r>
      <w:r w:rsidRPr="00F27422">
        <w:rPr>
          <w:rFonts w:ascii="mylotus" w:hAnsi="mylotus" w:hint="cs"/>
          <w:b/>
          <w:bCs/>
          <w:sz w:val="32"/>
          <w:rtl/>
        </w:rPr>
        <w:t>).</w:t>
      </w:r>
    </w:p>
    <w:p w14:paraId="517B582C"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sz w:val="32"/>
          <w:rtl/>
        </w:rPr>
        <w:t>ومِن الواضح أنّه اجماعٌ محتملُ المدركية؛ إذ لعلّ مستنده الروايات</w:t>
      </w:r>
      <w:r w:rsidRPr="00F27422">
        <w:rPr>
          <w:rFonts w:ascii="mylotus" w:hAnsi="mylotus"/>
          <w:sz w:val="32"/>
        </w:rPr>
        <w:t>.</w:t>
      </w:r>
    </w:p>
    <w:p w14:paraId="03F26123"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sz w:val="32"/>
          <w:rtl/>
        </w:rPr>
        <w:t>ثمّ قال (قدس سره)</w:t>
      </w:r>
      <w:r w:rsidRPr="00F27422">
        <w:rPr>
          <w:rStyle w:val="FootnoteReference"/>
          <w:rFonts w:ascii="mylotus" w:hAnsi="mylotus"/>
          <w:sz w:val="32"/>
          <w:rtl/>
        </w:rPr>
        <w:footnoteReference w:id="152"/>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فالصحيح</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المقام</w:t>
      </w:r>
      <w:r w:rsidRPr="00F27422">
        <w:rPr>
          <w:rFonts w:ascii="mylotus" w:hAnsi="mylotus"/>
          <w:b/>
          <w:bCs/>
          <w:sz w:val="32"/>
          <w:rtl/>
        </w:rPr>
        <w:t xml:space="preserve"> </w:t>
      </w:r>
      <w:r w:rsidRPr="00F27422">
        <w:rPr>
          <w:rFonts w:ascii="mylotus" w:hAnsi="mylotus" w:hint="cs"/>
          <w:b/>
          <w:bCs/>
          <w:sz w:val="32"/>
          <w:rtl/>
        </w:rPr>
        <w:t>هو</w:t>
      </w:r>
      <w:r w:rsidRPr="00F27422">
        <w:rPr>
          <w:rFonts w:ascii="mylotus" w:hAnsi="mylotus"/>
          <w:b/>
          <w:bCs/>
          <w:sz w:val="32"/>
          <w:rtl/>
        </w:rPr>
        <w:t xml:space="preserve"> </w:t>
      </w:r>
      <w:r w:rsidRPr="00F27422">
        <w:rPr>
          <w:rFonts w:ascii="mylotus" w:hAnsi="mylotus" w:hint="cs"/>
          <w:b/>
          <w:bCs/>
          <w:sz w:val="32"/>
          <w:rtl/>
        </w:rPr>
        <w:t>الاعتماد</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رابع</w:t>
      </w:r>
      <w:r w:rsidRPr="00F27422">
        <w:rPr>
          <w:rFonts w:ascii="mylotus" w:hAnsi="mylotus"/>
          <w:b/>
          <w:bCs/>
          <w:sz w:val="32"/>
          <w:rtl/>
        </w:rPr>
        <w:t xml:space="preserve"> </w:t>
      </w:r>
      <w:r w:rsidRPr="00F27422">
        <w:rPr>
          <w:rFonts w:ascii="mylotus" w:hAnsi="mylotus" w:hint="cs"/>
          <w:b/>
          <w:bCs/>
          <w:sz w:val="32"/>
          <w:rtl/>
        </w:rPr>
        <w:t>الأدلّة</w:t>
      </w:r>
      <w:r w:rsidRPr="00F27422">
        <w:rPr>
          <w:rFonts w:ascii="mylotus" w:hAnsi="mylotus"/>
          <w:b/>
          <w:bCs/>
          <w:sz w:val="32"/>
          <w:rtl/>
        </w:rPr>
        <w:t xml:space="preserve"> </w:t>
      </w:r>
      <w:r w:rsidRPr="00F27422">
        <w:rPr>
          <w:rFonts w:ascii="mylotus" w:hAnsi="mylotus" w:hint="cs"/>
          <w:b/>
          <w:bCs/>
          <w:sz w:val="32"/>
          <w:rtl/>
        </w:rPr>
        <w:t>ونسمّيه</w:t>
      </w:r>
      <w:r w:rsidRPr="00F27422">
        <w:rPr>
          <w:rFonts w:ascii="mylotus" w:hAnsi="mylotus"/>
          <w:b/>
          <w:bCs/>
          <w:sz w:val="32"/>
          <w:rtl/>
        </w:rPr>
        <w:t xml:space="preserve"> </w:t>
      </w:r>
      <w:r w:rsidRPr="00F27422">
        <w:rPr>
          <w:rFonts w:ascii="mylotus" w:hAnsi="mylotus" w:hint="cs"/>
          <w:b/>
          <w:bCs/>
          <w:sz w:val="32"/>
          <w:rtl/>
        </w:rPr>
        <w:t>بالدليل</w:t>
      </w:r>
      <w:r w:rsidRPr="00F27422">
        <w:rPr>
          <w:rFonts w:ascii="mylotus" w:hAnsi="mylotus"/>
          <w:b/>
          <w:bCs/>
          <w:sz w:val="32"/>
          <w:rtl/>
        </w:rPr>
        <w:t xml:space="preserve"> </w:t>
      </w:r>
      <w:r w:rsidRPr="00F27422">
        <w:rPr>
          <w:rFonts w:ascii="mylotus" w:hAnsi="mylotus" w:hint="cs"/>
          <w:b/>
          <w:bCs/>
          <w:sz w:val="32"/>
          <w:rtl/>
        </w:rPr>
        <w:t>الرابع</w:t>
      </w:r>
      <w:r w:rsidRPr="00F27422">
        <w:rPr>
          <w:rFonts w:ascii="mylotus" w:hAnsi="mylotus"/>
          <w:b/>
          <w:bCs/>
          <w:sz w:val="32"/>
          <w:rtl/>
        </w:rPr>
        <w:t xml:space="preserve">: </w:t>
      </w:r>
      <w:r w:rsidRPr="00F27422">
        <w:rPr>
          <w:rFonts w:ascii="mylotus" w:hAnsi="mylotus" w:hint="cs"/>
          <w:b/>
          <w:bCs/>
          <w:sz w:val="32"/>
          <w:rtl/>
        </w:rPr>
        <w:t>وهو</w:t>
      </w:r>
      <w:r w:rsidRPr="00F27422">
        <w:rPr>
          <w:rFonts w:ascii="mylotus" w:hAnsi="mylotus"/>
          <w:b/>
          <w:bCs/>
          <w:sz w:val="32"/>
          <w:rtl/>
        </w:rPr>
        <w:t xml:space="preserve"> </w:t>
      </w:r>
      <w:r w:rsidRPr="00F27422">
        <w:rPr>
          <w:rFonts w:ascii="mylotus" w:hAnsi="mylotus" w:hint="cs"/>
          <w:b/>
          <w:bCs/>
          <w:sz w:val="32"/>
          <w:rtl/>
        </w:rPr>
        <w:t>السيرة</w:t>
      </w:r>
      <w:r w:rsidRPr="00F27422">
        <w:rPr>
          <w:rFonts w:ascii="mylotus" w:hAnsi="mylotus"/>
          <w:b/>
          <w:bCs/>
          <w:sz w:val="32"/>
          <w:rtl/>
        </w:rPr>
        <w:t xml:space="preserve"> </w:t>
      </w:r>
      <w:r w:rsidRPr="00F27422">
        <w:rPr>
          <w:rFonts w:ascii="mylotus" w:hAnsi="mylotus" w:hint="cs"/>
          <w:b/>
          <w:bCs/>
          <w:sz w:val="32"/>
          <w:rtl/>
        </w:rPr>
        <w:t>العقلائية،</w:t>
      </w:r>
      <w:r w:rsidRPr="00F27422">
        <w:rPr>
          <w:rFonts w:ascii="mylotus" w:hAnsi="mylotus"/>
          <w:b/>
          <w:bCs/>
          <w:sz w:val="32"/>
          <w:rtl/>
        </w:rPr>
        <w:t xml:space="preserve"> </w:t>
      </w:r>
      <w:r w:rsidRPr="00F27422">
        <w:rPr>
          <w:rFonts w:ascii="mylotus" w:hAnsi="mylotus" w:hint="cs"/>
          <w:b/>
          <w:bCs/>
          <w:sz w:val="32"/>
          <w:rtl/>
        </w:rPr>
        <w:t>لأنّا</w:t>
      </w:r>
      <w:r w:rsidRPr="00F27422">
        <w:rPr>
          <w:rFonts w:ascii="mylotus" w:hAnsi="mylotus"/>
          <w:b/>
          <w:bCs/>
          <w:sz w:val="32"/>
          <w:rtl/>
        </w:rPr>
        <w:t xml:space="preserve"> </w:t>
      </w:r>
      <w:r w:rsidRPr="00F27422">
        <w:rPr>
          <w:rFonts w:ascii="mylotus" w:hAnsi="mylotus" w:hint="cs"/>
          <w:b/>
          <w:bCs/>
          <w:sz w:val="32"/>
          <w:rtl/>
        </w:rPr>
        <w:t>لو</w:t>
      </w:r>
      <w:r w:rsidRPr="00F27422">
        <w:rPr>
          <w:rFonts w:ascii="mylotus" w:hAnsi="mylotus"/>
          <w:b/>
          <w:bCs/>
          <w:sz w:val="32"/>
          <w:rtl/>
        </w:rPr>
        <w:t xml:space="preserve"> </w:t>
      </w:r>
      <w:r w:rsidRPr="00F27422">
        <w:rPr>
          <w:rFonts w:ascii="mylotus" w:hAnsi="mylotus" w:hint="cs"/>
          <w:b/>
          <w:bCs/>
          <w:sz w:val="32"/>
          <w:rtl/>
        </w:rPr>
        <w:t>شككنا</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شيء</w:t>
      </w:r>
      <w:r w:rsidRPr="00F27422">
        <w:rPr>
          <w:rFonts w:ascii="mylotus" w:hAnsi="mylotus"/>
          <w:b/>
          <w:bCs/>
          <w:sz w:val="32"/>
          <w:rtl/>
        </w:rPr>
        <w:t xml:space="preserve"> </w:t>
      </w:r>
      <w:r w:rsidRPr="00F27422">
        <w:rPr>
          <w:rFonts w:ascii="mylotus" w:hAnsi="mylotus" w:hint="cs"/>
          <w:b/>
          <w:bCs/>
          <w:sz w:val="32"/>
          <w:rtl/>
        </w:rPr>
        <w:t>فلا</w:t>
      </w:r>
      <w:r w:rsidRPr="00F27422">
        <w:rPr>
          <w:rFonts w:ascii="mylotus" w:hAnsi="mylotus"/>
          <w:b/>
          <w:bCs/>
          <w:sz w:val="32"/>
          <w:rtl/>
        </w:rPr>
        <w:t xml:space="preserve"> </w:t>
      </w:r>
      <w:r w:rsidRPr="00F27422">
        <w:rPr>
          <w:rFonts w:ascii="mylotus" w:hAnsi="mylotus" w:hint="cs"/>
          <w:b/>
          <w:bCs/>
          <w:sz w:val="32"/>
          <w:rtl/>
        </w:rPr>
        <w:t>نشك</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للقبض</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المعاملات</w:t>
      </w:r>
      <w:r w:rsidRPr="00F27422">
        <w:rPr>
          <w:rFonts w:ascii="mylotus" w:hAnsi="mylotus"/>
          <w:b/>
          <w:bCs/>
          <w:sz w:val="32"/>
          <w:rtl/>
        </w:rPr>
        <w:t xml:space="preserve"> </w:t>
      </w:r>
      <w:r w:rsidRPr="00F27422">
        <w:rPr>
          <w:rFonts w:ascii="mylotus" w:hAnsi="mylotus" w:hint="cs"/>
          <w:b/>
          <w:bCs/>
          <w:sz w:val="32"/>
          <w:rtl/>
        </w:rPr>
        <w:t>دخالة</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حصول</w:t>
      </w:r>
      <w:r w:rsidRPr="00F27422">
        <w:rPr>
          <w:rFonts w:ascii="mylotus" w:hAnsi="mylotus"/>
          <w:b/>
          <w:bCs/>
          <w:sz w:val="32"/>
          <w:rtl/>
        </w:rPr>
        <w:t xml:space="preserve"> </w:t>
      </w:r>
      <w:r w:rsidRPr="00F27422">
        <w:rPr>
          <w:rFonts w:ascii="mylotus" w:hAnsi="mylotus" w:hint="cs"/>
          <w:b/>
          <w:bCs/>
          <w:sz w:val="32"/>
          <w:rtl/>
        </w:rPr>
        <w:t>الملكية</w:t>
      </w:r>
      <w:r w:rsidRPr="00F27422">
        <w:rPr>
          <w:rFonts w:ascii="mylotus" w:hAnsi="mylotus"/>
          <w:b/>
          <w:bCs/>
          <w:sz w:val="32"/>
          <w:rtl/>
        </w:rPr>
        <w:t xml:space="preserve"> </w:t>
      </w:r>
      <w:r w:rsidRPr="00F27422">
        <w:rPr>
          <w:rFonts w:ascii="mylotus" w:hAnsi="mylotus" w:hint="cs"/>
          <w:b/>
          <w:bCs/>
          <w:sz w:val="32"/>
          <w:rtl/>
        </w:rPr>
        <w:t>عند</w:t>
      </w:r>
      <w:r w:rsidRPr="00F27422">
        <w:rPr>
          <w:rFonts w:ascii="mylotus" w:hAnsi="mylotus"/>
          <w:b/>
          <w:bCs/>
          <w:sz w:val="32"/>
          <w:rtl/>
        </w:rPr>
        <w:t xml:space="preserve"> </w:t>
      </w:r>
      <w:r w:rsidRPr="00F27422">
        <w:rPr>
          <w:rFonts w:ascii="mylotus" w:hAnsi="mylotus" w:hint="cs"/>
          <w:b/>
          <w:bCs/>
          <w:sz w:val="32"/>
          <w:rtl/>
        </w:rPr>
        <w:t>العقلاء</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الجملة</w:t>
      </w:r>
      <w:r w:rsidRPr="00F27422">
        <w:rPr>
          <w:rFonts w:ascii="mylotus" w:hAnsi="mylotus"/>
          <w:b/>
          <w:bCs/>
          <w:sz w:val="32"/>
          <w:rtl/>
        </w:rPr>
        <w:t xml:space="preserve"> </w:t>
      </w:r>
      <w:r w:rsidRPr="00F27422">
        <w:rPr>
          <w:rFonts w:ascii="mylotus" w:hAnsi="mylotus" w:hint="cs"/>
          <w:b/>
          <w:bCs/>
          <w:sz w:val="32"/>
          <w:rtl/>
        </w:rPr>
        <w:t>ويعبّرون</w:t>
      </w:r>
      <w:r w:rsidRPr="00F27422">
        <w:rPr>
          <w:rFonts w:ascii="mylotus" w:hAnsi="mylotus"/>
          <w:b/>
          <w:bCs/>
          <w:sz w:val="32"/>
          <w:rtl/>
        </w:rPr>
        <w:t xml:space="preserve"> </w:t>
      </w:r>
      <w:r w:rsidRPr="00F27422">
        <w:rPr>
          <w:rFonts w:ascii="mylotus" w:hAnsi="mylotus" w:hint="cs"/>
          <w:b/>
          <w:bCs/>
          <w:sz w:val="32"/>
          <w:rtl/>
        </w:rPr>
        <w:t>عنها</w:t>
      </w:r>
      <w:r w:rsidRPr="00F27422">
        <w:rPr>
          <w:rFonts w:ascii="mylotus" w:hAnsi="mylotus"/>
          <w:b/>
          <w:bCs/>
          <w:sz w:val="32"/>
          <w:rtl/>
        </w:rPr>
        <w:t xml:space="preserve"> </w:t>
      </w:r>
      <w:r w:rsidRPr="00F27422">
        <w:rPr>
          <w:rFonts w:ascii="mylotus" w:hAnsi="mylotus" w:hint="cs"/>
          <w:b/>
          <w:bCs/>
          <w:sz w:val="32"/>
          <w:rtl/>
        </w:rPr>
        <w:t>بـ</w:t>
      </w:r>
      <w:r w:rsidRPr="00F27422">
        <w:rPr>
          <w:rFonts w:ascii="mylotus" w:hAnsi="mylotus"/>
          <w:b/>
          <w:bCs/>
          <w:sz w:val="32"/>
          <w:rtl/>
        </w:rPr>
        <w:t xml:space="preserve"> (</w:t>
      </w:r>
      <w:r w:rsidRPr="00F27422">
        <w:rPr>
          <w:rFonts w:ascii="mylotus" w:hAnsi="mylotus" w:hint="cs"/>
          <w:b/>
          <w:bCs/>
          <w:sz w:val="32"/>
          <w:rtl/>
        </w:rPr>
        <w:t>داد</w:t>
      </w:r>
      <w:r w:rsidRPr="00F27422">
        <w:rPr>
          <w:rFonts w:ascii="mylotus" w:hAnsi="mylotus"/>
          <w:b/>
          <w:bCs/>
          <w:sz w:val="32"/>
          <w:rtl/>
        </w:rPr>
        <w:t xml:space="preserve"> </w:t>
      </w:r>
      <w:proofErr w:type="spellStart"/>
      <w:r w:rsidRPr="00F27422">
        <w:rPr>
          <w:rFonts w:ascii="mylotus" w:hAnsi="mylotus" w:hint="cs"/>
          <w:b/>
          <w:bCs/>
          <w:sz w:val="32"/>
          <w:rtl/>
        </w:rPr>
        <w:t>وستد</w:t>
      </w:r>
      <w:proofErr w:type="spellEnd"/>
      <w:r w:rsidRPr="00F27422">
        <w:rPr>
          <w:rFonts w:ascii="mylotus" w:hAnsi="mylotus"/>
          <w:b/>
          <w:bCs/>
          <w:sz w:val="32"/>
          <w:rtl/>
        </w:rPr>
        <w:t xml:space="preserve">) </w:t>
      </w:r>
      <w:r w:rsidRPr="00F27422">
        <w:rPr>
          <w:rFonts w:ascii="mylotus" w:hAnsi="mylotus" w:hint="cs"/>
          <w:b/>
          <w:bCs/>
          <w:sz w:val="32"/>
          <w:rtl/>
        </w:rPr>
        <w:t>ولا</w:t>
      </w:r>
      <w:r w:rsidRPr="00F27422">
        <w:rPr>
          <w:rFonts w:ascii="mylotus" w:hAnsi="mylotus"/>
          <w:b/>
          <w:bCs/>
          <w:sz w:val="32"/>
          <w:rtl/>
        </w:rPr>
        <w:t xml:space="preserve"> </w:t>
      </w:r>
      <w:r w:rsidRPr="00F27422">
        <w:rPr>
          <w:rFonts w:ascii="mylotus" w:hAnsi="mylotus" w:hint="cs"/>
          <w:b/>
          <w:bCs/>
          <w:sz w:val="32"/>
          <w:rtl/>
        </w:rPr>
        <w:t>يرون</w:t>
      </w:r>
      <w:r w:rsidRPr="00F27422">
        <w:rPr>
          <w:rFonts w:ascii="mylotus" w:hAnsi="mylotus"/>
          <w:b/>
          <w:bCs/>
          <w:sz w:val="32"/>
          <w:rtl/>
        </w:rPr>
        <w:t xml:space="preserve"> </w:t>
      </w:r>
      <w:r w:rsidRPr="00F27422">
        <w:rPr>
          <w:rFonts w:ascii="mylotus" w:hAnsi="mylotus" w:hint="cs"/>
          <w:b/>
          <w:bCs/>
          <w:sz w:val="32"/>
          <w:rtl/>
        </w:rPr>
        <w:t>الملكية</w:t>
      </w:r>
      <w:r w:rsidRPr="00F27422">
        <w:rPr>
          <w:rFonts w:ascii="mylotus" w:hAnsi="mylotus"/>
          <w:b/>
          <w:bCs/>
          <w:sz w:val="32"/>
          <w:rtl/>
        </w:rPr>
        <w:t xml:space="preserve"> </w:t>
      </w:r>
      <w:r w:rsidRPr="00F27422">
        <w:rPr>
          <w:rFonts w:ascii="mylotus" w:hAnsi="mylotus" w:hint="cs"/>
          <w:b/>
          <w:bCs/>
          <w:sz w:val="32"/>
          <w:rtl/>
        </w:rPr>
        <w:t>حاصلة</w:t>
      </w:r>
      <w:r w:rsidRPr="00F27422">
        <w:rPr>
          <w:rFonts w:ascii="mylotus" w:hAnsi="mylotus"/>
          <w:b/>
          <w:bCs/>
          <w:sz w:val="32"/>
          <w:rtl/>
        </w:rPr>
        <w:t xml:space="preserve"> </w:t>
      </w:r>
      <w:r w:rsidRPr="00F27422">
        <w:rPr>
          <w:rFonts w:ascii="mylotus" w:hAnsi="mylotus" w:hint="cs"/>
          <w:b/>
          <w:bCs/>
          <w:sz w:val="32"/>
          <w:rtl/>
        </w:rPr>
        <w:t>بمجرد</w:t>
      </w:r>
      <w:r w:rsidRPr="00F27422">
        <w:rPr>
          <w:rFonts w:ascii="mylotus" w:hAnsi="mylotus"/>
          <w:b/>
          <w:bCs/>
          <w:sz w:val="32"/>
          <w:rtl/>
        </w:rPr>
        <w:t xml:space="preserve"> </w:t>
      </w:r>
      <w:r w:rsidRPr="00F27422">
        <w:rPr>
          <w:rFonts w:ascii="mylotus" w:hAnsi="mylotus" w:hint="cs"/>
          <w:b/>
          <w:bCs/>
          <w:sz w:val="32"/>
          <w:rtl/>
        </w:rPr>
        <w:t>المقاولة</w:t>
      </w:r>
      <w:r w:rsidRPr="00F27422">
        <w:rPr>
          <w:rFonts w:ascii="mylotus" w:hAnsi="mylotus"/>
          <w:b/>
          <w:bCs/>
          <w:sz w:val="32"/>
          <w:rtl/>
        </w:rPr>
        <w:t xml:space="preserve"> </w:t>
      </w:r>
      <w:r w:rsidRPr="00F27422">
        <w:rPr>
          <w:rFonts w:ascii="mylotus" w:hAnsi="mylotus" w:hint="cs"/>
          <w:b/>
          <w:bCs/>
          <w:sz w:val="32"/>
          <w:rtl/>
        </w:rPr>
        <w:t>والمعاقدة</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أنّه</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يكفي</w:t>
      </w:r>
      <w:r w:rsidRPr="00F27422">
        <w:rPr>
          <w:rFonts w:ascii="mylotus" w:hAnsi="mylotus"/>
          <w:sz w:val="32"/>
          <w:rtl/>
        </w:rPr>
        <w:t xml:space="preserve"> </w:t>
      </w:r>
      <w:r w:rsidRPr="00F27422">
        <w:rPr>
          <w:rFonts w:ascii="mylotus" w:hAnsi="mylotus" w:hint="cs"/>
          <w:sz w:val="32"/>
          <w:rtl/>
        </w:rPr>
        <w:t>أنّه</w:t>
      </w:r>
      <w:r w:rsidRPr="00F27422">
        <w:rPr>
          <w:rFonts w:ascii="mylotus" w:hAnsi="mylotus"/>
          <w:sz w:val="32"/>
          <w:rtl/>
        </w:rPr>
        <w:t xml:space="preserve"> </w:t>
      </w:r>
      <w:r w:rsidRPr="00F27422">
        <w:rPr>
          <w:rFonts w:ascii="mylotus" w:hAnsi="mylotus" w:hint="cs"/>
          <w:sz w:val="32"/>
          <w:rtl/>
        </w:rPr>
        <w:t>تمّ</w:t>
      </w:r>
      <w:r w:rsidRPr="00F27422">
        <w:rPr>
          <w:rFonts w:ascii="mylotus" w:hAnsi="mylotus"/>
          <w:sz w:val="32"/>
          <w:rtl/>
        </w:rPr>
        <w:t xml:space="preserve"> </w:t>
      </w:r>
      <w:r w:rsidRPr="00F27422">
        <w:rPr>
          <w:rFonts w:ascii="mylotus" w:hAnsi="mylotus" w:hint="cs"/>
          <w:sz w:val="32"/>
          <w:rtl/>
        </w:rPr>
        <w:t>البيع</w:t>
      </w:r>
      <w:r w:rsidRPr="00F27422">
        <w:rPr>
          <w:rFonts w:ascii="mylotus" w:hAnsi="mylotus"/>
          <w:sz w:val="32"/>
          <w:rtl/>
        </w:rPr>
        <w:t xml:space="preserve"> </w:t>
      </w:r>
      <w:r w:rsidRPr="00F27422">
        <w:rPr>
          <w:rFonts w:ascii="mylotus" w:hAnsi="mylotus" w:hint="cs"/>
          <w:sz w:val="32"/>
          <w:rtl/>
        </w:rPr>
        <w:t>بينهما</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وهذا</w:t>
      </w:r>
      <w:r w:rsidRPr="00F27422">
        <w:rPr>
          <w:rFonts w:ascii="mylotus" w:hAnsi="mylotus"/>
          <w:b/>
          <w:bCs/>
          <w:sz w:val="32"/>
          <w:rtl/>
        </w:rPr>
        <w:t xml:space="preserve">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بمعنى</w:t>
      </w:r>
      <w:r w:rsidRPr="00F27422">
        <w:rPr>
          <w:rFonts w:ascii="mylotus" w:hAnsi="mylotus"/>
          <w:b/>
          <w:bCs/>
          <w:sz w:val="32"/>
          <w:rtl/>
        </w:rPr>
        <w:t xml:space="preserve"> </w:t>
      </w:r>
      <w:r w:rsidRPr="00F27422">
        <w:rPr>
          <w:rFonts w:ascii="mylotus" w:hAnsi="mylotus" w:hint="cs"/>
          <w:b/>
          <w:bCs/>
          <w:sz w:val="32"/>
          <w:rtl/>
        </w:rPr>
        <w:t>اشتراط</w:t>
      </w:r>
      <w:r w:rsidRPr="00F27422">
        <w:rPr>
          <w:rFonts w:ascii="mylotus" w:hAnsi="mylotus"/>
          <w:b/>
          <w:bCs/>
          <w:sz w:val="32"/>
          <w:rtl/>
        </w:rPr>
        <w:t xml:space="preserve"> </w:t>
      </w:r>
      <w:r w:rsidRPr="00F27422">
        <w:rPr>
          <w:rFonts w:ascii="mylotus" w:hAnsi="mylotus" w:hint="cs"/>
          <w:b/>
          <w:bCs/>
          <w:sz w:val="32"/>
          <w:rtl/>
        </w:rPr>
        <w:t>ا</w:t>
      </w:r>
      <w:r w:rsidRPr="00F27422">
        <w:rPr>
          <w:rFonts w:ascii="mylotus" w:hAnsi="mylotus"/>
          <w:b/>
          <w:bCs/>
          <w:sz w:val="32"/>
          <w:rtl/>
        </w:rPr>
        <w:t>لملكية بالتسليم)</w:t>
      </w:r>
      <w:r w:rsidRPr="00F27422">
        <w:rPr>
          <w:rFonts w:ascii="mylotus" w:hAnsi="mylotus"/>
          <w:sz w:val="32"/>
          <w:rtl/>
        </w:rPr>
        <w:t xml:space="preserve"> بحيث</w:t>
      </w:r>
      <w:r w:rsidRPr="00F27422">
        <w:rPr>
          <w:rFonts w:ascii="mylotus" w:hAnsi="mylotus" w:hint="cs"/>
          <w:sz w:val="32"/>
          <w:rtl/>
        </w:rPr>
        <w:t>ُ</w:t>
      </w:r>
      <w:r w:rsidRPr="00F27422">
        <w:rPr>
          <w:rFonts w:ascii="mylotus" w:hAnsi="mylotus"/>
          <w:sz w:val="32"/>
          <w:rtl/>
        </w:rPr>
        <w:t xml:space="preserve"> لا</w:t>
      </w:r>
      <w:r w:rsidRPr="00F27422">
        <w:rPr>
          <w:rFonts w:ascii="mylotus" w:hAnsi="mylotus" w:hint="cs"/>
          <w:sz w:val="32"/>
          <w:rtl/>
        </w:rPr>
        <w:t xml:space="preserve"> </w:t>
      </w:r>
      <w:r w:rsidRPr="00F27422">
        <w:rPr>
          <w:rFonts w:ascii="mylotus" w:hAnsi="mylotus"/>
          <w:sz w:val="32"/>
          <w:rtl/>
        </w:rPr>
        <w:t>ملكية مع عدم التسليم</w:t>
      </w:r>
      <w:r w:rsidRPr="00F27422">
        <w:rPr>
          <w:rFonts w:ascii="mylotus" w:hAnsi="mylotus" w:hint="cs"/>
          <w:sz w:val="32"/>
          <w:rtl/>
        </w:rPr>
        <w:t xml:space="preserve"> </w:t>
      </w:r>
      <w:r w:rsidRPr="00F27422">
        <w:rPr>
          <w:rFonts w:ascii="mylotus" w:hAnsi="mylotus"/>
          <w:b/>
          <w:bCs/>
          <w:sz w:val="32"/>
          <w:rtl/>
        </w:rPr>
        <w:t>(بل بمعنى أنّ البائع ما دام لم يسلّم المبيع لا يستحق مطالبة الثمن من المشتري، وتراهم يقول أحدهما ما أعطيتني شيئاً لتطالب بعوضه وهو كلام سائر بينهم، فإذا باع داره وقبل أن يقبضها من المشتري وقعت الدار في الجادّة أو أنّه سرق كما في مورد رواية عقبة كما إذا كان المبيع درّة فقبل أن يقبضها من المشتري سرقت أو وقعت في البحر أو وقع عليها أي على الدار جبل عظيم وأمثال ذلك مما يعدّ تلفاً عرفاً، فلا يرون البائع مستحقاً لمطالبة الثمن من المشتري، وهذه سيرة متحقّقة عندهم من غير نكير حتى عند اليهود)</w:t>
      </w:r>
      <w:r w:rsidRPr="00F27422">
        <w:rPr>
          <w:rFonts w:ascii="mylotus" w:hAnsi="mylotus"/>
          <w:b/>
          <w:bCs/>
          <w:sz w:val="32"/>
        </w:rPr>
        <w:t>.</w:t>
      </w:r>
    </w:p>
    <w:p w14:paraId="04852454"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sz w:val="32"/>
          <w:rtl/>
        </w:rPr>
        <w:t xml:space="preserve">أقولُ: إنّ هذه العبارة التي ذكرها هنا في كتاب الخيارات من التنقيح وهي: </w:t>
      </w:r>
      <w:r w:rsidRPr="00F27422">
        <w:rPr>
          <w:rFonts w:ascii="mylotus" w:hAnsi="mylotus"/>
          <w:b/>
          <w:bCs/>
          <w:sz w:val="32"/>
          <w:rtl/>
        </w:rPr>
        <w:t>(أنّ للقبض في المعاملات دخالة في حصول الملكية عند العقلاء في الجملة)</w:t>
      </w:r>
      <w:r w:rsidRPr="00F27422">
        <w:rPr>
          <w:rFonts w:ascii="mylotus" w:hAnsi="mylotus"/>
          <w:sz w:val="32"/>
          <w:rtl/>
        </w:rPr>
        <w:t xml:space="preserve">، ذكرها في كتاب الإجارة أيضاً </w:t>
      </w:r>
      <w:proofErr w:type="gramStart"/>
      <w:r w:rsidRPr="00F27422">
        <w:rPr>
          <w:rFonts w:ascii="mylotus" w:hAnsi="mylotus"/>
          <w:sz w:val="32"/>
          <w:rtl/>
        </w:rPr>
        <w:t>بقوله :</w:t>
      </w:r>
      <w:proofErr w:type="gramEnd"/>
      <w:r w:rsidRPr="00F27422">
        <w:rPr>
          <w:rFonts w:ascii="mylotus" w:hAnsi="mylotus"/>
          <w:sz w:val="32"/>
          <w:rtl/>
        </w:rPr>
        <w:t xml:space="preserve"> </w:t>
      </w:r>
      <w:r w:rsidRPr="00F27422">
        <w:rPr>
          <w:rFonts w:ascii="mylotus" w:hAnsi="mylotus"/>
          <w:b/>
          <w:bCs/>
          <w:sz w:val="32"/>
          <w:rtl/>
        </w:rPr>
        <w:t>(أنّ موردها وإن كان هو البيع إلّا أنّه لا خصوصيّة له، بل تطّرد في كلّ ما يوجب انتقال المال، فإنّ متمّم التمليك هو القبض والتسليم الخارجي)</w:t>
      </w:r>
      <w:r w:rsidRPr="00F27422">
        <w:rPr>
          <w:rStyle w:val="FootnoteReference"/>
          <w:rFonts w:ascii="mylotus" w:hAnsi="mylotus"/>
          <w:sz w:val="32"/>
          <w:rtl/>
        </w:rPr>
        <w:footnoteReference w:id="153"/>
      </w:r>
      <w:r w:rsidRPr="00F27422">
        <w:rPr>
          <w:rFonts w:ascii="mylotus" w:hAnsi="mylotus"/>
          <w:b/>
          <w:bCs/>
          <w:sz w:val="32"/>
          <w:rtl/>
        </w:rPr>
        <w:t>.</w:t>
      </w:r>
    </w:p>
    <w:p w14:paraId="02CF6F3B"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sz w:val="32"/>
          <w:rtl/>
        </w:rPr>
        <w:t>ثمّ قال (قدس سره الشريف)</w:t>
      </w:r>
      <w:r w:rsidRPr="00F27422">
        <w:rPr>
          <w:rStyle w:val="FootnoteReference"/>
          <w:rFonts w:ascii="mylotus" w:hAnsi="mylotus"/>
          <w:sz w:val="32"/>
          <w:rtl/>
        </w:rPr>
        <w:footnoteReference w:id="154"/>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ثم</w:t>
      </w:r>
      <w:r w:rsidRPr="00F27422">
        <w:rPr>
          <w:rFonts w:ascii="mylotus" w:hAnsi="mylotus"/>
          <w:b/>
          <w:bCs/>
          <w:sz w:val="32"/>
          <w:rtl/>
        </w:rPr>
        <w:t xml:space="preserve"> </w:t>
      </w:r>
      <w:r w:rsidRPr="00F27422">
        <w:rPr>
          <w:rFonts w:ascii="mylotus" w:hAnsi="mylotus" w:hint="cs"/>
          <w:b/>
          <w:bCs/>
          <w:sz w:val="32"/>
          <w:rtl/>
        </w:rPr>
        <w:t>إنه</w:t>
      </w:r>
      <w:r w:rsidRPr="00F27422">
        <w:rPr>
          <w:rFonts w:ascii="mylotus" w:hAnsi="mylotus"/>
          <w:b/>
          <w:bCs/>
          <w:sz w:val="32"/>
          <w:rtl/>
        </w:rPr>
        <w:t xml:space="preserve"> </w:t>
      </w:r>
      <w:r w:rsidRPr="00F27422">
        <w:rPr>
          <w:rFonts w:ascii="mylotus" w:hAnsi="mylotus" w:hint="cs"/>
          <w:b/>
          <w:bCs/>
          <w:sz w:val="32"/>
          <w:rtl/>
        </w:rPr>
        <w:t>تترتّب</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الاستدلال</w:t>
      </w:r>
      <w:r w:rsidRPr="00F27422">
        <w:rPr>
          <w:rFonts w:ascii="mylotus" w:hAnsi="mylotus"/>
          <w:b/>
          <w:bCs/>
          <w:sz w:val="32"/>
          <w:rtl/>
        </w:rPr>
        <w:t xml:space="preserve"> </w:t>
      </w:r>
      <w:r w:rsidRPr="00F27422">
        <w:rPr>
          <w:rFonts w:ascii="mylotus" w:hAnsi="mylotus" w:hint="cs"/>
          <w:b/>
          <w:bCs/>
          <w:sz w:val="32"/>
          <w:rtl/>
        </w:rPr>
        <w:t>بالسيرة</w:t>
      </w:r>
      <w:r w:rsidRPr="00F27422">
        <w:rPr>
          <w:rFonts w:ascii="mylotus" w:hAnsi="mylotus"/>
          <w:b/>
          <w:bCs/>
          <w:sz w:val="32"/>
          <w:rtl/>
        </w:rPr>
        <w:t xml:space="preserve"> </w:t>
      </w:r>
      <w:r w:rsidRPr="00F27422">
        <w:rPr>
          <w:rFonts w:ascii="mylotus" w:hAnsi="mylotus" w:hint="cs"/>
          <w:b/>
          <w:bCs/>
          <w:sz w:val="32"/>
          <w:rtl/>
        </w:rPr>
        <w:t>العقلائية</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المقام</w:t>
      </w:r>
      <w:r w:rsidRPr="00F27422">
        <w:rPr>
          <w:rFonts w:ascii="mylotus" w:hAnsi="mylotus"/>
          <w:b/>
          <w:bCs/>
          <w:sz w:val="32"/>
          <w:rtl/>
        </w:rPr>
        <w:t xml:space="preserve"> </w:t>
      </w:r>
      <w:r w:rsidRPr="00F27422">
        <w:rPr>
          <w:rFonts w:ascii="mylotus" w:hAnsi="mylotus" w:hint="cs"/>
          <w:b/>
          <w:bCs/>
          <w:sz w:val="32"/>
          <w:rtl/>
        </w:rPr>
        <w:t>ثمرات</w:t>
      </w:r>
      <w:r w:rsidRPr="00F27422">
        <w:rPr>
          <w:rFonts w:ascii="mylotus" w:hAnsi="mylotus"/>
          <w:b/>
          <w:bCs/>
          <w:sz w:val="32"/>
          <w:rtl/>
        </w:rPr>
        <w:t>:)</w:t>
      </w:r>
    </w:p>
    <w:p w14:paraId="6AEACD33"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sz w:val="32"/>
          <w:rtl/>
        </w:rPr>
        <w:t xml:space="preserve">الثمرةُ الأُولى: </w:t>
      </w:r>
      <w:r w:rsidRPr="00F27422">
        <w:rPr>
          <w:rFonts w:ascii="mylotus" w:hAnsi="mylotus"/>
          <w:b/>
          <w:bCs/>
          <w:sz w:val="32"/>
          <w:rtl/>
        </w:rPr>
        <w:t>(منها: أنّا لو اعتمدنا على السيرة المذكورة دون الروايتين فلا نقتصر على خصوص تلف المبيع)</w:t>
      </w:r>
      <w:r w:rsidRPr="00F27422">
        <w:rPr>
          <w:rFonts w:ascii="mylotus" w:hAnsi="mylotus"/>
          <w:sz w:val="32"/>
          <w:rtl/>
        </w:rPr>
        <w:t xml:space="preserve"> قبل قبضه </w:t>
      </w:r>
      <w:r w:rsidRPr="00F27422">
        <w:rPr>
          <w:rFonts w:ascii="mylotus" w:hAnsi="mylotus"/>
          <w:b/>
          <w:bCs/>
          <w:sz w:val="32"/>
          <w:rtl/>
        </w:rPr>
        <w:t>(بل نجري ذلك عند تلف الثمن)</w:t>
      </w:r>
      <w:r w:rsidRPr="00F27422">
        <w:rPr>
          <w:rFonts w:ascii="mylotus" w:hAnsi="mylotus"/>
          <w:sz w:val="32"/>
          <w:rtl/>
        </w:rPr>
        <w:t xml:space="preserve"> قبل قبضه </w:t>
      </w:r>
      <w:r w:rsidRPr="00F27422">
        <w:rPr>
          <w:rFonts w:ascii="mylotus" w:hAnsi="mylotus"/>
          <w:b/>
          <w:bCs/>
          <w:sz w:val="32"/>
          <w:rtl/>
        </w:rPr>
        <w:t>(أيضاً)</w:t>
      </w:r>
      <w:r w:rsidRPr="00F27422">
        <w:rPr>
          <w:rFonts w:ascii="mylotus" w:hAnsi="mylotus"/>
          <w:sz w:val="32"/>
          <w:rtl/>
        </w:rPr>
        <w:t xml:space="preserve"> فلا فرق؛ لأنّه قاعدة عقلائية والعقلاء لا يفرقون بين تلّف الثمن أو تلّف المثمن فيتعدّى لغيره </w:t>
      </w:r>
      <w:r w:rsidRPr="00F27422">
        <w:rPr>
          <w:rFonts w:ascii="mylotus" w:hAnsi="mylotus"/>
          <w:b/>
          <w:bCs/>
          <w:sz w:val="32"/>
          <w:rtl/>
        </w:rPr>
        <w:t>(فإنه كالمثمن من طرفي المعاملة وقبض كل منهما له دخالة في حصول الملكية كما تقدّم، وهذا بخلاف ما إذا اعتمدنا على</w:t>
      </w:r>
      <w:r w:rsidRPr="00F27422">
        <w:rPr>
          <w:rFonts w:ascii="mylotus" w:hAnsi="mylotus"/>
          <w:sz w:val="32"/>
          <w:rtl/>
        </w:rPr>
        <w:t xml:space="preserve"> </w:t>
      </w:r>
      <w:r w:rsidRPr="00F27422">
        <w:rPr>
          <w:rFonts w:ascii="mylotus" w:hAnsi="mylotus"/>
          <w:b/>
          <w:bCs/>
          <w:sz w:val="32"/>
          <w:rtl/>
        </w:rPr>
        <w:t>الروايتين لاختصاصهما بصورة تلف المبيع دون الثمن، فلا يمكننا التعدّي إلى تلفه لأنه حكم على خلاف القاعدة)</w:t>
      </w:r>
      <w:r w:rsidRPr="00F27422">
        <w:rPr>
          <w:rFonts w:ascii="mylotus" w:hAnsi="mylotus"/>
          <w:b/>
          <w:bCs/>
          <w:sz w:val="32"/>
        </w:rPr>
        <w:t>.</w:t>
      </w:r>
    </w:p>
    <w:p w14:paraId="4CCF0228"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sz w:val="32"/>
          <w:rtl/>
        </w:rPr>
        <w:t xml:space="preserve">الثمرةُ الثانية: </w:t>
      </w:r>
      <w:r w:rsidRPr="00F27422">
        <w:rPr>
          <w:rFonts w:ascii="mylotus" w:hAnsi="mylotus"/>
          <w:b/>
          <w:bCs/>
          <w:sz w:val="32"/>
          <w:rtl/>
        </w:rPr>
        <w:t>(ومنها: أنّا لو اعتمدنا على السيرة المذكورة نكتفي في ارتفاع الضمان بمجرد التخلية ولا نشترط القبض الخارجي)</w:t>
      </w:r>
      <w:r w:rsidRPr="00F27422">
        <w:rPr>
          <w:rFonts w:ascii="mylotus" w:hAnsi="mylotus"/>
          <w:sz w:val="32"/>
          <w:rtl/>
        </w:rPr>
        <w:t xml:space="preserve"> فمتى خلى البائع السلعة للمشتري بحيث </w:t>
      </w:r>
      <w:proofErr w:type="gramStart"/>
      <w:r w:rsidRPr="00F27422">
        <w:rPr>
          <w:rFonts w:ascii="mylotus" w:hAnsi="mylotus"/>
          <w:sz w:val="32"/>
          <w:rtl/>
        </w:rPr>
        <w:t>يستلمها  فلا</w:t>
      </w:r>
      <w:proofErr w:type="gramEnd"/>
      <w:r w:rsidRPr="00F27422">
        <w:rPr>
          <w:rFonts w:ascii="mylotus" w:hAnsi="mylotus"/>
          <w:sz w:val="32"/>
          <w:rtl/>
        </w:rPr>
        <w:t xml:space="preserve"> ضمان على البائع لو تلفت قبل استلامها؛ فإنّ التخلية كافية عند العقلاء </w:t>
      </w:r>
      <w:r w:rsidRPr="00F27422">
        <w:rPr>
          <w:rFonts w:ascii="mylotus" w:hAnsi="mylotus"/>
          <w:b/>
          <w:bCs/>
          <w:sz w:val="32"/>
          <w:rtl/>
        </w:rPr>
        <w:t xml:space="preserve">(بخلاف ما إذا اعتمدنا على الروايتين فإنّ ظاهر رواية عقبة هو </w:t>
      </w:r>
      <w:proofErr w:type="spellStart"/>
      <w:r w:rsidRPr="00F27422">
        <w:rPr>
          <w:rFonts w:ascii="mylotus" w:hAnsi="mylotus"/>
          <w:b/>
          <w:bCs/>
          <w:sz w:val="32"/>
          <w:rtl/>
        </w:rPr>
        <w:t>الاقباض</w:t>
      </w:r>
      <w:proofErr w:type="spellEnd"/>
      <w:r w:rsidRPr="00F27422">
        <w:rPr>
          <w:rFonts w:ascii="mylotus" w:hAnsi="mylotus"/>
          <w:b/>
          <w:bCs/>
          <w:sz w:val="32"/>
          <w:rtl/>
        </w:rPr>
        <w:t xml:space="preserve"> الخارجي وعدم كفاية مجرد </w:t>
      </w:r>
      <w:r w:rsidRPr="00F27422">
        <w:rPr>
          <w:rFonts w:ascii="mylotus" w:hAnsi="mylotus"/>
          <w:b/>
          <w:bCs/>
          <w:sz w:val="32"/>
          <w:rtl/>
        </w:rPr>
        <w:lastRenderedPageBreak/>
        <w:t>التخلية، وقد قدّمنا أنّ التخلية لا يطلق عليها القبض فإنه عبارة عن الاستيلاء وما به يتحقّق الغصب والتخلية لا يتحقّق بها الغصب، هذا</w:t>
      </w:r>
      <w:r w:rsidRPr="00F27422">
        <w:rPr>
          <w:rFonts w:ascii="mylotus" w:hAnsi="mylotus"/>
          <w:b/>
          <w:bCs/>
          <w:sz w:val="32"/>
        </w:rPr>
        <w:t>.</w:t>
      </w:r>
    </w:p>
    <w:p w14:paraId="3C92A733"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b/>
          <w:bCs/>
          <w:sz w:val="32"/>
          <w:rtl/>
        </w:rPr>
        <w:t>والعجب من شيخنا الأنصاري (قدّس سرّه)</w:t>
      </w:r>
      <w:r w:rsidRPr="00F27422">
        <w:rPr>
          <w:rStyle w:val="FootnoteReference"/>
          <w:rFonts w:ascii="mylotus" w:hAnsi="mylotus"/>
          <w:sz w:val="32"/>
          <w:rtl/>
        </w:rPr>
        <w:footnoteReference w:id="155"/>
      </w:r>
      <w:r w:rsidRPr="00F27422">
        <w:rPr>
          <w:rFonts w:ascii="mylotus" w:hAnsi="mylotus"/>
          <w:sz w:val="32"/>
          <w:rtl/>
        </w:rPr>
        <w:t xml:space="preserve"> </w:t>
      </w:r>
      <w:r w:rsidRPr="00F27422">
        <w:rPr>
          <w:rFonts w:ascii="mylotus" w:hAnsi="mylotus"/>
          <w:b/>
          <w:bCs/>
          <w:sz w:val="32"/>
          <w:rtl/>
        </w:rPr>
        <w:t>أنه مع اعتماده على الروايتين دون السيرة العقلائية اكتفى في ارتفاع الضمان بالتخلية مع أنّ مقتضى الروايتين اعتبار القبض الخارجي وعليه أن يقيم البرهان على كفاية التخلية كما لا يخفى</w:t>
      </w:r>
      <w:r w:rsidRPr="00F27422">
        <w:rPr>
          <w:rFonts w:ascii="mylotus" w:hAnsi="mylotus" w:hint="cs"/>
          <w:b/>
          <w:bCs/>
          <w:sz w:val="32"/>
          <w:rtl/>
        </w:rPr>
        <w:t>).</w:t>
      </w:r>
    </w:p>
    <w:p w14:paraId="6125343B" w14:textId="77777777" w:rsidR="00C16F1A" w:rsidRPr="00F27422" w:rsidRDefault="00C16F1A" w:rsidP="00122B70">
      <w:pPr>
        <w:pStyle w:val="a"/>
        <w:bidi/>
        <w:spacing w:line="216" w:lineRule="auto"/>
        <w:jc w:val="left"/>
        <w:rPr>
          <w:rFonts w:ascii="mylotus" w:hAnsi="mylotus"/>
          <w:b/>
          <w:bCs/>
          <w:sz w:val="32"/>
          <w:rtl/>
        </w:rPr>
      </w:pPr>
      <w:r w:rsidRPr="00F27422">
        <w:rPr>
          <w:rFonts w:ascii="mylotus" w:hAnsi="mylotus"/>
          <w:sz w:val="32"/>
          <w:rtl/>
        </w:rPr>
        <w:t xml:space="preserve">الثمرةُ الثالثة: </w:t>
      </w:r>
      <w:r w:rsidRPr="00F27422">
        <w:rPr>
          <w:rFonts w:ascii="mylotus" w:hAnsi="mylotus"/>
          <w:b/>
          <w:bCs/>
          <w:sz w:val="32"/>
          <w:rtl/>
        </w:rPr>
        <w:t>(أنّ مقتضى الاعتماد على السيرة في المقام كفاية مجرد القبض في ارتفاع الضمان، كما لو كان القبض من غير رضا البائع ولا اطّلاعه كما إذا خدعه وسرقه، أو على وجه القهر والغلبة)</w:t>
      </w:r>
      <w:r w:rsidRPr="00F27422">
        <w:rPr>
          <w:rFonts w:ascii="mylotus" w:hAnsi="mylotus"/>
          <w:sz w:val="32"/>
          <w:rtl/>
        </w:rPr>
        <w:t xml:space="preserve"> كما لو جاءَ المشتري ودخلَ إلى الدُكان وأخذ السلعة مِن دون أنْ يلتفت البائع لذلك أو يرضى بذلك </w:t>
      </w:r>
      <w:r w:rsidRPr="00F27422">
        <w:rPr>
          <w:rFonts w:ascii="mylotus" w:hAnsi="mylotus"/>
          <w:b/>
          <w:bCs/>
          <w:sz w:val="32"/>
          <w:rtl/>
        </w:rPr>
        <w:t>(فإنه بأيّ وجه كان يكفي عند العقلاء في ارتفاع الضمان كما أفاده شيخنا الأنصاري، وهذا بخلاف ما إذا اعتمدنا على الروايتين فإنّ لازمهما كما مرّ عدم ترتّب الآثار على القبض الحاصل من غير وجه شرعي كما ذكرناه في قبض المكيل والموزون وأنه إذا حصل من غير رضا البائع لا يكفي في رفع الكراهة أو الحرمة في بيع المكيل أو الموزون، هذا كلّه فيما إذا كان التلف بآفة سماوية كما إذا احترق أو مات أو نهشته الحيّة ونحو ذلك ممّا لا يستند إلى فاعل بالاختيار</w:t>
      </w:r>
      <w:r w:rsidRPr="00F27422">
        <w:rPr>
          <w:rFonts w:ascii="mylotus" w:hAnsi="mylotus"/>
          <w:b/>
          <w:bCs/>
          <w:sz w:val="32"/>
        </w:rPr>
        <w:t>.</w:t>
      </w:r>
    </w:p>
    <w:p w14:paraId="6B519A11"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b/>
          <w:bCs/>
          <w:sz w:val="32"/>
          <w:rtl/>
        </w:rPr>
        <w:t xml:space="preserve">وأمّا إذا كان التلف مستنداً إلى فاعل بالاختيار فلا يخلو إمّا أن يكون المتلف هو المشتري وإمّا أن يكون هو البائع وإمّا أن يكون أجنبياً). </w:t>
      </w:r>
      <w:r w:rsidRPr="00F27422">
        <w:rPr>
          <w:rFonts w:ascii="mylotus" w:hAnsi="mylotus"/>
          <w:sz w:val="32"/>
          <w:rtl/>
        </w:rPr>
        <w:t>تمّ كلام سيدنا الخوئي</w:t>
      </w:r>
      <w:r w:rsidRPr="00F27422">
        <w:rPr>
          <w:rFonts w:ascii="mylotus" w:hAnsi="mylotus" w:hint="cs"/>
          <w:sz w:val="32"/>
          <w:rtl/>
        </w:rPr>
        <w:t xml:space="preserve"> </w:t>
      </w:r>
      <w:r w:rsidRPr="00F27422">
        <w:rPr>
          <w:rFonts w:ascii="mylotus" w:hAnsi="mylotus"/>
          <w:sz w:val="32"/>
          <w:rtl/>
        </w:rPr>
        <w:t>(قدس سره</w:t>
      </w:r>
      <w:r w:rsidRPr="00F27422">
        <w:rPr>
          <w:rFonts w:ascii="mylotus" w:hAnsi="mylotus" w:hint="cs"/>
          <w:sz w:val="32"/>
          <w:rtl/>
        </w:rPr>
        <w:t>).</w:t>
      </w:r>
    </w:p>
    <w:p w14:paraId="349067D3"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sz w:val="32"/>
          <w:rtl/>
        </w:rPr>
        <w:t xml:space="preserve">وما ذكره في تحقيق أصل المبنى اعتماداً على السيرة العقلائية تامٌ، لكن لا بمعنى الانفساخ كما يظهرُ مِن عبارته حيثُ أفاد بقوله: </w:t>
      </w:r>
      <w:r w:rsidRPr="00F27422">
        <w:rPr>
          <w:rFonts w:ascii="mylotus" w:hAnsi="mylotus"/>
          <w:b/>
          <w:bCs/>
          <w:sz w:val="32"/>
          <w:rtl/>
        </w:rPr>
        <w:t xml:space="preserve">(فلا نشك في أنّ للقبض في المعاملات دخالة في حصول الملكية عند العقلاء في الجملة ويعبّرون عنها بـ (داد </w:t>
      </w:r>
      <w:proofErr w:type="spellStart"/>
      <w:r w:rsidRPr="00F27422">
        <w:rPr>
          <w:rFonts w:ascii="mylotus" w:hAnsi="mylotus"/>
          <w:b/>
          <w:bCs/>
          <w:sz w:val="32"/>
          <w:rtl/>
        </w:rPr>
        <w:t>وستد</w:t>
      </w:r>
      <w:proofErr w:type="spellEnd"/>
      <w:r w:rsidRPr="00F27422">
        <w:rPr>
          <w:rFonts w:ascii="mylotus" w:hAnsi="mylotus"/>
          <w:b/>
          <w:bCs/>
          <w:sz w:val="32"/>
          <w:rtl/>
        </w:rPr>
        <w:t>) ولا يرون الملكية حاصلة بمجرد المقاولة</w:t>
      </w:r>
      <w:r w:rsidRPr="00F27422">
        <w:rPr>
          <w:rFonts w:ascii="mylotus" w:hAnsi="mylotus"/>
          <w:sz w:val="32"/>
          <w:rtl/>
        </w:rPr>
        <w:t xml:space="preserve"> </w:t>
      </w:r>
      <w:r w:rsidRPr="00F27422">
        <w:rPr>
          <w:rFonts w:ascii="mylotus" w:hAnsi="mylotus"/>
          <w:b/>
          <w:bCs/>
          <w:sz w:val="32"/>
          <w:rtl/>
        </w:rPr>
        <w:t>والمعاقدة)</w:t>
      </w:r>
      <w:r w:rsidRPr="00F27422">
        <w:rPr>
          <w:rStyle w:val="FootnoteReference"/>
          <w:rFonts w:ascii="mylotus" w:hAnsi="mylotus"/>
          <w:sz w:val="32"/>
          <w:rtl/>
        </w:rPr>
        <w:footnoteReference w:id="156"/>
      </w:r>
      <w:r w:rsidRPr="00F27422">
        <w:rPr>
          <w:rFonts w:ascii="mylotus" w:hAnsi="mylotus"/>
          <w:sz w:val="32"/>
          <w:rtl/>
        </w:rPr>
        <w:t>،</w:t>
      </w:r>
      <w:r w:rsidRPr="00F27422">
        <w:rPr>
          <w:rFonts w:ascii="mylotus" w:hAnsi="mylotus" w:hint="cs"/>
          <w:sz w:val="32"/>
          <w:rtl/>
        </w:rPr>
        <w:t xml:space="preserve"> </w:t>
      </w:r>
      <w:r w:rsidRPr="00F27422">
        <w:rPr>
          <w:rFonts w:ascii="mylotus" w:hAnsi="mylotus"/>
          <w:sz w:val="32"/>
          <w:rtl/>
        </w:rPr>
        <w:t>بل بمعنى الحقّ فقط، أي: أنّه لا يستحقُ المطالبة بالثمن حتى يسلّم المثمن، فهو مجرّد حقٍّ عقلائي، فلو تخلّف فله الخيار، لا أنّ السيرة قائمةٌ على دخالة القبض في الملكية بحيثُ يترتّب على عدم القبض الانفساخ</w:t>
      </w:r>
      <w:r w:rsidRPr="00F27422">
        <w:rPr>
          <w:rFonts w:ascii="mylotus" w:hAnsi="mylotus"/>
          <w:sz w:val="32"/>
        </w:rPr>
        <w:t>.</w:t>
      </w:r>
    </w:p>
    <w:p w14:paraId="22EBE7FD" w14:textId="77777777" w:rsidR="00C16F1A" w:rsidRPr="00F27422" w:rsidRDefault="00C16F1A" w:rsidP="00122B70">
      <w:pPr>
        <w:pStyle w:val="a"/>
        <w:bidi/>
        <w:spacing w:line="216" w:lineRule="auto"/>
        <w:jc w:val="left"/>
        <w:rPr>
          <w:rFonts w:ascii="mylotus" w:hAnsi="mylotus"/>
          <w:sz w:val="32"/>
          <w:rtl/>
        </w:rPr>
      </w:pPr>
      <w:r w:rsidRPr="00F27422">
        <w:rPr>
          <w:rFonts w:ascii="mylotus" w:hAnsi="mylotus"/>
          <w:sz w:val="32"/>
          <w:rtl/>
        </w:rPr>
        <w:t xml:space="preserve">ومقتضى ذلك ثبوت ضمانه في تلّفه قَبل القبض تلّفاً سماوياً على مَن اِنتقل عنه، فإنْ لَمْ </w:t>
      </w:r>
      <w:proofErr w:type="gramStart"/>
      <w:r w:rsidRPr="00F27422">
        <w:rPr>
          <w:rFonts w:ascii="mylotus" w:hAnsi="mylotus"/>
          <w:sz w:val="32"/>
          <w:rtl/>
        </w:rPr>
        <w:t>يؤدي</w:t>
      </w:r>
      <w:proofErr w:type="gramEnd"/>
      <w:r w:rsidRPr="00F27422">
        <w:rPr>
          <w:rFonts w:ascii="mylotus" w:hAnsi="mylotus"/>
          <w:sz w:val="32"/>
          <w:rtl/>
        </w:rPr>
        <w:t xml:space="preserve"> ما</w:t>
      </w:r>
      <w:r w:rsidRPr="00F27422">
        <w:rPr>
          <w:rFonts w:ascii="mylotus" w:hAnsi="mylotus" w:hint="cs"/>
          <w:sz w:val="32"/>
          <w:rtl/>
        </w:rPr>
        <w:t xml:space="preserve"> </w:t>
      </w:r>
      <w:r w:rsidRPr="00F27422">
        <w:rPr>
          <w:rFonts w:ascii="mylotus" w:hAnsi="mylotus"/>
          <w:sz w:val="32"/>
          <w:rtl/>
        </w:rPr>
        <w:t>ضمنه فللطرف الآخر الخيار.</w:t>
      </w:r>
    </w:p>
    <w:p w14:paraId="4F2FA2AF" w14:textId="77777777" w:rsidR="00C16F1A" w:rsidRPr="00F27422" w:rsidRDefault="00C16F1A" w:rsidP="00122B70">
      <w:pPr>
        <w:pStyle w:val="a"/>
        <w:bidi/>
        <w:spacing w:line="216" w:lineRule="auto"/>
        <w:jc w:val="left"/>
        <w:rPr>
          <w:rFonts w:ascii="mylotus" w:hAnsi="mylotus"/>
          <w:sz w:val="32"/>
          <w:rtl/>
        </w:rPr>
      </w:pPr>
    </w:p>
    <w:p w14:paraId="7181023E" w14:textId="77777777" w:rsidR="00C16F1A" w:rsidRPr="00F27422" w:rsidRDefault="00C16F1A"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18BCDEAE" w14:textId="77777777" w:rsidR="005D4E65" w:rsidRPr="00F27422" w:rsidRDefault="005D4E65" w:rsidP="00122B70">
      <w:pPr>
        <w:bidi/>
        <w:rPr>
          <w:sz w:val="32"/>
          <w:szCs w:val="32"/>
        </w:rPr>
      </w:pPr>
    </w:p>
    <w:p w14:paraId="3DE16A19" w14:textId="77777777" w:rsidR="00C16F1A" w:rsidRPr="00F27422" w:rsidRDefault="00C16F1A" w:rsidP="00122B70">
      <w:pPr>
        <w:bidi/>
        <w:rPr>
          <w:sz w:val="32"/>
          <w:szCs w:val="32"/>
        </w:rPr>
      </w:pPr>
    </w:p>
    <w:p w14:paraId="7B9E7D14" w14:textId="6EFE1446" w:rsidR="00C16F1A" w:rsidRPr="00F27422" w:rsidRDefault="00C16F1A" w:rsidP="00122B70">
      <w:pPr>
        <w:pStyle w:val="Heading3"/>
        <w:bidi/>
        <w:rPr>
          <w:sz w:val="32"/>
          <w:szCs w:val="32"/>
        </w:rPr>
      </w:pPr>
      <w:r w:rsidRPr="00F27422">
        <w:rPr>
          <w:sz w:val="32"/>
          <w:szCs w:val="32"/>
        </w:rPr>
        <w:t>091</w:t>
      </w:r>
    </w:p>
    <w:p w14:paraId="12751885" w14:textId="77777777" w:rsidR="00C16F1A" w:rsidRPr="00F27422" w:rsidRDefault="00C16F1A" w:rsidP="00122B70">
      <w:pPr>
        <w:bidi/>
        <w:rPr>
          <w:sz w:val="32"/>
          <w:szCs w:val="32"/>
          <w:rtl/>
        </w:rPr>
      </w:pPr>
    </w:p>
    <w:p w14:paraId="5036F364" w14:textId="77777777" w:rsidR="008954B5" w:rsidRPr="00F27422" w:rsidRDefault="008954B5"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6724222F" w14:textId="77777777" w:rsidR="008954B5" w:rsidRPr="00F27422" w:rsidRDefault="008954B5"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704063A0"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b/>
          <w:bCs/>
          <w:sz w:val="32"/>
          <w:rtl/>
        </w:rPr>
        <w:t>واللعن الدائم على أعدائهم أجمعين إلى قيام يوم الدين</w:t>
      </w:r>
    </w:p>
    <w:p w14:paraId="713AE94F" w14:textId="77777777" w:rsidR="008954B5" w:rsidRPr="00F27422" w:rsidRDefault="008954B5" w:rsidP="00122B70">
      <w:pPr>
        <w:pStyle w:val="a"/>
        <w:bidi/>
        <w:spacing w:line="216" w:lineRule="auto"/>
        <w:jc w:val="left"/>
        <w:rPr>
          <w:rFonts w:ascii="mylotus" w:hAnsi="mylotus"/>
          <w:sz w:val="32"/>
          <w:rtl/>
          <w:lang w:bidi="ar-BH"/>
        </w:rPr>
      </w:pPr>
    </w:p>
    <w:p w14:paraId="7C156306"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b/>
          <w:bCs/>
          <w:sz w:val="32"/>
          <w:rtl/>
        </w:rPr>
        <w:t>وحاصل ما</w:t>
      </w:r>
      <w:r w:rsidRPr="00F27422">
        <w:rPr>
          <w:rFonts w:ascii="mylotus" w:hAnsi="mylotus" w:hint="cs"/>
          <w:b/>
          <w:bCs/>
          <w:sz w:val="32"/>
          <w:rtl/>
        </w:rPr>
        <w:t xml:space="preserve"> </w:t>
      </w:r>
      <w:r w:rsidRPr="00F27422">
        <w:rPr>
          <w:rFonts w:ascii="mylotus" w:hAnsi="mylotus"/>
          <w:b/>
          <w:bCs/>
          <w:sz w:val="32"/>
          <w:rtl/>
        </w:rPr>
        <w:t>سبق:</w:t>
      </w:r>
      <w:r w:rsidRPr="00F27422">
        <w:rPr>
          <w:rFonts w:ascii="mylotus" w:hAnsi="mylotus"/>
          <w:sz w:val="32"/>
          <w:rtl/>
        </w:rPr>
        <w:t xml:space="preserve"> أنّ في كلام سيدنا الخوئي (قدس سره الشريف) جهتين مِن البحث</w:t>
      </w:r>
      <w:r w:rsidRPr="00F27422">
        <w:rPr>
          <w:rFonts w:ascii="mylotus" w:hAnsi="mylotus"/>
          <w:sz w:val="32"/>
        </w:rPr>
        <w:t>:</w:t>
      </w:r>
    </w:p>
    <w:p w14:paraId="5B84C999"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b/>
          <w:bCs/>
          <w:sz w:val="32"/>
          <w:rtl/>
        </w:rPr>
        <w:t>الجهةُ الأُولى:</w:t>
      </w:r>
      <w:r w:rsidRPr="00F27422">
        <w:rPr>
          <w:rFonts w:ascii="mylotus" w:hAnsi="mylotus"/>
          <w:sz w:val="32"/>
          <w:rtl/>
        </w:rPr>
        <w:t xml:space="preserve"> في أنّ تلف المعوض أو العوض قَبل قبضه مِن مال مَن اِنتقلَ عنهُ أم لا؟</w:t>
      </w:r>
    </w:p>
    <w:p w14:paraId="1036EC7E"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b/>
          <w:bCs/>
          <w:sz w:val="32"/>
          <w:rtl/>
        </w:rPr>
        <w:t>والجهةُ الثانية:</w:t>
      </w:r>
      <w:r w:rsidRPr="00F27422">
        <w:rPr>
          <w:rFonts w:ascii="mylotus" w:hAnsi="mylotus"/>
          <w:sz w:val="32"/>
          <w:rtl/>
        </w:rPr>
        <w:t xml:space="preserve"> على فرض أنّ تلف المعوض أو العوض مِن مال مَن اِنتقل عنه، فهل أنّ ذلك محقّق لموضوع قاعدة "لا ضرر"، ومقتضاها ثبوت الخيار</w:t>
      </w:r>
      <w:r w:rsidRPr="00F27422">
        <w:rPr>
          <w:rFonts w:ascii="mylotus" w:hAnsi="mylotus"/>
          <w:sz w:val="32"/>
        </w:rPr>
        <w:t>.</w:t>
      </w:r>
    </w:p>
    <w:p w14:paraId="261B658F" w14:textId="5AA057CC" w:rsidR="008954B5" w:rsidRPr="00F27422" w:rsidRDefault="008954B5" w:rsidP="00122B70">
      <w:pPr>
        <w:pStyle w:val="a"/>
        <w:bidi/>
        <w:spacing w:line="216" w:lineRule="auto"/>
        <w:jc w:val="left"/>
        <w:rPr>
          <w:rFonts w:ascii="mylotus" w:hAnsi="mylotus"/>
          <w:sz w:val="32"/>
          <w:rtl/>
        </w:rPr>
      </w:pPr>
      <w:r w:rsidRPr="00F27422">
        <w:rPr>
          <w:rFonts w:ascii="mylotus" w:hAnsi="mylotus"/>
          <w:b/>
          <w:bCs/>
          <w:sz w:val="32"/>
          <w:rtl/>
        </w:rPr>
        <w:t xml:space="preserve">أما كلامه (قدس سره) في الجهة الأُولى ففيه </w:t>
      </w:r>
      <w:r w:rsidRPr="00F27422">
        <w:rPr>
          <w:rFonts w:ascii="mylotus" w:hAnsi="mylotus" w:hint="cs"/>
          <w:b/>
          <w:bCs/>
          <w:sz w:val="32"/>
          <w:rtl/>
        </w:rPr>
        <w:t xml:space="preserve">- </w:t>
      </w:r>
      <w:r w:rsidRPr="00F27422">
        <w:rPr>
          <w:rFonts w:ascii="mylotus" w:hAnsi="mylotus"/>
          <w:b/>
          <w:bCs/>
          <w:sz w:val="32"/>
          <w:rtl/>
        </w:rPr>
        <w:t>مضافا</w:t>
      </w:r>
      <w:r w:rsidRPr="00F27422">
        <w:rPr>
          <w:rFonts w:ascii="mylotus" w:hAnsi="mylotus" w:hint="cs"/>
          <w:b/>
          <w:bCs/>
          <w:sz w:val="32"/>
          <w:rtl/>
        </w:rPr>
        <w:t>ً</w:t>
      </w:r>
      <w:r w:rsidRPr="00F27422">
        <w:rPr>
          <w:rFonts w:ascii="mylotus" w:hAnsi="mylotus"/>
          <w:b/>
          <w:bCs/>
          <w:sz w:val="32"/>
          <w:rtl/>
        </w:rPr>
        <w:t xml:space="preserve"> لما</w:t>
      </w:r>
      <w:r w:rsidR="00DB5E7E" w:rsidRPr="00F27422">
        <w:rPr>
          <w:rFonts w:ascii="mylotus" w:hAnsi="mylotus" w:hint="cs"/>
          <w:b/>
          <w:bCs/>
          <w:sz w:val="32"/>
          <w:rtl/>
        </w:rPr>
        <w:t xml:space="preserve"> </w:t>
      </w:r>
      <w:r w:rsidRPr="00F27422">
        <w:rPr>
          <w:rFonts w:ascii="mylotus" w:hAnsi="mylotus"/>
          <w:b/>
          <w:bCs/>
          <w:sz w:val="32"/>
          <w:rtl/>
        </w:rPr>
        <w:t>مضى من التأمل في مجرى السيرة العقلائية</w:t>
      </w:r>
      <w:r w:rsidRPr="00F27422">
        <w:rPr>
          <w:rFonts w:ascii="mylotus" w:hAnsi="mylotus" w:hint="cs"/>
          <w:b/>
          <w:bCs/>
          <w:sz w:val="32"/>
          <w:rtl/>
        </w:rPr>
        <w:t xml:space="preserve"> </w:t>
      </w:r>
      <w:r w:rsidRPr="00F27422">
        <w:rPr>
          <w:rFonts w:ascii="mylotus" w:hAnsi="mylotus"/>
          <w:b/>
          <w:bCs/>
          <w:sz w:val="32"/>
          <w:rtl/>
        </w:rPr>
        <w:t>- تعليقتان</w:t>
      </w:r>
      <w:r w:rsidRPr="00F27422">
        <w:rPr>
          <w:rFonts w:ascii="mylotus" w:hAnsi="mylotus" w:hint="cs"/>
          <w:b/>
          <w:bCs/>
          <w:sz w:val="32"/>
          <w:rtl/>
        </w:rPr>
        <w:t>:</w:t>
      </w:r>
    </w:p>
    <w:p w14:paraId="0413D2E1"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hint="cs"/>
          <w:b/>
          <w:bCs/>
          <w:sz w:val="32"/>
          <w:rtl/>
        </w:rPr>
        <w:t xml:space="preserve">التعليقةُ </w:t>
      </w:r>
      <w:r w:rsidRPr="00F27422">
        <w:rPr>
          <w:rFonts w:ascii="mylotus" w:hAnsi="mylotus"/>
          <w:b/>
          <w:bCs/>
          <w:sz w:val="32"/>
          <w:rtl/>
        </w:rPr>
        <w:t>الأولى:</w:t>
      </w:r>
      <w:r w:rsidRPr="00F27422">
        <w:rPr>
          <w:rFonts w:ascii="mylotus" w:hAnsi="mylotus"/>
          <w:sz w:val="32"/>
          <w:rtl/>
        </w:rPr>
        <w:t xml:space="preserve"> قد ي</w:t>
      </w:r>
      <w:r w:rsidRPr="00F27422">
        <w:rPr>
          <w:rFonts w:ascii="mylotus" w:hAnsi="mylotus" w:hint="cs"/>
          <w:sz w:val="32"/>
          <w:rtl/>
        </w:rPr>
        <w:t>ُ</w:t>
      </w:r>
      <w:r w:rsidRPr="00F27422">
        <w:rPr>
          <w:rFonts w:ascii="mylotus" w:hAnsi="mylotus"/>
          <w:sz w:val="32"/>
          <w:rtl/>
        </w:rPr>
        <w:t>دعى اختلافُ تقرير كلامه (قدس سره)</w:t>
      </w:r>
      <w:r w:rsidRPr="00F27422">
        <w:rPr>
          <w:rFonts w:ascii="mylotus" w:hAnsi="mylotus"/>
          <w:sz w:val="32"/>
        </w:rPr>
        <w:t>.</w:t>
      </w:r>
    </w:p>
    <w:p w14:paraId="078DB07F" w14:textId="77777777" w:rsidR="008954B5" w:rsidRPr="00F27422" w:rsidRDefault="008954B5" w:rsidP="00122B70">
      <w:pPr>
        <w:pStyle w:val="a"/>
        <w:bidi/>
        <w:spacing w:line="216" w:lineRule="auto"/>
        <w:jc w:val="left"/>
        <w:rPr>
          <w:rFonts w:ascii="mylotus" w:hAnsi="mylotus"/>
          <w:b/>
          <w:bCs/>
          <w:sz w:val="32"/>
          <w:rtl/>
          <w:lang w:bidi="ar-BH"/>
        </w:rPr>
      </w:pPr>
      <w:r w:rsidRPr="00F27422">
        <w:rPr>
          <w:rFonts w:ascii="mylotus" w:hAnsi="mylotus"/>
          <w:sz w:val="32"/>
          <w:rtl/>
        </w:rPr>
        <w:t>ففي كتاب مصباح الفقاهة</w:t>
      </w:r>
      <w:r w:rsidRPr="00F27422">
        <w:rPr>
          <w:rStyle w:val="FootnoteReference"/>
          <w:rFonts w:ascii="mylotus" w:hAnsi="mylotus"/>
          <w:sz w:val="32"/>
          <w:rtl/>
        </w:rPr>
        <w:footnoteReference w:id="157"/>
      </w:r>
      <w:r w:rsidRPr="00F27422">
        <w:rPr>
          <w:rFonts w:ascii="mylotus" w:hAnsi="mylotus"/>
          <w:sz w:val="32"/>
          <w:rtl/>
        </w:rPr>
        <w:t xml:space="preserve"> أفيد بأنّ تلف المبيع قَبل قبضه موجبٌ لانفساخ المعاملة، بحسب ما</w:t>
      </w:r>
      <w:r w:rsidRPr="00F27422">
        <w:rPr>
          <w:rFonts w:ascii="mylotus" w:hAnsi="mylotus" w:hint="cs"/>
          <w:sz w:val="32"/>
          <w:rtl/>
        </w:rPr>
        <w:t xml:space="preserve"> </w:t>
      </w:r>
      <w:r w:rsidRPr="00F27422">
        <w:rPr>
          <w:rFonts w:ascii="mylotus" w:hAnsi="mylotus"/>
          <w:sz w:val="32"/>
          <w:rtl/>
        </w:rPr>
        <w:t xml:space="preserve">ذكره بقوله: </w:t>
      </w:r>
      <w:r w:rsidRPr="00F27422">
        <w:rPr>
          <w:rFonts w:ascii="mylotus" w:hAnsi="mylotus"/>
          <w:b/>
          <w:bCs/>
          <w:sz w:val="32"/>
          <w:rtl/>
        </w:rPr>
        <w:t>(وعلى الجملة فلا دليل)</w:t>
      </w:r>
      <w:r w:rsidRPr="00F27422">
        <w:rPr>
          <w:rFonts w:ascii="mylotus" w:hAnsi="mylotus"/>
          <w:sz w:val="32"/>
          <w:rtl/>
        </w:rPr>
        <w:t xml:space="preserve"> أي: لا دليل لفظي </w:t>
      </w:r>
      <w:r w:rsidRPr="00F27422">
        <w:rPr>
          <w:rFonts w:ascii="mylotus" w:hAnsi="mylotus"/>
          <w:b/>
          <w:bCs/>
          <w:sz w:val="32"/>
          <w:rtl/>
        </w:rPr>
        <w:t xml:space="preserve">(على أن التلف للمبيع قبل القبض من مال </w:t>
      </w:r>
      <w:proofErr w:type="spellStart"/>
      <w:r w:rsidRPr="00F27422">
        <w:rPr>
          <w:rFonts w:ascii="mylotus" w:hAnsi="mylotus"/>
          <w:b/>
          <w:bCs/>
          <w:sz w:val="32"/>
          <w:rtl/>
        </w:rPr>
        <w:t>البايع</w:t>
      </w:r>
      <w:proofErr w:type="spellEnd"/>
      <w:r w:rsidRPr="00F27422">
        <w:rPr>
          <w:rFonts w:ascii="mylotus" w:hAnsi="mylotus"/>
          <w:b/>
          <w:bCs/>
          <w:sz w:val="32"/>
          <w:rtl/>
        </w:rPr>
        <w:t xml:space="preserve">، نعم يمكن الالتزام بذلك بحسب الارتكاز العقلائي، فإن بناء العقلاء قائم على أن التلف قبل القبض يحسب على </w:t>
      </w:r>
      <w:proofErr w:type="spellStart"/>
      <w:r w:rsidRPr="00F27422">
        <w:rPr>
          <w:rFonts w:ascii="mylotus" w:hAnsi="mylotus"/>
          <w:b/>
          <w:bCs/>
          <w:sz w:val="32"/>
          <w:rtl/>
        </w:rPr>
        <w:t>البايع</w:t>
      </w:r>
      <w:proofErr w:type="spellEnd"/>
      <w:r w:rsidRPr="00F27422">
        <w:rPr>
          <w:rFonts w:ascii="mylotus" w:hAnsi="mylotus"/>
          <w:b/>
          <w:bCs/>
          <w:sz w:val="32"/>
          <w:rtl/>
        </w:rPr>
        <w:t xml:space="preserve"> إذ الأخذ والإعطاء من متممات البيع، وعليه فمع تلف المبيع لا يبقى مجال </w:t>
      </w:r>
      <w:proofErr w:type="gramStart"/>
      <w:r w:rsidRPr="00F27422">
        <w:rPr>
          <w:rFonts w:ascii="mylotus" w:hAnsi="mylotus"/>
          <w:b/>
          <w:bCs/>
          <w:sz w:val="32"/>
          <w:rtl/>
        </w:rPr>
        <w:t>للبيع</w:t>
      </w:r>
      <w:proofErr w:type="gramEnd"/>
      <w:r w:rsidRPr="00F27422">
        <w:rPr>
          <w:rFonts w:ascii="mylotus" w:hAnsi="mylotus"/>
          <w:b/>
          <w:bCs/>
          <w:sz w:val="32"/>
          <w:rtl/>
        </w:rPr>
        <w:t xml:space="preserve"> بل ينفسخ من أصله، إذ البيع مبادلة مال بمال فمع تلف المبيع أي </w:t>
      </w:r>
      <w:proofErr w:type="spellStart"/>
      <w:r w:rsidRPr="00F27422">
        <w:rPr>
          <w:rFonts w:ascii="mylotus" w:hAnsi="mylotus"/>
          <w:b/>
          <w:bCs/>
          <w:sz w:val="32"/>
          <w:rtl/>
        </w:rPr>
        <w:t>شئ</w:t>
      </w:r>
      <w:proofErr w:type="spellEnd"/>
      <w:r w:rsidRPr="00F27422">
        <w:rPr>
          <w:rFonts w:ascii="mylotus" w:hAnsi="mylotus"/>
          <w:b/>
          <w:bCs/>
          <w:sz w:val="32"/>
          <w:rtl/>
        </w:rPr>
        <w:t xml:space="preserve"> يعطي </w:t>
      </w:r>
      <w:proofErr w:type="spellStart"/>
      <w:r w:rsidRPr="00F27422">
        <w:rPr>
          <w:rFonts w:ascii="mylotus" w:hAnsi="mylotus"/>
          <w:b/>
          <w:bCs/>
          <w:sz w:val="32"/>
          <w:rtl/>
        </w:rPr>
        <w:t>البايع</w:t>
      </w:r>
      <w:proofErr w:type="spellEnd"/>
      <w:r w:rsidRPr="00F27422">
        <w:rPr>
          <w:rFonts w:ascii="mylotus" w:hAnsi="mylotus"/>
          <w:b/>
          <w:bCs/>
          <w:sz w:val="32"/>
          <w:rtl/>
        </w:rPr>
        <w:t xml:space="preserve"> للمشترى ومع انتفاء القبض فلا إعطاء)</w:t>
      </w:r>
      <w:r w:rsidRPr="00F27422">
        <w:rPr>
          <w:rFonts w:ascii="mylotus" w:hAnsi="mylotus"/>
          <w:b/>
          <w:bCs/>
          <w:sz w:val="32"/>
        </w:rPr>
        <w:t>.</w:t>
      </w:r>
    </w:p>
    <w:p w14:paraId="61B8B8CC"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sz w:val="32"/>
          <w:rtl/>
        </w:rPr>
        <w:t xml:space="preserve">وظاهرُ كلامه (قدس سره) أنّ مجرى الارتكاز العقلائي </w:t>
      </w:r>
      <w:proofErr w:type="gramStart"/>
      <w:r w:rsidRPr="00F27422">
        <w:rPr>
          <w:rFonts w:ascii="mylotus" w:hAnsi="mylotus"/>
          <w:sz w:val="32"/>
          <w:rtl/>
        </w:rPr>
        <w:t>الذي  ارتضاه</w:t>
      </w:r>
      <w:proofErr w:type="gramEnd"/>
      <w:r w:rsidRPr="00F27422">
        <w:rPr>
          <w:rFonts w:ascii="mylotus" w:hAnsi="mylotus"/>
          <w:sz w:val="32"/>
          <w:rtl/>
        </w:rPr>
        <w:t xml:space="preserve"> هو القولُ بالانفساخ</w:t>
      </w:r>
      <w:r w:rsidRPr="00F27422">
        <w:rPr>
          <w:rFonts w:ascii="mylotus" w:hAnsi="mylotus"/>
          <w:sz w:val="32"/>
        </w:rPr>
        <w:t>.</w:t>
      </w:r>
    </w:p>
    <w:p w14:paraId="069660F3" w14:textId="77777777" w:rsidR="008954B5" w:rsidRPr="00F27422" w:rsidRDefault="008954B5" w:rsidP="00122B70">
      <w:pPr>
        <w:pStyle w:val="a"/>
        <w:bidi/>
        <w:spacing w:line="216" w:lineRule="auto"/>
        <w:jc w:val="left"/>
        <w:rPr>
          <w:rFonts w:ascii="mylotus" w:hAnsi="mylotus"/>
          <w:sz w:val="32"/>
          <w:rtl/>
        </w:rPr>
      </w:pPr>
      <w:r w:rsidRPr="00F27422">
        <w:rPr>
          <w:rFonts w:ascii="mylotus" w:hAnsi="mylotus"/>
          <w:sz w:val="32"/>
          <w:rtl/>
        </w:rPr>
        <w:t xml:space="preserve">بينما المذكور في تقريره الآخر </w:t>
      </w:r>
      <w:r w:rsidRPr="00F27422">
        <w:rPr>
          <w:rFonts w:ascii="mylotus" w:hAnsi="mylotus" w:hint="cs"/>
          <w:sz w:val="32"/>
          <w:rtl/>
        </w:rPr>
        <w:t xml:space="preserve">في كتاب </w:t>
      </w:r>
      <w:r w:rsidRPr="00F27422">
        <w:rPr>
          <w:rFonts w:ascii="mylotus" w:hAnsi="mylotus"/>
          <w:sz w:val="32"/>
          <w:rtl/>
        </w:rPr>
        <w:t>التنقيح</w:t>
      </w:r>
      <w:r w:rsidRPr="00F27422">
        <w:rPr>
          <w:rStyle w:val="FootnoteReference"/>
          <w:rFonts w:ascii="mylotus" w:hAnsi="mylotus"/>
          <w:sz w:val="32"/>
          <w:rtl/>
        </w:rPr>
        <w:footnoteReference w:id="158"/>
      </w:r>
      <w:r w:rsidRPr="00F27422">
        <w:rPr>
          <w:rFonts w:ascii="mylotus" w:hAnsi="mylotus"/>
          <w:sz w:val="32"/>
          <w:rtl/>
        </w:rPr>
        <w:t xml:space="preserve"> هو كون ضمانه ق</w:t>
      </w:r>
      <w:r w:rsidRPr="00F27422">
        <w:rPr>
          <w:rFonts w:ascii="mylotus" w:hAnsi="mylotus" w:hint="cs"/>
          <w:sz w:val="32"/>
          <w:rtl/>
        </w:rPr>
        <w:t>َ</w:t>
      </w:r>
      <w:r w:rsidRPr="00F27422">
        <w:rPr>
          <w:rFonts w:ascii="mylotus" w:hAnsi="mylotus"/>
          <w:sz w:val="32"/>
          <w:rtl/>
        </w:rPr>
        <w:t>بل قبضه على م</w:t>
      </w:r>
      <w:r w:rsidRPr="00F27422">
        <w:rPr>
          <w:rFonts w:ascii="mylotus" w:hAnsi="mylotus" w:hint="cs"/>
          <w:sz w:val="32"/>
          <w:rtl/>
        </w:rPr>
        <w:t>َ</w:t>
      </w:r>
      <w:r w:rsidRPr="00F27422">
        <w:rPr>
          <w:rFonts w:ascii="mylotus" w:hAnsi="mylotus"/>
          <w:sz w:val="32"/>
          <w:rtl/>
        </w:rPr>
        <w:t>ن ا</w:t>
      </w:r>
      <w:r w:rsidRPr="00F27422">
        <w:rPr>
          <w:rFonts w:ascii="mylotus" w:hAnsi="mylotus" w:hint="cs"/>
          <w:sz w:val="32"/>
          <w:rtl/>
        </w:rPr>
        <w:t>ِ</w:t>
      </w:r>
      <w:r w:rsidRPr="00F27422">
        <w:rPr>
          <w:rFonts w:ascii="mylotus" w:hAnsi="mylotus"/>
          <w:sz w:val="32"/>
          <w:rtl/>
        </w:rPr>
        <w:t>نتقل عنه</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 xml:space="preserve">- </w:t>
      </w:r>
      <w:r w:rsidRPr="00F27422">
        <w:rPr>
          <w:rFonts w:ascii="mylotus" w:hAnsi="mylotus"/>
          <w:sz w:val="32"/>
          <w:rtl/>
        </w:rPr>
        <w:t>لا انفساخ المعاملة</w:t>
      </w:r>
      <w:r w:rsidRPr="00F27422">
        <w:rPr>
          <w:rFonts w:ascii="mylotus" w:hAnsi="mylotus" w:hint="cs"/>
          <w:sz w:val="32"/>
          <w:rtl/>
        </w:rPr>
        <w:t xml:space="preserve"> -.</w:t>
      </w:r>
    </w:p>
    <w:p w14:paraId="521200E6" w14:textId="77777777" w:rsidR="008954B5" w:rsidRPr="00F27422" w:rsidRDefault="008954B5" w:rsidP="00122B70">
      <w:pPr>
        <w:pStyle w:val="a"/>
        <w:bidi/>
        <w:spacing w:line="216" w:lineRule="auto"/>
        <w:jc w:val="left"/>
        <w:rPr>
          <w:rFonts w:ascii="mylotus" w:hAnsi="mylotus"/>
          <w:b/>
          <w:bCs/>
          <w:sz w:val="32"/>
          <w:rtl/>
          <w:lang w:bidi="ar-BH"/>
        </w:rPr>
      </w:pPr>
      <w:r w:rsidRPr="00F27422">
        <w:rPr>
          <w:rFonts w:ascii="mylotus" w:hAnsi="mylotus"/>
          <w:sz w:val="32"/>
          <w:rtl/>
        </w:rPr>
        <w:t>ولكن الظاهر أن</w:t>
      </w:r>
      <w:r w:rsidRPr="00F27422">
        <w:rPr>
          <w:rFonts w:ascii="mylotus" w:hAnsi="mylotus" w:hint="cs"/>
          <w:sz w:val="32"/>
          <w:rtl/>
        </w:rPr>
        <w:t>ّ</w:t>
      </w:r>
      <w:r w:rsidRPr="00F27422">
        <w:rPr>
          <w:rFonts w:ascii="mylotus" w:hAnsi="mylotus"/>
          <w:sz w:val="32"/>
          <w:rtl/>
        </w:rPr>
        <w:t xml:space="preserve"> مقصوده في كلا التقريرين واحد</w:t>
      </w:r>
      <w:r w:rsidRPr="00F27422">
        <w:rPr>
          <w:rFonts w:ascii="mylotus" w:hAnsi="mylotus" w:hint="cs"/>
          <w:sz w:val="32"/>
          <w:rtl/>
        </w:rPr>
        <w:t>ٌ</w:t>
      </w:r>
      <w:r w:rsidRPr="00F27422">
        <w:rPr>
          <w:rFonts w:ascii="mylotus" w:hAnsi="mylotus"/>
          <w:sz w:val="32"/>
          <w:rtl/>
        </w:rPr>
        <w:t xml:space="preserve"> وإن</w:t>
      </w:r>
      <w:r w:rsidRPr="00F27422">
        <w:rPr>
          <w:rFonts w:ascii="mylotus" w:hAnsi="mylotus" w:hint="cs"/>
          <w:sz w:val="32"/>
          <w:rtl/>
        </w:rPr>
        <w:t>ْ</w:t>
      </w:r>
      <w:r w:rsidRPr="00F27422">
        <w:rPr>
          <w:rFonts w:ascii="mylotus" w:hAnsi="mylotus"/>
          <w:sz w:val="32"/>
          <w:rtl/>
        </w:rPr>
        <w:t xml:space="preserve"> اضطربت العبارات في التنقيح</w:t>
      </w:r>
      <w:r w:rsidRPr="00F27422">
        <w:rPr>
          <w:rFonts w:ascii="mylotus" w:hAnsi="mylotus" w:hint="cs"/>
          <w:sz w:val="32"/>
          <w:rtl/>
        </w:rPr>
        <w:t>،</w:t>
      </w:r>
      <w:r w:rsidRPr="00F27422">
        <w:rPr>
          <w:rFonts w:ascii="mylotus" w:hAnsi="mylotus"/>
          <w:sz w:val="32"/>
          <w:rtl/>
        </w:rPr>
        <w:t xml:space="preserve"> حيثُ قال: </w:t>
      </w:r>
      <w:r w:rsidRPr="00F27422">
        <w:rPr>
          <w:rFonts w:ascii="mylotus" w:hAnsi="mylotus"/>
          <w:b/>
          <w:bCs/>
          <w:sz w:val="32"/>
          <w:rtl/>
        </w:rPr>
        <w:t>(الكلام في الأحكام المترتّبة على القبض</w:t>
      </w:r>
    </w:p>
    <w:p w14:paraId="17B9615B" w14:textId="77777777" w:rsidR="008954B5" w:rsidRPr="00F27422" w:rsidRDefault="008954B5" w:rsidP="00122B70">
      <w:pPr>
        <w:pStyle w:val="a"/>
        <w:bidi/>
        <w:spacing w:line="216" w:lineRule="auto"/>
        <w:jc w:val="left"/>
        <w:rPr>
          <w:rFonts w:ascii="mylotus" w:hAnsi="mylotus"/>
          <w:b/>
          <w:bCs/>
          <w:sz w:val="32"/>
          <w:rtl/>
          <w:lang w:bidi="ar-BH"/>
        </w:rPr>
      </w:pPr>
      <w:r w:rsidRPr="00F27422">
        <w:rPr>
          <w:rFonts w:ascii="mylotus" w:hAnsi="mylotus"/>
          <w:b/>
          <w:bCs/>
          <w:sz w:val="32"/>
          <w:rtl/>
        </w:rPr>
        <w:t>منها: انتقال ضمان المبيع إلى المشتري)</w:t>
      </w:r>
      <w:r w:rsidRPr="00F27422">
        <w:rPr>
          <w:rFonts w:ascii="mylotus" w:hAnsi="mylotus"/>
          <w:sz w:val="32"/>
          <w:rtl/>
        </w:rPr>
        <w:t xml:space="preserve"> إذا </w:t>
      </w:r>
      <w:proofErr w:type="gramStart"/>
      <w:r w:rsidRPr="00F27422">
        <w:rPr>
          <w:rFonts w:ascii="mylotus" w:hAnsi="mylotus"/>
          <w:sz w:val="32"/>
          <w:rtl/>
        </w:rPr>
        <w:t>استلم</w:t>
      </w:r>
      <w:proofErr w:type="gramEnd"/>
      <w:r w:rsidRPr="00F27422">
        <w:rPr>
          <w:rFonts w:ascii="mylotus" w:hAnsi="mylotus"/>
          <w:sz w:val="32"/>
          <w:rtl/>
        </w:rPr>
        <w:t xml:space="preserve"> المبيع </w:t>
      </w:r>
      <w:r w:rsidRPr="00F27422">
        <w:rPr>
          <w:rFonts w:ascii="mylotus" w:hAnsi="mylotus"/>
          <w:b/>
          <w:bCs/>
          <w:sz w:val="32"/>
          <w:rtl/>
        </w:rPr>
        <w:t>(فإنه ما لم يقبضه على بائعه</w:t>
      </w:r>
      <w:r w:rsidRPr="00F27422">
        <w:rPr>
          <w:rFonts w:ascii="mylotus" w:hAnsi="mylotus" w:hint="cs"/>
          <w:b/>
          <w:bCs/>
          <w:sz w:val="32"/>
          <w:rtl/>
        </w:rPr>
        <w:t>).</w:t>
      </w:r>
    </w:p>
    <w:p w14:paraId="3DD8A5D1" w14:textId="77777777" w:rsidR="008954B5" w:rsidRPr="00F27422" w:rsidRDefault="008954B5" w:rsidP="00122B70">
      <w:pPr>
        <w:pStyle w:val="a"/>
        <w:bidi/>
        <w:spacing w:line="216" w:lineRule="auto"/>
        <w:jc w:val="left"/>
        <w:rPr>
          <w:rFonts w:ascii="mylotus" w:hAnsi="mylotus"/>
          <w:sz w:val="32"/>
          <w:rtl/>
        </w:rPr>
      </w:pPr>
      <w:r w:rsidRPr="00F27422">
        <w:rPr>
          <w:rFonts w:ascii="mylotus" w:hAnsi="mylotus"/>
          <w:sz w:val="32"/>
          <w:rtl/>
        </w:rPr>
        <w:t xml:space="preserve">والظاهر البدوي من سياق العبارة هو الضمانُ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الانفساخ</w:t>
      </w:r>
      <w:r w:rsidRPr="00F27422">
        <w:rPr>
          <w:rFonts w:ascii="mylotus" w:hAnsi="mylotus"/>
          <w:sz w:val="32"/>
          <w:rtl/>
        </w:rPr>
        <w:t xml:space="preserve"> -</w:t>
      </w:r>
      <w:r w:rsidRPr="00F27422">
        <w:rPr>
          <w:rFonts w:ascii="mylotus" w:hAnsi="mylotus" w:hint="cs"/>
          <w:sz w:val="32"/>
          <w:rtl/>
        </w:rPr>
        <w:t>.</w:t>
      </w:r>
    </w:p>
    <w:p w14:paraId="3B5E20E3"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hint="cs"/>
          <w:sz w:val="32"/>
          <w:rtl/>
        </w:rPr>
        <w:t>لكنه</w:t>
      </w:r>
      <w:r w:rsidRPr="00F27422">
        <w:rPr>
          <w:rFonts w:ascii="mylotus" w:hAnsi="mylotus"/>
          <w:sz w:val="32"/>
          <w:rtl/>
        </w:rPr>
        <w:t xml:space="preserve"> </w:t>
      </w:r>
      <w:r w:rsidRPr="00F27422">
        <w:rPr>
          <w:rFonts w:ascii="mylotus" w:hAnsi="mylotus" w:hint="cs"/>
          <w:sz w:val="32"/>
          <w:rtl/>
        </w:rPr>
        <w:t>قال</w:t>
      </w:r>
      <w:r w:rsidRPr="00F27422">
        <w:rPr>
          <w:rFonts w:ascii="mylotus" w:hAnsi="mylotus"/>
          <w:sz w:val="32"/>
          <w:rtl/>
        </w:rPr>
        <w:t xml:space="preserve"> </w:t>
      </w:r>
      <w:r w:rsidRPr="00F27422">
        <w:rPr>
          <w:rFonts w:ascii="mylotus" w:hAnsi="mylotus" w:hint="cs"/>
          <w:sz w:val="32"/>
          <w:rtl/>
        </w:rPr>
        <w:t>بعد</w:t>
      </w:r>
      <w:r w:rsidRPr="00F27422">
        <w:rPr>
          <w:rFonts w:ascii="mylotus" w:hAnsi="mylotus"/>
          <w:sz w:val="32"/>
          <w:rtl/>
        </w:rPr>
        <w:t xml:space="preserve"> </w:t>
      </w:r>
      <w:r w:rsidRPr="00F27422">
        <w:rPr>
          <w:rFonts w:ascii="mylotus" w:hAnsi="mylotus" w:hint="cs"/>
          <w:sz w:val="32"/>
          <w:rtl/>
        </w:rPr>
        <w:t>ذلك:</w:t>
      </w:r>
      <w:r w:rsidRPr="00F27422">
        <w:rPr>
          <w:rFonts w:ascii="mylotus" w:hAnsi="mylotus" w:hint="cs"/>
          <w:sz w:val="32"/>
          <w:rtl/>
          <w:lang w:bidi="ar-BH"/>
        </w:rPr>
        <w:t xml:space="preserve"> </w:t>
      </w:r>
      <w:r w:rsidRPr="00F27422">
        <w:rPr>
          <w:rFonts w:ascii="mylotus" w:hAnsi="mylotus" w:hint="cs"/>
          <w:sz w:val="32"/>
          <w:rtl/>
        </w:rPr>
        <w:t>(</w:t>
      </w:r>
      <w:r w:rsidRPr="00F27422">
        <w:rPr>
          <w:rFonts w:ascii="mylotus" w:hAnsi="mylotus"/>
          <w:sz w:val="32"/>
          <w:rtl/>
        </w:rPr>
        <w:t>والكلام في ذلك في جهات</w:t>
      </w:r>
      <w:r w:rsidRPr="00F27422">
        <w:rPr>
          <w:rFonts w:ascii="mylotus" w:hAnsi="mylotus"/>
          <w:sz w:val="32"/>
        </w:rPr>
        <w:t>:</w:t>
      </w:r>
    </w:p>
    <w:p w14:paraId="252075C4" w14:textId="77777777" w:rsidR="008954B5" w:rsidRPr="00F27422" w:rsidRDefault="008954B5" w:rsidP="00122B70">
      <w:pPr>
        <w:pStyle w:val="a"/>
        <w:bidi/>
        <w:spacing w:line="216" w:lineRule="auto"/>
        <w:jc w:val="left"/>
        <w:rPr>
          <w:rFonts w:ascii="mylotus" w:hAnsi="mylotus"/>
          <w:b/>
          <w:bCs/>
          <w:sz w:val="32"/>
          <w:rtl/>
          <w:lang w:bidi="ar-BH"/>
        </w:rPr>
      </w:pPr>
      <w:r w:rsidRPr="00F27422">
        <w:rPr>
          <w:rFonts w:ascii="mylotus" w:hAnsi="mylotus"/>
          <w:b/>
          <w:bCs/>
          <w:sz w:val="32"/>
          <w:rtl/>
        </w:rPr>
        <w:t>الجهة الاُولى: في مدرك هذه القاعدة وأنّ المبيع مع أنه ملك المشتري كيف يكون ضمانه ودركه على بائعه فيما إذا تلف قبل قبضه وأنه يوجب انفساخ المعاملة وأنّ مدرك ذلك أي شيء، وهذه القاعدة مسلّمة عند الأصحاب، بل يظهر من كلمات شيخنا الأنصاري (قدّس سرّه) أنّها ممّا لا خلاف فيه عند العامة أيضاً، فعليه فالقاعدة متسالم عليها بين المسلمين، وإنما الكلام في مدركها</w:t>
      </w:r>
      <w:r w:rsidRPr="00F27422">
        <w:rPr>
          <w:rFonts w:ascii="mylotus" w:hAnsi="mylotus"/>
          <w:b/>
          <w:bCs/>
          <w:sz w:val="32"/>
        </w:rPr>
        <w:t>.</w:t>
      </w:r>
    </w:p>
    <w:p w14:paraId="695296C0" w14:textId="77777777" w:rsidR="008954B5" w:rsidRPr="00F27422" w:rsidRDefault="008954B5" w:rsidP="00122B70">
      <w:pPr>
        <w:pStyle w:val="a"/>
        <w:bidi/>
        <w:spacing w:line="216" w:lineRule="auto"/>
        <w:jc w:val="left"/>
        <w:rPr>
          <w:rFonts w:ascii="mylotus" w:hAnsi="mylotus"/>
          <w:b/>
          <w:bCs/>
          <w:sz w:val="32"/>
          <w:rtl/>
          <w:lang w:bidi="ar-BH"/>
        </w:rPr>
      </w:pPr>
      <w:r w:rsidRPr="00F27422">
        <w:rPr>
          <w:rFonts w:ascii="mylotus" w:hAnsi="mylotus"/>
          <w:b/>
          <w:bCs/>
          <w:sz w:val="32"/>
          <w:rtl/>
        </w:rPr>
        <w:t>وما يحتمل أن يستند إليه في المقام اُمور</w:t>
      </w:r>
      <w:r w:rsidRPr="00F27422">
        <w:rPr>
          <w:rFonts w:ascii="mylotus" w:hAnsi="mylotus"/>
          <w:b/>
          <w:bCs/>
          <w:sz w:val="32"/>
        </w:rPr>
        <w:t>:</w:t>
      </w:r>
    </w:p>
    <w:p w14:paraId="206E2695" w14:textId="77777777" w:rsidR="008954B5" w:rsidRPr="00F27422" w:rsidRDefault="008954B5" w:rsidP="00122B70">
      <w:pPr>
        <w:pStyle w:val="a"/>
        <w:bidi/>
        <w:spacing w:line="216" w:lineRule="auto"/>
        <w:jc w:val="left"/>
        <w:rPr>
          <w:rFonts w:ascii="mylotus" w:hAnsi="mylotus"/>
          <w:b/>
          <w:bCs/>
          <w:sz w:val="32"/>
          <w:rtl/>
          <w:lang w:bidi="ar-BH"/>
        </w:rPr>
      </w:pPr>
      <w:r w:rsidRPr="00F27422">
        <w:rPr>
          <w:rFonts w:ascii="mylotus" w:hAnsi="mylotus"/>
          <w:b/>
          <w:bCs/>
          <w:sz w:val="32"/>
          <w:rtl/>
        </w:rPr>
        <w:t>أحدها: الرواية النبوية من أنّ (كل مبيع تلف قبل قبضه فهو من مال بائعه)</w:t>
      </w:r>
      <w:r w:rsidRPr="00F27422">
        <w:rPr>
          <w:rStyle w:val="FootnoteReference"/>
          <w:rFonts w:ascii="mylotus" w:hAnsi="mylotus"/>
          <w:sz w:val="32"/>
          <w:rtl/>
        </w:rPr>
        <w:footnoteReference w:id="159"/>
      </w:r>
      <w:r w:rsidRPr="00F27422">
        <w:rPr>
          <w:rFonts w:ascii="mylotus" w:hAnsi="mylotus"/>
          <w:b/>
          <w:bCs/>
          <w:sz w:val="32"/>
          <w:rtl/>
        </w:rPr>
        <w:t xml:space="preserve"> ومقتضاها أنّ تلفه قبل قبضه يوجب انفساخ المعاملة فيكون تلفه في ملك البائع</w:t>
      </w:r>
      <w:r w:rsidRPr="00F27422">
        <w:rPr>
          <w:rFonts w:ascii="mylotus" w:hAnsi="mylotus"/>
          <w:b/>
          <w:bCs/>
          <w:sz w:val="32"/>
        </w:rPr>
        <w:t>.</w:t>
      </w:r>
    </w:p>
    <w:p w14:paraId="3CCAEC02" w14:textId="77777777" w:rsidR="008954B5" w:rsidRPr="00F27422" w:rsidRDefault="008954B5" w:rsidP="00122B70">
      <w:pPr>
        <w:pStyle w:val="a"/>
        <w:bidi/>
        <w:spacing w:line="216" w:lineRule="auto"/>
        <w:jc w:val="left"/>
        <w:rPr>
          <w:rFonts w:ascii="mylotus" w:hAnsi="mylotus"/>
          <w:b/>
          <w:bCs/>
          <w:sz w:val="32"/>
          <w:rtl/>
          <w:lang w:bidi="ar-BH"/>
        </w:rPr>
      </w:pPr>
      <w:r w:rsidRPr="00F27422">
        <w:rPr>
          <w:rFonts w:ascii="mylotus" w:hAnsi="mylotus"/>
          <w:b/>
          <w:bCs/>
          <w:sz w:val="32"/>
          <w:rtl/>
        </w:rPr>
        <w:lastRenderedPageBreak/>
        <w:t>والاستدلال بها في المقام يتوقّف على القول باعتبار النبويات ولو بدعوى انجبار ضعفها بعمل الأصحاب، أمّا إذا أنكرنا الانجبار بعمل المشهور وقلنا بعدم اعتبار النبويات كما ذكرناهما في محلّه فلا يبقى للاعتماد عليها مجال</w:t>
      </w:r>
      <w:r w:rsidRPr="00F27422">
        <w:rPr>
          <w:rFonts w:ascii="mylotus" w:hAnsi="mylotus"/>
          <w:b/>
          <w:bCs/>
          <w:sz w:val="32"/>
        </w:rPr>
        <w:t>.</w:t>
      </w:r>
    </w:p>
    <w:p w14:paraId="4FCCE650" w14:textId="77777777" w:rsidR="008954B5" w:rsidRPr="00F27422" w:rsidRDefault="008954B5" w:rsidP="00122B70">
      <w:pPr>
        <w:pStyle w:val="a"/>
        <w:bidi/>
        <w:spacing w:line="216" w:lineRule="auto"/>
        <w:jc w:val="left"/>
        <w:rPr>
          <w:rFonts w:ascii="mylotus" w:hAnsi="mylotus"/>
          <w:b/>
          <w:bCs/>
          <w:sz w:val="32"/>
          <w:rtl/>
          <w:lang w:bidi="ar-BH"/>
        </w:rPr>
      </w:pPr>
      <w:r w:rsidRPr="00F27422">
        <w:rPr>
          <w:rFonts w:ascii="mylotus" w:hAnsi="mylotus"/>
          <w:b/>
          <w:bCs/>
          <w:sz w:val="32"/>
          <w:rtl/>
        </w:rPr>
        <w:t>وثانيها: رواية عقبة بن خالد</w:t>
      </w:r>
      <w:r w:rsidRPr="00F27422">
        <w:rPr>
          <w:rStyle w:val="FootnoteReference"/>
          <w:rFonts w:ascii="mylotus" w:hAnsi="mylotus"/>
          <w:sz w:val="32"/>
          <w:rtl/>
        </w:rPr>
        <w:footnoteReference w:id="160"/>
      </w:r>
      <w:r w:rsidRPr="00F27422">
        <w:rPr>
          <w:rFonts w:ascii="mylotus" w:hAnsi="mylotus"/>
          <w:b/>
          <w:bCs/>
          <w:sz w:val="32"/>
          <w:rtl/>
        </w:rPr>
        <w:t xml:space="preserve"> في رجل اشترى متاعاً من رجل وتلف قبل أن يقبضه من المشتري فعلى من يكون ضمانه؟ قال (عليه السلام) ضمانه على مالكه حتى يخرجه من بيته ويقبضه المشتري، ومقتضى هذه الرواية أيضاً أنّ تلف المبيع قبل قبضه يوجب انفساخ المعاملة ودركه على بائعه</w:t>
      </w:r>
      <w:r w:rsidRPr="00F27422">
        <w:rPr>
          <w:rFonts w:ascii="mylotus" w:hAnsi="mylotus" w:hint="cs"/>
          <w:b/>
          <w:bCs/>
          <w:sz w:val="32"/>
          <w:rtl/>
        </w:rPr>
        <w:t>).</w:t>
      </w:r>
    </w:p>
    <w:p w14:paraId="02AC5FE3"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sz w:val="32"/>
          <w:rtl/>
        </w:rPr>
        <w:t>وظاهر</w:t>
      </w:r>
      <w:r w:rsidRPr="00F27422">
        <w:rPr>
          <w:rFonts w:ascii="mylotus" w:hAnsi="mylotus" w:hint="cs"/>
          <w:sz w:val="32"/>
          <w:rtl/>
        </w:rPr>
        <w:t xml:space="preserve">ُ </w:t>
      </w:r>
      <w:r w:rsidRPr="00F27422">
        <w:rPr>
          <w:rFonts w:ascii="mylotus" w:hAnsi="mylotus"/>
          <w:sz w:val="32"/>
          <w:rtl/>
        </w:rPr>
        <w:t>بعض العبارات وإنْ عبرتْ بالضمان إلّا أنّ المقصود بالضمان هو الخسارةُ الموجبة للانفساخ</w:t>
      </w:r>
      <w:r w:rsidRPr="00F27422">
        <w:rPr>
          <w:rFonts w:ascii="mylotus" w:hAnsi="mylotus"/>
          <w:sz w:val="32"/>
        </w:rPr>
        <w:t>.</w:t>
      </w:r>
    </w:p>
    <w:p w14:paraId="29E72C42"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b/>
          <w:bCs/>
          <w:sz w:val="32"/>
          <w:rtl/>
        </w:rPr>
        <w:t>نعم</w:t>
      </w:r>
      <w:r w:rsidRPr="00F27422">
        <w:rPr>
          <w:rFonts w:ascii="mylotus" w:hAnsi="mylotus" w:hint="cs"/>
          <w:b/>
          <w:bCs/>
          <w:sz w:val="32"/>
          <w:rtl/>
        </w:rPr>
        <w:t>،</w:t>
      </w:r>
      <w:r w:rsidRPr="00F27422">
        <w:rPr>
          <w:rFonts w:ascii="mylotus" w:hAnsi="mylotus"/>
          <w:b/>
          <w:bCs/>
          <w:sz w:val="32"/>
          <w:rtl/>
        </w:rPr>
        <w:t xml:space="preserve"> يلاحظ عليه</w:t>
      </w:r>
      <w:r w:rsidRPr="00F27422">
        <w:rPr>
          <w:rFonts w:ascii="mylotus" w:hAnsi="mylotus" w:hint="cs"/>
          <w:sz w:val="32"/>
          <w:rtl/>
        </w:rPr>
        <w:t>:</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ه قد أفاد (قدس سره</w:t>
      </w:r>
      <w:r w:rsidRPr="00F27422">
        <w:rPr>
          <w:rFonts w:ascii="mylotus" w:hAnsi="mylotus" w:hint="cs"/>
          <w:sz w:val="32"/>
          <w:rtl/>
        </w:rPr>
        <w:t xml:space="preserve"> الشريف</w:t>
      </w:r>
      <w:r w:rsidRPr="00F27422">
        <w:rPr>
          <w:rFonts w:ascii="mylotus" w:hAnsi="mylotus"/>
          <w:sz w:val="32"/>
          <w:rtl/>
        </w:rPr>
        <w:t>) في كتاب الإجارة من موسوعته المباركة</w:t>
      </w:r>
      <w:r w:rsidRPr="00F27422">
        <w:rPr>
          <w:rStyle w:val="FootnoteReference"/>
          <w:rFonts w:ascii="mylotus" w:hAnsi="mylotus"/>
          <w:sz w:val="32"/>
          <w:rtl/>
        </w:rPr>
        <w:footnoteReference w:id="161"/>
      </w:r>
      <w:r w:rsidRPr="00F27422">
        <w:rPr>
          <w:rFonts w:ascii="mylotus" w:hAnsi="mylotus"/>
          <w:sz w:val="32"/>
          <w:rtl/>
        </w:rPr>
        <w:t xml:space="preserve"> أنّ ثبوت الخيار في المقام وهو فيما لو كانت الأُجرة عيناً شخصيّةً وفسدتْ قَبل التسليم، يبتني على القاعدة التي ذكرها في باب البيع، والقاعدة بمقتضى تقريره في مصباح الفقاهة أنّها تقتضي الانفساخ، فكيف يجتمع الانفساخ مع جريان الخيار في </w:t>
      </w:r>
      <w:proofErr w:type="gramStart"/>
      <w:r w:rsidRPr="00F27422">
        <w:rPr>
          <w:rFonts w:ascii="mylotus" w:hAnsi="mylotus"/>
          <w:sz w:val="32"/>
          <w:rtl/>
        </w:rPr>
        <w:t>العقد  بمقتضى</w:t>
      </w:r>
      <w:proofErr w:type="gramEnd"/>
      <w:r w:rsidRPr="00F27422">
        <w:rPr>
          <w:rFonts w:ascii="mylotus" w:hAnsi="mylotus"/>
          <w:sz w:val="32"/>
          <w:rtl/>
        </w:rPr>
        <w:t xml:space="preserve"> قاعدة "لا ضرر</w:t>
      </w:r>
      <w:r w:rsidRPr="00F27422">
        <w:rPr>
          <w:rFonts w:ascii="mylotus" w:hAnsi="mylotus" w:cs="Cambria" w:hint="cs"/>
          <w:sz w:val="32"/>
          <w:rtl/>
        </w:rPr>
        <w:t>"</w:t>
      </w:r>
      <w:r w:rsidRPr="00F27422">
        <w:rPr>
          <w:rFonts w:ascii="mylotus" w:hAnsi="mylotus" w:hint="cs"/>
          <w:sz w:val="32"/>
          <w:rtl/>
        </w:rPr>
        <w:t>؟</w:t>
      </w:r>
    </w:p>
    <w:p w14:paraId="24999A93"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sz w:val="32"/>
          <w:rtl/>
        </w:rPr>
        <w:t xml:space="preserve">فإنّ كان المقصود بالقاعدة في المكاسب هو الضمان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الانفساخ</w:t>
      </w:r>
      <w:r w:rsidRPr="00F27422">
        <w:rPr>
          <w:rFonts w:ascii="mylotus" w:hAnsi="mylotus"/>
          <w:sz w:val="32"/>
          <w:rtl/>
        </w:rPr>
        <w:t xml:space="preserve"> - </w:t>
      </w:r>
      <w:r w:rsidRPr="00F27422">
        <w:rPr>
          <w:rFonts w:ascii="mylotus" w:hAnsi="mylotus" w:hint="cs"/>
          <w:sz w:val="32"/>
          <w:rtl/>
        </w:rPr>
        <w:t>فربما</w:t>
      </w:r>
      <w:r w:rsidRPr="00F27422">
        <w:rPr>
          <w:rFonts w:ascii="mylotus" w:hAnsi="mylotus"/>
          <w:sz w:val="32"/>
          <w:rtl/>
        </w:rPr>
        <w:t xml:space="preserve"> </w:t>
      </w:r>
      <w:r w:rsidRPr="00F27422">
        <w:rPr>
          <w:rFonts w:ascii="mylotus" w:hAnsi="mylotus" w:hint="cs"/>
          <w:sz w:val="32"/>
          <w:rtl/>
        </w:rPr>
        <w:t>يُدعى</w:t>
      </w:r>
      <w:r w:rsidRPr="00F27422">
        <w:rPr>
          <w:rFonts w:ascii="mylotus" w:hAnsi="mylotus"/>
          <w:sz w:val="32"/>
          <w:rtl/>
        </w:rPr>
        <w:t xml:space="preserve"> </w:t>
      </w:r>
      <w:r w:rsidRPr="00F27422">
        <w:rPr>
          <w:rFonts w:ascii="mylotus" w:hAnsi="mylotus" w:hint="cs"/>
          <w:sz w:val="32"/>
          <w:rtl/>
        </w:rPr>
        <w:t>كونها</w:t>
      </w:r>
      <w:r w:rsidRPr="00F27422">
        <w:rPr>
          <w:rFonts w:ascii="mylotus" w:hAnsi="mylotus"/>
          <w:sz w:val="32"/>
          <w:rtl/>
        </w:rPr>
        <w:t xml:space="preserve"> </w:t>
      </w:r>
      <w:r w:rsidRPr="00F27422">
        <w:rPr>
          <w:rFonts w:ascii="mylotus" w:hAnsi="mylotus" w:hint="cs"/>
          <w:sz w:val="32"/>
          <w:rtl/>
        </w:rPr>
        <w:t>منقحةً</w:t>
      </w:r>
      <w:r w:rsidRPr="00F27422">
        <w:rPr>
          <w:rFonts w:ascii="mylotus" w:hAnsi="mylotus"/>
          <w:sz w:val="32"/>
          <w:rtl/>
        </w:rPr>
        <w:t xml:space="preserve"> </w:t>
      </w:r>
      <w:r w:rsidRPr="00F27422">
        <w:rPr>
          <w:rFonts w:ascii="mylotus" w:hAnsi="mylotus" w:hint="cs"/>
          <w:sz w:val="32"/>
          <w:rtl/>
        </w:rPr>
        <w:t>لموضوع</w:t>
      </w:r>
      <w:r w:rsidRPr="00F27422">
        <w:rPr>
          <w:rFonts w:ascii="mylotus" w:hAnsi="mylotus"/>
          <w:sz w:val="32"/>
          <w:rtl/>
        </w:rPr>
        <w:t xml:space="preserve"> </w:t>
      </w:r>
      <w:r w:rsidRPr="00F27422">
        <w:rPr>
          <w:rFonts w:ascii="mylotus" w:hAnsi="mylotus" w:hint="cs"/>
          <w:sz w:val="32"/>
          <w:rtl/>
        </w:rPr>
        <w:t>البحث</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المقام،</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الاستدلال</w:t>
      </w:r>
      <w:r w:rsidRPr="00F27422">
        <w:rPr>
          <w:rFonts w:ascii="mylotus" w:hAnsi="mylotus"/>
          <w:sz w:val="32"/>
          <w:rtl/>
        </w:rPr>
        <w:t xml:space="preserve"> </w:t>
      </w:r>
      <w:r w:rsidRPr="00F27422">
        <w:rPr>
          <w:rFonts w:ascii="mylotus" w:hAnsi="mylotus" w:hint="cs"/>
          <w:sz w:val="32"/>
          <w:rtl/>
        </w:rPr>
        <w:t>بـ</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ضرر</w:t>
      </w:r>
      <w:r w:rsidRPr="00F27422">
        <w:rPr>
          <w:rFonts w:ascii="mylotus" w:hAnsi="mylotus"/>
          <w:sz w:val="32"/>
          <w:rtl/>
        </w:rPr>
        <w:t xml:space="preserve">" </w:t>
      </w:r>
      <w:r w:rsidRPr="00F27422">
        <w:rPr>
          <w:rFonts w:ascii="mylotus" w:hAnsi="mylotus" w:hint="cs"/>
          <w:sz w:val="32"/>
          <w:rtl/>
        </w:rPr>
        <w:t>لإثبات</w:t>
      </w:r>
      <w:r w:rsidRPr="00F27422">
        <w:rPr>
          <w:rFonts w:ascii="mylotus" w:hAnsi="mylotus"/>
          <w:sz w:val="32"/>
          <w:rtl/>
        </w:rPr>
        <w:t xml:space="preserve"> </w:t>
      </w:r>
      <w:r w:rsidRPr="00F27422">
        <w:rPr>
          <w:rFonts w:ascii="mylotus" w:hAnsi="mylotus" w:hint="cs"/>
          <w:sz w:val="32"/>
          <w:rtl/>
        </w:rPr>
        <w:t>الخيار؛</w:t>
      </w:r>
      <w:r w:rsidRPr="00F27422">
        <w:rPr>
          <w:rFonts w:ascii="mylotus" w:hAnsi="mylotus"/>
          <w:sz w:val="32"/>
          <w:rtl/>
        </w:rPr>
        <w:t xml:space="preserve"> </w:t>
      </w:r>
      <w:r w:rsidRPr="00F27422">
        <w:rPr>
          <w:rFonts w:ascii="mylotus" w:hAnsi="mylotus" w:hint="cs"/>
          <w:sz w:val="32"/>
          <w:rtl/>
        </w:rPr>
        <w:t>لأنّ</w:t>
      </w:r>
      <w:r w:rsidRPr="00F27422">
        <w:rPr>
          <w:rFonts w:ascii="mylotus" w:hAnsi="mylotus"/>
          <w:sz w:val="32"/>
          <w:rtl/>
        </w:rPr>
        <w:t xml:space="preserve"> </w:t>
      </w:r>
      <w:r w:rsidRPr="00F27422">
        <w:rPr>
          <w:rFonts w:ascii="mylotus" w:hAnsi="mylotus" w:hint="cs"/>
          <w:sz w:val="32"/>
          <w:rtl/>
        </w:rPr>
        <w:t>المعاملة</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تنفسخ</w:t>
      </w:r>
      <w:r w:rsidRPr="00F27422">
        <w:rPr>
          <w:rFonts w:ascii="mylotus" w:hAnsi="mylotus"/>
          <w:sz w:val="32"/>
        </w:rPr>
        <w:t>.</w:t>
      </w:r>
    </w:p>
    <w:p w14:paraId="33CBC588"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sz w:val="32"/>
          <w:rtl/>
        </w:rPr>
        <w:t>وأمّا إذا كان مقتضى القاعدة - كما هو ظاهر العبارات - هو الانفساخ فلا يجتمع ذلك مع القول بثبوت الخيار بمقتضى قاعدة "لا ضرر</w:t>
      </w:r>
      <w:r w:rsidRPr="00F27422">
        <w:rPr>
          <w:rFonts w:ascii="mylotus" w:hAnsi="mylotus" w:cs="Cambria" w:hint="cs"/>
          <w:sz w:val="32"/>
          <w:rtl/>
        </w:rPr>
        <w:t>"</w:t>
      </w:r>
      <w:r w:rsidRPr="00F27422">
        <w:rPr>
          <w:rFonts w:ascii="mylotus" w:hAnsi="mylotus" w:hint="cs"/>
          <w:sz w:val="32"/>
          <w:rtl/>
        </w:rPr>
        <w:t>.</w:t>
      </w:r>
    </w:p>
    <w:p w14:paraId="2B65BADD"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hint="cs"/>
          <w:b/>
          <w:bCs/>
          <w:sz w:val="32"/>
          <w:rtl/>
        </w:rPr>
        <w:t xml:space="preserve">التعليقةُ </w:t>
      </w:r>
      <w:r w:rsidRPr="00F27422">
        <w:rPr>
          <w:rFonts w:ascii="mylotus" w:hAnsi="mylotus"/>
          <w:b/>
          <w:bCs/>
          <w:sz w:val="32"/>
          <w:rtl/>
        </w:rPr>
        <w:t xml:space="preserve">الثانية: </w:t>
      </w:r>
      <w:r w:rsidRPr="00F27422">
        <w:rPr>
          <w:rFonts w:ascii="mylotus" w:hAnsi="mylotus"/>
          <w:sz w:val="32"/>
          <w:rtl/>
        </w:rPr>
        <w:t>- قد سبق - أنّ المناط في تقويم حكم المعاوضة على الغرض النوعي منها، وأنّ الغرض النوعي في باب البيع مختلف</w:t>
      </w:r>
      <w:r w:rsidRPr="00F27422">
        <w:rPr>
          <w:rFonts w:ascii="mylotus" w:hAnsi="mylotus" w:hint="cs"/>
          <w:sz w:val="32"/>
          <w:rtl/>
        </w:rPr>
        <w:t>ٌ</w:t>
      </w:r>
      <w:r w:rsidRPr="00F27422">
        <w:rPr>
          <w:rFonts w:ascii="mylotus" w:hAnsi="mylotus"/>
          <w:sz w:val="32"/>
          <w:rtl/>
        </w:rPr>
        <w:t xml:space="preserve"> عنه في باب الإجارة؛ حيثُ إنّ التملك في باب البيع في حدّ نفسه قد يكون غرضاً في بعض الأحيان  - بغض النظر عن الاستفادة وعدمها - كما لو كان التملك مقدمة قانوناً لاستحقاق الاقتراض كما في زماننا، حيث</w:t>
      </w:r>
      <w:r w:rsidRPr="00F27422">
        <w:rPr>
          <w:rFonts w:ascii="mylotus" w:hAnsi="mylotus" w:hint="cs"/>
          <w:sz w:val="32"/>
          <w:rtl/>
        </w:rPr>
        <w:t>ُ</w:t>
      </w:r>
      <w:r w:rsidRPr="00F27422">
        <w:rPr>
          <w:rFonts w:ascii="mylotus" w:hAnsi="mylotus"/>
          <w:sz w:val="32"/>
          <w:rtl/>
        </w:rPr>
        <w:t xml:space="preserve"> إن</w:t>
      </w:r>
      <w:r w:rsidRPr="00F27422">
        <w:rPr>
          <w:rFonts w:ascii="mylotus" w:hAnsi="mylotus" w:hint="cs"/>
          <w:sz w:val="32"/>
          <w:rtl/>
        </w:rPr>
        <w:t>ّ</w:t>
      </w:r>
      <w:r w:rsidRPr="00F27422">
        <w:rPr>
          <w:rFonts w:ascii="mylotus" w:hAnsi="mylotus"/>
          <w:sz w:val="32"/>
          <w:rtl/>
        </w:rPr>
        <w:t xml:space="preserve"> مَن يملك كذا يستحق أنْ يُقرض مِن قِبل البنك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مثلاً</w:t>
      </w:r>
      <w:r w:rsidRPr="00F27422">
        <w:rPr>
          <w:rFonts w:ascii="mylotus" w:hAnsi="mylotus"/>
          <w:sz w:val="32"/>
          <w:rtl/>
        </w:rPr>
        <w:t xml:space="preserve">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وإلّا</w:t>
      </w:r>
      <w:r w:rsidRPr="00F27422">
        <w:rPr>
          <w:rFonts w:ascii="mylotus" w:hAnsi="mylotus"/>
          <w:sz w:val="32"/>
          <w:rtl/>
        </w:rPr>
        <w:t xml:space="preserve"> </w:t>
      </w:r>
      <w:r w:rsidRPr="00F27422">
        <w:rPr>
          <w:rFonts w:ascii="mylotus" w:hAnsi="mylotus" w:hint="cs"/>
          <w:sz w:val="32"/>
          <w:rtl/>
        </w:rPr>
        <w:t>فلا</w:t>
      </w:r>
      <w:r w:rsidRPr="00F27422">
        <w:rPr>
          <w:rFonts w:ascii="mylotus" w:hAnsi="mylotus"/>
          <w:sz w:val="32"/>
          <w:rtl/>
        </w:rPr>
        <w:t xml:space="preserve"> </w:t>
      </w:r>
      <w:r w:rsidRPr="00F27422">
        <w:rPr>
          <w:rFonts w:ascii="mylotus" w:hAnsi="mylotus" w:hint="cs"/>
          <w:sz w:val="32"/>
          <w:rtl/>
        </w:rPr>
        <w:t>يستحق،</w:t>
      </w:r>
      <w:r w:rsidRPr="00F27422">
        <w:rPr>
          <w:rFonts w:ascii="mylotus" w:hAnsi="mylotus"/>
          <w:sz w:val="32"/>
          <w:rtl/>
        </w:rPr>
        <w:t xml:space="preserve"> </w:t>
      </w:r>
      <w:r w:rsidRPr="00F27422">
        <w:rPr>
          <w:rFonts w:ascii="mylotus" w:hAnsi="mylotus" w:hint="cs"/>
          <w:sz w:val="32"/>
          <w:rtl/>
        </w:rPr>
        <w:t>مما</w:t>
      </w:r>
      <w:r w:rsidRPr="00F27422">
        <w:rPr>
          <w:rFonts w:ascii="mylotus" w:hAnsi="mylotus"/>
          <w:sz w:val="32"/>
          <w:rtl/>
        </w:rPr>
        <w:t xml:space="preserve"> </w:t>
      </w:r>
      <w:r w:rsidRPr="00F27422">
        <w:rPr>
          <w:rFonts w:ascii="mylotus" w:hAnsi="mylotus" w:hint="cs"/>
          <w:sz w:val="32"/>
          <w:rtl/>
        </w:rPr>
        <w:t>يعني</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نفس</w:t>
      </w:r>
      <w:r w:rsidRPr="00F27422">
        <w:rPr>
          <w:rFonts w:ascii="mylotus" w:hAnsi="mylotus"/>
          <w:sz w:val="32"/>
          <w:rtl/>
        </w:rPr>
        <w:t xml:space="preserve"> </w:t>
      </w:r>
      <w:r w:rsidRPr="00F27422">
        <w:rPr>
          <w:rFonts w:ascii="mylotus" w:hAnsi="mylotus" w:hint="cs"/>
          <w:sz w:val="32"/>
          <w:rtl/>
        </w:rPr>
        <w:t>التملك</w:t>
      </w:r>
      <w:r w:rsidRPr="00F27422">
        <w:rPr>
          <w:rFonts w:ascii="mylotus" w:hAnsi="mylotus"/>
          <w:sz w:val="32"/>
          <w:rtl/>
        </w:rPr>
        <w:t xml:space="preserve"> </w:t>
      </w:r>
      <w:r w:rsidRPr="00F27422">
        <w:rPr>
          <w:rFonts w:ascii="mylotus" w:hAnsi="mylotus" w:hint="cs"/>
          <w:sz w:val="32"/>
          <w:rtl/>
        </w:rPr>
        <w:t>غرض</w:t>
      </w:r>
      <w:r w:rsidRPr="00F27422">
        <w:rPr>
          <w:rFonts w:ascii="mylotus" w:hAnsi="mylotus"/>
          <w:sz w:val="32"/>
          <w:rtl/>
        </w:rPr>
        <w:t xml:space="preserve"> </w:t>
      </w:r>
      <w:r w:rsidRPr="00F27422">
        <w:rPr>
          <w:rFonts w:ascii="mylotus" w:hAnsi="mylotus" w:hint="cs"/>
          <w:sz w:val="32"/>
          <w:rtl/>
        </w:rPr>
        <w:t>في</w:t>
      </w:r>
      <w:r w:rsidRPr="00F27422">
        <w:rPr>
          <w:rFonts w:ascii="mylotus" w:hAnsi="mylotus"/>
          <w:sz w:val="32"/>
          <w:rtl/>
        </w:rPr>
        <w:t xml:space="preserve"> </w:t>
      </w:r>
      <w:r w:rsidRPr="00F27422">
        <w:rPr>
          <w:rFonts w:ascii="mylotus" w:hAnsi="mylotus" w:hint="cs"/>
          <w:sz w:val="32"/>
          <w:rtl/>
        </w:rPr>
        <w:t>حدّ</w:t>
      </w:r>
      <w:r w:rsidRPr="00F27422">
        <w:rPr>
          <w:rFonts w:ascii="mylotus" w:hAnsi="mylotus"/>
          <w:sz w:val="32"/>
          <w:rtl/>
        </w:rPr>
        <w:t xml:space="preserve"> </w:t>
      </w:r>
      <w:r w:rsidRPr="00F27422">
        <w:rPr>
          <w:rFonts w:ascii="mylotus" w:hAnsi="mylotus" w:hint="cs"/>
          <w:sz w:val="32"/>
          <w:rtl/>
        </w:rPr>
        <w:t>ذاته</w:t>
      </w:r>
      <w:r w:rsidRPr="00F27422">
        <w:rPr>
          <w:rFonts w:ascii="mylotus" w:hAnsi="mylotus"/>
          <w:sz w:val="32"/>
          <w:rtl/>
        </w:rPr>
        <w:t xml:space="preserve"> </w:t>
      </w:r>
      <w:r w:rsidRPr="00F27422">
        <w:rPr>
          <w:rFonts w:ascii="mylotus" w:hAnsi="mylotus" w:hint="cs"/>
          <w:sz w:val="32"/>
          <w:rtl/>
        </w:rPr>
        <w:t>وإنْ</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يتمكن</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الانتفاع</w:t>
      </w:r>
      <w:r w:rsidRPr="00F27422">
        <w:rPr>
          <w:rFonts w:ascii="mylotus" w:hAnsi="mylotus"/>
          <w:sz w:val="32"/>
          <w:rtl/>
        </w:rPr>
        <w:t xml:space="preserve"> </w:t>
      </w:r>
      <w:r w:rsidRPr="00F27422">
        <w:rPr>
          <w:rFonts w:ascii="mylotus" w:hAnsi="mylotus" w:hint="cs"/>
          <w:sz w:val="32"/>
          <w:rtl/>
        </w:rPr>
        <w:t>بالأموال</w:t>
      </w:r>
      <w:r w:rsidRPr="00F27422">
        <w:rPr>
          <w:rFonts w:ascii="mylotus" w:hAnsi="mylotus"/>
          <w:sz w:val="32"/>
          <w:rtl/>
        </w:rPr>
        <w:t xml:space="preserve"> </w:t>
      </w:r>
      <w:r w:rsidRPr="00F27422">
        <w:rPr>
          <w:rFonts w:ascii="mylotus" w:hAnsi="mylotus" w:hint="cs"/>
          <w:sz w:val="32"/>
          <w:rtl/>
        </w:rPr>
        <w:t>التي</w:t>
      </w:r>
      <w:r w:rsidRPr="00F27422">
        <w:rPr>
          <w:rFonts w:ascii="mylotus" w:hAnsi="mylotus"/>
          <w:sz w:val="32"/>
          <w:rtl/>
        </w:rPr>
        <w:t xml:space="preserve"> </w:t>
      </w:r>
      <w:r w:rsidRPr="00F27422">
        <w:rPr>
          <w:rFonts w:ascii="mylotus" w:hAnsi="mylotus" w:hint="cs"/>
          <w:sz w:val="32"/>
          <w:rtl/>
        </w:rPr>
        <w:t>ملكها،</w:t>
      </w:r>
      <w:r w:rsidRPr="00F27422">
        <w:rPr>
          <w:rFonts w:ascii="mylotus" w:hAnsi="mylotus"/>
          <w:sz w:val="32"/>
          <w:rtl/>
        </w:rPr>
        <w:t xml:space="preserve"> </w:t>
      </w:r>
      <w:r w:rsidRPr="00F27422">
        <w:rPr>
          <w:rFonts w:ascii="mylotus" w:hAnsi="mylotus" w:hint="cs"/>
          <w:sz w:val="32"/>
          <w:rtl/>
        </w:rPr>
        <w:t>وقد</w:t>
      </w:r>
      <w:r w:rsidRPr="00F27422">
        <w:rPr>
          <w:rFonts w:ascii="mylotus" w:hAnsi="mylotus"/>
          <w:sz w:val="32"/>
          <w:rtl/>
        </w:rPr>
        <w:t xml:space="preserve"> </w:t>
      </w:r>
      <w:r w:rsidRPr="00F27422">
        <w:rPr>
          <w:rFonts w:ascii="mylotus" w:hAnsi="mylotus" w:hint="cs"/>
          <w:sz w:val="32"/>
          <w:rtl/>
        </w:rPr>
        <w:t>يكونُ</w:t>
      </w:r>
      <w:r w:rsidRPr="00F27422">
        <w:rPr>
          <w:rFonts w:ascii="mylotus" w:hAnsi="mylotus"/>
          <w:sz w:val="32"/>
          <w:rtl/>
        </w:rPr>
        <w:t xml:space="preserve"> </w:t>
      </w:r>
      <w:r w:rsidRPr="00F27422">
        <w:rPr>
          <w:rFonts w:ascii="mylotus" w:hAnsi="mylotus" w:hint="cs"/>
          <w:sz w:val="32"/>
          <w:rtl/>
        </w:rPr>
        <w:t>التملك</w:t>
      </w:r>
      <w:r w:rsidRPr="00F27422">
        <w:rPr>
          <w:rFonts w:ascii="mylotus" w:hAnsi="mylotus"/>
          <w:sz w:val="32"/>
          <w:rtl/>
        </w:rPr>
        <w:t xml:space="preserve"> </w:t>
      </w:r>
      <w:r w:rsidRPr="00F27422">
        <w:rPr>
          <w:rFonts w:ascii="mylotus" w:hAnsi="mylotus" w:hint="cs"/>
          <w:sz w:val="32"/>
          <w:rtl/>
        </w:rPr>
        <w:t>ملحوظاً</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نحو</w:t>
      </w:r>
      <w:r w:rsidRPr="00F27422">
        <w:rPr>
          <w:rFonts w:ascii="mylotus" w:hAnsi="mylotus"/>
          <w:sz w:val="32"/>
          <w:rtl/>
        </w:rPr>
        <w:t xml:space="preserve"> </w:t>
      </w:r>
      <w:r w:rsidRPr="00F27422">
        <w:rPr>
          <w:rFonts w:ascii="mylotus" w:hAnsi="mylotus" w:hint="cs"/>
          <w:sz w:val="32"/>
          <w:rtl/>
        </w:rPr>
        <w:t>الطريقي</w:t>
      </w:r>
      <w:r w:rsidRPr="00F27422">
        <w:rPr>
          <w:rFonts w:ascii="mylotus" w:hAnsi="mylotus"/>
          <w:sz w:val="32"/>
          <w:rtl/>
        </w:rPr>
        <w:t xml:space="preserve">ة المحضة كما هو الغالب </w:t>
      </w:r>
      <w:r w:rsidRPr="00F27422">
        <w:rPr>
          <w:rFonts w:ascii="mylotus" w:hAnsi="mylotus" w:hint="cs"/>
          <w:sz w:val="32"/>
          <w:rtl/>
        </w:rPr>
        <w:t xml:space="preserve">- </w:t>
      </w:r>
      <w:r w:rsidRPr="00F27422">
        <w:rPr>
          <w:rFonts w:ascii="mylotus" w:hAnsi="mylotus"/>
          <w:sz w:val="32"/>
          <w:rtl/>
        </w:rPr>
        <w:t>لا على نحو الموضوعية</w:t>
      </w:r>
      <w:r w:rsidRPr="00F27422">
        <w:rPr>
          <w:rFonts w:ascii="mylotus" w:hAnsi="mylotus" w:hint="cs"/>
          <w:sz w:val="32"/>
          <w:rtl/>
        </w:rPr>
        <w:t xml:space="preserve"> -</w:t>
      </w:r>
      <w:r w:rsidRPr="00F27422">
        <w:rPr>
          <w:rFonts w:ascii="mylotus" w:hAnsi="mylotus"/>
          <w:sz w:val="32"/>
          <w:rtl/>
        </w:rPr>
        <w:t xml:space="preserve"> بل هو مقدمة للاستفادة والانتفاع</w:t>
      </w:r>
      <w:r w:rsidRPr="00F27422">
        <w:rPr>
          <w:rFonts w:ascii="mylotus" w:hAnsi="mylotus"/>
          <w:sz w:val="32"/>
        </w:rPr>
        <w:t>.</w:t>
      </w:r>
    </w:p>
    <w:p w14:paraId="78BE7C8F"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sz w:val="32"/>
          <w:rtl/>
        </w:rPr>
        <w:t>بينما الغرض النوعي في باب الإجارة هو التمكن من الانتفاع؛ لأنّ متعل</w:t>
      </w:r>
      <w:r w:rsidRPr="00F27422">
        <w:rPr>
          <w:rFonts w:ascii="mylotus" w:hAnsi="mylotus" w:hint="cs"/>
          <w:sz w:val="32"/>
          <w:rtl/>
        </w:rPr>
        <w:t>ّ</w:t>
      </w:r>
      <w:r w:rsidRPr="00F27422">
        <w:rPr>
          <w:rFonts w:ascii="mylotus" w:hAnsi="mylotus"/>
          <w:sz w:val="32"/>
          <w:rtl/>
        </w:rPr>
        <w:t xml:space="preserve">ق الإجارة هو السلطنة على </w:t>
      </w:r>
      <w:proofErr w:type="spellStart"/>
      <w:r w:rsidRPr="00F27422">
        <w:rPr>
          <w:rFonts w:ascii="mylotus" w:hAnsi="mylotus"/>
          <w:sz w:val="32"/>
          <w:rtl/>
        </w:rPr>
        <w:t>الإنتفاع</w:t>
      </w:r>
      <w:proofErr w:type="spellEnd"/>
      <w:r w:rsidRPr="00F27422">
        <w:rPr>
          <w:rFonts w:ascii="mylotus" w:hAnsi="mylotus"/>
          <w:sz w:val="32"/>
          <w:rtl/>
        </w:rPr>
        <w:t>، وبالتالي اختلف الغرضُ النوعي في باب البيع عن باب الإجارة</w:t>
      </w:r>
      <w:r w:rsidRPr="00F27422">
        <w:rPr>
          <w:rFonts w:ascii="mylotus" w:hAnsi="mylotus"/>
          <w:sz w:val="32"/>
        </w:rPr>
        <w:t>.</w:t>
      </w:r>
    </w:p>
    <w:p w14:paraId="3EBD76B5" w14:textId="77777777" w:rsidR="008954B5" w:rsidRPr="00F27422" w:rsidRDefault="008954B5" w:rsidP="00122B70">
      <w:pPr>
        <w:pStyle w:val="a"/>
        <w:bidi/>
        <w:spacing w:line="216" w:lineRule="auto"/>
        <w:jc w:val="left"/>
        <w:rPr>
          <w:rFonts w:ascii="mylotus" w:hAnsi="mylotus"/>
          <w:sz w:val="32"/>
          <w:rtl/>
        </w:rPr>
      </w:pPr>
      <w:r w:rsidRPr="00F27422">
        <w:rPr>
          <w:rFonts w:ascii="mylotus" w:hAnsi="mylotus"/>
          <w:sz w:val="32"/>
          <w:rtl/>
        </w:rPr>
        <w:t xml:space="preserve">فبناءً على ذلك، لو تلف المبيع قَبل قبضه تلفاً سماوياً، فإنْ كانت المنفعة المترقبة مِن البيع </w:t>
      </w:r>
      <w:r w:rsidRPr="00F27422">
        <w:rPr>
          <w:rFonts w:ascii="mylotus" w:hAnsi="mylotus" w:hint="cs"/>
          <w:sz w:val="32"/>
          <w:rtl/>
        </w:rPr>
        <w:t xml:space="preserve">- </w:t>
      </w:r>
      <w:r w:rsidRPr="00F27422">
        <w:rPr>
          <w:rFonts w:ascii="mylotus" w:hAnsi="mylotus"/>
          <w:sz w:val="32"/>
          <w:rtl/>
        </w:rPr>
        <w:t>مثلا</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w:t>
      </w:r>
      <w:r w:rsidRPr="00F27422">
        <w:rPr>
          <w:rFonts w:ascii="mylotus" w:hAnsi="mylotus"/>
          <w:sz w:val="32"/>
          <w:rtl/>
        </w:rPr>
        <w:t>قصيرة الأمد بحيثُ تتحقّق قَبل التلف، أو أنّ المشتري حازَ المنفعة لأنّها منفعة قصيرة الأمد بمجرد البيع قَبل تلف العين، فإنّ تلف العين قَبل قبضها مما لا أثر له؛ لأنّ الغرض النوعي مِن المعاملة تحصيل المنفعة، والمفروض أنّ المنفعة قصيرة الأمد وقد تحقّقت قبل التلف فلا موجب لبطلان المعاملة ولا لثبوت الخيار؛ حيثُ إنّ المنتقل إليه قد استوفى المنفعة</w:t>
      </w:r>
      <w:r w:rsidRPr="00F27422">
        <w:rPr>
          <w:rFonts w:ascii="mylotus" w:hAnsi="mylotus" w:hint="cs"/>
          <w:sz w:val="32"/>
          <w:rtl/>
        </w:rPr>
        <w:t>.</w:t>
      </w:r>
    </w:p>
    <w:p w14:paraId="057FC1DE" w14:textId="77777777" w:rsidR="008954B5" w:rsidRPr="00F27422" w:rsidRDefault="008954B5" w:rsidP="00122B70">
      <w:pPr>
        <w:pStyle w:val="a"/>
        <w:bidi/>
        <w:spacing w:line="216" w:lineRule="auto"/>
        <w:jc w:val="left"/>
        <w:rPr>
          <w:rFonts w:ascii="mylotus" w:hAnsi="mylotus"/>
          <w:sz w:val="32"/>
          <w:rtl/>
          <w:lang w:bidi="ar-BH"/>
        </w:rPr>
      </w:pPr>
      <w:r w:rsidRPr="00F27422">
        <w:rPr>
          <w:rFonts w:ascii="mylotus" w:hAnsi="mylotus"/>
          <w:sz w:val="32"/>
          <w:rtl/>
        </w:rPr>
        <w:lastRenderedPageBreak/>
        <w:t xml:space="preserve">وإنْ كانت المنفعة المنظورة منوطة بالعين الشخصيّة المقبوضة التي تعلّقت بها المعاوضة فمقتضى تلفها قَبل القبض بطلانُ المعاملة مِن الأساس - لا الانفساخ ولا الخيار-؛ لأنّ الغرض النوعي تعلّق بهذه العين الشخصيّة عند قبضها فيكون مقتضاه لا محالة هو البطلان، وهذا هو ظاهر تعبير النبوي: </w:t>
      </w:r>
      <w:r w:rsidRPr="00F27422">
        <w:rPr>
          <w:rFonts w:ascii="mylotus" w:hAnsi="mylotus"/>
          <w:b/>
          <w:bCs/>
          <w:sz w:val="32"/>
          <w:rtl/>
        </w:rPr>
        <w:t>(فهو من مال بائعه)</w:t>
      </w:r>
      <w:r w:rsidRPr="00F27422">
        <w:rPr>
          <w:rFonts w:ascii="mylotus" w:hAnsi="mylotus"/>
          <w:sz w:val="32"/>
          <w:rtl/>
        </w:rPr>
        <w:t xml:space="preserve"> فإن</w:t>
      </w:r>
      <w:r w:rsidRPr="00F27422">
        <w:rPr>
          <w:rFonts w:ascii="mylotus" w:hAnsi="mylotus" w:hint="cs"/>
          <w:sz w:val="32"/>
          <w:rtl/>
        </w:rPr>
        <w:t>ّ</w:t>
      </w:r>
      <w:r w:rsidRPr="00F27422">
        <w:rPr>
          <w:rFonts w:ascii="mylotus" w:hAnsi="mylotus"/>
          <w:sz w:val="32"/>
          <w:rtl/>
        </w:rPr>
        <w:t>ه كناية عن البطلان لا عن الانفساخ</w:t>
      </w:r>
      <w:r w:rsidRPr="00F27422">
        <w:rPr>
          <w:rFonts w:ascii="mylotus" w:hAnsi="mylotus"/>
          <w:sz w:val="32"/>
        </w:rPr>
        <w:t>.</w:t>
      </w:r>
    </w:p>
    <w:p w14:paraId="113D1966" w14:textId="77777777" w:rsidR="008954B5" w:rsidRPr="00F27422" w:rsidRDefault="008954B5" w:rsidP="00122B70">
      <w:pPr>
        <w:pStyle w:val="a"/>
        <w:bidi/>
        <w:spacing w:line="216" w:lineRule="auto"/>
        <w:jc w:val="left"/>
        <w:rPr>
          <w:rFonts w:ascii="mylotus" w:hAnsi="mylotus" w:cs="Times New Roman"/>
          <w:sz w:val="32"/>
          <w:rtl/>
          <w:lang w:bidi="ar-BH"/>
        </w:rPr>
      </w:pPr>
      <w:r w:rsidRPr="00F27422">
        <w:rPr>
          <w:rFonts w:ascii="mylotus" w:hAnsi="mylotus"/>
          <w:sz w:val="32"/>
          <w:rtl/>
        </w:rPr>
        <w:t>وإنْ كانت المنفعة المنظورة قائمة بالمالية - لا بالعين الشخصيّة - فمقتضى ذلك كون تلف المبيع أو المنفعة قَبل القبض مضموناً - لا البطلا</w:t>
      </w:r>
      <w:r w:rsidRPr="00F27422">
        <w:rPr>
          <w:rFonts w:ascii="mylotus" w:hAnsi="mylotus" w:hint="cs"/>
          <w:sz w:val="32"/>
          <w:rtl/>
        </w:rPr>
        <w:t>ن -.</w:t>
      </w:r>
    </w:p>
    <w:p w14:paraId="700416EC" w14:textId="77777777" w:rsidR="008954B5" w:rsidRPr="00F27422" w:rsidRDefault="008954B5" w:rsidP="00122B70">
      <w:pPr>
        <w:pStyle w:val="a"/>
        <w:bidi/>
        <w:spacing w:line="216" w:lineRule="auto"/>
        <w:jc w:val="left"/>
        <w:rPr>
          <w:rFonts w:ascii="mylotus" w:hAnsi="mylotus"/>
          <w:sz w:val="32"/>
          <w:rtl/>
        </w:rPr>
      </w:pPr>
      <w:r w:rsidRPr="00F27422">
        <w:rPr>
          <w:rFonts w:ascii="mylotus" w:hAnsi="mylotus"/>
          <w:b/>
          <w:bCs/>
          <w:sz w:val="32"/>
          <w:rtl/>
        </w:rPr>
        <w:t>فدعو</w:t>
      </w:r>
      <w:r w:rsidRPr="00F27422">
        <w:rPr>
          <w:rFonts w:ascii="mylotus" w:hAnsi="mylotus" w:hint="cs"/>
          <w:b/>
          <w:bCs/>
          <w:sz w:val="32"/>
          <w:rtl/>
        </w:rPr>
        <w:t>ى:</w:t>
      </w:r>
      <w:r w:rsidRPr="00F27422">
        <w:rPr>
          <w:rFonts w:ascii="mylotus" w:hAnsi="mylotus"/>
          <w:sz w:val="32"/>
          <w:rtl/>
        </w:rPr>
        <w:t xml:space="preserve"> أنّ السيرة العقلائية أو الارتكاز العقلائي قائمٌ على أنّ تلف المعوض قَبل القبض موجبٌ للانفساخ بصورة ك</w:t>
      </w:r>
      <w:r w:rsidRPr="00F27422">
        <w:rPr>
          <w:rFonts w:ascii="mylotus" w:hAnsi="mylotus" w:hint="cs"/>
          <w:sz w:val="32"/>
          <w:rtl/>
        </w:rPr>
        <w:t>ُ</w:t>
      </w:r>
      <w:r w:rsidRPr="00F27422">
        <w:rPr>
          <w:rFonts w:ascii="mylotus" w:hAnsi="mylotus"/>
          <w:sz w:val="32"/>
          <w:rtl/>
        </w:rPr>
        <w:t>ل</w:t>
      </w:r>
      <w:r w:rsidRPr="00F27422">
        <w:rPr>
          <w:rFonts w:ascii="mylotus" w:hAnsi="mylotus" w:hint="cs"/>
          <w:sz w:val="32"/>
          <w:rtl/>
        </w:rPr>
        <w:t>ّ</w:t>
      </w:r>
      <w:r w:rsidRPr="00F27422">
        <w:rPr>
          <w:rFonts w:ascii="mylotus" w:hAnsi="mylotus"/>
          <w:sz w:val="32"/>
          <w:rtl/>
        </w:rPr>
        <w:t>ية</w:t>
      </w:r>
      <w:r w:rsidRPr="00F27422">
        <w:rPr>
          <w:rFonts w:ascii="mylotus" w:hAnsi="mylotus" w:hint="cs"/>
          <w:sz w:val="32"/>
          <w:rtl/>
        </w:rPr>
        <w:t>.</w:t>
      </w:r>
    </w:p>
    <w:p w14:paraId="67F056C4" w14:textId="77777777" w:rsidR="008954B5" w:rsidRPr="00F27422" w:rsidRDefault="008954B5" w:rsidP="00122B70">
      <w:pPr>
        <w:pStyle w:val="a"/>
        <w:bidi/>
        <w:spacing w:line="216" w:lineRule="auto"/>
        <w:jc w:val="left"/>
        <w:rPr>
          <w:rFonts w:ascii="mylotus" w:hAnsi="mylotus" w:cs="Times New Roman"/>
          <w:sz w:val="32"/>
          <w:rtl/>
          <w:lang w:bidi="ar-BH"/>
        </w:rPr>
      </w:pPr>
      <w:r w:rsidRPr="00F27422">
        <w:rPr>
          <w:rFonts w:ascii="mylotus" w:hAnsi="mylotus"/>
          <w:b/>
          <w:bCs/>
          <w:sz w:val="32"/>
          <w:rtl/>
        </w:rPr>
        <w:t>محلُّ منعٍ؛</w:t>
      </w:r>
      <w:r w:rsidRPr="00F27422">
        <w:rPr>
          <w:rFonts w:ascii="mylotus" w:hAnsi="mylotus"/>
          <w:sz w:val="32"/>
          <w:rtl/>
        </w:rPr>
        <w:t xml:space="preserve"> بل الارتكاز العقلائي قائمٌ على أنّ المناط هو الغرض النوعي، والغرض النوعي هو التمكن مِن الانتفاع، والتمكن م</w:t>
      </w:r>
      <w:r w:rsidRPr="00F27422">
        <w:rPr>
          <w:rFonts w:ascii="mylotus" w:hAnsi="mylotus" w:hint="cs"/>
          <w:sz w:val="32"/>
          <w:rtl/>
        </w:rPr>
        <w:t>ِ</w:t>
      </w:r>
      <w:r w:rsidRPr="00F27422">
        <w:rPr>
          <w:rFonts w:ascii="mylotus" w:hAnsi="mylotus"/>
          <w:sz w:val="32"/>
          <w:rtl/>
        </w:rPr>
        <w:t>ن الانتفاع يختلف باختلاف الموارد في مستوى المنفعة المنظورة</w:t>
      </w:r>
      <w:r w:rsidRPr="00F27422">
        <w:rPr>
          <w:rFonts w:ascii="mylotus" w:hAnsi="mylotus"/>
          <w:sz w:val="32"/>
        </w:rPr>
        <w:t>.</w:t>
      </w:r>
    </w:p>
    <w:p w14:paraId="0A3D80F0" w14:textId="77777777" w:rsidR="008954B5" w:rsidRPr="00F27422" w:rsidRDefault="008954B5" w:rsidP="00122B70">
      <w:pPr>
        <w:pStyle w:val="a"/>
        <w:bidi/>
        <w:spacing w:line="216" w:lineRule="auto"/>
        <w:jc w:val="left"/>
        <w:rPr>
          <w:rFonts w:ascii="mylotus" w:hAnsi="mylotus" w:cs="Times New Roman"/>
          <w:sz w:val="32"/>
          <w:rtl/>
          <w:lang w:bidi="ar-BH"/>
        </w:rPr>
      </w:pPr>
      <w:r w:rsidRPr="00F27422">
        <w:rPr>
          <w:rFonts w:ascii="mylotus" w:hAnsi="mylotus"/>
          <w:b/>
          <w:bCs/>
          <w:sz w:val="32"/>
          <w:rtl/>
        </w:rPr>
        <w:t>الجهة الثانية:</w:t>
      </w:r>
      <w:r w:rsidRPr="00F27422">
        <w:rPr>
          <w:rFonts w:ascii="mylotus" w:hAnsi="mylotus"/>
          <w:sz w:val="32"/>
          <w:rtl/>
        </w:rPr>
        <w:t xml:space="preserve"> قد أفاد (قدس سره الشريف) بأنّه بعد البناء على أنّ تلف المعوض أو العوض مِن مال مَن اِنتقل عنه، ومعنى أنّه "مِن مال مَن اِنتقل عنه" أنّه مضمونٌ، فهذا الحكم منقح</w:t>
      </w:r>
      <w:r w:rsidRPr="00F27422">
        <w:rPr>
          <w:rFonts w:ascii="mylotus" w:hAnsi="mylotus" w:hint="cs"/>
          <w:sz w:val="32"/>
          <w:rtl/>
        </w:rPr>
        <w:t>ٌ</w:t>
      </w:r>
      <w:r w:rsidRPr="00F27422">
        <w:rPr>
          <w:rFonts w:ascii="mylotus" w:hAnsi="mylotus"/>
          <w:sz w:val="32"/>
          <w:rtl/>
        </w:rPr>
        <w:t xml:space="preserve"> لموضوع قاعدة "لا ضرر</w:t>
      </w:r>
      <w:r w:rsidRPr="00F27422">
        <w:rPr>
          <w:rFonts w:ascii="mylotus" w:hAnsi="mylotus" w:cs="Cambria" w:hint="cs"/>
          <w:sz w:val="32"/>
          <w:rtl/>
        </w:rPr>
        <w:t>"</w:t>
      </w:r>
      <w:r w:rsidRPr="00F27422">
        <w:rPr>
          <w:rFonts w:ascii="mylotus" w:hAnsi="mylotus" w:hint="cs"/>
          <w:sz w:val="32"/>
          <w:rtl/>
        </w:rPr>
        <w:t>.</w:t>
      </w:r>
    </w:p>
    <w:p w14:paraId="74882198" w14:textId="77777777" w:rsidR="008954B5" w:rsidRPr="00F27422" w:rsidRDefault="008954B5" w:rsidP="00122B70">
      <w:pPr>
        <w:pStyle w:val="a"/>
        <w:bidi/>
        <w:spacing w:line="216" w:lineRule="auto"/>
        <w:jc w:val="left"/>
        <w:rPr>
          <w:rFonts w:ascii="mylotus" w:hAnsi="mylotus" w:cs="Times New Roman"/>
          <w:sz w:val="32"/>
          <w:rtl/>
          <w:lang w:bidi="ar-BH"/>
        </w:rPr>
      </w:pPr>
      <w:r w:rsidRPr="00F27422">
        <w:rPr>
          <w:rFonts w:ascii="mylotus" w:hAnsi="mylotus"/>
          <w:b/>
          <w:bCs/>
          <w:sz w:val="32"/>
          <w:rtl/>
        </w:rPr>
        <w:t>فيُقال:</w:t>
      </w:r>
      <w:r w:rsidRPr="00F27422">
        <w:rPr>
          <w:rFonts w:ascii="mylotus" w:hAnsi="mylotus"/>
          <w:sz w:val="32"/>
          <w:rtl/>
        </w:rPr>
        <w:t xml:space="preserve"> إذا تلف المبيع قَبل قبضه أو تلفت المنفعة قَبل </w:t>
      </w:r>
      <w:proofErr w:type="spellStart"/>
      <w:r w:rsidRPr="00F27422">
        <w:rPr>
          <w:rFonts w:ascii="mylotus" w:hAnsi="mylotus"/>
          <w:sz w:val="32"/>
          <w:rtl/>
        </w:rPr>
        <w:t>إقباضها</w:t>
      </w:r>
      <w:proofErr w:type="spellEnd"/>
      <w:r w:rsidRPr="00F27422">
        <w:rPr>
          <w:rFonts w:ascii="mylotus" w:hAnsi="mylotus"/>
          <w:sz w:val="32"/>
          <w:rtl/>
        </w:rPr>
        <w:t xml:space="preserve"> للمُشتري أو المُستأجر فمقتضى القاعدة أنّ البائع أو المُؤجّر يضمنُ ما تلف، والضمان ضرر</w:t>
      </w:r>
      <w:r w:rsidRPr="00F27422">
        <w:rPr>
          <w:rFonts w:ascii="mylotus" w:hAnsi="mylotus" w:hint="cs"/>
          <w:sz w:val="32"/>
          <w:rtl/>
        </w:rPr>
        <w:t>ٌ</w:t>
      </w:r>
      <w:r w:rsidRPr="00F27422">
        <w:rPr>
          <w:rFonts w:ascii="mylotus" w:hAnsi="mylotus"/>
          <w:sz w:val="32"/>
          <w:rtl/>
        </w:rPr>
        <w:t xml:space="preserve"> على البائع</w:t>
      </w:r>
      <w:r w:rsidRPr="00F27422">
        <w:rPr>
          <w:rFonts w:ascii="mylotus" w:hAnsi="mylotus" w:hint="cs"/>
          <w:sz w:val="32"/>
          <w:rtl/>
        </w:rPr>
        <w:t>؛</w:t>
      </w:r>
      <w:r w:rsidRPr="00F27422">
        <w:rPr>
          <w:rFonts w:ascii="mylotus" w:hAnsi="mylotus"/>
          <w:sz w:val="32"/>
          <w:rtl/>
        </w:rPr>
        <w:t xml:space="preserve"> حيث</w:t>
      </w:r>
      <w:r w:rsidRPr="00F27422">
        <w:rPr>
          <w:rFonts w:ascii="mylotus" w:hAnsi="mylotus" w:hint="cs"/>
          <w:sz w:val="32"/>
          <w:rtl/>
        </w:rPr>
        <w:t>ُ</w:t>
      </w:r>
      <w:r w:rsidRPr="00F27422">
        <w:rPr>
          <w:rFonts w:ascii="mylotus" w:hAnsi="mylotus"/>
          <w:sz w:val="32"/>
          <w:rtl/>
        </w:rPr>
        <w:t xml:space="preserve"> إن</w:t>
      </w:r>
      <w:r w:rsidRPr="00F27422">
        <w:rPr>
          <w:rFonts w:ascii="mylotus" w:hAnsi="mylotus" w:hint="cs"/>
          <w:sz w:val="32"/>
          <w:rtl/>
        </w:rPr>
        <w:t>ّ</w:t>
      </w:r>
      <w:r w:rsidRPr="00F27422">
        <w:rPr>
          <w:rFonts w:ascii="mylotus" w:hAnsi="mylotus"/>
          <w:sz w:val="32"/>
          <w:rtl/>
        </w:rPr>
        <w:t>ه قد ملّك المبيع للمشتري وتلف المبيع تلفاً سماوياً قَبل أنْ يقبضه المشتري، أو المُؤجّر قد تلفت منه العين قَبل أنْ يسلّمها للمُستأجر  أو تلفت المنفعة تلفاً سماوياً فيحكم عليه بالضمان، فمنشأُ الحكم بالضمان - الذي هو ضررٌ - هو لُزوم المعاملة؛ إذ لو أنّ الشارع لَمْ يحكم بلزوم المعاملة لَمْ يضمن مَن اِنتقلتْ عنه العين أو المنفعة، ومقتضى قاعدة "لا ضرر" رفعُ لزوم المعاملة كي لا يقع الضرر - وهو الضمان - على مَن اِنتقل عنه، فله خيار الفسخ</w:t>
      </w:r>
      <w:r w:rsidRPr="00F27422">
        <w:rPr>
          <w:rFonts w:ascii="mylotus" w:hAnsi="mylotus"/>
          <w:sz w:val="32"/>
        </w:rPr>
        <w:t>.</w:t>
      </w:r>
    </w:p>
    <w:p w14:paraId="257DBD14" w14:textId="77777777" w:rsidR="008954B5" w:rsidRPr="00F27422" w:rsidRDefault="008954B5" w:rsidP="00122B70">
      <w:pPr>
        <w:pStyle w:val="a"/>
        <w:bidi/>
        <w:spacing w:line="216" w:lineRule="auto"/>
        <w:jc w:val="left"/>
        <w:rPr>
          <w:rFonts w:ascii="mylotus" w:hAnsi="mylotus" w:cs="Times New Roman"/>
          <w:sz w:val="32"/>
          <w:rtl/>
          <w:lang w:bidi="ar-BH"/>
        </w:rPr>
      </w:pPr>
      <w:r w:rsidRPr="00F27422">
        <w:rPr>
          <w:rFonts w:ascii="mylotus" w:hAnsi="mylotus"/>
          <w:b/>
          <w:bCs/>
          <w:sz w:val="32"/>
          <w:rtl/>
        </w:rPr>
        <w:t>وتطبيقُ ذلك على جانب الأُجرة، أنْ يُقال:</w:t>
      </w:r>
      <w:r w:rsidRPr="00F27422">
        <w:rPr>
          <w:rFonts w:ascii="mylotus" w:hAnsi="mylotus"/>
          <w:sz w:val="32"/>
          <w:rtl/>
        </w:rPr>
        <w:t xml:space="preserve"> لو استأجرَ السيارةَ لمسافةٍ قصيرةٍ بعين شخصيّةٍ كبطّيخة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مثلاً</w:t>
      </w:r>
      <w:r w:rsidRPr="00F27422">
        <w:rPr>
          <w:rFonts w:ascii="mylotus" w:hAnsi="mylotus"/>
          <w:sz w:val="32"/>
          <w:rtl/>
        </w:rPr>
        <w:t xml:space="preserve"> - </w:t>
      </w:r>
      <w:r w:rsidRPr="00F27422">
        <w:rPr>
          <w:rFonts w:ascii="mylotus" w:hAnsi="mylotus" w:hint="cs"/>
          <w:sz w:val="32"/>
          <w:rtl/>
        </w:rPr>
        <w:t>ففسدتْ</w:t>
      </w:r>
      <w:r w:rsidRPr="00F27422">
        <w:rPr>
          <w:rFonts w:ascii="mylotus" w:hAnsi="mylotus"/>
          <w:sz w:val="32"/>
          <w:rtl/>
        </w:rPr>
        <w:t xml:space="preserve"> </w:t>
      </w:r>
      <w:r w:rsidRPr="00F27422">
        <w:rPr>
          <w:rFonts w:ascii="mylotus" w:hAnsi="mylotus" w:hint="cs"/>
          <w:sz w:val="32"/>
          <w:rtl/>
        </w:rPr>
        <w:t>لتلفٍ</w:t>
      </w:r>
      <w:r w:rsidRPr="00F27422">
        <w:rPr>
          <w:rFonts w:ascii="mylotus" w:hAnsi="mylotus"/>
          <w:sz w:val="32"/>
          <w:rtl/>
        </w:rPr>
        <w:t xml:space="preserve"> </w:t>
      </w:r>
      <w:r w:rsidRPr="00F27422">
        <w:rPr>
          <w:rFonts w:ascii="mylotus" w:hAnsi="mylotus" w:hint="cs"/>
          <w:sz w:val="32"/>
          <w:rtl/>
        </w:rPr>
        <w:t>سماوي</w:t>
      </w:r>
      <w:r w:rsidRPr="00F27422">
        <w:rPr>
          <w:rFonts w:ascii="mylotus" w:hAnsi="mylotus"/>
          <w:sz w:val="32"/>
          <w:rtl/>
        </w:rPr>
        <w:t xml:space="preserve"> </w:t>
      </w:r>
      <w:r w:rsidRPr="00F27422">
        <w:rPr>
          <w:rFonts w:ascii="mylotus" w:hAnsi="mylotus" w:hint="cs"/>
          <w:sz w:val="32"/>
          <w:rtl/>
        </w:rPr>
        <w:t>قَبل</w:t>
      </w:r>
      <w:r w:rsidRPr="00F27422">
        <w:rPr>
          <w:rFonts w:ascii="mylotus" w:hAnsi="mylotus"/>
          <w:sz w:val="32"/>
          <w:rtl/>
        </w:rPr>
        <w:t xml:space="preserve"> </w:t>
      </w:r>
      <w:proofErr w:type="spellStart"/>
      <w:r w:rsidRPr="00F27422">
        <w:rPr>
          <w:rFonts w:ascii="mylotus" w:hAnsi="mylotus" w:hint="cs"/>
          <w:sz w:val="32"/>
          <w:rtl/>
        </w:rPr>
        <w:t>إقباضها</w:t>
      </w:r>
      <w:proofErr w:type="spellEnd"/>
      <w:r w:rsidRPr="00F27422">
        <w:rPr>
          <w:rFonts w:ascii="mylotus" w:hAnsi="mylotus"/>
          <w:sz w:val="32"/>
          <w:rtl/>
        </w:rPr>
        <w:t xml:space="preserve"> </w:t>
      </w:r>
      <w:r w:rsidRPr="00F27422">
        <w:rPr>
          <w:rFonts w:ascii="mylotus" w:hAnsi="mylotus" w:hint="cs"/>
          <w:sz w:val="32"/>
          <w:rtl/>
        </w:rPr>
        <w:t>للمُؤجّر</w:t>
      </w:r>
      <w:r w:rsidRPr="00F27422">
        <w:rPr>
          <w:rFonts w:ascii="mylotus" w:hAnsi="mylotus"/>
          <w:sz w:val="32"/>
          <w:rtl/>
        </w:rPr>
        <w:t xml:space="preserve"> </w:t>
      </w:r>
      <w:r w:rsidRPr="00F27422">
        <w:rPr>
          <w:rFonts w:ascii="mylotus" w:hAnsi="mylotus" w:hint="cs"/>
          <w:sz w:val="32"/>
          <w:rtl/>
        </w:rPr>
        <w:t>فلو</w:t>
      </w:r>
      <w:r w:rsidRPr="00F27422">
        <w:rPr>
          <w:rFonts w:ascii="mylotus" w:hAnsi="mylotus"/>
          <w:sz w:val="32"/>
          <w:rtl/>
        </w:rPr>
        <w:t xml:space="preserve"> </w:t>
      </w:r>
      <w:r w:rsidRPr="00F27422">
        <w:rPr>
          <w:rFonts w:ascii="mylotus" w:hAnsi="mylotus" w:hint="cs"/>
          <w:sz w:val="32"/>
          <w:rtl/>
        </w:rPr>
        <w:t>حكم</w:t>
      </w:r>
      <w:r w:rsidRPr="00F27422">
        <w:rPr>
          <w:rFonts w:ascii="mylotus" w:hAnsi="mylotus"/>
          <w:sz w:val="32"/>
          <w:rtl/>
        </w:rPr>
        <w:t xml:space="preserve"> </w:t>
      </w:r>
      <w:r w:rsidRPr="00F27422">
        <w:rPr>
          <w:rFonts w:ascii="mylotus" w:hAnsi="mylotus" w:hint="cs"/>
          <w:sz w:val="32"/>
          <w:rtl/>
        </w:rPr>
        <w:t>بالضمان</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المُستأجر</w:t>
      </w:r>
      <w:r w:rsidRPr="00F27422">
        <w:rPr>
          <w:rFonts w:ascii="mylotus" w:hAnsi="mylotus"/>
          <w:sz w:val="32"/>
          <w:rtl/>
        </w:rPr>
        <w:t xml:space="preserve"> </w:t>
      </w:r>
      <w:r w:rsidRPr="00F27422">
        <w:rPr>
          <w:rFonts w:ascii="mylotus" w:hAnsi="mylotus" w:hint="cs"/>
          <w:sz w:val="32"/>
          <w:rtl/>
        </w:rPr>
        <w:t>لكان</w:t>
      </w:r>
      <w:r w:rsidRPr="00F27422">
        <w:rPr>
          <w:rFonts w:ascii="mylotus" w:hAnsi="mylotus"/>
          <w:sz w:val="32"/>
          <w:rtl/>
        </w:rPr>
        <w:t xml:space="preserve"> </w:t>
      </w:r>
      <w:r w:rsidRPr="00F27422">
        <w:rPr>
          <w:rFonts w:ascii="mylotus" w:hAnsi="mylotus" w:hint="cs"/>
          <w:sz w:val="32"/>
          <w:rtl/>
        </w:rPr>
        <w:t>ذلك</w:t>
      </w:r>
      <w:r w:rsidRPr="00F27422">
        <w:rPr>
          <w:rFonts w:ascii="mylotus" w:hAnsi="mylotus"/>
          <w:sz w:val="32"/>
          <w:rtl/>
        </w:rPr>
        <w:t xml:space="preserve"> </w:t>
      </w:r>
      <w:r w:rsidRPr="00F27422">
        <w:rPr>
          <w:rFonts w:ascii="mylotus" w:hAnsi="mylotus" w:hint="cs"/>
          <w:sz w:val="32"/>
          <w:rtl/>
        </w:rPr>
        <w:t>ضرراً</w:t>
      </w:r>
      <w:r w:rsidRPr="00F27422">
        <w:rPr>
          <w:rFonts w:ascii="mylotus" w:hAnsi="mylotus"/>
          <w:sz w:val="32"/>
          <w:rtl/>
        </w:rPr>
        <w:t xml:space="preserve"> </w:t>
      </w:r>
      <w:r w:rsidRPr="00F27422">
        <w:rPr>
          <w:rFonts w:ascii="mylotus" w:hAnsi="mylotus" w:hint="cs"/>
          <w:sz w:val="32"/>
          <w:rtl/>
        </w:rPr>
        <w:t>عليه،</w:t>
      </w:r>
      <w:r w:rsidRPr="00F27422">
        <w:rPr>
          <w:rFonts w:ascii="mylotus" w:hAnsi="mylotus"/>
          <w:sz w:val="32"/>
          <w:rtl/>
        </w:rPr>
        <w:t xml:space="preserve"> </w:t>
      </w:r>
      <w:r w:rsidRPr="00F27422">
        <w:rPr>
          <w:rFonts w:ascii="mylotus" w:hAnsi="mylotus" w:hint="cs"/>
          <w:sz w:val="32"/>
          <w:rtl/>
        </w:rPr>
        <w:t>وبما</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منشأ</w:t>
      </w:r>
      <w:r w:rsidRPr="00F27422">
        <w:rPr>
          <w:rFonts w:ascii="mylotus" w:hAnsi="mylotus"/>
          <w:sz w:val="32"/>
          <w:rtl/>
        </w:rPr>
        <w:t xml:space="preserve"> </w:t>
      </w:r>
      <w:r w:rsidRPr="00F27422">
        <w:rPr>
          <w:rFonts w:ascii="mylotus" w:hAnsi="mylotus" w:hint="cs"/>
          <w:sz w:val="32"/>
          <w:rtl/>
        </w:rPr>
        <w:t>الضرر</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لزوم</w:t>
      </w:r>
      <w:r w:rsidRPr="00F27422">
        <w:rPr>
          <w:rFonts w:ascii="mylotus" w:hAnsi="mylotus"/>
          <w:sz w:val="32"/>
          <w:rtl/>
        </w:rPr>
        <w:t xml:space="preserve"> </w:t>
      </w:r>
      <w:r w:rsidRPr="00F27422">
        <w:rPr>
          <w:rFonts w:ascii="mylotus" w:hAnsi="mylotus" w:hint="cs"/>
          <w:sz w:val="32"/>
          <w:rtl/>
        </w:rPr>
        <w:t>المعاملة</w:t>
      </w:r>
      <w:r w:rsidRPr="00F27422">
        <w:rPr>
          <w:rFonts w:ascii="mylotus" w:hAnsi="mylotus"/>
          <w:sz w:val="32"/>
          <w:rtl/>
        </w:rPr>
        <w:t xml:space="preserve"> </w:t>
      </w:r>
      <w:r w:rsidRPr="00F27422">
        <w:rPr>
          <w:rFonts w:ascii="mylotus" w:hAnsi="mylotus" w:hint="cs"/>
          <w:sz w:val="32"/>
          <w:rtl/>
        </w:rPr>
        <w:t>فمقتضى</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ضرر</w:t>
      </w:r>
      <w:r w:rsidRPr="00F27422">
        <w:rPr>
          <w:rFonts w:ascii="mylotus" w:hAnsi="mylotus"/>
          <w:sz w:val="32"/>
          <w:rtl/>
        </w:rPr>
        <w:t xml:space="preserve">" </w:t>
      </w:r>
      <w:r w:rsidRPr="00F27422">
        <w:rPr>
          <w:rFonts w:ascii="mylotus" w:hAnsi="mylotus" w:hint="cs"/>
          <w:sz w:val="32"/>
          <w:rtl/>
        </w:rPr>
        <w:t>ثبوت</w:t>
      </w:r>
      <w:r w:rsidRPr="00F27422">
        <w:rPr>
          <w:rFonts w:ascii="mylotus" w:hAnsi="mylotus"/>
          <w:sz w:val="32"/>
          <w:rtl/>
        </w:rPr>
        <w:t xml:space="preserve"> </w:t>
      </w:r>
      <w:r w:rsidRPr="00F27422">
        <w:rPr>
          <w:rFonts w:ascii="mylotus" w:hAnsi="mylotus" w:hint="cs"/>
          <w:sz w:val="32"/>
          <w:rtl/>
        </w:rPr>
        <w:t>الخيار</w:t>
      </w:r>
      <w:r w:rsidRPr="00F27422">
        <w:rPr>
          <w:rFonts w:ascii="mylotus" w:hAnsi="mylotus"/>
          <w:sz w:val="32"/>
        </w:rPr>
        <w:t>.</w:t>
      </w:r>
    </w:p>
    <w:p w14:paraId="63CB81A7" w14:textId="77777777" w:rsidR="008954B5" w:rsidRPr="00F27422" w:rsidRDefault="008954B5" w:rsidP="00122B70">
      <w:pPr>
        <w:pStyle w:val="a"/>
        <w:bidi/>
        <w:spacing w:line="216" w:lineRule="auto"/>
        <w:jc w:val="left"/>
        <w:rPr>
          <w:rFonts w:ascii="mylotus" w:hAnsi="mylotus"/>
          <w:b/>
          <w:bCs/>
          <w:sz w:val="32"/>
          <w:rtl/>
        </w:rPr>
      </w:pPr>
      <w:r w:rsidRPr="00F27422">
        <w:rPr>
          <w:rFonts w:ascii="mylotus" w:hAnsi="mylotus"/>
          <w:b/>
          <w:bCs/>
          <w:sz w:val="32"/>
          <w:rtl/>
        </w:rPr>
        <w:t>ولكن قد يلاحظ على ذلك:</w:t>
      </w:r>
    </w:p>
    <w:p w14:paraId="1139D842" w14:textId="77777777" w:rsidR="008954B5" w:rsidRPr="00F27422" w:rsidRDefault="008954B5" w:rsidP="00122B70">
      <w:pPr>
        <w:pStyle w:val="a"/>
        <w:bidi/>
        <w:spacing w:line="216" w:lineRule="auto"/>
        <w:jc w:val="left"/>
        <w:rPr>
          <w:rFonts w:ascii="mylotus" w:hAnsi="mylotus"/>
          <w:sz w:val="32"/>
          <w:rtl/>
        </w:rPr>
      </w:pPr>
      <w:r w:rsidRPr="00F27422">
        <w:rPr>
          <w:rFonts w:ascii="mylotus" w:hAnsi="mylotus"/>
          <w:b/>
          <w:bCs/>
          <w:sz w:val="32"/>
          <w:rtl/>
        </w:rPr>
        <w:t>أو</w:t>
      </w:r>
      <w:r w:rsidRPr="00F27422">
        <w:rPr>
          <w:rFonts w:ascii="mylotus" w:hAnsi="mylotus" w:hint="cs"/>
          <w:b/>
          <w:bCs/>
          <w:sz w:val="32"/>
          <w:rtl/>
        </w:rPr>
        <w:t>ّ</w:t>
      </w:r>
      <w:r w:rsidRPr="00F27422">
        <w:rPr>
          <w:rFonts w:ascii="mylotus" w:hAnsi="mylotus"/>
          <w:b/>
          <w:bCs/>
          <w:sz w:val="32"/>
          <w:rtl/>
        </w:rPr>
        <w:t>لا</w:t>
      </w:r>
      <w:r w:rsidRPr="00F27422">
        <w:rPr>
          <w:rFonts w:ascii="mylotus" w:hAnsi="mylotus" w:hint="cs"/>
          <w:b/>
          <w:bCs/>
          <w:sz w:val="32"/>
          <w:rtl/>
        </w:rPr>
        <w:t>ً</w:t>
      </w:r>
      <w:r w:rsidRPr="00F27422">
        <w:rPr>
          <w:rFonts w:ascii="mylotus" w:hAnsi="mylotus"/>
          <w:b/>
          <w:bCs/>
          <w:sz w:val="32"/>
          <w:rtl/>
        </w:rPr>
        <w:t xml:space="preserve">: </w:t>
      </w:r>
      <w:r w:rsidRPr="00F27422">
        <w:rPr>
          <w:rFonts w:ascii="mylotus" w:hAnsi="mylotus"/>
          <w:sz w:val="32"/>
          <w:rtl/>
        </w:rPr>
        <w:t>أن</w:t>
      </w:r>
      <w:r w:rsidRPr="00F27422">
        <w:rPr>
          <w:rFonts w:ascii="mylotus" w:hAnsi="mylotus" w:hint="cs"/>
          <w:sz w:val="32"/>
          <w:rtl/>
        </w:rPr>
        <w:t>ّ</w:t>
      </w:r>
      <w:r w:rsidRPr="00F27422">
        <w:rPr>
          <w:rFonts w:ascii="mylotus" w:hAnsi="mylotus"/>
          <w:sz w:val="32"/>
          <w:rtl/>
        </w:rPr>
        <w:t xml:space="preserve">ه إذا </w:t>
      </w:r>
      <w:r w:rsidRPr="00F27422">
        <w:rPr>
          <w:rFonts w:ascii="mylotus" w:hAnsi="mylotus" w:hint="cs"/>
          <w:sz w:val="32"/>
          <w:rtl/>
        </w:rPr>
        <w:t xml:space="preserve">كان </w:t>
      </w:r>
      <w:r w:rsidRPr="00F27422">
        <w:rPr>
          <w:rFonts w:ascii="mylotus" w:hAnsi="mylotus"/>
          <w:sz w:val="32"/>
          <w:rtl/>
        </w:rPr>
        <w:t xml:space="preserve">مقتضى قاعدة </w:t>
      </w:r>
      <w:r w:rsidRPr="00F27422">
        <w:rPr>
          <w:rFonts w:ascii="mylotus" w:hAnsi="mylotus" w:cs="Cambria" w:hint="cs"/>
          <w:sz w:val="32"/>
          <w:rtl/>
        </w:rPr>
        <w:t>"</w:t>
      </w:r>
      <w:r w:rsidRPr="00F27422">
        <w:rPr>
          <w:rFonts w:ascii="mylotus" w:hAnsi="mylotus"/>
          <w:sz w:val="32"/>
          <w:rtl/>
        </w:rPr>
        <w:t>لا</w:t>
      </w:r>
      <w:r w:rsidRPr="00F27422">
        <w:rPr>
          <w:rFonts w:ascii="mylotus" w:hAnsi="mylotus" w:hint="cs"/>
          <w:sz w:val="32"/>
          <w:rtl/>
        </w:rPr>
        <w:t xml:space="preserve"> </w:t>
      </w:r>
      <w:r w:rsidRPr="00F27422">
        <w:rPr>
          <w:rFonts w:ascii="mylotus" w:hAnsi="mylotus"/>
          <w:sz w:val="32"/>
          <w:rtl/>
        </w:rPr>
        <w:t>ضرر</w:t>
      </w:r>
      <w:r w:rsidRPr="00F27422">
        <w:rPr>
          <w:rFonts w:ascii="mylotus" w:hAnsi="mylotus" w:cs="Cambria" w:hint="cs"/>
          <w:sz w:val="32"/>
          <w:rtl/>
        </w:rPr>
        <w:t>"</w:t>
      </w:r>
      <w:r w:rsidRPr="00F27422">
        <w:rPr>
          <w:rFonts w:ascii="mylotus" w:hAnsi="mylotus"/>
          <w:sz w:val="32"/>
          <w:rtl/>
        </w:rPr>
        <w:t xml:space="preserve"> هو عدم ضمان م</w:t>
      </w:r>
      <w:r w:rsidRPr="00F27422">
        <w:rPr>
          <w:rFonts w:ascii="mylotus" w:hAnsi="mylotus" w:hint="cs"/>
          <w:sz w:val="32"/>
          <w:rtl/>
        </w:rPr>
        <w:t>َ</w:t>
      </w:r>
      <w:r w:rsidRPr="00F27422">
        <w:rPr>
          <w:rFonts w:ascii="mylotus" w:hAnsi="mylotus"/>
          <w:sz w:val="32"/>
          <w:rtl/>
        </w:rPr>
        <w:t>ن ا</w:t>
      </w:r>
      <w:r w:rsidRPr="00F27422">
        <w:rPr>
          <w:rFonts w:ascii="mylotus" w:hAnsi="mylotus" w:hint="cs"/>
          <w:sz w:val="32"/>
          <w:rtl/>
        </w:rPr>
        <w:t>ِ</w:t>
      </w:r>
      <w:r w:rsidRPr="00F27422">
        <w:rPr>
          <w:rFonts w:ascii="mylotus" w:hAnsi="mylotus"/>
          <w:sz w:val="32"/>
          <w:rtl/>
        </w:rPr>
        <w:t>نتقل عنه</w:t>
      </w:r>
      <w:r w:rsidRPr="00F27422">
        <w:rPr>
          <w:rFonts w:ascii="mylotus" w:hAnsi="mylotus" w:hint="cs"/>
          <w:sz w:val="32"/>
          <w:rtl/>
        </w:rPr>
        <w:t>ُ</w:t>
      </w:r>
      <w:r w:rsidRPr="00F27422">
        <w:rPr>
          <w:rFonts w:ascii="mylotus" w:hAnsi="mylotus"/>
          <w:sz w:val="32"/>
          <w:rtl/>
        </w:rPr>
        <w:t xml:space="preserve"> للمال التالف ق</w:t>
      </w:r>
      <w:r w:rsidRPr="00F27422">
        <w:rPr>
          <w:rFonts w:ascii="mylotus" w:hAnsi="mylotus" w:hint="cs"/>
          <w:sz w:val="32"/>
          <w:rtl/>
        </w:rPr>
        <w:t>َ</w:t>
      </w:r>
      <w:r w:rsidRPr="00F27422">
        <w:rPr>
          <w:rFonts w:ascii="mylotus" w:hAnsi="mylotus"/>
          <w:sz w:val="32"/>
          <w:rtl/>
        </w:rPr>
        <w:t>بل القبض فلا</w:t>
      </w:r>
      <w:r w:rsidRPr="00F27422">
        <w:rPr>
          <w:rFonts w:ascii="mylotus" w:hAnsi="mylotus" w:hint="cs"/>
          <w:sz w:val="32"/>
          <w:rtl/>
        </w:rPr>
        <w:t xml:space="preserve"> </w:t>
      </w:r>
      <w:r w:rsidRPr="00F27422">
        <w:rPr>
          <w:rFonts w:ascii="mylotus" w:hAnsi="mylotus"/>
          <w:sz w:val="32"/>
          <w:rtl/>
        </w:rPr>
        <w:t>يحتمل جريان السيرة العقلائية على خلافه، بأن</w:t>
      </w:r>
      <w:r w:rsidRPr="00F27422">
        <w:rPr>
          <w:rFonts w:ascii="mylotus" w:hAnsi="mylotus" w:hint="cs"/>
          <w:sz w:val="32"/>
          <w:rtl/>
        </w:rPr>
        <w:t>ْ</w:t>
      </w:r>
      <w:r w:rsidRPr="00F27422">
        <w:rPr>
          <w:rFonts w:ascii="mylotus" w:hAnsi="mylotus"/>
          <w:sz w:val="32"/>
          <w:rtl/>
        </w:rPr>
        <w:t xml:space="preserve"> يكون مجراها هو ثبوت الضمان خصوصا</w:t>
      </w:r>
      <w:r w:rsidRPr="00F27422">
        <w:rPr>
          <w:rFonts w:ascii="mylotus" w:hAnsi="mylotus" w:hint="cs"/>
          <w:sz w:val="32"/>
          <w:rtl/>
        </w:rPr>
        <w:t>ً</w:t>
      </w:r>
      <w:r w:rsidRPr="00F27422">
        <w:rPr>
          <w:rFonts w:ascii="mylotus" w:hAnsi="mylotus"/>
          <w:sz w:val="32"/>
          <w:rtl/>
        </w:rPr>
        <w:t xml:space="preserve"> على مبنى أن</w:t>
      </w:r>
      <w:r w:rsidRPr="00F27422">
        <w:rPr>
          <w:rFonts w:ascii="mylotus" w:hAnsi="mylotus" w:hint="cs"/>
          <w:sz w:val="32"/>
          <w:rtl/>
        </w:rPr>
        <w:t>ّ</w:t>
      </w:r>
      <w:r w:rsidRPr="00F27422">
        <w:rPr>
          <w:rFonts w:ascii="mylotus" w:hAnsi="mylotus"/>
          <w:sz w:val="32"/>
          <w:rtl/>
        </w:rPr>
        <w:t xml:space="preserve"> قاعدة </w:t>
      </w:r>
      <w:r w:rsidRPr="00F27422">
        <w:rPr>
          <w:rFonts w:ascii="mylotus" w:hAnsi="mylotus" w:cs="Cambria" w:hint="cs"/>
          <w:sz w:val="32"/>
          <w:rtl/>
        </w:rPr>
        <w:t>"</w:t>
      </w:r>
      <w:r w:rsidRPr="00F27422">
        <w:rPr>
          <w:rFonts w:ascii="mylotus" w:hAnsi="mylotus"/>
          <w:sz w:val="32"/>
          <w:rtl/>
        </w:rPr>
        <w:t>لا</w:t>
      </w:r>
      <w:r w:rsidRPr="00F27422">
        <w:rPr>
          <w:rFonts w:ascii="mylotus" w:hAnsi="mylotus" w:hint="cs"/>
          <w:sz w:val="32"/>
          <w:rtl/>
        </w:rPr>
        <w:t xml:space="preserve"> </w:t>
      </w:r>
      <w:r w:rsidRPr="00F27422">
        <w:rPr>
          <w:rFonts w:ascii="mylotus" w:hAnsi="mylotus"/>
          <w:sz w:val="32"/>
          <w:rtl/>
        </w:rPr>
        <w:t>ضرر</w:t>
      </w:r>
      <w:r w:rsidRPr="00F27422">
        <w:rPr>
          <w:rFonts w:ascii="mylotus" w:hAnsi="mylotus" w:cs="Cambria" w:hint="cs"/>
          <w:sz w:val="32"/>
          <w:rtl/>
        </w:rPr>
        <w:t>"</w:t>
      </w:r>
      <w:r w:rsidRPr="00F27422">
        <w:rPr>
          <w:rFonts w:ascii="mylotus" w:hAnsi="mylotus"/>
          <w:sz w:val="32"/>
          <w:rtl/>
        </w:rPr>
        <w:t xml:space="preserve"> عقلائية لا</w:t>
      </w:r>
      <w:r w:rsidRPr="00F27422">
        <w:rPr>
          <w:rFonts w:ascii="mylotus" w:hAnsi="mylotus" w:hint="cs"/>
          <w:sz w:val="32"/>
          <w:rtl/>
        </w:rPr>
        <w:t xml:space="preserve"> </w:t>
      </w:r>
      <w:r w:rsidRPr="00F27422">
        <w:rPr>
          <w:rFonts w:ascii="mylotus" w:hAnsi="mylotus"/>
          <w:sz w:val="32"/>
          <w:rtl/>
        </w:rPr>
        <w:t>تعبدية</w:t>
      </w:r>
      <w:r w:rsidRPr="00F27422">
        <w:rPr>
          <w:rFonts w:ascii="mylotus" w:hAnsi="mylotus" w:hint="cs"/>
          <w:sz w:val="32"/>
          <w:rtl/>
        </w:rPr>
        <w:t>.</w:t>
      </w:r>
    </w:p>
    <w:p w14:paraId="732A27BA" w14:textId="77777777" w:rsidR="008954B5" w:rsidRPr="00F27422" w:rsidRDefault="008954B5" w:rsidP="00122B70">
      <w:pPr>
        <w:pStyle w:val="a"/>
        <w:bidi/>
        <w:spacing w:line="216" w:lineRule="auto"/>
        <w:jc w:val="left"/>
        <w:rPr>
          <w:rFonts w:ascii="mylotus" w:hAnsi="mylotus" w:cs="Times New Roman"/>
          <w:sz w:val="32"/>
          <w:rtl/>
          <w:lang w:bidi="ar-BH"/>
        </w:rPr>
      </w:pPr>
      <w:r w:rsidRPr="00F27422">
        <w:rPr>
          <w:rFonts w:ascii="mylotus" w:hAnsi="mylotus"/>
          <w:b/>
          <w:bCs/>
          <w:sz w:val="32"/>
          <w:rtl/>
        </w:rPr>
        <w:t>وثانيا</w:t>
      </w:r>
      <w:r w:rsidRPr="00F27422">
        <w:rPr>
          <w:rFonts w:ascii="mylotus" w:hAnsi="mylotus" w:hint="cs"/>
          <w:b/>
          <w:bCs/>
          <w:sz w:val="32"/>
          <w:rtl/>
        </w:rPr>
        <w:t>ً</w:t>
      </w:r>
      <w:r w:rsidRPr="00F27422">
        <w:rPr>
          <w:rFonts w:ascii="mylotus" w:hAnsi="mylotus"/>
          <w:b/>
          <w:bCs/>
          <w:sz w:val="32"/>
          <w:rtl/>
        </w:rPr>
        <w:t>:</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مقتضى قاعدة </w:t>
      </w:r>
      <w:r w:rsidRPr="00F27422">
        <w:rPr>
          <w:rFonts w:ascii="mylotus" w:hAnsi="mylotus" w:cs="Cambria" w:hint="cs"/>
          <w:sz w:val="32"/>
          <w:rtl/>
        </w:rPr>
        <w:t>"</w:t>
      </w:r>
      <w:r w:rsidRPr="00F27422">
        <w:rPr>
          <w:rFonts w:ascii="mylotus" w:hAnsi="mylotus"/>
          <w:sz w:val="32"/>
          <w:rtl/>
        </w:rPr>
        <w:t>لا ضرر</w:t>
      </w:r>
      <w:r w:rsidRPr="00F27422">
        <w:rPr>
          <w:rFonts w:ascii="mylotus" w:hAnsi="mylotus" w:cs="Cambria" w:hint="cs"/>
          <w:sz w:val="32"/>
          <w:rtl/>
        </w:rPr>
        <w:t>"</w:t>
      </w:r>
      <w:r w:rsidRPr="00F27422">
        <w:rPr>
          <w:rFonts w:ascii="mylotus" w:hAnsi="mylotus"/>
          <w:sz w:val="32"/>
          <w:rtl/>
        </w:rPr>
        <w:t xml:space="preserve"> ليس انتفاء اللزوم بنحو</w:t>
      </w:r>
      <w:r w:rsidRPr="00F27422">
        <w:rPr>
          <w:rFonts w:ascii="mylotus" w:hAnsi="mylotus" w:hint="cs"/>
          <w:sz w:val="32"/>
          <w:rtl/>
        </w:rPr>
        <w:t>ٍ</w:t>
      </w:r>
      <w:r w:rsidRPr="00F27422">
        <w:rPr>
          <w:rFonts w:ascii="mylotus" w:hAnsi="mylotus"/>
          <w:sz w:val="32"/>
          <w:rtl/>
        </w:rPr>
        <w:t xml:space="preserve"> مباشر</w:t>
      </w:r>
      <w:r w:rsidRPr="00F27422">
        <w:rPr>
          <w:rFonts w:ascii="mylotus" w:hAnsi="mylotus" w:hint="cs"/>
          <w:sz w:val="32"/>
          <w:rtl/>
        </w:rPr>
        <w:t>ٍ؛</w:t>
      </w:r>
      <w:r w:rsidRPr="00F27422">
        <w:rPr>
          <w:rFonts w:ascii="mylotus" w:hAnsi="mylotus"/>
          <w:sz w:val="32"/>
          <w:rtl/>
        </w:rPr>
        <w:t xml:space="preserve"> وإن</w:t>
      </w:r>
      <w:r w:rsidRPr="00F27422">
        <w:rPr>
          <w:rFonts w:ascii="mylotus" w:hAnsi="mylotus" w:hint="cs"/>
          <w:sz w:val="32"/>
          <w:rtl/>
        </w:rPr>
        <w:t>ّ</w:t>
      </w:r>
      <w:r w:rsidRPr="00F27422">
        <w:rPr>
          <w:rFonts w:ascii="mylotus" w:hAnsi="mylotus"/>
          <w:sz w:val="32"/>
          <w:rtl/>
        </w:rPr>
        <w:t>ما مقتضاها أن</w:t>
      </w:r>
      <w:r w:rsidRPr="00F27422">
        <w:rPr>
          <w:rFonts w:ascii="mylotus" w:hAnsi="mylotus" w:hint="cs"/>
          <w:sz w:val="32"/>
          <w:rtl/>
        </w:rPr>
        <w:t>ّ</w:t>
      </w:r>
      <w:r w:rsidRPr="00F27422">
        <w:rPr>
          <w:rFonts w:ascii="mylotus" w:hAnsi="mylotus"/>
          <w:sz w:val="32"/>
          <w:rtl/>
        </w:rPr>
        <w:t>ه لا</w:t>
      </w:r>
      <w:r w:rsidRPr="00F27422">
        <w:rPr>
          <w:rFonts w:ascii="mylotus" w:hAnsi="mylotus" w:hint="cs"/>
          <w:sz w:val="32"/>
          <w:rtl/>
        </w:rPr>
        <w:t xml:space="preserve"> </w:t>
      </w:r>
      <w:r w:rsidRPr="00F27422">
        <w:rPr>
          <w:rFonts w:ascii="mylotus" w:hAnsi="mylotus"/>
          <w:sz w:val="32"/>
          <w:rtl/>
        </w:rPr>
        <w:t>يلزم م</w:t>
      </w:r>
      <w:r w:rsidRPr="00F27422">
        <w:rPr>
          <w:rFonts w:ascii="mylotus" w:hAnsi="mylotus" w:hint="cs"/>
          <w:sz w:val="32"/>
          <w:rtl/>
        </w:rPr>
        <w:t>َ</w:t>
      </w:r>
      <w:r w:rsidRPr="00F27422">
        <w:rPr>
          <w:rFonts w:ascii="mylotus" w:hAnsi="mylotus"/>
          <w:sz w:val="32"/>
          <w:rtl/>
        </w:rPr>
        <w:t>ن ا</w:t>
      </w:r>
      <w:r w:rsidRPr="00F27422">
        <w:rPr>
          <w:rFonts w:ascii="mylotus" w:hAnsi="mylotus" w:hint="cs"/>
          <w:sz w:val="32"/>
          <w:rtl/>
        </w:rPr>
        <w:t>ِ</w:t>
      </w:r>
      <w:r w:rsidRPr="00F27422">
        <w:rPr>
          <w:rFonts w:ascii="mylotus" w:hAnsi="mylotus"/>
          <w:sz w:val="32"/>
          <w:rtl/>
        </w:rPr>
        <w:t>نتقل إليه أن</w:t>
      </w:r>
      <w:r w:rsidRPr="00F27422">
        <w:rPr>
          <w:rFonts w:ascii="mylotus" w:hAnsi="mylotus" w:hint="cs"/>
          <w:sz w:val="32"/>
          <w:rtl/>
        </w:rPr>
        <w:t>ْ</w:t>
      </w:r>
      <w:r w:rsidRPr="00F27422">
        <w:rPr>
          <w:rFonts w:ascii="mylotus" w:hAnsi="mylotus"/>
          <w:sz w:val="32"/>
          <w:rtl/>
        </w:rPr>
        <w:t xml:space="preserve"> يدفع ما</w:t>
      </w:r>
      <w:r w:rsidRPr="00F27422">
        <w:rPr>
          <w:rFonts w:ascii="mylotus" w:hAnsi="mylotus" w:hint="cs"/>
          <w:sz w:val="32"/>
          <w:rtl/>
        </w:rPr>
        <w:t xml:space="preserve"> </w:t>
      </w:r>
      <w:r w:rsidRPr="00F27422">
        <w:rPr>
          <w:rFonts w:ascii="mylotus" w:hAnsi="mylotus"/>
          <w:sz w:val="32"/>
          <w:rtl/>
        </w:rPr>
        <w:t>قابله لكون إلزامه ب</w:t>
      </w:r>
      <w:r w:rsidRPr="00F27422">
        <w:rPr>
          <w:rFonts w:ascii="mylotus" w:hAnsi="mylotus" w:hint="cs"/>
          <w:sz w:val="32"/>
          <w:rtl/>
        </w:rPr>
        <w:t>ِ</w:t>
      </w:r>
      <w:r w:rsidRPr="00F27422">
        <w:rPr>
          <w:rFonts w:ascii="mylotus" w:hAnsi="mylotus"/>
          <w:sz w:val="32"/>
          <w:rtl/>
        </w:rPr>
        <w:t>ه</w:t>
      </w:r>
      <w:r w:rsidRPr="00F27422">
        <w:rPr>
          <w:rFonts w:ascii="mylotus" w:hAnsi="mylotus" w:hint="cs"/>
          <w:sz w:val="32"/>
          <w:rtl/>
        </w:rPr>
        <w:t>ِ</w:t>
      </w:r>
      <w:r w:rsidRPr="00F27422">
        <w:rPr>
          <w:rFonts w:ascii="mylotus" w:hAnsi="mylotus"/>
          <w:sz w:val="32"/>
          <w:rtl/>
        </w:rPr>
        <w:t xml:space="preserve"> ضرريا</w:t>
      </w:r>
      <w:r w:rsidRPr="00F27422">
        <w:rPr>
          <w:rFonts w:ascii="mylotus" w:hAnsi="mylotus" w:hint="cs"/>
          <w:sz w:val="32"/>
          <w:rtl/>
        </w:rPr>
        <w:t>ً</w:t>
      </w:r>
      <w:r w:rsidRPr="00F27422">
        <w:rPr>
          <w:rFonts w:ascii="mylotus" w:hAnsi="mylotus"/>
          <w:sz w:val="32"/>
          <w:rtl/>
        </w:rPr>
        <w:t>، بل الحق</w:t>
      </w:r>
      <w:r w:rsidRPr="00F27422">
        <w:rPr>
          <w:rFonts w:ascii="mylotus" w:hAnsi="mylotus" w:hint="cs"/>
          <w:sz w:val="32"/>
          <w:rtl/>
        </w:rPr>
        <w:t>ّ</w:t>
      </w:r>
      <w:r w:rsidRPr="00F27422">
        <w:rPr>
          <w:rFonts w:ascii="mylotus" w:hAnsi="mylotus"/>
          <w:sz w:val="32"/>
          <w:rtl/>
        </w:rPr>
        <w:t xml:space="preserve"> في ال</w:t>
      </w:r>
      <w:r w:rsidRPr="00F27422">
        <w:rPr>
          <w:rFonts w:ascii="mylotus" w:hAnsi="mylotus" w:hint="cs"/>
          <w:sz w:val="32"/>
          <w:rtl/>
        </w:rPr>
        <w:t>ا</w:t>
      </w:r>
      <w:r w:rsidRPr="00F27422">
        <w:rPr>
          <w:rFonts w:ascii="mylotus" w:hAnsi="mylotus"/>
          <w:sz w:val="32"/>
          <w:rtl/>
        </w:rPr>
        <w:t>متناع عن أداء المال المقابل حتى يؤدى إليه ما</w:t>
      </w:r>
      <w:r w:rsidRPr="00F27422">
        <w:rPr>
          <w:rFonts w:ascii="mylotus" w:hAnsi="mylotus" w:hint="cs"/>
          <w:sz w:val="32"/>
          <w:rtl/>
        </w:rPr>
        <w:t xml:space="preserve"> </w:t>
      </w:r>
      <w:r w:rsidRPr="00F27422">
        <w:rPr>
          <w:rFonts w:ascii="mylotus" w:hAnsi="mylotus"/>
          <w:sz w:val="32"/>
          <w:rtl/>
        </w:rPr>
        <w:t>انتقل عنه، فإن</w:t>
      </w:r>
      <w:r w:rsidRPr="00F27422">
        <w:rPr>
          <w:rFonts w:ascii="mylotus" w:hAnsi="mylotus" w:hint="cs"/>
          <w:sz w:val="32"/>
          <w:rtl/>
        </w:rPr>
        <w:t>ْ</w:t>
      </w:r>
      <w:r w:rsidRPr="00F27422">
        <w:rPr>
          <w:rFonts w:ascii="mylotus" w:hAnsi="mylotus"/>
          <w:sz w:val="32"/>
          <w:rtl/>
        </w:rPr>
        <w:t xml:space="preserve"> ل</w:t>
      </w:r>
      <w:r w:rsidRPr="00F27422">
        <w:rPr>
          <w:rFonts w:ascii="mylotus" w:hAnsi="mylotus" w:hint="cs"/>
          <w:sz w:val="32"/>
          <w:rtl/>
        </w:rPr>
        <w:t>َ</w:t>
      </w:r>
      <w:r w:rsidRPr="00F27422">
        <w:rPr>
          <w:rFonts w:ascii="mylotus" w:hAnsi="mylotus"/>
          <w:sz w:val="32"/>
          <w:rtl/>
        </w:rPr>
        <w:t>م</w:t>
      </w:r>
      <w:r w:rsidRPr="00F27422">
        <w:rPr>
          <w:rFonts w:ascii="mylotus" w:hAnsi="mylotus" w:hint="cs"/>
          <w:sz w:val="32"/>
          <w:rtl/>
        </w:rPr>
        <w:t>ْ</w:t>
      </w:r>
      <w:r w:rsidRPr="00F27422">
        <w:rPr>
          <w:rFonts w:ascii="mylotus" w:hAnsi="mylotus"/>
          <w:sz w:val="32"/>
          <w:rtl/>
        </w:rPr>
        <w:t xml:space="preserve"> يدفع إليه في المد</w:t>
      </w:r>
      <w:r w:rsidRPr="00F27422">
        <w:rPr>
          <w:rFonts w:ascii="mylotus" w:hAnsi="mylotus" w:hint="cs"/>
          <w:sz w:val="32"/>
          <w:rtl/>
        </w:rPr>
        <w:t>ّ</w:t>
      </w:r>
      <w:r w:rsidRPr="00F27422">
        <w:rPr>
          <w:rFonts w:ascii="mylotus" w:hAnsi="mylotus"/>
          <w:sz w:val="32"/>
          <w:rtl/>
        </w:rPr>
        <w:t xml:space="preserve">ة المتعارفة للدفع فله </w:t>
      </w:r>
      <w:proofErr w:type="gramStart"/>
      <w:r w:rsidRPr="00F27422">
        <w:rPr>
          <w:rFonts w:ascii="mylotus" w:hAnsi="mylotus"/>
          <w:sz w:val="32"/>
          <w:rtl/>
        </w:rPr>
        <w:t>الخيار</w:t>
      </w:r>
      <w:r w:rsidRPr="00F27422">
        <w:rPr>
          <w:rFonts w:ascii="mylotus" w:hAnsi="mylotus"/>
          <w:sz w:val="32"/>
        </w:rPr>
        <w:t xml:space="preserve"> .</w:t>
      </w:r>
      <w:proofErr w:type="gramEnd"/>
    </w:p>
    <w:p w14:paraId="3342FCE9" w14:textId="77777777" w:rsidR="008954B5" w:rsidRPr="00F27422" w:rsidRDefault="008954B5" w:rsidP="00122B70">
      <w:pPr>
        <w:pStyle w:val="a"/>
        <w:bidi/>
        <w:spacing w:line="216" w:lineRule="auto"/>
        <w:jc w:val="left"/>
        <w:rPr>
          <w:rFonts w:ascii="mylotus" w:hAnsi="mylotus" w:cs="Times New Roman"/>
          <w:sz w:val="32"/>
          <w:rtl/>
          <w:lang w:bidi="ar-BH"/>
        </w:rPr>
      </w:pPr>
    </w:p>
    <w:p w14:paraId="2BED57AE" w14:textId="77777777" w:rsidR="008954B5" w:rsidRPr="00F27422" w:rsidRDefault="008954B5" w:rsidP="00122B70">
      <w:pPr>
        <w:pStyle w:val="a"/>
        <w:bidi/>
        <w:spacing w:line="216" w:lineRule="auto"/>
        <w:jc w:val="left"/>
        <w:rPr>
          <w:rFonts w:ascii="mylotus" w:hAnsi="mylotus" w:cs="Times New Roman"/>
          <w:sz w:val="32"/>
          <w:rtl/>
          <w:lang w:bidi="ar-BH"/>
        </w:rPr>
      </w:pPr>
      <w:r w:rsidRPr="00F27422">
        <w:rPr>
          <w:rFonts w:ascii="mylotus" w:hAnsi="mylotus"/>
          <w:sz w:val="32"/>
          <w:rtl/>
        </w:rPr>
        <w:t>المسألة الثانية عشر "من أحكام فصل الإجارة</w:t>
      </w:r>
      <w:r w:rsidRPr="00F27422">
        <w:rPr>
          <w:rFonts w:ascii="mylotus" w:hAnsi="mylotus" w:cs="Cambria" w:hint="cs"/>
          <w:sz w:val="32"/>
          <w:rtl/>
        </w:rPr>
        <w:t>"</w:t>
      </w:r>
      <w:r w:rsidRPr="00F27422">
        <w:rPr>
          <w:rFonts w:ascii="mylotus" w:hAnsi="mylotus" w:hint="cs"/>
          <w:sz w:val="32"/>
          <w:rtl/>
        </w:rPr>
        <w:t>.</w:t>
      </w:r>
    </w:p>
    <w:p w14:paraId="4B496A4E" w14:textId="77777777" w:rsidR="008954B5" w:rsidRPr="00F27422" w:rsidRDefault="008954B5" w:rsidP="00122B70">
      <w:pPr>
        <w:pStyle w:val="a"/>
        <w:bidi/>
        <w:spacing w:line="216" w:lineRule="auto"/>
        <w:jc w:val="left"/>
        <w:rPr>
          <w:rFonts w:ascii="mylotus" w:hAnsi="mylotus" w:cs="Times New Roman"/>
          <w:b/>
          <w:bCs/>
          <w:sz w:val="32"/>
          <w:rtl/>
          <w:lang w:bidi="ar-BH"/>
        </w:rPr>
      </w:pPr>
      <w:r w:rsidRPr="00F27422">
        <w:rPr>
          <w:rFonts w:ascii="mylotus" w:hAnsi="mylotus"/>
          <w:sz w:val="32"/>
          <w:rtl/>
        </w:rPr>
        <w:t xml:space="preserve">قال سيد العروة (قدس سره): </w:t>
      </w:r>
      <w:r w:rsidRPr="00F27422">
        <w:rPr>
          <w:rFonts w:ascii="mylotus" w:hAnsi="mylotus"/>
          <w:b/>
          <w:bCs/>
          <w:sz w:val="32"/>
          <w:rtl/>
        </w:rPr>
        <w:t xml:space="preserve">(مسألة 12: إذا آجر عبده أو داره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مثلاً</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ثمّ</w:t>
      </w:r>
      <w:r w:rsidRPr="00F27422">
        <w:rPr>
          <w:rFonts w:ascii="mylotus" w:hAnsi="mylotus"/>
          <w:b/>
          <w:bCs/>
          <w:sz w:val="32"/>
          <w:rtl/>
        </w:rPr>
        <w:t xml:space="preserve"> </w:t>
      </w:r>
      <w:r w:rsidRPr="00F27422">
        <w:rPr>
          <w:rFonts w:ascii="mylotus" w:hAnsi="mylotus" w:hint="cs"/>
          <w:b/>
          <w:bCs/>
          <w:sz w:val="32"/>
          <w:rtl/>
        </w:rPr>
        <w:t>باعه</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المستأجر</w:t>
      </w:r>
      <w:r w:rsidRPr="00F27422">
        <w:rPr>
          <w:rFonts w:ascii="mylotus" w:hAnsi="mylotus"/>
          <w:b/>
          <w:bCs/>
          <w:sz w:val="32"/>
          <w:rtl/>
        </w:rPr>
        <w:t xml:space="preserve"> </w:t>
      </w:r>
      <w:r w:rsidRPr="00F27422">
        <w:rPr>
          <w:rFonts w:ascii="mylotus" w:hAnsi="mylotus" w:hint="cs"/>
          <w:b/>
          <w:bCs/>
          <w:sz w:val="32"/>
          <w:rtl/>
        </w:rPr>
        <w:t>لم</w:t>
      </w:r>
      <w:r w:rsidRPr="00F27422">
        <w:rPr>
          <w:rFonts w:ascii="mylotus" w:hAnsi="mylotus"/>
          <w:b/>
          <w:bCs/>
          <w:sz w:val="32"/>
          <w:rtl/>
        </w:rPr>
        <w:t xml:space="preserve"> </w:t>
      </w:r>
      <w:r w:rsidRPr="00F27422">
        <w:rPr>
          <w:rFonts w:ascii="mylotus" w:hAnsi="mylotus" w:hint="cs"/>
          <w:b/>
          <w:bCs/>
          <w:sz w:val="32"/>
          <w:rtl/>
        </w:rPr>
        <w:t>تبطل</w:t>
      </w:r>
      <w:r w:rsidRPr="00F27422">
        <w:rPr>
          <w:rFonts w:ascii="mylotus" w:hAnsi="mylotus"/>
          <w:b/>
          <w:bCs/>
          <w:sz w:val="32"/>
          <w:rtl/>
        </w:rPr>
        <w:t xml:space="preserve"> </w:t>
      </w:r>
      <w:r w:rsidRPr="00F27422">
        <w:rPr>
          <w:rFonts w:ascii="mylotus" w:hAnsi="mylotus" w:hint="cs"/>
          <w:b/>
          <w:bCs/>
          <w:sz w:val="32"/>
          <w:rtl/>
        </w:rPr>
        <w:t>الإجارة،</w:t>
      </w:r>
      <w:r w:rsidRPr="00F27422">
        <w:rPr>
          <w:rFonts w:ascii="mylotus" w:hAnsi="mylotus"/>
          <w:b/>
          <w:bCs/>
          <w:sz w:val="32"/>
          <w:rtl/>
        </w:rPr>
        <w:t xml:space="preserve"> </w:t>
      </w:r>
      <w:r w:rsidRPr="00F27422">
        <w:rPr>
          <w:rFonts w:ascii="mylotus" w:hAnsi="mylotus" w:hint="cs"/>
          <w:b/>
          <w:bCs/>
          <w:sz w:val="32"/>
          <w:rtl/>
        </w:rPr>
        <w:t>فيكون</w:t>
      </w:r>
      <w:r w:rsidRPr="00F27422">
        <w:rPr>
          <w:rFonts w:ascii="mylotus" w:hAnsi="mylotus"/>
          <w:b/>
          <w:bCs/>
          <w:sz w:val="32"/>
          <w:rtl/>
        </w:rPr>
        <w:t xml:space="preserve"> </w:t>
      </w:r>
      <w:r w:rsidRPr="00F27422">
        <w:rPr>
          <w:rFonts w:ascii="mylotus" w:hAnsi="mylotus" w:hint="cs"/>
          <w:b/>
          <w:bCs/>
          <w:sz w:val="32"/>
          <w:rtl/>
        </w:rPr>
        <w:t>للمشتري</w:t>
      </w:r>
      <w:r w:rsidRPr="00F27422">
        <w:rPr>
          <w:rFonts w:ascii="mylotus" w:hAnsi="mylotus"/>
          <w:b/>
          <w:bCs/>
          <w:sz w:val="32"/>
          <w:rtl/>
        </w:rPr>
        <w:t xml:space="preserve"> </w:t>
      </w:r>
      <w:r w:rsidRPr="00F27422">
        <w:rPr>
          <w:rFonts w:ascii="mylotus" w:hAnsi="mylotus" w:hint="cs"/>
          <w:b/>
          <w:bCs/>
          <w:sz w:val="32"/>
          <w:rtl/>
        </w:rPr>
        <w:t>منفعة</w:t>
      </w:r>
      <w:r w:rsidRPr="00F27422">
        <w:rPr>
          <w:rFonts w:ascii="mylotus" w:hAnsi="mylotus"/>
          <w:b/>
          <w:bCs/>
          <w:sz w:val="32"/>
          <w:rtl/>
        </w:rPr>
        <w:t xml:space="preserve"> </w:t>
      </w:r>
      <w:r w:rsidRPr="00F27422">
        <w:rPr>
          <w:rFonts w:ascii="mylotus" w:hAnsi="mylotus" w:hint="cs"/>
          <w:b/>
          <w:bCs/>
          <w:sz w:val="32"/>
          <w:rtl/>
        </w:rPr>
        <w:t>العبد</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مثلاً</w:t>
      </w:r>
      <w:r w:rsidRPr="00F27422">
        <w:rPr>
          <w:rFonts w:ascii="mylotus" w:hAnsi="mylotus"/>
          <w:b/>
          <w:bCs/>
          <w:sz w:val="32"/>
          <w:rtl/>
        </w:rPr>
        <w:t xml:space="preserve"> </w:t>
      </w:r>
      <w:r w:rsidRPr="00F27422">
        <w:rPr>
          <w:rFonts w:ascii="Times New Roman" w:hAnsi="Times New Roman" w:cs="Times New Roman" w:hint="cs"/>
          <w:b/>
          <w:bCs/>
          <w:sz w:val="32"/>
          <w:rtl/>
        </w:rPr>
        <w:t>–</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جهة</w:t>
      </w:r>
      <w:r w:rsidRPr="00F27422">
        <w:rPr>
          <w:rFonts w:ascii="mylotus" w:hAnsi="mylotus"/>
          <w:b/>
          <w:bCs/>
          <w:sz w:val="32"/>
          <w:rtl/>
        </w:rPr>
        <w:t xml:space="preserve"> </w:t>
      </w:r>
      <w:r w:rsidRPr="00F27422">
        <w:rPr>
          <w:rFonts w:ascii="mylotus" w:hAnsi="mylotus" w:hint="cs"/>
          <w:b/>
          <w:bCs/>
          <w:sz w:val="32"/>
          <w:rtl/>
        </w:rPr>
        <w:t>الإجارة</w:t>
      </w:r>
      <w:r w:rsidRPr="00F27422">
        <w:rPr>
          <w:rFonts w:ascii="mylotus" w:hAnsi="mylotus"/>
          <w:b/>
          <w:bCs/>
          <w:sz w:val="32"/>
          <w:rtl/>
        </w:rPr>
        <w:t xml:space="preserve"> </w:t>
      </w:r>
      <w:r w:rsidRPr="00F27422">
        <w:rPr>
          <w:rFonts w:ascii="mylotus" w:hAnsi="mylotus" w:hint="cs"/>
          <w:b/>
          <w:bCs/>
          <w:sz w:val="32"/>
          <w:rtl/>
        </w:rPr>
        <w:t>قبل</w:t>
      </w:r>
      <w:r w:rsidRPr="00F27422">
        <w:rPr>
          <w:rFonts w:ascii="mylotus" w:hAnsi="mylotus"/>
          <w:b/>
          <w:bCs/>
          <w:sz w:val="32"/>
          <w:rtl/>
        </w:rPr>
        <w:t xml:space="preserve"> </w:t>
      </w:r>
      <w:r w:rsidRPr="00F27422">
        <w:rPr>
          <w:rFonts w:ascii="mylotus" w:hAnsi="mylotus" w:hint="cs"/>
          <w:b/>
          <w:bCs/>
          <w:sz w:val="32"/>
          <w:rtl/>
        </w:rPr>
        <w:t>انقضاء</w:t>
      </w:r>
      <w:r w:rsidRPr="00F27422">
        <w:rPr>
          <w:rFonts w:ascii="mylotus" w:hAnsi="mylotus"/>
          <w:b/>
          <w:bCs/>
          <w:sz w:val="32"/>
          <w:rtl/>
        </w:rPr>
        <w:t xml:space="preserve"> </w:t>
      </w:r>
      <w:r w:rsidRPr="00F27422">
        <w:rPr>
          <w:rFonts w:ascii="mylotus" w:hAnsi="mylotus" w:hint="cs"/>
          <w:b/>
          <w:bCs/>
          <w:sz w:val="32"/>
          <w:rtl/>
        </w:rPr>
        <w:t>مدّتها</w:t>
      </w:r>
      <w:r w:rsidRPr="00F27422">
        <w:rPr>
          <w:rFonts w:ascii="mylotus" w:hAnsi="mylotus"/>
          <w:b/>
          <w:bCs/>
          <w:sz w:val="32"/>
          <w:rtl/>
        </w:rPr>
        <w:t xml:space="preserve">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جهة</w:t>
      </w:r>
      <w:r w:rsidRPr="00F27422">
        <w:rPr>
          <w:rFonts w:ascii="mylotus" w:hAnsi="mylotus"/>
          <w:b/>
          <w:bCs/>
          <w:sz w:val="32"/>
          <w:rtl/>
        </w:rPr>
        <w:t xml:space="preserve"> </w:t>
      </w:r>
      <w:r w:rsidRPr="00F27422">
        <w:rPr>
          <w:rFonts w:ascii="mylotus" w:hAnsi="mylotus" w:hint="cs"/>
          <w:b/>
          <w:bCs/>
          <w:sz w:val="32"/>
          <w:rtl/>
        </w:rPr>
        <w:t>تبعيّة</w:t>
      </w:r>
      <w:r w:rsidRPr="00F27422">
        <w:rPr>
          <w:rFonts w:ascii="mylotus" w:hAnsi="mylotus"/>
          <w:b/>
          <w:bCs/>
          <w:sz w:val="32"/>
          <w:rtl/>
        </w:rPr>
        <w:t xml:space="preserve"> </w:t>
      </w:r>
      <w:r w:rsidRPr="00F27422">
        <w:rPr>
          <w:rFonts w:ascii="mylotus" w:hAnsi="mylotus" w:hint="cs"/>
          <w:b/>
          <w:bCs/>
          <w:sz w:val="32"/>
          <w:rtl/>
        </w:rPr>
        <w:t>العين،</w:t>
      </w:r>
      <w:r w:rsidRPr="00F27422">
        <w:rPr>
          <w:rFonts w:ascii="mylotus" w:hAnsi="mylotus"/>
          <w:b/>
          <w:bCs/>
          <w:sz w:val="32"/>
          <w:rtl/>
        </w:rPr>
        <w:t xml:space="preserve"> </w:t>
      </w:r>
      <w:r w:rsidRPr="00F27422">
        <w:rPr>
          <w:rFonts w:ascii="mylotus" w:hAnsi="mylotus" w:hint="cs"/>
          <w:b/>
          <w:bCs/>
          <w:sz w:val="32"/>
          <w:rtl/>
        </w:rPr>
        <w:t>ولو</w:t>
      </w:r>
      <w:r w:rsidRPr="00F27422">
        <w:rPr>
          <w:rFonts w:ascii="mylotus" w:hAnsi="mylotus"/>
          <w:b/>
          <w:bCs/>
          <w:sz w:val="32"/>
          <w:rtl/>
        </w:rPr>
        <w:t xml:space="preserve"> </w:t>
      </w:r>
      <w:r w:rsidRPr="00F27422">
        <w:rPr>
          <w:rFonts w:ascii="mylotus" w:hAnsi="mylotus" w:hint="cs"/>
          <w:b/>
          <w:bCs/>
          <w:sz w:val="32"/>
          <w:rtl/>
        </w:rPr>
        <w:t>فسخت</w:t>
      </w:r>
      <w:r w:rsidRPr="00F27422">
        <w:rPr>
          <w:rFonts w:ascii="mylotus" w:hAnsi="mylotus"/>
          <w:b/>
          <w:bCs/>
          <w:sz w:val="32"/>
          <w:rtl/>
        </w:rPr>
        <w:t xml:space="preserve"> </w:t>
      </w:r>
      <w:r w:rsidRPr="00F27422">
        <w:rPr>
          <w:rFonts w:ascii="mylotus" w:hAnsi="mylotus" w:hint="cs"/>
          <w:b/>
          <w:bCs/>
          <w:sz w:val="32"/>
          <w:rtl/>
        </w:rPr>
        <w:t>الإجارة</w:t>
      </w:r>
      <w:r w:rsidRPr="00F27422">
        <w:rPr>
          <w:rFonts w:ascii="mylotus" w:hAnsi="mylotus"/>
          <w:b/>
          <w:bCs/>
          <w:sz w:val="32"/>
          <w:rtl/>
        </w:rPr>
        <w:t xml:space="preserve"> </w:t>
      </w:r>
      <w:r w:rsidRPr="00F27422">
        <w:rPr>
          <w:rFonts w:ascii="mylotus" w:hAnsi="mylotus" w:hint="cs"/>
          <w:b/>
          <w:bCs/>
          <w:sz w:val="32"/>
          <w:rtl/>
        </w:rPr>
        <w:t>رجعت</w:t>
      </w:r>
      <w:r w:rsidRPr="00F27422">
        <w:rPr>
          <w:rFonts w:ascii="mylotus" w:hAnsi="mylotus"/>
          <w:b/>
          <w:bCs/>
          <w:sz w:val="32"/>
          <w:rtl/>
        </w:rPr>
        <w:t xml:space="preserve"> </w:t>
      </w:r>
      <w:r w:rsidRPr="00F27422">
        <w:rPr>
          <w:rFonts w:ascii="mylotus" w:hAnsi="mylotus" w:hint="cs"/>
          <w:b/>
          <w:bCs/>
          <w:sz w:val="32"/>
          <w:rtl/>
        </w:rPr>
        <w:t>إلى</w:t>
      </w:r>
      <w:r w:rsidRPr="00F27422">
        <w:rPr>
          <w:rFonts w:ascii="mylotus" w:hAnsi="mylotus"/>
          <w:b/>
          <w:bCs/>
          <w:sz w:val="32"/>
          <w:rtl/>
        </w:rPr>
        <w:t xml:space="preserve"> </w:t>
      </w:r>
      <w:r w:rsidRPr="00F27422">
        <w:rPr>
          <w:rFonts w:ascii="mylotus" w:hAnsi="mylotus" w:hint="cs"/>
          <w:b/>
          <w:bCs/>
          <w:sz w:val="32"/>
          <w:rtl/>
        </w:rPr>
        <w:t>البائع،</w:t>
      </w:r>
      <w:r w:rsidRPr="00F27422">
        <w:rPr>
          <w:rFonts w:ascii="mylotus" w:hAnsi="mylotus"/>
          <w:b/>
          <w:bCs/>
          <w:sz w:val="32"/>
          <w:rtl/>
        </w:rPr>
        <w:t xml:space="preserve"> </w:t>
      </w:r>
      <w:r w:rsidRPr="00F27422">
        <w:rPr>
          <w:rFonts w:ascii="mylotus" w:hAnsi="mylotus" w:hint="cs"/>
          <w:b/>
          <w:bCs/>
          <w:sz w:val="32"/>
          <w:rtl/>
        </w:rPr>
        <w:t>ولو</w:t>
      </w:r>
      <w:r w:rsidRPr="00F27422">
        <w:rPr>
          <w:rFonts w:ascii="mylotus" w:hAnsi="mylotus"/>
          <w:b/>
          <w:bCs/>
          <w:sz w:val="32"/>
          <w:rtl/>
        </w:rPr>
        <w:t xml:space="preserve"> </w:t>
      </w:r>
      <w:r w:rsidRPr="00F27422">
        <w:rPr>
          <w:rFonts w:ascii="mylotus" w:hAnsi="mylotus" w:hint="cs"/>
          <w:b/>
          <w:bCs/>
          <w:sz w:val="32"/>
          <w:rtl/>
        </w:rPr>
        <w:t>مات</w:t>
      </w:r>
      <w:r w:rsidRPr="00F27422">
        <w:rPr>
          <w:rFonts w:ascii="mylotus" w:hAnsi="mylotus"/>
          <w:b/>
          <w:bCs/>
          <w:sz w:val="32"/>
          <w:rtl/>
        </w:rPr>
        <w:t xml:space="preserve"> </w:t>
      </w:r>
      <w:r w:rsidRPr="00F27422">
        <w:rPr>
          <w:rFonts w:ascii="mylotus" w:hAnsi="mylotus" w:hint="cs"/>
          <w:b/>
          <w:bCs/>
          <w:sz w:val="32"/>
          <w:rtl/>
        </w:rPr>
        <w:t>بعد</w:t>
      </w:r>
      <w:r w:rsidRPr="00F27422">
        <w:rPr>
          <w:rFonts w:ascii="mylotus" w:hAnsi="mylotus"/>
          <w:b/>
          <w:bCs/>
          <w:sz w:val="32"/>
          <w:rtl/>
        </w:rPr>
        <w:t xml:space="preserve"> </w:t>
      </w:r>
      <w:r w:rsidRPr="00F27422">
        <w:rPr>
          <w:rFonts w:ascii="mylotus" w:hAnsi="mylotus" w:hint="cs"/>
          <w:b/>
          <w:bCs/>
          <w:sz w:val="32"/>
          <w:rtl/>
        </w:rPr>
        <w:lastRenderedPageBreak/>
        <w:t>القبض</w:t>
      </w:r>
      <w:r w:rsidRPr="00F27422">
        <w:rPr>
          <w:rFonts w:ascii="mylotus" w:hAnsi="mylotus"/>
          <w:b/>
          <w:bCs/>
          <w:sz w:val="32"/>
          <w:rtl/>
        </w:rPr>
        <w:t xml:space="preserve"> </w:t>
      </w:r>
      <w:r w:rsidRPr="00F27422">
        <w:rPr>
          <w:rFonts w:ascii="mylotus" w:hAnsi="mylotus" w:hint="cs"/>
          <w:b/>
          <w:bCs/>
          <w:sz w:val="32"/>
          <w:rtl/>
        </w:rPr>
        <w:t>رجع</w:t>
      </w:r>
      <w:r w:rsidRPr="00F27422">
        <w:rPr>
          <w:rFonts w:ascii="mylotus" w:hAnsi="mylotus"/>
          <w:b/>
          <w:bCs/>
          <w:sz w:val="32"/>
          <w:rtl/>
        </w:rPr>
        <w:t xml:space="preserve"> </w:t>
      </w:r>
      <w:r w:rsidRPr="00F27422">
        <w:rPr>
          <w:rFonts w:ascii="mylotus" w:hAnsi="mylotus" w:hint="cs"/>
          <w:b/>
          <w:bCs/>
          <w:sz w:val="32"/>
          <w:rtl/>
        </w:rPr>
        <w:t>المشتري</w:t>
      </w:r>
      <w:r w:rsidRPr="00F27422">
        <w:rPr>
          <w:rFonts w:ascii="mylotus" w:hAnsi="mylotus"/>
          <w:b/>
          <w:bCs/>
          <w:sz w:val="32"/>
          <w:rtl/>
        </w:rPr>
        <w:t xml:space="preserve"> </w:t>
      </w:r>
      <w:r w:rsidRPr="00F27422">
        <w:rPr>
          <w:rFonts w:ascii="mylotus" w:hAnsi="mylotus" w:hint="cs"/>
          <w:b/>
          <w:bCs/>
          <w:sz w:val="32"/>
          <w:rtl/>
        </w:rPr>
        <w:t>المستأجر</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البائع</w:t>
      </w:r>
      <w:r w:rsidRPr="00F27422">
        <w:rPr>
          <w:rFonts w:ascii="mylotus" w:hAnsi="mylotus"/>
          <w:b/>
          <w:bCs/>
          <w:sz w:val="32"/>
          <w:rtl/>
        </w:rPr>
        <w:t xml:space="preserve"> </w:t>
      </w:r>
      <w:r w:rsidRPr="00F27422">
        <w:rPr>
          <w:rFonts w:ascii="mylotus" w:hAnsi="mylotus" w:hint="cs"/>
          <w:b/>
          <w:bCs/>
          <w:sz w:val="32"/>
          <w:rtl/>
        </w:rPr>
        <w:t>بما</w:t>
      </w:r>
      <w:r w:rsidRPr="00F27422">
        <w:rPr>
          <w:rFonts w:ascii="mylotus" w:hAnsi="mylotus"/>
          <w:b/>
          <w:bCs/>
          <w:sz w:val="32"/>
          <w:rtl/>
        </w:rPr>
        <w:t xml:space="preserve"> </w:t>
      </w:r>
      <w:r w:rsidRPr="00F27422">
        <w:rPr>
          <w:rFonts w:ascii="mylotus" w:hAnsi="mylotus" w:hint="cs"/>
          <w:b/>
          <w:bCs/>
          <w:sz w:val="32"/>
          <w:rtl/>
        </w:rPr>
        <w:t>يقابل</w:t>
      </w:r>
      <w:r w:rsidRPr="00F27422">
        <w:rPr>
          <w:rFonts w:ascii="mylotus" w:hAnsi="mylotus"/>
          <w:b/>
          <w:bCs/>
          <w:sz w:val="32"/>
          <w:rtl/>
        </w:rPr>
        <w:t xml:space="preserve"> </w:t>
      </w:r>
      <w:r w:rsidRPr="00F27422">
        <w:rPr>
          <w:rFonts w:ascii="mylotus" w:hAnsi="mylotus" w:hint="cs"/>
          <w:b/>
          <w:bCs/>
          <w:sz w:val="32"/>
          <w:rtl/>
        </w:rPr>
        <w:t>بقيّة</w:t>
      </w:r>
      <w:r w:rsidRPr="00F27422">
        <w:rPr>
          <w:rFonts w:ascii="mylotus" w:hAnsi="mylotus"/>
          <w:b/>
          <w:bCs/>
          <w:sz w:val="32"/>
          <w:rtl/>
        </w:rPr>
        <w:t xml:space="preserve"> </w:t>
      </w:r>
      <w:r w:rsidRPr="00F27422">
        <w:rPr>
          <w:rFonts w:ascii="mylotus" w:hAnsi="mylotus" w:hint="cs"/>
          <w:b/>
          <w:bCs/>
          <w:sz w:val="32"/>
          <w:rtl/>
        </w:rPr>
        <w:t>المدّة</w:t>
      </w:r>
      <w:r w:rsidRPr="00F27422">
        <w:rPr>
          <w:rFonts w:ascii="mylotus" w:hAnsi="mylotus"/>
          <w:b/>
          <w:bCs/>
          <w:sz w:val="32"/>
          <w:rtl/>
        </w:rPr>
        <w:t xml:space="preserve"> </w:t>
      </w:r>
      <w:r w:rsidRPr="00F27422">
        <w:rPr>
          <w:rFonts w:ascii="mylotus" w:hAnsi="mylotus" w:hint="cs"/>
          <w:b/>
          <w:bCs/>
          <w:sz w:val="32"/>
          <w:rtl/>
        </w:rPr>
        <w:t>من</w:t>
      </w:r>
      <w:r w:rsidRPr="00F27422">
        <w:rPr>
          <w:rFonts w:ascii="mylotus" w:hAnsi="mylotus"/>
          <w:b/>
          <w:bCs/>
          <w:sz w:val="32"/>
          <w:rtl/>
        </w:rPr>
        <w:t xml:space="preserve"> </w:t>
      </w:r>
      <w:r w:rsidRPr="00F27422">
        <w:rPr>
          <w:rFonts w:ascii="mylotus" w:hAnsi="mylotus" w:hint="cs"/>
          <w:b/>
          <w:bCs/>
          <w:sz w:val="32"/>
          <w:rtl/>
        </w:rPr>
        <w:t>الاُجرة</w:t>
      </w:r>
      <w:r w:rsidRPr="00F27422">
        <w:rPr>
          <w:rFonts w:ascii="mylotus" w:hAnsi="mylotus"/>
          <w:b/>
          <w:bCs/>
          <w:sz w:val="32"/>
          <w:rtl/>
        </w:rPr>
        <w:t xml:space="preserve"> </w:t>
      </w:r>
      <w:r w:rsidRPr="00F27422">
        <w:rPr>
          <w:rFonts w:ascii="mylotus" w:hAnsi="mylotus" w:hint="cs"/>
          <w:b/>
          <w:bCs/>
          <w:sz w:val="32"/>
          <w:rtl/>
        </w:rPr>
        <w:t>وإن</w:t>
      </w:r>
      <w:r w:rsidRPr="00F27422">
        <w:rPr>
          <w:rFonts w:ascii="mylotus" w:hAnsi="mylotus"/>
          <w:b/>
          <w:bCs/>
          <w:sz w:val="32"/>
          <w:rtl/>
        </w:rPr>
        <w:t xml:space="preserve"> </w:t>
      </w:r>
      <w:r w:rsidRPr="00F27422">
        <w:rPr>
          <w:rFonts w:ascii="mylotus" w:hAnsi="mylotus" w:hint="cs"/>
          <w:b/>
          <w:bCs/>
          <w:sz w:val="32"/>
          <w:rtl/>
        </w:rPr>
        <w:t>كان</w:t>
      </w:r>
      <w:r w:rsidRPr="00F27422">
        <w:rPr>
          <w:rFonts w:ascii="mylotus" w:hAnsi="mylotus"/>
          <w:b/>
          <w:bCs/>
          <w:sz w:val="32"/>
          <w:rtl/>
        </w:rPr>
        <w:t xml:space="preserve"> </w:t>
      </w:r>
      <w:r w:rsidRPr="00F27422">
        <w:rPr>
          <w:rFonts w:ascii="mylotus" w:hAnsi="mylotus" w:hint="cs"/>
          <w:b/>
          <w:bCs/>
          <w:sz w:val="32"/>
          <w:rtl/>
        </w:rPr>
        <w:t>تلف</w:t>
      </w:r>
      <w:r w:rsidRPr="00F27422">
        <w:rPr>
          <w:rFonts w:ascii="mylotus" w:hAnsi="mylotus"/>
          <w:b/>
          <w:bCs/>
          <w:sz w:val="32"/>
          <w:rtl/>
        </w:rPr>
        <w:t xml:space="preserve"> </w:t>
      </w:r>
      <w:r w:rsidRPr="00F27422">
        <w:rPr>
          <w:rFonts w:ascii="mylotus" w:hAnsi="mylotus" w:hint="cs"/>
          <w:b/>
          <w:bCs/>
          <w:sz w:val="32"/>
          <w:rtl/>
        </w:rPr>
        <w:t>العين</w:t>
      </w:r>
      <w:r w:rsidRPr="00F27422">
        <w:rPr>
          <w:rFonts w:ascii="mylotus" w:hAnsi="mylotus"/>
          <w:b/>
          <w:bCs/>
          <w:sz w:val="32"/>
          <w:rtl/>
        </w:rPr>
        <w:t xml:space="preserve"> </w:t>
      </w:r>
      <w:r w:rsidRPr="00F27422">
        <w:rPr>
          <w:rFonts w:ascii="mylotus" w:hAnsi="mylotus" w:hint="cs"/>
          <w:b/>
          <w:bCs/>
          <w:sz w:val="32"/>
          <w:rtl/>
        </w:rPr>
        <w:t>عليه،</w:t>
      </w:r>
      <w:r w:rsidRPr="00F27422">
        <w:rPr>
          <w:rFonts w:ascii="mylotus" w:hAnsi="mylotus"/>
          <w:b/>
          <w:bCs/>
          <w:sz w:val="32"/>
          <w:rtl/>
        </w:rPr>
        <w:t xml:space="preserve"> </w:t>
      </w:r>
      <w:r w:rsidRPr="00F27422">
        <w:rPr>
          <w:rFonts w:ascii="mylotus" w:hAnsi="mylotus" w:hint="cs"/>
          <w:b/>
          <w:bCs/>
          <w:sz w:val="32"/>
          <w:rtl/>
        </w:rPr>
        <w:t>والله</w:t>
      </w:r>
      <w:r w:rsidRPr="00F27422">
        <w:rPr>
          <w:rFonts w:ascii="mylotus" w:hAnsi="mylotus"/>
          <w:b/>
          <w:bCs/>
          <w:sz w:val="32"/>
          <w:rtl/>
        </w:rPr>
        <w:t xml:space="preserve"> </w:t>
      </w:r>
      <w:r w:rsidRPr="00F27422">
        <w:rPr>
          <w:rFonts w:ascii="mylotus" w:hAnsi="mylotus" w:hint="cs"/>
          <w:b/>
          <w:bCs/>
          <w:sz w:val="32"/>
          <w:rtl/>
        </w:rPr>
        <w:t>العال</w:t>
      </w:r>
      <w:r w:rsidRPr="00F27422">
        <w:rPr>
          <w:rFonts w:ascii="mylotus" w:hAnsi="mylotus"/>
          <w:b/>
          <w:bCs/>
          <w:sz w:val="32"/>
          <w:rtl/>
        </w:rPr>
        <w:t>م.)</w:t>
      </w:r>
    </w:p>
    <w:p w14:paraId="5A7FFFBC" w14:textId="77777777" w:rsidR="008954B5" w:rsidRPr="00F27422" w:rsidRDefault="008954B5" w:rsidP="00122B70">
      <w:pPr>
        <w:pStyle w:val="a"/>
        <w:bidi/>
        <w:spacing w:line="216" w:lineRule="auto"/>
        <w:jc w:val="left"/>
        <w:rPr>
          <w:rFonts w:ascii="mylotus" w:hAnsi="mylotus"/>
          <w:sz w:val="32"/>
          <w:rtl/>
        </w:rPr>
      </w:pPr>
    </w:p>
    <w:p w14:paraId="7B82C17C" w14:textId="77777777" w:rsidR="008954B5" w:rsidRPr="00F27422" w:rsidRDefault="008954B5" w:rsidP="00122B70">
      <w:pPr>
        <w:pStyle w:val="a"/>
        <w:bidi/>
        <w:spacing w:line="216" w:lineRule="auto"/>
        <w:jc w:val="left"/>
        <w:rPr>
          <w:rFonts w:ascii="mylotus" w:hAnsi="mylotus"/>
          <w:sz w:val="32"/>
          <w:rtl/>
        </w:rPr>
      </w:pPr>
      <w:r w:rsidRPr="00F27422">
        <w:rPr>
          <w:rFonts w:ascii="mylotus" w:hAnsi="mylotus"/>
          <w:sz w:val="32"/>
          <w:rtl/>
        </w:rPr>
        <w:t>تم الكلامُ في فصل [في أحكام عقد الإجارة].</w:t>
      </w:r>
    </w:p>
    <w:p w14:paraId="6245AB5B" w14:textId="77777777" w:rsidR="008954B5" w:rsidRPr="00F27422" w:rsidRDefault="008954B5" w:rsidP="00122B70">
      <w:pPr>
        <w:pStyle w:val="a"/>
        <w:bidi/>
        <w:spacing w:line="216" w:lineRule="auto"/>
        <w:jc w:val="left"/>
        <w:rPr>
          <w:rFonts w:ascii="mylotus" w:hAnsi="mylotus"/>
          <w:sz w:val="32"/>
          <w:rtl/>
        </w:rPr>
      </w:pPr>
    </w:p>
    <w:p w14:paraId="25CB9EE6" w14:textId="77777777" w:rsidR="008954B5" w:rsidRPr="00F27422" w:rsidRDefault="008954B5"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0BCEC4B1" w14:textId="77777777" w:rsidR="008954B5" w:rsidRPr="00F27422" w:rsidRDefault="008954B5" w:rsidP="00122B70">
      <w:pPr>
        <w:bidi/>
        <w:rPr>
          <w:sz w:val="32"/>
          <w:szCs w:val="32"/>
          <w:rtl/>
        </w:rPr>
      </w:pPr>
    </w:p>
    <w:p w14:paraId="72EF1CD5" w14:textId="5CFB9646" w:rsidR="008954B5" w:rsidRPr="00F27422" w:rsidRDefault="008954B5" w:rsidP="00122B70">
      <w:pPr>
        <w:pStyle w:val="Heading3"/>
        <w:bidi/>
        <w:rPr>
          <w:sz w:val="32"/>
          <w:szCs w:val="32"/>
          <w:rtl/>
        </w:rPr>
      </w:pPr>
      <w:r w:rsidRPr="00F27422">
        <w:rPr>
          <w:rFonts w:hint="cs"/>
          <w:sz w:val="32"/>
          <w:szCs w:val="32"/>
          <w:rtl/>
        </w:rPr>
        <w:t>092</w:t>
      </w:r>
    </w:p>
    <w:p w14:paraId="1B4FC767" w14:textId="77777777" w:rsidR="00E3275E" w:rsidRPr="00F27422" w:rsidRDefault="00E3275E"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5EA1875E" w14:textId="77777777" w:rsidR="00E3275E" w:rsidRPr="00F27422" w:rsidRDefault="00E3275E"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75D30FE4" w14:textId="77777777" w:rsidR="00E3275E" w:rsidRPr="00F27422" w:rsidRDefault="00E3275E" w:rsidP="00122B70">
      <w:pPr>
        <w:pStyle w:val="a"/>
        <w:bidi/>
        <w:spacing w:line="216" w:lineRule="auto"/>
        <w:jc w:val="left"/>
        <w:rPr>
          <w:rFonts w:ascii="mylotus" w:hAnsi="mylotus"/>
          <w:sz w:val="32"/>
          <w:rtl/>
        </w:rPr>
      </w:pPr>
      <w:r w:rsidRPr="00F27422">
        <w:rPr>
          <w:rFonts w:ascii="mylotus" w:hAnsi="mylotus"/>
          <w:b/>
          <w:bCs/>
          <w:sz w:val="32"/>
          <w:rtl/>
        </w:rPr>
        <w:t xml:space="preserve">واللعن الدائم على أعدائهم أجمعين إلى قيام يوم الدين </w:t>
      </w:r>
    </w:p>
    <w:p w14:paraId="3D158980" w14:textId="77777777" w:rsidR="00E3275E" w:rsidRPr="00F27422" w:rsidRDefault="00E3275E" w:rsidP="00122B70">
      <w:pPr>
        <w:pStyle w:val="a"/>
        <w:bidi/>
        <w:spacing w:line="216" w:lineRule="auto"/>
        <w:ind w:firstLine="0"/>
        <w:jc w:val="left"/>
        <w:rPr>
          <w:rFonts w:ascii="mylotus" w:hAnsi="mylotus"/>
          <w:sz w:val="32"/>
          <w:rtl/>
        </w:rPr>
      </w:pPr>
    </w:p>
    <w:p w14:paraId="7E48CE16" w14:textId="77777777" w:rsidR="00E3275E" w:rsidRPr="00F27422" w:rsidRDefault="00E3275E" w:rsidP="00122B70">
      <w:pPr>
        <w:pStyle w:val="a"/>
        <w:bidi/>
        <w:spacing w:line="216" w:lineRule="auto"/>
        <w:jc w:val="left"/>
        <w:outlineLvl w:val="2"/>
        <w:rPr>
          <w:rFonts w:ascii="mylotus" w:hAnsi="mylotus"/>
          <w:sz w:val="32"/>
          <w:rtl/>
        </w:rPr>
      </w:pPr>
      <w:r w:rsidRPr="00F27422">
        <w:rPr>
          <w:rFonts w:ascii="mylotus" w:hAnsi="mylotus" w:hint="cs"/>
          <w:sz w:val="32"/>
          <w:rtl/>
        </w:rPr>
        <w:t>[</w:t>
      </w:r>
      <w:r w:rsidRPr="00F27422">
        <w:rPr>
          <w:rFonts w:ascii="mylotus" w:hAnsi="mylotus"/>
          <w:sz w:val="32"/>
          <w:rtl/>
        </w:rPr>
        <w:t>فصلٌ في أحكام العوضين</w:t>
      </w:r>
      <w:r w:rsidRPr="00F27422">
        <w:rPr>
          <w:rFonts w:ascii="mylotus" w:hAnsi="mylotus" w:hint="cs"/>
          <w:sz w:val="32"/>
          <w:rtl/>
        </w:rPr>
        <w:t>]</w:t>
      </w:r>
    </w:p>
    <w:p w14:paraId="4A1712FC" w14:textId="77777777" w:rsidR="00E3275E" w:rsidRPr="00F27422" w:rsidRDefault="00E3275E" w:rsidP="00122B70">
      <w:pPr>
        <w:pStyle w:val="a"/>
        <w:widowControl w:val="0"/>
        <w:bidi/>
        <w:spacing w:line="216" w:lineRule="auto"/>
        <w:jc w:val="left"/>
        <w:rPr>
          <w:rFonts w:ascii="mylotus" w:hAnsi="mylotus"/>
          <w:b/>
          <w:bCs/>
          <w:sz w:val="32"/>
          <w:rtl/>
        </w:rPr>
      </w:pPr>
      <w:r w:rsidRPr="00F27422">
        <w:rPr>
          <w:rFonts w:ascii="mylotus" w:hAnsi="mylotus"/>
          <w:sz w:val="32"/>
          <w:rtl/>
        </w:rPr>
        <w:t xml:space="preserve">قال سيد العروة (قدس سره الشريف): </w:t>
      </w:r>
      <w:r w:rsidRPr="00F27422">
        <w:rPr>
          <w:rFonts w:ascii="mylotus" w:hAnsi="mylotus"/>
          <w:b/>
          <w:bCs/>
          <w:sz w:val="32"/>
          <w:rtl/>
        </w:rPr>
        <w:t>(فصل [في أحكام العوضين</w:t>
      </w:r>
      <w:r w:rsidRPr="00F27422">
        <w:rPr>
          <w:rFonts w:ascii="mylotus" w:hAnsi="mylotus" w:hint="cs"/>
          <w:b/>
          <w:bCs/>
          <w:sz w:val="32"/>
          <w:rtl/>
        </w:rPr>
        <w:t xml:space="preserve">]: </w:t>
      </w:r>
      <w:r w:rsidRPr="00F27422">
        <w:rPr>
          <w:rFonts w:ascii="mylotus" w:hAnsi="mylotus"/>
          <w:b/>
          <w:bCs/>
          <w:sz w:val="32"/>
          <w:rtl/>
        </w:rPr>
        <w:t>يملك المستأجر المنفعة في إجارة الأعيان، والعمل في الإجارة على الأعمال بنفس العقد، من غير توقف على شيء كما هو مقتضى سببيّة العقود، كما أنّ المؤجّر يملك الاُجرة ملكيّة متزلزلة به كذلك، ولكن لا يستحقّ المؤجّر مطالبة الاُجرة إلّا بتسليم العين أو العمل، كما لا يستحق المستأجّر مطالبتهما إلّا بتسليم الاُجرة كما هو مقتضى المعاوضة، وتستقر ملكيّة الاُجرة باستيفاء المنفعة أو العمل، أو ما بحكمه، فأصل الملكيّة للطرفين موقوف على تماميّة العقد، وجواز المطالبة موقوف على التسليم</w:t>
      </w:r>
      <w:r w:rsidRPr="00F27422">
        <w:rPr>
          <w:rFonts w:ascii="mylotus" w:hAnsi="mylotus" w:hint="cs"/>
          <w:b/>
          <w:bCs/>
          <w:sz w:val="32"/>
          <w:rtl/>
        </w:rPr>
        <w:t>).</w:t>
      </w:r>
    </w:p>
    <w:p w14:paraId="72402416"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والبحثُ في هذا الفصل يقع في أحكام عقد الإجارة؛ بعد أن بيّن في الفصل السابق لزوم العقد وكان موضوعه ذاتُ العقد، بينما موضوع البحث في هذا الفصل هو العقد الصحيح؛ لأنّ الكلام في أحكام العقد بعد المفروغية عن صحته</w:t>
      </w:r>
      <w:r w:rsidRPr="00F27422">
        <w:rPr>
          <w:rFonts w:ascii="mylotus" w:hAnsi="mylotus"/>
          <w:sz w:val="32"/>
        </w:rPr>
        <w:t>.</w:t>
      </w:r>
    </w:p>
    <w:p w14:paraId="21B55854" w14:textId="77777777" w:rsidR="00E3275E" w:rsidRPr="00F27422" w:rsidRDefault="00E3275E" w:rsidP="00122B70">
      <w:pPr>
        <w:pStyle w:val="a"/>
        <w:widowControl w:val="0"/>
        <w:bidi/>
        <w:spacing w:line="216" w:lineRule="auto"/>
        <w:jc w:val="left"/>
        <w:rPr>
          <w:rFonts w:ascii="mylotus" w:hAnsi="mylotus"/>
          <w:b/>
          <w:bCs/>
          <w:sz w:val="32"/>
          <w:rtl/>
        </w:rPr>
      </w:pPr>
      <w:r w:rsidRPr="00F27422">
        <w:rPr>
          <w:rFonts w:ascii="mylotus" w:hAnsi="mylotus"/>
          <w:b/>
          <w:bCs/>
          <w:sz w:val="32"/>
          <w:rtl/>
        </w:rPr>
        <w:t>وقد تعرض سيد العروة (قدس سره الشريف) في هذا المتن إلى أمورٍ</w:t>
      </w:r>
      <w:r w:rsidRPr="00F27422">
        <w:rPr>
          <w:rFonts w:ascii="mylotus" w:hAnsi="mylotus"/>
          <w:b/>
          <w:bCs/>
          <w:sz w:val="32"/>
        </w:rPr>
        <w:t>:</w:t>
      </w:r>
    </w:p>
    <w:p w14:paraId="450A5D91"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الأمرُ الأوّل: أنّ التمليك والتملك للعوضين في باب الإجارة - سواءً كانت إجارةَ أعمالٍ أو إجارةَ أعيانٍ - بالعقد مِن غير توقفٍ على حصول شرطٍ؛ وذلك لأحد وجهين</w:t>
      </w:r>
      <w:r w:rsidRPr="00F27422">
        <w:rPr>
          <w:rFonts w:ascii="mylotus" w:hAnsi="mylotus"/>
          <w:sz w:val="32"/>
        </w:rPr>
        <w:t>:</w:t>
      </w:r>
    </w:p>
    <w:p w14:paraId="39B44F5B"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b/>
          <w:bCs/>
          <w:sz w:val="32"/>
          <w:rtl/>
        </w:rPr>
        <w:t xml:space="preserve">الوجهُ الأوّل: </w:t>
      </w:r>
      <w:r w:rsidRPr="00F27422">
        <w:rPr>
          <w:rFonts w:ascii="mylotus" w:hAnsi="mylotus"/>
          <w:sz w:val="32"/>
          <w:rtl/>
        </w:rPr>
        <w:t>الارتكاز العقلائي؛ فإنّ مقتضى الارتكاز العقلائي في باب المعاوضات هو: أنه إذا تمّ العقد تحقّقت المِلكيّة منجزا بلا توقفٍ على أمرٍ. وهذا الوجهُ واضحٌ</w:t>
      </w:r>
      <w:r w:rsidRPr="00F27422">
        <w:rPr>
          <w:rFonts w:ascii="mylotus" w:hAnsi="mylotus"/>
          <w:sz w:val="32"/>
        </w:rPr>
        <w:t>.</w:t>
      </w:r>
    </w:p>
    <w:p w14:paraId="55551B11" w14:textId="77777777" w:rsidR="00E3275E" w:rsidRPr="00F27422" w:rsidRDefault="00E3275E" w:rsidP="00122B70">
      <w:pPr>
        <w:pStyle w:val="a"/>
        <w:widowControl w:val="0"/>
        <w:bidi/>
        <w:spacing w:line="216" w:lineRule="auto"/>
        <w:jc w:val="left"/>
        <w:rPr>
          <w:rFonts w:ascii="mylotus" w:hAnsi="mylotus"/>
          <w:b/>
          <w:bCs/>
          <w:sz w:val="32"/>
          <w:rtl/>
        </w:rPr>
      </w:pPr>
      <w:r w:rsidRPr="00F27422">
        <w:rPr>
          <w:rFonts w:ascii="mylotus" w:hAnsi="mylotus"/>
          <w:b/>
          <w:bCs/>
          <w:sz w:val="32"/>
          <w:rtl/>
        </w:rPr>
        <w:t>الوجهُ الثاني:</w:t>
      </w:r>
      <w:r w:rsidRPr="00F27422">
        <w:rPr>
          <w:rFonts w:ascii="mylotus" w:hAnsi="mylotus"/>
          <w:sz w:val="32"/>
          <w:rtl/>
        </w:rPr>
        <w:t xml:space="preserve"> الاستناد إلى قوله تعالى: {يَا أَيُّهَا الَّذِينَ آمَنُوا أَوْفُوا بِالْعُقُودِ} [سورة المائدة، 1]، وهو ما أفاده سيدنا الخوئي (قدس سره الشريف) في موسوعته المباركة [موسوعة الإمام الخوئي، مؤسسة الخوئي الإسلامية، ج30، المستند في شرح العروة الوثقى، كتاب الإجارة، تأليف آية الله الشهيد الشيخ مرتضى البروجردي (قدس سره)، ص159 </w:t>
      </w:r>
      <w:r w:rsidRPr="00F27422">
        <w:rPr>
          <w:rFonts w:ascii="mylotus" w:hAnsi="mylotus" w:hint="cs"/>
          <w:sz w:val="32"/>
          <w:rtl/>
        </w:rPr>
        <w:t>-</w:t>
      </w:r>
      <w:r w:rsidRPr="00F27422">
        <w:rPr>
          <w:rFonts w:ascii="mylotus" w:hAnsi="mylotus"/>
          <w:sz w:val="32"/>
          <w:rtl/>
        </w:rPr>
        <w:t xml:space="preserve"> 160] </w:t>
      </w:r>
      <w:r w:rsidRPr="00F27422">
        <w:rPr>
          <w:rFonts w:ascii="mylotus" w:hAnsi="mylotus" w:hint="cs"/>
          <w:sz w:val="32"/>
          <w:rtl/>
        </w:rPr>
        <w:t>بقوله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فإنّ</w:t>
      </w:r>
      <w:r w:rsidRPr="00F27422">
        <w:rPr>
          <w:rFonts w:ascii="mylotus" w:hAnsi="mylotus"/>
          <w:b/>
          <w:bCs/>
          <w:sz w:val="32"/>
          <w:rtl/>
        </w:rPr>
        <w:t xml:space="preserve"> </w:t>
      </w:r>
      <w:r w:rsidRPr="00F27422">
        <w:rPr>
          <w:rFonts w:ascii="mylotus" w:hAnsi="mylotus" w:hint="cs"/>
          <w:b/>
          <w:bCs/>
          <w:sz w:val="32"/>
          <w:rtl/>
        </w:rPr>
        <w:t>العقد</w:t>
      </w:r>
      <w:r w:rsidRPr="00F27422">
        <w:rPr>
          <w:rFonts w:ascii="mylotus" w:hAnsi="mylotus"/>
          <w:b/>
          <w:bCs/>
          <w:sz w:val="32"/>
          <w:rtl/>
        </w:rPr>
        <w:t xml:space="preserve"> </w:t>
      </w:r>
      <w:r w:rsidRPr="00F27422">
        <w:rPr>
          <w:rFonts w:ascii="mylotus" w:hAnsi="mylotus" w:hint="cs"/>
          <w:b/>
          <w:bCs/>
          <w:sz w:val="32"/>
          <w:rtl/>
        </w:rPr>
        <w:t>بنفسه</w:t>
      </w:r>
      <w:r w:rsidRPr="00F27422">
        <w:rPr>
          <w:rFonts w:ascii="mylotus" w:hAnsi="mylotus"/>
          <w:b/>
          <w:bCs/>
          <w:sz w:val="32"/>
          <w:rtl/>
        </w:rPr>
        <w:t xml:space="preserve"> </w:t>
      </w:r>
      <w:r w:rsidRPr="00F27422">
        <w:rPr>
          <w:rFonts w:ascii="mylotus" w:hAnsi="mylotus" w:hint="cs"/>
          <w:b/>
          <w:bCs/>
          <w:sz w:val="32"/>
          <w:rtl/>
        </w:rPr>
        <w:t>سبب</w:t>
      </w:r>
      <w:r w:rsidRPr="00F27422">
        <w:rPr>
          <w:rFonts w:ascii="mylotus" w:hAnsi="mylotus"/>
          <w:b/>
          <w:bCs/>
          <w:sz w:val="32"/>
          <w:rtl/>
        </w:rPr>
        <w:t xml:space="preserve"> </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موضوع</w:t>
      </w:r>
      <w:r w:rsidRPr="00F27422">
        <w:rPr>
          <w:rFonts w:ascii="mylotus" w:hAnsi="mylotus"/>
          <w:sz w:val="32"/>
          <w:rtl/>
        </w:rPr>
        <w:t xml:space="preserve"> -</w:t>
      </w:r>
      <w:r w:rsidRPr="00F27422">
        <w:rPr>
          <w:rFonts w:ascii="mylotus" w:hAnsi="mylotus"/>
          <w:b/>
          <w:bCs/>
          <w:sz w:val="32"/>
          <w:rtl/>
        </w:rPr>
        <w:t xml:space="preserve"> </w:t>
      </w:r>
      <w:r w:rsidRPr="00F27422">
        <w:rPr>
          <w:rFonts w:ascii="mylotus" w:hAnsi="mylotus" w:hint="cs"/>
          <w:b/>
          <w:bCs/>
          <w:sz w:val="32"/>
          <w:rtl/>
        </w:rPr>
        <w:t>للملكيّة</w:t>
      </w:r>
      <w:r w:rsidRPr="00F27422">
        <w:rPr>
          <w:rFonts w:ascii="mylotus" w:hAnsi="mylotus"/>
          <w:b/>
          <w:bCs/>
          <w:sz w:val="32"/>
          <w:rtl/>
        </w:rPr>
        <w:t xml:space="preserve"> </w:t>
      </w:r>
      <w:r w:rsidRPr="00F27422">
        <w:rPr>
          <w:rFonts w:ascii="mylotus" w:hAnsi="mylotus" w:hint="cs"/>
          <w:b/>
          <w:bCs/>
          <w:sz w:val="32"/>
          <w:rtl/>
        </w:rPr>
        <w:t>بمقتضى</w:t>
      </w:r>
      <w:r w:rsidRPr="00F27422">
        <w:rPr>
          <w:rFonts w:ascii="mylotus" w:hAnsi="mylotus"/>
          <w:b/>
          <w:bCs/>
          <w:sz w:val="32"/>
          <w:rtl/>
        </w:rPr>
        <w:t xml:space="preserve"> </w:t>
      </w:r>
      <w:r w:rsidRPr="00F27422">
        <w:rPr>
          <w:rFonts w:ascii="mylotus" w:hAnsi="mylotus" w:hint="cs"/>
          <w:b/>
          <w:bCs/>
          <w:sz w:val="32"/>
          <w:rtl/>
        </w:rPr>
        <w:t>قوله</w:t>
      </w:r>
      <w:r w:rsidRPr="00F27422">
        <w:rPr>
          <w:rFonts w:ascii="mylotus" w:hAnsi="mylotus"/>
          <w:b/>
          <w:bCs/>
          <w:sz w:val="32"/>
          <w:rtl/>
        </w:rPr>
        <w:t xml:space="preserve"> </w:t>
      </w:r>
      <w:r w:rsidRPr="00F27422">
        <w:rPr>
          <w:rFonts w:ascii="mylotus" w:hAnsi="mylotus" w:hint="cs"/>
          <w:b/>
          <w:bCs/>
          <w:sz w:val="32"/>
          <w:rtl/>
        </w:rPr>
        <w:t>تعالى</w:t>
      </w:r>
      <w:r w:rsidRPr="00F27422">
        <w:rPr>
          <w:rFonts w:ascii="mylotus" w:hAnsi="mylotus"/>
          <w:b/>
          <w:bCs/>
          <w:sz w:val="32"/>
          <w:rtl/>
        </w:rPr>
        <w:t>: {</w:t>
      </w:r>
      <w:r w:rsidRPr="00F27422">
        <w:rPr>
          <w:rFonts w:ascii="mylotus" w:hAnsi="mylotus" w:hint="cs"/>
          <w:b/>
          <w:bCs/>
          <w:sz w:val="32"/>
          <w:rtl/>
        </w:rPr>
        <w:t>أَوْفُوا</w:t>
      </w:r>
      <w:r w:rsidRPr="00F27422">
        <w:rPr>
          <w:rFonts w:ascii="mylotus" w:hAnsi="mylotus"/>
          <w:b/>
          <w:bCs/>
          <w:sz w:val="32"/>
          <w:rtl/>
        </w:rPr>
        <w:t xml:space="preserve"> </w:t>
      </w:r>
      <w:r w:rsidRPr="00F27422">
        <w:rPr>
          <w:rFonts w:ascii="mylotus" w:hAnsi="mylotus" w:hint="cs"/>
          <w:b/>
          <w:bCs/>
          <w:sz w:val="32"/>
          <w:rtl/>
        </w:rPr>
        <w:t>بِالْعُقُودِ</w:t>
      </w:r>
      <w:r w:rsidRPr="00F27422">
        <w:rPr>
          <w:rFonts w:ascii="mylotus" w:hAnsi="mylotus"/>
          <w:b/>
          <w:bCs/>
          <w:sz w:val="32"/>
          <w:rtl/>
        </w:rPr>
        <w:t>}</w:t>
      </w:r>
      <w:r w:rsidRPr="00F27422">
        <w:rPr>
          <w:rFonts w:ascii="mylotus" w:hAnsi="mylotus" w:hint="cs"/>
          <w:b/>
          <w:bCs/>
          <w:sz w:val="32"/>
          <w:rtl/>
        </w:rPr>
        <w:t>،</w:t>
      </w:r>
      <w:r w:rsidRPr="00F27422">
        <w:rPr>
          <w:rFonts w:ascii="mylotus" w:hAnsi="mylotus"/>
          <w:b/>
          <w:bCs/>
          <w:sz w:val="32"/>
          <w:rtl/>
        </w:rPr>
        <w:t xml:space="preserve"> </w:t>
      </w:r>
      <w:r w:rsidRPr="00F27422">
        <w:rPr>
          <w:rFonts w:ascii="mylotus" w:hAnsi="mylotus" w:hint="cs"/>
          <w:b/>
          <w:bCs/>
          <w:sz w:val="32"/>
          <w:rtl/>
        </w:rPr>
        <w:t>وكذا</w:t>
      </w:r>
      <w:r w:rsidRPr="00F27422">
        <w:rPr>
          <w:rFonts w:ascii="mylotus" w:hAnsi="mylotus"/>
          <w:b/>
          <w:bCs/>
          <w:sz w:val="32"/>
          <w:rtl/>
        </w:rPr>
        <w:t xml:space="preserve"> </w:t>
      </w:r>
      <w:r w:rsidRPr="00F27422">
        <w:rPr>
          <w:rFonts w:ascii="mylotus" w:hAnsi="mylotus" w:hint="cs"/>
          <w:b/>
          <w:bCs/>
          <w:sz w:val="32"/>
          <w:rtl/>
        </w:rPr>
        <w:t>الأدلّة</w:t>
      </w:r>
      <w:r w:rsidRPr="00F27422">
        <w:rPr>
          <w:rFonts w:ascii="mylotus" w:hAnsi="mylotus"/>
          <w:b/>
          <w:bCs/>
          <w:sz w:val="32"/>
          <w:rtl/>
        </w:rPr>
        <w:t xml:space="preserve"> </w:t>
      </w:r>
      <w:r w:rsidRPr="00F27422">
        <w:rPr>
          <w:rFonts w:ascii="mylotus" w:hAnsi="mylotus" w:hint="cs"/>
          <w:b/>
          <w:bCs/>
          <w:sz w:val="32"/>
          <w:rtl/>
        </w:rPr>
        <w:t>الخاصّة</w:t>
      </w:r>
      <w:r w:rsidRPr="00F27422">
        <w:rPr>
          <w:rFonts w:ascii="mylotus" w:hAnsi="mylotus"/>
          <w:b/>
          <w:bCs/>
          <w:sz w:val="32"/>
          <w:rtl/>
        </w:rPr>
        <w:t xml:space="preserve"> </w:t>
      </w:r>
      <w:r w:rsidRPr="00F27422">
        <w:rPr>
          <w:rFonts w:ascii="mylotus" w:hAnsi="mylotus" w:hint="cs"/>
          <w:b/>
          <w:bCs/>
          <w:sz w:val="32"/>
          <w:rtl/>
        </w:rPr>
        <w:t>الواردة</w:t>
      </w:r>
      <w:r w:rsidRPr="00F27422">
        <w:rPr>
          <w:rFonts w:ascii="mylotus" w:hAnsi="mylotus"/>
          <w:b/>
          <w:bCs/>
          <w:sz w:val="32"/>
          <w:rtl/>
        </w:rPr>
        <w:t xml:space="preserve"> </w:t>
      </w:r>
      <w:r w:rsidRPr="00F27422">
        <w:rPr>
          <w:rFonts w:ascii="mylotus" w:hAnsi="mylotus" w:hint="cs"/>
          <w:b/>
          <w:bCs/>
          <w:sz w:val="32"/>
          <w:rtl/>
        </w:rPr>
        <w:t>في</w:t>
      </w:r>
      <w:r w:rsidRPr="00F27422">
        <w:rPr>
          <w:rFonts w:ascii="mylotus" w:hAnsi="mylotus"/>
          <w:b/>
          <w:bCs/>
          <w:sz w:val="32"/>
          <w:rtl/>
        </w:rPr>
        <w:t xml:space="preserve"> </w:t>
      </w:r>
      <w:r w:rsidRPr="00F27422">
        <w:rPr>
          <w:rFonts w:ascii="mylotus" w:hAnsi="mylotus" w:hint="cs"/>
          <w:b/>
          <w:bCs/>
          <w:sz w:val="32"/>
          <w:rtl/>
        </w:rPr>
        <w:t>باب</w:t>
      </w:r>
      <w:r w:rsidRPr="00F27422">
        <w:rPr>
          <w:rFonts w:ascii="mylotus" w:hAnsi="mylotus"/>
          <w:b/>
          <w:bCs/>
          <w:sz w:val="32"/>
          <w:rtl/>
        </w:rPr>
        <w:t xml:space="preserve"> </w:t>
      </w:r>
      <w:r w:rsidRPr="00F27422">
        <w:rPr>
          <w:rFonts w:ascii="mylotus" w:hAnsi="mylotus" w:hint="cs"/>
          <w:b/>
          <w:bCs/>
          <w:sz w:val="32"/>
          <w:rtl/>
        </w:rPr>
        <w:t>الإج</w:t>
      </w:r>
      <w:r w:rsidRPr="00F27422">
        <w:rPr>
          <w:rFonts w:ascii="mylotus" w:hAnsi="mylotus"/>
          <w:b/>
          <w:bCs/>
          <w:sz w:val="32"/>
          <w:rtl/>
        </w:rPr>
        <w:t>ارة</w:t>
      </w:r>
      <w:r w:rsidRPr="00F27422">
        <w:rPr>
          <w:rFonts w:ascii="mylotus" w:hAnsi="mylotus" w:hint="cs"/>
          <w:b/>
          <w:bCs/>
          <w:sz w:val="32"/>
          <w:rtl/>
        </w:rPr>
        <w:t>).</w:t>
      </w:r>
    </w:p>
    <w:p w14:paraId="3CFC402E"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وظاهرُ كلامه أنّ مفاد {أَوْفُوا بِالْعُقُودِ} كمفاد الأدلّة الخاصّة في باب الإجارة وهو حصول التمليك والتملك بنفس العقد، مِن غير توقفٍ على شيءٍ</w:t>
      </w:r>
      <w:r w:rsidRPr="00F27422">
        <w:rPr>
          <w:rFonts w:ascii="mylotus" w:hAnsi="mylotus"/>
          <w:sz w:val="32"/>
        </w:rPr>
        <w:t>.</w:t>
      </w:r>
    </w:p>
    <w:p w14:paraId="3436F8DB"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 xml:space="preserve">ولكن هذا الاستدلال محل نظرٍ؛ فإنّ مفاد {أَوْفُوا بِالْعُقُودِ}، سواءً كان إرشاداً لحكمٍ وضعي </w:t>
      </w:r>
      <w:r w:rsidRPr="00F27422">
        <w:rPr>
          <w:rFonts w:ascii="mylotus" w:hAnsi="mylotus"/>
          <w:sz w:val="32"/>
          <w:rtl/>
        </w:rPr>
        <w:lastRenderedPageBreak/>
        <w:t>وهو نفوذ العقد، أو كان مفاده أمراً مولوياً بتنفيذ آثار العقد ذاتا</w:t>
      </w:r>
      <w:r w:rsidRPr="00F27422">
        <w:rPr>
          <w:rFonts w:ascii="mylotus" w:hAnsi="mylotus" w:hint="cs"/>
          <w:sz w:val="32"/>
          <w:rtl/>
        </w:rPr>
        <w:t xml:space="preserve">ً </w:t>
      </w:r>
      <w:r w:rsidRPr="00F27422">
        <w:rPr>
          <w:rFonts w:ascii="mylotus" w:hAnsi="mylotus"/>
          <w:sz w:val="32"/>
          <w:rtl/>
        </w:rPr>
        <w:t>وعملاً - بغض النظر عن مدلوله - لا يستفادُ منه تحقّق المِلكيّة اللازمة مِن دون توقفٍ على شيءٍ؛ فإنّ مفاد {أَوْفُوا بِالْعُقُودِ} تنفيذُ العقد على ما وقع عليه، لا أكثر من ذلك، فإنْ كان ما وقع عليه العقد هو المِلكيّة المنجزة فتنفيذه بذلك، وإنْ كان ما وقع عليه العقد المِلكيّة المعلقة على سببٍ، كما في بيع الصرف والسلم؛ حيث إنّ الِملكيّة في بيع الصرف منوطةٌ بالقبض لا بنفس العقد، أو كان العقد مشروطاً بشرطٍ؛ فإنّ المدار على شرطه، فمجرّد قوله عزّ وجل: {أَوْفُوا بِالْعُقُودِ} ليس دليلاً على سببيّة العقد لمِلكيّة منجزة</w:t>
      </w:r>
      <w:r w:rsidRPr="00F27422">
        <w:rPr>
          <w:rFonts w:ascii="mylotus" w:hAnsi="mylotus"/>
          <w:sz w:val="32"/>
        </w:rPr>
        <w:t>.</w:t>
      </w:r>
    </w:p>
    <w:p w14:paraId="3BF5C2B9" w14:textId="77777777" w:rsidR="00E3275E" w:rsidRPr="00F27422" w:rsidRDefault="00E3275E" w:rsidP="00122B70">
      <w:pPr>
        <w:pStyle w:val="a"/>
        <w:widowControl w:val="0"/>
        <w:bidi/>
        <w:spacing w:line="216" w:lineRule="auto"/>
        <w:jc w:val="left"/>
        <w:rPr>
          <w:rFonts w:ascii="mylotus" w:hAnsi="mylotus"/>
          <w:b/>
          <w:bCs/>
          <w:sz w:val="32"/>
          <w:rtl/>
        </w:rPr>
      </w:pPr>
      <w:r w:rsidRPr="00F27422">
        <w:rPr>
          <w:rFonts w:ascii="mylotus" w:hAnsi="mylotus"/>
          <w:b/>
          <w:bCs/>
          <w:sz w:val="32"/>
          <w:rtl/>
        </w:rPr>
        <w:t>الأمر الثاني: في استحقاق التسليم</w:t>
      </w:r>
      <w:r w:rsidRPr="00F27422">
        <w:rPr>
          <w:rFonts w:ascii="mylotus" w:hAnsi="mylotus"/>
          <w:b/>
          <w:bCs/>
          <w:sz w:val="32"/>
        </w:rPr>
        <w:t>.</w:t>
      </w:r>
    </w:p>
    <w:p w14:paraId="5E3C12E4"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 xml:space="preserve">وقد أفاد سيدنا الخوئي (قدس سره الشريف) [المصدر السابق، ص160] بقوله: </w:t>
      </w:r>
      <w:r w:rsidRPr="00F27422">
        <w:rPr>
          <w:rFonts w:ascii="mylotus" w:hAnsi="mylotus"/>
          <w:b/>
          <w:bCs/>
          <w:sz w:val="32"/>
          <w:rtl/>
        </w:rPr>
        <w:t>(أنّ الملكيّة وإن كانت قد تحقّقت لكلّ من الطرفين بنفس العقد كما عرفت، إلّا أنّه لا يجب على أيّ منهما التسليم إلّا في ظرف تسليم الآخر)</w:t>
      </w:r>
      <w:r w:rsidRPr="00F27422">
        <w:rPr>
          <w:rFonts w:ascii="mylotus" w:hAnsi="mylotus"/>
          <w:sz w:val="32"/>
          <w:rtl/>
        </w:rPr>
        <w:t xml:space="preserve"> فلا يجبُ على المؤجّر تسليم العين إلّا في ظرف تسليم الأُجرة، ولا يجبُ على الأجير تسليم العمل إلّا عند تسلّم الأُجرة </w:t>
      </w:r>
      <w:r w:rsidRPr="00F27422">
        <w:rPr>
          <w:rFonts w:ascii="mylotus" w:hAnsi="mylotus"/>
          <w:b/>
          <w:bCs/>
          <w:sz w:val="32"/>
          <w:rtl/>
        </w:rPr>
        <w:t>(كما أنّه ما لم يسلّم الآخر ما عليه ليس له)</w:t>
      </w:r>
      <w:r w:rsidRPr="00F27422">
        <w:rPr>
          <w:rFonts w:ascii="mylotus" w:hAnsi="mylotus"/>
          <w:sz w:val="32"/>
          <w:rtl/>
        </w:rPr>
        <w:t xml:space="preserve"> أي: الذي لَمْ يسلّم </w:t>
      </w:r>
      <w:r w:rsidRPr="00F27422">
        <w:rPr>
          <w:rFonts w:ascii="mylotus" w:hAnsi="mylotus"/>
          <w:b/>
          <w:bCs/>
          <w:sz w:val="32"/>
          <w:rtl/>
        </w:rPr>
        <w:t>(مطالبة الآخر بالعوض. وهذا واضح</w:t>
      </w:r>
      <w:r w:rsidRPr="00F27422">
        <w:rPr>
          <w:rFonts w:ascii="mylotus" w:hAnsi="mylotus" w:hint="cs"/>
          <w:b/>
          <w:bCs/>
          <w:sz w:val="32"/>
          <w:rtl/>
        </w:rPr>
        <w:t>)</w:t>
      </w:r>
      <w:r w:rsidRPr="00F27422">
        <w:rPr>
          <w:rFonts w:ascii="mylotus" w:hAnsi="mylotus" w:hint="cs"/>
          <w:sz w:val="32"/>
          <w:rtl/>
        </w:rPr>
        <w:t>.</w:t>
      </w:r>
    </w:p>
    <w:p w14:paraId="41AD8CF2" w14:textId="77777777" w:rsidR="00E3275E" w:rsidRPr="00F27422" w:rsidRDefault="00E3275E" w:rsidP="00122B70">
      <w:pPr>
        <w:pStyle w:val="a"/>
        <w:widowControl w:val="0"/>
        <w:bidi/>
        <w:spacing w:line="216" w:lineRule="auto"/>
        <w:jc w:val="left"/>
        <w:rPr>
          <w:rFonts w:ascii="mylotus" w:hAnsi="mylotus"/>
          <w:b/>
          <w:bCs/>
          <w:sz w:val="32"/>
          <w:rtl/>
        </w:rPr>
      </w:pPr>
      <w:r w:rsidRPr="00F27422">
        <w:rPr>
          <w:rFonts w:ascii="mylotus" w:hAnsi="mylotus"/>
          <w:b/>
          <w:bCs/>
          <w:sz w:val="32"/>
          <w:rtl/>
        </w:rPr>
        <w:t>ولكن يلاحظ على ذلك</w:t>
      </w:r>
      <w:r w:rsidRPr="00F27422">
        <w:rPr>
          <w:rFonts w:ascii="mylotus" w:hAnsi="mylotus"/>
          <w:b/>
          <w:bCs/>
          <w:sz w:val="32"/>
        </w:rPr>
        <w:t>:</w:t>
      </w:r>
    </w:p>
    <w:p w14:paraId="3A04EAC5"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أنّ في المقام حكمين</w:t>
      </w:r>
      <w:r w:rsidRPr="00F27422">
        <w:rPr>
          <w:rFonts w:ascii="mylotus" w:hAnsi="mylotus"/>
          <w:sz w:val="32"/>
        </w:rPr>
        <w:t>:</w:t>
      </w:r>
    </w:p>
    <w:p w14:paraId="69AF4CA6"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الأوّل: وجوب التسليم ابتداءً</w:t>
      </w:r>
      <w:r w:rsidRPr="00F27422">
        <w:rPr>
          <w:rFonts w:ascii="mylotus" w:hAnsi="mylotus"/>
          <w:sz w:val="32"/>
        </w:rPr>
        <w:t>.</w:t>
      </w:r>
    </w:p>
    <w:p w14:paraId="051C6848"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والثاني: استحقاق الامتناع عند امتناع الآخر عن التسليم ولو لعذرٍ</w:t>
      </w:r>
      <w:r w:rsidRPr="00F27422">
        <w:rPr>
          <w:rFonts w:ascii="mylotus" w:hAnsi="mylotus"/>
          <w:sz w:val="32"/>
        </w:rPr>
        <w:t>.</w:t>
      </w:r>
    </w:p>
    <w:p w14:paraId="2DD93BD1"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والحكمُ الأوّل - وهو وجوبُ التسليم - منجزٌ، وليس معلقاً على تسليم الآخر؛ بل يجب عليه المبادرة لتسليم مِلك الآخر، إذ الآخر لَمْ يستأمنه على هذا الملك، بل ملكه بمجرّد العقد، فعليه أداء ملك الآخر إليه فوراً حيث لم يستأمنه عليه</w:t>
      </w:r>
      <w:r w:rsidRPr="00F27422">
        <w:rPr>
          <w:rFonts w:ascii="mylotus" w:hAnsi="mylotus"/>
          <w:sz w:val="32"/>
        </w:rPr>
        <w:t>.</w:t>
      </w:r>
    </w:p>
    <w:p w14:paraId="01D89A78"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والحكمُ الثاني - وهو استحقاق الامتناع عند امتناع الآخر عن التسليم - حكمٌ معلّق</w:t>
      </w:r>
      <w:r w:rsidRPr="00F27422">
        <w:rPr>
          <w:rFonts w:ascii="mylotus" w:hAnsi="mylotus"/>
          <w:sz w:val="32"/>
        </w:rPr>
        <w:t>.</w:t>
      </w:r>
    </w:p>
    <w:p w14:paraId="6DAAA364"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فهناك فرقٌ بين الحكمين - وجوب التسليم، واستحقاق الامتناع</w:t>
      </w:r>
      <w:r w:rsidRPr="00F27422">
        <w:rPr>
          <w:rFonts w:ascii="mylotus" w:hAnsi="mylotus" w:hint="cs"/>
          <w:sz w:val="32"/>
          <w:rtl/>
        </w:rPr>
        <w:t xml:space="preserve"> -.</w:t>
      </w:r>
    </w:p>
    <w:p w14:paraId="464B1D34"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 xml:space="preserve">وإلّا لو قُلنا بأنّه لا يجب التسليم إلّا عند تسليم الآخر، فمعناهُ أنّه لو امتنع كلاهما عن التسليم لم يأثما؛ لأنّه لا يجب عليه التسليم إلّا إذا سلّم الآخر، بينما الثابت فقهياً أنّه لو امتنعا عن التسليم كانا </w:t>
      </w:r>
      <w:proofErr w:type="spellStart"/>
      <w:r w:rsidRPr="00F27422">
        <w:rPr>
          <w:rFonts w:ascii="mylotus" w:hAnsi="mylotus"/>
          <w:sz w:val="32"/>
          <w:rtl/>
        </w:rPr>
        <w:t>مأثومين</w:t>
      </w:r>
      <w:proofErr w:type="spellEnd"/>
      <w:r w:rsidRPr="00F27422">
        <w:rPr>
          <w:rFonts w:ascii="mylotus" w:hAnsi="mylotus"/>
          <w:sz w:val="32"/>
          <w:rtl/>
        </w:rPr>
        <w:t>؛ لعدم أداء ملك الآخر مِن دون استئمانٍ، ولذلك فإن للحاكم الشرعي أنْ يجبرهما على التسليم، بمقتضى أنّ الحاكم وليُّ الممتنع</w:t>
      </w:r>
      <w:r w:rsidRPr="00F27422">
        <w:rPr>
          <w:rFonts w:ascii="mylotus" w:hAnsi="mylotus"/>
          <w:sz w:val="32"/>
        </w:rPr>
        <w:t>.</w:t>
      </w:r>
    </w:p>
    <w:p w14:paraId="4AAC379F" w14:textId="77777777" w:rsidR="00E3275E" w:rsidRPr="00F27422" w:rsidRDefault="00E3275E" w:rsidP="00122B70">
      <w:pPr>
        <w:pStyle w:val="a"/>
        <w:widowControl w:val="0"/>
        <w:bidi/>
        <w:spacing w:line="216" w:lineRule="auto"/>
        <w:jc w:val="left"/>
        <w:rPr>
          <w:rFonts w:ascii="mylotus" w:hAnsi="mylotus"/>
          <w:b/>
          <w:bCs/>
          <w:sz w:val="32"/>
          <w:rtl/>
        </w:rPr>
      </w:pPr>
      <w:r w:rsidRPr="00F27422">
        <w:rPr>
          <w:rFonts w:ascii="mylotus" w:hAnsi="mylotus"/>
          <w:b/>
          <w:bCs/>
          <w:sz w:val="32"/>
          <w:rtl/>
        </w:rPr>
        <w:t xml:space="preserve">وقد وقع الكلام </w:t>
      </w:r>
      <w:proofErr w:type="gramStart"/>
      <w:r w:rsidRPr="00F27422">
        <w:rPr>
          <w:rFonts w:ascii="mylotus" w:hAnsi="mylotus"/>
          <w:b/>
          <w:bCs/>
          <w:sz w:val="32"/>
          <w:rtl/>
        </w:rPr>
        <w:t>في ما</w:t>
      </w:r>
      <w:proofErr w:type="gramEnd"/>
      <w:r w:rsidRPr="00F27422">
        <w:rPr>
          <w:rFonts w:ascii="mylotus" w:hAnsi="mylotus"/>
          <w:b/>
          <w:bCs/>
          <w:sz w:val="32"/>
          <w:rtl/>
        </w:rPr>
        <w:t xml:space="preserve"> هو المدرك لوجوب التسليم؟</w:t>
      </w:r>
    </w:p>
    <w:p w14:paraId="4BDE9F89" w14:textId="77777777" w:rsidR="00E3275E" w:rsidRPr="00F27422" w:rsidRDefault="00E3275E" w:rsidP="00122B70">
      <w:pPr>
        <w:pStyle w:val="a"/>
        <w:widowControl w:val="0"/>
        <w:bidi/>
        <w:spacing w:line="216" w:lineRule="auto"/>
        <w:jc w:val="left"/>
        <w:rPr>
          <w:rFonts w:ascii="mylotus" w:hAnsi="mylotus"/>
          <w:b/>
          <w:bCs/>
          <w:sz w:val="32"/>
          <w:rtl/>
        </w:rPr>
      </w:pPr>
      <w:r w:rsidRPr="00F27422">
        <w:rPr>
          <w:rFonts w:ascii="mylotus" w:hAnsi="mylotus"/>
          <w:b/>
          <w:bCs/>
          <w:sz w:val="32"/>
          <w:rtl/>
        </w:rPr>
        <w:t>وهنا وجوهٌ ثلاثة</w:t>
      </w:r>
      <w:r w:rsidRPr="00F27422">
        <w:rPr>
          <w:rFonts w:ascii="mylotus" w:hAnsi="mylotus"/>
          <w:b/>
          <w:bCs/>
          <w:sz w:val="32"/>
        </w:rPr>
        <w:t>:</w:t>
      </w:r>
    </w:p>
    <w:p w14:paraId="369B1D44" w14:textId="36B11A00"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b/>
          <w:bCs/>
          <w:sz w:val="32"/>
          <w:rtl/>
        </w:rPr>
        <w:t>الوجهُ الأوّل:</w:t>
      </w:r>
      <w:r w:rsidRPr="00F27422">
        <w:rPr>
          <w:rFonts w:ascii="mylotus" w:hAnsi="mylotus"/>
          <w:sz w:val="32"/>
          <w:rtl/>
        </w:rPr>
        <w:t xml:space="preserve"> ما أفاده المحقّق الأصفهاني (قدس سره) في كتابه الإجارة [الإجارة، ، ص80] مِن أنّ </w:t>
      </w:r>
      <w:r w:rsidRPr="00F27422">
        <w:rPr>
          <w:rFonts w:ascii="mylotus" w:hAnsi="mylotus"/>
          <w:sz w:val="32"/>
          <w:highlight w:val="yellow"/>
          <w:rtl/>
        </w:rPr>
        <w:t xml:space="preserve">التسليم مِن مقتضيات الملك - لا مِن مقتضيات العقد </w:t>
      </w:r>
      <w:r w:rsidRPr="00F27422">
        <w:rPr>
          <w:rFonts w:ascii="mylotus" w:hAnsi="mylotus" w:hint="cs"/>
          <w:sz w:val="32"/>
          <w:highlight w:val="yellow"/>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وجوب</w:t>
      </w:r>
      <w:r w:rsidRPr="00F27422">
        <w:rPr>
          <w:rFonts w:ascii="mylotus" w:hAnsi="mylotus"/>
          <w:sz w:val="32"/>
          <w:rtl/>
        </w:rPr>
        <w:t xml:space="preserve"> </w:t>
      </w:r>
      <w:r w:rsidRPr="00F27422">
        <w:rPr>
          <w:rFonts w:ascii="mylotus" w:hAnsi="mylotus" w:hint="cs"/>
          <w:sz w:val="32"/>
          <w:rtl/>
        </w:rPr>
        <w:t>التسليم</w:t>
      </w:r>
      <w:r w:rsidRPr="00F27422">
        <w:rPr>
          <w:rFonts w:ascii="mylotus" w:hAnsi="mylotus"/>
          <w:sz w:val="32"/>
          <w:rtl/>
        </w:rPr>
        <w:t xml:space="preserve">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أثراً</w:t>
      </w:r>
      <w:r w:rsidRPr="00F27422">
        <w:rPr>
          <w:rFonts w:ascii="mylotus" w:hAnsi="mylotus"/>
          <w:sz w:val="32"/>
          <w:rtl/>
        </w:rPr>
        <w:t xml:space="preserve"> </w:t>
      </w:r>
      <w:r w:rsidRPr="00F27422">
        <w:rPr>
          <w:rFonts w:ascii="mylotus" w:hAnsi="mylotus" w:hint="cs"/>
          <w:sz w:val="32"/>
          <w:rtl/>
        </w:rPr>
        <w:t>مباشراً</w:t>
      </w:r>
      <w:r w:rsidRPr="00F27422">
        <w:rPr>
          <w:rFonts w:ascii="mylotus" w:hAnsi="mylotus"/>
          <w:sz w:val="32"/>
          <w:rtl/>
        </w:rPr>
        <w:t xml:space="preserve"> </w:t>
      </w:r>
      <w:r w:rsidRPr="00F27422">
        <w:rPr>
          <w:rFonts w:ascii="mylotus" w:hAnsi="mylotus" w:hint="cs"/>
          <w:sz w:val="32"/>
          <w:rtl/>
        </w:rPr>
        <w:t>للعقد؛</w:t>
      </w:r>
      <w:r w:rsidRPr="00F27422">
        <w:rPr>
          <w:rFonts w:ascii="mylotus" w:hAnsi="mylotus"/>
          <w:sz w:val="32"/>
          <w:rtl/>
        </w:rPr>
        <w:t xml:space="preserve"> </w:t>
      </w:r>
      <w:r w:rsidRPr="00F27422">
        <w:rPr>
          <w:rFonts w:ascii="mylotus" w:hAnsi="mylotus" w:hint="cs"/>
          <w:sz w:val="32"/>
          <w:rtl/>
        </w:rPr>
        <w:t>فإنّ</w:t>
      </w:r>
      <w:r w:rsidRPr="00F27422">
        <w:rPr>
          <w:rFonts w:ascii="mylotus" w:hAnsi="mylotus"/>
          <w:sz w:val="32"/>
          <w:rtl/>
        </w:rPr>
        <w:t xml:space="preserve"> </w:t>
      </w:r>
      <w:r w:rsidRPr="00F27422">
        <w:rPr>
          <w:rFonts w:ascii="mylotus" w:hAnsi="mylotus" w:hint="cs"/>
          <w:sz w:val="32"/>
          <w:rtl/>
        </w:rPr>
        <w:t>العقد</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يقتضي</w:t>
      </w:r>
      <w:r w:rsidRPr="00F27422">
        <w:rPr>
          <w:rFonts w:ascii="mylotus" w:hAnsi="mylotus"/>
          <w:sz w:val="32"/>
          <w:rtl/>
        </w:rPr>
        <w:t xml:space="preserve"> </w:t>
      </w:r>
      <w:r w:rsidRPr="00F27422">
        <w:rPr>
          <w:rFonts w:ascii="mylotus" w:hAnsi="mylotus" w:hint="cs"/>
          <w:sz w:val="32"/>
          <w:rtl/>
        </w:rPr>
        <w:t>إلّا</w:t>
      </w:r>
      <w:r w:rsidRPr="00F27422">
        <w:rPr>
          <w:rFonts w:ascii="mylotus" w:hAnsi="mylotus"/>
          <w:sz w:val="32"/>
          <w:rtl/>
        </w:rPr>
        <w:t xml:space="preserve"> </w:t>
      </w:r>
      <w:r w:rsidRPr="00F27422">
        <w:rPr>
          <w:rFonts w:ascii="mylotus" w:hAnsi="mylotus" w:hint="cs"/>
          <w:sz w:val="32"/>
          <w:rtl/>
        </w:rPr>
        <w:t>المِلكيّة،</w:t>
      </w:r>
      <w:r w:rsidRPr="00F27422">
        <w:rPr>
          <w:rFonts w:ascii="mylotus" w:hAnsi="mylotus"/>
          <w:sz w:val="32"/>
          <w:rtl/>
        </w:rPr>
        <w:t xml:space="preserve"> </w:t>
      </w:r>
      <w:r w:rsidRPr="00F27422">
        <w:rPr>
          <w:rFonts w:ascii="mylotus" w:hAnsi="mylotus" w:hint="cs"/>
          <w:sz w:val="32"/>
          <w:rtl/>
        </w:rPr>
        <w:t>ولكن</w:t>
      </w:r>
      <w:r w:rsidRPr="00F27422">
        <w:rPr>
          <w:rFonts w:ascii="mylotus" w:hAnsi="mylotus"/>
          <w:sz w:val="32"/>
          <w:rtl/>
        </w:rPr>
        <w:t xml:space="preserve"> </w:t>
      </w:r>
      <w:r w:rsidRPr="00F27422">
        <w:rPr>
          <w:rFonts w:ascii="mylotus" w:hAnsi="mylotus" w:hint="cs"/>
          <w:sz w:val="32"/>
          <w:rtl/>
        </w:rPr>
        <w:t>فرعُ</w:t>
      </w:r>
      <w:r w:rsidRPr="00F27422">
        <w:rPr>
          <w:rFonts w:ascii="mylotus" w:hAnsi="mylotus"/>
          <w:sz w:val="32"/>
          <w:rtl/>
        </w:rPr>
        <w:t xml:space="preserve"> </w:t>
      </w:r>
      <w:r w:rsidRPr="00F27422">
        <w:rPr>
          <w:rFonts w:ascii="mylotus" w:hAnsi="mylotus" w:hint="cs"/>
          <w:sz w:val="32"/>
          <w:rtl/>
        </w:rPr>
        <w:t>ثبوت</w:t>
      </w:r>
      <w:r w:rsidRPr="00F27422">
        <w:rPr>
          <w:rFonts w:ascii="mylotus" w:hAnsi="mylotus"/>
          <w:sz w:val="32"/>
          <w:rtl/>
        </w:rPr>
        <w:t xml:space="preserve"> </w:t>
      </w:r>
      <w:r w:rsidRPr="00F27422">
        <w:rPr>
          <w:rFonts w:ascii="mylotus" w:hAnsi="mylotus" w:hint="cs"/>
          <w:sz w:val="32"/>
          <w:rtl/>
        </w:rPr>
        <w:t>المِلكيّة</w:t>
      </w:r>
      <w:r w:rsidRPr="00F27422">
        <w:rPr>
          <w:rFonts w:ascii="mylotus" w:hAnsi="mylotus"/>
          <w:sz w:val="32"/>
          <w:rtl/>
        </w:rPr>
        <w:t xml:space="preserve"> </w:t>
      </w:r>
      <w:r w:rsidRPr="00F27422">
        <w:rPr>
          <w:rFonts w:ascii="mylotus" w:hAnsi="mylotus" w:hint="cs"/>
          <w:sz w:val="32"/>
          <w:rtl/>
        </w:rPr>
        <w:t>لكلٍّ</w:t>
      </w:r>
      <w:r w:rsidRPr="00F27422">
        <w:rPr>
          <w:rFonts w:ascii="mylotus" w:hAnsi="mylotus"/>
          <w:sz w:val="32"/>
          <w:rtl/>
        </w:rPr>
        <w:t xml:space="preserve"> </w:t>
      </w:r>
      <w:r w:rsidRPr="00F27422">
        <w:rPr>
          <w:rFonts w:ascii="mylotus" w:hAnsi="mylotus" w:hint="cs"/>
          <w:sz w:val="32"/>
          <w:rtl/>
        </w:rPr>
        <w:t>منهما</w:t>
      </w:r>
      <w:r w:rsidRPr="00F27422">
        <w:rPr>
          <w:rFonts w:ascii="mylotus" w:hAnsi="mylotus"/>
          <w:sz w:val="32"/>
          <w:rtl/>
        </w:rPr>
        <w:t xml:space="preserve"> </w:t>
      </w:r>
      <w:r w:rsidRPr="00F27422">
        <w:rPr>
          <w:rFonts w:ascii="mylotus" w:hAnsi="mylotus" w:hint="cs"/>
          <w:sz w:val="32"/>
          <w:rtl/>
        </w:rPr>
        <w:t>يجب</w:t>
      </w:r>
      <w:r w:rsidRPr="00F27422">
        <w:rPr>
          <w:rFonts w:ascii="mylotus" w:hAnsi="mylotus"/>
          <w:sz w:val="32"/>
          <w:rtl/>
        </w:rPr>
        <w:t xml:space="preserve"> </w:t>
      </w:r>
      <w:r w:rsidRPr="00F27422">
        <w:rPr>
          <w:rFonts w:ascii="mylotus" w:hAnsi="mylotus" w:hint="cs"/>
          <w:sz w:val="32"/>
          <w:rtl/>
        </w:rPr>
        <w:t>التسليم؛</w:t>
      </w:r>
      <w:r w:rsidRPr="00F27422">
        <w:rPr>
          <w:rFonts w:ascii="mylotus" w:hAnsi="mylotus"/>
          <w:sz w:val="32"/>
          <w:rtl/>
        </w:rPr>
        <w:t xml:space="preserve"> </w:t>
      </w:r>
      <w:r w:rsidRPr="00F27422">
        <w:rPr>
          <w:rFonts w:ascii="mylotus" w:hAnsi="mylotus" w:hint="cs"/>
          <w:sz w:val="32"/>
          <w:rtl/>
        </w:rPr>
        <w:t>لقاعدة</w:t>
      </w:r>
      <w:r w:rsidRPr="00F27422">
        <w:rPr>
          <w:rFonts w:ascii="mylotus" w:hAnsi="mylotus"/>
          <w:sz w:val="32"/>
          <w:rtl/>
        </w:rPr>
        <w:t xml:space="preserve"> "</w:t>
      </w:r>
      <w:r w:rsidRPr="00F27422">
        <w:rPr>
          <w:rFonts w:ascii="mylotus" w:hAnsi="mylotus" w:hint="cs"/>
          <w:sz w:val="32"/>
          <w:rtl/>
        </w:rPr>
        <w:t>سلطنة</w:t>
      </w:r>
      <w:r w:rsidRPr="00F27422">
        <w:rPr>
          <w:rFonts w:ascii="mylotus" w:hAnsi="mylotus"/>
          <w:sz w:val="32"/>
          <w:rtl/>
        </w:rPr>
        <w:t xml:space="preserve"> </w:t>
      </w:r>
      <w:r w:rsidRPr="00F27422">
        <w:rPr>
          <w:rFonts w:ascii="mylotus" w:hAnsi="mylotus" w:hint="cs"/>
          <w:sz w:val="32"/>
          <w:rtl/>
        </w:rPr>
        <w:t>الناس</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أمواله</w:t>
      </w:r>
      <w:r w:rsidRPr="00F27422">
        <w:rPr>
          <w:rFonts w:ascii="mylotus" w:hAnsi="mylotus"/>
          <w:sz w:val="32"/>
          <w:rtl/>
        </w:rPr>
        <w:t>م"، فللمالك سلطنةٌ على المطالبة بماله، وليس لمن بيده المال سلطنةٌ على التخلف والامتناع عن دفعه فوراً لمالكه، وإلّا لو كان لمن بيده المال عذرٌ في التأخر عن التسليم لَمْ يكن للأوّل سلطنةٌ على ماله بالمطالبة به، وهذا خلفٌ</w:t>
      </w:r>
      <w:r w:rsidRPr="00F27422">
        <w:rPr>
          <w:rFonts w:ascii="mylotus" w:hAnsi="mylotus"/>
          <w:sz w:val="32"/>
        </w:rPr>
        <w:t>.</w:t>
      </w:r>
    </w:p>
    <w:p w14:paraId="77BE9304"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b/>
          <w:bCs/>
          <w:sz w:val="32"/>
          <w:rtl/>
        </w:rPr>
        <w:t>والنتيجة:</w:t>
      </w:r>
      <w:r w:rsidRPr="00F27422">
        <w:rPr>
          <w:rFonts w:ascii="mylotus" w:hAnsi="mylotus"/>
          <w:sz w:val="32"/>
          <w:rtl/>
        </w:rPr>
        <w:t xml:space="preserve"> أنّ العقد لا يقتضي بنفسه وجوب التسليم، وإنما يقتضي الملك ومقتضى الملك لزوم التسليم</w:t>
      </w:r>
      <w:r w:rsidRPr="00F27422">
        <w:rPr>
          <w:rFonts w:ascii="mylotus" w:hAnsi="mylotus"/>
          <w:sz w:val="32"/>
        </w:rPr>
        <w:t>.</w:t>
      </w:r>
    </w:p>
    <w:p w14:paraId="651AEE12"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 xml:space="preserve">لكن حيثُ إنّ السلطنة على المال مِن لوازم المِلك المترتب على العقد، صحّ دعوى: اقتضاءُ العقد لوجوب التسليم بالمدلول الالتزامي </w:t>
      </w:r>
      <w:r w:rsidRPr="00F27422">
        <w:rPr>
          <w:rFonts w:ascii="mylotus" w:hAnsi="mylotus" w:hint="cs"/>
          <w:sz w:val="32"/>
          <w:rtl/>
        </w:rPr>
        <w:t>-</w:t>
      </w:r>
      <w:r w:rsidRPr="00F27422">
        <w:rPr>
          <w:rFonts w:ascii="mylotus" w:hAnsi="mylotus"/>
          <w:sz w:val="32"/>
          <w:rtl/>
        </w:rPr>
        <w:t xml:space="preserve"> </w:t>
      </w:r>
      <w:r w:rsidRPr="00F27422">
        <w:rPr>
          <w:rFonts w:ascii="mylotus" w:hAnsi="mylotus" w:hint="cs"/>
          <w:sz w:val="32"/>
          <w:rtl/>
        </w:rPr>
        <w:t>لا</w:t>
      </w:r>
      <w:r w:rsidRPr="00F27422">
        <w:rPr>
          <w:rFonts w:ascii="mylotus" w:hAnsi="mylotus"/>
          <w:sz w:val="32"/>
          <w:rtl/>
        </w:rPr>
        <w:t xml:space="preserve"> </w:t>
      </w:r>
      <w:r w:rsidRPr="00F27422">
        <w:rPr>
          <w:rFonts w:ascii="mylotus" w:hAnsi="mylotus" w:hint="cs"/>
          <w:sz w:val="32"/>
          <w:rtl/>
        </w:rPr>
        <w:t>بالمدلول</w:t>
      </w:r>
      <w:r w:rsidRPr="00F27422">
        <w:rPr>
          <w:rFonts w:ascii="mylotus" w:hAnsi="mylotus"/>
          <w:sz w:val="32"/>
          <w:rtl/>
        </w:rPr>
        <w:t xml:space="preserve"> </w:t>
      </w:r>
      <w:r w:rsidRPr="00F27422">
        <w:rPr>
          <w:rFonts w:ascii="mylotus" w:hAnsi="mylotus" w:hint="cs"/>
          <w:sz w:val="32"/>
          <w:rtl/>
        </w:rPr>
        <w:t>المطابقي</w:t>
      </w:r>
      <w:r w:rsidRPr="00F27422">
        <w:rPr>
          <w:rFonts w:ascii="mylotus" w:hAnsi="mylotus"/>
          <w:sz w:val="32"/>
          <w:rtl/>
        </w:rPr>
        <w:t xml:space="preserve"> -.</w:t>
      </w:r>
      <w:r w:rsidRPr="00F27422">
        <w:rPr>
          <w:rFonts w:ascii="mylotus" w:hAnsi="mylotus" w:hint="cs"/>
          <w:sz w:val="32"/>
          <w:rtl/>
        </w:rPr>
        <w:t xml:space="preserve"> نعم،</w:t>
      </w:r>
      <w:r w:rsidRPr="00F27422">
        <w:rPr>
          <w:rFonts w:ascii="mylotus" w:hAnsi="mylotus"/>
          <w:sz w:val="32"/>
          <w:rtl/>
        </w:rPr>
        <w:t xml:space="preserve"> </w:t>
      </w:r>
      <w:r w:rsidRPr="00F27422">
        <w:rPr>
          <w:rFonts w:ascii="mylotus" w:hAnsi="mylotus" w:hint="cs"/>
          <w:sz w:val="32"/>
          <w:rtl/>
        </w:rPr>
        <w:t>المستفادُ</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قاعدة</w:t>
      </w:r>
      <w:r w:rsidRPr="00F27422">
        <w:rPr>
          <w:rFonts w:ascii="mylotus" w:hAnsi="mylotus"/>
          <w:sz w:val="32"/>
          <w:rtl/>
        </w:rPr>
        <w:t xml:space="preserve"> </w:t>
      </w:r>
      <w:r w:rsidRPr="00F27422">
        <w:rPr>
          <w:rFonts w:ascii="mylotus" w:hAnsi="mylotus" w:hint="cs"/>
          <w:sz w:val="32"/>
          <w:rtl/>
        </w:rPr>
        <w:t>السلطنة</w:t>
      </w:r>
      <w:r w:rsidRPr="00F27422">
        <w:rPr>
          <w:rFonts w:ascii="mylotus" w:hAnsi="mylotus"/>
          <w:sz w:val="32"/>
          <w:rtl/>
        </w:rPr>
        <w:t xml:space="preserve"> </w:t>
      </w:r>
      <w:r w:rsidRPr="00F27422">
        <w:rPr>
          <w:rFonts w:ascii="mylotus" w:hAnsi="mylotus" w:hint="cs"/>
          <w:sz w:val="32"/>
          <w:rtl/>
        </w:rPr>
        <w:t>وجوب</w:t>
      </w:r>
      <w:r w:rsidRPr="00F27422">
        <w:rPr>
          <w:rFonts w:ascii="mylotus" w:hAnsi="mylotus"/>
          <w:sz w:val="32"/>
          <w:rtl/>
        </w:rPr>
        <w:t xml:space="preserve"> </w:t>
      </w:r>
      <w:r w:rsidRPr="00F27422">
        <w:rPr>
          <w:rFonts w:ascii="mylotus" w:hAnsi="mylotus" w:hint="cs"/>
          <w:sz w:val="32"/>
          <w:rtl/>
        </w:rPr>
        <w:t>التسليم</w:t>
      </w:r>
      <w:r w:rsidRPr="00F27422">
        <w:rPr>
          <w:rFonts w:ascii="mylotus" w:hAnsi="mylotus"/>
          <w:sz w:val="32"/>
          <w:rtl/>
        </w:rPr>
        <w:t xml:space="preserve"> </w:t>
      </w:r>
      <w:r w:rsidRPr="00F27422">
        <w:rPr>
          <w:rFonts w:ascii="mylotus" w:hAnsi="mylotus" w:hint="cs"/>
          <w:sz w:val="32"/>
          <w:rtl/>
        </w:rPr>
        <w:t>لأن</w:t>
      </w:r>
      <w:r w:rsidRPr="00F27422">
        <w:rPr>
          <w:rFonts w:ascii="mylotus" w:hAnsi="mylotus"/>
          <w:sz w:val="32"/>
          <w:rtl/>
        </w:rPr>
        <w:t xml:space="preserve">ّ الآخر مسلطٌ على ماله، لكن لا يستفادُ منها استحقاق الامتناع عند </w:t>
      </w:r>
      <w:r w:rsidRPr="00F27422">
        <w:rPr>
          <w:rFonts w:ascii="mylotus" w:hAnsi="mylotus"/>
          <w:sz w:val="32"/>
          <w:rtl/>
        </w:rPr>
        <w:lastRenderedPageBreak/>
        <w:t>امتناع الآخر، فثبوت حقّ الامتناع عند امتناع الآخر لا بقاعدة السلطنة؛ فإنّ ظلم أحدهما لا يسوغ ظلم الآخر، بل لارتكازٍ عقلائي أنّ لكلٍّ منهما الامتناع إنْ امتنع الآخر</w:t>
      </w:r>
      <w:r w:rsidRPr="00F27422">
        <w:rPr>
          <w:rFonts w:ascii="mylotus" w:hAnsi="mylotus"/>
          <w:sz w:val="32"/>
        </w:rPr>
        <w:t>.</w:t>
      </w:r>
    </w:p>
    <w:p w14:paraId="552C1EDA" w14:textId="77777777" w:rsidR="00E3275E" w:rsidRPr="00F27422" w:rsidRDefault="00E3275E" w:rsidP="00122B70">
      <w:pPr>
        <w:pStyle w:val="a"/>
        <w:widowControl w:val="0"/>
        <w:bidi/>
        <w:spacing w:line="216" w:lineRule="auto"/>
        <w:jc w:val="left"/>
        <w:rPr>
          <w:rFonts w:ascii="Times New Roman" w:hAnsi="Times New Roman" w:cs="Times New Roman"/>
          <w:b/>
          <w:bCs/>
          <w:sz w:val="32"/>
          <w:rtl/>
        </w:rPr>
      </w:pPr>
      <w:r w:rsidRPr="00F27422">
        <w:rPr>
          <w:rFonts w:ascii="mylotus" w:hAnsi="mylotus"/>
          <w:sz w:val="32"/>
          <w:rtl/>
        </w:rPr>
        <w:t xml:space="preserve">وقد نُوقش في كلام المحقّق الأصفهاني (قدس سره) مِن قِبل بعض الأجلة (رحمه الله) في كتابه الإجارة [كتاب الإجارة، مؤسسة دائرة معارف الفقه الإسلامي طبقاً لمذهب أهل البيت (عليهم السلام)، ج1، ص271] بقوله: </w:t>
      </w:r>
      <w:r w:rsidRPr="00F27422">
        <w:rPr>
          <w:rFonts w:ascii="mylotus" w:hAnsi="mylotus"/>
          <w:b/>
          <w:bCs/>
          <w:sz w:val="32"/>
          <w:rtl/>
        </w:rPr>
        <w:t>(إنّ مقتضى الملك ليس بأكثر من حرمة منع المال عن مالكه وحجره عنه بوضع اليد أو الاستيلاء عليه، وهذا أعم من وجوب التسلم</w:t>
      </w:r>
      <w:r w:rsidRPr="00F27422">
        <w:rPr>
          <w:rFonts w:ascii="mylotus" w:hAnsi="mylotus" w:hint="cs"/>
          <w:b/>
          <w:bCs/>
          <w:sz w:val="32"/>
          <w:rtl/>
        </w:rPr>
        <w:t>).</w:t>
      </w:r>
    </w:p>
    <w:p w14:paraId="18A863C5"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 xml:space="preserve">وتوضيحه: أنّ حرمة منع المال عن مالكه شيءٌ، ووجوب التسليم ابتداءً شيءٌ آخر، فقاعدة السلطنة لا تقتضي </w:t>
      </w:r>
      <w:proofErr w:type="gramStart"/>
      <w:r w:rsidRPr="00F27422">
        <w:rPr>
          <w:rFonts w:ascii="mylotus" w:hAnsi="mylotus"/>
          <w:sz w:val="32"/>
          <w:rtl/>
        </w:rPr>
        <w:t>الثاني</w:t>
      </w:r>
      <w:proofErr w:type="gramEnd"/>
      <w:r w:rsidRPr="00F27422">
        <w:rPr>
          <w:rFonts w:ascii="mylotus" w:hAnsi="mylotus"/>
          <w:sz w:val="32"/>
          <w:rtl/>
        </w:rPr>
        <w:t xml:space="preserve"> بل الأوّل، أي: أنّ مقتضى قاعدة السلطنة ثبوت سلطنته على أمواله التي بيد الغير، فليس للغير المنع؛ لأنّ منعه عنه خلاف سلطنته على أمواله، وأمّا أنّه يجب عليه التسليم ابتداءً فليس مقتضى قاعدة </w:t>
      </w:r>
      <w:proofErr w:type="gramStart"/>
      <w:r w:rsidRPr="00F27422">
        <w:rPr>
          <w:rFonts w:ascii="mylotus" w:hAnsi="mylotus"/>
          <w:sz w:val="32"/>
          <w:rtl/>
        </w:rPr>
        <w:t>السلطنة</w:t>
      </w:r>
      <w:proofErr w:type="gramEnd"/>
      <w:r w:rsidRPr="00F27422">
        <w:rPr>
          <w:rFonts w:ascii="mylotus" w:hAnsi="mylotus"/>
          <w:sz w:val="32"/>
          <w:rtl/>
        </w:rPr>
        <w:t xml:space="preserve"> بل هو أعم</w:t>
      </w:r>
      <w:r w:rsidRPr="00F27422">
        <w:rPr>
          <w:rFonts w:ascii="mylotus" w:hAnsi="mylotus"/>
          <w:sz w:val="32"/>
        </w:rPr>
        <w:t>.</w:t>
      </w:r>
    </w:p>
    <w:p w14:paraId="0F08367D" w14:textId="77777777" w:rsidR="00E3275E" w:rsidRPr="00F27422" w:rsidRDefault="00E3275E" w:rsidP="00122B70">
      <w:pPr>
        <w:pStyle w:val="a"/>
        <w:widowControl w:val="0"/>
        <w:bidi/>
        <w:spacing w:line="216" w:lineRule="auto"/>
        <w:jc w:val="left"/>
        <w:rPr>
          <w:rFonts w:ascii="mylotus" w:hAnsi="mylotus"/>
          <w:b/>
          <w:bCs/>
          <w:sz w:val="32"/>
          <w:rtl/>
        </w:rPr>
      </w:pPr>
      <w:r w:rsidRPr="00F27422">
        <w:rPr>
          <w:rFonts w:ascii="mylotus" w:hAnsi="mylotus"/>
          <w:sz w:val="32"/>
          <w:rtl/>
        </w:rPr>
        <w:t xml:space="preserve">ثم قال (رحمه الله): </w:t>
      </w:r>
      <w:r w:rsidRPr="00F27422">
        <w:rPr>
          <w:rFonts w:ascii="mylotus" w:hAnsi="mylotus"/>
          <w:b/>
          <w:bCs/>
          <w:sz w:val="32"/>
          <w:rtl/>
        </w:rPr>
        <w:t xml:space="preserve">(فلو لم تكن العين المستأجرة تحت يد </w:t>
      </w:r>
      <w:proofErr w:type="gramStart"/>
      <w:r w:rsidRPr="00F27422">
        <w:rPr>
          <w:rFonts w:ascii="mylotus" w:hAnsi="mylotus"/>
          <w:b/>
          <w:bCs/>
          <w:sz w:val="32"/>
          <w:rtl/>
        </w:rPr>
        <w:t>المؤجر</w:t>
      </w:r>
      <w:proofErr w:type="gramEnd"/>
      <w:r w:rsidRPr="00F27422">
        <w:rPr>
          <w:rFonts w:ascii="mylotus" w:hAnsi="mylotus"/>
          <w:b/>
          <w:bCs/>
          <w:sz w:val="32"/>
          <w:rtl/>
        </w:rPr>
        <w:t xml:space="preserve"> بل كانت تحت يد ثالث كان حال المؤجر حال أي شخص آخر مع أنه ليس كذلك، بل يجب على المتعاقدين التسليم بمعنى يستحق كل منهما على الآخر تسليم ما ملكه الآخر إليه ولو بأخذه من الثالث وتسليمه إليه</w:t>
      </w:r>
      <w:r w:rsidRPr="00F27422">
        <w:rPr>
          <w:rFonts w:ascii="mylotus" w:hAnsi="mylotus" w:hint="cs"/>
          <w:b/>
          <w:bCs/>
          <w:sz w:val="32"/>
          <w:rtl/>
        </w:rPr>
        <w:t>).</w:t>
      </w:r>
    </w:p>
    <w:p w14:paraId="491F1C8C"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أي إذا قيل: بأنّ مقتضى قاعدة السلطنة التسليم، فمعناه أنّ الوجوب على الثالث لا على المؤجّر، وهذا خُلف ما هو المتسالم عليه فقهياً</w:t>
      </w:r>
      <w:r w:rsidRPr="00F27422">
        <w:rPr>
          <w:rFonts w:ascii="mylotus" w:hAnsi="mylotus"/>
          <w:sz w:val="32"/>
        </w:rPr>
        <w:t>.</w:t>
      </w:r>
    </w:p>
    <w:p w14:paraId="4996F71B"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 xml:space="preserve">فلو كان وجوب التسليم هو مقتضى قاعدة السلطنة للزم على من بيده المال التسليم، لكن لو كان المال بيد ثالثٍ - لا بيد المؤجّر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لم</w:t>
      </w:r>
      <w:r w:rsidRPr="00F27422">
        <w:rPr>
          <w:rFonts w:ascii="mylotus" w:hAnsi="mylotus"/>
          <w:sz w:val="32"/>
          <w:rtl/>
        </w:rPr>
        <w:t xml:space="preserve"> </w:t>
      </w:r>
      <w:r w:rsidRPr="00F27422">
        <w:rPr>
          <w:rFonts w:ascii="mylotus" w:hAnsi="mylotus" w:hint="cs"/>
          <w:sz w:val="32"/>
          <w:rtl/>
        </w:rPr>
        <w:t>يجب</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المؤجّر</w:t>
      </w:r>
      <w:r w:rsidRPr="00F27422">
        <w:rPr>
          <w:rFonts w:ascii="mylotus" w:hAnsi="mylotus"/>
          <w:sz w:val="32"/>
          <w:rtl/>
        </w:rPr>
        <w:t xml:space="preserve"> </w:t>
      </w:r>
      <w:r w:rsidRPr="00F27422">
        <w:rPr>
          <w:rFonts w:ascii="mylotus" w:hAnsi="mylotus" w:hint="cs"/>
          <w:sz w:val="32"/>
          <w:rtl/>
        </w:rPr>
        <w:t>التسليم؛</w:t>
      </w:r>
      <w:r w:rsidRPr="00F27422">
        <w:rPr>
          <w:rFonts w:ascii="mylotus" w:hAnsi="mylotus"/>
          <w:sz w:val="32"/>
          <w:rtl/>
        </w:rPr>
        <w:t xml:space="preserve"> </w:t>
      </w:r>
      <w:r w:rsidRPr="00F27422">
        <w:rPr>
          <w:rFonts w:ascii="mylotus" w:hAnsi="mylotus" w:hint="cs"/>
          <w:sz w:val="32"/>
          <w:rtl/>
        </w:rPr>
        <w:t>لأنّ</w:t>
      </w:r>
      <w:r w:rsidRPr="00F27422">
        <w:rPr>
          <w:rFonts w:ascii="mylotus" w:hAnsi="mylotus"/>
          <w:sz w:val="32"/>
          <w:rtl/>
        </w:rPr>
        <w:t xml:space="preserve"> </w:t>
      </w:r>
      <w:r w:rsidRPr="00F27422">
        <w:rPr>
          <w:rFonts w:ascii="mylotus" w:hAnsi="mylotus" w:hint="cs"/>
          <w:sz w:val="32"/>
          <w:rtl/>
        </w:rPr>
        <w:t>المال</w:t>
      </w:r>
      <w:r w:rsidRPr="00F27422">
        <w:rPr>
          <w:rFonts w:ascii="mylotus" w:hAnsi="mylotus"/>
          <w:sz w:val="32"/>
          <w:rtl/>
        </w:rPr>
        <w:t xml:space="preserve"> </w:t>
      </w:r>
      <w:r w:rsidRPr="00F27422">
        <w:rPr>
          <w:rFonts w:ascii="mylotus" w:hAnsi="mylotus" w:hint="cs"/>
          <w:sz w:val="32"/>
          <w:rtl/>
        </w:rPr>
        <w:t>بيدِ</w:t>
      </w:r>
      <w:r w:rsidRPr="00F27422">
        <w:rPr>
          <w:rFonts w:ascii="mylotus" w:hAnsi="mylotus"/>
          <w:sz w:val="32"/>
          <w:rtl/>
        </w:rPr>
        <w:t xml:space="preserve"> </w:t>
      </w:r>
      <w:r w:rsidRPr="00F27422">
        <w:rPr>
          <w:rFonts w:ascii="mylotus" w:hAnsi="mylotus" w:hint="cs"/>
          <w:sz w:val="32"/>
          <w:rtl/>
        </w:rPr>
        <w:t>ثالثٍ،</w:t>
      </w:r>
      <w:r w:rsidRPr="00F27422">
        <w:rPr>
          <w:rFonts w:ascii="mylotus" w:hAnsi="mylotus"/>
          <w:sz w:val="32"/>
          <w:rtl/>
        </w:rPr>
        <w:t xml:space="preserve"> </w:t>
      </w:r>
      <w:r w:rsidRPr="00F27422">
        <w:rPr>
          <w:rFonts w:ascii="mylotus" w:hAnsi="mylotus" w:hint="cs"/>
          <w:sz w:val="32"/>
          <w:rtl/>
        </w:rPr>
        <w:t>وهذا</w:t>
      </w:r>
      <w:r w:rsidRPr="00F27422">
        <w:rPr>
          <w:rFonts w:ascii="mylotus" w:hAnsi="mylotus"/>
          <w:sz w:val="32"/>
          <w:rtl/>
        </w:rPr>
        <w:t xml:space="preserve"> </w:t>
      </w:r>
      <w:r w:rsidRPr="00F27422">
        <w:rPr>
          <w:rFonts w:ascii="mylotus" w:hAnsi="mylotus" w:hint="cs"/>
          <w:sz w:val="32"/>
          <w:rtl/>
        </w:rPr>
        <w:t>خلاف</w:t>
      </w:r>
      <w:r w:rsidRPr="00F27422">
        <w:rPr>
          <w:rFonts w:ascii="mylotus" w:hAnsi="mylotus"/>
          <w:sz w:val="32"/>
          <w:rtl/>
        </w:rPr>
        <w:t xml:space="preserve"> </w:t>
      </w:r>
      <w:r w:rsidRPr="00F27422">
        <w:rPr>
          <w:rFonts w:ascii="mylotus" w:hAnsi="mylotus" w:hint="cs"/>
          <w:sz w:val="32"/>
          <w:rtl/>
        </w:rPr>
        <w:t>الثابت</w:t>
      </w:r>
      <w:r w:rsidRPr="00F27422">
        <w:rPr>
          <w:rFonts w:ascii="mylotus" w:hAnsi="mylotus"/>
          <w:sz w:val="32"/>
          <w:rtl/>
        </w:rPr>
        <w:t xml:space="preserve"> </w:t>
      </w:r>
      <w:r w:rsidRPr="00F27422">
        <w:rPr>
          <w:rFonts w:ascii="mylotus" w:hAnsi="mylotus" w:hint="cs"/>
          <w:sz w:val="32"/>
          <w:rtl/>
        </w:rPr>
        <w:t>فقهياً</w:t>
      </w:r>
      <w:r w:rsidRPr="00F27422">
        <w:rPr>
          <w:rFonts w:ascii="mylotus" w:hAnsi="mylotus"/>
          <w:sz w:val="32"/>
          <w:rtl/>
        </w:rPr>
        <w:t xml:space="preserve"> </w:t>
      </w:r>
      <w:r w:rsidRPr="00F27422">
        <w:rPr>
          <w:rFonts w:ascii="mylotus" w:hAnsi="mylotus" w:hint="cs"/>
          <w:sz w:val="32"/>
          <w:rtl/>
        </w:rPr>
        <w:t>وهو</w:t>
      </w:r>
      <w:r w:rsidRPr="00F27422">
        <w:rPr>
          <w:rFonts w:ascii="mylotus" w:hAnsi="mylotus"/>
          <w:sz w:val="32"/>
          <w:rtl/>
        </w:rPr>
        <w:t xml:space="preserve"> </w:t>
      </w:r>
      <w:r w:rsidRPr="00F27422">
        <w:rPr>
          <w:rFonts w:ascii="mylotus" w:hAnsi="mylotus" w:hint="cs"/>
          <w:sz w:val="32"/>
          <w:rtl/>
        </w:rPr>
        <w:t>أنّه</w:t>
      </w:r>
      <w:r w:rsidRPr="00F27422">
        <w:rPr>
          <w:rFonts w:ascii="mylotus" w:hAnsi="mylotus"/>
          <w:sz w:val="32"/>
          <w:rtl/>
        </w:rPr>
        <w:t xml:space="preserve"> </w:t>
      </w:r>
      <w:r w:rsidRPr="00F27422">
        <w:rPr>
          <w:rFonts w:ascii="mylotus" w:hAnsi="mylotus" w:hint="cs"/>
          <w:sz w:val="32"/>
          <w:rtl/>
        </w:rPr>
        <w:t>يجب</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المؤجّر</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يسلم</w:t>
      </w:r>
      <w:r w:rsidRPr="00F27422">
        <w:rPr>
          <w:rFonts w:ascii="mylotus" w:hAnsi="mylotus"/>
          <w:sz w:val="32"/>
          <w:rtl/>
        </w:rPr>
        <w:t xml:space="preserve"> </w:t>
      </w:r>
      <w:r w:rsidRPr="00F27422">
        <w:rPr>
          <w:rFonts w:ascii="mylotus" w:hAnsi="mylotus" w:hint="cs"/>
          <w:sz w:val="32"/>
          <w:rtl/>
        </w:rPr>
        <w:t>العين</w:t>
      </w:r>
      <w:r w:rsidRPr="00F27422">
        <w:rPr>
          <w:rFonts w:ascii="mylotus" w:hAnsi="mylotus"/>
          <w:sz w:val="32"/>
          <w:rtl/>
        </w:rPr>
        <w:t xml:space="preserve"> </w:t>
      </w:r>
      <w:r w:rsidRPr="00F27422">
        <w:rPr>
          <w:rFonts w:ascii="mylotus" w:hAnsi="mylotus" w:hint="cs"/>
          <w:sz w:val="32"/>
          <w:rtl/>
        </w:rPr>
        <w:t>حتى</w:t>
      </w:r>
      <w:r w:rsidRPr="00F27422">
        <w:rPr>
          <w:rFonts w:ascii="mylotus" w:hAnsi="mylotus"/>
          <w:sz w:val="32"/>
          <w:rtl/>
        </w:rPr>
        <w:t xml:space="preserve"> </w:t>
      </w:r>
      <w:r w:rsidRPr="00F27422">
        <w:rPr>
          <w:rFonts w:ascii="mylotus" w:hAnsi="mylotus" w:hint="cs"/>
          <w:sz w:val="32"/>
          <w:rtl/>
        </w:rPr>
        <w:t>وإنْ</w:t>
      </w:r>
      <w:r w:rsidRPr="00F27422">
        <w:rPr>
          <w:rFonts w:ascii="mylotus" w:hAnsi="mylotus"/>
          <w:sz w:val="32"/>
          <w:rtl/>
        </w:rPr>
        <w:t xml:space="preserve"> </w:t>
      </w:r>
      <w:r w:rsidRPr="00F27422">
        <w:rPr>
          <w:rFonts w:ascii="mylotus" w:hAnsi="mylotus" w:hint="cs"/>
          <w:sz w:val="32"/>
          <w:rtl/>
        </w:rPr>
        <w:t>كانت</w:t>
      </w:r>
      <w:r w:rsidRPr="00F27422">
        <w:rPr>
          <w:rFonts w:ascii="mylotus" w:hAnsi="mylotus"/>
          <w:sz w:val="32"/>
          <w:rtl/>
        </w:rPr>
        <w:t xml:space="preserve"> </w:t>
      </w:r>
      <w:r w:rsidRPr="00F27422">
        <w:rPr>
          <w:rFonts w:ascii="mylotus" w:hAnsi="mylotus" w:hint="cs"/>
          <w:sz w:val="32"/>
          <w:rtl/>
        </w:rPr>
        <w:t>بيد</w:t>
      </w:r>
      <w:r w:rsidRPr="00F27422">
        <w:rPr>
          <w:rFonts w:ascii="mylotus" w:hAnsi="mylotus"/>
          <w:sz w:val="32"/>
          <w:rtl/>
        </w:rPr>
        <w:t xml:space="preserve"> </w:t>
      </w:r>
      <w:r w:rsidRPr="00F27422">
        <w:rPr>
          <w:rFonts w:ascii="mylotus" w:hAnsi="mylotus" w:hint="cs"/>
          <w:sz w:val="32"/>
          <w:rtl/>
        </w:rPr>
        <w:t>ثا</w:t>
      </w:r>
      <w:r w:rsidRPr="00F27422">
        <w:rPr>
          <w:rFonts w:ascii="mylotus" w:hAnsi="mylotus"/>
          <w:sz w:val="32"/>
          <w:rtl/>
        </w:rPr>
        <w:t xml:space="preserve">لث فعليه أنْ يأخذها ويسلمها للمستأجر، مما يكون منبهاً على أنّ المستند في وجوب التسليم ليس قاعدة </w:t>
      </w:r>
      <w:proofErr w:type="gramStart"/>
      <w:r w:rsidRPr="00F27422">
        <w:rPr>
          <w:rFonts w:ascii="mylotus" w:hAnsi="mylotus"/>
          <w:sz w:val="32"/>
          <w:rtl/>
        </w:rPr>
        <w:t>السلطنة</w:t>
      </w:r>
      <w:proofErr w:type="gramEnd"/>
      <w:r w:rsidRPr="00F27422">
        <w:rPr>
          <w:rFonts w:ascii="mylotus" w:hAnsi="mylotus"/>
          <w:sz w:val="32"/>
          <w:rtl/>
        </w:rPr>
        <w:t xml:space="preserve"> بل المستند شيءٌ آخر</w:t>
      </w:r>
      <w:r w:rsidRPr="00F27422">
        <w:rPr>
          <w:rFonts w:ascii="mylotus" w:hAnsi="mylotus"/>
          <w:sz w:val="32"/>
        </w:rPr>
        <w:t>.</w:t>
      </w:r>
    </w:p>
    <w:p w14:paraId="3F92B541"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 xml:space="preserve">ولكن الصحيح ما أفاده المحقّق الأصفهاني (قدس سره) مِن أنّ مقتضى قاعدة السلطنة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سلطنة</w:t>
      </w:r>
      <w:r w:rsidRPr="00F27422">
        <w:rPr>
          <w:rFonts w:ascii="mylotus" w:hAnsi="mylotus"/>
          <w:sz w:val="32"/>
          <w:rtl/>
        </w:rPr>
        <w:t xml:space="preserve"> </w:t>
      </w:r>
      <w:r w:rsidRPr="00F27422">
        <w:rPr>
          <w:rFonts w:ascii="mylotus" w:hAnsi="mylotus" w:hint="cs"/>
          <w:sz w:val="32"/>
          <w:rtl/>
        </w:rPr>
        <w:t>المالك</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ملكه</w:t>
      </w:r>
      <w:r w:rsidRPr="00F27422">
        <w:rPr>
          <w:rFonts w:ascii="mylotus" w:hAnsi="mylotus"/>
          <w:sz w:val="32"/>
          <w:rtl/>
        </w:rPr>
        <w:t xml:space="preserve"> -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ليس</w:t>
      </w:r>
      <w:r w:rsidRPr="00F27422">
        <w:rPr>
          <w:rFonts w:ascii="mylotus" w:hAnsi="mylotus"/>
          <w:sz w:val="32"/>
          <w:rtl/>
        </w:rPr>
        <w:t xml:space="preserve"> </w:t>
      </w:r>
      <w:r w:rsidRPr="00F27422">
        <w:rPr>
          <w:rFonts w:ascii="mylotus" w:hAnsi="mylotus" w:hint="cs"/>
          <w:sz w:val="32"/>
          <w:rtl/>
        </w:rPr>
        <w:t>لمن</w:t>
      </w:r>
      <w:r w:rsidRPr="00F27422">
        <w:rPr>
          <w:rFonts w:ascii="mylotus" w:hAnsi="mylotus"/>
          <w:sz w:val="32"/>
          <w:rtl/>
        </w:rPr>
        <w:t xml:space="preserve"> </w:t>
      </w:r>
      <w:r w:rsidRPr="00F27422">
        <w:rPr>
          <w:rFonts w:ascii="mylotus" w:hAnsi="mylotus" w:hint="cs"/>
          <w:sz w:val="32"/>
          <w:rtl/>
        </w:rPr>
        <w:t>بيده</w:t>
      </w:r>
      <w:r w:rsidRPr="00F27422">
        <w:rPr>
          <w:rFonts w:ascii="mylotus" w:hAnsi="mylotus"/>
          <w:sz w:val="32"/>
          <w:rtl/>
        </w:rPr>
        <w:t xml:space="preserve"> </w:t>
      </w:r>
      <w:r w:rsidRPr="00F27422">
        <w:rPr>
          <w:rFonts w:ascii="mylotus" w:hAnsi="mylotus" w:hint="cs"/>
          <w:sz w:val="32"/>
          <w:rtl/>
        </w:rPr>
        <w:t>المال</w:t>
      </w:r>
      <w:r w:rsidRPr="00F27422">
        <w:rPr>
          <w:rFonts w:ascii="mylotus" w:hAnsi="mylotus"/>
          <w:sz w:val="32"/>
          <w:rtl/>
        </w:rPr>
        <w:t xml:space="preserve"> </w:t>
      </w:r>
      <w:r w:rsidRPr="00F27422">
        <w:rPr>
          <w:rFonts w:ascii="mylotus" w:hAnsi="mylotus" w:hint="cs"/>
          <w:sz w:val="32"/>
          <w:rtl/>
        </w:rPr>
        <w:t>ا</w:t>
      </w:r>
      <w:r w:rsidRPr="00F27422">
        <w:rPr>
          <w:rFonts w:ascii="mylotus" w:hAnsi="mylotus"/>
          <w:sz w:val="32"/>
          <w:rtl/>
        </w:rPr>
        <w:t>لتخلف عن فورية الأداء؛ لعدمِ كونه مستأمناً على العين مِن قِبل المالك</w:t>
      </w:r>
      <w:r w:rsidRPr="00F27422">
        <w:rPr>
          <w:rFonts w:ascii="mylotus" w:hAnsi="mylotus"/>
          <w:sz w:val="32"/>
        </w:rPr>
        <w:t>.</w:t>
      </w:r>
    </w:p>
    <w:p w14:paraId="7A404E69"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فلو كانت العين بيد الُمستأجر أو الُمؤجّر لزمه الأداء</w:t>
      </w:r>
      <w:r w:rsidRPr="00F27422">
        <w:rPr>
          <w:rFonts w:ascii="mylotus" w:hAnsi="mylotus"/>
          <w:sz w:val="32"/>
        </w:rPr>
        <w:t>.</w:t>
      </w:r>
    </w:p>
    <w:p w14:paraId="100CFD25"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 xml:space="preserve">وإنْ كانت بيد ثالثٍ، فإن استند كونها في يد الثالث للمُؤجّر أو كان انتزاعها منه مقدورا له فهي ما زالت بيده وإنْ كانت حساً تحت يد الثالث؛ لأنّ اليد الحسيّة لا موضوعية لها في الحكم بوجوب </w:t>
      </w:r>
      <w:proofErr w:type="gramStart"/>
      <w:r w:rsidRPr="00F27422">
        <w:rPr>
          <w:rFonts w:ascii="mylotus" w:hAnsi="mylotus"/>
          <w:sz w:val="32"/>
          <w:rtl/>
        </w:rPr>
        <w:t>الرد ؛</w:t>
      </w:r>
      <w:proofErr w:type="gramEnd"/>
      <w:r w:rsidRPr="00F27422">
        <w:rPr>
          <w:rFonts w:ascii="mylotus" w:hAnsi="mylotus"/>
          <w:sz w:val="32"/>
          <w:rtl/>
        </w:rPr>
        <w:t xml:space="preserve"> وإنّما الموضوع أنْ تكون تحت سلطنته واستيلائه ولو بالقدرة على انتزاعها، فمقتضى سلطنة المالك على مِلكه أنّه متى طالب بملكه لزم على مَن لديه القدرة على الأداء أنْ يسلّم المال فوراً</w:t>
      </w:r>
      <w:r w:rsidRPr="00F27422">
        <w:rPr>
          <w:rFonts w:ascii="mylotus" w:hAnsi="mylotus"/>
          <w:sz w:val="32"/>
        </w:rPr>
        <w:t>.</w:t>
      </w:r>
    </w:p>
    <w:p w14:paraId="5D58369A" w14:textId="77777777" w:rsidR="00E3275E" w:rsidRPr="00F27422" w:rsidRDefault="00E3275E" w:rsidP="00122B70">
      <w:pPr>
        <w:pStyle w:val="a"/>
        <w:widowControl w:val="0"/>
        <w:bidi/>
        <w:spacing w:line="216" w:lineRule="auto"/>
        <w:jc w:val="left"/>
        <w:rPr>
          <w:rFonts w:ascii="mylotus" w:hAnsi="mylotus"/>
          <w:sz w:val="32"/>
          <w:rtl/>
        </w:rPr>
      </w:pPr>
      <w:r w:rsidRPr="00F27422">
        <w:rPr>
          <w:rFonts w:ascii="mylotus" w:hAnsi="mylotus"/>
          <w:sz w:val="32"/>
          <w:rtl/>
        </w:rPr>
        <w:t>وأمّا لو كانت العين بيدِ ثالثٍ لا استناداً إلى المالك ولا</w:t>
      </w:r>
      <w:r w:rsidRPr="00F27422">
        <w:rPr>
          <w:rFonts w:ascii="mylotus" w:hAnsi="mylotus" w:hint="cs"/>
          <w:sz w:val="32"/>
          <w:rtl/>
        </w:rPr>
        <w:t xml:space="preserve"> </w:t>
      </w:r>
      <w:r w:rsidRPr="00F27422">
        <w:rPr>
          <w:rFonts w:ascii="mylotus" w:hAnsi="mylotus"/>
          <w:sz w:val="32"/>
          <w:rtl/>
        </w:rPr>
        <w:t>قدرة له على انتزاعها، كما لو كان ظالماً، فهنا لا يجبُ على المُؤجّر التسليم، بل هو والمُستأجر على حدٍ سواء في هذا الحكم</w:t>
      </w:r>
      <w:r w:rsidRPr="00F27422">
        <w:rPr>
          <w:rFonts w:ascii="mylotus" w:hAnsi="mylotus"/>
          <w:sz w:val="32"/>
        </w:rPr>
        <w:t>.</w:t>
      </w:r>
    </w:p>
    <w:p w14:paraId="1C339AB3" w14:textId="77777777" w:rsidR="00E3275E" w:rsidRPr="00F27422" w:rsidRDefault="00E3275E" w:rsidP="00122B70">
      <w:pPr>
        <w:pStyle w:val="a"/>
        <w:widowControl w:val="0"/>
        <w:bidi/>
        <w:spacing w:line="216" w:lineRule="auto"/>
        <w:jc w:val="left"/>
        <w:rPr>
          <w:rFonts w:ascii="mylotus" w:hAnsi="mylotus"/>
          <w:b/>
          <w:bCs/>
          <w:sz w:val="32"/>
          <w:rtl/>
        </w:rPr>
      </w:pPr>
      <w:r w:rsidRPr="00F27422">
        <w:rPr>
          <w:rFonts w:ascii="mylotus" w:hAnsi="mylotus"/>
          <w:sz w:val="32"/>
          <w:rtl/>
        </w:rPr>
        <w:t>فلا يصلح ما ذُكر منبهاً على عدم اقتضاء قاعدة السلطنة لوجوب التسليم، وأنّ غاية ما تقتضيه حرمةُ المنع والحجر.</w:t>
      </w:r>
    </w:p>
    <w:p w14:paraId="02C275F6" w14:textId="77777777" w:rsidR="00E3275E" w:rsidRPr="00F27422" w:rsidRDefault="00E3275E" w:rsidP="00122B70">
      <w:pPr>
        <w:pStyle w:val="a"/>
        <w:bidi/>
        <w:spacing w:line="216" w:lineRule="auto"/>
        <w:jc w:val="left"/>
        <w:rPr>
          <w:rFonts w:ascii="mylotus" w:hAnsi="mylotus"/>
          <w:b/>
          <w:bCs/>
          <w:sz w:val="32"/>
        </w:rPr>
      </w:pPr>
      <w:r w:rsidRPr="00F27422">
        <w:rPr>
          <w:rFonts w:ascii="mylotus" w:hAnsi="mylotus"/>
          <w:b/>
          <w:bCs/>
          <w:sz w:val="32"/>
          <w:rtl/>
        </w:rPr>
        <w:t xml:space="preserve">والحمد لله رب العالمين </w:t>
      </w:r>
    </w:p>
    <w:p w14:paraId="121BD13E" w14:textId="77777777" w:rsidR="008954B5" w:rsidRPr="00F27422" w:rsidRDefault="008954B5" w:rsidP="00122B70">
      <w:pPr>
        <w:bidi/>
        <w:rPr>
          <w:sz w:val="32"/>
          <w:szCs w:val="32"/>
          <w:rtl/>
        </w:rPr>
      </w:pPr>
    </w:p>
    <w:p w14:paraId="52EA2860" w14:textId="77777777" w:rsidR="00E3275E" w:rsidRPr="00F27422" w:rsidRDefault="00E3275E" w:rsidP="00122B70">
      <w:pPr>
        <w:bidi/>
        <w:rPr>
          <w:sz w:val="32"/>
          <w:szCs w:val="32"/>
          <w:rtl/>
        </w:rPr>
      </w:pPr>
    </w:p>
    <w:p w14:paraId="52CC0CD5" w14:textId="59A1F54F" w:rsidR="00E3275E" w:rsidRPr="00F27422" w:rsidRDefault="00E3275E" w:rsidP="00122B70">
      <w:pPr>
        <w:pStyle w:val="Heading3"/>
        <w:bidi/>
        <w:rPr>
          <w:sz w:val="32"/>
          <w:szCs w:val="32"/>
          <w:rtl/>
        </w:rPr>
      </w:pPr>
      <w:r w:rsidRPr="00F27422">
        <w:rPr>
          <w:rFonts w:hint="cs"/>
          <w:sz w:val="32"/>
          <w:szCs w:val="32"/>
          <w:rtl/>
        </w:rPr>
        <w:lastRenderedPageBreak/>
        <w:t>093</w:t>
      </w:r>
    </w:p>
    <w:p w14:paraId="3A89C4DF"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b/>
          <w:bCs/>
          <w:sz w:val="32"/>
          <w:rtl/>
        </w:rPr>
        <w:t>بسم الله الرحمن الرحيم</w:t>
      </w:r>
    </w:p>
    <w:p w14:paraId="52526C43"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b/>
          <w:bCs/>
          <w:sz w:val="32"/>
          <w:rtl/>
        </w:rPr>
        <w:t>والصلاة والسلام على أشرف الأنبياء والمرسلين، محمد وآله الطيبين الطاهرين</w:t>
      </w:r>
    </w:p>
    <w:p w14:paraId="3F102A98" w14:textId="77777777" w:rsidR="00DD7989" w:rsidRPr="00F27422" w:rsidRDefault="00DD7989" w:rsidP="00122B70">
      <w:pPr>
        <w:pStyle w:val="a"/>
        <w:bidi/>
        <w:spacing w:line="216" w:lineRule="auto"/>
        <w:jc w:val="left"/>
        <w:rPr>
          <w:rFonts w:ascii="mylotus" w:hAnsi="mylotus"/>
          <w:sz w:val="32"/>
          <w:rtl/>
        </w:rPr>
      </w:pPr>
      <w:r w:rsidRPr="00F27422">
        <w:rPr>
          <w:rFonts w:ascii="mylotus" w:hAnsi="mylotus"/>
          <w:b/>
          <w:bCs/>
          <w:sz w:val="32"/>
          <w:rtl/>
        </w:rPr>
        <w:t>واللعن الدائم على أعدائهم أجمعين إلى قيام يوم الدين</w:t>
      </w:r>
    </w:p>
    <w:p w14:paraId="6A3EE467" w14:textId="77777777" w:rsidR="00DD7989" w:rsidRPr="00F27422" w:rsidRDefault="00DD7989" w:rsidP="00122B70">
      <w:pPr>
        <w:pStyle w:val="a"/>
        <w:bidi/>
        <w:spacing w:line="216" w:lineRule="auto"/>
        <w:jc w:val="left"/>
        <w:rPr>
          <w:rFonts w:ascii="mylotus" w:hAnsi="mylotus"/>
          <w:sz w:val="32"/>
          <w:rtl/>
        </w:rPr>
      </w:pPr>
    </w:p>
    <w:p w14:paraId="09CD45CC" w14:textId="77777777" w:rsidR="00DD7989" w:rsidRPr="00F27422" w:rsidRDefault="00DD7989" w:rsidP="00122B70">
      <w:pPr>
        <w:pStyle w:val="a"/>
        <w:bidi/>
        <w:spacing w:line="216" w:lineRule="auto"/>
        <w:jc w:val="left"/>
        <w:rPr>
          <w:rFonts w:ascii="mylotus" w:hAnsi="mylotus"/>
          <w:sz w:val="32"/>
          <w:rtl/>
        </w:rPr>
      </w:pPr>
      <w:r w:rsidRPr="00F27422">
        <w:rPr>
          <w:rFonts w:ascii="mylotus" w:hAnsi="mylotus"/>
          <w:b/>
          <w:bCs/>
          <w:sz w:val="32"/>
          <w:rtl/>
        </w:rPr>
        <w:t>الوجهُ الثاني:</w:t>
      </w:r>
      <w:r w:rsidRPr="00F27422">
        <w:rPr>
          <w:rFonts w:ascii="mylotus" w:hAnsi="mylotus"/>
          <w:sz w:val="32"/>
          <w:rtl/>
        </w:rPr>
        <w:t xml:space="preserve"> - في مدرك وجوب التسليم - ما ذكره سيدنا الخوئي (قدس سره الشريف) في كتاب الإجارة من موسوعته المباركة</w:t>
      </w:r>
      <w:r w:rsidRPr="00F27422">
        <w:rPr>
          <w:rStyle w:val="FootnoteReference"/>
          <w:rFonts w:ascii="mylotus" w:hAnsi="mylotus"/>
          <w:sz w:val="32"/>
          <w:rtl/>
        </w:rPr>
        <w:footnoteReference w:id="162"/>
      </w:r>
      <w:r w:rsidRPr="00F27422">
        <w:rPr>
          <w:rFonts w:ascii="mylotus" w:hAnsi="mylotus"/>
          <w:sz w:val="32"/>
          <w:rtl/>
        </w:rPr>
        <w:t xml:space="preserve"> بقوله: </w:t>
      </w:r>
      <w:r w:rsidRPr="00F27422">
        <w:rPr>
          <w:rFonts w:ascii="mylotus" w:hAnsi="mylotus"/>
          <w:b/>
          <w:bCs/>
          <w:sz w:val="32"/>
          <w:rtl/>
        </w:rPr>
        <w:t xml:space="preserve">(وهذا واضح، لاعتبار التسليم من الجانبين في كافّة العقود المعاوضيّة ومنها الإجارة بمقتضى الشرط الضمني الارتكازي، بل أنّ مفهوم المعاوضة المعبّر عنها بالفارسيّة بـ: (داد </w:t>
      </w:r>
      <w:proofErr w:type="gramStart"/>
      <w:r w:rsidRPr="00F27422">
        <w:rPr>
          <w:rFonts w:ascii="mylotus" w:hAnsi="mylotus"/>
          <w:b/>
          <w:bCs/>
          <w:sz w:val="32"/>
          <w:rtl/>
        </w:rPr>
        <w:t xml:space="preserve">و </w:t>
      </w:r>
      <w:proofErr w:type="spellStart"/>
      <w:r w:rsidRPr="00F27422">
        <w:rPr>
          <w:rFonts w:ascii="mylotus" w:hAnsi="mylotus"/>
          <w:b/>
          <w:bCs/>
          <w:sz w:val="32"/>
          <w:rtl/>
        </w:rPr>
        <w:t>ستد</w:t>
      </w:r>
      <w:proofErr w:type="spellEnd"/>
      <w:proofErr w:type="gramEnd"/>
      <w:r w:rsidRPr="00F27422">
        <w:rPr>
          <w:rFonts w:ascii="mylotus" w:hAnsi="mylotus"/>
          <w:b/>
          <w:bCs/>
          <w:sz w:val="32"/>
          <w:rtl/>
        </w:rPr>
        <w:t>) - أي الأخذ والإعطاء - متقوّم بذلك، أي بالاقتران بين التسليم والتسلّم الخارجي، ولا يكفي فيها مجرّد التمليك والتملّك العاريّين عن القبض والإقباض. إذن فليس لأحدهما مع امتناعه عن التسليم مطالبة الآخر.)</w:t>
      </w:r>
      <w:r w:rsidRPr="00F27422">
        <w:rPr>
          <w:rFonts w:ascii="mylotus" w:hAnsi="mylotus"/>
          <w:sz w:val="32"/>
          <w:rtl/>
        </w:rPr>
        <w:t xml:space="preserve"> بالتسليم </w:t>
      </w:r>
      <w:r w:rsidRPr="00F27422">
        <w:rPr>
          <w:rFonts w:ascii="mylotus" w:hAnsi="mylotus"/>
          <w:b/>
          <w:bCs/>
          <w:sz w:val="32"/>
          <w:rtl/>
        </w:rPr>
        <w:t>(وهذا ظاهر لا غبار عليه)</w:t>
      </w:r>
      <w:r w:rsidRPr="00F27422">
        <w:rPr>
          <w:rFonts w:ascii="mylotus" w:hAnsi="mylotus"/>
          <w:b/>
          <w:bCs/>
          <w:sz w:val="32"/>
        </w:rPr>
        <w:t>.</w:t>
      </w:r>
    </w:p>
    <w:p w14:paraId="22FB58AF"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b/>
          <w:bCs/>
          <w:sz w:val="32"/>
          <w:rtl/>
        </w:rPr>
        <w:t>ويلاحظُ عليه</w:t>
      </w:r>
      <w:r w:rsidRPr="00F27422">
        <w:rPr>
          <w:rFonts w:ascii="mylotus" w:hAnsi="mylotus"/>
          <w:b/>
          <w:bCs/>
          <w:sz w:val="32"/>
        </w:rPr>
        <w:t>:</w:t>
      </w:r>
    </w:p>
    <w:p w14:paraId="1F86068C" w14:textId="77777777" w:rsidR="00DD7989" w:rsidRPr="00F27422" w:rsidRDefault="00DD7989" w:rsidP="00122B70">
      <w:pPr>
        <w:pStyle w:val="a"/>
        <w:bidi/>
        <w:spacing w:line="216" w:lineRule="auto"/>
        <w:jc w:val="left"/>
        <w:rPr>
          <w:rFonts w:ascii="mylotus" w:hAnsi="mylotus"/>
          <w:sz w:val="32"/>
          <w:rtl/>
        </w:rPr>
      </w:pPr>
      <w:r w:rsidRPr="00F27422">
        <w:rPr>
          <w:rFonts w:ascii="mylotus" w:hAnsi="mylotus"/>
          <w:b/>
          <w:bCs/>
          <w:sz w:val="32"/>
          <w:rtl/>
        </w:rPr>
        <w:t xml:space="preserve">أوّلاً: </w:t>
      </w:r>
      <w:r w:rsidRPr="00F27422">
        <w:rPr>
          <w:rFonts w:ascii="mylotus" w:hAnsi="mylotus"/>
          <w:sz w:val="32"/>
          <w:rtl/>
        </w:rPr>
        <w:t>أنّ هناك فرقاً بين استناد وجوب التسليم للشرط الارتكازي واستناد وجوب التسليم لمقتضى المعاوضة</w:t>
      </w:r>
      <w:r w:rsidRPr="00F27422">
        <w:rPr>
          <w:rFonts w:ascii="mylotus" w:hAnsi="mylotus"/>
          <w:sz w:val="32"/>
        </w:rPr>
        <w:t>.</w:t>
      </w:r>
    </w:p>
    <w:p w14:paraId="73B5DB95" w14:textId="77777777" w:rsidR="00DD7989" w:rsidRPr="00F27422" w:rsidRDefault="00DD7989" w:rsidP="00122B70">
      <w:pPr>
        <w:pStyle w:val="a"/>
        <w:bidi/>
        <w:spacing w:line="216" w:lineRule="auto"/>
        <w:jc w:val="left"/>
        <w:rPr>
          <w:rFonts w:ascii="mylotus" w:hAnsi="mylotus"/>
          <w:sz w:val="32"/>
          <w:rtl/>
        </w:rPr>
      </w:pPr>
      <w:r w:rsidRPr="00F27422">
        <w:rPr>
          <w:rFonts w:ascii="mylotus" w:hAnsi="mylotus"/>
          <w:b/>
          <w:bCs/>
          <w:sz w:val="32"/>
          <w:rtl/>
        </w:rPr>
        <w:t>فإنّه بناءً على الأوّل</w:t>
      </w:r>
      <w:r w:rsidRPr="00F27422">
        <w:rPr>
          <w:rFonts w:ascii="mylotus" w:hAnsi="mylotus"/>
          <w:sz w:val="32"/>
          <w:rtl/>
        </w:rPr>
        <w:t xml:space="preserve">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استناد</w:t>
      </w:r>
      <w:r w:rsidRPr="00F27422">
        <w:rPr>
          <w:rFonts w:ascii="mylotus" w:hAnsi="mylotus"/>
          <w:sz w:val="32"/>
          <w:rtl/>
        </w:rPr>
        <w:t xml:space="preserve"> </w:t>
      </w:r>
      <w:r w:rsidRPr="00F27422">
        <w:rPr>
          <w:rFonts w:ascii="mylotus" w:hAnsi="mylotus" w:hint="cs"/>
          <w:sz w:val="32"/>
          <w:rtl/>
        </w:rPr>
        <w:t>وجوب</w:t>
      </w:r>
      <w:r w:rsidRPr="00F27422">
        <w:rPr>
          <w:rFonts w:ascii="mylotus" w:hAnsi="mylotus"/>
          <w:sz w:val="32"/>
          <w:rtl/>
        </w:rPr>
        <w:t xml:space="preserve"> </w:t>
      </w:r>
      <w:r w:rsidRPr="00F27422">
        <w:rPr>
          <w:rFonts w:ascii="mylotus" w:hAnsi="mylotus" w:hint="cs"/>
          <w:sz w:val="32"/>
          <w:rtl/>
        </w:rPr>
        <w:t>التسليم</w:t>
      </w:r>
      <w:r w:rsidRPr="00F27422">
        <w:rPr>
          <w:rFonts w:ascii="mylotus" w:hAnsi="mylotus"/>
          <w:sz w:val="32"/>
          <w:rtl/>
        </w:rPr>
        <w:t xml:space="preserve"> </w:t>
      </w:r>
      <w:r w:rsidRPr="00F27422">
        <w:rPr>
          <w:rFonts w:ascii="mylotus" w:hAnsi="mylotus" w:hint="cs"/>
          <w:sz w:val="32"/>
          <w:rtl/>
        </w:rPr>
        <w:t>للشرط</w:t>
      </w:r>
      <w:r w:rsidRPr="00F27422">
        <w:rPr>
          <w:rFonts w:ascii="mylotus" w:hAnsi="mylotus"/>
          <w:sz w:val="32"/>
          <w:rtl/>
        </w:rPr>
        <w:t xml:space="preserve"> </w:t>
      </w:r>
      <w:r w:rsidRPr="00F27422">
        <w:rPr>
          <w:rFonts w:ascii="mylotus" w:hAnsi="mylotus" w:hint="cs"/>
          <w:sz w:val="32"/>
          <w:rtl/>
        </w:rPr>
        <w:t>الارتكازي</w:t>
      </w:r>
      <w:r w:rsidRPr="00F27422">
        <w:rPr>
          <w:rFonts w:ascii="mylotus" w:hAnsi="mylotus"/>
          <w:sz w:val="32"/>
          <w:rtl/>
        </w:rPr>
        <w:t xml:space="preserve">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الذي</w:t>
      </w:r>
      <w:r w:rsidRPr="00F27422">
        <w:rPr>
          <w:rFonts w:ascii="mylotus" w:hAnsi="mylotus"/>
          <w:sz w:val="32"/>
          <w:rtl/>
        </w:rPr>
        <w:t xml:space="preserve"> </w:t>
      </w:r>
      <w:r w:rsidRPr="00F27422">
        <w:rPr>
          <w:rFonts w:ascii="mylotus" w:hAnsi="mylotus" w:hint="cs"/>
          <w:sz w:val="32"/>
          <w:rtl/>
        </w:rPr>
        <w:t>يعني</w:t>
      </w:r>
      <w:r w:rsidRPr="00F27422">
        <w:rPr>
          <w:rFonts w:ascii="mylotus" w:hAnsi="mylotus"/>
          <w:sz w:val="32"/>
          <w:rtl/>
        </w:rPr>
        <w:t xml:space="preserve">: </w:t>
      </w:r>
      <w:proofErr w:type="gramStart"/>
      <w:r w:rsidRPr="00F27422">
        <w:rPr>
          <w:rFonts w:ascii="mylotus" w:hAnsi="mylotus" w:hint="cs"/>
          <w:sz w:val="32"/>
          <w:rtl/>
        </w:rPr>
        <w:t>اشتراط</w:t>
      </w:r>
      <w:r w:rsidRPr="00F27422">
        <w:rPr>
          <w:rFonts w:ascii="mylotus" w:hAnsi="mylotus"/>
          <w:sz w:val="32"/>
          <w:rtl/>
        </w:rPr>
        <w:t xml:space="preserve">  </w:t>
      </w:r>
      <w:r w:rsidRPr="00F27422">
        <w:rPr>
          <w:rFonts w:ascii="mylotus" w:hAnsi="mylotus" w:hint="cs"/>
          <w:sz w:val="32"/>
          <w:rtl/>
        </w:rPr>
        <w:t>التسليم</w:t>
      </w:r>
      <w:proofErr w:type="gramEnd"/>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كلٍّ</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المتعاملين،</w:t>
      </w:r>
      <w:r w:rsidRPr="00F27422">
        <w:rPr>
          <w:rFonts w:ascii="mylotus" w:hAnsi="mylotus"/>
          <w:sz w:val="32"/>
          <w:rtl/>
        </w:rPr>
        <w:t xml:space="preserve"> </w:t>
      </w:r>
      <w:r w:rsidRPr="00F27422">
        <w:rPr>
          <w:rFonts w:ascii="mylotus" w:hAnsi="mylotus" w:hint="cs"/>
          <w:sz w:val="32"/>
          <w:rtl/>
        </w:rPr>
        <w:t>فإنّ</w:t>
      </w:r>
      <w:r w:rsidRPr="00F27422">
        <w:rPr>
          <w:rFonts w:ascii="mylotus" w:hAnsi="mylotus"/>
          <w:sz w:val="32"/>
          <w:rtl/>
        </w:rPr>
        <w:t xml:space="preserve"> </w:t>
      </w:r>
      <w:r w:rsidRPr="00F27422">
        <w:rPr>
          <w:rFonts w:ascii="mylotus" w:hAnsi="mylotus" w:hint="cs"/>
          <w:sz w:val="32"/>
          <w:rtl/>
        </w:rPr>
        <w:t>مقتضاه</w:t>
      </w:r>
      <w:r w:rsidRPr="00F27422">
        <w:rPr>
          <w:rFonts w:ascii="mylotus" w:hAnsi="mylotus"/>
          <w:sz w:val="32"/>
          <w:rtl/>
        </w:rPr>
        <w:t xml:space="preserve"> </w:t>
      </w:r>
      <w:r w:rsidRPr="00F27422">
        <w:rPr>
          <w:rFonts w:ascii="mylotus" w:hAnsi="mylotus" w:hint="cs"/>
          <w:sz w:val="32"/>
          <w:rtl/>
        </w:rPr>
        <w:t>عند</w:t>
      </w:r>
      <w:r w:rsidRPr="00F27422">
        <w:rPr>
          <w:rFonts w:ascii="mylotus" w:hAnsi="mylotus"/>
          <w:sz w:val="32"/>
          <w:rtl/>
        </w:rPr>
        <w:t xml:space="preserve"> </w:t>
      </w:r>
      <w:r w:rsidRPr="00F27422">
        <w:rPr>
          <w:rFonts w:ascii="mylotus" w:hAnsi="mylotus" w:hint="cs"/>
          <w:sz w:val="32"/>
          <w:rtl/>
        </w:rPr>
        <w:t>الامتناع</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يثبت</w:t>
      </w:r>
      <w:r w:rsidRPr="00F27422">
        <w:rPr>
          <w:rFonts w:ascii="mylotus" w:hAnsi="mylotus"/>
          <w:sz w:val="32"/>
          <w:rtl/>
        </w:rPr>
        <w:t xml:space="preserve"> </w:t>
      </w:r>
      <w:r w:rsidRPr="00F27422">
        <w:rPr>
          <w:rFonts w:ascii="mylotus" w:hAnsi="mylotus" w:hint="cs"/>
          <w:sz w:val="32"/>
          <w:rtl/>
        </w:rPr>
        <w:t>للآخر</w:t>
      </w:r>
      <w:r w:rsidRPr="00F27422">
        <w:rPr>
          <w:rFonts w:ascii="mylotus" w:hAnsi="mylotus"/>
          <w:sz w:val="32"/>
          <w:rtl/>
        </w:rPr>
        <w:t xml:space="preserve"> </w:t>
      </w:r>
      <w:r w:rsidRPr="00F27422">
        <w:rPr>
          <w:rFonts w:ascii="mylotus" w:hAnsi="mylotus" w:hint="cs"/>
          <w:sz w:val="32"/>
          <w:rtl/>
        </w:rPr>
        <w:t>حقُّ</w:t>
      </w:r>
      <w:r w:rsidRPr="00F27422">
        <w:rPr>
          <w:rFonts w:ascii="mylotus" w:hAnsi="mylotus"/>
          <w:sz w:val="32"/>
          <w:rtl/>
        </w:rPr>
        <w:t xml:space="preserve"> </w:t>
      </w:r>
      <w:r w:rsidRPr="00F27422">
        <w:rPr>
          <w:rFonts w:ascii="mylotus" w:hAnsi="mylotus" w:hint="cs"/>
          <w:sz w:val="32"/>
          <w:rtl/>
        </w:rPr>
        <w:t>إجباره</w:t>
      </w:r>
      <w:r w:rsidRPr="00F27422">
        <w:rPr>
          <w:rFonts w:ascii="mylotus" w:hAnsi="mylotus"/>
          <w:sz w:val="32"/>
          <w:rtl/>
        </w:rPr>
        <w:t xml:space="preserve"> </w:t>
      </w:r>
      <w:r w:rsidRPr="00F27422">
        <w:rPr>
          <w:rFonts w:ascii="mylotus" w:hAnsi="mylotus" w:hint="cs"/>
          <w:sz w:val="32"/>
          <w:rtl/>
        </w:rPr>
        <w:t>على</w:t>
      </w:r>
      <w:r w:rsidRPr="00F27422">
        <w:rPr>
          <w:rFonts w:ascii="mylotus" w:hAnsi="mylotus"/>
          <w:sz w:val="32"/>
          <w:rtl/>
        </w:rPr>
        <w:t xml:space="preserve"> </w:t>
      </w:r>
      <w:r w:rsidRPr="00F27422">
        <w:rPr>
          <w:rFonts w:ascii="mylotus" w:hAnsi="mylotus" w:hint="cs"/>
          <w:sz w:val="32"/>
          <w:rtl/>
        </w:rPr>
        <w:t>التسليم</w:t>
      </w:r>
      <w:r w:rsidRPr="00F27422">
        <w:rPr>
          <w:rFonts w:ascii="mylotus" w:hAnsi="mylotus"/>
          <w:sz w:val="32"/>
          <w:rtl/>
        </w:rPr>
        <w:t xml:space="preserve"> </w:t>
      </w:r>
      <w:r w:rsidRPr="00F27422">
        <w:rPr>
          <w:rFonts w:ascii="mylotus" w:hAnsi="mylotus" w:hint="cs"/>
          <w:sz w:val="32"/>
          <w:rtl/>
        </w:rPr>
        <w:t>عن</w:t>
      </w:r>
      <w:r w:rsidRPr="00F27422">
        <w:rPr>
          <w:rFonts w:ascii="mylotus" w:hAnsi="mylotus"/>
          <w:sz w:val="32"/>
          <w:rtl/>
        </w:rPr>
        <w:t xml:space="preserve"> </w:t>
      </w:r>
      <w:r w:rsidRPr="00F27422">
        <w:rPr>
          <w:rFonts w:ascii="mylotus" w:hAnsi="mylotus" w:hint="cs"/>
          <w:sz w:val="32"/>
          <w:rtl/>
        </w:rPr>
        <w:t>طريق</w:t>
      </w:r>
      <w:r w:rsidRPr="00F27422">
        <w:rPr>
          <w:rFonts w:ascii="mylotus" w:hAnsi="mylotus"/>
          <w:sz w:val="32"/>
          <w:rtl/>
        </w:rPr>
        <w:t xml:space="preserve"> </w:t>
      </w:r>
      <w:r w:rsidRPr="00F27422">
        <w:rPr>
          <w:rFonts w:ascii="mylotus" w:hAnsi="mylotus" w:hint="cs"/>
          <w:sz w:val="32"/>
          <w:rtl/>
        </w:rPr>
        <w:t>الحاكم</w:t>
      </w:r>
      <w:r w:rsidRPr="00F27422">
        <w:rPr>
          <w:rFonts w:ascii="mylotus" w:hAnsi="mylotus"/>
          <w:sz w:val="32"/>
          <w:rtl/>
        </w:rPr>
        <w:t xml:space="preserve"> </w:t>
      </w:r>
      <w:r w:rsidRPr="00F27422">
        <w:rPr>
          <w:rFonts w:ascii="mylotus" w:hAnsi="mylotus" w:hint="cs"/>
          <w:sz w:val="32"/>
          <w:rtl/>
        </w:rPr>
        <w:t>الشرعي،</w:t>
      </w:r>
      <w:r w:rsidRPr="00F27422">
        <w:rPr>
          <w:rFonts w:ascii="mylotus" w:hAnsi="mylotus"/>
          <w:sz w:val="32"/>
          <w:rtl/>
        </w:rPr>
        <w:t xml:space="preserve"> </w:t>
      </w:r>
      <w:r w:rsidRPr="00F27422">
        <w:rPr>
          <w:rFonts w:ascii="mylotus" w:hAnsi="mylotus" w:hint="cs"/>
          <w:sz w:val="32"/>
          <w:rtl/>
        </w:rPr>
        <w:t>أو</w:t>
      </w:r>
      <w:r w:rsidRPr="00F27422">
        <w:rPr>
          <w:rFonts w:ascii="mylotus" w:hAnsi="mylotus"/>
          <w:sz w:val="32"/>
          <w:rtl/>
        </w:rPr>
        <w:t xml:space="preserve"> </w:t>
      </w:r>
      <w:r w:rsidRPr="00F27422">
        <w:rPr>
          <w:rFonts w:ascii="mylotus" w:hAnsi="mylotus" w:hint="cs"/>
          <w:sz w:val="32"/>
          <w:rtl/>
        </w:rPr>
        <w:t>يثبت</w:t>
      </w:r>
      <w:r w:rsidRPr="00F27422">
        <w:rPr>
          <w:rFonts w:ascii="mylotus" w:hAnsi="mylotus"/>
          <w:sz w:val="32"/>
          <w:rtl/>
        </w:rPr>
        <w:t xml:space="preserve"> </w:t>
      </w:r>
      <w:r w:rsidRPr="00F27422">
        <w:rPr>
          <w:rFonts w:ascii="mylotus" w:hAnsi="mylotus" w:hint="cs"/>
          <w:sz w:val="32"/>
          <w:rtl/>
        </w:rPr>
        <w:t>له</w:t>
      </w:r>
      <w:r w:rsidRPr="00F27422">
        <w:rPr>
          <w:rFonts w:ascii="mylotus" w:hAnsi="mylotus"/>
          <w:sz w:val="32"/>
          <w:rtl/>
        </w:rPr>
        <w:t xml:space="preserve"> </w:t>
      </w:r>
      <w:proofErr w:type="gramStart"/>
      <w:r w:rsidRPr="00F27422">
        <w:rPr>
          <w:rFonts w:ascii="mylotus" w:hAnsi="mylotus" w:hint="cs"/>
          <w:sz w:val="32"/>
          <w:rtl/>
        </w:rPr>
        <w:t>الفسخ</w:t>
      </w:r>
      <w:r w:rsidRPr="00F27422">
        <w:rPr>
          <w:rFonts w:ascii="mylotus" w:hAnsi="mylotus"/>
          <w:sz w:val="32"/>
        </w:rPr>
        <w:t xml:space="preserve"> .</w:t>
      </w:r>
      <w:proofErr w:type="gramEnd"/>
    </w:p>
    <w:p w14:paraId="22B5E236" w14:textId="77777777" w:rsidR="00DD7989" w:rsidRPr="00F27422" w:rsidRDefault="00DD7989" w:rsidP="00122B70">
      <w:pPr>
        <w:pStyle w:val="a"/>
        <w:bidi/>
        <w:spacing w:line="216" w:lineRule="auto"/>
        <w:jc w:val="left"/>
        <w:rPr>
          <w:rFonts w:ascii="mylotus" w:hAnsi="mylotus"/>
          <w:sz w:val="32"/>
          <w:rtl/>
        </w:rPr>
      </w:pPr>
      <w:r w:rsidRPr="00F27422">
        <w:rPr>
          <w:rFonts w:ascii="mylotus" w:hAnsi="mylotus"/>
          <w:b/>
          <w:bCs/>
          <w:sz w:val="32"/>
          <w:rtl/>
        </w:rPr>
        <w:t>وأما على الثاني</w:t>
      </w:r>
      <w:r w:rsidRPr="00F27422">
        <w:rPr>
          <w:rFonts w:ascii="mylotus" w:hAnsi="mylotus"/>
          <w:sz w:val="32"/>
          <w:rtl/>
        </w:rPr>
        <w:t xml:space="preserve"> </w:t>
      </w:r>
      <w:r w:rsidRPr="00F27422">
        <w:rPr>
          <w:rFonts w:ascii="Times New Roman" w:hAnsi="Times New Roman" w:cs="Times New Roman" w:hint="cs"/>
          <w:sz w:val="32"/>
          <w:rtl/>
        </w:rPr>
        <w:t>–</w:t>
      </w:r>
      <w:r w:rsidRPr="00F27422">
        <w:rPr>
          <w:rFonts w:ascii="mylotus" w:hAnsi="mylotus"/>
          <w:sz w:val="32"/>
          <w:rtl/>
        </w:rPr>
        <w:t xml:space="preserve"> </w:t>
      </w:r>
      <w:r w:rsidRPr="00F27422">
        <w:rPr>
          <w:rFonts w:ascii="mylotus" w:hAnsi="mylotus" w:hint="cs"/>
          <w:sz w:val="32"/>
          <w:rtl/>
        </w:rPr>
        <w:t>أي</w:t>
      </w:r>
      <w:r w:rsidRPr="00F27422">
        <w:rPr>
          <w:rFonts w:ascii="mylotus" w:hAnsi="mylotus"/>
          <w:sz w:val="32"/>
          <w:rtl/>
        </w:rPr>
        <w:t xml:space="preserve">: </w:t>
      </w:r>
      <w:r w:rsidRPr="00F27422">
        <w:rPr>
          <w:rFonts w:ascii="mylotus" w:hAnsi="mylotus" w:hint="cs"/>
          <w:sz w:val="32"/>
          <w:rtl/>
        </w:rPr>
        <w:t>استناد</w:t>
      </w:r>
      <w:r w:rsidRPr="00F27422">
        <w:rPr>
          <w:rFonts w:ascii="mylotus" w:hAnsi="mylotus"/>
          <w:sz w:val="32"/>
          <w:rtl/>
        </w:rPr>
        <w:t xml:space="preserve"> </w:t>
      </w:r>
      <w:r w:rsidRPr="00F27422">
        <w:rPr>
          <w:rFonts w:ascii="mylotus" w:hAnsi="mylotus" w:hint="cs"/>
          <w:sz w:val="32"/>
          <w:rtl/>
        </w:rPr>
        <w:t>وجوب</w:t>
      </w:r>
      <w:r w:rsidRPr="00F27422">
        <w:rPr>
          <w:rFonts w:ascii="mylotus" w:hAnsi="mylotus"/>
          <w:sz w:val="32"/>
          <w:rtl/>
        </w:rPr>
        <w:t xml:space="preserve"> </w:t>
      </w:r>
      <w:r w:rsidRPr="00F27422">
        <w:rPr>
          <w:rFonts w:ascii="mylotus" w:hAnsi="mylotus" w:hint="cs"/>
          <w:sz w:val="32"/>
          <w:rtl/>
        </w:rPr>
        <w:t>التسليم</w:t>
      </w:r>
      <w:r w:rsidRPr="00F27422">
        <w:rPr>
          <w:rFonts w:ascii="mylotus" w:hAnsi="mylotus"/>
          <w:sz w:val="32"/>
          <w:rtl/>
        </w:rPr>
        <w:t xml:space="preserve"> </w:t>
      </w:r>
      <w:r w:rsidRPr="00F27422">
        <w:rPr>
          <w:rFonts w:ascii="mylotus" w:hAnsi="mylotus" w:hint="cs"/>
          <w:sz w:val="32"/>
          <w:rtl/>
        </w:rPr>
        <w:t>لمقتضى</w:t>
      </w:r>
      <w:r w:rsidRPr="00F27422">
        <w:rPr>
          <w:rFonts w:ascii="mylotus" w:hAnsi="mylotus"/>
          <w:sz w:val="32"/>
          <w:rtl/>
        </w:rPr>
        <w:t xml:space="preserve"> </w:t>
      </w:r>
      <w:r w:rsidRPr="00F27422">
        <w:rPr>
          <w:rFonts w:ascii="mylotus" w:hAnsi="mylotus" w:hint="cs"/>
          <w:sz w:val="32"/>
          <w:rtl/>
        </w:rPr>
        <w:t>المعاوضة</w:t>
      </w:r>
      <w:r w:rsidRPr="00F27422">
        <w:rPr>
          <w:rFonts w:ascii="mylotus" w:hAnsi="mylotus"/>
          <w:sz w:val="32"/>
          <w:rtl/>
        </w:rPr>
        <w:t xml:space="preserve"> - </w:t>
      </w:r>
      <w:r w:rsidRPr="00F27422">
        <w:rPr>
          <w:rFonts w:ascii="mylotus" w:hAnsi="mylotus" w:hint="cs"/>
          <w:sz w:val="32"/>
          <w:rtl/>
        </w:rPr>
        <w:t>فمقتضى</w:t>
      </w:r>
      <w:r w:rsidRPr="00F27422">
        <w:rPr>
          <w:rFonts w:ascii="mylotus" w:hAnsi="mylotus"/>
          <w:sz w:val="32"/>
          <w:rtl/>
        </w:rPr>
        <w:t xml:space="preserve"> </w:t>
      </w:r>
      <w:r w:rsidRPr="00F27422">
        <w:rPr>
          <w:rFonts w:ascii="mylotus" w:hAnsi="mylotus" w:hint="cs"/>
          <w:sz w:val="32"/>
          <w:rtl/>
        </w:rPr>
        <w:t>التخلف</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الانفساخ،</w:t>
      </w:r>
      <w:r w:rsidRPr="00F27422">
        <w:rPr>
          <w:rFonts w:ascii="mylotus" w:hAnsi="mylotus"/>
          <w:sz w:val="32"/>
          <w:rtl/>
        </w:rPr>
        <w:t xml:space="preserve"> </w:t>
      </w:r>
      <w:r w:rsidRPr="00F27422">
        <w:rPr>
          <w:rFonts w:ascii="mylotus" w:hAnsi="mylotus" w:hint="cs"/>
          <w:sz w:val="32"/>
          <w:rtl/>
        </w:rPr>
        <w:t>كما</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مؤدى</w:t>
      </w:r>
      <w:r w:rsidRPr="00F27422">
        <w:rPr>
          <w:rFonts w:ascii="mylotus" w:hAnsi="mylotus"/>
          <w:sz w:val="32"/>
          <w:rtl/>
        </w:rPr>
        <w:t xml:space="preserve"> </w:t>
      </w:r>
      <w:r w:rsidRPr="00F27422">
        <w:rPr>
          <w:rFonts w:ascii="mylotus" w:hAnsi="mylotus" w:hint="cs"/>
          <w:sz w:val="32"/>
          <w:rtl/>
        </w:rPr>
        <w:t>قوله</w:t>
      </w:r>
      <w:r w:rsidRPr="00F27422">
        <w:rPr>
          <w:rFonts w:ascii="mylotus" w:hAnsi="mylotus"/>
          <w:sz w:val="32"/>
          <w:rtl/>
        </w:rPr>
        <w:t xml:space="preserve"> (</w:t>
      </w:r>
      <w:r w:rsidRPr="00F27422">
        <w:rPr>
          <w:rFonts w:ascii="mylotus" w:hAnsi="mylotus" w:hint="cs"/>
          <w:sz w:val="32"/>
          <w:rtl/>
        </w:rPr>
        <w:t>قدس</w:t>
      </w:r>
      <w:r w:rsidRPr="00F27422">
        <w:rPr>
          <w:rFonts w:ascii="mylotus" w:hAnsi="mylotus"/>
          <w:sz w:val="32"/>
          <w:rtl/>
        </w:rPr>
        <w:t xml:space="preserve"> </w:t>
      </w:r>
      <w:r w:rsidRPr="00F27422">
        <w:rPr>
          <w:rFonts w:ascii="mylotus" w:hAnsi="mylotus" w:hint="cs"/>
          <w:sz w:val="32"/>
          <w:rtl/>
        </w:rPr>
        <w:t>سره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بل</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مفهوم</w:t>
      </w:r>
      <w:r w:rsidRPr="00F27422">
        <w:rPr>
          <w:rFonts w:ascii="mylotus" w:hAnsi="mylotus"/>
          <w:b/>
          <w:bCs/>
          <w:sz w:val="32"/>
          <w:rtl/>
        </w:rPr>
        <w:t xml:space="preserve"> </w:t>
      </w:r>
      <w:r w:rsidRPr="00F27422">
        <w:rPr>
          <w:rFonts w:ascii="mylotus" w:hAnsi="mylotus" w:hint="cs"/>
          <w:b/>
          <w:bCs/>
          <w:sz w:val="32"/>
          <w:rtl/>
        </w:rPr>
        <w:t>المعاوضة</w:t>
      </w:r>
      <w:r w:rsidRPr="00F27422">
        <w:rPr>
          <w:rFonts w:ascii="mylotus" w:hAnsi="mylotus"/>
          <w:b/>
          <w:bCs/>
          <w:sz w:val="32"/>
          <w:rtl/>
        </w:rPr>
        <w:t xml:space="preserve"> </w:t>
      </w:r>
      <w:r w:rsidRPr="00F27422">
        <w:rPr>
          <w:rFonts w:ascii="mylotus" w:hAnsi="mylotus" w:hint="cs"/>
          <w:b/>
          <w:bCs/>
          <w:sz w:val="32"/>
          <w:rtl/>
        </w:rPr>
        <w:t>المعبّر</w:t>
      </w:r>
      <w:r w:rsidRPr="00F27422">
        <w:rPr>
          <w:rFonts w:ascii="mylotus" w:hAnsi="mylotus"/>
          <w:b/>
          <w:bCs/>
          <w:sz w:val="32"/>
          <w:rtl/>
        </w:rPr>
        <w:t xml:space="preserve"> </w:t>
      </w:r>
      <w:r w:rsidRPr="00F27422">
        <w:rPr>
          <w:rFonts w:ascii="mylotus" w:hAnsi="mylotus" w:hint="cs"/>
          <w:b/>
          <w:bCs/>
          <w:sz w:val="32"/>
          <w:rtl/>
        </w:rPr>
        <w:t>عنها</w:t>
      </w:r>
      <w:r w:rsidRPr="00F27422">
        <w:rPr>
          <w:rFonts w:ascii="mylotus" w:hAnsi="mylotus"/>
          <w:b/>
          <w:bCs/>
          <w:sz w:val="32"/>
          <w:rtl/>
        </w:rPr>
        <w:t xml:space="preserve"> </w:t>
      </w:r>
      <w:r w:rsidRPr="00F27422">
        <w:rPr>
          <w:rFonts w:ascii="mylotus" w:hAnsi="mylotus" w:hint="cs"/>
          <w:b/>
          <w:bCs/>
          <w:sz w:val="32"/>
          <w:rtl/>
        </w:rPr>
        <w:t>بالفارسيّة</w:t>
      </w:r>
      <w:r w:rsidRPr="00F27422">
        <w:rPr>
          <w:rFonts w:ascii="mylotus" w:hAnsi="mylotus"/>
          <w:b/>
          <w:bCs/>
          <w:sz w:val="32"/>
          <w:rtl/>
        </w:rPr>
        <w:t xml:space="preserve"> </w:t>
      </w:r>
      <w:r w:rsidRPr="00F27422">
        <w:rPr>
          <w:rFonts w:ascii="mylotus" w:hAnsi="mylotus" w:hint="cs"/>
          <w:b/>
          <w:bCs/>
          <w:sz w:val="32"/>
          <w:rtl/>
        </w:rPr>
        <w:t>بـ</w:t>
      </w:r>
      <w:r w:rsidRPr="00F27422">
        <w:rPr>
          <w:rFonts w:ascii="mylotus" w:hAnsi="mylotus"/>
          <w:b/>
          <w:bCs/>
          <w:sz w:val="32"/>
          <w:rtl/>
        </w:rPr>
        <w:t>: (</w:t>
      </w:r>
      <w:r w:rsidRPr="00F27422">
        <w:rPr>
          <w:rFonts w:ascii="mylotus" w:hAnsi="mylotus" w:hint="cs"/>
          <w:b/>
          <w:bCs/>
          <w:sz w:val="32"/>
          <w:rtl/>
        </w:rPr>
        <w:t>داد</w:t>
      </w:r>
      <w:r w:rsidRPr="00F27422">
        <w:rPr>
          <w:rFonts w:ascii="mylotus" w:hAnsi="mylotus"/>
          <w:b/>
          <w:bCs/>
          <w:sz w:val="32"/>
          <w:rtl/>
        </w:rPr>
        <w:t xml:space="preserve"> </w:t>
      </w:r>
      <w:proofErr w:type="gramStart"/>
      <w:r w:rsidRPr="00F27422">
        <w:rPr>
          <w:rFonts w:ascii="mylotus" w:hAnsi="mylotus" w:hint="cs"/>
          <w:b/>
          <w:bCs/>
          <w:sz w:val="32"/>
          <w:rtl/>
        </w:rPr>
        <w:t>و</w:t>
      </w:r>
      <w:r w:rsidRPr="00F27422">
        <w:rPr>
          <w:rFonts w:ascii="mylotus" w:hAnsi="mylotus"/>
          <w:b/>
          <w:bCs/>
          <w:sz w:val="32"/>
          <w:rtl/>
        </w:rPr>
        <w:t xml:space="preserve"> </w:t>
      </w:r>
      <w:proofErr w:type="spellStart"/>
      <w:r w:rsidRPr="00F27422">
        <w:rPr>
          <w:rFonts w:ascii="mylotus" w:hAnsi="mylotus" w:hint="cs"/>
          <w:b/>
          <w:bCs/>
          <w:sz w:val="32"/>
          <w:rtl/>
        </w:rPr>
        <w:t>ستد</w:t>
      </w:r>
      <w:proofErr w:type="spellEnd"/>
      <w:proofErr w:type="gramEnd"/>
      <w:r w:rsidRPr="00F27422">
        <w:rPr>
          <w:rFonts w:ascii="mylotus" w:hAnsi="mylotus"/>
          <w:b/>
          <w:bCs/>
          <w:sz w:val="32"/>
          <w:rtl/>
        </w:rPr>
        <w:t xml:space="preserve">) - </w:t>
      </w:r>
      <w:r w:rsidRPr="00F27422">
        <w:rPr>
          <w:rFonts w:ascii="mylotus" w:hAnsi="mylotus" w:hint="cs"/>
          <w:b/>
          <w:bCs/>
          <w:sz w:val="32"/>
          <w:rtl/>
        </w:rPr>
        <w:t>أي</w:t>
      </w:r>
      <w:r w:rsidRPr="00F27422">
        <w:rPr>
          <w:rFonts w:ascii="mylotus" w:hAnsi="mylotus"/>
          <w:b/>
          <w:bCs/>
          <w:sz w:val="32"/>
          <w:rtl/>
        </w:rPr>
        <w:t xml:space="preserve"> </w:t>
      </w:r>
      <w:r w:rsidRPr="00F27422">
        <w:rPr>
          <w:rFonts w:ascii="mylotus" w:hAnsi="mylotus" w:hint="cs"/>
          <w:b/>
          <w:bCs/>
          <w:sz w:val="32"/>
          <w:rtl/>
        </w:rPr>
        <w:t>الأخذ</w:t>
      </w:r>
      <w:r w:rsidRPr="00F27422">
        <w:rPr>
          <w:rFonts w:ascii="mylotus" w:hAnsi="mylotus"/>
          <w:b/>
          <w:bCs/>
          <w:sz w:val="32"/>
          <w:rtl/>
        </w:rPr>
        <w:t xml:space="preserve"> </w:t>
      </w:r>
      <w:r w:rsidRPr="00F27422">
        <w:rPr>
          <w:rFonts w:ascii="mylotus" w:hAnsi="mylotus" w:hint="cs"/>
          <w:b/>
          <w:bCs/>
          <w:sz w:val="32"/>
          <w:rtl/>
        </w:rPr>
        <w:t>والإعطاء</w:t>
      </w:r>
      <w:r w:rsidRPr="00F27422">
        <w:rPr>
          <w:rFonts w:ascii="mylotus" w:hAnsi="mylotus"/>
          <w:b/>
          <w:bCs/>
          <w:sz w:val="32"/>
          <w:rtl/>
        </w:rPr>
        <w:t xml:space="preserve"> - </w:t>
      </w:r>
      <w:r w:rsidRPr="00F27422">
        <w:rPr>
          <w:rFonts w:ascii="mylotus" w:hAnsi="mylotus" w:hint="cs"/>
          <w:b/>
          <w:bCs/>
          <w:sz w:val="32"/>
          <w:rtl/>
        </w:rPr>
        <w:t>متقوّم</w:t>
      </w:r>
      <w:r w:rsidRPr="00F27422">
        <w:rPr>
          <w:rFonts w:ascii="mylotus" w:hAnsi="mylotus"/>
          <w:b/>
          <w:bCs/>
          <w:sz w:val="32"/>
          <w:rtl/>
        </w:rPr>
        <w:t xml:space="preserve"> </w:t>
      </w:r>
      <w:r w:rsidRPr="00F27422">
        <w:rPr>
          <w:rFonts w:ascii="mylotus" w:hAnsi="mylotus" w:hint="cs"/>
          <w:b/>
          <w:bCs/>
          <w:sz w:val="32"/>
          <w:rtl/>
        </w:rPr>
        <w:t>بذلك</w:t>
      </w:r>
      <w:r w:rsidRPr="00F27422">
        <w:rPr>
          <w:rFonts w:ascii="mylotus" w:hAnsi="mylotus"/>
          <w:b/>
          <w:bCs/>
          <w:sz w:val="32"/>
          <w:rtl/>
        </w:rPr>
        <w:t xml:space="preserve"> </w:t>
      </w:r>
      <w:r w:rsidRPr="00F27422">
        <w:rPr>
          <w:rFonts w:ascii="mylotus" w:hAnsi="mylotus" w:hint="cs"/>
          <w:b/>
          <w:bCs/>
          <w:sz w:val="32"/>
          <w:rtl/>
        </w:rPr>
        <w:t>أي</w:t>
      </w:r>
      <w:r w:rsidRPr="00F27422">
        <w:rPr>
          <w:rFonts w:ascii="mylotus" w:hAnsi="mylotus"/>
          <w:b/>
          <w:bCs/>
          <w:sz w:val="32"/>
          <w:rtl/>
        </w:rPr>
        <w:t xml:space="preserve"> </w:t>
      </w:r>
      <w:r w:rsidRPr="00F27422">
        <w:rPr>
          <w:rFonts w:ascii="mylotus" w:hAnsi="mylotus" w:hint="cs"/>
          <w:b/>
          <w:bCs/>
          <w:sz w:val="32"/>
          <w:rtl/>
        </w:rPr>
        <w:t>بالاقتران</w:t>
      </w:r>
      <w:r w:rsidRPr="00F27422">
        <w:rPr>
          <w:rFonts w:ascii="mylotus" w:hAnsi="mylotus"/>
          <w:b/>
          <w:bCs/>
          <w:sz w:val="32"/>
          <w:rtl/>
        </w:rPr>
        <w:t xml:space="preserve"> </w:t>
      </w:r>
      <w:r w:rsidRPr="00F27422">
        <w:rPr>
          <w:rFonts w:ascii="mylotus" w:hAnsi="mylotus" w:hint="cs"/>
          <w:b/>
          <w:bCs/>
          <w:sz w:val="32"/>
          <w:rtl/>
        </w:rPr>
        <w:t>بين</w:t>
      </w:r>
      <w:r w:rsidRPr="00F27422">
        <w:rPr>
          <w:rFonts w:ascii="mylotus" w:hAnsi="mylotus"/>
          <w:b/>
          <w:bCs/>
          <w:sz w:val="32"/>
          <w:rtl/>
        </w:rPr>
        <w:t xml:space="preserve"> </w:t>
      </w:r>
      <w:r w:rsidRPr="00F27422">
        <w:rPr>
          <w:rFonts w:ascii="mylotus" w:hAnsi="mylotus" w:hint="cs"/>
          <w:b/>
          <w:bCs/>
          <w:sz w:val="32"/>
          <w:rtl/>
        </w:rPr>
        <w:t>التسليم</w:t>
      </w:r>
      <w:r w:rsidRPr="00F27422">
        <w:rPr>
          <w:rFonts w:ascii="mylotus" w:hAnsi="mylotus"/>
          <w:b/>
          <w:bCs/>
          <w:sz w:val="32"/>
          <w:rtl/>
        </w:rPr>
        <w:t xml:space="preserve"> </w:t>
      </w:r>
      <w:r w:rsidRPr="00F27422">
        <w:rPr>
          <w:rFonts w:ascii="mylotus" w:hAnsi="mylotus" w:hint="cs"/>
          <w:b/>
          <w:bCs/>
          <w:sz w:val="32"/>
          <w:rtl/>
        </w:rPr>
        <w:t>والتسلّم</w:t>
      </w:r>
      <w:r w:rsidRPr="00F27422">
        <w:rPr>
          <w:rFonts w:ascii="mylotus" w:hAnsi="mylotus"/>
          <w:b/>
          <w:bCs/>
          <w:sz w:val="32"/>
          <w:rtl/>
        </w:rPr>
        <w:t xml:space="preserve"> </w:t>
      </w:r>
      <w:r w:rsidRPr="00F27422">
        <w:rPr>
          <w:rFonts w:ascii="mylotus" w:hAnsi="mylotus" w:hint="cs"/>
          <w:b/>
          <w:bCs/>
          <w:sz w:val="32"/>
          <w:rtl/>
        </w:rPr>
        <w:t>الخارجي،</w:t>
      </w:r>
      <w:r w:rsidRPr="00F27422">
        <w:rPr>
          <w:rFonts w:ascii="mylotus" w:hAnsi="mylotus"/>
          <w:b/>
          <w:bCs/>
          <w:sz w:val="32"/>
          <w:rtl/>
        </w:rPr>
        <w:t xml:space="preserve"> </w:t>
      </w:r>
      <w:r w:rsidRPr="00F27422">
        <w:rPr>
          <w:rFonts w:ascii="mylotus" w:hAnsi="mylotus" w:hint="cs"/>
          <w:b/>
          <w:bCs/>
          <w:sz w:val="32"/>
          <w:rtl/>
        </w:rPr>
        <w:t>ولا</w:t>
      </w:r>
      <w:r w:rsidRPr="00F27422">
        <w:rPr>
          <w:rFonts w:ascii="mylotus" w:hAnsi="mylotus"/>
          <w:b/>
          <w:bCs/>
          <w:sz w:val="32"/>
          <w:rtl/>
        </w:rPr>
        <w:t xml:space="preserve"> </w:t>
      </w:r>
      <w:r w:rsidRPr="00F27422">
        <w:rPr>
          <w:rFonts w:ascii="mylotus" w:hAnsi="mylotus" w:hint="cs"/>
          <w:b/>
          <w:bCs/>
          <w:sz w:val="32"/>
          <w:rtl/>
        </w:rPr>
        <w:t>يكفي</w:t>
      </w:r>
      <w:r w:rsidRPr="00F27422">
        <w:rPr>
          <w:rFonts w:ascii="mylotus" w:hAnsi="mylotus"/>
          <w:b/>
          <w:bCs/>
          <w:sz w:val="32"/>
          <w:rtl/>
        </w:rPr>
        <w:t xml:space="preserve"> </w:t>
      </w:r>
      <w:r w:rsidRPr="00F27422">
        <w:rPr>
          <w:rFonts w:ascii="mylotus" w:hAnsi="mylotus" w:hint="cs"/>
          <w:b/>
          <w:bCs/>
          <w:sz w:val="32"/>
          <w:rtl/>
        </w:rPr>
        <w:t>فيها</w:t>
      </w:r>
      <w:r w:rsidRPr="00F27422">
        <w:rPr>
          <w:rFonts w:ascii="mylotus" w:hAnsi="mylotus"/>
          <w:b/>
          <w:bCs/>
          <w:sz w:val="32"/>
          <w:rtl/>
        </w:rPr>
        <w:t xml:space="preserve"> </w:t>
      </w:r>
      <w:r w:rsidRPr="00F27422">
        <w:rPr>
          <w:rFonts w:ascii="mylotus" w:hAnsi="mylotus" w:hint="cs"/>
          <w:b/>
          <w:bCs/>
          <w:sz w:val="32"/>
          <w:rtl/>
        </w:rPr>
        <w:t>مجرّد</w:t>
      </w:r>
      <w:r w:rsidRPr="00F27422">
        <w:rPr>
          <w:rFonts w:ascii="mylotus" w:hAnsi="mylotus"/>
          <w:b/>
          <w:bCs/>
          <w:sz w:val="32"/>
          <w:rtl/>
        </w:rPr>
        <w:t xml:space="preserve"> </w:t>
      </w:r>
      <w:r w:rsidRPr="00F27422">
        <w:rPr>
          <w:rFonts w:ascii="mylotus" w:hAnsi="mylotus" w:hint="cs"/>
          <w:b/>
          <w:bCs/>
          <w:sz w:val="32"/>
          <w:rtl/>
        </w:rPr>
        <w:t>التمليك</w:t>
      </w:r>
      <w:r w:rsidRPr="00F27422">
        <w:rPr>
          <w:rFonts w:ascii="mylotus" w:hAnsi="mylotus"/>
          <w:b/>
          <w:bCs/>
          <w:sz w:val="32"/>
          <w:rtl/>
        </w:rPr>
        <w:t xml:space="preserve"> </w:t>
      </w:r>
      <w:r w:rsidRPr="00F27422">
        <w:rPr>
          <w:rFonts w:ascii="mylotus" w:hAnsi="mylotus" w:hint="cs"/>
          <w:b/>
          <w:bCs/>
          <w:sz w:val="32"/>
          <w:rtl/>
        </w:rPr>
        <w:t>والتملّك</w:t>
      </w:r>
      <w:r w:rsidRPr="00F27422">
        <w:rPr>
          <w:rFonts w:ascii="mylotus" w:hAnsi="mylotus"/>
          <w:b/>
          <w:bCs/>
          <w:sz w:val="32"/>
          <w:rtl/>
        </w:rPr>
        <w:t xml:space="preserve"> </w:t>
      </w:r>
      <w:r w:rsidRPr="00F27422">
        <w:rPr>
          <w:rFonts w:ascii="mylotus" w:hAnsi="mylotus" w:hint="cs"/>
          <w:b/>
          <w:bCs/>
          <w:sz w:val="32"/>
          <w:rtl/>
        </w:rPr>
        <w:t>العاريّين</w:t>
      </w:r>
      <w:r w:rsidRPr="00F27422">
        <w:rPr>
          <w:rFonts w:ascii="mylotus" w:hAnsi="mylotus"/>
          <w:b/>
          <w:bCs/>
          <w:sz w:val="32"/>
          <w:rtl/>
        </w:rPr>
        <w:t xml:space="preserve"> </w:t>
      </w:r>
      <w:r w:rsidRPr="00F27422">
        <w:rPr>
          <w:rFonts w:ascii="mylotus" w:hAnsi="mylotus" w:hint="cs"/>
          <w:b/>
          <w:bCs/>
          <w:sz w:val="32"/>
          <w:rtl/>
        </w:rPr>
        <w:t>عن</w:t>
      </w:r>
      <w:r w:rsidRPr="00F27422">
        <w:rPr>
          <w:rFonts w:ascii="mylotus" w:hAnsi="mylotus"/>
          <w:b/>
          <w:bCs/>
          <w:sz w:val="32"/>
          <w:rtl/>
        </w:rPr>
        <w:t xml:space="preserve"> </w:t>
      </w:r>
      <w:r w:rsidRPr="00F27422">
        <w:rPr>
          <w:rFonts w:ascii="mylotus" w:hAnsi="mylotus" w:hint="cs"/>
          <w:b/>
          <w:bCs/>
          <w:sz w:val="32"/>
          <w:rtl/>
        </w:rPr>
        <w:t>القبض</w:t>
      </w:r>
      <w:r w:rsidRPr="00F27422">
        <w:rPr>
          <w:rFonts w:ascii="mylotus" w:hAnsi="mylotus"/>
          <w:b/>
          <w:bCs/>
          <w:sz w:val="32"/>
          <w:rtl/>
        </w:rPr>
        <w:t xml:space="preserve"> </w:t>
      </w:r>
      <w:r w:rsidRPr="00F27422">
        <w:rPr>
          <w:rFonts w:ascii="mylotus" w:hAnsi="mylotus" w:hint="cs"/>
          <w:b/>
          <w:bCs/>
          <w:sz w:val="32"/>
          <w:rtl/>
        </w:rPr>
        <w:t>والإقباض</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فإنّ</w:t>
      </w:r>
      <w:r w:rsidRPr="00F27422">
        <w:rPr>
          <w:rFonts w:ascii="mylotus" w:hAnsi="mylotus"/>
          <w:sz w:val="32"/>
          <w:rtl/>
        </w:rPr>
        <w:t xml:space="preserve"> </w:t>
      </w:r>
      <w:r w:rsidRPr="00F27422">
        <w:rPr>
          <w:rFonts w:ascii="mylotus" w:hAnsi="mylotus" w:hint="cs"/>
          <w:sz w:val="32"/>
          <w:rtl/>
        </w:rPr>
        <w:t>لازم</w:t>
      </w:r>
      <w:r w:rsidRPr="00F27422">
        <w:rPr>
          <w:rFonts w:ascii="mylotus" w:hAnsi="mylotus"/>
          <w:sz w:val="32"/>
          <w:rtl/>
        </w:rPr>
        <w:t xml:space="preserve"> </w:t>
      </w:r>
      <w:r w:rsidRPr="00F27422">
        <w:rPr>
          <w:rFonts w:ascii="mylotus" w:hAnsi="mylotus" w:hint="cs"/>
          <w:sz w:val="32"/>
          <w:rtl/>
        </w:rPr>
        <w:t>ذلك</w:t>
      </w:r>
      <w:r w:rsidRPr="00F27422">
        <w:rPr>
          <w:rFonts w:ascii="mylotus" w:hAnsi="mylotus"/>
          <w:sz w:val="32"/>
          <w:rtl/>
        </w:rPr>
        <w:t xml:space="preserve"> </w:t>
      </w:r>
      <w:r w:rsidRPr="00F27422">
        <w:rPr>
          <w:rFonts w:ascii="mylotus" w:hAnsi="mylotus" w:hint="cs"/>
          <w:sz w:val="32"/>
          <w:rtl/>
        </w:rPr>
        <w:t>انفساخ</w:t>
      </w:r>
      <w:r w:rsidRPr="00F27422">
        <w:rPr>
          <w:rFonts w:ascii="mylotus" w:hAnsi="mylotus"/>
          <w:sz w:val="32"/>
          <w:rtl/>
        </w:rPr>
        <w:t xml:space="preserve"> </w:t>
      </w:r>
      <w:r w:rsidRPr="00F27422">
        <w:rPr>
          <w:rFonts w:ascii="mylotus" w:hAnsi="mylotus" w:hint="cs"/>
          <w:sz w:val="32"/>
          <w:rtl/>
        </w:rPr>
        <w:t>المعاوضة</w:t>
      </w:r>
      <w:r w:rsidRPr="00F27422">
        <w:rPr>
          <w:rFonts w:ascii="mylotus" w:hAnsi="mylotus"/>
          <w:sz w:val="32"/>
          <w:rtl/>
        </w:rPr>
        <w:t xml:space="preserve"> </w:t>
      </w:r>
      <w:r w:rsidRPr="00F27422">
        <w:rPr>
          <w:rFonts w:ascii="mylotus" w:hAnsi="mylotus" w:hint="cs"/>
          <w:sz w:val="32"/>
          <w:rtl/>
        </w:rPr>
        <w:t>مع</w:t>
      </w:r>
      <w:r w:rsidRPr="00F27422">
        <w:rPr>
          <w:rFonts w:ascii="mylotus" w:hAnsi="mylotus"/>
          <w:sz w:val="32"/>
          <w:rtl/>
        </w:rPr>
        <w:t xml:space="preserve"> </w:t>
      </w:r>
      <w:r w:rsidRPr="00F27422">
        <w:rPr>
          <w:rFonts w:ascii="mylotus" w:hAnsi="mylotus" w:hint="cs"/>
          <w:sz w:val="32"/>
          <w:rtl/>
        </w:rPr>
        <w:t>عدم</w:t>
      </w:r>
      <w:r w:rsidRPr="00F27422">
        <w:rPr>
          <w:rFonts w:ascii="mylotus" w:hAnsi="mylotus"/>
          <w:sz w:val="32"/>
          <w:rtl/>
        </w:rPr>
        <w:t xml:space="preserve"> </w:t>
      </w:r>
      <w:r w:rsidRPr="00F27422">
        <w:rPr>
          <w:rFonts w:ascii="mylotus" w:hAnsi="mylotus" w:hint="cs"/>
          <w:sz w:val="32"/>
          <w:rtl/>
        </w:rPr>
        <w:t>تحقّق</w:t>
      </w:r>
      <w:r w:rsidRPr="00F27422">
        <w:rPr>
          <w:rFonts w:ascii="mylotus" w:hAnsi="mylotus"/>
          <w:sz w:val="32"/>
          <w:rtl/>
        </w:rPr>
        <w:t xml:space="preserve"> </w:t>
      </w:r>
      <w:r w:rsidRPr="00F27422">
        <w:rPr>
          <w:rFonts w:ascii="mylotus" w:hAnsi="mylotus" w:hint="cs"/>
          <w:sz w:val="32"/>
          <w:rtl/>
        </w:rPr>
        <w:t>التسليم</w:t>
      </w:r>
      <w:r w:rsidRPr="00F27422">
        <w:rPr>
          <w:rFonts w:ascii="mylotus" w:hAnsi="mylotus"/>
          <w:sz w:val="32"/>
          <w:rtl/>
        </w:rPr>
        <w:t xml:space="preserve"> </w:t>
      </w:r>
      <w:r w:rsidRPr="00F27422">
        <w:rPr>
          <w:rFonts w:ascii="mylotus" w:hAnsi="mylotus" w:hint="cs"/>
          <w:sz w:val="32"/>
          <w:rtl/>
        </w:rPr>
        <w:t>الخارجي</w:t>
      </w:r>
      <w:r w:rsidRPr="00F27422">
        <w:rPr>
          <w:rFonts w:ascii="mylotus" w:hAnsi="mylotus"/>
          <w:sz w:val="32"/>
          <w:rtl/>
        </w:rPr>
        <w:t xml:space="preserve"> </w:t>
      </w:r>
      <w:r w:rsidRPr="00F27422">
        <w:rPr>
          <w:rFonts w:ascii="mylotus" w:hAnsi="mylotus" w:hint="cs"/>
          <w:sz w:val="32"/>
          <w:rtl/>
        </w:rPr>
        <w:t>ولا يقول</w:t>
      </w:r>
      <w:r w:rsidRPr="00F27422">
        <w:rPr>
          <w:rFonts w:ascii="mylotus" w:hAnsi="mylotus"/>
          <w:sz w:val="32"/>
          <w:rtl/>
        </w:rPr>
        <w:t xml:space="preserve"> </w:t>
      </w:r>
      <w:r w:rsidRPr="00F27422">
        <w:rPr>
          <w:rFonts w:ascii="mylotus" w:hAnsi="mylotus" w:hint="cs"/>
          <w:sz w:val="32"/>
          <w:rtl/>
        </w:rPr>
        <w:t>به.</w:t>
      </w:r>
    </w:p>
    <w:p w14:paraId="36B3E77E" w14:textId="77777777" w:rsidR="00DD7989" w:rsidRPr="00F27422" w:rsidRDefault="00DD7989" w:rsidP="00122B70">
      <w:pPr>
        <w:pStyle w:val="a"/>
        <w:bidi/>
        <w:spacing w:line="216" w:lineRule="auto"/>
        <w:jc w:val="left"/>
        <w:rPr>
          <w:rFonts w:ascii="mylotus" w:hAnsi="mylotus"/>
          <w:sz w:val="32"/>
          <w:rtl/>
        </w:rPr>
      </w:pPr>
      <w:r w:rsidRPr="00F27422">
        <w:rPr>
          <w:rFonts w:ascii="mylotus" w:hAnsi="mylotus"/>
          <w:b/>
          <w:bCs/>
          <w:sz w:val="32"/>
          <w:rtl/>
        </w:rPr>
        <w:t>وثانياً:</w:t>
      </w:r>
      <w:r w:rsidRPr="00F27422">
        <w:rPr>
          <w:rFonts w:ascii="mylotus" w:hAnsi="mylotus"/>
          <w:sz w:val="32"/>
          <w:rtl/>
        </w:rPr>
        <w:t xml:space="preserve"> ما أشكل بِهِ بعض الأجلة (رحمه الله) عليه في كتابه الإجارة</w:t>
      </w:r>
      <w:r w:rsidRPr="00F27422">
        <w:rPr>
          <w:rStyle w:val="FootnoteReference"/>
          <w:rFonts w:ascii="mylotus" w:hAnsi="mylotus"/>
          <w:sz w:val="32"/>
          <w:rtl/>
        </w:rPr>
        <w:footnoteReference w:id="163"/>
      </w:r>
      <w:r w:rsidRPr="00F27422">
        <w:rPr>
          <w:rFonts w:ascii="mylotus" w:hAnsi="mylotus"/>
          <w:sz w:val="32"/>
          <w:rtl/>
        </w:rPr>
        <w:t xml:space="preserve"> </w:t>
      </w:r>
      <w:r w:rsidRPr="00F27422">
        <w:rPr>
          <w:rFonts w:ascii="mylotus" w:hAnsi="mylotus" w:hint="cs"/>
          <w:sz w:val="32"/>
          <w:rtl/>
        </w:rPr>
        <w:t>بقوله</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وفيه</w:t>
      </w:r>
      <w:r w:rsidRPr="00F27422">
        <w:rPr>
          <w:rFonts w:ascii="mylotus" w:hAnsi="mylotus"/>
          <w:b/>
          <w:bCs/>
          <w:sz w:val="32"/>
          <w:rtl/>
        </w:rPr>
        <w:t xml:space="preserve">: </w:t>
      </w:r>
      <w:r w:rsidRPr="00F27422">
        <w:rPr>
          <w:rFonts w:ascii="mylotus" w:hAnsi="mylotus" w:hint="cs"/>
          <w:b/>
          <w:bCs/>
          <w:sz w:val="32"/>
          <w:rtl/>
        </w:rPr>
        <w:t>لو</w:t>
      </w:r>
      <w:r w:rsidRPr="00F27422">
        <w:rPr>
          <w:rFonts w:ascii="mylotus" w:hAnsi="mylotus"/>
          <w:b/>
          <w:bCs/>
          <w:sz w:val="32"/>
          <w:rtl/>
        </w:rPr>
        <w:t xml:space="preserve"> </w:t>
      </w:r>
      <w:r w:rsidRPr="00F27422">
        <w:rPr>
          <w:rFonts w:ascii="mylotus" w:hAnsi="mylotus" w:hint="cs"/>
          <w:b/>
          <w:bCs/>
          <w:sz w:val="32"/>
          <w:rtl/>
        </w:rPr>
        <w:t>سلّم</w:t>
      </w:r>
      <w:r w:rsidRPr="00F27422">
        <w:rPr>
          <w:rFonts w:ascii="mylotus" w:hAnsi="mylotus"/>
          <w:b/>
          <w:bCs/>
          <w:sz w:val="32"/>
          <w:rtl/>
        </w:rPr>
        <w:t xml:space="preserve"> </w:t>
      </w:r>
      <w:r w:rsidRPr="00F27422">
        <w:rPr>
          <w:rFonts w:ascii="mylotus" w:hAnsi="mylotus" w:hint="cs"/>
          <w:b/>
          <w:bCs/>
          <w:sz w:val="32"/>
          <w:rtl/>
        </w:rPr>
        <w:t>أنَّ</w:t>
      </w:r>
      <w:r w:rsidRPr="00F27422">
        <w:rPr>
          <w:rFonts w:ascii="mylotus" w:hAnsi="mylotus"/>
          <w:b/>
          <w:bCs/>
          <w:sz w:val="32"/>
          <w:rtl/>
        </w:rPr>
        <w:t xml:space="preserve"> </w:t>
      </w:r>
      <w:r w:rsidRPr="00F27422">
        <w:rPr>
          <w:rFonts w:ascii="mylotus" w:hAnsi="mylotus" w:hint="cs"/>
          <w:b/>
          <w:bCs/>
          <w:sz w:val="32"/>
          <w:rtl/>
        </w:rPr>
        <w:t>دليل</w:t>
      </w:r>
      <w:r w:rsidRPr="00F27422">
        <w:rPr>
          <w:rFonts w:ascii="mylotus" w:hAnsi="mylotus"/>
          <w:b/>
          <w:bCs/>
          <w:sz w:val="32"/>
          <w:rtl/>
        </w:rPr>
        <w:t xml:space="preserve"> </w:t>
      </w:r>
      <w:r w:rsidRPr="00F27422">
        <w:rPr>
          <w:rFonts w:ascii="mylotus" w:hAnsi="mylotus" w:hint="cs"/>
          <w:b/>
          <w:bCs/>
          <w:sz w:val="32"/>
          <w:rtl/>
        </w:rPr>
        <w:t>وجوب</w:t>
      </w:r>
      <w:r w:rsidRPr="00F27422">
        <w:rPr>
          <w:rFonts w:ascii="mylotus" w:hAnsi="mylotus"/>
          <w:b/>
          <w:bCs/>
          <w:sz w:val="32"/>
          <w:rtl/>
        </w:rPr>
        <w:t xml:space="preserve"> </w:t>
      </w:r>
      <w:r w:rsidRPr="00F27422">
        <w:rPr>
          <w:rFonts w:ascii="mylotus" w:hAnsi="mylotus" w:hint="cs"/>
          <w:b/>
          <w:bCs/>
          <w:sz w:val="32"/>
          <w:rtl/>
        </w:rPr>
        <w:t>الوفاء</w:t>
      </w:r>
      <w:r w:rsidRPr="00F27422">
        <w:rPr>
          <w:rFonts w:ascii="mylotus" w:hAnsi="mylotus"/>
          <w:b/>
          <w:bCs/>
          <w:sz w:val="32"/>
          <w:rtl/>
        </w:rPr>
        <w:t xml:space="preserve"> </w:t>
      </w:r>
      <w:r w:rsidRPr="00F27422">
        <w:rPr>
          <w:rFonts w:ascii="mylotus" w:hAnsi="mylotus" w:hint="cs"/>
          <w:b/>
          <w:bCs/>
          <w:sz w:val="32"/>
          <w:rtl/>
        </w:rPr>
        <w:t>بالشرط</w:t>
      </w:r>
      <w:r w:rsidRPr="00F27422">
        <w:rPr>
          <w:rFonts w:ascii="mylotus" w:hAnsi="mylotus"/>
          <w:b/>
          <w:bCs/>
          <w:sz w:val="32"/>
          <w:rtl/>
        </w:rPr>
        <w:t xml:space="preserve"> </w:t>
      </w:r>
      <w:r w:rsidRPr="00F27422">
        <w:rPr>
          <w:rFonts w:ascii="mylotus" w:hAnsi="mylotus" w:hint="cs"/>
          <w:b/>
          <w:bCs/>
          <w:sz w:val="32"/>
          <w:rtl/>
        </w:rPr>
        <w:t>يثبت</w:t>
      </w:r>
      <w:r w:rsidRPr="00F27422">
        <w:rPr>
          <w:rFonts w:ascii="mylotus" w:hAnsi="mylotus"/>
          <w:b/>
          <w:bCs/>
          <w:sz w:val="32"/>
          <w:rtl/>
        </w:rPr>
        <w:t xml:space="preserve"> </w:t>
      </w:r>
      <w:r w:rsidRPr="00F27422">
        <w:rPr>
          <w:rFonts w:ascii="mylotus" w:hAnsi="mylotus" w:hint="cs"/>
          <w:b/>
          <w:bCs/>
          <w:sz w:val="32"/>
          <w:rtl/>
        </w:rPr>
        <w:t>به</w:t>
      </w:r>
      <w:r w:rsidRPr="00F27422">
        <w:rPr>
          <w:rFonts w:ascii="mylotus" w:hAnsi="mylotus"/>
          <w:b/>
          <w:bCs/>
          <w:sz w:val="32"/>
          <w:rtl/>
        </w:rPr>
        <w:t xml:space="preserve"> </w:t>
      </w:r>
      <w:r w:rsidRPr="00F27422">
        <w:rPr>
          <w:rFonts w:ascii="mylotus" w:hAnsi="mylotus" w:hint="cs"/>
          <w:b/>
          <w:bCs/>
          <w:sz w:val="32"/>
          <w:rtl/>
        </w:rPr>
        <w:t>الاستحقاق</w:t>
      </w:r>
      <w:r w:rsidRPr="00F27422">
        <w:rPr>
          <w:rFonts w:ascii="mylotus" w:hAnsi="mylotus"/>
          <w:b/>
          <w:bCs/>
          <w:sz w:val="32"/>
          <w:rtl/>
        </w:rPr>
        <w:t xml:space="preserve"> </w:t>
      </w:r>
      <w:r w:rsidRPr="00F27422">
        <w:rPr>
          <w:rFonts w:ascii="mylotus" w:hAnsi="mylotus" w:hint="cs"/>
          <w:b/>
          <w:bCs/>
          <w:sz w:val="32"/>
          <w:rtl/>
        </w:rPr>
        <w:t>بمعنى</w:t>
      </w:r>
      <w:r w:rsidRPr="00F27422">
        <w:rPr>
          <w:rFonts w:ascii="mylotus" w:hAnsi="mylotus"/>
          <w:b/>
          <w:bCs/>
          <w:sz w:val="32"/>
          <w:rtl/>
        </w:rPr>
        <w:t xml:space="preserve"> </w:t>
      </w:r>
      <w:r w:rsidRPr="00F27422">
        <w:rPr>
          <w:rFonts w:ascii="mylotus" w:hAnsi="mylotus" w:hint="cs"/>
          <w:b/>
          <w:bCs/>
          <w:sz w:val="32"/>
          <w:rtl/>
        </w:rPr>
        <w:t>الوجوب</w:t>
      </w:r>
      <w:r w:rsidRPr="00F27422">
        <w:rPr>
          <w:rFonts w:ascii="mylotus" w:hAnsi="mylotus"/>
          <w:b/>
          <w:bCs/>
          <w:sz w:val="32"/>
          <w:rtl/>
        </w:rPr>
        <w:t xml:space="preserve"> </w:t>
      </w:r>
      <w:r w:rsidRPr="00F27422">
        <w:rPr>
          <w:rFonts w:ascii="mylotus" w:hAnsi="mylotus" w:hint="cs"/>
          <w:b/>
          <w:bCs/>
          <w:sz w:val="32"/>
          <w:rtl/>
        </w:rPr>
        <w:t>التكليفي</w:t>
      </w:r>
      <w:r w:rsidRPr="00F27422">
        <w:rPr>
          <w:rFonts w:ascii="mylotus" w:hAnsi="mylotus"/>
          <w:b/>
          <w:bCs/>
          <w:sz w:val="32"/>
          <w:rtl/>
        </w:rPr>
        <w:t>)</w:t>
      </w:r>
      <w:r w:rsidRPr="00F27422">
        <w:rPr>
          <w:rFonts w:ascii="mylotus" w:hAnsi="mylotus" w:hint="cs"/>
          <w:b/>
          <w:bCs/>
          <w:sz w:val="32"/>
          <w:rtl/>
        </w:rPr>
        <w:t xml:space="preserve"> </w:t>
      </w:r>
      <w:r w:rsidRPr="00F27422">
        <w:rPr>
          <w:rFonts w:ascii="mylotus" w:hAnsi="mylotus" w:hint="cs"/>
          <w:sz w:val="32"/>
          <w:rtl/>
        </w:rPr>
        <w:t>حيثُ</w:t>
      </w:r>
      <w:r w:rsidRPr="00F27422">
        <w:rPr>
          <w:rFonts w:ascii="mylotus" w:hAnsi="mylotus"/>
          <w:sz w:val="32"/>
          <w:rtl/>
        </w:rPr>
        <w:t xml:space="preserve"> </w:t>
      </w:r>
      <w:r w:rsidRPr="00F27422">
        <w:rPr>
          <w:rFonts w:ascii="mylotus" w:hAnsi="mylotus" w:hint="cs"/>
          <w:sz w:val="32"/>
          <w:rtl/>
        </w:rPr>
        <w:t>إنّ</w:t>
      </w:r>
      <w:r w:rsidRPr="00F27422">
        <w:rPr>
          <w:rFonts w:ascii="mylotus" w:hAnsi="mylotus"/>
          <w:sz w:val="32"/>
          <w:rtl/>
        </w:rPr>
        <w:t xml:space="preserve"> </w:t>
      </w:r>
      <w:r w:rsidRPr="00F27422">
        <w:rPr>
          <w:rFonts w:ascii="mylotus" w:hAnsi="mylotus" w:hint="cs"/>
          <w:sz w:val="32"/>
          <w:rtl/>
        </w:rPr>
        <w:t>مقتضى</w:t>
      </w:r>
      <w:r w:rsidRPr="00F27422">
        <w:rPr>
          <w:rFonts w:ascii="mylotus" w:hAnsi="mylotus"/>
          <w:sz w:val="32"/>
          <w:rtl/>
        </w:rPr>
        <w:t xml:space="preserve"> </w:t>
      </w:r>
      <w:r w:rsidRPr="00F27422">
        <w:rPr>
          <w:rFonts w:ascii="mylotus" w:hAnsi="mylotus" w:hint="cs"/>
          <w:sz w:val="32"/>
          <w:rtl/>
        </w:rPr>
        <w:t>الشرط</w:t>
      </w:r>
      <w:r w:rsidRPr="00F27422">
        <w:rPr>
          <w:rFonts w:ascii="mylotus" w:hAnsi="mylotus"/>
          <w:sz w:val="32"/>
          <w:rtl/>
        </w:rPr>
        <w:t xml:space="preserve"> </w:t>
      </w:r>
      <w:r w:rsidRPr="00F27422">
        <w:rPr>
          <w:rFonts w:ascii="mylotus" w:hAnsi="mylotus" w:hint="cs"/>
          <w:sz w:val="32"/>
          <w:rtl/>
        </w:rPr>
        <w:t>الارتكازي</w:t>
      </w:r>
      <w:r w:rsidRPr="00F27422">
        <w:rPr>
          <w:rFonts w:ascii="mylotus" w:hAnsi="mylotus"/>
          <w:sz w:val="32"/>
          <w:rtl/>
        </w:rPr>
        <w:t xml:space="preserve"> </w:t>
      </w:r>
      <w:r w:rsidRPr="00F27422">
        <w:rPr>
          <w:rFonts w:ascii="mylotus" w:hAnsi="mylotus" w:hint="cs"/>
          <w:sz w:val="32"/>
          <w:rtl/>
        </w:rPr>
        <w:t>هو</w:t>
      </w:r>
      <w:r w:rsidRPr="00F27422">
        <w:rPr>
          <w:rFonts w:ascii="mylotus" w:hAnsi="mylotus"/>
          <w:sz w:val="32"/>
          <w:rtl/>
        </w:rPr>
        <w:t xml:space="preserve"> </w:t>
      </w:r>
      <w:r w:rsidRPr="00F27422">
        <w:rPr>
          <w:rFonts w:ascii="mylotus" w:hAnsi="mylotus" w:hint="cs"/>
          <w:sz w:val="32"/>
          <w:rtl/>
        </w:rPr>
        <w:t>التسليم</w:t>
      </w:r>
      <w:r w:rsidRPr="00F27422">
        <w:rPr>
          <w:rFonts w:ascii="mylotus" w:hAnsi="mylotus"/>
          <w:sz w:val="32"/>
          <w:rtl/>
        </w:rPr>
        <w:t xml:space="preserve"> </w:t>
      </w:r>
      <w:r w:rsidRPr="00F27422">
        <w:rPr>
          <w:rFonts w:ascii="mylotus" w:hAnsi="mylotus" w:hint="cs"/>
          <w:sz w:val="32"/>
          <w:rtl/>
        </w:rPr>
        <w:t>فيجب</w:t>
      </w:r>
      <w:r w:rsidRPr="00F27422">
        <w:rPr>
          <w:rFonts w:ascii="mylotus" w:hAnsi="mylotus"/>
          <w:sz w:val="32"/>
          <w:rtl/>
        </w:rPr>
        <w:t xml:space="preserve"> </w:t>
      </w:r>
      <w:r w:rsidRPr="00F27422">
        <w:rPr>
          <w:rFonts w:ascii="mylotus" w:hAnsi="mylotus" w:hint="cs"/>
          <w:sz w:val="32"/>
          <w:rtl/>
        </w:rPr>
        <w:t>مِن</w:t>
      </w:r>
      <w:r w:rsidRPr="00F27422">
        <w:rPr>
          <w:rFonts w:ascii="mylotus" w:hAnsi="mylotus"/>
          <w:sz w:val="32"/>
          <w:rtl/>
        </w:rPr>
        <w:t xml:space="preserve"> </w:t>
      </w:r>
      <w:r w:rsidRPr="00F27422">
        <w:rPr>
          <w:rFonts w:ascii="mylotus" w:hAnsi="mylotus" w:hint="cs"/>
          <w:sz w:val="32"/>
          <w:rtl/>
        </w:rPr>
        <w:t>باب</w:t>
      </w:r>
      <w:r w:rsidRPr="00F27422">
        <w:rPr>
          <w:rFonts w:ascii="mylotus" w:hAnsi="mylotus"/>
          <w:sz w:val="32"/>
          <w:rtl/>
        </w:rPr>
        <w:t xml:space="preserve"> </w:t>
      </w:r>
      <w:r w:rsidRPr="00F27422">
        <w:rPr>
          <w:rFonts w:ascii="mylotus" w:hAnsi="mylotus" w:hint="cs"/>
          <w:sz w:val="32"/>
          <w:rtl/>
        </w:rPr>
        <w:t>وجوب</w:t>
      </w:r>
      <w:r w:rsidRPr="00F27422">
        <w:rPr>
          <w:rFonts w:ascii="mylotus" w:hAnsi="mylotus"/>
          <w:sz w:val="32"/>
          <w:rtl/>
        </w:rPr>
        <w:t xml:space="preserve"> </w:t>
      </w:r>
      <w:r w:rsidRPr="00F27422">
        <w:rPr>
          <w:rFonts w:ascii="mylotus" w:hAnsi="mylotus" w:hint="cs"/>
          <w:sz w:val="32"/>
          <w:rtl/>
        </w:rPr>
        <w:t>الوفاء</w:t>
      </w:r>
      <w:r w:rsidRPr="00F27422">
        <w:rPr>
          <w:rFonts w:ascii="mylotus" w:hAnsi="mylotus"/>
          <w:sz w:val="32"/>
          <w:rtl/>
        </w:rPr>
        <w:t xml:space="preserve"> </w:t>
      </w:r>
      <w:r w:rsidRPr="00F27422">
        <w:rPr>
          <w:rFonts w:ascii="mylotus" w:hAnsi="mylotus" w:hint="cs"/>
          <w:sz w:val="32"/>
          <w:rtl/>
        </w:rPr>
        <w:t>بالشرط</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فلازم</w:t>
      </w:r>
      <w:r w:rsidRPr="00F27422">
        <w:rPr>
          <w:rFonts w:ascii="mylotus" w:hAnsi="mylotus"/>
          <w:b/>
          <w:bCs/>
          <w:sz w:val="32"/>
          <w:rtl/>
        </w:rPr>
        <w:t xml:space="preserve"> </w:t>
      </w:r>
      <w:r w:rsidRPr="00F27422">
        <w:rPr>
          <w:rFonts w:ascii="mylotus" w:hAnsi="mylotus" w:hint="cs"/>
          <w:b/>
          <w:bCs/>
          <w:sz w:val="32"/>
          <w:rtl/>
        </w:rPr>
        <w:t>هذا</w:t>
      </w:r>
      <w:r w:rsidRPr="00F27422">
        <w:rPr>
          <w:rFonts w:ascii="mylotus" w:hAnsi="mylotus"/>
          <w:b/>
          <w:bCs/>
          <w:sz w:val="32"/>
          <w:rtl/>
        </w:rPr>
        <w:t xml:space="preserve"> </w:t>
      </w:r>
      <w:r w:rsidRPr="00F27422">
        <w:rPr>
          <w:rFonts w:ascii="mylotus" w:hAnsi="mylotus" w:hint="cs"/>
          <w:b/>
          <w:bCs/>
          <w:sz w:val="32"/>
          <w:rtl/>
        </w:rPr>
        <w:t>الوجه</w:t>
      </w:r>
      <w:r w:rsidRPr="00F27422">
        <w:rPr>
          <w:rFonts w:ascii="mylotus" w:hAnsi="mylotus"/>
          <w:b/>
          <w:bCs/>
          <w:sz w:val="32"/>
          <w:rtl/>
        </w:rPr>
        <w:t xml:space="preserve"> </w:t>
      </w:r>
      <w:r w:rsidRPr="00F27422">
        <w:rPr>
          <w:rFonts w:ascii="mylotus" w:hAnsi="mylotus" w:hint="cs"/>
          <w:b/>
          <w:bCs/>
          <w:sz w:val="32"/>
          <w:rtl/>
        </w:rPr>
        <w:t>تحقق</w:t>
      </w:r>
      <w:r w:rsidRPr="00F27422">
        <w:rPr>
          <w:rFonts w:ascii="mylotus" w:hAnsi="mylotus"/>
          <w:b/>
          <w:bCs/>
          <w:sz w:val="32"/>
          <w:rtl/>
        </w:rPr>
        <w:t xml:space="preserve"> </w:t>
      </w:r>
      <w:r w:rsidRPr="00F27422">
        <w:rPr>
          <w:rFonts w:ascii="mylotus" w:hAnsi="mylotus" w:hint="cs"/>
          <w:b/>
          <w:bCs/>
          <w:sz w:val="32"/>
          <w:rtl/>
        </w:rPr>
        <w:t>الخيار</w:t>
      </w:r>
      <w:r w:rsidRPr="00F27422">
        <w:rPr>
          <w:rFonts w:ascii="mylotus" w:hAnsi="mylotus"/>
          <w:b/>
          <w:bCs/>
          <w:sz w:val="32"/>
          <w:rtl/>
        </w:rPr>
        <w:t xml:space="preserve"> </w:t>
      </w:r>
      <w:r w:rsidRPr="00F27422">
        <w:rPr>
          <w:rFonts w:ascii="mylotus" w:hAnsi="mylotus" w:hint="cs"/>
          <w:b/>
          <w:bCs/>
          <w:sz w:val="32"/>
          <w:rtl/>
        </w:rPr>
        <w:t>وحق</w:t>
      </w:r>
      <w:r w:rsidRPr="00F27422">
        <w:rPr>
          <w:rFonts w:ascii="mylotus" w:hAnsi="mylotus"/>
          <w:b/>
          <w:bCs/>
          <w:sz w:val="32"/>
          <w:rtl/>
        </w:rPr>
        <w:t xml:space="preserve"> </w:t>
      </w:r>
      <w:r w:rsidRPr="00F27422">
        <w:rPr>
          <w:rFonts w:ascii="mylotus" w:hAnsi="mylotus" w:hint="cs"/>
          <w:b/>
          <w:bCs/>
          <w:sz w:val="32"/>
          <w:rtl/>
        </w:rPr>
        <w:t>الفسخ</w:t>
      </w:r>
      <w:r w:rsidRPr="00F27422">
        <w:rPr>
          <w:rFonts w:ascii="mylotus" w:hAnsi="mylotus"/>
          <w:b/>
          <w:bCs/>
          <w:sz w:val="32"/>
          <w:rtl/>
        </w:rPr>
        <w:t xml:space="preserve"> </w:t>
      </w:r>
      <w:r w:rsidRPr="00F27422">
        <w:rPr>
          <w:rFonts w:ascii="mylotus" w:hAnsi="mylotus" w:hint="cs"/>
          <w:b/>
          <w:bCs/>
          <w:sz w:val="32"/>
          <w:rtl/>
        </w:rPr>
        <w:t>للطرف</w:t>
      </w:r>
      <w:r w:rsidRPr="00F27422">
        <w:rPr>
          <w:rFonts w:ascii="mylotus" w:hAnsi="mylotus"/>
          <w:b/>
          <w:bCs/>
          <w:sz w:val="32"/>
          <w:rtl/>
        </w:rPr>
        <w:t xml:space="preserve"> </w:t>
      </w:r>
      <w:r w:rsidRPr="00F27422">
        <w:rPr>
          <w:rFonts w:ascii="mylotus" w:hAnsi="mylotus" w:hint="cs"/>
          <w:b/>
          <w:bCs/>
          <w:sz w:val="32"/>
          <w:rtl/>
        </w:rPr>
        <w:t>الآخر</w:t>
      </w:r>
      <w:r w:rsidRPr="00F27422">
        <w:rPr>
          <w:rFonts w:ascii="mylotus" w:hAnsi="mylotus"/>
          <w:b/>
          <w:bCs/>
          <w:sz w:val="32"/>
          <w:rtl/>
        </w:rPr>
        <w:t xml:space="preserve"> </w:t>
      </w:r>
      <w:r w:rsidRPr="00F27422">
        <w:rPr>
          <w:rFonts w:ascii="mylotus" w:hAnsi="mylotus" w:hint="cs"/>
          <w:b/>
          <w:bCs/>
          <w:sz w:val="32"/>
          <w:rtl/>
        </w:rPr>
        <w:t>إذا</w:t>
      </w:r>
      <w:r w:rsidRPr="00F27422">
        <w:rPr>
          <w:rFonts w:ascii="mylotus" w:hAnsi="mylotus"/>
          <w:b/>
          <w:bCs/>
          <w:sz w:val="32"/>
          <w:rtl/>
        </w:rPr>
        <w:t xml:space="preserve"> </w:t>
      </w:r>
      <w:r w:rsidRPr="00F27422">
        <w:rPr>
          <w:rFonts w:ascii="mylotus" w:hAnsi="mylotus" w:hint="cs"/>
          <w:b/>
          <w:bCs/>
          <w:sz w:val="32"/>
          <w:rtl/>
        </w:rPr>
        <w:t>امتنع</w:t>
      </w:r>
      <w:r w:rsidRPr="00F27422">
        <w:rPr>
          <w:rFonts w:ascii="mylotus" w:hAnsi="mylotus"/>
          <w:b/>
          <w:bCs/>
          <w:sz w:val="32"/>
          <w:rtl/>
        </w:rPr>
        <w:t xml:space="preserve"> </w:t>
      </w:r>
      <w:r w:rsidRPr="00F27422">
        <w:rPr>
          <w:rFonts w:ascii="mylotus" w:hAnsi="mylotus" w:hint="cs"/>
          <w:b/>
          <w:bCs/>
          <w:sz w:val="32"/>
          <w:rtl/>
        </w:rPr>
        <w:t>أحدهما</w:t>
      </w:r>
      <w:r w:rsidRPr="00F27422">
        <w:rPr>
          <w:rFonts w:ascii="mylotus" w:hAnsi="mylotus"/>
          <w:b/>
          <w:bCs/>
          <w:sz w:val="32"/>
          <w:rtl/>
        </w:rPr>
        <w:t xml:space="preserve"> </w:t>
      </w:r>
      <w:r w:rsidRPr="00F27422">
        <w:rPr>
          <w:rFonts w:ascii="mylotus" w:hAnsi="mylotus" w:hint="cs"/>
          <w:b/>
          <w:bCs/>
          <w:sz w:val="32"/>
          <w:rtl/>
        </w:rPr>
        <w:t>عن</w:t>
      </w:r>
      <w:r w:rsidRPr="00F27422">
        <w:rPr>
          <w:rFonts w:ascii="mylotus" w:hAnsi="mylotus"/>
          <w:b/>
          <w:bCs/>
          <w:sz w:val="32"/>
          <w:rtl/>
        </w:rPr>
        <w:t xml:space="preserve"> </w:t>
      </w:r>
      <w:r w:rsidRPr="00F27422">
        <w:rPr>
          <w:rFonts w:ascii="mylotus" w:hAnsi="mylotus" w:hint="cs"/>
          <w:b/>
          <w:bCs/>
          <w:sz w:val="32"/>
          <w:rtl/>
        </w:rPr>
        <w:t>التسليم</w:t>
      </w:r>
      <w:r w:rsidRPr="00F27422">
        <w:rPr>
          <w:rFonts w:ascii="mylotus" w:hAnsi="mylotus"/>
          <w:b/>
          <w:bCs/>
          <w:sz w:val="32"/>
          <w:rtl/>
        </w:rPr>
        <w:t>)</w:t>
      </w:r>
      <w:r w:rsidRPr="00F27422">
        <w:rPr>
          <w:rFonts w:ascii="mylotus" w:hAnsi="mylotus"/>
          <w:sz w:val="32"/>
          <w:rtl/>
        </w:rPr>
        <w:t xml:space="preserve"> </w:t>
      </w:r>
      <w:r w:rsidRPr="00F27422">
        <w:rPr>
          <w:rFonts w:ascii="mylotus" w:hAnsi="mylotus" w:hint="cs"/>
          <w:sz w:val="32"/>
          <w:rtl/>
        </w:rPr>
        <w:t>فللآخر</w:t>
      </w:r>
      <w:r w:rsidRPr="00F27422">
        <w:rPr>
          <w:rFonts w:ascii="mylotus" w:hAnsi="mylotus"/>
          <w:sz w:val="32"/>
          <w:rtl/>
        </w:rPr>
        <w:t xml:space="preserve"> </w:t>
      </w:r>
      <w:r w:rsidRPr="00F27422">
        <w:rPr>
          <w:rFonts w:ascii="mylotus" w:hAnsi="mylotus" w:hint="cs"/>
          <w:sz w:val="32"/>
          <w:rtl/>
        </w:rPr>
        <w:t>أنْ</w:t>
      </w:r>
      <w:r w:rsidRPr="00F27422">
        <w:rPr>
          <w:rFonts w:ascii="mylotus" w:hAnsi="mylotus"/>
          <w:sz w:val="32"/>
          <w:rtl/>
        </w:rPr>
        <w:t xml:space="preserve"> </w:t>
      </w:r>
      <w:r w:rsidRPr="00F27422">
        <w:rPr>
          <w:rFonts w:ascii="mylotus" w:hAnsi="mylotus" w:hint="cs"/>
          <w:sz w:val="32"/>
          <w:rtl/>
        </w:rPr>
        <w:t>يفسخ</w:t>
      </w:r>
      <w:r w:rsidRPr="00F27422">
        <w:rPr>
          <w:rFonts w:ascii="mylotus" w:hAnsi="mylotus"/>
          <w:sz w:val="32"/>
          <w:rtl/>
        </w:rPr>
        <w:t xml:space="preserve"> </w:t>
      </w:r>
      <w:r w:rsidRPr="00F27422">
        <w:rPr>
          <w:rFonts w:ascii="mylotus" w:hAnsi="mylotus"/>
          <w:b/>
          <w:bCs/>
          <w:sz w:val="32"/>
          <w:rtl/>
        </w:rPr>
        <w:t>(</w:t>
      </w:r>
      <w:r w:rsidRPr="00F27422">
        <w:rPr>
          <w:rFonts w:ascii="mylotus" w:hAnsi="mylotus" w:hint="cs"/>
          <w:b/>
          <w:bCs/>
          <w:sz w:val="32"/>
          <w:rtl/>
        </w:rPr>
        <w:t>وهذا</w:t>
      </w:r>
      <w:r w:rsidRPr="00F27422">
        <w:rPr>
          <w:rFonts w:ascii="mylotus" w:hAnsi="mylotus"/>
          <w:b/>
          <w:bCs/>
          <w:sz w:val="32"/>
          <w:rtl/>
        </w:rPr>
        <w:t xml:space="preserve"> </w:t>
      </w:r>
      <w:r w:rsidRPr="00F27422">
        <w:rPr>
          <w:rFonts w:ascii="mylotus" w:hAnsi="mylotus" w:hint="cs"/>
          <w:b/>
          <w:bCs/>
          <w:sz w:val="32"/>
          <w:rtl/>
        </w:rPr>
        <w:t>ما</w:t>
      </w:r>
      <w:r w:rsidRPr="00F27422">
        <w:rPr>
          <w:rFonts w:ascii="mylotus" w:hAnsi="mylotus"/>
          <w:b/>
          <w:bCs/>
          <w:sz w:val="32"/>
          <w:rtl/>
        </w:rPr>
        <w:t xml:space="preserve"> </w:t>
      </w:r>
      <w:r w:rsidRPr="00F27422">
        <w:rPr>
          <w:rFonts w:ascii="mylotus" w:hAnsi="mylotus" w:hint="cs"/>
          <w:b/>
          <w:bCs/>
          <w:sz w:val="32"/>
          <w:rtl/>
        </w:rPr>
        <w:t>لا</w:t>
      </w:r>
      <w:r w:rsidRPr="00F27422">
        <w:rPr>
          <w:rFonts w:ascii="mylotus" w:hAnsi="mylotus"/>
          <w:b/>
          <w:bCs/>
          <w:sz w:val="32"/>
          <w:rtl/>
        </w:rPr>
        <w:t xml:space="preserve"> </w:t>
      </w:r>
      <w:r w:rsidRPr="00F27422">
        <w:rPr>
          <w:rFonts w:ascii="mylotus" w:hAnsi="mylotus" w:hint="cs"/>
          <w:b/>
          <w:bCs/>
          <w:sz w:val="32"/>
          <w:rtl/>
        </w:rPr>
        <w:t>يلتزم</w:t>
      </w:r>
      <w:r w:rsidRPr="00F27422">
        <w:rPr>
          <w:rFonts w:ascii="mylotus" w:hAnsi="mylotus"/>
          <w:b/>
          <w:bCs/>
          <w:sz w:val="32"/>
          <w:rtl/>
        </w:rPr>
        <w:t xml:space="preserve"> </w:t>
      </w:r>
      <w:r w:rsidRPr="00F27422">
        <w:rPr>
          <w:rFonts w:ascii="mylotus" w:hAnsi="mylotus" w:hint="cs"/>
          <w:b/>
          <w:bCs/>
          <w:sz w:val="32"/>
          <w:rtl/>
        </w:rPr>
        <w:t>به</w:t>
      </w:r>
      <w:r w:rsidRPr="00F27422">
        <w:rPr>
          <w:rFonts w:ascii="mylotus" w:hAnsi="mylotus"/>
          <w:b/>
          <w:bCs/>
          <w:sz w:val="32"/>
          <w:rtl/>
        </w:rPr>
        <w:t xml:space="preserve"> </w:t>
      </w:r>
      <w:r w:rsidRPr="00F27422">
        <w:rPr>
          <w:rFonts w:ascii="mylotus" w:hAnsi="mylotus" w:hint="cs"/>
          <w:b/>
          <w:bCs/>
          <w:sz w:val="32"/>
          <w:rtl/>
        </w:rPr>
        <w:t>المشهور</w:t>
      </w:r>
      <w:r w:rsidRPr="00F27422">
        <w:rPr>
          <w:rFonts w:ascii="mylotus" w:hAnsi="mylotus"/>
          <w:b/>
          <w:bCs/>
          <w:sz w:val="32"/>
          <w:rtl/>
        </w:rPr>
        <w:t xml:space="preserve"> </w:t>
      </w:r>
      <w:r w:rsidRPr="00F27422">
        <w:rPr>
          <w:rFonts w:ascii="mylotus" w:hAnsi="mylotus" w:hint="cs"/>
          <w:b/>
          <w:bCs/>
          <w:sz w:val="32"/>
          <w:rtl/>
        </w:rPr>
        <w:t>ومنهم</w:t>
      </w:r>
      <w:r w:rsidRPr="00F27422">
        <w:rPr>
          <w:rFonts w:ascii="mylotus" w:hAnsi="mylotus"/>
          <w:b/>
          <w:bCs/>
          <w:sz w:val="32"/>
          <w:rtl/>
        </w:rPr>
        <w:t xml:space="preserve"> </w:t>
      </w:r>
      <w:r w:rsidRPr="00F27422">
        <w:rPr>
          <w:rFonts w:ascii="mylotus" w:hAnsi="mylotus" w:hint="cs"/>
          <w:b/>
          <w:bCs/>
          <w:sz w:val="32"/>
          <w:rtl/>
        </w:rPr>
        <w:t>الماتن</w:t>
      </w:r>
      <w:r w:rsidRPr="00F27422">
        <w:rPr>
          <w:rFonts w:ascii="mylotus" w:hAnsi="mylotus"/>
          <w:b/>
          <w:bCs/>
          <w:sz w:val="32"/>
          <w:rtl/>
        </w:rPr>
        <w:t xml:space="preserve"> (</w:t>
      </w:r>
      <w:r w:rsidRPr="00F27422">
        <w:rPr>
          <w:rFonts w:ascii="mylotus" w:hAnsi="mylotus" w:hint="cs"/>
          <w:b/>
          <w:bCs/>
          <w:sz w:val="32"/>
          <w:rtl/>
        </w:rPr>
        <w:t>قدس</w:t>
      </w:r>
      <w:r w:rsidRPr="00F27422">
        <w:rPr>
          <w:rFonts w:ascii="mylotus" w:hAnsi="mylotus"/>
          <w:b/>
          <w:bCs/>
          <w:sz w:val="32"/>
          <w:rtl/>
        </w:rPr>
        <w:t xml:space="preserve"> </w:t>
      </w:r>
      <w:r w:rsidRPr="00F27422">
        <w:rPr>
          <w:rFonts w:ascii="mylotus" w:hAnsi="mylotus" w:hint="cs"/>
          <w:b/>
          <w:bCs/>
          <w:sz w:val="32"/>
          <w:rtl/>
        </w:rPr>
        <w:t>سره</w:t>
      </w:r>
      <w:r w:rsidRPr="00F27422">
        <w:rPr>
          <w:rFonts w:ascii="mylotus" w:hAnsi="mylotus"/>
          <w:b/>
          <w:bCs/>
          <w:sz w:val="32"/>
          <w:rtl/>
        </w:rPr>
        <w:t>)</w:t>
      </w:r>
      <w:r w:rsidRPr="00F27422">
        <w:rPr>
          <w:rFonts w:ascii="mylotus" w:hAnsi="mylotus" w:hint="cs"/>
          <w:b/>
          <w:bCs/>
          <w:sz w:val="32"/>
          <w:rtl/>
        </w:rPr>
        <w:t xml:space="preserve"> وإنّما</w:t>
      </w:r>
      <w:r w:rsidRPr="00F27422">
        <w:rPr>
          <w:rFonts w:ascii="mylotus" w:hAnsi="mylotus"/>
          <w:b/>
          <w:bCs/>
          <w:sz w:val="32"/>
          <w:rtl/>
        </w:rPr>
        <w:t xml:space="preserve"> </w:t>
      </w:r>
      <w:r w:rsidRPr="00F27422">
        <w:rPr>
          <w:rFonts w:ascii="mylotus" w:hAnsi="mylotus" w:hint="cs"/>
          <w:b/>
          <w:bCs/>
          <w:sz w:val="32"/>
          <w:rtl/>
        </w:rPr>
        <w:t>الثابت</w:t>
      </w:r>
      <w:r w:rsidRPr="00F27422">
        <w:rPr>
          <w:rFonts w:ascii="mylotus" w:hAnsi="mylotus"/>
          <w:b/>
          <w:bCs/>
          <w:sz w:val="32"/>
          <w:rtl/>
        </w:rPr>
        <w:t xml:space="preserve"> </w:t>
      </w:r>
      <w:r w:rsidRPr="00F27422">
        <w:rPr>
          <w:rFonts w:ascii="mylotus" w:hAnsi="mylotus" w:hint="cs"/>
          <w:b/>
          <w:bCs/>
          <w:sz w:val="32"/>
          <w:rtl/>
        </w:rPr>
        <w:t>فقهياً</w:t>
      </w:r>
      <w:r w:rsidRPr="00F27422">
        <w:rPr>
          <w:rFonts w:ascii="mylotus" w:hAnsi="mylotus"/>
          <w:b/>
          <w:bCs/>
          <w:sz w:val="32"/>
          <w:rtl/>
        </w:rPr>
        <w:t xml:space="preserve"> </w:t>
      </w:r>
      <w:r w:rsidRPr="00F27422">
        <w:rPr>
          <w:rFonts w:ascii="mylotus" w:hAnsi="mylotus" w:hint="cs"/>
          <w:b/>
          <w:bCs/>
          <w:sz w:val="32"/>
          <w:rtl/>
        </w:rPr>
        <w:t>مجرد</w:t>
      </w:r>
      <w:r w:rsidRPr="00F27422">
        <w:rPr>
          <w:rFonts w:ascii="mylotus" w:hAnsi="mylotus"/>
          <w:b/>
          <w:bCs/>
          <w:sz w:val="32"/>
          <w:rtl/>
        </w:rPr>
        <w:t xml:space="preserve"> استحقاق التسليم وحق الامتناع عن التسليم في قبال منع الآخر وإمكان إجباره عليه من قبل الحاكم) </w:t>
      </w:r>
      <w:r w:rsidRPr="00F27422">
        <w:rPr>
          <w:rFonts w:ascii="mylotus" w:hAnsi="mylotus"/>
          <w:sz w:val="32"/>
          <w:rtl/>
        </w:rPr>
        <w:t>لا أكثر من ذلك، ولا يثبتُ الخيار، بينما لازم كون المدرك هو الشرط ثبوت</w:t>
      </w:r>
      <w:r w:rsidRPr="00F27422">
        <w:rPr>
          <w:rFonts w:ascii="mylotus" w:hAnsi="mylotus" w:hint="cs"/>
          <w:sz w:val="32"/>
          <w:rtl/>
        </w:rPr>
        <w:t>ُ</w:t>
      </w:r>
      <w:r w:rsidRPr="00F27422">
        <w:rPr>
          <w:rFonts w:ascii="mylotus" w:hAnsi="mylotus"/>
          <w:sz w:val="32"/>
          <w:rtl/>
        </w:rPr>
        <w:t xml:space="preserve"> الخيار عند تخلفه</w:t>
      </w:r>
      <w:r w:rsidRPr="00F27422">
        <w:rPr>
          <w:rFonts w:ascii="mylotus" w:hAnsi="mylotus" w:hint="cs"/>
          <w:sz w:val="32"/>
          <w:rtl/>
        </w:rPr>
        <w:t>.</w:t>
      </w:r>
    </w:p>
    <w:p w14:paraId="2EC49741"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sz w:val="32"/>
          <w:rtl/>
        </w:rPr>
        <w:t>ثمّ قال</w:t>
      </w:r>
      <w:r w:rsidRPr="00F27422">
        <w:rPr>
          <w:rFonts w:ascii="mylotus" w:hAnsi="mylotus" w:hint="cs"/>
          <w:sz w:val="32"/>
          <w:rtl/>
        </w:rPr>
        <w:t xml:space="preserve"> (رحمه الله)</w:t>
      </w:r>
      <w:r w:rsidRPr="00F27422">
        <w:rPr>
          <w:rFonts w:ascii="mylotus" w:hAnsi="mylotus"/>
          <w:sz w:val="32"/>
          <w:rtl/>
        </w:rPr>
        <w:t xml:space="preserve">: </w:t>
      </w:r>
      <w:r w:rsidRPr="00F27422">
        <w:rPr>
          <w:rFonts w:ascii="mylotus" w:hAnsi="mylotus"/>
          <w:b/>
          <w:bCs/>
          <w:sz w:val="32"/>
          <w:rtl/>
        </w:rPr>
        <w:t>(نعم، تعذّر التسليم)</w:t>
      </w:r>
      <w:r w:rsidRPr="00F27422">
        <w:rPr>
          <w:rFonts w:ascii="mylotus" w:hAnsi="mylotus"/>
          <w:sz w:val="32"/>
          <w:rtl/>
        </w:rPr>
        <w:t xml:space="preserve"> لا امتناعه </w:t>
      </w:r>
      <w:r w:rsidRPr="00F27422">
        <w:rPr>
          <w:rFonts w:ascii="mylotus" w:hAnsi="mylotus"/>
          <w:b/>
          <w:bCs/>
          <w:sz w:val="32"/>
          <w:rtl/>
        </w:rPr>
        <w:t>(بعد إمكانه ابتداءً يوجب خيار التعذر في المعاوضات)</w:t>
      </w:r>
      <w:r w:rsidRPr="00F27422">
        <w:rPr>
          <w:rFonts w:ascii="mylotus" w:hAnsi="mylotus"/>
          <w:sz w:val="32"/>
          <w:rtl/>
        </w:rPr>
        <w:t xml:space="preserve"> لا خيار تخلف الشرط </w:t>
      </w:r>
      <w:r w:rsidRPr="00F27422">
        <w:rPr>
          <w:rFonts w:ascii="mylotus" w:hAnsi="mylotus"/>
          <w:b/>
          <w:bCs/>
          <w:sz w:val="32"/>
          <w:rtl/>
        </w:rPr>
        <w:t>(وذاك أجنبي عن البحث)</w:t>
      </w:r>
      <w:r w:rsidRPr="00F27422">
        <w:rPr>
          <w:rFonts w:ascii="mylotus" w:hAnsi="mylotus"/>
          <w:b/>
          <w:bCs/>
          <w:sz w:val="32"/>
        </w:rPr>
        <w:t>.</w:t>
      </w:r>
    </w:p>
    <w:p w14:paraId="46EB6138"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sz w:val="32"/>
          <w:rtl/>
        </w:rPr>
        <w:t>فلا يصلح أنْ يكون مدرك وجوب التسليم هو الشرط الارتكازي؛ فإنّ لازمه مما لا يلتزم به المشهور</w:t>
      </w:r>
      <w:r w:rsidRPr="00F27422">
        <w:rPr>
          <w:rFonts w:ascii="mylotus" w:hAnsi="mylotus"/>
          <w:sz w:val="32"/>
        </w:rPr>
        <w:t>.</w:t>
      </w:r>
    </w:p>
    <w:p w14:paraId="4EFD7B8F"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b/>
          <w:bCs/>
          <w:sz w:val="32"/>
          <w:rtl/>
        </w:rPr>
        <w:t>والتعليقُ على ذلك</w:t>
      </w:r>
      <w:r w:rsidRPr="00F27422">
        <w:rPr>
          <w:rFonts w:ascii="mylotus" w:hAnsi="mylotus"/>
          <w:b/>
          <w:bCs/>
          <w:sz w:val="32"/>
        </w:rPr>
        <w:t>:</w:t>
      </w:r>
    </w:p>
    <w:p w14:paraId="6D79EB19"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sz w:val="32"/>
          <w:rtl/>
        </w:rPr>
        <w:lastRenderedPageBreak/>
        <w:t>أنّ ما ذكره وإنْ كان صحيحاً في أنّ منشأ وجوب التسليم لو كان هو الشرط الارتكازي لكان مقتضاهُ ثبوت الخيار عند التخلف، ولَمْ يقل بِهِ المشهور، ولكن سيدنا الخوئي (قدس سره الشريف) ممن يقولُ بثبوت الخيار عند ال</w:t>
      </w:r>
      <w:r w:rsidRPr="00F27422">
        <w:rPr>
          <w:rFonts w:ascii="mylotus" w:hAnsi="mylotus" w:hint="cs"/>
          <w:sz w:val="32"/>
          <w:rtl/>
        </w:rPr>
        <w:t>ا</w:t>
      </w:r>
      <w:r w:rsidRPr="00F27422">
        <w:rPr>
          <w:rFonts w:ascii="mylotus" w:hAnsi="mylotus"/>
          <w:sz w:val="32"/>
          <w:rtl/>
        </w:rPr>
        <w:t>متناع في عرض إمكان التوسل بإجبار الحاكم للممتنع، كما يظهر</w:t>
      </w:r>
      <w:r w:rsidRPr="00F27422">
        <w:rPr>
          <w:rFonts w:ascii="mylotus" w:hAnsi="mylotus" w:hint="cs"/>
          <w:sz w:val="32"/>
          <w:rtl/>
        </w:rPr>
        <w:t>ُ</w:t>
      </w:r>
      <w:r w:rsidRPr="00F27422">
        <w:rPr>
          <w:rFonts w:ascii="mylotus" w:hAnsi="mylotus"/>
          <w:sz w:val="32"/>
          <w:rtl/>
        </w:rPr>
        <w:t xml:space="preserve"> م</w:t>
      </w:r>
      <w:r w:rsidRPr="00F27422">
        <w:rPr>
          <w:rFonts w:ascii="mylotus" w:hAnsi="mylotus" w:hint="cs"/>
          <w:sz w:val="32"/>
          <w:rtl/>
        </w:rPr>
        <w:t>ِ</w:t>
      </w:r>
      <w:r w:rsidRPr="00F27422">
        <w:rPr>
          <w:rFonts w:ascii="mylotus" w:hAnsi="mylotus"/>
          <w:sz w:val="32"/>
          <w:rtl/>
        </w:rPr>
        <w:t>ن كلامه في شرح المسألة العاشرة من أحكام العوضين</w:t>
      </w:r>
      <w:r w:rsidRPr="00F27422">
        <w:rPr>
          <w:rStyle w:val="FootnoteReference"/>
          <w:rFonts w:ascii="mylotus" w:hAnsi="mylotus"/>
          <w:sz w:val="32"/>
          <w:rtl/>
        </w:rPr>
        <w:footnoteReference w:id="164"/>
      </w:r>
      <w:r w:rsidRPr="00F27422">
        <w:rPr>
          <w:rFonts w:ascii="mylotus" w:hAnsi="mylotus" w:hint="cs"/>
          <w:sz w:val="32"/>
          <w:rtl/>
        </w:rPr>
        <w:t>.</w:t>
      </w:r>
    </w:p>
    <w:p w14:paraId="793D093A" w14:textId="77777777" w:rsidR="00DD7989" w:rsidRPr="00F27422" w:rsidRDefault="00DD7989" w:rsidP="00122B70">
      <w:pPr>
        <w:pStyle w:val="a"/>
        <w:bidi/>
        <w:spacing w:line="216" w:lineRule="auto"/>
        <w:jc w:val="left"/>
        <w:rPr>
          <w:rFonts w:ascii="mylotus" w:hAnsi="mylotus"/>
          <w:sz w:val="32"/>
          <w:rtl/>
        </w:rPr>
      </w:pPr>
      <w:r w:rsidRPr="00F27422">
        <w:rPr>
          <w:rFonts w:ascii="mylotus" w:hAnsi="mylotus"/>
          <w:b/>
          <w:bCs/>
          <w:sz w:val="32"/>
          <w:rtl/>
        </w:rPr>
        <w:t>كما يمكنُ أنْ يُقال:</w:t>
      </w:r>
      <w:r w:rsidRPr="00F27422">
        <w:rPr>
          <w:rFonts w:ascii="mylotus" w:hAnsi="mylotus"/>
          <w:sz w:val="32"/>
          <w:rtl/>
        </w:rPr>
        <w:t xml:space="preserve"> بثبوت الخيار في المقام بطريقٍ آخرٍ</w:t>
      </w:r>
      <w:r w:rsidRPr="00F27422">
        <w:rPr>
          <w:rFonts w:ascii="mylotus" w:hAnsi="mylotus" w:hint="cs"/>
          <w:sz w:val="32"/>
          <w:rtl/>
        </w:rPr>
        <w:t>.</w:t>
      </w:r>
    </w:p>
    <w:p w14:paraId="3597ECAF"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b/>
          <w:bCs/>
          <w:sz w:val="32"/>
          <w:rtl/>
        </w:rPr>
        <w:t>وحاصله:</w:t>
      </w:r>
      <w:r w:rsidRPr="00F27422">
        <w:rPr>
          <w:rFonts w:ascii="mylotus" w:hAnsi="mylotus"/>
          <w:sz w:val="32"/>
          <w:rtl/>
        </w:rPr>
        <w:t xml:space="preserve"> أنّ الارتكاز العقلائي وإن</w:t>
      </w:r>
      <w:r w:rsidRPr="00F27422">
        <w:rPr>
          <w:rFonts w:ascii="mylotus" w:hAnsi="mylotus" w:hint="cs"/>
          <w:sz w:val="32"/>
          <w:rtl/>
        </w:rPr>
        <w:t>ْ</w:t>
      </w:r>
      <w:r w:rsidRPr="00F27422">
        <w:rPr>
          <w:rFonts w:ascii="mylotus" w:hAnsi="mylotus"/>
          <w:sz w:val="32"/>
          <w:rtl/>
        </w:rPr>
        <w:t xml:space="preserve"> بنى على أن</w:t>
      </w:r>
      <w:r w:rsidRPr="00F27422">
        <w:rPr>
          <w:rFonts w:ascii="mylotus" w:hAnsi="mylotus" w:hint="cs"/>
          <w:sz w:val="32"/>
          <w:rtl/>
        </w:rPr>
        <w:t>ّ</w:t>
      </w:r>
      <w:r w:rsidRPr="00F27422">
        <w:rPr>
          <w:rFonts w:ascii="mylotus" w:hAnsi="mylotus"/>
          <w:sz w:val="32"/>
          <w:rtl/>
        </w:rPr>
        <w:t xml:space="preserve"> لأحد الطرفين حق</w:t>
      </w:r>
      <w:r w:rsidRPr="00F27422">
        <w:rPr>
          <w:rFonts w:ascii="mylotus" w:hAnsi="mylotus" w:hint="cs"/>
          <w:sz w:val="32"/>
          <w:rtl/>
        </w:rPr>
        <w:t>ّ</w:t>
      </w:r>
      <w:r w:rsidRPr="00F27422">
        <w:rPr>
          <w:rFonts w:ascii="mylotus" w:hAnsi="mylotus"/>
          <w:sz w:val="32"/>
          <w:rtl/>
        </w:rPr>
        <w:t xml:space="preserve"> الامتناع عن التسليم إذا امتنع الآخرُ عنه،</w:t>
      </w:r>
      <w:r w:rsidRPr="00F27422">
        <w:rPr>
          <w:rFonts w:ascii="mylotus" w:hAnsi="mylotus" w:hint="cs"/>
          <w:sz w:val="32"/>
          <w:rtl/>
        </w:rPr>
        <w:t xml:space="preserve"> </w:t>
      </w:r>
      <w:r w:rsidRPr="00F27422">
        <w:rPr>
          <w:rFonts w:ascii="mylotus" w:hAnsi="mylotus"/>
          <w:sz w:val="32"/>
          <w:rtl/>
        </w:rPr>
        <w:t>ولكن حيثُ إنّ هذا الحقّ بنفسه لا يدفع الضرر ال</w:t>
      </w:r>
      <w:r w:rsidRPr="00F27422">
        <w:rPr>
          <w:rFonts w:ascii="mylotus" w:hAnsi="mylotus" w:hint="cs"/>
          <w:sz w:val="32"/>
          <w:rtl/>
        </w:rPr>
        <w:t>ا</w:t>
      </w:r>
      <w:r w:rsidRPr="00F27422">
        <w:rPr>
          <w:rFonts w:ascii="mylotus" w:hAnsi="mylotus"/>
          <w:sz w:val="32"/>
          <w:rtl/>
        </w:rPr>
        <w:t>عتباري الحكمي الوارد عليه نتيجة عدم تسلمه مِلكه ومنعه م</w:t>
      </w:r>
      <w:r w:rsidRPr="00F27422">
        <w:rPr>
          <w:rFonts w:ascii="mylotus" w:hAnsi="mylotus" w:hint="cs"/>
          <w:sz w:val="32"/>
          <w:rtl/>
        </w:rPr>
        <w:t>ِ</w:t>
      </w:r>
      <w:r w:rsidRPr="00F27422">
        <w:rPr>
          <w:rFonts w:ascii="mylotus" w:hAnsi="mylotus"/>
          <w:sz w:val="32"/>
          <w:rtl/>
        </w:rPr>
        <w:t xml:space="preserve">ن الانتفاع به، فمقتضى قاعدة "لا ضرر" </w:t>
      </w:r>
      <w:r w:rsidRPr="00F27422">
        <w:rPr>
          <w:rFonts w:ascii="mylotus" w:hAnsi="mylotus" w:hint="cs"/>
          <w:sz w:val="32"/>
          <w:rtl/>
        </w:rPr>
        <w:t xml:space="preserve">- </w:t>
      </w:r>
      <w:r w:rsidRPr="00F27422">
        <w:rPr>
          <w:rFonts w:ascii="mylotus" w:hAnsi="mylotus"/>
          <w:sz w:val="32"/>
          <w:rtl/>
        </w:rPr>
        <w:t>بناء</w:t>
      </w:r>
      <w:r w:rsidRPr="00F27422">
        <w:rPr>
          <w:rFonts w:ascii="mylotus" w:hAnsi="mylotus" w:hint="cs"/>
          <w:sz w:val="32"/>
          <w:rtl/>
        </w:rPr>
        <w:t>ً</w:t>
      </w:r>
      <w:r w:rsidRPr="00F27422">
        <w:rPr>
          <w:rFonts w:ascii="mylotus" w:hAnsi="mylotus"/>
          <w:sz w:val="32"/>
          <w:rtl/>
        </w:rPr>
        <w:t xml:space="preserve"> على شمولها للأحكام العدمية - ثبوت</w:t>
      </w:r>
      <w:r w:rsidRPr="00F27422">
        <w:rPr>
          <w:rFonts w:ascii="mylotus" w:hAnsi="mylotus" w:hint="cs"/>
          <w:sz w:val="32"/>
          <w:rtl/>
        </w:rPr>
        <w:t>ُ</w:t>
      </w:r>
      <w:r w:rsidRPr="00F27422">
        <w:rPr>
          <w:rFonts w:ascii="mylotus" w:hAnsi="mylotus"/>
          <w:sz w:val="32"/>
          <w:rtl/>
        </w:rPr>
        <w:t xml:space="preserve"> جامع السلطنة في حقّه بين مطالبة الحاكم الشرعي بإجباره أو الفسخ، فإنّ في المطالبة بإجبار الحاكم مؤنة عرفية ليست لازمة عليه، فبالإمكان التشبث بقاعدة "لا ضرر" لإثبات جامع الحق</w:t>
      </w:r>
      <w:r w:rsidRPr="00F27422">
        <w:rPr>
          <w:rFonts w:ascii="mylotus" w:hAnsi="mylotus" w:hint="cs"/>
          <w:sz w:val="32"/>
          <w:rtl/>
        </w:rPr>
        <w:t>ّ</w:t>
      </w:r>
      <w:r w:rsidRPr="00F27422">
        <w:rPr>
          <w:rFonts w:ascii="mylotus" w:hAnsi="mylotus"/>
          <w:sz w:val="32"/>
          <w:rtl/>
        </w:rPr>
        <w:t xml:space="preserve"> الذي أحد فرديه الخيار</w:t>
      </w:r>
      <w:r w:rsidRPr="00F27422">
        <w:rPr>
          <w:rFonts w:ascii="mylotus" w:hAnsi="mylotus"/>
          <w:sz w:val="32"/>
        </w:rPr>
        <w:t>.</w:t>
      </w:r>
    </w:p>
    <w:p w14:paraId="205FBDBC" w14:textId="77777777" w:rsidR="00DD7989" w:rsidRPr="00F27422" w:rsidRDefault="00DD7989" w:rsidP="00122B70">
      <w:pPr>
        <w:pStyle w:val="a"/>
        <w:bidi/>
        <w:spacing w:line="216" w:lineRule="auto"/>
        <w:jc w:val="left"/>
        <w:rPr>
          <w:rFonts w:ascii="mylotus" w:hAnsi="mylotus"/>
          <w:sz w:val="32"/>
          <w:rtl/>
        </w:rPr>
      </w:pPr>
      <w:r w:rsidRPr="00F27422">
        <w:rPr>
          <w:rFonts w:ascii="mylotus" w:hAnsi="mylotus"/>
          <w:b/>
          <w:bCs/>
          <w:sz w:val="32"/>
          <w:rtl/>
        </w:rPr>
        <w:t>الوجهُ الثالث:</w:t>
      </w:r>
      <w:r w:rsidRPr="00F27422">
        <w:rPr>
          <w:rFonts w:ascii="mylotus" w:hAnsi="mylotus"/>
          <w:sz w:val="32"/>
          <w:rtl/>
        </w:rPr>
        <w:t xml:space="preserve"> ما</w:t>
      </w:r>
      <w:r w:rsidRPr="00F27422">
        <w:rPr>
          <w:rFonts w:ascii="mylotus" w:hAnsi="mylotus" w:hint="cs"/>
          <w:sz w:val="32"/>
          <w:rtl/>
        </w:rPr>
        <w:t xml:space="preserve"> </w:t>
      </w:r>
      <w:r w:rsidRPr="00F27422">
        <w:rPr>
          <w:rFonts w:ascii="mylotus" w:hAnsi="mylotus"/>
          <w:sz w:val="32"/>
          <w:rtl/>
        </w:rPr>
        <w:t>اختاره بعض الأجلة (رحمه الله) في كتابه الإجارة</w:t>
      </w:r>
      <w:r w:rsidRPr="00F27422">
        <w:rPr>
          <w:rStyle w:val="FootnoteReference"/>
          <w:rFonts w:ascii="mylotus" w:hAnsi="mylotus"/>
          <w:sz w:val="32"/>
          <w:rtl/>
        </w:rPr>
        <w:footnoteReference w:id="165"/>
      </w:r>
      <w:r w:rsidRPr="00F27422">
        <w:rPr>
          <w:rFonts w:ascii="mylotus" w:hAnsi="mylotus" w:hint="cs"/>
          <w:sz w:val="32"/>
          <w:rtl/>
        </w:rPr>
        <w:t>.</w:t>
      </w:r>
    </w:p>
    <w:p w14:paraId="13FE85B4"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hint="cs"/>
          <w:b/>
          <w:bCs/>
          <w:sz w:val="32"/>
          <w:rtl/>
        </w:rPr>
        <w:t>ويبتني</w:t>
      </w:r>
      <w:r w:rsidRPr="00F27422">
        <w:rPr>
          <w:rFonts w:ascii="mylotus" w:hAnsi="mylotus"/>
          <w:b/>
          <w:bCs/>
          <w:sz w:val="32"/>
          <w:rtl/>
        </w:rPr>
        <w:t xml:space="preserve"> </w:t>
      </w:r>
      <w:r w:rsidRPr="00F27422">
        <w:rPr>
          <w:rFonts w:ascii="mylotus" w:hAnsi="mylotus" w:hint="cs"/>
          <w:b/>
          <w:bCs/>
          <w:sz w:val="32"/>
          <w:rtl/>
        </w:rPr>
        <w:t>على</w:t>
      </w:r>
      <w:r w:rsidRPr="00F27422">
        <w:rPr>
          <w:rFonts w:ascii="mylotus" w:hAnsi="mylotus"/>
          <w:b/>
          <w:bCs/>
          <w:sz w:val="32"/>
          <w:rtl/>
        </w:rPr>
        <w:t xml:space="preserve"> </w:t>
      </w:r>
      <w:r w:rsidRPr="00F27422">
        <w:rPr>
          <w:rFonts w:ascii="mylotus" w:hAnsi="mylotus" w:hint="cs"/>
          <w:b/>
          <w:bCs/>
          <w:sz w:val="32"/>
          <w:rtl/>
        </w:rPr>
        <w:t>مقدمتين</w:t>
      </w:r>
      <w:r w:rsidRPr="00F27422">
        <w:rPr>
          <w:rFonts w:ascii="mylotus" w:hAnsi="mylotus"/>
          <w:b/>
          <w:bCs/>
          <w:sz w:val="32"/>
        </w:rPr>
        <w:t>:</w:t>
      </w:r>
    </w:p>
    <w:p w14:paraId="265C0AE8"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b/>
          <w:bCs/>
          <w:sz w:val="32"/>
          <w:rtl/>
        </w:rPr>
        <w:t>المقدمةُ الأُولى:</w:t>
      </w:r>
      <w:r w:rsidRPr="00F27422">
        <w:rPr>
          <w:rFonts w:ascii="mylotus" w:hAnsi="mylotus"/>
          <w:sz w:val="32"/>
          <w:rtl/>
        </w:rPr>
        <w:t xml:space="preserve"> قوله (رحمه الله): </w:t>
      </w:r>
      <w:r w:rsidRPr="00F27422">
        <w:rPr>
          <w:rFonts w:ascii="mylotus" w:hAnsi="mylotus"/>
          <w:b/>
          <w:bCs/>
          <w:sz w:val="32"/>
          <w:rtl/>
        </w:rPr>
        <w:t>(ما يمكن استفادته من تحليل المحقق النائيني (قدس سره) لحقيقة العقد من أنَّ العاقد يلتزم للطرف الآخر بترتيب آثار العقد)</w:t>
      </w:r>
      <w:r w:rsidRPr="00F27422">
        <w:rPr>
          <w:rFonts w:ascii="mylotus" w:hAnsi="mylotus"/>
          <w:b/>
          <w:bCs/>
          <w:sz w:val="32"/>
        </w:rPr>
        <w:t>.</w:t>
      </w:r>
    </w:p>
    <w:p w14:paraId="341B28D2"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b/>
          <w:bCs/>
          <w:sz w:val="32"/>
          <w:rtl/>
        </w:rPr>
        <w:t>وتوضيحه:</w:t>
      </w:r>
      <w:r w:rsidRPr="00F27422">
        <w:rPr>
          <w:rFonts w:ascii="mylotus" w:hAnsi="mylotus"/>
          <w:sz w:val="32"/>
          <w:rtl/>
        </w:rPr>
        <w:t xml:space="preserve"> أنّ حقيقة العقد - كما ذكره المحقق النائيني (قدس سره) - هو العهد المؤكد، مما يعني تضمنه للتعاهد مِن قِبل الطرفين بأمرين: الأوّل: ثبات المُنشأ العقدي، بمعنى: عدم فسخه، والثاني: ترتيب آثاره</w:t>
      </w:r>
      <w:r w:rsidRPr="00F27422">
        <w:rPr>
          <w:rFonts w:ascii="mylotus" w:hAnsi="mylotus"/>
          <w:sz w:val="32"/>
        </w:rPr>
        <w:t>.</w:t>
      </w:r>
    </w:p>
    <w:p w14:paraId="10F9BF28"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sz w:val="32"/>
          <w:rtl/>
        </w:rPr>
        <w:t xml:space="preserve">ولذلك التزم المحقّق النائيني (قدس سره) بأنّ قوله تعالى: </w:t>
      </w:r>
      <w:r w:rsidRPr="00F27422">
        <w:rPr>
          <w:rFonts w:ascii="mylotus" w:hAnsi="mylotus"/>
          <w:b/>
          <w:bCs/>
          <w:sz w:val="32"/>
          <w:rtl/>
        </w:rPr>
        <w:t>{يَا أَيُّهَا الَّذِينَ آمَنُوا أَوْفُوا بِالْعُقُودِ}</w:t>
      </w:r>
      <w:r w:rsidRPr="00F27422">
        <w:rPr>
          <w:rStyle w:val="FootnoteReference"/>
          <w:rFonts w:ascii="mylotus" w:hAnsi="mylotus"/>
          <w:sz w:val="32"/>
          <w:rtl/>
        </w:rPr>
        <w:footnoteReference w:id="166"/>
      </w:r>
      <w:r w:rsidRPr="00F27422">
        <w:rPr>
          <w:rFonts w:ascii="mylotus" w:hAnsi="mylotus"/>
          <w:sz w:val="32"/>
          <w:rtl/>
        </w:rPr>
        <w:t xml:space="preserve"> يختصُ بالعقود العهدية، ولا يشملُ العقود </w:t>
      </w:r>
      <w:proofErr w:type="spellStart"/>
      <w:r w:rsidRPr="00F27422">
        <w:rPr>
          <w:rFonts w:ascii="mylotus" w:hAnsi="mylotus"/>
          <w:sz w:val="32"/>
          <w:rtl/>
        </w:rPr>
        <w:t>الإذنية</w:t>
      </w:r>
      <w:proofErr w:type="spellEnd"/>
      <w:r w:rsidRPr="00F27422">
        <w:rPr>
          <w:rFonts w:ascii="mylotus" w:hAnsi="mylotus"/>
          <w:sz w:val="32"/>
          <w:rtl/>
        </w:rPr>
        <w:t xml:space="preserve"> كالوكالة والعارية؛ إذ لا تتضمن معاهدةً مِن الطرفين</w:t>
      </w:r>
      <w:r w:rsidRPr="00F27422">
        <w:rPr>
          <w:rFonts w:ascii="mylotus" w:hAnsi="mylotus"/>
          <w:sz w:val="32"/>
        </w:rPr>
        <w:t>.</w:t>
      </w:r>
    </w:p>
    <w:p w14:paraId="58272437"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b/>
          <w:bCs/>
          <w:sz w:val="32"/>
          <w:rtl/>
        </w:rPr>
        <w:t>المقدمةُ الثانية:</w:t>
      </w:r>
      <w:r w:rsidRPr="00F27422">
        <w:rPr>
          <w:rFonts w:ascii="mylotus" w:hAnsi="mylotus"/>
          <w:sz w:val="32"/>
          <w:rtl/>
        </w:rPr>
        <w:t xml:space="preserve"> أن</w:t>
      </w:r>
      <w:r w:rsidRPr="00F27422">
        <w:rPr>
          <w:rFonts w:ascii="mylotus" w:hAnsi="mylotus" w:hint="cs"/>
          <w:sz w:val="32"/>
          <w:rtl/>
        </w:rPr>
        <w:t>ّ</w:t>
      </w:r>
      <w:r w:rsidRPr="00F27422">
        <w:rPr>
          <w:rFonts w:ascii="mylotus" w:hAnsi="mylotus"/>
          <w:sz w:val="32"/>
          <w:rtl/>
        </w:rPr>
        <w:t xml:space="preserve"> </w:t>
      </w:r>
      <w:r w:rsidRPr="00F27422">
        <w:rPr>
          <w:rFonts w:ascii="mylotus" w:hAnsi="mylotus"/>
          <w:b/>
          <w:bCs/>
          <w:sz w:val="32"/>
          <w:rtl/>
        </w:rPr>
        <w:t xml:space="preserve">(مِن جملة آثار العقد بل الغرض النوعي منه في باب المعاوضات التسليم والتسلم الخارجي، بل هو روح المعاوضة ومدلولها العملي وإن كان المدلول الإنشائي الصرف غير متوقف عليه، وهذا يعني التزام العاقد ضمناً وارتكازاً بالتسليم المعاوضي كإنشائهما للتمليك المعاوضي، أي كما أنهما ينشآن الملكية المعاوضية التي هي تمليك في قبال تمليك من دون تقدم لأحدهما على الآخر، ولا تعليق عليه كذلك يلتزمان بالتسليم المعاوضي أي في قبال تسليم الآخر فيستحق كل منهما على الآخر ذلك) </w:t>
      </w:r>
      <w:r w:rsidRPr="00F27422">
        <w:rPr>
          <w:rFonts w:ascii="mylotus" w:hAnsi="mylotus"/>
          <w:sz w:val="32"/>
          <w:rtl/>
        </w:rPr>
        <w:t xml:space="preserve">أي: التسليم </w:t>
      </w:r>
      <w:r w:rsidRPr="00F27422">
        <w:rPr>
          <w:rFonts w:ascii="mylotus" w:hAnsi="mylotus"/>
          <w:b/>
          <w:bCs/>
          <w:sz w:val="32"/>
          <w:rtl/>
        </w:rPr>
        <w:t>(بمقتضى هذا الالتزام ونفوذه، فإذا امتنع أحدهما عن التسليم لم يستحق على الآخر التسليم، لأنه لم يستحق عليه التسليم المطلق بل)</w:t>
      </w:r>
      <w:r w:rsidRPr="00F27422">
        <w:rPr>
          <w:rFonts w:ascii="mylotus" w:hAnsi="mylotus"/>
          <w:sz w:val="32"/>
          <w:rtl/>
        </w:rPr>
        <w:t xml:space="preserve"> استحق عليه </w:t>
      </w:r>
      <w:r w:rsidRPr="00F27422">
        <w:rPr>
          <w:rFonts w:ascii="mylotus" w:hAnsi="mylotus"/>
          <w:b/>
          <w:bCs/>
          <w:sz w:val="32"/>
          <w:rtl/>
        </w:rPr>
        <w:t>(التسليم المعاوضي)</w:t>
      </w:r>
      <w:r w:rsidRPr="00F27422">
        <w:rPr>
          <w:rFonts w:ascii="mylotus" w:hAnsi="mylotus"/>
          <w:sz w:val="32"/>
          <w:rtl/>
        </w:rPr>
        <w:t xml:space="preserve"> المتبادل </w:t>
      </w:r>
      <w:r w:rsidRPr="00F27422">
        <w:rPr>
          <w:rFonts w:ascii="mylotus" w:hAnsi="mylotus"/>
          <w:b/>
          <w:bCs/>
          <w:sz w:val="32"/>
          <w:rtl/>
        </w:rPr>
        <w:t>(فله أن لا يسلم ويمتنع، كما أنَّ للحاكم إجبارهما عليه لأنهّ ولي الممتنع عن الحق</w:t>
      </w:r>
      <w:r w:rsidRPr="00F27422">
        <w:rPr>
          <w:rFonts w:ascii="mylotus" w:hAnsi="mylotus"/>
          <w:b/>
          <w:bCs/>
          <w:sz w:val="32"/>
        </w:rPr>
        <w:t>.</w:t>
      </w:r>
    </w:p>
    <w:p w14:paraId="70A54525"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b/>
          <w:bCs/>
          <w:sz w:val="32"/>
          <w:rtl/>
        </w:rPr>
        <w:t>وليس هذا بابه باب الشرط ليلزم منه التخلف وثبوت الخيار)</w:t>
      </w:r>
      <w:r w:rsidRPr="00F27422">
        <w:rPr>
          <w:rFonts w:ascii="mylotus" w:hAnsi="mylotus"/>
          <w:sz w:val="32"/>
          <w:rtl/>
        </w:rPr>
        <w:t xml:space="preserve"> كما أفاده سيدنا الخوئي (قدس سره الشريف) بل هذا مِن آثار العقد العهدي - لأنّ الغرض النوعي متقوّمٌ بذلك </w:t>
      </w:r>
      <w:r w:rsidRPr="00F27422">
        <w:rPr>
          <w:rFonts w:ascii="mylotus" w:hAnsi="mylotus"/>
          <w:b/>
          <w:bCs/>
          <w:sz w:val="32"/>
          <w:rtl/>
        </w:rPr>
        <w:t xml:space="preserve">(لأنَّ الشرط يعلق فيه الالتزام العقدي على الشرط، فإذا تخلف) </w:t>
      </w:r>
      <w:r w:rsidRPr="00F27422">
        <w:rPr>
          <w:rFonts w:ascii="mylotus" w:hAnsi="mylotus"/>
          <w:sz w:val="32"/>
          <w:rtl/>
        </w:rPr>
        <w:t xml:space="preserve">الشرط </w:t>
      </w:r>
      <w:r w:rsidRPr="00F27422">
        <w:rPr>
          <w:rFonts w:ascii="mylotus" w:hAnsi="mylotus"/>
          <w:b/>
          <w:bCs/>
          <w:sz w:val="32"/>
          <w:rtl/>
        </w:rPr>
        <w:t>(ملك الآخر التزامه بالعقد)</w:t>
      </w:r>
      <w:r w:rsidRPr="00F27422">
        <w:rPr>
          <w:rFonts w:ascii="mylotus" w:hAnsi="mylotus"/>
          <w:sz w:val="32"/>
          <w:rtl/>
        </w:rPr>
        <w:t xml:space="preserve"> وأمكنه رفع اليد عنه.</w:t>
      </w:r>
      <w:r w:rsidRPr="00F27422">
        <w:rPr>
          <w:rFonts w:ascii="mylotus" w:hAnsi="mylotus" w:hint="cs"/>
          <w:sz w:val="32"/>
          <w:rtl/>
        </w:rPr>
        <w:t xml:space="preserve"> </w:t>
      </w:r>
      <w:r w:rsidRPr="00F27422">
        <w:rPr>
          <w:rFonts w:ascii="mylotus" w:hAnsi="mylotus"/>
          <w:b/>
          <w:bCs/>
          <w:sz w:val="32"/>
          <w:rtl/>
        </w:rPr>
        <w:t>(وأما الالتزام المذكور فهو من شؤون نفس الالتزام العقدي ويكون استحقاقه ووجوبه ثابتاً بنفس دليل وجوب الوفاء بالعقد، وهذا بيان فنّي صحيح</w:t>
      </w:r>
      <w:r w:rsidRPr="00F27422">
        <w:rPr>
          <w:rFonts w:ascii="mylotus" w:hAnsi="mylotus" w:hint="cs"/>
          <w:b/>
          <w:bCs/>
          <w:sz w:val="32"/>
          <w:rtl/>
        </w:rPr>
        <w:t>).</w:t>
      </w:r>
    </w:p>
    <w:p w14:paraId="0F5A7D41"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b/>
          <w:bCs/>
          <w:sz w:val="32"/>
          <w:rtl/>
        </w:rPr>
        <w:lastRenderedPageBreak/>
        <w:t>ويلاحظُ عليه</w:t>
      </w:r>
      <w:r w:rsidRPr="00F27422">
        <w:rPr>
          <w:rFonts w:ascii="mylotus" w:hAnsi="mylotus"/>
          <w:b/>
          <w:bCs/>
          <w:sz w:val="32"/>
        </w:rPr>
        <w:t>:</w:t>
      </w:r>
    </w:p>
    <w:p w14:paraId="1D83CDCE"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sz w:val="32"/>
          <w:rtl/>
        </w:rPr>
        <w:t>أنّ تباني المرتكز العقلائي على اعتبار التسليم مِن الجانبين، وأنّ لكلٍّ منهما حقّ الامتناع إذا امتنع الآخر، صحيحٌ لا إشكال فيه</w:t>
      </w:r>
      <w:r w:rsidRPr="00F27422">
        <w:rPr>
          <w:rFonts w:ascii="mylotus" w:hAnsi="mylotus"/>
          <w:sz w:val="32"/>
        </w:rPr>
        <w:t>.</w:t>
      </w:r>
    </w:p>
    <w:p w14:paraId="647B0B3C" w14:textId="77777777" w:rsidR="00DD7989" w:rsidRPr="00F27422" w:rsidRDefault="00DD7989" w:rsidP="00122B70">
      <w:pPr>
        <w:pStyle w:val="a"/>
        <w:bidi/>
        <w:spacing w:line="216" w:lineRule="auto"/>
        <w:jc w:val="left"/>
        <w:rPr>
          <w:rFonts w:ascii="mylotus" w:hAnsi="mylotus"/>
          <w:sz w:val="32"/>
          <w:rtl/>
        </w:rPr>
      </w:pPr>
      <w:r w:rsidRPr="00F27422">
        <w:rPr>
          <w:rFonts w:ascii="mylotus" w:hAnsi="mylotus"/>
          <w:b/>
          <w:bCs/>
          <w:sz w:val="32"/>
          <w:rtl/>
        </w:rPr>
        <w:t xml:space="preserve">لكن دعوى: </w:t>
      </w:r>
      <w:r w:rsidRPr="00F27422">
        <w:rPr>
          <w:rFonts w:ascii="mylotus" w:hAnsi="mylotus"/>
          <w:sz w:val="32"/>
          <w:rtl/>
        </w:rPr>
        <w:t>أنّ هذا متضمنٌ في نفس الالتزام العقدي</w:t>
      </w:r>
      <w:r w:rsidRPr="00F27422">
        <w:rPr>
          <w:rFonts w:ascii="mylotus" w:hAnsi="mylotus" w:hint="cs"/>
          <w:sz w:val="32"/>
          <w:rtl/>
        </w:rPr>
        <w:t>.</w:t>
      </w:r>
    </w:p>
    <w:p w14:paraId="5F6AEDDD" w14:textId="77777777" w:rsidR="00DD7989" w:rsidRPr="00F27422" w:rsidRDefault="00DD7989" w:rsidP="00122B70">
      <w:pPr>
        <w:pStyle w:val="a"/>
        <w:bidi/>
        <w:spacing w:line="216" w:lineRule="auto"/>
        <w:jc w:val="left"/>
        <w:rPr>
          <w:rFonts w:ascii="mylotus" w:hAnsi="mylotus"/>
          <w:b/>
          <w:bCs/>
          <w:sz w:val="32"/>
          <w:rtl/>
        </w:rPr>
      </w:pPr>
      <w:r w:rsidRPr="00F27422">
        <w:rPr>
          <w:rFonts w:ascii="mylotus" w:hAnsi="mylotus"/>
          <w:b/>
          <w:bCs/>
          <w:sz w:val="32"/>
          <w:rtl/>
        </w:rPr>
        <w:t>مما لا شاهد عليه؛</w:t>
      </w:r>
      <w:r w:rsidRPr="00F27422">
        <w:rPr>
          <w:rFonts w:ascii="mylotus" w:hAnsi="mylotus"/>
          <w:sz w:val="32"/>
          <w:rtl/>
        </w:rPr>
        <w:t xml:space="preserve"> فإنّ الالتزام العقدي سواءً كان بيعاً أو إجارة ليس إلّا مبادلة مالٍ بمال - تمليك عينٍ بعوضٍ أو تمليك منفعةٍ بعوضٍ -، أو كما هو المختار في حقيقة الإجارة: "التسليط على الانتفا</w:t>
      </w:r>
      <w:r w:rsidRPr="00F27422">
        <w:rPr>
          <w:rFonts w:ascii="mylotus" w:hAnsi="mylotus" w:hint="cs"/>
          <w:sz w:val="32"/>
          <w:rtl/>
        </w:rPr>
        <w:t>ع</w:t>
      </w:r>
      <w:r w:rsidRPr="00F27422">
        <w:rPr>
          <w:rFonts w:ascii="mylotus" w:hAnsi="mylotus" w:cs="Cambria" w:hint="cs"/>
          <w:sz w:val="32"/>
          <w:rtl/>
        </w:rPr>
        <w:t>"</w:t>
      </w:r>
      <w:r w:rsidRPr="00F27422">
        <w:rPr>
          <w:rFonts w:ascii="mylotus" w:hAnsi="mylotus" w:hint="cs"/>
          <w:sz w:val="32"/>
          <w:rtl/>
        </w:rPr>
        <w:t>.</w:t>
      </w:r>
    </w:p>
    <w:p w14:paraId="243414CC" w14:textId="62A4A189" w:rsidR="00DD7989" w:rsidRPr="00F27422" w:rsidRDefault="00DD7989" w:rsidP="00122B70">
      <w:pPr>
        <w:pStyle w:val="a"/>
        <w:bidi/>
        <w:spacing w:line="216" w:lineRule="auto"/>
        <w:jc w:val="left"/>
        <w:rPr>
          <w:rFonts w:ascii="mylotus" w:hAnsi="mylotus"/>
          <w:b/>
          <w:bCs/>
          <w:sz w:val="32"/>
          <w:rtl/>
        </w:rPr>
      </w:pPr>
      <w:r w:rsidRPr="00F27422">
        <w:rPr>
          <w:rFonts w:ascii="mylotus" w:hAnsi="mylotus"/>
          <w:sz w:val="32"/>
          <w:rtl/>
        </w:rPr>
        <w:t>فلا يتضمن الالتزام العقدي غير المبادلة ال</w:t>
      </w:r>
      <w:r w:rsidRPr="00F27422">
        <w:rPr>
          <w:rFonts w:ascii="mylotus" w:hAnsi="mylotus" w:hint="cs"/>
          <w:sz w:val="32"/>
          <w:rtl/>
        </w:rPr>
        <w:t>ا</w:t>
      </w:r>
      <w:r w:rsidRPr="00F27422">
        <w:rPr>
          <w:rFonts w:ascii="mylotus" w:hAnsi="mylotus"/>
          <w:sz w:val="32"/>
          <w:rtl/>
        </w:rPr>
        <w:t>عتبارية، وإنْ قُلنا بمقالة المحقّق النائيني (قدس سره) مِن أنّ العقد هو العهد المؤكد؛ فإنّ متعلّق المعاهدة ليس إلّا المبادلة وعدم الفسخ، لا أنّ</w:t>
      </w:r>
      <w:r w:rsidRPr="00F27422">
        <w:rPr>
          <w:rFonts w:ascii="mylotus" w:hAnsi="mylotus" w:hint="cs"/>
          <w:sz w:val="32"/>
          <w:rtl/>
        </w:rPr>
        <w:t>ه</w:t>
      </w:r>
      <w:r w:rsidRPr="00F27422">
        <w:rPr>
          <w:rFonts w:ascii="mylotus" w:hAnsi="mylotus"/>
          <w:sz w:val="32"/>
          <w:rtl/>
        </w:rPr>
        <w:t xml:space="preserve"> التسليم والتسلم؛ فإنّ هذا أثرٌ للعقد اقتضاه الارتكاز العقلائي، لا أنّه اقتضاه الالتزام العقدي، وإنّما اقتضاه الارتكاز العقلائي أيضا</w:t>
      </w:r>
      <w:r w:rsidRPr="00F27422">
        <w:rPr>
          <w:rFonts w:ascii="mylotus" w:hAnsi="mylotus" w:hint="cs"/>
          <w:sz w:val="32"/>
          <w:rtl/>
        </w:rPr>
        <w:t>ً</w:t>
      </w:r>
      <w:r w:rsidRPr="00F27422">
        <w:rPr>
          <w:rFonts w:ascii="mylotus" w:hAnsi="mylotus"/>
          <w:sz w:val="32"/>
          <w:rtl/>
        </w:rPr>
        <w:t xml:space="preserve"> لا لموضوعية</w:t>
      </w:r>
      <w:r w:rsidRPr="00F27422">
        <w:rPr>
          <w:rFonts w:ascii="mylotus" w:hAnsi="mylotus" w:hint="cs"/>
          <w:sz w:val="32"/>
          <w:rtl/>
        </w:rPr>
        <w:t>ٍ</w:t>
      </w:r>
      <w:r w:rsidRPr="00F27422">
        <w:rPr>
          <w:rFonts w:ascii="mylotus" w:hAnsi="mylotus"/>
          <w:sz w:val="32"/>
          <w:rtl/>
        </w:rPr>
        <w:t xml:space="preserve"> فيه بل لكونه مقتضى سلطنة الإنسان على مِلكه الذي بنى عليه المحقّق الأصفهاني (قدس سره)، أي: أنّ ما</w:t>
      </w:r>
      <w:r w:rsidR="001C6C24" w:rsidRPr="00F27422">
        <w:rPr>
          <w:rFonts w:ascii="mylotus" w:hAnsi="mylotus"/>
          <w:sz w:val="32"/>
        </w:rPr>
        <w:t xml:space="preserve"> </w:t>
      </w:r>
      <w:r w:rsidRPr="00F27422">
        <w:rPr>
          <w:rFonts w:ascii="mylotus" w:hAnsi="mylotus"/>
          <w:sz w:val="32"/>
          <w:rtl/>
        </w:rPr>
        <w:t>قام عليه المرتكز العقلائي ابتداء أنّ للمالك السلطنة على مِلكه، وحيث</w:t>
      </w:r>
      <w:r w:rsidRPr="00F27422">
        <w:rPr>
          <w:rFonts w:ascii="mylotus" w:hAnsi="mylotus" w:hint="cs"/>
          <w:sz w:val="32"/>
          <w:rtl/>
        </w:rPr>
        <w:t>ُ</w:t>
      </w:r>
      <w:r w:rsidRPr="00F27422">
        <w:rPr>
          <w:rFonts w:ascii="mylotus" w:hAnsi="mylotus"/>
          <w:sz w:val="32"/>
          <w:rtl/>
        </w:rPr>
        <w:t xml:space="preserve"> أصبح مالكاً ببركة العقد، فمقتضى سلطنته على مِلكه أنْ يجب على الآخر أنْ يسلمه لهُ فوراً؛ حيثُ لَمْ يستأمنه عليه، فإذا لَمْ يسلمه له فله الحقّ أنْ لا يسلّم ما قابله.</w:t>
      </w:r>
    </w:p>
    <w:p w14:paraId="7D0EA3F5" w14:textId="77777777" w:rsidR="00DD7989" w:rsidRPr="00F27422" w:rsidRDefault="00DD7989" w:rsidP="00122B70">
      <w:pPr>
        <w:pStyle w:val="a"/>
        <w:bidi/>
        <w:spacing w:line="216" w:lineRule="auto"/>
        <w:jc w:val="left"/>
        <w:rPr>
          <w:rFonts w:ascii="mylotus" w:hAnsi="mylotus"/>
          <w:b/>
          <w:bCs/>
          <w:sz w:val="32"/>
          <w:rtl/>
        </w:rPr>
      </w:pPr>
    </w:p>
    <w:p w14:paraId="35B4E3A4" w14:textId="77777777" w:rsidR="00DD7989" w:rsidRPr="00F27422" w:rsidRDefault="00DD7989" w:rsidP="00122B70">
      <w:pPr>
        <w:pStyle w:val="a"/>
        <w:bidi/>
        <w:spacing w:line="216" w:lineRule="auto"/>
        <w:jc w:val="left"/>
        <w:rPr>
          <w:rFonts w:ascii="mylotus" w:hAnsi="mylotus"/>
          <w:b/>
          <w:bCs/>
          <w:sz w:val="32"/>
        </w:rPr>
      </w:pPr>
      <w:r w:rsidRPr="00F27422">
        <w:rPr>
          <w:rFonts w:ascii="mylotus" w:hAnsi="mylotus"/>
          <w:b/>
          <w:bCs/>
          <w:sz w:val="32"/>
          <w:rtl/>
        </w:rPr>
        <w:t>والحمد لله رب العالمين</w:t>
      </w:r>
    </w:p>
    <w:p w14:paraId="5B606000" w14:textId="77777777" w:rsidR="00E3275E" w:rsidRPr="00F27422" w:rsidRDefault="00E3275E" w:rsidP="00122B70">
      <w:pPr>
        <w:bidi/>
        <w:rPr>
          <w:sz w:val="32"/>
          <w:szCs w:val="32"/>
        </w:rPr>
      </w:pPr>
    </w:p>
    <w:p w14:paraId="0D192913" w14:textId="345251F1" w:rsidR="00DD7989" w:rsidRPr="00F27422" w:rsidRDefault="00DD7989" w:rsidP="00122B70">
      <w:pPr>
        <w:pStyle w:val="Heading3"/>
        <w:bidi/>
        <w:rPr>
          <w:sz w:val="32"/>
          <w:szCs w:val="32"/>
        </w:rPr>
      </w:pPr>
      <w:r w:rsidRPr="00F27422">
        <w:rPr>
          <w:sz w:val="32"/>
          <w:szCs w:val="32"/>
        </w:rPr>
        <w:t>094</w:t>
      </w:r>
    </w:p>
    <w:p w14:paraId="346B692F" w14:textId="77777777" w:rsidR="00E559B8" w:rsidRPr="00F27422" w:rsidRDefault="00E559B8" w:rsidP="00122B70">
      <w:pPr>
        <w:bidi/>
        <w:rPr>
          <w:b/>
          <w:bCs/>
          <w:sz w:val="32"/>
          <w:szCs w:val="32"/>
        </w:rPr>
      </w:pPr>
      <w:r w:rsidRPr="00F27422">
        <w:rPr>
          <w:b/>
          <w:bCs/>
          <w:sz w:val="32"/>
          <w:szCs w:val="32"/>
          <w:rtl/>
        </w:rPr>
        <w:t>بسم الله الرحمن الرحيم</w:t>
      </w:r>
    </w:p>
    <w:p w14:paraId="17AF0E1D" w14:textId="77777777" w:rsidR="00E559B8" w:rsidRPr="00F27422" w:rsidRDefault="00E559B8" w:rsidP="00122B70">
      <w:pPr>
        <w:bidi/>
        <w:rPr>
          <w:b/>
          <w:bCs/>
          <w:sz w:val="32"/>
          <w:szCs w:val="32"/>
          <w:rtl/>
        </w:rPr>
      </w:pPr>
      <w:r w:rsidRPr="00F27422">
        <w:rPr>
          <w:b/>
          <w:bCs/>
          <w:sz w:val="32"/>
          <w:szCs w:val="32"/>
          <w:rtl/>
        </w:rPr>
        <w:t>والصلاة والسلام على أشرف الأنبياء والمرسلين، محمد وآله الطيبين الطاهرين</w:t>
      </w:r>
    </w:p>
    <w:p w14:paraId="31BD2070" w14:textId="77777777" w:rsidR="00E559B8" w:rsidRPr="00F27422" w:rsidRDefault="00E559B8" w:rsidP="00122B70">
      <w:pPr>
        <w:bidi/>
        <w:rPr>
          <w:sz w:val="32"/>
          <w:szCs w:val="32"/>
          <w:rtl/>
        </w:rPr>
      </w:pPr>
      <w:r w:rsidRPr="00F27422">
        <w:rPr>
          <w:b/>
          <w:bCs/>
          <w:sz w:val="32"/>
          <w:szCs w:val="32"/>
          <w:rtl/>
        </w:rPr>
        <w:t>واللعن الدائم على أعدائهم أجمعين إلى قيام يوم الدين</w:t>
      </w:r>
    </w:p>
    <w:p w14:paraId="3F92417A" w14:textId="77777777" w:rsidR="00E559B8" w:rsidRPr="00F27422" w:rsidRDefault="00E559B8" w:rsidP="00122B70">
      <w:pPr>
        <w:bidi/>
        <w:rPr>
          <w:sz w:val="32"/>
          <w:szCs w:val="32"/>
          <w:rtl/>
        </w:rPr>
      </w:pPr>
    </w:p>
    <w:p w14:paraId="68E6C886" w14:textId="77777777" w:rsidR="00E559B8" w:rsidRPr="00F27422" w:rsidRDefault="00E559B8" w:rsidP="00122B70">
      <w:pPr>
        <w:bidi/>
        <w:rPr>
          <w:b/>
          <w:bCs/>
          <w:sz w:val="32"/>
          <w:szCs w:val="32"/>
          <w:rtl/>
        </w:rPr>
      </w:pPr>
      <w:r w:rsidRPr="00F27422">
        <w:rPr>
          <w:sz w:val="32"/>
          <w:szCs w:val="32"/>
          <w:rtl/>
        </w:rPr>
        <w:t>قال سيد العروة (قدس سره الشريف): (</w:t>
      </w:r>
      <w:r w:rsidRPr="00F27422">
        <w:rPr>
          <w:b/>
          <w:bCs/>
          <w:sz w:val="32"/>
          <w:szCs w:val="32"/>
          <w:rtl/>
        </w:rPr>
        <w:t xml:space="preserve">واستقرار ملكيّة الاُجرة موقوف على استيفاء المنفعة أو إتمام العمل أو ما </w:t>
      </w:r>
      <w:proofErr w:type="spellStart"/>
      <w:r w:rsidRPr="00F27422">
        <w:rPr>
          <w:b/>
          <w:bCs/>
          <w:sz w:val="32"/>
          <w:szCs w:val="32"/>
          <w:rtl/>
        </w:rPr>
        <w:t>ببحكمهما</w:t>
      </w:r>
      <w:proofErr w:type="spellEnd"/>
      <w:r w:rsidRPr="00F27422">
        <w:rPr>
          <w:b/>
          <w:bCs/>
          <w:sz w:val="32"/>
          <w:szCs w:val="32"/>
          <w:rtl/>
        </w:rPr>
        <w:t>، فلو حصل مانع عن الاستيفاء أو عن العمل تنفسخ الإجارة كما سيأتي تفصيله)</w:t>
      </w:r>
      <w:r w:rsidRPr="00F27422">
        <w:rPr>
          <w:b/>
          <w:bCs/>
          <w:sz w:val="32"/>
          <w:szCs w:val="32"/>
        </w:rPr>
        <w:t>.</w:t>
      </w:r>
    </w:p>
    <w:p w14:paraId="78A7A966" w14:textId="77777777" w:rsidR="00E559B8" w:rsidRPr="00F27422" w:rsidRDefault="00E559B8" w:rsidP="00122B70">
      <w:pPr>
        <w:bidi/>
        <w:rPr>
          <w:b/>
          <w:bCs/>
          <w:sz w:val="32"/>
          <w:szCs w:val="32"/>
          <w:rtl/>
        </w:rPr>
      </w:pPr>
      <w:r w:rsidRPr="00F27422">
        <w:rPr>
          <w:b/>
          <w:bCs/>
          <w:sz w:val="32"/>
          <w:szCs w:val="32"/>
          <w:rtl/>
        </w:rPr>
        <w:t>الأمرُ الثالث:</w:t>
      </w:r>
      <w:r w:rsidRPr="00F27422">
        <w:rPr>
          <w:sz w:val="32"/>
          <w:szCs w:val="32"/>
          <w:rtl/>
        </w:rPr>
        <w:t xml:space="preserve"> مِن مختصات عقد الإجارة - بحسب متن العروة -.</w:t>
      </w:r>
    </w:p>
    <w:p w14:paraId="531A9D66" w14:textId="77777777" w:rsidR="00E559B8" w:rsidRPr="00F27422" w:rsidRDefault="00E559B8" w:rsidP="00122B70">
      <w:pPr>
        <w:bidi/>
        <w:rPr>
          <w:b/>
          <w:bCs/>
          <w:sz w:val="32"/>
          <w:szCs w:val="32"/>
          <w:rtl/>
        </w:rPr>
      </w:pPr>
      <w:r w:rsidRPr="00F27422">
        <w:rPr>
          <w:b/>
          <w:bCs/>
          <w:sz w:val="32"/>
          <w:szCs w:val="32"/>
          <w:rtl/>
        </w:rPr>
        <w:t>وحاصلهُ:</w:t>
      </w:r>
      <w:r w:rsidRPr="00F27422">
        <w:rPr>
          <w:sz w:val="32"/>
          <w:szCs w:val="32"/>
          <w:rtl/>
        </w:rPr>
        <w:t xml:space="preserve"> أنّ ملكيّة الأُجرة تختلفُ عن ملكيّة المعوض؛ فإنّ ملكيّة المعوض سواءً كان هو المنفعة كما في إجارة الأعيان، أو العمل كما في إجارة الأعمال، ملكيّةٌ مستقرّةٌ بالعقد؛ فإنّ عقد الإجارة متى تمّ ملكَ المُستأجر على المُؤجّر المنفعة ملكيّةً مستقرّة، وملكَ المُستأجر على ذمّة الأجير العمل ملكيّةً مستقرّة</w:t>
      </w:r>
      <w:r w:rsidRPr="00F27422">
        <w:rPr>
          <w:sz w:val="32"/>
          <w:szCs w:val="32"/>
        </w:rPr>
        <w:t>.</w:t>
      </w:r>
    </w:p>
    <w:p w14:paraId="3F1528E6" w14:textId="77777777" w:rsidR="00E559B8" w:rsidRPr="00F27422" w:rsidRDefault="00E559B8" w:rsidP="00122B70">
      <w:pPr>
        <w:bidi/>
        <w:rPr>
          <w:b/>
          <w:bCs/>
          <w:sz w:val="32"/>
          <w:szCs w:val="32"/>
          <w:rtl/>
        </w:rPr>
      </w:pPr>
      <w:r w:rsidRPr="00F27422">
        <w:rPr>
          <w:sz w:val="32"/>
          <w:szCs w:val="32"/>
          <w:rtl/>
        </w:rPr>
        <w:lastRenderedPageBreak/>
        <w:t>بينما ملكيّة الأُجرة سواءً كانت الإجارة إجارةَ أعيانٍ أو أعمالٍ ملكيّة متزلزلة - لا مستقرّة -.</w:t>
      </w:r>
    </w:p>
    <w:p w14:paraId="29CEC70A" w14:textId="77777777" w:rsidR="00E559B8" w:rsidRPr="00F27422" w:rsidRDefault="00E559B8" w:rsidP="00122B70">
      <w:pPr>
        <w:bidi/>
        <w:rPr>
          <w:b/>
          <w:bCs/>
          <w:sz w:val="32"/>
          <w:szCs w:val="32"/>
          <w:rtl/>
        </w:rPr>
      </w:pPr>
      <w:r w:rsidRPr="00F27422">
        <w:rPr>
          <w:b/>
          <w:bCs/>
          <w:sz w:val="32"/>
          <w:szCs w:val="32"/>
          <w:rtl/>
        </w:rPr>
        <w:t xml:space="preserve">وما يصلح بُرهاناً </w:t>
      </w:r>
      <w:proofErr w:type="spellStart"/>
      <w:r w:rsidRPr="00F27422">
        <w:rPr>
          <w:b/>
          <w:bCs/>
          <w:sz w:val="32"/>
          <w:szCs w:val="32"/>
          <w:rtl/>
        </w:rPr>
        <w:t>إنيّاً</w:t>
      </w:r>
      <w:proofErr w:type="spellEnd"/>
      <w:r w:rsidRPr="00F27422">
        <w:rPr>
          <w:b/>
          <w:bCs/>
          <w:sz w:val="32"/>
          <w:szCs w:val="32"/>
          <w:rtl/>
        </w:rPr>
        <w:t xml:space="preserve"> على ذلك:</w:t>
      </w:r>
      <w:r w:rsidRPr="00F27422">
        <w:rPr>
          <w:sz w:val="32"/>
          <w:szCs w:val="32"/>
          <w:rtl/>
        </w:rPr>
        <w:t xml:space="preserve"> ما أشار إليه الماتن (قدس سره) مِن أنّه إذا حصل مانعٌ عن استيفاء المنفعة، أو مانعٌ عن الاستمرار في العمل، فإنّ المشهور مِن الفقهاء على القول بانفساخ الإجارة، وهذا يعني أنّ ملكيّة المُؤجّر للأُجرة متزلزلة، أي: أنّ استقرارها منوط بأنْ لا يحصلَ مانع</w:t>
      </w:r>
      <w:r w:rsidRPr="00F27422">
        <w:rPr>
          <w:sz w:val="32"/>
          <w:szCs w:val="32"/>
        </w:rPr>
        <w:t>.</w:t>
      </w:r>
    </w:p>
    <w:p w14:paraId="7CB6890B" w14:textId="77777777" w:rsidR="00E559B8" w:rsidRPr="00F27422" w:rsidRDefault="00E559B8" w:rsidP="00122B70">
      <w:pPr>
        <w:bidi/>
        <w:rPr>
          <w:b/>
          <w:bCs/>
          <w:sz w:val="32"/>
          <w:szCs w:val="32"/>
          <w:rtl/>
        </w:rPr>
      </w:pPr>
      <w:r w:rsidRPr="00F27422">
        <w:rPr>
          <w:sz w:val="32"/>
          <w:szCs w:val="32"/>
          <w:rtl/>
        </w:rPr>
        <w:t>فإنّ قول المشهور بانفساخ عقد الإجارة لو حصل مانعٌ في الأثناء دليلٌ إنيّ على أنّ ملكيّة الأُجرة ملكيّة متزلزلة</w:t>
      </w:r>
      <w:r w:rsidRPr="00F27422">
        <w:rPr>
          <w:sz w:val="32"/>
          <w:szCs w:val="32"/>
        </w:rPr>
        <w:t>.</w:t>
      </w:r>
    </w:p>
    <w:p w14:paraId="01B476F7" w14:textId="77777777" w:rsidR="00E559B8" w:rsidRPr="00F27422" w:rsidRDefault="00E559B8" w:rsidP="00122B70">
      <w:pPr>
        <w:bidi/>
        <w:rPr>
          <w:b/>
          <w:bCs/>
          <w:sz w:val="32"/>
          <w:szCs w:val="32"/>
          <w:rtl/>
        </w:rPr>
      </w:pPr>
      <w:r w:rsidRPr="00F27422">
        <w:rPr>
          <w:sz w:val="32"/>
          <w:szCs w:val="32"/>
          <w:rtl/>
        </w:rPr>
        <w:t>وقد أشكل على ذلك سيدنا الخوئي (قدس سره) في كتاب الإجارة من موسوعته المباركة بأنّ التفريق في سنخ الملكيّة بين ملكيّة الأُجرة وملكيّة المعوض مما لا نعرفُ لهُ وجهاً محصلاً، بل إنّ الملكيتين مِن سنخٍ واحدٍ؛ فلو حصل مانعٌ أوجب الانفساخ فسنخُ الملكيّة التي حصلتْ قَبل حصول المانع متساوية النسبة للعوض والمعوض، فلا وجه للقول بأنّ ملكيّة العوض متزلزلة وملكيّة المعوض مستقرّة</w:t>
      </w:r>
      <w:r w:rsidRPr="00F27422">
        <w:rPr>
          <w:sz w:val="32"/>
          <w:szCs w:val="32"/>
        </w:rPr>
        <w:t>.</w:t>
      </w:r>
    </w:p>
    <w:p w14:paraId="0344A0E6" w14:textId="77777777" w:rsidR="00E559B8" w:rsidRPr="00F27422" w:rsidRDefault="00E559B8" w:rsidP="00122B70">
      <w:pPr>
        <w:bidi/>
        <w:rPr>
          <w:sz w:val="32"/>
          <w:szCs w:val="32"/>
          <w:rtl/>
        </w:rPr>
      </w:pPr>
      <w:r w:rsidRPr="00F27422">
        <w:rPr>
          <w:sz w:val="32"/>
          <w:szCs w:val="32"/>
          <w:rtl/>
        </w:rPr>
        <w:t>سواء كان ما يوجبُ الانفساخ حاصلاً حدوثاً قَبل زمان الاستيفاء، كما لو خربت السيارة أو انهدمت الدار قَبل وقتُ الاستيفاء، أو انكشفَ بَعْدَ العقد أنّه لا قُدرة للأجير على العمل، فإنّ غير المقدور غير قابل للتملك والتمليك، وكذا لو تبين أنّه لا منفعة للعين فإنّ الإجارة تنتفي بانتفاء موضوعها، أو كان المانع حاصلاً في الأثناء فالإجارة باطلة بالنسبة للمدّة الباقية.</w:t>
      </w:r>
    </w:p>
    <w:p w14:paraId="7ADD4FC0" w14:textId="77777777" w:rsidR="00E559B8" w:rsidRPr="00F27422" w:rsidRDefault="00E559B8" w:rsidP="00122B70">
      <w:pPr>
        <w:bidi/>
        <w:rPr>
          <w:b/>
          <w:bCs/>
          <w:sz w:val="32"/>
          <w:szCs w:val="32"/>
          <w:rtl/>
        </w:rPr>
      </w:pPr>
      <w:r w:rsidRPr="00F27422">
        <w:rPr>
          <w:sz w:val="32"/>
          <w:szCs w:val="32"/>
          <w:rtl/>
        </w:rPr>
        <w:t xml:space="preserve">وقد أوضح ذلك بقوله (قدس سره الشريف): </w:t>
      </w:r>
      <w:r w:rsidRPr="00F27422">
        <w:rPr>
          <w:b/>
          <w:bCs/>
          <w:sz w:val="32"/>
          <w:szCs w:val="32"/>
          <w:rtl/>
        </w:rPr>
        <w:t xml:space="preserve">(أقول: الظاهر أنّ في كلامه (قدس سره) مسامحة واضحة، فإنّ ظاهر العبارة التفكيك بين الاُجرة والمنفعة في التزلزل وعدمه، وأنّ الملكيّة المتزلزلة خاصّة </w:t>
      </w:r>
      <w:proofErr w:type="spellStart"/>
      <w:r w:rsidRPr="00F27422">
        <w:rPr>
          <w:b/>
          <w:bCs/>
          <w:sz w:val="32"/>
          <w:szCs w:val="32"/>
          <w:rtl/>
        </w:rPr>
        <w:t>بالاُجرة</w:t>
      </w:r>
      <w:proofErr w:type="spellEnd"/>
      <w:r w:rsidRPr="00F27422">
        <w:rPr>
          <w:b/>
          <w:bCs/>
          <w:sz w:val="32"/>
          <w:szCs w:val="32"/>
          <w:rtl/>
        </w:rPr>
        <w:t>. ولا محصّل له</w:t>
      </w:r>
      <w:r w:rsidRPr="00F27422">
        <w:rPr>
          <w:b/>
          <w:bCs/>
          <w:sz w:val="32"/>
          <w:szCs w:val="32"/>
        </w:rPr>
        <w:t>.</w:t>
      </w:r>
    </w:p>
    <w:p w14:paraId="1749726F" w14:textId="77777777" w:rsidR="00E559B8" w:rsidRPr="00F27422" w:rsidRDefault="00E559B8" w:rsidP="00122B70">
      <w:pPr>
        <w:bidi/>
        <w:rPr>
          <w:b/>
          <w:bCs/>
          <w:sz w:val="32"/>
          <w:szCs w:val="32"/>
          <w:rtl/>
        </w:rPr>
      </w:pPr>
      <w:r w:rsidRPr="00F27422">
        <w:rPr>
          <w:b/>
          <w:bCs/>
          <w:sz w:val="32"/>
          <w:szCs w:val="32"/>
          <w:rtl/>
        </w:rPr>
        <w:t xml:space="preserve">فإنّ التزلزل قد يطلق في العقود الجائزة التي لم تكن مبنيّة على اللزوم ويجوز </w:t>
      </w:r>
      <w:proofErr w:type="spellStart"/>
      <w:r w:rsidRPr="00F27422">
        <w:rPr>
          <w:b/>
          <w:bCs/>
          <w:sz w:val="32"/>
          <w:szCs w:val="32"/>
          <w:rtl/>
        </w:rPr>
        <w:t>للمملك</w:t>
      </w:r>
      <w:proofErr w:type="spellEnd"/>
      <w:r w:rsidRPr="00F27422">
        <w:rPr>
          <w:b/>
          <w:bCs/>
          <w:sz w:val="32"/>
          <w:szCs w:val="32"/>
          <w:rtl/>
        </w:rPr>
        <w:t xml:space="preserve"> الرجوع من الأوّل، فلم تكن مستقرّة في طبعها، كما في الهبة غير المعوضّة</w:t>
      </w:r>
      <w:r w:rsidRPr="00F27422">
        <w:rPr>
          <w:b/>
          <w:bCs/>
          <w:sz w:val="32"/>
          <w:szCs w:val="32"/>
        </w:rPr>
        <w:t>.</w:t>
      </w:r>
    </w:p>
    <w:p w14:paraId="77B7B7B4" w14:textId="77777777" w:rsidR="00E559B8" w:rsidRPr="00F27422" w:rsidRDefault="00E559B8" w:rsidP="00122B70">
      <w:pPr>
        <w:bidi/>
        <w:rPr>
          <w:b/>
          <w:bCs/>
          <w:sz w:val="32"/>
          <w:szCs w:val="32"/>
          <w:rtl/>
        </w:rPr>
      </w:pPr>
      <w:r w:rsidRPr="00F27422">
        <w:rPr>
          <w:b/>
          <w:bCs/>
          <w:sz w:val="32"/>
          <w:szCs w:val="32"/>
          <w:rtl/>
        </w:rPr>
        <w:t>ومن الواضح عدم كون المقام من هذا القبيل، بعد البناء على كون الإجارة من العقود اللازمة كما تقدّم، وأنّه لا يجوز لأيّ من المؤجّر والمستأجر الفسخ والتراجع في الاُجرة ولا في المنفعة، فهما سيّان من هذه الجهة والعقد لازم من الطرفين</w:t>
      </w:r>
      <w:r w:rsidRPr="00F27422">
        <w:rPr>
          <w:b/>
          <w:bCs/>
          <w:sz w:val="32"/>
          <w:szCs w:val="32"/>
        </w:rPr>
        <w:t>.</w:t>
      </w:r>
    </w:p>
    <w:p w14:paraId="5E0F7B1C" w14:textId="77777777" w:rsidR="00E559B8" w:rsidRPr="00F27422" w:rsidRDefault="00E559B8" w:rsidP="00122B70">
      <w:pPr>
        <w:bidi/>
        <w:rPr>
          <w:b/>
          <w:bCs/>
          <w:sz w:val="32"/>
          <w:szCs w:val="32"/>
          <w:rtl/>
        </w:rPr>
      </w:pPr>
      <w:r w:rsidRPr="00F27422">
        <w:rPr>
          <w:b/>
          <w:bCs/>
          <w:sz w:val="32"/>
          <w:szCs w:val="32"/>
          <w:rtl/>
        </w:rPr>
        <w:t xml:space="preserve">وقد يطلق في العقود اللازمة لأجل عروض ما يمنع من اللزوم، وحينئذٍ فقد يفرض أنّ حدوث المانع عن الاستيفاء كاشف عن بطلان الإجارة من الأوّل، كما لو حدث المانع بعد العقد وقبل أن يستوفي المستأجر المنفعة، أو قبل أن يتصدّى الأجير للعمل، بحيث كشف عن عدم التمكّن </w:t>
      </w:r>
      <w:r w:rsidRPr="00F27422">
        <w:rPr>
          <w:b/>
          <w:bCs/>
          <w:sz w:val="32"/>
          <w:szCs w:val="32"/>
          <w:rtl/>
        </w:rPr>
        <w:lastRenderedPageBreak/>
        <w:t xml:space="preserve">بتاتاً، المستلزم للكشف عن أنّه لم يكن مالكاً ليملّك. ونتيجته: عدم ملكيّة المؤجّر </w:t>
      </w:r>
      <w:proofErr w:type="spellStart"/>
      <w:r w:rsidRPr="00F27422">
        <w:rPr>
          <w:b/>
          <w:bCs/>
          <w:sz w:val="32"/>
          <w:szCs w:val="32"/>
          <w:rtl/>
        </w:rPr>
        <w:t>للاُجرة</w:t>
      </w:r>
      <w:proofErr w:type="spellEnd"/>
      <w:r w:rsidRPr="00F27422">
        <w:rPr>
          <w:b/>
          <w:bCs/>
          <w:sz w:val="32"/>
          <w:szCs w:val="32"/>
          <w:rtl/>
        </w:rPr>
        <w:t xml:space="preserve"> ولا المستأجر للمنفعة، وأنّ تأثير العقد كان مجرّد خيال محض، فلا ملكيّة رأساً من أيّ من الطرفين، لا أنّها كانت ولم تكن مستقرّة)</w:t>
      </w:r>
      <w:r w:rsidRPr="00F27422">
        <w:rPr>
          <w:b/>
          <w:bCs/>
          <w:sz w:val="32"/>
          <w:szCs w:val="32"/>
          <w:vertAlign w:val="superscript"/>
          <w:rtl/>
        </w:rPr>
        <w:footnoteReference w:id="167"/>
      </w:r>
      <w:r w:rsidRPr="00F27422">
        <w:rPr>
          <w:b/>
          <w:bCs/>
          <w:sz w:val="32"/>
          <w:szCs w:val="32"/>
          <w:rtl/>
        </w:rPr>
        <w:t>.</w:t>
      </w:r>
    </w:p>
    <w:p w14:paraId="12F2D1CB" w14:textId="77777777" w:rsidR="00E559B8" w:rsidRPr="00F27422" w:rsidRDefault="00E559B8" w:rsidP="00122B70">
      <w:pPr>
        <w:bidi/>
        <w:rPr>
          <w:b/>
          <w:bCs/>
          <w:sz w:val="32"/>
          <w:szCs w:val="32"/>
          <w:rtl/>
        </w:rPr>
      </w:pPr>
      <w:r w:rsidRPr="00F27422">
        <w:rPr>
          <w:sz w:val="32"/>
          <w:szCs w:val="32"/>
          <w:rtl/>
        </w:rPr>
        <w:t>وإنْ فرض حدوثُ المانعِ في الأثناء، كما إذا استأجرَ الدارَ سنة فانهدمتْ بعد ستّة أشهر، أو استأجر الأجير للإيصال إلى كربلاء المقدسة فأصابه العجز في أثناء الطريق بحيثُ لَمْ يمكن الانتفاعُ في المدّة الباقية، انفسخت الإجارةُ لا محالة بلحاظ المدّة الباقية، فلَمْ تنتقل منافع المدّة الباقية مِن أوّل الأمر إلى المستأجر، كما لَمْ تنتقل الأُجرة في المدّة الباقية مِن أوّل الأمر إلى المُؤجّر، فانكشف بطلانُ الإجارة في هذا المقدار مِن كلا الطرفين؛ فإنّ انتفاء المعوض موجبٌ لانتفاء عوضه لا محالة بمقتضى المعاوضة، فحالها مِن هذه الجهة حالُ الفرض السابق – الذي انكشف مِن أوّل الأمر - بلحاظ المدّة الباقية</w:t>
      </w:r>
      <w:r w:rsidRPr="00F27422">
        <w:rPr>
          <w:sz w:val="32"/>
          <w:szCs w:val="32"/>
        </w:rPr>
        <w:t>.</w:t>
      </w:r>
    </w:p>
    <w:p w14:paraId="08670C73" w14:textId="77777777" w:rsidR="00E559B8" w:rsidRPr="00F27422" w:rsidRDefault="00E559B8" w:rsidP="00122B70">
      <w:pPr>
        <w:bidi/>
        <w:rPr>
          <w:b/>
          <w:bCs/>
          <w:sz w:val="32"/>
          <w:szCs w:val="32"/>
          <w:rtl/>
        </w:rPr>
      </w:pPr>
      <w:r w:rsidRPr="00F27422">
        <w:rPr>
          <w:sz w:val="32"/>
          <w:szCs w:val="32"/>
          <w:rtl/>
        </w:rPr>
        <w:t>وأمّا بالنسبة للمدّة السابقة حيثُ استوفى المُستأجر منفعةَ الدار أو استوفى المُؤجّر عملَ الأجير فيها فيثبت للمستأجر خيار تبعض الصفقة، فإنْ فسخ استرد الأُجرة كاملة، وحيثُ لا يمكن للمُؤجّر استرجاع المنفعة؛ لأنّ المنفعة استوفيتْ في المدّة الماضية، فإنّ لهُ أُجرة المثل بالنسبة لما مضى، وإنْ أمضى الإجارة في المدّة الماضية كان لها مِن الأُجرة بمقدارِ ما يعادلها نصفاً أو ثلثاً</w:t>
      </w:r>
      <w:r w:rsidRPr="00F27422">
        <w:rPr>
          <w:sz w:val="32"/>
          <w:szCs w:val="32"/>
        </w:rPr>
        <w:t>.</w:t>
      </w:r>
    </w:p>
    <w:p w14:paraId="745557FD" w14:textId="77777777" w:rsidR="00E559B8" w:rsidRPr="00F27422" w:rsidRDefault="00E559B8" w:rsidP="00122B70">
      <w:pPr>
        <w:bidi/>
        <w:rPr>
          <w:b/>
          <w:bCs/>
          <w:sz w:val="32"/>
          <w:szCs w:val="32"/>
          <w:rtl/>
        </w:rPr>
      </w:pPr>
      <w:r w:rsidRPr="00F27422">
        <w:rPr>
          <w:sz w:val="32"/>
          <w:szCs w:val="32"/>
          <w:rtl/>
        </w:rPr>
        <w:t xml:space="preserve">ثمّ قال (قدس سره الشريف): </w:t>
      </w:r>
      <w:r w:rsidRPr="00F27422">
        <w:rPr>
          <w:b/>
          <w:bCs/>
          <w:sz w:val="32"/>
          <w:szCs w:val="32"/>
          <w:rtl/>
        </w:rPr>
        <w:t>(فالنتيجة: أنّ استقرار الاُجرة بالنسبة إلى هذا المقدار)</w:t>
      </w:r>
      <w:r w:rsidRPr="00F27422">
        <w:rPr>
          <w:sz w:val="32"/>
          <w:szCs w:val="32"/>
          <w:rtl/>
        </w:rPr>
        <w:t xml:space="preserve"> أي: الزمن الباقي </w:t>
      </w:r>
      <w:r w:rsidRPr="00F27422">
        <w:rPr>
          <w:b/>
          <w:bCs/>
          <w:sz w:val="32"/>
          <w:szCs w:val="32"/>
          <w:rtl/>
        </w:rPr>
        <w:t>(مشروط بعدم حدوث موجب للفسخ فيما بعد، وإلّا)</w:t>
      </w:r>
      <w:r w:rsidRPr="00F27422">
        <w:rPr>
          <w:sz w:val="32"/>
          <w:szCs w:val="32"/>
          <w:rtl/>
        </w:rPr>
        <w:t xml:space="preserve"> إذا حصل المانع </w:t>
      </w:r>
      <w:r w:rsidRPr="00F27422">
        <w:rPr>
          <w:b/>
          <w:bCs/>
          <w:sz w:val="32"/>
          <w:szCs w:val="32"/>
          <w:rtl/>
        </w:rPr>
        <w:t xml:space="preserve">(فلا استقرار </w:t>
      </w:r>
      <w:proofErr w:type="spellStart"/>
      <w:r w:rsidRPr="00F27422">
        <w:rPr>
          <w:b/>
          <w:bCs/>
          <w:sz w:val="32"/>
          <w:szCs w:val="32"/>
          <w:rtl/>
        </w:rPr>
        <w:t>للمكليّة</w:t>
      </w:r>
      <w:proofErr w:type="spellEnd"/>
      <w:r w:rsidRPr="00F27422">
        <w:rPr>
          <w:b/>
          <w:bCs/>
          <w:sz w:val="32"/>
          <w:szCs w:val="32"/>
          <w:rtl/>
        </w:rPr>
        <w:t>، بلا فرق في ذلك بين الاُجرة والمنفعة)</w:t>
      </w:r>
      <w:r w:rsidRPr="00F27422">
        <w:rPr>
          <w:sz w:val="32"/>
          <w:szCs w:val="32"/>
          <w:rtl/>
        </w:rPr>
        <w:t xml:space="preserve"> أي: العوض والمعوض </w:t>
      </w:r>
      <w:r w:rsidRPr="00F27422">
        <w:rPr>
          <w:b/>
          <w:bCs/>
          <w:sz w:val="32"/>
          <w:szCs w:val="32"/>
          <w:rtl/>
        </w:rPr>
        <w:t>(فما يظهر من كلامه (قدس سره) من انتقال المنفعة بملكيّة مستقرّة وانتقال الاُجرة بملكيّة متزلزلة لا نعرف له وجهاً محصّلاً، بل هما سيّان حدوثاً وبقاءً، صحّة وفساداً، لزوماً وجوازاً، حسبما عرفت)</w:t>
      </w:r>
      <w:r w:rsidRPr="00F27422">
        <w:rPr>
          <w:b/>
          <w:bCs/>
          <w:sz w:val="32"/>
          <w:szCs w:val="32"/>
        </w:rPr>
        <w:t>.</w:t>
      </w:r>
    </w:p>
    <w:p w14:paraId="091D784E" w14:textId="77777777" w:rsidR="00E559B8" w:rsidRPr="00F27422" w:rsidRDefault="00E559B8" w:rsidP="00122B70">
      <w:pPr>
        <w:bidi/>
        <w:rPr>
          <w:b/>
          <w:bCs/>
          <w:sz w:val="32"/>
          <w:szCs w:val="32"/>
          <w:rtl/>
        </w:rPr>
      </w:pPr>
      <w:r w:rsidRPr="00F27422">
        <w:rPr>
          <w:sz w:val="32"/>
          <w:szCs w:val="32"/>
          <w:rtl/>
        </w:rPr>
        <w:t>وأورد عليه بعض الأجلة (رحمه الله) في كتابه الإجارة</w:t>
      </w:r>
      <w:r w:rsidRPr="00F27422">
        <w:rPr>
          <w:sz w:val="32"/>
          <w:szCs w:val="32"/>
          <w:vertAlign w:val="superscript"/>
          <w:rtl/>
        </w:rPr>
        <w:footnoteReference w:id="168"/>
      </w:r>
      <w:r w:rsidRPr="00F27422">
        <w:rPr>
          <w:sz w:val="32"/>
          <w:szCs w:val="32"/>
          <w:rtl/>
        </w:rPr>
        <w:t xml:space="preserve"> بقوله: </w:t>
      </w:r>
      <w:r w:rsidRPr="00F27422">
        <w:rPr>
          <w:b/>
          <w:bCs/>
          <w:sz w:val="32"/>
          <w:szCs w:val="32"/>
          <w:rtl/>
        </w:rPr>
        <w:t>(والظاهر أنَّ منظور السيد الماتن (قدس سره) موارد انفساخ الإجارة بقاءً بلحاظ العمل إذا لم يقم به الأجير في وقته أو المنفعة التي حصل المانع من استيفائها بعد الإجارة مع إمكانه)</w:t>
      </w:r>
      <w:r w:rsidRPr="00F27422">
        <w:rPr>
          <w:sz w:val="32"/>
          <w:szCs w:val="32"/>
          <w:rtl/>
        </w:rPr>
        <w:t xml:space="preserve"> أي: إمكان الاستيفاء </w:t>
      </w:r>
      <w:r w:rsidRPr="00F27422">
        <w:rPr>
          <w:b/>
          <w:bCs/>
          <w:sz w:val="32"/>
          <w:szCs w:val="32"/>
          <w:rtl/>
        </w:rPr>
        <w:t xml:space="preserve">(حين </w:t>
      </w:r>
      <w:r w:rsidRPr="00F27422">
        <w:rPr>
          <w:b/>
          <w:bCs/>
          <w:sz w:val="32"/>
          <w:szCs w:val="32"/>
          <w:rtl/>
        </w:rPr>
        <w:lastRenderedPageBreak/>
        <w:t>الإجارة، كما إذا آجره نفسه أو دابته على أن يحمله إلى كربلاء في ليلة النصف من شعبان فلم يفعل حتى امتنع عليه ذلك)</w:t>
      </w:r>
      <w:r w:rsidRPr="00F27422">
        <w:rPr>
          <w:b/>
          <w:bCs/>
          <w:sz w:val="32"/>
          <w:szCs w:val="32"/>
        </w:rPr>
        <w:t>.</w:t>
      </w:r>
    </w:p>
    <w:p w14:paraId="4A9CF152" w14:textId="77777777" w:rsidR="00E559B8" w:rsidRPr="00F27422" w:rsidRDefault="00E559B8" w:rsidP="00122B70">
      <w:pPr>
        <w:bidi/>
        <w:rPr>
          <w:b/>
          <w:bCs/>
          <w:sz w:val="32"/>
          <w:szCs w:val="32"/>
          <w:rtl/>
        </w:rPr>
      </w:pPr>
      <w:r w:rsidRPr="00F27422">
        <w:rPr>
          <w:b/>
          <w:bCs/>
          <w:sz w:val="32"/>
          <w:szCs w:val="32"/>
          <w:rtl/>
        </w:rPr>
        <w:t>ومقصوده:</w:t>
      </w:r>
      <w:r w:rsidRPr="00F27422">
        <w:rPr>
          <w:sz w:val="32"/>
          <w:szCs w:val="32"/>
          <w:rtl/>
        </w:rPr>
        <w:t xml:space="preserve"> أنّه ليس منظور سيد العروة (قدس سره) لا إلى حصول المانع قَبل زمان العمل كي يُقال بالبطلان، ولا لحصول المانع أثناء الاستيفاء أو أثناء العمل كي يُقال بطلت الإجارة في المدّة الباقية وكان له خيار تبعض الصفقة بالنسبة للمدّة الماضية، وإنّما منظورُ سيد العروة (قدس سره) لفرضٍ ثالث مضى بحثُه في المسألة الثانية عشرة في فصل أركان الإجارة، </w:t>
      </w:r>
      <w:r w:rsidRPr="00F27422">
        <w:rPr>
          <w:b/>
          <w:bCs/>
          <w:sz w:val="32"/>
          <w:szCs w:val="32"/>
          <w:rtl/>
        </w:rPr>
        <w:t>ومفادها:</w:t>
      </w:r>
      <w:r w:rsidRPr="00F27422">
        <w:rPr>
          <w:sz w:val="32"/>
          <w:szCs w:val="32"/>
          <w:rtl/>
        </w:rPr>
        <w:t xml:space="preserve"> أنّه إذا استأجره ليوصله ليلة النصف مِن شعبان إلى كربلاء المقدسة وكان قادراً على الإيصال لكنه أبطأ عن العمل عمداً حتى عجز، وهذا فرضٌ ثالثٌ، لا أنّ المانع حصل قَبل زمان العمل، ولا حدث المانع أثناء العمل، بل هناك فرضٌ ثالثٌ وهو أنّ الأجير لَمْ يتلبس بالعمل عمداً حتى عجز، فهذا هو الفرضُ المنظور لسيد العروة</w:t>
      </w:r>
      <w:r w:rsidRPr="00F27422">
        <w:rPr>
          <w:sz w:val="32"/>
          <w:szCs w:val="32"/>
        </w:rPr>
        <w:t>.</w:t>
      </w:r>
    </w:p>
    <w:p w14:paraId="01E2BE58" w14:textId="77777777" w:rsidR="00E559B8" w:rsidRPr="00F27422" w:rsidRDefault="00E559B8" w:rsidP="00122B70">
      <w:pPr>
        <w:bidi/>
        <w:rPr>
          <w:b/>
          <w:bCs/>
          <w:sz w:val="32"/>
          <w:szCs w:val="32"/>
          <w:rtl/>
        </w:rPr>
      </w:pPr>
      <w:r w:rsidRPr="00F27422">
        <w:rPr>
          <w:sz w:val="32"/>
          <w:szCs w:val="32"/>
          <w:rtl/>
        </w:rPr>
        <w:t xml:space="preserve">وأتبع ذلك (رحمه الله) بقوله: </w:t>
      </w:r>
      <w:r w:rsidRPr="00F27422">
        <w:rPr>
          <w:b/>
          <w:bCs/>
          <w:sz w:val="32"/>
          <w:szCs w:val="32"/>
          <w:rtl/>
        </w:rPr>
        <w:t xml:space="preserve">(فإنه في أمثال ذلك بناءً على المشهور تنفسخ الإجارة بقاءً – وقد تقدم البحث عنه في بعض الفروع السابقة وسيأتي تفصيله أيضاً – ولا يستحق شيئاً من </w:t>
      </w:r>
      <w:proofErr w:type="gramStart"/>
      <w:r w:rsidRPr="00F27422">
        <w:rPr>
          <w:b/>
          <w:bCs/>
          <w:sz w:val="32"/>
          <w:szCs w:val="32"/>
          <w:rtl/>
        </w:rPr>
        <w:t>الأجرة ،</w:t>
      </w:r>
      <w:proofErr w:type="gramEnd"/>
      <w:r w:rsidRPr="00F27422">
        <w:rPr>
          <w:b/>
          <w:bCs/>
          <w:sz w:val="32"/>
          <w:szCs w:val="32"/>
          <w:rtl/>
        </w:rPr>
        <w:t xml:space="preserve"> بل قد يقال: إنَّ الإجارة عرفاً </w:t>
      </w:r>
      <w:proofErr w:type="spellStart"/>
      <w:r w:rsidRPr="00F27422">
        <w:rPr>
          <w:b/>
          <w:bCs/>
          <w:sz w:val="32"/>
          <w:szCs w:val="32"/>
          <w:rtl/>
        </w:rPr>
        <w:t>وعقلائياً</w:t>
      </w:r>
      <w:proofErr w:type="spellEnd"/>
      <w:r w:rsidRPr="00F27422">
        <w:rPr>
          <w:b/>
          <w:bCs/>
          <w:sz w:val="32"/>
          <w:szCs w:val="32"/>
          <w:rtl/>
        </w:rPr>
        <w:t xml:space="preserve">) </w:t>
      </w:r>
      <w:r w:rsidRPr="00F27422">
        <w:rPr>
          <w:sz w:val="32"/>
          <w:szCs w:val="32"/>
          <w:rtl/>
        </w:rPr>
        <w:t xml:space="preserve">هي </w:t>
      </w:r>
      <w:r w:rsidRPr="00F27422">
        <w:rPr>
          <w:b/>
          <w:bCs/>
          <w:sz w:val="32"/>
          <w:szCs w:val="32"/>
          <w:rtl/>
        </w:rPr>
        <w:t>(بذل الأجرة بإزاء الاستيفاء)</w:t>
      </w:r>
      <w:r w:rsidRPr="00F27422">
        <w:rPr>
          <w:sz w:val="32"/>
          <w:szCs w:val="32"/>
          <w:rtl/>
        </w:rPr>
        <w:t xml:space="preserve"> أي: استيفاء العمل أو المنفعة </w:t>
      </w:r>
      <w:r w:rsidRPr="00F27422">
        <w:rPr>
          <w:b/>
          <w:bCs/>
          <w:sz w:val="32"/>
          <w:szCs w:val="32"/>
          <w:rtl/>
        </w:rPr>
        <w:t>(فإذا امتنع بقاءً استيفاؤها انفسخت الإجارة)</w:t>
      </w:r>
      <w:r w:rsidRPr="00F27422">
        <w:rPr>
          <w:sz w:val="32"/>
          <w:szCs w:val="32"/>
          <w:rtl/>
        </w:rPr>
        <w:t xml:space="preserve"> فكلامُ المشهور وفق المرتكز العقلائي </w:t>
      </w:r>
      <w:r w:rsidRPr="00F27422">
        <w:rPr>
          <w:b/>
          <w:bCs/>
          <w:sz w:val="32"/>
          <w:szCs w:val="32"/>
          <w:rtl/>
        </w:rPr>
        <w:t>(وهذا بخلاف ما إذا لم يسلمه الأُجرة أو تعذر عليه تسليمها، فإنّ الإجارة لا تنفسخ، نعم قد يثبت الخيار في الصورة الثانية)</w:t>
      </w:r>
      <w:r w:rsidRPr="00F27422">
        <w:rPr>
          <w:b/>
          <w:bCs/>
          <w:sz w:val="32"/>
          <w:szCs w:val="32"/>
        </w:rPr>
        <w:t>.</w:t>
      </w:r>
    </w:p>
    <w:p w14:paraId="72ACEA7E" w14:textId="77777777" w:rsidR="00E559B8" w:rsidRPr="00F27422" w:rsidRDefault="00E559B8" w:rsidP="00122B70">
      <w:pPr>
        <w:bidi/>
        <w:rPr>
          <w:b/>
          <w:bCs/>
          <w:sz w:val="32"/>
          <w:szCs w:val="32"/>
          <w:rtl/>
        </w:rPr>
      </w:pPr>
      <w:r w:rsidRPr="00F27422">
        <w:rPr>
          <w:sz w:val="32"/>
          <w:szCs w:val="32"/>
          <w:rtl/>
        </w:rPr>
        <w:t>وهذا شاهدٌ واضحٌ على الفرق بين الأُجرة وبين العمل؛ فإنّ الأجير إذا امتنع عن العمل حتى تعذر تنفسخ الإجارة في المدّة الباقية، بينما إذا لَمْ يسلم المُؤجّر الأُجرة حتى تعذرت لا تنفسخ الإجارة</w:t>
      </w:r>
      <w:r w:rsidRPr="00F27422">
        <w:rPr>
          <w:sz w:val="32"/>
          <w:szCs w:val="32"/>
        </w:rPr>
        <w:t>.</w:t>
      </w:r>
    </w:p>
    <w:p w14:paraId="6EACCA46" w14:textId="77777777" w:rsidR="00E559B8" w:rsidRPr="00F27422" w:rsidRDefault="00E559B8" w:rsidP="00122B70">
      <w:pPr>
        <w:bidi/>
        <w:rPr>
          <w:b/>
          <w:bCs/>
          <w:sz w:val="32"/>
          <w:szCs w:val="32"/>
          <w:rtl/>
        </w:rPr>
      </w:pPr>
      <w:r w:rsidRPr="00F27422">
        <w:rPr>
          <w:sz w:val="32"/>
          <w:szCs w:val="32"/>
          <w:rtl/>
        </w:rPr>
        <w:t>فكيف يُقال بعدم وجود فرقٍ بين العوض والمعوض؟ بل هنالك فرقٌ بحسب فتوى المشهور</w:t>
      </w:r>
      <w:r w:rsidRPr="00F27422">
        <w:rPr>
          <w:sz w:val="32"/>
          <w:szCs w:val="32"/>
        </w:rPr>
        <w:t>.</w:t>
      </w:r>
    </w:p>
    <w:p w14:paraId="75D8E2ED" w14:textId="77777777" w:rsidR="00E559B8" w:rsidRPr="00F27422" w:rsidRDefault="00E559B8" w:rsidP="00122B70">
      <w:pPr>
        <w:bidi/>
        <w:rPr>
          <w:sz w:val="32"/>
          <w:szCs w:val="32"/>
          <w:rtl/>
        </w:rPr>
      </w:pPr>
      <w:r w:rsidRPr="00F27422">
        <w:rPr>
          <w:sz w:val="32"/>
          <w:szCs w:val="32"/>
        </w:rPr>
        <w:t xml:space="preserve"> </w:t>
      </w:r>
      <w:r w:rsidRPr="00F27422">
        <w:rPr>
          <w:b/>
          <w:bCs/>
          <w:sz w:val="32"/>
          <w:szCs w:val="32"/>
          <w:rtl/>
        </w:rPr>
        <w:t>(وبهذا يظهر أنّه ليس النظر إلى خيار عدم التسليم ليقال بأنّه لا فرق بين الأُجرة والمنفعة ولا إلى موارد عدم المنفعة المقتضي بطلان الإجارة من أوّل الأمر، وإنّما المنظور إلى موارد انعقاد الإجارة صحيحة وانفساخها بقاءً – على مبنى المشهور – والفرق بين ملك الأُجرة وملك المنفعة، فالأُجرة حيث إنها في قبال العمل أو الانتفاع فمع عدم حصول العمل – مع إمكانه – أو حصول المانع عن الانتفاع بقاءً تنفسخ الإجارة ولا يستحق المؤجر الأُجرة على المستأجر، بخلاف حصول المانع عن تسليم الأُجرة، فإنّه لا يوجب الانفساخ وعدم استحقاق المنفعة وإن أوجب الخيار في بعض الحالات).</w:t>
      </w:r>
      <w:r w:rsidRPr="00F27422">
        <w:rPr>
          <w:sz w:val="32"/>
          <w:szCs w:val="32"/>
          <w:rtl/>
        </w:rPr>
        <w:t xml:space="preserve"> فما هو منظورُ سيد العروة غير ما هو منظورُ سيدنا الخوئي (قدس سرهما) في مقام الإشكال على الماتن</w:t>
      </w:r>
      <w:r w:rsidRPr="00F27422">
        <w:rPr>
          <w:sz w:val="32"/>
          <w:szCs w:val="32"/>
        </w:rPr>
        <w:t>.</w:t>
      </w:r>
    </w:p>
    <w:p w14:paraId="1C8695E9" w14:textId="77777777" w:rsidR="00E559B8" w:rsidRPr="00F27422" w:rsidRDefault="00E559B8" w:rsidP="00122B70">
      <w:pPr>
        <w:bidi/>
        <w:rPr>
          <w:b/>
          <w:bCs/>
          <w:sz w:val="32"/>
          <w:szCs w:val="32"/>
          <w:rtl/>
        </w:rPr>
      </w:pPr>
      <w:r w:rsidRPr="00F27422">
        <w:rPr>
          <w:b/>
          <w:bCs/>
          <w:sz w:val="32"/>
          <w:szCs w:val="32"/>
          <w:rtl/>
        </w:rPr>
        <w:lastRenderedPageBreak/>
        <w:t>ويلاحظُ على ذلك</w:t>
      </w:r>
      <w:r w:rsidRPr="00F27422">
        <w:rPr>
          <w:b/>
          <w:bCs/>
          <w:sz w:val="32"/>
          <w:szCs w:val="32"/>
        </w:rPr>
        <w:t>:</w:t>
      </w:r>
    </w:p>
    <w:p w14:paraId="7231D034" w14:textId="77777777" w:rsidR="00E559B8" w:rsidRPr="00F27422" w:rsidRDefault="00E559B8" w:rsidP="00122B70">
      <w:pPr>
        <w:bidi/>
        <w:rPr>
          <w:sz w:val="32"/>
          <w:szCs w:val="32"/>
          <w:rtl/>
        </w:rPr>
      </w:pPr>
      <w:r w:rsidRPr="00F27422">
        <w:rPr>
          <w:b/>
          <w:bCs/>
          <w:sz w:val="32"/>
          <w:szCs w:val="32"/>
          <w:rtl/>
        </w:rPr>
        <w:t>أوّلاً:</w:t>
      </w:r>
      <w:r w:rsidRPr="00F27422">
        <w:rPr>
          <w:sz w:val="32"/>
          <w:szCs w:val="32"/>
          <w:rtl/>
        </w:rPr>
        <w:t xml:space="preserve"> أنّ الإجارة ليست كما ذكر من أنّها (هي بذل الأجرة بإزاء الاستيفاء)؛ فإنّ لزوم البذل أثرٌ مِن آثار الإجارة لدى العرف العقلائي المعاملي، وأنّ حقيقة الإجارة لديهم كالبيع مبادلة مالٍ بمالٍ في مقام الملكيّة، وبالتالي لا يصح أنْ يُقال: بما أنّ الإجارة هي بذلُ الأُجرة بإزاءِ الاستيفاء فمقتضى تعذر الاستيفاء أنْ تنفسخ الإجارة، بل أنّ غاية تعذر الاستيفاء خارجاً هو الضمان، أي: ضمان ما تعذر مِن عملٍ أو </w:t>
      </w:r>
      <w:proofErr w:type="gramStart"/>
      <w:r w:rsidRPr="00F27422">
        <w:rPr>
          <w:sz w:val="32"/>
          <w:szCs w:val="32"/>
          <w:rtl/>
        </w:rPr>
        <w:t>منفعةٍ</w:t>
      </w:r>
      <w:r w:rsidRPr="00F27422">
        <w:rPr>
          <w:sz w:val="32"/>
          <w:szCs w:val="32"/>
        </w:rPr>
        <w:t xml:space="preserve"> .</w:t>
      </w:r>
      <w:proofErr w:type="gramEnd"/>
    </w:p>
    <w:p w14:paraId="7C0D3C72" w14:textId="77777777" w:rsidR="00E559B8" w:rsidRPr="00F27422" w:rsidRDefault="00E559B8" w:rsidP="00122B70">
      <w:pPr>
        <w:bidi/>
        <w:rPr>
          <w:sz w:val="32"/>
          <w:szCs w:val="32"/>
          <w:rtl/>
        </w:rPr>
      </w:pPr>
      <w:r w:rsidRPr="00F27422">
        <w:rPr>
          <w:b/>
          <w:bCs/>
          <w:sz w:val="32"/>
          <w:szCs w:val="32"/>
          <w:rtl/>
        </w:rPr>
        <w:t>وثانياً:</w:t>
      </w:r>
      <w:r w:rsidRPr="00F27422">
        <w:rPr>
          <w:sz w:val="32"/>
          <w:szCs w:val="32"/>
          <w:rtl/>
        </w:rPr>
        <w:t xml:space="preserve"> أنّ مبنى المشهور وإنْ كان كما ذكره (رحمه الله): هو القول </w:t>
      </w:r>
      <w:proofErr w:type="spellStart"/>
      <w:r w:rsidRPr="00F27422">
        <w:rPr>
          <w:sz w:val="32"/>
          <w:szCs w:val="32"/>
          <w:rtl/>
        </w:rPr>
        <w:t>بالإنفساخ</w:t>
      </w:r>
      <w:proofErr w:type="spellEnd"/>
      <w:r w:rsidRPr="00F27422">
        <w:rPr>
          <w:sz w:val="32"/>
          <w:szCs w:val="32"/>
          <w:rtl/>
        </w:rPr>
        <w:t xml:space="preserve"> إذا لَمْ يقم الأجيرُ بالعمل حتى تعذر عليه، بينما لو لَمْ يسلم الأُجرة حتى تعذرتْ فلا انفساخ للإجارة، إلّا أنّ إشكال سيدنا الخوئي على مفاد عبارة سيد العروة (قدس سرهما) في المقام وهي: (</w:t>
      </w:r>
      <w:r w:rsidRPr="00F27422">
        <w:rPr>
          <w:b/>
          <w:bCs/>
          <w:sz w:val="32"/>
          <w:szCs w:val="32"/>
          <w:rtl/>
        </w:rPr>
        <w:t>فلو حصل مانع عن الاستيفاء أو عن العمل تنفسخ الإجارة</w:t>
      </w:r>
      <w:r w:rsidRPr="00F27422">
        <w:rPr>
          <w:sz w:val="32"/>
          <w:szCs w:val="32"/>
          <w:rtl/>
        </w:rPr>
        <w:t xml:space="preserve">)؛ فإنّ المنصرف مِن العبارة حصول المانع القهري قَبل وقت الاستيفاء أو أثناءه وحكمه </w:t>
      </w:r>
      <w:proofErr w:type="spellStart"/>
      <w:r w:rsidRPr="00F27422">
        <w:rPr>
          <w:sz w:val="32"/>
          <w:szCs w:val="32"/>
          <w:rtl/>
        </w:rPr>
        <w:t>الإنفساخ</w:t>
      </w:r>
      <w:proofErr w:type="spellEnd"/>
      <w:r w:rsidRPr="00F27422">
        <w:rPr>
          <w:sz w:val="32"/>
          <w:szCs w:val="32"/>
          <w:rtl/>
        </w:rPr>
        <w:t xml:space="preserve"> بلا تفصيل بين العوضين، كما تعرض له سيد العروة (قدس سره) أيضاً في المسألة الرابعة والمسألة الثانية عشر مِن هذا الفصل.</w:t>
      </w:r>
    </w:p>
    <w:p w14:paraId="22D4CE70" w14:textId="77777777" w:rsidR="00E559B8" w:rsidRPr="00F27422" w:rsidRDefault="00E559B8" w:rsidP="00122B70">
      <w:pPr>
        <w:bidi/>
        <w:rPr>
          <w:sz w:val="32"/>
          <w:szCs w:val="32"/>
          <w:rtl/>
        </w:rPr>
      </w:pPr>
      <w:r w:rsidRPr="00F27422">
        <w:rPr>
          <w:sz w:val="32"/>
          <w:szCs w:val="32"/>
          <w:rtl/>
        </w:rPr>
        <w:t xml:space="preserve">كما أنّ سيد العروة (قدس سره) في المسألة الثانية عشر في فصل أركان الإجارة قد بنى على التفصيل بين انكشاف ضيق الوقت مِن الأساس عن العمل فالإجارة باطلة، وبين حصول المانع مع التفصيل فيه </w:t>
      </w:r>
      <w:proofErr w:type="gramStart"/>
      <w:r w:rsidRPr="00F27422">
        <w:rPr>
          <w:sz w:val="32"/>
          <w:szCs w:val="32"/>
          <w:rtl/>
        </w:rPr>
        <w:t>بين  فرض</w:t>
      </w:r>
      <w:proofErr w:type="gramEnd"/>
      <w:r w:rsidRPr="00F27422">
        <w:rPr>
          <w:sz w:val="32"/>
          <w:szCs w:val="32"/>
          <w:rtl/>
        </w:rPr>
        <w:t xml:space="preserve"> كون الوصف - وهو الإيصال في الوقت المحدد مثلاً - ملحوظاً على نحو </w:t>
      </w:r>
      <w:proofErr w:type="spellStart"/>
      <w:r w:rsidRPr="00F27422">
        <w:rPr>
          <w:sz w:val="32"/>
          <w:szCs w:val="32"/>
          <w:rtl/>
        </w:rPr>
        <w:t>القيدية</w:t>
      </w:r>
      <w:proofErr w:type="spellEnd"/>
      <w:r w:rsidRPr="00F27422">
        <w:rPr>
          <w:sz w:val="32"/>
          <w:szCs w:val="32"/>
          <w:rtl/>
        </w:rPr>
        <w:t xml:space="preserve"> أو على نحو الشرطية، فوافق المشهور في بعض الفروض لا جميعها.</w:t>
      </w:r>
    </w:p>
    <w:p w14:paraId="59005D40" w14:textId="77777777" w:rsidR="00E559B8" w:rsidRPr="00F27422" w:rsidRDefault="00E559B8" w:rsidP="00122B70">
      <w:pPr>
        <w:bidi/>
        <w:rPr>
          <w:sz w:val="32"/>
          <w:szCs w:val="32"/>
          <w:rtl/>
        </w:rPr>
      </w:pPr>
      <w:r w:rsidRPr="00F27422">
        <w:rPr>
          <w:b/>
          <w:bCs/>
          <w:sz w:val="32"/>
          <w:szCs w:val="32"/>
          <w:rtl/>
        </w:rPr>
        <w:t xml:space="preserve">وثالثاً: </w:t>
      </w:r>
      <w:r w:rsidRPr="00F27422">
        <w:rPr>
          <w:sz w:val="32"/>
          <w:szCs w:val="32"/>
          <w:rtl/>
        </w:rPr>
        <w:t>أنّ ما ذكره (رحمه الله) إنّما يتصور في فرض كون الأُجرة نقداً أوعيناً شخصيّة، وأمّا في فرض كون الأُجرة أو الثمن منفعةً أو عملاً بحيثُ يرد فيه التفصيل بين حصول المانع قَبل وقت الاستيفاء أو أثناءه، فحينئذٍ لا يوجد فرق في الملكيّة فيه بين العوض والمعوض مِن حيثُ الاستقرار وعدمه.</w:t>
      </w:r>
    </w:p>
    <w:p w14:paraId="7E0653C9" w14:textId="77777777" w:rsidR="00E559B8" w:rsidRPr="00F27422" w:rsidRDefault="00E559B8" w:rsidP="00122B70">
      <w:pPr>
        <w:bidi/>
        <w:rPr>
          <w:b/>
          <w:bCs/>
          <w:sz w:val="32"/>
          <w:szCs w:val="32"/>
          <w:rtl/>
        </w:rPr>
      </w:pPr>
    </w:p>
    <w:p w14:paraId="53C949AB" w14:textId="77777777" w:rsidR="00E559B8" w:rsidRPr="00F27422" w:rsidRDefault="00E559B8" w:rsidP="00122B70">
      <w:pPr>
        <w:bidi/>
        <w:rPr>
          <w:b/>
          <w:bCs/>
          <w:sz w:val="32"/>
          <w:szCs w:val="32"/>
          <w:rtl/>
        </w:rPr>
      </w:pPr>
      <w:r w:rsidRPr="00F27422">
        <w:rPr>
          <w:b/>
          <w:bCs/>
          <w:sz w:val="32"/>
          <w:szCs w:val="32"/>
          <w:rtl/>
        </w:rPr>
        <w:t>والحمد لله رب العالمين</w:t>
      </w:r>
    </w:p>
    <w:p w14:paraId="08D04F95" w14:textId="77777777" w:rsidR="00DD7989" w:rsidRPr="00F27422" w:rsidRDefault="00DD7989" w:rsidP="00122B70">
      <w:pPr>
        <w:bidi/>
        <w:rPr>
          <w:sz w:val="32"/>
          <w:szCs w:val="32"/>
          <w:rtl/>
        </w:rPr>
      </w:pPr>
    </w:p>
    <w:p w14:paraId="4A8CD859" w14:textId="77777777" w:rsidR="00BD568E" w:rsidRPr="00F27422" w:rsidRDefault="00BD568E" w:rsidP="00122B70">
      <w:pPr>
        <w:pStyle w:val="Heading3"/>
        <w:bidi/>
        <w:rPr>
          <w:sz w:val="32"/>
          <w:szCs w:val="32"/>
          <w:rtl/>
        </w:rPr>
      </w:pPr>
    </w:p>
    <w:p w14:paraId="050637AA" w14:textId="7CE467C9" w:rsidR="00BD568E" w:rsidRPr="00F27422" w:rsidRDefault="00BD568E" w:rsidP="00122B70">
      <w:pPr>
        <w:pStyle w:val="Heading3"/>
        <w:bidi/>
        <w:rPr>
          <w:sz w:val="32"/>
          <w:szCs w:val="32"/>
          <w:rtl/>
        </w:rPr>
      </w:pPr>
      <w:r w:rsidRPr="00F27422">
        <w:rPr>
          <w:rFonts w:hint="cs"/>
          <w:sz w:val="32"/>
          <w:szCs w:val="32"/>
          <w:rtl/>
        </w:rPr>
        <w:t>095</w:t>
      </w:r>
    </w:p>
    <w:p w14:paraId="2DBFE6F0" w14:textId="77777777" w:rsidR="001127F3" w:rsidRPr="001127F3" w:rsidRDefault="001127F3" w:rsidP="00122B70">
      <w:pPr>
        <w:bidi/>
        <w:rPr>
          <w:b/>
          <w:bCs/>
          <w:sz w:val="32"/>
          <w:szCs w:val="32"/>
        </w:rPr>
      </w:pPr>
      <w:r w:rsidRPr="001127F3">
        <w:rPr>
          <w:b/>
          <w:bCs/>
          <w:sz w:val="32"/>
          <w:szCs w:val="32"/>
          <w:rtl/>
        </w:rPr>
        <w:t>بسم الله الرحمن الرحيم</w:t>
      </w:r>
    </w:p>
    <w:p w14:paraId="360B4F98" w14:textId="77777777" w:rsidR="001127F3" w:rsidRPr="001127F3" w:rsidRDefault="001127F3" w:rsidP="00122B70">
      <w:pPr>
        <w:bidi/>
        <w:rPr>
          <w:b/>
          <w:bCs/>
          <w:sz w:val="32"/>
          <w:szCs w:val="32"/>
          <w:rtl/>
        </w:rPr>
      </w:pPr>
      <w:r w:rsidRPr="001127F3">
        <w:rPr>
          <w:b/>
          <w:bCs/>
          <w:sz w:val="32"/>
          <w:szCs w:val="32"/>
          <w:rtl/>
        </w:rPr>
        <w:lastRenderedPageBreak/>
        <w:t>والصلاة والسلام على أشرف الأنبياء والمرسلين، محمد وآله الطيبين الطاهرين</w:t>
      </w:r>
    </w:p>
    <w:p w14:paraId="6AF93BDB" w14:textId="77777777" w:rsidR="001127F3" w:rsidRPr="001127F3" w:rsidRDefault="001127F3" w:rsidP="00122B70">
      <w:pPr>
        <w:bidi/>
        <w:rPr>
          <w:sz w:val="32"/>
          <w:szCs w:val="32"/>
          <w:rtl/>
        </w:rPr>
      </w:pPr>
      <w:r w:rsidRPr="001127F3">
        <w:rPr>
          <w:b/>
          <w:bCs/>
          <w:sz w:val="32"/>
          <w:szCs w:val="32"/>
          <w:rtl/>
        </w:rPr>
        <w:t>واللعن الدائم على أعدائهم أجمعين إلى قيام يوم الدين</w:t>
      </w:r>
    </w:p>
    <w:p w14:paraId="767A1EE4" w14:textId="77777777" w:rsidR="001127F3" w:rsidRPr="001127F3" w:rsidRDefault="001127F3" w:rsidP="00122B70">
      <w:pPr>
        <w:bidi/>
        <w:rPr>
          <w:sz w:val="32"/>
          <w:szCs w:val="32"/>
          <w:rtl/>
        </w:rPr>
      </w:pPr>
    </w:p>
    <w:p w14:paraId="4600050B" w14:textId="77777777" w:rsidR="001127F3" w:rsidRPr="001127F3" w:rsidRDefault="001127F3" w:rsidP="00122B70">
      <w:pPr>
        <w:bidi/>
        <w:rPr>
          <w:b/>
          <w:bCs/>
          <w:sz w:val="32"/>
          <w:szCs w:val="32"/>
          <w:rtl/>
        </w:rPr>
      </w:pPr>
      <w:r w:rsidRPr="001127F3">
        <w:rPr>
          <w:b/>
          <w:bCs/>
          <w:sz w:val="32"/>
          <w:szCs w:val="32"/>
          <w:rtl/>
        </w:rPr>
        <w:t>المسألة الأولى "من فصل أحكام العوضين".</w:t>
      </w:r>
    </w:p>
    <w:p w14:paraId="09CE4659" w14:textId="77777777" w:rsidR="001127F3" w:rsidRPr="001127F3" w:rsidRDefault="001127F3" w:rsidP="00122B70">
      <w:pPr>
        <w:bidi/>
        <w:rPr>
          <w:b/>
          <w:bCs/>
          <w:sz w:val="32"/>
          <w:szCs w:val="32"/>
          <w:rtl/>
        </w:rPr>
      </w:pPr>
      <w:r w:rsidRPr="001127F3">
        <w:rPr>
          <w:sz w:val="32"/>
          <w:szCs w:val="32"/>
          <w:rtl/>
        </w:rPr>
        <w:t xml:space="preserve">قال سيد العروة (قدس سره الشريف): </w:t>
      </w:r>
      <w:r w:rsidRPr="001127F3">
        <w:rPr>
          <w:b/>
          <w:bCs/>
          <w:sz w:val="32"/>
          <w:szCs w:val="32"/>
          <w:rtl/>
        </w:rPr>
        <w:t>(مسألة 1: لو استأجر داراً – مثلاً – وتسلّمها ومضت مدّة الإجارة استقرّت الاُجرة عليه، سواء سكنها أم لم يسكنها لاختياره، وكذا إذا استأجر دابّة للركوب أو لحمل المتاع إلى مكان كذا ومضى زمان يمكن له ذلك وجب عليه الاُجرة واستقرّت وإن لم يركب أو لم يحمل بشرط أن يكون مقدّراً بالزمان المتّصل بالعقد، وأمّا إذا عيّنا وقتاً فبعد مضيّ ذلك الوقت. هذا إذا كانت الإجارة واقعة على عين معيّنة شخصيّة في وقت معيّن</w:t>
      </w:r>
      <w:r w:rsidRPr="001127F3">
        <w:rPr>
          <w:b/>
          <w:bCs/>
          <w:sz w:val="32"/>
          <w:szCs w:val="32"/>
        </w:rPr>
        <w:t>.</w:t>
      </w:r>
    </w:p>
    <w:p w14:paraId="496D8585" w14:textId="77777777" w:rsidR="001127F3" w:rsidRPr="001127F3" w:rsidRDefault="001127F3" w:rsidP="00122B70">
      <w:pPr>
        <w:bidi/>
        <w:rPr>
          <w:b/>
          <w:bCs/>
          <w:sz w:val="32"/>
          <w:szCs w:val="32"/>
          <w:rtl/>
        </w:rPr>
      </w:pPr>
      <w:r w:rsidRPr="001127F3">
        <w:rPr>
          <w:b/>
          <w:bCs/>
          <w:sz w:val="32"/>
          <w:szCs w:val="32"/>
          <w:rtl/>
        </w:rPr>
        <w:t xml:space="preserve">وأمّا إن وقعت على كلّي وعين في فرد وتسلّمه فالأقوى أنّه كذلك مع تعيين الوقت وانقضائه. نعم، مع عدم تعيين الوقت فالظاهر عدم استقرار الاُجرة المسمّاة وبقاء الإجارة وإن كان ضامناً </w:t>
      </w:r>
      <w:proofErr w:type="spellStart"/>
      <w:r w:rsidRPr="001127F3">
        <w:rPr>
          <w:b/>
          <w:bCs/>
          <w:sz w:val="32"/>
          <w:szCs w:val="32"/>
          <w:rtl/>
        </w:rPr>
        <w:t>لاُجرة</w:t>
      </w:r>
      <w:proofErr w:type="spellEnd"/>
      <w:r w:rsidRPr="001127F3">
        <w:rPr>
          <w:b/>
          <w:bCs/>
          <w:sz w:val="32"/>
          <w:szCs w:val="32"/>
          <w:rtl/>
        </w:rPr>
        <w:t xml:space="preserve"> المثل لتلك المدّة من جهة تفويته المنفعة على المؤجّر).</w:t>
      </w:r>
    </w:p>
    <w:p w14:paraId="09A81A35" w14:textId="77777777" w:rsidR="001127F3" w:rsidRPr="001127F3" w:rsidRDefault="001127F3" w:rsidP="00122B70">
      <w:pPr>
        <w:bidi/>
        <w:rPr>
          <w:b/>
          <w:bCs/>
          <w:sz w:val="32"/>
          <w:szCs w:val="32"/>
          <w:rtl/>
        </w:rPr>
      </w:pPr>
      <w:r w:rsidRPr="001127F3">
        <w:rPr>
          <w:b/>
          <w:bCs/>
          <w:sz w:val="32"/>
          <w:szCs w:val="32"/>
          <w:rtl/>
        </w:rPr>
        <w:t>شرحُ العبارة</w:t>
      </w:r>
      <w:r w:rsidRPr="001127F3">
        <w:rPr>
          <w:b/>
          <w:bCs/>
          <w:sz w:val="32"/>
          <w:szCs w:val="32"/>
        </w:rPr>
        <w:t>:</w:t>
      </w:r>
    </w:p>
    <w:p w14:paraId="11022365" w14:textId="77777777" w:rsidR="001127F3" w:rsidRPr="001127F3" w:rsidRDefault="001127F3" w:rsidP="00122B70">
      <w:pPr>
        <w:bidi/>
        <w:rPr>
          <w:sz w:val="32"/>
          <w:szCs w:val="32"/>
          <w:rtl/>
        </w:rPr>
      </w:pPr>
      <w:r w:rsidRPr="001127F3">
        <w:rPr>
          <w:sz w:val="32"/>
          <w:szCs w:val="32"/>
          <w:rtl/>
        </w:rPr>
        <w:t xml:space="preserve">قوله (قدس سره): </w:t>
      </w:r>
      <w:r w:rsidRPr="001127F3">
        <w:rPr>
          <w:b/>
          <w:bCs/>
          <w:sz w:val="32"/>
          <w:szCs w:val="32"/>
          <w:rtl/>
        </w:rPr>
        <w:t>(سواء سكنها أم لم يسكنها لاختياره)</w:t>
      </w:r>
      <w:r w:rsidRPr="001127F3">
        <w:rPr>
          <w:sz w:val="32"/>
          <w:szCs w:val="32"/>
          <w:rtl/>
        </w:rPr>
        <w:t xml:space="preserve">، أي: لأنّه فاتت المنفعة عليه باختياره، </w:t>
      </w:r>
      <w:proofErr w:type="gramStart"/>
      <w:r w:rsidRPr="001127F3">
        <w:rPr>
          <w:sz w:val="32"/>
          <w:szCs w:val="32"/>
          <w:rtl/>
        </w:rPr>
        <w:t>لا  لسبب</w:t>
      </w:r>
      <w:proofErr w:type="gramEnd"/>
      <w:r w:rsidRPr="001127F3">
        <w:rPr>
          <w:sz w:val="32"/>
          <w:szCs w:val="32"/>
          <w:rtl/>
        </w:rPr>
        <w:t xml:space="preserve"> آخرٍ، لذلك استقرّت الأُجرة عليه</w:t>
      </w:r>
      <w:r w:rsidRPr="001127F3">
        <w:rPr>
          <w:sz w:val="32"/>
          <w:szCs w:val="32"/>
        </w:rPr>
        <w:t>.</w:t>
      </w:r>
    </w:p>
    <w:p w14:paraId="1A149FC1" w14:textId="77777777" w:rsidR="001127F3" w:rsidRPr="001127F3" w:rsidRDefault="001127F3" w:rsidP="00122B70">
      <w:pPr>
        <w:bidi/>
        <w:rPr>
          <w:sz w:val="32"/>
          <w:szCs w:val="32"/>
          <w:rtl/>
        </w:rPr>
      </w:pPr>
      <w:r w:rsidRPr="001127F3">
        <w:rPr>
          <w:sz w:val="32"/>
          <w:szCs w:val="32"/>
          <w:rtl/>
        </w:rPr>
        <w:t xml:space="preserve">وقوله: </w:t>
      </w:r>
      <w:r w:rsidRPr="001127F3">
        <w:rPr>
          <w:b/>
          <w:bCs/>
          <w:sz w:val="32"/>
          <w:szCs w:val="32"/>
          <w:rtl/>
        </w:rPr>
        <w:t>(يمكن له ذلك)</w:t>
      </w:r>
      <w:r w:rsidRPr="001127F3">
        <w:rPr>
          <w:sz w:val="32"/>
          <w:szCs w:val="32"/>
          <w:rtl/>
        </w:rPr>
        <w:t xml:space="preserve"> أي: استيفاء المنفعة</w:t>
      </w:r>
      <w:r w:rsidRPr="001127F3">
        <w:rPr>
          <w:sz w:val="32"/>
          <w:szCs w:val="32"/>
        </w:rPr>
        <w:t>.</w:t>
      </w:r>
    </w:p>
    <w:p w14:paraId="24415C39" w14:textId="77777777" w:rsidR="001127F3" w:rsidRPr="001127F3" w:rsidRDefault="001127F3" w:rsidP="00122B70">
      <w:pPr>
        <w:bidi/>
        <w:rPr>
          <w:sz w:val="32"/>
          <w:szCs w:val="32"/>
          <w:rtl/>
        </w:rPr>
      </w:pPr>
      <w:r w:rsidRPr="001127F3">
        <w:rPr>
          <w:sz w:val="32"/>
          <w:szCs w:val="32"/>
          <w:rtl/>
        </w:rPr>
        <w:t xml:space="preserve">وقوله: </w:t>
      </w:r>
      <w:r w:rsidRPr="001127F3">
        <w:rPr>
          <w:b/>
          <w:bCs/>
          <w:sz w:val="32"/>
          <w:szCs w:val="32"/>
          <w:rtl/>
        </w:rPr>
        <w:t>(بشرط أن يكون مقدّراً بالزمان المتّصل بالعقد)،</w:t>
      </w:r>
      <w:r w:rsidRPr="001127F3">
        <w:rPr>
          <w:sz w:val="32"/>
          <w:szCs w:val="32"/>
          <w:rtl/>
        </w:rPr>
        <w:t xml:space="preserve"> بمعنى: أنّه إذا كان الوقت المحدد للإجارة زماناً متّصلاً بالعقد فحينئذٍ لو مضى زمان بعد استلام العين يمكن فيه استيفاء المنفعة استقرت الأجرة، بخلاف ما لو كان الزمان المحدد زماناً منفصلاً عن زمان العقد، فإنّ العبرة في الاستقرار بمضيّ ذلك الزمن المحدد لا بالزمن المتعقب لاستلام </w:t>
      </w:r>
      <w:proofErr w:type="gramStart"/>
      <w:r w:rsidRPr="001127F3">
        <w:rPr>
          <w:sz w:val="32"/>
          <w:szCs w:val="32"/>
          <w:rtl/>
        </w:rPr>
        <w:t>العين</w:t>
      </w:r>
      <w:r w:rsidRPr="001127F3">
        <w:rPr>
          <w:sz w:val="32"/>
          <w:szCs w:val="32"/>
        </w:rPr>
        <w:t xml:space="preserve"> .</w:t>
      </w:r>
      <w:proofErr w:type="gramEnd"/>
    </w:p>
    <w:p w14:paraId="7A7BB784" w14:textId="77777777" w:rsidR="001127F3" w:rsidRPr="001127F3" w:rsidRDefault="001127F3" w:rsidP="00122B70">
      <w:pPr>
        <w:bidi/>
        <w:rPr>
          <w:sz w:val="32"/>
          <w:szCs w:val="32"/>
          <w:rtl/>
        </w:rPr>
      </w:pPr>
      <w:r w:rsidRPr="001127F3">
        <w:rPr>
          <w:sz w:val="32"/>
          <w:szCs w:val="32"/>
          <w:rtl/>
        </w:rPr>
        <w:t xml:space="preserve">وقوله: </w:t>
      </w:r>
      <w:r w:rsidRPr="001127F3">
        <w:rPr>
          <w:b/>
          <w:bCs/>
          <w:sz w:val="32"/>
          <w:szCs w:val="32"/>
          <w:rtl/>
        </w:rPr>
        <w:t>(وأمّا إن وقعت على كلّي وعين في فرد وتسلّمه)</w:t>
      </w:r>
      <w:r w:rsidRPr="001127F3">
        <w:rPr>
          <w:sz w:val="32"/>
          <w:szCs w:val="32"/>
          <w:rtl/>
        </w:rPr>
        <w:t xml:space="preserve"> كما إذا استأجر منهُ سيارةً للإيصال إلى مدينة كربلاء المقدسة وعيّن المؤجّر العين المُستأجرة في عينٍ شخصيّة وسلمها للمُستأجر</w:t>
      </w:r>
      <w:r w:rsidRPr="001127F3">
        <w:rPr>
          <w:sz w:val="32"/>
          <w:szCs w:val="32"/>
        </w:rPr>
        <w:t>.</w:t>
      </w:r>
    </w:p>
    <w:p w14:paraId="773C47B9" w14:textId="77777777" w:rsidR="001127F3" w:rsidRPr="001127F3" w:rsidRDefault="001127F3" w:rsidP="00122B70">
      <w:pPr>
        <w:bidi/>
        <w:rPr>
          <w:sz w:val="32"/>
          <w:szCs w:val="32"/>
          <w:rtl/>
        </w:rPr>
      </w:pPr>
      <w:r w:rsidRPr="001127F3">
        <w:rPr>
          <w:sz w:val="32"/>
          <w:szCs w:val="32"/>
          <w:rtl/>
        </w:rPr>
        <w:lastRenderedPageBreak/>
        <w:t xml:space="preserve">وقوله: </w:t>
      </w:r>
      <w:r w:rsidRPr="001127F3">
        <w:rPr>
          <w:b/>
          <w:bCs/>
          <w:sz w:val="32"/>
          <w:szCs w:val="32"/>
          <w:rtl/>
        </w:rPr>
        <w:t>(فالأقوى أنّه كذلك مع تعيين الوقت وانقضائه)</w:t>
      </w:r>
      <w:r w:rsidRPr="001127F3">
        <w:rPr>
          <w:sz w:val="32"/>
          <w:szCs w:val="32"/>
          <w:rtl/>
        </w:rPr>
        <w:t xml:space="preserve"> بمعنى: أنّه إذا كانت العينُ المُستأجرة كُلّيّة وكان الوقت معيّناً بينهما في العقد، واستلم المُستأجر العين ومضى الوقت المعيّن ولَمْ يستوفِ المنفعة استقرت الأُجرة</w:t>
      </w:r>
      <w:r w:rsidRPr="001127F3">
        <w:rPr>
          <w:sz w:val="32"/>
          <w:szCs w:val="32"/>
        </w:rPr>
        <w:t>.</w:t>
      </w:r>
    </w:p>
    <w:p w14:paraId="5E987F50" w14:textId="77777777" w:rsidR="001127F3" w:rsidRPr="001127F3" w:rsidRDefault="001127F3" w:rsidP="00122B70">
      <w:pPr>
        <w:bidi/>
        <w:rPr>
          <w:sz w:val="32"/>
          <w:szCs w:val="32"/>
          <w:rtl/>
        </w:rPr>
      </w:pPr>
      <w:r w:rsidRPr="001127F3">
        <w:rPr>
          <w:sz w:val="32"/>
          <w:szCs w:val="32"/>
          <w:rtl/>
        </w:rPr>
        <w:t xml:space="preserve">وأمّا قوله: </w:t>
      </w:r>
      <w:r w:rsidRPr="001127F3">
        <w:rPr>
          <w:b/>
          <w:bCs/>
          <w:sz w:val="32"/>
          <w:szCs w:val="32"/>
          <w:rtl/>
        </w:rPr>
        <w:t>(نعم، مع عدم تعيين الوقت ، فالظاهر عدم استقرار الاُجرة المسمّاة وبقاء الإجارة)</w:t>
      </w:r>
      <w:r w:rsidRPr="001127F3">
        <w:rPr>
          <w:sz w:val="32"/>
          <w:szCs w:val="32"/>
          <w:rtl/>
        </w:rPr>
        <w:t xml:space="preserve"> أي: لا يستحق المؤجّر الأُجرة المسمّاة، وإنّ الإجارة باقية؛ إذ لا موجب لبطلانها </w:t>
      </w:r>
      <w:r w:rsidRPr="001127F3">
        <w:rPr>
          <w:b/>
          <w:bCs/>
          <w:sz w:val="32"/>
          <w:szCs w:val="32"/>
          <w:rtl/>
        </w:rPr>
        <w:t xml:space="preserve">(وإن كان ضامناً </w:t>
      </w:r>
      <w:proofErr w:type="spellStart"/>
      <w:r w:rsidRPr="001127F3">
        <w:rPr>
          <w:b/>
          <w:bCs/>
          <w:sz w:val="32"/>
          <w:szCs w:val="32"/>
          <w:rtl/>
        </w:rPr>
        <w:t>لاُجرة</w:t>
      </w:r>
      <w:proofErr w:type="spellEnd"/>
      <w:r w:rsidRPr="001127F3">
        <w:rPr>
          <w:b/>
          <w:bCs/>
          <w:sz w:val="32"/>
          <w:szCs w:val="32"/>
          <w:rtl/>
        </w:rPr>
        <w:t xml:space="preserve"> المثل لتلك المدّة من جهة تفويته المنفعة على المؤجّر)</w:t>
      </w:r>
      <w:r w:rsidRPr="001127F3">
        <w:rPr>
          <w:sz w:val="32"/>
          <w:szCs w:val="32"/>
          <w:rtl/>
        </w:rPr>
        <w:t>، إذ ما دام الوقت ليس محدداً فللمُستأجر أنْ يُلزم المؤجّر بعدم استحقاقه للأُجرة المسمّاة؛ إذ التفويت لَمْ يستند للمُستأجر وإنّما استند للمؤجّر حيثُ إنّه لَمْ يعيّن الوقت، لكنه مع ذلك لا تخلو ذمّتُهُ مِن ضمان أُجرة المثل؛ لأنّه فوّت منفعةً ذات مالية على المؤجّر فعليه ضمانها له.</w:t>
      </w:r>
    </w:p>
    <w:p w14:paraId="1B590AB0" w14:textId="77777777" w:rsidR="001127F3" w:rsidRPr="001127F3" w:rsidRDefault="001127F3" w:rsidP="00122B70">
      <w:pPr>
        <w:bidi/>
        <w:rPr>
          <w:b/>
          <w:bCs/>
          <w:sz w:val="32"/>
          <w:szCs w:val="32"/>
          <w:rtl/>
        </w:rPr>
      </w:pPr>
      <w:r w:rsidRPr="001127F3">
        <w:rPr>
          <w:b/>
          <w:bCs/>
          <w:sz w:val="32"/>
          <w:szCs w:val="32"/>
          <w:rtl/>
        </w:rPr>
        <w:t>والبحثُ في:</w:t>
      </w:r>
      <w:r w:rsidRPr="001127F3">
        <w:rPr>
          <w:sz w:val="32"/>
          <w:szCs w:val="32"/>
          <w:rtl/>
        </w:rPr>
        <w:t xml:space="preserve"> </w:t>
      </w:r>
      <w:r w:rsidRPr="001127F3">
        <w:rPr>
          <w:b/>
          <w:bCs/>
          <w:sz w:val="32"/>
          <w:szCs w:val="32"/>
          <w:rtl/>
        </w:rPr>
        <w:t>ما هو الميزان لاستقرار الأُجرة على المُستأجر بعد انقضاء المدّة التي يمكن فيها استيفاء المنفعة المملوكة بالإجارة، يتوقف على بيان أمرين:</w:t>
      </w:r>
    </w:p>
    <w:p w14:paraId="41FBC79F" w14:textId="77777777" w:rsidR="001127F3" w:rsidRPr="001127F3" w:rsidRDefault="001127F3" w:rsidP="00122B70">
      <w:pPr>
        <w:bidi/>
        <w:rPr>
          <w:sz w:val="32"/>
          <w:szCs w:val="32"/>
          <w:rtl/>
        </w:rPr>
      </w:pPr>
      <w:r w:rsidRPr="001127F3">
        <w:rPr>
          <w:b/>
          <w:bCs/>
          <w:sz w:val="32"/>
          <w:szCs w:val="32"/>
          <w:rtl/>
        </w:rPr>
        <w:t>الأمرُ الأوّل:</w:t>
      </w:r>
      <w:r w:rsidRPr="001127F3">
        <w:rPr>
          <w:sz w:val="32"/>
          <w:szCs w:val="32"/>
          <w:rtl/>
        </w:rPr>
        <w:t xml:space="preserve"> إنّه ليس المقصودُ باستقرار الأُجرة وعدم استقرارها هو أنّ العقد يكون لازماً عند انقضاء المدّة، ومتزلزلاً قبل </w:t>
      </w:r>
      <w:proofErr w:type="gramStart"/>
      <w:r w:rsidRPr="001127F3">
        <w:rPr>
          <w:sz w:val="32"/>
          <w:szCs w:val="32"/>
          <w:rtl/>
        </w:rPr>
        <w:t>انقضاءها</w:t>
      </w:r>
      <w:proofErr w:type="gramEnd"/>
      <w:r w:rsidRPr="001127F3">
        <w:rPr>
          <w:sz w:val="32"/>
          <w:szCs w:val="32"/>
          <w:rtl/>
        </w:rPr>
        <w:t>، بل المقصودُ بالبحث - بعد المفروغية عن كون عقد الإجارة مِن العقود اللازمة - أنّه مع انقضاء المدّة وعدم استيفاء المنفعة هل ينفسخ العقد قهراً فيكونُ الضمان لأُجرة المثل أم لا ينفسخ العقد فيضمن الأُجرة المسمّاة؟</w:t>
      </w:r>
    </w:p>
    <w:p w14:paraId="7325F5C0" w14:textId="77777777" w:rsidR="001127F3" w:rsidRPr="001127F3" w:rsidRDefault="001127F3" w:rsidP="00122B70">
      <w:pPr>
        <w:bidi/>
        <w:rPr>
          <w:sz w:val="32"/>
          <w:szCs w:val="32"/>
          <w:rtl/>
        </w:rPr>
      </w:pPr>
      <w:r w:rsidRPr="001127F3">
        <w:rPr>
          <w:b/>
          <w:bCs/>
          <w:sz w:val="32"/>
          <w:szCs w:val="32"/>
          <w:rtl/>
        </w:rPr>
        <w:t>الأمرُ الثاني:</w:t>
      </w:r>
      <w:r w:rsidRPr="001127F3">
        <w:rPr>
          <w:sz w:val="32"/>
          <w:szCs w:val="32"/>
          <w:rtl/>
        </w:rPr>
        <w:t xml:space="preserve"> إنّ تحديد المدّة ليس مِن مقومات عقد الإجارة، ولكن لما كان المملوك بعقد الإجارة هو المنفعة أو العمل فإنْ كانت مالية المنفعة منوطة بحسب المرتكزات بتحديد المدّة كالسكنى في الدار؛ حيث تتفاوت ماليتها باختلاف الزمن مِن حيث كونه يوماً أو شهراً أو سنةً تعيّن تحديد المدّة، وإنْ لَمْ تكن كذلك كخياطة الثوب أو حمل المتاع لَمْ يلزم تعيين المدّة، والمدارُ فيه على ما هو المنصرف مِن أمثاله عرفاً.</w:t>
      </w:r>
    </w:p>
    <w:p w14:paraId="1251C289" w14:textId="77777777" w:rsidR="001127F3" w:rsidRPr="001127F3" w:rsidRDefault="001127F3" w:rsidP="00122B70">
      <w:pPr>
        <w:bidi/>
        <w:rPr>
          <w:sz w:val="32"/>
          <w:szCs w:val="32"/>
          <w:rtl/>
        </w:rPr>
      </w:pPr>
      <w:r w:rsidRPr="001127F3">
        <w:rPr>
          <w:b/>
          <w:bCs/>
          <w:sz w:val="32"/>
          <w:szCs w:val="32"/>
          <w:rtl/>
        </w:rPr>
        <w:t>وبعد وضوح ما سبق فإنّ في المقام اتجاهين في تحديد ما هو الميزان في استحقاق الأُجرة</w:t>
      </w:r>
      <w:r w:rsidRPr="001127F3">
        <w:rPr>
          <w:b/>
          <w:bCs/>
          <w:sz w:val="32"/>
          <w:szCs w:val="32"/>
        </w:rPr>
        <w:t>:</w:t>
      </w:r>
    </w:p>
    <w:p w14:paraId="65A0B7F1" w14:textId="77777777" w:rsidR="001127F3" w:rsidRPr="001127F3" w:rsidRDefault="001127F3" w:rsidP="00122B70">
      <w:pPr>
        <w:bidi/>
        <w:rPr>
          <w:sz w:val="32"/>
          <w:szCs w:val="32"/>
          <w:rtl/>
        </w:rPr>
      </w:pPr>
      <w:r w:rsidRPr="001127F3">
        <w:rPr>
          <w:b/>
          <w:bCs/>
          <w:sz w:val="32"/>
          <w:szCs w:val="32"/>
          <w:rtl/>
        </w:rPr>
        <w:t xml:space="preserve">الاتجاهُ الأوّل: </w:t>
      </w:r>
      <w:r w:rsidRPr="001127F3">
        <w:rPr>
          <w:sz w:val="32"/>
          <w:szCs w:val="32"/>
          <w:rtl/>
        </w:rPr>
        <w:t>ما ذهب إليه سيدنا الخوئي (قدس سره الشريف) كما أفاده في كتاب الإجارة من موسوعته المباركة</w:t>
      </w:r>
      <w:r w:rsidRPr="001127F3">
        <w:rPr>
          <w:sz w:val="32"/>
          <w:szCs w:val="32"/>
          <w:vertAlign w:val="superscript"/>
          <w:rtl/>
        </w:rPr>
        <w:footnoteReference w:id="169"/>
      </w:r>
      <w:r w:rsidRPr="001127F3">
        <w:rPr>
          <w:sz w:val="32"/>
          <w:szCs w:val="32"/>
          <w:rtl/>
        </w:rPr>
        <w:t xml:space="preserve"> مِن استقرار الأُجرة متى </w:t>
      </w:r>
      <w:proofErr w:type="gramStart"/>
      <w:r w:rsidRPr="001127F3">
        <w:rPr>
          <w:sz w:val="32"/>
          <w:szCs w:val="32"/>
          <w:rtl/>
        </w:rPr>
        <w:t>استلم</w:t>
      </w:r>
      <w:proofErr w:type="gramEnd"/>
      <w:r w:rsidRPr="001127F3">
        <w:rPr>
          <w:sz w:val="32"/>
          <w:szCs w:val="32"/>
          <w:rtl/>
        </w:rPr>
        <w:t xml:space="preserve"> المُستأجر العين ومضت المدّة سواءً كانت العين المُستأجرة شخصيّة أم كُلّيّة، وسواءً عُيّن زمان الاستيفاء أم لَمْ يعيّن، ولا تصلُ النوبة لضمان أُجرة المثل</w:t>
      </w:r>
      <w:r w:rsidRPr="001127F3">
        <w:rPr>
          <w:sz w:val="32"/>
          <w:szCs w:val="32"/>
        </w:rPr>
        <w:t>.</w:t>
      </w:r>
    </w:p>
    <w:p w14:paraId="61BD7EE7" w14:textId="77777777" w:rsidR="001127F3" w:rsidRPr="001127F3" w:rsidRDefault="001127F3" w:rsidP="00122B70">
      <w:pPr>
        <w:bidi/>
        <w:rPr>
          <w:b/>
          <w:bCs/>
          <w:sz w:val="32"/>
          <w:szCs w:val="32"/>
          <w:rtl/>
        </w:rPr>
      </w:pPr>
      <w:r w:rsidRPr="001127F3">
        <w:rPr>
          <w:b/>
          <w:bCs/>
          <w:sz w:val="32"/>
          <w:szCs w:val="32"/>
          <w:rtl/>
        </w:rPr>
        <w:lastRenderedPageBreak/>
        <w:t>وبيانُ مسلكه (قدس سره الشريف)</w:t>
      </w:r>
      <w:r w:rsidRPr="001127F3">
        <w:rPr>
          <w:b/>
          <w:bCs/>
          <w:sz w:val="32"/>
          <w:szCs w:val="32"/>
        </w:rPr>
        <w:t>:</w:t>
      </w:r>
    </w:p>
    <w:p w14:paraId="3DBA4267" w14:textId="77777777" w:rsidR="001127F3" w:rsidRPr="001127F3" w:rsidRDefault="001127F3" w:rsidP="00122B70">
      <w:pPr>
        <w:bidi/>
        <w:rPr>
          <w:b/>
          <w:bCs/>
          <w:sz w:val="32"/>
          <w:szCs w:val="32"/>
          <w:rtl/>
        </w:rPr>
      </w:pPr>
      <w:r w:rsidRPr="001127F3">
        <w:rPr>
          <w:b/>
          <w:bCs/>
          <w:sz w:val="32"/>
          <w:szCs w:val="32"/>
          <w:rtl/>
        </w:rPr>
        <w:t>أنّ في المقام صورتين</w:t>
      </w:r>
      <w:r w:rsidRPr="001127F3">
        <w:rPr>
          <w:b/>
          <w:bCs/>
          <w:sz w:val="32"/>
          <w:szCs w:val="32"/>
        </w:rPr>
        <w:t>:</w:t>
      </w:r>
    </w:p>
    <w:p w14:paraId="2D924522" w14:textId="77777777" w:rsidR="001127F3" w:rsidRPr="001127F3" w:rsidRDefault="001127F3" w:rsidP="00122B70">
      <w:pPr>
        <w:bidi/>
        <w:rPr>
          <w:b/>
          <w:bCs/>
          <w:sz w:val="32"/>
          <w:szCs w:val="32"/>
          <w:rtl/>
        </w:rPr>
      </w:pPr>
      <w:r w:rsidRPr="001127F3">
        <w:rPr>
          <w:b/>
          <w:bCs/>
          <w:sz w:val="32"/>
          <w:szCs w:val="32"/>
          <w:rtl/>
        </w:rPr>
        <w:t xml:space="preserve">الصورةُ الأُولى: </w:t>
      </w:r>
      <w:r w:rsidRPr="001127F3">
        <w:rPr>
          <w:sz w:val="32"/>
          <w:szCs w:val="32"/>
          <w:rtl/>
        </w:rPr>
        <w:t>كونُ العين المُستأجرة شخصيّة</w:t>
      </w:r>
      <w:r w:rsidRPr="001127F3">
        <w:rPr>
          <w:sz w:val="32"/>
          <w:szCs w:val="32"/>
        </w:rPr>
        <w:t>.</w:t>
      </w:r>
    </w:p>
    <w:p w14:paraId="5F72E96A" w14:textId="77777777" w:rsidR="001127F3" w:rsidRPr="001127F3" w:rsidRDefault="001127F3" w:rsidP="00122B70">
      <w:pPr>
        <w:bidi/>
        <w:rPr>
          <w:sz w:val="32"/>
          <w:szCs w:val="32"/>
          <w:rtl/>
        </w:rPr>
      </w:pPr>
      <w:r w:rsidRPr="001127F3">
        <w:rPr>
          <w:b/>
          <w:bCs/>
          <w:sz w:val="32"/>
          <w:szCs w:val="32"/>
          <w:rtl/>
        </w:rPr>
        <w:t>الصورةُ الثانية:</w:t>
      </w:r>
      <w:r w:rsidRPr="001127F3">
        <w:rPr>
          <w:sz w:val="32"/>
          <w:szCs w:val="32"/>
          <w:rtl/>
        </w:rPr>
        <w:t xml:space="preserve"> كونُ العين المُستأجرة كُلّية</w:t>
      </w:r>
      <w:r w:rsidRPr="001127F3">
        <w:rPr>
          <w:sz w:val="32"/>
          <w:szCs w:val="32"/>
        </w:rPr>
        <w:t>.</w:t>
      </w:r>
    </w:p>
    <w:p w14:paraId="56716CF6" w14:textId="77777777" w:rsidR="001127F3" w:rsidRPr="001127F3" w:rsidRDefault="001127F3" w:rsidP="00122B70">
      <w:pPr>
        <w:bidi/>
        <w:rPr>
          <w:b/>
          <w:bCs/>
          <w:sz w:val="32"/>
          <w:szCs w:val="32"/>
          <w:rtl/>
        </w:rPr>
      </w:pPr>
      <w:r w:rsidRPr="001127F3">
        <w:rPr>
          <w:b/>
          <w:bCs/>
          <w:sz w:val="32"/>
          <w:szCs w:val="32"/>
          <w:rtl/>
        </w:rPr>
        <w:t>الصورةُ الأُولى: أنْ تكون العين المُستأجرة شخصيّةً</w:t>
      </w:r>
      <w:r w:rsidRPr="001127F3">
        <w:rPr>
          <w:b/>
          <w:bCs/>
          <w:sz w:val="32"/>
          <w:szCs w:val="32"/>
        </w:rPr>
        <w:t>.</w:t>
      </w:r>
    </w:p>
    <w:p w14:paraId="586DF0F5" w14:textId="77777777" w:rsidR="001127F3" w:rsidRPr="001127F3" w:rsidRDefault="001127F3" w:rsidP="00122B70">
      <w:pPr>
        <w:bidi/>
        <w:rPr>
          <w:b/>
          <w:bCs/>
          <w:sz w:val="32"/>
          <w:szCs w:val="32"/>
          <w:rtl/>
        </w:rPr>
      </w:pPr>
      <w:r w:rsidRPr="001127F3">
        <w:rPr>
          <w:sz w:val="32"/>
          <w:szCs w:val="32"/>
          <w:rtl/>
        </w:rPr>
        <w:t xml:space="preserve">إذا تسلّم المُستأجر العين ومضتْ مدّة الإجارة استقرت الأُجرة، سواءً انتفع المُستأجر خارجاً أم لا، فهذا هو المطابق للقاعدة، كما قال (قدس سره): </w:t>
      </w:r>
      <w:r w:rsidRPr="001127F3">
        <w:rPr>
          <w:b/>
          <w:bCs/>
          <w:sz w:val="32"/>
          <w:szCs w:val="32"/>
          <w:rtl/>
        </w:rPr>
        <w:t>(مطابقٌ لمقتضى القاعدة، نظراً إلى تحقّق التسليم من قبل المؤجّر وأدائه ما في عهدته، والمستأجر هو الذي فوّت المنفعة على نفسه، فمقتضى إطلاقات الأدلّة)</w:t>
      </w:r>
      <w:r w:rsidRPr="001127F3">
        <w:rPr>
          <w:sz w:val="32"/>
          <w:szCs w:val="32"/>
          <w:rtl/>
        </w:rPr>
        <w:t xml:space="preserve"> أي: أدلة الصحّة </w:t>
      </w:r>
      <w:r w:rsidRPr="001127F3">
        <w:rPr>
          <w:b/>
          <w:bCs/>
          <w:sz w:val="32"/>
          <w:szCs w:val="32"/>
          <w:rtl/>
        </w:rPr>
        <w:t>(صحّة الإجارة، مضافاً إلى النصّ الخاصّ الناطق باستقرار الاُجرة فيمن استأجر أرضاً للزراعة ولم يزرعها)</w:t>
      </w:r>
      <w:r w:rsidRPr="001127F3">
        <w:rPr>
          <w:b/>
          <w:bCs/>
          <w:sz w:val="32"/>
          <w:szCs w:val="32"/>
        </w:rPr>
        <w:t>.</w:t>
      </w:r>
    </w:p>
    <w:p w14:paraId="0CC1CDCF" w14:textId="77777777" w:rsidR="001127F3" w:rsidRPr="001127F3" w:rsidRDefault="001127F3" w:rsidP="00122B70">
      <w:pPr>
        <w:bidi/>
        <w:rPr>
          <w:b/>
          <w:bCs/>
          <w:sz w:val="32"/>
          <w:szCs w:val="32"/>
          <w:rtl/>
        </w:rPr>
      </w:pPr>
      <w:r w:rsidRPr="001127F3">
        <w:rPr>
          <w:sz w:val="32"/>
          <w:szCs w:val="32"/>
          <w:rtl/>
        </w:rPr>
        <w:t xml:space="preserve">والنصّ الخاصُ الذي أشار له سيدنا الخوئي (قدس سره الشريف) هو معتبرة إسماعيل بن الفضل، كما في الوسائل: </w:t>
      </w:r>
      <w:r w:rsidRPr="001127F3">
        <w:rPr>
          <w:b/>
          <w:bCs/>
          <w:sz w:val="32"/>
          <w:szCs w:val="32"/>
          <w:rtl/>
        </w:rPr>
        <w:t xml:space="preserve">(محمّد بن علي بن الحسين بإسناده عن أبان، عن إسماعيل (ابن مسلم)، قال: سألت أبا </w:t>
      </w:r>
      <w:proofErr w:type="gramStart"/>
      <w:r w:rsidRPr="001127F3">
        <w:rPr>
          <w:b/>
          <w:bCs/>
          <w:sz w:val="32"/>
          <w:szCs w:val="32"/>
          <w:rtl/>
        </w:rPr>
        <w:t>عبدالله</w:t>
      </w:r>
      <w:proofErr w:type="gramEnd"/>
      <w:r w:rsidRPr="001127F3">
        <w:rPr>
          <w:b/>
          <w:bCs/>
          <w:sz w:val="32"/>
          <w:szCs w:val="32"/>
          <w:rtl/>
        </w:rPr>
        <w:t xml:space="preserve"> (عليه السلام) عن رجل استأجر من رجل أرضاً، فقال: </w:t>
      </w:r>
      <w:proofErr w:type="spellStart"/>
      <w:r w:rsidRPr="001127F3">
        <w:rPr>
          <w:b/>
          <w:bCs/>
          <w:sz w:val="32"/>
          <w:szCs w:val="32"/>
          <w:rtl/>
        </w:rPr>
        <w:t>آجرنيها</w:t>
      </w:r>
      <w:proofErr w:type="spellEnd"/>
      <w:r w:rsidRPr="001127F3">
        <w:rPr>
          <w:b/>
          <w:bCs/>
          <w:sz w:val="32"/>
          <w:szCs w:val="32"/>
          <w:rtl/>
        </w:rPr>
        <w:t xml:space="preserve"> بكذا وكذا، إن زرعتها أو لم أزرعها أُعطك ذلك، فلم يزرع الرجل؟ فقال: (له أن يأخذه بما له، إن شاء ترك، وإن شاء لم يترك)</w:t>
      </w:r>
      <w:r w:rsidRPr="001127F3">
        <w:rPr>
          <w:b/>
          <w:bCs/>
          <w:sz w:val="32"/>
          <w:szCs w:val="32"/>
        </w:rPr>
        <w:t>.</w:t>
      </w:r>
    </w:p>
    <w:p w14:paraId="020139C5" w14:textId="77777777" w:rsidR="001127F3" w:rsidRPr="001127F3" w:rsidRDefault="001127F3" w:rsidP="00122B70">
      <w:pPr>
        <w:bidi/>
        <w:rPr>
          <w:sz w:val="32"/>
          <w:szCs w:val="32"/>
          <w:rtl/>
        </w:rPr>
      </w:pPr>
      <w:r w:rsidRPr="001127F3">
        <w:rPr>
          <w:b/>
          <w:bCs/>
          <w:sz w:val="32"/>
          <w:szCs w:val="32"/>
          <w:rtl/>
        </w:rPr>
        <w:t xml:space="preserve">ومحمّد بن يعقوب، عن حميد بن زياد، عن الحسن بن محمّد بن سماعة، عن غير واحد، عن أبان، عن إسماعيل بن الفضل، قال: سألت أبا </w:t>
      </w:r>
      <w:proofErr w:type="gramStart"/>
      <w:r w:rsidRPr="001127F3">
        <w:rPr>
          <w:b/>
          <w:bCs/>
          <w:sz w:val="32"/>
          <w:szCs w:val="32"/>
          <w:rtl/>
        </w:rPr>
        <w:t>عبدالله</w:t>
      </w:r>
      <w:proofErr w:type="gramEnd"/>
      <w:r w:rsidRPr="001127F3">
        <w:rPr>
          <w:b/>
          <w:bCs/>
          <w:sz w:val="32"/>
          <w:szCs w:val="32"/>
          <w:rtl/>
        </w:rPr>
        <w:t xml:space="preserve"> (عليه السلام) وذكر نحوه)</w:t>
      </w:r>
      <w:r w:rsidRPr="001127F3">
        <w:rPr>
          <w:sz w:val="32"/>
          <w:szCs w:val="32"/>
          <w:vertAlign w:val="superscript"/>
          <w:rtl/>
        </w:rPr>
        <w:footnoteReference w:id="170"/>
      </w:r>
      <w:r w:rsidRPr="001127F3">
        <w:rPr>
          <w:sz w:val="32"/>
          <w:szCs w:val="32"/>
          <w:rtl/>
        </w:rPr>
        <w:t>.</w:t>
      </w:r>
    </w:p>
    <w:p w14:paraId="0411FD8E" w14:textId="77777777" w:rsidR="001127F3" w:rsidRPr="001127F3" w:rsidRDefault="001127F3" w:rsidP="00122B70">
      <w:pPr>
        <w:bidi/>
        <w:rPr>
          <w:sz w:val="32"/>
          <w:szCs w:val="32"/>
          <w:rtl/>
        </w:rPr>
      </w:pPr>
      <w:r w:rsidRPr="001127F3">
        <w:rPr>
          <w:sz w:val="32"/>
          <w:szCs w:val="32"/>
          <w:rtl/>
        </w:rPr>
        <w:t>وظاهرُ الرواية الشريفة أنّ للمؤجّر الأُجرة</w:t>
      </w:r>
      <w:r w:rsidRPr="001127F3">
        <w:rPr>
          <w:sz w:val="32"/>
          <w:szCs w:val="32"/>
        </w:rPr>
        <w:t>.</w:t>
      </w:r>
    </w:p>
    <w:p w14:paraId="4138F2E6" w14:textId="77777777" w:rsidR="001127F3" w:rsidRPr="001127F3" w:rsidRDefault="001127F3" w:rsidP="00122B70">
      <w:pPr>
        <w:bidi/>
        <w:rPr>
          <w:sz w:val="32"/>
          <w:szCs w:val="32"/>
          <w:rtl/>
        </w:rPr>
      </w:pPr>
      <w:r w:rsidRPr="001127F3">
        <w:rPr>
          <w:b/>
          <w:bCs/>
          <w:sz w:val="32"/>
          <w:szCs w:val="32"/>
          <w:rtl/>
        </w:rPr>
        <w:t xml:space="preserve">فإنْ قُلتَ: </w:t>
      </w:r>
      <w:r w:rsidRPr="001127F3">
        <w:rPr>
          <w:sz w:val="32"/>
          <w:szCs w:val="32"/>
          <w:rtl/>
        </w:rPr>
        <w:t xml:space="preserve">إنّ غاية مفاد هذه الرواية أنّ الإجارة صحيحة؛ حيثُ قال (عليه السلام): </w:t>
      </w:r>
      <w:r w:rsidRPr="001127F3">
        <w:rPr>
          <w:b/>
          <w:bCs/>
          <w:sz w:val="32"/>
          <w:szCs w:val="32"/>
          <w:rtl/>
        </w:rPr>
        <w:t>(له أن يأخذه بما له)</w:t>
      </w:r>
      <w:r w:rsidRPr="001127F3">
        <w:rPr>
          <w:sz w:val="32"/>
          <w:szCs w:val="32"/>
          <w:rtl/>
        </w:rPr>
        <w:t>، وأمّا أنّ الإجارة لازمةٌ بحيث يكون استحقاق الأُجرة المسمّاة مستنداً للعقد اللازم فلا يستفادُ منها ذلك؛ إذ مِن المحتمل كون المقصود أنّ المُستأجر للأرض حيثُ شرط على نفسه للمؤجّر أنْ يعطيه الأجرة المعينة سواءً زرع الأرض أم لا، كان للمؤجّر أنْ يلزمه بالأجرة المسمّاة تبعاً لشرطه، لا لأنّ المؤجّر استحقها بمرور المدّة.</w:t>
      </w:r>
    </w:p>
    <w:p w14:paraId="40CB48DF" w14:textId="77777777" w:rsidR="001127F3" w:rsidRPr="001127F3" w:rsidRDefault="001127F3" w:rsidP="00122B70">
      <w:pPr>
        <w:bidi/>
        <w:rPr>
          <w:sz w:val="32"/>
          <w:szCs w:val="32"/>
          <w:rtl/>
        </w:rPr>
      </w:pPr>
      <w:r w:rsidRPr="001127F3">
        <w:rPr>
          <w:b/>
          <w:bCs/>
          <w:sz w:val="32"/>
          <w:szCs w:val="32"/>
          <w:rtl/>
        </w:rPr>
        <w:lastRenderedPageBreak/>
        <w:t>قُلتُ:</w:t>
      </w:r>
      <w:r w:rsidRPr="001127F3">
        <w:rPr>
          <w:sz w:val="32"/>
          <w:szCs w:val="32"/>
          <w:rtl/>
        </w:rPr>
        <w:t xml:space="preserve"> بعد المفروغية عن كون الإجارة مِن العقود اللازمة بحسب المرتكزات العقلائية، وكون مفاد عقد الإجارة ملكية المنفعة للمُستأجر بإزاء ملكية الأُجرة المسمّاة للمؤجّر، بغض النظر عن استيفاء المنفعة خارجاً، فالرواية الشريفة وإنْ دلتْ على صحّة الإجارة بالمطابقة لكن احتفافها بهذه النكات الارتكازية أوجب ظهورها في استقرار الأُجرة بمجرد انقضاء المدّة، وأنّ قول المُستأجر: (</w:t>
      </w:r>
      <w:r w:rsidRPr="001127F3">
        <w:rPr>
          <w:b/>
          <w:bCs/>
          <w:sz w:val="32"/>
          <w:szCs w:val="32"/>
          <w:rtl/>
        </w:rPr>
        <w:t>إن زرعتها أو لم أزرعها أُعطك ذلك</w:t>
      </w:r>
      <w:r w:rsidRPr="001127F3">
        <w:rPr>
          <w:sz w:val="32"/>
          <w:szCs w:val="32"/>
          <w:rtl/>
        </w:rPr>
        <w:t>) بيانٌ لما هو مقتضى العقد وليس شرطاً فيه.</w:t>
      </w:r>
    </w:p>
    <w:p w14:paraId="51B77012" w14:textId="77777777" w:rsidR="001127F3" w:rsidRPr="001127F3" w:rsidRDefault="001127F3" w:rsidP="00122B70">
      <w:pPr>
        <w:bidi/>
        <w:rPr>
          <w:sz w:val="32"/>
          <w:szCs w:val="32"/>
          <w:rtl/>
        </w:rPr>
      </w:pPr>
      <w:r w:rsidRPr="001127F3">
        <w:rPr>
          <w:sz w:val="32"/>
          <w:szCs w:val="32"/>
          <w:rtl/>
        </w:rPr>
        <w:t xml:space="preserve">ثمّ أفاد سيدنا الخوئي (قدس سره الشريف) بقوله: </w:t>
      </w:r>
      <w:r w:rsidRPr="001127F3">
        <w:rPr>
          <w:b/>
          <w:bCs/>
          <w:sz w:val="32"/>
          <w:szCs w:val="32"/>
          <w:rtl/>
        </w:rPr>
        <w:t>(فلو استأجر داراً ولم يسكنها، أو دابةً لحمل المتاع ولم يحمل عليها حتى انقضت المدّة وانتهى الزمان الذي يمكن الانتفاع فيه سواء أكان)</w:t>
      </w:r>
      <w:r w:rsidRPr="001127F3">
        <w:rPr>
          <w:sz w:val="32"/>
          <w:szCs w:val="32"/>
          <w:rtl/>
        </w:rPr>
        <w:t xml:space="preserve"> الزمانُ المعين </w:t>
      </w:r>
      <w:r w:rsidRPr="001127F3">
        <w:rPr>
          <w:b/>
          <w:bCs/>
          <w:sz w:val="32"/>
          <w:szCs w:val="32"/>
          <w:rtl/>
        </w:rPr>
        <w:t>(متّصلاً بالعقد أم منفصلاً لم يقدح ذلك في صحّة الإجارة ولم يمنع عن استقرار الاُجرة حسبما عرفت)</w:t>
      </w:r>
      <w:r w:rsidRPr="001127F3">
        <w:rPr>
          <w:b/>
          <w:bCs/>
          <w:sz w:val="32"/>
          <w:szCs w:val="32"/>
        </w:rPr>
        <w:t>.</w:t>
      </w:r>
    </w:p>
    <w:p w14:paraId="0553534F" w14:textId="77777777" w:rsidR="001127F3" w:rsidRPr="001127F3" w:rsidRDefault="001127F3" w:rsidP="00122B70">
      <w:pPr>
        <w:bidi/>
        <w:rPr>
          <w:b/>
          <w:bCs/>
          <w:sz w:val="32"/>
          <w:szCs w:val="32"/>
          <w:rtl/>
        </w:rPr>
      </w:pPr>
      <w:r w:rsidRPr="001127F3">
        <w:rPr>
          <w:b/>
          <w:bCs/>
          <w:sz w:val="32"/>
          <w:szCs w:val="32"/>
          <w:rtl/>
        </w:rPr>
        <w:t>الصورةُ الثانية: أنْ تكون العين المُستأجرة كُلّيةً</w:t>
      </w:r>
      <w:r w:rsidRPr="001127F3">
        <w:rPr>
          <w:b/>
          <w:bCs/>
          <w:sz w:val="32"/>
          <w:szCs w:val="32"/>
        </w:rPr>
        <w:t>.</w:t>
      </w:r>
    </w:p>
    <w:p w14:paraId="68AFBF56" w14:textId="77777777" w:rsidR="001127F3" w:rsidRPr="001127F3" w:rsidRDefault="001127F3" w:rsidP="00122B70">
      <w:pPr>
        <w:bidi/>
        <w:rPr>
          <w:b/>
          <w:bCs/>
          <w:sz w:val="32"/>
          <w:szCs w:val="32"/>
          <w:rtl/>
        </w:rPr>
      </w:pPr>
      <w:r w:rsidRPr="001127F3">
        <w:rPr>
          <w:b/>
          <w:bCs/>
          <w:sz w:val="32"/>
          <w:szCs w:val="32"/>
          <w:rtl/>
        </w:rPr>
        <w:t>وهنا تفصيلٌ بين فرضين</w:t>
      </w:r>
      <w:r w:rsidRPr="001127F3">
        <w:rPr>
          <w:b/>
          <w:bCs/>
          <w:sz w:val="32"/>
          <w:szCs w:val="32"/>
        </w:rPr>
        <w:t>:</w:t>
      </w:r>
    </w:p>
    <w:p w14:paraId="394C2494" w14:textId="77777777" w:rsidR="001127F3" w:rsidRPr="001127F3" w:rsidRDefault="001127F3" w:rsidP="00122B70">
      <w:pPr>
        <w:bidi/>
        <w:rPr>
          <w:sz w:val="32"/>
          <w:szCs w:val="32"/>
          <w:rtl/>
        </w:rPr>
      </w:pPr>
      <w:r w:rsidRPr="001127F3">
        <w:rPr>
          <w:b/>
          <w:bCs/>
          <w:sz w:val="32"/>
          <w:szCs w:val="32"/>
          <w:rtl/>
        </w:rPr>
        <w:t xml:space="preserve">الفرضُ الأوّل: </w:t>
      </w:r>
      <w:r w:rsidRPr="001127F3">
        <w:rPr>
          <w:sz w:val="32"/>
          <w:szCs w:val="32"/>
          <w:rtl/>
        </w:rPr>
        <w:t>فرضُ تعيين الوقت</w:t>
      </w:r>
      <w:r w:rsidRPr="001127F3">
        <w:rPr>
          <w:sz w:val="32"/>
          <w:szCs w:val="32"/>
        </w:rPr>
        <w:t>.</w:t>
      </w:r>
    </w:p>
    <w:p w14:paraId="39240F8B" w14:textId="77777777" w:rsidR="001127F3" w:rsidRPr="001127F3" w:rsidRDefault="001127F3" w:rsidP="00122B70">
      <w:pPr>
        <w:bidi/>
        <w:rPr>
          <w:b/>
          <w:bCs/>
          <w:sz w:val="32"/>
          <w:szCs w:val="32"/>
          <w:rtl/>
        </w:rPr>
      </w:pPr>
      <w:r w:rsidRPr="001127F3">
        <w:rPr>
          <w:b/>
          <w:bCs/>
          <w:sz w:val="32"/>
          <w:szCs w:val="32"/>
          <w:rtl/>
        </w:rPr>
        <w:t xml:space="preserve">الفرضُ الثاني: </w:t>
      </w:r>
      <w:r w:rsidRPr="001127F3">
        <w:rPr>
          <w:sz w:val="32"/>
          <w:szCs w:val="32"/>
          <w:rtl/>
        </w:rPr>
        <w:t>فرضُ عدم تعيين الوقت</w:t>
      </w:r>
      <w:r w:rsidRPr="001127F3">
        <w:rPr>
          <w:sz w:val="32"/>
          <w:szCs w:val="32"/>
        </w:rPr>
        <w:t>.</w:t>
      </w:r>
    </w:p>
    <w:p w14:paraId="37750FCE" w14:textId="77777777" w:rsidR="001127F3" w:rsidRPr="001127F3" w:rsidRDefault="001127F3" w:rsidP="00122B70">
      <w:pPr>
        <w:bidi/>
        <w:rPr>
          <w:sz w:val="32"/>
          <w:szCs w:val="32"/>
          <w:rtl/>
        </w:rPr>
      </w:pPr>
      <w:r w:rsidRPr="001127F3">
        <w:rPr>
          <w:b/>
          <w:bCs/>
          <w:sz w:val="32"/>
          <w:szCs w:val="32"/>
          <w:rtl/>
        </w:rPr>
        <w:t>أمّا الفرض الأوّل:</w:t>
      </w:r>
      <w:r w:rsidRPr="001127F3">
        <w:rPr>
          <w:sz w:val="32"/>
          <w:szCs w:val="32"/>
          <w:rtl/>
        </w:rPr>
        <w:t xml:space="preserve"> وهو كون العين المُستأجرة كُليّة وقام المؤجّر بتطبيق العين الكُلّية على عينٍ شخصيةٍ وسلمها للمُستأجر، وكان الوقت معيّناً ضمن المُستأجر الأُجرة المسمّاة بانقضاء المدّة</w:t>
      </w:r>
      <w:r w:rsidRPr="001127F3">
        <w:rPr>
          <w:sz w:val="32"/>
          <w:szCs w:val="32"/>
        </w:rPr>
        <w:t>.</w:t>
      </w:r>
    </w:p>
    <w:p w14:paraId="20EC102E" w14:textId="77777777" w:rsidR="001127F3" w:rsidRPr="001127F3" w:rsidRDefault="001127F3" w:rsidP="00122B70">
      <w:pPr>
        <w:bidi/>
        <w:rPr>
          <w:b/>
          <w:bCs/>
          <w:sz w:val="32"/>
          <w:szCs w:val="32"/>
          <w:rtl/>
        </w:rPr>
      </w:pPr>
      <w:r w:rsidRPr="001127F3">
        <w:rPr>
          <w:b/>
          <w:bCs/>
          <w:sz w:val="32"/>
          <w:szCs w:val="32"/>
          <w:rtl/>
        </w:rPr>
        <w:t>توهمٌ ودفع</w:t>
      </w:r>
      <w:r w:rsidRPr="001127F3">
        <w:rPr>
          <w:b/>
          <w:bCs/>
          <w:sz w:val="32"/>
          <w:szCs w:val="32"/>
        </w:rPr>
        <w:t>:</w:t>
      </w:r>
    </w:p>
    <w:p w14:paraId="1B356CFC" w14:textId="77777777" w:rsidR="001127F3" w:rsidRPr="001127F3" w:rsidRDefault="001127F3" w:rsidP="00122B70">
      <w:pPr>
        <w:bidi/>
        <w:rPr>
          <w:sz w:val="32"/>
          <w:szCs w:val="32"/>
          <w:rtl/>
        </w:rPr>
      </w:pPr>
      <w:r w:rsidRPr="001127F3">
        <w:rPr>
          <w:sz w:val="32"/>
          <w:szCs w:val="32"/>
        </w:rPr>
        <w:t xml:space="preserve"> </w:t>
      </w:r>
      <w:r w:rsidRPr="001127F3">
        <w:rPr>
          <w:sz w:val="32"/>
          <w:szCs w:val="32"/>
          <w:rtl/>
        </w:rPr>
        <w:t>قد يقال</w:t>
      </w:r>
      <w:r w:rsidRPr="001127F3">
        <w:rPr>
          <w:b/>
          <w:bCs/>
          <w:sz w:val="32"/>
          <w:szCs w:val="32"/>
          <w:rtl/>
        </w:rPr>
        <w:t xml:space="preserve">: (بالتفصيل بين العين الشخصيّة والكلّيّة واختصاص الاستقرار </w:t>
      </w:r>
      <w:proofErr w:type="spellStart"/>
      <w:r w:rsidRPr="001127F3">
        <w:rPr>
          <w:b/>
          <w:bCs/>
          <w:sz w:val="32"/>
          <w:szCs w:val="32"/>
          <w:rtl/>
        </w:rPr>
        <w:t>بالاُولى</w:t>
      </w:r>
      <w:proofErr w:type="spellEnd"/>
      <w:r w:rsidRPr="001127F3">
        <w:rPr>
          <w:b/>
          <w:bCs/>
          <w:sz w:val="32"/>
          <w:szCs w:val="32"/>
          <w:rtl/>
        </w:rPr>
        <w:t>، نظراً إلى صدق تسليم المنفعة بتسليم العين الشخصيّة بخلاف أداء الفرد من الكلّي، لعدم تعلّق الإجارة به، فما وقعت عليه الإجارة لم يتعلّق به التسليم، وما كان مورداً للتسليم لم تتعلّق به الإجارة.</w:t>
      </w:r>
    </w:p>
    <w:p w14:paraId="6BA2C2D5" w14:textId="77777777" w:rsidR="001127F3" w:rsidRPr="001127F3" w:rsidRDefault="001127F3" w:rsidP="00122B70">
      <w:pPr>
        <w:bidi/>
        <w:rPr>
          <w:sz w:val="32"/>
          <w:szCs w:val="32"/>
          <w:rtl/>
        </w:rPr>
      </w:pPr>
      <w:r w:rsidRPr="001127F3">
        <w:rPr>
          <w:b/>
          <w:bCs/>
          <w:sz w:val="32"/>
          <w:szCs w:val="32"/>
          <w:rtl/>
        </w:rPr>
        <w:t>ففيه ما لا يخفى، بل هو واضح الفساد، ضرورة أنّ الشخصي يتضمّن الكلّي وزيادة)</w:t>
      </w:r>
      <w:r w:rsidRPr="001127F3">
        <w:rPr>
          <w:sz w:val="32"/>
          <w:szCs w:val="32"/>
          <w:vertAlign w:val="superscript"/>
          <w:rtl/>
        </w:rPr>
        <w:footnoteReference w:id="171"/>
      </w:r>
      <w:r w:rsidRPr="001127F3">
        <w:rPr>
          <w:sz w:val="32"/>
          <w:szCs w:val="32"/>
          <w:rtl/>
        </w:rPr>
        <w:t>.</w:t>
      </w:r>
    </w:p>
    <w:p w14:paraId="5E194390" w14:textId="77777777" w:rsidR="001127F3" w:rsidRPr="001127F3" w:rsidRDefault="001127F3" w:rsidP="00122B70">
      <w:pPr>
        <w:bidi/>
        <w:rPr>
          <w:sz w:val="32"/>
          <w:szCs w:val="32"/>
          <w:rtl/>
        </w:rPr>
      </w:pPr>
      <w:r w:rsidRPr="001127F3">
        <w:rPr>
          <w:sz w:val="32"/>
          <w:szCs w:val="32"/>
          <w:rtl/>
        </w:rPr>
        <w:lastRenderedPageBreak/>
        <w:t>أي: أنّه لا فرق بين الشخصي والكُلّي إلّا أنّ الشخصي منفعةٌ متقومةٌ بالتشخص في الموضوع الخارجي كهذه الدار أو هذه السيارة، دون الكُلّي كمنفعة سيارةٍ متصفةٍ بالأوصاف المحددة، لا أكثر من ذلك</w:t>
      </w:r>
      <w:r w:rsidRPr="001127F3">
        <w:rPr>
          <w:sz w:val="32"/>
          <w:szCs w:val="32"/>
        </w:rPr>
        <w:t>.</w:t>
      </w:r>
    </w:p>
    <w:p w14:paraId="0A41D198" w14:textId="77777777" w:rsidR="001127F3" w:rsidRPr="001127F3" w:rsidRDefault="001127F3" w:rsidP="00122B70">
      <w:pPr>
        <w:bidi/>
        <w:rPr>
          <w:sz w:val="32"/>
          <w:szCs w:val="32"/>
          <w:rtl/>
        </w:rPr>
      </w:pPr>
      <w:r w:rsidRPr="001127F3">
        <w:rPr>
          <w:sz w:val="32"/>
          <w:szCs w:val="32"/>
          <w:rtl/>
        </w:rPr>
        <w:t>وبناءً على هذا، فإذا قام المؤجّر حيثُ إنّ الولاية على التشخيص بيد المالك للعين وليست بيد المُستأجر، وسلّم العين للمُستأجر فتارةً يكون التسليم بعنوان الأمانة وتارةً يكون التسليم بعنوان الوفاء بالعقد، وتشخيص الكُلّي في الشخصيّ المقبوض</w:t>
      </w:r>
      <w:r w:rsidRPr="001127F3">
        <w:rPr>
          <w:sz w:val="32"/>
          <w:szCs w:val="32"/>
        </w:rPr>
        <w:t>.</w:t>
      </w:r>
    </w:p>
    <w:p w14:paraId="1A126560" w14:textId="77777777" w:rsidR="001127F3" w:rsidRPr="001127F3" w:rsidRDefault="001127F3" w:rsidP="00122B70">
      <w:pPr>
        <w:bidi/>
        <w:rPr>
          <w:sz w:val="32"/>
          <w:szCs w:val="32"/>
          <w:rtl/>
        </w:rPr>
      </w:pPr>
      <w:r w:rsidRPr="001127F3">
        <w:rPr>
          <w:b/>
          <w:bCs/>
          <w:sz w:val="32"/>
          <w:szCs w:val="32"/>
          <w:rtl/>
        </w:rPr>
        <w:t xml:space="preserve">(نعم، لو لم يكن التسليم بعنوان </w:t>
      </w:r>
      <w:proofErr w:type="gramStart"/>
      <w:r w:rsidRPr="001127F3">
        <w:rPr>
          <w:b/>
          <w:bCs/>
          <w:sz w:val="32"/>
          <w:szCs w:val="32"/>
          <w:rtl/>
        </w:rPr>
        <w:t>الوفاء</w:t>
      </w:r>
      <w:proofErr w:type="gramEnd"/>
      <w:r w:rsidRPr="001127F3">
        <w:rPr>
          <w:b/>
          <w:bCs/>
          <w:sz w:val="32"/>
          <w:szCs w:val="32"/>
          <w:rtl/>
        </w:rPr>
        <w:t xml:space="preserve"> بل كانت العين – في الإجارة الشخصيّة أو الكلّيّة – مدفوعة إلى المستأجر بعنوان الأمانة باعتبار أنّ المنفعة لمّا لم تكن مؤقّتة بوقّت خاصّ حسب الفرض، وإنّما آجر الدابة - مثلاً - لحمل متاعه خلال يوم من هذا الاُسبوع)</w:t>
      </w:r>
      <w:r w:rsidRPr="001127F3">
        <w:rPr>
          <w:sz w:val="32"/>
          <w:szCs w:val="32"/>
          <w:rtl/>
        </w:rPr>
        <w:t xml:space="preserve"> حيثُ إنّه تارةً تكون الكُلّيّة بحسب العين وتارةً تكون الكُلّيّة بحسب الزمن، والفرض هنا أنّ الكُلّيّة بحسب الزمن </w:t>
      </w:r>
      <w:r w:rsidRPr="001127F3">
        <w:rPr>
          <w:b/>
          <w:bCs/>
          <w:sz w:val="32"/>
          <w:szCs w:val="32"/>
          <w:rtl/>
        </w:rPr>
        <w:t>(حسبما يختاره المستأجر، فجعلها)</w:t>
      </w:r>
      <w:r w:rsidRPr="001127F3">
        <w:rPr>
          <w:sz w:val="32"/>
          <w:szCs w:val="32"/>
          <w:rtl/>
        </w:rPr>
        <w:t xml:space="preserve"> أي: جعل المؤجّرُ العين - وهي الدابة – </w:t>
      </w:r>
      <w:r w:rsidRPr="001127F3">
        <w:rPr>
          <w:b/>
          <w:bCs/>
          <w:sz w:val="32"/>
          <w:szCs w:val="32"/>
          <w:rtl/>
        </w:rPr>
        <w:t xml:space="preserve">(أمانة عنده) </w:t>
      </w:r>
      <w:r w:rsidRPr="001127F3">
        <w:rPr>
          <w:sz w:val="32"/>
          <w:szCs w:val="32"/>
          <w:rtl/>
        </w:rPr>
        <w:t xml:space="preserve">أي: عند المُستأجر </w:t>
      </w:r>
      <w:r w:rsidRPr="001127F3">
        <w:rPr>
          <w:b/>
          <w:bCs/>
          <w:sz w:val="32"/>
          <w:szCs w:val="32"/>
          <w:rtl/>
        </w:rPr>
        <w:t>(لكي يستوفي المنفعة حيثما شاء. فحينئذٍ لا مقتضي للاستقرار بمضيّ زمان يمكن فيه الاستيفاء كما هو واضح)</w:t>
      </w:r>
      <w:r w:rsidRPr="001127F3">
        <w:rPr>
          <w:sz w:val="32"/>
          <w:szCs w:val="32"/>
          <w:rtl/>
        </w:rPr>
        <w:t xml:space="preserve"> كما لو مضى يوم أو يومان أو ثلاثة ولَمْ يستوفِ المنفعة فلا تستقر الأُجرة </w:t>
      </w:r>
      <w:r w:rsidRPr="001127F3">
        <w:rPr>
          <w:b/>
          <w:bCs/>
          <w:sz w:val="32"/>
          <w:szCs w:val="32"/>
          <w:rtl/>
        </w:rPr>
        <w:t>(إلّا أنّه لا مقتضي أيضاً لضمان اُجرة المثل، إذ المؤجّر)</w:t>
      </w:r>
      <w:r w:rsidRPr="001127F3">
        <w:rPr>
          <w:sz w:val="32"/>
          <w:szCs w:val="32"/>
          <w:rtl/>
        </w:rPr>
        <w:t xml:space="preserve"> وهو مالك العين </w:t>
      </w:r>
      <w:r w:rsidRPr="001127F3">
        <w:rPr>
          <w:b/>
          <w:bCs/>
          <w:sz w:val="32"/>
          <w:szCs w:val="32"/>
          <w:rtl/>
        </w:rPr>
        <w:t>(هو الذي فوّت المنفعة على نفسه بدفع العين أمانة وتسليط المستأجر عليها)</w:t>
      </w:r>
      <w:r w:rsidRPr="001127F3">
        <w:rPr>
          <w:sz w:val="32"/>
          <w:szCs w:val="32"/>
          <w:rtl/>
        </w:rPr>
        <w:t xml:space="preserve"> ولَمْ يدفعها بعنوان الوفاء بالعقد</w:t>
      </w:r>
      <w:r w:rsidRPr="001127F3">
        <w:rPr>
          <w:sz w:val="32"/>
          <w:szCs w:val="32"/>
        </w:rPr>
        <w:t>.</w:t>
      </w:r>
    </w:p>
    <w:p w14:paraId="4EC7CD58" w14:textId="77777777" w:rsidR="001127F3" w:rsidRPr="001127F3" w:rsidRDefault="001127F3" w:rsidP="00122B70">
      <w:pPr>
        <w:bidi/>
        <w:rPr>
          <w:sz w:val="32"/>
          <w:szCs w:val="32"/>
          <w:rtl/>
        </w:rPr>
      </w:pPr>
      <w:r w:rsidRPr="001127F3">
        <w:rPr>
          <w:sz w:val="32"/>
          <w:szCs w:val="32"/>
          <w:rtl/>
        </w:rPr>
        <w:t xml:space="preserve">وأمّا إذا كان تسليمه للعين بعنوان الوفاء بالعقد </w:t>
      </w:r>
      <w:r w:rsidRPr="001127F3">
        <w:rPr>
          <w:b/>
          <w:bCs/>
          <w:sz w:val="32"/>
          <w:szCs w:val="32"/>
          <w:rtl/>
        </w:rPr>
        <w:t>(فلا جرم كان تسليمه)</w:t>
      </w:r>
      <w:r w:rsidRPr="001127F3">
        <w:rPr>
          <w:sz w:val="32"/>
          <w:szCs w:val="32"/>
          <w:rtl/>
        </w:rPr>
        <w:t xml:space="preserve"> للعين تسليماً للمنفعة المملوكة </w:t>
      </w:r>
      <w:r w:rsidRPr="001127F3">
        <w:rPr>
          <w:b/>
          <w:bCs/>
          <w:sz w:val="32"/>
          <w:szCs w:val="32"/>
          <w:rtl/>
        </w:rPr>
        <w:t xml:space="preserve">(بعد أن كان اختيار التطبيق بيد المؤجّر فله دفع أيّ فرد شاء وفاءً عن الكلّي كما هو الحال في البيع) </w:t>
      </w:r>
      <w:r w:rsidRPr="001127F3">
        <w:rPr>
          <w:sz w:val="32"/>
          <w:szCs w:val="32"/>
          <w:rtl/>
        </w:rPr>
        <w:t xml:space="preserve">أي: كما لو اشترى شخصٌ صاعاً مِن الصبرة الخارجية والولاية على التطبيق بيد البائع فقام البائع وطبق الصاع الكُلّي المملوك على صاعٍ معيّنٍ فإن المشتري إذا استلم الصاع من باب الوفاء بالعقد فقد استلم المال المملوك </w:t>
      </w:r>
      <w:r w:rsidRPr="001127F3">
        <w:rPr>
          <w:b/>
          <w:bCs/>
          <w:sz w:val="32"/>
          <w:szCs w:val="32"/>
          <w:rtl/>
        </w:rPr>
        <w:t xml:space="preserve">(وعليه، فقد سلّم) </w:t>
      </w:r>
      <w:r w:rsidRPr="001127F3">
        <w:rPr>
          <w:sz w:val="32"/>
          <w:szCs w:val="32"/>
          <w:rtl/>
        </w:rPr>
        <w:t xml:space="preserve">المؤجّرُ </w:t>
      </w:r>
      <w:r w:rsidRPr="001127F3">
        <w:rPr>
          <w:b/>
          <w:bCs/>
          <w:sz w:val="32"/>
          <w:szCs w:val="32"/>
          <w:rtl/>
        </w:rPr>
        <w:t xml:space="preserve">(المستأجر المنفعة بتسلّم العين، ومعه كيف يمكن القول بعدم استقرار الاُجرة؟!) </w:t>
      </w:r>
      <w:r w:rsidRPr="001127F3">
        <w:rPr>
          <w:sz w:val="32"/>
          <w:szCs w:val="32"/>
          <w:rtl/>
        </w:rPr>
        <w:t>المسمّاة مع مضيّ المدّة.</w:t>
      </w:r>
    </w:p>
    <w:p w14:paraId="621D8F05" w14:textId="77777777" w:rsidR="001127F3" w:rsidRPr="001127F3" w:rsidRDefault="001127F3" w:rsidP="00122B70">
      <w:pPr>
        <w:bidi/>
        <w:rPr>
          <w:sz w:val="32"/>
          <w:szCs w:val="32"/>
          <w:rtl/>
        </w:rPr>
      </w:pPr>
    </w:p>
    <w:p w14:paraId="23049BCB" w14:textId="77777777" w:rsidR="001127F3" w:rsidRPr="001127F3" w:rsidRDefault="001127F3" w:rsidP="00122B70">
      <w:pPr>
        <w:bidi/>
        <w:rPr>
          <w:b/>
          <w:bCs/>
          <w:sz w:val="32"/>
          <w:szCs w:val="32"/>
          <w:rtl/>
        </w:rPr>
      </w:pPr>
      <w:r w:rsidRPr="001127F3">
        <w:rPr>
          <w:b/>
          <w:bCs/>
          <w:sz w:val="32"/>
          <w:szCs w:val="32"/>
          <w:rtl/>
        </w:rPr>
        <w:t>والحمد لله رب العالمين</w:t>
      </w:r>
    </w:p>
    <w:p w14:paraId="08C7F65D" w14:textId="77777777" w:rsidR="00BD568E" w:rsidRPr="00F27422" w:rsidRDefault="00BD568E" w:rsidP="00122B70">
      <w:pPr>
        <w:bidi/>
        <w:rPr>
          <w:sz w:val="32"/>
          <w:szCs w:val="32"/>
          <w:rtl/>
        </w:rPr>
      </w:pPr>
    </w:p>
    <w:p w14:paraId="03B07F5B" w14:textId="1D8D405B" w:rsidR="00BD568E" w:rsidRPr="00F27422" w:rsidRDefault="00BD568E" w:rsidP="00122B70">
      <w:pPr>
        <w:pStyle w:val="Heading3"/>
        <w:bidi/>
        <w:rPr>
          <w:sz w:val="32"/>
          <w:szCs w:val="32"/>
          <w:rtl/>
        </w:rPr>
      </w:pPr>
      <w:r w:rsidRPr="00F27422">
        <w:rPr>
          <w:rFonts w:hint="cs"/>
          <w:sz w:val="32"/>
          <w:szCs w:val="32"/>
          <w:rtl/>
        </w:rPr>
        <w:lastRenderedPageBreak/>
        <w:t>096</w:t>
      </w:r>
    </w:p>
    <w:p w14:paraId="398FE843" w14:textId="77777777" w:rsidR="00966EE1" w:rsidRPr="00966EE1" w:rsidRDefault="00966EE1" w:rsidP="00122B70">
      <w:pPr>
        <w:bidi/>
        <w:rPr>
          <w:b/>
          <w:bCs/>
          <w:sz w:val="32"/>
          <w:szCs w:val="32"/>
        </w:rPr>
      </w:pPr>
      <w:r w:rsidRPr="00966EE1">
        <w:rPr>
          <w:b/>
          <w:bCs/>
          <w:sz w:val="32"/>
          <w:szCs w:val="32"/>
          <w:rtl/>
        </w:rPr>
        <w:t>بسم الله الرحمن الرحيم</w:t>
      </w:r>
    </w:p>
    <w:p w14:paraId="60CE3698" w14:textId="77777777" w:rsidR="00966EE1" w:rsidRPr="00966EE1" w:rsidRDefault="00966EE1" w:rsidP="00122B70">
      <w:pPr>
        <w:bidi/>
        <w:rPr>
          <w:b/>
          <w:bCs/>
          <w:sz w:val="32"/>
          <w:szCs w:val="32"/>
          <w:rtl/>
        </w:rPr>
      </w:pPr>
      <w:r w:rsidRPr="00966EE1">
        <w:rPr>
          <w:b/>
          <w:bCs/>
          <w:sz w:val="32"/>
          <w:szCs w:val="32"/>
          <w:rtl/>
        </w:rPr>
        <w:t>والصلاة والسلام على أشرف الأنبياء والمرسلين، محمد وآله الطيبين الطاهرين</w:t>
      </w:r>
    </w:p>
    <w:p w14:paraId="62114068" w14:textId="77777777" w:rsidR="00966EE1" w:rsidRPr="00966EE1" w:rsidRDefault="00966EE1" w:rsidP="00122B70">
      <w:pPr>
        <w:bidi/>
        <w:rPr>
          <w:sz w:val="32"/>
          <w:szCs w:val="32"/>
          <w:rtl/>
          <w:lang w:bidi="ar-BH"/>
        </w:rPr>
      </w:pPr>
      <w:r w:rsidRPr="00966EE1">
        <w:rPr>
          <w:b/>
          <w:bCs/>
          <w:sz w:val="32"/>
          <w:szCs w:val="32"/>
          <w:rtl/>
        </w:rPr>
        <w:t>واللعن الدائم على أعدائهم أجمعين إلى قيام يوم الدين</w:t>
      </w:r>
    </w:p>
    <w:p w14:paraId="4AE0B1CB" w14:textId="77777777" w:rsidR="00966EE1" w:rsidRPr="00966EE1" w:rsidRDefault="00966EE1" w:rsidP="00122B70">
      <w:pPr>
        <w:bidi/>
        <w:rPr>
          <w:sz w:val="32"/>
          <w:szCs w:val="32"/>
          <w:rtl/>
          <w:lang w:bidi="ar-BH"/>
        </w:rPr>
      </w:pPr>
    </w:p>
    <w:p w14:paraId="291194AF" w14:textId="77777777" w:rsidR="00966EE1" w:rsidRPr="00966EE1" w:rsidRDefault="00966EE1" w:rsidP="00122B70">
      <w:pPr>
        <w:bidi/>
        <w:rPr>
          <w:sz w:val="32"/>
          <w:szCs w:val="32"/>
          <w:rtl/>
        </w:rPr>
      </w:pPr>
      <w:r w:rsidRPr="00966EE1">
        <w:rPr>
          <w:b/>
          <w:bCs/>
          <w:sz w:val="32"/>
          <w:szCs w:val="32"/>
          <w:rtl/>
        </w:rPr>
        <w:t>وأمّا الفرض الثاني:</w:t>
      </w:r>
      <w:r w:rsidRPr="00966EE1">
        <w:rPr>
          <w:sz w:val="32"/>
          <w:szCs w:val="32"/>
          <w:rtl/>
        </w:rPr>
        <w:t xml:space="preserve"> وهو عدم تحديد المدّة لا متّصلة بالعقد ولا منفصلة عنه.</w:t>
      </w:r>
    </w:p>
    <w:p w14:paraId="2281D28C" w14:textId="77777777" w:rsidR="00966EE1" w:rsidRPr="00966EE1" w:rsidRDefault="00966EE1" w:rsidP="00122B70">
      <w:pPr>
        <w:bidi/>
        <w:rPr>
          <w:sz w:val="32"/>
          <w:szCs w:val="32"/>
          <w:rtl/>
        </w:rPr>
      </w:pPr>
      <w:r w:rsidRPr="00966EE1">
        <w:rPr>
          <w:sz w:val="32"/>
          <w:szCs w:val="32"/>
          <w:rtl/>
        </w:rPr>
        <w:t>فقد يتوهم التفصيل بين المؤقت وغيره، بالاستقرار في الأوّل دون الثاني.</w:t>
      </w:r>
    </w:p>
    <w:p w14:paraId="6976F795" w14:textId="77777777" w:rsidR="00966EE1" w:rsidRPr="00966EE1" w:rsidRDefault="00966EE1" w:rsidP="00122B70">
      <w:pPr>
        <w:bidi/>
        <w:rPr>
          <w:sz w:val="32"/>
          <w:szCs w:val="32"/>
          <w:rtl/>
        </w:rPr>
      </w:pPr>
      <w:r w:rsidRPr="00966EE1">
        <w:rPr>
          <w:b/>
          <w:bCs/>
          <w:sz w:val="32"/>
          <w:szCs w:val="32"/>
          <w:rtl/>
        </w:rPr>
        <w:t>ولكنه لا وجه له؛</w:t>
      </w:r>
      <w:r w:rsidRPr="00966EE1">
        <w:rPr>
          <w:sz w:val="32"/>
          <w:szCs w:val="32"/>
          <w:rtl/>
        </w:rPr>
        <w:t xml:space="preserve"> لأنّه لا يعتبر في صحّة الإجارة أكثر مِن تسليم العين التي هي موطن المنفعة المملوكة، ومِن الواضح أنّه بعد تسلّم العين مِن قِبل المُستأجر فعدم انتفاعه بها تفويت لمال نفسه باختياره، لا لمال الغير كي يضمن أُجرة المثل، بل المتعين استقرار الأُجرة المسمّاة لتمامية العقد ولزومه.</w:t>
      </w:r>
    </w:p>
    <w:p w14:paraId="14050E36" w14:textId="77777777" w:rsidR="00966EE1" w:rsidRPr="00966EE1" w:rsidRDefault="00966EE1" w:rsidP="00122B70">
      <w:pPr>
        <w:bidi/>
        <w:rPr>
          <w:sz w:val="32"/>
          <w:szCs w:val="32"/>
          <w:rtl/>
        </w:rPr>
      </w:pPr>
      <w:r w:rsidRPr="00966EE1">
        <w:rPr>
          <w:b/>
          <w:bCs/>
          <w:sz w:val="32"/>
          <w:szCs w:val="32"/>
          <w:rtl/>
        </w:rPr>
        <w:t>فالحاصلُ مِن الاتجاه الأوّل:</w:t>
      </w:r>
      <w:r w:rsidRPr="00966EE1">
        <w:rPr>
          <w:sz w:val="32"/>
          <w:szCs w:val="32"/>
          <w:rtl/>
        </w:rPr>
        <w:t xml:space="preserve"> أنّ المُستأجر متى </w:t>
      </w:r>
      <w:proofErr w:type="gramStart"/>
      <w:r w:rsidRPr="00966EE1">
        <w:rPr>
          <w:sz w:val="32"/>
          <w:szCs w:val="32"/>
          <w:rtl/>
        </w:rPr>
        <w:t>استلم</w:t>
      </w:r>
      <w:proofErr w:type="gramEnd"/>
      <w:r w:rsidRPr="00966EE1">
        <w:rPr>
          <w:sz w:val="32"/>
          <w:szCs w:val="32"/>
          <w:rtl/>
        </w:rPr>
        <w:t xml:space="preserve"> العين لا بعنوان الأمانة وانقضت </w:t>
      </w:r>
      <w:proofErr w:type="gramStart"/>
      <w:r w:rsidRPr="00966EE1">
        <w:rPr>
          <w:sz w:val="32"/>
          <w:szCs w:val="32"/>
          <w:rtl/>
        </w:rPr>
        <w:t>المدّة  استقرت</w:t>
      </w:r>
      <w:proofErr w:type="gramEnd"/>
      <w:r w:rsidRPr="00966EE1">
        <w:rPr>
          <w:sz w:val="32"/>
          <w:szCs w:val="32"/>
          <w:rtl/>
        </w:rPr>
        <w:t xml:space="preserve"> الأُجرة المسمّاة مِن دون تفصيل بين المملوك الكُلّي والشخصي، وسواءً كانت المدّة معيّنة أم لا.</w:t>
      </w:r>
    </w:p>
    <w:p w14:paraId="20FEE37E" w14:textId="77777777" w:rsidR="00966EE1" w:rsidRPr="00966EE1" w:rsidRDefault="00966EE1" w:rsidP="00122B70">
      <w:pPr>
        <w:bidi/>
        <w:rPr>
          <w:sz w:val="32"/>
          <w:szCs w:val="32"/>
          <w:rtl/>
          <w:lang w:bidi="ar-BH"/>
        </w:rPr>
      </w:pPr>
      <w:r w:rsidRPr="00966EE1">
        <w:rPr>
          <w:b/>
          <w:bCs/>
          <w:sz w:val="32"/>
          <w:szCs w:val="32"/>
          <w:rtl/>
        </w:rPr>
        <w:t>الاتجاهُ الثاني:</w:t>
      </w:r>
      <w:r w:rsidRPr="00966EE1">
        <w:rPr>
          <w:sz w:val="32"/>
          <w:szCs w:val="32"/>
          <w:rtl/>
        </w:rPr>
        <w:t xml:space="preserve"> ما ذكره بعض الأجلة (رحمه الله) في كتابه الإجارة</w:t>
      </w:r>
      <w:r w:rsidRPr="00966EE1">
        <w:rPr>
          <w:sz w:val="32"/>
          <w:szCs w:val="32"/>
          <w:vertAlign w:val="superscript"/>
          <w:rtl/>
        </w:rPr>
        <w:footnoteReference w:id="172"/>
      </w:r>
      <w:r w:rsidRPr="00966EE1">
        <w:rPr>
          <w:sz w:val="32"/>
          <w:szCs w:val="32"/>
          <w:rtl/>
        </w:rPr>
        <w:t xml:space="preserve"> تقريباً لتفصيل سيد العروة (قدس سره الشريف)، وهو الصحيح، مَع ترميمٍ وتعديل</w:t>
      </w:r>
      <w:r w:rsidRPr="00966EE1">
        <w:rPr>
          <w:sz w:val="32"/>
          <w:szCs w:val="32"/>
        </w:rPr>
        <w:t>.</w:t>
      </w:r>
    </w:p>
    <w:p w14:paraId="6D6A2340" w14:textId="77777777" w:rsidR="00966EE1" w:rsidRPr="00966EE1" w:rsidRDefault="00966EE1" w:rsidP="00122B70">
      <w:pPr>
        <w:bidi/>
        <w:rPr>
          <w:b/>
          <w:bCs/>
          <w:sz w:val="32"/>
          <w:szCs w:val="32"/>
          <w:rtl/>
        </w:rPr>
      </w:pPr>
      <w:r w:rsidRPr="00966EE1">
        <w:rPr>
          <w:b/>
          <w:bCs/>
          <w:sz w:val="32"/>
          <w:szCs w:val="32"/>
          <w:rtl/>
        </w:rPr>
        <w:t>وهو مؤلفٌ مِن مطلبين</w:t>
      </w:r>
      <w:r w:rsidRPr="00966EE1">
        <w:rPr>
          <w:b/>
          <w:bCs/>
          <w:sz w:val="32"/>
          <w:szCs w:val="32"/>
        </w:rPr>
        <w:t>:</w:t>
      </w:r>
    </w:p>
    <w:p w14:paraId="1BD73D39" w14:textId="77777777" w:rsidR="00966EE1" w:rsidRPr="00966EE1" w:rsidRDefault="00966EE1" w:rsidP="00122B70">
      <w:pPr>
        <w:bidi/>
        <w:rPr>
          <w:b/>
          <w:bCs/>
          <w:sz w:val="32"/>
          <w:szCs w:val="32"/>
          <w:rtl/>
        </w:rPr>
      </w:pPr>
      <w:r w:rsidRPr="00966EE1">
        <w:rPr>
          <w:b/>
          <w:bCs/>
          <w:sz w:val="32"/>
          <w:szCs w:val="32"/>
          <w:rtl/>
        </w:rPr>
        <w:t>المطلبُ الأوّل: وتفصيله</w:t>
      </w:r>
      <w:r w:rsidRPr="00966EE1">
        <w:rPr>
          <w:b/>
          <w:bCs/>
          <w:sz w:val="32"/>
          <w:szCs w:val="32"/>
        </w:rPr>
        <w:t>:</w:t>
      </w:r>
    </w:p>
    <w:p w14:paraId="2B5467A2" w14:textId="77777777" w:rsidR="00966EE1" w:rsidRPr="00966EE1" w:rsidRDefault="00966EE1" w:rsidP="00122B70">
      <w:pPr>
        <w:bidi/>
        <w:rPr>
          <w:sz w:val="32"/>
          <w:szCs w:val="32"/>
          <w:rtl/>
        </w:rPr>
      </w:pPr>
      <w:r w:rsidRPr="00966EE1">
        <w:rPr>
          <w:sz w:val="32"/>
          <w:szCs w:val="32"/>
          <w:rtl/>
        </w:rPr>
        <w:t xml:space="preserve">أنّ المنفعة المملوكة للمُستأجر قد تكون شخصيّةً وقد تكون كُلّيّةً، وليس المناطُ في التشخص أنْ تكون العين شخصيّة، بل المناطُ في التشخص مضافاً لشخصيّة العين تحديدُ الزمان، فلو آجرهُ منفعةَ السيارة الشخصيّة ساعةً في اليوم أو يوماً في الأُسبوع فإنّ المنفعة حينئذٍ كُلّيّة - لا شخصيّة -، وإنّما تكون المنفعة شخصيّة بتشخص العين وتحديد الزمن، بأنْ يقول: "ملكتُكَ منفعةَ هذه السيارة في الساعة الكذائية مِن هذا اليوم أو في اليوم الكذائي مِن هذا الأُسبوع"؛ إذ ما لَمْ تتحدد المنفعة مكاناً وزماناً لا تكونُ شخصيّةً وإنْ كانت العين شخصيّة، فكيف بما إذا </w:t>
      </w:r>
      <w:r w:rsidRPr="00966EE1">
        <w:rPr>
          <w:sz w:val="32"/>
          <w:szCs w:val="32"/>
          <w:rtl/>
        </w:rPr>
        <w:lastRenderedPageBreak/>
        <w:t>كانت العين كُلّيّة كما إذا قال: "آجرتُكَ منفعةَ إحدى السيارات في اليوم الفلاني" فإنّ المنفعة حينئذ كُلّيّةً</w:t>
      </w:r>
      <w:r w:rsidRPr="00966EE1">
        <w:rPr>
          <w:sz w:val="32"/>
          <w:szCs w:val="32"/>
        </w:rPr>
        <w:t>.</w:t>
      </w:r>
    </w:p>
    <w:p w14:paraId="601886F8" w14:textId="77777777" w:rsidR="00966EE1" w:rsidRPr="00966EE1" w:rsidRDefault="00966EE1" w:rsidP="00122B70">
      <w:pPr>
        <w:bidi/>
        <w:rPr>
          <w:b/>
          <w:bCs/>
          <w:sz w:val="32"/>
          <w:szCs w:val="32"/>
          <w:rtl/>
        </w:rPr>
      </w:pPr>
      <w:r w:rsidRPr="00966EE1">
        <w:rPr>
          <w:b/>
          <w:bCs/>
          <w:sz w:val="32"/>
          <w:szCs w:val="32"/>
          <w:rtl/>
        </w:rPr>
        <w:t>وبناءً على ذلك، فهنا صورتان</w:t>
      </w:r>
      <w:r w:rsidRPr="00966EE1">
        <w:rPr>
          <w:b/>
          <w:bCs/>
          <w:sz w:val="32"/>
          <w:szCs w:val="32"/>
        </w:rPr>
        <w:t>:</w:t>
      </w:r>
    </w:p>
    <w:p w14:paraId="27FEBF1F" w14:textId="77777777" w:rsidR="00966EE1" w:rsidRPr="00966EE1" w:rsidRDefault="00966EE1" w:rsidP="00122B70">
      <w:pPr>
        <w:bidi/>
        <w:rPr>
          <w:sz w:val="32"/>
          <w:szCs w:val="32"/>
          <w:rtl/>
        </w:rPr>
      </w:pPr>
      <w:r w:rsidRPr="00966EE1">
        <w:rPr>
          <w:b/>
          <w:bCs/>
          <w:sz w:val="32"/>
          <w:szCs w:val="32"/>
          <w:rtl/>
        </w:rPr>
        <w:t xml:space="preserve">الصورةُ الأُولى: </w:t>
      </w:r>
      <w:r w:rsidRPr="00966EE1">
        <w:rPr>
          <w:sz w:val="32"/>
          <w:szCs w:val="32"/>
          <w:rtl/>
        </w:rPr>
        <w:t xml:space="preserve">كونُ المنفعة المملوكة للمُستأجر منفعة شخصيّة، واستقرار الأُجرة حينئذٍ بمضيّ زمان المنفعة سواءً كان متّصلاً بالتسليم أو منفصلاً عنه، كما لو قال: "آجرتُكَ هذه السيارة في ساعةٍ محددةٍ مِن هذا اليوم، لكن لا مِن حين تسليم </w:t>
      </w:r>
      <w:proofErr w:type="gramStart"/>
      <w:r w:rsidRPr="00966EE1">
        <w:rPr>
          <w:sz w:val="32"/>
          <w:szCs w:val="32"/>
          <w:rtl/>
        </w:rPr>
        <w:t>السيارة</w:t>
      </w:r>
      <w:proofErr w:type="gramEnd"/>
      <w:r w:rsidRPr="00966EE1">
        <w:rPr>
          <w:sz w:val="32"/>
          <w:szCs w:val="32"/>
          <w:rtl/>
        </w:rPr>
        <w:t xml:space="preserve"> بل بَعْد ذلك" أو كان الزمن متّصلاً بزمان التسليم، فإنّه لا فرق بينهما مِن هذه الجهة وهي: أنّ المنفعة شخصيّة ولا تستقر الأُجرة إلّا إذا مضى زمان المنفعة سواءً استوفى المنفعة أو لَمْ يستوفها.</w:t>
      </w:r>
    </w:p>
    <w:p w14:paraId="72F6D8BB" w14:textId="77777777" w:rsidR="00966EE1" w:rsidRPr="00966EE1" w:rsidRDefault="00966EE1" w:rsidP="00122B70">
      <w:pPr>
        <w:bidi/>
        <w:rPr>
          <w:sz w:val="32"/>
          <w:szCs w:val="32"/>
          <w:rtl/>
        </w:rPr>
      </w:pPr>
      <w:r w:rsidRPr="00966EE1">
        <w:rPr>
          <w:b/>
          <w:bCs/>
          <w:sz w:val="32"/>
          <w:szCs w:val="32"/>
          <w:rtl/>
        </w:rPr>
        <w:t>فإنْ قُلتَ:</w:t>
      </w:r>
      <w:r w:rsidRPr="00966EE1">
        <w:rPr>
          <w:sz w:val="32"/>
          <w:szCs w:val="32"/>
          <w:rtl/>
        </w:rPr>
        <w:t xml:space="preserve"> إنّ الأُجرة لا تستقر عقلائياً إلّا بالاستيفاء للمنفعة، ولذلك لو غصب العين أحدٌ لَمْ يضمن سوى العين دون منافعها؟</w:t>
      </w:r>
    </w:p>
    <w:p w14:paraId="02E58149" w14:textId="77777777" w:rsidR="00966EE1" w:rsidRPr="00966EE1" w:rsidRDefault="00966EE1" w:rsidP="00122B70">
      <w:pPr>
        <w:bidi/>
        <w:rPr>
          <w:sz w:val="32"/>
          <w:szCs w:val="32"/>
          <w:rtl/>
        </w:rPr>
      </w:pPr>
      <w:r w:rsidRPr="00966EE1">
        <w:rPr>
          <w:b/>
          <w:bCs/>
          <w:sz w:val="32"/>
          <w:szCs w:val="32"/>
          <w:rtl/>
        </w:rPr>
        <w:t>قُلتُ:</w:t>
      </w:r>
      <w:r w:rsidRPr="00966EE1">
        <w:rPr>
          <w:sz w:val="32"/>
          <w:szCs w:val="32"/>
          <w:rtl/>
        </w:rPr>
        <w:t xml:space="preserve"> إنّ المالية كما هي وصف للأعيان فهي وصف للمنافع، ولذلك لو كان المغصوب العين المُستأجرة كان الغاصب ضامناً لقيمة المنافع للمُستأجر، مضافاً لضمان العين لمالكها بلا ريب، وإنْ لَمْ يستوفِ المنافع، وهو منبهٌ على أنّ المنافع في معرض المعاملة عليها أموال مضمونة في حدّ ذاتها كالأعيان.</w:t>
      </w:r>
    </w:p>
    <w:p w14:paraId="399D9108" w14:textId="77777777" w:rsidR="00966EE1" w:rsidRPr="00966EE1" w:rsidRDefault="00966EE1" w:rsidP="00122B70">
      <w:pPr>
        <w:bidi/>
        <w:rPr>
          <w:sz w:val="32"/>
          <w:szCs w:val="32"/>
          <w:rtl/>
        </w:rPr>
      </w:pPr>
      <w:r w:rsidRPr="00966EE1">
        <w:rPr>
          <w:b/>
          <w:bCs/>
          <w:sz w:val="32"/>
          <w:szCs w:val="32"/>
          <w:rtl/>
        </w:rPr>
        <w:t>الصورةُ الثانية:</w:t>
      </w:r>
      <w:r w:rsidRPr="00966EE1">
        <w:rPr>
          <w:sz w:val="32"/>
          <w:szCs w:val="32"/>
          <w:rtl/>
        </w:rPr>
        <w:t xml:space="preserve"> أنْ تكون المنفعة كُلّيّةً، وحينئذٍ لا يكفي مجرّد التسليم ومضيّ زمانٍ يمكنُ فيه الاستيفاء، فلو قال: "ملكتُكَ منفعةَ هذه السيارة يوماً مِن هذا الأُسبوع" واستلّم السيارة مِن اليوم ومضى يومان أو ثلاثة فإنّ الأُجرة المسمّاة لا تستقرُ بذلك؛ لأنّ ما مضى هو زمانُ الاستيفاء ولَمْ يمضِ زمانُ المنفعة، والمدارُ على مضيّ زمان المنفعة لا مضيّ زمانٍ يمكن فيه الاستيفاء كي يكون ذلك موجباً لاستقرار الأُجرة، فالفائت مِن المنافع في هذه الأيام ليس المنفعة المملوكة للمُستأجر وإنّما الفائت المنفعة المملوكة لصاحب العين – وهو صاحب السيارة في المثال - سواءً كانت العين المُستأجرة شخصيّةً أم كُلّيّةً</w:t>
      </w:r>
      <w:r w:rsidRPr="00966EE1">
        <w:rPr>
          <w:sz w:val="32"/>
          <w:szCs w:val="32"/>
        </w:rPr>
        <w:t>.</w:t>
      </w:r>
    </w:p>
    <w:p w14:paraId="6CD1ACA2" w14:textId="77777777" w:rsidR="00966EE1" w:rsidRPr="00966EE1" w:rsidRDefault="00966EE1" w:rsidP="00122B70">
      <w:pPr>
        <w:bidi/>
        <w:rPr>
          <w:sz w:val="32"/>
          <w:szCs w:val="32"/>
          <w:rtl/>
        </w:rPr>
      </w:pPr>
      <w:r w:rsidRPr="00966EE1">
        <w:rPr>
          <w:sz w:val="32"/>
          <w:szCs w:val="32"/>
          <w:rtl/>
        </w:rPr>
        <w:t>وتحقيق انقضاء زمان المنفعة في المنفعة الكُلّيّة بأحد نحوين - وذلك لأنّ الولاية على تطبيق المنفعة الكُلّيّة على أحد الأزمنة إمّا بيد المؤجّر أو بيد المُستأجر -:</w:t>
      </w:r>
    </w:p>
    <w:p w14:paraId="42D8B3B2" w14:textId="77777777" w:rsidR="00966EE1" w:rsidRPr="00966EE1" w:rsidRDefault="00966EE1" w:rsidP="00122B70">
      <w:pPr>
        <w:bidi/>
        <w:rPr>
          <w:sz w:val="32"/>
          <w:szCs w:val="32"/>
          <w:rtl/>
        </w:rPr>
      </w:pPr>
      <w:r w:rsidRPr="00966EE1">
        <w:rPr>
          <w:b/>
          <w:bCs/>
          <w:sz w:val="32"/>
          <w:szCs w:val="32"/>
          <w:rtl/>
        </w:rPr>
        <w:t>فالنحو الأوّل:</w:t>
      </w:r>
      <w:r w:rsidRPr="00966EE1">
        <w:rPr>
          <w:sz w:val="32"/>
          <w:szCs w:val="32"/>
          <w:rtl/>
        </w:rPr>
        <w:t xml:space="preserve"> أنْ يكون التطبيق بيد المؤجّر سواءً كان بالشرط كأنْ اشترط عليه في العقد أنْ يكون التطبيق بيده أو لكونه صاحب العين والولاية على تحديد المنفعة القائمة بشخص العين بيد مالك العين بحسب المرتكزات العقلائية، فإذا عيّن المُؤجر للمُستأجر المنفعة المملوكة له </w:t>
      </w:r>
      <w:r w:rsidRPr="00966EE1">
        <w:rPr>
          <w:sz w:val="32"/>
          <w:szCs w:val="32"/>
          <w:rtl/>
        </w:rPr>
        <w:lastRenderedPageBreak/>
        <w:t>بزمان تسليم العين، فقال: "لا أُسلمك هذه العين التي هي لي إلّا إذا كان زمان المنفعة المملوكة لك مِن حين التسليم".</w:t>
      </w:r>
    </w:p>
    <w:p w14:paraId="0E727C6C" w14:textId="77777777" w:rsidR="00966EE1" w:rsidRPr="00966EE1" w:rsidRDefault="00966EE1" w:rsidP="00122B70">
      <w:pPr>
        <w:bidi/>
        <w:rPr>
          <w:sz w:val="32"/>
          <w:szCs w:val="32"/>
          <w:rtl/>
        </w:rPr>
      </w:pPr>
      <w:r w:rsidRPr="00966EE1">
        <w:rPr>
          <w:sz w:val="32"/>
          <w:szCs w:val="32"/>
          <w:rtl/>
        </w:rPr>
        <w:t>وسلّم العين للمُستأجر بعنوان الوفاء بالعقد فيتعيّن الزمان بمقتضى ما عيّنه المؤجُر، فإذا تعين الزمان بنفس تسليمه تستقرُ الأُجرة المسمّاة على المُستأجر بمضيّ ذلك الزمان سواءً استوفى المنفعة أم لَمْ يستوفها</w:t>
      </w:r>
      <w:r w:rsidRPr="00966EE1">
        <w:rPr>
          <w:sz w:val="32"/>
          <w:szCs w:val="32"/>
        </w:rPr>
        <w:t>.</w:t>
      </w:r>
    </w:p>
    <w:p w14:paraId="591BFD05" w14:textId="77777777" w:rsidR="00966EE1" w:rsidRPr="00966EE1" w:rsidRDefault="00966EE1" w:rsidP="00122B70">
      <w:pPr>
        <w:bidi/>
        <w:rPr>
          <w:sz w:val="32"/>
          <w:szCs w:val="32"/>
          <w:rtl/>
        </w:rPr>
      </w:pPr>
      <w:r w:rsidRPr="00966EE1">
        <w:rPr>
          <w:sz w:val="32"/>
          <w:szCs w:val="32"/>
          <w:rtl/>
        </w:rPr>
        <w:t>وهذا أمرٌ واضحٌ لا كلام فيه؛ لأنّه فوّت على نفسه ما يملكه، فبما أنّه مَلَكَ المنفعة وفاتت بسببه لا بسبب المؤجّر حيثُ إنّ المؤجّر أفرغ ذمّته بتسليمه العين فتفويت المنفعة قد استند إليه لا للمؤجّر، فمقتضى ذلك أنْ يضمن الأُجرة المسمّاة</w:t>
      </w:r>
      <w:r w:rsidRPr="00966EE1">
        <w:rPr>
          <w:sz w:val="32"/>
          <w:szCs w:val="32"/>
        </w:rPr>
        <w:t>.</w:t>
      </w:r>
    </w:p>
    <w:p w14:paraId="21C69517" w14:textId="77777777" w:rsidR="00966EE1" w:rsidRPr="00966EE1" w:rsidRDefault="00966EE1" w:rsidP="00122B70">
      <w:pPr>
        <w:bidi/>
        <w:rPr>
          <w:sz w:val="32"/>
          <w:szCs w:val="32"/>
          <w:rtl/>
        </w:rPr>
      </w:pPr>
      <w:r w:rsidRPr="00966EE1">
        <w:rPr>
          <w:b/>
          <w:bCs/>
          <w:sz w:val="32"/>
          <w:szCs w:val="32"/>
          <w:rtl/>
        </w:rPr>
        <w:t>النحو الثاني:</w:t>
      </w:r>
      <w:r w:rsidRPr="00966EE1">
        <w:rPr>
          <w:sz w:val="32"/>
          <w:szCs w:val="32"/>
          <w:rtl/>
        </w:rPr>
        <w:t xml:space="preserve"> أنْ تكون ولاية التطبيق بيد المُستأجر – لا بيد المؤجّر -.</w:t>
      </w:r>
    </w:p>
    <w:p w14:paraId="5A5258E3" w14:textId="77777777" w:rsidR="00966EE1" w:rsidRPr="00966EE1" w:rsidRDefault="00966EE1" w:rsidP="00122B70">
      <w:pPr>
        <w:bidi/>
        <w:rPr>
          <w:sz w:val="32"/>
          <w:szCs w:val="32"/>
          <w:rtl/>
        </w:rPr>
      </w:pPr>
      <w:r w:rsidRPr="00966EE1">
        <w:rPr>
          <w:sz w:val="32"/>
          <w:szCs w:val="32"/>
          <w:rtl/>
        </w:rPr>
        <w:t>كما لو قال: "ملكتُكَ منفعةَ السيارة ساعةً مِن هذا اليوم" ولَمْ يحدد وسلّمه السيارة مِن ابتداء اليوم</w:t>
      </w:r>
      <w:r w:rsidRPr="00966EE1">
        <w:rPr>
          <w:sz w:val="32"/>
          <w:szCs w:val="32"/>
        </w:rPr>
        <w:t>.</w:t>
      </w:r>
    </w:p>
    <w:p w14:paraId="2428EBE3" w14:textId="77777777" w:rsidR="00966EE1" w:rsidRPr="00966EE1" w:rsidRDefault="00966EE1" w:rsidP="00122B70">
      <w:pPr>
        <w:bidi/>
        <w:rPr>
          <w:b/>
          <w:bCs/>
          <w:sz w:val="32"/>
          <w:szCs w:val="32"/>
          <w:rtl/>
        </w:rPr>
      </w:pPr>
      <w:r w:rsidRPr="00966EE1">
        <w:rPr>
          <w:b/>
          <w:bCs/>
          <w:sz w:val="32"/>
          <w:szCs w:val="32"/>
          <w:rtl/>
        </w:rPr>
        <w:t>وهنا فروضٌ ثلاثة في الاستلام</w:t>
      </w:r>
      <w:r w:rsidRPr="00966EE1">
        <w:rPr>
          <w:b/>
          <w:bCs/>
          <w:sz w:val="32"/>
          <w:szCs w:val="32"/>
        </w:rPr>
        <w:t>:</w:t>
      </w:r>
    </w:p>
    <w:p w14:paraId="50EE1AC3" w14:textId="77777777" w:rsidR="00966EE1" w:rsidRPr="00966EE1" w:rsidRDefault="00966EE1" w:rsidP="00122B70">
      <w:pPr>
        <w:bidi/>
        <w:rPr>
          <w:sz w:val="32"/>
          <w:szCs w:val="32"/>
          <w:rtl/>
        </w:rPr>
      </w:pPr>
      <w:r w:rsidRPr="00966EE1">
        <w:rPr>
          <w:b/>
          <w:bCs/>
          <w:sz w:val="32"/>
          <w:szCs w:val="32"/>
          <w:rtl/>
        </w:rPr>
        <w:t>الفرضُ الأوّل:</w:t>
      </w:r>
      <w:r w:rsidRPr="00966EE1">
        <w:rPr>
          <w:sz w:val="32"/>
          <w:szCs w:val="32"/>
          <w:rtl/>
        </w:rPr>
        <w:t xml:space="preserve"> أنْ يكون استلامُهُ للعين بعنوان الأمانة لينتفع بها متى شاء، فقال له: "هذه السيارة أمانة عندك متى شئت أنْ تستوفي المنفعة المملوكة لك فالأمرُ بيدك" ومضتْ ساعة أو ساعتان والسيارة لَمْ يستوفَ المنفعة فيها، فحينئذٍ لا تستقرُ الأُجرة المسمّاة لا بمضيّ ساعة ولا ساعتين ولا ثلاث، وإنْ كان المُستأجر قد أتلف منافعاً بتركه للاستيفاء، إلّا أنّ المنافع التي أتلفها كلها مملوكة للمؤجّر - لا للمستأجر-، وحينئذٍ لا ضمان لا للأُجرة المسمّاة؛ لأنّه لَمْ يفوّت على نفسه ملكه بل ما زال الوقت بالنسبة إليه باقياً، ولا لأُجرة المثل للمؤجّر؛ لأنّه أمينٌ والأمينُ لا يضمن</w:t>
      </w:r>
      <w:r w:rsidRPr="00966EE1">
        <w:rPr>
          <w:sz w:val="32"/>
          <w:szCs w:val="32"/>
        </w:rPr>
        <w:t>.</w:t>
      </w:r>
    </w:p>
    <w:p w14:paraId="598586A0" w14:textId="77777777" w:rsidR="00966EE1" w:rsidRPr="00966EE1" w:rsidRDefault="00966EE1" w:rsidP="00122B70">
      <w:pPr>
        <w:bidi/>
        <w:rPr>
          <w:sz w:val="32"/>
          <w:szCs w:val="32"/>
          <w:rtl/>
        </w:rPr>
      </w:pPr>
      <w:r w:rsidRPr="00966EE1">
        <w:rPr>
          <w:b/>
          <w:bCs/>
          <w:sz w:val="32"/>
          <w:szCs w:val="32"/>
          <w:rtl/>
        </w:rPr>
        <w:t xml:space="preserve">الفرضُ الثاني: </w:t>
      </w:r>
      <w:r w:rsidRPr="00966EE1">
        <w:rPr>
          <w:sz w:val="32"/>
          <w:szCs w:val="32"/>
          <w:rtl/>
        </w:rPr>
        <w:t>أنْ يكون استلامُهُ للعين مشروطاً باستيفاء المِلك، فكأنّ المؤجّر قال له: "أنا لا أرضى ببقاء العين عندك مِن دون استيفاء المنفعة المملوكة"، فإنْ لَمْ يقم باستيفاء المنفعة المملوكة حينئذٍ كان ضامناً لأُجرة المثل؛ حيثُ إنّ المالك لَمْ يرضَ له بأنْ يستلم العين بعنوان الأمانة بل لَمْ يرضَ باستلامه للعين إلّا بشرط استيفائه للمنفعة المملوكة له، لكن المفروض أنّ المنفعة المملوكة لَهُ كُلّيّة - وهي ساعة مِن هذا اليوم -، فلا يصدقُ عليه أنّه فوّتها على نفسه بمضيّ ساعةٍ ولا ساعتين ولا ثلاث، وإنّما يصدقُ عليه أنّه فوّت على مالك العين المنافع المملوكة له؛ حيثُ لَمْ يسلمه العين بعنوان الأمانة وإنّما سلمه بشرط الاستيفاء</w:t>
      </w:r>
      <w:r w:rsidRPr="00966EE1">
        <w:rPr>
          <w:sz w:val="32"/>
          <w:szCs w:val="32"/>
        </w:rPr>
        <w:t>.</w:t>
      </w:r>
    </w:p>
    <w:p w14:paraId="728A9584" w14:textId="77777777" w:rsidR="00966EE1" w:rsidRPr="00966EE1" w:rsidRDefault="00966EE1" w:rsidP="00122B70">
      <w:pPr>
        <w:bidi/>
        <w:rPr>
          <w:sz w:val="32"/>
          <w:szCs w:val="32"/>
          <w:rtl/>
        </w:rPr>
      </w:pPr>
      <w:r w:rsidRPr="00966EE1">
        <w:rPr>
          <w:sz w:val="32"/>
          <w:szCs w:val="32"/>
          <w:rtl/>
        </w:rPr>
        <w:lastRenderedPageBreak/>
        <w:t xml:space="preserve">فإذا صدق في هذه الحالة أنّه فوّت مال الغير بلا رضا صاحبه كان ضامناً لقيمة المثل، نظير ما في باب البيع؛ كما لو فرض أنّ المالك باعَ المشتري صاعاً من هذه الصبرة فقامَ المشتري وأتلف صاعاً مِن الصيعان، فإنّ ما يملكه المشتري على البائع ما زال باقياً لَمْ يتلف؛ لأنّه كُلّيٌّ، ولكن ما أتلفه المشتري مِن صيعان هذه الصبرة يكون مضموناً لا بالقيمة </w:t>
      </w:r>
      <w:proofErr w:type="gramStart"/>
      <w:r w:rsidRPr="00966EE1">
        <w:rPr>
          <w:sz w:val="32"/>
          <w:szCs w:val="32"/>
          <w:rtl/>
        </w:rPr>
        <w:t>المسمّاة</w:t>
      </w:r>
      <w:proofErr w:type="gramEnd"/>
      <w:r w:rsidRPr="00966EE1">
        <w:rPr>
          <w:sz w:val="32"/>
          <w:szCs w:val="32"/>
          <w:rtl/>
        </w:rPr>
        <w:t xml:space="preserve"> بل بقيمة المثل، وكذلك الأمرُ في المقام</w:t>
      </w:r>
      <w:r w:rsidRPr="00966EE1">
        <w:rPr>
          <w:sz w:val="32"/>
          <w:szCs w:val="32"/>
        </w:rPr>
        <w:t>.</w:t>
      </w:r>
    </w:p>
    <w:p w14:paraId="4996F0A6" w14:textId="77777777" w:rsidR="00966EE1" w:rsidRPr="00966EE1" w:rsidRDefault="00966EE1" w:rsidP="00122B70">
      <w:pPr>
        <w:bidi/>
        <w:rPr>
          <w:sz w:val="32"/>
          <w:szCs w:val="32"/>
          <w:rtl/>
        </w:rPr>
      </w:pPr>
      <w:r w:rsidRPr="00966EE1">
        <w:rPr>
          <w:b/>
          <w:bCs/>
          <w:sz w:val="32"/>
          <w:szCs w:val="32"/>
          <w:rtl/>
        </w:rPr>
        <w:t>الفرضُ الثالث:</w:t>
      </w:r>
      <w:r w:rsidRPr="00966EE1">
        <w:rPr>
          <w:sz w:val="32"/>
          <w:szCs w:val="32"/>
          <w:rtl/>
        </w:rPr>
        <w:t xml:space="preserve"> أنْ يكون قبضُهُ للعين بعنوان تعيين زمان الانتفاع بزمان الاستلام، كما لو قَصَدَ أنْ يعين زمان الانتفاع بزمان الاستلام، فإنّه يتعيّن كونه زمان المنفعة، فإذا مضى ولَمْ يستوفِ كان ضامناً للأُجرة المسمّاة؛ حيثُ فوّت ماله على نفسه</w:t>
      </w:r>
      <w:r w:rsidRPr="00966EE1">
        <w:rPr>
          <w:sz w:val="32"/>
          <w:szCs w:val="32"/>
        </w:rPr>
        <w:t>.</w:t>
      </w:r>
    </w:p>
    <w:p w14:paraId="3E9AE859" w14:textId="77777777" w:rsidR="00966EE1" w:rsidRPr="00966EE1" w:rsidRDefault="00966EE1" w:rsidP="00122B70">
      <w:pPr>
        <w:bidi/>
        <w:rPr>
          <w:sz w:val="32"/>
          <w:szCs w:val="32"/>
          <w:rtl/>
        </w:rPr>
      </w:pPr>
      <w:r w:rsidRPr="00966EE1">
        <w:rPr>
          <w:sz w:val="32"/>
          <w:szCs w:val="32"/>
          <w:rtl/>
        </w:rPr>
        <w:t xml:space="preserve">وبالتالي، لا يبعُد ما ذكره سيد العروة (قدس سره الشريف) حيثُ قال: </w:t>
      </w:r>
      <w:r w:rsidRPr="00966EE1">
        <w:rPr>
          <w:b/>
          <w:bCs/>
          <w:sz w:val="32"/>
          <w:szCs w:val="32"/>
          <w:rtl/>
        </w:rPr>
        <w:t>(وأمّا إن وقعت)</w:t>
      </w:r>
      <w:r w:rsidRPr="00966EE1">
        <w:rPr>
          <w:sz w:val="32"/>
          <w:szCs w:val="32"/>
          <w:rtl/>
        </w:rPr>
        <w:t xml:space="preserve"> الإجارة </w:t>
      </w:r>
      <w:r w:rsidRPr="00966EE1">
        <w:rPr>
          <w:b/>
          <w:bCs/>
          <w:sz w:val="32"/>
          <w:szCs w:val="32"/>
          <w:rtl/>
        </w:rPr>
        <w:t>(على كلّي وعين في فرد وتسلّمه فالأقوى أنّه كذلك مع تعيين الوقت وانقضائه.)</w:t>
      </w:r>
      <w:r w:rsidRPr="00966EE1">
        <w:rPr>
          <w:sz w:val="32"/>
          <w:szCs w:val="32"/>
          <w:rtl/>
        </w:rPr>
        <w:t xml:space="preserve"> أي: يضمن الأُجرة المسمّاة </w:t>
      </w:r>
      <w:r w:rsidRPr="00966EE1">
        <w:rPr>
          <w:b/>
          <w:bCs/>
          <w:sz w:val="32"/>
          <w:szCs w:val="32"/>
          <w:rtl/>
        </w:rPr>
        <w:t>(نعم، مع عدم تعيين الوقت)</w:t>
      </w:r>
      <w:r w:rsidRPr="00966EE1">
        <w:rPr>
          <w:sz w:val="32"/>
          <w:szCs w:val="32"/>
          <w:rtl/>
        </w:rPr>
        <w:t xml:space="preserve"> حيثُ تكونُ المنفعة حينئذٍ كُلّيّة </w:t>
      </w:r>
      <w:r w:rsidRPr="00966EE1">
        <w:rPr>
          <w:b/>
          <w:bCs/>
          <w:sz w:val="32"/>
          <w:szCs w:val="32"/>
          <w:rtl/>
        </w:rPr>
        <w:t>(فالظاهر عدم استقرار الاُجرة المسمّاة وبقاء الإجارة)</w:t>
      </w:r>
      <w:r w:rsidRPr="00966EE1">
        <w:rPr>
          <w:sz w:val="32"/>
          <w:szCs w:val="32"/>
          <w:rtl/>
        </w:rPr>
        <w:t xml:space="preserve"> فلا تنفسخُ الإجارة، لكن لا يضمن الأُجرة المسمّاة </w:t>
      </w:r>
      <w:r w:rsidRPr="00966EE1">
        <w:rPr>
          <w:b/>
          <w:bCs/>
          <w:sz w:val="32"/>
          <w:szCs w:val="32"/>
          <w:rtl/>
        </w:rPr>
        <w:t xml:space="preserve">(وإن كان ضامناً </w:t>
      </w:r>
      <w:proofErr w:type="spellStart"/>
      <w:r w:rsidRPr="00966EE1">
        <w:rPr>
          <w:b/>
          <w:bCs/>
          <w:sz w:val="32"/>
          <w:szCs w:val="32"/>
          <w:rtl/>
        </w:rPr>
        <w:t>لاُجرة</w:t>
      </w:r>
      <w:proofErr w:type="spellEnd"/>
      <w:r w:rsidRPr="00966EE1">
        <w:rPr>
          <w:b/>
          <w:bCs/>
          <w:sz w:val="32"/>
          <w:szCs w:val="32"/>
          <w:rtl/>
        </w:rPr>
        <w:t xml:space="preserve"> المثل لتلك المدّة من جهة تفويته المنفعة على المؤجّر). </w:t>
      </w:r>
      <w:r w:rsidRPr="00966EE1">
        <w:rPr>
          <w:sz w:val="32"/>
          <w:szCs w:val="32"/>
          <w:rtl/>
        </w:rPr>
        <w:t xml:space="preserve">وذلك في صورة ما إذا استلّم العين لا بعنوان الأمانة كي لا يكون ضامناً لأُجرة المثل، بل استلّم العين بشرط استيفاء المنفعة المملوكة منها فلَمْ يستوفها، لكن الزمن ما زال باقياً، فإنّه حينئذٍ يضمن أُجرة المثل لما فات مِن المنافع على </w:t>
      </w:r>
      <w:proofErr w:type="gramStart"/>
      <w:r w:rsidRPr="00966EE1">
        <w:rPr>
          <w:sz w:val="32"/>
          <w:szCs w:val="32"/>
          <w:rtl/>
        </w:rPr>
        <w:t>المالك</w:t>
      </w:r>
      <w:proofErr w:type="gramEnd"/>
      <w:r w:rsidRPr="00966EE1">
        <w:rPr>
          <w:sz w:val="32"/>
          <w:szCs w:val="32"/>
          <w:rtl/>
        </w:rPr>
        <w:t xml:space="preserve"> ولكن لا يضمن الأُجرة المسمّاة؛ لأنّ زمان المنفعة الكُلّيّة المملوكة ما زال باقياً</w:t>
      </w:r>
      <w:r w:rsidRPr="00966EE1">
        <w:rPr>
          <w:sz w:val="32"/>
          <w:szCs w:val="32"/>
        </w:rPr>
        <w:t>.</w:t>
      </w:r>
    </w:p>
    <w:p w14:paraId="57D06237" w14:textId="77777777" w:rsidR="00966EE1" w:rsidRPr="00966EE1" w:rsidRDefault="00966EE1" w:rsidP="00122B70">
      <w:pPr>
        <w:bidi/>
        <w:rPr>
          <w:sz w:val="32"/>
          <w:szCs w:val="32"/>
          <w:rtl/>
        </w:rPr>
      </w:pPr>
      <w:r w:rsidRPr="00966EE1">
        <w:rPr>
          <w:b/>
          <w:bCs/>
          <w:sz w:val="32"/>
          <w:szCs w:val="32"/>
          <w:rtl/>
        </w:rPr>
        <w:t>المطلبُ الثاني:</w:t>
      </w:r>
      <w:r w:rsidRPr="00966EE1">
        <w:rPr>
          <w:sz w:val="32"/>
          <w:szCs w:val="32"/>
          <w:rtl/>
        </w:rPr>
        <w:t xml:space="preserve"> إنّ الإجارة في الإجارة على الأعمال والإجارة على الأعيان بنحوين</w:t>
      </w:r>
      <w:r w:rsidRPr="00966EE1">
        <w:rPr>
          <w:sz w:val="32"/>
          <w:szCs w:val="32"/>
        </w:rPr>
        <w:t>:</w:t>
      </w:r>
    </w:p>
    <w:p w14:paraId="7054C78C" w14:textId="77777777" w:rsidR="00966EE1" w:rsidRPr="00966EE1" w:rsidRDefault="00966EE1" w:rsidP="00122B70">
      <w:pPr>
        <w:bidi/>
        <w:rPr>
          <w:sz w:val="32"/>
          <w:szCs w:val="32"/>
          <w:rtl/>
        </w:rPr>
      </w:pPr>
      <w:r w:rsidRPr="00966EE1">
        <w:rPr>
          <w:sz w:val="32"/>
          <w:szCs w:val="32"/>
          <w:rtl/>
        </w:rPr>
        <w:t>ففي باب الإجارة على الأعمال قد تكونُ الأجرة بإزاء نفس العمل وقد تكون الأجرة بإزاء منفعة العامل واستعداده لأداء العمل</w:t>
      </w:r>
      <w:r w:rsidRPr="00966EE1">
        <w:rPr>
          <w:sz w:val="32"/>
          <w:szCs w:val="32"/>
        </w:rPr>
        <w:t>.</w:t>
      </w:r>
    </w:p>
    <w:p w14:paraId="7F783174" w14:textId="77777777" w:rsidR="00966EE1" w:rsidRPr="00966EE1" w:rsidRDefault="00966EE1" w:rsidP="00122B70">
      <w:pPr>
        <w:bidi/>
        <w:rPr>
          <w:sz w:val="32"/>
          <w:szCs w:val="32"/>
          <w:rtl/>
        </w:rPr>
      </w:pPr>
      <w:r w:rsidRPr="00966EE1">
        <w:rPr>
          <w:sz w:val="32"/>
          <w:szCs w:val="32"/>
          <w:rtl/>
        </w:rPr>
        <w:t>كما في استئجار الطبيب للعملية الجراحية في ساعةٍ معيّنةٍ، فإنّ استئجار الطبيب للعملية الجراحية في ساعةٍ معينةٍ يُتصور على نحوين: إذ قد تكون الأُجرة بإزاء نفس العملية الجراحية وقد تكون الأُجرة بإزاء استعداد الطبيب للقيام بالعمل، أي: المنفعة القائمة بالطبيب الجراح</w:t>
      </w:r>
      <w:r w:rsidRPr="00966EE1">
        <w:rPr>
          <w:sz w:val="32"/>
          <w:szCs w:val="32"/>
        </w:rPr>
        <w:t>.</w:t>
      </w:r>
    </w:p>
    <w:p w14:paraId="410E290D" w14:textId="77777777" w:rsidR="00966EE1" w:rsidRPr="00966EE1" w:rsidRDefault="00966EE1" w:rsidP="00122B70">
      <w:pPr>
        <w:bidi/>
        <w:rPr>
          <w:sz w:val="32"/>
          <w:szCs w:val="32"/>
          <w:rtl/>
        </w:rPr>
      </w:pPr>
      <w:r w:rsidRPr="00966EE1">
        <w:rPr>
          <w:sz w:val="32"/>
          <w:szCs w:val="32"/>
          <w:rtl/>
        </w:rPr>
        <w:t>وعلى النحو الثاني ستكون إجارة الأعمال مِن سنخ إجارة الأعيان</w:t>
      </w:r>
      <w:r w:rsidRPr="00966EE1">
        <w:rPr>
          <w:sz w:val="32"/>
          <w:szCs w:val="32"/>
        </w:rPr>
        <w:t>.</w:t>
      </w:r>
    </w:p>
    <w:p w14:paraId="57499F94" w14:textId="77777777" w:rsidR="00966EE1" w:rsidRPr="00966EE1" w:rsidRDefault="00966EE1" w:rsidP="00122B70">
      <w:pPr>
        <w:bidi/>
        <w:rPr>
          <w:sz w:val="32"/>
          <w:szCs w:val="32"/>
          <w:rtl/>
        </w:rPr>
      </w:pPr>
      <w:r w:rsidRPr="00966EE1">
        <w:rPr>
          <w:b/>
          <w:bCs/>
          <w:sz w:val="32"/>
          <w:szCs w:val="32"/>
          <w:rtl/>
        </w:rPr>
        <w:t>ففي الحالة الأُولى</w:t>
      </w:r>
      <w:r w:rsidRPr="00966EE1">
        <w:rPr>
          <w:sz w:val="32"/>
          <w:szCs w:val="32"/>
          <w:rtl/>
        </w:rPr>
        <w:t xml:space="preserve"> - وهي المتعارفة - بأنْ تكون الأُجرة بإزاء نفس العمل الخارجي فلا تستقر الأُجرة بمضيّ الوقت ما لَمْ يأتِ بالعمل، فإذا انقضى الزمن المحدد ولَمْ يأتِ بالعمل انفسخت الإجارة، وضمن المُستأجر أُجرة المثل لفوات فرصة العمل والكسب على الأجير بأمر </w:t>
      </w:r>
      <w:r w:rsidRPr="00966EE1">
        <w:rPr>
          <w:sz w:val="32"/>
          <w:szCs w:val="32"/>
          <w:rtl/>
        </w:rPr>
        <w:lastRenderedPageBreak/>
        <w:t>المُستأجر، مما يعني أنّه تختلف إجارة الأعيان عن إجارة الأعمال؛ فإنّه في إجارة الأعيان إذا استلم الدار التي استأجر سكناها شهراً وانقضى الشهر، تستقر عليه الأُجرة المسمّاة، وإنْ لَمْ يسكن الدار، بخلاف إجارة الأعمال؛ فإنّه ما لَمْ يأتِ الأجيرُ بالعمل لا يكون مستحقاً للأُجرة المسمّاة على المُستأجر</w:t>
      </w:r>
      <w:r w:rsidRPr="00966EE1">
        <w:rPr>
          <w:sz w:val="32"/>
          <w:szCs w:val="32"/>
        </w:rPr>
        <w:t>.</w:t>
      </w:r>
    </w:p>
    <w:p w14:paraId="3E7BD206" w14:textId="77777777" w:rsidR="00966EE1" w:rsidRPr="00966EE1" w:rsidRDefault="00966EE1" w:rsidP="00122B70">
      <w:pPr>
        <w:bidi/>
        <w:rPr>
          <w:sz w:val="32"/>
          <w:szCs w:val="32"/>
          <w:rtl/>
        </w:rPr>
      </w:pPr>
      <w:r w:rsidRPr="00966EE1">
        <w:rPr>
          <w:b/>
          <w:bCs/>
          <w:sz w:val="32"/>
          <w:szCs w:val="32"/>
          <w:rtl/>
        </w:rPr>
        <w:t>وأما في الحالة الثانية</w:t>
      </w:r>
      <w:r w:rsidRPr="00966EE1">
        <w:rPr>
          <w:sz w:val="32"/>
          <w:szCs w:val="32"/>
          <w:rtl/>
        </w:rPr>
        <w:t xml:space="preserve"> وذلك بأنّ تكون إجارة الأعمال مِن سنخ إجارة الأعيان، بمعنى: أنّ الأُجرة مقابل منفعته الاستعدادية وهو كونه طبيباً قادراً على العملية الجراحية في هذا الوقت المعيّن، فيأتي فيها التفصيل الذي سبق في المطلب الأوّل بتمامه</w:t>
      </w:r>
      <w:r w:rsidRPr="00966EE1">
        <w:rPr>
          <w:sz w:val="32"/>
          <w:szCs w:val="32"/>
        </w:rPr>
        <w:t>.</w:t>
      </w:r>
    </w:p>
    <w:p w14:paraId="2F35012E" w14:textId="77777777" w:rsidR="00966EE1" w:rsidRPr="00966EE1" w:rsidRDefault="00966EE1" w:rsidP="00122B70">
      <w:pPr>
        <w:bidi/>
        <w:rPr>
          <w:sz w:val="32"/>
          <w:szCs w:val="32"/>
          <w:rtl/>
        </w:rPr>
      </w:pPr>
      <w:r w:rsidRPr="00966EE1">
        <w:rPr>
          <w:sz w:val="32"/>
          <w:szCs w:val="32"/>
          <w:rtl/>
        </w:rPr>
        <w:t>وكذا الكلام في قسم الإجارة على الأعيان، فإنّه إذا استأجرَ سيارةً مِن السيارات المعروضة للسياقة، فإنّه تارةً تكونُ الأُجرة في مقابل حيثية الانتفاع القائمة بالسيارة، وقد تكونُ بإزاء السياقة المتحققة بهذه السيارة في وقت كذا، فإنْ كانت الأُجرة بإزاء المنفعة الكامنة في السيارة جاء فيها التفصيل السابق الذي ذكرناه في المطلب الأوّل، وإنْ كانت الأُجرة بإزاء ما سيتحقق مِن سياقةٍ لهذه السيارة فهذا مِن سنخ إجارة الأعمال، فهنا تتداخل إجارة الأعيان مع إجارة الأعمال في الحكم كما قد تدخل إجارة الأعمال في سنخ إجارة الأعيان أحياناً</w:t>
      </w:r>
      <w:r w:rsidRPr="00966EE1">
        <w:rPr>
          <w:sz w:val="32"/>
          <w:szCs w:val="32"/>
        </w:rPr>
        <w:t>.</w:t>
      </w:r>
    </w:p>
    <w:p w14:paraId="1F7B02C0" w14:textId="77777777" w:rsidR="00966EE1" w:rsidRPr="00966EE1" w:rsidRDefault="00966EE1" w:rsidP="00122B70">
      <w:pPr>
        <w:bidi/>
        <w:rPr>
          <w:sz w:val="32"/>
          <w:szCs w:val="32"/>
          <w:rtl/>
        </w:rPr>
      </w:pPr>
      <w:r w:rsidRPr="00966EE1">
        <w:rPr>
          <w:sz w:val="32"/>
          <w:szCs w:val="32"/>
          <w:rtl/>
        </w:rPr>
        <w:t>أي: إنْ كان الزمن معيّناً كأنْ استأجر السيارة للسياقة في ساعة كذا إلى ساعة كذا ومضى الزمن المعيّن ولَمْ يقم بالسياقة استقرت الأُجرة المسمّاة</w:t>
      </w:r>
      <w:r w:rsidRPr="00966EE1">
        <w:rPr>
          <w:sz w:val="32"/>
          <w:szCs w:val="32"/>
        </w:rPr>
        <w:t>.</w:t>
      </w:r>
    </w:p>
    <w:p w14:paraId="4D254CB3" w14:textId="77777777" w:rsidR="00966EE1" w:rsidRPr="00966EE1" w:rsidRDefault="00966EE1" w:rsidP="00122B70">
      <w:pPr>
        <w:bidi/>
        <w:rPr>
          <w:sz w:val="32"/>
          <w:szCs w:val="32"/>
          <w:rtl/>
        </w:rPr>
      </w:pPr>
      <w:r w:rsidRPr="00966EE1">
        <w:rPr>
          <w:sz w:val="32"/>
          <w:szCs w:val="32"/>
          <w:rtl/>
        </w:rPr>
        <w:t>وأمّا إذا لَمْ يكن الزمن معيّناً كأنْ كان ساعة في هذا اليوم، فحينئذٍ تبقى الإجارة ولا تنفسخ إلّا إذا انتهى الوقت كلّه، وأمّا إذا مضتْ ساعة لَمْ يضمن الأُجرة المسمّاة، وإنّما يضمن أُجرة المثل؛ لتفويته فرصة الانتفاع بهذه السيارة على مالكها.</w:t>
      </w:r>
    </w:p>
    <w:p w14:paraId="2AFC5DC6" w14:textId="77777777" w:rsidR="00966EE1" w:rsidRPr="00966EE1" w:rsidRDefault="00966EE1" w:rsidP="00122B70">
      <w:pPr>
        <w:bidi/>
        <w:rPr>
          <w:sz w:val="32"/>
          <w:szCs w:val="32"/>
          <w:rtl/>
        </w:rPr>
      </w:pPr>
    </w:p>
    <w:p w14:paraId="2EA63A3D" w14:textId="77777777" w:rsidR="00966EE1" w:rsidRPr="00966EE1" w:rsidRDefault="00966EE1" w:rsidP="00122B70">
      <w:pPr>
        <w:bidi/>
        <w:rPr>
          <w:b/>
          <w:bCs/>
          <w:sz w:val="32"/>
          <w:szCs w:val="32"/>
          <w:rtl/>
        </w:rPr>
      </w:pPr>
      <w:r w:rsidRPr="00966EE1">
        <w:rPr>
          <w:b/>
          <w:bCs/>
          <w:sz w:val="32"/>
          <w:szCs w:val="32"/>
          <w:rtl/>
        </w:rPr>
        <w:t>والحمد لله رب العالمين</w:t>
      </w:r>
    </w:p>
    <w:p w14:paraId="00BF5866" w14:textId="77777777" w:rsidR="00966EE1" w:rsidRPr="00F27422" w:rsidRDefault="00966EE1" w:rsidP="00122B70">
      <w:pPr>
        <w:bidi/>
        <w:rPr>
          <w:sz w:val="32"/>
          <w:szCs w:val="32"/>
          <w:rtl/>
        </w:rPr>
      </w:pPr>
    </w:p>
    <w:p w14:paraId="17FCDEB0" w14:textId="6ADB36E1" w:rsidR="00BD568E" w:rsidRPr="00F27422" w:rsidRDefault="00BD568E" w:rsidP="00122B70">
      <w:pPr>
        <w:pStyle w:val="Heading3"/>
        <w:bidi/>
        <w:rPr>
          <w:sz w:val="32"/>
          <w:szCs w:val="32"/>
          <w:rtl/>
        </w:rPr>
      </w:pPr>
      <w:r w:rsidRPr="00F27422">
        <w:rPr>
          <w:rFonts w:hint="cs"/>
          <w:sz w:val="32"/>
          <w:szCs w:val="32"/>
          <w:rtl/>
        </w:rPr>
        <w:t>097</w:t>
      </w:r>
    </w:p>
    <w:p w14:paraId="35484667" w14:textId="77777777" w:rsidR="00B86E26" w:rsidRPr="00B86E26" w:rsidRDefault="00B86E26" w:rsidP="00122B70">
      <w:pPr>
        <w:bidi/>
        <w:rPr>
          <w:b/>
          <w:bCs/>
          <w:sz w:val="32"/>
          <w:szCs w:val="32"/>
        </w:rPr>
      </w:pPr>
      <w:r w:rsidRPr="00B86E26">
        <w:rPr>
          <w:b/>
          <w:bCs/>
          <w:sz w:val="32"/>
          <w:szCs w:val="32"/>
          <w:rtl/>
        </w:rPr>
        <w:t>بسم الله الرحمن الرحيم</w:t>
      </w:r>
    </w:p>
    <w:p w14:paraId="30C19C0F" w14:textId="77777777" w:rsidR="00B86E26" w:rsidRPr="00B86E26" w:rsidRDefault="00B86E26" w:rsidP="00122B70">
      <w:pPr>
        <w:bidi/>
        <w:rPr>
          <w:b/>
          <w:bCs/>
          <w:sz w:val="32"/>
          <w:szCs w:val="32"/>
          <w:rtl/>
        </w:rPr>
      </w:pPr>
      <w:r w:rsidRPr="00B86E26">
        <w:rPr>
          <w:b/>
          <w:bCs/>
          <w:sz w:val="32"/>
          <w:szCs w:val="32"/>
          <w:rtl/>
        </w:rPr>
        <w:t>والصلاة والسلام على أشرف الأنبياء والمرسلين، محمد وآله الطيبين الطاهرين</w:t>
      </w:r>
    </w:p>
    <w:p w14:paraId="0E8CBF99" w14:textId="77777777" w:rsidR="00B86E26" w:rsidRPr="00B86E26" w:rsidRDefault="00B86E26" w:rsidP="00122B70">
      <w:pPr>
        <w:bidi/>
        <w:rPr>
          <w:sz w:val="32"/>
          <w:szCs w:val="32"/>
          <w:rtl/>
          <w:lang w:bidi="ar-BH"/>
        </w:rPr>
      </w:pPr>
      <w:r w:rsidRPr="00B86E26">
        <w:rPr>
          <w:b/>
          <w:bCs/>
          <w:sz w:val="32"/>
          <w:szCs w:val="32"/>
          <w:rtl/>
        </w:rPr>
        <w:t>واللعن الدائم على أعدائهم أجمعين إلى قيام يوم الدين</w:t>
      </w:r>
    </w:p>
    <w:p w14:paraId="489F0362" w14:textId="77777777" w:rsidR="00B86E26" w:rsidRPr="00B86E26" w:rsidRDefault="00B86E26" w:rsidP="00122B70">
      <w:pPr>
        <w:bidi/>
        <w:rPr>
          <w:sz w:val="32"/>
          <w:szCs w:val="32"/>
          <w:rtl/>
        </w:rPr>
      </w:pPr>
    </w:p>
    <w:p w14:paraId="1751A64A" w14:textId="77777777" w:rsidR="00B86E26" w:rsidRPr="00B86E26" w:rsidRDefault="00B86E26" w:rsidP="00122B70">
      <w:pPr>
        <w:bidi/>
        <w:rPr>
          <w:b/>
          <w:bCs/>
          <w:sz w:val="32"/>
          <w:szCs w:val="32"/>
          <w:rtl/>
        </w:rPr>
      </w:pPr>
      <w:r w:rsidRPr="00B86E26">
        <w:rPr>
          <w:b/>
          <w:bCs/>
          <w:sz w:val="32"/>
          <w:szCs w:val="32"/>
          <w:rtl/>
        </w:rPr>
        <w:t>المسألة الثانية "من فصل أحكام العوضين".</w:t>
      </w:r>
    </w:p>
    <w:p w14:paraId="326516A3" w14:textId="77777777" w:rsidR="00B86E26" w:rsidRPr="00B86E26" w:rsidRDefault="00B86E26" w:rsidP="00122B70">
      <w:pPr>
        <w:bidi/>
        <w:rPr>
          <w:b/>
          <w:bCs/>
          <w:sz w:val="32"/>
          <w:szCs w:val="32"/>
          <w:rtl/>
        </w:rPr>
      </w:pPr>
      <w:r w:rsidRPr="00B86E26">
        <w:rPr>
          <w:sz w:val="32"/>
          <w:szCs w:val="32"/>
          <w:rtl/>
        </w:rPr>
        <w:t xml:space="preserve">قال سيد العروة (قدس سره الشريف): </w:t>
      </w:r>
      <w:r w:rsidRPr="00B86E26">
        <w:rPr>
          <w:b/>
          <w:bCs/>
          <w:sz w:val="32"/>
          <w:szCs w:val="32"/>
          <w:rtl/>
        </w:rPr>
        <w:t>(مسألة 2: إذا بذل المؤجّر العين المستأجرة للمستأجر ولم يتسلّم حتى انقضت المدّة استقرّت عليه الاُجرة، وكذا إذا استأجره ليخيط له ثوباً معيّناً – مثلاً – في وقتٍ معيّن وامتنع من دفع الثوب إليه حتى مضى ذلك الوقت، فإنّه يجب عليه دفع الاُجرة، سواء اشتغل في ذلك الوقت مع امتناع المستأجر من دفع الثوب إليه بشغل آخرٍ لنفسه أو لغيره أو جلسا فارغاً)</w:t>
      </w:r>
      <w:r w:rsidRPr="00B86E26">
        <w:rPr>
          <w:b/>
          <w:bCs/>
          <w:sz w:val="32"/>
          <w:szCs w:val="32"/>
        </w:rPr>
        <w:t>.</w:t>
      </w:r>
    </w:p>
    <w:p w14:paraId="6B223611" w14:textId="77777777" w:rsidR="00B86E26" w:rsidRPr="00B86E26" w:rsidRDefault="00B86E26" w:rsidP="00122B70">
      <w:pPr>
        <w:bidi/>
        <w:rPr>
          <w:b/>
          <w:bCs/>
          <w:sz w:val="32"/>
          <w:szCs w:val="32"/>
          <w:rtl/>
        </w:rPr>
      </w:pPr>
      <w:r w:rsidRPr="00B86E26">
        <w:rPr>
          <w:b/>
          <w:bCs/>
          <w:sz w:val="32"/>
          <w:szCs w:val="32"/>
          <w:rtl/>
        </w:rPr>
        <w:t>شرحُ العبارة</w:t>
      </w:r>
      <w:r w:rsidRPr="00B86E26">
        <w:rPr>
          <w:b/>
          <w:bCs/>
          <w:sz w:val="32"/>
          <w:szCs w:val="32"/>
        </w:rPr>
        <w:t>:</w:t>
      </w:r>
    </w:p>
    <w:p w14:paraId="1A8115A0" w14:textId="77777777" w:rsidR="00B86E26" w:rsidRPr="00B86E26" w:rsidRDefault="00B86E26" w:rsidP="00122B70">
      <w:pPr>
        <w:bidi/>
        <w:rPr>
          <w:sz w:val="32"/>
          <w:szCs w:val="32"/>
          <w:rtl/>
        </w:rPr>
      </w:pPr>
      <w:r w:rsidRPr="00B86E26">
        <w:rPr>
          <w:sz w:val="32"/>
          <w:szCs w:val="32"/>
          <w:rtl/>
        </w:rPr>
        <w:t xml:space="preserve">قوله (قدس سره): </w:t>
      </w:r>
      <w:r w:rsidRPr="00B86E26">
        <w:rPr>
          <w:b/>
          <w:bCs/>
          <w:sz w:val="32"/>
          <w:szCs w:val="32"/>
          <w:rtl/>
        </w:rPr>
        <w:t>(إذا بذل المؤجّر العين المستأجرة للمستأجر)</w:t>
      </w:r>
      <w:r w:rsidRPr="00B86E26">
        <w:rPr>
          <w:sz w:val="32"/>
          <w:szCs w:val="32"/>
          <w:rtl/>
        </w:rPr>
        <w:t xml:space="preserve"> كما لو استأجر السيارة فبذل له مالكُ السيارةِ </w:t>
      </w:r>
      <w:proofErr w:type="spellStart"/>
      <w:r w:rsidRPr="00B86E26">
        <w:rPr>
          <w:sz w:val="32"/>
          <w:szCs w:val="32"/>
          <w:rtl/>
        </w:rPr>
        <w:t>السيارةَ</w:t>
      </w:r>
      <w:proofErr w:type="spellEnd"/>
      <w:r w:rsidRPr="00B86E26">
        <w:rPr>
          <w:sz w:val="32"/>
          <w:szCs w:val="32"/>
        </w:rPr>
        <w:t>.</w:t>
      </w:r>
    </w:p>
    <w:p w14:paraId="652760E2" w14:textId="77777777" w:rsidR="00B86E26" w:rsidRPr="00B86E26" w:rsidRDefault="00B86E26" w:rsidP="00122B70">
      <w:pPr>
        <w:bidi/>
        <w:rPr>
          <w:sz w:val="32"/>
          <w:szCs w:val="32"/>
          <w:rtl/>
        </w:rPr>
      </w:pPr>
      <w:r w:rsidRPr="00B86E26">
        <w:rPr>
          <w:sz w:val="32"/>
          <w:szCs w:val="32"/>
          <w:rtl/>
        </w:rPr>
        <w:t xml:space="preserve">وقوله (قدس سره): </w:t>
      </w:r>
      <w:r w:rsidRPr="00B86E26">
        <w:rPr>
          <w:b/>
          <w:bCs/>
          <w:sz w:val="32"/>
          <w:szCs w:val="32"/>
          <w:rtl/>
        </w:rPr>
        <w:t>(ولم يتسلّم حتى انقضت المدّة استقرّت عليه الاُجرة)</w:t>
      </w:r>
      <w:r w:rsidRPr="00B86E26">
        <w:rPr>
          <w:sz w:val="32"/>
          <w:szCs w:val="32"/>
          <w:rtl/>
        </w:rPr>
        <w:t xml:space="preserve"> أي: يضمن الأُجرة المسمّاة لمالك السيارة وإنْ لَمْ يستلمها، ما دام عدمُ الاستلام لَمْ يستند إلى عذرٍ عامٍ يمنع مِن الاستلام</w:t>
      </w:r>
      <w:r w:rsidRPr="00B86E26">
        <w:rPr>
          <w:sz w:val="32"/>
          <w:szCs w:val="32"/>
        </w:rPr>
        <w:t>.</w:t>
      </w:r>
    </w:p>
    <w:p w14:paraId="32BC9C10" w14:textId="77777777" w:rsidR="00B86E26" w:rsidRPr="00B86E26" w:rsidRDefault="00B86E26" w:rsidP="00122B70">
      <w:pPr>
        <w:bidi/>
        <w:rPr>
          <w:sz w:val="32"/>
          <w:szCs w:val="32"/>
          <w:rtl/>
        </w:rPr>
      </w:pPr>
      <w:r w:rsidRPr="00B86E26">
        <w:rPr>
          <w:sz w:val="32"/>
          <w:szCs w:val="32"/>
          <w:rtl/>
        </w:rPr>
        <w:t xml:space="preserve">وهذا كما هو في الإجارة في الأعيان يأتي في الإجارة على الأعمال، لذا قال (قدس سره): </w:t>
      </w:r>
      <w:r w:rsidRPr="00B86E26">
        <w:rPr>
          <w:b/>
          <w:bCs/>
          <w:sz w:val="32"/>
          <w:szCs w:val="32"/>
          <w:rtl/>
        </w:rPr>
        <w:t>(وكذا إذا استأجره ليخيط له ثوباً معيّناً – مثلاً – في وقتٍ معيّن)</w:t>
      </w:r>
      <w:r w:rsidRPr="00B86E26">
        <w:rPr>
          <w:sz w:val="32"/>
          <w:szCs w:val="32"/>
          <w:rtl/>
        </w:rPr>
        <w:t xml:space="preserve"> كما إذا استأجره لخياطة الثوب الساعة الفلانية مِن هذا اليوم</w:t>
      </w:r>
      <w:r w:rsidRPr="00B86E26">
        <w:rPr>
          <w:sz w:val="32"/>
          <w:szCs w:val="32"/>
        </w:rPr>
        <w:t>.</w:t>
      </w:r>
    </w:p>
    <w:p w14:paraId="08BBE31D" w14:textId="77777777" w:rsidR="00B86E26" w:rsidRPr="00B86E26" w:rsidRDefault="00B86E26" w:rsidP="00122B70">
      <w:pPr>
        <w:bidi/>
        <w:rPr>
          <w:sz w:val="32"/>
          <w:szCs w:val="32"/>
          <w:rtl/>
        </w:rPr>
      </w:pPr>
      <w:r w:rsidRPr="00B86E26">
        <w:rPr>
          <w:sz w:val="32"/>
          <w:szCs w:val="32"/>
          <w:rtl/>
        </w:rPr>
        <w:t xml:space="preserve">وقوله (قدس سره): </w:t>
      </w:r>
      <w:r w:rsidRPr="00B86E26">
        <w:rPr>
          <w:b/>
          <w:bCs/>
          <w:sz w:val="32"/>
          <w:szCs w:val="32"/>
          <w:rtl/>
        </w:rPr>
        <w:t>(وامتنع من دفع الثوب إليه حتى مضى ذلك الوقت)</w:t>
      </w:r>
      <w:r w:rsidRPr="00B86E26">
        <w:rPr>
          <w:sz w:val="32"/>
          <w:szCs w:val="32"/>
          <w:rtl/>
        </w:rPr>
        <w:t xml:space="preserve"> أي: الوقت المعيّن للعمل المستأجر عليه</w:t>
      </w:r>
      <w:r w:rsidRPr="00B86E26">
        <w:rPr>
          <w:sz w:val="32"/>
          <w:szCs w:val="32"/>
        </w:rPr>
        <w:t>.</w:t>
      </w:r>
    </w:p>
    <w:p w14:paraId="2B048616" w14:textId="77777777" w:rsidR="00B86E26" w:rsidRPr="00B86E26" w:rsidRDefault="00B86E26" w:rsidP="00122B70">
      <w:pPr>
        <w:bidi/>
        <w:rPr>
          <w:sz w:val="32"/>
          <w:szCs w:val="32"/>
          <w:rtl/>
        </w:rPr>
      </w:pPr>
      <w:r w:rsidRPr="00B86E26">
        <w:rPr>
          <w:sz w:val="32"/>
          <w:szCs w:val="32"/>
          <w:rtl/>
        </w:rPr>
        <w:t xml:space="preserve">وقوله (قدس سره): </w:t>
      </w:r>
      <w:r w:rsidRPr="00B86E26">
        <w:rPr>
          <w:b/>
          <w:bCs/>
          <w:sz w:val="32"/>
          <w:szCs w:val="32"/>
          <w:rtl/>
        </w:rPr>
        <w:t>(فإنّه يجب عليه دفع الاُجرة)</w:t>
      </w:r>
      <w:r w:rsidRPr="00B86E26">
        <w:rPr>
          <w:sz w:val="32"/>
          <w:szCs w:val="32"/>
          <w:rtl/>
        </w:rPr>
        <w:t xml:space="preserve"> أي: تستقر على ذمّة المُستأجر الأُجرة للأجير؛ لأنّ الأجير تهيأ وبذل نفسه في الوقت المعد للعمل - وهو الخياطة - لكن المُستأجر لَمْ يدفع لهُ الثوب الذي هو موضوع العمل المستأجر عليه</w:t>
      </w:r>
      <w:r w:rsidRPr="00B86E26">
        <w:rPr>
          <w:sz w:val="32"/>
          <w:szCs w:val="32"/>
        </w:rPr>
        <w:t>.</w:t>
      </w:r>
    </w:p>
    <w:p w14:paraId="6798B675" w14:textId="77777777" w:rsidR="00B86E26" w:rsidRPr="00B86E26" w:rsidRDefault="00B86E26" w:rsidP="00122B70">
      <w:pPr>
        <w:bidi/>
        <w:rPr>
          <w:sz w:val="32"/>
          <w:szCs w:val="32"/>
          <w:rtl/>
        </w:rPr>
      </w:pPr>
      <w:r w:rsidRPr="00B86E26">
        <w:rPr>
          <w:sz w:val="32"/>
          <w:szCs w:val="32"/>
          <w:rtl/>
        </w:rPr>
        <w:t xml:space="preserve">وقوله (قدس سره): </w:t>
      </w:r>
      <w:r w:rsidRPr="00B86E26">
        <w:rPr>
          <w:b/>
          <w:bCs/>
          <w:sz w:val="32"/>
          <w:szCs w:val="32"/>
          <w:rtl/>
        </w:rPr>
        <w:t>(سواء اشتغل في ذلك الوقت مع امتناع المستأجر من دفع الثوب إليه بشغل آخرٍ لنفسه أو لغيره أو جلسا فارغاً)</w:t>
      </w:r>
      <w:r w:rsidRPr="00B86E26">
        <w:rPr>
          <w:sz w:val="32"/>
          <w:szCs w:val="32"/>
          <w:rtl/>
        </w:rPr>
        <w:t xml:space="preserve"> كما إذا اشتغل بشغلٍ آخرٍ كالكتابة لنفسه، أو لغيره كأنْ كتب لغيره مقابل أُجرةٍ معيّنة، فإنّه يستحق الأُجرة مِن المُستأجر على كلّ حالٍ</w:t>
      </w:r>
      <w:r w:rsidRPr="00B86E26">
        <w:rPr>
          <w:sz w:val="32"/>
          <w:szCs w:val="32"/>
        </w:rPr>
        <w:t>.</w:t>
      </w:r>
    </w:p>
    <w:p w14:paraId="689C96BF" w14:textId="77777777" w:rsidR="00B86E26" w:rsidRPr="00B86E26" w:rsidRDefault="00B86E26" w:rsidP="00122B70">
      <w:pPr>
        <w:bidi/>
        <w:rPr>
          <w:b/>
          <w:bCs/>
          <w:sz w:val="32"/>
          <w:szCs w:val="32"/>
          <w:rtl/>
        </w:rPr>
      </w:pPr>
      <w:r w:rsidRPr="00B86E26">
        <w:rPr>
          <w:b/>
          <w:bCs/>
          <w:sz w:val="32"/>
          <w:szCs w:val="32"/>
          <w:rtl/>
        </w:rPr>
        <w:t>وفي المسألة عدّة مطالب</w:t>
      </w:r>
      <w:r w:rsidRPr="00B86E26">
        <w:rPr>
          <w:b/>
          <w:bCs/>
          <w:sz w:val="32"/>
          <w:szCs w:val="32"/>
        </w:rPr>
        <w:t>:</w:t>
      </w:r>
    </w:p>
    <w:p w14:paraId="5A4FFAF9" w14:textId="77777777" w:rsidR="00B86E26" w:rsidRPr="00B86E26" w:rsidRDefault="00B86E26" w:rsidP="00122B70">
      <w:pPr>
        <w:bidi/>
        <w:rPr>
          <w:sz w:val="32"/>
          <w:szCs w:val="32"/>
          <w:rtl/>
        </w:rPr>
      </w:pPr>
      <w:r w:rsidRPr="00B86E26">
        <w:rPr>
          <w:b/>
          <w:bCs/>
          <w:sz w:val="32"/>
          <w:szCs w:val="32"/>
          <w:rtl/>
        </w:rPr>
        <w:lastRenderedPageBreak/>
        <w:t>المطلبُ الأوّل:</w:t>
      </w:r>
      <w:r w:rsidRPr="00B86E26">
        <w:rPr>
          <w:sz w:val="32"/>
          <w:szCs w:val="32"/>
          <w:rtl/>
        </w:rPr>
        <w:t xml:space="preserve"> ما هو المناطُ في ضمان الأُجرة المسمّاة في إجارة الأعيان مع أنّ المُستأجر لَمْ يستلّم العين لا لعذرٍ مانعٍ؟</w:t>
      </w:r>
    </w:p>
    <w:p w14:paraId="495BF747" w14:textId="77777777" w:rsidR="00B86E26" w:rsidRPr="00B86E26" w:rsidRDefault="00B86E26" w:rsidP="00122B70">
      <w:pPr>
        <w:bidi/>
        <w:rPr>
          <w:b/>
          <w:bCs/>
          <w:sz w:val="32"/>
          <w:szCs w:val="32"/>
          <w:rtl/>
        </w:rPr>
      </w:pPr>
      <w:r w:rsidRPr="00B86E26">
        <w:rPr>
          <w:b/>
          <w:bCs/>
          <w:sz w:val="32"/>
          <w:szCs w:val="32"/>
          <w:rtl/>
        </w:rPr>
        <w:t>إنّ مناط ضمان الأُجرة المسمّاة مبني على عنصرين</w:t>
      </w:r>
      <w:r w:rsidRPr="00B86E26">
        <w:rPr>
          <w:b/>
          <w:bCs/>
          <w:sz w:val="32"/>
          <w:szCs w:val="32"/>
        </w:rPr>
        <w:t>:</w:t>
      </w:r>
    </w:p>
    <w:p w14:paraId="682A29F2" w14:textId="77777777" w:rsidR="00B86E26" w:rsidRPr="00B86E26" w:rsidRDefault="00B86E26" w:rsidP="00122B70">
      <w:pPr>
        <w:bidi/>
        <w:rPr>
          <w:sz w:val="32"/>
          <w:szCs w:val="32"/>
          <w:rtl/>
        </w:rPr>
      </w:pPr>
      <w:r w:rsidRPr="00B86E26">
        <w:rPr>
          <w:b/>
          <w:bCs/>
          <w:sz w:val="32"/>
          <w:szCs w:val="32"/>
          <w:rtl/>
        </w:rPr>
        <w:t>العنصرُ الأوّل:</w:t>
      </w:r>
      <w:r w:rsidRPr="00B86E26">
        <w:rPr>
          <w:sz w:val="32"/>
          <w:szCs w:val="32"/>
          <w:rtl/>
        </w:rPr>
        <w:t xml:space="preserve"> أنّ التسليم لا موضوعية لهُ في لزوم العقد وترتب أثره عليه؛ وإنّما الموضوعية للتمكين - لا للتسليم -، والمفروض أنّ مالك الدار أو السيارة قد مكن المُستأجر مِن الانتفاع واستيفاء الملك، ولا خصوصية لعنوان التسليم والتسلّم</w:t>
      </w:r>
      <w:r w:rsidRPr="00B86E26">
        <w:rPr>
          <w:sz w:val="32"/>
          <w:szCs w:val="32"/>
        </w:rPr>
        <w:t>.</w:t>
      </w:r>
    </w:p>
    <w:p w14:paraId="349809DF" w14:textId="77777777" w:rsidR="00B86E26" w:rsidRPr="00B86E26" w:rsidRDefault="00B86E26" w:rsidP="00122B70">
      <w:pPr>
        <w:bidi/>
        <w:rPr>
          <w:sz w:val="32"/>
          <w:szCs w:val="32"/>
          <w:rtl/>
        </w:rPr>
      </w:pPr>
      <w:r w:rsidRPr="00B86E26">
        <w:rPr>
          <w:b/>
          <w:bCs/>
          <w:sz w:val="32"/>
          <w:szCs w:val="32"/>
          <w:rtl/>
        </w:rPr>
        <w:t>العنصرُ الثاني:</w:t>
      </w:r>
      <w:r w:rsidRPr="00B86E26">
        <w:rPr>
          <w:sz w:val="32"/>
          <w:szCs w:val="32"/>
          <w:rtl/>
        </w:rPr>
        <w:t xml:space="preserve"> إنّ فوت المنفعة على المُستأجر - حيثُ فاتت عليه منفعة السُكنى بانقضاء الوقت - مستندٌ لاختياره، لا لمانعٍ عامٍ كما لو حصلت زلزلة أو حرب أو منعت الدولة مِن استخدام الدور أو السيارات، أو ما أشبه ذلك مِن الأعذار العامّة كي يقال: بأنّ الفوت قد استند لغيره ولَمْ يستند إليه فلا يكون ضامناً، بل حيثُ استند فوت المنفعة عليه لاختياره كان ضامناً لأُجرة هذه المنفعة، وهي الأُجرة المسمّاة بالعقد</w:t>
      </w:r>
      <w:r w:rsidRPr="00B86E26">
        <w:rPr>
          <w:sz w:val="32"/>
          <w:szCs w:val="32"/>
        </w:rPr>
        <w:t>.</w:t>
      </w:r>
    </w:p>
    <w:p w14:paraId="47BF8B80" w14:textId="77777777" w:rsidR="00B86E26" w:rsidRPr="00B86E26" w:rsidRDefault="00B86E26" w:rsidP="00122B70">
      <w:pPr>
        <w:bidi/>
        <w:rPr>
          <w:sz w:val="32"/>
          <w:szCs w:val="32"/>
          <w:rtl/>
        </w:rPr>
      </w:pPr>
      <w:r w:rsidRPr="00B86E26">
        <w:rPr>
          <w:b/>
          <w:bCs/>
          <w:sz w:val="32"/>
          <w:szCs w:val="32"/>
          <w:rtl/>
        </w:rPr>
        <w:t>المطلبُ الثاني:</w:t>
      </w:r>
      <w:r w:rsidRPr="00B86E26">
        <w:rPr>
          <w:sz w:val="32"/>
          <w:szCs w:val="32"/>
          <w:rtl/>
        </w:rPr>
        <w:t xml:space="preserve"> لا فرق في المقام بين إجارة الأعيان وإجارة الأعمال، لكن في فرض كون إجارة الأعمال محددة بوقتٍ معيّنٍ كما لو استأجره للخياطة لهذا الثوب في هذه الساعة فلَمْ يدفع لهُ القماش حتى مضت الساعة</w:t>
      </w:r>
      <w:r w:rsidRPr="00B86E26">
        <w:rPr>
          <w:sz w:val="32"/>
          <w:szCs w:val="32"/>
        </w:rPr>
        <w:t>.</w:t>
      </w:r>
    </w:p>
    <w:p w14:paraId="1A577F06" w14:textId="77777777" w:rsidR="00B86E26" w:rsidRPr="00B86E26" w:rsidRDefault="00B86E26" w:rsidP="00122B70">
      <w:pPr>
        <w:bidi/>
        <w:rPr>
          <w:sz w:val="32"/>
          <w:szCs w:val="32"/>
          <w:rtl/>
        </w:rPr>
      </w:pPr>
      <w:r w:rsidRPr="00B86E26">
        <w:rPr>
          <w:sz w:val="32"/>
          <w:szCs w:val="32"/>
          <w:rtl/>
        </w:rPr>
        <w:t>وأمّا لو فرض أنّ الوقت غيرُ معيّنٍ كما لو استأجره لخياطة هذا الثوب في هذا الأُسبوع، فإنّه إذا لَمْ يدفع لهُ الثوبَ يوماً أو يومين أو ثلاثة فهذا لا يلزم منه استقرار الأُجرة على المُستأجر؛ حيثُ إنّ زمان المنفعة أو العمل المملوك للمُستأجر على ذمّة الأجير لَمْ يفت وقته</w:t>
      </w:r>
      <w:r w:rsidRPr="00B86E26">
        <w:rPr>
          <w:sz w:val="32"/>
          <w:szCs w:val="32"/>
        </w:rPr>
        <w:t>.</w:t>
      </w:r>
    </w:p>
    <w:p w14:paraId="29B0D4A2" w14:textId="77777777" w:rsidR="00B86E26" w:rsidRPr="00B86E26" w:rsidRDefault="00B86E26" w:rsidP="00122B70">
      <w:pPr>
        <w:bidi/>
        <w:rPr>
          <w:sz w:val="32"/>
          <w:szCs w:val="32"/>
          <w:rtl/>
        </w:rPr>
      </w:pPr>
      <w:r w:rsidRPr="00B86E26">
        <w:rPr>
          <w:sz w:val="32"/>
          <w:szCs w:val="32"/>
          <w:rtl/>
        </w:rPr>
        <w:t>المطلبُ الثالث</w:t>
      </w:r>
      <w:r w:rsidRPr="00B86E26">
        <w:rPr>
          <w:sz w:val="32"/>
          <w:szCs w:val="32"/>
        </w:rPr>
        <w:t>:</w:t>
      </w:r>
    </w:p>
    <w:p w14:paraId="7FDA2151" w14:textId="77777777" w:rsidR="00B86E26" w:rsidRPr="00B86E26" w:rsidRDefault="00B86E26" w:rsidP="00122B70">
      <w:pPr>
        <w:bidi/>
        <w:rPr>
          <w:sz w:val="32"/>
          <w:szCs w:val="32"/>
          <w:rtl/>
        </w:rPr>
      </w:pPr>
      <w:r w:rsidRPr="00B86E26">
        <w:rPr>
          <w:sz w:val="32"/>
          <w:szCs w:val="32"/>
          <w:rtl/>
        </w:rPr>
        <w:t xml:space="preserve">ذكر سيد العروة ووافقهُ أغلب المعلقين على العروة والسيدان الحكيمان - الجد والسبط – وسيدنا الخوئي (قدست أسرارهم) مِن أنّه لو اشتغل بعملٍ آخرٍ كما إذا استأجرهُ لخياطةِ الثوبِ في هذه الساعة المعيّنة ولَمْ يدفع له الثوب فاشتغل هو بالكتابة بأُجرةٍ إمّا بجُعالةٍ أو بإجارةٍ أُخرى - بحيثُ لا مزاحمة بين الإجارتين ضمن له المُستأجر الأُجرة المسمّاة؛ فإنّ الموجب للمزاحمة والمنافاة بين الإجارتين هو مطالبةُ المُستأجر لهُ بالعمل، وحيثُ إنّ المُستأجر لَمْ يطالبه بالعمل إمّا لأنّه لَمْ يدفع لهُ الثوب أو شغله بأمرٍ أو نحو ذلك، فإنّ اشتغاله بعملٍ مضمون القيمة إمّا بجُعالةٍ أو إجارةٍ للغير مما يوجب استحقاقه للأُجرتين: </w:t>
      </w:r>
      <w:r w:rsidRPr="00B86E26">
        <w:rPr>
          <w:b/>
          <w:bCs/>
          <w:sz w:val="32"/>
          <w:szCs w:val="32"/>
          <w:rtl/>
        </w:rPr>
        <w:t>الأُولى:</w:t>
      </w:r>
      <w:r w:rsidRPr="00B86E26">
        <w:rPr>
          <w:sz w:val="32"/>
          <w:szCs w:val="32"/>
          <w:rtl/>
        </w:rPr>
        <w:t xml:space="preserve"> الأُجرة المسمّاة للعمل الأوّل بعقد الإجارة، </w:t>
      </w:r>
      <w:r w:rsidRPr="00B86E26">
        <w:rPr>
          <w:b/>
          <w:bCs/>
          <w:sz w:val="32"/>
          <w:szCs w:val="32"/>
          <w:rtl/>
        </w:rPr>
        <w:t>والثانية:</w:t>
      </w:r>
      <w:r w:rsidRPr="00B86E26">
        <w:rPr>
          <w:sz w:val="32"/>
          <w:szCs w:val="32"/>
          <w:rtl/>
        </w:rPr>
        <w:t xml:space="preserve"> الأُجرة المسمّاة للعمل الثاني بالجُعالة أو بإجارةٍ أُخرى</w:t>
      </w:r>
      <w:r w:rsidRPr="00B86E26">
        <w:rPr>
          <w:sz w:val="32"/>
          <w:szCs w:val="32"/>
        </w:rPr>
        <w:t>.</w:t>
      </w:r>
    </w:p>
    <w:p w14:paraId="6E3D11CA" w14:textId="77777777" w:rsidR="00B86E26" w:rsidRPr="00B86E26" w:rsidRDefault="00B86E26" w:rsidP="00122B70">
      <w:pPr>
        <w:bidi/>
        <w:rPr>
          <w:sz w:val="32"/>
          <w:szCs w:val="32"/>
          <w:rtl/>
        </w:rPr>
      </w:pPr>
      <w:r w:rsidRPr="00B86E26">
        <w:rPr>
          <w:sz w:val="32"/>
          <w:szCs w:val="32"/>
          <w:rtl/>
        </w:rPr>
        <w:lastRenderedPageBreak/>
        <w:t xml:space="preserve">وقد أفاد السيد الحكيم السبط (قدس سره الشريف) في كتابه مصباح المنهاج حيثُ قال: </w:t>
      </w:r>
      <w:r w:rsidRPr="00B86E26">
        <w:rPr>
          <w:b/>
          <w:bCs/>
          <w:sz w:val="32"/>
          <w:szCs w:val="32"/>
          <w:rtl/>
        </w:rPr>
        <w:t>(فإن الإجارة وإن اقتضت ملك العمل عليه، إلا أنها لا تقتضي منه من العمل إلا حيث يكون مزاحماً لتنفيذها، والمفروض عدم المزاحمة لعدم مطالبة المستأجر بالعمل المستأجر عليه، بل عدم رضاه به وعدم تمكينه للأجير منه. نعم لا يصح منه إجارة نفسه للعمل في المدة المذكورة بنحو ينافي الإجارة الأولى ويمنع من تنفيذها. إلا أن ذلك لا ينافي ملكه لعمله فيها، بحيث يستحق العوض عليه بنحو الجعالة)</w:t>
      </w:r>
      <w:r w:rsidRPr="00B86E26">
        <w:rPr>
          <w:sz w:val="32"/>
          <w:szCs w:val="32"/>
          <w:vertAlign w:val="superscript"/>
          <w:rtl/>
        </w:rPr>
        <w:footnoteReference w:id="173"/>
      </w:r>
      <w:r w:rsidRPr="00B86E26">
        <w:rPr>
          <w:sz w:val="32"/>
          <w:szCs w:val="32"/>
          <w:rtl/>
        </w:rPr>
        <w:t>.</w:t>
      </w:r>
    </w:p>
    <w:p w14:paraId="37E06BD8" w14:textId="77777777" w:rsidR="00B86E26" w:rsidRPr="00B86E26" w:rsidRDefault="00B86E26" w:rsidP="00122B70">
      <w:pPr>
        <w:bidi/>
        <w:rPr>
          <w:b/>
          <w:bCs/>
          <w:sz w:val="32"/>
          <w:szCs w:val="32"/>
          <w:rtl/>
        </w:rPr>
      </w:pPr>
      <w:r w:rsidRPr="00B86E26">
        <w:rPr>
          <w:b/>
          <w:bCs/>
          <w:sz w:val="32"/>
          <w:szCs w:val="32"/>
          <w:rtl/>
        </w:rPr>
        <w:t>وحاصلُ كلامه</w:t>
      </w:r>
      <w:r w:rsidRPr="00B86E26">
        <w:rPr>
          <w:b/>
          <w:bCs/>
          <w:sz w:val="32"/>
          <w:szCs w:val="32"/>
        </w:rPr>
        <w:t>:</w:t>
      </w:r>
    </w:p>
    <w:p w14:paraId="379601E1" w14:textId="77777777" w:rsidR="00B86E26" w:rsidRPr="00B86E26" w:rsidRDefault="00B86E26" w:rsidP="00122B70">
      <w:pPr>
        <w:bidi/>
        <w:rPr>
          <w:sz w:val="32"/>
          <w:szCs w:val="32"/>
          <w:rtl/>
        </w:rPr>
      </w:pPr>
      <w:r w:rsidRPr="00B86E26">
        <w:rPr>
          <w:sz w:val="32"/>
          <w:szCs w:val="32"/>
          <w:rtl/>
        </w:rPr>
        <w:t>أنّ ما أتى بِهِ الأجيرُ مِن عملٍ مضمونٍ لغير المُستأجر عملٌ ذو ماليةٍ، والمفروضُ أنّ العقد أو الإيقاع - بناء على أنّ الجُعالة إيقاعٌ - غيرُ مزاحمٍ لما يملكه المُستأجر على ذمّة الأجير، والسرُ في عدم المزاحمة عدمُ استيفاء المُستأجر لماله فلا مانع حينئذٍ مِن تمليك عمله للغير</w:t>
      </w:r>
      <w:r w:rsidRPr="00B86E26">
        <w:rPr>
          <w:sz w:val="32"/>
          <w:szCs w:val="32"/>
        </w:rPr>
        <w:t>.</w:t>
      </w:r>
    </w:p>
    <w:p w14:paraId="10D2E85D" w14:textId="77777777" w:rsidR="00B86E26" w:rsidRPr="00B86E26" w:rsidRDefault="00B86E26" w:rsidP="00122B70">
      <w:pPr>
        <w:bidi/>
        <w:rPr>
          <w:b/>
          <w:bCs/>
          <w:sz w:val="32"/>
          <w:szCs w:val="32"/>
          <w:rtl/>
        </w:rPr>
      </w:pPr>
      <w:r w:rsidRPr="00B86E26">
        <w:rPr>
          <w:sz w:val="32"/>
          <w:szCs w:val="32"/>
          <w:rtl/>
        </w:rPr>
        <w:t>ولكن بعض الأجلة (رحمه الله) في كتابه الإجارة</w:t>
      </w:r>
      <w:r w:rsidRPr="00B86E26">
        <w:rPr>
          <w:sz w:val="32"/>
          <w:szCs w:val="32"/>
          <w:vertAlign w:val="superscript"/>
          <w:rtl/>
        </w:rPr>
        <w:footnoteReference w:id="174"/>
      </w:r>
      <w:r w:rsidRPr="00B86E26">
        <w:rPr>
          <w:sz w:val="32"/>
          <w:szCs w:val="32"/>
          <w:rtl/>
        </w:rPr>
        <w:t xml:space="preserve"> تأمل في ذلك، فأفاد (رحمه الله) بقوله: </w:t>
      </w:r>
      <w:r w:rsidRPr="00B86E26">
        <w:rPr>
          <w:b/>
          <w:bCs/>
          <w:sz w:val="32"/>
          <w:szCs w:val="32"/>
          <w:rtl/>
        </w:rPr>
        <w:t>(ثمّ إنّ السيد الماتن (قدس سره) حكم باستقرار الاُجرة على المستأجر حتى إذا اشتغل الأجير في ذلك الوقت بشغل آخر لنفسه أو لغيره، ويمكن أن يكون وجهه بأنّه عمل له غير مزاحم مع ما يملكه عليه المستأجر ولو من جهة عدم استيفاء المستأجر لماله فلا مانع من تمليكه للغير أو استيفائه بنفسه</w:t>
      </w:r>
      <w:r w:rsidRPr="00B86E26">
        <w:rPr>
          <w:b/>
          <w:bCs/>
          <w:sz w:val="32"/>
          <w:szCs w:val="32"/>
        </w:rPr>
        <w:t>.</w:t>
      </w:r>
    </w:p>
    <w:p w14:paraId="0628E02D" w14:textId="77777777" w:rsidR="00B86E26" w:rsidRPr="00B86E26" w:rsidRDefault="00B86E26" w:rsidP="00122B70">
      <w:pPr>
        <w:bidi/>
        <w:rPr>
          <w:b/>
          <w:bCs/>
          <w:sz w:val="32"/>
          <w:szCs w:val="32"/>
          <w:rtl/>
        </w:rPr>
      </w:pPr>
      <w:r w:rsidRPr="00B86E26">
        <w:rPr>
          <w:b/>
          <w:bCs/>
          <w:sz w:val="32"/>
          <w:szCs w:val="32"/>
          <w:rtl/>
        </w:rPr>
        <w:t>إلّا أنّ هذا مبني على مبنى الماتن (قدس سره) الذي سيأتي في المسألة (6) بعد فصلين من صحة ضمان المنافع المتضادّة معاً كما إذا استأجره للخياطة فاستعمله في الكتابة فيضمن مع المسمّى اُجرة الكتابة؛ وهذا خلاف المشهور).</w:t>
      </w:r>
    </w:p>
    <w:p w14:paraId="692CCE26" w14:textId="77777777" w:rsidR="00B86E26" w:rsidRPr="00B86E26" w:rsidRDefault="00B86E26" w:rsidP="00122B70">
      <w:pPr>
        <w:bidi/>
        <w:rPr>
          <w:sz w:val="32"/>
          <w:szCs w:val="32"/>
          <w:rtl/>
        </w:rPr>
      </w:pPr>
      <w:r w:rsidRPr="00B86E26">
        <w:rPr>
          <w:b/>
          <w:bCs/>
          <w:sz w:val="32"/>
          <w:szCs w:val="32"/>
          <w:rtl/>
        </w:rPr>
        <w:t xml:space="preserve">بمعنى: </w:t>
      </w:r>
      <w:r w:rsidRPr="00B86E26">
        <w:rPr>
          <w:sz w:val="32"/>
          <w:szCs w:val="32"/>
          <w:rtl/>
        </w:rPr>
        <w:t xml:space="preserve">أنّ المالك الذي مَلَكَ عليه الخياطة هو الذي استعمله في وقت الإجارة على الخياطة في عملٍ آخرٍ كالكتابة أو حمل المتاع أو ما أشبه ذلك، ففي تلك المسألة وقع البحثُ في أنّ المالك – أي: المُستأجر – هل يضمن لهُ أُجرتين: أُجرة الخياطة؛ لأنّه مَلَكَها بالعقد، وأُجرة المثل للكتابة؛ لأنّها وقعتْ لا </w:t>
      </w:r>
      <w:proofErr w:type="gramStart"/>
      <w:r w:rsidRPr="00B86E26">
        <w:rPr>
          <w:sz w:val="32"/>
          <w:szCs w:val="32"/>
          <w:rtl/>
        </w:rPr>
        <w:t>مجاناً</w:t>
      </w:r>
      <w:proofErr w:type="gramEnd"/>
      <w:r w:rsidRPr="00B86E26">
        <w:rPr>
          <w:sz w:val="32"/>
          <w:szCs w:val="32"/>
          <w:rtl/>
        </w:rPr>
        <w:t xml:space="preserve"> بل بأمره وطلبه أم لا؟</w:t>
      </w:r>
    </w:p>
    <w:p w14:paraId="76ED83A8" w14:textId="77777777" w:rsidR="00B86E26" w:rsidRPr="00B86E26" w:rsidRDefault="00B86E26" w:rsidP="00122B70">
      <w:pPr>
        <w:bidi/>
        <w:rPr>
          <w:sz w:val="32"/>
          <w:szCs w:val="32"/>
          <w:rtl/>
        </w:rPr>
      </w:pPr>
      <w:r w:rsidRPr="00B86E26">
        <w:rPr>
          <w:sz w:val="32"/>
          <w:szCs w:val="32"/>
          <w:rtl/>
        </w:rPr>
        <w:t>وقد ذهب المشهور في تلك المسألة إلى عدم ضمان أُجرتين</w:t>
      </w:r>
      <w:r w:rsidRPr="00B86E26">
        <w:rPr>
          <w:sz w:val="32"/>
          <w:szCs w:val="32"/>
        </w:rPr>
        <w:t>.</w:t>
      </w:r>
    </w:p>
    <w:p w14:paraId="10E0CDE7" w14:textId="77777777" w:rsidR="00B86E26" w:rsidRPr="00B86E26" w:rsidRDefault="00B86E26" w:rsidP="00122B70">
      <w:pPr>
        <w:bidi/>
        <w:rPr>
          <w:sz w:val="32"/>
          <w:szCs w:val="32"/>
          <w:rtl/>
        </w:rPr>
      </w:pPr>
      <w:r w:rsidRPr="00B86E26">
        <w:rPr>
          <w:b/>
          <w:bCs/>
          <w:sz w:val="32"/>
          <w:szCs w:val="32"/>
          <w:rtl/>
        </w:rPr>
        <w:t>والسرُ في ذلك:</w:t>
      </w:r>
      <w:r w:rsidRPr="00B86E26">
        <w:rPr>
          <w:sz w:val="32"/>
          <w:szCs w:val="32"/>
          <w:rtl/>
        </w:rPr>
        <w:t xml:space="preserve"> أنّ المُستأجر عندما استعمله في الكتابة لَمْ يفوت عليه ملكين ولا مالين حتى يضمن له أُجرتين، وإنّما يضمن له أغلى الأُجرتين مِن الكتابة أو الخياطة</w:t>
      </w:r>
      <w:r w:rsidRPr="00B86E26">
        <w:rPr>
          <w:sz w:val="32"/>
          <w:szCs w:val="32"/>
        </w:rPr>
        <w:t>.</w:t>
      </w:r>
    </w:p>
    <w:p w14:paraId="1B47D2CA" w14:textId="77777777" w:rsidR="00B86E26" w:rsidRPr="00B86E26" w:rsidRDefault="00B86E26" w:rsidP="00122B70">
      <w:pPr>
        <w:bidi/>
        <w:rPr>
          <w:b/>
          <w:bCs/>
          <w:sz w:val="32"/>
          <w:szCs w:val="32"/>
          <w:rtl/>
        </w:rPr>
      </w:pPr>
      <w:r w:rsidRPr="00B86E26">
        <w:rPr>
          <w:sz w:val="32"/>
          <w:szCs w:val="32"/>
          <w:rtl/>
        </w:rPr>
        <w:lastRenderedPageBreak/>
        <w:t xml:space="preserve">ولذلك قال بعض الأجلة (رحمه الله): </w:t>
      </w:r>
      <w:r w:rsidRPr="00B86E26">
        <w:rPr>
          <w:b/>
          <w:bCs/>
          <w:sz w:val="32"/>
          <w:szCs w:val="32"/>
          <w:rtl/>
        </w:rPr>
        <w:t>(والصحيح من أنّه يستحق أغلى الاُجرتين – كما سيأتي</w:t>
      </w:r>
      <w:r w:rsidRPr="00B86E26">
        <w:rPr>
          <w:b/>
          <w:bCs/>
          <w:sz w:val="32"/>
          <w:szCs w:val="32"/>
        </w:rPr>
        <w:t xml:space="preserve"> -.</w:t>
      </w:r>
    </w:p>
    <w:p w14:paraId="2D6E47E1" w14:textId="77777777" w:rsidR="00B86E26" w:rsidRPr="00B86E26" w:rsidRDefault="00B86E26" w:rsidP="00122B70">
      <w:pPr>
        <w:bidi/>
        <w:rPr>
          <w:sz w:val="32"/>
          <w:szCs w:val="32"/>
          <w:rtl/>
        </w:rPr>
      </w:pPr>
      <w:r w:rsidRPr="00B86E26">
        <w:rPr>
          <w:b/>
          <w:bCs/>
          <w:sz w:val="32"/>
          <w:szCs w:val="32"/>
          <w:rtl/>
        </w:rPr>
        <w:t>فمن يقول بالمشهور في تلك المسألة)</w:t>
      </w:r>
      <w:r w:rsidRPr="00B86E26">
        <w:rPr>
          <w:sz w:val="32"/>
          <w:szCs w:val="32"/>
          <w:rtl/>
        </w:rPr>
        <w:t xml:space="preserve"> وهو: أنّه لا ضمان للمنافع المتضادّة؛ حيثُ لا يمكن للأجير أنْ يأتي بالخياطة والكتابة في آنٍ واحدٍ </w:t>
      </w:r>
      <w:r w:rsidRPr="00B86E26">
        <w:rPr>
          <w:b/>
          <w:bCs/>
          <w:sz w:val="32"/>
          <w:szCs w:val="32"/>
          <w:rtl/>
        </w:rPr>
        <w:t>(ينبغي أن يقول في المقام بضمان المستأجر لمقدار التفاوت بين المسمّى واُجرة مثل ما عمله لنفسه أو لغيره إذ لا تفويت بأكثر من ذلك على المالك بعد أن استوفى المنفعة المضادّة لنفسه).</w:t>
      </w:r>
    </w:p>
    <w:p w14:paraId="7AC85AED" w14:textId="77777777" w:rsidR="00B86E26" w:rsidRPr="00B86E26" w:rsidRDefault="00B86E26" w:rsidP="00122B70">
      <w:pPr>
        <w:bidi/>
        <w:rPr>
          <w:sz w:val="32"/>
          <w:szCs w:val="32"/>
          <w:rtl/>
        </w:rPr>
      </w:pPr>
      <w:r w:rsidRPr="00B86E26">
        <w:rPr>
          <w:b/>
          <w:bCs/>
          <w:sz w:val="32"/>
          <w:szCs w:val="32"/>
          <w:rtl/>
        </w:rPr>
        <w:t>وخلاصته:</w:t>
      </w:r>
      <w:r w:rsidRPr="00B86E26">
        <w:rPr>
          <w:sz w:val="32"/>
          <w:szCs w:val="32"/>
          <w:rtl/>
        </w:rPr>
        <w:t xml:space="preserve"> أنّ المُستأجر حيثُ لَمْ يدفع لهُ الثوب فاشتغل بالكتابة لغيره، فإنّه لا يضمن لهُ الأُجرة المسمّاة للخياطة وإنّما يضمن له مقدار التفاوت بين </w:t>
      </w:r>
      <w:proofErr w:type="gramStart"/>
      <w:r w:rsidRPr="00B86E26">
        <w:rPr>
          <w:sz w:val="32"/>
          <w:szCs w:val="32"/>
          <w:rtl/>
        </w:rPr>
        <w:t>العملين ؛</w:t>
      </w:r>
      <w:proofErr w:type="gramEnd"/>
      <w:r w:rsidRPr="00B86E26">
        <w:rPr>
          <w:sz w:val="32"/>
          <w:szCs w:val="32"/>
          <w:rtl/>
        </w:rPr>
        <w:t xml:space="preserve"> لأنّه سيستوفي قيمة العمل كأُجرة الكتابة مِن الغير</w:t>
      </w:r>
      <w:r w:rsidRPr="00B86E26">
        <w:rPr>
          <w:sz w:val="32"/>
          <w:szCs w:val="32"/>
        </w:rPr>
        <w:t>.</w:t>
      </w:r>
    </w:p>
    <w:p w14:paraId="73552E48" w14:textId="77777777" w:rsidR="00B86E26" w:rsidRPr="00B86E26" w:rsidRDefault="00B86E26" w:rsidP="00122B70">
      <w:pPr>
        <w:bidi/>
        <w:rPr>
          <w:b/>
          <w:bCs/>
          <w:sz w:val="32"/>
          <w:szCs w:val="32"/>
          <w:rtl/>
        </w:rPr>
      </w:pPr>
      <w:r w:rsidRPr="00B86E26">
        <w:rPr>
          <w:b/>
          <w:bCs/>
          <w:sz w:val="32"/>
          <w:szCs w:val="32"/>
          <w:rtl/>
        </w:rPr>
        <w:t>(فالحاصل: المنافع المتضادة إذا لم تكن مستحقة معاً لمالكها فكما لا يستحقها المالك معاً في تلك المسألة لا يستحقها كذلك في المقام، وقد غفل عن ذلك المعلّقون على المتن هنا).</w:t>
      </w:r>
    </w:p>
    <w:p w14:paraId="25DD677C" w14:textId="77777777" w:rsidR="00B86E26" w:rsidRPr="00B86E26" w:rsidRDefault="00B86E26" w:rsidP="00122B70">
      <w:pPr>
        <w:bidi/>
        <w:rPr>
          <w:sz w:val="32"/>
          <w:szCs w:val="32"/>
          <w:rtl/>
        </w:rPr>
      </w:pPr>
      <w:r w:rsidRPr="00B86E26">
        <w:rPr>
          <w:b/>
          <w:bCs/>
          <w:sz w:val="32"/>
          <w:szCs w:val="32"/>
          <w:rtl/>
        </w:rPr>
        <w:t>ولكن قد يقال:</w:t>
      </w:r>
      <w:r w:rsidRPr="00B86E26">
        <w:rPr>
          <w:sz w:val="32"/>
          <w:szCs w:val="32"/>
          <w:rtl/>
        </w:rPr>
        <w:t xml:space="preserve"> بناءً على المبنى المختار في المسألة (6) الآتية بأنّ ما أُفيد تامٌ في الجملة لا على إطلاقه.</w:t>
      </w:r>
    </w:p>
    <w:p w14:paraId="39D7C61B" w14:textId="77777777" w:rsidR="00B86E26" w:rsidRPr="00B86E26" w:rsidRDefault="00B86E26" w:rsidP="00122B70">
      <w:pPr>
        <w:bidi/>
        <w:rPr>
          <w:sz w:val="32"/>
          <w:szCs w:val="32"/>
          <w:rtl/>
        </w:rPr>
      </w:pPr>
      <w:r w:rsidRPr="00B86E26">
        <w:rPr>
          <w:b/>
          <w:bCs/>
          <w:sz w:val="32"/>
          <w:szCs w:val="32"/>
          <w:rtl/>
        </w:rPr>
        <w:t>والوجهُ في ذلك:</w:t>
      </w:r>
      <w:r w:rsidRPr="00B86E26">
        <w:rPr>
          <w:sz w:val="32"/>
          <w:szCs w:val="32"/>
          <w:rtl/>
        </w:rPr>
        <w:t xml:space="preserve"> أنّ في المقام تفصيلاً، وهو: أنّ المُستأجر تارةً يملك على الأجير تمام منافعه - كما في الخادم – فلا مجال حينئذٍ لاستحقاق الأُجرة على أيّ عملٍ للآخر بالجعالة أو الإجارة؛ إذ ليس لهُ السلطنة على تمليكه أو التصرف في منافعه بغير إذن المُستأجر الأوّل، إلّا أنْ يكون متعلق الجُعالة هو الإتيان بمتعلق الإجارة الأُولى لصالح المُستأجر الأوّل، فإنّه حينئذٍ يستحقّ الجعل عليه، كما لو استأجره شخص لكتابة مقالةٍ ولَمْ يوفر له المواد اللازمة لها مع استعداده التام لذلك في الوقت المعيّن، فجعل لهُ شخص آخر جائزة على تقدير إنجاز الكتابة لمن استأجره أوّلاً مع توفير المواد له، فيمكن القول حينئذٍ باستحقاق الأجير الأُجرتين بالإجارة والجُعالة ما لَمْ يرفض المُستأجر الأوّل ذلك، وتارةً لا يملك المُستأجر إلّا عملاً معيّناً، ولَمْ يوفر له ما يلزم فاشتغل بعملٍ آخر لشخصٍ آخر بجُعالة أو إجارة غير مزاحمة، فإنّ المقتضي لضمان الأُجرتين في بعض الصور تامٌ والمانعُ مفقودٌ</w:t>
      </w:r>
      <w:r w:rsidRPr="00B86E26">
        <w:rPr>
          <w:sz w:val="32"/>
          <w:szCs w:val="32"/>
        </w:rPr>
        <w:t>.</w:t>
      </w:r>
    </w:p>
    <w:p w14:paraId="25D7CD48" w14:textId="77777777" w:rsidR="00B86E26" w:rsidRPr="00B86E26" w:rsidRDefault="00B86E26" w:rsidP="00122B70">
      <w:pPr>
        <w:bidi/>
        <w:rPr>
          <w:sz w:val="32"/>
          <w:szCs w:val="32"/>
          <w:rtl/>
        </w:rPr>
      </w:pPr>
      <w:r w:rsidRPr="00B86E26">
        <w:rPr>
          <w:sz w:val="32"/>
          <w:szCs w:val="32"/>
          <w:rtl/>
        </w:rPr>
        <w:t>أمّا المقتضي لضمان الأُجرتين فهو أنّ هناك سببين للضمان</w:t>
      </w:r>
      <w:r w:rsidRPr="00B86E26">
        <w:rPr>
          <w:sz w:val="32"/>
          <w:szCs w:val="32"/>
        </w:rPr>
        <w:t>:</w:t>
      </w:r>
    </w:p>
    <w:p w14:paraId="62EB03F8" w14:textId="77777777" w:rsidR="00B86E26" w:rsidRPr="00B86E26" w:rsidRDefault="00B86E26" w:rsidP="00122B70">
      <w:pPr>
        <w:bidi/>
        <w:rPr>
          <w:sz w:val="32"/>
          <w:szCs w:val="32"/>
          <w:rtl/>
        </w:rPr>
      </w:pPr>
      <w:r w:rsidRPr="00B86E26">
        <w:rPr>
          <w:b/>
          <w:bCs/>
          <w:sz w:val="32"/>
          <w:szCs w:val="32"/>
          <w:rtl/>
        </w:rPr>
        <w:t>السببُ الأوّل:</w:t>
      </w:r>
      <w:r w:rsidRPr="00B86E26">
        <w:rPr>
          <w:sz w:val="32"/>
          <w:szCs w:val="32"/>
          <w:rtl/>
        </w:rPr>
        <w:t xml:space="preserve"> عقد الإجارة للمُستأجر الأوّل، </w:t>
      </w:r>
      <w:r w:rsidRPr="00B86E26">
        <w:rPr>
          <w:b/>
          <w:bCs/>
          <w:sz w:val="32"/>
          <w:szCs w:val="32"/>
          <w:rtl/>
        </w:rPr>
        <w:t>والسببُ الثاني:</w:t>
      </w:r>
      <w:r w:rsidRPr="00B86E26">
        <w:rPr>
          <w:sz w:val="32"/>
          <w:szCs w:val="32"/>
          <w:rtl/>
        </w:rPr>
        <w:t xml:space="preserve"> الجُعالة مِن قِبل الثاني أو الإجارة التي لا تكون منافيةً للإجارة الأُولى</w:t>
      </w:r>
      <w:r w:rsidRPr="00B86E26">
        <w:rPr>
          <w:sz w:val="32"/>
          <w:szCs w:val="32"/>
        </w:rPr>
        <w:t>.</w:t>
      </w:r>
    </w:p>
    <w:p w14:paraId="6D041F80" w14:textId="77777777" w:rsidR="00B86E26" w:rsidRPr="00B86E26" w:rsidRDefault="00B86E26" w:rsidP="00122B70">
      <w:pPr>
        <w:bidi/>
        <w:rPr>
          <w:sz w:val="32"/>
          <w:szCs w:val="32"/>
          <w:rtl/>
        </w:rPr>
      </w:pPr>
      <w:r w:rsidRPr="00B86E26">
        <w:rPr>
          <w:sz w:val="32"/>
          <w:szCs w:val="32"/>
          <w:rtl/>
        </w:rPr>
        <w:lastRenderedPageBreak/>
        <w:t xml:space="preserve">فمقتضى قيام سببين اعتباريين للملكية هو استحقاقه للأُجرتين، وليس منشأ الضمان على الأوّل هو التفويت كي يقال: بأنّه حيثُ استحقّ قيمة المنفعة الأُخرى فلَمْ يفت عليه إلّا مقدار التفاوت، وإلّا لكان لازم هذا القول هو عدم ضمان المُستأجر الأوّل له شيئاً حتى فرض عدم </w:t>
      </w:r>
      <w:proofErr w:type="spellStart"/>
      <w:r w:rsidRPr="00B86E26">
        <w:rPr>
          <w:sz w:val="32"/>
          <w:szCs w:val="32"/>
          <w:rtl/>
        </w:rPr>
        <w:t>التسانخ</w:t>
      </w:r>
      <w:proofErr w:type="spellEnd"/>
      <w:r w:rsidRPr="00B86E26">
        <w:rPr>
          <w:sz w:val="32"/>
          <w:szCs w:val="32"/>
          <w:rtl/>
        </w:rPr>
        <w:t xml:space="preserve"> بين العملين، إذا كان المضمون مِن قِبل الثاني هو الأغلى، بل سبب الاستحقاق وجودُ سببين اعتباريين للاستحقاق</w:t>
      </w:r>
      <w:r w:rsidRPr="00B86E26">
        <w:rPr>
          <w:sz w:val="32"/>
          <w:szCs w:val="32"/>
        </w:rPr>
        <w:t>.</w:t>
      </w:r>
    </w:p>
    <w:p w14:paraId="52396C9B" w14:textId="77777777" w:rsidR="00B86E26" w:rsidRPr="00B86E26" w:rsidRDefault="00B86E26" w:rsidP="00122B70">
      <w:pPr>
        <w:bidi/>
        <w:rPr>
          <w:sz w:val="32"/>
          <w:szCs w:val="32"/>
          <w:rtl/>
        </w:rPr>
      </w:pPr>
      <w:r w:rsidRPr="00B86E26">
        <w:rPr>
          <w:sz w:val="32"/>
          <w:szCs w:val="32"/>
          <w:rtl/>
        </w:rPr>
        <w:t>وأما عدمُ المانع فلما سيأتي في المسألة (6) مِن أنّ مجرّد قصور القدرة عن الجمع ليس مانعاً عقلائياً مِن الملكية للعملين حتى بنظر المشهور، بل الموافق للمرتكزات هو التفصيل في كلتا المسألتين بين كون العملين مِن سنخٍ واحدٍ أم مِن سنخين.</w:t>
      </w:r>
    </w:p>
    <w:p w14:paraId="000860F0" w14:textId="77777777" w:rsidR="00B86E26" w:rsidRPr="00B86E26" w:rsidRDefault="00B86E26" w:rsidP="00122B70">
      <w:pPr>
        <w:bidi/>
        <w:rPr>
          <w:sz w:val="32"/>
          <w:szCs w:val="32"/>
          <w:rtl/>
        </w:rPr>
      </w:pPr>
      <w:r w:rsidRPr="00B86E26">
        <w:rPr>
          <w:sz w:val="32"/>
          <w:szCs w:val="32"/>
          <w:rtl/>
        </w:rPr>
        <w:t>ومقتضى الثاني استحقاق الأُجرتين دون الأوّل.</w:t>
      </w:r>
    </w:p>
    <w:p w14:paraId="5C7B7682" w14:textId="77777777" w:rsidR="00B86E26" w:rsidRPr="00B86E26" w:rsidRDefault="00B86E26" w:rsidP="00122B70">
      <w:pPr>
        <w:bidi/>
        <w:rPr>
          <w:b/>
          <w:bCs/>
          <w:sz w:val="32"/>
          <w:szCs w:val="32"/>
          <w:rtl/>
        </w:rPr>
      </w:pPr>
      <w:r w:rsidRPr="00B86E26">
        <w:rPr>
          <w:b/>
          <w:bCs/>
          <w:sz w:val="32"/>
          <w:szCs w:val="32"/>
          <w:rtl/>
        </w:rPr>
        <w:t>وبيانُهُ:</w:t>
      </w:r>
      <w:r w:rsidRPr="00B86E26">
        <w:rPr>
          <w:sz w:val="32"/>
          <w:szCs w:val="32"/>
          <w:rtl/>
        </w:rPr>
        <w:t xml:space="preserve"> </w:t>
      </w:r>
      <w:r w:rsidRPr="00B86E26">
        <w:rPr>
          <w:b/>
          <w:bCs/>
          <w:sz w:val="32"/>
          <w:szCs w:val="32"/>
          <w:rtl/>
        </w:rPr>
        <w:t>أنّ في المقام صورتين:</w:t>
      </w:r>
    </w:p>
    <w:p w14:paraId="077E3039" w14:textId="77777777" w:rsidR="00B86E26" w:rsidRPr="00B86E26" w:rsidRDefault="00B86E26" w:rsidP="00122B70">
      <w:pPr>
        <w:bidi/>
        <w:rPr>
          <w:sz w:val="32"/>
          <w:szCs w:val="32"/>
          <w:rtl/>
        </w:rPr>
      </w:pPr>
      <w:r w:rsidRPr="00B86E26">
        <w:rPr>
          <w:b/>
          <w:bCs/>
          <w:sz w:val="32"/>
          <w:szCs w:val="32"/>
          <w:rtl/>
        </w:rPr>
        <w:t>الصورةُ الأُولى:</w:t>
      </w:r>
      <w:r w:rsidRPr="00B86E26">
        <w:rPr>
          <w:sz w:val="32"/>
          <w:szCs w:val="32"/>
          <w:rtl/>
        </w:rPr>
        <w:t xml:space="preserve"> أنْ يكون المستوفي للمنفعة الثانية نفسُ مالك الأُولى كما إذا استأجره للخياطة فاستعمله في الكتابة أو استأجر سيارته للركوب فاستخدمها في حمل المتاع، فإنّ كون المستوفي للمنفعة الثانية هو نفس المستأجر قرينة - بحسب النظر العقلائي - على أنّه أراد تطبيق المنفعة المملوكة له على المنفعة الثانية المستوفاة، فإنْ قَبِل بذلك المُؤجّر فهو كاشفٌ عن كون المملوك بالإجارة هو الطاقة المشتركة بينهما، أي: أنّ الأجير عندما ملّكَ المُستأجر الخياطة على ذمّته في هذه الساعة فهو قد قام بتمليكه الطاقة الصالحة للاستثمار والاستيفاء في الخياطة أو غيرها مما للمُستأجر الصلاحية في استيفائه منها؛ وحيثُ إنّه طبق هذه الطاقة المشتركة على عملٍ أو منفعة أخرى فيضمنُ لهُ أغلى الأُجرتين بين الخياطة والكتابة، وكذلك في استئجار السيارة للركوب أو حمل الأمتعة.</w:t>
      </w:r>
    </w:p>
    <w:p w14:paraId="0F0CB767" w14:textId="77777777" w:rsidR="00B86E26" w:rsidRPr="00B86E26" w:rsidRDefault="00B86E26" w:rsidP="00122B70">
      <w:pPr>
        <w:bidi/>
        <w:rPr>
          <w:sz w:val="32"/>
          <w:szCs w:val="32"/>
          <w:rtl/>
        </w:rPr>
      </w:pPr>
      <w:r w:rsidRPr="00B86E26">
        <w:rPr>
          <w:b/>
          <w:bCs/>
          <w:sz w:val="32"/>
          <w:szCs w:val="32"/>
          <w:rtl/>
        </w:rPr>
        <w:t>فإنّ المنظور العقلائي فيه:</w:t>
      </w:r>
      <w:r w:rsidRPr="00B86E26">
        <w:rPr>
          <w:sz w:val="32"/>
          <w:szCs w:val="32"/>
          <w:rtl/>
        </w:rPr>
        <w:t xml:space="preserve"> أنّ المملوك الحيثية الاستعدادية في السيارة للثقل مِن دون موضوعيةٍ لخصوصية المنفعة الأُولى، ولذلك يكون المضمونُ أغلى الأُجرتين</w:t>
      </w:r>
      <w:r w:rsidRPr="00B86E26">
        <w:rPr>
          <w:sz w:val="32"/>
          <w:szCs w:val="32"/>
        </w:rPr>
        <w:t>.</w:t>
      </w:r>
    </w:p>
    <w:p w14:paraId="75E4A2D6" w14:textId="77777777" w:rsidR="00B86E26" w:rsidRPr="00B86E26" w:rsidRDefault="00B86E26" w:rsidP="00122B70">
      <w:pPr>
        <w:bidi/>
        <w:rPr>
          <w:sz w:val="32"/>
          <w:szCs w:val="32"/>
          <w:rtl/>
        </w:rPr>
      </w:pPr>
      <w:r w:rsidRPr="00B86E26">
        <w:rPr>
          <w:b/>
          <w:bCs/>
          <w:sz w:val="32"/>
          <w:szCs w:val="32"/>
          <w:rtl/>
        </w:rPr>
        <w:t>الصورةُ الثانية:</w:t>
      </w:r>
      <w:r w:rsidRPr="00B86E26">
        <w:rPr>
          <w:sz w:val="32"/>
          <w:szCs w:val="32"/>
          <w:rtl/>
        </w:rPr>
        <w:t xml:space="preserve"> أنْ يكون المستوفي للمنفعة الأُخرى شخصاً آخرَ بالجُعالة أو الإجارة التي لا تنافي تمكن الأجير مِن الوفاء بالإجارة الأولى، - وهو مفروض المسألة المبحوث عنها هنا - وفي ذلك تفصيل بين فرضين:</w:t>
      </w:r>
    </w:p>
    <w:p w14:paraId="5F47E353" w14:textId="77777777" w:rsidR="00B86E26" w:rsidRPr="00B86E26" w:rsidRDefault="00B86E26" w:rsidP="00122B70">
      <w:pPr>
        <w:bidi/>
        <w:rPr>
          <w:sz w:val="32"/>
          <w:szCs w:val="32"/>
          <w:rtl/>
        </w:rPr>
      </w:pPr>
      <w:r w:rsidRPr="00B86E26">
        <w:rPr>
          <w:b/>
          <w:bCs/>
          <w:sz w:val="32"/>
          <w:szCs w:val="32"/>
          <w:rtl/>
        </w:rPr>
        <w:t>أحدهما:</w:t>
      </w:r>
      <w:r w:rsidRPr="00B86E26">
        <w:rPr>
          <w:sz w:val="32"/>
          <w:szCs w:val="32"/>
          <w:rtl/>
        </w:rPr>
        <w:t xml:space="preserve"> أنْ يكون العمل للشخص الآخر بإجارةٍ أو جُعالةٍ مِن سنخ العمل الأوّل بالنظر العرفي، كما لو استأجره الأوّل لرسم لوحة للحرم الشريف أو إصلاح الطريق له، وكان متعلّق المعاملة مع الشخص الآخر نفس العمل مع نقيصة أو زيادة على الأوّل، فإنّه لا يرى بحسب </w:t>
      </w:r>
      <w:r w:rsidRPr="00B86E26">
        <w:rPr>
          <w:sz w:val="32"/>
          <w:szCs w:val="32"/>
          <w:rtl/>
        </w:rPr>
        <w:lastRenderedPageBreak/>
        <w:t>المرتكزات مستحقّاً لأُجرتين بإزاء عملٍ واحدٍ أو منفعةٍ واحدةٍ، وإنّما يضمن الأول مقدار التفاوت إنْ كان هناك مزية للأوّل على الثاني، أو كانت المعاملة الثانية الجُعالة على الإتيان بالعمل لصالح الأوّل، فإنّ الجعل مضمون له.</w:t>
      </w:r>
    </w:p>
    <w:p w14:paraId="63E8E375" w14:textId="77777777" w:rsidR="00B86E26" w:rsidRPr="00B86E26" w:rsidRDefault="00B86E26" w:rsidP="00122B70">
      <w:pPr>
        <w:bidi/>
        <w:rPr>
          <w:sz w:val="32"/>
          <w:szCs w:val="32"/>
          <w:rtl/>
        </w:rPr>
      </w:pPr>
      <w:r w:rsidRPr="00B86E26">
        <w:rPr>
          <w:b/>
          <w:bCs/>
          <w:sz w:val="32"/>
          <w:szCs w:val="32"/>
          <w:rtl/>
        </w:rPr>
        <w:t xml:space="preserve">والآخر: </w:t>
      </w:r>
      <w:r w:rsidRPr="00B86E26">
        <w:rPr>
          <w:sz w:val="32"/>
          <w:szCs w:val="32"/>
          <w:rtl/>
        </w:rPr>
        <w:t>إنْ كان العملان مِن سنخين وطاقتين بالنظر العرفي، فإنّه لا موجب لاندكاك المنفعة الثانية في الأُولى ونزع الموضوعية عنها؛ فمقتضى تعدد سبب الملك تعدد المال المستحقّ</w:t>
      </w:r>
      <w:r w:rsidRPr="00B86E26">
        <w:rPr>
          <w:sz w:val="32"/>
          <w:szCs w:val="32"/>
        </w:rPr>
        <w:t>.</w:t>
      </w:r>
    </w:p>
    <w:p w14:paraId="786AE674" w14:textId="77777777" w:rsidR="00B86E26" w:rsidRPr="00B86E26" w:rsidRDefault="00B86E26" w:rsidP="00122B70">
      <w:pPr>
        <w:bidi/>
        <w:rPr>
          <w:sz w:val="32"/>
          <w:szCs w:val="32"/>
          <w:rtl/>
        </w:rPr>
      </w:pPr>
      <w:r w:rsidRPr="00B86E26">
        <w:rPr>
          <w:sz w:val="32"/>
          <w:szCs w:val="32"/>
          <w:rtl/>
        </w:rPr>
        <w:t>والتضادُ بين العملين ولو لقصور القدرة عن الجمع بينهما ليس بنفسه مانعاً مِن الاستحقاق بحسب المرتكزات.</w:t>
      </w:r>
    </w:p>
    <w:p w14:paraId="3817E002" w14:textId="77777777" w:rsidR="00B86E26" w:rsidRPr="00B86E26" w:rsidRDefault="00B86E26" w:rsidP="00122B70">
      <w:pPr>
        <w:bidi/>
        <w:rPr>
          <w:sz w:val="32"/>
          <w:szCs w:val="32"/>
          <w:rtl/>
        </w:rPr>
      </w:pPr>
      <w:r w:rsidRPr="00B86E26">
        <w:rPr>
          <w:b/>
          <w:bCs/>
          <w:sz w:val="32"/>
          <w:szCs w:val="32"/>
          <w:rtl/>
        </w:rPr>
        <w:t>والنتيجة:</w:t>
      </w:r>
      <w:r w:rsidRPr="00B86E26">
        <w:rPr>
          <w:sz w:val="32"/>
          <w:szCs w:val="32"/>
          <w:rtl/>
        </w:rPr>
        <w:t xml:space="preserve"> أنّه لا وجه لقياس مسألتنا على ما ذكر في تلك المسألة (6) بل المتعين هو التفصيل في كلتا المسألتين.</w:t>
      </w:r>
    </w:p>
    <w:p w14:paraId="06F98DEA" w14:textId="77777777" w:rsidR="00B86E26" w:rsidRPr="00B86E26" w:rsidRDefault="00B86E26" w:rsidP="00122B70">
      <w:pPr>
        <w:bidi/>
        <w:rPr>
          <w:b/>
          <w:bCs/>
          <w:sz w:val="32"/>
          <w:szCs w:val="32"/>
          <w:rtl/>
        </w:rPr>
      </w:pPr>
    </w:p>
    <w:p w14:paraId="2EC5EDAD" w14:textId="77777777" w:rsidR="00B86E26" w:rsidRPr="00B86E26" w:rsidRDefault="00B86E26" w:rsidP="00122B70">
      <w:pPr>
        <w:bidi/>
        <w:rPr>
          <w:b/>
          <w:bCs/>
          <w:sz w:val="32"/>
          <w:szCs w:val="32"/>
          <w:rtl/>
        </w:rPr>
      </w:pPr>
      <w:r w:rsidRPr="00B86E26">
        <w:rPr>
          <w:b/>
          <w:bCs/>
          <w:sz w:val="32"/>
          <w:szCs w:val="32"/>
          <w:rtl/>
        </w:rPr>
        <w:t>والحمد لله رب العالمين</w:t>
      </w:r>
    </w:p>
    <w:p w14:paraId="0433B7EE" w14:textId="77777777" w:rsidR="00B86E26" w:rsidRPr="00F27422" w:rsidRDefault="00B86E26" w:rsidP="00122B70">
      <w:pPr>
        <w:bidi/>
        <w:rPr>
          <w:sz w:val="32"/>
          <w:szCs w:val="32"/>
          <w:rtl/>
        </w:rPr>
      </w:pPr>
    </w:p>
    <w:p w14:paraId="6FB0E2EB" w14:textId="7FCFE45A" w:rsidR="00BD568E" w:rsidRPr="00F27422" w:rsidRDefault="00BD568E" w:rsidP="00122B70">
      <w:pPr>
        <w:pStyle w:val="Heading3"/>
        <w:bidi/>
        <w:rPr>
          <w:sz w:val="32"/>
          <w:szCs w:val="32"/>
          <w:rtl/>
        </w:rPr>
      </w:pPr>
      <w:r w:rsidRPr="00F27422">
        <w:rPr>
          <w:rFonts w:hint="cs"/>
          <w:sz w:val="32"/>
          <w:szCs w:val="32"/>
          <w:rtl/>
        </w:rPr>
        <w:t>098</w:t>
      </w:r>
    </w:p>
    <w:p w14:paraId="432BDD94" w14:textId="77777777" w:rsidR="00D077A0" w:rsidRPr="00D077A0" w:rsidRDefault="00D077A0" w:rsidP="00122B70">
      <w:pPr>
        <w:bidi/>
        <w:rPr>
          <w:b/>
          <w:bCs/>
          <w:sz w:val="32"/>
          <w:szCs w:val="32"/>
        </w:rPr>
      </w:pPr>
      <w:r w:rsidRPr="00D077A0">
        <w:rPr>
          <w:b/>
          <w:bCs/>
          <w:sz w:val="32"/>
          <w:szCs w:val="32"/>
          <w:rtl/>
        </w:rPr>
        <w:t>بسم الله الرحمن الرحيم</w:t>
      </w:r>
    </w:p>
    <w:p w14:paraId="04E05F4B" w14:textId="77777777" w:rsidR="00D077A0" w:rsidRPr="00D077A0" w:rsidRDefault="00D077A0" w:rsidP="00122B70">
      <w:pPr>
        <w:bidi/>
        <w:rPr>
          <w:b/>
          <w:bCs/>
          <w:sz w:val="32"/>
          <w:szCs w:val="32"/>
          <w:rtl/>
        </w:rPr>
      </w:pPr>
      <w:r w:rsidRPr="00D077A0">
        <w:rPr>
          <w:b/>
          <w:bCs/>
          <w:sz w:val="32"/>
          <w:szCs w:val="32"/>
          <w:rtl/>
        </w:rPr>
        <w:t>والصلاة والسلام على أشرف الأنبياء والمرسلين، محمد وآله الطيبين الطاهرين</w:t>
      </w:r>
    </w:p>
    <w:p w14:paraId="2EB482A2" w14:textId="77777777" w:rsidR="00D077A0" w:rsidRPr="00D077A0" w:rsidRDefault="00D077A0" w:rsidP="00122B70">
      <w:pPr>
        <w:bidi/>
        <w:rPr>
          <w:sz w:val="32"/>
          <w:szCs w:val="32"/>
          <w:rtl/>
        </w:rPr>
      </w:pPr>
      <w:r w:rsidRPr="00D077A0">
        <w:rPr>
          <w:b/>
          <w:bCs/>
          <w:sz w:val="32"/>
          <w:szCs w:val="32"/>
          <w:rtl/>
        </w:rPr>
        <w:t>واللعن الدائم على أعدائهم أجمعين إلى قيام يوم الدين</w:t>
      </w:r>
    </w:p>
    <w:p w14:paraId="5E045824" w14:textId="77777777" w:rsidR="00D077A0" w:rsidRPr="00D077A0" w:rsidRDefault="00D077A0" w:rsidP="00122B70">
      <w:pPr>
        <w:bidi/>
        <w:rPr>
          <w:sz w:val="32"/>
          <w:szCs w:val="32"/>
          <w:rtl/>
        </w:rPr>
      </w:pPr>
    </w:p>
    <w:p w14:paraId="67B64E5E" w14:textId="77777777" w:rsidR="00D077A0" w:rsidRPr="00D077A0" w:rsidRDefault="00D077A0" w:rsidP="00122B70">
      <w:pPr>
        <w:bidi/>
        <w:rPr>
          <w:b/>
          <w:bCs/>
          <w:sz w:val="32"/>
          <w:szCs w:val="32"/>
          <w:rtl/>
        </w:rPr>
      </w:pPr>
      <w:r w:rsidRPr="00D077A0">
        <w:rPr>
          <w:b/>
          <w:bCs/>
          <w:sz w:val="32"/>
          <w:szCs w:val="32"/>
          <w:rtl/>
        </w:rPr>
        <w:t>المسألة الثالثة "من فصل أحكام العوضين".</w:t>
      </w:r>
    </w:p>
    <w:p w14:paraId="57E95E90" w14:textId="77777777" w:rsidR="00D077A0" w:rsidRPr="00D077A0" w:rsidRDefault="00D077A0" w:rsidP="00122B70">
      <w:pPr>
        <w:bidi/>
        <w:rPr>
          <w:b/>
          <w:bCs/>
          <w:sz w:val="32"/>
          <w:szCs w:val="32"/>
          <w:rtl/>
        </w:rPr>
      </w:pPr>
      <w:r w:rsidRPr="00D077A0">
        <w:rPr>
          <w:sz w:val="32"/>
          <w:szCs w:val="32"/>
          <w:rtl/>
        </w:rPr>
        <w:t xml:space="preserve">قال سيد العروة (قدس سره الشريف): </w:t>
      </w:r>
      <w:r w:rsidRPr="00D077A0">
        <w:rPr>
          <w:b/>
          <w:bCs/>
          <w:sz w:val="32"/>
          <w:szCs w:val="32"/>
          <w:rtl/>
        </w:rPr>
        <w:t>(مسألة 3: إذا استأجره لقلع ضرسه ومضت المدّة التي يمكن إيقاع ذلك فيها وكان المؤجّر باذلاً نفسه استقرّت الاُجرة، سواء أكان المؤجّر حراً أو عبداً بإذن مولاه</w:t>
      </w:r>
      <w:r w:rsidRPr="00D077A0">
        <w:rPr>
          <w:b/>
          <w:bCs/>
          <w:sz w:val="32"/>
          <w:szCs w:val="32"/>
        </w:rPr>
        <w:t>.</w:t>
      </w:r>
    </w:p>
    <w:p w14:paraId="2EDDA22A" w14:textId="77777777" w:rsidR="00D077A0" w:rsidRPr="00D077A0" w:rsidRDefault="00D077A0" w:rsidP="00122B70">
      <w:pPr>
        <w:bidi/>
        <w:rPr>
          <w:b/>
          <w:bCs/>
          <w:sz w:val="32"/>
          <w:szCs w:val="32"/>
          <w:rtl/>
        </w:rPr>
      </w:pPr>
      <w:r w:rsidRPr="00D077A0">
        <w:rPr>
          <w:b/>
          <w:bCs/>
          <w:sz w:val="32"/>
          <w:szCs w:val="32"/>
          <w:rtl/>
        </w:rPr>
        <w:t xml:space="preserve">واحتمال الفرق بينهما بالاستقرار في الثاني دون الأوّل لأنّ منافع الحرّ لا تضمن إلّا بالاستيفاء، لا وجه له، لأنّ منافعه بعد العقد عليها صارت مالاً للمستحقّ، فإذا بذلها ولم يقبل كان تلفها منه، مع أنّا لا نسلّم أنّ منافعه لا تضمن إلّا بالاستيفاء، بل تضمن بالتفويت أيضاً </w:t>
      </w:r>
      <w:r w:rsidRPr="00D077A0">
        <w:rPr>
          <w:b/>
          <w:bCs/>
          <w:sz w:val="32"/>
          <w:szCs w:val="32"/>
          <w:rtl/>
        </w:rPr>
        <w:lastRenderedPageBreak/>
        <w:t>إذا صدق ذلك، كما إذا حبسه وكان كسوباً فإنّه يصدق في العرف أنّه فوّت عليه كذا مقدارا. هذا، ولو استأجره لقلع ضرسه فزال الألم بعد العقد لم تثبت الاُجرة، لانفساخ الإجارة حينئذٍ).</w:t>
      </w:r>
    </w:p>
    <w:p w14:paraId="07A2F5A9" w14:textId="77777777" w:rsidR="00D077A0" w:rsidRPr="00D077A0" w:rsidRDefault="00D077A0" w:rsidP="00122B70">
      <w:pPr>
        <w:bidi/>
        <w:rPr>
          <w:b/>
          <w:bCs/>
          <w:sz w:val="32"/>
          <w:szCs w:val="32"/>
          <w:rtl/>
        </w:rPr>
      </w:pPr>
      <w:r w:rsidRPr="00D077A0">
        <w:rPr>
          <w:b/>
          <w:bCs/>
          <w:sz w:val="32"/>
          <w:szCs w:val="32"/>
          <w:rtl/>
        </w:rPr>
        <w:t>شرحُ العبارة</w:t>
      </w:r>
      <w:r w:rsidRPr="00D077A0">
        <w:rPr>
          <w:b/>
          <w:bCs/>
          <w:sz w:val="32"/>
          <w:szCs w:val="32"/>
        </w:rPr>
        <w:t>:</w:t>
      </w:r>
    </w:p>
    <w:p w14:paraId="11B7040D" w14:textId="77777777" w:rsidR="00D077A0" w:rsidRPr="00D077A0" w:rsidRDefault="00D077A0" w:rsidP="00122B70">
      <w:pPr>
        <w:bidi/>
        <w:rPr>
          <w:sz w:val="32"/>
          <w:szCs w:val="32"/>
          <w:rtl/>
        </w:rPr>
      </w:pPr>
      <w:r w:rsidRPr="00D077A0">
        <w:rPr>
          <w:sz w:val="32"/>
          <w:szCs w:val="32"/>
          <w:rtl/>
        </w:rPr>
        <w:t xml:space="preserve">قوله (قدس سره): </w:t>
      </w:r>
      <w:r w:rsidRPr="00D077A0">
        <w:rPr>
          <w:b/>
          <w:bCs/>
          <w:sz w:val="32"/>
          <w:szCs w:val="32"/>
          <w:rtl/>
        </w:rPr>
        <w:t>(واحتمال الفرق بينهما)</w:t>
      </w:r>
      <w:r w:rsidRPr="00D077A0">
        <w:rPr>
          <w:sz w:val="32"/>
          <w:szCs w:val="32"/>
          <w:rtl/>
        </w:rPr>
        <w:t xml:space="preserve"> أي: بين الحرّ والعبد</w:t>
      </w:r>
      <w:r w:rsidRPr="00D077A0">
        <w:rPr>
          <w:sz w:val="32"/>
          <w:szCs w:val="32"/>
        </w:rPr>
        <w:t>.</w:t>
      </w:r>
    </w:p>
    <w:p w14:paraId="35232E48" w14:textId="77777777" w:rsidR="00D077A0" w:rsidRPr="00D077A0" w:rsidRDefault="00D077A0" w:rsidP="00122B70">
      <w:pPr>
        <w:bidi/>
        <w:rPr>
          <w:sz w:val="32"/>
          <w:szCs w:val="32"/>
          <w:rtl/>
        </w:rPr>
      </w:pPr>
      <w:r w:rsidRPr="00D077A0">
        <w:rPr>
          <w:b/>
          <w:bCs/>
          <w:sz w:val="32"/>
          <w:szCs w:val="32"/>
          <w:rtl/>
        </w:rPr>
        <w:t>(بالاستقرار في الثاني)</w:t>
      </w:r>
      <w:r w:rsidRPr="00D077A0">
        <w:rPr>
          <w:sz w:val="32"/>
          <w:szCs w:val="32"/>
          <w:rtl/>
        </w:rPr>
        <w:t xml:space="preserve"> أي: العبد</w:t>
      </w:r>
      <w:r w:rsidRPr="00D077A0">
        <w:rPr>
          <w:sz w:val="32"/>
          <w:szCs w:val="32"/>
        </w:rPr>
        <w:t>.</w:t>
      </w:r>
    </w:p>
    <w:p w14:paraId="21B3458B" w14:textId="77777777" w:rsidR="00D077A0" w:rsidRPr="00D077A0" w:rsidRDefault="00D077A0" w:rsidP="00122B70">
      <w:pPr>
        <w:bidi/>
        <w:rPr>
          <w:sz w:val="32"/>
          <w:szCs w:val="32"/>
          <w:rtl/>
        </w:rPr>
      </w:pPr>
      <w:r w:rsidRPr="00D077A0">
        <w:rPr>
          <w:b/>
          <w:bCs/>
          <w:sz w:val="32"/>
          <w:szCs w:val="32"/>
          <w:rtl/>
        </w:rPr>
        <w:t xml:space="preserve">(دون الأوّل) </w:t>
      </w:r>
      <w:r w:rsidRPr="00D077A0">
        <w:rPr>
          <w:sz w:val="32"/>
          <w:szCs w:val="32"/>
          <w:rtl/>
        </w:rPr>
        <w:t>أي: الحرّ</w:t>
      </w:r>
      <w:r w:rsidRPr="00D077A0">
        <w:rPr>
          <w:sz w:val="32"/>
          <w:szCs w:val="32"/>
        </w:rPr>
        <w:t>.</w:t>
      </w:r>
    </w:p>
    <w:p w14:paraId="757FA09D" w14:textId="77777777" w:rsidR="00D077A0" w:rsidRPr="00D077A0" w:rsidRDefault="00D077A0" w:rsidP="00122B70">
      <w:pPr>
        <w:bidi/>
        <w:rPr>
          <w:sz w:val="32"/>
          <w:szCs w:val="32"/>
          <w:rtl/>
        </w:rPr>
      </w:pPr>
      <w:r w:rsidRPr="00D077A0">
        <w:rPr>
          <w:b/>
          <w:bCs/>
          <w:sz w:val="32"/>
          <w:szCs w:val="32"/>
          <w:rtl/>
        </w:rPr>
        <w:t>(لا وجه له)</w:t>
      </w:r>
      <w:r w:rsidRPr="00D077A0">
        <w:rPr>
          <w:sz w:val="32"/>
          <w:szCs w:val="32"/>
          <w:rtl/>
        </w:rPr>
        <w:t xml:space="preserve"> أي: احتمال الفرق</w:t>
      </w:r>
      <w:r w:rsidRPr="00D077A0">
        <w:rPr>
          <w:sz w:val="32"/>
          <w:szCs w:val="32"/>
        </w:rPr>
        <w:t>.</w:t>
      </w:r>
    </w:p>
    <w:p w14:paraId="3C418CF0" w14:textId="77777777" w:rsidR="00D077A0" w:rsidRPr="00D077A0" w:rsidRDefault="00D077A0" w:rsidP="00122B70">
      <w:pPr>
        <w:bidi/>
        <w:rPr>
          <w:sz w:val="32"/>
          <w:szCs w:val="32"/>
          <w:rtl/>
        </w:rPr>
      </w:pPr>
      <w:r w:rsidRPr="00D077A0">
        <w:rPr>
          <w:sz w:val="32"/>
          <w:szCs w:val="32"/>
          <w:rtl/>
        </w:rPr>
        <w:t xml:space="preserve">وقوله: </w:t>
      </w:r>
      <w:r w:rsidRPr="00D077A0">
        <w:rPr>
          <w:b/>
          <w:bCs/>
          <w:sz w:val="32"/>
          <w:szCs w:val="32"/>
          <w:rtl/>
        </w:rPr>
        <w:t>(لأنّ منافعه بعد العقد)</w:t>
      </w:r>
      <w:r w:rsidRPr="00D077A0">
        <w:rPr>
          <w:sz w:val="32"/>
          <w:szCs w:val="32"/>
          <w:rtl/>
        </w:rPr>
        <w:t xml:space="preserve"> أي: عقد الإجارة</w:t>
      </w:r>
      <w:r w:rsidRPr="00D077A0">
        <w:rPr>
          <w:sz w:val="32"/>
          <w:szCs w:val="32"/>
        </w:rPr>
        <w:t>.</w:t>
      </w:r>
    </w:p>
    <w:p w14:paraId="39C8AE3A" w14:textId="77777777" w:rsidR="00D077A0" w:rsidRPr="00D077A0" w:rsidRDefault="00D077A0" w:rsidP="00122B70">
      <w:pPr>
        <w:bidi/>
        <w:rPr>
          <w:sz w:val="32"/>
          <w:szCs w:val="32"/>
          <w:rtl/>
        </w:rPr>
      </w:pPr>
      <w:r w:rsidRPr="00D077A0">
        <w:rPr>
          <w:sz w:val="32"/>
          <w:szCs w:val="32"/>
          <w:rtl/>
        </w:rPr>
        <w:t xml:space="preserve">وقوله: </w:t>
      </w:r>
      <w:r w:rsidRPr="00D077A0">
        <w:rPr>
          <w:b/>
          <w:bCs/>
          <w:sz w:val="32"/>
          <w:szCs w:val="32"/>
          <w:rtl/>
        </w:rPr>
        <w:t>(فإذا بذلها)</w:t>
      </w:r>
      <w:r w:rsidRPr="00D077A0">
        <w:rPr>
          <w:sz w:val="32"/>
          <w:szCs w:val="32"/>
          <w:rtl/>
        </w:rPr>
        <w:t xml:space="preserve"> أي: أنّ الحرّ هو الباذل بأنْ كان مستعداً</w:t>
      </w:r>
      <w:r w:rsidRPr="00D077A0">
        <w:rPr>
          <w:sz w:val="32"/>
          <w:szCs w:val="32"/>
        </w:rPr>
        <w:t>.</w:t>
      </w:r>
    </w:p>
    <w:p w14:paraId="62D0B525" w14:textId="77777777" w:rsidR="00D077A0" w:rsidRPr="00D077A0" w:rsidRDefault="00D077A0" w:rsidP="00122B70">
      <w:pPr>
        <w:bidi/>
        <w:rPr>
          <w:sz w:val="32"/>
          <w:szCs w:val="32"/>
          <w:rtl/>
        </w:rPr>
      </w:pPr>
      <w:r w:rsidRPr="00D077A0">
        <w:rPr>
          <w:sz w:val="32"/>
          <w:szCs w:val="32"/>
          <w:rtl/>
        </w:rPr>
        <w:t xml:space="preserve">وقوله: </w:t>
      </w:r>
      <w:r w:rsidRPr="00D077A0">
        <w:rPr>
          <w:b/>
          <w:bCs/>
          <w:sz w:val="32"/>
          <w:szCs w:val="32"/>
          <w:rtl/>
        </w:rPr>
        <w:t>(ولم يقبل كان تلفها منه)</w:t>
      </w:r>
      <w:r w:rsidRPr="00D077A0">
        <w:rPr>
          <w:sz w:val="32"/>
          <w:szCs w:val="32"/>
          <w:rtl/>
        </w:rPr>
        <w:t xml:space="preserve"> أي: مِن المُستأجر</w:t>
      </w:r>
      <w:r w:rsidRPr="00D077A0">
        <w:rPr>
          <w:sz w:val="32"/>
          <w:szCs w:val="32"/>
        </w:rPr>
        <w:t>.</w:t>
      </w:r>
    </w:p>
    <w:p w14:paraId="7BC2309E" w14:textId="77777777" w:rsidR="00D077A0" w:rsidRPr="00D077A0" w:rsidRDefault="00D077A0" w:rsidP="00122B70">
      <w:pPr>
        <w:bidi/>
        <w:rPr>
          <w:sz w:val="32"/>
          <w:szCs w:val="32"/>
          <w:rtl/>
        </w:rPr>
      </w:pPr>
      <w:r w:rsidRPr="00D077A0">
        <w:rPr>
          <w:sz w:val="32"/>
          <w:szCs w:val="32"/>
          <w:rtl/>
        </w:rPr>
        <w:t xml:space="preserve">وقوله: </w:t>
      </w:r>
      <w:r w:rsidRPr="00D077A0">
        <w:rPr>
          <w:b/>
          <w:bCs/>
          <w:sz w:val="32"/>
          <w:szCs w:val="32"/>
          <w:rtl/>
        </w:rPr>
        <w:t>(مع أنّا لا نسلّم أنّ منافعه لا تضمن إلّا بالاستيفاء)</w:t>
      </w:r>
      <w:r w:rsidRPr="00D077A0">
        <w:rPr>
          <w:sz w:val="32"/>
          <w:szCs w:val="32"/>
          <w:rtl/>
        </w:rPr>
        <w:t xml:space="preserve"> أي: أنّ القول بأنّ منافع الحرّ لا تضمن إلّا بالاستيفاء مما لا نسلّم به</w:t>
      </w:r>
      <w:r w:rsidRPr="00D077A0">
        <w:rPr>
          <w:sz w:val="32"/>
          <w:szCs w:val="32"/>
        </w:rPr>
        <w:t>.</w:t>
      </w:r>
    </w:p>
    <w:p w14:paraId="63D017FB" w14:textId="77777777" w:rsidR="00D077A0" w:rsidRPr="00D077A0" w:rsidRDefault="00D077A0" w:rsidP="00122B70">
      <w:pPr>
        <w:bidi/>
        <w:rPr>
          <w:sz w:val="32"/>
          <w:szCs w:val="32"/>
          <w:rtl/>
        </w:rPr>
      </w:pPr>
      <w:r w:rsidRPr="00D077A0">
        <w:rPr>
          <w:sz w:val="32"/>
          <w:szCs w:val="32"/>
          <w:rtl/>
        </w:rPr>
        <w:t xml:space="preserve">وقوله: </w:t>
      </w:r>
      <w:r w:rsidRPr="00D077A0">
        <w:rPr>
          <w:b/>
          <w:bCs/>
          <w:sz w:val="32"/>
          <w:szCs w:val="32"/>
          <w:rtl/>
        </w:rPr>
        <w:t xml:space="preserve">(بل تضمن بالتفويت أيضاً إذا صدق ذلك) </w:t>
      </w:r>
      <w:r w:rsidRPr="00D077A0">
        <w:rPr>
          <w:sz w:val="32"/>
          <w:szCs w:val="32"/>
          <w:rtl/>
        </w:rPr>
        <w:t>أي: عنوان التفويت</w:t>
      </w:r>
      <w:r w:rsidRPr="00D077A0">
        <w:rPr>
          <w:sz w:val="32"/>
          <w:szCs w:val="32"/>
        </w:rPr>
        <w:t>.</w:t>
      </w:r>
    </w:p>
    <w:p w14:paraId="4134D851" w14:textId="77777777" w:rsidR="00D077A0" w:rsidRPr="00D077A0" w:rsidRDefault="00D077A0" w:rsidP="00122B70">
      <w:pPr>
        <w:bidi/>
        <w:rPr>
          <w:sz w:val="32"/>
          <w:szCs w:val="32"/>
          <w:rtl/>
        </w:rPr>
      </w:pPr>
      <w:r w:rsidRPr="00D077A0">
        <w:rPr>
          <w:sz w:val="32"/>
          <w:szCs w:val="32"/>
          <w:rtl/>
        </w:rPr>
        <w:t xml:space="preserve">وقوله: </w:t>
      </w:r>
      <w:r w:rsidRPr="00D077A0">
        <w:rPr>
          <w:b/>
          <w:bCs/>
          <w:sz w:val="32"/>
          <w:szCs w:val="32"/>
          <w:rtl/>
        </w:rPr>
        <w:t>(كما إذا حبسه وكان كسوباً فإنّه يصدق في العرف أنّه فوّت عليه كذا مقدارا)</w:t>
      </w:r>
      <w:r w:rsidRPr="00D077A0">
        <w:rPr>
          <w:sz w:val="32"/>
          <w:szCs w:val="32"/>
          <w:rtl/>
        </w:rPr>
        <w:t xml:space="preserve"> أي: مقداراً مِن فرص العمل، فيكون ضامناً له</w:t>
      </w:r>
      <w:r w:rsidRPr="00D077A0">
        <w:rPr>
          <w:sz w:val="32"/>
          <w:szCs w:val="32"/>
        </w:rPr>
        <w:t>.</w:t>
      </w:r>
    </w:p>
    <w:p w14:paraId="235B76FD" w14:textId="77777777" w:rsidR="00D077A0" w:rsidRPr="00D077A0" w:rsidRDefault="00D077A0" w:rsidP="00122B70">
      <w:pPr>
        <w:bidi/>
        <w:rPr>
          <w:b/>
          <w:bCs/>
          <w:sz w:val="32"/>
          <w:szCs w:val="32"/>
          <w:rtl/>
        </w:rPr>
      </w:pPr>
      <w:r w:rsidRPr="00D077A0">
        <w:rPr>
          <w:b/>
          <w:bCs/>
          <w:sz w:val="32"/>
          <w:szCs w:val="32"/>
          <w:rtl/>
        </w:rPr>
        <w:t>والبحثُ في هذه المسألة في جهاتٍ</w:t>
      </w:r>
      <w:r w:rsidRPr="00D077A0">
        <w:rPr>
          <w:b/>
          <w:bCs/>
          <w:sz w:val="32"/>
          <w:szCs w:val="32"/>
        </w:rPr>
        <w:t>:</w:t>
      </w:r>
    </w:p>
    <w:p w14:paraId="06F0A067" w14:textId="77777777" w:rsidR="00D077A0" w:rsidRPr="00D077A0" w:rsidRDefault="00D077A0" w:rsidP="00122B70">
      <w:pPr>
        <w:bidi/>
        <w:rPr>
          <w:sz w:val="32"/>
          <w:szCs w:val="32"/>
          <w:rtl/>
        </w:rPr>
      </w:pPr>
      <w:r w:rsidRPr="00D077A0">
        <w:rPr>
          <w:b/>
          <w:bCs/>
          <w:sz w:val="32"/>
          <w:szCs w:val="32"/>
          <w:rtl/>
        </w:rPr>
        <w:t>الجهةُ الأُولى:</w:t>
      </w:r>
      <w:r w:rsidRPr="00D077A0">
        <w:rPr>
          <w:sz w:val="32"/>
          <w:szCs w:val="32"/>
          <w:rtl/>
        </w:rPr>
        <w:t xml:space="preserve"> إنّ محل البحث في إجارة الأعمال.</w:t>
      </w:r>
    </w:p>
    <w:p w14:paraId="584656C0" w14:textId="77777777" w:rsidR="00D077A0" w:rsidRPr="00D077A0" w:rsidRDefault="00D077A0" w:rsidP="00122B70">
      <w:pPr>
        <w:bidi/>
        <w:rPr>
          <w:sz w:val="32"/>
          <w:szCs w:val="32"/>
          <w:rtl/>
        </w:rPr>
      </w:pPr>
      <w:r w:rsidRPr="00D077A0">
        <w:rPr>
          <w:sz w:val="32"/>
          <w:szCs w:val="32"/>
          <w:rtl/>
        </w:rPr>
        <w:t>وقد استظهر سيدنا الخوئي (قدس سره الشريف) في كتاب الإجارة من موسوعته المباركة</w:t>
      </w:r>
      <w:r w:rsidRPr="00D077A0">
        <w:rPr>
          <w:sz w:val="32"/>
          <w:szCs w:val="32"/>
          <w:vertAlign w:val="superscript"/>
          <w:rtl/>
        </w:rPr>
        <w:footnoteReference w:id="175"/>
      </w:r>
      <w:r w:rsidRPr="00D077A0">
        <w:rPr>
          <w:sz w:val="32"/>
          <w:szCs w:val="32"/>
          <w:rtl/>
        </w:rPr>
        <w:t xml:space="preserve"> مِن عبارة الماتن أنّ منظوره فرض عدم تحديد المدّة، ويعضدُ ما فهمه أنّ الماتن تعرض لفرض تحديد المدّة مِن إجارة الأعمال في المسألة الثانية كما سبق، فمقتضى ذلك أنْ يكون المنظور في هذه المسألة فرض عدم تحديد المدّة، ولذلك ناقشه سيدنا (قدس سره الشريف) بأنّ بين ما ذكره في المسألة الأُولى مِن هذا الفصل مِن عدم استقرار الأُجرة مع عدم تحديد الوقت، </w:t>
      </w:r>
      <w:r w:rsidRPr="00D077A0">
        <w:rPr>
          <w:sz w:val="32"/>
          <w:szCs w:val="32"/>
          <w:rtl/>
        </w:rPr>
        <w:lastRenderedPageBreak/>
        <w:t>وما ذكره في المسألة الثالثة مِن الاستقرار للأُجرة مع مضيّ المدّة التي يمكن فيها إيقاع العمل تهافتا.</w:t>
      </w:r>
    </w:p>
    <w:p w14:paraId="1D7ADA98" w14:textId="77777777" w:rsidR="00D077A0" w:rsidRPr="00D077A0" w:rsidRDefault="00D077A0" w:rsidP="00122B70">
      <w:pPr>
        <w:bidi/>
        <w:rPr>
          <w:sz w:val="32"/>
          <w:szCs w:val="32"/>
          <w:rtl/>
        </w:rPr>
      </w:pPr>
      <w:r w:rsidRPr="00D077A0">
        <w:rPr>
          <w:sz w:val="32"/>
          <w:szCs w:val="32"/>
          <w:rtl/>
        </w:rPr>
        <w:t>بينما استظهر بعض الأجلة (رحمه الله) في كتابه الإجارة</w:t>
      </w:r>
      <w:r w:rsidRPr="00D077A0">
        <w:rPr>
          <w:sz w:val="32"/>
          <w:szCs w:val="32"/>
          <w:vertAlign w:val="superscript"/>
          <w:rtl/>
        </w:rPr>
        <w:footnoteReference w:id="176"/>
      </w:r>
      <w:r w:rsidRPr="00D077A0">
        <w:rPr>
          <w:sz w:val="32"/>
          <w:szCs w:val="32"/>
          <w:rtl/>
        </w:rPr>
        <w:t xml:space="preserve"> مِن عبارة الماتن هنا النظر لفرض تحديد المدّة ولو بقرينة قوله: </w:t>
      </w:r>
      <w:r w:rsidRPr="00D077A0">
        <w:rPr>
          <w:b/>
          <w:bCs/>
          <w:sz w:val="32"/>
          <w:szCs w:val="32"/>
          <w:rtl/>
        </w:rPr>
        <w:t xml:space="preserve">(ومضت المدّة)، </w:t>
      </w:r>
      <w:r w:rsidRPr="00D077A0">
        <w:rPr>
          <w:sz w:val="32"/>
          <w:szCs w:val="32"/>
          <w:rtl/>
        </w:rPr>
        <w:t xml:space="preserve">وأنّ الغرض مِن عرض هذه المسألة - مع أنّه قد مضى حكم الفرض المزبور - هو بيانُ عدم الفرق بين منافع الحرّ والعبد، وعدم الفرق بين الاستيفاء والتفويت مِن حيثُ </w:t>
      </w:r>
      <w:proofErr w:type="gramStart"/>
      <w:r w:rsidRPr="00D077A0">
        <w:rPr>
          <w:sz w:val="32"/>
          <w:szCs w:val="32"/>
          <w:rtl/>
        </w:rPr>
        <w:t>الضمان</w:t>
      </w:r>
      <w:r w:rsidRPr="00D077A0">
        <w:rPr>
          <w:sz w:val="32"/>
          <w:szCs w:val="32"/>
        </w:rPr>
        <w:t xml:space="preserve"> .</w:t>
      </w:r>
      <w:proofErr w:type="gramEnd"/>
    </w:p>
    <w:p w14:paraId="0D20C0B4" w14:textId="77777777" w:rsidR="00D077A0" w:rsidRPr="00D077A0" w:rsidRDefault="00D077A0" w:rsidP="00122B70">
      <w:pPr>
        <w:bidi/>
        <w:rPr>
          <w:sz w:val="32"/>
          <w:szCs w:val="32"/>
          <w:rtl/>
        </w:rPr>
      </w:pPr>
      <w:r w:rsidRPr="00D077A0">
        <w:rPr>
          <w:b/>
          <w:bCs/>
          <w:sz w:val="32"/>
          <w:szCs w:val="32"/>
          <w:rtl/>
        </w:rPr>
        <w:t>ويمكن أنْ يُقال في الفرق بين هذه المسألة والمسألة السابقة:</w:t>
      </w:r>
      <w:r w:rsidRPr="00D077A0">
        <w:rPr>
          <w:sz w:val="32"/>
          <w:szCs w:val="32"/>
          <w:rtl/>
        </w:rPr>
        <w:t xml:space="preserve"> إنّ موضوع المسألة السابقة إجارة أعمالٍ مع تحديد المدّة، وموضوع هذه المسألة تحديد المدّة في الجملة في إطارٍ زمني متعارف، كما إذا استأجره على قلع ضرسه وكان المريض حاضراً، فإنّ المنصرف مِن العقد نصف ساعة مِن ذلك الوقت الذي يكون فيه الطبيب مستعداً للعمل كما هو المعتاد في كلّ يوم، كما لو كان عمله مِن الساعة الثامنة صباحاً حتى الساعة الثانية ظهراً، فهو لَمْ يقرر ساعةً معيّنة مِن يوم العمل كي يدخل في حكم المسألة الثانية، ولا أطلق الوقت بلا تحديد أصلاً كي يدخل في حكم ذيل المسألة الأُولى، فهل في هذا الفرض تستقرُ الأُجرة للأجير على ذمّة المُستأجر بانقضاء المدّة التي يمكن فيها إيقاع العمل أم لا؟</w:t>
      </w:r>
    </w:p>
    <w:p w14:paraId="3C8D77CE" w14:textId="77777777" w:rsidR="00D077A0" w:rsidRPr="00D077A0" w:rsidRDefault="00D077A0" w:rsidP="00122B70">
      <w:pPr>
        <w:bidi/>
        <w:rPr>
          <w:sz w:val="32"/>
          <w:szCs w:val="32"/>
          <w:rtl/>
        </w:rPr>
      </w:pPr>
      <w:r w:rsidRPr="00D077A0">
        <w:rPr>
          <w:sz w:val="32"/>
          <w:szCs w:val="32"/>
          <w:rtl/>
        </w:rPr>
        <w:t>مع فرض تمامية المقتضي وتحقق الشرط وانتفاء المانع، كما في المثال المذكور في المتن، فالمقتضي تامٌ وهو وجودُ المريض، والشرط متحققٌ وهو كون الطبيب مستعداً لإجراء العملية الجراحية للمريض مع توافر أدوات الجراحة، والمانعُ مفقودٌ؛ إذ الزمان والمكان خالٍ مِن أيّ مانعٍ مِن تحقيق العمل المُستأجر عليه</w:t>
      </w:r>
      <w:r w:rsidRPr="00D077A0">
        <w:rPr>
          <w:sz w:val="32"/>
          <w:szCs w:val="32"/>
        </w:rPr>
        <w:t>.</w:t>
      </w:r>
    </w:p>
    <w:p w14:paraId="1A39FF71" w14:textId="77777777" w:rsidR="00D077A0" w:rsidRPr="00D077A0" w:rsidRDefault="00D077A0" w:rsidP="00122B70">
      <w:pPr>
        <w:bidi/>
        <w:rPr>
          <w:sz w:val="32"/>
          <w:szCs w:val="32"/>
          <w:rtl/>
        </w:rPr>
      </w:pPr>
      <w:r w:rsidRPr="00D077A0">
        <w:rPr>
          <w:b/>
          <w:bCs/>
          <w:sz w:val="32"/>
          <w:szCs w:val="32"/>
          <w:rtl/>
        </w:rPr>
        <w:t>والصحيحُ الموافقُ للمرتكزات العقلائية حينئذٍ هو:</w:t>
      </w:r>
      <w:r w:rsidRPr="00D077A0">
        <w:rPr>
          <w:sz w:val="32"/>
          <w:szCs w:val="32"/>
          <w:rtl/>
        </w:rPr>
        <w:t xml:space="preserve"> استحقاق الطبيب للأُجرة المسمّاة ما دام مستعداً للعمل</w:t>
      </w:r>
      <w:r w:rsidRPr="00D077A0">
        <w:rPr>
          <w:sz w:val="32"/>
          <w:szCs w:val="32"/>
        </w:rPr>
        <w:t>.</w:t>
      </w:r>
    </w:p>
    <w:p w14:paraId="3E095137" w14:textId="77777777" w:rsidR="00D077A0" w:rsidRPr="00D077A0" w:rsidRDefault="00D077A0" w:rsidP="00122B70">
      <w:pPr>
        <w:bidi/>
        <w:rPr>
          <w:sz w:val="32"/>
          <w:szCs w:val="32"/>
          <w:rtl/>
        </w:rPr>
      </w:pPr>
      <w:r w:rsidRPr="00D077A0">
        <w:rPr>
          <w:sz w:val="32"/>
          <w:szCs w:val="32"/>
          <w:rtl/>
        </w:rPr>
        <w:t>لكن ربما يُستوحى مِن كلام بعض الأجلة (رحمه الله) في ذيل بحثه في المسألة الأُولى في كتابه الإجارة</w:t>
      </w:r>
      <w:r w:rsidRPr="00D077A0">
        <w:rPr>
          <w:sz w:val="32"/>
          <w:szCs w:val="32"/>
          <w:vertAlign w:val="superscript"/>
          <w:rtl/>
        </w:rPr>
        <w:footnoteReference w:id="177"/>
      </w:r>
      <w:r w:rsidRPr="00D077A0">
        <w:rPr>
          <w:sz w:val="32"/>
          <w:szCs w:val="32"/>
          <w:rtl/>
        </w:rPr>
        <w:t xml:space="preserve"> أنّ الوجدان العقلائي على خلاف ذلك؛ حيثُ أفاد (رحمه الله) بقوله: </w:t>
      </w:r>
      <w:r w:rsidRPr="00D077A0">
        <w:rPr>
          <w:b/>
          <w:bCs/>
          <w:sz w:val="32"/>
          <w:szCs w:val="32"/>
          <w:rtl/>
        </w:rPr>
        <w:t xml:space="preserve">(وقد يشهد على عرفية هذا المطلب ما نجده من أنه إذا آجر شخصاً على عمل شاق قيمته عالية كالطبيب الجراح مثلاً وجاء الطبيب في الوقت المقرر) </w:t>
      </w:r>
      <w:r w:rsidRPr="00D077A0">
        <w:rPr>
          <w:sz w:val="32"/>
          <w:szCs w:val="32"/>
          <w:rtl/>
        </w:rPr>
        <w:t xml:space="preserve">حيثُ إنّ المفروض في المسألة السابقة كون الإجارة محددة زمناً </w:t>
      </w:r>
      <w:r w:rsidRPr="00D077A0">
        <w:rPr>
          <w:b/>
          <w:bCs/>
          <w:sz w:val="32"/>
          <w:szCs w:val="32"/>
          <w:rtl/>
        </w:rPr>
        <w:t>(ولكنه لم تتحقق الجراحة ولو لعدم استعداد المريض لذلك)</w:t>
      </w:r>
      <w:r w:rsidRPr="00D077A0">
        <w:rPr>
          <w:sz w:val="32"/>
          <w:szCs w:val="32"/>
          <w:rtl/>
        </w:rPr>
        <w:t xml:space="preserve"> أي: لإجراء العملية </w:t>
      </w:r>
      <w:r w:rsidRPr="00D077A0">
        <w:rPr>
          <w:b/>
          <w:bCs/>
          <w:sz w:val="32"/>
          <w:szCs w:val="32"/>
          <w:rtl/>
        </w:rPr>
        <w:t>(فإنّه لا يستحق)</w:t>
      </w:r>
      <w:r w:rsidRPr="00D077A0">
        <w:rPr>
          <w:sz w:val="32"/>
          <w:szCs w:val="32"/>
          <w:rtl/>
        </w:rPr>
        <w:t xml:space="preserve"> الطبيب </w:t>
      </w:r>
      <w:r w:rsidRPr="00D077A0">
        <w:rPr>
          <w:b/>
          <w:bCs/>
          <w:sz w:val="32"/>
          <w:szCs w:val="32"/>
          <w:rtl/>
        </w:rPr>
        <w:t>(عليه)</w:t>
      </w:r>
      <w:r w:rsidRPr="00D077A0">
        <w:rPr>
          <w:sz w:val="32"/>
          <w:szCs w:val="32"/>
          <w:rtl/>
        </w:rPr>
        <w:t xml:space="preserve"> أي: على المريض </w:t>
      </w:r>
      <w:r w:rsidRPr="00D077A0">
        <w:rPr>
          <w:b/>
          <w:bCs/>
          <w:sz w:val="32"/>
          <w:szCs w:val="32"/>
          <w:rtl/>
        </w:rPr>
        <w:t xml:space="preserve">(اُجرة العملية الجراحية </w:t>
      </w:r>
      <w:r w:rsidRPr="00D077A0">
        <w:rPr>
          <w:b/>
          <w:bCs/>
          <w:sz w:val="32"/>
          <w:szCs w:val="32"/>
          <w:rtl/>
        </w:rPr>
        <w:lastRenderedPageBreak/>
        <w:t>كاملة وإنّما يستحق مقداراً أقل حيث)</w:t>
      </w:r>
      <w:r w:rsidRPr="00D077A0">
        <w:rPr>
          <w:sz w:val="32"/>
          <w:szCs w:val="32"/>
          <w:rtl/>
        </w:rPr>
        <w:t xml:space="preserve"> إنّ المريض المُستأجر </w:t>
      </w:r>
      <w:r w:rsidRPr="00D077A0">
        <w:rPr>
          <w:b/>
          <w:bCs/>
          <w:sz w:val="32"/>
          <w:szCs w:val="32"/>
          <w:rtl/>
        </w:rPr>
        <w:t>(فوَّت عليه فرصة العمل)</w:t>
      </w:r>
      <w:r w:rsidRPr="00D077A0">
        <w:rPr>
          <w:sz w:val="32"/>
          <w:szCs w:val="32"/>
          <w:rtl/>
        </w:rPr>
        <w:t xml:space="preserve"> لا أنّه فوَّت عليه العمل، وهو نفس العمليةٍ الجراحيةٍ في هذا الوقت </w:t>
      </w:r>
      <w:r w:rsidRPr="00D077A0">
        <w:rPr>
          <w:b/>
          <w:bCs/>
          <w:sz w:val="32"/>
          <w:szCs w:val="32"/>
          <w:rtl/>
        </w:rPr>
        <w:t>(إلّا أنّ قيمة فرصة العمل الجراحي أقل من قيمة نفس العمل)</w:t>
      </w:r>
      <w:r w:rsidRPr="00D077A0">
        <w:rPr>
          <w:sz w:val="32"/>
          <w:szCs w:val="32"/>
          <w:rtl/>
        </w:rPr>
        <w:t xml:space="preserve"> حيثُ إنّ نفس العمل هو عمل شاق يتضمن جهوداً دقيقة يقوم بها الطبيب الجراح، والذي فات الآن هو الفرصة لا أنّه فاتت نفس العملية الجراحية بمشاقها</w:t>
      </w:r>
      <w:r w:rsidRPr="00D077A0">
        <w:rPr>
          <w:sz w:val="32"/>
          <w:szCs w:val="32"/>
        </w:rPr>
        <w:t>.</w:t>
      </w:r>
    </w:p>
    <w:p w14:paraId="067D898B" w14:textId="77777777" w:rsidR="00D077A0" w:rsidRPr="00D077A0" w:rsidRDefault="00D077A0" w:rsidP="00122B70">
      <w:pPr>
        <w:bidi/>
        <w:rPr>
          <w:b/>
          <w:bCs/>
          <w:sz w:val="32"/>
          <w:szCs w:val="32"/>
          <w:rtl/>
        </w:rPr>
      </w:pPr>
      <w:r w:rsidRPr="00D077A0">
        <w:rPr>
          <w:b/>
          <w:bCs/>
          <w:sz w:val="32"/>
          <w:szCs w:val="32"/>
          <w:rtl/>
        </w:rPr>
        <w:t>(وكذلك في الأعيان فإنه فرق عرفاً بين اُجرة استخدام الدابة أو السيارة استخداماً خاصاً فيه استهلاك شديد لها وبين أخذها وحجزها نفس المدة من الزمان دون استيفاء).</w:t>
      </w:r>
    </w:p>
    <w:p w14:paraId="191255D1" w14:textId="77777777" w:rsidR="00D077A0" w:rsidRPr="00D077A0" w:rsidRDefault="00D077A0" w:rsidP="00122B70">
      <w:pPr>
        <w:bidi/>
        <w:rPr>
          <w:b/>
          <w:bCs/>
          <w:sz w:val="32"/>
          <w:szCs w:val="32"/>
          <w:rtl/>
        </w:rPr>
      </w:pPr>
      <w:r w:rsidRPr="00D077A0">
        <w:rPr>
          <w:b/>
          <w:bCs/>
          <w:sz w:val="32"/>
          <w:szCs w:val="32"/>
          <w:rtl/>
        </w:rPr>
        <w:t>[أقولُ:</w:t>
      </w:r>
      <w:r w:rsidRPr="00D077A0">
        <w:rPr>
          <w:sz w:val="32"/>
          <w:szCs w:val="32"/>
          <w:rtl/>
        </w:rPr>
        <w:t xml:space="preserve"> ويتفرعُ عن ذلك - أي: عن الفرق بين العمل وفرصة العمل مِن حيثُ إنّ العمل متضمنٌ لجهودٍ غير أجزاء العمل نفسه - مسألة أُخرى مِن المسائل المستحدثة التي تحتاج إلى بحثٍ وهي: أنّه لو أتلف شخص على الأجير عمله أثناء تلبسه به فهل يضمن مضافاً لقيمة العمل قيمة مشاق العمل وجهوده، كما لو اقتحم شخصٌ على الطبيب أثناء العملية الجراحية المعقدة التي تستدعي جهوداً شاقة، وأتلف عليه عمله، فإنّ نفس العملية الجراحية بما هي لها قيمة لكن الجهود الشاقة اللازمة لها أو المقارنة أيضاً جهد عقلائي </w:t>
      </w:r>
      <w:proofErr w:type="spellStart"/>
      <w:r w:rsidRPr="00D077A0">
        <w:rPr>
          <w:sz w:val="32"/>
          <w:szCs w:val="32"/>
          <w:rtl/>
        </w:rPr>
        <w:t>يتكلفه</w:t>
      </w:r>
      <w:proofErr w:type="spellEnd"/>
      <w:r w:rsidRPr="00D077A0">
        <w:rPr>
          <w:sz w:val="32"/>
          <w:szCs w:val="32"/>
          <w:rtl/>
        </w:rPr>
        <w:t xml:space="preserve"> الطبيب، فهل الضمان يشمل قيمة الجهود التي بذلها الطبيب في سبيل إنجاز العمل وإتقانه أم لا؟]</w:t>
      </w:r>
    </w:p>
    <w:p w14:paraId="6F72EEDE" w14:textId="77777777" w:rsidR="00D077A0" w:rsidRPr="00D077A0" w:rsidRDefault="00D077A0" w:rsidP="00122B70">
      <w:pPr>
        <w:bidi/>
        <w:rPr>
          <w:b/>
          <w:bCs/>
          <w:sz w:val="32"/>
          <w:szCs w:val="32"/>
          <w:rtl/>
        </w:rPr>
      </w:pPr>
      <w:r w:rsidRPr="00D077A0">
        <w:rPr>
          <w:b/>
          <w:bCs/>
          <w:sz w:val="32"/>
          <w:szCs w:val="32"/>
          <w:rtl/>
        </w:rPr>
        <w:t>وبالعودة لمحلّ البحث:</w:t>
      </w:r>
    </w:p>
    <w:p w14:paraId="2742A07A" w14:textId="77777777" w:rsidR="00D077A0" w:rsidRPr="00D077A0" w:rsidRDefault="00D077A0" w:rsidP="00122B70">
      <w:pPr>
        <w:bidi/>
        <w:rPr>
          <w:sz w:val="32"/>
          <w:szCs w:val="32"/>
          <w:rtl/>
        </w:rPr>
      </w:pPr>
      <w:r w:rsidRPr="00D077A0">
        <w:rPr>
          <w:b/>
          <w:bCs/>
          <w:sz w:val="32"/>
          <w:szCs w:val="32"/>
          <w:rtl/>
        </w:rPr>
        <w:t>قد يُقال في مقابل ما أُفيد:</w:t>
      </w:r>
      <w:r w:rsidRPr="00D077A0">
        <w:rPr>
          <w:sz w:val="32"/>
          <w:szCs w:val="32"/>
          <w:rtl/>
        </w:rPr>
        <w:t xml:space="preserve"> أنّ منشأ الضمان ليس هو التفويت ولا الإتلاف كي يبحث عن تحديد ما هو الفائت، هل الفائت فرصة العمل أم نفس العمل؟ بل منشأ الضمان هنا هو العقد وليس التفويت حتى ندور مدار ما هو الفائت؛ فإنّ المفروض أنّ في البين عقدَ إجارةٍ بين الطبيب والمريض، ومتعلّق عقد الإجارة هو نفس العملية الجراحية، فمقتضى عقد الإجارة استحقاق المريض على ذمّة الطبيب هذا العمل واستحقاق الأجير على ذمّة المُستأجر قيمة العمل</w:t>
      </w:r>
      <w:r w:rsidRPr="00D077A0">
        <w:rPr>
          <w:sz w:val="32"/>
          <w:szCs w:val="32"/>
        </w:rPr>
        <w:t>.</w:t>
      </w:r>
    </w:p>
    <w:p w14:paraId="42133C77" w14:textId="77777777" w:rsidR="00D077A0" w:rsidRPr="00D077A0" w:rsidRDefault="00D077A0" w:rsidP="00122B70">
      <w:pPr>
        <w:bidi/>
        <w:rPr>
          <w:sz w:val="32"/>
          <w:szCs w:val="32"/>
          <w:rtl/>
        </w:rPr>
      </w:pPr>
      <w:r w:rsidRPr="00D077A0">
        <w:rPr>
          <w:sz w:val="32"/>
          <w:szCs w:val="32"/>
          <w:rtl/>
        </w:rPr>
        <w:t>فبما أنّ منشأ الضمان في المقام هو العقد - وليس منشأ الضمان هنا هو التفويت - فلا محالة يكون المضمون هو أُجرة نفس العمل</w:t>
      </w:r>
      <w:r w:rsidRPr="00D077A0">
        <w:rPr>
          <w:sz w:val="32"/>
          <w:szCs w:val="32"/>
        </w:rPr>
        <w:t>.</w:t>
      </w:r>
    </w:p>
    <w:p w14:paraId="77037A64" w14:textId="77777777" w:rsidR="00D077A0" w:rsidRPr="00D077A0" w:rsidRDefault="00D077A0" w:rsidP="00122B70">
      <w:pPr>
        <w:bidi/>
        <w:rPr>
          <w:sz w:val="32"/>
          <w:szCs w:val="32"/>
          <w:rtl/>
        </w:rPr>
      </w:pPr>
      <w:r w:rsidRPr="00D077A0">
        <w:rPr>
          <w:sz w:val="32"/>
          <w:szCs w:val="32"/>
          <w:rtl/>
        </w:rPr>
        <w:t>بل لو جاء طرفٌ ثالث وحبس الطبيب المستعد للعملية الجراحية أو منعه مِن العمل، فإنّ ما يضمنه الطرف الثالث هو قيمة العمل لمن يملكه وهو المريض المُستأجر - لا الطبيب -، فكما أنّ على ذمّة المريض ضمان قيمة العمل بمقتضى العقد للطبيب فإنّه على الحابس أنْ يضمن للمريض ما ضمنه للطبيب - ألّا وهو قيمة العمل -.</w:t>
      </w:r>
    </w:p>
    <w:p w14:paraId="5B7B5460" w14:textId="77777777" w:rsidR="00D077A0" w:rsidRPr="00D077A0" w:rsidRDefault="00D077A0" w:rsidP="00122B70">
      <w:pPr>
        <w:bidi/>
        <w:rPr>
          <w:sz w:val="32"/>
          <w:szCs w:val="32"/>
          <w:rtl/>
        </w:rPr>
      </w:pPr>
      <w:r w:rsidRPr="00D077A0">
        <w:rPr>
          <w:b/>
          <w:bCs/>
          <w:sz w:val="32"/>
          <w:szCs w:val="32"/>
          <w:rtl/>
        </w:rPr>
        <w:t>الجهة الثانية:</w:t>
      </w:r>
      <w:r w:rsidRPr="00D077A0">
        <w:rPr>
          <w:sz w:val="32"/>
          <w:szCs w:val="32"/>
          <w:rtl/>
        </w:rPr>
        <w:t xml:space="preserve"> هل يفرّق بين منافع الحرّ ومنافع العبد؟</w:t>
      </w:r>
    </w:p>
    <w:p w14:paraId="2560BF11" w14:textId="77777777" w:rsidR="00D077A0" w:rsidRPr="00D077A0" w:rsidRDefault="00D077A0" w:rsidP="00122B70">
      <w:pPr>
        <w:bidi/>
        <w:rPr>
          <w:sz w:val="32"/>
          <w:szCs w:val="32"/>
          <w:rtl/>
        </w:rPr>
      </w:pPr>
      <w:r w:rsidRPr="00D077A0">
        <w:rPr>
          <w:b/>
          <w:bCs/>
          <w:sz w:val="32"/>
          <w:szCs w:val="32"/>
          <w:rtl/>
        </w:rPr>
        <w:lastRenderedPageBreak/>
        <w:t>قد يُقال:</w:t>
      </w:r>
      <w:r w:rsidRPr="00D077A0">
        <w:rPr>
          <w:sz w:val="32"/>
          <w:szCs w:val="32"/>
          <w:rtl/>
        </w:rPr>
        <w:t xml:space="preserve"> بأنّ منافع العبد مملوكةٌ قَبل العقد؛ لأنّ العبد مملوكٌ لمولاه فمنافعه أيضاً مملوكة لمولاه، وبالتالي إذا استأجر العبدَ بإذن مولاه وكان العبدُ مستعداً للعمل فلَمْ يستوفِ المُستأجر المنفعةَ مِن الأجير لا لعذرٍ مانع فإنّه حينئذٍ </w:t>
      </w:r>
      <w:proofErr w:type="gramStart"/>
      <w:r w:rsidRPr="00D077A0">
        <w:rPr>
          <w:sz w:val="32"/>
          <w:szCs w:val="32"/>
          <w:rtl/>
        </w:rPr>
        <w:t>يضمنُ  لمولى</w:t>
      </w:r>
      <w:proofErr w:type="gramEnd"/>
      <w:r w:rsidRPr="00D077A0">
        <w:rPr>
          <w:sz w:val="32"/>
          <w:szCs w:val="32"/>
          <w:rtl/>
        </w:rPr>
        <w:t xml:space="preserve"> العبد قيمة العمل المُستأجر عليه</w:t>
      </w:r>
      <w:r w:rsidRPr="00D077A0">
        <w:rPr>
          <w:sz w:val="32"/>
          <w:szCs w:val="32"/>
        </w:rPr>
        <w:t>.</w:t>
      </w:r>
    </w:p>
    <w:p w14:paraId="0B8EC100" w14:textId="77777777" w:rsidR="00D077A0" w:rsidRPr="00D077A0" w:rsidRDefault="00D077A0" w:rsidP="00122B70">
      <w:pPr>
        <w:bidi/>
        <w:rPr>
          <w:sz w:val="32"/>
          <w:szCs w:val="32"/>
          <w:rtl/>
        </w:rPr>
      </w:pPr>
      <w:r w:rsidRPr="00D077A0">
        <w:rPr>
          <w:sz w:val="32"/>
          <w:szCs w:val="32"/>
          <w:rtl/>
        </w:rPr>
        <w:t>وأمّا بالنسبة لمنافع الحرّ فالمفروض أنّ الحرّ لا يملك أعماله وإنْ كانت له القدرة على إجارة نفسه، وبما أنّ الحرّ لا يملك عمله في رتبةٍ سابقةٍ فعملهُ ليس مالاً قَبل استيفائه، بخلاف عمل العبد؛ حيثُ إنّه مملوكٌ للغير فهو مالٌ، فحال العبد حال الأعيان التي تملك منافعها بتبع ملكية العين، مما يعني أنّ المُستأجر مَلَكَ مالاً عند تفويت منفعة العبد فإنْ لَمْ يستوفِ العمل فقد فوَّت على نفسه مالاً فيضمن قيمته لطرف المعاملة، بخلاف ما إذا فوَّت عمل الحرّ فإنّه لَمْ يفوت مالاً كي يكون مضموناً</w:t>
      </w:r>
      <w:r w:rsidRPr="00D077A0">
        <w:rPr>
          <w:sz w:val="32"/>
          <w:szCs w:val="32"/>
        </w:rPr>
        <w:t>.</w:t>
      </w:r>
    </w:p>
    <w:p w14:paraId="7E8EDDF6" w14:textId="77777777" w:rsidR="00D077A0" w:rsidRPr="00D077A0" w:rsidRDefault="00D077A0" w:rsidP="00122B70">
      <w:pPr>
        <w:bidi/>
        <w:rPr>
          <w:sz w:val="32"/>
          <w:szCs w:val="32"/>
          <w:rtl/>
        </w:rPr>
      </w:pPr>
      <w:r w:rsidRPr="00D077A0">
        <w:rPr>
          <w:b/>
          <w:bCs/>
          <w:sz w:val="32"/>
          <w:szCs w:val="32"/>
          <w:rtl/>
        </w:rPr>
        <w:t>وقد أُجيب عن ذلك مِن قِبل الأعلام ومنهم سيد العروة (قدس سره الشريف):</w:t>
      </w:r>
      <w:r w:rsidRPr="00D077A0">
        <w:rPr>
          <w:sz w:val="32"/>
          <w:szCs w:val="32"/>
          <w:rtl/>
        </w:rPr>
        <w:t xml:space="preserve"> بأنّ عمل الحرّ قَبل تمليكه بالإجارة وإنْ لَمْ تُجعل له الملكية، بلحاظ أنّ اعتبار الملكية لأعماله قَبل المعاوضة عليها لغوٌ عند العقلاء</w:t>
      </w:r>
      <w:r w:rsidRPr="00D077A0">
        <w:rPr>
          <w:sz w:val="32"/>
          <w:szCs w:val="32"/>
        </w:rPr>
        <w:t>.</w:t>
      </w:r>
    </w:p>
    <w:p w14:paraId="49E612B7" w14:textId="77777777" w:rsidR="00D077A0" w:rsidRPr="00D077A0" w:rsidRDefault="00D077A0" w:rsidP="00122B70">
      <w:pPr>
        <w:bidi/>
        <w:rPr>
          <w:sz w:val="32"/>
          <w:szCs w:val="32"/>
          <w:rtl/>
        </w:rPr>
      </w:pPr>
      <w:r w:rsidRPr="00D077A0">
        <w:rPr>
          <w:sz w:val="32"/>
          <w:szCs w:val="32"/>
        </w:rPr>
        <w:t xml:space="preserve"> </w:t>
      </w:r>
      <w:r w:rsidRPr="00D077A0">
        <w:rPr>
          <w:sz w:val="32"/>
          <w:szCs w:val="32"/>
          <w:rtl/>
        </w:rPr>
        <w:t xml:space="preserve">إلّا أنّ لهُ السلطنة على تمليكها، حيثُ لا يعتبرُ في التمليك أنْ يكون المُملَّك مملوكاً في رتبةٍ سابقةٍ على التمليك، بل يكفي أنْ يكون </w:t>
      </w:r>
      <w:proofErr w:type="spellStart"/>
      <w:r w:rsidRPr="00D077A0">
        <w:rPr>
          <w:sz w:val="32"/>
          <w:szCs w:val="32"/>
          <w:rtl/>
        </w:rPr>
        <w:t>للمُمَلِّك</w:t>
      </w:r>
      <w:proofErr w:type="spellEnd"/>
      <w:r w:rsidRPr="00D077A0">
        <w:rPr>
          <w:sz w:val="32"/>
          <w:szCs w:val="32"/>
          <w:rtl/>
        </w:rPr>
        <w:t xml:space="preserve"> السلطنةُ على التمليك وإنْ كان المُمَلَّك ليس ملكاً في رتبةٍ سابقةٍ، كما في المباحات لو جرت المعاملة </w:t>
      </w:r>
      <w:proofErr w:type="gramStart"/>
      <w:r w:rsidRPr="00D077A0">
        <w:rPr>
          <w:sz w:val="32"/>
          <w:szCs w:val="32"/>
          <w:rtl/>
        </w:rPr>
        <w:t>عليها</w:t>
      </w:r>
      <w:r w:rsidRPr="00D077A0">
        <w:rPr>
          <w:sz w:val="32"/>
          <w:szCs w:val="32"/>
        </w:rPr>
        <w:t xml:space="preserve"> .</w:t>
      </w:r>
      <w:proofErr w:type="gramEnd"/>
    </w:p>
    <w:p w14:paraId="1A68C322" w14:textId="77777777" w:rsidR="00D077A0" w:rsidRPr="00D077A0" w:rsidRDefault="00D077A0" w:rsidP="00122B70">
      <w:pPr>
        <w:bidi/>
        <w:rPr>
          <w:sz w:val="32"/>
          <w:szCs w:val="32"/>
          <w:rtl/>
        </w:rPr>
      </w:pPr>
      <w:r w:rsidRPr="00D077A0">
        <w:rPr>
          <w:sz w:val="32"/>
          <w:szCs w:val="32"/>
          <w:rtl/>
        </w:rPr>
        <w:t>وبالتالي، فعملُ الحرّ وإنْ لَمْ يكن مالاً في رتبةٍ سابقةٍ، ولكنه بعد تمليكه للمُستأجر أصبح مالاً؛ حيثُ ملك المُستأجر العمل على ذمّة الأجير، وبما أنّه شيءٌ مُلِكَ وبُذِلَ بإزائه أُجرة فهو مالٌ، وبما أنّه مالٌ فإذا لَمْ يستوفه المُستأجر مِن الأجير فقد فوَّت على نفسه مالاً فضمن ما يقابلُهُ مِن الأُجرة المسمّاة.</w:t>
      </w:r>
    </w:p>
    <w:p w14:paraId="4012C239" w14:textId="77777777" w:rsidR="00D077A0" w:rsidRPr="00D077A0" w:rsidRDefault="00D077A0" w:rsidP="00122B70">
      <w:pPr>
        <w:bidi/>
        <w:rPr>
          <w:sz w:val="32"/>
          <w:szCs w:val="32"/>
          <w:rtl/>
        </w:rPr>
      </w:pPr>
    </w:p>
    <w:p w14:paraId="2AB1DA80" w14:textId="77777777" w:rsidR="00D077A0" w:rsidRPr="00D077A0" w:rsidRDefault="00D077A0" w:rsidP="00122B70">
      <w:pPr>
        <w:bidi/>
        <w:rPr>
          <w:b/>
          <w:bCs/>
          <w:sz w:val="32"/>
          <w:szCs w:val="32"/>
          <w:rtl/>
        </w:rPr>
      </w:pPr>
      <w:r w:rsidRPr="00D077A0">
        <w:rPr>
          <w:b/>
          <w:bCs/>
          <w:sz w:val="32"/>
          <w:szCs w:val="32"/>
          <w:rtl/>
        </w:rPr>
        <w:t>والحمد لله رب العالمين</w:t>
      </w:r>
    </w:p>
    <w:p w14:paraId="50241EA1" w14:textId="77777777" w:rsidR="00D077A0" w:rsidRPr="00F27422" w:rsidRDefault="00D077A0" w:rsidP="00122B70">
      <w:pPr>
        <w:bidi/>
        <w:rPr>
          <w:sz w:val="32"/>
          <w:szCs w:val="32"/>
          <w:rtl/>
        </w:rPr>
      </w:pPr>
    </w:p>
    <w:p w14:paraId="539EFB0F" w14:textId="30489515" w:rsidR="00BD568E" w:rsidRPr="00F27422" w:rsidRDefault="00BD568E" w:rsidP="00122B70">
      <w:pPr>
        <w:pStyle w:val="Heading3"/>
        <w:bidi/>
        <w:rPr>
          <w:sz w:val="32"/>
          <w:szCs w:val="32"/>
          <w:rtl/>
        </w:rPr>
      </w:pPr>
      <w:r w:rsidRPr="00F27422">
        <w:rPr>
          <w:rFonts w:hint="cs"/>
          <w:sz w:val="32"/>
          <w:szCs w:val="32"/>
          <w:rtl/>
        </w:rPr>
        <w:t>099</w:t>
      </w:r>
    </w:p>
    <w:p w14:paraId="798CAC30" w14:textId="77777777" w:rsidR="005E0643" w:rsidRPr="005E0643" w:rsidRDefault="005E0643" w:rsidP="00122B70">
      <w:pPr>
        <w:bidi/>
        <w:rPr>
          <w:b/>
          <w:bCs/>
          <w:sz w:val="32"/>
          <w:szCs w:val="32"/>
        </w:rPr>
      </w:pPr>
      <w:r w:rsidRPr="005E0643">
        <w:rPr>
          <w:b/>
          <w:bCs/>
          <w:sz w:val="32"/>
          <w:szCs w:val="32"/>
          <w:rtl/>
        </w:rPr>
        <w:t>بسم الله الرحمن الرحيم</w:t>
      </w:r>
    </w:p>
    <w:p w14:paraId="24B6ADA4" w14:textId="77777777" w:rsidR="005E0643" w:rsidRPr="005E0643" w:rsidRDefault="005E0643" w:rsidP="00122B70">
      <w:pPr>
        <w:bidi/>
        <w:rPr>
          <w:b/>
          <w:bCs/>
          <w:sz w:val="32"/>
          <w:szCs w:val="32"/>
          <w:rtl/>
        </w:rPr>
      </w:pPr>
      <w:r w:rsidRPr="005E0643">
        <w:rPr>
          <w:b/>
          <w:bCs/>
          <w:sz w:val="32"/>
          <w:szCs w:val="32"/>
          <w:rtl/>
        </w:rPr>
        <w:t>والصلاة والسلام على أشرف الأنبياء والمرسلين، محمد وآله الطيبين الطاهرين</w:t>
      </w:r>
    </w:p>
    <w:p w14:paraId="0F303E54" w14:textId="77777777" w:rsidR="005E0643" w:rsidRPr="005E0643" w:rsidRDefault="005E0643" w:rsidP="00122B70">
      <w:pPr>
        <w:bidi/>
        <w:rPr>
          <w:sz w:val="32"/>
          <w:szCs w:val="32"/>
          <w:rtl/>
        </w:rPr>
      </w:pPr>
      <w:r w:rsidRPr="005E0643">
        <w:rPr>
          <w:b/>
          <w:bCs/>
          <w:sz w:val="32"/>
          <w:szCs w:val="32"/>
          <w:rtl/>
        </w:rPr>
        <w:t>واللعن الدائم على أعدائهم أجمعين إلى قيام يوم الدين</w:t>
      </w:r>
    </w:p>
    <w:p w14:paraId="48D3D683" w14:textId="77777777" w:rsidR="005E0643" w:rsidRPr="005E0643" w:rsidRDefault="005E0643" w:rsidP="00122B70">
      <w:pPr>
        <w:bidi/>
        <w:rPr>
          <w:sz w:val="32"/>
          <w:szCs w:val="32"/>
          <w:rtl/>
        </w:rPr>
      </w:pPr>
    </w:p>
    <w:p w14:paraId="01D929B3" w14:textId="77777777" w:rsidR="005E0643" w:rsidRPr="005E0643" w:rsidRDefault="005E0643" w:rsidP="00122B70">
      <w:pPr>
        <w:pStyle w:val="Heading3"/>
        <w:bidi/>
        <w:rPr>
          <w:b/>
          <w:bCs/>
          <w:sz w:val="32"/>
          <w:szCs w:val="32"/>
          <w:rtl/>
        </w:rPr>
      </w:pPr>
      <w:r w:rsidRPr="005E0643">
        <w:rPr>
          <w:b/>
          <w:bCs/>
          <w:sz w:val="32"/>
          <w:szCs w:val="32"/>
          <w:rtl/>
        </w:rPr>
        <w:t>الجهة الثالثة: في ضمان منافع الحرّ الكسوب</w:t>
      </w:r>
      <w:r w:rsidRPr="005E0643">
        <w:rPr>
          <w:b/>
          <w:bCs/>
          <w:sz w:val="32"/>
          <w:szCs w:val="32"/>
        </w:rPr>
        <w:t>.</w:t>
      </w:r>
    </w:p>
    <w:p w14:paraId="03215DCC" w14:textId="77777777" w:rsidR="005E0643" w:rsidRPr="005E0643" w:rsidRDefault="005E0643" w:rsidP="00122B70">
      <w:pPr>
        <w:bidi/>
        <w:rPr>
          <w:sz w:val="32"/>
          <w:szCs w:val="32"/>
          <w:rtl/>
        </w:rPr>
      </w:pPr>
      <w:r w:rsidRPr="005E0643">
        <w:rPr>
          <w:sz w:val="32"/>
          <w:szCs w:val="32"/>
          <w:rtl/>
        </w:rPr>
        <w:t>كما لو فرض أنّ الحرّ المستعد للعمل حبسه شخصٌ أو منعه مِن فرصة العمل، فهل يضمن منافعه التي كان يمكن أنْ يكتسب بإزائها مالاً أم لا؟</w:t>
      </w:r>
    </w:p>
    <w:p w14:paraId="3217FD35" w14:textId="77777777" w:rsidR="005E0643" w:rsidRPr="005E0643" w:rsidRDefault="005E0643" w:rsidP="00122B70">
      <w:pPr>
        <w:bidi/>
        <w:rPr>
          <w:b/>
          <w:bCs/>
          <w:sz w:val="32"/>
          <w:szCs w:val="32"/>
          <w:rtl/>
        </w:rPr>
      </w:pPr>
      <w:r w:rsidRPr="005E0643">
        <w:rPr>
          <w:sz w:val="32"/>
          <w:szCs w:val="32"/>
          <w:rtl/>
        </w:rPr>
        <w:t>وقد أفاد في ذلك سيدنا الخوئي (قدس سره الشريف) في كتابه مصباح الفقاهة</w:t>
      </w:r>
      <w:r w:rsidRPr="005E0643">
        <w:rPr>
          <w:sz w:val="32"/>
          <w:szCs w:val="32"/>
          <w:vertAlign w:val="superscript"/>
          <w:rtl/>
        </w:rPr>
        <w:footnoteReference w:id="178"/>
      </w:r>
      <w:r w:rsidRPr="005E0643">
        <w:rPr>
          <w:sz w:val="32"/>
          <w:szCs w:val="32"/>
          <w:rtl/>
        </w:rPr>
        <w:t xml:space="preserve"> بقوله (قدس سره الشريف): </w:t>
      </w:r>
      <w:r w:rsidRPr="005E0643">
        <w:rPr>
          <w:b/>
          <w:bCs/>
          <w:sz w:val="32"/>
          <w:szCs w:val="32"/>
          <w:rtl/>
        </w:rPr>
        <w:t>(قوله: وأما عمل الحر فإن قلنا إنه قبل المعاوضة عليه من الأموال فلا إشكال وإلّا ففيه إشكال)</w:t>
      </w:r>
      <w:r w:rsidRPr="005E0643">
        <w:rPr>
          <w:b/>
          <w:bCs/>
          <w:sz w:val="32"/>
          <w:szCs w:val="32"/>
        </w:rPr>
        <w:t>.</w:t>
      </w:r>
    </w:p>
    <w:p w14:paraId="5D59972A" w14:textId="77777777" w:rsidR="005E0643" w:rsidRPr="005E0643" w:rsidRDefault="005E0643" w:rsidP="00122B70">
      <w:pPr>
        <w:bidi/>
        <w:rPr>
          <w:b/>
          <w:bCs/>
          <w:sz w:val="32"/>
          <w:szCs w:val="32"/>
          <w:rtl/>
        </w:rPr>
      </w:pPr>
      <w:r w:rsidRPr="005E0643">
        <w:rPr>
          <w:b/>
          <w:bCs/>
          <w:sz w:val="32"/>
          <w:szCs w:val="32"/>
          <w:rtl/>
        </w:rPr>
        <w:t>أقول: هذا الكلام استدراك عما تقدّم منه (ره): وهو قوله: (وأما العوض فلا إشكال في جواز كونه منفعة)</w:t>
      </w:r>
      <w:r w:rsidRPr="005E0643">
        <w:rPr>
          <w:b/>
          <w:bCs/>
          <w:sz w:val="32"/>
          <w:szCs w:val="32"/>
        </w:rPr>
        <w:t>.</w:t>
      </w:r>
    </w:p>
    <w:p w14:paraId="5109124E" w14:textId="77777777" w:rsidR="005E0643" w:rsidRPr="005E0643" w:rsidRDefault="005E0643" w:rsidP="00122B70">
      <w:pPr>
        <w:bidi/>
        <w:rPr>
          <w:b/>
          <w:bCs/>
          <w:sz w:val="32"/>
          <w:szCs w:val="32"/>
          <w:rtl/>
        </w:rPr>
      </w:pPr>
      <w:r w:rsidRPr="005E0643">
        <w:rPr>
          <w:b/>
          <w:bCs/>
          <w:sz w:val="32"/>
          <w:szCs w:val="32"/>
          <w:rtl/>
        </w:rPr>
        <w:t>وتوضيح ذلك: أن عمل الحر تارة يلاحظ بعد وقوع المعاوضة عليه – كما إذا استأجره لبناية داره، أو لنجارة بابه، أو لخياطة ثوبه، أو لغير ذلك من الأغراض العقلائية – واُخرى يلاحظ قبل وقوع المعاوضة عليه</w:t>
      </w:r>
      <w:r w:rsidRPr="005E0643">
        <w:rPr>
          <w:b/>
          <w:bCs/>
          <w:sz w:val="32"/>
          <w:szCs w:val="32"/>
        </w:rPr>
        <w:t>.</w:t>
      </w:r>
    </w:p>
    <w:p w14:paraId="64101153" w14:textId="77777777" w:rsidR="005E0643" w:rsidRPr="005E0643" w:rsidRDefault="005E0643" w:rsidP="00122B70">
      <w:pPr>
        <w:bidi/>
        <w:rPr>
          <w:b/>
          <w:bCs/>
          <w:sz w:val="32"/>
          <w:szCs w:val="32"/>
          <w:rtl/>
        </w:rPr>
      </w:pPr>
      <w:r w:rsidRPr="005E0643">
        <w:rPr>
          <w:b/>
          <w:bCs/>
          <w:sz w:val="32"/>
          <w:szCs w:val="32"/>
          <w:rtl/>
        </w:rPr>
        <w:t xml:space="preserve">وعلى الأول) </w:t>
      </w:r>
      <w:r w:rsidRPr="005E0643">
        <w:rPr>
          <w:sz w:val="32"/>
          <w:szCs w:val="32"/>
          <w:rtl/>
        </w:rPr>
        <w:t xml:space="preserve">أي: إذا وقع بَعْدَ المعاوضة </w:t>
      </w:r>
      <w:r w:rsidRPr="005E0643">
        <w:rPr>
          <w:b/>
          <w:bCs/>
          <w:sz w:val="32"/>
          <w:szCs w:val="32"/>
          <w:rtl/>
        </w:rPr>
        <w:t xml:space="preserve">(فلا إشكال في جعل العمل المزبور ثمناً في البيع) </w:t>
      </w:r>
      <w:r w:rsidRPr="005E0643">
        <w:rPr>
          <w:sz w:val="32"/>
          <w:szCs w:val="32"/>
          <w:rtl/>
        </w:rPr>
        <w:t xml:space="preserve">حيث يعد ذلك العمل مالاً، وأثر ذلك لو أنّ شخصاً حبس الأجير فإنّه يضمن قيمة عمله للمُستأجر؛ لأنّه فوَّت مالاً على المُستأجر </w:t>
      </w:r>
      <w:r w:rsidRPr="005E0643">
        <w:rPr>
          <w:b/>
          <w:bCs/>
          <w:sz w:val="32"/>
          <w:szCs w:val="32"/>
          <w:rtl/>
        </w:rPr>
        <w:t>(بداهة كونه مالاً مملوكاً للمستأجر. وله أن يتصرف فيه أي تصرف، لأن الناس مسلطون على أموالهم. كما أن عمل العبد والدابة مال مملوك لصاحبهما</w:t>
      </w:r>
      <w:r w:rsidRPr="005E0643">
        <w:rPr>
          <w:b/>
          <w:bCs/>
          <w:sz w:val="32"/>
          <w:szCs w:val="32"/>
        </w:rPr>
        <w:t>.</w:t>
      </w:r>
    </w:p>
    <w:p w14:paraId="577598EF" w14:textId="77777777" w:rsidR="005E0643" w:rsidRPr="005E0643" w:rsidRDefault="005E0643" w:rsidP="00122B70">
      <w:pPr>
        <w:bidi/>
        <w:rPr>
          <w:b/>
          <w:bCs/>
          <w:sz w:val="32"/>
          <w:szCs w:val="32"/>
          <w:rtl/>
        </w:rPr>
      </w:pPr>
      <w:r w:rsidRPr="005E0643">
        <w:rPr>
          <w:b/>
          <w:bCs/>
          <w:sz w:val="32"/>
          <w:szCs w:val="32"/>
          <w:rtl/>
        </w:rPr>
        <w:t>والدليل على مالية عمل الحر في هذه الصورة)</w:t>
      </w:r>
      <w:r w:rsidRPr="005E0643">
        <w:rPr>
          <w:sz w:val="32"/>
          <w:szCs w:val="32"/>
          <w:rtl/>
        </w:rPr>
        <w:t xml:space="preserve"> أي: الدليل </w:t>
      </w:r>
      <w:proofErr w:type="spellStart"/>
      <w:r w:rsidRPr="005E0643">
        <w:rPr>
          <w:sz w:val="32"/>
          <w:szCs w:val="32"/>
          <w:rtl/>
        </w:rPr>
        <w:t>الإني</w:t>
      </w:r>
      <w:proofErr w:type="spellEnd"/>
      <w:r w:rsidRPr="005E0643">
        <w:rPr>
          <w:sz w:val="32"/>
          <w:szCs w:val="32"/>
          <w:rtl/>
        </w:rPr>
        <w:t xml:space="preserve"> على كونه مالاً في صورة كونه أجيراً، </w:t>
      </w:r>
      <w:r w:rsidRPr="005E0643">
        <w:rPr>
          <w:b/>
          <w:bCs/>
          <w:sz w:val="32"/>
          <w:szCs w:val="32"/>
          <w:rtl/>
        </w:rPr>
        <w:t>(اُمور</w:t>
      </w:r>
      <w:r w:rsidRPr="005E0643">
        <w:rPr>
          <w:b/>
          <w:bCs/>
          <w:sz w:val="32"/>
          <w:szCs w:val="32"/>
        </w:rPr>
        <w:t>:</w:t>
      </w:r>
    </w:p>
    <w:p w14:paraId="5578E55C" w14:textId="77777777" w:rsidR="005E0643" w:rsidRPr="005E0643" w:rsidRDefault="005E0643" w:rsidP="00122B70">
      <w:pPr>
        <w:bidi/>
        <w:rPr>
          <w:sz w:val="32"/>
          <w:szCs w:val="32"/>
          <w:rtl/>
        </w:rPr>
      </w:pPr>
      <w:r w:rsidRPr="005E0643">
        <w:rPr>
          <w:sz w:val="32"/>
          <w:szCs w:val="32"/>
          <w:rtl/>
        </w:rPr>
        <w:t>1</w:t>
      </w:r>
      <w:r w:rsidRPr="005E0643">
        <w:rPr>
          <w:b/>
          <w:bCs/>
          <w:sz w:val="32"/>
          <w:szCs w:val="32"/>
        </w:rPr>
        <w:t>-</w:t>
      </w:r>
      <w:r w:rsidRPr="005E0643">
        <w:rPr>
          <w:b/>
          <w:bCs/>
          <w:sz w:val="32"/>
          <w:szCs w:val="32"/>
          <w:rtl/>
        </w:rPr>
        <w:t>أنه يصح إطلاق ذي المال على المستأجر الذي ملك عمل الحر بالإجارة أو الصلح.)</w:t>
      </w:r>
      <w:r w:rsidRPr="005E0643">
        <w:rPr>
          <w:sz w:val="32"/>
          <w:szCs w:val="32"/>
          <w:rtl/>
        </w:rPr>
        <w:t xml:space="preserve"> فيقولون: إنّ المُستأجر له مالٌ، ومِن أمواله ما يملكه مِن عمل على ذمّة الأجير</w:t>
      </w:r>
      <w:r w:rsidRPr="005E0643">
        <w:rPr>
          <w:sz w:val="32"/>
          <w:szCs w:val="32"/>
        </w:rPr>
        <w:t>.</w:t>
      </w:r>
    </w:p>
    <w:p w14:paraId="1A03E0C7" w14:textId="77777777" w:rsidR="005E0643" w:rsidRPr="005E0643" w:rsidRDefault="005E0643" w:rsidP="00122B70">
      <w:pPr>
        <w:bidi/>
        <w:rPr>
          <w:sz w:val="32"/>
          <w:szCs w:val="32"/>
          <w:rtl/>
        </w:rPr>
      </w:pPr>
      <w:r w:rsidRPr="005E0643">
        <w:rPr>
          <w:b/>
          <w:bCs/>
          <w:sz w:val="32"/>
          <w:szCs w:val="32"/>
          <w:rtl/>
        </w:rPr>
        <w:lastRenderedPageBreak/>
        <w:t>(2-أنه يجب على المستأجر المزبور حجّ البيت، لأنه قد استطاع إليه سبيلا، إذا كان عمل أجيره وافياً بزاده وراحلته.)</w:t>
      </w:r>
      <w:r w:rsidRPr="005E0643">
        <w:rPr>
          <w:sz w:val="32"/>
          <w:szCs w:val="32"/>
          <w:rtl/>
        </w:rPr>
        <w:t xml:space="preserve"> لأنّه إذا كان العمل الذي يملكه على ذمّة الأجير وافياً بتحصيل الزاد والراحلة فهو مستطيع للحجّ فيجب عليه الحجّ</w:t>
      </w:r>
      <w:r w:rsidRPr="005E0643">
        <w:rPr>
          <w:sz w:val="32"/>
          <w:szCs w:val="32"/>
        </w:rPr>
        <w:t>.</w:t>
      </w:r>
    </w:p>
    <w:p w14:paraId="21D2EA6B" w14:textId="77777777" w:rsidR="005E0643" w:rsidRPr="005E0643" w:rsidRDefault="005E0643" w:rsidP="00122B70">
      <w:pPr>
        <w:bidi/>
        <w:rPr>
          <w:b/>
          <w:bCs/>
          <w:sz w:val="32"/>
          <w:szCs w:val="32"/>
          <w:rtl/>
        </w:rPr>
      </w:pPr>
      <w:r w:rsidRPr="005E0643">
        <w:rPr>
          <w:b/>
          <w:bCs/>
          <w:sz w:val="32"/>
          <w:szCs w:val="32"/>
          <w:rtl/>
        </w:rPr>
        <w:t>(3-أنه يخرج المستأجر بعمل أجيره من عنوان الفقراء)</w:t>
      </w:r>
      <w:r w:rsidRPr="005E0643">
        <w:rPr>
          <w:sz w:val="32"/>
          <w:szCs w:val="32"/>
          <w:rtl/>
        </w:rPr>
        <w:t xml:space="preserve"> وإنْ كان لا يملك مالاً حسّاً، لكنه يملك عملاً على ذمّة الأجير يكفيه لمؤنة سنته </w:t>
      </w:r>
      <w:r w:rsidRPr="005E0643">
        <w:rPr>
          <w:b/>
          <w:bCs/>
          <w:sz w:val="32"/>
          <w:szCs w:val="32"/>
          <w:rtl/>
        </w:rPr>
        <w:t>(ويعامل معه معاملة الأغنياء، إذا كفى ذلك العمل مؤونة سنته. وإذن فيحرم عليه أخذ الزكاة وسائر الوجوه الشرعية المقررة للفقراء والمساكين</w:t>
      </w:r>
      <w:r w:rsidRPr="005E0643">
        <w:rPr>
          <w:b/>
          <w:bCs/>
          <w:sz w:val="32"/>
          <w:szCs w:val="32"/>
        </w:rPr>
        <w:t>.</w:t>
      </w:r>
    </w:p>
    <w:p w14:paraId="3377C039" w14:textId="77777777" w:rsidR="005E0643" w:rsidRPr="005E0643" w:rsidRDefault="005E0643" w:rsidP="00122B70">
      <w:pPr>
        <w:bidi/>
        <w:rPr>
          <w:b/>
          <w:bCs/>
          <w:sz w:val="32"/>
          <w:szCs w:val="32"/>
          <w:rtl/>
        </w:rPr>
      </w:pPr>
      <w:r w:rsidRPr="005E0643">
        <w:rPr>
          <w:b/>
          <w:bCs/>
          <w:sz w:val="32"/>
          <w:szCs w:val="32"/>
          <w:rtl/>
        </w:rPr>
        <w:t>4</w:t>
      </w:r>
      <w:r w:rsidRPr="005E0643">
        <w:rPr>
          <w:b/>
          <w:bCs/>
          <w:sz w:val="32"/>
          <w:szCs w:val="32"/>
        </w:rPr>
        <w:t>-</w:t>
      </w:r>
      <w:r w:rsidRPr="005E0643">
        <w:rPr>
          <w:b/>
          <w:bCs/>
          <w:sz w:val="32"/>
          <w:szCs w:val="32"/>
          <w:rtl/>
        </w:rPr>
        <w:t>أنه إذا أتلف أحد عمل أجير ضمنه لمستأجره، لقاعدة الضمان بالإتلاف، ولأجل هذه الأمور كلها نستكشف صدق مفهوم المال على عمل الحر بعد وقوع المعاوضة عليه. والسر في ذلك كله، أن عمله حينئذٍ مورد لرغبة العقلاء وميلهم</w:t>
      </w:r>
      <w:r w:rsidRPr="005E0643">
        <w:rPr>
          <w:b/>
          <w:bCs/>
          <w:sz w:val="32"/>
          <w:szCs w:val="32"/>
        </w:rPr>
        <w:t>.</w:t>
      </w:r>
    </w:p>
    <w:p w14:paraId="14160AC6" w14:textId="77777777" w:rsidR="005E0643" w:rsidRPr="005E0643" w:rsidRDefault="005E0643" w:rsidP="00122B70">
      <w:pPr>
        <w:bidi/>
        <w:rPr>
          <w:b/>
          <w:bCs/>
          <w:sz w:val="32"/>
          <w:szCs w:val="32"/>
          <w:rtl/>
        </w:rPr>
      </w:pPr>
      <w:r w:rsidRPr="005E0643">
        <w:rPr>
          <w:b/>
          <w:bCs/>
          <w:sz w:val="32"/>
          <w:szCs w:val="32"/>
          <w:rtl/>
        </w:rPr>
        <w:t>وعلى الثاني)</w:t>
      </w:r>
      <w:r w:rsidRPr="005E0643">
        <w:rPr>
          <w:sz w:val="32"/>
          <w:szCs w:val="32"/>
          <w:rtl/>
        </w:rPr>
        <w:t xml:space="preserve"> أي: ما </w:t>
      </w:r>
      <w:r w:rsidRPr="004E63C8">
        <w:rPr>
          <w:sz w:val="32"/>
          <w:szCs w:val="32"/>
          <w:highlight w:val="yellow"/>
          <w:rtl/>
        </w:rPr>
        <w:t>كان قَبل المعاوضة،</w:t>
      </w:r>
      <w:r w:rsidRPr="005E0643">
        <w:rPr>
          <w:sz w:val="32"/>
          <w:szCs w:val="32"/>
          <w:rtl/>
        </w:rPr>
        <w:t xml:space="preserve"> كما لو كان حرّاً قادراً على العمل وإنْ لَمْ يكن مستعداً للعمل - مثلاً - أو لَمْ يستأجره أحد فحُبس، فهل يضمن ماله أم لا؟ </w:t>
      </w:r>
      <w:r w:rsidRPr="005E0643">
        <w:rPr>
          <w:b/>
          <w:bCs/>
          <w:sz w:val="32"/>
          <w:szCs w:val="32"/>
          <w:rtl/>
        </w:rPr>
        <w:t>(فإن قلنا باعتبار المالية في الثمن والمثمن فلا يقع عمل الحر عوضاً في البيع، لأنه لا يعد مالاً عرفاً. وإن لم نقل بهذا الاعتبار فلا بأس بجعله ثمناً فيه</w:t>
      </w:r>
      <w:r w:rsidRPr="005E0643">
        <w:rPr>
          <w:b/>
          <w:bCs/>
          <w:sz w:val="32"/>
          <w:szCs w:val="32"/>
        </w:rPr>
        <w:t>.</w:t>
      </w:r>
    </w:p>
    <w:p w14:paraId="2CA80D05" w14:textId="77777777" w:rsidR="005E0643" w:rsidRPr="005E0643" w:rsidRDefault="005E0643" w:rsidP="00122B70">
      <w:pPr>
        <w:bidi/>
        <w:rPr>
          <w:b/>
          <w:bCs/>
          <w:sz w:val="32"/>
          <w:szCs w:val="32"/>
          <w:rtl/>
        </w:rPr>
      </w:pPr>
      <w:r w:rsidRPr="005E0643">
        <w:rPr>
          <w:b/>
          <w:bCs/>
          <w:sz w:val="32"/>
          <w:szCs w:val="32"/>
          <w:rtl/>
        </w:rPr>
        <w:t>والشاهد على عدم كونه مالاً في هذه الصورة: أن الحر لا يكون مستطيعاً بلحاظ عمله لكي يجب عليه الاكتساب، وتحصيل الزاد والراحلة ثم السير إلى بيت الله الحرام).</w:t>
      </w:r>
    </w:p>
    <w:p w14:paraId="46085068" w14:textId="77777777" w:rsidR="005E0643" w:rsidRPr="005E0643" w:rsidRDefault="005E0643" w:rsidP="00122B70">
      <w:pPr>
        <w:bidi/>
        <w:rPr>
          <w:sz w:val="32"/>
          <w:szCs w:val="32"/>
          <w:rtl/>
        </w:rPr>
      </w:pPr>
      <w:r w:rsidRPr="005E0643">
        <w:rPr>
          <w:sz w:val="32"/>
          <w:szCs w:val="32"/>
          <w:rtl/>
        </w:rPr>
        <w:t>أي: أنّه لا يجب عليه الحج وإنْ كان قادراً على الكسب؛ لعدم صدق الاستطاعة</w:t>
      </w:r>
      <w:r w:rsidRPr="005E0643">
        <w:rPr>
          <w:sz w:val="32"/>
          <w:szCs w:val="32"/>
        </w:rPr>
        <w:t>.</w:t>
      </w:r>
    </w:p>
    <w:p w14:paraId="48018C95" w14:textId="77777777" w:rsidR="005E0643" w:rsidRPr="005E0643" w:rsidRDefault="005E0643" w:rsidP="00122B70">
      <w:pPr>
        <w:bidi/>
        <w:rPr>
          <w:b/>
          <w:bCs/>
          <w:sz w:val="32"/>
          <w:szCs w:val="32"/>
          <w:rtl/>
        </w:rPr>
      </w:pPr>
      <w:r w:rsidRPr="005E0643">
        <w:rPr>
          <w:b/>
          <w:bCs/>
          <w:sz w:val="32"/>
          <w:szCs w:val="32"/>
          <w:rtl/>
        </w:rPr>
        <w:t>(وأيضاً لو حبسه أحد لم يضمن عمله. مع أن تفويت منافع العبد أو الدابة أو سائر الحمولة موجب للضمان</w:t>
      </w:r>
      <w:r w:rsidRPr="005E0643">
        <w:rPr>
          <w:b/>
          <w:bCs/>
          <w:sz w:val="32"/>
          <w:szCs w:val="32"/>
        </w:rPr>
        <w:t>.</w:t>
      </w:r>
    </w:p>
    <w:p w14:paraId="7E7B120F" w14:textId="77777777" w:rsidR="005E0643" w:rsidRPr="005E0643" w:rsidRDefault="005E0643" w:rsidP="00122B70">
      <w:pPr>
        <w:bidi/>
        <w:rPr>
          <w:b/>
          <w:bCs/>
          <w:sz w:val="32"/>
          <w:szCs w:val="32"/>
          <w:rtl/>
        </w:rPr>
      </w:pPr>
      <w:r w:rsidRPr="005E0643">
        <w:rPr>
          <w:b/>
          <w:bCs/>
          <w:sz w:val="32"/>
          <w:szCs w:val="32"/>
          <w:rtl/>
        </w:rPr>
        <w:t>هذا كله إذا جعل عمل الحر ثمناً في البيع. وأما جعله مثمنا فيه فليس بجائز قطعاً، لأنه من المنافع. وقد عرفت فيما سبق أن المبيع لابد وأن يكون من الأعيان، إذا لا يصدق مفهوم البيع على تمليك المنفعة بعوض</w:t>
      </w:r>
      <w:r w:rsidRPr="005E0643">
        <w:rPr>
          <w:b/>
          <w:bCs/>
          <w:sz w:val="32"/>
          <w:szCs w:val="32"/>
        </w:rPr>
        <w:t>.</w:t>
      </w:r>
    </w:p>
    <w:p w14:paraId="5270B2CC" w14:textId="77777777" w:rsidR="005E0643" w:rsidRPr="005E0643" w:rsidRDefault="005E0643" w:rsidP="00122B70">
      <w:pPr>
        <w:bidi/>
        <w:rPr>
          <w:b/>
          <w:bCs/>
          <w:sz w:val="32"/>
          <w:szCs w:val="32"/>
          <w:rtl/>
        </w:rPr>
      </w:pPr>
      <w:r w:rsidRPr="005E0643">
        <w:rPr>
          <w:b/>
          <w:bCs/>
          <w:sz w:val="32"/>
          <w:szCs w:val="32"/>
          <w:rtl/>
        </w:rPr>
        <w:t>والحق: أنه لا يفرق في صدق مفهوم المال على عمل الحر بين وقوع المعاوضة عليه وعدمه.)</w:t>
      </w:r>
      <w:r w:rsidRPr="005E0643">
        <w:rPr>
          <w:sz w:val="32"/>
          <w:szCs w:val="32"/>
          <w:rtl/>
        </w:rPr>
        <w:t xml:space="preserve"> أي: ما دام الحرّ قادراً على أنْ يكتسب مالاً، فإنّ كونه قادراً على الكسب يعني أنّ عمله مالٌ، وإنْ لَمْ تقع المعاوضة عليه </w:t>
      </w:r>
      <w:r w:rsidRPr="005E0643">
        <w:rPr>
          <w:b/>
          <w:bCs/>
          <w:sz w:val="32"/>
          <w:szCs w:val="32"/>
          <w:rtl/>
        </w:rPr>
        <w:t xml:space="preserve">(والوجه في ذلك ما ذكرناه سابقاً من أن مالية الأشياء متقومة برغبة الناس فيها رغبة عقلائية. ولا يعتبر في ذلك صدق الملك عليها، لأن النسبة بينهما هي العموم من وجه. إذ قد يوجد المال ولا يتحقق الملك، كالمباحات الأصلية قبل </w:t>
      </w:r>
      <w:r w:rsidRPr="005E0643">
        <w:rPr>
          <w:b/>
          <w:bCs/>
          <w:sz w:val="32"/>
          <w:szCs w:val="32"/>
          <w:rtl/>
        </w:rPr>
        <w:lastRenderedPageBreak/>
        <w:t xml:space="preserve">حيازتها، فإنها مال وليست بمملوكة لأحد.) </w:t>
      </w:r>
      <w:r w:rsidRPr="005E0643">
        <w:rPr>
          <w:sz w:val="32"/>
          <w:szCs w:val="32"/>
          <w:rtl/>
        </w:rPr>
        <w:t xml:space="preserve">كالسمك في النهر والبحر فإنّه مالٌ لتنافس الناس عليه وإنْ لَمْ يكن ملكاً </w:t>
      </w:r>
      <w:r w:rsidRPr="005E0643">
        <w:rPr>
          <w:b/>
          <w:bCs/>
          <w:sz w:val="32"/>
          <w:szCs w:val="32"/>
          <w:rtl/>
        </w:rPr>
        <w:t>(وقد يوجد الملك ولا يصدق عليه مفهوم المال. كحبة من الحنطة، فإنها ملك لصاحبه، وليست بمال)</w:t>
      </w:r>
      <w:r w:rsidRPr="005E0643">
        <w:rPr>
          <w:sz w:val="32"/>
          <w:szCs w:val="32"/>
          <w:rtl/>
        </w:rPr>
        <w:t xml:space="preserve"> أو كالفلس فإنّه مِلك لكنه ليس بمالٍ؛ لأنّه ليس موطناً للرغبة العقلائية </w:t>
      </w:r>
      <w:r w:rsidRPr="005E0643">
        <w:rPr>
          <w:b/>
          <w:bCs/>
          <w:sz w:val="32"/>
          <w:szCs w:val="32"/>
          <w:rtl/>
        </w:rPr>
        <w:t>(إذ لا يبذل بإزائها شيء. وقد يجتمعان. وهو كثير</w:t>
      </w:r>
      <w:r w:rsidRPr="005E0643">
        <w:rPr>
          <w:b/>
          <w:bCs/>
          <w:sz w:val="32"/>
          <w:szCs w:val="32"/>
        </w:rPr>
        <w:t>.</w:t>
      </w:r>
    </w:p>
    <w:p w14:paraId="488824EF" w14:textId="77777777" w:rsidR="005E0643" w:rsidRPr="005E0643" w:rsidRDefault="005E0643" w:rsidP="00122B70">
      <w:pPr>
        <w:bidi/>
        <w:rPr>
          <w:sz w:val="32"/>
          <w:szCs w:val="32"/>
          <w:rtl/>
        </w:rPr>
      </w:pPr>
      <w:r w:rsidRPr="005E0643">
        <w:rPr>
          <w:b/>
          <w:bCs/>
          <w:sz w:val="32"/>
          <w:szCs w:val="32"/>
          <w:rtl/>
        </w:rPr>
        <w:t xml:space="preserve">ومن المعلوم </w:t>
      </w:r>
      <w:r w:rsidRPr="00B5281B">
        <w:rPr>
          <w:b/>
          <w:bCs/>
          <w:color w:val="EE0000"/>
          <w:sz w:val="32"/>
          <w:szCs w:val="32"/>
          <w:rtl/>
        </w:rPr>
        <w:t xml:space="preserve">أن عمل الحر، قبل وقوع المعاوضة عليه من مهمات الأموال العرفية </w:t>
      </w:r>
      <w:r w:rsidRPr="005E0643">
        <w:rPr>
          <w:b/>
          <w:bCs/>
          <w:sz w:val="32"/>
          <w:szCs w:val="32"/>
          <w:rtl/>
        </w:rPr>
        <w:t>وإن لم يكن مملوكاً لأحد بالملكية الاعتبارية. بل هو مملوك لصاحبه بالملكية الذاتية الأولية على ما عرفته في أول الكتاب.)</w:t>
      </w:r>
      <w:r w:rsidRPr="005E0643">
        <w:rPr>
          <w:sz w:val="32"/>
          <w:szCs w:val="32"/>
          <w:rtl/>
        </w:rPr>
        <w:t xml:space="preserve"> فالحرّ لا يملك أعماله ملكية اعتبارية لكنه يمتلكها ملكية تكوينية وله السلطنة على تمليكها للآخرين</w:t>
      </w:r>
      <w:r w:rsidRPr="005E0643">
        <w:rPr>
          <w:sz w:val="32"/>
          <w:szCs w:val="32"/>
        </w:rPr>
        <w:t>.</w:t>
      </w:r>
    </w:p>
    <w:p w14:paraId="29FDC316" w14:textId="77777777" w:rsidR="005E0643" w:rsidRPr="005E0643" w:rsidRDefault="005E0643" w:rsidP="00122B70">
      <w:pPr>
        <w:bidi/>
        <w:rPr>
          <w:sz w:val="32"/>
          <w:szCs w:val="32"/>
          <w:rtl/>
        </w:rPr>
      </w:pPr>
      <w:r w:rsidRPr="005E0643">
        <w:rPr>
          <w:sz w:val="32"/>
          <w:szCs w:val="32"/>
          <w:rtl/>
        </w:rPr>
        <w:t>ولذا قال (قدس سره) في الصفحة اللاحقة</w:t>
      </w:r>
      <w:r w:rsidRPr="005E0643">
        <w:rPr>
          <w:sz w:val="32"/>
          <w:szCs w:val="32"/>
          <w:vertAlign w:val="superscript"/>
          <w:rtl/>
        </w:rPr>
        <w:footnoteReference w:id="179"/>
      </w:r>
      <w:r w:rsidRPr="005E0643">
        <w:rPr>
          <w:sz w:val="32"/>
          <w:szCs w:val="32"/>
          <w:rtl/>
        </w:rPr>
        <w:t xml:space="preserve">: </w:t>
      </w:r>
      <w:r w:rsidRPr="005E0643">
        <w:rPr>
          <w:b/>
          <w:bCs/>
          <w:sz w:val="32"/>
          <w:szCs w:val="32"/>
          <w:rtl/>
        </w:rPr>
        <w:t>(وعليه فعمل الحر وإن كان مملوكاً له بالملكية الفعلية التكوينية. وكذا بالملكية الشأنية الاعتبارية.)</w:t>
      </w:r>
      <w:r w:rsidRPr="005E0643">
        <w:rPr>
          <w:sz w:val="32"/>
          <w:szCs w:val="32"/>
          <w:rtl/>
        </w:rPr>
        <w:t xml:space="preserve"> لا بالملكية الاعتبارية الفعلية </w:t>
      </w:r>
      <w:r w:rsidRPr="005E0643">
        <w:rPr>
          <w:b/>
          <w:bCs/>
          <w:sz w:val="32"/>
          <w:szCs w:val="32"/>
          <w:rtl/>
        </w:rPr>
        <w:t>(إلّا أنه لا يترتب عليهما ما هو أثر للملكية الفعلية الاعتبارية)</w:t>
      </w:r>
      <w:r w:rsidRPr="005E0643">
        <w:rPr>
          <w:sz w:val="32"/>
          <w:szCs w:val="32"/>
          <w:rtl/>
        </w:rPr>
        <w:t>.</w:t>
      </w:r>
    </w:p>
    <w:p w14:paraId="0731E9CE" w14:textId="77777777" w:rsidR="005E0643" w:rsidRPr="005E0643" w:rsidRDefault="005E0643" w:rsidP="00122B70">
      <w:pPr>
        <w:bidi/>
        <w:rPr>
          <w:sz w:val="32"/>
          <w:szCs w:val="32"/>
          <w:rtl/>
        </w:rPr>
      </w:pPr>
      <w:r w:rsidRPr="005E0643">
        <w:rPr>
          <w:sz w:val="32"/>
          <w:szCs w:val="32"/>
          <w:rtl/>
        </w:rPr>
        <w:t>فإنْ قُلتَ: لماذا لا يجب الحجّ عليه، إذا كان عمله مالاً؟</w:t>
      </w:r>
    </w:p>
    <w:p w14:paraId="20E329E7" w14:textId="77777777" w:rsidR="005E0643" w:rsidRPr="005E0643" w:rsidRDefault="005E0643" w:rsidP="00122B70">
      <w:pPr>
        <w:bidi/>
        <w:rPr>
          <w:b/>
          <w:bCs/>
          <w:sz w:val="32"/>
          <w:szCs w:val="32"/>
          <w:rtl/>
        </w:rPr>
      </w:pPr>
      <w:r w:rsidRPr="005E0643">
        <w:rPr>
          <w:sz w:val="32"/>
          <w:szCs w:val="32"/>
          <w:rtl/>
        </w:rPr>
        <w:t xml:space="preserve">أجاب (قدس سره): </w:t>
      </w:r>
      <w:r w:rsidRPr="005E0643">
        <w:rPr>
          <w:b/>
          <w:bCs/>
          <w:sz w:val="32"/>
          <w:szCs w:val="32"/>
          <w:rtl/>
        </w:rPr>
        <w:t xml:space="preserve">(وأما الوجه في عدم وجوب الحجّ على الحر – بلحاظ استطاعته من ناحية عمله – فلأن الاستطاعة إنما تتحقق </w:t>
      </w:r>
      <w:r w:rsidRPr="00B5281B">
        <w:rPr>
          <w:b/>
          <w:bCs/>
          <w:sz w:val="32"/>
          <w:szCs w:val="32"/>
          <w:highlight w:val="yellow"/>
          <w:rtl/>
        </w:rPr>
        <w:t>بمالكية المكلف</w:t>
      </w:r>
      <w:r w:rsidRPr="005E0643">
        <w:rPr>
          <w:b/>
          <w:bCs/>
          <w:sz w:val="32"/>
          <w:szCs w:val="32"/>
          <w:rtl/>
        </w:rPr>
        <w:t xml:space="preserve"> – بالفعل – لما يحج به من الزاد والراحلة. وبمالكيته لمؤونة عياله بالفعل أو بالقوة. وقد فسرت </w:t>
      </w:r>
      <w:proofErr w:type="spellStart"/>
      <w:r w:rsidRPr="005E0643">
        <w:rPr>
          <w:b/>
          <w:bCs/>
          <w:sz w:val="32"/>
          <w:szCs w:val="32"/>
          <w:rtl/>
        </w:rPr>
        <w:t>الإستطاعة</w:t>
      </w:r>
      <w:proofErr w:type="spellEnd"/>
      <w:r w:rsidRPr="005E0643">
        <w:rPr>
          <w:b/>
          <w:bCs/>
          <w:sz w:val="32"/>
          <w:szCs w:val="32"/>
          <w:rtl/>
        </w:rPr>
        <w:t xml:space="preserve"> بهذا المعنى. وبأمن الطريق في بعض الأخبار)</w:t>
      </w:r>
      <w:r w:rsidRPr="005E0643">
        <w:rPr>
          <w:b/>
          <w:bCs/>
          <w:sz w:val="32"/>
          <w:szCs w:val="32"/>
          <w:vertAlign w:val="superscript"/>
          <w:rtl/>
        </w:rPr>
        <w:footnoteReference w:id="180"/>
      </w:r>
      <w:r w:rsidRPr="005E0643">
        <w:rPr>
          <w:b/>
          <w:bCs/>
          <w:sz w:val="32"/>
          <w:szCs w:val="32"/>
          <w:rtl/>
        </w:rPr>
        <w:t>.</w:t>
      </w:r>
    </w:p>
    <w:p w14:paraId="45CB40E2" w14:textId="77777777" w:rsidR="005E0643" w:rsidRPr="005E0643" w:rsidRDefault="005E0643" w:rsidP="00122B70">
      <w:pPr>
        <w:bidi/>
        <w:rPr>
          <w:sz w:val="32"/>
          <w:szCs w:val="32"/>
          <w:rtl/>
        </w:rPr>
      </w:pPr>
      <w:r w:rsidRPr="005E0643">
        <w:rPr>
          <w:sz w:val="32"/>
          <w:szCs w:val="32"/>
          <w:rtl/>
        </w:rPr>
        <w:t xml:space="preserve">والمرادُ مِن كلامه (قدس سره): أنّ </w:t>
      </w:r>
      <w:proofErr w:type="spellStart"/>
      <w:r w:rsidRPr="005E0643">
        <w:rPr>
          <w:sz w:val="32"/>
          <w:szCs w:val="32"/>
          <w:rtl/>
        </w:rPr>
        <w:t>الإستطاعة</w:t>
      </w:r>
      <w:proofErr w:type="spellEnd"/>
      <w:r w:rsidRPr="005E0643">
        <w:rPr>
          <w:sz w:val="32"/>
          <w:szCs w:val="32"/>
          <w:rtl/>
        </w:rPr>
        <w:t xml:space="preserve"> تدورُ مدار وجدانه للمال بالفعل بملك أو حقّ أو </w:t>
      </w:r>
      <w:proofErr w:type="gramStart"/>
      <w:r w:rsidRPr="005E0643">
        <w:rPr>
          <w:sz w:val="32"/>
          <w:szCs w:val="32"/>
          <w:rtl/>
        </w:rPr>
        <w:t>بذل  –</w:t>
      </w:r>
      <w:proofErr w:type="gramEnd"/>
      <w:r w:rsidRPr="005E0643">
        <w:rPr>
          <w:sz w:val="32"/>
          <w:szCs w:val="32"/>
          <w:rtl/>
        </w:rPr>
        <w:t xml:space="preserve"> لا بمعنى أنْ يمتلك بالفعل ما يحج به</w:t>
      </w:r>
      <w:r w:rsidRPr="005E0643">
        <w:rPr>
          <w:sz w:val="32"/>
          <w:szCs w:val="32"/>
        </w:rPr>
        <w:t>.</w:t>
      </w:r>
    </w:p>
    <w:p w14:paraId="21850043" w14:textId="77777777" w:rsidR="005E0643" w:rsidRPr="005E0643" w:rsidRDefault="005E0643" w:rsidP="00122B70">
      <w:pPr>
        <w:bidi/>
        <w:rPr>
          <w:sz w:val="32"/>
          <w:szCs w:val="32"/>
          <w:rtl/>
        </w:rPr>
      </w:pPr>
      <w:r w:rsidRPr="005E0643">
        <w:rPr>
          <w:sz w:val="32"/>
          <w:szCs w:val="32"/>
          <w:rtl/>
        </w:rPr>
        <w:t>وإنْ كان ظاهر عبارته (قدس سره) اشتراط الملكية.</w:t>
      </w:r>
    </w:p>
    <w:p w14:paraId="0667BBDF" w14:textId="77777777" w:rsidR="005E0643" w:rsidRPr="005E0643" w:rsidRDefault="005E0643" w:rsidP="00122B70">
      <w:pPr>
        <w:bidi/>
        <w:rPr>
          <w:sz w:val="32"/>
          <w:szCs w:val="32"/>
          <w:rtl/>
        </w:rPr>
      </w:pPr>
      <w:r w:rsidRPr="005E0643">
        <w:rPr>
          <w:sz w:val="32"/>
          <w:szCs w:val="32"/>
          <w:rtl/>
        </w:rPr>
        <w:t xml:space="preserve">ويدل على ذلك ما في الكافي: </w:t>
      </w:r>
      <w:r w:rsidRPr="005E0643">
        <w:rPr>
          <w:b/>
          <w:bCs/>
          <w:sz w:val="32"/>
          <w:szCs w:val="32"/>
          <w:rtl/>
        </w:rPr>
        <w:t xml:space="preserve">(عليّ، عن أبيه، عن ابن بي عمير، عن محمد بن يحيى الخثعمي، قال: سأل حفص الكناسي أبا </w:t>
      </w:r>
      <w:proofErr w:type="gramStart"/>
      <w:r w:rsidRPr="005E0643">
        <w:rPr>
          <w:b/>
          <w:bCs/>
          <w:sz w:val="32"/>
          <w:szCs w:val="32"/>
          <w:rtl/>
        </w:rPr>
        <w:t>عبدالله</w:t>
      </w:r>
      <w:proofErr w:type="gramEnd"/>
      <w:r w:rsidRPr="005E0643">
        <w:rPr>
          <w:b/>
          <w:bCs/>
          <w:sz w:val="32"/>
          <w:szCs w:val="32"/>
          <w:rtl/>
        </w:rPr>
        <w:t xml:space="preserve"> (عليه السلام) – وأنا عنده – عن قول الله عزّ وجلّ: (وَلِلَّهِ عَلَى النَّاسِ حِجُّ الْبَيْتِ مَنِ اسْتَطَاعَ إِلَيْهِ سَبِيلً)</w:t>
      </w:r>
      <w:r w:rsidRPr="005E0643">
        <w:rPr>
          <w:b/>
          <w:bCs/>
          <w:sz w:val="32"/>
          <w:szCs w:val="32"/>
          <w:vertAlign w:val="superscript"/>
          <w:rtl/>
        </w:rPr>
        <w:footnoteReference w:id="181"/>
      </w:r>
      <w:r w:rsidRPr="005E0643">
        <w:rPr>
          <w:b/>
          <w:bCs/>
          <w:sz w:val="32"/>
          <w:szCs w:val="32"/>
          <w:rtl/>
        </w:rPr>
        <w:t xml:space="preserve"> ما يعني بذلك؟ قال: (</w:t>
      </w:r>
      <w:r w:rsidRPr="005E0643">
        <w:rPr>
          <w:b/>
          <w:bCs/>
          <w:sz w:val="32"/>
          <w:szCs w:val="32"/>
          <w:highlight w:val="yellow"/>
          <w:rtl/>
        </w:rPr>
        <w:t>من كان صحيحاً في بدنه، مُخلّى سربه، له زادٌ وراحلةٌ، فهو مِمّن يستطيع الحجّ</w:t>
      </w:r>
      <w:r w:rsidRPr="005E0643">
        <w:rPr>
          <w:b/>
          <w:bCs/>
          <w:sz w:val="32"/>
          <w:szCs w:val="32"/>
          <w:rtl/>
        </w:rPr>
        <w:t xml:space="preserve">) أو قال: (مِمَّن كان </w:t>
      </w:r>
      <w:r w:rsidRPr="005E0643">
        <w:rPr>
          <w:b/>
          <w:bCs/>
          <w:sz w:val="32"/>
          <w:szCs w:val="32"/>
          <w:rtl/>
        </w:rPr>
        <w:lastRenderedPageBreak/>
        <w:t>له مال). فقال له حفص الكناسي: فإذا كان صحيحاً في بدنه، مُخلّى سربه، له زاد وراحلة، فلم يحج، فهو مِمَّن يستطيع الحج؟ قال: (نعم))</w:t>
      </w:r>
      <w:r w:rsidRPr="005E0643">
        <w:rPr>
          <w:b/>
          <w:bCs/>
          <w:sz w:val="32"/>
          <w:szCs w:val="32"/>
          <w:vertAlign w:val="superscript"/>
          <w:rtl/>
        </w:rPr>
        <w:footnoteReference w:id="182"/>
      </w:r>
      <w:r w:rsidRPr="005E0643">
        <w:rPr>
          <w:sz w:val="32"/>
          <w:szCs w:val="32"/>
          <w:rtl/>
        </w:rPr>
        <w:t>.</w:t>
      </w:r>
    </w:p>
    <w:p w14:paraId="549F0FF6" w14:textId="77777777" w:rsidR="005E0643" w:rsidRPr="005E0643" w:rsidRDefault="005E0643" w:rsidP="00122B70">
      <w:pPr>
        <w:bidi/>
        <w:rPr>
          <w:sz w:val="32"/>
          <w:szCs w:val="32"/>
          <w:rtl/>
        </w:rPr>
      </w:pPr>
      <w:r w:rsidRPr="005E0643">
        <w:rPr>
          <w:sz w:val="32"/>
          <w:szCs w:val="32"/>
          <w:rtl/>
        </w:rPr>
        <w:t xml:space="preserve">فإنّ ظاهر قوله (عليه السلام): </w:t>
      </w:r>
      <w:r w:rsidRPr="005E0643">
        <w:rPr>
          <w:b/>
          <w:bCs/>
          <w:sz w:val="32"/>
          <w:szCs w:val="32"/>
          <w:rtl/>
        </w:rPr>
        <w:t xml:space="preserve">(له </w:t>
      </w:r>
      <w:r w:rsidRPr="00CD6289">
        <w:rPr>
          <w:b/>
          <w:bCs/>
          <w:sz w:val="32"/>
          <w:szCs w:val="32"/>
          <w:highlight w:val="yellow"/>
          <w:rtl/>
        </w:rPr>
        <w:t>زادٌ وراحلةٌ، فهو مِمّن يستطيع الحجّ</w:t>
      </w:r>
      <w:r w:rsidRPr="005E0643">
        <w:rPr>
          <w:b/>
          <w:bCs/>
          <w:sz w:val="32"/>
          <w:szCs w:val="32"/>
          <w:rtl/>
        </w:rPr>
        <w:t xml:space="preserve">) </w:t>
      </w:r>
      <w:r w:rsidRPr="005E0643">
        <w:rPr>
          <w:sz w:val="32"/>
          <w:szCs w:val="32"/>
          <w:rtl/>
        </w:rPr>
        <w:t>يعني: أنّه واجد بالفعل لهما، والحرّ وإنْ كان قادراً على الكسب لكنه لا يجد بالفعل ما يحج به - وهو الزاد والراحلة - لذلك لا يجب عليه الحجّ</w:t>
      </w:r>
      <w:r w:rsidRPr="005E0643">
        <w:rPr>
          <w:sz w:val="32"/>
          <w:szCs w:val="32"/>
        </w:rPr>
        <w:t>.</w:t>
      </w:r>
    </w:p>
    <w:p w14:paraId="753421D0" w14:textId="77777777" w:rsidR="005E0643" w:rsidRPr="005E0643" w:rsidRDefault="005E0643" w:rsidP="00122B70">
      <w:pPr>
        <w:bidi/>
        <w:rPr>
          <w:b/>
          <w:bCs/>
          <w:sz w:val="32"/>
          <w:szCs w:val="32"/>
          <w:rtl/>
        </w:rPr>
      </w:pPr>
      <w:r w:rsidRPr="005E0643">
        <w:rPr>
          <w:sz w:val="32"/>
          <w:szCs w:val="32"/>
          <w:rtl/>
        </w:rPr>
        <w:t xml:space="preserve">ثمّ قال (قدس سره الشريف): </w:t>
      </w:r>
      <w:r w:rsidRPr="005E0643">
        <w:rPr>
          <w:b/>
          <w:bCs/>
          <w:sz w:val="32"/>
          <w:szCs w:val="32"/>
          <w:rtl/>
        </w:rPr>
        <w:t>(وقد اتضح لك مما بيناه أنه لا يصح إطلاق ذي المال على الحرّ باعتبار عمله، إذ المناط في صحة هذا الإطلاق)</w:t>
      </w:r>
      <w:r w:rsidRPr="005E0643">
        <w:rPr>
          <w:sz w:val="32"/>
          <w:szCs w:val="32"/>
          <w:rtl/>
        </w:rPr>
        <w:t xml:space="preserve"> عرفاً </w:t>
      </w:r>
      <w:r w:rsidRPr="005E0643">
        <w:rPr>
          <w:b/>
          <w:bCs/>
          <w:sz w:val="32"/>
          <w:szCs w:val="32"/>
          <w:rtl/>
        </w:rPr>
        <w:t>(كون الإنسان مالكاً لأمواله بالملكية الفعلية الاعتبارية. وقد عرفت قريباً: أن عمل الحر قبل وقوع المعاوضة عليه غير مملوك له كذلك، لأن ثبوت شيء لشيء بالإضافة الاعتبارية إنما يصح في غير موارد الثبوت الحقيقي. وإلّا كان الاعتبار لغواً محضاً، وتحصيلاً للحاصل)</w:t>
      </w:r>
      <w:r w:rsidRPr="005E0643">
        <w:rPr>
          <w:b/>
          <w:bCs/>
          <w:sz w:val="32"/>
          <w:szCs w:val="32"/>
        </w:rPr>
        <w:t>.</w:t>
      </w:r>
    </w:p>
    <w:p w14:paraId="6C021368" w14:textId="77777777" w:rsidR="005E0643" w:rsidRPr="005E0643" w:rsidRDefault="005E0643" w:rsidP="00122B70">
      <w:pPr>
        <w:bidi/>
        <w:rPr>
          <w:sz w:val="32"/>
          <w:szCs w:val="32"/>
          <w:rtl/>
        </w:rPr>
      </w:pPr>
      <w:r w:rsidRPr="005E0643">
        <w:rPr>
          <w:b/>
          <w:bCs/>
          <w:sz w:val="32"/>
          <w:szCs w:val="32"/>
          <w:rtl/>
        </w:rPr>
        <w:t>وبعبارةٍ أُخرى:</w:t>
      </w:r>
      <w:r w:rsidRPr="005E0643">
        <w:rPr>
          <w:sz w:val="32"/>
          <w:szCs w:val="32"/>
          <w:rtl/>
        </w:rPr>
        <w:t xml:space="preserve"> إنّ مصحح الإضافة غير مصحح الإطلاق، فهنا إسنادان</w:t>
      </w:r>
      <w:r w:rsidRPr="005E0643">
        <w:rPr>
          <w:sz w:val="32"/>
          <w:szCs w:val="32"/>
        </w:rPr>
        <w:t>:</w:t>
      </w:r>
    </w:p>
    <w:p w14:paraId="26AF7DE2" w14:textId="77777777" w:rsidR="005E0643" w:rsidRPr="005E0643" w:rsidRDefault="005E0643" w:rsidP="00122B70">
      <w:pPr>
        <w:bidi/>
        <w:rPr>
          <w:sz w:val="32"/>
          <w:szCs w:val="32"/>
          <w:rtl/>
        </w:rPr>
      </w:pPr>
      <w:r w:rsidRPr="005E0643">
        <w:rPr>
          <w:b/>
          <w:bCs/>
          <w:sz w:val="32"/>
          <w:szCs w:val="32"/>
          <w:rtl/>
        </w:rPr>
        <w:t>الأوّل:</w:t>
      </w:r>
      <w:r w:rsidRPr="005E0643">
        <w:rPr>
          <w:sz w:val="32"/>
          <w:szCs w:val="32"/>
          <w:rtl/>
        </w:rPr>
        <w:t xml:space="preserve"> عمل الحرّ مال، أو ليس بمال؟ والصحيح أنّه مالٌ للرغبة العقلائية </w:t>
      </w:r>
      <w:proofErr w:type="gramStart"/>
      <w:r w:rsidRPr="005E0643">
        <w:rPr>
          <w:sz w:val="32"/>
          <w:szCs w:val="32"/>
          <w:rtl/>
        </w:rPr>
        <w:t>فيه</w:t>
      </w:r>
      <w:r w:rsidRPr="005E0643">
        <w:rPr>
          <w:sz w:val="32"/>
          <w:szCs w:val="32"/>
        </w:rPr>
        <w:t xml:space="preserve"> .</w:t>
      </w:r>
      <w:proofErr w:type="gramEnd"/>
    </w:p>
    <w:p w14:paraId="357D1FBE" w14:textId="77777777" w:rsidR="005E0643" w:rsidRPr="005E0643" w:rsidRDefault="005E0643" w:rsidP="00122B70">
      <w:pPr>
        <w:bidi/>
        <w:rPr>
          <w:sz w:val="32"/>
          <w:szCs w:val="32"/>
          <w:rtl/>
        </w:rPr>
      </w:pPr>
      <w:r w:rsidRPr="005E0643">
        <w:rPr>
          <w:b/>
          <w:bCs/>
          <w:sz w:val="32"/>
          <w:szCs w:val="32"/>
          <w:rtl/>
        </w:rPr>
        <w:t>والثاني:</w:t>
      </w:r>
      <w:r w:rsidRPr="005E0643">
        <w:rPr>
          <w:sz w:val="32"/>
          <w:szCs w:val="32"/>
          <w:rtl/>
        </w:rPr>
        <w:t xml:space="preserve"> فلانٌ ذو مال أم لا؟ والصحيح أنّ هذا لا يصح عرفاً إلّا بالملك، أي: ما لَمْ يملك لا يقال أنّه ذو مال</w:t>
      </w:r>
      <w:r w:rsidRPr="005E0643">
        <w:rPr>
          <w:sz w:val="32"/>
          <w:szCs w:val="32"/>
        </w:rPr>
        <w:t>.</w:t>
      </w:r>
    </w:p>
    <w:p w14:paraId="1C37914B" w14:textId="77777777" w:rsidR="005E0643" w:rsidRPr="005E0643" w:rsidRDefault="005E0643" w:rsidP="00122B70">
      <w:pPr>
        <w:bidi/>
        <w:rPr>
          <w:sz w:val="32"/>
          <w:szCs w:val="32"/>
          <w:rtl/>
        </w:rPr>
      </w:pPr>
      <w:r w:rsidRPr="005E0643">
        <w:rPr>
          <w:sz w:val="32"/>
          <w:szCs w:val="32"/>
          <w:rtl/>
        </w:rPr>
        <w:t xml:space="preserve">وفي المقام إجماعٌ منقولٌ عند فقهائنا – </w:t>
      </w:r>
      <w:proofErr w:type="gramStart"/>
      <w:r w:rsidRPr="005E0643">
        <w:rPr>
          <w:sz w:val="32"/>
          <w:szCs w:val="32"/>
          <w:rtl/>
        </w:rPr>
        <w:t>لا  إجماع</w:t>
      </w:r>
      <w:proofErr w:type="gramEnd"/>
      <w:r w:rsidRPr="005E0643">
        <w:rPr>
          <w:sz w:val="32"/>
          <w:szCs w:val="32"/>
          <w:rtl/>
        </w:rPr>
        <w:t xml:space="preserve"> محصل - أنّه لو حبسه شخصٌ لا يضمن له متى ما فك أسره، كما لو حبسه عشرين سنة أو خمسين سنة وقد كان بإمكانه في هذه العشرين سنة أنْ يعمل ويكتسب أموالاً فإنّه لا يضمن أُجرة منافعه مع أنّه كان قادراً على العمل</w:t>
      </w:r>
      <w:r w:rsidRPr="005E0643">
        <w:rPr>
          <w:sz w:val="32"/>
          <w:szCs w:val="32"/>
        </w:rPr>
        <w:t>.</w:t>
      </w:r>
    </w:p>
    <w:p w14:paraId="1ACDB8D9" w14:textId="77777777" w:rsidR="005E0643" w:rsidRPr="005E0643" w:rsidRDefault="005E0643" w:rsidP="00122B70">
      <w:pPr>
        <w:bidi/>
        <w:rPr>
          <w:sz w:val="32"/>
          <w:szCs w:val="32"/>
          <w:rtl/>
        </w:rPr>
      </w:pPr>
      <w:r w:rsidRPr="005E0643">
        <w:rPr>
          <w:sz w:val="32"/>
          <w:szCs w:val="32"/>
          <w:rtl/>
        </w:rPr>
        <w:t>ولذا قال سيدنا الخوئي (قدس سره الشريف)</w:t>
      </w:r>
      <w:r w:rsidRPr="005E0643">
        <w:rPr>
          <w:sz w:val="32"/>
          <w:szCs w:val="32"/>
          <w:vertAlign w:val="superscript"/>
          <w:rtl/>
        </w:rPr>
        <w:footnoteReference w:id="183"/>
      </w:r>
      <w:r w:rsidRPr="005E0643">
        <w:rPr>
          <w:sz w:val="32"/>
          <w:szCs w:val="32"/>
          <w:rtl/>
        </w:rPr>
        <w:t xml:space="preserve">: </w:t>
      </w:r>
      <w:r w:rsidRPr="005E0643">
        <w:rPr>
          <w:b/>
          <w:bCs/>
          <w:sz w:val="32"/>
          <w:szCs w:val="32"/>
          <w:rtl/>
        </w:rPr>
        <w:t xml:space="preserve">(وأما الوجه في أن إتلاف عمل الحر لا يوجب ضمانه على المتلف فهو أن قاعدة الضمان بالإتلاف) </w:t>
      </w:r>
      <w:r w:rsidRPr="005E0643">
        <w:rPr>
          <w:sz w:val="32"/>
          <w:szCs w:val="32"/>
          <w:rtl/>
        </w:rPr>
        <w:t xml:space="preserve">وهي: "مَن أتلف مالَ غيره فهو لهُ ضامن" (ليست برواية لكي يتمسك بإطلاقها في الموارد المشكوكة. بل هي قاعدة متصيدة من الموارد الخاصة. وإذن فلابد من الاقتصار فيها على المواضع المسلّمة المتيقنة). أي: الاقتصارُ على القدر المتيقن والقدرُ المتيقن ما إذا كان عمله ملكاً </w:t>
      </w:r>
      <w:proofErr w:type="gramStart"/>
      <w:r w:rsidRPr="005E0643">
        <w:rPr>
          <w:sz w:val="32"/>
          <w:szCs w:val="32"/>
          <w:rtl/>
        </w:rPr>
        <w:t>بالإجارة</w:t>
      </w:r>
      <w:proofErr w:type="gramEnd"/>
      <w:r w:rsidRPr="005E0643">
        <w:rPr>
          <w:sz w:val="32"/>
          <w:szCs w:val="32"/>
          <w:rtl/>
        </w:rPr>
        <w:t xml:space="preserve"> أو بالصلح أو البيع أو الإرث.</w:t>
      </w:r>
    </w:p>
    <w:p w14:paraId="61392510" w14:textId="77777777" w:rsidR="005E0643" w:rsidRPr="005E0643" w:rsidRDefault="005E0643" w:rsidP="00122B70">
      <w:pPr>
        <w:bidi/>
        <w:rPr>
          <w:b/>
          <w:bCs/>
          <w:sz w:val="32"/>
          <w:szCs w:val="32"/>
          <w:rtl/>
        </w:rPr>
      </w:pPr>
      <w:r w:rsidRPr="005E0643">
        <w:rPr>
          <w:b/>
          <w:bCs/>
          <w:sz w:val="32"/>
          <w:szCs w:val="32"/>
          <w:rtl/>
        </w:rPr>
        <w:t xml:space="preserve">(ومع الاغضاء عن ذلك، وتسليم كونها رواية أنها غريبة عن عمل الحر. إذ المستفاد منها أن إتلاف مال غيره موجب للضمان) </w:t>
      </w:r>
      <w:r w:rsidRPr="005E0643">
        <w:rPr>
          <w:sz w:val="32"/>
          <w:szCs w:val="32"/>
          <w:rtl/>
        </w:rPr>
        <w:t xml:space="preserve">أي: أنّ المناط فيها هو إتلافُ مال غيره </w:t>
      </w:r>
      <w:r w:rsidRPr="005E0643">
        <w:rPr>
          <w:b/>
          <w:bCs/>
          <w:sz w:val="32"/>
          <w:szCs w:val="32"/>
          <w:rtl/>
        </w:rPr>
        <w:t xml:space="preserve">(ومن الواضح </w:t>
      </w:r>
      <w:r w:rsidRPr="005E0643">
        <w:rPr>
          <w:b/>
          <w:bCs/>
          <w:sz w:val="32"/>
          <w:szCs w:val="32"/>
          <w:rtl/>
        </w:rPr>
        <w:lastRenderedPageBreak/>
        <w:t xml:space="preserve">أن الظاهر من كلمة (المال) هو المال المضاف إلى مالكه بالإضافة الاعتبارية) </w:t>
      </w:r>
      <w:r w:rsidRPr="005E0643">
        <w:rPr>
          <w:sz w:val="32"/>
          <w:szCs w:val="32"/>
          <w:rtl/>
        </w:rPr>
        <w:t xml:space="preserve">أي: أنّ كلمة "المال" وإنْ صدقت على عمل الحرّ إلّا أنّه لا تصدق الإضافة وعنوان "مالُهُ"، وموضوع القاعدة مَن أتلف مالَ غيره لا مَن أتلف مالاً </w:t>
      </w:r>
      <w:r w:rsidRPr="005E0643">
        <w:rPr>
          <w:b/>
          <w:bCs/>
          <w:sz w:val="32"/>
          <w:szCs w:val="32"/>
          <w:rtl/>
        </w:rPr>
        <w:t>(وقد عرفت: أن عمل الحر قبل وقوع المعاوضة عليه ليس كذلك. وعليه فلا يكون مشمولاً لقاعدة الضمان بالإتلاف)</w:t>
      </w:r>
      <w:r w:rsidRPr="005E0643">
        <w:rPr>
          <w:b/>
          <w:bCs/>
          <w:sz w:val="32"/>
          <w:szCs w:val="32"/>
        </w:rPr>
        <w:t>.</w:t>
      </w:r>
    </w:p>
    <w:p w14:paraId="684FB48C" w14:textId="77777777" w:rsidR="005E0643" w:rsidRPr="005E0643" w:rsidRDefault="005E0643" w:rsidP="00122B70">
      <w:pPr>
        <w:bidi/>
        <w:rPr>
          <w:sz w:val="32"/>
          <w:szCs w:val="32"/>
          <w:rtl/>
        </w:rPr>
      </w:pPr>
      <w:r w:rsidRPr="005E0643">
        <w:rPr>
          <w:sz w:val="32"/>
          <w:szCs w:val="32"/>
          <w:rtl/>
        </w:rPr>
        <w:t>وهنا ينبغي التفريقُ بين الحرّ الكسوب والحرّ الذي ليس لديه استعدادٌ للعمل مع أنّ له القدرة على العمل لكنه لا يريد العمل إمّا لأنّه يمتلك مالاً أو لأيِّ سببٍ آخر فهذا لو حُبس لا ضمان له</w:t>
      </w:r>
      <w:r w:rsidRPr="005E0643">
        <w:rPr>
          <w:sz w:val="32"/>
          <w:szCs w:val="32"/>
        </w:rPr>
        <w:t>.</w:t>
      </w:r>
    </w:p>
    <w:p w14:paraId="54CE419D" w14:textId="77777777" w:rsidR="005E0643" w:rsidRPr="005E0643" w:rsidRDefault="005E0643" w:rsidP="00122B70">
      <w:pPr>
        <w:bidi/>
        <w:rPr>
          <w:sz w:val="32"/>
          <w:szCs w:val="32"/>
          <w:rtl/>
        </w:rPr>
      </w:pPr>
      <w:r w:rsidRPr="005E0643">
        <w:rPr>
          <w:sz w:val="32"/>
          <w:szCs w:val="32"/>
          <w:rtl/>
        </w:rPr>
        <w:t xml:space="preserve">وقد نص على الفرق بينهما بقوله (قدس سره الشريف): </w:t>
      </w:r>
      <w:r w:rsidRPr="005E0643">
        <w:rPr>
          <w:b/>
          <w:bCs/>
          <w:sz w:val="32"/>
          <w:szCs w:val="32"/>
          <w:rtl/>
        </w:rPr>
        <w:t>(نعم إذا كان الحر كسوباً)</w:t>
      </w:r>
      <w:r w:rsidRPr="005E0643">
        <w:rPr>
          <w:sz w:val="32"/>
          <w:szCs w:val="32"/>
          <w:rtl/>
        </w:rPr>
        <w:t xml:space="preserve"> مستعداً للكسب كالنجار الذي يريد أنْ يستأجره أحد للنجارة أو حمال يريد أنْ يستأجره أحد للحمل أو عنده قدرة على مهنة مِن المهن وهو مستعدٌ لذلك </w:t>
      </w:r>
      <w:r w:rsidRPr="005E0643">
        <w:rPr>
          <w:b/>
          <w:bCs/>
          <w:sz w:val="32"/>
          <w:szCs w:val="32"/>
          <w:rtl/>
        </w:rPr>
        <w:t>(وله عمل خاص يشتغل به كل يوم – كالبناية والنجارة والخياطة وغيرها – فإن منعه عن ذلك موجب للضمان)</w:t>
      </w:r>
      <w:r w:rsidRPr="005E0643">
        <w:rPr>
          <w:sz w:val="32"/>
          <w:szCs w:val="32"/>
          <w:rtl/>
        </w:rPr>
        <w:t xml:space="preserve"> لا لقاعدة </w:t>
      </w:r>
      <w:proofErr w:type="gramStart"/>
      <w:r w:rsidRPr="005E0643">
        <w:rPr>
          <w:sz w:val="32"/>
          <w:szCs w:val="32"/>
          <w:rtl/>
        </w:rPr>
        <w:t>الإتلاف</w:t>
      </w:r>
      <w:proofErr w:type="gramEnd"/>
      <w:r w:rsidRPr="005E0643">
        <w:rPr>
          <w:sz w:val="32"/>
          <w:szCs w:val="32"/>
          <w:rtl/>
        </w:rPr>
        <w:t xml:space="preserve"> بل </w:t>
      </w:r>
      <w:r w:rsidRPr="005E0643">
        <w:rPr>
          <w:b/>
          <w:bCs/>
          <w:sz w:val="32"/>
          <w:szCs w:val="32"/>
          <w:rtl/>
        </w:rPr>
        <w:t xml:space="preserve">(للسيرة القطعية العقلائية) </w:t>
      </w:r>
      <w:r w:rsidRPr="005E0643">
        <w:rPr>
          <w:sz w:val="32"/>
          <w:szCs w:val="32"/>
          <w:rtl/>
        </w:rPr>
        <w:t>فإنّ السيرة العقلائية قائمة على ضمان منافع الحرّ الكسوب</w:t>
      </w:r>
      <w:r w:rsidRPr="005E0643">
        <w:rPr>
          <w:sz w:val="32"/>
          <w:szCs w:val="32"/>
        </w:rPr>
        <w:t>.</w:t>
      </w:r>
    </w:p>
    <w:p w14:paraId="07B80D50" w14:textId="77777777" w:rsidR="005E0643" w:rsidRPr="005E0643" w:rsidRDefault="005E0643" w:rsidP="00122B70">
      <w:pPr>
        <w:bidi/>
        <w:rPr>
          <w:sz w:val="32"/>
          <w:szCs w:val="32"/>
          <w:rtl/>
        </w:rPr>
      </w:pPr>
      <w:r w:rsidRPr="005E0643">
        <w:rPr>
          <w:sz w:val="32"/>
          <w:szCs w:val="32"/>
          <w:rtl/>
        </w:rPr>
        <w:t xml:space="preserve">وما ذكره سيدنا الخوئي (قدس سره الشريف) في كتابه مصباح الفقاهة </w:t>
      </w:r>
      <w:r w:rsidRPr="00B0745B">
        <w:rPr>
          <w:sz w:val="32"/>
          <w:szCs w:val="32"/>
          <w:highlight w:val="yellow"/>
          <w:rtl/>
        </w:rPr>
        <w:t>قد عدل عنهُ في كتابه الإجارة من موسوعته المباركة – لأنّ كتاب الإجارة</w:t>
      </w:r>
      <w:r w:rsidRPr="005E0643">
        <w:rPr>
          <w:sz w:val="32"/>
          <w:szCs w:val="32"/>
          <w:rtl/>
        </w:rPr>
        <w:t xml:space="preserve"> متأخرٌ عن مصباح الفقاهة -، في البحث في المسألة الثالثة – محل كلامنا – تعليقاً على ما ذكره سيد العروة (قدس سره الشريف) بقوله: </w:t>
      </w:r>
      <w:r w:rsidRPr="005E0643">
        <w:rPr>
          <w:b/>
          <w:bCs/>
          <w:sz w:val="32"/>
          <w:szCs w:val="32"/>
          <w:rtl/>
        </w:rPr>
        <w:t>(مع أنّا لا نسلم أنّ منافعه لا تضمن إلّا بالاستيفاء، بل تضمن بالتفويت أيضاً إذا صدق ذلك، كما إذا حبسه</w:t>
      </w:r>
      <w:r w:rsidRPr="005E0643">
        <w:rPr>
          <w:sz w:val="32"/>
          <w:szCs w:val="32"/>
          <w:rtl/>
        </w:rPr>
        <w:t xml:space="preserve"> </w:t>
      </w:r>
      <w:r w:rsidRPr="005E0643">
        <w:rPr>
          <w:b/>
          <w:bCs/>
          <w:sz w:val="32"/>
          <w:szCs w:val="32"/>
          <w:rtl/>
        </w:rPr>
        <w:t>وكان كسوباً فإنّه يصدق في العرف أنّه فوّت عليه كذا مقداراً)</w:t>
      </w:r>
      <w:r w:rsidRPr="005E0643">
        <w:rPr>
          <w:sz w:val="32"/>
          <w:szCs w:val="32"/>
          <w:rtl/>
        </w:rPr>
        <w:t xml:space="preserve"> أي: كذا مقداراً من الأعمال فيكون ضامناً</w:t>
      </w:r>
      <w:r w:rsidRPr="005E0643">
        <w:rPr>
          <w:sz w:val="32"/>
          <w:szCs w:val="32"/>
        </w:rPr>
        <w:t>.</w:t>
      </w:r>
    </w:p>
    <w:p w14:paraId="3AE37168" w14:textId="77777777" w:rsidR="005E0643" w:rsidRPr="005E0643" w:rsidRDefault="005E0643" w:rsidP="00122B70">
      <w:pPr>
        <w:bidi/>
        <w:rPr>
          <w:b/>
          <w:bCs/>
          <w:sz w:val="32"/>
          <w:szCs w:val="32"/>
          <w:rtl/>
        </w:rPr>
      </w:pPr>
      <w:r w:rsidRPr="005E0643">
        <w:rPr>
          <w:sz w:val="32"/>
          <w:szCs w:val="32"/>
          <w:rtl/>
        </w:rPr>
        <w:t xml:space="preserve">وفي شرح سيدنا الخوئي لكلام سيد العروة (قدس سرهما) قال: </w:t>
      </w:r>
      <w:r w:rsidRPr="005E0643">
        <w:rPr>
          <w:b/>
          <w:bCs/>
          <w:sz w:val="32"/>
          <w:szCs w:val="32"/>
          <w:rtl/>
        </w:rPr>
        <w:t>(فإنّ الاعتبار في الضمان بصدق التفويت، فإذا فرضنا حرّاً كسوباً يكسب كلّ يوم كذا مقداراً من المال، فيكون ضامناً له بطبيعة الحال)</w:t>
      </w:r>
      <w:r w:rsidRPr="005E0643">
        <w:rPr>
          <w:b/>
          <w:bCs/>
          <w:sz w:val="32"/>
          <w:szCs w:val="32"/>
          <w:vertAlign w:val="superscript"/>
          <w:rtl/>
        </w:rPr>
        <w:footnoteReference w:id="184"/>
      </w:r>
      <w:r w:rsidRPr="005E0643">
        <w:rPr>
          <w:b/>
          <w:bCs/>
          <w:sz w:val="32"/>
          <w:szCs w:val="32"/>
          <w:rtl/>
        </w:rPr>
        <w:t>.</w:t>
      </w:r>
    </w:p>
    <w:p w14:paraId="4282773A" w14:textId="77777777" w:rsidR="005E0643" w:rsidRPr="005E0643" w:rsidRDefault="005E0643" w:rsidP="00122B70">
      <w:pPr>
        <w:bidi/>
        <w:rPr>
          <w:b/>
          <w:bCs/>
          <w:sz w:val="32"/>
          <w:szCs w:val="32"/>
          <w:rtl/>
        </w:rPr>
      </w:pPr>
      <w:r w:rsidRPr="005E0643">
        <w:rPr>
          <w:sz w:val="32"/>
          <w:szCs w:val="32"/>
          <w:rtl/>
        </w:rPr>
        <w:t xml:space="preserve">ثمّ فنده (قدس سره) بقوله: </w:t>
      </w:r>
      <w:r w:rsidRPr="005E0643">
        <w:rPr>
          <w:b/>
          <w:bCs/>
          <w:sz w:val="32"/>
          <w:szCs w:val="32"/>
          <w:rtl/>
        </w:rPr>
        <w:t xml:space="preserve">(وهذا </w:t>
      </w:r>
      <w:r w:rsidRPr="00537A5E">
        <w:rPr>
          <w:b/>
          <w:bCs/>
          <w:sz w:val="32"/>
          <w:szCs w:val="32"/>
          <w:highlight w:val="yellow"/>
          <w:rtl/>
        </w:rPr>
        <w:t>الجواب – كما ترى – لا يمكن المساعدة عليه بوجه</w:t>
      </w:r>
      <w:r w:rsidRPr="005E0643">
        <w:rPr>
          <w:b/>
          <w:bCs/>
          <w:sz w:val="32"/>
          <w:szCs w:val="32"/>
          <w:rtl/>
        </w:rPr>
        <w:t>، لقصور أدلّة الضمان عن الشمول للمقام، فإنّ سببه إمّا وضع اليد على مال الغير عدواناً أو إتلافه، بمقتضى أنّ: من أتلف مال الغير فهو له ضامن، والذي هو عبارة متصيّدة من الأخبار وإن لم يرد بهذا اللفظ، مضافاً على السيرة العملية القائمة على أنّ إتلاف المال موجب للضمان</w:t>
      </w:r>
      <w:r w:rsidRPr="005E0643">
        <w:rPr>
          <w:b/>
          <w:bCs/>
          <w:sz w:val="32"/>
          <w:szCs w:val="32"/>
        </w:rPr>
        <w:t>.</w:t>
      </w:r>
    </w:p>
    <w:p w14:paraId="2224BABF" w14:textId="77777777" w:rsidR="005E0643" w:rsidRPr="005E0643" w:rsidRDefault="005E0643" w:rsidP="00122B70">
      <w:pPr>
        <w:bidi/>
        <w:rPr>
          <w:sz w:val="32"/>
          <w:szCs w:val="32"/>
          <w:rtl/>
        </w:rPr>
      </w:pPr>
      <w:r w:rsidRPr="005E0643">
        <w:rPr>
          <w:b/>
          <w:bCs/>
          <w:sz w:val="32"/>
          <w:szCs w:val="32"/>
          <w:rtl/>
        </w:rPr>
        <w:lastRenderedPageBreak/>
        <w:t>ومن الواضح عدم انطباق شيء من ذلك على عمل الحرّ، إذ لا يصدق عليه وضع اليد)</w:t>
      </w:r>
      <w:r w:rsidRPr="005E0643">
        <w:rPr>
          <w:sz w:val="32"/>
          <w:szCs w:val="32"/>
          <w:rtl/>
        </w:rPr>
        <w:t xml:space="preserve"> فإنّ مَن حبس الحرّ فقد وضع اليد على الحرّ لا على عمله، فإنّ موضع </w:t>
      </w:r>
      <w:proofErr w:type="spellStart"/>
      <w:r w:rsidRPr="005E0643">
        <w:rPr>
          <w:sz w:val="32"/>
          <w:szCs w:val="32"/>
          <w:rtl/>
        </w:rPr>
        <w:t>إستيلاء</w:t>
      </w:r>
      <w:proofErr w:type="spellEnd"/>
      <w:r w:rsidRPr="005E0643">
        <w:rPr>
          <w:sz w:val="32"/>
          <w:szCs w:val="32"/>
          <w:rtl/>
        </w:rPr>
        <w:t xml:space="preserve"> اليد هو الحرّ نفسه لا عمله </w:t>
      </w:r>
      <w:r w:rsidRPr="005E0643">
        <w:rPr>
          <w:b/>
          <w:bCs/>
          <w:sz w:val="32"/>
          <w:szCs w:val="32"/>
          <w:rtl/>
        </w:rPr>
        <w:t>(كما هو واضح ولا الإتلاف، لأنّه متفرّع على أن يكون له مال موجود ليرد الإتلاف عليه، ولا وجود له حسب الفرض.)</w:t>
      </w:r>
      <w:r w:rsidRPr="005E0643">
        <w:rPr>
          <w:sz w:val="32"/>
          <w:szCs w:val="32"/>
          <w:rtl/>
        </w:rPr>
        <w:t xml:space="preserve"> فهو قادرٌ على الكسب لكن لا يوجد شيءٌ حتى يصدق عنوان الإتلاف</w:t>
      </w:r>
      <w:r w:rsidRPr="005E0643">
        <w:rPr>
          <w:sz w:val="32"/>
          <w:szCs w:val="32"/>
        </w:rPr>
        <w:t xml:space="preserve">. </w:t>
      </w:r>
    </w:p>
    <w:p w14:paraId="761D0095" w14:textId="77777777" w:rsidR="005E0643" w:rsidRPr="005E0643" w:rsidRDefault="005E0643" w:rsidP="00122B70">
      <w:pPr>
        <w:bidi/>
        <w:rPr>
          <w:sz w:val="32"/>
          <w:szCs w:val="32"/>
          <w:rtl/>
        </w:rPr>
      </w:pPr>
      <w:r w:rsidRPr="005E0643">
        <w:rPr>
          <w:b/>
          <w:bCs/>
          <w:sz w:val="32"/>
          <w:szCs w:val="32"/>
          <w:rtl/>
        </w:rPr>
        <w:t>(نعم، يصدق التفويت)</w:t>
      </w:r>
      <w:r w:rsidRPr="005E0643">
        <w:rPr>
          <w:sz w:val="32"/>
          <w:szCs w:val="32"/>
          <w:rtl/>
        </w:rPr>
        <w:t xml:space="preserve"> كما ذكر سيد العروة (قدس سره) </w:t>
      </w:r>
      <w:r w:rsidRPr="005E0643">
        <w:rPr>
          <w:b/>
          <w:bCs/>
          <w:sz w:val="32"/>
          <w:szCs w:val="32"/>
          <w:rtl/>
        </w:rPr>
        <w:t xml:space="preserve">(باعتبار أنّ الحابس بحبسه سدّ على الكسوب باب تحصيل المنفعة، فهو بمنعه عن الاكتساب فوّت المال عليه، إلّا أن التفويت شيء والإتلاف شيء آخر، والموجب للضمان إنّما هو الثاني) </w:t>
      </w:r>
      <w:r w:rsidRPr="005E0643">
        <w:rPr>
          <w:sz w:val="32"/>
          <w:szCs w:val="32"/>
          <w:rtl/>
        </w:rPr>
        <w:t xml:space="preserve">أي: الإتلاف </w:t>
      </w:r>
      <w:r w:rsidRPr="005E0643">
        <w:rPr>
          <w:b/>
          <w:bCs/>
          <w:sz w:val="32"/>
          <w:szCs w:val="32"/>
          <w:rtl/>
        </w:rPr>
        <w:t>(المتوقّف على واجديّته لمال فعلي كما عرفت، دون الأوّل.)</w:t>
      </w:r>
      <w:r w:rsidRPr="005E0643">
        <w:rPr>
          <w:sz w:val="32"/>
          <w:szCs w:val="32"/>
          <w:rtl/>
        </w:rPr>
        <w:t xml:space="preserve"> والشاهدُ على أنّه لا يصدق على حبسه أنّه أتلف مالاً عليه، أنّه لا يجب عليه الحجّ</w:t>
      </w:r>
      <w:r w:rsidRPr="005E0643">
        <w:rPr>
          <w:sz w:val="32"/>
          <w:szCs w:val="32"/>
        </w:rPr>
        <w:t>.</w:t>
      </w:r>
    </w:p>
    <w:p w14:paraId="51AC541B" w14:textId="77777777" w:rsidR="005E0643" w:rsidRPr="005E0643" w:rsidRDefault="005E0643" w:rsidP="00122B70">
      <w:pPr>
        <w:bidi/>
        <w:rPr>
          <w:b/>
          <w:bCs/>
          <w:sz w:val="32"/>
          <w:szCs w:val="32"/>
          <w:rtl/>
        </w:rPr>
      </w:pPr>
      <w:r w:rsidRPr="005E0643">
        <w:rPr>
          <w:b/>
          <w:bCs/>
          <w:sz w:val="32"/>
          <w:szCs w:val="32"/>
          <w:rtl/>
        </w:rPr>
        <w:t>(ومن ثمّ لم يجب الحجّ على الحرّ القادر على الكسب وتحصيل الزاد والراحلة قولاً واحداً، إذ لا يقال: إنّ عدنه كذا مقداراً من المال، فلو كان عمله ملكاً له وكانت أعماله أموالاً فعليّة فكيف لم يجب عليه الحجّ؟</w:t>
      </w:r>
      <w:r w:rsidRPr="005E0643">
        <w:rPr>
          <w:b/>
          <w:bCs/>
          <w:sz w:val="32"/>
          <w:szCs w:val="32"/>
        </w:rPr>
        <w:t>!</w:t>
      </w:r>
    </w:p>
    <w:p w14:paraId="5B2372F0" w14:textId="77777777" w:rsidR="005E0643" w:rsidRPr="005E0643" w:rsidRDefault="005E0643" w:rsidP="00122B70">
      <w:pPr>
        <w:bidi/>
        <w:rPr>
          <w:sz w:val="32"/>
          <w:szCs w:val="32"/>
          <w:rtl/>
        </w:rPr>
      </w:pPr>
      <w:r w:rsidRPr="005E0643">
        <w:rPr>
          <w:b/>
          <w:bCs/>
          <w:sz w:val="32"/>
          <w:szCs w:val="32"/>
          <w:rtl/>
        </w:rPr>
        <w:t>وبالجملة: فرقٌ بين أن يكون له المال وبين أن يقدر على تحصيل المال، والحرّ الكسوب ليس له مال فعلي وإن كان قادراً على تحصيله، فلو تصدّى أحد لصيد غزال في البرّ فحبسه ظالم وصدّه عن المسير إليه)</w:t>
      </w:r>
      <w:r w:rsidRPr="005E0643">
        <w:rPr>
          <w:sz w:val="32"/>
          <w:szCs w:val="32"/>
          <w:rtl/>
        </w:rPr>
        <w:t xml:space="preserve"> واقتناص الغزال </w:t>
      </w:r>
      <w:r w:rsidRPr="005E0643">
        <w:rPr>
          <w:b/>
          <w:bCs/>
          <w:sz w:val="32"/>
          <w:szCs w:val="32"/>
          <w:rtl/>
        </w:rPr>
        <w:t>(لا يقال: إنّه أتلف ماله وإن صدق عليه التفويت وإنّه سدّ عليه باب المنفعة ومنعه عن التمليك. وعليه، فلا مقتضي للمصير إلى الضمان في المقام. والصحيح إنّما هو الجواب الأوّل حسبما عرفت).</w:t>
      </w:r>
    </w:p>
    <w:p w14:paraId="79FD46F0" w14:textId="77777777" w:rsidR="005E0643" w:rsidRPr="005E0643" w:rsidRDefault="005E0643" w:rsidP="00122B70">
      <w:pPr>
        <w:bidi/>
        <w:rPr>
          <w:sz w:val="32"/>
          <w:szCs w:val="32"/>
          <w:rtl/>
        </w:rPr>
      </w:pPr>
      <w:r w:rsidRPr="005E0643">
        <w:rPr>
          <w:sz w:val="32"/>
          <w:szCs w:val="32"/>
          <w:rtl/>
        </w:rPr>
        <w:t>فلا منافاة بين ما ذكره سيدنا الخوئي (قدس سره الشريف) في مصباح الفقاهة وما ذكره في كتاب الإجارة؛ لأنّ ما ذكره (قدس سره) في مصباح الفقاهة منصب على عدم صدق الإضافة، أي: أنّه لا يصدق عليه أنّه مالُهُ لذلك لا يجب عليه الحجّ، ولا يصدق أنّه "ذو مال".</w:t>
      </w:r>
    </w:p>
    <w:p w14:paraId="049758A8" w14:textId="77777777" w:rsidR="005E0643" w:rsidRPr="005E0643" w:rsidRDefault="005E0643" w:rsidP="00122B70">
      <w:pPr>
        <w:bidi/>
        <w:rPr>
          <w:sz w:val="32"/>
          <w:szCs w:val="32"/>
          <w:rtl/>
        </w:rPr>
      </w:pPr>
      <w:r w:rsidRPr="005E0643">
        <w:rPr>
          <w:sz w:val="32"/>
          <w:szCs w:val="32"/>
          <w:rtl/>
        </w:rPr>
        <w:t>لكن في نقطة الضمان في مصباح الفقاهة استدل على ضمان منافع الحرّ الكسوب عند حبسه لا بقاعدة الإتلاف التي ناقش فيها في كتاب الإجارة وإنّما استدل عليه بالسيرة العقلائية، ففي كتاب الإجارة لَمْ يذهب للضمان لأنّه لَمْ يذكر منشأ السيرة العقلائية، واكتفى بذكر سببين للضمان وهما: اليد والإتلاف، فقال بعدم صدقهما، ولَمْ يذكر المنشأ الثالث الذي بنى عليه في مصباح الفقاهة</w:t>
      </w:r>
      <w:r w:rsidRPr="005E0643">
        <w:rPr>
          <w:sz w:val="32"/>
          <w:szCs w:val="32"/>
        </w:rPr>
        <w:t>.</w:t>
      </w:r>
    </w:p>
    <w:p w14:paraId="3D30D510" w14:textId="77777777" w:rsidR="005E0643" w:rsidRPr="005E0643" w:rsidRDefault="005E0643" w:rsidP="00122B70">
      <w:pPr>
        <w:bidi/>
        <w:rPr>
          <w:sz w:val="32"/>
          <w:szCs w:val="32"/>
          <w:rtl/>
        </w:rPr>
      </w:pPr>
      <w:r w:rsidRPr="005E0643">
        <w:rPr>
          <w:b/>
          <w:bCs/>
          <w:sz w:val="32"/>
          <w:szCs w:val="32"/>
          <w:rtl/>
        </w:rPr>
        <w:t>لذلك يردُ السؤال:</w:t>
      </w:r>
      <w:r w:rsidRPr="005E0643">
        <w:rPr>
          <w:sz w:val="32"/>
          <w:szCs w:val="32"/>
          <w:rtl/>
        </w:rPr>
        <w:t xml:space="preserve"> ما هو الوجه في إعراضه (قدس سره) عما ذكره في مصباح الفقاهة مِن قيام السيرة العقلائية على الضمان؟</w:t>
      </w:r>
    </w:p>
    <w:p w14:paraId="156A8ADA" w14:textId="77777777" w:rsidR="005E0643" w:rsidRPr="005E0643" w:rsidRDefault="005E0643" w:rsidP="00122B70">
      <w:pPr>
        <w:bidi/>
        <w:rPr>
          <w:sz w:val="32"/>
          <w:szCs w:val="32"/>
          <w:rtl/>
        </w:rPr>
      </w:pPr>
      <w:r w:rsidRPr="005E0643">
        <w:rPr>
          <w:sz w:val="32"/>
          <w:szCs w:val="32"/>
          <w:rtl/>
        </w:rPr>
        <w:lastRenderedPageBreak/>
        <w:t>لعلّ منظوره أنّ السيرة العقلائية ليست تعبدية، فلا محالة أنّ للسيرة العقلائية نكتة، والنكتة إمّا اليد أو الإتلاف، وحيثُ لَمْ يصدقا معاً فلا موجب للضمان.</w:t>
      </w:r>
    </w:p>
    <w:p w14:paraId="335D7DFA" w14:textId="77777777" w:rsidR="005E0643" w:rsidRPr="005E0643" w:rsidRDefault="005E0643" w:rsidP="00122B70">
      <w:pPr>
        <w:bidi/>
        <w:rPr>
          <w:sz w:val="32"/>
          <w:szCs w:val="32"/>
          <w:rtl/>
        </w:rPr>
      </w:pPr>
    </w:p>
    <w:p w14:paraId="24B69CD0" w14:textId="77777777" w:rsidR="005E0643" w:rsidRDefault="005E0643" w:rsidP="00122B70">
      <w:pPr>
        <w:bidi/>
        <w:rPr>
          <w:b/>
          <w:bCs/>
          <w:sz w:val="32"/>
          <w:szCs w:val="32"/>
          <w:rtl/>
        </w:rPr>
      </w:pPr>
      <w:r w:rsidRPr="005E0643">
        <w:rPr>
          <w:b/>
          <w:bCs/>
          <w:sz w:val="32"/>
          <w:szCs w:val="32"/>
          <w:rtl/>
        </w:rPr>
        <w:t>والحمد لله رب العالمين</w:t>
      </w:r>
    </w:p>
    <w:p w14:paraId="13816133" w14:textId="34606878" w:rsidR="00971340" w:rsidRDefault="00E133D3" w:rsidP="00122B70">
      <w:pPr>
        <w:pStyle w:val="Heading3"/>
        <w:bidi/>
        <w:rPr>
          <w:b/>
          <w:bCs/>
          <w:sz w:val="32"/>
          <w:szCs w:val="32"/>
          <w:rtl/>
        </w:rPr>
      </w:pPr>
      <w:r>
        <w:rPr>
          <w:rFonts w:hint="cs"/>
          <w:b/>
          <w:bCs/>
          <w:sz w:val="32"/>
          <w:szCs w:val="32"/>
          <w:rtl/>
        </w:rPr>
        <w:t>318</w:t>
      </w:r>
    </w:p>
    <w:p w14:paraId="2DA7823C" w14:textId="77777777" w:rsidR="00D10764" w:rsidRPr="00D10764" w:rsidRDefault="00D10764" w:rsidP="00122B70">
      <w:pPr>
        <w:bidi/>
        <w:rPr>
          <w:b/>
          <w:bCs/>
          <w:sz w:val="32"/>
          <w:szCs w:val="32"/>
        </w:rPr>
      </w:pPr>
      <w:r>
        <w:rPr>
          <w:b/>
          <w:bCs/>
          <w:sz w:val="32"/>
          <w:szCs w:val="32"/>
        </w:rPr>
        <w:t xml:space="preserve"> </w:t>
      </w:r>
      <w:r w:rsidRPr="00D10764">
        <w:rPr>
          <w:b/>
          <w:bCs/>
          <w:sz w:val="32"/>
          <w:szCs w:val="32"/>
          <w:rtl/>
        </w:rPr>
        <w:t>بسم الله الرحمن الرحيم</w:t>
      </w:r>
    </w:p>
    <w:p w14:paraId="0E3C10E4" w14:textId="77777777" w:rsidR="00D10764" w:rsidRPr="00D10764" w:rsidRDefault="00D10764" w:rsidP="00122B70">
      <w:pPr>
        <w:bidi/>
        <w:rPr>
          <w:b/>
          <w:bCs/>
          <w:sz w:val="32"/>
          <w:szCs w:val="32"/>
          <w:rtl/>
        </w:rPr>
      </w:pPr>
      <w:r w:rsidRPr="00D10764">
        <w:rPr>
          <w:b/>
          <w:bCs/>
          <w:sz w:val="32"/>
          <w:szCs w:val="32"/>
          <w:rtl/>
        </w:rPr>
        <w:t>والصلاة والسلام على أشرف الأنبياء والمرسلين، محمد وآله الطيبين الطاهرين</w:t>
      </w:r>
    </w:p>
    <w:p w14:paraId="3160AD2E" w14:textId="77777777" w:rsidR="00D10764" w:rsidRPr="00D10764" w:rsidRDefault="00D10764" w:rsidP="00122B70">
      <w:pPr>
        <w:bidi/>
        <w:rPr>
          <w:b/>
          <w:bCs/>
          <w:sz w:val="32"/>
          <w:szCs w:val="32"/>
          <w:rtl/>
        </w:rPr>
      </w:pPr>
      <w:r w:rsidRPr="00D10764">
        <w:rPr>
          <w:b/>
          <w:bCs/>
          <w:sz w:val="32"/>
          <w:szCs w:val="32"/>
          <w:rtl/>
        </w:rPr>
        <w:t>واللعن الدائم على أعدائهم أجمعين إلى قيام يوم الدين</w:t>
      </w:r>
    </w:p>
    <w:p w14:paraId="64E099F2" w14:textId="77777777" w:rsidR="00D10764" w:rsidRPr="00D10764" w:rsidRDefault="00D10764" w:rsidP="00122B70">
      <w:pPr>
        <w:bidi/>
        <w:rPr>
          <w:b/>
          <w:bCs/>
          <w:sz w:val="32"/>
          <w:szCs w:val="32"/>
          <w:rtl/>
        </w:rPr>
      </w:pPr>
    </w:p>
    <w:p w14:paraId="177EC9C2" w14:textId="77777777" w:rsidR="00D10764" w:rsidRPr="00D10764" w:rsidRDefault="00D10764" w:rsidP="00122B70">
      <w:pPr>
        <w:bidi/>
        <w:rPr>
          <w:b/>
          <w:bCs/>
          <w:sz w:val="32"/>
          <w:szCs w:val="32"/>
          <w:rtl/>
        </w:rPr>
      </w:pPr>
      <w:r w:rsidRPr="00D10764">
        <w:rPr>
          <w:b/>
          <w:bCs/>
          <w:sz w:val="32"/>
          <w:szCs w:val="32"/>
          <w:rtl/>
        </w:rPr>
        <w:t>وملخصُ ما مضى في مسألة في ضمان منافع الحرّ الكسوب عند حبسه: أنّ سيدنا الخوئي (قدس سره الشريف) في كتاب الإجارة - خلافاً لما ذكره في مصباح الفقاهة - بنى على عدم الضمان، وعلل ذلك بأنّ سبب الضمان هو الإتلاف، والإتلاف إنّما يكون موضوعاً للضمان إذا كان إتلاف "مالٍ له"، ومنافعُ الحرّ الكسوب قَبل المعاوضة عليها ليست "مالاً له" فإذا لَمْ تكن مالاً له لَمْ يصدق على حبسه أنّ الحابس أتلف "مالاً له" كي يكون موجباً للضمان</w:t>
      </w:r>
      <w:r w:rsidRPr="00D10764">
        <w:rPr>
          <w:b/>
          <w:bCs/>
          <w:sz w:val="32"/>
          <w:szCs w:val="32"/>
        </w:rPr>
        <w:t>.</w:t>
      </w:r>
    </w:p>
    <w:p w14:paraId="760EE014" w14:textId="77777777" w:rsidR="00D10764" w:rsidRPr="00D10764" w:rsidRDefault="00D10764" w:rsidP="00122B70">
      <w:pPr>
        <w:bidi/>
        <w:rPr>
          <w:b/>
          <w:bCs/>
          <w:sz w:val="32"/>
          <w:szCs w:val="32"/>
          <w:rtl/>
        </w:rPr>
      </w:pPr>
      <w:r w:rsidRPr="00D10764">
        <w:rPr>
          <w:b/>
          <w:bCs/>
          <w:sz w:val="32"/>
          <w:szCs w:val="32"/>
          <w:rtl/>
        </w:rPr>
        <w:t>ولكن ما ذكره سيدنا الخوئي (قدس سره الشريف) محل تأملٍ؛ وتنقيحُ ذلك يقتضي البحث في جهاتٍ</w:t>
      </w:r>
      <w:r w:rsidRPr="00D10764">
        <w:rPr>
          <w:b/>
          <w:bCs/>
          <w:sz w:val="32"/>
          <w:szCs w:val="32"/>
        </w:rPr>
        <w:t>:</w:t>
      </w:r>
    </w:p>
    <w:p w14:paraId="33B75FD8" w14:textId="77777777" w:rsidR="00D10764" w:rsidRPr="00D10764" w:rsidRDefault="00D10764" w:rsidP="00122B70">
      <w:pPr>
        <w:bidi/>
        <w:rPr>
          <w:b/>
          <w:bCs/>
          <w:sz w:val="32"/>
          <w:szCs w:val="32"/>
          <w:rtl/>
        </w:rPr>
      </w:pPr>
      <w:r w:rsidRPr="00D10764">
        <w:rPr>
          <w:b/>
          <w:bCs/>
          <w:sz w:val="32"/>
          <w:szCs w:val="32"/>
          <w:rtl/>
        </w:rPr>
        <w:t>الجهةُ الأُولى: هل أنّ موضوع الضمان هو الملك أو المال أو مطلق الاستحقاق؟</w:t>
      </w:r>
    </w:p>
    <w:p w14:paraId="1CE4AF9F" w14:textId="77777777" w:rsidR="00D10764" w:rsidRPr="00D10764" w:rsidRDefault="00D10764" w:rsidP="00122B70">
      <w:pPr>
        <w:bidi/>
        <w:rPr>
          <w:b/>
          <w:bCs/>
          <w:sz w:val="32"/>
          <w:szCs w:val="32"/>
          <w:rtl/>
        </w:rPr>
      </w:pPr>
      <w:r w:rsidRPr="00D10764">
        <w:rPr>
          <w:b/>
          <w:bCs/>
          <w:sz w:val="32"/>
          <w:szCs w:val="32"/>
          <w:rtl/>
        </w:rPr>
        <w:t>فإنْ قُلنا: إنّ موضوع الضمان وجودُ الملك فالحرّ لا يملك أعماله ولا منافعه وإنْ كان قادراً على تمليكها، لكنها ليستْ مِلكاً بالمِلكيّة الاعتبارية قَبل المعاوضة عليها</w:t>
      </w:r>
      <w:r w:rsidRPr="00D10764">
        <w:rPr>
          <w:b/>
          <w:bCs/>
          <w:sz w:val="32"/>
          <w:szCs w:val="32"/>
        </w:rPr>
        <w:t>.</w:t>
      </w:r>
    </w:p>
    <w:p w14:paraId="0C322B8D" w14:textId="77777777" w:rsidR="00D10764" w:rsidRPr="00D10764" w:rsidRDefault="00D10764" w:rsidP="00122B70">
      <w:pPr>
        <w:bidi/>
        <w:rPr>
          <w:b/>
          <w:bCs/>
          <w:sz w:val="32"/>
          <w:szCs w:val="32"/>
          <w:rtl/>
        </w:rPr>
      </w:pPr>
      <w:r w:rsidRPr="00D10764">
        <w:rPr>
          <w:b/>
          <w:bCs/>
          <w:sz w:val="32"/>
          <w:szCs w:val="32"/>
          <w:rtl/>
        </w:rPr>
        <w:t>وإنْ قُلنا: إنّ موضوع الضمان أنْ يكون المضمون "مالاً له" كما يظهر مِن عبائر سيدنا الخوئي (قدس سره)</w:t>
      </w:r>
      <w:r w:rsidRPr="00D10764">
        <w:rPr>
          <w:b/>
          <w:bCs/>
          <w:sz w:val="32"/>
          <w:szCs w:val="32"/>
        </w:rPr>
        <w:t>.</w:t>
      </w:r>
    </w:p>
    <w:p w14:paraId="7BBD69F4" w14:textId="77777777" w:rsidR="00D10764" w:rsidRPr="00D10764" w:rsidRDefault="00D10764" w:rsidP="00122B70">
      <w:pPr>
        <w:bidi/>
        <w:rPr>
          <w:b/>
          <w:bCs/>
          <w:sz w:val="32"/>
          <w:szCs w:val="32"/>
          <w:rtl/>
        </w:rPr>
      </w:pPr>
      <w:r w:rsidRPr="00D10764">
        <w:rPr>
          <w:b/>
          <w:bCs/>
          <w:sz w:val="32"/>
          <w:szCs w:val="32"/>
          <w:rtl/>
        </w:rPr>
        <w:t>فإنّ منافع الحرّ الكسوب ليستْ مِن أمواله، ولذلك لا تتحقق بها الاستطاعة للحجّ</w:t>
      </w:r>
      <w:r w:rsidRPr="00D10764">
        <w:rPr>
          <w:b/>
          <w:bCs/>
          <w:sz w:val="32"/>
          <w:szCs w:val="32"/>
        </w:rPr>
        <w:t>.</w:t>
      </w:r>
    </w:p>
    <w:p w14:paraId="2C96BC83" w14:textId="77777777" w:rsidR="00D10764" w:rsidRPr="00D10764" w:rsidRDefault="00D10764" w:rsidP="00122B70">
      <w:pPr>
        <w:bidi/>
        <w:rPr>
          <w:b/>
          <w:bCs/>
          <w:sz w:val="32"/>
          <w:szCs w:val="32"/>
          <w:rtl/>
        </w:rPr>
      </w:pPr>
      <w:r w:rsidRPr="00D10764">
        <w:rPr>
          <w:b/>
          <w:bCs/>
          <w:sz w:val="32"/>
          <w:szCs w:val="32"/>
          <w:rtl/>
        </w:rPr>
        <w:t>لكن الصحيح بحسب المرتكزات العقلائية: أنّه لا خصوصية للملك، ولا لما يكون "مالاً له</w:t>
      </w:r>
      <w:proofErr w:type="gramStart"/>
      <w:r w:rsidRPr="00D10764">
        <w:rPr>
          <w:b/>
          <w:bCs/>
          <w:sz w:val="32"/>
          <w:szCs w:val="32"/>
          <w:rtl/>
        </w:rPr>
        <w:t>"،  وإنّما</w:t>
      </w:r>
      <w:proofErr w:type="gramEnd"/>
      <w:r w:rsidRPr="00D10764">
        <w:rPr>
          <w:b/>
          <w:bCs/>
          <w:sz w:val="32"/>
          <w:szCs w:val="32"/>
          <w:rtl/>
        </w:rPr>
        <w:t xml:space="preserve"> موضوع الضمان أنْ يكون مِن حقوقه العقلائية - أي: يكون مورداً لاستحقاقه - فمتى أُتلفَ عليه ما هو مورد حقّه كان موضوعاً للضمان، والمفروضُ أنّ الحرّ القادر على الكسب </w:t>
      </w:r>
      <w:r w:rsidRPr="00D10764">
        <w:rPr>
          <w:b/>
          <w:bCs/>
          <w:sz w:val="32"/>
          <w:szCs w:val="32"/>
          <w:rtl/>
        </w:rPr>
        <w:lastRenderedPageBreak/>
        <w:t>بمنافعه أو عمله   - كما إذا كان الحرّ نجاراً أو طبيباً - فإنّ منافعه موردُ حقٍّ له؛ حيثُ إنّه وإنْ لَمْ يملكها مِلكيّة اعتبارية إلّا أنّ له السلطنة الاعتبارية على استثمارها والتكسب بها – لا السلطنة التكوينية فقط -.</w:t>
      </w:r>
    </w:p>
    <w:p w14:paraId="2DCAC5A2" w14:textId="77777777" w:rsidR="00D10764" w:rsidRPr="00D10764" w:rsidRDefault="00D10764" w:rsidP="00122B70">
      <w:pPr>
        <w:bidi/>
        <w:rPr>
          <w:b/>
          <w:bCs/>
          <w:sz w:val="32"/>
          <w:szCs w:val="32"/>
          <w:rtl/>
        </w:rPr>
      </w:pPr>
      <w:r w:rsidRPr="00D10764">
        <w:rPr>
          <w:b/>
          <w:bCs/>
          <w:sz w:val="32"/>
          <w:szCs w:val="32"/>
          <w:rtl/>
        </w:rPr>
        <w:t>والمنبهُ على ذلك: أنّه قد يكون محجوراً عن التصرف حتى في منافعه وأعماله بالمعاوضة عليها لسيطرة سفهه عليه، وقد يكون مطلّق العنان، مما يكشف عن حقٍّ له في منافعه بالمعاوضة عليها بالإجارة أو الصلح، أو بالبيع على مبنى بعض الأكابر (قدس سره) مِن صحّة بيع المنفعة أو جعلها ثمناً ونحوه، وبما أنّ المنافع موردُ استحقاقه بالنظر العقلائي فحبسُ الظالمِ لَهُ تفويتٌ لما هو موردُ الاستحقاق فهو موجب للضمان</w:t>
      </w:r>
      <w:r w:rsidRPr="00D10764">
        <w:rPr>
          <w:b/>
          <w:bCs/>
          <w:sz w:val="32"/>
          <w:szCs w:val="32"/>
        </w:rPr>
        <w:t>.</w:t>
      </w:r>
    </w:p>
    <w:p w14:paraId="570C9BBC" w14:textId="77777777" w:rsidR="00D10764" w:rsidRPr="00D10764" w:rsidRDefault="00D10764" w:rsidP="00122B70">
      <w:pPr>
        <w:bidi/>
        <w:rPr>
          <w:b/>
          <w:bCs/>
          <w:sz w:val="32"/>
          <w:szCs w:val="32"/>
          <w:rtl/>
        </w:rPr>
      </w:pPr>
      <w:r w:rsidRPr="00D10764">
        <w:rPr>
          <w:b/>
          <w:bCs/>
          <w:sz w:val="32"/>
          <w:szCs w:val="32"/>
          <w:rtl/>
        </w:rPr>
        <w:t>فلو فُرض أنّ الظالم أجبرهُ على القيامِ بعملٍ ذي مالية كخياطة الثوب أو نجارة الباب، فلا ريب في ضمان قيمته، مع أنّ هذه المنفعة لَمْ تقع مورداً للمعاوضة.</w:t>
      </w:r>
    </w:p>
    <w:p w14:paraId="19BF6ADE" w14:textId="77777777" w:rsidR="00D10764" w:rsidRPr="00D10764" w:rsidRDefault="00D10764" w:rsidP="00122B70">
      <w:pPr>
        <w:bidi/>
        <w:rPr>
          <w:b/>
          <w:bCs/>
          <w:sz w:val="32"/>
          <w:szCs w:val="32"/>
          <w:rtl/>
        </w:rPr>
      </w:pPr>
      <w:r w:rsidRPr="00D10764">
        <w:rPr>
          <w:b/>
          <w:bCs/>
          <w:sz w:val="32"/>
          <w:szCs w:val="32"/>
          <w:rtl/>
        </w:rPr>
        <w:t>والنتيجة: أنّ موضوع الضمان ما هو موردُ الاستحقاق الاعتباري</w:t>
      </w:r>
      <w:r w:rsidRPr="00D10764">
        <w:rPr>
          <w:b/>
          <w:bCs/>
          <w:sz w:val="32"/>
          <w:szCs w:val="32"/>
        </w:rPr>
        <w:t>.</w:t>
      </w:r>
    </w:p>
    <w:p w14:paraId="5F738BE1" w14:textId="77777777" w:rsidR="00D10764" w:rsidRPr="00D10764" w:rsidRDefault="00D10764" w:rsidP="00122B70">
      <w:pPr>
        <w:bidi/>
        <w:rPr>
          <w:b/>
          <w:bCs/>
          <w:sz w:val="32"/>
          <w:szCs w:val="32"/>
          <w:rtl/>
        </w:rPr>
      </w:pPr>
      <w:r w:rsidRPr="00D10764">
        <w:rPr>
          <w:b/>
          <w:bCs/>
          <w:sz w:val="32"/>
          <w:szCs w:val="32"/>
          <w:rtl/>
        </w:rPr>
        <w:t>الجهةُ الثانية: لو قُلنا بما أفاده سيدنا الخوئي (قدس سره الشريف) في كتابه الإجارة من موسوعته المباركة</w:t>
      </w:r>
      <w:r w:rsidRPr="00D10764">
        <w:rPr>
          <w:b/>
          <w:bCs/>
          <w:sz w:val="32"/>
          <w:szCs w:val="32"/>
          <w:vertAlign w:val="superscript"/>
          <w:rtl/>
        </w:rPr>
        <w:footnoteReference w:id="185"/>
      </w:r>
      <w:r w:rsidRPr="00D10764">
        <w:rPr>
          <w:b/>
          <w:bCs/>
          <w:sz w:val="32"/>
          <w:szCs w:val="32"/>
          <w:rtl/>
        </w:rPr>
        <w:t xml:space="preserve"> مِن أنّ موضوع الضمان إمّا اليد أو الإتلاف، وكلاهما لا يصدق على منع الحرّ من الاكتساب، أمّا وضع اليد فهو واضح لكونه على نفس الحرّ لا منافعه وعمله، وأمّا الإتلاف فلأنّه متفرع على أنْ يكون له مال موجود ليرد الإتلاف عليه، ولا وجود له حسب الفرض؛ فإنّ هناك فرقاً بين أنْ يكون له مال وبين القدرة على تحصيل المال، والأوّل منتفٍ في المقام؛ فإنّ منافعه قَبل المعاوضة عليها ليستْ مِن أمواله</w:t>
      </w:r>
      <w:r w:rsidRPr="00D10764">
        <w:rPr>
          <w:b/>
          <w:bCs/>
          <w:sz w:val="32"/>
          <w:szCs w:val="32"/>
        </w:rPr>
        <w:t>.</w:t>
      </w:r>
    </w:p>
    <w:p w14:paraId="6ECA30A5" w14:textId="77777777" w:rsidR="00D10764" w:rsidRPr="00D10764" w:rsidRDefault="00D10764" w:rsidP="00122B70">
      <w:pPr>
        <w:bidi/>
        <w:rPr>
          <w:b/>
          <w:bCs/>
          <w:sz w:val="32"/>
          <w:szCs w:val="32"/>
          <w:rtl/>
        </w:rPr>
      </w:pPr>
      <w:r w:rsidRPr="00D10764">
        <w:rPr>
          <w:b/>
          <w:bCs/>
          <w:sz w:val="32"/>
          <w:szCs w:val="32"/>
          <w:rtl/>
        </w:rPr>
        <w:t>وهذا ممنوعٌ ايضا؛ حيثُ إنّ هناك فرقاً بين المِلكيّة والمالية؛ والموافق للمرتكزات عدم صحة اعتبار المِلكيّة، وصحّة اعتبار المالية.</w:t>
      </w:r>
    </w:p>
    <w:p w14:paraId="5DB91816" w14:textId="77777777" w:rsidR="00D10764" w:rsidRPr="00D10764" w:rsidRDefault="00D10764" w:rsidP="00122B70">
      <w:pPr>
        <w:bidi/>
        <w:rPr>
          <w:b/>
          <w:bCs/>
          <w:sz w:val="32"/>
          <w:szCs w:val="32"/>
          <w:rtl/>
        </w:rPr>
      </w:pPr>
      <w:r w:rsidRPr="00D10764">
        <w:rPr>
          <w:b/>
          <w:bCs/>
          <w:sz w:val="32"/>
          <w:szCs w:val="32"/>
          <w:rtl/>
        </w:rPr>
        <w:t>فهنا مطلبان:</w:t>
      </w:r>
    </w:p>
    <w:p w14:paraId="20DDDE6F" w14:textId="77777777" w:rsidR="00D10764" w:rsidRPr="00D10764" w:rsidRDefault="00D10764" w:rsidP="00122B70">
      <w:pPr>
        <w:bidi/>
        <w:rPr>
          <w:b/>
          <w:bCs/>
          <w:sz w:val="32"/>
          <w:szCs w:val="32"/>
          <w:rtl/>
        </w:rPr>
      </w:pPr>
      <w:r w:rsidRPr="00D10764">
        <w:rPr>
          <w:b/>
          <w:bCs/>
          <w:sz w:val="32"/>
          <w:szCs w:val="32"/>
          <w:rtl/>
        </w:rPr>
        <w:t>الأوّل: في اعتبار المِلكيّة له.</w:t>
      </w:r>
    </w:p>
    <w:p w14:paraId="7AAB0503" w14:textId="77777777" w:rsidR="00D10764" w:rsidRPr="00D10764" w:rsidRDefault="00D10764" w:rsidP="00122B70">
      <w:pPr>
        <w:bidi/>
        <w:rPr>
          <w:b/>
          <w:bCs/>
          <w:sz w:val="32"/>
          <w:szCs w:val="32"/>
          <w:rtl/>
        </w:rPr>
      </w:pPr>
      <w:r w:rsidRPr="00D10764">
        <w:rPr>
          <w:b/>
          <w:bCs/>
          <w:sz w:val="32"/>
          <w:szCs w:val="32"/>
          <w:rtl/>
        </w:rPr>
        <w:t xml:space="preserve">والصحيح: أنّ اعتبار كونه مالكاً لأعماله ومنافعه اعتبار لغو لدى المرتكزات </w:t>
      </w:r>
      <w:proofErr w:type="gramStart"/>
      <w:r w:rsidRPr="00D10764">
        <w:rPr>
          <w:b/>
          <w:bCs/>
          <w:sz w:val="32"/>
          <w:szCs w:val="32"/>
          <w:rtl/>
        </w:rPr>
        <w:t>العقلائية</w:t>
      </w:r>
      <w:r w:rsidRPr="00D10764">
        <w:rPr>
          <w:b/>
          <w:bCs/>
          <w:sz w:val="32"/>
          <w:szCs w:val="32"/>
        </w:rPr>
        <w:t xml:space="preserve"> .</w:t>
      </w:r>
      <w:proofErr w:type="gramEnd"/>
    </w:p>
    <w:p w14:paraId="0DEC493E" w14:textId="77777777" w:rsidR="00D10764" w:rsidRPr="00D10764" w:rsidRDefault="00D10764" w:rsidP="00122B70">
      <w:pPr>
        <w:bidi/>
        <w:rPr>
          <w:b/>
          <w:bCs/>
          <w:sz w:val="32"/>
          <w:szCs w:val="32"/>
          <w:rtl/>
        </w:rPr>
      </w:pPr>
      <w:r w:rsidRPr="00D10764">
        <w:rPr>
          <w:b/>
          <w:bCs/>
          <w:sz w:val="32"/>
          <w:szCs w:val="32"/>
          <w:rtl/>
        </w:rPr>
        <w:t>ومنشأُ اللغوية أحدُ وجوهٍ:</w:t>
      </w:r>
    </w:p>
    <w:p w14:paraId="3CC27A75" w14:textId="77777777" w:rsidR="00D10764" w:rsidRPr="00D10764" w:rsidRDefault="00D10764" w:rsidP="00122B70">
      <w:pPr>
        <w:bidi/>
        <w:rPr>
          <w:b/>
          <w:bCs/>
          <w:sz w:val="32"/>
          <w:szCs w:val="32"/>
          <w:rtl/>
        </w:rPr>
      </w:pPr>
      <w:r w:rsidRPr="00D10764">
        <w:rPr>
          <w:b/>
          <w:bCs/>
          <w:sz w:val="32"/>
          <w:szCs w:val="32"/>
          <w:rtl/>
        </w:rPr>
        <w:lastRenderedPageBreak/>
        <w:t xml:space="preserve">الوجهُ الأوّل: ما ذكره الفقيه النبيه سيد المستمسك (قدس سره الشريف) بقوله: (وأما ما ذكر في المستند: من أن الشخص مالك لمنافعه، فيكون كما لو كان له ضيعة لم يتمكن من بيعها ويمكن إجارتها مدة يكفيه للحج، فموهون إذ المنافع قبل وجودها في الخارج تعد من شؤون ذي المنفعة، وكما أنه لا يملك العامل نفسه لا يملك منافعه، إذ لا </w:t>
      </w:r>
      <w:proofErr w:type="spellStart"/>
      <w:r w:rsidRPr="00D10764">
        <w:rPr>
          <w:b/>
          <w:bCs/>
          <w:sz w:val="32"/>
          <w:szCs w:val="32"/>
          <w:rtl/>
        </w:rPr>
        <w:t>إثنينية</w:t>
      </w:r>
      <w:proofErr w:type="spellEnd"/>
      <w:r w:rsidRPr="00D10764">
        <w:rPr>
          <w:b/>
          <w:bCs/>
          <w:sz w:val="32"/>
          <w:szCs w:val="32"/>
          <w:rtl/>
        </w:rPr>
        <w:t xml:space="preserve"> مصححة لاعتبار إضافة المالكية والمملوكية. ولذلك بنينا على عدم ضمان منافع الحر. ولا فرق في ذلك بين من عادته إجارة نفسه وغيره)</w:t>
      </w:r>
      <w:r w:rsidRPr="00D10764">
        <w:rPr>
          <w:b/>
          <w:bCs/>
          <w:sz w:val="32"/>
          <w:szCs w:val="32"/>
          <w:vertAlign w:val="superscript"/>
          <w:rtl/>
        </w:rPr>
        <w:footnoteReference w:id="186"/>
      </w:r>
      <w:r w:rsidRPr="00D10764">
        <w:rPr>
          <w:b/>
          <w:bCs/>
          <w:sz w:val="32"/>
          <w:szCs w:val="32"/>
          <w:rtl/>
        </w:rPr>
        <w:t>.</w:t>
      </w:r>
    </w:p>
    <w:p w14:paraId="0BE0B76B" w14:textId="77777777" w:rsidR="00D10764" w:rsidRPr="00D10764" w:rsidRDefault="00D10764" w:rsidP="00122B70">
      <w:pPr>
        <w:bidi/>
        <w:rPr>
          <w:b/>
          <w:bCs/>
          <w:sz w:val="32"/>
          <w:szCs w:val="32"/>
          <w:rtl/>
        </w:rPr>
      </w:pPr>
      <w:r w:rsidRPr="00D10764">
        <w:rPr>
          <w:b/>
          <w:bCs/>
          <w:sz w:val="32"/>
          <w:szCs w:val="32"/>
          <w:rtl/>
        </w:rPr>
        <w:t xml:space="preserve">والمرادُ مِن كلامه (قدس سره): أنّ اعتبار مِلكيّة شخصٍ لشيءٍ فرعُ اثنينيةٍ بينهما بأنْ يكون هناك مالكٌ ومملوكٌ، ولا اثنينية في المقام؛ إذ لا وجود لمنافعه وأعماله قَبل المعاوضة عليها كي تكون موضوعاً لاعتبار المِلكيّة، </w:t>
      </w:r>
      <w:proofErr w:type="spellStart"/>
      <w:r w:rsidRPr="00D10764">
        <w:rPr>
          <w:b/>
          <w:bCs/>
          <w:sz w:val="32"/>
          <w:szCs w:val="32"/>
          <w:rtl/>
        </w:rPr>
        <w:t>فالاثنينية</w:t>
      </w:r>
      <w:proofErr w:type="spellEnd"/>
      <w:r w:rsidRPr="00D10764">
        <w:rPr>
          <w:b/>
          <w:bCs/>
          <w:sz w:val="32"/>
          <w:szCs w:val="32"/>
          <w:rtl/>
        </w:rPr>
        <w:t xml:space="preserve"> غيرُ متحققة</w:t>
      </w:r>
      <w:r w:rsidRPr="00D10764">
        <w:rPr>
          <w:b/>
          <w:bCs/>
          <w:sz w:val="32"/>
          <w:szCs w:val="32"/>
        </w:rPr>
        <w:t>.</w:t>
      </w:r>
    </w:p>
    <w:p w14:paraId="46E94057" w14:textId="77777777" w:rsidR="00D10764" w:rsidRPr="00D10764" w:rsidRDefault="00D10764" w:rsidP="00122B70">
      <w:pPr>
        <w:bidi/>
        <w:rPr>
          <w:b/>
          <w:bCs/>
          <w:sz w:val="32"/>
          <w:szCs w:val="32"/>
          <w:rtl/>
        </w:rPr>
      </w:pPr>
      <w:r w:rsidRPr="00D10764">
        <w:rPr>
          <w:b/>
          <w:bCs/>
          <w:sz w:val="32"/>
          <w:szCs w:val="32"/>
          <w:rtl/>
        </w:rPr>
        <w:t>ولكن هذا المناط كما ترى؛ حيثُ إنّ الاثنينية الحكمية - العرفية - مما لا إشكال في وجودها، فكما أنّ الدار ومنافعها مما يُعدّ بالنظر العرفي شيئين وإنْ لَمْ تكن المنافع متحققةً حسّاً</w:t>
      </w:r>
      <w:r w:rsidRPr="00D10764">
        <w:rPr>
          <w:b/>
          <w:bCs/>
          <w:sz w:val="32"/>
          <w:szCs w:val="32"/>
        </w:rPr>
        <w:t>.</w:t>
      </w:r>
    </w:p>
    <w:p w14:paraId="7D56137B" w14:textId="77777777" w:rsidR="00D10764" w:rsidRPr="00D10764" w:rsidRDefault="00D10764" w:rsidP="00122B70">
      <w:pPr>
        <w:bidi/>
        <w:rPr>
          <w:b/>
          <w:bCs/>
          <w:sz w:val="32"/>
          <w:szCs w:val="32"/>
          <w:rtl/>
        </w:rPr>
      </w:pPr>
      <w:r w:rsidRPr="00D10764">
        <w:rPr>
          <w:b/>
          <w:bCs/>
          <w:sz w:val="32"/>
          <w:szCs w:val="32"/>
          <w:rtl/>
        </w:rPr>
        <w:t xml:space="preserve">والشاهدُ على ذلك: أنّه كما ترى الاثنينية بالنظر العرفي في الأعيان: كالدار - مثلاً - التي قد تكون عينُها مِلكاً لشخصٍ أو في معرضية المِلكيّة له </w:t>
      </w:r>
      <w:proofErr w:type="spellStart"/>
      <w:r w:rsidRPr="00D10764">
        <w:rPr>
          <w:b/>
          <w:bCs/>
          <w:sz w:val="32"/>
          <w:szCs w:val="32"/>
          <w:rtl/>
        </w:rPr>
        <w:t>والإنتفاع</w:t>
      </w:r>
      <w:proofErr w:type="spellEnd"/>
      <w:r w:rsidRPr="00D10764">
        <w:rPr>
          <w:b/>
          <w:bCs/>
          <w:sz w:val="32"/>
          <w:szCs w:val="32"/>
          <w:rtl/>
        </w:rPr>
        <w:t xml:space="preserve"> بمنافعها في معرض المِلكيّة لشخصٍ آخر، فإنّ كون كُلٍّ منهما بالنظر العرفي في معرضية الِملك المستقل شاهدٌ على الاثنينية، وتكون العين غير قابلةٍ للتمليك، بينما الانتفاع بها قابلٌ للتمليك بالإجارة ونحوه كما في الأوقاف، وهو منبهٌ على الاثنينية </w:t>
      </w:r>
      <w:proofErr w:type="gramStart"/>
      <w:r w:rsidRPr="00D10764">
        <w:rPr>
          <w:b/>
          <w:bCs/>
          <w:sz w:val="32"/>
          <w:szCs w:val="32"/>
          <w:rtl/>
        </w:rPr>
        <w:t>العرفية</w:t>
      </w:r>
      <w:r w:rsidRPr="00D10764">
        <w:rPr>
          <w:b/>
          <w:bCs/>
          <w:sz w:val="32"/>
          <w:szCs w:val="32"/>
        </w:rPr>
        <w:t xml:space="preserve">  .</w:t>
      </w:r>
      <w:proofErr w:type="gramEnd"/>
    </w:p>
    <w:p w14:paraId="6A3659A1" w14:textId="77777777" w:rsidR="00D10764" w:rsidRPr="00D10764" w:rsidRDefault="00D10764" w:rsidP="00122B70">
      <w:pPr>
        <w:bidi/>
        <w:rPr>
          <w:b/>
          <w:bCs/>
          <w:sz w:val="32"/>
          <w:szCs w:val="32"/>
          <w:rtl/>
        </w:rPr>
      </w:pPr>
      <w:r w:rsidRPr="00D10764">
        <w:rPr>
          <w:b/>
          <w:bCs/>
          <w:sz w:val="32"/>
          <w:szCs w:val="32"/>
          <w:rtl/>
        </w:rPr>
        <w:t>كذلك تتصور في الحرّ؛ بأنْ يُقال: الحرّ شيءٌ ومنافعُه شيءٌ آخر؛ ولذلك هناك فرقٌ بين الحرّ ذي القدرة على العمل والحرّ العاجز، وبين الحرّ الكسوب والحرّ الكسول في معرضية المعاملة المالية على منافعهما، وهو منبهٌ على الاثنينية العرفية بينهما.</w:t>
      </w:r>
    </w:p>
    <w:p w14:paraId="421970BF" w14:textId="77777777" w:rsidR="00D10764" w:rsidRPr="00D10764" w:rsidRDefault="00D10764" w:rsidP="00122B70">
      <w:pPr>
        <w:bidi/>
        <w:rPr>
          <w:b/>
          <w:bCs/>
          <w:sz w:val="32"/>
          <w:szCs w:val="32"/>
          <w:rtl/>
        </w:rPr>
      </w:pPr>
      <w:r w:rsidRPr="00D10764">
        <w:rPr>
          <w:b/>
          <w:bCs/>
          <w:sz w:val="32"/>
          <w:szCs w:val="32"/>
          <w:rtl/>
        </w:rPr>
        <w:t>الوجهُ الثاني: ما ذكره سيدنا الخوئي (قدس سره الشريف) مِن أنّ المِلكية هي عبارةٌ عن الواجدية أو الجدة الاعتبارية، فمن كانتْ له واجدية تكوينية فاعتبارُ الواجدية له أشبه بتحصيل الحاصل، وهو لغوٌ</w:t>
      </w:r>
      <w:r w:rsidRPr="00D10764">
        <w:rPr>
          <w:b/>
          <w:bCs/>
          <w:sz w:val="32"/>
          <w:szCs w:val="32"/>
        </w:rPr>
        <w:t>.</w:t>
      </w:r>
    </w:p>
    <w:p w14:paraId="65072182" w14:textId="77777777" w:rsidR="00D10764" w:rsidRPr="00D10764" w:rsidRDefault="00D10764" w:rsidP="00122B70">
      <w:pPr>
        <w:bidi/>
        <w:rPr>
          <w:b/>
          <w:bCs/>
          <w:sz w:val="32"/>
          <w:szCs w:val="32"/>
          <w:rtl/>
        </w:rPr>
      </w:pPr>
      <w:r w:rsidRPr="00D10764">
        <w:rPr>
          <w:b/>
          <w:bCs/>
          <w:sz w:val="32"/>
          <w:szCs w:val="32"/>
          <w:rtl/>
        </w:rPr>
        <w:t>والمفروضُ أنّ الحرّ واجدٌ لمنافعه وأعماله تكويناً، فهو مالكٌ لها ذاتاً، ومع هذه المِلكية الذاتية التي هي عبارةٌ عن الواجدية التكوينية فاعتبار الواجدية لهُ أشبهُ بتحصيل الحاصل وهو لغوٌ</w:t>
      </w:r>
      <w:r w:rsidRPr="00D10764">
        <w:rPr>
          <w:b/>
          <w:bCs/>
          <w:sz w:val="32"/>
          <w:szCs w:val="32"/>
        </w:rPr>
        <w:t>.</w:t>
      </w:r>
    </w:p>
    <w:p w14:paraId="5D9D5510" w14:textId="77777777" w:rsidR="00D10764" w:rsidRPr="00D10764" w:rsidRDefault="00D10764" w:rsidP="00122B70">
      <w:pPr>
        <w:bidi/>
        <w:rPr>
          <w:b/>
          <w:bCs/>
          <w:sz w:val="32"/>
          <w:szCs w:val="32"/>
          <w:rtl/>
        </w:rPr>
      </w:pPr>
      <w:r w:rsidRPr="00D10764">
        <w:rPr>
          <w:b/>
          <w:bCs/>
          <w:sz w:val="32"/>
          <w:szCs w:val="32"/>
          <w:rtl/>
        </w:rPr>
        <w:lastRenderedPageBreak/>
        <w:t xml:space="preserve">وما ذكره (قدس سره الشريف) أيضاً محل تأملٍ؛ فإنّ الاعتبار يكفي في صحّته لدى المرتكز العقلائي أنْ يترتب عليه أثر ولو في طوله، ومجرّد تحقّق الواجدية التكوينية لا يوجب لغوية الاعتبارية منها إنْ كان لها مصحّح، فالمنافعُ وإنْ كانتْ مملوكةً للحرّ بالمِلكية الذاتية – أي: أنّه واجدٌ لها </w:t>
      </w:r>
      <w:proofErr w:type="spellStart"/>
      <w:r w:rsidRPr="00D10764">
        <w:rPr>
          <w:b/>
          <w:bCs/>
          <w:sz w:val="32"/>
          <w:szCs w:val="32"/>
          <w:rtl/>
        </w:rPr>
        <w:t>بالواجدية</w:t>
      </w:r>
      <w:proofErr w:type="spellEnd"/>
      <w:r w:rsidRPr="00D10764">
        <w:rPr>
          <w:b/>
          <w:bCs/>
          <w:sz w:val="32"/>
          <w:szCs w:val="32"/>
          <w:rtl/>
        </w:rPr>
        <w:t xml:space="preserve"> التكوينية – لكن هذا لا يلغي صحّة اعتبار المِلكية لها لو كان لهذه المِلكية أثر.</w:t>
      </w:r>
    </w:p>
    <w:p w14:paraId="77D522AC" w14:textId="77777777" w:rsidR="00D10764" w:rsidRPr="00D10764" w:rsidRDefault="00D10764" w:rsidP="00122B70">
      <w:pPr>
        <w:bidi/>
        <w:rPr>
          <w:b/>
          <w:bCs/>
          <w:sz w:val="32"/>
          <w:szCs w:val="32"/>
          <w:rtl/>
        </w:rPr>
      </w:pPr>
      <w:r w:rsidRPr="00D10764">
        <w:rPr>
          <w:b/>
          <w:bCs/>
          <w:sz w:val="32"/>
          <w:szCs w:val="32"/>
          <w:rtl/>
        </w:rPr>
        <w:t>كأنْ يُقال: - وإنْ كان محل تأملٍ - إنّ أثر المِلكيّة تحقّق الاستطاعة للحجّ بوجدان المنافع اعتباراً، فقد ورد في بعض النصوص المرتبطة بباب الاستطاعة للحجّ، التعبير بـ: "إذا هو يجد ما يحج به" كما في الوسائل: (محمّد بن الحسن الطوسي (رضي الله عنه) بإسناده عن الحسين بن سعيد، عن فضالة بن أيوب، عن معاوية بن عمار، عن أبي عبدالله (عليه السلام) قال: قال الله تعالى: {وَلِلَّهِ عَلَى النَّاسِ حِجُّ الْبَيْتِ مَنِ اسْتَطَاعَ إِلَيْهِ سَبِيلًا}</w:t>
      </w:r>
      <w:r w:rsidRPr="00D10764">
        <w:rPr>
          <w:b/>
          <w:bCs/>
          <w:sz w:val="32"/>
          <w:szCs w:val="32"/>
          <w:vertAlign w:val="superscript"/>
          <w:rtl/>
        </w:rPr>
        <w:footnoteReference w:id="187"/>
      </w:r>
      <w:r w:rsidRPr="00D10764">
        <w:rPr>
          <w:b/>
          <w:bCs/>
          <w:sz w:val="32"/>
          <w:szCs w:val="32"/>
          <w:rtl/>
        </w:rPr>
        <w:t xml:space="preserve"> قال: هذه لمن كان عنده مال وصحة، وإن كان سوفه للتجارة فلا يسعه، وإن مات على ذلك فقد ترك شريعة من شرائع الإسلام إذا هو يجد ما يحُّجُّ بِهِ ..) </w:t>
      </w:r>
      <w:proofErr w:type="spellStart"/>
      <w:r w:rsidRPr="00D10764">
        <w:rPr>
          <w:b/>
          <w:bCs/>
          <w:sz w:val="32"/>
          <w:szCs w:val="32"/>
          <w:rtl/>
        </w:rPr>
        <w:t>ألخ</w:t>
      </w:r>
      <w:proofErr w:type="spellEnd"/>
      <w:r w:rsidRPr="00D10764">
        <w:rPr>
          <w:b/>
          <w:bCs/>
          <w:sz w:val="32"/>
          <w:szCs w:val="32"/>
          <w:vertAlign w:val="superscript"/>
          <w:rtl/>
        </w:rPr>
        <w:footnoteReference w:id="188"/>
      </w:r>
      <w:r w:rsidRPr="00D10764">
        <w:rPr>
          <w:b/>
          <w:bCs/>
          <w:sz w:val="32"/>
          <w:szCs w:val="32"/>
          <w:rtl/>
        </w:rPr>
        <w:t>.</w:t>
      </w:r>
    </w:p>
    <w:p w14:paraId="46A014D9" w14:textId="77777777" w:rsidR="00D10764" w:rsidRPr="00D10764" w:rsidRDefault="00D10764" w:rsidP="00122B70">
      <w:pPr>
        <w:bidi/>
        <w:rPr>
          <w:b/>
          <w:bCs/>
          <w:sz w:val="32"/>
          <w:szCs w:val="32"/>
          <w:rtl/>
        </w:rPr>
      </w:pPr>
      <w:r w:rsidRPr="00D10764">
        <w:rPr>
          <w:b/>
          <w:bCs/>
          <w:sz w:val="32"/>
          <w:szCs w:val="32"/>
          <w:rtl/>
        </w:rPr>
        <w:t xml:space="preserve">وورد في بعضها الآخر: "أنْ يكون لهُ ما يحُجُّ بِهِ" كما في الكافي: (عليّ بن إبراهيم، عن أبيه، عن ابن أبي عمير، عن حمّاد بن عثمان، عن الحلبيّ، عن أبي </w:t>
      </w:r>
      <w:proofErr w:type="gramStart"/>
      <w:r w:rsidRPr="00D10764">
        <w:rPr>
          <w:b/>
          <w:bCs/>
          <w:sz w:val="32"/>
          <w:szCs w:val="32"/>
          <w:rtl/>
        </w:rPr>
        <w:t>عبدالله</w:t>
      </w:r>
      <w:proofErr w:type="gramEnd"/>
      <w:r w:rsidRPr="00D10764">
        <w:rPr>
          <w:b/>
          <w:bCs/>
          <w:sz w:val="32"/>
          <w:szCs w:val="32"/>
          <w:rtl/>
        </w:rPr>
        <w:t xml:space="preserve"> (عليه السلام) في قول الله عزّ وجلّ: {وَلِلَّهِ عَلَى النَّاسِ حِجُّ الْبَيْتِ مَنِ اسْتَطَاعَ إِلَيْهِ سَبِيلًا}</w:t>
      </w:r>
      <w:r w:rsidRPr="00D10764">
        <w:rPr>
          <w:b/>
          <w:bCs/>
          <w:sz w:val="32"/>
          <w:szCs w:val="32"/>
          <w:vertAlign w:val="superscript"/>
          <w:rtl/>
        </w:rPr>
        <w:footnoteReference w:id="189"/>
      </w:r>
      <w:r w:rsidRPr="00D10764">
        <w:rPr>
          <w:b/>
          <w:bCs/>
          <w:sz w:val="32"/>
          <w:szCs w:val="32"/>
          <w:rtl/>
        </w:rPr>
        <w:t xml:space="preserve"> قال: ما السبيل؟ قال: (أنْ يكون لهُ ما يحُجُّ بِهِ))</w:t>
      </w:r>
      <w:r w:rsidRPr="00D10764">
        <w:rPr>
          <w:b/>
          <w:bCs/>
          <w:sz w:val="32"/>
          <w:szCs w:val="32"/>
          <w:vertAlign w:val="superscript"/>
          <w:rtl/>
        </w:rPr>
        <w:footnoteReference w:id="190"/>
      </w:r>
      <w:r w:rsidRPr="00D10764">
        <w:rPr>
          <w:b/>
          <w:bCs/>
          <w:sz w:val="32"/>
          <w:szCs w:val="32"/>
          <w:rtl/>
        </w:rPr>
        <w:t>.</w:t>
      </w:r>
    </w:p>
    <w:p w14:paraId="064CA61F" w14:textId="77777777" w:rsidR="00D10764" w:rsidRPr="00D10764" w:rsidRDefault="00D10764" w:rsidP="00122B70">
      <w:pPr>
        <w:bidi/>
        <w:rPr>
          <w:b/>
          <w:bCs/>
          <w:sz w:val="32"/>
          <w:szCs w:val="32"/>
          <w:rtl/>
        </w:rPr>
      </w:pPr>
      <w:r w:rsidRPr="00D10764">
        <w:rPr>
          <w:b/>
          <w:bCs/>
          <w:sz w:val="32"/>
          <w:szCs w:val="32"/>
          <w:rtl/>
        </w:rPr>
        <w:t>بتقريب: أنّ الوجدان في قوله (عليه السلام): (إذا هو يجد ما يحُّجُّ بِهِ) أنْ يكون مالكاً اعتباراً لما يحجّ به، فلو كان المكلف مالكاً للمنافع التي يكون بها قادراً على تحصيل ما يحُّجُّ بِهِ - وذلك بتمليك الانتفاع بعمله للآخرين ليكتسب مالاً فيحُّجُّ بِهِ - لترتب عليها الأثر وهو كونه مستطيعاً.</w:t>
      </w:r>
    </w:p>
    <w:p w14:paraId="458DAC35" w14:textId="77777777" w:rsidR="00D10764" w:rsidRPr="00D10764" w:rsidRDefault="00D10764" w:rsidP="00122B70">
      <w:pPr>
        <w:bidi/>
        <w:rPr>
          <w:b/>
          <w:bCs/>
          <w:sz w:val="32"/>
          <w:szCs w:val="32"/>
          <w:rtl/>
        </w:rPr>
      </w:pPr>
      <w:r w:rsidRPr="00D10764">
        <w:rPr>
          <w:b/>
          <w:bCs/>
          <w:sz w:val="32"/>
          <w:szCs w:val="32"/>
          <w:rtl/>
        </w:rPr>
        <w:t xml:space="preserve">أو يُقال: إنّ أثر المِلكيّة ثبوت الخُمس في منافعه، بلحاظ أنّ موضوع الخمس هو الفائدة، كما في موثقة سماعة كما في الوسائل: (محمد بن يعقوب، عن علي بن إبراهيم، عن أبيه، عن </w:t>
      </w:r>
      <w:r w:rsidRPr="00D10764">
        <w:rPr>
          <w:b/>
          <w:bCs/>
          <w:sz w:val="32"/>
          <w:szCs w:val="32"/>
          <w:rtl/>
        </w:rPr>
        <w:lastRenderedPageBreak/>
        <w:t>ابن أبي عمير، عن الحسين بن عثمان، عن سماعة قال: سألت أبا الحسن (عليه السلام) عن الخمس؟ فقال: في كل ما أفاد الناس من قليل أو كثير)</w:t>
      </w:r>
      <w:r w:rsidRPr="00D10764">
        <w:rPr>
          <w:b/>
          <w:bCs/>
          <w:sz w:val="32"/>
          <w:szCs w:val="32"/>
          <w:vertAlign w:val="superscript"/>
          <w:rtl/>
        </w:rPr>
        <w:footnoteReference w:id="191"/>
      </w:r>
      <w:r w:rsidRPr="00D10764">
        <w:rPr>
          <w:b/>
          <w:bCs/>
          <w:sz w:val="32"/>
          <w:szCs w:val="32"/>
          <w:rtl/>
        </w:rPr>
        <w:t>.</w:t>
      </w:r>
    </w:p>
    <w:p w14:paraId="671448E4" w14:textId="77777777" w:rsidR="00D10764" w:rsidRPr="00D10764" w:rsidRDefault="00D10764" w:rsidP="00122B70">
      <w:pPr>
        <w:bidi/>
        <w:rPr>
          <w:b/>
          <w:bCs/>
          <w:sz w:val="32"/>
          <w:szCs w:val="32"/>
          <w:rtl/>
        </w:rPr>
      </w:pPr>
      <w:r w:rsidRPr="00D10764">
        <w:rPr>
          <w:b/>
          <w:bCs/>
          <w:sz w:val="32"/>
          <w:szCs w:val="32"/>
          <w:rtl/>
        </w:rPr>
        <w:t>فلو قُلنا: بأنّ المنافع مملوكة فكونها في معرض الكسب محقّق لصدق الفائدة عليها، فيمكن أنْ يتعلّق بها الخمس</w:t>
      </w:r>
      <w:r w:rsidRPr="00D10764">
        <w:rPr>
          <w:b/>
          <w:bCs/>
          <w:sz w:val="32"/>
          <w:szCs w:val="32"/>
        </w:rPr>
        <w:t>.</w:t>
      </w:r>
    </w:p>
    <w:p w14:paraId="103D324A" w14:textId="77777777" w:rsidR="00D10764" w:rsidRPr="00D10764" w:rsidRDefault="00D10764" w:rsidP="00122B70">
      <w:pPr>
        <w:bidi/>
        <w:rPr>
          <w:b/>
          <w:bCs/>
          <w:sz w:val="32"/>
          <w:szCs w:val="32"/>
          <w:rtl/>
        </w:rPr>
      </w:pPr>
      <w:r w:rsidRPr="00D10764">
        <w:rPr>
          <w:b/>
          <w:bCs/>
          <w:sz w:val="32"/>
          <w:szCs w:val="32"/>
          <w:rtl/>
        </w:rPr>
        <w:t>والنتيجة: أنّه يكفي في الاعتبار أثر طولي ولا يمنع منه الواجدية التكوينية والمِلكيّة الذاتية.</w:t>
      </w:r>
    </w:p>
    <w:p w14:paraId="16BF0419" w14:textId="77777777" w:rsidR="00D10764" w:rsidRPr="00D10764" w:rsidRDefault="00D10764" w:rsidP="00122B70">
      <w:pPr>
        <w:bidi/>
        <w:rPr>
          <w:b/>
          <w:bCs/>
          <w:sz w:val="32"/>
          <w:szCs w:val="32"/>
          <w:rtl/>
        </w:rPr>
      </w:pPr>
      <w:r w:rsidRPr="00D10764">
        <w:rPr>
          <w:b/>
          <w:bCs/>
          <w:sz w:val="32"/>
          <w:szCs w:val="32"/>
          <w:rtl/>
        </w:rPr>
        <w:t>الوجهُ الثالث: ما هو الصحيح في منشأ اللغوية: وهو ما سبق عرضه في أوّل بحث الإجارة.</w:t>
      </w:r>
    </w:p>
    <w:p w14:paraId="390CE3F0" w14:textId="77777777" w:rsidR="00D10764" w:rsidRPr="00D10764" w:rsidRDefault="00D10764" w:rsidP="00122B70">
      <w:pPr>
        <w:bidi/>
        <w:rPr>
          <w:b/>
          <w:bCs/>
          <w:sz w:val="32"/>
          <w:szCs w:val="32"/>
          <w:rtl/>
        </w:rPr>
      </w:pPr>
      <w:r w:rsidRPr="00D10764">
        <w:rPr>
          <w:b/>
          <w:bCs/>
          <w:sz w:val="32"/>
          <w:szCs w:val="32"/>
          <w:rtl/>
        </w:rPr>
        <w:t>وحاصله: أنّ الغرض العقلائي المقوم لجعل المِلكيّة لأيّ شيء هو السلطنة على الانتفاع بِهِ حسّا واعتباراً ما لَمْ يعرض مانع تكليفي أو وضعي، وحيثُ إنّ السلطنة القانونية ثابتة للإنسان على منافعه وأعماله بمجرّد القدرة على التصرف فلا موجب لجعل المِلكيّة لها.</w:t>
      </w:r>
    </w:p>
    <w:p w14:paraId="3E913226" w14:textId="77777777" w:rsidR="00D10764" w:rsidRPr="00D10764" w:rsidRDefault="00D10764" w:rsidP="00122B70">
      <w:pPr>
        <w:bidi/>
        <w:rPr>
          <w:b/>
          <w:bCs/>
          <w:sz w:val="32"/>
          <w:szCs w:val="32"/>
          <w:rtl/>
        </w:rPr>
      </w:pPr>
      <w:r w:rsidRPr="00D10764">
        <w:rPr>
          <w:b/>
          <w:bCs/>
          <w:sz w:val="32"/>
          <w:szCs w:val="32"/>
          <w:rtl/>
        </w:rPr>
        <w:t>وتوضيحُ ذلك: أنّ المنتزع مِن ثبوت المنافع للإنسان ثلاثة عناوين:</w:t>
      </w:r>
    </w:p>
    <w:p w14:paraId="633DABFA" w14:textId="77777777" w:rsidR="00D10764" w:rsidRPr="00D10764" w:rsidRDefault="00D10764" w:rsidP="00122B70">
      <w:pPr>
        <w:bidi/>
        <w:rPr>
          <w:b/>
          <w:bCs/>
          <w:sz w:val="32"/>
          <w:szCs w:val="32"/>
          <w:rtl/>
        </w:rPr>
      </w:pPr>
      <w:r w:rsidRPr="00D10764">
        <w:rPr>
          <w:b/>
          <w:bCs/>
          <w:sz w:val="32"/>
          <w:szCs w:val="32"/>
          <w:rtl/>
        </w:rPr>
        <w:t>أوّلها: واجدية الإنسان لمنافعه، أي: حيثية استعداده للعمل، وهذا مما لا يصحّ اعتبار المِلكيّة له؛ فإنّ اعتبار المِلكيّة لشيءٍ متفرعٌ على وجوده حقيقة أو حكماً وقابليته للنقل والانتقال ولو في الجملة.</w:t>
      </w:r>
    </w:p>
    <w:p w14:paraId="4FFB7D4C" w14:textId="77777777" w:rsidR="00D10764" w:rsidRPr="00D10764" w:rsidRDefault="00D10764" w:rsidP="00122B70">
      <w:pPr>
        <w:bidi/>
        <w:rPr>
          <w:b/>
          <w:bCs/>
          <w:sz w:val="32"/>
          <w:szCs w:val="32"/>
          <w:rtl/>
        </w:rPr>
      </w:pPr>
      <w:proofErr w:type="spellStart"/>
      <w:r w:rsidRPr="00D10764">
        <w:rPr>
          <w:b/>
          <w:bCs/>
          <w:sz w:val="32"/>
          <w:szCs w:val="32"/>
          <w:rtl/>
        </w:rPr>
        <w:t>وواجدية</w:t>
      </w:r>
      <w:proofErr w:type="spellEnd"/>
      <w:r w:rsidRPr="00D10764">
        <w:rPr>
          <w:b/>
          <w:bCs/>
          <w:sz w:val="32"/>
          <w:szCs w:val="32"/>
          <w:rtl/>
        </w:rPr>
        <w:t xml:space="preserve"> الحرّ للمنافع التي هي صفة قائمة بِهِ ليست قابلة للنقل والانتقال فاعتبار المِلكيّة لها لغوٌ.</w:t>
      </w:r>
    </w:p>
    <w:p w14:paraId="7E02A087" w14:textId="77777777" w:rsidR="00D10764" w:rsidRPr="00D10764" w:rsidRDefault="00D10764" w:rsidP="00122B70">
      <w:pPr>
        <w:bidi/>
        <w:rPr>
          <w:b/>
          <w:bCs/>
          <w:sz w:val="32"/>
          <w:szCs w:val="32"/>
          <w:rtl/>
        </w:rPr>
      </w:pPr>
      <w:r w:rsidRPr="00D10764">
        <w:rPr>
          <w:b/>
          <w:bCs/>
          <w:sz w:val="32"/>
          <w:szCs w:val="32"/>
          <w:rtl/>
        </w:rPr>
        <w:t>وثانيها: الانتفاع الذي هو عبارةٌ عن استيفاء تلك المنافع - سواءً كان الاستيفاء حقيقياً بأنْ يجبره شخصٌ على العمل، أو اعتبارياً بأنْ يستأجره فهو فعل اختياري للغير - كما مضى التمثيل له - وليس أمراً بيد الإنسان ذي المنفعة، ولازم ذلك انتفاؤه بالفعل، فاعتبار المِلكيّة له مِن اعتبار المِلكيّة للمعدوم وهو لغوٌ</w:t>
      </w:r>
      <w:r w:rsidRPr="00D10764">
        <w:rPr>
          <w:b/>
          <w:bCs/>
          <w:sz w:val="32"/>
          <w:szCs w:val="32"/>
        </w:rPr>
        <w:t>.</w:t>
      </w:r>
    </w:p>
    <w:p w14:paraId="45D545AA" w14:textId="77777777" w:rsidR="00D10764" w:rsidRPr="00D10764" w:rsidRDefault="00D10764" w:rsidP="00122B70">
      <w:pPr>
        <w:bidi/>
        <w:rPr>
          <w:b/>
          <w:bCs/>
          <w:sz w:val="32"/>
          <w:szCs w:val="32"/>
          <w:rtl/>
        </w:rPr>
      </w:pPr>
      <w:r w:rsidRPr="00D10764">
        <w:rPr>
          <w:b/>
          <w:bCs/>
          <w:sz w:val="32"/>
          <w:szCs w:val="32"/>
          <w:rtl/>
        </w:rPr>
        <w:t xml:space="preserve">وثالثها: ذات المنافع بغض النظر عن نسبتها للإنسان المعبر عنها </w:t>
      </w:r>
      <w:proofErr w:type="spellStart"/>
      <w:r w:rsidRPr="00D10764">
        <w:rPr>
          <w:b/>
          <w:bCs/>
          <w:sz w:val="32"/>
          <w:szCs w:val="32"/>
          <w:rtl/>
        </w:rPr>
        <w:t>بالواجدية</w:t>
      </w:r>
      <w:proofErr w:type="spellEnd"/>
      <w:r w:rsidRPr="00D10764">
        <w:rPr>
          <w:b/>
          <w:bCs/>
          <w:sz w:val="32"/>
          <w:szCs w:val="32"/>
          <w:rtl/>
        </w:rPr>
        <w:t>، ونسبتها للغير المعبر عنه بالاستيفاء، ولا أثر لاعتبار المِلكيّة لنفس المنافع إلّا السلطنة عليها حسّاً واعتباراً، والمفروض ثبوتُ ذلك بنفس القدرة التكوينية.</w:t>
      </w:r>
    </w:p>
    <w:p w14:paraId="21DE76E2" w14:textId="77777777" w:rsidR="00D10764" w:rsidRPr="00D10764" w:rsidRDefault="00D10764" w:rsidP="00122B70">
      <w:pPr>
        <w:bidi/>
        <w:rPr>
          <w:b/>
          <w:bCs/>
          <w:sz w:val="32"/>
          <w:szCs w:val="32"/>
          <w:rtl/>
        </w:rPr>
      </w:pPr>
      <w:r w:rsidRPr="00D10764">
        <w:rPr>
          <w:b/>
          <w:bCs/>
          <w:sz w:val="32"/>
          <w:szCs w:val="32"/>
          <w:rtl/>
        </w:rPr>
        <w:t>فالنتيجة: أنّ اعتبار المِلكيّة لها قَبل المعاوضة عليها لغوٌ</w:t>
      </w:r>
      <w:r w:rsidRPr="00D10764">
        <w:rPr>
          <w:b/>
          <w:bCs/>
          <w:sz w:val="32"/>
          <w:szCs w:val="32"/>
        </w:rPr>
        <w:t>.</w:t>
      </w:r>
    </w:p>
    <w:p w14:paraId="6E8373B2" w14:textId="77777777" w:rsidR="00D10764" w:rsidRPr="00D10764" w:rsidRDefault="00D10764" w:rsidP="00122B70">
      <w:pPr>
        <w:bidi/>
        <w:rPr>
          <w:b/>
          <w:bCs/>
          <w:sz w:val="32"/>
          <w:szCs w:val="32"/>
          <w:rtl/>
        </w:rPr>
      </w:pPr>
      <w:r w:rsidRPr="00D10764">
        <w:rPr>
          <w:b/>
          <w:bCs/>
          <w:sz w:val="32"/>
          <w:szCs w:val="32"/>
          <w:rtl/>
        </w:rPr>
        <w:lastRenderedPageBreak/>
        <w:t>فإنْ قلتَ: يكفي في صحة اعتبار المِلكيّة لها ترتب أثر الاستطاعة والخمس.</w:t>
      </w:r>
    </w:p>
    <w:p w14:paraId="43FA6B53" w14:textId="77777777" w:rsidR="00D10764" w:rsidRPr="00D10764" w:rsidRDefault="00D10764" w:rsidP="00122B70">
      <w:pPr>
        <w:bidi/>
        <w:rPr>
          <w:b/>
          <w:bCs/>
          <w:sz w:val="32"/>
          <w:szCs w:val="32"/>
          <w:rtl/>
        </w:rPr>
      </w:pPr>
      <w:r w:rsidRPr="00D10764">
        <w:rPr>
          <w:b/>
          <w:bCs/>
          <w:sz w:val="32"/>
          <w:szCs w:val="32"/>
          <w:rtl/>
        </w:rPr>
        <w:t xml:space="preserve">قلتُ: إنّ موضوع الاستطاعة والخمس </w:t>
      </w:r>
      <w:proofErr w:type="gramStart"/>
      <w:r w:rsidRPr="00D10764">
        <w:rPr>
          <w:b/>
          <w:bCs/>
          <w:sz w:val="32"/>
          <w:szCs w:val="32"/>
          <w:rtl/>
        </w:rPr>
        <w:t>السلطنة  الخاصّة</w:t>
      </w:r>
      <w:proofErr w:type="gramEnd"/>
      <w:r w:rsidRPr="00D10764">
        <w:rPr>
          <w:b/>
          <w:bCs/>
          <w:sz w:val="32"/>
          <w:szCs w:val="32"/>
          <w:rtl/>
        </w:rPr>
        <w:t>، كما يظهر مِن مجموع النصوص، وهي عبارة عن السلطنة التكليفية والوضعية على ما هو موجود حقيقة – لا مطلق الوجود -، فلا يكفي في ترتبهما مطلق المِلكيّة لما هو موجود ولو بالنظر العرفي.</w:t>
      </w:r>
    </w:p>
    <w:p w14:paraId="78F42C23" w14:textId="77777777" w:rsidR="00D10764" w:rsidRPr="00D10764" w:rsidRDefault="00D10764" w:rsidP="00122B70">
      <w:pPr>
        <w:bidi/>
        <w:rPr>
          <w:b/>
          <w:bCs/>
          <w:sz w:val="32"/>
          <w:szCs w:val="32"/>
          <w:rtl/>
        </w:rPr>
      </w:pPr>
      <w:r w:rsidRPr="00D10764">
        <w:rPr>
          <w:b/>
          <w:bCs/>
          <w:sz w:val="32"/>
          <w:szCs w:val="32"/>
          <w:rtl/>
        </w:rPr>
        <w:t>والمتحصل: أنّ السلطنة الثابتة بحسب القانون العقلائي لكلّ إنسانٍ عاقلٍ على نفسه وسائر شؤونه ليستْ مِن الآثار للمِلكيّة، وهي حاصلةٌ بالفعل، فلا وجه لاعتبار المِلكيّة مِن أجل تحصيلها.</w:t>
      </w:r>
    </w:p>
    <w:p w14:paraId="4A4E2483" w14:textId="77777777" w:rsidR="00D10764" w:rsidRPr="00D10764" w:rsidRDefault="00D10764" w:rsidP="00122B70">
      <w:pPr>
        <w:bidi/>
        <w:rPr>
          <w:b/>
          <w:bCs/>
          <w:sz w:val="32"/>
          <w:szCs w:val="32"/>
          <w:rtl/>
        </w:rPr>
      </w:pPr>
      <w:r w:rsidRPr="00D10764">
        <w:rPr>
          <w:b/>
          <w:bCs/>
          <w:sz w:val="32"/>
          <w:szCs w:val="32"/>
          <w:rtl/>
        </w:rPr>
        <w:t>فإنْ قلتَ: إنّ بعض ما هو ملك ليس قابلاً للنقل والانتقال كالوقف وأم الولد، مما يعني عدم كون المصحح لاعتبار المِلكيّة هو قابلية النقل والانتقال؟</w:t>
      </w:r>
    </w:p>
    <w:p w14:paraId="32DBA1B6" w14:textId="77777777" w:rsidR="00D10764" w:rsidRPr="00D10764" w:rsidRDefault="00D10764" w:rsidP="00122B70">
      <w:pPr>
        <w:bidi/>
        <w:rPr>
          <w:b/>
          <w:bCs/>
          <w:sz w:val="32"/>
          <w:szCs w:val="32"/>
          <w:rtl/>
        </w:rPr>
      </w:pPr>
      <w:r w:rsidRPr="00D10764">
        <w:rPr>
          <w:b/>
          <w:bCs/>
          <w:sz w:val="32"/>
          <w:szCs w:val="32"/>
          <w:rtl/>
        </w:rPr>
        <w:t>قلتُ: إنّ عدم جواز نقلها بالفعل لعارضٍ لا يمنع قابليتها له عند عروض المسوغ أو انتفاء المانع.</w:t>
      </w:r>
    </w:p>
    <w:p w14:paraId="2ED7A114" w14:textId="77777777" w:rsidR="00D10764" w:rsidRPr="00D10764" w:rsidRDefault="00D10764" w:rsidP="00122B70">
      <w:pPr>
        <w:bidi/>
        <w:rPr>
          <w:b/>
          <w:bCs/>
          <w:sz w:val="32"/>
          <w:szCs w:val="32"/>
          <w:rtl/>
        </w:rPr>
      </w:pPr>
      <w:r w:rsidRPr="00D10764">
        <w:rPr>
          <w:b/>
          <w:bCs/>
          <w:sz w:val="32"/>
          <w:szCs w:val="32"/>
          <w:rtl/>
        </w:rPr>
        <w:t>والنتيجة: أنّ الحرّ لا يملكُ منافعه، لكنها "مالٌ له"؛ إذ يكفي في كونها مالاً هو تنافس العقلاء عليها، ويكفي في الإضافة - بأنْ يُقال: "هذا مالٌ له" - بالنظر العرفي السلطنةُ الاعتباريةُ على نقلها وتمليكها، فما دامتْ هي مما يتنافس العقلاء عليها فهي مالٌ، وما دام لهُ سلطنةٌ اعتباريةٌ على المعاوضة عليها فهي مالٌ له، ومقتضى ذلك تحقّق موضوع الضمان حتى بنظر سيدنا الخوئي (قدس سره الشريف).</w:t>
      </w:r>
    </w:p>
    <w:p w14:paraId="214B4D91" w14:textId="77777777" w:rsidR="00D10764" w:rsidRPr="00D10764" w:rsidRDefault="00D10764" w:rsidP="00122B70">
      <w:pPr>
        <w:bidi/>
        <w:rPr>
          <w:b/>
          <w:bCs/>
          <w:sz w:val="32"/>
          <w:szCs w:val="32"/>
          <w:rtl/>
        </w:rPr>
      </w:pPr>
    </w:p>
    <w:p w14:paraId="60EB6A39" w14:textId="77777777" w:rsidR="00D10764" w:rsidRDefault="00D10764" w:rsidP="00122B70">
      <w:pPr>
        <w:bidi/>
        <w:rPr>
          <w:b/>
          <w:bCs/>
          <w:sz w:val="32"/>
          <w:szCs w:val="32"/>
          <w:rtl/>
        </w:rPr>
      </w:pPr>
      <w:r w:rsidRPr="00D10764">
        <w:rPr>
          <w:b/>
          <w:bCs/>
          <w:sz w:val="32"/>
          <w:szCs w:val="32"/>
          <w:rtl/>
        </w:rPr>
        <w:t>والحمد لله رب العالمين</w:t>
      </w:r>
    </w:p>
    <w:p w14:paraId="460A60D7" w14:textId="0C8DB877" w:rsidR="00537D87" w:rsidRDefault="00F66A22" w:rsidP="00122B70">
      <w:pPr>
        <w:pStyle w:val="Heading3"/>
        <w:bidi/>
        <w:rPr>
          <w:b/>
          <w:bCs/>
          <w:sz w:val="32"/>
          <w:szCs w:val="32"/>
        </w:rPr>
      </w:pPr>
      <w:r>
        <w:rPr>
          <w:b/>
          <w:bCs/>
          <w:sz w:val="32"/>
          <w:szCs w:val="32"/>
        </w:rPr>
        <w:t>319</w:t>
      </w:r>
    </w:p>
    <w:p w14:paraId="0D4BA79E" w14:textId="77777777" w:rsidR="00F66A22" w:rsidRPr="005E03C1" w:rsidRDefault="00F66A22" w:rsidP="00122B70">
      <w:pPr>
        <w:pStyle w:val="a"/>
        <w:bidi/>
        <w:spacing w:line="216" w:lineRule="auto"/>
        <w:jc w:val="left"/>
        <w:rPr>
          <w:rFonts w:ascii="mylotus" w:hAnsi="mylotus"/>
          <w:b/>
          <w:bCs/>
          <w:sz w:val="34"/>
          <w:szCs w:val="34"/>
          <w:rtl/>
        </w:rPr>
      </w:pPr>
      <w:r w:rsidRPr="005E03C1">
        <w:rPr>
          <w:rFonts w:ascii="mylotus" w:hAnsi="mylotus"/>
          <w:b/>
          <w:bCs/>
          <w:sz w:val="34"/>
          <w:szCs w:val="34"/>
          <w:rtl/>
        </w:rPr>
        <w:t>بسم الله الرحمن الرحيم</w:t>
      </w:r>
    </w:p>
    <w:p w14:paraId="2A6A0F3F" w14:textId="77777777" w:rsidR="00F66A22" w:rsidRPr="005E03C1" w:rsidRDefault="00F66A22" w:rsidP="00122B70">
      <w:pPr>
        <w:pStyle w:val="a"/>
        <w:bidi/>
        <w:spacing w:line="216" w:lineRule="auto"/>
        <w:jc w:val="left"/>
        <w:rPr>
          <w:rFonts w:ascii="mylotus" w:hAnsi="mylotus"/>
          <w:b/>
          <w:bCs/>
          <w:sz w:val="34"/>
          <w:szCs w:val="34"/>
          <w:rtl/>
        </w:rPr>
      </w:pPr>
      <w:r w:rsidRPr="005E03C1">
        <w:rPr>
          <w:rFonts w:ascii="mylotus" w:hAnsi="mylotus"/>
          <w:b/>
          <w:bCs/>
          <w:sz w:val="34"/>
          <w:szCs w:val="34"/>
          <w:rtl/>
        </w:rPr>
        <w:t>والصلاة والسلام على أشرف الأنبياء والمرسلين، محمد وآله الطيبين الطاهرين</w:t>
      </w:r>
    </w:p>
    <w:p w14:paraId="41D7BC3A" w14:textId="77777777" w:rsidR="00F66A22" w:rsidRDefault="00F66A22" w:rsidP="00122B70">
      <w:pPr>
        <w:pStyle w:val="a"/>
        <w:bidi/>
        <w:spacing w:line="216" w:lineRule="auto"/>
        <w:jc w:val="left"/>
        <w:rPr>
          <w:rFonts w:ascii="mylotus" w:hAnsi="mylotus"/>
          <w:sz w:val="34"/>
          <w:szCs w:val="34"/>
          <w:rtl/>
        </w:rPr>
      </w:pPr>
      <w:r w:rsidRPr="005E03C1">
        <w:rPr>
          <w:rFonts w:ascii="mylotus" w:hAnsi="mylotus"/>
          <w:b/>
          <w:bCs/>
          <w:sz w:val="34"/>
          <w:szCs w:val="34"/>
          <w:rtl/>
        </w:rPr>
        <w:t>واللعن الدائم على أعدائهم أجمعين إلى قيام يوم الدين</w:t>
      </w:r>
    </w:p>
    <w:p w14:paraId="0C5CDCD5" w14:textId="77777777" w:rsidR="00F66A22" w:rsidRDefault="00F66A22" w:rsidP="00122B70">
      <w:pPr>
        <w:pStyle w:val="a"/>
        <w:bidi/>
        <w:spacing w:line="216" w:lineRule="auto"/>
        <w:jc w:val="left"/>
        <w:rPr>
          <w:rFonts w:ascii="mylotus" w:hAnsi="mylotus"/>
          <w:sz w:val="34"/>
          <w:szCs w:val="34"/>
          <w:rtl/>
        </w:rPr>
      </w:pPr>
    </w:p>
    <w:p w14:paraId="61909019"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وقد ذكر بعض الأجلة القميين (حفظه الله) في كتابه فقه العقود</w:t>
      </w:r>
      <w:r>
        <w:rPr>
          <w:rStyle w:val="FootnoteReference"/>
          <w:rFonts w:ascii="mylotus" w:hAnsi="mylotus"/>
          <w:sz w:val="34"/>
          <w:szCs w:val="34"/>
          <w:rtl/>
        </w:rPr>
        <w:footnoteReference w:id="192"/>
      </w:r>
      <w:r w:rsidRPr="00EC6224">
        <w:rPr>
          <w:rFonts w:ascii="mylotus" w:hAnsi="mylotus"/>
          <w:sz w:val="34"/>
          <w:szCs w:val="34"/>
          <w:rtl/>
        </w:rPr>
        <w:t xml:space="preserve"> نقلاً عن السيد الشهيد الصدر (قدس سره الشريف) أنّه قد فسر مِلكيّة الإنسان لمنافعه وأعماله قَبل المعاوضة عليها - سواءً كان كسوباً أو لَمْ يكن - بحكم العقل </w:t>
      </w:r>
      <w:r w:rsidRPr="00900033">
        <w:rPr>
          <w:rFonts w:ascii="mylotus" w:hAnsi="mylotus"/>
          <w:sz w:val="34"/>
          <w:szCs w:val="34"/>
          <w:highlight w:val="yellow"/>
          <w:rtl/>
        </w:rPr>
        <w:t>العملي بالأولوية</w:t>
      </w:r>
      <w:r w:rsidRPr="00EC6224">
        <w:rPr>
          <w:rFonts w:ascii="mylotus" w:hAnsi="mylotus"/>
          <w:sz w:val="34"/>
          <w:szCs w:val="34"/>
        </w:rPr>
        <w:t>.</w:t>
      </w:r>
    </w:p>
    <w:p w14:paraId="01F4FC2F" w14:textId="77777777" w:rsidR="00F66A22" w:rsidRPr="00EC6224" w:rsidRDefault="00F66A22" w:rsidP="00122B70">
      <w:pPr>
        <w:pStyle w:val="a"/>
        <w:bidi/>
        <w:spacing w:line="216" w:lineRule="auto"/>
        <w:jc w:val="left"/>
        <w:rPr>
          <w:rFonts w:ascii="mylotus" w:hAnsi="mylotus"/>
          <w:b/>
          <w:bCs/>
          <w:sz w:val="34"/>
          <w:szCs w:val="34"/>
          <w:rtl/>
        </w:rPr>
      </w:pPr>
      <w:r w:rsidRPr="00EC6224">
        <w:rPr>
          <w:rFonts w:ascii="mylotus" w:hAnsi="mylotus"/>
          <w:b/>
          <w:bCs/>
          <w:sz w:val="34"/>
          <w:szCs w:val="34"/>
          <w:rtl/>
        </w:rPr>
        <w:lastRenderedPageBreak/>
        <w:t>وبيانُ ذلك</w:t>
      </w:r>
      <w:r w:rsidRPr="00EC6224">
        <w:rPr>
          <w:rFonts w:ascii="mylotus" w:hAnsi="mylotus"/>
          <w:b/>
          <w:bCs/>
          <w:sz w:val="34"/>
          <w:szCs w:val="34"/>
        </w:rPr>
        <w:t>:</w:t>
      </w:r>
    </w:p>
    <w:p w14:paraId="2E7B362C"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أنّ الإنسان يملك منافعه وأعماله بالمِلكيّة التكوينية وهي عبارةٌ عن سلطنته تكويناً على التصرف في منافعه وأعماله، وهذا مما لا ريب فيه</w:t>
      </w:r>
      <w:r w:rsidRPr="00EC6224">
        <w:rPr>
          <w:rFonts w:ascii="mylotus" w:hAnsi="mylotus"/>
          <w:sz w:val="34"/>
          <w:szCs w:val="34"/>
        </w:rPr>
        <w:t>.</w:t>
      </w:r>
    </w:p>
    <w:p w14:paraId="47D9F813" w14:textId="77777777" w:rsidR="00F66A22" w:rsidRPr="00EC6224" w:rsidRDefault="00F66A22" w:rsidP="00122B70">
      <w:pPr>
        <w:pStyle w:val="a"/>
        <w:bidi/>
        <w:spacing w:line="216" w:lineRule="auto"/>
        <w:jc w:val="left"/>
        <w:rPr>
          <w:rFonts w:ascii="mylotus" w:hAnsi="mylotus"/>
          <w:sz w:val="34"/>
          <w:szCs w:val="34"/>
          <w:rtl/>
        </w:rPr>
      </w:pPr>
      <w:r w:rsidRPr="00900033">
        <w:rPr>
          <w:rFonts w:ascii="mylotus" w:hAnsi="mylotus"/>
          <w:sz w:val="34"/>
          <w:szCs w:val="34"/>
          <w:u w:val="single"/>
          <w:rtl/>
        </w:rPr>
        <w:t>والمتفرعُ</w:t>
      </w:r>
      <w:r w:rsidRPr="00EC6224">
        <w:rPr>
          <w:rFonts w:ascii="mylotus" w:hAnsi="mylotus"/>
          <w:sz w:val="34"/>
          <w:szCs w:val="34"/>
          <w:rtl/>
        </w:rPr>
        <w:t xml:space="preserve"> على هذه السلطنة التكوينية حكم العقل العملي </w:t>
      </w:r>
      <w:r w:rsidRPr="00900033">
        <w:rPr>
          <w:rFonts w:ascii="mylotus" w:hAnsi="mylotus"/>
          <w:sz w:val="34"/>
          <w:szCs w:val="34"/>
          <w:highlight w:val="yellow"/>
          <w:rtl/>
        </w:rPr>
        <w:t>بأولوية</w:t>
      </w:r>
      <w:r w:rsidRPr="00EC6224">
        <w:rPr>
          <w:rFonts w:ascii="mylotus" w:hAnsi="mylotus"/>
          <w:sz w:val="34"/>
          <w:szCs w:val="34"/>
          <w:rtl/>
        </w:rPr>
        <w:t xml:space="preserve"> الإنسان بنفسه وشؤونه مِن غيره، فكُلّ إنسانٍ هو أولى بنفسه وشؤونه </w:t>
      </w:r>
      <w:r>
        <w:rPr>
          <w:rFonts w:ascii="mylotus" w:hAnsi="mylotus" w:hint="cs"/>
          <w:sz w:val="34"/>
          <w:szCs w:val="34"/>
          <w:rtl/>
        </w:rPr>
        <w:t xml:space="preserve">- </w:t>
      </w:r>
      <w:r w:rsidRPr="00EC6224">
        <w:rPr>
          <w:rFonts w:ascii="mylotus" w:hAnsi="mylotus"/>
          <w:sz w:val="34"/>
          <w:szCs w:val="34"/>
          <w:rtl/>
        </w:rPr>
        <w:t>ومنها منافعه وأعماله</w:t>
      </w:r>
      <w:r>
        <w:rPr>
          <w:rFonts w:ascii="mylotus" w:hAnsi="mylotus" w:hint="cs"/>
          <w:sz w:val="34"/>
          <w:szCs w:val="34"/>
          <w:rtl/>
        </w:rPr>
        <w:t xml:space="preserve"> -</w:t>
      </w:r>
      <w:r w:rsidRPr="00EC6224">
        <w:rPr>
          <w:rFonts w:ascii="mylotus" w:hAnsi="mylotus"/>
          <w:sz w:val="34"/>
          <w:szCs w:val="34"/>
          <w:rtl/>
        </w:rPr>
        <w:t xml:space="preserve"> فليس لغيره صلاحية التصرف </w:t>
      </w:r>
      <w:proofErr w:type="gramStart"/>
      <w:r w:rsidRPr="00EC6224">
        <w:rPr>
          <w:rFonts w:ascii="mylotus" w:hAnsi="mylotus"/>
          <w:sz w:val="34"/>
          <w:szCs w:val="34"/>
          <w:rtl/>
        </w:rPr>
        <w:t>فيه</w:t>
      </w:r>
      <w:proofErr w:type="gramEnd"/>
      <w:r w:rsidRPr="00EC6224">
        <w:rPr>
          <w:rFonts w:ascii="mylotus" w:hAnsi="mylotus"/>
          <w:sz w:val="34"/>
          <w:szCs w:val="34"/>
          <w:rtl/>
        </w:rPr>
        <w:t xml:space="preserve"> بل الأولوية له، وهذه الأولوية هي مِن أحكام العقل العملي، وليستْ أمراً تكوينيا كالسلطنة على التصرف، ولا أمراً جعليا</w:t>
      </w:r>
      <w:r>
        <w:rPr>
          <w:rFonts w:ascii="mylotus" w:hAnsi="mylotus" w:hint="cs"/>
          <w:sz w:val="34"/>
          <w:szCs w:val="34"/>
          <w:rtl/>
        </w:rPr>
        <w:t>ً</w:t>
      </w:r>
      <w:r w:rsidRPr="00EC6224">
        <w:rPr>
          <w:rFonts w:ascii="mylotus" w:hAnsi="mylotus"/>
          <w:sz w:val="34"/>
          <w:szCs w:val="34"/>
          <w:rtl/>
        </w:rPr>
        <w:t>، فكما يحكمُ العقل العملي بقُبح الظلم وحُسن العدل يحكم العقل العملي بأنّ الإنسان أولى بنفسه وشؤونه مِن أيّ إنسانٍ آخر، غاية ما في الباب أنّ موضوع الأولوية منوط</w:t>
      </w:r>
      <w:r>
        <w:rPr>
          <w:rFonts w:ascii="mylotus" w:hAnsi="mylotus" w:hint="cs"/>
          <w:sz w:val="34"/>
          <w:szCs w:val="34"/>
          <w:rtl/>
        </w:rPr>
        <w:t>ٌ</w:t>
      </w:r>
      <w:r w:rsidRPr="00EC6224">
        <w:rPr>
          <w:rFonts w:ascii="mylotus" w:hAnsi="mylotus"/>
          <w:sz w:val="34"/>
          <w:szCs w:val="34"/>
          <w:rtl/>
        </w:rPr>
        <w:t xml:space="preserve"> بكون التصرف سائغاٍ، إمّا تكليفاً أو</w:t>
      </w:r>
      <w:r>
        <w:rPr>
          <w:rFonts w:ascii="mylotus" w:hAnsi="mylotus" w:hint="cs"/>
          <w:sz w:val="34"/>
          <w:szCs w:val="34"/>
          <w:rtl/>
        </w:rPr>
        <w:t xml:space="preserve"> </w:t>
      </w:r>
      <w:r w:rsidRPr="00EC6224">
        <w:rPr>
          <w:rFonts w:ascii="mylotus" w:hAnsi="mylotus"/>
          <w:sz w:val="34"/>
          <w:szCs w:val="34"/>
          <w:rtl/>
        </w:rPr>
        <w:t>وضعاً</w:t>
      </w:r>
      <w:r w:rsidRPr="00EC6224">
        <w:rPr>
          <w:rFonts w:ascii="mylotus" w:hAnsi="mylotus"/>
          <w:sz w:val="34"/>
          <w:szCs w:val="34"/>
        </w:rPr>
        <w:t>.</w:t>
      </w:r>
    </w:p>
    <w:p w14:paraId="100EC354"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b/>
          <w:bCs/>
          <w:sz w:val="34"/>
          <w:szCs w:val="34"/>
          <w:rtl/>
        </w:rPr>
        <w:t>فمثلاً:</w:t>
      </w:r>
      <w:r w:rsidRPr="00EC6224">
        <w:rPr>
          <w:rFonts w:ascii="mylotus" w:hAnsi="mylotus"/>
          <w:sz w:val="34"/>
          <w:szCs w:val="34"/>
          <w:rtl/>
        </w:rPr>
        <w:t xml:space="preserve"> كونُ الإنسان ذا أولوية بنفسه وشؤونه لا يعني أنّه يجوز له شرب الخمر؛ لأنّ هذا التصرف ليس سائغاً شرعاً، ولا يعني أنّه بهذه ال</w:t>
      </w:r>
      <w:r>
        <w:rPr>
          <w:rFonts w:ascii="mylotus" w:hAnsi="mylotus" w:hint="cs"/>
          <w:sz w:val="34"/>
          <w:szCs w:val="34"/>
          <w:rtl/>
        </w:rPr>
        <w:t>أ</w:t>
      </w:r>
      <w:r w:rsidRPr="00EC6224">
        <w:rPr>
          <w:rFonts w:ascii="mylotus" w:hAnsi="mylotus"/>
          <w:sz w:val="34"/>
          <w:szCs w:val="34"/>
          <w:rtl/>
        </w:rPr>
        <w:t xml:space="preserve">ولوية يستطيع </w:t>
      </w:r>
      <w:r w:rsidRPr="00EC6224">
        <w:rPr>
          <w:rFonts w:ascii="Times New Roman" w:hAnsi="Times New Roman" w:cs="Times New Roman" w:hint="cs"/>
          <w:sz w:val="34"/>
          <w:szCs w:val="34"/>
          <w:rtl/>
        </w:rPr>
        <w:t>–</w:t>
      </w:r>
      <w:r w:rsidRPr="00EC6224">
        <w:rPr>
          <w:rFonts w:ascii="mylotus" w:hAnsi="mylotus"/>
          <w:sz w:val="34"/>
          <w:szCs w:val="34"/>
          <w:rtl/>
        </w:rPr>
        <w:t xml:space="preserve"> </w:t>
      </w:r>
      <w:r w:rsidRPr="00EC6224">
        <w:rPr>
          <w:rFonts w:ascii="mylotus" w:hAnsi="mylotus" w:hint="cs"/>
          <w:sz w:val="34"/>
          <w:szCs w:val="34"/>
          <w:rtl/>
        </w:rPr>
        <w:t>مثلاً</w:t>
      </w:r>
      <w:r w:rsidRPr="00EC6224">
        <w:rPr>
          <w:rFonts w:ascii="mylotus" w:hAnsi="mylotus"/>
          <w:sz w:val="34"/>
          <w:szCs w:val="34"/>
          <w:rtl/>
        </w:rPr>
        <w:t xml:space="preserve"> - </w:t>
      </w:r>
      <w:r w:rsidRPr="00EC6224">
        <w:rPr>
          <w:rFonts w:ascii="mylotus" w:hAnsi="mylotus" w:hint="cs"/>
          <w:sz w:val="34"/>
          <w:szCs w:val="34"/>
          <w:rtl/>
        </w:rPr>
        <w:t>أن</w:t>
      </w:r>
      <w:r>
        <w:rPr>
          <w:rFonts w:ascii="mylotus" w:hAnsi="mylotus" w:hint="cs"/>
          <w:sz w:val="34"/>
          <w:szCs w:val="34"/>
          <w:rtl/>
        </w:rPr>
        <w:t>ْ</w:t>
      </w:r>
      <w:r w:rsidRPr="00EC6224">
        <w:rPr>
          <w:rFonts w:ascii="mylotus" w:hAnsi="mylotus"/>
          <w:sz w:val="34"/>
          <w:szCs w:val="34"/>
          <w:rtl/>
        </w:rPr>
        <w:t xml:space="preserve"> </w:t>
      </w:r>
      <w:r w:rsidRPr="00EC6224">
        <w:rPr>
          <w:rFonts w:ascii="mylotus" w:hAnsi="mylotus" w:hint="cs"/>
          <w:sz w:val="34"/>
          <w:szCs w:val="34"/>
          <w:rtl/>
        </w:rPr>
        <w:t>يتملك</w:t>
      </w:r>
      <w:r w:rsidRPr="00EC6224">
        <w:rPr>
          <w:rFonts w:ascii="mylotus" w:hAnsi="mylotus"/>
          <w:sz w:val="34"/>
          <w:szCs w:val="34"/>
          <w:rtl/>
        </w:rPr>
        <w:t xml:space="preserve"> </w:t>
      </w:r>
      <w:r w:rsidRPr="00EC6224">
        <w:rPr>
          <w:rFonts w:ascii="mylotus" w:hAnsi="mylotus" w:hint="cs"/>
          <w:sz w:val="34"/>
          <w:szCs w:val="34"/>
          <w:rtl/>
        </w:rPr>
        <w:t>المال</w:t>
      </w:r>
      <w:r w:rsidRPr="00EC6224">
        <w:rPr>
          <w:rFonts w:ascii="mylotus" w:hAnsi="mylotus"/>
          <w:sz w:val="34"/>
          <w:szCs w:val="34"/>
          <w:rtl/>
        </w:rPr>
        <w:t xml:space="preserve"> </w:t>
      </w:r>
      <w:r w:rsidRPr="00EC6224">
        <w:rPr>
          <w:rFonts w:ascii="mylotus" w:hAnsi="mylotus" w:hint="cs"/>
          <w:sz w:val="34"/>
          <w:szCs w:val="34"/>
          <w:rtl/>
        </w:rPr>
        <w:t>بواسطة</w:t>
      </w:r>
      <w:r w:rsidRPr="00EC6224">
        <w:rPr>
          <w:rFonts w:ascii="mylotus" w:hAnsi="mylotus"/>
          <w:sz w:val="34"/>
          <w:szCs w:val="34"/>
          <w:rtl/>
        </w:rPr>
        <w:t xml:space="preserve"> </w:t>
      </w:r>
      <w:r w:rsidRPr="00EC6224">
        <w:rPr>
          <w:rFonts w:ascii="mylotus" w:hAnsi="mylotus" w:hint="cs"/>
          <w:sz w:val="34"/>
          <w:szCs w:val="34"/>
          <w:rtl/>
        </w:rPr>
        <w:t>القمار</w:t>
      </w:r>
      <w:r>
        <w:rPr>
          <w:rFonts w:ascii="mylotus" w:hAnsi="mylotus" w:hint="cs"/>
          <w:sz w:val="34"/>
          <w:szCs w:val="34"/>
          <w:rtl/>
        </w:rPr>
        <w:t>؛</w:t>
      </w:r>
      <w:r w:rsidRPr="00EC6224">
        <w:rPr>
          <w:rFonts w:ascii="mylotus" w:hAnsi="mylotus"/>
          <w:sz w:val="34"/>
          <w:szCs w:val="34"/>
          <w:rtl/>
        </w:rPr>
        <w:t xml:space="preserve"> </w:t>
      </w:r>
      <w:r w:rsidRPr="00EC6224">
        <w:rPr>
          <w:rFonts w:ascii="mylotus" w:hAnsi="mylotus" w:hint="cs"/>
          <w:sz w:val="34"/>
          <w:szCs w:val="34"/>
          <w:rtl/>
        </w:rPr>
        <w:t>فإن</w:t>
      </w:r>
      <w:r>
        <w:rPr>
          <w:rFonts w:ascii="mylotus" w:hAnsi="mylotus" w:hint="cs"/>
          <w:sz w:val="34"/>
          <w:szCs w:val="34"/>
          <w:rtl/>
        </w:rPr>
        <w:t>ّ</w:t>
      </w:r>
      <w:r w:rsidRPr="00EC6224">
        <w:rPr>
          <w:rFonts w:ascii="mylotus" w:hAnsi="mylotus" w:hint="cs"/>
          <w:sz w:val="34"/>
          <w:szCs w:val="34"/>
          <w:rtl/>
        </w:rPr>
        <w:t>ه</w:t>
      </w:r>
      <w:r w:rsidRPr="00EC6224">
        <w:rPr>
          <w:rFonts w:ascii="mylotus" w:hAnsi="mylotus"/>
          <w:sz w:val="34"/>
          <w:szCs w:val="34"/>
          <w:rtl/>
        </w:rPr>
        <w:t xml:space="preserve"> </w:t>
      </w:r>
      <w:r w:rsidRPr="00EC6224">
        <w:rPr>
          <w:rFonts w:ascii="mylotus" w:hAnsi="mylotus" w:hint="cs"/>
          <w:sz w:val="34"/>
          <w:szCs w:val="34"/>
          <w:rtl/>
        </w:rPr>
        <w:t>تصرف</w:t>
      </w:r>
      <w:r w:rsidRPr="00EC6224">
        <w:rPr>
          <w:rFonts w:ascii="mylotus" w:hAnsi="mylotus"/>
          <w:sz w:val="34"/>
          <w:szCs w:val="34"/>
          <w:rtl/>
        </w:rPr>
        <w:t xml:space="preserve"> </w:t>
      </w:r>
      <w:r w:rsidRPr="00EC6224">
        <w:rPr>
          <w:rFonts w:ascii="mylotus" w:hAnsi="mylotus" w:hint="cs"/>
          <w:sz w:val="34"/>
          <w:szCs w:val="34"/>
          <w:rtl/>
        </w:rPr>
        <w:t>باطل</w:t>
      </w:r>
      <w:r w:rsidRPr="00EC6224">
        <w:rPr>
          <w:rFonts w:ascii="mylotus" w:hAnsi="mylotus"/>
          <w:sz w:val="34"/>
          <w:szCs w:val="34"/>
          <w:rtl/>
        </w:rPr>
        <w:t xml:space="preserve"> </w:t>
      </w:r>
      <w:r w:rsidRPr="00EC6224">
        <w:rPr>
          <w:rFonts w:ascii="mylotus" w:hAnsi="mylotus" w:hint="cs"/>
          <w:sz w:val="34"/>
          <w:szCs w:val="34"/>
          <w:rtl/>
        </w:rPr>
        <w:t>وضعا</w:t>
      </w:r>
      <w:r>
        <w:rPr>
          <w:rFonts w:ascii="mylotus" w:hAnsi="mylotus" w:hint="cs"/>
          <w:sz w:val="34"/>
          <w:szCs w:val="34"/>
          <w:rtl/>
        </w:rPr>
        <w:t>ً،</w:t>
      </w:r>
      <w:r w:rsidRPr="00EC6224">
        <w:rPr>
          <w:rFonts w:ascii="mylotus" w:hAnsi="mylotus"/>
          <w:sz w:val="34"/>
          <w:szCs w:val="34"/>
          <w:rtl/>
        </w:rPr>
        <w:t xml:space="preserve"> </w:t>
      </w:r>
      <w:r w:rsidRPr="00EC6224">
        <w:rPr>
          <w:rFonts w:ascii="mylotus" w:hAnsi="mylotus" w:hint="cs"/>
          <w:sz w:val="34"/>
          <w:szCs w:val="34"/>
          <w:rtl/>
        </w:rPr>
        <w:t>بل</w:t>
      </w:r>
      <w:r w:rsidRPr="00EC6224">
        <w:rPr>
          <w:rFonts w:ascii="mylotus" w:hAnsi="mylotus"/>
          <w:sz w:val="34"/>
          <w:szCs w:val="34"/>
          <w:rtl/>
        </w:rPr>
        <w:t xml:space="preserve"> </w:t>
      </w:r>
      <w:r w:rsidRPr="00EC6224">
        <w:rPr>
          <w:rFonts w:ascii="mylotus" w:hAnsi="mylotus" w:hint="cs"/>
          <w:sz w:val="34"/>
          <w:szCs w:val="34"/>
          <w:rtl/>
        </w:rPr>
        <w:t>حكم</w:t>
      </w:r>
      <w:r w:rsidRPr="00EC6224">
        <w:rPr>
          <w:rFonts w:ascii="mylotus" w:hAnsi="mylotus"/>
          <w:sz w:val="34"/>
          <w:szCs w:val="34"/>
          <w:rtl/>
        </w:rPr>
        <w:t xml:space="preserve"> </w:t>
      </w:r>
      <w:r w:rsidRPr="00EC6224">
        <w:rPr>
          <w:rFonts w:ascii="mylotus" w:hAnsi="mylotus" w:hint="cs"/>
          <w:sz w:val="34"/>
          <w:szCs w:val="34"/>
          <w:rtl/>
        </w:rPr>
        <w:t>العقل</w:t>
      </w:r>
      <w:r w:rsidRPr="00EC6224">
        <w:rPr>
          <w:rFonts w:ascii="mylotus" w:hAnsi="mylotus"/>
          <w:sz w:val="34"/>
          <w:szCs w:val="34"/>
          <w:rtl/>
        </w:rPr>
        <w:t xml:space="preserve"> </w:t>
      </w:r>
      <w:r w:rsidRPr="00EC6224">
        <w:rPr>
          <w:rFonts w:ascii="mylotus" w:hAnsi="mylotus" w:hint="cs"/>
          <w:sz w:val="34"/>
          <w:szCs w:val="34"/>
          <w:rtl/>
        </w:rPr>
        <w:t>العملي</w:t>
      </w:r>
      <w:r w:rsidRPr="00EC6224">
        <w:rPr>
          <w:rFonts w:ascii="mylotus" w:hAnsi="mylotus"/>
          <w:sz w:val="34"/>
          <w:szCs w:val="34"/>
          <w:rtl/>
        </w:rPr>
        <w:t xml:space="preserve"> </w:t>
      </w:r>
      <w:r w:rsidRPr="00EC6224">
        <w:rPr>
          <w:rFonts w:ascii="mylotus" w:hAnsi="mylotus" w:hint="cs"/>
          <w:sz w:val="34"/>
          <w:szCs w:val="34"/>
          <w:rtl/>
        </w:rPr>
        <w:t>بالأولوية</w:t>
      </w:r>
      <w:r w:rsidRPr="00EC6224">
        <w:rPr>
          <w:rFonts w:ascii="mylotus" w:hAnsi="mylotus"/>
          <w:sz w:val="34"/>
          <w:szCs w:val="34"/>
          <w:rtl/>
        </w:rPr>
        <w:t xml:space="preserve"> </w:t>
      </w:r>
      <w:r w:rsidRPr="00EC6224">
        <w:rPr>
          <w:rFonts w:ascii="mylotus" w:hAnsi="mylotus" w:hint="cs"/>
          <w:sz w:val="34"/>
          <w:szCs w:val="34"/>
          <w:rtl/>
        </w:rPr>
        <w:t>في</w:t>
      </w:r>
      <w:r w:rsidRPr="00EC6224">
        <w:rPr>
          <w:rFonts w:ascii="mylotus" w:hAnsi="mylotus"/>
          <w:sz w:val="34"/>
          <w:szCs w:val="34"/>
          <w:rtl/>
        </w:rPr>
        <w:t xml:space="preserve"> </w:t>
      </w:r>
      <w:r w:rsidRPr="00EC6224">
        <w:rPr>
          <w:rFonts w:ascii="mylotus" w:hAnsi="mylotus" w:hint="cs"/>
          <w:sz w:val="34"/>
          <w:szCs w:val="34"/>
          <w:rtl/>
        </w:rPr>
        <w:t>إطار</w:t>
      </w:r>
      <w:r w:rsidRPr="00EC6224">
        <w:rPr>
          <w:rFonts w:ascii="mylotus" w:hAnsi="mylotus"/>
          <w:sz w:val="34"/>
          <w:szCs w:val="34"/>
          <w:rtl/>
        </w:rPr>
        <w:t xml:space="preserve"> </w:t>
      </w:r>
      <w:r w:rsidRPr="00EC6224">
        <w:rPr>
          <w:rFonts w:ascii="mylotus" w:hAnsi="mylotus" w:hint="cs"/>
          <w:sz w:val="34"/>
          <w:szCs w:val="34"/>
          <w:rtl/>
        </w:rPr>
        <w:t>كون</w:t>
      </w:r>
      <w:r w:rsidRPr="00EC6224">
        <w:rPr>
          <w:rFonts w:ascii="mylotus" w:hAnsi="mylotus"/>
          <w:sz w:val="34"/>
          <w:szCs w:val="34"/>
          <w:rtl/>
        </w:rPr>
        <w:t xml:space="preserve"> </w:t>
      </w:r>
      <w:r w:rsidRPr="00EC6224">
        <w:rPr>
          <w:rFonts w:ascii="mylotus" w:hAnsi="mylotus" w:hint="cs"/>
          <w:sz w:val="34"/>
          <w:szCs w:val="34"/>
          <w:rtl/>
        </w:rPr>
        <w:t>التصرف</w:t>
      </w:r>
      <w:r w:rsidRPr="00EC6224">
        <w:rPr>
          <w:rFonts w:ascii="mylotus" w:hAnsi="mylotus"/>
          <w:sz w:val="34"/>
          <w:szCs w:val="34"/>
          <w:rtl/>
        </w:rPr>
        <w:t xml:space="preserve"> </w:t>
      </w:r>
      <w:r w:rsidRPr="00EC6224">
        <w:rPr>
          <w:rFonts w:ascii="mylotus" w:hAnsi="mylotus" w:hint="cs"/>
          <w:sz w:val="34"/>
          <w:szCs w:val="34"/>
          <w:rtl/>
        </w:rPr>
        <w:t>في</w:t>
      </w:r>
      <w:r w:rsidRPr="00EC6224">
        <w:rPr>
          <w:rFonts w:ascii="mylotus" w:hAnsi="mylotus"/>
          <w:sz w:val="34"/>
          <w:szCs w:val="34"/>
          <w:rtl/>
        </w:rPr>
        <w:t xml:space="preserve"> </w:t>
      </w:r>
      <w:r w:rsidRPr="00EC6224">
        <w:rPr>
          <w:rFonts w:ascii="mylotus" w:hAnsi="mylotus" w:hint="cs"/>
          <w:sz w:val="34"/>
          <w:szCs w:val="34"/>
          <w:rtl/>
        </w:rPr>
        <w:t>نفسه</w:t>
      </w:r>
      <w:r w:rsidRPr="00EC6224">
        <w:rPr>
          <w:rFonts w:ascii="mylotus" w:hAnsi="mylotus"/>
          <w:sz w:val="34"/>
          <w:szCs w:val="34"/>
          <w:rtl/>
        </w:rPr>
        <w:t xml:space="preserve"> </w:t>
      </w:r>
      <w:r w:rsidRPr="00EC6224">
        <w:rPr>
          <w:rFonts w:ascii="mylotus" w:hAnsi="mylotus" w:hint="cs"/>
          <w:sz w:val="34"/>
          <w:szCs w:val="34"/>
          <w:rtl/>
        </w:rPr>
        <w:t>سائغاً</w:t>
      </w:r>
      <w:r w:rsidRPr="00EC6224">
        <w:rPr>
          <w:rFonts w:ascii="mylotus" w:hAnsi="mylotus"/>
          <w:sz w:val="34"/>
          <w:szCs w:val="34"/>
          <w:rtl/>
        </w:rPr>
        <w:t xml:space="preserve"> </w:t>
      </w:r>
      <w:r w:rsidRPr="00EC6224">
        <w:rPr>
          <w:rFonts w:ascii="mylotus" w:hAnsi="mylotus" w:hint="cs"/>
          <w:sz w:val="34"/>
          <w:szCs w:val="34"/>
          <w:rtl/>
        </w:rPr>
        <w:t>شرعاً</w:t>
      </w:r>
      <w:r w:rsidRPr="00EC6224">
        <w:rPr>
          <w:rFonts w:ascii="mylotus" w:hAnsi="mylotus"/>
          <w:sz w:val="34"/>
          <w:szCs w:val="34"/>
          <w:rtl/>
        </w:rPr>
        <w:t xml:space="preserve"> </w:t>
      </w:r>
      <w:r w:rsidRPr="00EC6224">
        <w:rPr>
          <w:rFonts w:ascii="mylotus" w:hAnsi="mylotus" w:hint="cs"/>
          <w:sz w:val="34"/>
          <w:szCs w:val="34"/>
          <w:rtl/>
        </w:rPr>
        <w:t>تكليفاً</w:t>
      </w:r>
      <w:r w:rsidRPr="00EC6224">
        <w:rPr>
          <w:rFonts w:ascii="mylotus" w:hAnsi="mylotus"/>
          <w:sz w:val="34"/>
          <w:szCs w:val="34"/>
          <w:rtl/>
        </w:rPr>
        <w:t xml:space="preserve"> </w:t>
      </w:r>
      <w:r w:rsidRPr="00EC6224">
        <w:rPr>
          <w:rFonts w:ascii="mylotus" w:hAnsi="mylotus" w:hint="cs"/>
          <w:sz w:val="34"/>
          <w:szCs w:val="34"/>
          <w:rtl/>
        </w:rPr>
        <w:t>أو</w:t>
      </w:r>
      <w:r w:rsidRPr="00EC6224">
        <w:rPr>
          <w:rFonts w:ascii="mylotus" w:hAnsi="mylotus"/>
          <w:sz w:val="34"/>
          <w:szCs w:val="34"/>
          <w:rtl/>
        </w:rPr>
        <w:t xml:space="preserve"> </w:t>
      </w:r>
      <w:r w:rsidRPr="00EC6224">
        <w:rPr>
          <w:rFonts w:ascii="mylotus" w:hAnsi="mylotus" w:hint="cs"/>
          <w:sz w:val="34"/>
          <w:szCs w:val="34"/>
          <w:rtl/>
        </w:rPr>
        <w:t>وضعاً</w:t>
      </w:r>
      <w:r w:rsidRPr="00EC6224">
        <w:rPr>
          <w:rFonts w:ascii="mylotus" w:hAnsi="mylotus"/>
          <w:sz w:val="34"/>
          <w:szCs w:val="34"/>
        </w:rPr>
        <w:t>.</w:t>
      </w:r>
    </w:p>
    <w:p w14:paraId="21681980"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ولذلك فإنّ كون الإنسان محجوراً عن التصرف تقييدٌ في موضوع حكم العقل العملي بالأولوية</w:t>
      </w:r>
      <w:r w:rsidRPr="00EC6224">
        <w:rPr>
          <w:rFonts w:ascii="mylotus" w:hAnsi="mylotus"/>
          <w:sz w:val="34"/>
          <w:szCs w:val="34"/>
        </w:rPr>
        <w:t>.</w:t>
      </w:r>
    </w:p>
    <w:p w14:paraId="31A70EE1" w14:textId="77777777" w:rsidR="00F66A22" w:rsidRDefault="00F66A22" w:rsidP="00122B70">
      <w:pPr>
        <w:pStyle w:val="a"/>
        <w:bidi/>
        <w:spacing w:line="216" w:lineRule="auto"/>
        <w:jc w:val="left"/>
        <w:rPr>
          <w:rFonts w:ascii="mylotus" w:hAnsi="mylotus"/>
          <w:sz w:val="34"/>
          <w:szCs w:val="34"/>
          <w:rtl/>
        </w:rPr>
      </w:pPr>
      <w:r w:rsidRPr="00EC6224">
        <w:rPr>
          <w:rFonts w:ascii="mylotus" w:hAnsi="mylotus"/>
          <w:b/>
          <w:bCs/>
          <w:sz w:val="34"/>
          <w:szCs w:val="34"/>
          <w:rtl/>
        </w:rPr>
        <w:t>ولكن الصحيح:</w:t>
      </w:r>
      <w:r w:rsidRPr="00EC6224">
        <w:rPr>
          <w:rFonts w:ascii="mylotus" w:hAnsi="mylotus"/>
          <w:sz w:val="34"/>
          <w:szCs w:val="34"/>
          <w:rtl/>
        </w:rPr>
        <w:t xml:space="preserve"> - كما سبق - أنّ المتفرع على السلطنة التكوينية </w:t>
      </w:r>
      <w:r w:rsidRPr="00C91A64">
        <w:rPr>
          <w:rFonts w:ascii="mylotus" w:hAnsi="mylotus"/>
          <w:sz w:val="34"/>
          <w:szCs w:val="34"/>
          <w:highlight w:val="yellow"/>
          <w:rtl/>
        </w:rPr>
        <w:t>سلطنةٌ قانونية</w:t>
      </w:r>
      <w:r w:rsidRPr="00EC6224">
        <w:rPr>
          <w:rFonts w:ascii="mylotus" w:hAnsi="mylotus"/>
          <w:sz w:val="34"/>
          <w:szCs w:val="34"/>
          <w:rtl/>
        </w:rPr>
        <w:t xml:space="preserve"> وهي بناءُ العقلاء على أنّ الإنسان مسلطٌ على نفسه ومنافعه وأعماله، كما هو المشار إليه في الحديث المرسل في عوالي اللئالي: </w:t>
      </w:r>
      <w:r w:rsidRPr="00EC6224">
        <w:rPr>
          <w:rFonts w:ascii="mylotus" w:hAnsi="mylotus"/>
          <w:b/>
          <w:bCs/>
          <w:sz w:val="34"/>
          <w:szCs w:val="34"/>
          <w:rtl/>
        </w:rPr>
        <w:t>(وقال (صلى الله عليه وآله): (الناس مسلطون على أموالهم)</w:t>
      </w:r>
      <w:r>
        <w:rPr>
          <w:rStyle w:val="FootnoteReference"/>
          <w:rFonts w:ascii="mylotus" w:hAnsi="mylotus"/>
          <w:sz w:val="34"/>
          <w:szCs w:val="34"/>
          <w:rtl/>
        </w:rPr>
        <w:footnoteReference w:id="193"/>
      </w:r>
      <w:r>
        <w:rPr>
          <w:rFonts w:ascii="mylotus" w:hAnsi="mylotus" w:hint="cs"/>
          <w:sz w:val="34"/>
          <w:szCs w:val="34"/>
          <w:rtl/>
        </w:rPr>
        <w:t>،</w:t>
      </w:r>
      <w:r w:rsidRPr="00EC6224">
        <w:rPr>
          <w:rFonts w:ascii="mylotus" w:hAnsi="mylotus"/>
          <w:sz w:val="34"/>
          <w:szCs w:val="34"/>
          <w:rtl/>
        </w:rPr>
        <w:t xml:space="preserve"> فإنّ السلطنة على الأموال متفرعةٌ على السلطنة على النفس وشؤونها، والسلطنة على النفس وشؤونها أمرٌ اعتباري قضى بِهِ القانون العقلائي وأمضاه المشرع</w:t>
      </w:r>
      <w:r>
        <w:rPr>
          <w:rFonts w:ascii="mylotus" w:hAnsi="mylotus" w:hint="cs"/>
          <w:sz w:val="34"/>
          <w:szCs w:val="34"/>
          <w:rtl/>
        </w:rPr>
        <w:t>.</w:t>
      </w:r>
    </w:p>
    <w:p w14:paraId="70F29D3C"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نعم</w:t>
      </w:r>
      <w:r>
        <w:rPr>
          <w:rFonts w:ascii="mylotus" w:hAnsi="mylotus" w:hint="cs"/>
          <w:sz w:val="34"/>
          <w:szCs w:val="34"/>
          <w:rtl/>
        </w:rPr>
        <w:t>،</w:t>
      </w:r>
      <w:r w:rsidRPr="00EC6224">
        <w:rPr>
          <w:rFonts w:ascii="mylotus" w:hAnsi="mylotus"/>
          <w:sz w:val="34"/>
          <w:szCs w:val="34"/>
          <w:rtl/>
        </w:rPr>
        <w:t xml:space="preserve"> في طول ذلك حكم العقل العملي بأن</w:t>
      </w:r>
      <w:r>
        <w:rPr>
          <w:rFonts w:ascii="mylotus" w:hAnsi="mylotus" w:hint="cs"/>
          <w:sz w:val="34"/>
          <w:szCs w:val="34"/>
          <w:rtl/>
        </w:rPr>
        <w:t>ّ</w:t>
      </w:r>
      <w:r w:rsidRPr="00EC6224">
        <w:rPr>
          <w:rFonts w:ascii="mylotus" w:hAnsi="mylotus"/>
          <w:sz w:val="34"/>
          <w:szCs w:val="34"/>
          <w:rtl/>
        </w:rPr>
        <w:t xml:space="preserve"> التصرف في شؤون الغير دون رضاه ظلم</w:t>
      </w:r>
      <w:r>
        <w:rPr>
          <w:rFonts w:ascii="mylotus" w:hAnsi="mylotus" w:hint="cs"/>
          <w:sz w:val="34"/>
          <w:szCs w:val="34"/>
          <w:rtl/>
        </w:rPr>
        <w:t>ٌ</w:t>
      </w:r>
      <w:r w:rsidRPr="00EC6224">
        <w:rPr>
          <w:rFonts w:ascii="mylotus" w:hAnsi="mylotus"/>
          <w:sz w:val="34"/>
          <w:szCs w:val="34"/>
          <w:rtl/>
        </w:rPr>
        <w:t xml:space="preserve"> ل</w:t>
      </w:r>
      <w:r>
        <w:rPr>
          <w:rFonts w:ascii="mylotus" w:hAnsi="mylotus" w:hint="cs"/>
          <w:sz w:val="34"/>
          <w:szCs w:val="34"/>
          <w:rtl/>
        </w:rPr>
        <w:t>َ</w:t>
      </w:r>
      <w:r w:rsidRPr="00EC6224">
        <w:rPr>
          <w:rFonts w:ascii="mylotus" w:hAnsi="mylotus"/>
          <w:sz w:val="34"/>
          <w:szCs w:val="34"/>
          <w:rtl/>
        </w:rPr>
        <w:t>ه</w:t>
      </w:r>
      <w:r>
        <w:rPr>
          <w:rFonts w:ascii="mylotus" w:hAnsi="mylotus" w:hint="cs"/>
          <w:sz w:val="34"/>
          <w:szCs w:val="34"/>
          <w:rtl/>
        </w:rPr>
        <w:t>ُ؛</w:t>
      </w:r>
      <w:r w:rsidRPr="00EC6224">
        <w:rPr>
          <w:rFonts w:ascii="mylotus" w:hAnsi="mylotus"/>
          <w:sz w:val="34"/>
          <w:szCs w:val="34"/>
          <w:rtl/>
        </w:rPr>
        <w:t xml:space="preserve"> لكونه إتلافا</w:t>
      </w:r>
      <w:r>
        <w:rPr>
          <w:rFonts w:ascii="mylotus" w:hAnsi="mylotus" w:hint="cs"/>
          <w:sz w:val="34"/>
          <w:szCs w:val="34"/>
          <w:rtl/>
        </w:rPr>
        <w:t>ً</w:t>
      </w:r>
      <w:r w:rsidRPr="00EC6224">
        <w:rPr>
          <w:rFonts w:ascii="mylotus" w:hAnsi="mylotus"/>
          <w:sz w:val="34"/>
          <w:szCs w:val="34"/>
          <w:rtl/>
        </w:rPr>
        <w:t xml:space="preserve"> لحق</w:t>
      </w:r>
      <w:r>
        <w:rPr>
          <w:rFonts w:ascii="mylotus" w:hAnsi="mylotus" w:hint="cs"/>
          <w:sz w:val="34"/>
          <w:szCs w:val="34"/>
          <w:rtl/>
        </w:rPr>
        <w:t>ّه.</w:t>
      </w:r>
    </w:p>
    <w:p w14:paraId="2686FC49" w14:textId="77777777" w:rsidR="00F66A22" w:rsidRDefault="00F66A22" w:rsidP="00122B70">
      <w:pPr>
        <w:pStyle w:val="a"/>
        <w:bidi/>
        <w:spacing w:line="216" w:lineRule="auto"/>
        <w:jc w:val="left"/>
        <w:outlineLvl w:val="2"/>
        <w:rPr>
          <w:rFonts w:ascii="mylotus" w:hAnsi="mylotus"/>
          <w:b/>
          <w:bCs/>
          <w:sz w:val="34"/>
          <w:szCs w:val="34"/>
          <w:rtl/>
        </w:rPr>
      </w:pPr>
      <w:r w:rsidRPr="00EC6224">
        <w:rPr>
          <w:rFonts w:ascii="mylotus" w:hAnsi="mylotus"/>
          <w:b/>
          <w:bCs/>
          <w:sz w:val="34"/>
          <w:szCs w:val="34"/>
          <w:rtl/>
        </w:rPr>
        <w:t>المطلب الثاني: اتصاف الأعمال والمنافع بالمالية</w:t>
      </w:r>
      <w:r w:rsidRPr="00EC6224">
        <w:rPr>
          <w:rFonts w:ascii="mylotus" w:hAnsi="mylotus"/>
          <w:b/>
          <w:bCs/>
          <w:sz w:val="34"/>
          <w:szCs w:val="34"/>
        </w:rPr>
        <w:t>.</w:t>
      </w:r>
    </w:p>
    <w:p w14:paraId="23894F2B" w14:textId="77777777" w:rsidR="00F66A22" w:rsidRPr="00EC6224" w:rsidRDefault="00F66A22" w:rsidP="00122B70">
      <w:pPr>
        <w:pStyle w:val="a"/>
        <w:bidi/>
        <w:spacing w:line="216" w:lineRule="auto"/>
        <w:jc w:val="left"/>
        <w:rPr>
          <w:rFonts w:ascii="mylotus" w:hAnsi="mylotus"/>
          <w:b/>
          <w:bCs/>
          <w:sz w:val="34"/>
          <w:szCs w:val="34"/>
          <w:rtl/>
        </w:rPr>
      </w:pPr>
      <w:r w:rsidRPr="00EC6224">
        <w:rPr>
          <w:rFonts w:ascii="mylotus" w:hAnsi="mylotus"/>
          <w:sz w:val="34"/>
          <w:szCs w:val="34"/>
          <w:rtl/>
        </w:rPr>
        <w:t>وهو ما منع منه سيدنا الخوئي (قدس سره الشريف) كما سبق بيانه</w:t>
      </w:r>
      <w:r w:rsidRPr="00EC6224">
        <w:rPr>
          <w:rFonts w:ascii="mylotus" w:hAnsi="mylotus"/>
          <w:sz w:val="34"/>
          <w:szCs w:val="34"/>
        </w:rPr>
        <w:t>.</w:t>
      </w:r>
    </w:p>
    <w:p w14:paraId="65AEE582" w14:textId="77777777" w:rsidR="00F66A22" w:rsidRPr="00EC6224" w:rsidRDefault="00F66A22" w:rsidP="00122B70">
      <w:pPr>
        <w:pStyle w:val="a"/>
        <w:bidi/>
        <w:spacing w:line="216" w:lineRule="auto"/>
        <w:jc w:val="left"/>
        <w:rPr>
          <w:rFonts w:ascii="mylotus" w:hAnsi="mylotus"/>
          <w:b/>
          <w:bCs/>
          <w:sz w:val="34"/>
          <w:szCs w:val="34"/>
          <w:rtl/>
        </w:rPr>
      </w:pPr>
      <w:r w:rsidRPr="00EC6224">
        <w:rPr>
          <w:rFonts w:ascii="mylotus" w:hAnsi="mylotus"/>
          <w:sz w:val="34"/>
          <w:szCs w:val="34"/>
          <w:rtl/>
        </w:rPr>
        <w:t>وقد أُفيد مِن قِبل بعض الأجلة (حفظه الله) في إثبات ذلك في كتابه شرح المناسك</w:t>
      </w:r>
      <w:r>
        <w:rPr>
          <w:rStyle w:val="FootnoteReference"/>
          <w:rFonts w:ascii="mylotus" w:hAnsi="mylotus"/>
          <w:sz w:val="34"/>
          <w:szCs w:val="34"/>
          <w:rtl/>
        </w:rPr>
        <w:footnoteReference w:id="194"/>
      </w:r>
      <w:r w:rsidRPr="00EC6224">
        <w:rPr>
          <w:rFonts w:ascii="mylotus" w:hAnsi="mylotus"/>
          <w:sz w:val="34"/>
          <w:szCs w:val="34"/>
          <w:rtl/>
        </w:rPr>
        <w:t xml:space="preserve"> </w:t>
      </w:r>
      <w:r w:rsidRPr="00EC6224">
        <w:rPr>
          <w:rFonts w:ascii="mylotus" w:hAnsi="mylotus" w:hint="cs"/>
          <w:sz w:val="34"/>
          <w:szCs w:val="34"/>
          <w:rtl/>
        </w:rPr>
        <w:t>بقوله</w:t>
      </w:r>
      <w:r w:rsidRPr="00EC6224">
        <w:rPr>
          <w:rFonts w:ascii="mylotus" w:hAnsi="mylotus"/>
          <w:sz w:val="34"/>
          <w:szCs w:val="34"/>
          <w:rtl/>
        </w:rPr>
        <w:t xml:space="preserve">: </w:t>
      </w:r>
      <w:r w:rsidRPr="00EC6224">
        <w:rPr>
          <w:rFonts w:ascii="mylotus" w:hAnsi="mylotus"/>
          <w:b/>
          <w:bCs/>
          <w:sz w:val="34"/>
          <w:szCs w:val="34"/>
          <w:rtl/>
        </w:rPr>
        <w:t>(</w:t>
      </w:r>
      <w:r w:rsidRPr="00EC6224">
        <w:rPr>
          <w:rFonts w:ascii="mylotus" w:hAnsi="mylotus" w:hint="cs"/>
          <w:b/>
          <w:bCs/>
          <w:sz w:val="34"/>
          <w:szCs w:val="34"/>
          <w:rtl/>
        </w:rPr>
        <w:t>فتلخص</w:t>
      </w:r>
      <w:r w:rsidRPr="00EC6224">
        <w:rPr>
          <w:rFonts w:ascii="mylotus" w:hAnsi="mylotus"/>
          <w:b/>
          <w:bCs/>
          <w:sz w:val="34"/>
          <w:szCs w:val="34"/>
          <w:rtl/>
        </w:rPr>
        <w:t xml:space="preserve"> </w:t>
      </w:r>
      <w:r w:rsidRPr="00EC6224">
        <w:rPr>
          <w:rFonts w:ascii="mylotus" w:hAnsi="mylotus" w:hint="cs"/>
          <w:b/>
          <w:bCs/>
          <w:sz w:val="34"/>
          <w:szCs w:val="34"/>
          <w:rtl/>
        </w:rPr>
        <w:t>مما</w:t>
      </w:r>
      <w:r w:rsidRPr="00EC6224">
        <w:rPr>
          <w:rFonts w:ascii="mylotus" w:hAnsi="mylotus"/>
          <w:b/>
          <w:bCs/>
          <w:sz w:val="34"/>
          <w:szCs w:val="34"/>
          <w:rtl/>
        </w:rPr>
        <w:t xml:space="preserve"> </w:t>
      </w:r>
      <w:r w:rsidRPr="00EC6224">
        <w:rPr>
          <w:rFonts w:ascii="mylotus" w:hAnsi="mylotus" w:hint="cs"/>
          <w:b/>
          <w:bCs/>
          <w:sz w:val="34"/>
          <w:szCs w:val="34"/>
          <w:rtl/>
        </w:rPr>
        <w:t>تقدم</w:t>
      </w:r>
      <w:r w:rsidRPr="00EC6224">
        <w:rPr>
          <w:rFonts w:ascii="mylotus" w:hAnsi="mylotus"/>
          <w:b/>
          <w:bCs/>
          <w:sz w:val="34"/>
          <w:szCs w:val="34"/>
          <w:rtl/>
        </w:rPr>
        <w:t xml:space="preserve">: </w:t>
      </w:r>
      <w:r w:rsidRPr="00EC6224">
        <w:rPr>
          <w:rFonts w:ascii="mylotus" w:hAnsi="mylotus" w:hint="cs"/>
          <w:b/>
          <w:bCs/>
          <w:sz w:val="34"/>
          <w:szCs w:val="34"/>
          <w:rtl/>
        </w:rPr>
        <w:t>أن</w:t>
      </w:r>
      <w:r w:rsidRPr="00EC6224">
        <w:rPr>
          <w:rFonts w:ascii="mylotus" w:hAnsi="mylotus"/>
          <w:b/>
          <w:bCs/>
          <w:sz w:val="34"/>
          <w:szCs w:val="34"/>
          <w:rtl/>
        </w:rPr>
        <w:t xml:space="preserve"> </w:t>
      </w:r>
      <w:r w:rsidRPr="00EC6224">
        <w:rPr>
          <w:rFonts w:ascii="mylotus" w:hAnsi="mylotus" w:hint="cs"/>
          <w:b/>
          <w:bCs/>
          <w:sz w:val="34"/>
          <w:szCs w:val="34"/>
          <w:rtl/>
        </w:rPr>
        <w:t>الصحيح</w:t>
      </w:r>
      <w:r w:rsidRPr="00EC6224">
        <w:rPr>
          <w:rFonts w:ascii="mylotus" w:hAnsi="mylotus"/>
          <w:b/>
          <w:bCs/>
          <w:sz w:val="34"/>
          <w:szCs w:val="34"/>
          <w:rtl/>
        </w:rPr>
        <w:t xml:space="preserve"> </w:t>
      </w:r>
      <w:r w:rsidRPr="00EC6224">
        <w:rPr>
          <w:rFonts w:ascii="mylotus" w:hAnsi="mylotus" w:hint="cs"/>
          <w:b/>
          <w:bCs/>
          <w:sz w:val="34"/>
          <w:szCs w:val="34"/>
          <w:rtl/>
        </w:rPr>
        <w:t>في</w:t>
      </w:r>
      <w:r w:rsidRPr="00EC6224">
        <w:rPr>
          <w:rFonts w:ascii="mylotus" w:hAnsi="mylotus"/>
          <w:b/>
          <w:bCs/>
          <w:sz w:val="34"/>
          <w:szCs w:val="34"/>
          <w:rtl/>
        </w:rPr>
        <w:t xml:space="preserve"> </w:t>
      </w:r>
      <w:r w:rsidRPr="00EC6224">
        <w:rPr>
          <w:rFonts w:ascii="mylotus" w:hAnsi="mylotus" w:hint="cs"/>
          <w:b/>
          <w:bCs/>
          <w:sz w:val="34"/>
          <w:szCs w:val="34"/>
          <w:rtl/>
        </w:rPr>
        <w:t>الجواب</w:t>
      </w:r>
      <w:r w:rsidRPr="00EC6224">
        <w:rPr>
          <w:rFonts w:ascii="mylotus" w:hAnsi="mylotus"/>
          <w:b/>
          <w:bCs/>
          <w:sz w:val="34"/>
          <w:szCs w:val="34"/>
          <w:rtl/>
        </w:rPr>
        <w:t xml:space="preserve"> </w:t>
      </w:r>
      <w:r w:rsidRPr="00EC6224">
        <w:rPr>
          <w:rFonts w:ascii="mylotus" w:hAnsi="mylotus" w:hint="cs"/>
          <w:b/>
          <w:bCs/>
          <w:sz w:val="34"/>
          <w:szCs w:val="34"/>
          <w:rtl/>
        </w:rPr>
        <w:t>عما</w:t>
      </w:r>
      <w:r w:rsidRPr="00EC6224">
        <w:rPr>
          <w:rFonts w:ascii="mylotus" w:hAnsi="mylotus"/>
          <w:b/>
          <w:bCs/>
          <w:sz w:val="34"/>
          <w:szCs w:val="34"/>
          <w:rtl/>
        </w:rPr>
        <w:t xml:space="preserve"> </w:t>
      </w:r>
      <w:r w:rsidRPr="00EC6224">
        <w:rPr>
          <w:rFonts w:ascii="mylotus" w:hAnsi="mylotus" w:hint="cs"/>
          <w:b/>
          <w:bCs/>
          <w:sz w:val="34"/>
          <w:szCs w:val="34"/>
          <w:rtl/>
        </w:rPr>
        <w:t>ذكر</w:t>
      </w:r>
      <w:r w:rsidRPr="00EC6224">
        <w:rPr>
          <w:rFonts w:ascii="mylotus" w:hAnsi="mylotus"/>
          <w:b/>
          <w:bCs/>
          <w:sz w:val="34"/>
          <w:szCs w:val="34"/>
          <w:rtl/>
        </w:rPr>
        <w:t xml:space="preserve"> </w:t>
      </w:r>
      <w:r w:rsidRPr="00EC6224">
        <w:rPr>
          <w:rFonts w:ascii="mylotus" w:hAnsi="mylotus" w:hint="cs"/>
          <w:b/>
          <w:bCs/>
          <w:sz w:val="34"/>
          <w:szCs w:val="34"/>
          <w:rtl/>
        </w:rPr>
        <w:t>من</w:t>
      </w:r>
      <w:r w:rsidRPr="00EC6224">
        <w:rPr>
          <w:rFonts w:ascii="mylotus" w:hAnsi="mylotus"/>
          <w:b/>
          <w:bCs/>
          <w:sz w:val="34"/>
          <w:szCs w:val="34"/>
          <w:rtl/>
        </w:rPr>
        <w:t xml:space="preserve"> </w:t>
      </w:r>
      <w:r w:rsidRPr="00EC6224">
        <w:rPr>
          <w:rFonts w:ascii="mylotus" w:hAnsi="mylotus" w:hint="cs"/>
          <w:b/>
          <w:bCs/>
          <w:sz w:val="34"/>
          <w:szCs w:val="34"/>
          <w:rtl/>
        </w:rPr>
        <w:t>التقريب</w:t>
      </w:r>
      <w:r w:rsidRPr="00EC6224">
        <w:rPr>
          <w:rFonts w:ascii="mylotus" w:hAnsi="mylotus"/>
          <w:b/>
          <w:bCs/>
          <w:sz w:val="34"/>
          <w:szCs w:val="34"/>
          <w:rtl/>
        </w:rPr>
        <w:t xml:space="preserve"> </w:t>
      </w:r>
      <w:r w:rsidRPr="00EC6224">
        <w:rPr>
          <w:rFonts w:ascii="mylotus" w:hAnsi="mylotus" w:hint="cs"/>
          <w:b/>
          <w:bCs/>
          <w:sz w:val="34"/>
          <w:szCs w:val="34"/>
          <w:rtl/>
        </w:rPr>
        <w:t>لتحقق</w:t>
      </w:r>
      <w:r w:rsidRPr="00EC6224">
        <w:rPr>
          <w:rFonts w:ascii="mylotus" w:hAnsi="mylotus"/>
          <w:b/>
          <w:bCs/>
          <w:sz w:val="34"/>
          <w:szCs w:val="34"/>
          <w:rtl/>
        </w:rPr>
        <w:t xml:space="preserve"> </w:t>
      </w:r>
      <w:r w:rsidRPr="00EC6224">
        <w:rPr>
          <w:rFonts w:ascii="mylotus" w:hAnsi="mylotus" w:hint="cs"/>
          <w:b/>
          <w:bCs/>
          <w:sz w:val="34"/>
          <w:szCs w:val="34"/>
          <w:rtl/>
        </w:rPr>
        <w:t>الاستطاعة</w:t>
      </w:r>
      <w:r w:rsidRPr="00EC6224">
        <w:rPr>
          <w:rFonts w:ascii="mylotus" w:hAnsi="mylotus"/>
          <w:b/>
          <w:bCs/>
          <w:sz w:val="34"/>
          <w:szCs w:val="34"/>
          <w:rtl/>
        </w:rPr>
        <w:t xml:space="preserve"> </w:t>
      </w:r>
      <w:r w:rsidRPr="00EC6224">
        <w:rPr>
          <w:rFonts w:ascii="mylotus" w:hAnsi="mylotus" w:hint="cs"/>
          <w:b/>
          <w:bCs/>
          <w:sz w:val="34"/>
          <w:szCs w:val="34"/>
          <w:rtl/>
        </w:rPr>
        <w:t>في</w:t>
      </w:r>
      <w:r w:rsidRPr="00EC6224">
        <w:rPr>
          <w:rFonts w:ascii="mylotus" w:hAnsi="mylotus"/>
          <w:b/>
          <w:bCs/>
          <w:sz w:val="34"/>
          <w:szCs w:val="34"/>
          <w:rtl/>
        </w:rPr>
        <w:t xml:space="preserve"> </w:t>
      </w:r>
      <w:r w:rsidRPr="00EC6224">
        <w:rPr>
          <w:rFonts w:ascii="mylotus" w:hAnsi="mylotus" w:hint="cs"/>
          <w:b/>
          <w:bCs/>
          <w:sz w:val="34"/>
          <w:szCs w:val="34"/>
          <w:rtl/>
        </w:rPr>
        <w:t>مورد</w:t>
      </w:r>
      <w:r w:rsidRPr="00EC6224">
        <w:rPr>
          <w:rFonts w:ascii="mylotus" w:hAnsi="mylotus"/>
          <w:b/>
          <w:bCs/>
          <w:sz w:val="34"/>
          <w:szCs w:val="34"/>
          <w:rtl/>
        </w:rPr>
        <w:t xml:space="preserve"> </w:t>
      </w:r>
      <w:r w:rsidRPr="00EC6224">
        <w:rPr>
          <w:rFonts w:ascii="mylotus" w:hAnsi="mylotus" w:hint="cs"/>
          <w:b/>
          <w:bCs/>
          <w:sz w:val="34"/>
          <w:szCs w:val="34"/>
          <w:rtl/>
        </w:rPr>
        <w:t>الكلام</w:t>
      </w:r>
      <w:r w:rsidRPr="00EC6224">
        <w:rPr>
          <w:rFonts w:ascii="mylotus" w:hAnsi="mylotus"/>
          <w:b/>
          <w:bCs/>
          <w:sz w:val="34"/>
          <w:szCs w:val="34"/>
          <w:rtl/>
        </w:rPr>
        <w:t xml:space="preserve"> </w:t>
      </w:r>
      <w:r w:rsidRPr="00EC6224">
        <w:rPr>
          <w:rFonts w:ascii="mylotus" w:hAnsi="mylotus" w:hint="cs"/>
          <w:b/>
          <w:bCs/>
          <w:sz w:val="34"/>
          <w:szCs w:val="34"/>
          <w:rtl/>
        </w:rPr>
        <w:t>هو</w:t>
      </w:r>
      <w:r w:rsidRPr="00EC6224">
        <w:rPr>
          <w:rFonts w:ascii="mylotus" w:hAnsi="mylotus"/>
          <w:b/>
          <w:bCs/>
          <w:sz w:val="34"/>
          <w:szCs w:val="34"/>
          <w:rtl/>
        </w:rPr>
        <w:t xml:space="preserve"> </w:t>
      </w:r>
      <w:r w:rsidRPr="00EC6224">
        <w:rPr>
          <w:rFonts w:ascii="mylotus" w:hAnsi="mylotus" w:hint="cs"/>
          <w:b/>
          <w:bCs/>
          <w:sz w:val="34"/>
          <w:szCs w:val="34"/>
          <w:rtl/>
        </w:rPr>
        <w:t>أن</w:t>
      </w:r>
      <w:r w:rsidRPr="00EC6224">
        <w:rPr>
          <w:rFonts w:ascii="mylotus" w:hAnsi="mylotus"/>
          <w:b/>
          <w:bCs/>
          <w:sz w:val="34"/>
          <w:szCs w:val="34"/>
          <w:rtl/>
        </w:rPr>
        <w:t xml:space="preserve"> </w:t>
      </w:r>
      <w:r w:rsidRPr="00EC6224">
        <w:rPr>
          <w:rFonts w:ascii="mylotus" w:hAnsi="mylotus" w:hint="cs"/>
          <w:b/>
          <w:bCs/>
          <w:sz w:val="34"/>
          <w:szCs w:val="34"/>
          <w:rtl/>
        </w:rPr>
        <w:t>يقال</w:t>
      </w:r>
      <w:r w:rsidRPr="00EC6224">
        <w:rPr>
          <w:rFonts w:ascii="mylotus" w:hAnsi="mylotus"/>
          <w:b/>
          <w:bCs/>
          <w:sz w:val="34"/>
          <w:szCs w:val="34"/>
          <w:rtl/>
        </w:rPr>
        <w:t xml:space="preserve">: </w:t>
      </w:r>
      <w:r w:rsidRPr="00EC6224">
        <w:rPr>
          <w:rFonts w:ascii="mylotus" w:hAnsi="mylotus" w:hint="cs"/>
          <w:b/>
          <w:bCs/>
          <w:sz w:val="34"/>
          <w:szCs w:val="34"/>
          <w:rtl/>
        </w:rPr>
        <w:t>إن</w:t>
      </w:r>
      <w:r w:rsidRPr="00EC6224">
        <w:rPr>
          <w:rFonts w:ascii="mylotus" w:hAnsi="mylotus"/>
          <w:b/>
          <w:bCs/>
          <w:sz w:val="34"/>
          <w:szCs w:val="34"/>
          <w:rtl/>
        </w:rPr>
        <w:t xml:space="preserve"> </w:t>
      </w:r>
      <w:r w:rsidRPr="00EC6224">
        <w:rPr>
          <w:rFonts w:ascii="mylotus" w:hAnsi="mylotus" w:hint="cs"/>
          <w:b/>
          <w:bCs/>
          <w:sz w:val="34"/>
          <w:szCs w:val="34"/>
          <w:rtl/>
        </w:rPr>
        <w:t>منافع</w:t>
      </w:r>
      <w:r w:rsidRPr="00EC6224">
        <w:rPr>
          <w:rFonts w:ascii="mylotus" w:hAnsi="mylotus"/>
          <w:b/>
          <w:bCs/>
          <w:sz w:val="34"/>
          <w:szCs w:val="34"/>
          <w:rtl/>
        </w:rPr>
        <w:t xml:space="preserve"> </w:t>
      </w:r>
      <w:r w:rsidRPr="00EC6224">
        <w:rPr>
          <w:rFonts w:ascii="mylotus" w:hAnsi="mylotus" w:hint="cs"/>
          <w:b/>
          <w:bCs/>
          <w:sz w:val="34"/>
          <w:szCs w:val="34"/>
          <w:rtl/>
        </w:rPr>
        <w:t>الشخص</w:t>
      </w:r>
      <w:r w:rsidRPr="00EC6224">
        <w:rPr>
          <w:rFonts w:ascii="mylotus" w:hAnsi="mylotus"/>
          <w:b/>
          <w:bCs/>
          <w:sz w:val="34"/>
          <w:szCs w:val="34"/>
          <w:rtl/>
        </w:rPr>
        <w:t xml:space="preserve"> </w:t>
      </w:r>
      <w:r w:rsidRPr="00EC6224">
        <w:rPr>
          <w:rFonts w:ascii="mylotus" w:hAnsi="mylotus" w:hint="cs"/>
          <w:b/>
          <w:bCs/>
          <w:sz w:val="34"/>
          <w:szCs w:val="34"/>
          <w:rtl/>
        </w:rPr>
        <w:t>قبل</w:t>
      </w:r>
      <w:r w:rsidRPr="00EC6224">
        <w:rPr>
          <w:rFonts w:ascii="mylotus" w:hAnsi="mylotus"/>
          <w:b/>
          <w:bCs/>
          <w:sz w:val="34"/>
          <w:szCs w:val="34"/>
          <w:rtl/>
        </w:rPr>
        <w:t xml:space="preserve"> </w:t>
      </w:r>
      <w:r w:rsidRPr="00EC6224">
        <w:rPr>
          <w:rFonts w:ascii="mylotus" w:hAnsi="mylotus" w:hint="cs"/>
          <w:b/>
          <w:bCs/>
          <w:sz w:val="34"/>
          <w:szCs w:val="34"/>
          <w:rtl/>
        </w:rPr>
        <w:t>نقلها</w:t>
      </w:r>
      <w:r w:rsidRPr="00EC6224">
        <w:rPr>
          <w:rFonts w:ascii="mylotus" w:hAnsi="mylotus"/>
          <w:b/>
          <w:bCs/>
          <w:sz w:val="34"/>
          <w:szCs w:val="34"/>
          <w:rtl/>
        </w:rPr>
        <w:t xml:space="preserve"> </w:t>
      </w:r>
      <w:r w:rsidRPr="00EC6224">
        <w:rPr>
          <w:rFonts w:ascii="mylotus" w:hAnsi="mylotus" w:hint="cs"/>
          <w:b/>
          <w:bCs/>
          <w:sz w:val="34"/>
          <w:szCs w:val="34"/>
          <w:rtl/>
        </w:rPr>
        <w:t>إلى</w:t>
      </w:r>
      <w:r w:rsidRPr="00EC6224">
        <w:rPr>
          <w:rFonts w:ascii="mylotus" w:hAnsi="mylotus"/>
          <w:b/>
          <w:bCs/>
          <w:sz w:val="34"/>
          <w:szCs w:val="34"/>
          <w:rtl/>
        </w:rPr>
        <w:t xml:space="preserve"> </w:t>
      </w:r>
      <w:r w:rsidRPr="00EC6224">
        <w:rPr>
          <w:rFonts w:ascii="mylotus" w:hAnsi="mylotus" w:hint="cs"/>
          <w:b/>
          <w:bCs/>
          <w:sz w:val="34"/>
          <w:szCs w:val="34"/>
          <w:rtl/>
        </w:rPr>
        <w:t>الغير</w:t>
      </w:r>
      <w:r w:rsidRPr="00EC6224">
        <w:rPr>
          <w:rFonts w:ascii="mylotus" w:hAnsi="mylotus"/>
          <w:b/>
          <w:bCs/>
          <w:sz w:val="34"/>
          <w:szCs w:val="34"/>
          <w:rtl/>
        </w:rPr>
        <w:t xml:space="preserve"> </w:t>
      </w:r>
      <w:r w:rsidRPr="00EC6224">
        <w:rPr>
          <w:rFonts w:ascii="mylotus" w:hAnsi="mylotus" w:hint="cs"/>
          <w:b/>
          <w:bCs/>
          <w:sz w:val="34"/>
          <w:szCs w:val="34"/>
          <w:rtl/>
        </w:rPr>
        <w:t>ليس</w:t>
      </w:r>
      <w:r w:rsidRPr="00EC6224">
        <w:rPr>
          <w:rFonts w:ascii="mylotus" w:hAnsi="mylotus"/>
          <w:b/>
          <w:bCs/>
          <w:sz w:val="34"/>
          <w:szCs w:val="34"/>
          <w:rtl/>
        </w:rPr>
        <w:t xml:space="preserve"> </w:t>
      </w:r>
      <w:r w:rsidRPr="00EC6224">
        <w:rPr>
          <w:rFonts w:ascii="mylotus" w:hAnsi="mylotus" w:hint="cs"/>
          <w:b/>
          <w:bCs/>
          <w:sz w:val="34"/>
          <w:szCs w:val="34"/>
          <w:rtl/>
        </w:rPr>
        <w:t>لها</w:t>
      </w:r>
      <w:r w:rsidRPr="00EC6224">
        <w:rPr>
          <w:rFonts w:ascii="mylotus" w:hAnsi="mylotus"/>
          <w:b/>
          <w:bCs/>
          <w:sz w:val="34"/>
          <w:szCs w:val="34"/>
          <w:rtl/>
        </w:rPr>
        <w:t xml:space="preserve"> </w:t>
      </w:r>
      <w:r w:rsidRPr="00EC6224">
        <w:rPr>
          <w:rFonts w:ascii="mylotus" w:hAnsi="mylotus" w:hint="cs"/>
          <w:b/>
          <w:bCs/>
          <w:sz w:val="34"/>
          <w:szCs w:val="34"/>
          <w:rtl/>
        </w:rPr>
        <w:t>وجود</w:t>
      </w:r>
      <w:r w:rsidRPr="00EC6224">
        <w:rPr>
          <w:rFonts w:ascii="mylotus" w:hAnsi="mylotus"/>
          <w:b/>
          <w:bCs/>
          <w:sz w:val="34"/>
          <w:szCs w:val="34"/>
          <w:rtl/>
        </w:rPr>
        <w:t xml:space="preserve"> </w:t>
      </w:r>
      <w:r w:rsidRPr="00E167A2">
        <w:rPr>
          <w:rFonts w:ascii="mylotus" w:hAnsi="mylotus" w:hint="cs"/>
          <w:b/>
          <w:bCs/>
          <w:sz w:val="34"/>
          <w:szCs w:val="34"/>
          <w:highlight w:val="yellow"/>
          <w:rtl/>
        </w:rPr>
        <w:t>اعتباري</w:t>
      </w:r>
      <w:r w:rsidRPr="00E167A2">
        <w:rPr>
          <w:rFonts w:ascii="mylotus" w:hAnsi="mylotus"/>
          <w:b/>
          <w:bCs/>
          <w:sz w:val="34"/>
          <w:szCs w:val="34"/>
          <w:highlight w:val="yellow"/>
          <w:rtl/>
        </w:rPr>
        <w:t xml:space="preserve"> </w:t>
      </w:r>
      <w:r w:rsidRPr="00E167A2">
        <w:rPr>
          <w:rFonts w:ascii="mylotus" w:hAnsi="mylotus" w:hint="cs"/>
          <w:b/>
          <w:bCs/>
          <w:sz w:val="34"/>
          <w:szCs w:val="34"/>
          <w:highlight w:val="yellow"/>
          <w:rtl/>
        </w:rPr>
        <w:t>حتى</w:t>
      </w:r>
      <w:r w:rsidRPr="00E167A2">
        <w:rPr>
          <w:rFonts w:ascii="mylotus" w:hAnsi="mylotus"/>
          <w:b/>
          <w:bCs/>
          <w:sz w:val="34"/>
          <w:szCs w:val="34"/>
          <w:highlight w:val="yellow"/>
          <w:rtl/>
        </w:rPr>
        <w:t xml:space="preserve"> </w:t>
      </w:r>
      <w:r w:rsidRPr="00E167A2">
        <w:rPr>
          <w:rFonts w:ascii="mylotus" w:hAnsi="mylotus" w:hint="cs"/>
          <w:b/>
          <w:bCs/>
          <w:sz w:val="34"/>
          <w:szCs w:val="34"/>
          <w:highlight w:val="yellow"/>
          <w:rtl/>
        </w:rPr>
        <w:t>يعدّ</w:t>
      </w:r>
      <w:r w:rsidRPr="00E167A2">
        <w:rPr>
          <w:rFonts w:ascii="mylotus" w:hAnsi="mylotus"/>
          <w:b/>
          <w:bCs/>
          <w:sz w:val="34"/>
          <w:szCs w:val="34"/>
          <w:highlight w:val="yellow"/>
          <w:rtl/>
        </w:rPr>
        <w:t xml:space="preserve"> </w:t>
      </w:r>
      <w:r w:rsidRPr="00E167A2">
        <w:rPr>
          <w:rFonts w:ascii="mylotus" w:hAnsi="mylotus" w:hint="cs"/>
          <w:b/>
          <w:bCs/>
          <w:sz w:val="34"/>
          <w:szCs w:val="34"/>
          <w:highlight w:val="yellow"/>
          <w:rtl/>
        </w:rPr>
        <w:t>مالاً</w:t>
      </w:r>
      <w:r w:rsidRPr="00E167A2">
        <w:rPr>
          <w:rFonts w:ascii="mylotus" w:hAnsi="mylotus"/>
          <w:b/>
          <w:bCs/>
          <w:sz w:val="34"/>
          <w:szCs w:val="34"/>
          <w:highlight w:val="yellow"/>
          <w:rtl/>
        </w:rPr>
        <w:t xml:space="preserve"> </w:t>
      </w:r>
      <w:r w:rsidRPr="00E167A2">
        <w:rPr>
          <w:rFonts w:ascii="mylotus" w:hAnsi="mylotus" w:hint="cs"/>
          <w:b/>
          <w:bCs/>
          <w:sz w:val="34"/>
          <w:szCs w:val="34"/>
          <w:highlight w:val="yellow"/>
          <w:rtl/>
        </w:rPr>
        <w:t>بالنظر</w:t>
      </w:r>
      <w:r w:rsidRPr="00E167A2">
        <w:rPr>
          <w:rFonts w:ascii="mylotus" w:hAnsi="mylotus"/>
          <w:b/>
          <w:bCs/>
          <w:sz w:val="34"/>
          <w:szCs w:val="34"/>
          <w:highlight w:val="yellow"/>
          <w:rtl/>
        </w:rPr>
        <w:t xml:space="preserve"> </w:t>
      </w:r>
      <w:r w:rsidRPr="00E167A2">
        <w:rPr>
          <w:rFonts w:ascii="mylotus" w:hAnsi="mylotus" w:hint="cs"/>
          <w:b/>
          <w:bCs/>
          <w:sz w:val="34"/>
          <w:szCs w:val="34"/>
          <w:highlight w:val="yellow"/>
          <w:rtl/>
        </w:rPr>
        <w:t>إليه</w:t>
      </w:r>
      <w:r w:rsidRPr="00EC6224">
        <w:rPr>
          <w:rFonts w:ascii="mylotus" w:hAnsi="mylotus"/>
          <w:b/>
          <w:bCs/>
          <w:sz w:val="34"/>
          <w:szCs w:val="34"/>
          <w:rtl/>
        </w:rPr>
        <w:t>)</w:t>
      </w:r>
      <w:r w:rsidRPr="00EC6224">
        <w:rPr>
          <w:rFonts w:ascii="mylotus" w:hAnsi="mylotus"/>
          <w:b/>
          <w:bCs/>
          <w:sz w:val="34"/>
          <w:szCs w:val="34"/>
        </w:rPr>
        <w:t>.</w:t>
      </w:r>
    </w:p>
    <w:p w14:paraId="01A7919C"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b/>
          <w:bCs/>
          <w:sz w:val="34"/>
          <w:szCs w:val="34"/>
          <w:rtl/>
        </w:rPr>
        <w:t>ومعنى ذلك:</w:t>
      </w:r>
      <w:r w:rsidRPr="00EC6224">
        <w:rPr>
          <w:rFonts w:ascii="mylotus" w:hAnsi="mylotus"/>
          <w:sz w:val="34"/>
          <w:szCs w:val="34"/>
          <w:rtl/>
        </w:rPr>
        <w:t xml:space="preserve"> أنّ منافع الشخص ق</w:t>
      </w:r>
      <w:r>
        <w:rPr>
          <w:rFonts w:ascii="mylotus" w:hAnsi="mylotus" w:hint="cs"/>
          <w:sz w:val="34"/>
          <w:szCs w:val="34"/>
          <w:rtl/>
        </w:rPr>
        <w:t>َ</w:t>
      </w:r>
      <w:r w:rsidRPr="00EC6224">
        <w:rPr>
          <w:rFonts w:ascii="mylotus" w:hAnsi="mylotus"/>
          <w:sz w:val="34"/>
          <w:szCs w:val="34"/>
          <w:rtl/>
        </w:rPr>
        <w:t>بل نقلها للغير ليس لها وجود</w:t>
      </w:r>
      <w:r>
        <w:rPr>
          <w:rFonts w:ascii="mylotus" w:hAnsi="mylotus" w:hint="cs"/>
          <w:sz w:val="34"/>
          <w:szCs w:val="34"/>
          <w:rtl/>
        </w:rPr>
        <w:t>ٌ</w:t>
      </w:r>
      <w:r w:rsidRPr="00EC6224">
        <w:rPr>
          <w:rFonts w:ascii="mylotus" w:hAnsi="mylotus"/>
          <w:sz w:val="34"/>
          <w:szCs w:val="34"/>
          <w:rtl/>
        </w:rPr>
        <w:t xml:space="preserve"> حقيقي، وهو واضح لأنّ المنافع ليس لها وجود</w:t>
      </w:r>
      <w:r>
        <w:rPr>
          <w:rFonts w:ascii="mylotus" w:hAnsi="mylotus" w:hint="cs"/>
          <w:sz w:val="34"/>
          <w:szCs w:val="34"/>
          <w:rtl/>
        </w:rPr>
        <w:t>ٌ</w:t>
      </w:r>
      <w:r w:rsidRPr="00EC6224">
        <w:rPr>
          <w:rFonts w:ascii="mylotus" w:hAnsi="mylotus"/>
          <w:sz w:val="34"/>
          <w:szCs w:val="34"/>
          <w:rtl/>
        </w:rPr>
        <w:t xml:space="preserve"> حس</w:t>
      </w:r>
      <w:r>
        <w:rPr>
          <w:rFonts w:ascii="mylotus" w:hAnsi="mylotus" w:hint="cs"/>
          <w:sz w:val="34"/>
          <w:szCs w:val="34"/>
          <w:rtl/>
        </w:rPr>
        <w:t>ّ</w:t>
      </w:r>
      <w:r w:rsidRPr="00EC6224">
        <w:rPr>
          <w:rFonts w:ascii="mylotus" w:hAnsi="mylotus"/>
          <w:sz w:val="34"/>
          <w:szCs w:val="34"/>
          <w:rtl/>
        </w:rPr>
        <w:t>ي، ولا اعتباري لأنّها ل</w:t>
      </w:r>
      <w:r>
        <w:rPr>
          <w:rFonts w:ascii="mylotus" w:hAnsi="mylotus" w:hint="cs"/>
          <w:sz w:val="34"/>
          <w:szCs w:val="34"/>
          <w:rtl/>
        </w:rPr>
        <w:t>َ</w:t>
      </w:r>
      <w:r w:rsidRPr="00EC6224">
        <w:rPr>
          <w:rFonts w:ascii="mylotus" w:hAnsi="mylotus"/>
          <w:sz w:val="34"/>
          <w:szCs w:val="34"/>
          <w:rtl/>
        </w:rPr>
        <w:t>م</w:t>
      </w:r>
      <w:r>
        <w:rPr>
          <w:rFonts w:ascii="mylotus" w:hAnsi="mylotus" w:hint="cs"/>
          <w:sz w:val="34"/>
          <w:szCs w:val="34"/>
          <w:rtl/>
        </w:rPr>
        <w:t>ْ</w:t>
      </w:r>
      <w:r w:rsidRPr="00EC6224">
        <w:rPr>
          <w:rFonts w:ascii="mylotus" w:hAnsi="mylotus"/>
          <w:sz w:val="34"/>
          <w:szCs w:val="34"/>
          <w:rtl/>
        </w:rPr>
        <w:t xml:space="preserve"> تقع مورداً للمعاملة لا عوضاً ولا معوضا، لا بالإجارة ولا بالبيع ولا بالصلح، فإذا لَمْ يكن لها وجود لا حقيقي ولا اعتباري </w:t>
      </w:r>
      <w:r w:rsidRPr="00EC6224">
        <w:rPr>
          <w:rFonts w:ascii="mylotus" w:hAnsi="mylotus"/>
          <w:sz w:val="34"/>
          <w:szCs w:val="34"/>
          <w:rtl/>
        </w:rPr>
        <w:lastRenderedPageBreak/>
        <w:t>فلا تعدّ مالاً؛ فإنّ اتصاف الشيء بالمالية متفرعٌ على وجوده سواءً كان وجوداً حقيقياً خارجياً أو وجوداً اعتبارياً بأنْ يكون مورداً للمعاوضة</w:t>
      </w:r>
      <w:r w:rsidRPr="00EC6224">
        <w:rPr>
          <w:rFonts w:ascii="mylotus" w:hAnsi="mylotus"/>
          <w:sz w:val="34"/>
          <w:szCs w:val="34"/>
        </w:rPr>
        <w:t>.</w:t>
      </w:r>
    </w:p>
    <w:p w14:paraId="1489B7EF" w14:textId="77777777" w:rsidR="00F66A22" w:rsidRPr="00EC6224" w:rsidRDefault="00F66A22" w:rsidP="00122B70">
      <w:pPr>
        <w:pStyle w:val="a"/>
        <w:bidi/>
        <w:spacing w:line="216" w:lineRule="auto"/>
        <w:jc w:val="left"/>
        <w:rPr>
          <w:rFonts w:ascii="mylotus" w:hAnsi="mylotus"/>
          <w:b/>
          <w:bCs/>
          <w:sz w:val="34"/>
          <w:szCs w:val="34"/>
          <w:rtl/>
        </w:rPr>
      </w:pPr>
      <w:r w:rsidRPr="00EC6224">
        <w:rPr>
          <w:rFonts w:ascii="mylotus" w:hAnsi="mylotus"/>
          <w:b/>
          <w:bCs/>
          <w:sz w:val="34"/>
          <w:szCs w:val="34"/>
          <w:rtl/>
        </w:rPr>
        <w:t>(كما أن وجودها الحقيقي الذي هو تدريجي)</w:t>
      </w:r>
      <w:r w:rsidRPr="00EC6224">
        <w:rPr>
          <w:rFonts w:ascii="mylotus" w:hAnsi="mylotus"/>
          <w:sz w:val="34"/>
          <w:szCs w:val="34"/>
          <w:rtl/>
        </w:rPr>
        <w:t xml:space="preserve"> كما في فرض شروع الإنسان في العمل فإن</w:t>
      </w:r>
      <w:r>
        <w:rPr>
          <w:rFonts w:ascii="mylotus" w:hAnsi="mylotus" w:hint="cs"/>
          <w:sz w:val="34"/>
          <w:szCs w:val="34"/>
          <w:rtl/>
        </w:rPr>
        <w:t>ّ</w:t>
      </w:r>
      <w:r w:rsidRPr="00EC6224">
        <w:rPr>
          <w:rFonts w:ascii="mylotus" w:hAnsi="mylotus"/>
          <w:sz w:val="34"/>
          <w:szCs w:val="34"/>
          <w:rtl/>
        </w:rPr>
        <w:t xml:space="preserve"> بدأ العمل بوجوده الحقيقي التدريجي </w:t>
      </w:r>
      <w:r w:rsidRPr="00EC6224">
        <w:rPr>
          <w:rFonts w:ascii="mylotus" w:hAnsi="mylotus"/>
          <w:b/>
          <w:bCs/>
          <w:sz w:val="34"/>
          <w:szCs w:val="34"/>
          <w:rtl/>
        </w:rPr>
        <w:t xml:space="preserve">(منوط بإرادة الشخص نفسه، فهو قادر على الإتيان بالعمل، وقد مرّ أنه لا يكفي في الاستطاعة القدرة على تحصيل المال أو </w:t>
      </w:r>
      <w:proofErr w:type="gramStart"/>
      <w:r w:rsidRPr="00EC6224">
        <w:rPr>
          <w:rFonts w:ascii="mylotus" w:hAnsi="mylotus"/>
          <w:b/>
          <w:bCs/>
          <w:sz w:val="34"/>
          <w:szCs w:val="34"/>
          <w:rtl/>
        </w:rPr>
        <w:t>إيجاده</w:t>
      </w:r>
      <w:proofErr w:type="gramEnd"/>
      <w:r w:rsidRPr="00EC6224">
        <w:rPr>
          <w:rFonts w:ascii="mylotus" w:hAnsi="mylotus"/>
          <w:b/>
          <w:bCs/>
          <w:sz w:val="34"/>
          <w:szCs w:val="34"/>
          <w:rtl/>
        </w:rPr>
        <w:t xml:space="preserve"> بل لا بد من وجوده بالفعل لتحقق الاستطاعة</w:t>
      </w:r>
      <w:r w:rsidRPr="00EC6224">
        <w:rPr>
          <w:rFonts w:ascii="mylotus" w:hAnsi="mylotus"/>
          <w:b/>
          <w:bCs/>
          <w:sz w:val="34"/>
          <w:szCs w:val="34"/>
        </w:rPr>
        <w:t>.</w:t>
      </w:r>
    </w:p>
    <w:p w14:paraId="02621064" w14:textId="77777777" w:rsidR="00F66A22" w:rsidRPr="00EC6224" w:rsidRDefault="00F66A22" w:rsidP="00122B70">
      <w:pPr>
        <w:pStyle w:val="a"/>
        <w:bidi/>
        <w:spacing w:line="216" w:lineRule="auto"/>
        <w:jc w:val="left"/>
        <w:rPr>
          <w:rFonts w:ascii="mylotus" w:hAnsi="mylotus"/>
          <w:b/>
          <w:bCs/>
          <w:sz w:val="34"/>
          <w:szCs w:val="34"/>
          <w:rtl/>
        </w:rPr>
      </w:pPr>
      <w:r w:rsidRPr="00EC6224">
        <w:rPr>
          <w:rFonts w:ascii="mylotus" w:hAnsi="mylotus"/>
          <w:b/>
          <w:bCs/>
          <w:sz w:val="34"/>
          <w:szCs w:val="34"/>
          <w:rtl/>
        </w:rPr>
        <w:t>مع أنه لو غض النظر عما تقدم فيمكن دعوى انصراف نصوص الباب الدالة على اعتبار وجود المال أو ما يحج به عن مثل هذا المال، فتدبر</w:t>
      </w:r>
      <w:r w:rsidRPr="00EC6224">
        <w:rPr>
          <w:rFonts w:ascii="mylotus" w:hAnsi="mylotus" w:hint="cs"/>
          <w:b/>
          <w:bCs/>
          <w:sz w:val="34"/>
          <w:szCs w:val="34"/>
          <w:rtl/>
        </w:rPr>
        <w:t>).</w:t>
      </w:r>
    </w:p>
    <w:p w14:paraId="071B6CAA"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ثمّ أفادَ أن</w:t>
      </w:r>
      <w:r>
        <w:rPr>
          <w:rFonts w:ascii="mylotus" w:hAnsi="mylotus" w:hint="cs"/>
          <w:sz w:val="34"/>
          <w:szCs w:val="34"/>
          <w:rtl/>
        </w:rPr>
        <w:t>ّ</w:t>
      </w:r>
      <w:r w:rsidRPr="00EC6224">
        <w:rPr>
          <w:rFonts w:ascii="mylotus" w:hAnsi="mylotus"/>
          <w:sz w:val="34"/>
          <w:szCs w:val="34"/>
          <w:rtl/>
        </w:rPr>
        <w:t xml:space="preserve"> منافع الأعيان، كمنفعة الدار والسيارة ليست أموالا</w:t>
      </w:r>
      <w:r>
        <w:rPr>
          <w:rFonts w:ascii="mylotus" w:hAnsi="mylotus" w:hint="cs"/>
          <w:sz w:val="34"/>
          <w:szCs w:val="34"/>
          <w:rtl/>
        </w:rPr>
        <w:t>ً.</w:t>
      </w:r>
    </w:p>
    <w:p w14:paraId="4224648E" w14:textId="77777777" w:rsidR="00F66A22" w:rsidRPr="00EC6224" w:rsidRDefault="00F66A22" w:rsidP="00122B70">
      <w:pPr>
        <w:pStyle w:val="a"/>
        <w:bidi/>
        <w:spacing w:line="216" w:lineRule="auto"/>
        <w:jc w:val="left"/>
        <w:rPr>
          <w:rFonts w:ascii="mylotus" w:hAnsi="mylotus"/>
          <w:b/>
          <w:bCs/>
          <w:sz w:val="34"/>
          <w:szCs w:val="34"/>
          <w:rtl/>
        </w:rPr>
      </w:pPr>
      <w:r w:rsidRPr="00EC6224">
        <w:rPr>
          <w:rFonts w:ascii="mylotus" w:hAnsi="mylotus"/>
          <w:sz w:val="34"/>
          <w:szCs w:val="34"/>
          <w:rtl/>
        </w:rPr>
        <w:t xml:space="preserve">فقال: </w:t>
      </w:r>
      <w:r w:rsidRPr="00EC6224">
        <w:rPr>
          <w:rFonts w:ascii="mylotus" w:hAnsi="mylotus"/>
          <w:b/>
          <w:bCs/>
          <w:sz w:val="34"/>
          <w:szCs w:val="34"/>
          <w:rtl/>
        </w:rPr>
        <w:t xml:space="preserve">(وجدير بالذكر أن منافع الأعيان أيضاً كمنافع الأشخاص لا تعدّ مالاً في مقابل العين قبل نقلها إلى الغير) </w:t>
      </w:r>
      <w:r w:rsidRPr="00EC6224">
        <w:rPr>
          <w:rFonts w:ascii="mylotus" w:hAnsi="mylotus"/>
          <w:sz w:val="34"/>
          <w:szCs w:val="34"/>
          <w:rtl/>
        </w:rPr>
        <w:t xml:space="preserve">أي: قَبْل كونها أحد العوضين مثلاً </w:t>
      </w:r>
      <w:r w:rsidRPr="00EC6224">
        <w:rPr>
          <w:rFonts w:ascii="mylotus" w:hAnsi="mylotus"/>
          <w:b/>
          <w:bCs/>
          <w:sz w:val="34"/>
          <w:szCs w:val="34"/>
          <w:rtl/>
        </w:rPr>
        <w:t>(بل هناك مالية واحدة قائمة بالعين بما لها من المنافع)</w:t>
      </w:r>
      <w:r w:rsidRPr="00EC6224">
        <w:rPr>
          <w:rFonts w:ascii="mylotus" w:hAnsi="mylotus"/>
          <w:b/>
          <w:bCs/>
          <w:sz w:val="34"/>
          <w:szCs w:val="34"/>
        </w:rPr>
        <w:t>.</w:t>
      </w:r>
    </w:p>
    <w:p w14:paraId="0932638D"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فكأنّ كون العين ذات منفعة حيثية تعليلية في اتصاف العين بالمالية لا في اتصاف المنافع بالمالية وراء مالية العين</w:t>
      </w:r>
      <w:r w:rsidRPr="00EC6224">
        <w:rPr>
          <w:rFonts w:ascii="mylotus" w:hAnsi="mylotus"/>
          <w:sz w:val="34"/>
          <w:szCs w:val="34"/>
        </w:rPr>
        <w:t>.</w:t>
      </w:r>
    </w:p>
    <w:p w14:paraId="6D21BB23" w14:textId="77777777" w:rsidR="00F66A22" w:rsidRPr="00EC6224" w:rsidRDefault="00F66A22" w:rsidP="00122B70">
      <w:pPr>
        <w:pStyle w:val="a"/>
        <w:bidi/>
        <w:spacing w:line="216" w:lineRule="auto"/>
        <w:jc w:val="left"/>
        <w:rPr>
          <w:rFonts w:ascii="mylotus" w:hAnsi="mylotus"/>
          <w:b/>
          <w:bCs/>
          <w:sz w:val="34"/>
          <w:szCs w:val="34"/>
          <w:rtl/>
        </w:rPr>
      </w:pPr>
      <w:r w:rsidRPr="00EC6224">
        <w:rPr>
          <w:rFonts w:ascii="mylotus" w:hAnsi="mylotus" w:hint="cs"/>
          <w:b/>
          <w:bCs/>
          <w:sz w:val="34"/>
          <w:szCs w:val="34"/>
          <w:rtl/>
        </w:rPr>
        <w:t>(</w:t>
      </w:r>
      <w:r w:rsidRPr="00EC6224">
        <w:rPr>
          <w:rFonts w:ascii="mylotus" w:hAnsi="mylotus"/>
          <w:b/>
          <w:bCs/>
          <w:sz w:val="34"/>
          <w:szCs w:val="34"/>
          <w:rtl/>
        </w:rPr>
        <w:t>وأما مع نقل بعضها فيكون هناك مالان: العين بما تبقى لها من المنافع، والمنافع المنتقلة إلى الغير، ولو انتقلت المنافع بتمامها فالمالية بها وحدها وتبقى العين بلا مالية لعدم المنفعة أصلاً</w:t>
      </w:r>
      <w:r w:rsidRPr="00EC6224">
        <w:rPr>
          <w:rFonts w:ascii="mylotus" w:hAnsi="mylotus"/>
          <w:b/>
          <w:bCs/>
          <w:sz w:val="34"/>
          <w:szCs w:val="34"/>
        </w:rPr>
        <w:t>.</w:t>
      </w:r>
    </w:p>
    <w:p w14:paraId="42152048" w14:textId="77777777" w:rsidR="00F66A22" w:rsidRPr="00EC6224" w:rsidRDefault="00F66A22" w:rsidP="00122B70">
      <w:pPr>
        <w:pStyle w:val="a"/>
        <w:bidi/>
        <w:spacing w:line="216" w:lineRule="auto"/>
        <w:jc w:val="left"/>
        <w:rPr>
          <w:rFonts w:ascii="mylotus" w:hAnsi="mylotus"/>
          <w:b/>
          <w:bCs/>
          <w:sz w:val="34"/>
          <w:szCs w:val="34"/>
          <w:rtl/>
        </w:rPr>
      </w:pPr>
      <w:r w:rsidRPr="00EC6224">
        <w:rPr>
          <w:rFonts w:ascii="mylotus" w:hAnsi="mylotus"/>
          <w:b/>
          <w:bCs/>
          <w:sz w:val="34"/>
          <w:szCs w:val="34"/>
          <w:rtl/>
        </w:rPr>
        <w:t>نعم إذا كان مالك العين محجور التصرف في العين دون المنافع كما في مورد الوقف</w:t>
      </w:r>
      <w:r w:rsidRPr="00EC6224">
        <w:rPr>
          <w:rFonts w:ascii="mylotus" w:hAnsi="mylotus" w:hint="cs"/>
          <w:b/>
          <w:bCs/>
          <w:sz w:val="34"/>
          <w:szCs w:val="34"/>
          <w:rtl/>
        </w:rPr>
        <w:t>).</w:t>
      </w:r>
    </w:p>
    <w:p w14:paraId="3F8439A8"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 xml:space="preserve">كالوقف الذري </w:t>
      </w:r>
      <w:r w:rsidRPr="00EC6224">
        <w:rPr>
          <w:rFonts w:ascii="Times New Roman" w:hAnsi="Times New Roman" w:cs="Times New Roman" w:hint="cs"/>
          <w:sz w:val="34"/>
          <w:szCs w:val="34"/>
          <w:rtl/>
        </w:rPr>
        <w:t>–</w:t>
      </w:r>
      <w:r w:rsidRPr="00EC6224">
        <w:rPr>
          <w:rFonts w:ascii="mylotus" w:hAnsi="mylotus"/>
          <w:sz w:val="34"/>
          <w:szCs w:val="34"/>
          <w:rtl/>
        </w:rPr>
        <w:t xml:space="preserve"> </w:t>
      </w:r>
      <w:r w:rsidRPr="00EC6224">
        <w:rPr>
          <w:rFonts w:ascii="mylotus" w:hAnsi="mylotus" w:hint="cs"/>
          <w:sz w:val="34"/>
          <w:szCs w:val="34"/>
          <w:rtl/>
        </w:rPr>
        <w:t>مثلاً</w:t>
      </w:r>
      <w:r w:rsidRPr="00EC6224">
        <w:rPr>
          <w:rFonts w:ascii="mylotus" w:hAnsi="mylotus"/>
          <w:sz w:val="34"/>
          <w:szCs w:val="34"/>
          <w:rtl/>
        </w:rPr>
        <w:t xml:space="preserve"> - </w:t>
      </w:r>
      <w:r w:rsidRPr="00EC6224">
        <w:rPr>
          <w:rFonts w:ascii="mylotus" w:hAnsi="mylotus" w:hint="cs"/>
          <w:sz w:val="34"/>
          <w:szCs w:val="34"/>
          <w:rtl/>
        </w:rPr>
        <w:t>كما</w:t>
      </w:r>
      <w:r w:rsidRPr="00EC6224">
        <w:rPr>
          <w:rFonts w:ascii="mylotus" w:hAnsi="mylotus"/>
          <w:sz w:val="34"/>
          <w:szCs w:val="34"/>
          <w:rtl/>
        </w:rPr>
        <w:t xml:space="preserve"> </w:t>
      </w:r>
      <w:r w:rsidRPr="00EC6224">
        <w:rPr>
          <w:rFonts w:ascii="mylotus" w:hAnsi="mylotus" w:hint="cs"/>
          <w:sz w:val="34"/>
          <w:szCs w:val="34"/>
          <w:rtl/>
        </w:rPr>
        <w:t>إذا</w:t>
      </w:r>
      <w:r w:rsidRPr="00EC6224">
        <w:rPr>
          <w:rFonts w:ascii="mylotus" w:hAnsi="mylotus"/>
          <w:sz w:val="34"/>
          <w:szCs w:val="34"/>
          <w:rtl/>
        </w:rPr>
        <w:t xml:space="preserve"> </w:t>
      </w:r>
      <w:r w:rsidRPr="00EC6224">
        <w:rPr>
          <w:rFonts w:ascii="mylotus" w:hAnsi="mylotus" w:hint="cs"/>
          <w:sz w:val="34"/>
          <w:szCs w:val="34"/>
          <w:rtl/>
        </w:rPr>
        <w:t>افترض</w:t>
      </w:r>
      <w:r w:rsidRPr="00EC6224">
        <w:rPr>
          <w:rFonts w:ascii="mylotus" w:hAnsi="mylotus"/>
          <w:sz w:val="34"/>
          <w:szCs w:val="34"/>
          <w:rtl/>
        </w:rPr>
        <w:t xml:space="preserve"> </w:t>
      </w:r>
      <w:r w:rsidRPr="00EC6224">
        <w:rPr>
          <w:rFonts w:ascii="mylotus" w:hAnsi="mylotus" w:hint="cs"/>
          <w:sz w:val="34"/>
          <w:szCs w:val="34"/>
          <w:rtl/>
        </w:rPr>
        <w:t>أنّ</w:t>
      </w:r>
      <w:r w:rsidRPr="00EC6224">
        <w:rPr>
          <w:rFonts w:ascii="mylotus" w:hAnsi="mylotus"/>
          <w:sz w:val="34"/>
          <w:szCs w:val="34"/>
          <w:rtl/>
        </w:rPr>
        <w:t xml:space="preserve"> </w:t>
      </w:r>
      <w:r w:rsidRPr="00EC6224">
        <w:rPr>
          <w:rFonts w:ascii="mylotus" w:hAnsi="mylotus" w:hint="cs"/>
          <w:sz w:val="34"/>
          <w:szCs w:val="34"/>
          <w:rtl/>
        </w:rPr>
        <w:t>الدار</w:t>
      </w:r>
      <w:r w:rsidRPr="00EC6224">
        <w:rPr>
          <w:rFonts w:ascii="mylotus" w:hAnsi="mylotus"/>
          <w:sz w:val="34"/>
          <w:szCs w:val="34"/>
          <w:rtl/>
        </w:rPr>
        <w:t xml:space="preserve"> </w:t>
      </w:r>
      <w:r w:rsidRPr="00EC6224">
        <w:rPr>
          <w:rFonts w:ascii="mylotus" w:hAnsi="mylotus" w:hint="cs"/>
          <w:sz w:val="34"/>
          <w:szCs w:val="34"/>
          <w:rtl/>
        </w:rPr>
        <w:t>موقوفة</w:t>
      </w:r>
      <w:r w:rsidRPr="00EC6224">
        <w:rPr>
          <w:rFonts w:ascii="mylotus" w:hAnsi="mylotus"/>
          <w:sz w:val="34"/>
          <w:szCs w:val="34"/>
          <w:rtl/>
        </w:rPr>
        <w:t xml:space="preserve"> </w:t>
      </w:r>
      <w:r w:rsidRPr="00EC6224">
        <w:rPr>
          <w:rFonts w:ascii="mylotus" w:hAnsi="mylotus" w:hint="cs"/>
          <w:sz w:val="34"/>
          <w:szCs w:val="34"/>
          <w:rtl/>
        </w:rPr>
        <w:t>على</w:t>
      </w:r>
      <w:r w:rsidRPr="00EC6224">
        <w:rPr>
          <w:rFonts w:ascii="mylotus" w:hAnsi="mylotus"/>
          <w:sz w:val="34"/>
          <w:szCs w:val="34"/>
          <w:rtl/>
        </w:rPr>
        <w:t xml:space="preserve"> </w:t>
      </w:r>
      <w:r w:rsidRPr="00EC6224">
        <w:rPr>
          <w:rFonts w:ascii="mylotus" w:hAnsi="mylotus" w:hint="cs"/>
          <w:sz w:val="34"/>
          <w:szCs w:val="34"/>
          <w:rtl/>
        </w:rPr>
        <w:t>ذرية</w:t>
      </w:r>
      <w:r w:rsidRPr="00EC6224">
        <w:rPr>
          <w:rFonts w:ascii="mylotus" w:hAnsi="mylotus"/>
          <w:sz w:val="34"/>
          <w:szCs w:val="34"/>
          <w:rtl/>
        </w:rPr>
        <w:t xml:space="preserve"> </w:t>
      </w:r>
      <w:r w:rsidRPr="00EC6224">
        <w:rPr>
          <w:rFonts w:ascii="mylotus" w:hAnsi="mylotus" w:hint="cs"/>
          <w:sz w:val="34"/>
          <w:szCs w:val="34"/>
          <w:rtl/>
        </w:rPr>
        <w:t>فلان،</w:t>
      </w:r>
      <w:r w:rsidRPr="00EC6224">
        <w:rPr>
          <w:rFonts w:ascii="mylotus" w:hAnsi="mylotus"/>
          <w:sz w:val="34"/>
          <w:szCs w:val="34"/>
          <w:rtl/>
        </w:rPr>
        <w:t xml:space="preserve"> </w:t>
      </w:r>
      <w:r w:rsidRPr="00EC6224">
        <w:rPr>
          <w:rFonts w:ascii="mylotus" w:hAnsi="mylotus" w:hint="cs"/>
          <w:sz w:val="34"/>
          <w:szCs w:val="34"/>
          <w:rtl/>
        </w:rPr>
        <w:t>فإن</w:t>
      </w:r>
      <w:r>
        <w:rPr>
          <w:rFonts w:ascii="mylotus" w:hAnsi="mylotus" w:hint="cs"/>
          <w:sz w:val="34"/>
          <w:szCs w:val="34"/>
          <w:rtl/>
        </w:rPr>
        <w:t>ّ</w:t>
      </w:r>
      <w:r w:rsidRPr="00EC6224">
        <w:rPr>
          <w:rFonts w:ascii="mylotus" w:hAnsi="mylotus"/>
          <w:sz w:val="34"/>
          <w:szCs w:val="34"/>
          <w:rtl/>
        </w:rPr>
        <w:t xml:space="preserve"> </w:t>
      </w:r>
      <w:r w:rsidRPr="00EC6224">
        <w:rPr>
          <w:rFonts w:ascii="mylotus" w:hAnsi="mylotus" w:hint="cs"/>
          <w:sz w:val="34"/>
          <w:szCs w:val="34"/>
          <w:rtl/>
        </w:rPr>
        <w:t>الذرية</w:t>
      </w:r>
      <w:r w:rsidRPr="00EC6224">
        <w:rPr>
          <w:rFonts w:ascii="mylotus" w:hAnsi="mylotus"/>
          <w:sz w:val="34"/>
          <w:szCs w:val="34"/>
          <w:rtl/>
        </w:rPr>
        <w:t xml:space="preserve"> </w:t>
      </w:r>
      <w:r w:rsidRPr="00EC6224">
        <w:rPr>
          <w:rFonts w:ascii="mylotus" w:hAnsi="mylotus" w:hint="cs"/>
          <w:sz w:val="34"/>
          <w:szCs w:val="34"/>
          <w:rtl/>
        </w:rPr>
        <w:t>الموقوف</w:t>
      </w:r>
      <w:r w:rsidRPr="00EC6224">
        <w:rPr>
          <w:rFonts w:ascii="mylotus" w:hAnsi="mylotus"/>
          <w:sz w:val="34"/>
          <w:szCs w:val="34"/>
          <w:rtl/>
        </w:rPr>
        <w:t xml:space="preserve"> </w:t>
      </w:r>
      <w:r w:rsidRPr="00EC6224">
        <w:rPr>
          <w:rFonts w:ascii="mylotus" w:hAnsi="mylotus" w:hint="cs"/>
          <w:sz w:val="34"/>
          <w:szCs w:val="34"/>
          <w:rtl/>
        </w:rPr>
        <w:t>عليها</w:t>
      </w:r>
      <w:r w:rsidRPr="00EC6224">
        <w:rPr>
          <w:rFonts w:ascii="mylotus" w:hAnsi="mylotus"/>
          <w:sz w:val="34"/>
          <w:szCs w:val="34"/>
          <w:rtl/>
        </w:rPr>
        <w:t xml:space="preserve"> </w:t>
      </w:r>
      <w:r w:rsidRPr="00EC6224">
        <w:rPr>
          <w:rFonts w:ascii="mylotus" w:hAnsi="mylotus" w:hint="cs"/>
          <w:sz w:val="34"/>
          <w:szCs w:val="34"/>
          <w:rtl/>
        </w:rPr>
        <w:t>وإنْ</w:t>
      </w:r>
      <w:r w:rsidRPr="00EC6224">
        <w:rPr>
          <w:rFonts w:ascii="mylotus" w:hAnsi="mylotus"/>
          <w:sz w:val="34"/>
          <w:szCs w:val="34"/>
          <w:rtl/>
        </w:rPr>
        <w:t xml:space="preserve"> </w:t>
      </w:r>
      <w:r w:rsidRPr="00EC6224">
        <w:rPr>
          <w:rFonts w:ascii="mylotus" w:hAnsi="mylotus" w:hint="cs"/>
          <w:sz w:val="34"/>
          <w:szCs w:val="34"/>
          <w:rtl/>
        </w:rPr>
        <w:t>ملكت</w:t>
      </w:r>
      <w:r w:rsidRPr="00EC6224">
        <w:rPr>
          <w:rFonts w:ascii="mylotus" w:hAnsi="mylotus"/>
          <w:sz w:val="34"/>
          <w:szCs w:val="34"/>
          <w:rtl/>
        </w:rPr>
        <w:t xml:space="preserve"> </w:t>
      </w:r>
      <w:r w:rsidRPr="00EC6224">
        <w:rPr>
          <w:rFonts w:ascii="mylotus" w:hAnsi="mylotus" w:hint="cs"/>
          <w:sz w:val="34"/>
          <w:szCs w:val="34"/>
          <w:rtl/>
        </w:rPr>
        <w:t>العين</w:t>
      </w:r>
      <w:r w:rsidRPr="00EC6224">
        <w:rPr>
          <w:rFonts w:ascii="mylotus" w:hAnsi="mylotus"/>
          <w:sz w:val="34"/>
          <w:szCs w:val="34"/>
          <w:rtl/>
        </w:rPr>
        <w:t xml:space="preserve"> </w:t>
      </w:r>
      <w:r w:rsidRPr="00EC6224">
        <w:rPr>
          <w:rFonts w:ascii="mylotus" w:hAnsi="mylotus" w:hint="cs"/>
          <w:sz w:val="34"/>
          <w:szCs w:val="34"/>
          <w:rtl/>
        </w:rPr>
        <w:t>الموقوفة</w:t>
      </w:r>
      <w:r w:rsidRPr="00EC6224">
        <w:rPr>
          <w:rFonts w:ascii="mylotus" w:hAnsi="mylotus"/>
          <w:sz w:val="34"/>
          <w:szCs w:val="34"/>
          <w:rtl/>
        </w:rPr>
        <w:t xml:space="preserve"> </w:t>
      </w:r>
      <w:r w:rsidRPr="00EC6224">
        <w:rPr>
          <w:rFonts w:ascii="mylotus" w:hAnsi="mylotus" w:hint="cs"/>
          <w:sz w:val="34"/>
          <w:szCs w:val="34"/>
          <w:rtl/>
        </w:rPr>
        <w:t>إلّا</w:t>
      </w:r>
      <w:r w:rsidRPr="00EC6224">
        <w:rPr>
          <w:rFonts w:ascii="mylotus" w:hAnsi="mylotus"/>
          <w:sz w:val="34"/>
          <w:szCs w:val="34"/>
          <w:rtl/>
        </w:rPr>
        <w:t xml:space="preserve"> </w:t>
      </w:r>
      <w:r w:rsidRPr="00EC6224">
        <w:rPr>
          <w:rFonts w:ascii="mylotus" w:hAnsi="mylotus" w:hint="cs"/>
          <w:sz w:val="34"/>
          <w:szCs w:val="34"/>
          <w:rtl/>
        </w:rPr>
        <w:t>أنّها</w:t>
      </w:r>
      <w:r w:rsidRPr="00EC6224">
        <w:rPr>
          <w:rFonts w:ascii="mylotus" w:hAnsi="mylotus"/>
          <w:sz w:val="34"/>
          <w:szCs w:val="34"/>
          <w:rtl/>
        </w:rPr>
        <w:t xml:space="preserve"> </w:t>
      </w:r>
      <w:r w:rsidRPr="00EC6224">
        <w:rPr>
          <w:rFonts w:ascii="mylotus" w:hAnsi="mylotus" w:hint="cs"/>
          <w:sz w:val="34"/>
          <w:szCs w:val="34"/>
          <w:rtl/>
        </w:rPr>
        <w:t>لا</w:t>
      </w:r>
      <w:r w:rsidRPr="00EC6224">
        <w:rPr>
          <w:rFonts w:ascii="mylotus" w:hAnsi="mylotus"/>
          <w:sz w:val="34"/>
          <w:szCs w:val="34"/>
          <w:rtl/>
        </w:rPr>
        <w:t xml:space="preserve"> </w:t>
      </w:r>
      <w:r w:rsidRPr="00EC6224">
        <w:rPr>
          <w:rFonts w:ascii="mylotus" w:hAnsi="mylotus" w:hint="cs"/>
          <w:sz w:val="34"/>
          <w:szCs w:val="34"/>
          <w:rtl/>
        </w:rPr>
        <w:t>تملكها</w:t>
      </w:r>
      <w:r w:rsidRPr="00EC6224">
        <w:rPr>
          <w:rFonts w:ascii="mylotus" w:hAnsi="mylotus"/>
          <w:sz w:val="34"/>
          <w:szCs w:val="34"/>
          <w:rtl/>
        </w:rPr>
        <w:t xml:space="preserve"> </w:t>
      </w:r>
      <w:r w:rsidRPr="00EC6224">
        <w:rPr>
          <w:rFonts w:ascii="mylotus" w:hAnsi="mylotus" w:hint="cs"/>
          <w:sz w:val="34"/>
          <w:szCs w:val="34"/>
          <w:rtl/>
        </w:rPr>
        <w:t>مِلكيّة</w:t>
      </w:r>
      <w:r w:rsidRPr="00EC6224">
        <w:rPr>
          <w:rFonts w:ascii="mylotus" w:hAnsi="mylotus"/>
          <w:sz w:val="34"/>
          <w:szCs w:val="34"/>
          <w:rtl/>
        </w:rPr>
        <w:t xml:space="preserve"> </w:t>
      </w:r>
      <w:r w:rsidRPr="00EC6224">
        <w:rPr>
          <w:rFonts w:ascii="mylotus" w:hAnsi="mylotus" w:hint="cs"/>
          <w:sz w:val="34"/>
          <w:szCs w:val="34"/>
          <w:rtl/>
        </w:rPr>
        <w:t>طلقة،</w:t>
      </w:r>
      <w:r w:rsidRPr="00EC6224">
        <w:rPr>
          <w:rFonts w:ascii="mylotus" w:hAnsi="mylotus"/>
          <w:sz w:val="34"/>
          <w:szCs w:val="34"/>
          <w:rtl/>
        </w:rPr>
        <w:t xml:space="preserve"> </w:t>
      </w:r>
      <w:r w:rsidRPr="00EC6224">
        <w:rPr>
          <w:rFonts w:ascii="mylotus" w:hAnsi="mylotus" w:hint="cs"/>
          <w:sz w:val="34"/>
          <w:szCs w:val="34"/>
          <w:rtl/>
        </w:rPr>
        <w:t>وإنّما</w:t>
      </w:r>
      <w:r w:rsidRPr="00EC6224">
        <w:rPr>
          <w:rFonts w:ascii="mylotus" w:hAnsi="mylotus"/>
          <w:sz w:val="34"/>
          <w:szCs w:val="34"/>
          <w:rtl/>
        </w:rPr>
        <w:t xml:space="preserve"> </w:t>
      </w:r>
      <w:r w:rsidRPr="00EC6224">
        <w:rPr>
          <w:rFonts w:ascii="mylotus" w:hAnsi="mylotus" w:hint="cs"/>
          <w:sz w:val="34"/>
          <w:szCs w:val="34"/>
          <w:rtl/>
        </w:rPr>
        <w:t>تملكها</w:t>
      </w:r>
      <w:r w:rsidRPr="00EC6224">
        <w:rPr>
          <w:rFonts w:ascii="mylotus" w:hAnsi="mylotus"/>
          <w:sz w:val="34"/>
          <w:szCs w:val="34"/>
          <w:rtl/>
        </w:rPr>
        <w:t xml:space="preserve"> </w:t>
      </w:r>
      <w:r w:rsidRPr="00EC6224">
        <w:rPr>
          <w:rFonts w:ascii="mylotus" w:hAnsi="mylotus" w:hint="cs"/>
          <w:sz w:val="34"/>
          <w:szCs w:val="34"/>
          <w:rtl/>
        </w:rPr>
        <w:t>مِلكيّة</w:t>
      </w:r>
      <w:r w:rsidRPr="00EC6224">
        <w:rPr>
          <w:rFonts w:ascii="mylotus" w:hAnsi="mylotus"/>
          <w:sz w:val="34"/>
          <w:szCs w:val="34"/>
          <w:rtl/>
        </w:rPr>
        <w:t xml:space="preserve"> </w:t>
      </w:r>
      <w:r w:rsidRPr="00EC6224">
        <w:rPr>
          <w:rFonts w:ascii="mylotus" w:hAnsi="mylotus" w:hint="cs"/>
          <w:sz w:val="34"/>
          <w:szCs w:val="34"/>
          <w:rtl/>
        </w:rPr>
        <w:t>محدودة</w:t>
      </w:r>
      <w:r w:rsidRPr="00EC6224">
        <w:rPr>
          <w:rFonts w:ascii="mylotus" w:hAnsi="mylotus"/>
          <w:sz w:val="34"/>
          <w:szCs w:val="34"/>
          <w:rtl/>
        </w:rPr>
        <w:t xml:space="preserve"> </w:t>
      </w:r>
      <w:r w:rsidRPr="00EC6224">
        <w:rPr>
          <w:rFonts w:ascii="mylotus" w:hAnsi="mylotus" w:hint="cs"/>
          <w:sz w:val="34"/>
          <w:szCs w:val="34"/>
          <w:rtl/>
        </w:rPr>
        <w:t>بعدم</w:t>
      </w:r>
      <w:r w:rsidRPr="00EC6224">
        <w:rPr>
          <w:rFonts w:ascii="mylotus" w:hAnsi="mylotus"/>
          <w:sz w:val="34"/>
          <w:szCs w:val="34"/>
          <w:rtl/>
        </w:rPr>
        <w:t xml:space="preserve"> </w:t>
      </w:r>
      <w:r w:rsidRPr="00EC6224">
        <w:rPr>
          <w:rFonts w:ascii="mylotus" w:hAnsi="mylotus" w:hint="cs"/>
          <w:sz w:val="34"/>
          <w:szCs w:val="34"/>
          <w:rtl/>
        </w:rPr>
        <w:t>جواز</w:t>
      </w:r>
      <w:r w:rsidRPr="00EC6224">
        <w:rPr>
          <w:rFonts w:ascii="mylotus" w:hAnsi="mylotus"/>
          <w:sz w:val="34"/>
          <w:szCs w:val="34"/>
          <w:rtl/>
        </w:rPr>
        <w:t xml:space="preserve"> </w:t>
      </w:r>
      <w:r w:rsidRPr="00EC6224">
        <w:rPr>
          <w:rFonts w:ascii="mylotus" w:hAnsi="mylotus" w:hint="cs"/>
          <w:sz w:val="34"/>
          <w:szCs w:val="34"/>
          <w:rtl/>
        </w:rPr>
        <w:t>التصرف</w:t>
      </w:r>
      <w:r w:rsidRPr="00EC6224">
        <w:rPr>
          <w:rFonts w:ascii="mylotus" w:hAnsi="mylotus"/>
          <w:sz w:val="34"/>
          <w:szCs w:val="34"/>
        </w:rPr>
        <w:t>.</w:t>
      </w:r>
    </w:p>
    <w:p w14:paraId="4EA4B128" w14:textId="77777777" w:rsidR="00F66A22" w:rsidRPr="00EC6224" w:rsidRDefault="00F66A22" w:rsidP="00122B70">
      <w:pPr>
        <w:pStyle w:val="a"/>
        <w:bidi/>
        <w:spacing w:line="216" w:lineRule="auto"/>
        <w:jc w:val="left"/>
        <w:rPr>
          <w:rFonts w:ascii="mylotus" w:hAnsi="mylotus"/>
          <w:b/>
          <w:bCs/>
          <w:sz w:val="34"/>
          <w:szCs w:val="34"/>
          <w:rtl/>
        </w:rPr>
      </w:pPr>
      <w:r w:rsidRPr="00EC6224">
        <w:rPr>
          <w:rFonts w:ascii="mylotus" w:hAnsi="mylotus" w:hint="cs"/>
          <w:b/>
          <w:bCs/>
          <w:sz w:val="34"/>
          <w:szCs w:val="34"/>
          <w:rtl/>
        </w:rPr>
        <w:t>(</w:t>
      </w:r>
      <w:r w:rsidRPr="00EC6224">
        <w:rPr>
          <w:rFonts w:ascii="mylotus" w:hAnsi="mylotus"/>
          <w:b/>
          <w:bCs/>
          <w:sz w:val="34"/>
          <w:szCs w:val="34"/>
          <w:rtl/>
        </w:rPr>
        <w:t>حيث إن الموقوف عليه وإن كان يملك العين الموقوفة على ما ذكر في محله إلا أن ملكيته غير طلقة، فهو لا يحق له التصرف بها بنقل ونحوه، فهنا تُعدّ المنافع مالاً</w:t>
      </w:r>
      <w:r w:rsidRPr="00EC6224">
        <w:rPr>
          <w:rFonts w:ascii="mylotus" w:hAnsi="mylotus" w:hint="cs"/>
          <w:b/>
          <w:bCs/>
          <w:sz w:val="34"/>
          <w:szCs w:val="34"/>
          <w:rtl/>
        </w:rPr>
        <w:t>).</w:t>
      </w:r>
    </w:p>
    <w:p w14:paraId="1F2D1E2E"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بلحاظ أن</w:t>
      </w:r>
      <w:r>
        <w:rPr>
          <w:rFonts w:ascii="mylotus" w:hAnsi="mylotus" w:hint="cs"/>
          <w:sz w:val="34"/>
          <w:szCs w:val="34"/>
          <w:rtl/>
        </w:rPr>
        <w:t>ّ</w:t>
      </w:r>
      <w:r w:rsidRPr="00EC6224">
        <w:rPr>
          <w:rFonts w:ascii="mylotus" w:hAnsi="mylotus"/>
          <w:sz w:val="34"/>
          <w:szCs w:val="34"/>
          <w:rtl/>
        </w:rPr>
        <w:t xml:space="preserve"> الموقوف عليه قادر على التصرف في المنافع إمّا بالاستيفاء الحقيقي بأكلها أو بالاستيفاء الاعتباري بأنْ يؤجّر العين ويستوفي قيمة منافعها</w:t>
      </w:r>
      <w:r w:rsidRPr="00EC6224">
        <w:rPr>
          <w:rFonts w:ascii="mylotus" w:hAnsi="mylotus"/>
          <w:sz w:val="34"/>
          <w:szCs w:val="34"/>
        </w:rPr>
        <w:t>.</w:t>
      </w:r>
    </w:p>
    <w:p w14:paraId="20EB8B9A" w14:textId="77777777" w:rsidR="00F66A22" w:rsidRDefault="00F66A22" w:rsidP="00122B70">
      <w:pPr>
        <w:pStyle w:val="a"/>
        <w:bidi/>
        <w:spacing w:line="216" w:lineRule="auto"/>
        <w:jc w:val="left"/>
        <w:rPr>
          <w:rFonts w:ascii="mylotus" w:hAnsi="mylotus"/>
          <w:sz w:val="34"/>
          <w:szCs w:val="34"/>
          <w:rtl/>
        </w:rPr>
      </w:pPr>
      <w:r w:rsidRPr="00EC6224">
        <w:rPr>
          <w:rFonts w:ascii="mylotus" w:hAnsi="mylotus"/>
          <w:b/>
          <w:bCs/>
          <w:sz w:val="34"/>
          <w:szCs w:val="34"/>
          <w:rtl/>
        </w:rPr>
        <w:t xml:space="preserve">والصحيحُ: </w:t>
      </w:r>
      <w:r w:rsidRPr="00EC6224">
        <w:rPr>
          <w:rFonts w:ascii="mylotus" w:hAnsi="mylotus"/>
          <w:sz w:val="34"/>
          <w:szCs w:val="34"/>
          <w:rtl/>
        </w:rPr>
        <w:t>أنّ المالية</w:t>
      </w:r>
      <w:r>
        <w:rPr>
          <w:rFonts w:ascii="mylotus" w:hAnsi="mylotus" w:hint="cs"/>
          <w:sz w:val="34"/>
          <w:szCs w:val="34"/>
          <w:rtl/>
        </w:rPr>
        <w:t xml:space="preserve"> </w:t>
      </w:r>
      <w:r w:rsidRPr="00EC6224">
        <w:rPr>
          <w:rFonts w:ascii="mylotus" w:hAnsi="mylotus"/>
          <w:sz w:val="34"/>
          <w:szCs w:val="34"/>
          <w:rtl/>
        </w:rPr>
        <w:t>عنوان انتزاعي، وليس اعتبارا</w:t>
      </w:r>
      <w:r>
        <w:rPr>
          <w:rFonts w:ascii="mylotus" w:hAnsi="mylotus" w:hint="cs"/>
          <w:sz w:val="34"/>
          <w:szCs w:val="34"/>
          <w:rtl/>
        </w:rPr>
        <w:t>ً</w:t>
      </w:r>
      <w:r w:rsidRPr="00EC6224">
        <w:rPr>
          <w:rFonts w:ascii="mylotus" w:hAnsi="mylotus"/>
          <w:sz w:val="34"/>
          <w:szCs w:val="34"/>
          <w:rtl/>
        </w:rPr>
        <w:t xml:space="preserve"> عقلائيا</w:t>
      </w:r>
      <w:r>
        <w:rPr>
          <w:rFonts w:ascii="mylotus" w:hAnsi="mylotus" w:hint="cs"/>
          <w:sz w:val="34"/>
          <w:szCs w:val="34"/>
          <w:rtl/>
        </w:rPr>
        <w:t>ً</w:t>
      </w:r>
      <w:r w:rsidRPr="00EC6224">
        <w:rPr>
          <w:rFonts w:ascii="mylotus" w:hAnsi="mylotus"/>
          <w:sz w:val="34"/>
          <w:szCs w:val="34"/>
          <w:rtl/>
        </w:rPr>
        <w:t xml:space="preserve"> كي يحتاج للمصحح وهو الأثر العملي، لذلك فاتصاف الشيء لا يتوقّف على وجوده الحقيقي الخارجي ولا وجوده الاعتباري بكونه عوضا</w:t>
      </w:r>
      <w:r>
        <w:rPr>
          <w:rFonts w:ascii="mylotus" w:hAnsi="mylotus" w:hint="cs"/>
          <w:sz w:val="34"/>
          <w:szCs w:val="34"/>
          <w:rtl/>
        </w:rPr>
        <w:t>ً</w:t>
      </w:r>
      <w:r w:rsidRPr="00EC6224">
        <w:rPr>
          <w:rFonts w:ascii="mylotus" w:hAnsi="mylotus"/>
          <w:sz w:val="34"/>
          <w:szCs w:val="34"/>
          <w:rtl/>
        </w:rPr>
        <w:t xml:space="preserve"> أو معوضا</w:t>
      </w:r>
      <w:r>
        <w:rPr>
          <w:rFonts w:ascii="mylotus" w:hAnsi="mylotus" w:hint="cs"/>
          <w:sz w:val="34"/>
          <w:szCs w:val="34"/>
          <w:rtl/>
        </w:rPr>
        <w:t>ً</w:t>
      </w:r>
      <w:r w:rsidRPr="00EC6224">
        <w:rPr>
          <w:rFonts w:ascii="mylotus" w:hAnsi="mylotus"/>
          <w:sz w:val="34"/>
          <w:szCs w:val="34"/>
          <w:rtl/>
        </w:rPr>
        <w:t xml:space="preserve"> بأحد المعاملات المالية، بل اتصافه بالمالية منوط</w:t>
      </w:r>
      <w:r>
        <w:rPr>
          <w:rFonts w:ascii="mylotus" w:hAnsi="mylotus" w:hint="cs"/>
          <w:sz w:val="34"/>
          <w:szCs w:val="34"/>
          <w:rtl/>
        </w:rPr>
        <w:t>ٌ</w:t>
      </w:r>
      <w:r w:rsidRPr="00EC6224">
        <w:rPr>
          <w:rFonts w:ascii="mylotus" w:hAnsi="mylotus"/>
          <w:sz w:val="34"/>
          <w:szCs w:val="34"/>
          <w:rtl/>
        </w:rPr>
        <w:t xml:space="preserve"> بعنصرين:</w:t>
      </w:r>
    </w:p>
    <w:p w14:paraId="075751F7" w14:textId="77777777" w:rsidR="00F66A22" w:rsidRDefault="00F66A22" w:rsidP="00122B70">
      <w:pPr>
        <w:pStyle w:val="a"/>
        <w:bidi/>
        <w:spacing w:line="216" w:lineRule="auto"/>
        <w:jc w:val="left"/>
        <w:rPr>
          <w:rFonts w:ascii="mylotus" w:hAnsi="mylotus"/>
          <w:sz w:val="34"/>
          <w:szCs w:val="34"/>
          <w:rtl/>
        </w:rPr>
      </w:pPr>
      <w:r w:rsidRPr="00EB4AD9">
        <w:rPr>
          <w:rFonts w:ascii="mylotus" w:hAnsi="mylotus" w:hint="cs"/>
          <w:b/>
          <w:bCs/>
          <w:sz w:val="34"/>
          <w:szCs w:val="34"/>
          <w:rtl/>
        </w:rPr>
        <w:t>العنصرُ الأوّل:</w:t>
      </w:r>
      <w:r>
        <w:rPr>
          <w:rFonts w:ascii="mylotus" w:hAnsi="mylotus" w:hint="cs"/>
          <w:sz w:val="34"/>
          <w:szCs w:val="34"/>
          <w:rtl/>
        </w:rPr>
        <w:t xml:space="preserve"> وجوده الحكمي، أي: وجوده بالنظر العرفي.</w:t>
      </w:r>
    </w:p>
    <w:p w14:paraId="3BF01AFE" w14:textId="77777777" w:rsidR="00F66A22" w:rsidRDefault="00F66A22" w:rsidP="00122B70">
      <w:pPr>
        <w:pStyle w:val="a"/>
        <w:bidi/>
        <w:spacing w:line="216" w:lineRule="auto"/>
        <w:jc w:val="left"/>
        <w:rPr>
          <w:rFonts w:ascii="mylotus" w:hAnsi="mylotus"/>
          <w:sz w:val="34"/>
          <w:szCs w:val="34"/>
          <w:rtl/>
        </w:rPr>
      </w:pPr>
      <w:r w:rsidRPr="00EB4AD9">
        <w:rPr>
          <w:rFonts w:ascii="mylotus" w:hAnsi="mylotus" w:hint="cs"/>
          <w:b/>
          <w:bCs/>
          <w:sz w:val="34"/>
          <w:szCs w:val="34"/>
          <w:rtl/>
        </w:rPr>
        <w:t>العنصرُ الثاني:</w:t>
      </w:r>
      <w:r>
        <w:rPr>
          <w:rFonts w:ascii="mylotus" w:hAnsi="mylotus" w:hint="cs"/>
          <w:sz w:val="34"/>
          <w:szCs w:val="34"/>
          <w:rtl/>
        </w:rPr>
        <w:t xml:space="preserve"> </w:t>
      </w:r>
      <w:r w:rsidRPr="00EC6224">
        <w:rPr>
          <w:rFonts w:ascii="mylotus" w:hAnsi="mylotus"/>
          <w:sz w:val="34"/>
          <w:szCs w:val="34"/>
          <w:rtl/>
        </w:rPr>
        <w:t>كونه موضع التنافس والرغبة العقلائية لا مُطلقاً</w:t>
      </w:r>
      <w:r>
        <w:rPr>
          <w:rFonts w:ascii="mylotus" w:hAnsi="mylotus" w:hint="cs"/>
          <w:sz w:val="34"/>
          <w:szCs w:val="34"/>
          <w:rtl/>
        </w:rPr>
        <w:t>،</w:t>
      </w:r>
      <w:r w:rsidRPr="00EC6224">
        <w:rPr>
          <w:rFonts w:ascii="mylotus" w:hAnsi="mylotus"/>
          <w:sz w:val="34"/>
          <w:szCs w:val="34"/>
          <w:rtl/>
        </w:rPr>
        <w:t xml:space="preserve"> وإنّما بحيث يكون تداوله أمراً ميسورا بالنسبة إليهم</w:t>
      </w:r>
      <w:r>
        <w:rPr>
          <w:rFonts w:ascii="mylotus" w:hAnsi="mylotus" w:hint="cs"/>
          <w:sz w:val="34"/>
          <w:szCs w:val="34"/>
          <w:rtl/>
        </w:rPr>
        <w:t>،</w:t>
      </w:r>
      <w:r w:rsidRPr="00EC6224">
        <w:rPr>
          <w:rFonts w:ascii="mylotus" w:hAnsi="mylotus"/>
          <w:sz w:val="34"/>
          <w:szCs w:val="34"/>
          <w:rtl/>
        </w:rPr>
        <w:t xml:space="preserve"> فمثلا</w:t>
      </w:r>
      <w:r>
        <w:rPr>
          <w:rFonts w:ascii="mylotus" w:hAnsi="mylotus" w:hint="cs"/>
          <w:sz w:val="34"/>
          <w:szCs w:val="34"/>
          <w:rtl/>
        </w:rPr>
        <w:t>ً:</w:t>
      </w:r>
      <w:r w:rsidRPr="00EC6224">
        <w:rPr>
          <w:rFonts w:ascii="mylotus" w:hAnsi="mylotus"/>
          <w:sz w:val="34"/>
          <w:szCs w:val="34"/>
          <w:rtl/>
        </w:rPr>
        <w:t xml:space="preserve"> اللآلئ في أعماق البحار وإن</w:t>
      </w:r>
      <w:r>
        <w:rPr>
          <w:rFonts w:ascii="mylotus" w:hAnsi="mylotus" w:hint="cs"/>
          <w:sz w:val="34"/>
          <w:szCs w:val="34"/>
          <w:rtl/>
        </w:rPr>
        <w:t>ْ</w:t>
      </w:r>
      <w:r w:rsidRPr="00EC6224">
        <w:rPr>
          <w:rFonts w:ascii="mylotus" w:hAnsi="mylotus"/>
          <w:sz w:val="34"/>
          <w:szCs w:val="34"/>
          <w:rtl/>
        </w:rPr>
        <w:t xml:space="preserve"> كانت موردا</w:t>
      </w:r>
      <w:r>
        <w:rPr>
          <w:rFonts w:ascii="mylotus" w:hAnsi="mylotus" w:hint="cs"/>
          <w:sz w:val="34"/>
          <w:szCs w:val="34"/>
          <w:rtl/>
        </w:rPr>
        <w:t>ً</w:t>
      </w:r>
      <w:r w:rsidRPr="00EC6224">
        <w:rPr>
          <w:rFonts w:ascii="mylotus" w:hAnsi="mylotus"/>
          <w:sz w:val="34"/>
          <w:szCs w:val="34"/>
          <w:rtl/>
        </w:rPr>
        <w:t xml:space="preserve"> للرغبة العقلائية </w:t>
      </w:r>
      <w:r>
        <w:rPr>
          <w:rFonts w:ascii="mylotus" w:hAnsi="mylotus" w:hint="cs"/>
          <w:sz w:val="34"/>
          <w:szCs w:val="34"/>
          <w:rtl/>
        </w:rPr>
        <w:t>إ</w:t>
      </w:r>
      <w:r w:rsidRPr="00EC6224">
        <w:rPr>
          <w:rFonts w:ascii="mylotus" w:hAnsi="mylotus"/>
          <w:sz w:val="34"/>
          <w:szCs w:val="34"/>
          <w:rtl/>
        </w:rPr>
        <w:t>ل</w:t>
      </w:r>
      <w:r>
        <w:rPr>
          <w:rFonts w:ascii="mylotus" w:hAnsi="mylotus" w:hint="cs"/>
          <w:sz w:val="34"/>
          <w:szCs w:val="34"/>
          <w:rtl/>
        </w:rPr>
        <w:t>ّ</w:t>
      </w:r>
      <w:r w:rsidRPr="00EC6224">
        <w:rPr>
          <w:rFonts w:ascii="mylotus" w:hAnsi="mylotus"/>
          <w:sz w:val="34"/>
          <w:szCs w:val="34"/>
          <w:rtl/>
        </w:rPr>
        <w:t>ا أن</w:t>
      </w:r>
      <w:r>
        <w:rPr>
          <w:rFonts w:ascii="mylotus" w:hAnsi="mylotus" w:hint="cs"/>
          <w:sz w:val="34"/>
          <w:szCs w:val="34"/>
          <w:rtl/>
        </w:rPr>
        <w:t>ّ</w:t>
      </w:r>
      <w:r w:rsidRPr="00EC6224">
        <w:rPr>
          <w:rFonts w:ascii="mylotus" w:hAnsi="mylotus"/>
          <w:sz w:val="34"/>
          <w:szCs w:val="34"/>
          <w:rtl/>
        </w:rPr>
        <w:t>ها لا</w:t>
      </w:r>
      <w:r>
        <w:rPr>
          <w:rFonts w:ascii="mylotus" w:hAnsi="mylotus" w:hint="cs"/>
          <w:sz w:val="34"/>
          <w:szCs w:val="34"/>
          <w:rtl/>
        </w:rPr>
        <w:t xml:space="preserve"> </w:t>
      </w:r>
      <w:r w:rsidRPr="00EC6224">
        <w:rPr>
          <w:rFonts w:ascii="mylotus" w:hAnsi="mylotus"/>
          <w:sz w:val="34"/>
          <w:szCs w:val="34"/>
          <w:rtl/>
        </w:rPr>
        <w:t>تتصف بالمالية لعدم تيسر التداول بها</w:t>
      </w:r>
      <w:r>
        <w:rPr>
          <w:rFonts w:ascii="mylotus" w:hAnsi="mylotus" w:hint="cs"/>
          <w:sz w:val="34"/>
          <w:szCs w:val="34"/>
          <w:rtl/>
        </w:rPr>
        <w:t>.</w:t>
      </w:r>
    </w:p>
    <w:p w14:paraId="054846D6" w14:textId="77777777" w:rsidR="00F66A22"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lastRenderedPageBreak/>
        <w:t>وحيثُ إنّ منافع الأعيان مما لها وجود حكمي بوجود الأعيان الصالحة لل</w:t>
      </w:r>
      <w:r>
        <w:rPr>
          <w:rFonts w:ascii="mylotus" w:hAnsi="mylotus" w:hint="cs"/>
          <w:sz w:val="34"/>
          <w:szCs w:val="34"/>
          <w:rtl/>
        </w:rPr>
        <w:t>ا</w:t>
      </w:r>
      <w:r w:rsidRPr="00EC6224">
        <w:rPr>
          <w:rFonts w:ascii="mylotus" w:hAnsi="mylotus"/>
          <w:sz w:val="34"/>
          <w:szCs w:val="34"/>
          <w:rtl/>
        </w:rPr>
        <w:t>نتفاع بها لا</w:t>
      </w:r>
      <w:r>
        <w:rPr>
          <w:rFonts w:ascii="mylotus" w:hAnsi="mylotus" w:hint="cs"/>
          <w:sz w:val="34"/>
          <w:szCs w:val="34"/>
          <w:rtl/>
        </w:rPr>
        <w:t xml:space="preserve"> </w:t>
      </w:r>
      <w:r w:rsidRPr="00EC6224">
        <w:rPr>
          <w:rFonts w:ascii="mylotus" w:hAnsi="mylotus"/>
          <w:sz w:val="34"/>
          <w:szCs w:val="34"/>
          <w:rtl/>
        </w:rPr>
        <w:t>مثل الأعيان العاطلة أو الخربة، مع كونها</w:t>
      </w:r>
      <w:r>
        <w:rPr>
          <w:rFonts w:ascii="mylotus" w:hAnsi="mylotus" w:hint="cs"/>
          <w:sz w:val="34"/>
          <w:szCs w:val="34"/>
          <w:rtl/>
        </w:rPr>
        <w:t xml:space="preserve"> </w:t>
      </w:r>
      <w:r w:rsidRPr="00EC6224">
        <w:rPr>
          <w:rFonts w:ascii="mylotus" w:hAnsi="mylotus"/>
          <w:sz w:val="34"/>
          <w:szCs w:val="34"/>
          <w:rtl/>
        </w:rPr>
        <w:t>مورد الرغبة العقلائية فهي أموال عرفا</w:t>
      </w:r>
      <w:r>
        <w:rPr>
          <w:rFonts w:ascii="mylotus" w:hAnsi="mylotus" w:hint="cs"/>
          <w:sz w:val="34"/>
          <w:szCs w:val="34"/>
          <w:rtl/>
        </w:rPr>
        <w:t>ً</w:t>
      </w:r>
      <w:r w:rsidRPr="00EC6224">
        <w:rPr>
          <w:rFonts w:ascii="mylotus" w:hAnsi="mylotus"/>
          <w:sz w:val="34"/>
          <w:szCs w:val="34"/>
          <w:rtl/>
        </w:rPr>
        <w:t>، وإن</w:t>
      </w:r>
      <w:r>
        <w:rPr>
          <w:rFonts w:ascii="mylotus" w:hAnsi="mylotus" w:hint="cs"/>
          <w:sz w:val="34"/>
          <w:szCs w:val="34"/>
          <w:rtl/>
        </w:rPr>
        <w:t>ْ</w:t>
      </w:r>
      <w:r w:rsidRPr="00EC6224">
        <w:rPr>
          <w:rFonts w:ascii="mylotus" w:hAnsi="mylotus"/>
          <w:sz w:val="34"/>
          <w:szCs w:val="34"/>
          <w:rtl/>
        </w:rPr>
        <w:t xml:space="preserve"> ل</w:t>
      </w:r>
      <w:r>
        <w:rPr>
          <w:rFonts w:ascii="mylotus" w:hAnsi="mylotus" w:hint="cs"/>
          <w:sz w:val="34"/>
          <w:szCs w:val="34"/>
          <w:rtl/>
        </w:rPr>
        <w:t>َ</w:t>
      </w:r>
      <w:r w:rsidRPr="00EC6224">
        <w:rPr>
          <w:rFonts w:ascii="mylotus" w:hAnsi="mylotus"/>
          <w:sz w:val="34"/>
          <w:szCs w:val="34"/>
          <w:rtl/>
        </w:rPr>
        <w:t>م</w:t>
      </w:r>
      <w:r>
        <w:rPr>
          <w:rFonts w:ascii="mylotus" w:hAnsi="mylotus" w:hint="cs"/>
          <w:sz w:val="34"/>
          <w:szCs w:val="34"/>
          <w:rtl/>
        </w:rPr>
        <w:t>ْ</w:t>
      </w:r>
      <w:r w:rsidRPr="00EC6224">
        <w:rPr>
          <w:rFonts w:ascii="mylotus" w:hAnsi="mylotus"/>
          <w:sz w:val="34"/>
          <w:szCs w:val="34"/>
          <w:rtl/>
        </w:rPr>
        <w:t xml:space="preserve"> تكن ماليتها مستقلة عن مالية الأعيان، بل هي تابعة لها وفي طولها.</w:t>
      </w:r>
    </w:p>
    <w:p w14:paraId="40D23AF0"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كما أن</w:t>
      </w:r>
      <w:r>
        <w:rPr>
          <w:rFonts w:ascii="mylotus" w:hAnsi="mylotus" w:hint="cs"/>
          <w:sz w:val="34"/>
          <w:szCs w:val="34"/>
          <w:rtl/>
        </w:rPr>
        <w:t>ّ</w:t>
      </w:r>
      <w:r w:rsidRPr="00EC6224">
        <w:rPr>
          <w:rFonts w:ascii="mylotus" w:hAnsi="mylotus"/>
          <w:sz w:val="34"/>
          <w:szCs w:val="34"/>
          <w:rtl/>
        </w:rPr>
        <w:t xml:space="preserve"> منافع الأشخاص التي لها وجود حكمي بالقدرة على الإتيان بها دون إلجاء، مع كونها موضع الرغبة العقلائية بنحوٍ يتيسر التداول بها أموال عرفا</w:t>
      </w:r>
      <w:r>
        <w:rPr>
          <w:rFonts w:ascii="mylotus" w:hAnsi="mylotus" w:hint="cs"/>
          <w:sz w:val="34"/>
          <w:szCs w:val="34"/>
          <w:rtl/>
        </w:rPr>
        <w:t>ً.</w:t>
      </w:r>
    </w:p>
    <w:p w14:paraId="5C2BCFB2" w14:textId="77777777" w:rsidR="00F66A22"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وبذلك يظهر أنّ ما ذكره سيدنا الخوئي (قدس سره الشريف) في كتاب المضاربة م</w:t>
      </w:r>
      <w:r>
        <w:rPr>
          <w:rFonts w:ascii="mylotus" w:hAnsi="mylotus" w:hint="cs"/>
          <w:sz w:val="34"/>
          <w:szCs w:val="34"/>
          <w:rtl/>
        </w:rPr>
        <w:t>ِ</w:t>
      </w:r>
      <w:r w:rsidRPr="00EC6224">
        <w:rPr>
          <w:rFonts w:ascii="mylotus" w:hAnsi="mylotus"/>
          <w:sz w:val="34"/>
          <w:szCs w:val="34"/>
          <w:rtl/>
        </w:rPr>
        <w:t>ن موسوعته المباركة</w:t>
      </w:r>
      <w:r>
        <w:rPr>
          <w:rStyle w:val="FootnoteReference"/>
          <w:rFonts w:ascii="mylotus" w:hAnsi="mylotus"/>
          <w:sz w:val="34"/>
          <w:szCs w:val="34"/>
          <w:rtl/>
        </w:rPr>
        <w:footnoteReference w:id="195"/>
      </w:r>
      <w:r w:rsidRPr="00EC6224">
        <w:rPr>
          <w:rFonts w:ascii="mylotus" w:hAnsi="mylotus"/>
          <w:sz w:val="34"/>
          <w:szCs w:val="34"/>
          <w:rtl/>
        </w:rPr>
        <w:t xml:space="preserve"> من أنّ تمليك المعدوم خلاف الأصل فيُقتصر فيه على ما دلّ عليه النصّ</w:t>
      </w:r>
      <w:r>
        <w:rPr>
          <w:rFonts w:ascii="mylotus" w:hAnsi="mylotus" w:hint="cs"/>
          <w:sz w:val="34"/>
          <w:szCs w:val="34"/>
          <w:rtl/>
        </w:rPr>
        <w:t>.</w:t>
      </w:r>
    </w:p>
    <w:p w14:paraId="17CBB695" w14:textId="77777777" w:rsidR="00F66A22"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وقد دل النصّ على صحة تمليك المعدوم في باب المضاربة؛ حيث إنّ مرجع المضاربة إلى الاتفاق بين صاحب المال والعامل على أنّ نسبةً مِن الربح تكون للعامل بإزاء عمله، وهذا من باب تمليك المعدوم؛ حيث</w:t>
      </w:r>
      <w:r>
        <w:rPr>
          <w:rFonts w:ascii="mylotus" w:hAnsi="mylotus" w:hint="cs"/>
          <w:sz w:val="34"/>
          <w:szCs w:val="34"/>
          <w:rtl/>
        </w:rPr>
        <w:t>ُ</w:t>
      </w:r>
      <w:r w:rsidRPr="00EC6224">
        <w:rPr>
          <w:rFonts w:ascii="mylotus" w:hAnsi="mylotus"/>
          <w:sz w:val="34"/>
          <w:szCs w:val="34"/>
          <w:rtl/>
        </w:rPr>
        <w:t xml:space="preserve"> إن</w:t>
      </w:r>
      <w:r>
        <w:rPr>
          <w:rFonts w:ascii="mylotus" w:hAnsi="mylotus" w:hint="cs"/>
          <w:sz w:val="34"/>
          <w:szCs w:val="34"/>
          <w:rtl/>
        </w:rPr>
        <w:t>ّ</w:t>
      </w:r>
      <w:r w:rsidRPr="00EC6224">
        <w:rPr>
          <w:rFonts w:ascii="mylotus" w:hAnsi="mylotus"/>
          <w:sz w:val="34"/>
          <w:szCs w:val="34"/>
          <w:rtl/>
        </w:rPr>
        <w:t xml:space="preserve"> نسبة الربح مِن العمل أمر</w:t>
      </w:r>
      <w:r>
        <w:rPr>
          <w:rFonts w:ascii="mylotus" w:hAnsi="mylotus" w:hint="cs"/>
          <w:sz w:val="34"/>
          <w:szCs w:val="34"/>
          <w:rtl/>
        </w:rPr>
        <w:t xml:space="preserve">ٌ </w:t>
      </w:r>
      <w:r w:rsidRPr="00EC6224">
        <w:rPr>
          <w:rFonts w:ascii="mylotus" w:hAnsi="mylotus"/>
          <w:sz w:val="34"/>
          <w:szCs w:val="34"/>
          <w:rtl/>
        </w:rPr>
        <w:t>معدوم حين المعاملة، وكذا في باب المزارعة أيضاً كما إذا اتفق مالكُ الأرض مع الفلاح المزارع على أنّ له في مقابل عمله نسبةً مِن النتاج فإنّ هذا م</w:t>
      </w:r>
      <w:r>
        <w:rPr>
          <w:rFonts w:ascii="mylotus" w:hAnsi="mylotus" w:hint="cs"/>
          <w:sz w:val="34"/>
          <w:szCs w:val="34"/>
          <w:rtl/>
        </w:rPr>
        <w:t>ِ</w:t>
      </w:r>
      <w:r w:rsidRPr="00EC6224">
        <w:rPr>
          <w:rFonts w:ascii="mylotus" w:hAnsi="mylotus"/>
          <w:sz w:val="34"/>
          <w:szCs w:val="34"/>
          <w:rtl/>
        </w:rPr>
        <w:t>ن باب تمليك المعدوم، ولولا دلالة النصّ عليه لما كان صحيحاً</w:t>
      </w:r>
      <w:r>
        <w:rPr>
          <w:rFonts w:ascii="mylotus" w:hAnsi="mylotus" w:hint="cs"/>
          <w:sz w:val="34"/>
          <w:szCs w:val="34"/>
          <w:rtl/>
        </w:rPr>
        <w:t>.</w:t>
      </w:r>
    </w:p>
    <w:p w14:paraId="7D284093" w14:textId="77777777" w:rsidR="00F66A22" w:rsidRPr="00EC6224" w:rsidRDefault="00F66A22" w:rsidP="00122B70">
      <w:pPr>
        <w:pStyle w:val="a"/>
        <w:bidi/>
        <w:spacing w:line="216" w:lineRule="auto"/>
        <w:jc w:val="left"/>
        <w:rPr>
          <w:rFonts w:ascii="mylotus" w:hAnsi="mylotus"/>
          <w:sz w:val="34"/>
          <w:szCs w:val="34"/>
          <w:rtl/>
        </w:rPr>
      </w:pPr>
      <w:r w:rsidRPr="00EB4AD9">
        <w:rPr>
          <w:rFonts w:ascii="mylotus" w:hAnsi="mylotus"/>
          <w:b/>
          <w:bCs/>
          <w:sz w:val="34"/>
          <w:szCs w:val="34"/>
          <w:rtl/>
        </w:rPr>
        <w:t xml:space="preserve">محل </w:t>
      </w:r>
      <w:proofErr w:type="gramStart"/>
      <w:r w:rsidRPr="00EB4AD9">
        <w:rPr>
          <w:rFonts w:ascii="mylotus" w:hAnsi="mylotus"/>
          <w:b/>
          <w:bCs/>
          <w:sz w:val="34"/>
          <w:szCs w:val="34"/>
          <w:rtl/>
        </w:rPr>
        <w:t>تأملٍ</w:t>
      </w:r>
      <w:proofErr w:type="gramEnd"/>
      <w:r w:rsidRPr="00EB4AD9">
        <w:rPr>
          <w:rFonts w:ascii="mylotus" w:hAnsi="mylotus"/>
          <w:b/>
          <w:bCs/>
          <w:sz w:val="34"/>
          <w:szCs w:val="34"/>
          <w:rtl/>
        </w:rPr>
        <w:t xml:space="preserve"> بل منعٍ؛</w:t>
      </w:r>
      <w:r w:rsidRPr="00EC6224">
        <w:rPr>
          <w:rFonts w:ascii="mylotus" w:hAnsi="mylotus"/>
          <w:sz w:val="34"/>
          <w:szCs w:val="34"/>
          <w:rtl/>
        </w:rPr>
        <w:t xml:space="preserve"> فإنّ نسبة الربح أو النتاج مما له وجود حكمي بوجود موضوعه، وهو المال المعد للتجارة أو الأرض مع البذر والماء والسماد، لا أن</w:t>
      </w:r>
      <w:r>
        <w:rPr>
          <w:rFonts w:ascii="mylotus" w:hAnsi="mylotus" w:hint="cs"/>
          <w:sz w:val="34"/>
          <w:szCs w:val="34"/>
          <w:rtl/>
        </w:rPr>
        <w:t>ّ</w:t>
      </w:r>
      <w:r w:rsidRPr="00EC6224">
        <w:rPr>
          <w:rFonts w:ascii="mylotus" w:hAnsi="mylotus"/>
          <w:sz w:val="34"/>
          <w:szCs w:val="34"/>
          <w:rtl/>
        </w:rPr>
        <w:t>ه معدوم بجميع أنحاء الوجود، والبناء العقلائي جار على أنّ كلّ ما كان قابلاً للتداول لترتب أثر على تداوله مما يصحّ تمليكه وإنْ كان معدوماً خارجا</w:t>
      </w:r>
      <w:r>
        <w:rPr>
          <w:rFonts w:ascii="mylotus" w:hAnsi="mylotus" w:hint="cs"/>
          <w:sz w:val="34"/>
          <w:szCs w:val="34"/>
          <w:rtl/>
        </w:rPr>
        <w:t xml:space="preserve">ً </w:t>
      </w:r>
      <w:r w:rsidRPr="00EC6224">
        <w:rPr>
          <w:rFonts w:ascii="mylotus" w:hAnsi="mylotus"/>
          <w:sz w:val="34"/>
          <w:szCs w:val="34"/>
          <w:rtl/>
        </w:rPr>
        <w:t>واعتباراً، بأن</w:t>
      </w:r>
      <w:r>
        <w:rPr>
          <w:rFonts w:ascii="mylotus" w:hAnsi="mylotus" w:hint="cs"/>
          <w:sz w:val="34"/>
          <w:szCs w:val="34"/>
          <w:rtl/>
        </w:rPr>
        <w:t>ْ</w:t>
      </w:r>
      <w:r w:rsidRPr="00EC6224">
        <w:rPr>
          <w:rFonts w:ascii="mylotus" w:hAnsi="mylotus"/>
          <w:sz w:val="34"/>
          <w:szCs w:val="34"/>
          <w:rtl/>
        </w:rPr>
        <w:t xml:space="preserve"> ل</w:t>
      </w:r>
      <w:r>
        <w:rPr>
          <w:rFonts w:ascii="mylotus" w:hAnsi="mylotus" w:hint="cs"/>
          <w:sz w:val="34"/>
          <w:szCs w:val="34"/>
          <w:rtl/>
        </w:rPr>
        <w:t>َ</w:t>
      </w:r>
      <w:r w:rsidRPr="00EC6224">
        <w:rPr>
          <w:rFonts w:ascii="mylotus" w:hAnsi="mylotus"/>
          <w:sz w:val="34"/>
          <w:szCs w:val="34"/>
          <w:rtl/>
        </w:rPr>
        <w:t>م</w:t>
      </w:r>
      <w:r>
        <w:rPr>
          <w:rFonts w:ascii="mylotus" w:hAnsi="mylotus" w:hint="cs"/>
          <w:sz w:val="34"/>
          <w:szCs w:val="34"/>
          <w:rtl/>
        </w:rPr>
        <w:t>ْ</w:t>
      </w:r>
      <w:r w:rsidRPr="00EC6224">
        <w:rPr>
          <w:rFonts w:ascii="mylotus" w:hAnsi="mylotus"/>
          <w:sz w:val="34"/>
          <w:szCs w:val="34"/>
          <w:rtl/>
        </w:rPr>
        <w:t xml:space="preserve"> يكن عوضا</w:t>
      </w:r>
      <w:r>
        <w:rPr>
          <w:rFonts w:ascii="mylotus" w:hAnsi="mylotus" w:hint="cs"/>
          <w:sz w:val="34"/>
          <w:szCs w:val="34"/>
          <w:rtl/>
        </w:rPr>
        <w:t>ً</w:t>
      </w:r>
      <w:r w:rsidRPr="00EC6224">
        <w:rPr>
          <w:rFonts w:ascii="mylotus" w:hAnsi="mylotus"/>
          <w:sz w:val="34"/>
          <w:szCs w:val="34"/>
          <w:rtl/>
        </w:rPr>
        <w:t xml:space="preserve"> أو معوضا</w:t>
      </w:r>
      <w:r>
        <w:rPr>
          <w:rFonts w:ascii="mylotus" w:hAnsi="mylotus" w:hint="cs"/>
          <w:sz w:val="34"/>
          <w:szCs w:val="34"/>
          <w:rtl/>
        </w:rPr>
        <w:t>ً</w:t>
      </w:r>
      <w:r w:rsidRPr="00EC6224">
        <w:rPr>
          <w:rFonts w:ascii="mylotus" w:hAnsi="mylotus"/>
          <w:sz w:val="34"/>
          <w:szCs w:val="34"/>
          <w:rtl/>
        </w:rPr>
        <w:t xml:space="preserve"> في رتبة</w:t>
      </w:r>
      <w:r>
        <w:rPr>
          <w:rFonts w:ascii="mylotus" w:hAnsi="mylotus" w:hint="cs"/>
          <w:sz w:val="34"/>
          <w:szCs w:val="34"/>
          <w:rtl/>
        </w:rPr>
        <w:t>ٍ</w:t>
      </w:r>
      <w:r w:rsidRPr="00EC6224">
        <w:rPr>
          <w:rFonts w:ascii="mylotus" w:hAnsi="mylotus"/>
          <w:sz w:val="34"/>
          <w:szCs w:val="34"/>
          <w:rtl/>
        </w:rPr>
        <w:t xml:space="preserve"> سابقة</w:t>
      </w:r>
      <w:r>
        <w:rPr>
          <w:rFonts w:ascii="mylotus" w:hAnsi="mylotus" w:hint="cs"/>
          <w:sz w:val="34"/>
          <w:szCs w:val="34"/>
          <w:rtl/>
        </w:rPr>
        <w:t>ٍ،</w:t>
      </w:r>
      <w:r w:rsidRPr="00EC6224">
        <w:rPr>
          <w:rFonts w:ascii="mylotus" w:hAnsi="mylotus"/>
          <w:sz w:val="34"/>
          <w:szCs w:val="34"/>
          <w:rtl/>
        </w:rPr>
        <w:t xml:space="preserve"> ولذلك فالتمليك في باب المضاربة والمزارعة لنسبةٍ مِن الربح أو النتاج ليس أمراً خلاف الأصل بحيثُ لولا دلالة الدليل عليه لما قُلنا به</w:t>
      </w:r>
      <w:r w:rsidRPr="00EC6224">
        <w:rPr>
          <w:rFonts w:ascii="mylotus" w:hAnsi="mylotus"/>
          <w:sz w:val="34"/>
          <w:szCs w:val="34"/>
        </w:rPr>
        <w:t>.</w:t>
      </w:r>
    </w:p>
    <w:p w14:paraId="0C424E6D" w14:textId="77777777" w:rsidR="00F66A22" w:rsidRPr="00EB4AD9" w:rsidRDefault="00F66A22" w:rsidP="00122B70">
      <w:pPr>
        <w:pStyle w:val="a"/>
        <w:bidi/>
        <w:spacing w:line="216" w:lineRule="auto"/>
        <w:jc w:val="left"/>
        <w:rPr>
          <w:rFonts w:ascii="mylotus" w:hAnsi="mylotus"/>
          <w:b/>
          <w:bCs/>
          <w:sz w:val="34"/>
          <w:szCs w:val="34"/>
          <w:rtl/>
        </w:rPr>
      </w:pPr>
      <w:r w:rsidRPr="00EB4AD9">
        <w:rPr>
          <w:rFonts w:ascii="mylotus" w:hAnsi="mylotus"/>
          <w:b/>
          <w:bCs/>
          <w:sz w:val="34"/>
          <w:szCs w:val="34"/>
          <w:rtl/>
        </w:rPr>
        <w:t xml:space="preserve">فالصحيح: </w:t>
      </w:r>
      <w:r w:rsidRPr="00EC6224">
        <w:rPr>
          <w:rFonts w:ascii="mylotus" w:hAnsi="mylotus"/>
          <w:sz w:val="34"/>
          <w:szCs w:val="34"/>
          <w:rtl/>
        </w:rPr>
        <w:t>أن</w:t>
      </w:r>
      <w:r>
        <w:rPr>
          <w:rFonts w:ascii="mylotus" w:hAnsi="mylotus" w:hint="cs"/>
          <w:sz w:val="34"/>
          <w:szCs w:val="34"/>
          <w:rtl/>
        </w:rPr>
        <w:t>ّ</w:t>
      </w:r>
      <w:r w:rsidRPr="00EC6224">
        <w:rPr>
          <w:rFonts w:ascii="mylotus" w:hAnsi="mylotus"/>
          <w:sz w:val="34"/>
          <w:szCs w:val="34"/>
          <w:rtl/>
        </w:rPr>
        <w:t xml:space="preserve"> المنافع والأعمال أموال في رتبة</w:t>
      </w:r>
      <w:r>
        <w:rPr>
          <w:rFonts w:ascii="mylotus" w:hAnsi="mylotus" w:hint="cs"/>
          <w:sz w:val="34"/>
          <w:szCs w:val="34"/>
          <w:rtl/>
        </w:rPr>
        <w:t>ٍ</w:t>
      </w:r>
      <w:r w:rsidRPr="00EC6224">
        <w:rPr>
          <w:rFonts w:ascii="mylotus" w:hAnsi="mylotus"/>
          <w:sz w:val="34"/>
          <w:szCs w:val="34"/>
          <w:rtl/>
        </w:rPr>
        <w:t xml:space="preserve"> سابقة</w:t>
      </w:r>
      <w:r>
        <w:rPr>
          <w:rFonts w:ascii="mylotus" w:hAnsi="mylotus" w:hint="cs"/>
          <w:sz w:val="34"/>
          <w:szCs w:val="34"/>
          <w:rtl/>
        </w:rPr>
        <w:t>ٍ</w:t>
      </w:r>
      <w:r w:rsidRPr="00EC6224">
        <w:rPr>
          <w:rFonts w:ascii="mylotus" w:hAnsi="mylotus"/>
          <w:sz w:val="34"/>
          <w:szCs w:val="34"/>
          <w:rtl/>
        </w:rPr>
        <w:t xml:space="preserve"> على التعامل عليها، لا أن</w:t>
      </w:r>
      <w:r>
        <w:rPr>
          <w:rFonts w:ascii="mylotus" w:hAnsi="mylotus" w:hint="cs"/>
          <w:sz w:val="34"/>
          <w:szCs w:val="34"/>
          <w:rtl/>
        </w:rPr>
        <w:t>ّ</w:t>
      </w:r>
      <w:r w:rsidRPr="00EC6224">
        <w:rPr>
          <w:rFonts w:ascii="mylotus" w:hAnsi="mylotus"/>
          <w:sz w:val="34"/>
          <w:szCs w:val="34"/>
          <w:rtl/>
        </w:rPr>
        <w:t xml:space="preserve"> ماليتها مكتسبة م</w:t>
      </w:r>
      <w:r>
        <w:rPr>
          <w:rFonts w:ascii="mylotus" w:hAnsi="mylotus" w:hint="cs"/>
          <w:sz w:val="34"/>
          <w:szCs w:val="34"/>
          <w:rtl/>
        </w:rPr>
        <w:t>ِ</w:t>
      </w:r>
      <w:r w:rsidRPr="00EC6224">
        <w:rPr>
          <w:rFonts w:ascii="mylotus" w:hAnsi="mylotus"/>
          <w:sz w:val="34"/>
          <w:szCs w:val="34"/>
          <w:rtl/>
        </w:rPr>
        <w:t>ن وقوع المعاملة عليها، لكن لو قيل بكون اتصافها بالمالية متفرعا</w:t>
      </w:r>
      <w:r>
        <w:rPr>
          <w:rFonts w:ascii="mylotus" w:hAnsi="mylotus" w:hint="cs"/>
          <w:sz w:val="34"/>
          <w:szCs w:val="34"/>
          <w:rtl/>
        </w:rPr>
        <w:t>ً</w:t>
      </w:r>
      <w:r w:rsidRPr="00EC6224">
        <w:rPr>
          <w:rFonts w:ascii="mylotus" w:hAnsi="mylotus"/>
          <w:sz w:val="34"/>
          <w:szCs w:val="34"/>
          <w:rtl/>
        </w:rPr>
        <w:t xml:space="preserve"> على المعاملة عليها ل</w:t>
      </w:r>
      <w:r>
        <w:rPr>
          <w:rFonts w:ascii="mylotus" w:hAnsi="mylotus" w:hint="cs"/>
          <w:sz w:val="34"/>
          <w:szCs w:val="34"/>
          <w:rtl/>
        </w:rPr>
        <w:t>َ</w:t>
      </w:r>
      <w:r w:rsidRPr="00EC6224">
        <w:rPr>
          <w:rFonts w:ascii="mylotus" w:hAnsi="mylotus"/>
          <w:sz w:val="34"/>
          <w:szCs w:val="34"/>
          <w:rtl/>
        </w:rPr>
        <w:t>م</w:t>
      </w:r>
      <w:r>
        <w:rPr>
          <w:rFonts w:ascii="mylotus" w:hAnsi="mylotus" w:hint="cs"/>
          <w:sz w:val="34"/>
          <w:szCs w:val="34"/>
          <w:rtl/>
        </w:rPr>
        <w:t>ْ</w:t>
      </w:r>
      <w:r w:rsidRPr="00EC6224">
        <w:rPr>
          <w:rFonts w:ascii="mylotus" w:hAnsi="mylotus"/>
          <w:sz w:val="34"/>
          <w:szCs w:val="34"/>
          <w:rtl/>
        </w:rPr>
        <w:t xml:space="preserve"> يكن في ذلك محذور</w:t>
      </w:r>
      <w:r>
        <w:rPr>
          <w:rFonts w:ascii="mylotus" w:hAnsi="mylotus" w:hint="cs"/>
          <w:sz w:val="34"/>
          <w:szCs w:val="34"/>
          <w:rtl/>
        </w:rPr>
        <w:t>ٌ</w:t>
      </w:r>
      <w:r w:rsidRPr="00EC6224">
        <w:rPr>
          <w:rFonts w:ascii="mylotus" w:hAnsi="mylotus"/>
          <w:sz w:val="34"/>
          <w:szCs w:val="34"/>
          <w:rtl/>
        </w:rPr>
        <w:t xml:space="preserve"> عقلي، خلافا</w:t>
      </w:r>
      <w:r>
        <w:rPr>
          <w:rFonts w:ascii="mylotus" w:hAnsi="mylotus" w:hint="cs"/>
          <w:sz w:val="34"/>
          <w:szCs w:val="34"/>
          <w:rtl/>
        </w:rPr>
        <w:t>ً</w:t>
      </w:r>
      <w:r w:rsidRPr="00EC6224">
        <w:rPr>
          <w:rFonts w:ascii="mylotus" w:hAnsi="mylotus"/>
          <w:sz w:val="34"/>
          <w:szCs w:val="34"/>
          <w:rtl/>
        </w:rPr>
        <w:t xml:space="preserve"> لما ذكره السيد الشاهرودي الكبير (قدس سره الشريف) في كتابه الحج</w:t>
      </w:r>
      <w:r>
        <w:rPr>
          <w:rFonts w:ascii="mylotus" w:hAnsi="mylotus" w:hint="cs"/>
          <w:sz w:val="34"/>
          <w:szCs w:val="34"/>
          <w:rtl/>
        </w:rPr>
        <w:t xml:space="preserve"> </w:t>
      </w:r>
      <w:r w:rsidRPr="00EC6224">
        <w:rPr>
          <w:rFonts w:ascii="mylotus" w:hAnsi="mylotus"/>
          <w:sz w:val="34"/>
          <w:szCs w:val="34"/>
          <w:rtl/>
        </w:rPr>
        <w:t>بقوله</w:t>
      </w:r>
      <w:r>
        <w:rPr>
          <w:rFonts w:ascii="mylotus" w:hAnsi="mylotus" w:hint="cs"/>
          <w:sz w:val="34"/>
          <w:szCs w:val="34"/>
          <w:rtl/>
        </w:rPr>
        <w:t>:</w:t>
      </w:r>
      <w:r w:rsidRPr="00EC6224">
        <w:rPr>
          <w:rFonts w:ascii="mylotus" w:hAnsi="mylotus"/>
          <w:sz w:val="34"/>
          <w:szCs w:val="34"/>
          <w:rtl/>
        </w:rPr>
        <w:t xml:space="preserve"> </w:t>
      </w:r>
      <w:r w:rsidRPr="00EB4AD9">
        <w:rPr>
          <w:rFonts w:ascii="mylotus" w:hAnsi="mylotus"/>
          <w:b/>
          <w:bCs/>
          <w:sz w:val="34"/>
          <w:szCs w:val="34"/>
          <w:rtl/>
        </w:rPr>
        <w:t xml:space="preserve">(ويمكن حل الإشكال (بدعوى) أن منافع الإنسان لا تكون مالا قبل وقوع العقد </w:t>
      </w:r>
      <w:proofErr w:type="gramStart"/>
      <w:r w:rsidRPr="00EB4AD9">
        <w:rPr>
          <w:rFonts w:ascii="mylotus" w:hAnsi="mylotus"/>
          <w:b/>
          <w:bCs/>
          <w:sz w:val="34"/>
          <w:szCs w:val="34"/>
          <w:rtl/>
        </w:rPr>
        <w:t>عليها</w:t>
      </w:r>
      <w:proofErr w:type="gramEnd"/>
      <w:r w:rsidRPr="00EB4AD9">
        <w:rPr>
          <w:rFonts w:ascii="mylotus" w:hAnsi="mylotus"/>
          <w:b/>
          <w:bCs/>
          <w:sz w:val="34"/>
          <w:szCs w:val="34"/>
          <w:rtl/>
        </w:rPr>
        <w:t xml:space="preserve"> ولكنها تصير مالا حينه فالعقد مقوم لماليتها</w:t>
      </w:r>
      <w:r w:rsidRPr="00EB4AD9">
        <w:rPr>
          <w:rFonts w:ascii="mylotus" w:hAnsi="mylotus"/>
          <w:b/>
          <w:bCs/>
          <w:sz w:val="34"/>
          <w:szCs w:val="34"/>
        </w:rPr>
        <w:t>.</w:t>
      </w:r>
    </w:p>
    <w:p w14:paraId="66C76B5C" w14:textId="77777777" w:rsidR="00F66A22" w:rsidRPr="00EB4AD9" w:rsidRDefault="00F66A22" w:rsidP="00122B70">
      <w:pPr>
        <w:pStyle w:val="a"/>
        <w:bidi/>
        <w:spacing w:line="216" w:lineRule="auto"/>
        <w:jc w:val="left"/>
        <w:rPr>
          <w:rFonts w:ascii="mylotus" w:hAnsi="mylotus"/>
          <w:b/>
          <w:bCs/>
          <w:sz w:val="34"/>
          <w:szCs w:val="34"/>
          <w:rtl/>
        </w:rPr>
      </w:pPr>
      <w:r w:rsidRPr="00EB4AD9">
        <w:rPr>
          <w:rFonts w:ascii="mylotus" w:hAnsi="mylotus"/>
          <w:b/>
          <w:bCs/>
          <w:sz w:val="34"/>
          <w:szCs w:val="34"/>
          <w:rtl/>
        </w:rPr>
        <w:t>فعلى هذا لا يجب عليه إيجار نفسه حتى يحج بمال الإجارة لعدم كونه حينئذ من المقدمات الوجودية فإيجار نفسه على هذا تحصيل للاستطاعة وهو غير واجب</w:t>
      </w:r>
      <w:r w:rsidRPr="00EB4AD9">
        <w:rPr>
          <w:rFonts w:ascii="mylotus" w:hAnsi="mylotus"/>
          <w:b/>
          <w:bCs/>
          <w:sz w:val="34"/>
          <w:szCs w:val="34"/>
        </w:rPr>
        <w:t>.</w:t>
      </w:r>
    </w:p>
    <w:p w14:paraId="0B6E985E" w14:textId="77777777" w:rsidR="00F66A22" w:rsidRPr="00EB4AD9" w:rsidRDefault="00F66A22" w:rsidP="00122B70">
      <w:pPr>
        <w:pStyle w:val="a"/>
        <w:bidi/>
        <w:spacing w:line="216" w:lineRule="auto"/>
        <w:jc w:val="left"/>
        <w:rPr>
          <w:rFonts w:ascii="mylotus" w:hAnsi="mylotus"/>
          <w:b/>
          <w:bCs/>
          <w:sz w:val="34"/>
          <w:szCs w:val="34"/>
          <w:rtl/>
        </w:rPr>
      </w:pPr>
      <w:r w:rsidRPr="00EB4AD9">
        <w:rPr>
          <w:rFonts w:ascii="mylotus" w:hAnsi="mylotus"/>
          <w:b/>
          <w:bCs/>
          <w:sz w:val="34"/>
          <w:szCs w:val="34"/>
          <w:rtl/>
        </w:rPr>
        <w:t>(ومن هنا) يصح التفصيل في ضمان الحابس لأجرة العمل الفائت من الشخص المحبوس بين كون المحبوس أجيرا وعدمه</w:t>
      </w:r>
      <w:r w:rsidRPr="00EB4AD9">
        <w:rPr>
          <w:rFonts w:ascii="mylotus" w:hAnsi="mylotus"/>
          <w:b/>
          <w:bCs/>
          <w:sz w:val="34"/>
          <w:szCs w:val="34"/>
        </w:rPr>
        <w:t>.</w:t>
      </w:r>
    </w:p>
    <w:p w14:paraId="2CD80FDD" w14:textId="77777777" w:rsidR="00F66A22" w:rsidRPr="00EB4AD9" w:rsidRDefault="00F66A22" w:rsidP="00122B70">
      <w:pPr>
        <w:pStyle w:val="a"/>
        <w:bidi/>
        <w:spacing w:line="216" w:lineRule="auto"/>
        <w:jc w:val="left"/>
        <w:rPr>
          <w:rFonts w:ascii="mylotus" w:hAnsi="mylotus"/>
          <w:b/>
          <w:bCs/>
          <w:sz w:val="34"/>
          <w:szCs w:val="34"/>
          <w:rtl/>
        </w:rPr>
      </w:pPr>
      <w:r w:rsidRPr="00EB4AD9">
        <w:rPr>
          <w:rFonts w:ascii="mylotus" w:hAnsi="mylotus"/>
          <w:b/>
          <w:bCs/>
          <w:sz w:val="34"/>
          <w:szCs w:val="34"/>
          <w:rtl/>
        </w:rPr>
        <w:t>وفيه: بعد تسليم توقف صحة العقد على مالية العمل أن نفس العقد لا يصحح المالية وإلا لزم الدور و (بعبارة أخرى) أن المالية تكون بمنزلة الموضوع وصحة العقد بمنزلة الحكم ولا إشكال في امتناع إثبات الموضوع بالحكم كما هو واض</w:t>
      </w:r>
      <w:r>
        <w:rPr>
          <w:rFonts w:ascii="mylotus" w:hAnsi="mylotus" w:hint="cs"/>
          <w:b/>
          <w:bCs/>
          <w:sz w:val="34"/>
          <w:szCs w:val="34"/>
          <w:rtl/>
        </w:rPr>
        <w:t>ح)</w:t>
      </w:r>
      <w:r>
        <w:rPr>
          <w:rStyle w:val="FootnoteReference"/>
          <w:rFonts w:ascii="mylotus" w:hAnsi="mylotus"/>
          <w:sz w:val="34"/>
          <w:szCs w:val="34"/>
          <w:rtl/>
        </w:rPr>
        <w:footnoteReference w:id="196"/>
      </w:r>
    </w:p>
    <w:p w14:paraId="77E55039" w14:textId="77777777" w:rsidR="00F66A22" w:rsidRPr="00EC6224" w:rsidRDefault="00F66A22" w:rsidP="00122B70">
      <w:pPr>
        <w:pStyle w:val="a"/>
        <w:bidi/>
        <w:spacing w:line="216" w:lineRule="auto"/>
        <w:jc w:val="left"/>
        <w:rPr>
          <w:rFonts w:ascii="mylotus" w:hAnsi="mylotus"/>
          <w:sz w:val="34"/>
          <w:szCs w:val="34"/>
          <w:rtl/>
        </w:rPr>
      </w:pPr>
      <w:r w:rsidRPr="00EB4AD9">
        <w:rPr>
          <w:rFonts w:ascii="mylotus" w:hAnsi="mylotus"/>
          <w:b/>
          <w:bCs/>
          <w:sz w:val="34"/>
          <w:szCs w:val="34"/>
          <w:rtl/>
        </w:rPr>
        <w:lastRenderedPageBreak/>
        <w:t xml:space="preserve">ومقصوده: </w:t>
      </w:r>
      <w:r w:rsidRPr="00EC6224">
        <w:rPr>
          <w:rFonts w:ascii="mylotus" w:hAnsi="mylotus"/>
          <w:sz w:val="34"/>
          <w:szCs w:val="34"/>
          <w:rtl/>
        </w:rPr>
        <w:t>أن</w:t>
      </w:r>
      <w:r>
        <w:rPr>
          <w:rFonts w:ascii="mylotus" w:hAnsi="mylotus" w:hint="cs"/>
          <w:sz w:val="34"/>
          <w:szCs w:val="34"/>
          <w:rtl/>
        </w:rPr>
        <w:t>ّ</w:t>
      </w:r>
      <w:r w:rsidRPr="00EC6224">
        <w:rPr>
          <w:rFonts w:ascii="mylotus" w:hAnsi="mylotus"/>
          <w:sz w:val="34"/>
          <w:szCs w:val="34"/>
          <w:rtl/>
        </w:rPr>
        <w:t xml:space="preserve"> صحّة الإجارة متوقفة</w:t>
      </w:r>
      <w:r>
        <w:rPr>
          <w:rFonts w:ascii="mylotus" w:hAnsi="mylotus" w:hint="cs"/>
          <w:sz w:val="34"/>
          <w:szCs w:val="34"/>
          <w:rtl/>
        </w:rPr>
        <w:t>ٌ</w:t>
      </w:r>
      <w:r w:rsidRPr="00EC6224">
        <w:rPr>
          <w:rFonts w:ascii="mylotus" w:hAnsi="mylotus"/>
          <w:sz w:val="34"/>
          <w:szCs w:val="34"/>
          <w:rtl/>
        </w:rPr>
        <w:t xml:space="preserve"> على كون العمل مالاً، فلو كانت ماليته متوقّفة على الإجارة الصحيحة لكانت المالية دورية، بل الإجارة م</w:t>
      </w:r>
      <w:r>
        <w:rPr>
          <w:rFonts w:ascii="mylotus" w:hAnsi="mylotus" w:hint="cs"/>
          <w:sz w:val="34"/>
          <w:szCs w:val="34"/>
          <w:rtl/>
        </w:rPr>
        <w:t>ِ</w:t>
      </w:r>
      <w:r w:rsidRPr="00EC6224">
        <w:rPr>
          <w:rFonts w:ascii="mylotus" w:hAnsi="mylotus"/>
          <w:sz w:val="34"/>
          <w:szCs w:val="34"/>
          <w:rtl/>
        </w:rPr>
        <w:t>ن قبيل عقد الضمان</w:t>
      </w:r>
      <w:r>
        <w:rPr>
          <w:rFonts w:ascii="mylotus" w:hAnsi="mylotus" w:hint="cs"/>
          <w:sz w:val="34"/>
          <w:szCs w:val="34"/>
          <w:rtl/>
        </w:rPr>
        <w:t>،</w:t>
      </w:r>
      <w:r w:rsidRPr="00EC6224">
        <w:rPr>
          <w:rFonts w:ascii="mylotus" w:hAnsi="mylotus"/>
          <w:sz w:val="34"/>
          <w:szCs w:val="34"/>
          <w:rtl/>
        </w:rPr>
        <w:t xml:space="preserve"> أي: أنّ مرجع الإجارة في الأعمال لا إلى </w:t>
      </w:r>
      <w:proofErr w:type="gramStart"/>
      <w:r w:rsidRPr="00EC6224">
        <w:rPr>
          <w:rFonts w:ascii="mylotus" w:hAnsi="mylotus"/>
          <w:sz w:val="34"/>
          <w:szCs w:val="34"/>
          <w:rtl/>
        </w:rPr>
        <w:t>التمليك</w:t>
      </w:r>
      <w:proofErr w:type="gramEnd"/>
      <w:r w:rsidRPr="00EC6224">
        <w:rPr>
          <w:rFonts w:ascii="mylotus" w:hAnsi="mylotus"/>
          <w:sz w:val="34"/>
          <w:szCs w:val="34"/>
          <w:rtl/>
        </w:rPr>
        <w:t xml:space="preserve"> بل إلى أنّ الأجير يتعهد للمُستأجر بعمل عليه، لا أنّ هناك تمليك للعمل كما هو معروف في باب الإجارة</w:t>
      </w:r>
      <w:r w:rsidRPr="00EC6224">
        <w:rPr>
          <w:rFonts w:ascii="mylotus" w:hAnsi="mylotus"/>
          <w:sz w:val="34"/>
          <w:szCs w:val="34"/>
        </w:rPr>
        <w:t>.</w:t>
      </w:r>
    </w:p>
    <w:p w14:paraId="33438ABA" w14:textId="77777777" w:rsidR="00F66A22" w:rsidRPr="00EB4AD9" w:rsidRDefault="00F66A22" w:rsidP="00122B70">
      <w:pPr>
        <w:pStyle w:val="a"/>
        <w:bidi/>
        <w:spacing w:line="216" w:lineRule="auto"/>
        <w:jc w:val="left"/>
        <w:rPr>
          <w:rFonts w:ascii="mylotus" w:hAnsi="mylotus"/>
          <w:b/>
          <w:bCs/>
          <w:sz w:val="34"/>
          <w:szCs w:val="34"/>
          <w:rtl/>
        </w:rPr>
      </w:pPr>
      <w:r w:rsidRPr="00EB4AD9">
        <w:rPr>
          <w:rFonts w:ascii="mylotus" w:hAnsi="mylotus"/>
          <w:b/>
          <w:bCs/>
          <w:sz w:val="34"/>
          <w:szCs w:val="34"/>
          <w:rtl/>
        </w:rPr>
        <w:t>ويلاحظُ على ما أُفيد</w:t>
      </w:r>
      <w:r w:rsidRPr="00EB4AD9">
        <w:rPr>
          <w:rFonts w:ascii="mylotus" w:hAnsi="mylotus"/>
          <w:b/>
          <w:bCs/>
          <w:sz w:val="34"/>
          <w:szCs w:val="34"/>
        </w:rPr>
        <w:t>:</w:t>
      </w:r>
    </w:p>
    <w:p w14:paraId="412DCA53" w14:textId="77777777" w:rsidR="00F66A22" w:rsidRPr="00EC6224" w:rsidRDefault="00F66A22" w:rsidP="00122B70">
      <w:pPr>
        <w:pStyle w:val="a"/>
        <w:bidi/>
        <w:spacing w:line="216" w:lineRule="auto"/>
        <w:jc w:val="left"/>
        <w:rPr>
          <w:rFonts w:ascii="mylotus" w:hAnsi="mylotus"/>
          <w:sz w:val="34"/>
          <w:szCs w:val="34"/>
          <w:rtl/>
        </w:rPr>
      </w:pPr>
      <w:r w:rsidRPr="00EB4AD9">
        <w:rPr>
          <w:rFonts w:ascii="mylotus" w:hAnsi="mylotus"/>
          <w:b/>
          <w:bCs/>
          <w:sz w:val="34"/>
          <w:szCs w:val="34"/>
          <w:rtl/>
        </w:rPr>
        <w:t>أوّلاً:</w:t>
      </w:r>
      <w:r w:rsidRPr="00EC6224">
        <w:rPr>
          <w:rFonts w:ascii="mylotus" w:hAnsi="mylotus"/>
          <w:sz w:val="34"/>
          <w:szCs w:val="34"/>
          <w:rtl/>
        </w:rPr>
        <w:t xml:space="preserve"> بأنّ الإجارة ليست مِن باب التضمين في شيء؛ فإنّ حقيقة الإجارة - كما ذكر في أوّل كتاب الإجارة - تدور مدار مسلكين: التمليك أو التسليط</w:t>
      </w:r>
      <w:r w:rsidRPr="00EC6224">
        <w:rPr>
          <w:rFonts w:ascii="mylotus" w:hAnsi="mylotus"/>
          <w:sz w:val="34"/>
          <w:szCs w:val="34"/>
        </w:rPr>
        <w:t>.</w:t>
      </w:r>
    </w:p>
    <w:p w14:paraId="14B7BA4E" w14:textId="77777777" w:rsidR="00F66A22" w:rsidRPr="00EC6224" w:rsidRDefault="00F66A22" w:rsidP="00122B70">
      <w:pPr>
        <w:pStyle w:val="a"/>
        <w:bidi/>
        <w:spacing w:line="216" w:lineRule="auto"/>
        <w:jc w:val="left"/>
        <w:rPr>
          <w:rFonts w:ascii="mylotus" w:hAnsi="mylotus"/>
          <w:sz w:val="34"/>
          <w:szCs w:val="34"/>
          <w:rtl/>
        </w:rPr>
      </w:pPr>
      <w:r w:rsidRPr="00EC6224">
        <w:rPr>
          <w:rFonts w:ascii="mylotus" w:hAnsi="mylotus"/>
          <w:sz w:val="34"/>
          <w:szCs w:val="34"/>
          <w:rtl/>
        </w:rPr>
        <w:t xml:space="preserve">فالمشهورُ بين الفقهاء أنّ مرجع الإجارة في الأعيان والأعمال إلى التمليك، فمرجعُ إجارة الأعمال إلى تمليك المُستأجر عملاً في ذمّته، والتعريفُ الثاني لحقيقة الإجارة </w:t>
      </w:r>
      <w:r>
        <w:rPr>
          <w:rFonts w:ascii="Times New Roman" w:hAnsi="Times New Roman" w:cs="Times New Roman" w:hint="cs"/>
          <w:sz w:val="34"/>
          <w:szCs w:val="34"/>
          <w:rtl/>
        </w:rPr>
        <w:t>–</w:t>
      </w:r>
      <w:r>
        <w:rPr>
          <w:rFonts w:ascii="mylotus" w:hAnsi="mylotus" w:hint="cs"/>
          <w:sz w:val="34"/>
          <w:szCs w:val="34"/>
          <w:rtl/>
        </w:rPr>
        <w:t xml:space="preserve"> </w:t>
      </w:r>
      <w:r w:rsidRPr="00EC6224">
        <w:rPr>
          <w:rFonts w:ascii="mylotus" w:hAnsi="mylotus" w:hint="cs"/>
          <w:sz w:val="34"/>
          <w:szCs w:val="34"/>
          <w:rtl/>
        </w:rPr>
        <w:t>كما</w:t>
      </w:r>
      <w:r>
        <w:rPr>
          <w:rFonts w:ascii="mylotus" w:hAnsi="mylotus" w:hint="cs"/>
          <w:sz w:val="34"/>
          <w:szCs w:val="34"/>
          <w:rtl/>
        </w:rPr>
        <w:t xml:space="preserve"> </w:t>
      </w:r>
      <w:r w:rsidRPr="00EC6224">
        <w:rPr>
          <w:rFonts w:ascii="mylotus" w:hAnsi="mylotus" w:hint="cs"/>
          <w:sz w:val="34"/>
          <w:szCs w:val="34"/>
          <w:rtl/>
        </w:rPr>
        <w:t>اخترناه</w:t>
      </w:r>
      <w:r w:rsidRPr="00EC6224">
        <w:rPr>
          <w:rFonts w:ascii="mylotus" w:hAnsi="mylotus"/>
          <w:sz w:val="34"/>
          <w:szCs w:val="34"/>
          <w:rtl/>
        </w:rPr>
        <w:t xml:space="preserve"> - </w:t>
      </w:r>
      <w:r w:rsidRPr="00EC6224">
        <w:rPr>
          <w:rFonts w:ascii="mylotus" w:hAnsi="mylotus" w:hint="cs"/>
          <w:sz w:val="34"/>
          <w:szCs w:val="34"/>
          <w:rtl/>
        </w:rPr>
        <w:t>أنّ</w:t>
      </w:r>
      <w:r w:rsidRPr="00EC6224">
        <w:rPr>
          <w:rFonts w:ascii="mylotus" w:hAnsi="mylotus"/>
          <w:sz w:val="34"/>
          <w:szCs w:val="34"/>
          <w:rtl/>
        </w:rPr>
        <w:t xml:space="preserve"> </w:t>
      </w:r>
      <w:r w:rsidRPr="00EC6224">
        <w:rPr>
          <w:rFonts w:ascii="mylotus" w:hAnsi="mylotus" w:hint="cs"/>
          <w:sz w:val="34"/>
          <w:szCs w:val="34"/>
          <w:rtl/>
        </w:rPr>
        <w:t>الإجارة</w:t>
      </w:r>
      <w:r w:rsidRPr="00EC6224">
        <w:rPr>
          <w:rFonts w:ascii="mylotus" w:hAnsi="mylotus"/>
          <w:sz w:val="34"/>
          <w:szCs w:val="34"/>
          <w:rtl/>
        </w:rPr>
        <w:t xml:space="preserve"> </w:t>
      </w:r>
      <w:r w:rsidRPr="00EC6224">
        <w:rPr>
          <w:rFonts w:ascii="mylotus" w:hAnsi="mylotus" w:hint="cs"/>
          <w:sz w:val="34"/>
          <w:szCs w:val="34"/>
          <w:rtl/>
        </w:rPr>
        <w:t>مِن</w:t>
      </w:r>
      <w:r w:rsidRPr="00EC6224">
        <w:rPr>
          <w:rFonts w:ascii="mylotus" w:hAnsi="mylotus"/>
          <w:sz w:val="34"/>
          <w:szCs w:val="34"/>
          <w:rtl/>
        </w:rPr>
        <w:t xml:space="preserve"> </w:t>
      </w:r>
      <w:r w:rsidRPr="00EC6224">
        <w:rPr>
          <w:rFonts w:ascii="mylotus" w:hAnsi="mylotus" w:hint="cs"/>
          <w:sz w:val="34"/>
          <w:szCs w:val="34"/>
          <w:rtl/>
        </w:rPr>
        <w:t>باب</w:t>
      </w:r>
      <w:r w:rsidRPr="00EC6224">
        <w:rPr>
          <w:rFonts w:ascii="mylotus" w:hAnsi="mylotus"/>
          <w:sz w:val="34"/>
          <w:szCs w:val="34"/>
          <w:rtl/>
        </w:rPr>
        <w:t xml:space="preserve"> </w:t>
      </w:r>
      <w:r w:rsidRPr="00EC6224">
        <w:rPr>
          <w:rFonts w:ascii="mylotus" w:hAnsi="mylotus" w:hint="cs"/>
          <w:sz w:val="34"/>
          <w:szCs w:val="34"/>
          <w:rtl/>
        </w:rPr>
        <w:t>التسليط،</w:t>
      </w:r>
      <w:r w:rsidRPr="00EC6224">
        <w:rPr>
          <w:rFonts w:ascii="mylotus" w:hAnsi="mylotus"/>
          <w:sz w:val="34"/>
          <w:szCs w:val="34"/>
          <w:rtl/>
        </w:rPr>
        <w:t xml:space="preserve"> </w:t>
      </w:r>
      <w:r w:rsidRPr="00EC6224">
        <w:rPr>
          <w:rFonts w:ascii="mylotus" w:hAnsi="mylotus" w:hint="cs"/>
          <w:sz w:val="34"/>
          <w:szCs w:val="34"/>
          <w:rtl/>
        </w:rPr>
        <w:t>أي</w:t>
      </w:r>
      <w:r w:rsidRPr="00EC6224">
        <w:rPr>
          <w:rFonts w:ascii="mylotus" w:hAnsi="mylotus"/>
          <w:sz w:val="34"/>
          <w:szCs w:val="34"/>
          <w:rtl/>
        </w:rPr>
        <w:t xml:space="preserve">: </w:t>
      </w:r>
      <w:r w:rsidRPr="00EC6224">
        <w:rPr>
          <w:rFonts w:ascii="mylotus" w:hAnsi="mylotus" w:hint="cs"/>
          <w:sz w:val="34"/>
          <w:szCs w:val="34"/>
          <w:rtl/>
        </w:rPr>
        <w:t>مرجع</w:t>
      </w:r>
      <w:r w:rsidRPr="00EC6224">
        <w:rPr>
          <w:rFonts w:ascii="mylotus" w:hAnsi="mylotus"/>
          <w:sz w:val="34"/>
          <w:szCs w:val="34"/>
          <w:rtl/>
        </w:rPr>
        <w:t xml:space="preserve"> </w:t>
      </w:r>
      <w:r w:rsidRPr="00EC6224">
        <w:rPr>
          <w:rFonts w:ascii="mylotus" w:hAnsi="mylotus" w:hint="cs"/>
          <w:sz w:val="34"/>
          <w:szCs w:val="34"/>
          <w:rtl/>
        </w:rPr>
        <w:t>الإجارة</w:t>
      </w:r>
      <w:r w:rsidRPr="00EC6224">
        <w:rPr>
          <w:rFonts w:ascii="mylotus" w:hAnsi="mylotus"/>
          <w:sz w:val="34"/>
          <w:szCs w:val="34"/>
          <w:rtl/>
        </w:rPr>
        <w:t xml:space="preserve"> </w:t>
      </w:r>
      <w:r w:rsidRPr="00EC6224">
        <w:rPr>
          <w:rFonts w:ascii="mylotus" w:hAnsi="mylotus" w:hint="cs"/>
          <w:sz w:val="34"/>
          <w:szCs w:val="34"/>
          <w:rtl/>
        </w:rPr>
        <w:t>إلى</w:t>
      </w:r>
      <w:r w:rsidRPr="00EC6224">
        <w:rPr>
          <w:rFonts w:ascii="mylotus" w:hAnsi="mylotus"/>
          <w:sz w:val="34"/>
          <w:szCs w:val="34"/>
          <w:rtl/>
        </w:rPr>
        <w:t xml:space="preserve"> </w:t>
      </w:r>
      <w:r w:rsidRPr="00EC6224">
        <w:rPr>
          <w:rFonts w:ascii="mylotus" w:hAnsi="mylotus" w:hint="cs"/>
          <w:sz w:val="34"/>
          <w:szCs w:val="34"/>
          <w:rtl/>
        </w:rPr>
        <w:t>إعطاء</w:t>
      </w:r>
      <w:r w:rsidRPr="00EC6224">
        <w:rPr>
          <w:rFonts w:ascii="mylotus" w:hAnsi="mylotus"/>
          <w:sz w:val="34"/>
          <w:szCs w:val="34"/>
          <w:rtl/>
        </w:rPr>
        <w:t xml:space="preserve"> </w:t>
      </w:r>
      <w:r w:rsidRPr="00EC6224">
        <w:rPr>
          <w:rFonts w:ascii="mylotus" w:hAnsi="mylotus" w:hint="cs"/>
          <w:sz w:val="34"/>
          <w:szCs w:val="34"/>
          <w:rtl/>
        </w:rPr>
        <w:t>الأجير</w:t>
      </w:r>
      <w:r w:rsidRPr="00EC6224">
        <w:rPr>
          <w:rFonts w:ascii="mylotus" w:hAnsi="mylotus"/>
          <w:sz w:val="34"/>
          <w:szCs w:val="34"/>
          <w:rtl/>
        </w:rPr>
        <w:t xml:space="preserve"> </w:t>
      </w:r>
      <w:r w:rsidRPr="00EC6224">
        <w:rPr>
          <w:rFonts w:ascii="mylotus" w:hAnsi="mylotus" w:hint="cs"/>
          <w:sz w:val="34"/>
          <w:szCs w:val="34"/>
          <w:rtl/>
        </w:rPr>
        <w:t>للمُستأجر</w:t>
      </w:r>
      <w:r w:rsidRPr="00EC6224">
        <w:rPr>
          <w:rFonts w:ascii="mylotus" w:hAnsi="mylotus"/>
          <w:sz w:val="34"/>
          <w:szCs w:val="34"/>
          <w:rtl/>
        </w:rPr>
        <w:t xml:space="preserve"> </w:t>
      </w:r>
      <w:r w:rsidRPr="00EC6224">
        <w:rPr>
          <w:rFonts w:ascii="mylotus" w:hAnsi="mylotus" w:hint="cs"/>
          <w:sz w:val="34"/>
          <w:szCs w:val="34"/>
          <w:rtl/>
        </w:rPr>
        <w:t>سلطنةً</w:t>
      </w:r>
      <w:r w:rsidRPr="00EC6224">
        <w:rPr>
          <w:rFonts w:ascii="mylotus" w:hAnsi="mylotus"/>
          <w:sz w:val="34"/>
          <w:szCs w:val="34"/>
          <w:rtl/>
        </w:rPr>
        <w:t xml:space="preserve"> </w:t>
      </w:r>
      <w:r w:rsidRPr="00EC6224">
        <w:rPr>
          <w:rFonts w:ascii="mylotus" w:hAnsi="mylotus" w:hint="cs"/>
          <w:sz w:val="34"/>
          <w:szCs w:val="34"/>
          <w:rtl/>
        </w:rPr>
        <w:t>عليه</w:t>
      </w:r>
      <w:r w:rsidRPr="00EC6224">
        <w:rPr>
          <w:rFonts w:ascii="mylotus" w:hAnsi="mylotus"/>
          <w:sz w:val="34"/>
          <w:szCs w:val="34"/>
          <w:rtl/>
        </w:rPr>
        <w:t xml:space="preserve"> </w:t>
      </w:r>
      <w:r w:rsidRPr="00EC6224">
        <w:rPr>
          <w:rFonts w:ascii="mylotus" w:hAnsi="mylotus" w:hint="cs"/>
          <w:sz w:val="34"/>
          <w:szCs w:val="34"/>
          <w:rtl/>
        </w:rPr>
        <w:t>بالمطالبة</w:t>
      </w:r>
      <w:r w:rsidRPr="00EC6224">
        <w:rPr>
          <w:rFonts w:ascii="mylotus" w:hAnsi="mylotus"/>
          <w:sz w:val="34"/>
          <w:szCs w:val="34"/>
          <w:rtl/>
        </w:rPr>
        <w:t xml:space="preserve"> </w:t>
      </w:r>
      <w:r w:rsidRPr="00EC6224">
        <w:rPr>
          <w:rFonts w:ascii="mylotus" w:hAnsi="mylotus" w:hint="cs"/>
          <w:sz w:val="34"/>
          <w:szCs w:val="34"/>
          <w:rtl/>
        </w:rPr>
        <w:t>بالعمل</w:t>
      </w:r>
      <w:r w:rsidRPr="00EC6224">
        <w:rPr>
          <w:rFonts w:ascii="mylotus" w:hAnsi="mylotus"/>
          <w:sz w:val="34"/>
          <w:szCs w:val="34"/>
          <w:rtl/>
        </w:rPr>
        <w:t xml:space="preserve"> </w:t>
      </w:r>
      <w:r w:rsidRPr="00EC6224">
        <w:rPr>
          <w:rFonts w:ascii="mylotus" w:hAnsi="mylotus" w:hint="cs"/>
          <w:sz w:val="34"/>
          <w:szCs w:val="34"/>
          <w:rtl/>
        </w:rPr>
        <w:t>مقابل</w:t>
      </w:r>
      <w:r w:rsidRPr="00EC6224">
        <w:rPr>
          <w:rFonts w:ascii="mylotus" w:hAnsi="mylotus"/>
          <w:sz w:val="34"/>
          <w:szCs w:val="34"/>
          <w:rtl/>
        </w:rPr>
        <w:t xml:space="preserve"> </w:t>
      </w:r>
      <w:r w:rsidRPr="00EC6224">
        <w:rPr>
          <w:rFonts w:ascii="mylotus" w:hAnsi="mylotus" w:hint="cs"/>
          <w:sz w:val="34"/>
          <w:szCs w:val="34"/>
          <w:rtl/>
        </w:rPr>
        <w:t>الأُجرة،</w:t>
      </w:r>
      <w:r w:rsidRPr="00EC6224">
        <w:rPr>
          <w:rFonts w:ascii="mylotus" w:hAnsi="mylotus"/>
          <w:sz w:val="34"/>
          <w:szCs w:val="34"/>
          <w:rtl/>
        </w:rPr>
        <w:t xml:space="preserve"> </w:t>
      </w:r>
      <w:r w:rsidRPr="00EC6224">
        <w:rPr>
          <w:rFonts w:ascii="mylotus" w:hAnsi="mylotus" w:hint="cs"/>
          <w:sz w:val="34"/>
          <w:szCs w:val="34"/>
          <w:rtl/>
        </w:rPr>
        <w:t>وليس</w:t>
      </w:r>
      <w:r w:rsidRPr="00EC6224">
        <w:rPr>
          <w:rFonts w:ascii="mylotus" w:hAnsi="mylotus"/>
          <w:sz w:val="34"/>
          <w:szCs w:val="34"/>
          <w:rtl/>
        </w:rPr>
        <w:t xml:space="preserve"> </w:t>
      </w:r>
      <w:r w:rsidRPr="00EC6224">
        <w:rPr>
          <w:rFonts w:ascii="mylotus" w:hAnsi="mylotus" w:hint="cs"/>
          <w:sz w:val="34"/>
          <w:szCs w:val="34"/>
          <w:rtl/>
        </w:rPr>
        <w:t>في</w:t>
      </w:r>
      <w:r w:rsidRPr="00EC6224">
        <w:rPr>
          <w:rFonts w:ascii="mylotus" w:hAnsi="mylotus"/>
          <w:sz w:val="34"/>
          <w:szCs w:val="34"/>
          <w:rtl/>
        </w:rPr>
        <w:t xml:space="preserve"> </w:t>
      </w:r>
      <w:r w:rsidRPr="00EC6224">
        <w:rPr>
          <w:rFonts w:ascii="mylotus" w:hAnsi="mylotus" w:hint="cs"/>
          <w:sz w:val="34"/>
          <w:szCs w:val="34"/>
          <w:rtl/>
        </w:rPr>
        <w:t>البناءات</w:t>
      </w:r>
      <w:r w:rsidRPr="00EC6224">
        <w:rPr>
          <w:rFonts w:ascii="mylotus" w:hAnsi="mylotus"/>
          <w:sz w:val="34"/>
          <w:szCs w:val="34"/>
          <w:rtl/>
        </w:rPr>
        <w:t xml:space="preserve"> </w:t>
      </w:r>
      <w:r w:rsidRPr="00EC6224">
        <w:rPr>
          <w:rFonts w:ascii="mylotus" w:hAnsi="mylotus" w:hint="cs"/>
          <w:sz w:val="34"/>
          <w:szCs w:val="34"/>
          <w:rtl/>
        </w:rPr>
        <w:t>العقلائية</w:t>
      </w:r>
      <w:r w:rsidRPr="00EC6224">
        <w:rPr>
          <w:rFonts w:ascii="mylotus" w:hAnsi="mylotus"/>
          <w:sz w:val="34"/>
          <w:szCs w:val="34"/>
          <w:rtl/>
        </w:rPr>
        <w:t xml:space="preserve"> </w:t>
      </w:r>
      <w:r w:rsidRPr="00EC6224">
        <w:rPr>
          <w:rFonts w:ascii="mylotus" w:hAnsi="mylotus" w:hint="cs"/>
          <w:sz w:val="34"/>
          <w:szCs w:val="34"/>
          <w:rtl/>
        </w:rPr>
        <w:t>رجوع</w:t>
      </w:r>
      <w:r w:rsidRPr="00EC6224">
        <w:rPr>
          <w:rFonts w:ascii="mylotus" w:hAnsi="mylotus"/>
          <w:sz w:val="34"/>
          <w:szCs w:val="34"/>
          <w:rtl/>
        </w:rPr>
        <w:t xml:space="preserve"> </w:t>
      </w:r>
      <w:r w:rsidRPr="00EC6224">
        <w:rPr>
          <w:rFonts w:ascii="mylotus" w:hAnsi="mylotus" w:hint="cs"/>
          <w:sz w:val="34"/>
          <w:szCs w:val="34"/>
          <w:rtl/>
        </w:rPr>
        <w:t>الإجارة</w:t>
      </w:r>
      <w:r w:rsidRPr="00EC6224">
        <w:rPr>
          <w:rFonts w:ascii="mylotus" w:hAnsi="mylotus"/>
          <w:sz w:val="34"/>
          <w:szCs w:val="34"/>
          <w:rtl/>
        </w:rPr>
        <w:t xml:space="preserve"> </w:t>
      </w:r>
      <w:r w:rsidRPr="00EC6224">
        <w:rPr>
          <w:rFonts w:ascii="mylotus" w:hAnsi="mylotus" w:hint="cs"/>
          <w:sz w:val="34"/>
          <w:szCs w:val="34"/>
          <w:rtl/>
        </w:rPr>
        <w:t>إلى</w:t>
      </w:r>
      <w:r w:rsidRPr="00EC6224">
        <w:rPr>
          <w:rFonts w:ascii="mylotus" w:hAnsi="mylotus"/>
          <w:sz w:val="34"/>
          <w:szCs w:val="34"/>
          <w:rtl/>
        </w:rPr>
        <w:t xml:space="preserve"> </w:t>
      </w:r>
      <w:r w:rsidRPr="00EC6224">
        <w:rPr>
          <w:rFonts w:ascii="mylotus" w:hAnsi="mylotus" w:hint="cs"/>
          <w:sz w:val="34"/>
          <w:szCs w:val="34"/>
          <w:rtl/>
        </w:rPr>
        <w:t>باب</w:t>
      </w:r>
      <w:r w:rsidRPr="00EC6224">
        <w:rPr>
          <w:rFonts w:ascii="mylotus" w:hAnsi="mylotus"/>
          <w:sz w:val="34"/>
          <w:szCs w:val="34"/>
          <w:rtl/>
        </w:rPr>
        <w:t xml:space="preserve"> </w:t>
      </w:r>
      <w:r w:rsidRPr="00EC6224">
        <w:rPr>
          <w:rFonts w:ascii="mylotus" w:hAnsi="mylotus" w:hint="cs"/>
          <w:sz w:val="34"/>
          <w:szCs w:val="34"/>
          <w:rtl/>
        </w:rPr>
        <w:t>التض</w:t>
      </w:r>
      <w:r w:rsidRPr="00EC6224">
        <w:rPr>
          <w:rFonts w:ascii="mylotus" w:hAnsi="mylotus"/>
          <w:sz w:val="34"/>
          <w:szCs w:val="34"/>
          <w:rtl/>
        </w:rPr>
        <w:t>مين</w:t>
      </w:r>
      <w:r w:rsidRPr="00EC6224">
        <w:rPr>
          <w:rFonts w:ascii="mylotus" w:hAnsi="mylotus"/>
          <w:sz w:val="34"/>
          <w:szCs w:val="34"/>
        </w:rPr>
        <w:t>.</w:t>
      </w:r>
    </w:p>
    <w:p w14:paraId="6773083E" w14:textId="77777777" w:rsidR="00F66A22" w:rsidRDefault="00F66A22" w:rsidP="00122B70">
      <w:pPr>
        <w:pStyle w:val="a"/>
        <w:bidi/>
        <w:spacing w:line="216" w:lineRule="auto"/>
        <w:jc w:val="left"/>
        <w:rPr>
          <w:rFonts w:ascii="mylotus" w:hAnsi="mylotus"/>
          <w:sz w:val="34"/>
          <w:szCs w:val="34"/>
          <w:rtl/>
        </w:rPr>
      </w:pPr>
      <w:r w:rsidRPr="00EB4AD9">
        <w:rPr>
          <w:rFonts w:ascii="mylotus" w:hAnsi="mylotus"/>
          <w:b/>
          <w:bCs/>
          <w:sz w:val="34"/>
          <w:szCs w:val="34"/>
          <w:rtl/>
        </w:rPr>
        <w:t>وثانياً:</w:t>
      </w:r>
      <w:r w:rsidRPr="00EC6224">
        <w:rPr>
          <w:rFonts w:ascii="mylotus" w:hAnsi="mylotus"/>
          <w:sz w:val="34"/>
          <w:szCs w:val="34"/>
          <w:rtl/>
        </w:rPr>
        <w:t xml:space="preserve"> لو فرض أنّ الإجارة مِن باب التمليك - كما هو المشهور -، فإنّ صحّة الإجارة لا تتوقّف على اتصاف العمل بكونه مالاً في رتبةٍ سابقةٍ على الإجارة كي يلزم محذور الدور؛ وإنّما يكفي في صحّة الإجارة سلطنةُ الأجير شرعاً على تمليك عمله، فمتى ما كان الأجير مسلطاً شرعاً وغير محجورٍ على تمليك عمله للغير صحّت الإجارة، وإن</w:t>
      </w:r>
      <w:r>
        <w:rPr>
          <w:rFonts w:ascii="mylotus" w:hAnsi="mylotus" w:hint="cs"/>
          <w:sz w:val="34"/>
          <w:szCs w:val="34"/>
          <w:rtl/>
        </w:rPr>
        <w:t>ْ</w:t>
      </w:r>
      <w:r w:rsidRPr="00EC6224">
        <w:rPr>
          <w:rFonts w:ascii="mylotus" w:hAnsi="mylotus"/>
          <w:sz w:val="34"/>
          <w:szCs w:val="34"/>
          <w:rtl/>
        </w:rPr>
        <w:t xml:space="preserve"> كان المختار أن</w:t>
      </w:r>
      <w:r>
        <w:rPr>
          <w:rFonts w:ascii="mylotus" w:hAnsi="mylotus" w:hint="cs"/>
          <w:sz w:val="34"/>
          <w:szCs w:val="34"/>
          <w:rtl/>
        </w:rPr>
        <w:t>ّ</w:t>
      </w:r>
      <w:r w:rsidRPr="00EC6224">
        <w:rPr>
          <w:rFonts w:ascii="mylotus" w:hAnsi="mylotus"/>
          <w:sz w:val="34"/>
          <w:szCs w:val="34"/>
          <w:rtl/>
        </w:rPr>
        <w:t xml:space="preserve"> منافع الحر</w:t>
      </w:r>
      <w:r>
        <w:rPr>
          <w:rFonts w:ascii="mylotus" w:hAnsi="mylotus" w:hint="cs"/>
          <w:sz w:val="34"/>
          <w:szCs w:val="34"/>
          <w:rtl/>
        </w:rPr>
        <w:t>ّ</w:t>
      </w:r>
      <w:r w:rsidRPr="00EC6224">
        <w:rPr>
          <w:rFonts w:ascii="mylotus" w:hAnsi="mylotus"/>
          <w:sz w:val="34"/>
          <w:szCs w:val="34"/>
          <w:rtl/>
        </w:rPr>
        <w:t xml:space="preserve"> القادر على العمل أموال ق</w:t>
      </w:r>
      <w:r>
        <w:rPr>
          <w:rFonts w:ascii="mylotus" w:hAnsi="mylotus" w:hint="cs"/>
          <w:sz w:val="34"/>
          <w:szCs w:val="34"/>
          <w:rtl/>
        </w:rPr>
        <w:t>َ</w:t>
      </w:r>
      <w:r w:rsidRPr="00EC6224">
        <w:rPr>
          <w:rFonts w:ascii="mylotus" w:hAnsi="mylotus"/>
          <w:sz w:val="34"/>
          <w:szCs w:val="34"/>
          <w:rtl/>
        </w:rPr>
        <w:t>بل المعاوضة عليها، وإن</w:t>
      </w:r>
      <w:r>
        <w:rPr>
          <w:rFonts w:ascii="mylotus" w:hAnsi="mylotus" w:hint="cs"/>
          <w:sz w:val="34"/>
          <w:szCs w:val="34"/>
          <w:rtl/>
        </w:rPr>
        <w:t>ْ</w:t>
      </w:r>
      <w:r w:rsidRPr="00EC6224">
        <w:rPr>
          <w:rFonts w:ascii="mylotus" w:hAnsi="mylotus"/>
          <w:sz w:val="34"/>
          <w:szCs w:val="34"/>
          <w:rtl/>
        </w:rPr>
        <w:t xml:space="preserve"> ل</w:t>
      </w:r>
      <w:r>
        <w:rPr>
          <w:rFonts w:ascii="mylotus" w:hAnsi="mylotus" w:hint="cs"/>
          <w:sz w:val="34"/>
          <w:szCs w:val="34"/>
          <w:rtl/>
        </w:rPr>
        <w:t>َ</w:t>
      </w:r>
      <w:r w:rsidRPr="00EC6224">
        <w:rPr>
          <w:rFonts w:ascii="mylotus" w:hAnsi="mylotus"/>
          <w:sz w:val="34"/>
          <w:szCs w:val="34"/>
          <w:rtl/>
        </w:rPr>
        <w:t>م</w:t>
      </w:r>
      <w:r>
        <w:rPr>
          <w:rFonts w:ascii="mylotus" w:hAnsi="mylotus" w:hint="cs"/>
          <w:sz w:val="34"/>
          <w:szCs w:val="34"/>
          <w:rtl/>
        </w:rPr>
        <w:t>ْ</w:t>
      </w:r>
      <w:r w:rsidRPr="00EC6224">
        <w:rPr>
          <w:rFonts w:ascii="mylotus" w:hAnsi="mylotus"/>
          <w:sz w:val="34"/>
          <w:szCs w:val="34"/>
          <w:rtl/>
        </w:rPr>
        <w:t xml:space="preserve"> تتوق</w:t>
      </w:r>
      <w:r>
        <w:rPr>
          <w:rFonts w:ascii="mylotus" w:hAnsi="mylotus" w:hint="cs"/>
          <w:sz w:val="34"/>
          <w:szCs w:val="34"/>
          <w:rtl/>
        </w:rPr>
        <w:t>ع</w:t>
      </w:r>
      <w:r w:rsidRPr="00EC6224">
        <w:rPr>
          <w:rFonts w:ascii="mylotus" w:hAnsi="mylotus"/>
          <w:sz w:val="34"/>
          <w:szCs w:val="34"/>
          <w:rtl/>
        </w:rPr>
        <w:t xml:space="preserve"> صح</w:t>
      </w:r>
      <w:r>
        <w:rPr>
          <w:rFonts w:ascii="mylotus" w:hAnsi="mylotus" w:hint="cs"/>
          <w:sz w:val="34"/>
          <w:szCs w:val="34"/>
          <w:rtl/>
        </w:rPr>
        <w:t>ّ</w:t>
      </w:r>
      <w:r w:rsidRPr="00EC6224">
        <w:rPr>
          <w:rFonts w:ascii="mylotus" w:hAnsi="mylotus"/>
          <w:sz w:val="34"/>
          <w:szCs w:val="34"/>
          <w:rtl/>
        </w:rPr>
        <w:t>ة المعاوضة على ذلك.</w:t>
      </w:r>
    </w:p>
    <w:p w14:paraId="43101E6C" w14:textId="77777777" w:rsidR="00F66A22" w:rsidRDefault="00F66A22" w:rsidP="00122B70">
      <w:pPr>
        <w:pStyle w:val="a"/>
        <w:bidi/>
        <w:spacing w:line="216" w:lineRule="auto"/>
        <w:jc w:val="left"/>
        <w:rPr>
          <w:rFonts w:ascii="mylotus" w:hAnsi="mylotus"/>
          <w:b/>
          <w:bCs/>
          <w:sz w:val="34"/>
          <w:szCs w:val="34"/>
          <w:rtl/>
        </w:rPr>
      </w:pPr>
    </w:p>
    <w:p w14:paraId="5C6BDE4A" w14:textId="77777777" w:rsidR="00F66A22" w:rsidRDefault="00F66A22" w:rsidP="00122B70">
      <w:pPr>
        <w:pStyle w:val="a"/>
        <w:bidi/>
        <w:spacing w:line="216" w:lineRule="auto"/>
        <w:jc w:val="left"/>
        <w:rPr>
          <w:rFonts w:ascii="mylotus" w:hAnsi="mylotus"/>
          <w:b/>
          <w:bCs/>
          <w:sz w:val="34"/>
          <w:szCs w:val="34"/>
        </w:rPr>
      </w:pPr>
      <w:r w:rsidRPr="005E03C1">
        <w:rPr>
          <w:rFonts w:ascii="mylotus" w:hAnsi="mylotus"/>
          <w:b/>
          <w:bCs/>
          <w:sz w:val="34"/>
          <w:szCs w:val="34"/>
          <w:rtl/>
        </w:rPr>
        <w:t>والحمد لله رب العالمين</w:t>
      </w:r>
    </w:p>
    <w:p w14:paraId="079A268F" w14:textId="77777777" w:rsidR="00156B3A" w:rsidRDefault="00156B3A" w:rsidP="00122B70">
      <w:pPr>
        <w:pStyle w:val="a"/>
        <w:bidi/>
        <w:spacing w:line="216" w:lineRule="auto"/>
        <w:jc w:val="left"/>
        <w:rPr>
          <w:rFonts w:ascii="mylotus" w:hAnsi="mylotus"/>
          <w:b/>
          <w:bCs/>
          <w:sz w:val="34"/>
          <w:szCs w:val="34"/>
        </w:rPr>
      </w:pPr>
    </w:p>
    <w:p w14:paraId="25401423" w14:textId="008F792D" w:rsidR="00156B3A" w:rsidRDefault="00122B70" w:rsidP="00122B70">
      <w:pPr>
        <w:pStyle w:val="a"/>
        <w:bidi/>
        <w:spacing w:line="216" w:lineRule="auto"/>
        <w:jc w:val="left"/>
        <w:outlineLvl w:val="2"/>
        <w:rPr>
          <w:rFonts w:ascii="mylotus" w:hAnsi="mylotus"/>
          <w:b/>
          <w:bCs/>
          <w:sz w:val="34"/>
          <w:szCs w:val="34"/>
        </w:rPr>
      </w:pPr>
      <w:r>
        <w:rPr>
          <w:rFonts w:ascii="mylotus" w:hAnsi="mylotus"/>
          <w:b/>
          <w:bCs/>
          <w:sz w:val="34"/>
          <w:szCs w:val="34"/>
        </w:rPr>
        <w:t>320</w:t>
      </w:r>
    </w:p>
    <w:p w14:paraId="00AA946A" w14:textId="77777777" w:rsidR="00122B70" w:rsidRPr="00122B70" w:rsidRDefault="00122B70" w:rsidP="00122B70">
      <w:pPr>
        <w:pStyle w:val="a"/>
        <w:bidi/>
        <w:jc w:val="left"/>
        <w:rPr>
          <w:rFonts w:ascii="mylotus" w:hAnsi="mylotus"/>
          <w:b/>
          <w:bCs/>
          <w:sz w:val="34"/>
          <w:szCs w:val="34"/>
        </w:rPr>
      </w:pPr>
      <w:r w:rsidRPr="00122B70">
        <w:rPr>
          <w:rFonts w:ascii="mylotus" w:hAnsi="mylotus"/>
          <w:b/>
          <w:bCs/>
          <w:sz w:val="34"/>
          <w:szCs w:val="34"/>
          <w:rtl/>
        </w:rPr>
        <w:t>بسم الله الرحمن الرحيم</w:t>
      </w:r>
    </w:p>
    <w:p w14:paraId="2B0C521E"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والصلاة والسلام على أشرف الأنبياء والمرسلين، محمد وآله الطيبين الطاهرين</w:t>
      </w:r>
    </w:p>
    <w:p w14:paraId="12B717CD"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واللعن الدائم على أعدائهم أجمعين إلى قيام يوم الدين</w:t>
      </w:r>
    </w:p>
    <w:p w14:paraId="1518DCB8" w14:textId="77777777" w:rsidR="00122B70" w:rsidRPr="00122B70" w:rsidRDefault="00122B70" w:rsidP="00122B70">
      <w:pPr>
        <w:pStyle w:val="a"/>
        <w:bidi/>
        <w:jc w:val="left"/>
        <w:rPr>
          <w:rFonts w:ascii="mylotus" w:hAnsi="mylotus"/>
          <w:b/>
          <w:bCs/>
          <w:sz w:val="34"/>
          <w:szCs w:val="34"/>
          <w:rtl/>
          <w:lang w:bidi="ar-BH"/>
        </w:rPr>
      </w:pPr>
    </w:p>
    <w:p w14:paraId="75D83461"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 xml:space="preserve">والخلاصة: أنّ منافع الحرّ القادر على العمل </w:t>
      </w:r>
      <w:r w:rsidRPr="00122B70">
        <w:rPr>
          <w:rFonts w:ascii="mylotus" w:hAnsi="mylotus"/>
          <w:b/>
          <w:bCs/>
          <w:sz w:val="34"/>
          <w:szCs w:val="34"/>
          <w:highlight w:val="yellow"/>
          <w:rtl/>
        </w:rPr>
        <w:t>أموالٌ بالنظر العرفي</w:t>
      </w:r>
      <w:r w:rsidRPr="00122B70">
        <w:rPr>
          <w:rFonts w:ascii="mylotus" w:hAnsi="mylotus"/>
          <w:b/>
          <w:bCs/>
          <w:sz w:val="34"/>
          <w:szCs w:val="34"/>
          <w:rtl/>
        </w:rPr>
        <w:t xml:space="preserve"> كمنافع الأعيان، وإنْ لَمْ تقع المعاوضة عليها بالفعل؛ لتنافس العقلاء والرغبة النوعية فيها.</w:t>
      </w:r>
    </w:p>
    <w:p w14:paraId="025E51E9"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أو فقُل: إنّ عنوان المالية منتزعٌ مِن كونها في معرض المعاوضة عليها للرغبة العقلائية النوعية المتعلقة بها.</w:t>
      </w:r>
    </w:p>
    <w:p w14:paraId="7778F949"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ولكن لو قُلنا: بأنّ اتصاف المنافع بالمالية متوقّف على المعاوضة عليها بالفعل، أو كونها مضمونة عند إتلافها.</w:t>
      </w:r>
    </w:p>
    <w:p w14:paraId="770054B6"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وقُلنا: بأنّ صحّة المعاوضة على أيِّ شيءٍ فرعُ كونه مالاً، فهل يترتب على ذلك محذور الدور كما ذكره السيد الشاهرودي الكبير (قدس سره الشريف) في كتاب الحج أم لا؟</w:t>
      </w:r>
    </w:p>
    <w:p w14:paraId="62BED050"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lastRenderedPageBreak/>
        <w:t xml:space="preserve">والصحيح: أنّ محذور الدور غيرُ واردٍ، حتى لو قلنا بأنّ اتصاف المنافع بالمالية موقوفٌ على وقوع المعاوضة عليها أو </w:t>
      </w:r>
      <w:proofErr w:type="gramStart"/>
      <w:r w:rsidRPr="00122B70">
        <w:rPr>
          <w:rFonts w:ascii="mylotus" w:hAnsi="mylotus"/>
          <w:b/>
          <w:bCs/>
          <w:sz w:val="34"/>
          <w:szCs w:val="34"/>
          <w:rtl/>
        </w:rPr>
        <w:t>الضمان</w:t>
      </w:r>
      <w:r w:rsidRPr="00122B70">
        <w:rPr>
          <w:rFonts w:ascii="mylotus" w:hAnsi="mylotus"/>
          <w:b/>
          <w:bCs/>
          <w:sz w:val="34"/>
          <w:szCs w:val="34"/>
        </w:rPr>
        <w:t xml:space="preserve"> .</w:t>
      </w:r>
      <w:proofErr w:type="gramEnd"/>
    </w:p>
    <w:p w14:paraId="4D4A7330"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والوجهُ في ذلك: أنّه يكفي في دفع محذور الدور عقلاً اختلافُ أحد التوقفين عن الآخر ولو لاختلاف الملاك أو الوصف</w:t>
      </w:r>
      <w:r w:rsidRPr="00122B70">
        <w:rPr>
          <w:rFonts w:ascii="mylotus" w:hAnsi="mylotus"/>
          <w:b/>
          <w:bCs/>
          <w:sz w:val="34"/>
          <w:szCs w:val="34"/>
        </w:rPr>
        <w:t>.</w:t>
      </w:r>
    </w:p>
    <w:p w14:paraId="3C31E862"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وتوضيح ذلك بذكر صورتين مِن صور اختلاف الطرفين - المتوقِّف والمتوقَّف عليه – وهما:</w:t>
      </w:r>
    </w:p>
    <w:p w14:paraId="61ACB950"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1-اختلاف الملاك. 2-اختلاف الصفة.</w:t>
      </w:r>
    </w:p>
    <w:p w14:paraId="3A4E175E"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الصورةُ الأُولى: اختلاف التوقف باختلاف المِلاك.</w:t>
      </w:r>
    </w:p>
    <w:p w14:paraId="60E33ACD"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ويمكنُ أنْ يُقال في تقريبه: إنّ موضوع ضمان الشيء عند إتلافه كونه مالاً، وكونه مالاً يتوقّف على أنْ يكون مضموناً في فرض إتلافه</w:t>
      </w:r>
      <w:r w:rsidRPr="00122B70">
        <w:rPr>
          <w:rFonts w:ascii="mylotus" w:hAnsi="mylotus"/>
          <w:b/>
          <w:bCs/>
          <w:sz w:val="34"/>
          <w:szCs w:val="34"/>
        </w:rPr>
        <w:t>.</w:t>
      </w:r>
    </w:p>
    <w:p w14:paraId="0853B985"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 xml:space="preserve">لكن ذلك </w:t>
      </w:r>
      <w:proofErr w:type="spellStart"/>
      <w:r w:rsidRPr="00122B70">
        <w:rPr>
          <w:rFonts w:ascii="mylotus" w:hAnsi="mylotus"/>
          <w:b/>
          <w:bCs/>
          <w:sz w:val="34"/>
          <w:szCs w:val="34"/>
          <w:rtl/>
        </w:rPr>
        <w:t>لايؤدي</w:t>
      </w:r>
      <w:proofErr w:type="spellEnd"/>
      <w:r w:rsidRPr="00122B70">
        <w:rPr>
          <w:rFonts w:ascii="mylotus" w:hAnsi="mylotus"/>
          <w:b/>
          <w:bCs/>
          <w:sz w:val="34"/>
          <w:szCs w:val="34"/>
          <w:rtl/>
        </w:rPr>
        <w:t xml:space="preserve"> لمحذور الدور؛ إذ يكفي في دفعه عقلاً اختلافُ مِلاك التوقّف في كُلٍّ منهما، فالمِلاك في توقّف فعلية الضمان على المالية مِن باب توقّف الحكم على موضوعه هو: أنّ توازن المصالح العامّة لدى البناء العقلائي تقتضي أنْ لا ضمان إلّا للأموال؛ وذلك بأنْ يكون ما هو المضمون عند إتلافه هو نفس ما هو موطن الرغبة العقلائية عند وجوده.</w:t>
      </w:r>
    </w:p>
    <w:p w14:paraId="0F00DE23"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واتصافُ الشيء بكونه مالاً متوقّفٌ على أنْ يكون مضموناً عند إتلافه بمناط اللغوية، بناءً على أنّه لولا كونه مضموناً عند إتلافه لكان اتصافه بالمالية لغواً</w:t>
      </w:r>
      <w:r w:rsidRPr="00122B70">
        <w:rPr>
          <w:rFonts w:ascii="mylotus" w:hAnsi="mylotus"/>
          <w:b/>
          <w:bCs/>
          <w:sz w:val="34"/>
          <w:szCs w:val="34"/>
        </w:rPr>
        <w:t>.</w:t>
      </w:r>
    </w:p>
    <w:p w14:paraId="2F56AEBF"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وبذلك يكون قد اختلف مِلاك التوقّف مِن الجانبين، الذي اقتضى اختلاف المتوقِّف عن المتوقَّف عليه عقلاً.</w:t>
      </w:r>
    </w:p>
    <w:p w14:paraId="2B7A9A8C"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فإنّ مرجعه إلى: أنّ انتفاء لغوية اتصاف منافع الأعيان بالمالية متفرعٌ على ضمانها عند الإتلاف، فالمتوقّف في الواقع ليس هو المالية وإنّما هو انتفاء اللغوية، لرجوع الحيثية التعليلية للحيثية التقييدية في الأحكام العقلية العملية، وضمان المنافع متوقّفٌ على بناء العرف بالفعل على ماليتها في نفسها لأيِّ سببٍ مِن الأسباب، لا على المالية الثابتة بمناط انتفاء اللغوية.</w:t>
      </w:r>
    </w:p>
    <w:p w14:paraId="1987B970"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 xml:space="preserve">أو فقُل: إنّ المتوقِّف على الضمان حصة خاصّة مِن المالية وهي المالية المنوطة باللغوية، والمتوقَّف عليه طبيعي المالية في نفسها، </w:t>
      </w:r>
      <w:proofErr w:type="gramStart"/>
      <w:r w:rsidRPr="00122B70">
        <w:rPr>
          <w:rFonts w:ascii="mylotus" w:hAnsi="mylotus"/>
          <w:b/>
          <w:bCs/>
          <w:sz w:val="34"/>
          <w:szCs w:val="34"/>
          <w:rtl/>
        </w:rPr>
        <w:t>ومع  اختلاف</w:t>
      </w:r>
      <w:proofErr w:type="gramEnd"/>
      <w:r w:rsidRPr="00122B70">
        <w:rPr>
          <w:rFonts w:ascii="mylotus" w:hAnsi="mylotus"/>
          <w:b/>
          <w:bCs/>
          <w:sz w:val="34"/>
          <w:szCs w:val="34"/>
          <w:rtl/>
        </w:rPr>
        <w:t xml:space="preserve"> المتوقِّف عن المتوقَّف عليه يندفع محذورُ الدور</w:t>
      </w:r>
      <w:r w:rsidRPr="00122B70">
        <w:rPr>
          <w:rFonts w:ascii="mylotus" w:hAnsi="mylotus"/>
          <w:b/>
          <w:bCs/>
          <w:sz w:val="34"/>
          <w:szCs w:val="34"/>
        </w:rPr>
        <w:t>.</w:t>
      </w:r>
    </w:p>
    <w:p w14:paraId="06E1C998"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الصورةُ الثانية: اختلاف التوقف باختلاف الصفة.</w:t>
      </w:r>
    </w:p>
    <w:p w14:paraId="1EFF7FC6"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ويمكنُ تقريبه بأنْ يُقال: إنّ اتصاف المنافع بالمالية في نفسه مشروطٌ بشرطٍ متأخرٍ وهو وقوع المعاوضة الصحيحة عليه في ظرفه.</w:t>
      </w:r>
    </w:p>
    <w:p w14:paraId="4AD58135"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 xml:space="preserve">أو فقُل: طبيعي المالية متوقِّف على وقوع المعاوضة الصحيحة، وفعلية صحّة المعاوضة متوقّفة لا على طبيعي المالية في </w:t>
      </w:r>
      <w:proofErr w:type="gramStart"/>
      <w:r w:rsidRPr="00122B70">
        <w:rPr>
          <w:rFonts w:ascii="mylotus" w:hAnsi="mylotus"/>
          <w:b/>
          <w:bCs/>
          <w:sz w:val="34"/>
          <w:szCs w:val="34"/>
          <w:rtl/>
        </w:rPr>
        <w:t>نفسها</w:t>
      </w:r>
      <w:proofErr w:type="gramEnd"/>
      <w:r w:rsidRPr="00122B70">
        <w:rPr>
          <w:rFonts w:ascii="mylotus" w:hAnsi="mylotus"/>
          <w:b/>
          <w:bCs/>
          <w:sz w:val="34"/>
          <w:szCs w:val="34"/>
          <w:rtl/>
        </w:rPr>
        <w:t xml:space="preserve"> بل على حصة منها وهي المالية المتصفة بكونها موضوعاً للمعاملة، وبذلك يندفعُ محذورُ الدور؛ لاختلاف الطرفين، فالأوّل عبارةٌ عن كون المتوقِّف "طبيعي المالية"، والثاني عبارةٌ عن كون المتوقَّف </w:t>
      </w:r>
      <w:r w:rsidRPr="00122B70">
        <w:rPr>
          <w:rFonts w:ascii="mylotus" w:hAnsi="mylotus"/>
          <w:b/>
          <w:bCs/>
          <w:sz w:val="34"/>
          <w:szCs w:val="34"/>
          <w:rtl/>
        </w:rPr>
        <w:lastRenderedPageBreak/>
        <w:t xml:space="preserve">عليه لا </w:t>
      </w:r>
      <w:proofErr w:type="gramStart"/>
      <w:r w:rsidRPr="00122B70">
        <w:rPr>
          <w:rFonts w:ascii="mylotus" w:hAnsi="mylotus"/>
          <w:b/>
          <w:bCs/>
          <w:sz w:val="34"/>
          <w:szCs w:val="34"/>
          <w:rtl/>
        </w:rPr>
        <w:t>طبيعي  المالية</w:t>
      </w:r>
      <w:proofErr w:type="gramEnd"/>
      <w:r w:rsidRPr="00122B70">
        <w:rPr>
          <w:rFonts w:ascii="mylotus" w:hAnsi="mylotus"/>
          <w:b/>
          <w:bCs/>
          <w:sz w:val="34"/>
          <w:szCs w:val="34"/>
          <w:rtl/>
        </w:rPr>
        <w:t xml:space="preserve"> بل "المالية الخاصّة"، أي: المالية ولو بوقوع المعاوضة الصحيحة عليها</w:t>
      </w:r>
      <w:r w:rsidRPr="00122B70">
        <w:rPr>
          <w:rFonts w:ascii="mylotus" w:hAnsi="mylotus"/>
          <w:b/>
          <w:bCs/>
          <w:sz w:val="34"/>
          <w:szCs w:val="34"/>
        </w:rPr>
        <w:t>.</w:t>
      </w:r>
    </w:p>
    <w:p w14:paraId="7BCAA385"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هذا إنْ قُلنا: بأنّه يكفي في صحّة المعاوضة كون متعلقها مالاً ولو بالمعاوضة عليه، وإنْ لَمْ يكن مالاً في رتبةٍ سابقةٍ.</w:t>
      </w:r>
    </w:p>
    <w:p w14:paraId="27F01A48"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وأمّا إذا قلنا: بأنّه يعتبر في صحّة المعاوضة كون المتعلق مالاً في نفسه في رتبةٍ سابقةٍ فلا يردُ محذورُ الدور أيضاً، حيثُ إنّ المتوقِّف في الطرف الأول هو "طبيعي المالية"، والمتوقَّف عليه تعلق المعاوضة القابلة للصحّة بِهِ – أي: المعاملة المستجمعة لشرائط الصحّة في نفسها - مِن دون دخل حكم الشارع بالصحّة الفعلية في المتوقَّف عليه، والمتوقَّف في الطرف الثاني هو حكم الشارع بصحّة المعاملة بالفعل، والمتوقف عليه هو "طبيعي  المالية في نفسها" لا المالية الناشئة عنه، وبِهِ يندفعُ محذورُ الدور أيضاً؛ فإنّ النكتة في امتناع الدور هو علية الشيء لنفسه، ولا تشمل هذه النكتة فرض توقّف فعلية الحكم على ما يتوقّف على ذات الموضوع للحكم، لا الموضوع المساوق للحكم في الفعلية.</w:t>
      </w:r>
    </w:p>
    <w:p w14:paraId="412D0476"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والنتيجة: أنّه يكفي في دفع محذور الدور في المقام اختلاف أحد التوقفين عن الآخر إمّا في الملاك أو في الوصف</w:t>
      </w:r>
      <w:r w:rsidRPr="00122B70">
        <w:rPr>
          <w:rFonts w:ascii="mylotus" w:hAnsi="mylotus"/>
          <w:b/>
          <w:bCs/>
          <w:sz w:val="34"/>
          <w:szCs w:val="34"/>
        </w:rPr>
        <w:t>.</w:t>
      </w:r>
    </w:p>
    <w:p w14:paraId="77110791"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فما ذكره السيد الشاهرودي الكبير (قدس سره) مِن أنّه لو قُلنا بتوقّف صحّة المعاملة على المالية، وتوقّف المالية على وقوع المعاوضة الصحيحة ورد محذور الدور، غيرُ تامٍ</w:t>
      </w:r>
      <w:r w:rsidRPr="00122B70">
        <w:rPr>
          <w:rFonts w:ascii="mylotus" w:hAnsi="mylotus"/>
          <w:b/>
          <w:bCs/>
          <w:sz w:val="34"/>
          <w:szCs w:val="34"/>
        </w:rPr>
        <w:t>.</w:t>
      </w:r>
    </w:p>
    <w:p w14:paraId="635C4AAC"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هذا تمامُ الكلام في الجهة الثانية وهي اتصاف المنافع بأنّها أموالٌ بما سبق بيانه</w:t>
      </w:r>
      <w:r w:rsidRPr="00122B70">
        <w:rPr>
          <w:rFonts w:ascii="mylotus" w:hAnsi="mylotus"/>
          <w:b/>
          <w:bCs/>
          <w:sz w:val="34"/>
          <w:szCs w:val="34"/>
        </w:rPr>
        <w:t>.</w:t>
      </w:r>
    </w:p>
    <w:p w14:paraId="66A99235"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الجهةُ الثالثة: بناءً على أنّ موضوع الضمان المِلك أو المال على الخلاف السابق، فهل المناطُ في الضمان منحصرٌ في اليد والإتلاف أو يوجدُ سببٌ ثالثٌ؟</w:t>
      </w:r>
      <w:r w:rsidRPr="00122B70">
        <w:rPr>
          <w:rFonts w:ascii="mylotus" w:hAnsi="mylotus"/>
          <w:b/>
          <w:bCs/>
          <w:sz w:val="34"/>
          <w:szCs w:val="34"/>
        </w:rPr>
        <w:t xml:space="preserve"> </w:t>
      </w:r>
    </w:p>
    <w:p w14:paraId="125AE069"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حيثُ يظهر مِن كلمات سيدنا الخوئي (قدس سره الشريف) في كتاب الإجارة</w:t>
      </w:r>
      <w:r w:rsidRPr="00122B70">
        <w:rPr>
          <w:rFonts w:ascii="mylotus" w:hAnsi="mylotus"/>
          <w:b/>
          <w:bCs/>
          <w:sz w:val="34"/>
          <w:szCs w:val="34"/>
          <w:vertAlign w:val="superscript"/>
          <w:rtl/>
        </w:rPr>
        <w:footnoteReference w:id="197"/>
      </w:r>
      <w:r w:rsidRPr="00122B70">
        <w:rPr>
          <w:rFonts w:ascii="mylotus" w:hAnsi="mylotus"/>
          <w:b/>
          <w:bCs/>
          <w:sz w:val="34"/>
          <w:szCs w:val="34"/>
          <w:rtl/>
        </w:rPr>
        <w:t xml:space="preserve"> أنّ سبب الضمان أحد الأمرين: إمّا اليد أو الإتلاف</w:t>
      </w:r>
      <w:r w:rsidRPr="00122B70">
        <w:rPr>
          <w:rFonts w:ascii="mylotus" w:hAnsi="mylotus"/>
          <w:b/>
          <w:bCs/>
          <w:sz w:val="34"/>
          <w:szCs w:val="34"/>
        </w:rPr>
        <w:t>.</w:t>
      </w:r>
    </w:p>
    <w:p w14:paraId="435FD7DD"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والصحيح: عدم انحصار منشأ الضمان فيهما – أي: اليد والإتلاف -.</w:t>
      </w:r>
    </w:p>
    <w:p w14:paraId="4EE90A35"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وبيانُ ذلك: أنّ مناشئ الضمان أحد أمورٍ ثلاثة</w:t>
      </w:r>
      <w:r w:rsidRPr="00122B70">
        <w:rPr>
          <w:rFonts w:ascii="mylotus" w:hAnsi="mylotus"/>
          <w:b/>
          <w:bCs/>
          <w:sz w:val="34"/>
          <w:szCs w:val="34"/>
        </w:rPr>
        <w:t>:</w:t>
      </w:r>
    </w:p>
    <w:p w14:paraId="5D3973AF"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المنشأُ الأوّل: قاعدة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xml:space="preserve"> وَلَا ضِرَارَ".</w:t>
      </w:r>
    </w:p>
    <w:p w14:paraId="0017F804"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المنشأُ الثاني: الحيلولة</w:t>
      </w:r>
      <w:r w:rsidRPr="00122B70">
        <w:rPr>
          <w:rFonts w:ascii="mylotus" w:hAnsi="mylotus"/>
          <w:b/>
          <w:bCs/>
          <w:sz w:val="34"/>
          <w:szCs w:val="34"/>
        </w:rPr>
        <w:t>.</w:t>
      </w:r>
    </w:p>
    <w:p w14:paraId="32925319"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المنشأُ الثالث: البناءُ العقلائي</w:t>
      </w:r>
      <w:r w:rsidRPr="00122B70">
        <w:rPr>
          <w:rFonts w:ascii="mylotus" w:hAnsi="mylotus"/>
          <w:b/>
          <w:bCs/>
          <w:sz w:val="34"/>
          <w:szCs w:val="34"/>
        </w:rPr>
        <w:t>.</w:t>
      </w:r>
    </w:p>
    <w:p w14:paraId="328AAEEA"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المنشأُ الأوّل: قاعدة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xml:space="preserve"> وَلَا ضِرَارَ".</w:t>
      </w:r>
    </w:p>
    <w:p w14:paraId="0D651D67"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 xml:space="preserve">المستندة للمعتبرة في الكافي: (عِدَّةٌ مِنْ أَصْحَابِنَا، عَنْ أَحْمَدَ بْنِ مُحَمَّدِ بْنِ خَالِدٍ، عَنْ أَبِيهِ، عَنْ عَبْدِ اللَّهِ بْنِ بُكَيْرٍ، عَنْ زُرَارَةَ :عَنْ أَبِي جَعْفَرٍ عَلَيْهِ السَّلَامُ قَالَ: إِنَّ سَمُرَةَ بْنَ جُنْدَبٍ كَانَ لَهُ عَذْقٌ فِي حَائِطٍ لِرَجُلٍ مِنَ الْأَنْصَارِ، وَكَانَ مَنْزِلُ الْأَنْصَارِيِّ بِبَابِ الْبُسْتَانِ، </w:t>
      </w:r>
      <w:r w:rsidRPr="00122B70">
        <w:rPr>
          <w:rFonts w:ascii="mylotus" w:hAnsi="mylotus"/>
          <w:b/>
          <w:bCs/>
          <w:sz w:val="34"/>
          <w:szCs w:val="34"/>
          <w:rtl/>
        </w:rPr>
        <w:lastRenderedPageBreak/>
        <w:t xml:space="preserve">وَكَانَ يَمُرُّ بِهِ إِلى نَخْلَتِهِ وَلَا يَسْتَأْذِنُ، فَكَلَّمَهُ الْأَنْصَارِيُّ أَنْ يَسْتَأْذِنَ إِذَا جَاءَ، فَأَبى سَمُرَةُ، فَلَمَّا تَأَبّى جَاءَ الْأَنْصَارِيُّ إِلى رَسُولِ اللَّهِ (صَلَّى اللَّهُ عَلَيْهِ وَآلِهِ)، فَشَكَا إِلَيْهِ، وَخَبَّرَهُ الْخَبَرَ، فَأَرْسَلَ إِلَيْهِ رَسُولُ اللَّهِ (صَلَّى اللَّهُ عَلَيْهِ وَآلِهِ)، وَخَبَّرَهُ بِقَوْلِ الْأَنْصَارِيِّ وَمَا شَكَا، وَقَالَ: إِنْ أَرَدْتَ الدُّخُولَ فَاسْتَأْذِنْ، فَأَبى، فَلَمَّا أَبى سَاوَمَهُ حَتّى بَلَغَ بِهِ مِنَ الثَّمَنِ مَا شَاءَ اللَّهُ، فَأَبى أَنْ يَبِيعَ، فَقَالَ: لَكَ بِهَا عَذْقٌ يُمَدُّ لَكَ فِي الْجَنَّةِ، فَأَبى أَنْ يَقْبَلَ، فَقَالَ رَسُولُ اللَّهِ (صَلَّى اللَّهُ عَلَيْهِ وَآلِهِ) لِلْأَنْصَارِيِّ: اذْهَبْ فَاقْلَعْهَا، وَارْمِ بِهَا إِلَيْهِ؛ فَإِنَّهُ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xml:space="preserve"> وَلَا ضِرَارَ)</w:t>
      </w:r>
      <w:r w:rsidRPr="00122B70">
        <w:rPr>
          <w:rFonts w:ascii="mylotus" w:hAnsi="mylotus"/>
          <w:b/>
          <w:bCs/>
          <w:sz w:val="34"/>
          <w:szCs w:val="34"/>
          <w:vertAlign w:val="superscript"/>
          <w:rtl/>
        </w:rPr>
        <w:footnoteReference w:id="198"/>
      </w:r>
      <w:r w:rsidRPr="00122B70">
        <w:rPr>
          <w:rFonts w:ascii="mylotus" w:hAnsi="mylotus"/>
          <w:b/>
          <w:bCs/>
          <w:sz w:val="34"/>
          <w:szCs w:val="34"/>
          <w:rtl/>
        </w:rPr>
        <w:t>.</w:t>
      </w:r>
    </w:p>
    <w:p w14:paraId="7B25BC73"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وتطبيقُ ذلك على المقام أنْ يُقال: لو حُبس الحرّ القادرُ على العمل مدّةً معيّنةً مِن دون موجب، فإنّ الحابس يضمنُ قيمة فُرص العمل التي فوّتها على الحرّ القادر على العمل بقاعدة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تارةً بالتمسك بفقرة: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وأُخرى بالتمسك بفقرة "لَا ضِرَارَ".</w:t>
      </w:r>
    </w:p>
    <w:p w14:paraId="71BB8548"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فهنا طريقان:</w:t>
      </w:r>
    </w:p>
    <w:p w14:paraId="41F4FE96"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الطريقُ الأوّل: التمسك بفقرة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w:t>
      </w:r>
    </w:p>
    <w:p w14:paraId="6ED79BD4"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وهو مبني على عنصرين</w:t>
      </w:r>
      <w:r w:rsidRPr="00122B70">
        <w:rPr>
          <w:rFonts w:ascii="mylotus" w:hAnsi="mylotus"/>
          <w:b/>
          <w:bCs/>
          <w:sz w:val="34"/>
          <w:szCs w:val="34"/>
          <w:vertAlign w:val="superscript"/>
          <w:rtl/>
        </w:rPr>
        <w:footnoteReference w:id="199"/>
      </w:r>
      <w:r w:rsidRPr="00122B70">
        <w:rPr>
          <w:rFonts w:ascii="mylotus" w:hAnsi="mylotus"/>
          <w:b/>
          <w:bCs/>
          <w:sz w:val="34"/>
          <w:szCs w:val="34"/>
          <w:rtl/>
        </w:rPr>
        <w:t>:</w:t>
      </w:r>
    </w:p>
    <w:p w14:paraId="6081FDF6"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العنصرُ الأوّل: شمولُ قاعدة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للأحكام العدمية</w:t>
      </w:r>
      <w:r w:rsidRPr="00122B70">
        <w:rPr>
          <w:rFonts w:ascii="mylotus" w:hAnsi="mylotus"/>
          <w:b/>
          <w:bCs/>
          <w:sz w:val="34"/>
          <w:szCs w:val="34"/>
        </w:rPr>
        <w:t>.</w:t>
      </w:r>
    </w:p>
    <w:p w14:paraId="75F8C092"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حيثُ إنّ المبنى المشهور لدى الأعلام (أعلى الله كلمتهم) أنّ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تختص بالأحكام الوجودية؛ لأنّ لسان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xml:space="preserve">" لسانُ النفي – لا الإثبات -؛ فقولُهُ (صلى الله عليه وآله): (فَإِنَّهُ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يعني: لا وجودَ لحكمٍ ضرري، فهو يتكفل نفي الأحكام الوجودية المسببة للضرر</w:t>
      </w:r>
      <w:r w:rsidRPr="00122B70">
        <w:rPr>
          <w:rFonts w:ascii="mylotus" w:hAnsi="mylotus"/>
          <w:b/>
          <w:bCs/>
          <w:sz w:val="34"/>
          <w:szCs w:val="34"/>
        </w:rPr>
        <w:t>.</w:t>
      </w:r>
    </w:p>
    <w:p w14:paraId="6300AB0E" w14:textId="09ABE9FF"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فلو فُرض أنّه لا يوجدُ حكمٌ ضرري لكن لو لَمْ يحكم الشارع بحكم معين للزم مِن عدم حكمه الضرر على المكلف، فهل قاعدة "لَا</w:t>
      </w:r>
      <w:r w:rsidR="00823E66">
        <w:rPr>
          <w:rFonts w:ascii="mylotus" w:hAnsi="mylotus"/>
          <w:b/>
          <w:bCs/>
          <w:sz w:val="34"/>
          <w:szCs w:val="34"/>
        </w:rPr>
        <w:t xml:space="preserve"> </w:t>
      </w:r>
      <w:r w:rsidRPr="00122B70">
        <w:rPr>
          <w:rFonts w:ascii="mylotus" w:hAnsi="mylotus"/>
          <w:b/>
          <w:bCs/>
          <w:sz w:val="34"/>
          <w:szCs w:val="34"/>
          <w:rtl/>
        </w:rPr>
        <w:t>ضَرَرَ" تثبتُ الحكم في هذا الفرض؟</w:t>
      </w:r>
    </w:p>
    <w:p w14:paraId="2BAF2868"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كما لو فُرض أنّ الإنسان بذل جهداً عقلائياً في اختراع أمرٍ ذي منفعةٍ عامّة</w:t>
      </w:r>
      <w:r w:rsidRPr="00122B70">
        <w:rPr>
          <w:rFonts w:ascii="mylotus" w:hAnsi="mylotus"/>
          <w:b/>
          <w:bCs/>
          <w:sz w:val="34"/>
          <w:szCs w:val="34"/>
        </w:rPr>
        <w:t>.</w:t>
      </w:r>
    </w:p>
    <w:p w14:paraId="79ADDBF8" w14:textId="496FE643"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فإنّه يُقال: لو لَمْ يحكم الشارع بثبوت حقٍّ للمخترع فيما اخترعه - بحيثُ لا يجوز استيفاؤه ولا تفويته إلّا بإذنه - لكان عدم حكمه بثبوت الحقّ – أي: حقّ براءة الاختراع - ضرراً عليه، فمقتضى "لَا</w:t>
      </w:r>
      <w:r w:rsidR="00E20AF3">
        <w:rPr>
          <w:rFonts w:ascii="mylotus" w:hAnsi="mylotus"/>
          <w:b/>
          <w:bCs/>
          <w:sz w:val="34"/>
          <w:szCs w:val="34"/>
        </w:rPr>
        <w:t xml:space="preserve"> </w:t>
      </w:r>
      <w:r w:rsidRPr="00122B70">
        <w:rPr>
          <w:rFonts w:ascii="mylotus" w:hAnsi="mylotus"/>
          <w:b/>
          <w:bCs/>
          <w:sz w:val="34"/>
          <w:szCs w:val="34"/>
          <w:rtl/>
        </w:rPr>
        <w:t>ضَرَرَ" ثبوتُ الحقّ</w:t>
      </w:r>
      <w:r w:rsidRPr="00122B70">
        <w:rPr>
          <w:rFonts w:ascii="mylotus" w:hAnsi="mylotus"/>
          <w:b/>
          <w:bCs/>
          <w:sz w:val="34"/>
          <w:szCs w:val="34"/>
        </w:rPr>
        <w:t>.</w:t>
      </w:r>
    </w:p>
    <w:p w14:paraId="1DDCB028"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وذلك بأحد بيانين</w:t>
      </w:r>
      <w:r w:rsidRPr="00122B70">
        <w:rPr>
          <w:rFonts w:ascii="mylotus" w:hAnsi="mylotus"/>
          <w:b/>
          <w:bCs/>
          <w:sz w:val="34"/>
          <w:szCs w:val="34"/>
        </w:rPr>
        <w:t>:</w:t>
      </w:r>
    </w:p>
    <w:p w14:paraId="365EBA23" w14:textId="35F4D6C2"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البيانُ الأوّل: ما أفاده السيد الشهيد الصدر (قدس سره) في بحث "</w:t>
      </w:r>
      <w:r w:rsidR="00E20AF3" w:rsidRPr="00122B70">
        <w:rPr>
          <w:rFonts w:ascii="mylotus" w:hAnsi="mylotus" w:hint="cs"/>
          <w:b/>
          <w:bCs/>
          <w:sz w:val="34"/>
          <w:szCs w:val="34"/>
          <w:rtl/>
        </w:rPr>
        <w:t>لا ضرر</w:t>
      </w:r>
      <w:r w:rsidRPr="00122B70">
        <w:rPr>
          <w:rFonts w:ascii="mylotus" w:hAnsi="mylotus"/>
          <w:b/>
          <w:bCs/>
          <w:sz w:val="34"/>
          <w:szCs w:val="34"/>
          <w:rtl/>
        </w:rPr>
        <w:t>" مِن أنّ لسان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لَمْ يتضمن نفي الحُكم كي يُقال باختصاص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بالأحكام الوجودية، بل هو مقتصر على نفي عنوان الضرر ولكن بقرينة كون المنفي ما يستند للمشرع، كان السياق ظاهراً في كون مفاد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xml:space="preserve">" نفي الموقف الشرعي الشامل لعدم تشريع الحكم مع إمكانه والالتفات </w:t>
      </w:r>
      <w:proofErr w:type="spellStart"/>
      <w:r w:rsidRPr="00122B70">
        <w:rPr>
          <w:rFonts w:ascii="mylotus" w:hAnsi="mylotus"/>
          <w:b/>
          <w:bCs/>
          <w:sz w:val="34"/>
          <w:szCs w:val="34"/>
          <w:rtl/>
        </w:rPr>
        <w:t>لمناشئه</w:t>
      </w:r>
      <w:proofErr w:type="spellEnd"/>
      <w:r w:rsidRPr="00122B70">
        <w:rPr>
          <w:rFonts w:ascii="mylotus" w:hAnsi="mylotus"/>
          <w:b/>
          <w:bCs/>
          <w:sz w:val="34"/>
          <w:szCs w:val="34"/>
          <w:rtl/>
        </w:rPr>
        <w:t xml:space="preserve">؛ إذ لا يختص ما يستند للمشرع بصدور الحكم بل يشمل عدم الحكم المجتمع مع القدرة والالتفات، فقوله (صلى الله عليه وآله): </w:t>
      </w:r>
      <w:r w:rsidRPr="00122B70">
        <w:rPr>
          <w:rFonts w:ascii="mylotus" w:hAnsi="mylotus"/>
          <w:b/>
          <w:bCs/>
          <w:sz w:val="34"/>
          <w:szCs w:val="34"/>
          <w:rtl/>
        </w:rPr>
        <w:lastRenderedPageBreak/>
        <w:t xml:space="preserve">(فَإِنَّهُ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يعني: ليس للشارع موقفٌ ضرري، لا أنّه ليس للشارع حكمٌ ضرري، وبما أنّ المنفي في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الموقف، والموقف يشمل الأمر الوجودي والأمر العدمي، فإنّ عدم حكمه المسبب للضرر أيضاً موقف مِن مواقفه، فمقتضى كون مفاد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نفي الموقف أنّ عدم حكمه بشيءٍ يقتضي الضرر أيضاً منفيٌ؛ لأنّه موقفٌ مِن مواقفه، فمقتضى نفي هذا الموقف ثبوتُ الحكم وهو حقّ البراءة</w:t>
      </w:r>
      <w:r w:rsidRPr="00122B70">
        <w:rPr>
          <w:rFonts w:ascii="mylotus" w:hAnsi="mylotus"/>
          <w:b/>
          <w:bCs/>
          <w:sz w:val="34"/>
          <w:szCs w:val="34"/>
        </w:rPr>
        <w:t>.</w:t>
      </w:r>
    </w:p>
    <w:p w14:paraId="6B178EC1"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البيانُ الثاني: ما أفاده السيد الأُستاذ (مد ظله الشريف) في قاعدة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w:t>
      </w:r>
    </w:p>
    <w:p w14:paraId="01CC6B3E"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وهو أوفق عرفاً بلسان قاعدة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بأنْ يُقال: إنّ الظاهر مِن سياق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 بقرينة اسناده للمشرع نظير قوله تعالى: {وَمَا جَعَلَ عَلَيْكُمْ فِي الدِّينِ مِنْ حَرَجٍ}</w:t>
      </w:r>
      <w:r w:rsidRPr="00122B70">
        <w:rPr>
          <w:rFonts w:ascii="mylotus" w:hAnsi="mylotus"/>
          <w:b/>
          <w:bCs/>
          <w:sz w:val="34"/>
          <w:szCs w:val="34"/>
          <w:vertAlign w:val="superscript"/>
          <w:rtl/>
        </w:rPr>
        <w:footnoteReference w:id="200"/>
      </w:r>
      <w:r w:rsidRPr="00122B70">
        <w:rPr>
          <w:rFonts w:ascii="mylotus" w:hAnsi="mylotus"/>
          <w:b/>
          <w:bCs/>
          <w:sz w:val="34"/>
          <w:szCs w:val="34"/>
          <w:rtl/>
        </w:rPr>
        <w:t xml:space="preserve"> ووروده في قضية سمرة بن جندب - </w:t>
      </w:r>
      <w:r w:rsidRPr="00122B70">
        <w:rPr>
          <w:rFonts w:ascii="mylotus" w:hAnsi="mylotus"/>
          <w:b/>
          <w:bCs/>
          <w:sz w:val="34"/>
          <w:szCs w:val="34"/>
          <w:highlight w:val="yellow"/>
          <w:rtl/>
        </w:rPr>
        <w:t>نفي التسبيب - لا نفي الحكم</w:t>
      </w:r>
      <w:r w:rsidRPr="00122B70">
        <w:rPr>
          <w:rFonts w:ascii="mylotus" w:hAnsi="mylotus"/>
          <w:b/>
          <w:bCs/>
          <w:sz w:val="34"/>
          <w:szCs w:val="34"/>
          <w:rtl/>
        </w:rPr>
        <w:t xml:space="preserve"> -، أي: أنّ المنصرف عرفاً مِن قوله (صلى الله عليه وآله): (فَإِنَّهُ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أنّ الشارع لا يتسبب في إيجاد ضررٍ على المكلف</w:t>
      </w:r>
      <w:r w:rsidRPr="00122B70">
        <w:rPr>
          <w:rFonts w:ascii="mylotus" w:hAnsi="mylotus"/>
          <w:b/>
          <w:bCs/>
          <w:sz w:val="34"/>
          <w:szCs w:val="34"/>
        </w:rPr>
        <w:t>.</w:t>
      </w:r>
    </w:p>
    <w:p w14:paraId="1A3AD702"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فبما أنّ المنفي هو التسبيب - لا الحكم - فمِن الواضح أنّ نفس عدم حكم الشارع بحقّ البراءة مع التفات الشارع لذلك وقدرته على هدم العدم يعدّ تسبيباً مِن الشارع لوقوع الضرر على المكلف، ومقتضى دلالة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على نفي التسبيب ثبوتُ ذلك الحكم</w:t>
      </w:r>
      <w:r w:rsidRPr="00122B70">
        <w:rPr>
          <w:rFonts w:ascii="mylotus" w:hAnsi="mylotus"/>
          <w:b/>
          <w:bCs/>
          <w:sz w:val="34"/>
          <w:szCs w:val="34"/>
        </w:rPr>
        <w:t>.</w:t>
      </w:r>
    </w:p>
    <w:p w14:paraId="5E572505"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العنصرُ الثاني: أنّ عنوان الضرر في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يشمل الأضرار الاعتبارية لكونها مصاديق للضرر عرفاً، ولا يختص بالأضرار الحقيقية</w:t>
      </w:r>
      <w:r w:rsidRPr="00122B70">
        <w:rPr>
          <w:rFonts w:ascii="mylotus" w:hAnsi="mylotus"/>
          <w:b/>
          <w:bCs/>
          <w:sz w:val="34"/>
          <w:szCs w:val="34"/>
        </w:rPr>
        <w:t>.</w:t>
      </w:r>
    </w:p>
    <w:p w14:paraId="503411A0"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فإنّ المشهور كما التزموا باختصاص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بالأحكام الوجودية التزموا كذلك باختصاص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بالضرر الخارجي، وهو ما يعدّ نقصاً في النفس أو المال أو العرض دون الأضرار الاعتبارية</w:t>
      </w:r>
      <w:r w:rsidRPr="00122B70">
        <w:rPr>
          <w:rFonts w:ascii="mylotus" w:hAnsi="mylotus"/>
          <w:b/>
          <w:bCs/>
          <w:sz w:val="34"/>
          <w:szCs w:val="34"/>
        </w:rPr>
        <w:t>.</w:t>
      </w:r>
    </w:p>
    <w:p w14:paraId="7894F4AC"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وفي مثال حقّ البراءة لا يوجد ضررٌ خارجي، وإنّما يوجدُ ضررٌ اعتباري؛ حيثُ إنّ العقلاء يرون أنّ عدم ثبوت حقّ البراءة للمخترع ضررٌ عليه، وإنْ لَمْ يكن هناك نقصٌ لا في النفس ولا في المال ولا في العرض، والمفروض أنّ المنصرف مِن عنوان "الضرر" النقص بحسب العرف العقلائي، الذي قد تتجدد مصاديقه وموارده.</w:t>
      </w:r>
    </w:p>
    <w:p w14:paraId="057B6A9E"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فالقولُ بشمول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للأحكام العدمية لا يكفي في الوصول إلى النتيجة، بل لابُدّ مِن ضم المبنى الآخر وهو: أنّ عنوان "الضرر" بحسب المرتكز العرفي يشمل الضرر الحقيقي والضرر الاعتباري</w:t>
      </w:r>
      <w:r w:rsidRPr="00122B70">
        <w:rPr>
          <w:rFonts w:ascii="mylotus" w:hAnsi="mylotus"/>
          <w:b/>
          <w:bCs/>
          <w:sz w:val="34"/>
          <w:szCs w:val="34"/>
        </w:rPr>
        <w:t>.</w:t>
      </w:r>
    </w:p>
    <w:p w14:paraId="6AB5D3E3"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كي يُقال: بأنّ مقتضى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ثبوتُ حقّ البراءة</w:t>
      </w:r>
      <w:r w:rsidRPr="00122B70">
        <w:rPr>
          <w:rFonts w:ascii="mylotus" w:hAnsi="mylotus"/>
          <w:b/>
          <w:bCs/>
          <w:sz w:val="34"/>
          <w:szCs w:val="34"/>
        </w:rPr>
        <w:t>.</w:t>
      </w:r>
    </w:p>
    <w:p w14:paraId="5C8E96E9"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وكما يمكن التمسك بفقرة: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في الحقوق المستجدة بناءً على تمامية هذين العنصرين، فإنّه يمكن التمسك بها في المقام بأنْ يُقال: إنّ حبس الحرّ القادر على العمل موجبٌ للضمان</w:t>
      </w:r>
      <w:r w:rsidRPr="00122B70">
        <w:rPr>
          <w:rFonts w:ascii="mylotus" w:hAnsi="mylotus"/>
          <w:b/>
          <w:bCs/>
          <w:sz w:val="34"/>
          <w:szCs w:val="34"/>
        </w:rPr>
        <w:t>.</w:t>
      </w:r>
    </w:p>
    <w:p w14:paraId="6540549D"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lastRenderedPageBreak/>
        <w:t xml:space="preserve">والسر في ذلك: أنّه لو لَمْ يحكم الشارع بالضمان لكان ضرراً عليه لا </w:t>
      </w:r>
      <w:proofErr w:type="gramStart"/>
      <w:r w:rsidRPr="00122B70">
        <w:rPr>
          <w:rFonts w:ascii="mylotus" w:hAnsi="mylotus"/>
          <w:b/>
          <w:bCs/>
          <w:sz w:val="34"/>
          <w:szCs w:val="34"/>
          <w:rtl/>
        </w:rPr>
        <w:t>حقيقة</w:t>
      </w:r>
      <w:proofErr w:type="gramEnd"/>
      <w:r w:rsidRPr="00122B70">
        <w:rPr>
          <w:rFonts w:ascii="mylotus" w:hAnsi="mylotus"/>
          <w:b/>
          <w:bCs/>
          <w:sz w:val="34"/>
          <w:szCs w:val="34"/>
          <w:rtl/>
        </w:rPr>
        <w:t xml:space="preserve"> بل بحسب النظر العرفي، ولكن حيثُ إنّ عنوان "الضرر" يشمل الضرر الحقيقي والضرر الاعتباري فمقتضى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في المقام ثبوت الضمان</w:t>
      </w:r>
      <w:r w:rsidRPr="00122B70">
        <w:rPr>
          <w:rFonts w:ascii="mylotus" w:hAnsi="mylotus"/>
          <w:b/>
          <w:bCs/>
          <w:sz w:val="34"/>
          <w:szCs w:val="34"/>
        </w:rPr>
        <w:t>.</w:t>
      </w:r>
    </w:p>
    <w:p w14:paraId="6FFB016B"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الطريقُ الثاني: التمسك بفقرة: "لَا ضِرَارَ".</w:t>
      </w:r>
    </w:p>
    <w:p w14:paraId="0B7265C7"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 xml:space="preserve">حيثُ قال النبيّ الأعظم (صلى الله عليه وآله): (فَإِنَّهُ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xml:space="preserve"> وَلَا ضِرَارَ)</w:t>
      </w:r>
      <w:r w:rsidRPr="00122B70">
        <w:rPr>
          <w:rFonts w:ascii="mylotus" w:hAnsi="mylotus"/>
          <w:b/>
          <w:bCs/>
          <w:sz w:val="34"/>
          <w:szCs w:val="34"/>
        </w:rPr>
        <w:t>.</w:t>
      </w:r>
    </w:p>
    <w:p w14:paraId="3EB7392B"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ومعنى (وَلَا ضِرَارَ) هو: سد باب عدم الاِضرار</w:t>
      </w:r>
      <w:r w:rsidRPr="00122B70">
        <w:rPr>
          <w:rFonts w:ascii="mylotus" w:hAnsi="mylotus"/>
          <w:b/>
          <w:bCs/>
          <w:sz w:val="34"/>
          <w:szCs w:val="34"/>
        </w:rPr>
        <w:t>.</w:t>
      </w:r>
    </w:p>
    <w:p w14:paraId="1618F11A"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وهو الموافق للمرتكزات العقلائية؛ فإنّ المرتكزات العقلائية قائمةٌ على منع اِضرار أحدٍ بأحدٍ محترمٍ في نفسه، فقوله (صلى الله عليه وآله): (وَلَا ضِرَارَ) إمضاءٌ للمرتكز العقلائي على سعته.</w:t>
      </w:r>
    </w:p>
    <w:p w14:paraId="55E63B0D"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 xml:space="preserve">وبما أنّ المرتكزات العقلائية لَمْ تقم على خصوص الحكم التكليفي – بمعنى: حرمة الاِضرار بأحد - بل قامتْ على الحكم الوضعي أيضاً، أي: أنّ المرتكز العقلائي كما يرى حرمة اِضرار أحدٍ بأحدٍ فإنّه قد شرع وسائل رادعة لإيقاع الضرر؛ إذ أنّ العقلاء لا يكتفون في بناءاتهم بمجرّد المنع التكليفي، بل يرون الاقتصار على الحكم التكليفي دون وسائل رادعة عنه لغوٌ، كالضرائب، والسجون، </w:t>
      </w:r>
      <w:proofErr w:type="spellStart"/>
      <w:r w:rsidRPr="00122B70">
        <w:rPr>
          <w:rFonts w:ascii="mylotus" w:hAnsi="mylotus"/>
          <w:b/>
          <w:bCs/>
          <w:sz w:val="34"/>
          <w:szCs w:val="34"/>
          <w:rtl/>
        </w:rPr>
        <w:t>والتعزيرات</w:t>
      </w:r>
      <w:proofErr w:type="spellEnd"/>
      <w:r w:rsidRPr="00122B70">
        <w:rPr>
          <w:rFonts w:ascii="mylotus" w:hAnsi="mylotus"/>
          <w:b/>
          <w:bCs/>
          <w:sz w:val="34"/>
          <w:szCs w:val="34"/>
          <w:rtl/>
        </w:rPr>
        <w:t>، والغرامات</w:t>
      </w:r>
      <w:r w:rsidRPr="00122B70">
        <w:rPr>
          <w:rFonts w:ascii="mylotus" w:hAnsi="mylotus"/>
          <w:b/>
          <w:bCs/>
          <w:sz w:val="34"/>
          <w:szCs w:val="34"/>
        </w:rPr>
        <w:t>.</w:t>
      </w:r>
    </w:p>
    <w:p w14:paraId="7C743BEF"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 xml:space="preserve">فبما أنّ مفاد (لَا ضِرَارَ) سد باب </w:t>
      </w:r>
      <w:r w:rsidRPr="00122B70">
        <w:rPr>
          <w:rFonts w:ascii="mylotus" w:hAnsi="mylotus"/>
          <w:b/>
          <w:bCs/>
          <w:strike/>
          <w:sz w:val="34"/>
          <w:szCs w:val="34"/>
          <w:u w:val="single"/>
          <w:rtl/>
        </w:rPr>
        <w:t>عدم</w:t>
      </w:r>
      <w:r w:rsidRPr="00122B70">
        <w:rPr>
          <w:rFonts w:ascii="mylotus" w:hAnsi="mylotus"/>
          <w:b/>
          <w:bCs/>
          <w:sz w:val="34"/>
          <w:szCs w:val="34"/>
          <w:rtl/>
        </w:rPr>
        <w:t xml:space="preserve"> الاِضرار بتحريمه وتشريع وسائل الردع عنه - أي: الحكم بالغرامة أو الضمان -، فمقتضى (لَا ضِرَارَ) - بهذا المعنى الوسيع - هو ثبوتُ الضمان</w:t>
      </w:r>
      <w:r w:rsidRPr="00122B70">
        <w:rPr>
          <w:rFonts w:ascii="mylotus" w:hAnsi="mylotus"/>
          <w:b/>
          <w:bCs/>
          <w:sz w:val="34"/>
          <w:szCs w:val="34"/>
        </w:rPr>
        <w:t>.</w:t>
      </w:r>
    </w:p>
    <w:p w14:paraId="122C3457"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فإنْ قلتَ: لازمُ ذلك التعارض بين: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وبين (لَا ضِرَارَ)، ولا يتصورُ التعارض في مفادِ سياقٍ واحدٍ؛ فإنّ مقتضى (لَا ضِرَارَ) أنّ على الحابس ضمانُ قيمة فُرصة العمل للمحبوس - وهو الحرّ القادر على العمل -، ومقتضى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عدمُ الضمان عليه؛ لأنّ ثبوت الضمان عليه ضرر عليه؛ إذ اشتغال ذمّة الحابس بالضمان ضررٌ مالي عليه</w:t>
      </w:r>
      <w:r w:rsidRPr="00122B70">
        <w:rPr>
          <w:rFonts w:ascii="mylotus" w:hAnsi="mylotus"/>
          <w:b/>
          <w:bCs/>
          <w:sz w:val="34"/>
          <w:szCs w:val="34"/>
        </w:rPr>
        <w:t>.</w:t>
      </w:r>
    </w:p>
    <w:p w14:paraId="44E0B277"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فمقتضى (لَا ضِرَارَ) ثبوتُ الضمان على الحابس، ومقتضى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عدمُ الضمان عليه، ومقتضى التعارض بينهما أنْ لا شيء على الحابس</w:t>
      </w:r>
      <w:r w:rsidRPr="00122B70">
        <w:rPr>
          <w:rFonts w:ascii="mylotus" w:hAnsi="mylotus"/>
          <w:b/>
          <w:bCs/>
          <w:sz w:val="34"/>
          <w:szCs w:val="34"/>
        </w:rPr>
        <w:t>.</w:t>
      </w:r>
    </w:p>
    <w:p w14:paraId="7B2B564B"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أو فقُل: لازمُ ذلك إجمال هذه الجملة مِن هذه الجهة –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xml:space="preserve"> وَلَا ضِرَارَ) -؛ إذ لا يحتمل في الجملة أنْ تتضمن مدلولين متعارضين عرفاً</w:t>
      </w:r>
      <w:r w:rsidRPr="00122B70">
        <w:rPr>
          <w:rFonts w:ascii="mylotus" w:hAnsi="mylotus"/>
          <w:b/>
          <w:bCs/>
          <w:sz w:val="34"/>
          <w:szCs w:val="34"/>
        </w:rPr>
        <w:t>.</w:t>
      </w:r>
    </w:p>
    <w:p w14:paraId="489A7DFF"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قلتُ: بأنّه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لا إطلاق فيها لنفي الحكم الناشئ عن مفاد الفقرة الثانية</w:t>
      </w:r>
      <w:r w:rsidRPr="00122B70">
        <w:rPr>
          <w:rFonts w:ascii="mylotus" w:hAnsi="mylotus"/>
          <w:b/>
          <w:bCs/>
          <w:sz w:val="34"/>
          <w:szCs w:val="34"/>
        </w:rPr>
        <w:t>.</w:t>
      </w:r>
    </w:p>
    <w:p w14:paraId="69E07820"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والسر في ذلك: إمّا قرينة سياقية؛ فكما أنّه لا إطلاق في (لَا ضِرَارَ) لما ينفي مفاد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فكذلك العكس بمقتضى وحدة السياق.</w:t>
      </w:r>
    </w:p>
    <w:p w14:paraId="636D5151"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أو ارتكازية: بمعنى أنّ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لا إطلاق فيها لنفي الحكم الناشئ عن بناءٍ عقلائي؛ بمقتضى احتفاف (</w:t>
      </w:r>
      <w:proofErr w:type="spellStart"/>
      <w:r w:rsidRPr="00122B70">
        <w:rPr>
          <w:rFonts w:ascii="mylotus" w:hAnsi="mylotus"/>
          <w:b/>
          <w:bCs/>
          <w:sz w:val="34"/>
          <w:szCs w:val="34"/>
          <w:rtl/>
        </w:rPr>
        <w:t>لَاضَرَرَ</w:t>
      </w:r>
      <w:proofErr w:type="spellEnd"/>
      <w:r w:rsidRPr="00122B70">
        <w:rPr>
          <w:rFonts w:ascii="mylotus" w:hAnsi="mylotus"/>
          <w:b/>
          <w:bCs/>
          <w:sz w:val="34"/>
          <w:szCs w:val="34"/>
          <w:rtl/>
        </w:rPr>
        <w:t>) بالمرتكزات العقلائية، وحيثُ بنى العقلاء على الضمان فلا إطلاق لها لنفي ذلك كي يُقال بالتعارض بينهما.</w:t>
      </w:r>
    </w:p>
    <w:p w14:paraId="73D58DA1" w14:textId="77777777" w:rsidR="00122B70" w:rsidRPr="00122B70" w:rsidRDefault="00122B70" w:rsidP="00122B70">
      <w:pPr>
        <w:pStyle w:val="a"/>
        <w:bidi/>
        <w:jc w:val="left"/>
        <w:rPr>
          <w:rFonts w:ascii="mylotus" w:hAnsi="mylotus"/>
          <w:b/>
          <w:bCs/>
          <w:sz w:val="34"/>
          <w:szCs w:val="34"/>
          <w:rtl/>
        </w:rPr>
      </w:pPr>
    </w:p>
    <w:p w14:paraId="62A74755" w14:textId="77777777" w:rsidR="00122B70" w:rsidRPr="00122B70" w:rsidRDefault="00122B70" w:rsidP="00122B70">
      <w:pPr>
        <w:pStyle w:val="a"/>
        <w:bidi/>
        <w:jc w:val="left"/>
        <w:rPr>
          <w:rFonts w:ascii="mylotus" w:hAnsi="mylotus"/>
          <w:b/>
          <w:bCs/>
          <w:sz w:val="34"/>
          <w:szCs w:val="34"/>
          <w:rtl/>
        </w:rPr>
      </w:pPr>
      <w:r w:rsidRPr="00122B70">
        <w:rPr>
          <w:rFonts w:ascii="mylotus" w:hAnsi="mylotus"/>
          <w:b/>
          <w:bCs/>
          <w:sz w:val="34"/>
          <w:szCs w:val="34"/>
          <w:rtl/>
        </w:rPr>
        <w:t>والحمد لله رب العالمين</w:t>
      </w:r>
    </w:p>
    <w:p w14:paraId="754E7D3B" w14:textId="77777777" w:rsidR="00122B70" w:rsidRDefault="00122B70" w:rsidP="00122B70">
      <w:pPr>
        <w:pStyle w:val="a"/>
        <w:bidi/>
        <w:spacing w:line="216" w:lineRule="auto"/>
        <w:jc w:val="left"/>
        <w:rPr>
          <w:rFonts w:ascii="mylotus" w:hAnsi="mylotus"/>
          <w:b/>
          <w:bCs/>
          <w:sz w:val="34"/>
          <w:szCs w:val="34"/>
        </w:rPr>
      </w:pPr>
    </w:p>
    <w:p w14:paraId="7FAF7171" w14:textId="08A7692F" w:rsidR="00122B70" w:rsidRPr="005E03C1" w:rsidRDefault="00122B70" w:rsidP="00EB5873">
      <w:pPr>
        <w:pStyle w:val="a"/>
        <w:bidi/>
        <w:spacing w:line="216" w:lineRule="auto"/>
        <w:jc w:val="left"/>
        <w:outlineLvl w:val="2"/>
        <w:rPr>
          <w:rFonts w:ascii="mylotus" w:hAnsi="mylotus"/>
          <w:b/>
          <w:bCs/>
          <w:sz w:val="34"/>
          <w:szCs w:val="34"/>
        </w:rPr>
      </w:pPr>
      <w:r>
        <w:rPr>
          <w:rFonts w:ascii="mylotus" w:hAnsi="mylotus"/>
          <w:b/>
          <w:bCs/>
          <w:sz w:val="34"/>
          <w:szCs w:val="34"/>
        </w:rPr>
        <w:lastRenderedPageBreak/>
        <w:t>321</w:t>
      </w:r>
    </w:p>
    <w:p w14:paraId="41FFCC41" w14:textId="77777777" w:rsidR="00F66A22" w:rsidRDefault="00F66A22" w:rsidP="00122B70">
      <w:pPr>
        <w:bidi/>
        <w:rPr>
          <w:b/>
          <w:bCs/>
          <w:sz w:val="32"/>
          <w:szCs w:val="32"/>
          <w:rtl/>
        </w:rPr>
      </w:pPr>
    </w:p>
    <w:p w14:paraId="1E301E8C" w14:textId="77777777" w:rsidR="00546513" w:rsidRPr="005E03C1" w:rsidRDefault="00546513" w:rsidP="00546513">
      <w:pPr>
        <w:pStyle w:val="a"/>
        <w:bidi/>
        <w:spacing w:line="216" w:lineRule="auto"/>
        <w:jc w:val="center"/>
        <w:rPr>
          <w:rFonts w:ascii="mylotus" w:hAnsi="mylotus"/>
          <w:b/>
          <w:bCs/>
          <w:sz w:val="34"/>
          <w:szCs w:val="34"/>
          <w:rtl/>
        </w:rPr>
      </w:pPr>
      <w:r w:rsidRPr="005E03C1">
        <w:rPr>
          <w:rFonts w:ascii="mylotus" w:hAnsi="mylotus"/>
          <w:b/>
          <w:bCs/>
          <w:sz w:val="34"/>
          <w:szCs w:val="34"/>
          <w:rtl/>
        </w:rPr>
        <w:t>بسم الله الرحمن الرحيم</w:t>
      </w:r>
    </w:p>
    <w:p w14:paraId="37109DA1" w14:textId="77777777" w:rsidR="00546513" w:rsidRPr="005E03C1" w:rsidRDefault="00546513" w:rsidP="00546513">
      <w:pPr>
        <w:pStyle w:val="a"/>
        <w:bidi/>
        <w:spacing w:line="216" w:lineRule="auto"/>
        <w:jc w:val="center"/>
        <w:rPr>
          <w:rFonts w:ascii="mylotus" w:hAnsi="mylotus"/>
          <w:b/>
          <w:bCs/>
          <w:sz w:val="34"/>
          <w:szCs w:val="34"/>
          <w:rtl/>
        </w:rPr>
      </w:pPr>
      <w:r w:rsidRPr="005E03C1">
        <w:rPr>
          <w:rFonts w:ascii="mylotus" w:hAnsi="mylotus"/>
          <w:b/>
          <w:bCs/>
          <w:sz w:val="34"/>
          <w:szCs w:val="34"/>
          <w:rtl/>
        </w:rPr>
        <w:t>والصلاة والسلام على أشرف الأنبياء والمرسلين، محمد وآله الطيبين الطاهرين</w:t>
      </w:r>
    </w:p>
    <w:p w14:paraId="137BE8E1" w14:textId="77777777" w:rsidR="00546513" w:rsidRDefault="00546513" w:rsidP="00546513">
      <w:pPr>
        <w:pStyle w:val="a"/>
        <w:bidi/>
        <w:spacing w:line="216" w:lineRule="auto"/>
        <w:jc w:val="center"/>
        <w:rPr>
          <w:rFonts w:ascii="mylotus" w:hAnsi="mylotus"/>
          <w:sz w:val="34"/>
          <w:szCs w:val="34"/>
          <w:rtl/>
        </w:rPr>
      </w:pPr>
      <w:r w:rsidRPr="005E03C1">
        <w:rPr>
          <w:rFonts w:ascii="mylotus" w:hAnsi="mylotus"/>
          <w:b/>
          <w:bCs/>
          <w:sz w:val="34"/>
          <w:szCs w:val="34"/>
          <w:rtl/>
        </w:rPr>
        <w:t>واللعن الدائم على أعدائهم أجمعين إلى قيام يوم الدين</w:t>
      </w:r>
    </w:p>
    <w:p w14:paraId="13A1CCD8" w14:textId="77777777" w:rsidR="00546513" w:rsidRPr="00E262BE" w:rsidRDefault="00546513" w:rsidP="00546513">
      <w:pPr>
        <w:pStyle w:val="a"/>
        <w:bidi/>
        <w:spacing w:line="216" w:lineRule="auto"/>
        <w:rPr>
          <w:rFonts w:ascii="mylotus" w:hAnsi="mylotus"/>
          <w:sz w:val="34"/>
          <w:szCs w:val="34"/>
          <w:rtl/>
        </w:rPr>
      </w:pPr>
    </w:p>
    <w:p w14:paraId="413C2A6C" w14:textId="77777777" w:rsidR="00546513" w:rsidRPr="00E262BE" w:rsidRDefault="00546513" w:rsidP="00546513">
      <w:pPr>
        <w:pStyle w:val="a"/>
        <w:bidi/>
        <w:spacing w:line="216" w:lineRule="auto"/>
        <w:rPr>
          <w:rFonts w:ascii="mylotus" w:hAnsi="mylotus"/>
          <w:b/>
          <w:bCs/>
          <w:sz w:val="34"/>
          <w:szCs w:val="34"/>
          <w:rtl/>
        </w:rPr>
      </w:pPr>
      <w:r w:rsidRPr="00E262BE">
        <w:rPr>
          <w:rFonts w:ascii="mylotus" w:hAnsi="mylotus"/>
          <w:b/>
          <w:bCs/>
          <w:sz w:val="34"/>
          <w:szCs w:val="34"/>
          <w:rtl/>
        </w:rPr>
        <w:t>ومِن أجل تنقيح النتيجة يتعيّن التحقيق في عد</w:t>
      </w:r>
      <w:r w:rsidRPr="00E262BE">
        <w:rPr>
          <w:rFonts w:ascii="mylotus" w:hAnsi="mylotus" w:hint="cs"/>
          <w:b/>
          <w:bCs/>
          <w:sz w:val="34"/>
          <w:szCs w:val="34"/>
          <w:rtl/>
        </w:rPr>
        <w:t>ّ</w:t>
      </w:r>
      <w:r w:rsidRPr="00E262BE">
        <w:rPr>
          <w:rFonts w:ascii="mylotus" w:hAnsi="mylotus"/>
          <w:b/>
          <w:bCs/>
          <w:sz w:val="34"/>
          <w:szCs w:val="34"/>
          <w:rtl/>
        </w:rPr>
        <w:t>ة مطالب:</w:t>
      </w:r>
    </w:p>
    <w:p w14:paraId="3C3454AA" w14:textId="77777777" w:rsidR="00546513" w:rsidRDefault="00546513" w:rsidP="00546513">
      <w:pPr>
        <w:pStyle w:val="a"/>
        <w:bidi/>
        <w:spacing w:line="216" w:lineRule="auto"/>
        <w:rPr>
          <w:rFonts w:ascii="mylotus" w:hAnsi="mylotus"/>
          <w:sz w:val="34"/>
          <w:szCs w:val="34"/>
          <w:rtl/>
        </w:rPr>
      </w:pPr>
      <w:r w:rsidRPr="00E262BE">
        <w:rPr>
          <w:rFonts w:ascii="mylotus" w:hAnsi="mylotus"/>
          <w:b/>
          <w:bCs/>
          <w:sz w:val="34"/>
          <w:szCs w:val="34"/>
          <w:rtl/>
        </w:rPr>
        <w:t>أو</w:t>
      </w:r>
      <w:r>
        <w:rPr>
          <w:rFonts w:ascii="mylotus" w:hAnsi="mylotus" w:hint="cs"/>
          <w:b/>
          <w:bCs/>
          <w:sz w:val="34"/>
          <w:szCs w:val="34"/>
          <w:rtl/>
        </w:rPr>
        <w:t>ّ</w:t>
      </w:r>
      <w:r w:rsidRPr="00E262BE">
        <w:rPr>
          <w:rFonts w:ascii="mylotus" w:hAnsi="mylotus"/>
          <w:b/>
          <w:bCs/>
          <w:sz w:val="34"/>
          <w:szCs w:val="34"/>
          <w:rtl/>
        </w:rPr>
        <w:t>لها</w:t>
      </w:r>
      <w:r w:rsidRPr="00E262BE">
        <w:rPr>
          <w:rFonts w:ascii="mylotus" w:hAnsi="mylotus" w:hint="cs"/>
          <w:b/>
          <w:bCs/>
          <w:sz w:val="34"/>
          <w:szCs w:val="34"/>
          <w:rtl/>
        </w:rPr>
        <w:t>:</w:t>
      </w:r>
      <w:r w:rsidRPr="00E262BE">
        <w:rPr>
          <w:rFonts w:ascii="mylotus" w:hAnsi="mylotus"/>
          <w:sz w:val="34"/>
          <w:szCs w:val="34"/>
          <w:rtl/>
        </w:rPr>
        <w:t xml:space="preserve"> في التمسك بفقر</w:t>
      </w:r>
      <w:r>
        <w:rPr>
          <w:rFonts w:ascii="mylotus" w:hAnsi="mylotus" w:hint="cs"/>
          <w:sz w:val="34"/>
          <w:szCs w:val="34"/>
          <w:rtl/>
        </w:rPr>
        <w:t xml:space="preserve">ة </w:t>
      </w:r>
      <w:r w:rsidRPr="00E262BE">
        <w:rPr>
          <w:rFonts w:ascii="mylotus" w:hAnsi="mylotus"/>
          <w:b/>
          <w:bCs/>
          <w:sz w:val="34"/>
          <w:szCs w:val="34"/>
          <w:rtl/>
        </w:rPr>
        <w:t>(</w:t>
      </w:r>
      <w:proofErr w:type="spellStart"/>
      <w:r w:rsidRPr="00E262BE">
        <w:rPr>
          <w:rFonts w:ascii="mylotus" w:hAnsi="mylotus"/>
          <w:b/>
          <w:bCs/>
          <w:sz w:val="34"/>
          <w:szCs w:val="34"/>
          <w:rtl/>
        </w:rPr>
        <w:t>لَاضَرَرَ</w:t>
      </w:r>
      <w:proofErr w:type="spellEnd"/>
      <w:r w:rsidRPr="00E262BE">
        <w:rPr>
          <w:rFonts w:ascii="mylotus" w:hAnsi="mylotus"/>
          <w:b/>
          <w:bCs/>
          <w:sz w:val="34"/>
          <w:szCs w:val="34"/>
          <w:rtl/>
        </w:rPr>
        <w:t>)</w:t>
      </w:r>
      <w:r w:rsidRPr="00E262BE">
        <w:rPr>
          <w:rFonts w:ascii="mylotus" w:hAnsi="mylotus"/>
          <w:sz w:val="34"/>
          <w:szCs w:val="34"/>
          <w:rtl/>
        </w:rPr>
        <w:t xml:space="preserve"> لإثبات الضمان في الحقوق المستحدثة، ومنافع الحر</w:t>
      </w:r>
      <w:r>
        <w:rPr>
          <w:rFonts w:ascii="mylotus" w:hAnsi="mylotus" w:hint="cs"/>
          <w:sz w:val="34"/>
          <w:szCs w:val="34"/>
          <w:rtl/>
        </w:rPr>
        <w:t>ّ</w:t>
      </w:r>
      <w:r w:rsidRPr="00E262BE">
        <w:rPr>
          <w:rFonts w:ascii="mylotus" w:hAnsi="mylotus"/>
          <w:sz w:val="34"/>
          <w:szCs w:val="34"/>
          <w:rtl/>
        </w:rPr>
        <w:t xml:space="preserve"> الكسوب عند حبسه</w:t>
      </w:r>
      <w:r>
        <w:rPr>
          <w:rFonts w:ascii="mylotus" w:hAnsi="mylotus" w:hint="cs"/>
          <w:sz w:val="34"/>
          <w:szCs w:val="34"/>
          <w:rtl/>
        </w:rPr>
        <w:t>.</w:t>
      </w:r>
    </w:p>
    <w:p w14:paraId="3EA0D905" w14:textId="77777777" w:rsidR="00546513" w:rsidRPr="00E262BE" w:rsidRDefault="00546513" w:rsidP="00546513">
      <w:pPr>
        <w:pStyle w:val="a"/>
        <w:bidi/>
        <w:spacing w:line="216" w:lineRule="auto"/>
        <w:rPr>
          <w:rFonts w:ascii="mylotus" w:hAnsi="mylotus"/>
          <w:b/>
          <w:bCs/>
          <w:sz w:val="34"/>
          <w:szCs w:val="34"/>
          <w:rtl/>
        </w:rPr>
      </w:pPr>
      <w:r w:rsidRPr="00E262BE">
        <w:rPr>
          <w:rFonts w:ascii="mylotus" w:hAnsi="mylotus"/>
          <w:b/>
          <w:bCs/>
          <w:sz w:val="34"/>
          <w:szCs w:val="34"/>
          <w:rtl/>
        </w:rPr>
        <w:t>وحيث</w:t>
      </w:r>
      <w:r w:rsidRPr="00E262BE">
        <w:rPr>
          <w:rFonts w:ascii="mylotus" w:hAnsi="mylotus" w:hint="cs"/>
          <w:b/>
          <w:bCs/>
          <w:sz w:val="34"/>
          <w:szCs w:val="34"/>
          <w:rtl/>
        </w:rPr>
        <w:t>ُ</w:t>
      </w:r>
      <w:r w:rsidRPr="00E262BE">
        <w:rPr>
          <w:rFonts w:ascii="mylotus" w:hAnsi="mylotus"/>
          <w:b/>
          <w:bCs/>
          <w:sz w:val="34"/>
          <w:szCs w:val="34"/>
          <w:rtl/>
        </w:rPr>
        <w:t xml:space="preserve"> إن</w:t>
      </w:r>
      <w:r w:rsidRPr="00E262BE">
        <w:rPr>
          <w:rFonts w:ascii="mylotus" w:hAnsi="mylotus" w:hint="cs"/>
          <w:b/>
          <w:bCs/>
          <w:sz w:val="34"/>
          <w:szCs w:val="34"/>
          <w:rtl/>
        </w:rPr>
        <w:t>ّ</w:t>
      </w:r>
      <w:r w:rsidRPr="00E262BE">
        <w:rPr>
          <w:rFonts w:ascii="mylotus" w:hAnsi="mylotus"/>
          <w:b/>
          <w:bCs/>
          <w:sz w:val="34"/>
          <w:szCs w:val="34"/>
          <w:rtl/>
        </w:rPr>
        <w:t xml:space="preserve"> التمسك به مبني على مجموع عنص</w:t>
      </w:r>
      <w:r w:rsidRPr="00E262BE">
        <w:rPr>
          <w:rFonts w:ascii="mylotus" w:hAnsi="mylotus" w:hint="cs"/>
          <w:b/>
          <w:bCs/>
          <w:sz w:val="34"/>
          <w:szCs w:val="34"/>
          <w:rtl/>
        </w:rPr>
        <w:t xml:space="preserve">رين، </w:t>
      </w:r>
      <w:r w:rsidRPr="00E262BE">
        <w:rPr>
          <w:rFonts w:ascii="mylotus" w:hAnsi="mylotus"/>
          <w:b/>
          <w:bCs/>
          <w:sz w:val="34"/>
          <w:szCs w:val="34"/>
          <w:rtl/>
        </w:rPr>
        <w:t>وهما:</w:t>
      </w:r>
    </w:p>
    <w:p w14:paraId="3BB277CC" w14:textId="77777777" w:rsidR="00546513" w:rsidRPr="00E262BE" w:rsidRDefault="00546513" w:rsidP="00546513">
      <w:pPr>
        <w:pStyle w:val="a"/>
        <w:bidi/>
        <w:spacing w:line="216" w:lineRule="auto"/>
        <w:rPr>
          <w:rFonts w:ascii="mylotus" w:hAnsi="mylotus"/>
          <w:b/>
          <w:bCs/>
          <w:sz w:val="34"/>
          <w:szCs w:val="34"/>
          <w:rtl/>
        </w:rPr>
      </w:pPr>
      <w:r w:rsidRPr="00E262BE">
        <w:rPr>
          <w:rFonts w:ascii="mylotus" w:hAnsi="mylotus"/>
          <w:b/>
          <w:bCs/>
          <w:sz w:val="34"/>
          <w:szCs w:val="34"/>
          <w:rtl/>
        </w:rPr>
        <w:t>العنصرُ الأوّل: شمولُ قاعدة (</w:t>
      </w:r>
      <w:proofErr w:type="spellStart"/>
      <w:r w:rsidRPr="00E262BE">
        <w:rPr>
          <w:rFonts w:ascii="mylotus" w:hAnsi="mylotus"/>
          <w:b/>
          <w:bCs/>
          <w:sz w:val="34"/>
          <w:szCs w:val="34"/>
          <w:rtl/>
        </w:rPr>
        <w:t>لَاضَرَرَ</w:t>
      </w:r>
      <w:proofErr w:type="spellEnd"/>
      <w:r w:rsidRPr="00E262BE">
        <w:rPr>
          <w:rFonts w:ascii="mylotus" w:hAnsi="mylotus"/>
          <w:b/>
          <w:bCs/>
          <w:sz w:val="34"/>
          <w:szCs w:val="34"/>
          <w:rtl/>
        </w:rPr>
        <w:t>) للأضرار الاعتبارية</w:t>
      </w:r>
      <w:r w:rsidRPr="00E262BE">
        <w:rPr>
          <w:rFonts w:ascii="mylotus" w:hAnsi="mylotus"/>
          <w:b/>
          <w:bCs/>
          <w:sz w:val="34"/>
          <w:szCs w:val="34"/>
        </w:rPr>
        <w:t>.</w:t>
      </w:r>
    </w:p>
    <w:p w14:paraId="48AAA4ED" w14:textId="77777777" w:rsidR="00546513" w:rsidRPr="00E262BE" w:rsidRDefault="00546513" w:rsidP="00546513">
      <w:pPr>
        <w:pStyle w:val="a"/>
        <w:bidi/>
        <w:spacing w:line="216" w:lineRule="auto"/>
        <w:rPr>
          <w:rFonts w:ascii="mylotus" w:hAnsi="mylotus"/>
          <w:b/>
          <w:bCs/>
          <w:sz w:val="34"/>
          <w:szCs w:val="34"/>
          <w:rtl/>
        </w:rPr>
      </w:pPr>
      <w:r w:rsidRPr="00E262BE">
        <w:rPr>
          <w:rFonts w:ascii="mylotus" w:hAnsi="mylotus"/>
          <w:b/>
          <w:bCs/>
          <w:sz w:val="34"/>
          <w:szCs w:val="34"/>
          <w:rtl/>
        </w:rPr>
        <w:t>العنصرُ الثاني: شمولُ قاعدة (</w:t>
      </w:r>
      <w:proofErr w:type="spellStart"/>
      <w:r w:rsidRPr="00E262BE">
        <w:rPr>
          <w:rFonts w:ascii="mylotus" w:hAnsi="mylotus"/>
          <w:b/>
          <w:bCs/>
          <w:sz w:val="34"/>
          <w:szCs w:val="34"/>
          <w:rtl/>
        </w:rPr>
        <w:t>لَاضَرَرَ</w:t>
      </w:r>
      <w:proofErr w:type="spellEnd"/>
      <w:r w:rsidRPr="00E262BE">
        <w:rPr>
          <w:rFonts w:ascii="mylotus" w:hAnsi="mylotus"/>
          <w:b/>
          <w:bCs/>
          <w:sz w:val="34"/>
          <w:szCs w:val="34"/>
          <w:rtl/>
        </w:rPr>
        <w:t>) للأحكام العدمية</w:t>
      </w:r>
      <w:r w:rsidRPr="00E262BE">
        <w:rPr>
          <w:rFonts w:ascii="mylotus" w:hAnsi="mylotus"/>
          <w:b/>
          <w:bCs/>
          <w:sz w:val="34"/>
          <w:szCs w:val="34"/>
        </w:rPr>
        <w:t>.</w:t>
      </w:r>
    </w:p>
    <w:p w14:paraId="5585ED71" w14:textId="77777777" w:rsidR="00546513" w:rsidRDefault="00546513" w:rsidP="00546513">
      <w:pPr>
        <w:pStyle w:val="a"/>
        <w:bidi/>
        <w:spacing w:line="216" w:lineRule="auto"/>
        <w:rPr>
          <w:rFonts w:ascii="mylotus" w:hAnsi="mylotus"/>
          <w:sz w:val="34"/>
          <w:szCs w:val="34"/>
          <w:rtl/>
        </w:rPr>
      </w:pPr>
      <w:r w:rsidRPr="00E262BE">
        <w:rPr>
          <w:rFonts w:ascii="mylotus" w:hAnsi="mylotus"/>
          <w:sz w:val="34"/>
          <w:szCs w:val="34"/>
          <w:rtl/>
        </w:rPr>
        <w:t>فالبحث</w:t>
      </w:r>
      <w:r>
        <w:rPr>
          <w:rFonts w:ascii="mylotus" w:hAnsi="mylotus" w:hint="cs"/>
          <w:sz w:val="34"/>
          <w:szCs w:val="34"/>
          <w:rtl/>
        </w:rPr>
        <w:t>ُ</w:t>
      </w:r>
      <w:r w:rsidRPr="00E262BE">
        <w:rPr>
          <w:rFonts w:ascii="mylotus" w:hAnsi="mylotus"/>
          <w:sz w:val="34"/>
          <w:szCs w:val="34"/>
          <w:rtl/>
        </w:rPr>
        <w:t xml:space="preserve"> يقع في كل</w:t>
      </w:r>
      <w:r>
        <w:rPr>
          <w:rFonts w:ascii="mylotus" w:hAnsi="mylotus" w:hint="cs"/>
          <w:sz w:val="34"/>
          <w:szCs w:val="34"/>
          <w:rtl/>
        </w:rPr>
        <w:t>ّ</w:t>
      </w:r>
      <w:r w:rsidRPr="00E262BE">
        <w:rPr>
          <w:rFonts w:ascii="mylotus" w:hAnsi="mylotus"/>
          <w:sz w:val="34"/>
          <w:szCs w:val="34"/>
          <w:rtl/>
        </w:rPr>
        <w:t xml:space="preserve"> واحد</w:t>
      </w:r>
      <w:r>
        <w:rPr>
          <w:rFonts w:ascii="mylotus" w:hAnsi="mylotus" w:hint="cs"/>
          <w:sz w:val="34"/>
          <w:szCs w:val="34"/>
          <w:rtl/>
        </w:rPr>
        <w:t>ٍ</w:t>
      </w:r>
      <w:r w:rsidRPr="00E262BE">
        <w:rPr>
          <w:rFonts w:ascii="mylotus" w:hAnsi="mylotus"/>
          <w:sz w:val="34"/>
          <w:szCs w:val="34"/>
          <w:rtl/>
        </w:rPr>
        <w:t xml:space="preserve"> منهما.</w:t>
      </w:r>
    </w:p>
    <w:p w14:paraId="0DF2DD9F" w14:textId="77777777" w:rsidR="00546513" w:rsidRPr="00E262BE" w:rsidRDefault="00546513" w:rsidP="00546513">
      <w:pPr>
        <w:pStyle w:val="a"/>
        <w:bidi/>
        <w:spacing w:line="216" w:lineRule="auto"/>
        <w:rPr>
          <w:rFonts w:ascii="mylotus" w:hAnsi="mylotus"/>
          <w:b/>
          <w:bCs/>
          <w:sz w:val="34"/>
          <w:szCs w:val="34"/>
          <w:rtl/>
        </w:rPr>
      </w:pPr>
      <w:r w:rsidRPr="00E262BE">
        <w:rPr>
          <w:rFonts w:ascii="mylotus" w:hAnsi="mylotus"/>
          <w:b/>
          <w:bCs/>
          <w:sz w:val="34"/>
          <w:szCs w:val="34"/>
          <w:rtl/>
        </w:rPr>
        <w:t>البحث</w:t>
      </w:r>
      <w:r>
        <w:rPr>
          <w:rFonts w:ascii="mylotus" w:hAnsi="mylotus" w:hint="cs"/>
          <w:b/>
          <w:bCs/>
          <w:sz w:val="34"/>
          <w:szCs w:val="34"/>
          <w:rtl/>
        </w:rPr>
        <w:t>ُ</w:t>
      </w:r>
      <w:r w:rsidRPr="00E262BE">
        <w:rPr>
          <w:rFonts w:ascii="mylotus" w:hAnsi="mylotus"/>
          <w:b/>
          <w:bCs/>
          <w:sz w:val="34"/>
          <w:szCs w:val="34"/>
          <w:rtl/>
        </w:rPr>
        <w:t xml:space="preserve"> في العنصر الأوّل</w:t>
      </w:r>
      <w:r w:rsidRPr="00E262BE">
        <w:rPr>
          <w:rFonts w:ascii="mylotus" w:hAnsi="mylotus"/>
          <w:b/>
          <w:bCs/>
          <w:sz w:val="34"/>
          <w:szCs w:val="34"/>
        </w:rPr>
        <w:t>:</w:t>
      </w:r>
    </w:p>
    <w:p w14:paraId="392CE0DF"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b/>
          <w:bCs/>
          <w:sz w:val="34"/>
          <w:szCs w:val="34"/>
          <w:rtl/>
        </w:rPr>
        <w:t>وهو:</w:t>
      </w:r>
      <w:r w:rsidRPr="00E262BE">
        <w:rPr>
          <w:rFonts w:ascii="mylotus" w:hAnsi="mylotus"/>
          <w:sz w:val="34"/>
          <w:szCs w:val="34"/>
          <w:rtl/>
        </w:rPr>
        <w:t xml:space="preserve"> هل أنّ عنوان "الضرر" في قوله (صلى الله عليه وآله): </w:t>
      </w:r>
      <w:r w:rsidRPr="00E262BE">
        <w:rPr>
          <w:rFonts w:ascii="mylotus" w:hAnsi="mylotus"/>
          <w:b/>
          <w:bCs/>
          <w:sz w:val="34"/>
          <w:szCs w:val="34"/>
          <w:rtl/>
        </w:rPr>
        <w:t>(</w:t>
      </w:r>
      <w:proofErr w:type="spellStart"/>
      <w:r w:rsidRPr="00E262BE">
        <w:rPr>
          <w:rFonts w:ascii="mylotus" w:hAnsi="mylotus"/>
          <w:b/>
          <w:bCs/>
          <w:sz w:val="34"/>
          <w:szCs w:val="34"/>
          <w:rtl/>
        </w:rPr>
        <w:t>لَاضَرَرَ</w:t>
      </w:r>
      <w:proofErr w:type="spellEnd"/>
      <w:r w:rsidRPr="00E262BE">
        <w:rPr>
          <w:rFonts w:ascii="mylotus" w:hAnsi="mylotus"/>
          <w:b/>
          <w:bCs/>
          <w:sz w:val="34"/>
          <w:szCs w:val="34"/>
          <w:rtl/>
        </w:rPr>
        <w:t>)</w:t>
      </w:r>
      <w:r w:rsidRPr="00E262BE">
        <w:rPr>
          <w:rFonts w:ascii="mylotus" w:hAnsi="mylotus"/>
          <w:sz w:val="34"/>
          <w:szCs w:val="34"/>
          <w:rtl/>
        </w:rPr>
        <w:t xml:space="preserve"> يشمل الأضرار الاعتبارية أم لا؟</w:t>
      </w:r>
    </w:p>
    <w:p w14:paraId="09BBA920"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sz w:val="34"/>
          <w:szCs w:val="34"/>
          <w:rtl/>
        </w:rPr>
        <w:t>والمرادُ بالضرر الاعتباري: الضررُ العرفي الحاصل بتجاوز حقٍّ ثابت</w:t>
      </w:r>
      <w:r>
        <w:rPr>
          <w:rFonts w:ascii="mylotus" w:hAnsi="mylotus" w:hint="cs"/>
          <w:sz w:val="34"/>
          <w:szCs w:val="34"/>
          <w:rtl/>
        </w:rPr>
        <w:t>ٍ</w:t>
      </w:r>
      <w:r w:rsidRPr="00E262BE">
        <w:rPr>
          <w:rFonts w:ascii="mylotus" w:hAnsi="mylotus"/>
          <w:sz w:val="34"/>
          <w:szCs w:val="34"/>
          <w:rtl/>
        </w:rPr>
        <w:t xml:space="preserve"> إمّا شرعاً نحو حق</w:t>
      </w:r>
      <w:r>
        <w:rPr>
          <w:rFonts w:ascii="mylotus" w:hAnsi="mylotus" w:hint="cs"/>
          <w:sz w:val="34"/>
          <w:szCs w:val="34"/>
          <w:rtl/>
        </w:rPr>
        <w:t>ّ</w:t>
      </w:r>
      <w:r w:rsidRPr="00E262BE">
        <w:rPr>
          <w:rFonts w:ascii="mylotus" w:hAnsi="mylotus"/>
          <w:sz w:val="34"/>
          <w:szCs w:val="34"/>
          <w:rtl/>
        </w:rPr>
        <w:t xml:space="preserve"> السبق أو ال</w:t>
      </w:r>
      <w:r>
        <w:rPr>
          <w:rFonts w:ascii="mylotus" w:hAnsi="mylotus" w:hint="cs"/>
          <w:sz w:val="34"/>
          <w:szCs w:val="34"/>
          <w:rtl/>
        </w:rPr>
        <w:t>ا</w:t>
      </w:r>
      <w:r w:rsidRPr="00E262BE">
        <w:rPr>
          <w:rFonts w:ascii="mylotus" w:hAnsi="mylotus"/>
          <w:sz w:val="34"/>
          <w:szCs w:val="34"/>
          <w:rtl/>
        </w:rPr>
        <w:t>ختصاص، أو</w:t>
      </w:r>
      <w:r>
        <w:rPr>
          <w:rFonts w:ascii="mylotus" w:hAnsi="mylotus" w:hint="cs"/>
          <w:sz w:val="34"/>
          <w:szCs w:val="34"/>
          <w:rtl/>
        </w:rPr>
        <w:t xml:space="preserve"> </w:t>
      </w:r>
      <w:r w:rsidRPr="00E262BE">
        <w:rPr>
          <w:rFonts w:ascii="mylotus" w:hAnsi="mylotus"/>
          <w:sz w:val="34"/>
          <w:szCs w:val="34"/>
          <w:rtl/>
        </w:rPr>
        <w:t>بالبناء العقلائي</w:t>
      </w:r>
      <w:r>
        <w:rPr>
          <w:rFonts w:ascii="mylotus" w:hAnsi="mylotus" w:hint="cs"/>
          <w:sz w:val="34"/>
          <w:szCs w:val="34"/>
          <w:rtl/>
        </w:rPr>
        <w:t>،</w:t>
      </w:r>
      <w:r w:rsidRPr="00E262BE">
        <w:rPr>
          <w:rFonts w:ascii="mylotus" w:hAnsi="mylotus"/>
          <w:sz w:val="34"/>
          <w:szCs w:val="34"/>
          <w:rtl/>
        </w:rPr>
        <w:t xml:space="preserve"> لا ما</w:t>
      </w:r>
      <w:r>
        <w:rPr>
          <w:rFonts w:ascii="mylotus" w:hAnsi="mylotus" w:hint="cs"/>
          <w:sz w:val="34"/>
          <w:szCs w:val="34"/>
          <w:rtl/>
        </w:rPr>
        <w:t xml:space="preserve"> </w:t>
      </w:r>
      <w:r w:rsidRPr="00E262BE">
        <w:rPr>
          <w:rFonts w:ascii="mylotus" w:hAnsi="mylotus"/>
          <w:sz w:val="34"/>
          <w:szCs w:val="34"/>
          <w:rtl/>
        </w:rPr>
        <w:t xml:space="preserve">كان تفويت نفع بحسب بعض </w:t>
      </w:r>
      <w:proofErr w:type="gramStart"/>
      <w:r w:rsidRPr="00E262BE">
        <w:rPr>
          <w:rFonts w:ascii="mylotus" w:hAnsi="mylotus"/>
          <w:sz w:val="34"/>
          <w:szCs w:val="34"/>
          <w:rtl/>
        </w:rPr>
        <w:t>الأعراف</w:t>
      </w:r>
      <w:r w:rsidRPr="00E262BE">
        <w:rPr>
          <w:rFonts w:ascii="mylotus" w:hAnsi="mylotus"/>
          <w:sz w:val="34"/>
          <w:szCs w:val="34"/>
        </w:rPr>
        <w:t xml:space="preserve"> .</w:t>
      </w:r>
      <w:proofErr w:type="gramEnd"/>
    </w:p>
    <w:p w14:paraId="7F53E97E" w14:textId="77777777" w:rsidR="00546513" w:rsidRPr="00E262BE" w:rsidRDefault="00546513" w:rsidP="00546513">
      <w:pPr>
        <w:pStyle w:val="a"/>
        <w:bidi/>
        <w:spacing w:line="216" w:lineRule="auto"/>
        <w:rPr>
          <w:rFonts w:ascii="mylotus" w:hAnsi="mylotus"/>
          <w:b/>
          <w:bCs/>
          <w:sz w:val="34"/>
          <w:szCs w:val="34"/>
          <w:rtl/>
        </w:rPr>
      </w:pPr>
      <w:r w:rsidRPr="00E262BE">
        <w:rPr>
          <w:rFonts w:ascii="mylotus" w:hAnsi="mylotus"/>
          <w:b/>
          <w:bCs/>
          <w:sz w:val="34"/>
          <w:szCs w:val="34"/>
          <w:rtl/>
        </w:rPr>
        <w:t>فهناك فرقٌ بين موردين</w:t>
      </w:r>
      <w:r w:rsidRPr="00E262BE">
        <w:rPr>
          <w:rFonts w:ascii="mylotus" w:hAnsi="mylotus" w:hint="cs"/>
          <w:b/>
          <w:bCs/>
          <w:sz w:val="34"/>
          <w:szCs w:val="34"/>
          <w:rtl/>
        </w:rPr>
        <w:t>:</w:t>
      </w:r>
    </w:p>
    <w:p w14:paraId="513181CE" w14:textId="77777777" w:rsidR="00546513" w:rsidRDefault="00546513" w:rsidP="00546513">
      <w:pPr>
        <w:pStyle w:val="a"/>
        <w:bidi/>
        <w:spacing w:line="216" w:lineRule="auto"/>
        <w:rPr>
          <w:rFonts w:ascii="mylotus" w:hAnsi="mylotus"/>
          <w:sz w:val="34"/>
          <w:szCs w:val="34"/>
          <w:rtl/>
        </w:rPr>
      </w:pPr>
      <w:r w:rsidRPr="00E262BE">
        <w:rPr>
          <w:rFonts w:ascii="mylotus" w:hAnsi="mylotus" w:hint="cs"/>
          <w:b/>
          <w:bCs/>
          <w:sz w:val="34"/>
          <w:szCs w:val="34"/>
          <w:rtl/>
        </w:rPr>
        <w:t>الموردُ الأوّل:</w:t>
      </w:r>
      <w:r>
        <w:rPr>
          <w:rFonts w:ascii="mylotus" w:hAnsi="mylotus" w:hint="cs"/>
          <w:sz w:val="34"/>
          <w:szCs w:val="34"/>
          <w:rtl/>
        </w:rPr>
        <w:t xml:space="preserve"> </w:t>
      </w:r>
      <w:r w:rsidRPr="00E262BE">
        <w:rPr>
          <w:rFonts w:ascii="mylotus" w:hAnsi="mylotus"/>
          <w:sz w:val="34"/>
          <w:szCs w:val="34"/>
          <w:rtl/>
        </w:rPr>
        <w:t>ما</w:t>
      </w:r>
      <w:r>
        <w:rPr>
          <w:rFonts w:ascii="mylotus" w:hAnsi="mylotus" w:hint="cs"/>
          <w:sz w:val="34"/>
          <w:szCs w:val="34"/>
          <w:rtl/>
        </w:rPr>
        <w:t xml:space="preserve"> </w:t>
      </w:r>
      <w:r w:rsidRPr="00E262BE">
        <w:rPr>
          <w:rFonts w:ascii="mylotus" w:hAnsi="mylotus"/>
          <w:sz w:val="34"/>
          <w:szCs w:val="34"/>
          <w:rtl/>
        </w:rPr>
        <w:t>تقوم ب</w:t>
      </w:r>
      <w:r>
        <w:rPr>
          <w:rFonts w:ascii="mylotus" w:hAnsi="mylotus" w:hint="cs"/>
          <w:sz w:val="34"/>
          <w:szCs w:val="34"/>
          <w:rtl/>
        </w:rPr>
        <w:t>ِ</w:t>
      </w:r>
      <w:r w:rsidRPr="00E262BE">
        <w:rPr>
          <w:rFonts w:ascii="mylotus" w:hAnsi="mylotus"/>
          <w:sz w:val="34"/>
          <w:szCs w:val="34"/>
          <w:rtl/>
        </w:rPr>
        <w:t>ه</w:t>
      </w:r>
      <w:r>
        <w:rPr>
          <w:rFonts w:ascii="mylotus" w:hAnsi="mylotus" w:hint="cs"/>
          <w:sz w:val="34"/>
          <w:szCs w:val="34"/>
          <w:rtl/>
        </w:rPr>
        <w:t>ِ</w:t>
      </w:r>
      <w:r w:rsidRPr="00E262BE">
        <w:rPr>
          <w:rFonts w:ascii="mylotus" w:hAnsi="mylotus"/>
          <w:sz w:val="34"/>
          <w:szCs w:val="34"/>
          <w:rtl/>
        </w:rPr>
        <w:t xml:space="preserve"> الدولة مثلا</w:t>
      </w:r>
      <w:r>
        <w:rPr>
          <w:rFonts w:ascii="mylotus" w:hAnsi="mylotus" w:hint="cs"/>
          <w:sz w:val="34"/>
          <w:szCs w:val="34"/>
          <w:rtl/>
        </w:rPr>
        <w:t>ً</w:t>
      </w:r>
      <w:r w:rsidRPr="00E262BE">
        <w:rPr>
          <w:rFonts w:ascii="mylotus" w:hAnsi="mylotus"/>
          <w:sz w:val="34"/>
          <w:szCs w:val="34"/>
          <w:rtl/>
        </w:rPr>
        <w:t xml:space="preserve"> م</w:t>
      </w:r>
      <w:r>
        <w:rPr>
          <w:rFonts w:ascii="mylotus" w:hAnsi="mylotus" w:hint="cs"/>
          <w:sz w:val="34"/>
          <w:szCs w:val="34"/>
          <w:rtl/>
        </w:rPr>
        <w:t>ِ</w:t>
      </w:r>
      <w:r w:rsidRPr="00E262BE">
        <w:rPr>
          <w:rFonts w:ascii="mylotus" w:hAnsi="mylotus"/>
          <w:sz w:val="34"/>
          <w:szCs w:val="34"/>
          <w:rtl/>
        </w:rPr>
        <w:t>ن جعل حقوق وامتيازات لبعض المواطنين دون غيرهم، نحو حق</w:t>
      </w:r>
      <w:r>
        <w:rPr>
          <w:rFonts w:ascii="mylotus" w:hAnsi="mylotus" w:hint="cs"/>
          <w:sz w:val="34"/>
          <w:szCs w:val="34"/>
          <w:rtl/>
        </w:rPr>
        <w:t>ّ</w:t>
      </w:r>
      <w:r w:rsidRPr="00E262BE">
        <w:rPr>
          <w:rFonts w:ascii="mylotus" w:hAnsi="mylotus"/>
          <w:sz w:val="34"/>
          <w:szCs w:val="34"/>
          <w:rtl/>
        </w:rPr>
        <w:t xml:space="preserve"> الدبلوماسي مِن العبور بنفسه أو</w:t>
      </w:r>
      <w:r>
        <w:rPr>
          <w:rFonts w:ascii="mylotus" w:hAnsi="mylotus" w:hint="cs"/>
          <w:sz w:val="34"/>
          <w:szCs w:val="34"/>
          <w:rtl/>
        </w:rPr>
        <w:t xml:space="preserve"> </w:t>
      </w:r>
      <w:r w:rsidRPr="00E262BE">
        <w:rPr>
          <w:rFonts w:ascii="mylotus" w:hAnsi="mylotus"/>
          <w:sz w:val="34"/>
          <w:szCs w:val="34"/>
          <w:rtl/>
        </w:rPr>
        <w:t>سيارته في منطقة معي</w:t>
      </w:r>
      <w:r>
        <w:rPr>
          <w:rFonts w:ascii="mylotus" w:hAnsi="mylotus" w:hint="cs"/>
          <w:sz w:val="34"/>
          <w:szCs w:val="34"/>
          <w:rtl/>
        </w:rPr>
        <w:t>ّ</w:t>
      </w:r>
      <w:r w:rsidRPr="00E262BE">
        <w:rPr>
          <w:rFonts w:ascii="mylotus" w:hAnsi="mylotus"/>
          <w:sz w:val="34"/>
          <w:szCs w:val="34"/>
          <w:rtl/>
        </w:rPr>
        <w:t>نة دون غيره</w:t>
      </w:r>
      <w:r>
        <w:rPr>
          <w:rFonts w:ascii="mylotus" w:hAnsi="mylotus" w:hint="cs"/>
          <w:sz w:val="34"/>
          <w:szCs w:val="34"/>
          <w:rtl/>
        </w:rPr>
        <w:t>.</w:t>
      </w:r>
    </w:p>
    <w:p w14:paraId="734D9F90"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hint="cs"/>
          <w:b/>
          <w:bCs/>
          <w:sz w:val="34"/>
          <w:szCs w:val="34"/>
          <w:rtl/>
        </w:rPr>
        <w:t>الموردُ الثاني:</w:t>
      </w:r>
      <w:r>
        <w:rPr>
          <w:rFonts w:ascii="mylotus" w:hAnsi="mylotus" w:hint="cs"/>
          <w:sz w:val="34"/>
          <w:szCs w:val="34"/>
          <w:rtl/>
        </w:rPr>
        <w:t xml:space="preserve"> </w:t>
      </w:r>
      <w:r w:rsidRPr="00E262BE">
        <w:rPr>
          <w:rFonts w:ascii="mylotus" w:hAnsi="mylotus"/>
          <w:sz w:val="34"/>
          <w:szCs w:val="34"/>
          <w:rtl/>
        </w:rPr>
        <w:t xml:space="preserve">التصرف </w:t>
      </w:r>
      <w:proofErr w:type="gramStart"/>
      <w:r w:rsidRPr="00E262BE">
        <w:rPr>
          <w:rFonts w:ascii="mylotus" w:hAnsi="mylotus"/>
          <w:sz w:val="34"/>
          <w:szCs w:val="34"/>
          <w:rtl/>
        </w:rPr>
        <w:t>في ما</w:t>
      </w:r>
      <w:proofErr w:type="gramEnd"/>
      <w:r w:rsidRPr="00E262BE">
        <w:rPr>
          <w:rFonts w:ascii="mylotus" w:hAnsi="mylotus"/>
          <w:sz w:val="34"/>
          <w:szCs w:val="34"/>
          <w:rtl/>
        </w:rPr>
        <w:t xml:space="preserve"> ملكه المواطن بالمِلكيّة القانونية</w:t>
      </w:r>
      <w:r w:rsidRPr="00E262BE">
        <w:rPr>
          <w:rFonts w:ascii="mylotus" w:hAnsi="mylotus"/>
          <w:sz w:val="34"/>
          <w:szCs w:val="34"/>
        </w:rPr>
        <w:t>.</w:t>
      </w:r>
    </w:p>
    <w:p w14:paraId="03EF4E74" w14:textId="54C1D6C4" w:rsidR="00546513" w:rsidRDefault="00546513" w:rsidP="00546513">
      <w:pPr>
        <w:pStyle w:val="a"/>
        <w:bidi/>
        <w:spacing w:line="216" w:lineRule="auto"/>
        <w:rPr>
          <w:rFonts w:ascii="mylotus" w:hAnsi="mylotus"/>
          <w:sz w:val="34"/>
          <w:szCs w:val="34"/>
          <w:rtl/>
        </w:rPr>
      </w:pPr>
      <w:r w:rsidRPr="00E262BE">
        <w:rPr>
          <w:rFonts w:ascii="mylotus" w:hAnsi="mylotus"/>
          <w:sz w:val="34"/>
          <w:szCs w:val="34"/>
          <w:rtl/>
        </w:rPr>
        <w:t>ومحل البحث هو الثاني</w:t>
      </w:r>
      <w:r>
        <w:rPr>
          <w:rFonts w:ascii="mylotus" w:hAnsi="mylotus" w:hint="cs"/>
          <w:sz w:val="34"/>
          <w:szCs w:val="34"/>
          <w:rtl/>
        </w:rPr>
        <w:t>؛</w:t>
      </w:r>
      <w:r w:rsidRPr="00E262BE">
        <w:rPr>
          <w:rFonts w:ascii="mylotus" w:hAnsi="mylotus"/>
          <w:sz w:val="34"/>
          <w:szCs w:val="34"/>
          <w:rtl/>
        </w:rPr>
        <w:t xml:space="preserve"> لاستلزام التصرف فيه تفويت حقٍّ ثابتٍ بالبناء العقلائي العام</w:t>
      </w:r>
      <w:r w:rsidRPr="00E262BE">
        <w:rPr>
          <w:rFonts w:ascii="mylotus" w:hAnsi="mylotus"/>
          <w:sz w:val="34"/>
          <w:szCs w:val="34"/>
        </w:rPr>
        <w:t xml:space="preserve"> </w:t>
      </w:r>
    </w:p>
    <w:p w14:paraId="0EA1646D"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b/>
          <w:bCs/>
          <w:sz w:val="34"/>
          <w:szCs w:val="34"/>
          <w:rtl/>
        </w:rPr>
        <w:t>مثلا</w:t>
      </w:r>
      <w:r w:rsidRPr="00E262BE">
        <w:rPr>
          <w:rFonts w:ascii="mylotus" w:hAnsi="mylotus" w:hint="cs"/>
          <w:b/>
          <w:bCs/>
          <w:sz w:val="34"/>
          <w:szCs w:val="34"/>
          <w:rtl/>
        </w:rPr>
        <w:t>ً</w:t>
      </w:r>
      <w:r w:rsidRPr="00E262BE">
        <w:rPr>
          <w:rFonts w:ascii="mylotus" w:hAnsi="mylotus"/>
          <w:b/>
          <w:bCs/>
          <w:sz w:val="34"/>
          <w:szCs w:val="34"/>
          <w:rtl/>
        </w:rPr>
        <w:t>:</w:t>
      </w:r>
      <w:r w:rsidRPr="00E262BE">
        <w:rPr>
          <w:rFonts w:ascii="mylotus" w:hAnsi="mylotus"/>
          <w:sz w:val="34"/>
          <w:szCs w:val="34"/>
          <w:rtl/>
        </w:rPr>
        <w:t xml:space="preserve"> إذا اشترى المواطنُ أرضاً مواتاً، فإنّ مقتضى القانون أن</w:t>
      </w:r>
      <w:r>
        <w:rPr>
          <w:rFonts w:ascii="mylotus" w:hAnsi="mylotus" w:hint="cs"/>
          <w:sz w:val="34"/>
          <w:szCs w:val="34"/>
          <w:rtl/>
        </w:rPr>
        <w:t>ّ</w:t>
      </w:r>
      <w:r w:rsidRPr="00E262BE">
        <w:rPr>
          <w:rFonts w:ascii="mylotus" w:hAnsi="mylotus"/>
          <w:sz w:val="34"/>
          <w:szCs w:val="34"/>
          <w:rtl/>
        </w:rPr>
        <w:t xml:space="preserve"> الأرض م</w:t>
      </w:r>
      <w:r>
        <w:rPr>
          <w:rFonts w:ascii="mylotus" w:hAnsi="mylotus" w:hint="cs"/>
          <w:sz w:val="34"/>
          <w:szCs w:val="34"/>
          <w:rtl/>
        </w:rPr>
        <w:t>ِ</w:t>
      </w:r>
      <w:r w:rsidRPr="00E262BE">
        <w:rPr>
          <w:rFonts w:ascii="mylotus" w:hAnsi="mylotus"/>
          <w:sz w:val="34"/>
          <w:szCs w:val="34"/>
          <w:rtl/>
        </w:rPr>
        <w:t>لكه، مع عدم تملكها شرعا</w:t>
      </w:r>
      <w:r>
        <w:rPr>
          <w:rFonts w:ascii="mylotus" w:hAnsi="mylotus" w:hint="cs"/>
          <w:sz w:val="34"/>
          <w:szCs w:val="34"/>
          <w:rtl/>
        </w:rPr>
        <w:t>ً</w:t>
      </w:r>
      <w:r w:rsidRPr="00E262BE">
        <w:rPr>
          <w:rFonts w:ascii="mylotus" w:hAnsi="mylotus"/>
          <w:sz w:val="34"/>
          <w:szCs w:val="34"/>
          <w:rtl/>
        </w:rPr>
        <w:t>، وعندئذ</w:t>
      </w:r>
      <w:r>
        <w:rPr>
          <w:rFonts w:ascii="mylotus" w:hAnsi="mylotus" w:hint="cs"/>
          <w:sz w:val="34"/>
          <w:szCs w:val="34"/>
          <w:rtl/>
        </w:rPr>
        <w:t>ٍ</w:t>
      </w:r>
      <w:r w:rsidRPr="00E262BE">
        <w:rPr>
          <w:rFonts w:ascii="mylotus" w:hAnsi="mylotus"/>
          <w:sz w:val="34"/>
          <w:szCs w:val="34"/>
          <w:rtl/>
        </w:rPr>
        <w:t xml:space="preserve"> فاستيلاءُ شخصٍ آخر على الأرض يعدُّ بالنظر العقلائي العام ضررا</w:t>
      </w:r>
      <w:r>
        <w:rPr>
          <w:rFonts w:ascii="mylotus" w:hAnsi="mylotus" w:hint="cs"/>
          <w:sz w:val="34"/>
          <w:szCs w:val="34"/>
          <w:rtl/>
        </w:rPr>
        <w:t>ً</w:t>
      </w:r>
      <w:r w:rsidRPr="00E262BE">
        <w:rPr>
          <w:rFonts w:ascii="mylotus" w:hAnsi="mylotus"/>
          <w:sz w:val="34"/>
          <w:szCs w:val="34"/>
          <w:rtl/>
        </w:rPr>
        <w:t xml:space="preserve"> على مَن ملكها بقرار القانون؛ لأنّه تجاوزَ حقّاً ثابتاً بالنظر العقلائي العام</w:t>
      </w:r>
      <w:r w:rsidRPr="00E262BE">
        <w:rPr>
          <w:rFonts w:ascii="mylotus" w:hAnsi="mylotus"/>
          <w:sz w:val="34"/>
          <w:szCs w:val="34"/>
        </w:rPr>
        <w:t>.</w:t>
      </w:r>
    </w:p>
    <w:p w14:paraId="60966A7C"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sz w:val="34"/>
          <w:szCs w:val="34"/>
          <w:rtl/>
        </w:rPr>
        <w:t>كما أن</w:t>
      </w:r>
      <w:r>
        <w:rPr>
          <w:rFonts w:ascii="mylotus" w:hAnsi="mylotus" w:hint="cs"/>
          <w:sz w:val="34"/>
          <w:szCs w:val="34"/>
          <w:rtl/>
        </w:rPr>
        <w:t>ّ</w:t>
      </w:r>
      <w:r w:rsidRPr="00E262BE">
        <w:rPr>
          <w:rFonts w:ascii="mylotus" w:hAnsi="mylotus"/>
          <w:sz w:val="34"/>
          <w:szCs w:val="34"/>
          <w:rtl/>
        </w:rPr>
        <w:t>ه لو قامت الدولة بتحويلِ مبلغٍ إلى حساب المواطن ولَمْ يملكه شرعا</w:t>
      </w:r>
      <w:r>
        <w:rPr>
          <w:rFonts w:ascii="mylotus" w:hAnsi="mylotus" w:hint="cs"/>
          <w:sz w:val="34"/>
          <w:szCs w:val="34"/>
          <w:rtl/>
        </w:rPr>
        <w:t>ً؛</w:t>
      </w:r>
      <w:r w:rsidRPr="00E262BE">
        <w:rPr>
          <w:rFonts w:ascii="mylotus" w:hAnsi="mylotus"/>
          <w:sz w:val="34"/>
          <w:szCs w:val="34"/>
          <w:rtl/>
        </w:rPr>
        <w:t xml:space="preserve"> حيث</w:t>
      </w:r>
      <w:r>
        <w:rPr>
          <w:rFonts w:ascii="mylotus" w:hAnsi="mylotus" w:hint="cs"/>
          <w:sz w:val="34"/>
          <w:szCs w:val="34"/>
          <w:rtl/>
        </w:rPr>
        <w:t>ُ</w:t>
      </w:r>
      <w:r w:rsidRPr="00E262BE">
        <w:rPr>
          <w:rFonts w:ascii="mylotus" w:hAnsi="mylotus"/>
          <w:sz w:val="34"/>
          <w:szCs w:val="34"/>
          <w:rtl/>
        </w:rPr>
        <w:t xml:space="preserve"> ل</w:t>
      </w:r>
      <w:r>
        <w:rPr>
          <w:rFonts w:ascii="mylotus" w:hAnsi="mylotus" w:hint="cs"/>
          <w:sz w:val="34"/>
          <w:szCs w:val="34"/>
          <w:rtl/>
        </w:rPr>
        <w:t>َ</w:t>
      </w:r>
      <w:r w:rsidRPr="00E262BE">
        <w:rPr>
          <w:rFonts w:ascii="mylotus" w:hAnsi="mylotus"/>
          <w:sz w:val="34"/>
          <w:szCs w:val="34"/>
          <w:rtl/>
        </w:rPr>
        <w:t>م</w:t>
      </w:r>
      <w:r>
        <w:rPr>
          <w:rFonts w:ascii="mylotus" w:hAnsi="mylotus" w:hint="cs"/>
          <w:sz w:val="34"/>
          <w:szCs w:val="34"/>
          <w:rtl/>
        </w:rPr>
        <w:t>ْ</w:t>
      </w:r>
      <w:r w:rsidRPr="00E262BE">
        <w:rPr>
          <w:rFonts w:ascii="mylotus" w:hAnsi="mylotus"/>
          <w:sz w:val="34"/>
          <w:szCs w:val="34"/>
          <w:rtl/>
        </w:rPr>
        <w:t xml:space="preserve"> يقبضه على بعض المباني، فتصرف شخصٌ آخر في حساب ذلك المواطن، فالتصرف بنظر العقلاء ضررٌ على صاحب الحساب؛ حيث</w:t>
      </w:r>
      <w:r>
        <w:rPr>
          <w:rFonts w:ascii="mylotus" w:hAnsi="mylotus" w:hint="cs"/>
          <w:sz w:val="34"/>
          <w:szCs w:val="34"/>
          <w:rtl/>
        </w:rPr>
        <w:t>ُ</w:t>
      </w:r>
      <w:r w:rsidRPr="00E262BE">
        <w:rPr>
          <w:rFonts w:ascii="mylotus" w:hAnsi="mylotus"/>
          <w:sz w:val="34"/>
          <w:szCs w:val="34"/>
          <w:rtl/>
        </w:rPr>
        <w:t xml:space="preserve"> تجاوزَ حقّاً ثابتاً بالقانون</w:t>
      </w:r>
      <w:r w:rsidRPr="00E262BE">
        <w:rPr>
          <w:rFonts w:ascii="mylotus" w:hAnsi="mylotus"/>
          <w:sz w:val="34"/>
          <w:szCs w:val="34"/>
        </w:rPr>
        <w:t>.</w:t>
      </w:r>
    </w:p>
    <w:p w14:paraId="057FFC6E" w14:textId="77777777" w:rsidR="00546513" w:rsidRDefault="00546513" w:rsidP="00546513">
      <w:pPr>
        <w:pStyle w:val="a"/>
        <w:bidi/>
        <w:spacing w:line="216" w:lineRule="auto"/>
        <w:rPr>
          <w:rFonts w:ascii="mylotus" w:hAnsi="mylotus"/>
          <w:sz w:val="34"/>
          <w:szCs w:val="34"/>
          <w:rtl/>
        </w:rPr>
      </w:pPr>
      <w:r w:rsidRPr="00E262BE">
        <w:rPr>
          <w:rFonts w:ascii="mylotus" w:hAnsi="mylotus"/>
          <w:sz w:val="34"/>
          <w:szCs w:val="34"/>
          <w:rtl/>
        </w:rPr>
        <w:t>وم</w:t>
      </w:r>
      <w:r>
        <w:rPr>
          <w:rFonts w:ascii="mylotus" w:hAnsi="mylotus" w:hint="cs"/>
          <w:sz w:val="34"/>
          <w:szCs w:val="34"/>
          <w:rtl/>
        </w:rPr>
        <w:t>ِ</w:t>
      </w:r>
      <w:r w:rsidRPr="00E262BE">
        <w:rPr>
          <w:rFonts w:ascii="mylotus" w:hAnsi="mylotus"/>
          <w:sz w:val="34"/>
          <w:szCs w:val="34"/>
          <w:rtl/>
        </w:rPr>
        <w:t>ن أمثلته ما</w:t>
      </w:r>
      <w:r>
        <w:rPr>
          <w:rFonts w:ascii="mylotus" w:hAnsi="mylotus" w:hint="cs"/>
          <w:sz w:val="34"/>
          <w:szCs w:val="34"/>
          <w:rtl/>
        </w:rPr>
        <w:t xml:space="preserve"> </w:t>
      </w:r>
      <w:r w:rsidRPr="00E262BE">
        <w:rPr>
          <w:rFonts w:ascii="mylotus" w:hAnsi="mylotus"/>
          <w:sz w:val="34"/>
          <w:szCs w:val="34"/>
          <w:rtl/>
        </w:rPr>
        <w:t>هو محل الكلام نحو</w:t>
      </w:r>
      <w:r>
        <w:rPr>
          <w:rFonts w:ascii="mylotus" w:hAnsi="mylotus" w:hint="cs"/>
          <w:sz w:val="34"/>
          <w:szCs w:val="34"/>
          <w:rtl/>
        </w:rPr>
        <w:t>:</w:t>
      </w:r>
      <w:r w:rsidRPr="00E262BE">
        <w:rPr>
          <w:rFonts w:ascii="mylotus" w:hAnsi="mylotus"/>
          <w:sz w:val="34"/>
          <w:szCs w:val="34"/>
          <w:rtl/>
        </w:rPr>
        <w:t xml:space="preserve"> حق</w:t>
      </w:r>
      <w:r>
        <w:rPr>
          <w:rFonts w:ascii="mylotus" w:hAnsi="mylotus" w:hint="cs"/>
          <w:sz w:val="34"/>
          <w:szCs w:val="34"/>
          <w:rtl/>
        </w:rPr>
        <w:t>ّ</w:t>
      </w:r>
      <w:r w:rsidRPr="00E262BE">
        <w:rPr>
          <w:rFonts w:ascii="mylotus" w:hAnsi="mylotus"/>
          <w:sz w:val="34"/>
          <w:szCs w:val="34"/>
          <w:rtl/>
        </w:rPr>
        <w:t xml:space="preserve"> البراءة وحق</w:t>
      </w:r>
      <w:r>
        <w:rPr>
          <w:rFonts w:ascii="mylotus" w:hAnsi="mylotus" w:hint="cs"/>
          <w:sz w:val="34"/>
          <w:szCs w:val="34"/>
          <w:rtl/>
        </w:rPr>
        <w:t>ّ</w:t>
      </w:r>
      <w:r w:rsidRPr="00E262BE">
        <w:rPr>
          <w:rFonts w:ascii="mylotus" w:hAnsi="mylotus"/>
          <w:sz w:val="34"/>
          <w:szCs w:val="34"/>
          <w:rtl/>
        </w:rPr>
        <w:t xml:space="preserve"> الحر</w:t>
      </w:r>
      <w:r>
        <w:rPr>
          <w:rFonts w:ascii="mylotus" w:hAnsi="mylotus" w:hint="cs"/>
          <w:sz w:val="34"/>
          <w:szCs w:val="34"/>
          <w:rtl/>
        </w:rPr>
        <w:t>ّ</w:t>
      </w:r>
      <w:r w:rsidRPr="00E262BE">
        <w:rPr>
          <w:rFonts w:ascii="mylotus" w:hAnsi="mylotus"/>
          <w:sz w:val="34"/>
          <w:szCs w:val="34"/>
          <w:rtl/>
        </w:rPr>
        <w:t xml:space="preserve"> القادر في فرصة العمل.</w:t>
      </w:r>
    </w:p>
    <w:p w14:paraId="1A03B239" w14:textId="6FF86AD2" w:rsidR="00546513" w:rsidRPr="00E262BE" w:rsidRDefault="00546513" w:rsidP="00546513">
      <w:pPr>
        <w:pStyle w:val="a"/>
        <w:bidi/>
        <w:spacing w:line="216" w:lineRule="auto"/>
        <w:rPr>
          <w:rFonts w:ascii="mylotus" w:hAnsi="mylotus"/>
          <w:sz w:val="34"/>
          <w:szCs w:val="34"/>
          <w:rtl/>
        </w:rPr>
      </w:pPr>
      <w:r w:rsidRPr="00E262BE">
        <w:rPr>
          <w:rFonts w:ascii="mylotus" w:hAnsi="mylotus"/>
          <w:sz w:val="34"/>
          <w:szCs w:val="34"/>
          <w:rtl/>
        </w:rPr>
        <w:t>وأم</w:t>
      </w:r>
      <w:r>
        <w:rPr>
          <w:rFonts w:ascii="mylotus" w:hAnsi="mylotus" w:hint="cs"/>
          <w:sz w:val="34"/>
          <w:szCs w:val="34"/>
          <w:rtl/>
        </w:rPr>
        <w:t>ّ</w:t>
      </w:r>
      <w:r w:rsidRPr="00E262BE">
        <w:rPr>
          <w:rFonts w:ascii="mylotus" w:hAnsi="mylotus"/>
          <w:sz w:val="34"/>
          <w:szCs w:val="34"/>
          <w:rtl/>
        </w:rPr>
        <w:t xml:space="preserve">ا المورد الأول من الحقوق فحيث إنه </w:t>
      </w:r>
      <w:r w:rsidR="004D3101" w:rsidRPr="00E262BE">
        <w:rPr>
          <w:rFonts w:ascii="mylotus" w:hAnsi="mylotus" w:hint="cs"/>
          <w:sz w:val="34"/>
          <w:szCs w:val="34"/>
          <w:rtl/>
        </w:rPr>
        <w:t>لا يحظ</w:t>
      </w:r>
      <w:r w:rsidR="004D3101" w:rsidRPr="00E262BE">
        <w:rPr>
          <w:rFonts w:ascii="mylotus" w:hAnsi="mylotus" w:hint="eastAsia"/>
          <w:sz w:val="34"/>
          <w:szCs w:val="34"/>
          <w:rtl/>
        </w:rPr>
        <w:t>ى</w:t>
      </w:r>
      <w:r w:rsidRPr="00E262BE">
        <w:rPr>
          <w:rFonts w:ascii="mylotus" w:hAnsi="mylotus"/>
          <w:sz w:val="34"/>
          <w:szCs w:val="34"/>
          <w:rtl/>
        </w:rPr>
        <w:t xml:space="preserve"> بالإقرار العقلائي العام فالمنع من اندراجه تحت " </w:t>
      </w:r>
      <w:proofErr w:type="spellStart"/>
      <w:r w:rsidRPr="00E262BE">
        <w:rPr>
          <w:rFonts w:ascii="mylotus" w:hAnsi="mylotus"/>
          <w:sz w:val="34"/>
          <w:szCs w:val="34"/>
          <w:rtl/>
        </w:rPr>
        <w:t>لاضرر</w:t>
      </w:r>
      <w:proofErr w:type="spellEnd"/>
      <w:r w:rsidRPr="00E262BE">
        <w:rPr>
          <w:rFonts w:ascii="mylotus" w:hAnsi="mylotus"/>
          <w:sz w:val="34"/>
          <w:szCs w:val="34"/>
          <w:rtl/>
        </w:rPr>
        <w:t xml:space="preserve">" </w:t>
      </w:r>
      <w:proofErr w:type="gramStart"/>
      <w:r w:rsidRPr="00E262BE">
        <w:rPr>
          <w:rFonts w:ascii="mylotus" w:hAnsi="mylotus"/>
          <w:sz w:val="34"/>
          <w:szCs w:val="34"/>
          <w:rtl/>
        </w:rPr>
        <w:t>واضح ،</w:t>
      </w:r>
      <w:proofErr w:type="gramEnd"/>
      <w:r w:rsidRPr="00E262BE">
        <w:rPr>
          <w:rFonts w:ascii="mylotus" w:hAnsi="mylotus"/>
          <w:sz w:val="34"/>
          <w:szCs w:val="34"/>
          <w:rtl/>
        </w:rPr>
        <w:t xml:space="preserve"> وإنما يتجه البحث في المورد الثاني</w:t>
      </w:r>
      <w:r w:rsidRPr="00E262BE">
        <w:rPr>
          <w:rFonts w:ascii="mylotus" w:hAnsi="mylotus"/>
          <w:sz w:val="34"/>
          <w:szCs w:val="34"/>
        </w:rPr>
        <w:t>.</w:t>
      </w:r>
    </w:p>
    <w:p w14:paraId="1AD8F945" w14:textId="77777777" w:rsidR="00546513" w:rsidRDefault="00546513" w:rsidP="00546513">
      <w:pPr>
        <w:pStyle w:val="a"/>
        <w:bidi/>
        <w:spacing w:line="216" w:lineRule="auto"/>
        <w:rPr>
          <w:rFonts w:ascii="mylotus" w:hAnsi="mylotus"/>
          <w:b/>
          <w:bCs/>
          <w:sz w:val="34"/>
          <w:szCs w:val="34"/>
          <w:rtl/>
        </w:rPr>
      </w:pPr>
      <w:r w:rsidRPr="00E262BE">
        <w:rPr>
          <w:rFonts w:ascii="mylotus" w:hAnsi="mylotus"/>
          <w:sz w:val="34"/>
          <w:szCs w:val="34"/>
          <w:rtl/>
        </w:rPr>
        <w:t>وقد أفاد سيدنا الخوئي (قدس سره الشريف) في بحث العدالة م</w:t>
      </w:r>
      <w:r>
        <w:rPr>
          <w:rFonts w:ascii="mylotus" w:hAnsi="mylotus" w:hint="cs"/>
          <w:sz w:val="34"/>
          <w:szCs w:val="34"/>
          <w:rtl/>
        </w:rPr>
        <w:t>ِ</w:t>
      </w:r>
      <w:r w:rsidRPr="00E262BE">
        <w:rPr>
          <w:rFonts w:ascii="mylotus" w:hAnsi="mylotus"/>
          <w:sz w:val="34"/>
          <w:szCs w:val="34"/>
          <w:rtl/>
        </w:rPr>
        <w:t>ن كتاب التقليد</w:t>
      </w:r>
      <w:r>
        <w:rPr>
          <w:rFonts w:ascii="mylotus" w:hAnsi="mylotus" w:hint="cs"/>
          <w:sz w:val="34"/>
          <w:szCs w:val="34"/>
          <w:rtl/>
        </w:rPr>
        <w:t xml:space="preserve"> بقوله: </w:t>
      </w:r>
      <w:r w:rsidRPr="00525F87">
        <w:rPr>
          <w:rFonts w:ascii="mylotus" w:hAnsi="mylotus" w:hint="cs"/>
          <w:b/>
          <w:bCs/>
          <w:sz w:val="34"/>
          <w:szCs w:val="34"/>
          <w:rtl/>
        </w:rPr>
        <w:t xml:space="preserve">(والأنظار العرفية </w:t>
      </w:r>
      <w:proofErr w:type="spellStart"/>
      <w:r w:rsidRPr="00525F87">
        <w:rPr>
          <w:rFonts w:ascii="mylotus" w:hAnsi="mylotus" w:hint="cs"/>
          <w:b/>
          <w:bCs/>
          <w:sz w:val="34"/>
          <w:szCs w:val="34"/>
          <w:rtl/>
        </w:rPr>
        <w:t>وتسامحاتهم</w:t>
      </w:r>
      <w:proofErr w:type="spellEnd"/>
      <w:r w:rsidRPr="00525F87">
        <w:rPr>
          <w:rFonts w:ascii="mylotus" w:hAnsi="mylotus" w:hint="cs"/>
          <w:b/>
          <w:bCs/>
          <w:sz w:val="34"/>
          <w:szCs w:val="34"/>
          <w:rtl/>
        </w:rPr>
        <w:t xml:space="preserve"> إنما تتبع في مفاهيم الألفاظ، فإن التوسعة والتضييق في استفادة المفاهيم من ألفاظها راجعان إلى العرف، ومن هنا نرتب آثار الماء على المياه </w:t>
      </w:r>
      <w:r w:rsidRPr="00525F87">
        <w:rPr>
          <w:rFonts w:ascii="mylotus" w:hAnsi="mylotus" w:hint="cs"/>
          <w:b/>
          <w:bCs/>
          <w:sz w:val="34"/>
          <w:szCs w:val="34"/>
          <w:rtl/>
        </w:rPr>
        <w:lastRenderedPageBreak/>
        <w:t>الممتزجة بالزاج والجص وغيرهما مما لا يخلو منه الماء عادة، وكذا آثار الذهب على ما هو ذهب وغيره، وذلك لأن مفهوم الماء والذهب عند إطلاقهما أعم من الخالص والخليط بغيرهما بمقدار يسير. وأما تطبيق المفاهيم العرفية على مصاديقها ومواردها فلم يقم فيه أيّ دليل على اعتبار النظر العرفي وفهمه)</w:t>
      </w:r>
      <w:r w:rsidRPr="00525F87">
        <w:rPr>
          <w:rStyle w:val="FootnoteReference"/>
          <w:rFonts w:ascii="mylotus" w:hAnsi="mylotus"/>
          <w:sz w:val="34"/>
          <w:szCs w:val="34"/>
          <w:rtl/>
        </w:rPr>
        <w:footnoteReference w:id="201"/>
      </w:r>
      <w:r>
        <w:rPr>
          <w:rFonts w:ascii="mylotus" w:hAnsi="mylotus" w:hint="cs"/>
          <w:b/>
          <w:bCs/>
          <w:sz w:val="34"/>
          <w:szCs w:val="34"/>
          <w:rtl/>
        </w:rPr>
        <w:t>.</w:t>
      </w:r>
    </w:p>
    <w:p w14:paraId="10DF8743" w14:textId="77777777" w:rsidR="00546513" w:rsidRDefault="00546513" w:rsidP="00546513">
      <w:pPr>
        <w:pStyle w:val="a"/>
        <w:bidi/>
        <w:spacing w:line="216" w:lineRule="auto"/>
        <w:rPr>
          <w:rFonts w:ascii="mylotus" w:hAnsi="mylotus"/>
          <w:sz w:val="34"/>
          <w:szCs w:val="34"/>
          <w:rtl/>
        </w:rPr>
      </w:pPr>
      <w:r w:rsidRPr="00E262BE">
        <w:rPr>
          <w:rFonts w:ascii="mylotus" w:hAnsi="mylotus"/>
          <w:sz w:val="34"/>
          <w:szCs w:val="34"/>
          <w:rtl/>
        </w:rPr>
        <w:t>وم</w:t>
      </w:r>
      <w:r>
        <w:rPr>
          <w:rFonts w:ascii="mylotus" w:hAnsi="mylotus" w:hint="cs"/>
          <w:sz w:val="34"/>
          <w:szCs w:val="34"/>
          <w:rtl/>
        </w:rPr>
        <w:t>ِ</w:t>
      </w:r>
      <w:r w:rsidRPr="00E262BE">
        <w:rPr>
          <w:rFonts w:ascii="mylotus" w:hAnsi="mylotus"/>
          <w:sz w:val="34"/>
          <w:szCs w:val="34"/>
          <w:rtl/>
        </w:rPr>
        <w:t>ن هذا القبيل الرجوع إلى العرف في تحديد مصداق الضرر</w:t>
      </w:r>
      <w:r>
        <w:rPr>
          <w:rFonts w:ascii="mylotus" w:hAnsi="mylotus" w:hint="cs"/>
          <w:sz w:val="34"/>
          <w:szCs w:val="34"/>
          <w:rtl/>
        </w:rPr>
        <w:t>.</w:t>
      </w:r>
    </w:p>
    <w:p w14:paraId="6A54DBD8" w14:textId="77777777" w:rsidR="00546513" w:rsidRPr="00525F87" w:rsidRDefault="00546513" w:rsidP="00546513">
      <w:pPr>
        <w:pStyle w:val="a"/>
        <w:bidi/>
        <w:spacing w:line="216" w:lineRule="auto"/>
        <w:rPr>
          <w:rFonts w:ascii="mylotus" w:hAnsi="mylotus"/>
          <w:b/>
          <w:bCs/>
          <w:sz w:val="34"/>
          <w:szCs w:val="34"/>
          <w:rtl/>
        </w:rPr>
      </w:pPr>
      <w:r w:rsidRPr="00525F87">
        <w:rPr>
          <w:rFonts w:ascii="mylotus" w:hAnsi="mylotus"/>
          <w:b/>
          <w:bCs/>
          <w:sz w:val="34"/>
          <w:szCs w:val="34"/>
          <w:rtl/>
        </w:rPr>
        <w:t>فقد ي</w:t>
      </w:r>
      <w:r w:rsidRPr="00525F87">
        <w:rPr>
          <w:rFonts w:ascii="mylotus" w:hAnsi="mylotus" w:hint="cs"/>
          <w:b/>
          <w:bCs/>
          <w:sz w:val="34"/>
          <w:szCs w:val="34"/>
          <w:rtl/>
        </w:rPr>
        <w:t>ُ</w:t>
      </w:r>
      <w:r w:rsidRPr="00525F87">
        <w:rPr>
          <w:rFonts w:ascii="mylotus" w:hAnsi="mylotus"/>
          <w:b/>
          <w:bCs/>
          <w:sz w:val="34"/>
          <w:szCs w:val="34"/>
          <w:rtl/>
        </w:rPr>
        <w:t xml:space="preserve">قال: </w:t>
      </w:r>
      <w:r w:rsidRPr="00E262BE">
        <w:rPr>
          <w:rFonts w:ascii="mylotus" w:hAnsi="mylotus"/>
          <w:sz w:val="34"/>
          <w:szCs w:val="34"/>
          <w:rtl/>
        </w:rPr>
        <w:t>إن</w:t>
      </w:r>
      <w:r>
        <w:rPr>
          <w:rFonts w:ascii="mylotus" w:hAnsi="mylotus" w:hint="cs"/>
          <w:sz w:val="34"/>
          <w:szCs w:val="34"/>
          <w:rtl/>
        </w:rPr>
        <w:t>ّ</w:t>
      </w:r>
      <w:r w:rsidRPr="00E262BE">
        <w:rPr>
          <w:rFonts w:ascii="mylotus" w:hAnsi="mylotus"/>
          <w:sz w:val="34"/>
          <w:szCs w:val="34"/>
          <w:rtl/>
        </w:rPr>
        <w:t>ه لا حجية لنظر العرف فيه</w:t>
      </w:r>
      <w:r>
        <w:rPr>
          <w:rFonts w:ascii="mylotus" w:hAnsi="mylotus" w:hint="cs"/>
          <w:sz w:val="34"/>
          <w:szCs w:val="34"/>
          <w:rtl/>
        </w:rPr>
        <w:t>؛</w:t>
      </w:r>
      <w:r w:rsidRPr="00E262BE">
        <w:rPr>
          <w:rFonts w:ascii="mylotus" w:hAnsi="mylotus"/>
          <w:sz w:val="34"/>
          <w:szCs w:val="34"/>
          <w:rtl/>
        </w:rPr>
        <w:t xml:space="preserve"> حيث</w:t>
      </w:r>
      <w:r>
        <w:rPr>
          <w:rFonts w:ascii="mylotus" w:hAnsi="mylotus" w:hint="cs"/>
          <w:sz w:val="34"/>
          <w:szCs w:val="34"/>
          <w:rtl/>
        </w:rPr>
        <w:t>ُ</w:t>
      </w:r>
      <w:r w:rsidRPr="00E262BE">
        <w:rPr>
          <w:rFonts w:ascii="mylotus" w:hAnsi="mylotus"/>
          <w:sz w:val="34"/>
          <w:szCs w:val="34"/>
          <w:rtl/>
        </w:rPr>
        <w:t xml:space="preserve"> إن</w:t>
      </w:r>
      <w:r>
        <w:rPr>
          <w:rFonts w:ascii="mylotus" w:hAnsi="mylotus" w:hint="cs"/>
          <w:sz w:val="34"/>
          <w:szCs w:val="34"/>
          <w:rtl/>
        </w:rPr>
        <w:t>ّ</w:t>
      </w:r>
      <w:r w:rsidRPr="00E262BE">
        <w:rPr>
          <w:rFonts w:ascii="mylotus" w:hAnsi="mylotus"/>
          <w:sz w:val="34"/>
          <w:szCs w:val="34"/>
          <w:rtl/>
        </w:rPr>
        <w:t xml:space="preserve"> ما قام عليه الدليل حجية نظر العرف في تحديد المفهوم</w:t>
      </w:r>
      <w:r>
        <w:rPr>
          <w:rFonts w:ascii="mylotus" w:hAnsi="mylotus" w:hint="cs"/>
          <w:sz w:val="34"/>
          <w:szCs w:val="34"/>
          <w:rtl/>
        </w:rPr>
        <w:t>،</w:t>
      </w:r>
      <w:r w:rsidRPr="00E262BE">
        <w:rPr>
          <w:rFonts w:ascii="mylotus" w:hAnsi="mylotus"/>
          <w:sz w:val="34"/>
          <w:szCs w:val="34"/>
          <w:rtl/>
        </w:rPr>
        <w:t xml:space="preserve"> لا حجية نظره في تشخيص المصداق</w:t>
      </w:r>
      <w:r w:rsidRPr="00E262BE">
        <w:rPr>
          <w:rFonts w:ascii="mylotus" w:hAnsi="mylotus"/>
          <w:sz w:val="34"/>
          <w:szCs w:val="34"/>
        </w:rPr>
        <w:t>.</w:t>
      </w:r>
    </w:p>
    <w:p w14:paraId="5482EABF" w14:textId="77777777" w:rsidR="00546513" w:rsidRDefault="00546513" w:rsidP="00546513">
      <w:pPr>
        <w:pStyle w:val="a"/>
        <w:bidi/>
        <w:spacing w:line="216" w:lineRule="auto"/>
        <w:rPr>
          <w:rFonts w:ascii="mylotus" w:hAnsi="mylotus"/>
          <w:sz w:val="34"/>
          <w:szCs w:val="34"/>
          <w:rtl/>
        </w:rPr>
      </w:pPr>
      <w:r w:rsidRPr="00525F87">
        <w:rPr>
          <w:rFonts w:ascii="mylotus" w:hAnsi="mylotus"/>
          <w:b/>
          <w:bCs/>
          <w:sz w:val="34"/>
          <w:szCs w:val="34"/>
          <w:rtl/>
        </w:rPr>
        <w:t>وبيانُهُ بنحو</w:t>
      </w:r>
      <w:r>
        <w:rPr>
          <w:rFonts w:ascii="mylotus" w:hAnsi="mylotus" w:hint="cs"/>
          <w:b/>
          <w:bCs/>
          <w:sz w:val="34"/>
          <w:szCs w:val="34"/>
          <w:rtl/>
        </w:rPr>
        <w:t>ٍ</w:t>
      </w:r>
      <w:r w:rsidRPr="00525F87">
        <w:rPr>
          <w:rFonts w:ascii="mylotus" w:hAnsi="mylotus"/>
          <w:b/>
          <w:bCs/>
          <w:sz w:val="34"/>
          <w:szCs w:val="34"/>
          <w:rtl/>
        </w:rPr>
        <w:t xml:space="preserve"> مفصل</w:t>
      </w:r>
      <w:r>
        <w:rPr>
          <w:rFonts w:ascii="mylotus" w:hAnsi="mylotus" w:hint="cs"/>
          <w:b/>
          <w:bCs/>
          <w:sz w:val="34"/>
          <w:szCs w:val="34"/>
          <w:rtl/>
        </w:rPr>
        <w:t>ٍ</w:t>
      </w:r>
      <w:r w:rsidRPr="00525F87">
        <w:rPr>
          <w:rFonts w:ascii="mylotus" w:hAnsi="mylotus"/>
          <w:b/>
          <w:bCs/>
          <w:sz w:val="34"/>
          <w:szCs w:val="34"/>
          <w:rtl/>
        </w:rPr>
        <w:t>:</w:t>
      </w:r>
    </w:p>
    <w:p w14:paraId="3D749633"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sz w:val="34"/>
          <w:szCs w:val="34"/>
          <w:rtl/>
        </w:rPr>
        <w:t>أنّ العنوان الوارد في لسان الدليل تارةً يكونُ عنواناً إنشائياً، وأُخرى يكونُ خبرياً</w:t>
      </w:r>
      <w:r w:rsidRPr="00E262BE">
        <w:rPr>
          <w:rFonts w:ascii="mylotus" w:hAnsi="mylotus"/>
          <w:sz w:val="34"/>
          <w:szCs w:val="34"/>
        </w:rPr>
        <w:t>.</w:t>
      </w:r>
    </w:p>
    <w:p w14:paraId="3CB3032F" w14:textId="77777777" w:rsidR="00546513" w:rsidRPr="00E262BE" w:rsidRDefault="00546513" w:rsidP="00546513">
      <w:pPr>
        <w:pStyle w:val="a"/>
        <w:bidi/>
        <w:spacing w:line="216" w:lineRule="auto"/>
        <w:rPr>
          <w:rFonts w:ascii="mylotus" w:hAnsi="mylotus"/>
          <w:sz w:val="34"/>
          <w:szCs w:val="34"/>
          <w:rtl/>
        </w:rPr>
      </w:pPr>
      <w:r w:rsidRPr="00525F87">
        <w:rPr>
          <w:rFonts w:ascii="mylotus" w:hAnsi="mylotus"/>
          <w:b/>
          <w:bCs/>
          <w:sz w:val="34"/>
          <w:szCs w:val="34"/>
          <w:rtl/>
        </w:rPr>
        <w:t>فإذا كان العنوانُ إنشائياً</w:t>
      </w:r>
      <w:r>
        <w:rPr>
          <w:rFonts w:ascii="mylotus" w:hAnsi="mylotus" w:hint="cs"/>
          <w:b/>
          <w:bCs/>
          <w:sz w:val="34"/>
          <w:szCs w:val="34"/>
          <w:rtl/>
        </w:rPr>
        <w:t xml:space="preserve">، </w:t>
      </w:r>
      <w:r w:rsidRPr="00E262BE">
        <w:rPr>
          <w:rFonts w:ascii="mylotus" w:hAnsi="mylotus"/>
          <w:sz w:val="34"/>
          <w:szCs w:val="34"/>
          <w:rtl/>
        </w:rPr>
        <w:t>بمعنى</w:t>
      </w:r>
      <w:r>
        <w:rPr>
          <w:rFonts w:ascii="mylotus" w:hAnsi="mylotus" w:hint="cs"/>
          <w:sz w:val="34"/>
          <w:szCs w:val="34"/>
          <w:rtl/>
        </w:rPr>
        <w:t>:</w:t>
      </w:r>
      <w:r w:rsidRPr="00E262BE">
        <w:rPr>
          <w:rFonts w:ascii="mylotus" w:hAnsi="mylotus"/>
          <w:sz w:val="34"/>
          <w:szCs w:val="34"/>
          <w:rtl/>
        </w:rPr>
        <w:t xml:space="preserve"> أن</w:t>
      </w:r>
      <w:r>
        <w:rPr>
          <w:rFonts w:ascii="mylotus" w:hAnsi="mylotus" w:hint="cs"/>
          <w:sz w:val="34"/>
          <w:szCs w:val="34"/>
          <w:rtl/>
        </w:rPr>
        <w:t>ّ</w:t>
      </w:r>
      <w:r w:rsidRPr="00E262BE">
        <w:rPr>
          <w:rFonts w:ascii="mylotus" w:hAnsi="mylotus"/>
          <w:sz w:val="34"/>
          <w:szCs w:val="34"/>
          <w:rtl/>
        </w:rPr>
        <w:t xml:space="preserve"> قوام مفهومه بإنشاء العرف، نظير: عنوان "الهتك" و "التعظيم"</w:t>
      </w:r>
      <w:r>
        <w:rPr>
          <w:rFonts w:ascii="mylotus" w:hAnsi="mylotus" w:hint="cs"/>
          <w:sz w:val="34"/>
          <w:szCs w:val="34"/>
          <w:rtl/>
        </w:rPr>
        <w:t>،</w:t>
      </w:r>
      <w:r w:rsidRPr="00E262BE">
        <w:rPr>
          <w:rFonts w:ascii="mylotus" w:hAnsi="mylotus"/>
          <w:sz w:val="34"/>
          <w:szCs w:val="34"/>
          <w:rtl/>
        </w:rPr>
        <w:t xml:space="preserve"> و</w:t>
      </w:r>
      <w:r>
        <w:rPr>
          <w:rFonts w:ascii="mylotus" w:hAnsi="mylotus" w:hint="cs"/>
          <w:sz w:val="34"/>
          <w:szCs w:val="34"/>
          <w:rtl/>
        </w:rPr>
        <w:t>عنوان</w:t>
      </w:r>
      <w:r w:rsidRPr="00E262BE">
        <w:rPr>
          <w:rFonts w:ascii="mylotus" w:hAnsi="mylotus"/>
          <w:sz w:val="34"/>
          <w:szCs w:val="34"/>
          <w:rtl/>
        </w:rPr>
        <w:t xml:space="preserve"> "اللهو" و" الذكر "</w:t>
      </w:r>
      <w:r>
        <w:rPr>
          <w:rFonts w:ascii="mylotus" w:hAnsi="mylotus" w:hint="cs"/>
          <w:sz w:val="34"/>
          <w:szCs w:val="34"/>
          <w:rtl/>
        </w:rPr>
        <w:t>،</w:t>
      </w:r>
      <w:r w:rsidRPr="00E262BE">
        <w:rPr>
          <w:rFonts w:ascii="mylotus" w:hAnsi="mylotus"/>
          <w:sz w:val="34"/>
          <w:szCs w:val="34"/>
          <w:rtl/>
        </w:rPr>
        <w:t xml:space="preserve"> وعنوان "الاستقامة والستر والعفاف"، فلا محالة مقتضى ذلك الرجوع إلى نظر العرف في تشخيص المصداق؛ لأنّ قوام المفهوم بالصدق العرفي</w:t>
      </w:r>
      <w:r>
        <w:rPr>
          <w:rFonts w:ascii="mylotus" w:hAnsi="mylotus" w:hint="cs"/>
          <w:sz w:val="34"/>
          <w:szCs w:val="34"/>
          <w:rtl/>
        </w:rPr>
        <w:t>.</w:t>
      </w:r>
    </w:p>
    <w:p w14:paraId="3A8E080D" w14:textId="77777777" w:rsidR="00546513" w:rsidRDefault="00546513" w:rsidP="00546513">
      <w:pPr>
        <w:pStyle w:val="a"/>
        <w:bidi/>
        <w:spacing w:line="216" w:lineRule="auto"/>
        <w:rPr>
          <w:rFonts w:ascii="mylotus" w:hAnsi="mylotus"/>
          <w:sz w:val="34"/>
          <w:szCs w:val="34"/>
          <w:rtl/>
        </w:rPr>
      </w:pPr>
      <w:r w:rsidRPr="00525F87">
        <w:rPr>
          <w:rFonts w:ascii="mylotus" w:hAnsi="mylotus"/>
          <w:b/>
          <w:bCs/>
          <w:sz w:val="34"/>
          <w:szCs w:val="34"/>
          <w:rtl/>
        </w:rPr>
        <w:t>وإذا كان العنوان</w:t>
      </w:r>
      <w:r>
        <w:rPr>
          <w:rFonts w:ascii="mylotus" w:hAnsi="mylotus" w:hint="cs"/>
          <w:b/>
          <w:bCs/>
          <w:sz w:val="34"/>
          <w:szCs w:val="34"/>
          <w:rtl/>
        </w:rPr>
        <w:t>ُ</w:t>
      </w:r>
      <w:r w:rsidRPr="00525F87">
        <w:rPr>
          <w:rFonts w:ascii="mylotus" w:hAnsi="mylotus"/>
          <w:b/>
          <w:bCs/>
          <w:sz w:val="34"/>
          <w:szCs w:val="34"/>
          <w:rtl/>
        </w:rPr>
        <w:t xml:space="preserve"> خبرياً،</w:t>
      </w:r>
      <w:r w:rsidRPr="00E262BE">
        <w:rPr>
          <w:rFonts w:ascii="mylotus" w:hAnsi="mylotus"/>
          <w:sz w:val="34"/>
          <w:szCs w:val="34"/>
          <w:rtl/>
        </w:rPr>
        <w:t xml:space="preserve"> فالمحكي ب</w:t>
      </w:r>
      <w:r>
        <w:rPr>
          <w:rFonts w:ascii="mylotus" w:hAnsi="mylotus" w:hint="cs"/>
          <w:sz w:val="34"/>
          <w:szCs w:val="34"/>
          <w:rtl/>
        </w:rPr>
        <w:t>ِ</w:t>
      </w:r>
      <w:r w:rsidRPr="00E262BE">
        <w:rPr>
          <w:rFonts w:ascii="mylotus" w:hAnsi="mylotus"/>
          <w:sz w:val="34"/>
          <w:szCs w:val="34"/>
          <w:rtl/>
        </w:rPr>
        <w:t>ه</w:t>
      </w:r>
      <w:r>
        <w:rPr>
          <w:rFonts w:ascii="mylotus" w:hAnsi="mylotus" w:hint="cs"/>
          <w:sz w:val="34"/>
          <w:szCs w:val="34"/>
          <w:rtl/>
        </w:rPr>
        <w:t>ِ</w:t>
      </w:r>
      <w:r w:rsidRPr="00E262BE">
        <w:rPr>
          <w:rFonts w:ascii="mylotus" w:hAnsi="mylotus"/>
          <w:sz w:val="34"/>
          <w:szCs w:val="34"/>
          <w:rtl/>
        </w:rPr>
        <w:t xml:space="preserve"> تارة</w:t>
      </w:r>
      <w:r>
        <w:rPr>
          <w:rFonts w:ascii="mylotus" w:hAnsi="mylotus" w:hint="cs"/>
          <w:sz w:val="34"/>
          <w:szCs w:val="34"/>
          <w:rtl/>
        </w:rPr>
        <w:t xml:space="preserve">ً </w:t>
      </w:r>
      <w:r w:rsidRPr="00E262BE">
        <w:rPr>
          <w:rFonts w:ascii="mylotus" w:hAnsi="mylotus"/>
          <w:sz w:val="34"/>
          <w:szCs w:val="34"/>
          <w:rtl/>
        </w:rPr>
        <w:t>يكون أمر</w:t>
      </w:r>
      <w:r>
        <w:rPr>
          <w:rFonts w:ascii="mylotus" w:hAnsi="mylotus" w:hint="cs"/>
          <w:sz w:val="34"/>
          <w:szCs w:val="34"/>
          <w:rtl/>
        </w:rPr>
        <w:t>اً</w:t>
      </w:r>
      <w:r w:rsidRPr="00E262BE">
        <w:rPr>
          <w:rFonts w:ascii="mylotus" w:hAnsi="mylotus"/>
          <w:sz w:val="34"/>
          <w:szCs w:val="34"/>
          <w:rtl/>
        </w:rPr>
        <w:t xml:space="preserve"> اعتباريا</w:t>
      </w:r>
      <w:r>
        <w:rPr>
          <w:rFonts w:ascii="mylotus" w:hAnsi="mylotus" w:hint="cs"/>
          <w:sz w:val="34"/>
          <w:szCs w:val="34"/>
          <w:rtl/>
        </w:rPr>
        <w:t>ً</w:t>
      </w:r>
      <w:r w:rsidRPr="00E262BE">
        <w:rPr>
          <w:rFonts w:ascii="mylotus" w:hAnsi="mylotus"/>
          <w:sz w:val="34"/>
          <w:szCs w:val="34"/>
          <w:rtl/>
        </w:rPr>
        <w:t>، وأ</w:t>
      </w:r>
      <w:r>
        <w:rPr>
          <w:rFonts w:ascii="mylotus" w:hAnsi="mylotus" w:hint="cs"/>
          <w:sz w:val="34"/>
          <w:szCs w:val="34"/>
          <w:rtl/>
        </w:rPr>
        <w:t>ُ</w:t>
      </w:r>
      <w:r w:rsidRPr="00E262BE">
        <w:rPr>
          <w:rFonts w:ascii="mylotus" w:hAnsi="mylotus"/>
          <w:sz w:val="34"/>
          <w:szCs w:val="34"/>
          <w:rtl/>
        </w:rPr>
        <w:t>خرى يكون المحكي ب</w:t>
      </w:r>
      <w:r>
        <w:rPr>
          <w:rFonts w:ascii="mylotus" w:hAnsi="mylotus" w:hint="cs"/>
          <w:sz w:val="34"/>
          <w:szCs w:val="34"/>
          <w:rtl/>
        </w:rPr>
        <w:t>ِ</w:t>
      </w:r>
      <w:r w:rsidRPr="00E262BE">
        <w:rPr>
          <w:rFonts w:ascii="mylotus" w:hAnsi="mylotus"/>
          <w:sz w:val="34"/>
          <w:szCs w:val="34"/>
          <w:rtl/>
        </w:rPr>
        <w:t>ه</w:t>
      </w:r>
      <w:r>
        <w:rPr>
          <w:rFonts w:ascii="mylotus" w:hAnsi="mylotus" w:hint="cs"/>
          <w:sz w:val="34"/>
          <w:szCs w:val="34"/>
          <w:rtl/>
        </w:rPr>
        <w:t>ِ</w:t>
      </w:r>
      <w:r w:rsidRPr="00E262BE">
        <w:rPr>
          <w:rFonts w:ascii="mylotus" w:hAnsi="mylotus"/>
          <w:sz w:val="34"/>
          <w:szCs w:val="34"/>
          <w:rtl/>
        </w:rPr>
        <w:t xml:space="preserve"> أمرا</w:t>
      </w:r>
      <w:r>
        <w:rPr>
          <w:rFonts w:ascii="mylotus" w:hAnsi="mylotus" w:hint="cs"/>
          <w:sz w:val="34"/>
          <w:szCs w:val="34"/>
          <w:rtl/>
        </w:rPr>
        <w:t>ً</w:t>
      </w:r>
      <w:r w:rsidRPr="00E262BE">
        <w:rPr>
          <w:rFonts w:ascii="mylotus" w:hAnsi="mylotus"/>
          <w:sz w:val="34"/>
          <w:szCs w:val="34"/>
          <w:rtl/>
        </w:rPr>
        <w:t xml:space="preserve"> واقعيا</w:t>
      </w:r>
      <w:r>
        <w:rPr>
          <w:rFonts w:ascii="mylotus" w:hAnsi="mylotus" w:hint="cs"/>
          <w:sz w:val="34"/>
          <w:szCs w:val="34"/>
          <w:rtl/>
        </w:rPr>
        <w:t>ً.</w:t>
      </w:r>
    </w:p>
    <w:p w14:paraId="75D7BCBA" w14:textId="77777777" w:rsidR="00546513" w:rsidRDefault="00546513" w:rsidP="00546513">
      <w:pPr>
        <w:pStyle w:val="a"/>
        <w:bidi/>
        <w:spacing w:line="216" w:lineRule="auto"/>
        <w:rPr>
          <w:rFonts w:ascii="mylotus" w:hAnsi="mylotus"/>
          <w:sz w:val="34"/>
          <w:szCs w:val="34"/>
          <w:rtl/>
        </w:rPr>
      </w:pPr>
      <w:r w:rsidRPr="00525F87">
        <w:rPr>
          <w:rFonts w:ascii="mylotus" w:hAnsi="mylotus"/>
          <w:b/>
          <w:bCs/>
          <w:sz w:val="34"/>
          <w:szCs w:val="34"/>
          <w:rtl/>
        </w:rPr>
        <w:t>فالأو</w:t>
      </w:r>
      <w:r w:rsidRPr="00525F87">
        <w:rPr>
          <w:rFonts w:ascii="mylotus" w:hAnsi="mylotus" w:hint="cs"/>
          <w:b/>
          <w:bCs/>
          <w:sz w:val="34"/>
          <w:szCs w:val="34"/>
          <w:rtl/>
        </w:rPr>
        <w:t>ّ</w:t>
      </w:r>
      <w:r w:rsidRPr="00525F87">
        <w:rPr>
          <w:rFonts w:ascii="mylotus" w:hAnsi="mylotus"/>
          <w:b/>
          <w:bCs/>
          <w:sz w:val="34"/>
          <w:szCs w:val="34"/>
          <w:rtl/>
        </w:rPr>
        <w:t>ل</w:t>
      </w:r>
      <w:r>
        <w:rPr>
          <w:rFonts w:ascii="mylotus" w:hAnsi="mylotus" w:hint="cs"/>
          <w:b/>
          <w:bCs/>
          <w:sz w:val="34"/>
          <w:szCs w:val="34"/>
          <w:rtl/>
        </w:rPr>
        <w:t>:</w:t>
      </w:r>
      <w:r w:rsidRPr="00E262BE">
        <w:rPr>
          <w:rFonts w:ascii="mylotus" w:hAnsi="mylotus"/>
          <w:sz w:val="34"/>
          <w:szCs w:val="34"/>
          <w:rtl/>
        </w:rPr>
        <w:t xml:space="preserve"> إن</w:t>
      </w:r>
      <w:r>
        <w:rPr>
          <w:rFonts w:ascii="mylotus" w:hAnsi="mylotus" w:hint="cs"/>
          <w:sz w:val="34"/>
          <w:szCs w:val="34"/>
          <w:rtl/>
        </w:rPr>
        <w:t>ْ</w:t>
      </w:r>
      <w:r w:rsidRPr="00E262BE">
        <w:rPr>
          <w:rFonts w:ascii="mylotus" w:hAnsi="mylotus"/>
          <w:sz w:val="34"/>
          <w:szCs w:val="34"/>
          <w:rtl/>
        </w:rPr>
        <w:t xml:space="preserve"> كان م</w:t>
      </w:r>
      <w:r>
        <w:rPr>
          <w:rFonts w:ascii="mylotus" w:hAnsi="mylotus" w:hint="cs"/>
          <w:sz w:val="34"/>
          <w:szCs w:val="34"/>
          <w:rtl/>
        </w:rPr>
        <w:t>ِ</w:t>
      </w:r>
      <w:r w:rsidRPr="00E262BE">
        <w:rPr>
          <w:rFonts w:ascii="mylotus" w:hAnsi="mylotus"/>
          <w:sz w:val="34"/>
          <w:szCs w:val="34"/>
          <w:rtl/>
        </w:rPr>
        <w:t>ن الاعتبارات العقلائية كعناوين المعاملات كالمضاربة والشركة فالمنصرف منه عند الإطلاق مفهومه العرفي ما</w:t>
      </w:r>
      <w:r>
        <w:rPr>
          <w:rFonts w:ascii="mylotus" w:hAnsi="mylotus" w:hint="cs"/>
          <w:sz w:val="34"/>
          <w:szCs w:val="34"/>
          <w:rtl/>
        </w:rPr>
        <w:t xml:space="preserve"> </w:t>
      </w:r>
      <w:r w:rsidRPr="00E262BE">
        <w:rPr>
          <w:rFonts w:ascii="mylotus" w:hAnsi="mylotus"/>
          <w:sz w:val="34"/>
          <w:szCs w:val="34"/>
          <w:rtl/>
        </w:rPr>
        <w:t>ل</w:t>
      </w:r>
      <w:r>
        <w:rPr>
          <w:rFonts w:ascii="mylotus" w:hAnsi="mylotus" w:hint="cs"/>
          <w:sz w:val="34"/>
          <w:szCs w:val="34"/>
          <w:rtl/>
        </w:rPr>
        <w:t>َ</w:t>
      </w:r>
      <w:r w:rsidRPr="00E262BE">
        <w:rPr>
          <w:rFonts w:ascii="mylotus" w:hAnsi="mylotus"/>
          <w:sz w:val="34"/>
          <w:szCs w:val="34"/>
          <w:rtl/>
        </w:rPr>
        <w:t>م</w:t>
      </w:r>
      <w:r>
        <w:rPr>
          <w:rFonts w:ascii="mylotus" w:hAnsi="mylotus" w:hint="cs"/>
          <w:sz w:val="34"/>
          <w:szCs w:val="34"/>
          <w:rtl/>
        </w:rPr>
        <w:t>ْ</w:t>
      </w:r>
      <w:r w:rsidRPr="00E262BE">
        <w:rPr>
          <w:rFonts w:ascii="mylotus" w:hAnsi="mylotus"/>
          <w:sz w:val="34"/>
          <w:szCs w:val="34"/>
          <w:rtl/>
        </w:rPr>
        <w:t xml:space="preserve"> تقم قرينة على إرادة الشرعي منه، وإن</w:t>
      </w:r>
      <w:r>
        <w:rPr>
          <w:rFonts w:ascii="mylotus" w:hAnsi="mylotus" w:hint="cs"/>
          <w:sz w:val="34"/>
          <w:szCs w:val="34"/>
          <w:rtl/>
        </w:rPr>
        <w:t>ْ</w:t>
      </w:r>
      <w:r w:rsidRPr="00E262BE">
        <w:rPr>
          <w:rFonts w:ascii="mylotus" w:hAnsi="mylotus"/>
          <w:sz w:val="34"/>
          <w:szCs w:val="34"/>
          <w:rtl/>
        </w:rPr>
        <w:t xml:space="preserve"> كان م</w:t>
      </w:r>
      <w:r>
        <w:rPr>
          <w:rFonts w:ascii="mylotus" w:hAnsi="mylotus" w:hint="cs"/>
          <w:sz w:val="34"/>
          <w:szCs w:val="34"/>
          <w:rtl/>
        </w:rPr>
        <w:t>ِ</w:t>
      </w:r>
      <w:r w:rsidRPr="00E262BE">
        <w:rPr>
          <w:rFonts w:ascii="mylotus" w:hAnsi="mylotus"/>
          <w:sz w:val="34"/>
          <w:szCs w:val="34"/>
          <w:rtl/>
        </w:rPr>
        <w:t>ن ال</w:t>
      </w:r>
      <w:r>
        <w:rPr>
          <w:rFonts w:ascii="mylotus" w:hAnsi="mylotus" w:hint="cs"/>
          <w:sz w:val="34"/>
          <w:szCs w:val="34"/>
          <w:rtl/>
        </w:rPr>
        <w:t>ا</w:t>
      </w:r>
      <w:r w:rsidRPr="00E262BE">
        <w:rPr>
          <w:rFonts w:ascii="mylotus" w:hAnsi="mylotus"/>
          <w:sz w:val="34"/>
          <w:szCs w:val="34"/>
          <w:rtl/>
        </w:rPr>
        <w:t>عتبارات الشرعية كالصلاة والطواف والتذكية فالمنصرف منه المعنى الشرعي</w:t>
      </w:r>
      <w:r>
        <w:rPr>
          <w:rFonts w:ascii="mylotus" w:hAnsi="mylotus" w:hint="cs"/>
          <w:sz w:val="34"/>
          <w:szCs w:val="34"/>
          <w:rtl/>
        </w:rPr>
        <w:t>.</w:t>
      </w:r>
    </w:p>
    <w:p w14:paraId="70701BE3" w14:textId="77777777" w:rsidR="00546513" w:rsidRPr="00E262BE" w:rsidRDefault="00546513" w:rsidP="00546513">
      <w:pPr>
        <w:pStyle w:val="a"/>
        <w:bidi/>
        <w:spacing w:line="216" w:lineRule="auto"/>
        <w:rPr>
          <w:rFonts w:ascii="mylotus" w:hAnsi="mylotus"/>
          <w:sz w:val="34"/>
          <w:szCs w:val="34"/>
          <w:rtl/>
        </w:rPr>
      </w:pPr>
      <w:r w:rsidRPr="00525F87">
        <w:rPr>
          <w:rFonts w:ascii="mylotus" w:hAnsi="mylotus"/>
          <w:b/>
          <w:bCs/>
          <w:sz w:val="34"/>
          <w:szCs w:val="34"/>
          <w:rtl/>
        </w:rPr>
        <w:t>والثاني:</w:t>
      </w:r>
      <w:r w:rsidRPr="00E262BE">
        <w:rPr>
          <w:rFonts w:ascii="mylotus" w:hAnsi="mylotus"/>
          <w:sz w:val="34"/>
          <w:szCs w:val="34"/>
          <w:rtl/>
        </w:rPr>
        <w:t xml:space="preserve"> وهو ما</w:t>
      </w:r>
      <w:r>
        <w:rPr>
          <w:rFonts w:ascii="mylotus" w:hAnsi="mylotus" w:hint="cs"/>
          <w:sz w:val="34"/>
          <w:szCs w:val="34"/>
          <w:rtl/>
        </w:rPr>
        <w:t xml:space="preserve"> </w:t>
      </w:r>
      <w:r w:rsidRPr="00E262BE">
        <w:rPr>
          <w:rFonts w:ascii="mylotus" w:hAnsi="mylotus"/>
          <w:sz w:val="34"/>
          <w:szCs w:val="34"/>
          <w:rtl/>
        </w:rPr>
        <w:t>يحكي عن أمرٍ واقعي، فتارةً يكون الأمر الواقعي المحكي في حدّ ذاته أمرا</w:t>
      </w:r>
      <w:r>
        <w:rPr>
          <w:rFonts w:ascii="mylotus" w:hAnsi="mylotus" w:hint="cs"/>
          <w:sz w:val="34"/>
          <w:szCs w:val="34"/>
          <w:rtl/>
        </w:rPr>
        <w:t>ً</w:t>
      </w:r>
      <w:r w:rsidRPr="00E262BE">
        <w:rPr>
          <w:rFonts w:ascii="mylotus" w:hAnsi="mylotus"/>
          <w:sz w:val="34"/>
          <w:szCs w:val="34"/>
          <w:rtl/>
        </w:rPr>
        <w:t xml:space="preserve"> مبهما</w:t>
      </w:r>
      <w:r>
        <w:rPr>
          <w:rFonts w:ascii="mylotus" w:hAnsi="mylotus" w:hint="cs"/>
          <w:sz w:val="34"/>
          <w:szCs w:val="34"/>
          <w:rtl/>
        </w:rPr>
        <w:t>ً</w:t>
      </w:r>
      <w:r w:rsidRPr="00E262BE">
        <w:rPr>
          <w:rFonts w:ascii="mylotus" w:hAnsi="mylotus"/>
          <w:sz w:val="34"/>
          <w:szCs w:val="34"/>
          <w:rtl/>
        </w:rPr>
        <w:t xml:space="preserve"> م</w:t>
      </w:r>
      <w:r>
        <w:rPr>
          <w:rFonts w:ascii="mylotus" w:hAnsi="mylotus" w:hint="cs"/>
          <w:sz w:val="34"/>
          <w:szCs w:val="34"/>
          <w:rtl/>
        </w:rPr>
        <w:t>ِ</w:t>
      </w:r>
      <w:r w:rsidRPr="00E262BE">
        <w:rPr>
          <w:rFonts w:ascii="mylotus" w:hAnsi="mylotus"/>
          <w:sz w:val="34"/>
          <w:szCs w:val="34"/>
          <w:rtl/>
        </w:rPr>
        <w:t>ن حيثُ الحدود توسعة</w:t>
      </w:r>
      <w:r>
        <w:rPr>
          <w:rFonts w:ascii="mylotus" w:hAnsi="mylotus" w:hint="cs"/>
          <w:sz w:val="34"/>
          <w:szCs w:val="34"/>
          <w:rtl/>
        </w:rPr>
        <w:t>ً</w:t>
      </w:r>
      <w:r w:rsidRPr="00E262BE">
        <w:rPr>
          <w:rFonts w:ascii="mylotus" w:hAnsi="mylotus"/>
          <w:sz w:val="34"/>
          <w:szCs w:val="34"/>
          <w:rtl/>
        </w:rPr>
        <w:t xml:space="preserve"> وضيقا</w:t>
      </w:r>
      <w:r>
        <w:rPr>
          <w:rFonts w:ascii="mylotus" w:hAnsi="mylotus" w:hint="cs"/>
          <w:sz w:val="34"/>
          <w:szCs w:val="34"/>
          <w:rtl/>
        </w:rPr>
        <w:t>ً،</w:t>
      </w:r>
      <w:r w:rsidRPr="00E262BE">
        <w:rPr>
          <w:rFonts w:ascii="mylotus" w:hAnsi="mylotus"/>
          <w:sz w:val="34"/>
          <w:szCs w:val="34"/>
          <w:rtl/>
        </w:rPr>
        <w:t xml:space="preserve"> </w:t>
      </w:r>
      <w:r w:rsidRPr="00E262BE">
        <w:rPr>
          <w:rFonts w:ascii="mylotus" w:hAnsi="mylotus" w:hint="cs"/>
          <w:sz w:val="34"/>
          <w:szCs w:val="34"/>
          <w:rtl/>
        </w:rPr>
        <w:t>وحينئذ</w:t>
      </w:r>
      <w:r>
        <w:rPr>
          <w:rFonts w:ascii="mylotus" w:hAnsi="mylotus" w:hint="cs"/>
          <w:sz w:val="34"/>
          <w:szCs w:val="34"/>
          <w:rtl/>
        </w:rPr>
        <w:t>ٍ</w:t>
      </w:r>
      <w:r w:rsidRPr="00E262BE">
        <w:rPr>
          <w:rFonts w:ascii="mylotus" w:hAnsi="mylotus"/>
          <w:sz w:val="34"/>
          <w:szCs w:val="34"/>
          <w:rtl/>
        </w:rPr>
        <w:t xml:space="preserve"> </w:t>
      </w:r>
      <w:r w:rsidRPr="00E262BE">
        <w:rPr>
          <w:rFonts w:ascii="mylotus" w:hAnsi="mylotus" w:hint="cs"/>
          <w:sz w:val="34"/>
          <w:szCs w:val="34"/>
          <w:rtl/>
        </w:rPr>
        <w:t>فالأخذ</w:t>
      </w:r>
      <w:r w:rsidRPr="00E262BE">
        <w:rPr>
          <w:rFonts w:ascii="mylotus" w:hAnsi="mylotus"/>
          <w:sz w:val="34"/>
          <w:szCs w:val="34"/>
          <w:rtl/>
        </w:rPr>
        <w:t xml:space="preserve"> </w:t>
      </w:r>
      <w:r w:rsidRPr="00E262BE">
        <w:rPr>
          <w:rFonts w:ascii="mylotus" w:hAnsi="mylotus" w:hint="cs"/>
          <w:sz w:val="34"/>
          <w:szCs w:val="34"/>
          <w:rtl/>
        </w:rPr>
        <w:t>بتشخيص</w:t>
      </w:r>
      <w:r w:rsidRPr="00E262BE">
        <w:rPr>
          <w:rFonts w:ascii="mylotus" w:hAnsi="mylotus"/>
          <w:sz w:val="34"/>
          <w:szCs w:val="34"/>
          <w:rtl/>
        </w:rPr>
        <w:t xml:space="preserve"> </w:t>
      </w:r>
      <w:r w:rsidRPr="00E262BE">
        <w:rPr>
          <w:rFonts w:ascii="mylotus" w:hAnsi="mylotus" w:hint="cs"/>
          <w:sz w:val="34"/>
          <w:szCs w:val="34"/>
          <w:rtl/>
        </w:rPr>
        <w:t>العرف</w:t>
      </w:r>
      <w:r w:rsidRPr="00E262BE">
        <w:rPr>
          <w:rFonts w:ascii="mylotus" w:hAnsi="mylotus"/>
          <w:sz w:val="34"/>
          <w:szCs w:val="34"/>
          <w:rtl/>
        </w:rPr>
        <w:t xml:space="preserve"> </w:t>
      </w:r>
      <w:r w:rsidRPr="00E262BE">
        <w:rPr>
          <w:rFonts w:ascii="mylotus" w:hAnsi="mylotus" w:hint="cs"/>
          <w:sz w:val="34"/>
          <w:szCs w:val="34"/>
          <w:rtl/>
        </w:rPr>
        <w:t>للمصداق</w:t>
      </w:r>
      <w:r w:rsidRPr="00E262BE">
        <w:rPr>
          <w:rFonts w:ascii="mylotus" w:hAnsi="mylotus"/>
          <w:sz w:val="34"/>
          <w:szCs w:val="34"/>
          <w:rtl/>
        </w:rPr>
        <w:t xml:space="preserve"> </w:t>
      </w:r>
      <w:r w:rsidRPr="00E262BE">
        <w:rPr>
          <w:rFonts w:ascii="mylotus" w:hAnsi="mylotus" w:hint="cs"/>
          <w:sz w:val="34"/>
          <w:szCs w:val="34"/>
          <w:rtl/>
        </w:rPr>
        <w:t>فيه</w:t>
      </w:r>
      <w:r w:rsidRPr="00E262BE">
        <w:rPr>
          <w:rFonts w:ascii="mylotus" w:hAnsi="mylotus"/>
          <w:sz w:val="34"/>
          <w:szCs w:val="34"/>
          <w:rtl/>
        </w:rPr>
        <w:t xml:space="preserve"> </w:t>
      </w:r>
      <w:r w:rsidRPr="00E262BE">
        <w:rPr>
          <w:rFonts w:ascii="mylotus" w:hAnsi="mylotus" w:hint="cs"/>
          <w:sz w:val="34"/>
          <w:szCs w:val="34"/>
          <w:rtl/>
        </w:rPr>
        <w:t>حجة،</w:t>
      </w:r>
      <w:r w:rsidRPr="00E262BE">
        <w:rPr>
          <w:rFonts w:ascii="mylotus" w:hAnsi="mylotus"/>
          <w:sz w:val="34"/>
          <w:szCs w:val="34"/>
          <w:rtl/>
        </w:rPr>
        <w:t xml:space="preserve"> </w:t>
      </w:r>
      <w:r w:rsidRPr="00E262BE">
        <w:rPr>
          <w:rFonts w:ascii="mylotus" w:hAnsi="mylotus" w:hint="cs"/>
          <w:sz w:val="34"/>
          <w:szCs w:val="34"/>
          <w:rtl/>
        </w:rPr>
        <w:t>لا</w:t>
      </w:r>
      <w:r w:rsidRPr="00E262BE">
        <w:rPr>
          <w:rFonts w:ascii="mylotus" w:hAnsi="mylotus"/>
          <w:sz w:val="34"/>
          <w:szCs w:val="34"/>
          <w:rtl/>
        </w:rPr>
        <w:t xml:space="preserve"> </w:t>
      </w:r>
      <w:r w:rsidRPr="00E262BE">
        <w:rPr>
          <w:rFonts w:ascii="mylotus" w:hAnsi="mylotus" w:hint="cs"/>
          <w:sz w:val="34"/>
          <w:szCs w:val="34"/>
          <w:rtl/>
        </w:rPr>
        <w:t>لموضوعية</w:t>
      </w:r>
      <w:r w:rsidRPr="00E262BE">
        <w:rPr>
          <w:rFonts w:ascii="mylotus" w:hAnsi="mylotus"/>
          <w:sz w:val="34"/>
          <w:szCs w:val="34"/>
          <w:rtl/>
        </w:rPr>
        <w:t xml:space="preserve"> </w:t>
      </w:r>
      <w:proofErr w:type="gramStart"/>
      <w:r w:rsidRPr="00E262BE">
        <w:rPr>
          <w:rFonts w:ascii="mylotus" w:hAnsi="mylotus" w:hint="cs"/>
          <w:sz w:val="34"/>
          <w:szCs w:val="34"/>
          <w:rtl/>
        </w:rPr>
        <w:t>فيه</w:t>
      </w:r>
      <w:proofErr w:type="gramEnd"/>
      <w:r w:rsidRPr="00E262BE">
        <w:rPr>
          <w:rFonts w:ascii="mylotus" w:hAnsi="mylotus"/>
          <w:sz w:val="34"/>
          <w:szCs w:val="34"/>
          <w:rtl/>
        </w:rPr>
        <w:t xml:space="preserve"> بل لكاشفيته عن حدود المفهوم، نحو عدم شمول: عنوان "الدم" وعنوان "الماء"</w:t>
      </w:r>
      <w:r>
        <w:rPr>
          <w:rFonts w:ascii="mylotus" w:hAnsi="mylotus" w:hint="cs"/>
          <w:sz w:val="34"/>
          <w:szCs w:val="34"/>
          <w:rtl/>
        </w:rPr>
        <w:t xml:space="preserve"> </w:t>
      </w:r>
      <w:r w:rsidRPr="00E262BE">
        <w:rPr>
          <w:rFonts w:ascii="mylotus" w:hAnsi="mylotus"/>
          <w:sz w:val="34"/>
          <w:szCs w:val="34"/>
          <w:rtl/>
        </w:rPr>
        <w:t>لبعض مراتبه الخفية، كالدم الذي لا يرى إلّا بالمجهر، والماء المختلط بالتراب بمقدار الثلث مثلا</w:t>
      </w:r>
      <w:r>
        <w:rPr>
          <w:rFonts w:ascii="mylotus" w:hAnsi="mylotus" w:hint="cs"/>
          <w:sz w:val="34"/>
          <w:szCs w:val="34"/>
          <w:rtl/>
        </w:rPr>
        <w:t>ً</w:t>
      </w:r>
      <w:r w:rsidRPr="00E262BE">
        <w:rPr>
          <w:rFonts w:ascii="mylotus" w:hAnsi="mylotus"/>
          <w:sz w:val="34"/>
          <w:szCs w:val="34"/>
          <w:rtl/>
        </w:rPr>
        <w:t xml:space="preserve"> ونحو ذلك</w:t>
      </w:r>
      <w:r w:rsidRPr="00E262BE">
        <w:rPr>
          <w:rFonts w:ascii="mylotus" w:hAnsi="mylotus"/>
          <w:sz w:val="34"/>
          <w:szCs w:val="34"/>
        </w:rPr>
        <w:t>.</w:t>
      </w:r>
    </w:p>
    <w:p w14:paraId="17EAB819" w14:textId="77777777" w:rsidR="00546513" w:rsidRDefault="00546513" w:rsidP="00546513">
      <w:pPr>
        <w:pStyle w:val="a"/>
        <w:bidi/>
        <w:spacing w:line="216" w:lineRule="auto"/>
        <w:rPr>
          <w:rFonts w:ascii="mylotus" w:hAnsi="mylotus"/>
          <w:sz w:val="34"/>
          <w:szCs w:val="34"/>
          <w:rtl/>
        </w:rPr>
      </w:pPr>
      <w:r w:rsidRPr="00E262BE">
        <w:rPr>
          <w:rFonts w:ascii="mylotus" w:hAnsi="mylotus"/>
          <w:sz w:val="34"/>
          <w:szCs w:val="34"/>
          <w:rtl/>
        </w:rPr>
        <w:t>ولا</w:t>
      </w:r>
      <w:r>
        <w:rPr>
          <w:rFonts w:ascii="mylotus" w:hAnsi="mylotus" w:hint="cs"/>
          <w:sz w:val="34"/>
          <w:szCs w:val="34"/>
          <w:rtl/>
        </w:rPr>
        <w:t xml:space="preserve"> </w:t>
      </w:r>
      <w:r w:rsidRPr="00E262BE">
        <w:rPr>
          <w:rFonts w:ascii="mylotus" w:hAnsi="mylotus"/>
          <w:sz w:val="34"/>
          <w:szCs w:val="34"/>
          <w:rtl/>
        </w:rPr>
        <w:t>يبعد أن</w:t>
      </w:r>
      <w:r>
        <w:rPr>
          <w:rFonts w:ascii="mylotus" w:hAnsi="mylotus" w:hint="cs"/>
          <w:sz w:val="34"/>
          <w:szCs w:val="34"/>
          <w:rtl/>
        </w:rPr>
        <w:t>ّ</w:t>
      </w:r>
      <w:r w:rsidRPr="00E262BE">
        <w:rPr>
          <w:rFonts w:ascii="mylotus" w:hAnsi="mylotus"/>
          <w:sz w:val="34"/>
          <w:szCs w:val="34"/>
          <w:rtl/>
        </w:rPr>
        <w:t xml:space="preserve"> انصراف العنوان عن هذه المراتب لا لعدم انطباقه عليها في حد</w:t>
      </w:r>
      <w:r>
        <w:rPr>
          <w:rFonts w:ascii="mylotus" w:hAnsi="mylotus" w:hint="cs"/>
          <w:sz w:val="34"/>
          <w:szCs w:val="34"/>
          <w:rtl/>
        </w:rPr>
        <w:t>ّ</w:t>
      </w:r>
      <w:r w:rsidRPr="00E262BE">
        <w:rPr>
          <w:rFonts w:ascii="mylotus" w:hAnsi="mylotus"/>
          <w:sz w:val="34"/>
          <w:szCs w:val="34"/>
          <w:rtl/>
        </w:rPr>
        <w:t xml:space="preserve"> ذاته، بل أن</w:t>
      </w:r>
      <w:r>
        <w:rPr>
          <w:rFonts w:ascii="mylotus" w:hAnsi="mylotus" w:hint="cs"/>
          <w:sz w:val="34"/>
          <w:szCs w:val="34"/>
          <w:rtl/>
        </w:rPr>
        <w:t>ّ</w:t>
      </w:r>
      <w:r w:rsidRPr="00E262BE">
        <w:rPr>
          <w:rFonts w:ascii="mylotus" w:hAnsi="mylotus"/>
          <w:sz w:val="34"/>
          <w:szCs w:val="34"/>
          <w:rtl/>
        </w:rPr>
        <w:t xml:space="preserve"> مقتضى مناسبة الحكم للموضوع في الروايات التي تضمنت الآثار الشرعية للدم هو انصرافه عن هذه المرتبة الخفية من الدم التي ليست مورد التفات العرف العام.</w:t>
      </w:r>
    </w:p>
    <w:p w14:paraId="22A54876" w14:textId="77777777" w:rsidR="00546513" w:rsidRDefault="00546513" w:rsidP="00546513">
      <w:pPr>
        <w:pStyle w:val="a"/>
        <w:bidi/>
        <w:spacing w:line="216" w:lineRule="auto"/>
        <w:rPr>
          <w:rFonts w:ascii="mylotus" w:hAnsi="mylotus"/>
          <w:sz w:val="34"/>
          <w:szCs w:val="34"/>
          <w:rtl/>
        </w:rPr>
      </w:pPr>
      <w:r w:rsidRPr="00E262BE">
        <w:rPr>
          <w:rFonts w:ascii="mylotus" w:hAnsi="mylotus"/>
          <w:sz w:val="34"/>
          <w:szCs w:val="34"/>
          <w:rtl/>
        </w:rPr>
        <w:t>وتارة</w:t>
      </w:r>
      <w:r>
        <w:rPr>
          <w:rFonts w:ascii="mylotus" w:hAnsi="mylotus" w:hint="cs"/>
          <w:sz w:val="34"/>
          <w:szCs w:val="34"/>
          <w:rtl/>
        </w:rPr>
        <w:t>ً</w:t>
      </w:r>
      <w:r w:rsidRPr="00E262BE">
        <w:rPr>
          <w:rFonts w:ascii="mylotus" w:hAnsi="mylotus"/>
          <w:sz w:val="34"/>
          <w:szCs w:val="34"/>
          <w:rtl/>
        </w:rPr>
        <w:t xml:space="preserve"> يكون الأمر الواقعي المحكي بالعنوان واضحاً مِن حيثُ الحدود، ولكن تصرف العرف في مقام الصدق والتطبيق كما في عناوين الكميات نحو إطلاق عنوان </w:t>
      </w:r>
      <w:r>
        <w:rPr>
          <w:rFonts w:ascii="mylotus" w:hAnsi="mylotus" w:cs="Cambria" w:hint="cs"/>
          <w:sz w:val="34"/>
          <w:szCs w:val="34"/>
          <w:rtl/>
        </w:rPr>
        <w:t>"</w:t>
      </w:r>
      <w:r w:rsidRPr="00E262BE">
        <w:rPr>
          <w:rFonts w:ascii="mylotus" w:hAnsi="mylotus"/>
          <w:sz w:val="34"/>
          <w:szCs w:val="34"/>
          <w:rtl/>
        </w:rPr>
        <w:t>المن</w:t>
      </w:r>
      <w:r>
        <w:rPr>
          <w:rFonts w:ascii="mylotus" w:hAnsi="mylotus" w:cs="Cambria" w:hint="cs"/>
          <w:sz w:val="34"/>
          <w:szCs w:val="34"/>
          <w:rtl/>
        </w:rPr>
        <w:t>"</w:t>
      </w:r>
      <w:r w:rsidRPr="00E262BE">
        <w:rPr>
          <w:rFonts w:ascii="mylotus" w:hAnsi="mylotus"/>
          <w:sz w:val="34"/>
          <w:szCs w:val="34"/>
          <w:rtl/>
        </w:rPr>
        <w:t xml:space="preserve"> و </w:t>
      </w:r>
      <w:r>
        <w:rPr>
          <w:rFonts w:ascii="mylotus" w:hAnsi="mylotus" w:cs="Cambria" w:hint="cs"/>
          <w:sz w:val="34"/>
          <w:szCs w:val="34"/>
          <w:rtl/>
        </w:rPr>
        <w:t>"</w:t>
      </w:r>
      <w:proofErr w:type="spellStart"/>
      <w:r w:rsidRPr="00E262BE">
        <w:rPr>
          <w:rFonts w:ascii="mylotus" w:hAnsi="mylotus"/>
          <w:sz w:val="34"/>
          <w:szCs w:val="34"/>
          <w:rtl/>
        </w:rPr>
        <w:t>الكيلوا</w:t>
      </w:r>
      <w:proofErr w:type="spellEnd"/>
      <w:r w:rsidRPr="00E262BE">
        <w:rPr>
          <w:rFonts w:ascii="mylotus" w:hAnsi="mylotus"/>
          <w:sz w:val="34"/>
          <w:szCs w:val="34"/>
          <w:rtl/>
        </w:rPr>
        <w:t xml:space="preserve"> متر</w:t>
      </w:r>
      <w:r>
        <w:rPr>
          <w:rFonts w:ascii="mylotus" w:hAnsi="mylotus" w:cs="Cambria" w:hint="cs"/>
          <w:sz w:val="34"/>
          <w:szCs w:val="34"/>
          <w:rtl/>
        </w:rPr>
        <w:t>"</w:t>
      </w:r>
      <w:r w:rsidRPr="00E262BE">
        <w:rPr>
          <w:rFonts w:ascii="mylotus" w:hAnsi="mylotus"/>
          <w:sz w:val="34"/>
          <w:szCs w:val="34"/>
          <w:rtl/>
        </w:rPr>
        <w:t xml:space="preserve"> عرفا</w:t>
      </w:r>
      <w:r>
        <w:rPr>
          <w:rFonts w:ascii="mylotus" w:hAnsi="mylotus" w:hint="cs"/>
          <w:sz w:val="34"/>
          <w:szCs w:val="34"/>
          <w:rtl/>
        </w:rPr>
        <w:t>ً</w:t>
      </w:r>
      <w:r w:rsidRPr="00E262BE">
        <w:rPr>
          <w:rFonts w:ascii="mylotus" w:hAnsi="mylotus"/>
          <w:sz w:val="34"/>
          <w:szCs w:val="34"/>
          <w:rtl/>
        </w:rPr>
        <w:t xml:space="preserve"> على ما</w:t>
      </w:r>
      <w:r>
        <w:rPr>
          <w:rFonts w:ascii="mylotus" w:hAnsi="mylotus" w:hint="cs"/>
          <w:sz w:val="34"/>
          <w:szCs w:val="34"/>
          <w:rtl/>
        </w:rPr>
        <w:t xml:space="preserve"> </w:t>
      </w:r>
      <w:r w:rsidRPr="00E262BE">
        <w:rPr>
          <w:rFonts w:ascii="mylotus" w:hAnsi="mylotus"/>
          <w:sz w:val="34"/>
          <w:szCs w:val="34"/>
          <w:rtl/>
        </w:rPr>
        <w:t>هو الأقل مع ضآلة الفارق بين الكم التام والناقص</w:t>
      </w:r>
      <w:r>
        <w:rPr>
          <w:rFonts w:ascii="mylotus" w:hAnsi="mylotus" w:hint="cs"/>
          <w:sz w:val="34"/>
          <w:szCs w:val="34"/>
          <w:rtl/>
        </w:rPr>
        <w:t>.</w:t>
      </w:r>
    </w:p>
    <w:p w14:paraId="39D9A53E"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sz w:val="34"/>
          <w:szCs w:val="34"/>
          <w:rtl/>
        </w:rPr>
        <w:t>ومنه</w:t>
      </w:r>
      <w:r>
        <w:rPr>
          <w:rFonts w:ascii="mylotus" w:hAnsi="mylotus" w:hint="cs"/>
          <w:sz w:val="34"/>
          <w:szCs w:val="34"/>
          <w:rtl/>
        </w:rPr>
        <w:t>ُ</w:t>
      </w:r>
      <w:r w:rsidRPr="00E262BE">
        <w:rPr>
          <w:rFonts w:ascii="mylotus" w:hAnsi="mylotus"/>
          <w:sz w:val="34"/>
          <w:szCs w:val="34"/>
          <w:rtl/>
        </w:rPr>
        <w:t xml:space="preserve"> إطلاق عنوان "</w:t>
      </w:r>
      <w:proofErr w:type="spellStart"/>
      <w:r w:rsidRPr="00E262BE">
        <w:rPr>
          <w:rFonts w:ascii="mylotus" w:hAnsi="mylotus"/>
          <w:sz w:val="34"/>
          <w:szCs w:val="34"/>
          <w:rtl/>
        </w:rPr>
        <w:t>الضرر"على</w:t>
      </w:r>
      <w:proofErr w:type="spellEnd"/>
      <w:r w:rsidRPr="00E262BE">
        <w:rPr>
          <w:rFonts w:ascii="mylotus" w:hAnsi="mylotus"/>
          <w:sz w:val="34"/>
          <w:szCs w:val="34"/>
          <w:rtl/>
        </w:rPr>
        <w:t xml:space="preserve"> الضرر ال</w:t>
      </w:r>
      <w:r>
        <w:rPr>
          <w:rFonts w:ascii="mylotus" w:hAnsi="mylotus" w:hint="cs"/>
          <w:sz w:val="34"/>
          <w:szCs w:val="34"/>
          <w:rtl/>
        </w:rPr>
        <w:t>ا</w:t>
      </w:r>
      <w:r w:rsidRPr="00E262BE">
        <w:rPr>
          <w:rFonts w:ascii="mylotus" w:hAnsi="mylotus"/>
          <w:sz w:val="34"/>
          <w:szCs w:val="34"/>
          <w:rtl/>
        </w:rPr>
        <w:t>عتباري</w:t>
      </w:r>
      <w:r>
        <w:rPr>
          <w:rFonts w:ascii="mylotus" w:hAnsi="mylotus" w:hint="cs"/>
          <w:sz w:val="34"/>
          <w:szCs w:val="34"/>
          <w:rtl/>
        </w:rPr>
        <w:t>؛</w:t>
      </w:r>
      <w:r w:rsidRPr="00E262BE">
        <w:rPr>
          <w:rFonts w:ascii="mylotus" w:hAnsi="mylotus"/>
          <w:sz w:val="34"/>
          <w:szCs w:val="34"/>
          <w:rtl/>
        </w:rPr>
        <w:t xml:space="preserve"> فإن</w:t>
      </w:r>
      <w:r>
        <w:rPr>
          <w:rFonts w:ascii="mylotus" w:hAnsi="mylotus" w:hint="cs"/>
          <w:sz w:val="34"/>
          <w:szCs w:val="34"/>
          <w:rtl/>
        </w:rPr>
        <w:t>ّ</w:t>
      </w:r>
      <w:r w:rsidRPr="00E262BE">
        <w:rPr>
          <w:rFonts w:ascii="mylotus" w:hAnsi="mylotus"/>
          <w:sz w:val="34"/>
          <w:szCs w:val="34"/>
          <w:rtl/>
        </w:rPr>
        <w:t xml:space="preserve"> الضرر هو عبارة</w:t>
      </w:r>
      <w:r>
        <w:rPr>
          <w:rFonts w:ascii="mylotus" w:hAnsi="mylotus" w:hint="cs"/>
          <w:sz w:val="34"/>
          <w:szCs w:val="34"/>
          <w:rtl/>
        </w:rPr>
        <w:t>ٌ</w:t>
      </w:r>
      <w:r w:rsidRPr="00E262BE">
        <w:rPr>
          <w:rFonts w:ascii="mylotus" w:hAnsi="mylotus"/>
          <w:sz w:val="34"/>
          <w:szCs w:val="34"/>
          <w:rtl/>
        </w:rPr>
        <w:t xml:space="preserve"> عن</w:t>
      </w:r>
      <w:r>
        <w:rPr>
          <w:rFonts w:ascii="mylotus" w:hAnsi="mylotus" w:hint="cs"/>
          <w:sz w:val="34"/>
          <w:szCs w:val="34"/>
          <w:rtl/>
        </w:rPr>
        <w:t>:</w:t>
      </w:r>
      <w:r w:rsidRPr="00E262BE">
        <w:rPr>
          <w:rFonts w:ascii="mylotus" w:hAnsi="mylotus"/>
          <w:sz w:val="34"/>
          <w:szCs w:val="34"/>
          <w:rtl/>
        </w:rPr>
        <w:t xml:space="preserve"> </w:t>
      </w:r>
      <w:r>
        <w:rPr>
          <w:rFonts w:ascii="mylotus" w:hAnsi="mylotus" w:hint="cs"/>
          <w:sz w:val="34"/>
          <w:szCs w:val="34"/>
          <w:rtl/>
        </w:rPr>
        <w:t>(</w:t>
      </w:r>
      <w:r w:rsidRPr="00E262BE">
        <w:rPr>
          <w:rFonts w:ascii="mylotus" w:hAnsi="mylotus"/>
          <w:sz w:val="34"/>
          <w:szCs w:val="34"/>
          <w:rtl/>
        </w:rPr>
        <w:t>النقص في النفس أو العِرض أو المال</w:t>
      </w:r>
      <w:r>
        <w:rPr>
          <w:rFonts w:ascii="mylotus" w:hAnsi="mylotus" w:hint="cs"/>
          <w:sz w:val="34"/>
          <w:szCs w:val="34"/>
          <w:rtl/>
        </w:rPr>
        <w:t>)</w:t>
      </w:r>
      <w:r w:rsidRPr="00E262BE">
        <w:rPr>
          <w:rFonts w:ascii="mylotus" w:hAnsi="mylotus"/>
          <w:sz w:val="34"/>
          <w:szCs w:val="34"/>
          <w:rtl/>
        </w:rPr>
        <w:t xml:space="preserve">، وأمّا كون تفويت النفع على المخترع </w:t>
      </w:r>
      <w:proofErr w:type="gramStart"/>
      <w:r w:rsidRPr="00E262BE">
        <w:rPr>
          <w:rFonts w:ascii="mylotus" w:hAnsi="mylotus"/>
          <w:sz w:val="34"/>
          <w:szCs w:val="34"/>
          <w:rtl/>
        </w:rPr>
        <w:t>في ما</w:t>
      </w:r>
      <w:proofErr w:type="gramEnd"/>
      <w:r>
        <w:rPr>
          <w:rFonts w:ascii="mylotus" w:hAnsi="mylotus" w:hint="cs"/>
          <w:sz w:val="34"/>
          <w:szCs w:val="34"/>
          <w:rtl/>
        </w:rPr>
        <w:t xml:space="preserve"> </w:t>
      </w:r>
      <w:r w:rsidRPr="00E262BE">
        <w:rPr>
          <w:rFonts w:ascii="mylotus" w:hAnsi="mylotus"/>
          <w:sz w:val="34"/>
          <w:szCs w:val="34"/>
          <w:rtl/>
        </w:rPr>
        <w:t>اخترعه، أو تفويت فرصة العمل على الحر</w:t>
      </w:r>
      <w:r>
        <w:rPr>
          <w:rFonts w:ascii="mylotus" w:hAnsi="mylotus" w:hint="cs"/>
          <w:sz w:val="34"/>
          <w:szCs w:val="34"/>
          <w:rtl/>
        </w:rPr>
        <w:t>ّ</w:t>
      </w:r>
      <w:r w:rsidRPr="00E262BE">
        <w:rPr>
          <w:rFonts w:ascii="mylotus" w:hAnsi="mylotus"/>
          <w:sz w:val="34"/>
          <w:szCs w:val="34"/>
          <w:rtl/>
        </w:rPr>
        <w:t xml:space="preserve"> نقصاً في المال أم لا فهو م</w:t>
      </w:r>
      <w:r>
        <w:rPr>
          <w:rFonts w:ascii="mylotus" w:hAnsi="mylotus" w:hint="cs"/>
          <w:sz w:val="34"/>
          <w:szCs w:val="34"/>
          <w:rtl/>
        </w:rPr>
        <w:t>ِ</w:t>
      </w:r>
      <w:r w:rsidRPr="00E262BE">
        <w:rPr>
          <w:rFonts w:ascii="mylotus" w:hAnsi="mylotus"/>
          <w:sz w:val="34"/>
          <w:szCs w:val="34"/>
          <w:rtl/>
        </w:rPr>
        <w:t>ن الرجوع للعرف في تشخيص المصداق</w:t>
      </w:r>
      <w:r w:rsidRPr="00E262BE">
        <w:rPr>
          <w:rFonts w:ascii="mylotus" w:hAnsi="mylotus"/>
          <w:sz w:val="34"/>
          <w:szCs w:val="34"/>
        </w:rPr>
        <w:t>.</w:t>
      </w:r>
    </w:p>
    <w:p w14:paraId="6DA51536" w14:textId="644FEAD9" w:rsidR="00546513" w:rsidRPr="00525F87" w:rsidRDefault="00546513" w:rsidP="00546513">
      <w:pPr>
        <w:pStyle w:val="a"/>
        <w:bidi/>
        <w:spacing w:line="216" w:lineRule="auto"/>
        <w:rPr>
          <w:rFonts w:ascii="mylotus" w:hAnsi="mylotus"/>
          <w:b/>
          <w:bCs/>
          <w:sz w:val="34"/>
          <w:szCs w:val="34"/>
          <w:rtl/>
        </w:rPr>
      </w:pPr>
      <w:r w:rsidRPr="00525F87">
        <w:rPr>
          <w:rFonts w:ascii="mylotus" w:hAnsi="mylotus"/>
          <w:b/>
          <w:bCs/>
          <w:sz w:val="34"/>
          <w:szCs w:val="34"/>
          <w:rtl/>
        </w:rPr>
        <w:t>ولكن:</w:t>
      </w:r>
      <w:r w:rsidRPr="00E262BE">
        <w:rPr>
          <w:rFonts w:ascii="mylotus" w:hAnsi="mylotus"/>
          <w:sz w:val="34"/>
          <w:szCs w:val="34"/>
          <w:rtl/>
        </w:rPr>
        <w:t xml:space="preserve"> </w:t>
      </w:r>
      <w:r w:rsidRPr="00525F87">
        <w:rPr>
          <w:rFonts w:ascii="mylotus" w:hAnsi="mylotus"/>
          <w:b/>
          <w:bCs/>
          <w:sz w:val="34"/>
          <w:szCs w:val="34"/>
          <w:rtl/>
        </w:rPr>
        <w:t>يمكنُ ذِكرُ طريقين لشمول الضرر في (لَا</w:t>
      </w:r>
      <w:r w:rsidR="00F2759D">
        <w:rPr>
          <w:rFonts w:ascii="mylotus" w:hAnsi="mylotus" w:hint="cs"/>
          <w:b/>
          <w:bCs/>
          <w:sz w:val="34"/>
          <w:szCs w:val="34"/>
          <w:rtl/>
        </w:rPr>
        <w:t xml:space="preserve"> </w:t>
      </w:r>
      <w:r w:rsidRPr="00525F87">
        <w:rPr>
          <w:rFonts w:ascii="mylotus" w:hAnsi="mylotus"/>
          <w:b/>
          <w:bCs/>
          <w:sz w:val="34"/>
          <w:szCs w:val="34"/>
          <w:rtl/>
        </w:rPr>
        <w:t>ضَرَرَ) للضرر الاعتباري</w:t>
      </w:r>
      <w:r w:rsidRPr="00525F87">
        <w:rPr>
          <w:rFonts w:ascii="mylotus" w:hAnsi="mylotus"/>
          <w:b/>
          <w:bCs/>
          <w:sz w:val="34"/>
          <w:szCs w:val="34"/>
        </w:rPr>
        <w:t>:</w:t>
      </w:r>
    </w:p>
    <w:p w14:paraId="712BA2B7" w14:textId="77777777" w:rsidR="00546513" w:rsidRPr="00525F87" w:rsidRDefault="00546513" w:rsidP="00546513">
      <w:pPr>
        <w:pStyle w:val="a"/>
        <w:bidi/>
        <w:spacing w:line="216" w:lineRule="auto"/>
        <w:rPr>
          <w:rFonts w:ascii="mylotus" w:hAnsi="mylotus"/>
          <w:b/>
          <w:bCs/>
          <w:sz w:val="34"/>
          <w:szCs w:val="34"/>
          <w:rtl/>
        </w:rPr>
      </w:pPr>
      <w:r w:rsidRPr="00525F87">
        <w:rPr>
          <w:rFonts w:ascii="mylotus" w:hAnsi="mylotus"/>
          <w:b/>
          <w:bCs/>
          <w:sz w:val="34"/>
          <w:szCs w:val="34"/>
          <w:rtl/>
        </w:rPr>
        <w:lastRenderedPageBreak/>
        <w:t>الطريقُ الأوّل</w:t>
      </w:r>
      <w:r w:rsidRPr="00525F87">
        <w:rPr>
          <w:rFonts w:ascii="mylotus" w:hAnsi="mylotus"/>
          <w:b/>
          <w:bCs/>
          <w:sz w:val="34"/>
          <w:szCs w:val="34"/>
        </w:rPr>
        <w:t>:</w:t>
      </w:r>
    </w:p>
    <w:p w14:paraId="320E281D"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sz w:val="34"/>
          <w:szCs w:val="34"/>
          <w:rtl/>
        </w:rPr>
        <w:t>أنّ المراد ال</w:t>
      </w:r>
      <w:r>
        <w:rPr>
          <w:rFonts w:ascii="mylotus" w:hAnsi="mylotus" w:hint="cs"/>
          <w:sz w:val="34"/>
          <w:szCs w:val="34"/>
          <w:rtl/>
        </w:rPr>
        <w:t>ا</w:t>
      </w:r>
      <w:r w:rsidRPr="00E262BE">
        <w:rPr>
          <w:rFonts w:ascii="mylotus" w:hAnsi="mylotus"/>
          <w:sz w:val="34"/>
          <w:szCs w:val="34"/>
          <w:rtl/>
        </w:rPr>
        <w:t>ستعمالي م</w:t>
      </w:r>
      <w:r>
        <w:rPr>
          <w:rFonts w:ascii="mylotus" w:hAnsi="mylotus" w:hint="cs"/>
          <w:sz w:val="34"/>
          <w:szCs w:val="34"/>
          <w:rtl/>
        </w:rPr>
        <w:t>ِ</w:t>
      </w:r>
      <w:r w:rsidRPr="00E262BE">
        <w:rPr>
          <w:rFonts w:ascii="mylotus" w:hAnsi="mylotus"/>
          <w:sz w:val="34"/>
          <w:szCs w:val="34"/>
          <w:rtl/>
        </w:rPr>
        <w:t>ن عنوان "الضرر" وإن</w:t>
      </w:r>
      <w:r>
        <w:rPr>
          <w:rFonts w:ascii="mylotus" w:hAnsi="mylotus" w:hint="cs"/>
          <w:sz w:val="34"/>
          <w:szCs w:val="34"/>
          <w:rtl/>
        </w:rPr>
        <w:t>ْ</w:t>
      </w:r>
      <w:r w:rsidRPr="00E262BE">
        <w:rPr>
          <w:rFonts w:ascii="mylotus" w:hAnsi="mylotus"/>
          <w:sz w:val="34"/>
          <w:szCs w:val="34"/>
          <w:rtl/>
        </w:rPr>
        <w:t xml:space="preserve"> كان في نفسه لا يشمل الضرر الاعتباري، ولكن بما أنّ الخطابات الشرعية ملقاة إلى العرف العام ليقوم بتطبيق آثارها عليها، فكونها ملقاةً إلى العرف العام قرينة</w:t>
      </w:r>
      <w:r>
        <w:rPr>
          <w:rFonts w:ascii="mylotus" w:hAnsi="mylotus" w:hint="cs"/>
          <w:sz w:val="34"/>
          <w:szCs w:val="34"/>
          <w:rtl/>
        </w:rPr>
        <w:t>ٌ</w:t>
      </w:r>
      <w:r w:rsidRPr="00E262BE">
        <w:rPr>
          <w:rFonts w:ascii="mylotus" w:hAnsi="mylotus"/>
          <w:sz w:val="34"/>
          <w:szCs w:val="34"/>
          <w:rtl/>
        </w:rPr>
        <w:t xml:space="preserve"> موجبةٌ لظهور الدليل في أنّ المراد الجدي ومقصود الشارع مِن عنوان "الضرر" ما يشمل ما يراهُ العرف ضرر</w:t>
      </w:r>
      <w:r>
        <w:rPr>
          <w:rFonts w:ascii="mylotus" w:hAnsi="mylotus" w:hint="cs"/>
          <w:sz w:val="34"/>
          <w:szCs w:val="34"/>
          <w:rtl/>
        </w:rPr>
        <w:t>اً.</w:t>
      </w:r>
    </w:p>
    <w:p w14:paraId="6425AE16" w14:textId="77777777" w:rsidR="00546513" w:rsidRPr="00525F87" w:rsidRDefault="00546513" w:rsidP="00546513">
      <w:pPr>
        <w:pStyle w:val="a"/>
        <w:bidi/>
        <w:spacing w:line="216" w:lineRule="auto"/>
        <w:rPr>
          <w:rFonts w:ascii="mylotus" w:hAnsi="mylotus"/>
          <w:b/>
          <w:bCs/>
          <w:sz w:val="34"/>
          <w:szCs w:val="34"/>
          <w:rtl/>
        </w:rPr>
      </w:pPr>
      <w:r w:rsidRPr="00525F87">
        <w:rPr>
          <w:rFonts w:ascii="mylotus" w:hAnsi="mylotus"/>
          <w:b/>
          <w:bCs/>
          <w:sz w:val="34"/>
          <w:szCs w:val="34"/>
          <w:rtl/>
        </w:rPr>
        <w:t>الطريقُ الثاني</w:t>
      </w:r>
      <w:r w:rsidRPr="00525F87">
        <w:rPr>
          <w:rFonts w:ascii="mylotus" w:hAnsi="mylotus"/>
          <w:b/>
          <w:bCs/>
          <w:sz w:val="34"/>
          <w:szCs w:val="34"/>
        </w:rPr>
        <w:t>:</w:t>
      </w:r>
    </w:p>
    <w:p w14:paraId="14945BC2" w14:textId="77777777" w:rsidR="00546513" w:rsidRDefault="00546513" w:rsidP="00546513">
      <w:pPr>
        <w:pStyle w:val="a"/>
        <w:bidi/>
        <w:spacing w:line="216" w:lineRule="auto"/>
        <w:rPr>
          <w:rFonts w:ascii="mylotus" w:hAnsi="mylotus"/>
          <w:sz w:val="34"/>
          <w:szCs w:val="34"/>
          <w:rtl/>
        </w:rPr>
      </w:pPr>
      <w:r w:rsidRPr="00E262BE">
        <w:rPr>
          <w:rFonts w:ascii="mylotus" w:hAnsi="mylotus"/>
          <w:sz w:val="34"/>
          <w:szCs w:val="34"/>
          <w:rtl/>
        </w:rPr>
        <w:t>أن</w:t>
      </w:r>
      <w:r>
        <w:rPr>
          <w:rFonts w:ascii="mylotus" w:hAnsi="mylotus" w:hint="cs"/>
          <w:sz w:val="34"/>
          <w:szCs w:val="34"/>
          <w:rtl/>
        </w:rPr>
        <w:t>ّ</w:t>
      </w:r>
      <w:r w:rsidRPr="00E262BE">
        <w:rPr>
          <w:rFonts w:ascii="mylotus" w:hAnsi="mylotus"/>
          <w:sz w:val="34"/>
          <w:szCs w:val="34"/>
          <w:rtl/>
        </w:rPr>
        <w:t xml:space="preserve"> مقتضى الإطلاق المقامي إمضاء النظر العرفي في صدق الضرر على الضرر ال</w:t>
      </w:r>
      <w:r>
        <w:rPr>
          <w:rFonts w:ascii="mylotus" w:hAnsi="mylotus" w:hint="cs"/>
          <w:sz w:val="34"/>
          <w:szCs w:val="34"/>
          <w:rtl/>
        </w:rPr>
        <w:t>ا</w:t>
      </w:r>
      <w:r w:rsidRPr="00E262BE">
        <w:rPr>
          <w:rFonts w:ascii="mylotus" w:hAnsi="mylotus"/>
          <w:sz w:val="34"/>
          <w:szCs w:val="34"/>
          <w:rtl/>
        </w:rPr>
        <w:t>عتباري؛ فإن</w:t>
      </w:r>
      <w:r>
        <w:rPr>
          <w:rFonts w:ascii="mylotus" w:hAnsi="mylotus" w:hint="cs"/>
          <w:sz w:val="34"/>
          <w:szCs w:val="34"/>
          <w:rtl/>
        </w:rPr>
        <w:t>ّ</w:t>
      </w:r>
      <w:r w:rsidRPr="00E262BE">
        <w:rPr>
          <w:rFonts w:ascii="mylotus" w:hAnsi="mylotus"/>
          <w:sz w:val="34"/>
          <w:szCs w:val="34"/>
          <w:rtl/>
        </w:rPr>
        <w:t>ه إذا تحق</w:t>
      </w:r>
      <w:r>
        <w:rPr>
          <w:rFonts w:ascii="mylotus" w:hAnsi="mylotus" w:hint="cs"/>
          <w:sz w:val="34"/>
          <w:szCs w:val="34"/>
          <w:rtl/>
        </w:rPr>
        <w:t>ّ</w:t>
      </w:r>
      <w:r w:rsidRPr="00E262BE">
        <w:rPr>
          <w:rFonts w:ascii="mylotus" w:hAnsi="mylotus"/>
          <w:sz w:val="34"/>
          <w:szCs w:val="34"/>
          <w:rtl/>
        </w:rPr>
        <w:t xml:space="preserve">ق تشخيص العرف العقلائي العام </w:t>
      </w:r>
      <w:proofErr w:type="spellStart"/>
      <w:r w:rsidRPr="00E262BE">
        <w:rPr>
          <w:rFonts w:ascii="mylotus" w:hAnsi="mylotus"/>
          <w:sz w:val="34"/>
          <w:szCs w:val="34"/>
          <w:rtl/>
        </w:rPr>
        <w:t>لمصاديق</w:t>
      </w:r>
      <w:proofErr w:type="spellEnd"/>
      <w:r w:rsidRPr="00E262BE">
        <w:rPr>
          <w:rFonts w:ascii="mylotus" w:hAnsi="mylotus"/>
          <w:sz w:val="34"/>
          <w:szCs w:val="34"/>
          <w:rtl/>
        </w:rPr>
        <w:t xml:space="preserve"> الضررٌ، فمقتضى سكوت الشارع - مع أنّه في مقام البيان وقدرته على الردع - الاتكاء</w:t>
      </w:r>
      <w:r>
        <w:rPr>
          <w:rFonts w:ascii="mylotus" w:hAnsi="mylotus" w:hint="cs"/>
          <w:sz w:val="34"/>
          <w:szCs w:val="34"/>
          <w:rtl/>
        </w:rPr>
        <w:t>ُ</w:t>
      </w:r>
      <w:r w:rsidRPr="00E262BE">
        <w:rPr>
          <w:rFonts w:ascii="mylotus" w:hAnsi="mylotus"/>
          <w:sz w:val="34"/>
          <w:szCs w:val="34"/>
          <w:rtl/>
        </w:rPr>
        <w:t xml:space="preserve"> على النظر </w:t>
      </w:r>
      <w:proofErr w:type="gramStart"/>
      <w:r w:rsidRPr="00E262BE">
        <w:rPr>
          <w:rFonts w:ascii="mylotus" w:hAnsi="mylotus"/>
          <w:sz w:val="34"/>
          <w:szCs w:val="34"/>
          <w:rtl/>
        </w:rPr>
        <w:t>العرفي</w:t>
      </w:r>
      <w:r w:rsidRPr="00E262BE">
        <w:rPr>
          <w:rFonts w:ascii="mylotus" w:hAnsi="mylotus"/>
          <w:sz w:val="34"/>
          <w:szCs w:val="34"/>
        </w:rPr>
        <w:t xml:space="preserve"> .</w:t>
      </w:r>
      <w:proofErr w:type="gramEnd"/>
    </w:p>
    <w:p w14:paraId="7DDBADB4" w14:textId="77777777" w:rsidR="00271EC4" w:rsidRPr="00E262BE" w:rsidRDefault="00271EC4" w:rsidP="00271EC4">
      <w:pPr>
        <w:pStyle w:val="a"/>
        <w:bidi/>
        <w:spacing w:line="216" w:lineRule="auto"/>
        <w:rPr>
          <w:rFonts w:ascii="mylotus" w:hAnsi="mylotus"/>
          <w:sz w:val="34"/>
          <w:szCs w:val="34"/>
          <w:rtl/>
        </w:rPr>
      </w:pPr>
    </w:p>
    <w:p w14:paraId="1A90EC2F"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sz w:val="34"/>
          <w:szCs w:val="34"/>
          <w:rtl/>
        </w:rPr>
        <w:t>لكن السيد الشهيد الصدر (أعلى الله مقامه) في بحوثه</w:t>
      </w:r>
      <w:r>
        <w:rPr>
          <w:rStyle w:val="FootnoteReference"/>
          <w:rFonts w:ascii="mylotus" w:hAnsi="mylotus"/>
          <w:sz w:val="34"/>
          <w:szCs w:val="34"/>
          <w:rtl/>
        </w:rPr>
        <w:footnoteReference w:id="202"/>
      </w:r>
      <w:r w:rsidRPr="00E262BE">
        <w:rPr>
          <w:rFonts w:ascii="mylotus" w:hAnsi="mylotus"/>
          <w:sz w:val="34"/>
          <w:szCs w:val="34"/>
          <w:rtl/>
        </w:rPr>
        <w:t xml:space="preserve"> أفاد بأنّ هذين الطريقين لا يفيدان إلّا في الأضرار الاعتبارية المعاصرة لزمن الشارع</w:t>
      </w:r>
      <w:r w:rsidRPr="00E262BE">
        <w:rPr>
          <w:rFonts w:ascii="mylotus" w:hAnsi="mylotus"/>
          <w:sz w:val="34"/>
          <w:szCs w:val="34"/>
        </w:rPr>
        <w:t>.</w:t>
      </w:r>
    </w:p>
    <w:p w14:paraId="44C17E39" w14:textId="77777777" w:rsidR="00546513" w:rsidRPr="00E262BE" w:rsidRDefault="00546513" w:rsidP="00546513">
      <w:pPr>
        <w:pStyle w:val="a"/>
        <w:bidi/>
        <w:spacing w:line="216" w:lineRule="auto"/>
        <w:rPr>
          <w:rFonts w:ascii="mylotus" w:hAnsi="mylotus"/>
          <w:sz w:val="34"/>
          <w:szCs w:val="34"/>
          <w:rtl/>
        </w:rPr>
      </w:pPr>
      <w:r w:rsidRPr="00525F87">
        <w:rPr>
          <w:rFonts w:ascii="mylotus" w:hAnsi="mylotus"/>
          <w:b/>
          <w:bCs/>
          <w:sz w:val="34"/>
          <w:szCs w:val="34"/>
          <w:rtl/>
        </w:rPr>
        <w:t xml:space="preserve">بأنْ يُقال: </w:t>
      </w:r>
      <w:r w:rsidRPr="00E262BE">
        <w:rPr>
          <w:rFonts w:ascii="mylotus" w:hAnsi="mylotus"/>
          <w:sz w:val="34"/>
          <w:szCs w:val="34"/>
          <w:rtl/>
        </w:rPr>
        <w:t>إنّ مقتضى إلقاء الخطاب للعرف المتلقي له أنّ المراد ب</w:t>
      </w:r>
      <w:r>
        <w:rPr>
          <w:rFonts w:ascii="mylotus" w:hAnsi="mylotus" w:hint="cs"/>
          <w:sz w:val="34"/>
          <w:szCs w:val="34"/>
          <w:rtl/>
        </w:rPr>
        <w:t>ِ</w:t>
      </w:r>
      <w:r w:rsidRPr="00E262BE">
        <w:rPr>
          <w:rFonts w:ascii="mylotus" w:hAnsi="mylotus"/>
          <w:sz w:val="34"/>
          <w:szCs w:val="34"/>
          <w:rtl/>
        </w:rPr>
        <w:t>ه</w:t>
      </w:r>
      <w:r>
        <w:rPr>
          <w:rFonts w:ascii="mylotus" w:hAnsi="mylotus" w:hint="cs"/>
          <w:sz w:val="34"/>
          <w:szCs w:val="34"/>
          <w:rtl/>
        </w:rPr>
        <w:t>ِ</w:t>
      </w:r>
      <w:r w:rsidRPr="00E262BE">
        <w:rPr>
          <w:rFonts w:ascii="mylotus" w:hAnsi="mylotus"/>
          <w:sz w:val="34"/>
          <w:szCs w:val="34"/>
          <w:rtl/>
        </w:rPr>
        <w:t xml:space="preserve"> ما يقصده العرف المتلقي وهو المعاصر لزمن الخطاب، كما أنّ المناط في شمول الإطلاق المقامي لنظر العرف أن</w:t>
      </w:r>
      <w:r>
        <w:rPr>
          <w:rFonts w:ascii="mylotus" w:hAnsi="mylotus" w:hint="cs"/>
          <w:sz w:val="34"/>
          <w:szCs w:val="34"/>
          <w:rtl/>
        </w:rPr>
        <w:t>ّ</w:t>
      </w:r>
      <w:r w:rsidRPr="00E262BE">
        <w:rPr>
          <w:rFonts w:ascii="mylotus" w:hAnsi="mylotus"/>
          <w:sz w:val="34"/>
          <w:szCs w:val="34"/>
          <w:rtl/>
        </w:rPr>
        <w:t xml:space="preserve">ه لولا </w:t>
      </w:r>
      <w:r>
        <w:rPr>
          <w:rFonts w:ascii="mylotus" w:hAnsi="mylotus" w:hint="cs"/>
          <w:sz w:val="34"/>
          <w:szCs w:val="34"/>
          <w:rtl/>
        </w:rPr>
        <w:t>ا</w:t>
      </w:r>
      <w:r w:rsidRPr="00E262BE">
        <w:rPr>
          <w:rFonts w:ascii="mylotus" w:hAnsi="mylotus"/>
          <w:sz w:val="34"/>
          <w:szCs w:val="34"/>
          <w:rtl/>
        </w:rPr>
        <w:t>تكاء الشارع على نظر العرف لكان طرح الخطاب لغوا</w:t>
      </w:r>
      <w:r>
        <w:rPr>
          <w:rFonts w:ascii="mylotus" w:hAnsi="mylotus" w:hint="cs"/>
          <w:sz w:val="34"/>
          <w:szCs w:val="34"/>
          <w:rtl/>
        </w:rPr>
        <w:t xml:space="preserve">ً </w:t>
      </w:r>
      <w:r w:rsidRPr="00E262BE">
        <w:rPr>
          <w:rFonts w:ascii="mylotus" w:hAnsi="mylotus"/>
          <w:sz w:val="34"/>
          <w:szCs w:val="34"/>
          <w:rtl/>
        </w:rPr>
        <w:t>أو نقضاً للغرض ونحو ذلك</w:t>
      </w:r>
      <w:r w:rsidRPr="00E262BE">
        <w:rPr>
          <w:rFonts w:ascii="mylotus" w:hAnsi="mylotus"/>
          <w:sz w:val="34"/>
          <w:szCs w:val="34"/>
        </w:rPr>
        <w:t>.</w:t>
      </w:r>
    </w:p>
    <w:p w14:paraId="4E141E8F" w14:textId="77777777" w:rsidR="00546513" w:rsidRDefault="00546513" w:rsidP="00546513">
      <w:pPr>
        <w:pStyle w:val="a"/>
        <w:bidi/>
        <w:spacing w:line="216" w:lineRule="auto"/>
        <w:rPr>
          <w:rFonts w:ascii="mylotus" w:hAnsi="mylotus"/>
          <w:sz w:val="34"/>
          <w:szCs w:val="34"/>
          <w:rtl/>
        </w:rPr>
      </w:pPr>
      <w:r w:rsidRPr="00E262BE">
        <w:rPr>
          <w:rFonts w:ascii="mylotus" w:hAnsi="mylotus"/>
          <w:sz w:val="34"/>
          <w:szCs w:val="34"/>
          <w:rtl/>
        </w:rPr>
        <w:t>ولكن يكفي في دفع اللغوية وحفظ الغرض في المقام شمولُ "لا</w:t>
      </w:r>
      <w:r>
        <w:rPr>
          <w:rFonts w:ascii="mylotus" w:hAnsi="mylotus" w:hint="cs"/>
          <w:sz w:val="34"/>
          <w:szCs w:val="34"/>
          <w:rtl/>
        </w:rPr>
        <w:t xml:space="preserve"> </w:t>
      </w:r>
      <w:r w:rsidRPr="00E262BE">
        <w:rPr>
          <w:rFonts w:ascii="mylotus" w:hAnsi="mylotus"/>
          <w:sz w:val="34"/>
          <w:szCs w:val="34"/>
          <w:rtl/>
        </w:rPr>
        <w:t>ضرر</w:t>
      </w:r>
      <w:proofErr w:type="gramStart"/>
      <w:r w:rsidRPr="00E262BE">
        <w:rPr>
          <w:rFonts w:ascii="mylotus" w:hAnsi="mylotus"/>
          <w:sz w:val="34"/>
          <w:szCs w:val="34"/>
          <w:rtl/>
        </w:rPr>
        <w:t>"  للأضرار</w:t>
      </w:r>
      <w:proofErr w:type="gramEnd"/>
      <w:r w:rsidRPr="00E262BE">
        <w:rPr>
          <w:rFonts w:ascii="mylotus" w:hAnsi="mylotus"/>
          <w:sz w:val="34"/>
          <w:szCs w:val="34"/>
          <w:rtl/>
        </w:rPr>
        <w:t xml:space="preserve"> الحقيقية المتوفرة في زمن النص</w:t>
      </w:r>
      <w:r>
        <w:rPr>
          <w:rFonts w:ascii="mylotus" w:hAnsi="mylotus" w:hint="cs"/>
          <w:sz w:val="34"/>
          <w:szCs w:val="34"/>
          <w:rtl/>
        </w:rPr>
        <w:t>ّ</w:t>
      </w:r>
      <w:r w:rsidRPr="00E262BE">
        <w:rPr>
          <w:rFonts w:ascii="mylotus" w:hAnsi="mylotus"/>
          <w:sz w:val="34"/>
          <w:szCs w:val="34"/>
          <w:rtl/>
        </w:rPr>
        <w:t>، والأضرار الاعتبارية المعاصرة</w:t>
      </w:r>
      <w:r>
        <w:rPr>
          <w:rFonts w:ascii="mylotus" w:hAnsi="mylotus" w:hint="cs"/>
          <w:sz w:val="34"/>
          <w:szCs w:val="34"/>
          <w:rtl/>
        </w:rPr>
        <w:t>.</w:t>
      </w:r>
    </w:p>
    <w:p w14:paraId="74E52338" w14:textId="77777777" w:rsidR="00546513" w:rsidRPr="00E262BE" w:rsidRDefault="00546513" w:rsidP="00546513">
      <w:pPr>
        <w:pStyle w:val="a"/>
        <w:bidi/>
        <w:spacing w:line="216" w:lineRule="auto"/>
        <w:rPr>
          <w:rFonts w:ascii="mylotus" w:hAnsi="mylotus"/>
          <w:sz w:val="34"/>
          <w:szCs w:val="34"/>
          <w:rtl/>
        </w:rPr>
      </w:pPr>
      <w:r w:rsidRPr="00D6013A">
        <w:rPr>
          <w:rFonts w:ascii="mylotus" w:hAnsi="mylotus"/>
          <w:b/>
          <w:bCs/>
          <w:sz w:val="34"/>
          <w:szCs w:val="34"/>
          <w:rtl/>
        </w:rPr>
        <w:t>نحو</w:t>
      </w:r>
      <w:r w:rsidRPr="00D6013A">
        <w:rPr>
          <w:rFonts w:ascii="mylotus" w:hAnsi="mylotus" w:hint="cs"/>
          <w:b/>
          <w:bCs/>
          <w:sz w:val="34"/>
          <w:szCs w:val="34"/>
          <w:rtl/>
        </w:rPr>
        <w:t>:</w:t>
      </w:r>
      <w:r w:rsidRPr="00E262BE">
        <w:rPr>
          <w:rFonts w:ascii="mylotus" w:hAnsi="mylotus"/>
          <w:sz w:val="34"/>
          <w:szCs w:val="34"/>
          <w:rtl/>
        </w:rPr>
        <w:t xml:space="preserve"> تجاوز ما</w:t>
      </w:r>
      <w:r>
        <w:rPr>
          <w:rFonts w:ascii="mylotus" w:hAnsi="mylotus" w:hint="cs"/>
          <w:sz w:val="34"/>
          <w:szCs w:val="34"/>
          <w:rtl/>
        </w:rPr>
        <w:t xml:space="preserve"> </w:t>
      </w:r>
      <w:r w:rsidRPr="00E262BE">
        <w:rPr>
          <w:rFonts w:ascii="mylotus" w:hAnsi="mylotus"/>
          <w:sz w:val="34"/>
          <w:szCs w:val="34"/>
          <w:rtl/>
        </w:rPr>
        <w:t>ثبت للإنسان بمقتضى حيازته، فإن</w:t>
      </w:r>
      <w:r>
        <w:rPr>
          <w:rFonts w:ascii="mylotus" w:hAnsi="mylotus" w:hint="cs"/>
          <w:sz w:val="34"/>
          <w:szCs w:val="34"/>
          <w:rtl/>
        </w:rPr>
        <w:t>ّ</w:t>
      </w:r>
      <w:r w:rsidRPr="00E262BE">
        <w:rPr>
          <w:rFonts w:ascii="mylotus" w:hAnsi="mylotus"/>
          <w:sz w:val="34"/>
          <w:szCs w:val="34"/>
          <w:rtl/>
        </w:rPr>
        <w:t>ه لو مَلَكَ شخصٌ شيئاً بالحيازة مع أنّه لا يوجد دليلٌ لفظي على كون الحيازة بعنوانها مملكة، وإن</w:t>
      </w:r>
      <w:r>
        <w:rPr>
          <w:rFonts w:ascii="mylotus" w:hAnsi="mylotus" w:hint="cs"/>
          <w:sz w:val="34"/>
          <w:szCs w:val="34"/>
          <w:rtl/>
        </w:rPr>
        <w:t>ّ</w:t>
      </w:r>
      <w:r w:rsidRPr="00E262BE">
        <w:rPr>
          <w:rFonts w:ascii="mylotus" w:hAnsi="mylotus"/>
          <w:sz w:val="34"/>
          <w:szCs w:val="34"/>
          <w:rtl/>
        </w:rPr>
        <w:t>ما سببية الحيازة للملك مما قام عليه ا</w:t>
      </w:r>
      <w:r>
        <w:rPr>
          <w:rFonts w:ascii="mylotus" w:hAnsi="mylotus" w:hint="cs"/>
          <w:sz w:val="34"/>
          <w:szCs w:val="34"/>
          <w:rtl/>
        </w:rPr>
        <w:t>لا</w:t>
      </w:r>
      <w:r w:rsidRPr="00E262BE">
        <w:rPr>
          <w:rFonts w:ascii="mylotus" w:hAnsi="mylotus"/>
          <w:sz w:val="34"/>
          <w:szCs w:val="34"/>
          <w:rtl/>
        </w:rPr>
        <w:t>رتكاز</w:t>
      </w:r>
      <w:r>
        <w:rPr>
          <w:rFonts w:ascii="mylotus" w:hAnsi="mylotus" w:hint="cs"/>
          <w:sz w:val="34"/>
          <w:szCs w:val="34"/>
          <w:rtl/>
        </w:rPr>
        <w:t>ُ</w:t>
      </w:r>
      <w:r w:rsidRPr="00E262BE">
        <w:rPr>
          <w:rFonts w:ascii="mylotus" w:hAnsi="mylotus"/>
          <w:sz w:val="34"/>
          <w:szCs w:val="34"/>
          <w:rtl/>
        </w:rPr>
        <w:t xml:space="preserve"> العقلائي المعاصر لزمن الشارع، فمقتضى الإطلاق المقامي في حديث "</w:t>
      </w:r>
      <w:proofErr w:type="spellStart"/>
      <w:r w:rsidRPr="00E262BE">
        <w:rPr>
          <w:rFonts w:ascii="mylotus" w:hAnsi="mylotus"/>
          <w:sz w:val="34"/>
          <w:szCs w:val="34"/>
          <w:rtl/>
        </w:rPr>
        <w:t>لاضرر</w:t>
      </w:r>
      <w:proofErr w:type="spellEnd"/>
      <w:r w:rsidRPr="00E262BE">
        <w:rPr>
          <w:rFonts w:ascii="mylotus" w:hAnsi="mylotus"/>
          <w:sz w:val="34"/>
          <w:szCs w:val="34"/>
          <w:rtl/>
        </w:rPr>
        <w:t>" شموله الضرر الاعتباري الناشئ عن التصرف فيما مَلَكه الشخصُ بالحيازة</w:t>
      </w:r>
      <w:r w:rsidRPr="00E262BE">
        <w:rPr>
          <w:rFonts w:ascii="mylotus" w:hAnsi="mylotus"/>
          <w:sz w:val="34"/>
          <w:szCs w:val="34"/>
        </w:rPr>
        <w:t>.</w:t>
      </w:r>
    </w:p>
    <w:p w14:paraId="1585224B"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sz w:val="34"/>
          <w:szCs w:val="34"/>
          <w:rtl/>
        </w:rPr>
        <w:t xml:space="preserve">وأمّا الأضرار الاعتبارية المستجدة نحو: حقّ البراءة، أو ضمان منافع الحرّ القادر على العمل عند حبسه، فهذا مما لا موجب لاستفادة اندراجه تحت </w:t>
      </w:r>
      <w:proofErr w:type="gramStart"/>
      <w:r w:rsidRPr="00E262BE">
        <w:rPr>
          <w:rFonts w:ascii="mylotus" w:hAnsi="mylotus"/>
          <w:sz w:val="34"/>
          <w:szCs w:val="34"/>
          <w:rtl/>
        </w:rPr>
        <w:t>الحديث</w:t>
      </w:r>
      <w:r w:rsidRPr="00E262BE">
        <w:rPr>
          <w:rFonts w:ascii="mylotus" w:hAnsi="mylotus"/>
          <w:sz w:val="34"/>
          <w:szCs w:val="34"/>
        </w:rPr>
        <w:t xml:space="preserve"> .</w:t>
      </w:r>
      <w:proofErr w:type="gramEnd"/>
    </w:p>
    <w:p w14:paraId="2F814FF8"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sz w:val="34"/>
          <w:szCs w:val="34"/>
          <w:rtl/>
        </w:rPr>
        <w:t xml:space="preserve">ثمّ أفاد جملةً بقوله (أعلى الله مقامه): </w:t>
      </w:r>
      <w:r w:rsidRPr="00D6013A">
        <w:rPr>
          <w:rFonts w:ascii="mylotus" w:hAnsi="mylotus"/>
          <w:b/>
          <w:bCs/>
          <w:sz w:val="34"/>
          <w:szCs w:val="34"/>
          <w:rtl/>
        </w:rPr>
        <w:t xml:space="preserve">(أنّه عند الشك في ثبوت هذا الحقّ في زمن التشريع، أو دخوله تحت نكتة ممضاة من قبله لا نحتاج إلى إثبات ذلك بالشواهد التاريخية القطعية الأمر الذي يتعسر غالباً أو يتعذر، بل يمكن إثبات ذلك بطريق آخر تعبدي وهو إجراء أصالة الثبات في الظهور لما ذكرنا من أنَّ هذه الأفراد </w:t>
      </w:r>
      <w:proofErr w:type="spellStart"/>
      <w:r w:rsidRPr="00D6013A">
        <w:rPr>
          <w:rFonts w:ascii="mylotus" w:hAnsi="mylotus"/>
          <w:b/>
          <w:bCs/>
          <w:sz w:val="34"/>
          <w:szCs w:val="34"/>
          <w:rtl/>
        </w:rPr>
        <w:t>العنائية</w:t>
      </w:r>
      <w:proofErr w:type="spellEnd"/>
      <w:r w:rsidRPr="00D6013A">
        <w:rPr>
          <w:rFonts w:ascii="mylotus" w:hAnsi="mylotus"/>
          <w:b/>
          <w:bCs/>
          <w:sz w:val="34"/>
          <w:szCs w:val="34"/>
          <w:rtl/>
        </w:rPr>
        <w:t xml:space="preserve"> توجب ظهوراً وتوسعة في مدلول الخطاب لفظاً أو مقاماً بحيث يشمل الخطاب هذه الأفراد فإذا شك في إمضاء الشارع لها رجع إلى الشك في تحديد ظهور الخطاب وأنّ ما نفهمه اليوم من إطلاقه هل كان ثابتاً له في عصر التشريع أيضاً أم لا فيكون من موارد التمسك بأصالة الثبات وعدم النقل في الظهور)</w:t>
      </w:r>
      <w:r>
        <w:rPr>
          <w:rStyle w:val="FootnoteReference"/>
          <w:rFonts w:ascii="mylotus" w:hAnsi="mylotus"/>
          <w:sz w:val="34"/>
          <w:szCs w:val="34"/>
          <w:rtl/>
        </w:rPr>
        <w:footnoteReference w:id="203"/>
      </w:r>
      <w:r>
        <w:rPr>
          <w:rFonts w:ascii="mylotus" w:hAnsi="mylotus" w:hint="cs"/>
          <w:b/>
          <w:bCs/>
          <w:sz w:val="34"/>
          <w:szCs w:val="34"/>
          <w:rtl/>
        </w:rPr>
        <w:t>.</w:t>
      </w:r>
    </w:p>
    <w:p w14:paraId="0EE5A3D4" w14:textId="77777777" w:rsidR="00546513" w:rsidRPr="00E262BE" w:rsidRDefault="00546513" w:rsidP="00546513">
      <w:pPr>
        <w:pStyle w:val="a"/>
        <w:bidi/>
        <w:spacing w:line="216" w:lineRule="auto"/>
        <w:rPr>
          <w:rFonts w:ascii="mylotus" w:hAnsi="mylotus"/>
          <w:sz w:val="34"/>
          <w:szCs w:val="34"/>
          <w:rtl/>
        </w:rPr>
      </w:pPr>
      <w:r w:rsidRPr="00D6013A">
        <w:rPr>
          <w:rFonts w:ascii="mylotus" w:hAnsi="mylotus"/>
          <w:b/>
          <w:bCs/>
          <w:sz w:val="34"/>
          <w:szCs w:val="34"/>
          <w:rtl/>
        </w:rPr>
        <w:lastRenderedPageBreak/>
        <w:t xml:space="preserve">وتوضيحُهُ: </w:t>
      </w:r>
      <w:r w:rsidRPr="00E262BE">
        <w:rPr>
          <w:rFonts w:ascii="mylotus" w:hAnsi="mylotus"/>
          <w:sz w:val="34"/>
          <w:szCs w:val="34"/>
          <w:rtl/>
        </w:rPr>
        <w:t>كما أنّ أصالة الثبات تجري في مفاهيم الألفاظ، كما لو شك في مفهوم جملة "لا ينبغي" في زمان النصّ، فإن</w:t>
      </w:r>
      <w:r>
        <w:rPr>
          <w:rFonts w:ascii="mylotus" w:hAnsi="mylotus" w:hint="cs"/>
          <w:sz w:val="34"/>
          <w:szCs w:val="34"/>
          <w:rtl/>
        </w:rPr>
        <w:t>ّ</w:t>
      </w:r>
      <w:r w:rsidRPr="00E262BE">
        <w:rPr>
          <w:rFonts w:ascii="mylotus" w:hAnsi="mylotus"/>
          <w:sz w:val="34"/>
          <w:szCs w:val="34"/>
          <w:rtl/>
        </w:rPr>
        <w:t>ه ي</w:t>
      </w:r>
      <w:r>
        <w:rPr>
          <w:rFonts w:ascii="mylotus" w:hAnsi="mylotus" w:hint="cs"/>
          <w:sz w:val="34"/>
          <w:szCs w:val="34"/>
          <w:rtl/>
        </w:rPr>
        <w:t>ُ</w:t>
      </w:r>
      <w:r w:rsidRPr="00E262BE">
        <w:rPr>
          <w:rFonts w:ascii="mylotus" w:hAnsi="mylotus"/>
          <w:sz w:val="34"/>
          <w:szCs w:val="34"/>
          <w:rtl/>
        </w:rPr>
        <w:t>قال: بما أنّ المنصرف عرفاً منها في زماننا هو الكراهة - لا الحرمة - فمقتضى أصالة الثبات في المفاهيم اللغوية أنّ هذا هو المفهوم في زمان النصّ</w:t>
      </w:r>
      <w:r w:rsidRPr="00E262BE">
        <w:rPr>
          <w:rFonts w:ascii="mylotus" w:hAnsi="mylotus"/>
          <w:sz w:val="34"/>
          <w:szCs w:val="34"/>
        </w:rPr>
        <w:t>.</w:t>
      </w:r>
    </w:p>
    <w:p w14:paraId="1ACAC17A" w14:textId="77777777" w:rsidR="00546513" w:rsidRPr="00E262BE" w:rsidRDefault="00546513" w:rsidP="00546513">
      <w:pPr>
        <w:pStyle w:val="a"/>
        <w:bidi/>
        <w:spacing w:line="216" w:lineRule="auto"/>
        <w:rPr>
          <w:rFonts w:ascii="mylotus" w:hAnsi="mylotus"/>
          <w:sz w:val="34"/>
          <w:szCs w:val="34"/>
          <w:rtl/>
        </w:rPr>
      </w:pPr>
      <w:r w:rsidRPr="00E262BE">
        <w:rPr>
          <w:rFonts w:ascii="mylotus" w:hAnsi="mylotus"/>
          <w:sz w:val="34"/>
          <w:szCs w:val="34"/>
          <w:rtl/>
        </w:rPr>
        <w:t xml:space="preserve">كذلك في المقام إذا قام العرف العقلائي على صدق عنوان </w:t>
      </w:r>
      <w:r>
        <w:rPr>
          <w:rFonts w:ascii="mylotus" w:hAnsi="mylotus" w:cs="Cambria" w:hint="cs"/>
          <w:sz w:val="34"/>
          <w:szCs w:val="34"/>
          <w:rtl/>
        </w:rPr>
        <w:t>"</w:t>
      </w:r>
      <w:r w:rsidRPr="00E262BE">
        <w:rPr>
          <w:rFonts w:ascii="mylotus" w:hAnsi="mylotus"/>
          <w:sz w:val="34"/>
          <w:szCs w:val="34"/>
          <w:rtl/>
        </w:rPr>
        <w:t>الضرر</w:t>
      </w:r>
      <w:r>
        <w:rPr>
          <w:rFonts w:ascii="mylotus" w:hAnsi="mylotus" w:cs="Cambria" w:hint="cs"/>
          <w:sz w:val="34"/>
          <w:szCs w:val="34"/>
          <w:rtl/>
        </w:rPr>
        <w:t>"</w:t>
      </w:r>
      <w:r w:rsidRPr="00E262BE">
        <w:rPr>
          <w:rFonts w:ascii="mylotus" w:hAnsi="mylotus"/>
          <w:sz w:val="34"/>
          <w:szCs w:val="34"/>
          <w:rtl/>
        </w:rPr>
        <w:t xml:space="preserve"> على الضرر ال</w:t>
      </w:r>
      <w:r>
        <w:rPr>
          <w:rFonts w:ascii="mylotus" w:hAnsi="mylotus" w:hint="cs"/>
          <w:sz w:val="34"/>
          <w:szCs w:val="34"/>
          <w:rtl/>
        </w:rPr>
        <w:t>ا</w:t>
      </w:r>
      <w:r w:rsidRPr="00E262BE">
        <w:rPr>
          <w:rFonts w:ascii="mylotus" w:hAnsi="mylotus"/>
          <w:sz w:val="34"/>
          <w:szCs w:val="34"/>
          <w:rtl/>
        </w:rPr>
        <w:t>عتباري، وأوجبَ ذلك انصراف عنوان "الضرر" لما يشمل الضرر الاعتباري، بحيث</w:t>
      </w:r>
      <w:r>
        <w:rPr>
          <w:rFonts w:ascii="mylotus" w:hAnsi="mylotus" w:hint="cs"/>
          <w:sz w:val="34"/>
          <w:szCs w:val="34"/>
          <w:rtl/>
        </w:rPr>
        <w:t>ُ</w:t>
      </w:r>
      <w:r w:rsidRPr="00E262BE">
        <w:rPr>
          <w:rFonts w:ascii="mylotus" w:hAnsi="mylotus"/>
          <w:sz w:val="34"/>
          <w:szCs w:val="34"/>
          <w:rtl/>
        </w:rPr>
        <w:t xml:space="preserve"> يكون التطبيق سبباً في انعقاد الظهور، فإذا شك انعقاد هذا الظهور في زمن النصّ أم لا</w:t>
      </w:r>
      <w:r>
        <w:rPr>
          <w:rFonts w:ascii="mylotus" w:hAnsi="mylotus" w:hint="cs"/>
          <w:sz w:val="34"/>
          <w:szCs w:val="34"/>
          <w:rtl/>
        </w:rPr>
        <w:t>،</w:t>
      </w:r>
      <w:r w:rsidRPr="00E262BE">
        <w:rPr>
          <w:rFonts w:ascii="mylotus" w:hAnsi="mylotus"/>
          <w:sz w:val="34"/>
          <w:szCs w:val="34"/>
          <w:rtl/>
        </w:rPr>
        <w:t xml:space="preserve"> فمقتضى أصالة الثبات أنّه كذلك.</w:t>
      </w:r>
    </w:p>
    <w:p w14:paraId="6F6D2768" w14:textId="77777777" w:rsidR="00546513" w:rsidRPr="00A17B4E" w:rsidRDefault="00546513" w:rsidP="00546513">
      <w:pPr>
        <w:pStyle w:val="a"/>
        <w:bidi/>
        <w:spacing w:line="216" w:lineRule="auto"/>
        <w:rPr>
          <w:rFonts w:ascii="mylotus" w:hAnsi="mylotus"/>
          <w:sz w:val="34"/>
          <w:szCs w:val="34"/>
          <w:rtl/>
        </w:rPr>
      </w:pPr>
    </w:p>
    <w:p w14:paraId="498DA290" w14:textId="77777777" w:rsidR="00546513" w:rsidRPr="005E03C1" w:rsidRDefault="00546513" w:rsidP="00546513">
      <w:pPr>
        <w:pStyle w:val="a"/>
        <w:bidi/>
        <w:spacing w:line="216" w:lineRule="auto"/>
        <w:jc w:val="center"/>
        <w:rPr>
          <w:rFonts w:ascii="mylotus" w:hAnsi="mylotus"/>
          <w:b/>
          <w:bCs/>
          <w:sz w:val="34"/>
          <w:szCs w:val="34"/>
        </w:rPr>
      </w:pPr>
      <w:r w:rsidRPr="005E03C1">
        <w:rPr>
          <w:rFonts w:ascii="mylotus" w:hAnsi="mylotus"/>
          <w:b/>
          <w:bCs/>
          <w:sz w:val="34"/>
          <w:szCs w:val="34"/>
          <w:rtl/>
        </w:rPr>
        <w:t>والحمد لله رب العالمين</w:t>
      </w:r>
    </w:p>
    <w:p w14:paraId="71FC0401" w14:textId="77777777" w:rsidR="00537D87" w:rsidRPr="00D10764" w:rsidRDefault="00537D87" w:rsidP="00122B70">
      <w:pPr>
        <w:bidi/>
        <w:rPr>
          <w:b/>
          <w:bCs/>
          <w:sz w:val="32"/>
          <w:szCs w:val="32"/>
          <w:rtl/>
        </w:rPr>
      </w:pPr>
    </w:p>
    <w:p w14:paraId="0FEE8D8D" w14:textId="4C8FB10F" w:rsidR="005E0643" w:rsidRDefault="00D51153" w:rsidP="00D51153">
      <w:pPr>
        <w:pStyle w:val="Heading3"/>
        <w:bidi/>
        <w:rPr>
          <w:sz w:val="32"/>
          <w:szCs w:val="32"/>
          <w:rtl/>
        </w:rPr>
      </w:pPr>
      <w:r>
        <w:rPr>
          <w:rFonts w:hint="cs"/>
          <w:sz w:val="32"/>
          <w:szCs w:val="32"/>
          <w:rtl/>
        </w:rPr>
        <w:t>322</w:t>
      </w:r>
    </w:p>
    <w:p w14:paraId="60D0DACF" w14:textId="77777777" w:rsidR="00D51153" w:rsidRPr="00D51153" w:rsidRDefault="00D51153" w:rsidP="00D51153">
      <w:pPr>
        <w:bidi/>
        <w:rPr>
          <w:b/>
          <w:bCs/>
          <w:sz w:val="32"/>
          <w:szCs w:val="32"/>
        </w:rPr>
      </w:pPr>
      <w:r w:rsidRPr="00D51153">
        <w:rPr>
          <w:b/>
          <w:bCs/>
          <w:sz w:val="32"/>
          <w:szCs w:val="32"/>
          <w:rtl/>
        </w:rPr>
        <w:t>بسم الله الرحمن الرحيم</w:t>
      </w:r>
    </w:p>
    <w:p w14:paraId="47671755" w14:textId="77777777" w:rsidR="00D51153" w:rsidRPr="00D51153" w:rsidRDefault="00D51153" w:rsidP="00D51153">
      <w:pPr>
        <w:bidi/>
        <w:rPr>
          <w:b/>
          <w:bCs/>
          <w:sz w:val="32"/>
          <w:szCs w:val="32"/>
          <w:rtl/>
        </w:rPr>
      </w:pPr>
      <w:r w:rsidRPr="00D51153">
        <w:rPr>
          <w:b/>
          <w:bCs/>
          <w:sz w:val="32"/>
          <w:szCs w:val="32"/>
          <w:rtl/>
        </w:rPr>
        <w:t>والصلاة والسلام على أشرف الأنبياء والمرسلين، محمد وآله الطيبين الطاهرين</w:t>
      </w:r>
    </w:p>
    <w:p w14:paraId="58F6F371" w14:textId="77777777" w:rsidR="00D51153" w:rsidRPr="00D51153" w:rsidRDefault="00D51153" w:rsidP="00D51153">
      <w:pPr>
        <w:bidi/>
        <w:rPr>
          <w:sz w:val="32"/>
          <w:szCs w:val="32"/>
          <w:rtl/>
        </w:rPr>
      </w:pPr>
      <w:r w:rsidRPr="00D51153">
        <w:rPr>
          <w:b/>
          <w:bCs/>
          <w:sz w:val="32"/>
          <w:szCs w:val="32"/>
          <w:rtl/>
        </w:rPr>
        <w:t>واللعن الدائم على أعدائهم أجمعين إلى قيام يوم الدين</w:t>
      </w:r>
    </w:p>
    <w:p w14:paraId="14E60E8B" w14:textId="77777777" w:rsidR="00D51153" w:rsidRPr="00D51153" w:rsidRDefault="00D51153" w:rsidP="00D51153">
      <w:pPr>
        <w:bidi/>
        <w:rPr>
          <w:sz w:val="32"/>
          <w:szCs w:val="32"/>
          <w:rtl/>
        </w:rPr>
      </w:pPr>
    </w:p>
    <w:p w14:paraId="58C8B1D4" w14:textId="77777777" w:rsidR="00D51153" w:rsidRPr="00D51153" w:rsidRDefault="00D51153" w:rsidP="00D51153">
      <w:pPr>
        <w:bidi/>
        <w:rPr>
          <w:b/>
          <w:bCs/>
          <w:sz w:val="32"/>
          <w:szCs w:val="32"/>
          <w:rtl/>
        </w:rPr>
      </w:pPr>
      <w:r w:rsidRPr="00D51153">
        <w:rPr>
          <w:b/>
          <w:bCs/>
          <w:sz w:val="32"/>
          <w:szCs w:val="32"/>
          <w:rtl/>
        </w:rPr>
        <w:t xml:space="preserve">وهناك بعضُ التأملات </w:t>
      </w:r>
      <w:proofErr w:type="gramStart"/>
      <w:r w:rsidRPr="00D51153">
        <w:rPr>
          <w:b/>
          <w:bCs/>
          <w:sz w:val="32"/>
          <w:szCs w:val="32"/>
          <w:rtl/>
        </w:rPr>
        <w:t>في ما</w:t>
      </w:r>
      <w:proofErr w:type="gramEnd"/>
      <w:r w:rsidRPr="00D51153">
        <w:rPr>
          <w:b/>
          <w:bCs/>
          <w:sz w:val="32"/>
          <w:szCs w:val="32"/>
          <w:rtl/>
        </w:rPr>
        <w:t xml:space="preserve"> مضى مِن المطالب:</w:t>
      </w:r>
    </w:p>
    <w:p w14:paraId="265AE8DC" w14:textId="77777777" w:rsidR="00D51153" w:rsidRPr="00D51153" w:rsidRDefault="00D51153" w:rsidP="00D51153">
      <w:pPr>
        <w:bidi/>
        <w:rPr>
          <w:sz w:val="32"/>
          <w:szCs w:val="32"/>
          <w:rtl/>
        </w:rPr>
      </w:pPr>
      <w:r w:rsidRPr="00D51153">
        <w:rPr>
          <w:b/>
          <w:bCs/>
          <w:sz w:val="32"/>
          <w:szCs w:val="32"/>
          <w:rtl/>
        </w:rPr>
        <w:t>التأملُ الأوّل:</w:t>
      </w:r>
    </w:p>
    <w:p w14:paraId="08A40768" w14:textId="77777777" w:rsidR="00D51153" w:rsidRPr="00D51153" w:rsidRDefault="00D51153" w:rsidP="00D51153">
      <w:pPr>
        <w:bidi/>
        <w:rPr>
          <w:sz w:val="32"/>
          <w:szCs w:val="32"/>
          <w:rtl/>
        </w:rPr>
      </w:pPr>
      <w:r w:rsidRPr="00D51153">
        <w:rPr>
          <w:b/>
          <w:bCs/>
          <w:sz w:val="32"/>
          <w:szCs w:val="32"/>
          <w:rtl/>
        </w:rPr>
        <w:t>قد يُقال:</w:t>
      </w:r>
      <w:r w:rsidRPr="00D51153">
        <w:rPr>
          <w:sz w:val="32"/>
          <w:szCs w:val="32"/>
          <w:rtl/>
        </w:rPr>
        <w:t xml:space="preserve"> إنّ شمول عنوان "الضرر" للضرر الاعتباري عند العرف ليس مِن باب تصرف العرف في المصداق، بمعنى: أنّ مفهوم "الضرر" واضحٌ لكن العرف يقوم بتطبيق مفهوم الضرر على الضرر الاعتباري على نحو التوسعة</w:t>
      </w:r>
      <w:r w:rsidRPr="00D51153">
        <w:rPr>
          <w:sz w:val="32"/>
          <w:szCs w:val="32"/>
        </w:rPr>
        <w:t>.</w:t>
      </w:r>
    </w:p>
    <w:p w14:paraId="17BCDF33" w14:textId="77777777" w:rsidR="00D51153" w:rsidRPr="00D51153" w:rsidRDefault="00D51153" w:rsidP="00D51153">
      <w:pPr>
        <w:bidi/>
        <w:rPr>
          <w:sz w:val="32"/>
          <w:szCs w:val="32"/>
          <w:rtl/>
        </w:rPr>
      </w:pPr>
      <w:r w:rsidRPr="00D51153">
        <w:rPr>
          <w:sz w:val="32"/>
          <w:szCs w:val="32"/>
          <w:rtl/>
        </w:rPr>
        <w:t xml:space="preserve">بل إنّ عنوان "الضرر" منطبقٌ على الضرر الاعتباري بذاته، مِن دون تصرف مِن العرف، فليس نظر العرف فيه نظراً </w:t>
      </w:r>
      <w:proofErr w:type="gramStart"/>
      <w:r w:rsidRPr="00D51153">
        <w:rPr>
          <w:sz w:val="32"/>
          <w:szCs w:val="32"/>
          <w:rtl/>
        </w:rPr>
        <w:t>إنشائياً</w:t>
      </w:r>
      <w:proofErr w:type="gramEnd"/>
      <w:r w:rsidRPr="00D51153">
        <w:rPr>
          <w:sz w:val="32"/>
          <w:szCs w:val="32"/>
          <w:rtl/>
        </w:rPr>
        <w:t xml:space="preserve"> بل نظرُ العرف نظرٌ إخباري</w:t>
      </w:r>
      <w:r w:rsidRPr="00D51153">
        <w:rPr>
          <w:sz w:val="32"/>
          <w:szCs w:val="32"/>
        </w:rPr>
        <w:t>.</w:t>
      </w:r>
    </w:p>
    <w:p w14:paraId="43CB66C4" w14:textId="77777777" w:rsidR="00D51153" w:rsidRPr="00D51153" w:rsidRDefault="00D51153" w:rsidP="00D51153">
      <w:pPr>
        <w:bidi/>
        <w:rPr>
          <w:sz w:val="32"/>
          <w:szCs w:val="32"/>
          <w:rtl/>
        </w:rPr>
      </w:pPr>
      <w:r w:rsidRPr="00D51153">
        <w:rPr>
          <w:b/>
          <w:bCs/>
          <w:sz w:val="32"/>
          <w:szCs w:val="32"/>
          <w:rtl/>
        </w:rPr>
        <w:t>وبيانُ ذلك:</w:t>
      </w:r>
    </w:p>
    <w:p w14:paraId="6D3252BB" w14:textId="77777777" w:rsidR="00D51153" w:rsidRPr="00D51153" w:rsidRDefault="00D51153" w:rsidP="00D51153">
      <w:pPr>
        <w:bidi/>
        <w:rPr>
          <w:sz w:val="32"/>
          <w:szCs w:val="32"/>
          <w:rtl/>
        </w:rPr>
      </w:pPr>
      <w:r w:rsidRPr="00D51153">
        <w:rPr>
          <w:sz w:val="32"/>
          <w:szCs w:val="32"/>
          <w:rtl/>
        </w:rPr>
        <w:t>أنّ المنصرف عرفاً مِن عنوان "الضرر" هو النقص المعتد بِهِ سواءً كان في النفس كتلف عضو، أو في العرض كالخدش في نزاهة العرض، أو المال العرفي، أو الحرمان مِن الحقّ العرفي</w:t>
      </w:r>
      <w:r w:rsidRPr="00D51153">
        <w:rPr>
          <w:sz w:val="32"/>
          <w:szCs w:val="32"/>
        </w:rPr>
        <w:t>.</w:t>
      </w:r>
    </w:p>
    <w:p w14:paraId="3E9CAE7E" w14:textId="77777777" w:rsidR="00D51153" w:rsidRPr="00D51153" w:rsidRDefault="00D51153" w:rsidP="00D51153">
      <w:pPr>
        <w:bidi/>
        <w:rPr>
          <w:sz w:val="32"/>
          <w:szCs w:val="32"/>
          <w:rtl/>
        </w:rPr>
      </w:pPr>
      <w:r w:rsidRPr="00D51153">
        <w:rPr>
          <w:sz w:val="32"/>
          <w:szCs w:val="32"/>
          <w:rtl/>
        </w:rPr>
        <w:lastRenderedPageBreak/>
        <w:t xml:space="preserve">فإنّ الحرمان مِن الحقّ العرفي مصداقٌ حقيقي للضرر، وقد أدرك العرف انطباق عنوان "الضرر" عليه، لا أنّ العرف اصطنعَ المصداق وأنشأه، كما في التصرف فيما يدخل في الحساب البنكي للشخص، فلو أنّ الدولة حولت إلى حساب الشخص في البنك مبلغاً كما هو متعارفٌ في بعض الدول العربية  </w:t>
      </w:r>
      <w:proofErr w:type="spellStart"/>
      <w:r w:rsidRPr="00D51153">
        <w:rPr>
          <w:sz w:val="32"/>
          <w:szCs w:val="32"/>
          <w:rtl/>
        </w:rPr>
        <w:t>بإسم</w:t>
      </w:r>
      <w:proofErr w:type="spellEnd"/>
      <w:r w:rsidRPr="00D51153">
        <w:rPr>
          <w:sz w:val="32"/>
          <w:szCs w:val="32"/>
          <w:rtl/>
        </w:rPr>
        <w:t xml:space="preserve"> "حساب المواطن" أو </w:t>
      </w:r>
      <w:proofErr w:type="spellStart"/>
      <w:r w:rsidRPr="00D51153">
        <w:rPr>
          <w:sz w:val="32"/>
          <w:szCs w:val="32"/>
          <w:rtl/>
        </w:rPr>
        <w:t>إسم</w:t>
      </w:r>
      <w:proofErr w:type="spellEnd"/>
      <w:r w:rsidRPr="00D51153">
        <w:rPr>
          <w:sz w:val="32"/>
          <w:szCs w:val="32"/>
          <w:rtl/>
        </w:rPr>
        <w:t xml:space="preserve"> "</w:t>
      </w:r>
      <w:proofErr w:type="spellStart"/>
      <w:r w:rsidRPr="00D51153">
        <w:rPr>
          <w:sz w:val="32"/>
          <w:szCs w:val="32"/>
          <w:rtl/>
        </w:rPr>
        <w:t>علاة</w:t>
      </w:r>
      <w:proofErr w:type="spellEnd"/>
      <w:r w:rsidRPr="00D51153">
        <w:rPr>
          <w:sz w:val="32"/>
          <w:szCs w:val="32"/>
          <w:rtl/>
        </w:rPr>
        <w:t xml:space="preserve"> الغلاء" فما ينزل في الحساب بنظره قد مَلَكهُ صاحب الحساب  أو أنّ لهُ حقّاً فيه على الأقل، مع أنّه بنظر الشرع -على بعض المباني- لَمْ يملكه؛ لأنّه لَمْ يقبضه، فلو تصرف شخص في المال المودع مِن الدولة في حساب المواطن لكان تصرفه بنظر العرف ضرراً على صاحب الحساب، وهذا ليس مِن باب الإنشاء بمعنى أنّ العرف اعتبره ضرراً، بل أنّ العرف أدرك انطباق عنوان "الضرر" عليه</w:t>
      </w:r>
      <w:r w:rsidRPr="00D51153">
        <w:rPr>
          <w:sz w:val="32"/>
          <w:szCs w:val="32"/>
        </w:rPr>
        <w:t>.</w:t>
      </w:r>
    </w:p>
    <w:p w14:paraId="1BDEFA9B" w14:textId="7FC9FC85" w:rsidR="00D51153" w:rsidRPr="00D51153" w:rsidRDefault="00D51153" w:rsidP="00D51153">
      <w:pPr>
        <w:bidi/>
        <w:rPr>
          <w:sz w:val="32"/>
          <w:szCs w:val="32"/>
          <w:rtl/>
        </w:rPr>
      </w:pPr>
      <w:r w:rsidRPr="00D51153">
        <w:rPr>
          <w:b/>
          <w:bCs/>
          <w:sz w:val="32"/>
          <w:szCs w:val="32"/>
          <w:rtl/>
        </w:rPr>
        <w:t>ويؤكدُ ذلك:</w:t>
      </w:r>
      <w:r w:rsidRPr="00D51153">
        <w:rPr>
          <w:sz w:val="32"/>
          <w:szCs w:val="32"/>
          <w:rtl/>
        </w:rPr>
        <w:t xml:space="preserve"> تطبيقُ "لا ضرر" على قضية سمرة بن جندب مع الأنصاري</w:t>
      </w:r>
      <w:r w:rsidRPr="00D51153">
        <w:rPr>
          <w:sz w:val="32"/>
          <w:szCs w:val="32"/>
          <w:vertAlign w:val="superscript"/>
          <w:rtl/>
        </w:rPr>
        <w:footnoteReference w:id="204"/>
      </w:r>
      <w:r w:rsidRPr="00D51153">
        <w:rPr>
          <w:sz w:val="32"/>
          <w:szCs w:val="32"/>
          <w:rtl/>
        </w:rPr>
        <w:t xml:space="preserve">؛ حيثُ إنّ الرسول الأعظم (صلى الله عليه وآله) مَنَعَ سمرة مِن الدخول لعذقه مع أنّه يملكه ومَن مَلَكَ العذق مَلَكَ حقَّ الاستطراق إليه، ومع ذلك منعه الرسول (صلى الله عليه وآله) مِن الاستطراق؛ لأنّ </w:t>
      </w:r>
      <w:proofErr w:type="spellStart"/>
      <w:r w:rsidRPr="00D51153">
        <w:rPr>
          <w:sz w:val="32"/>
          <w:szCs w:val="32"/>
          <w:rtl/>
        </w:rPr>
        <w:t>استطراقه</w:t>
      </w:r>
      <w:proofErr w:type="spellEnd"/>
      <w:r w:rsidRPr="00D51153">
        <w:rPr>
          <w:sz w:val="32"/>
          <w:szCs w:val="32"/>
          <w:rtl/>
        </w:rPr>
        <w:t xml:space="preserve"> لعذقه يمر ببيت الأنصاري، فمنعه الرسول مِن ذلك وطبق عنوان "لا ضرر" عليه، فَقَالَ رَسُولُ اللَّهِ (صَلَّى اللَّهُ عَلَيْهِ وَآلِهِ) لِلْأَنْصَارِيِّ: </w:t>
      </w:r>
      <w:r w:rsidRPr="00D51153">
        <w:rPr>
          <w:b/>
          <w:bCs/>
          <w:sz w:val="32"/>
          <w:szCs w:val="32"/>
          <w:rtl/>
        </w:rPr>
        <w:t xml:space="preserve">(اذْهَبْ فَاقْلَعْهَا، وَارْمِ بِهَا إِلَيْهِ؛ فَإِنَّهُ </w:t>
      </w:r>
      <w:proofErr w:type="spellStart"/>
      <w:r w:rsidRPr="00D51153">
        <w:rPr>
          <w:b/>
          <w:bCs/>
          <w:sz w:val="32"/>
          <w:szCs w:val="32"/>
          <w:rtl/>
        </w:rPr>
        <w:t>لَاضَرَرَ</w:t>
      </w:r>
      <w:proofErr w:type="spellEnd"/>
      <w:r w:rsidRPr="00D51153">
        <w:rPr>
          <w:b/>
          <w:bCs/>
          <w:sz w:val="32"/>
          <w:szCs w:val="32"/>
          <w:rtl/>
        </w:rPr>
        <w:t xml:space="preserve"> وَلَا ضِرَارَ)</w:t>
      </w:r>
      <w:r w:rsidRPr="00D51153">
        <w:rPr>
          <w:b/>
          <w:bCs/>
          <w:sz w:val="32"/>
          <w:szCs w:val="32"/>
          <w:vertAlign w:val="superscript"/>
          <w:rtl/>
        </w:rPr>
        <w:footnoteReference w:id="205"/>
      </w:r>
      <w:r w:rsidRPr="00D51153">
        <w:rPr>
          <w:sz w:val="32"/>
          <w:szCs w:val="32"/>
          <w:rtl/>
        </w:rPr>
        <w:t>، مع أنّه لا يوجدُ ضررٌ حسّي؛ إذ لا يوجدُ نقصٌ لا في النفس ولا في المال؛ وإنّما الدخول إلى مكانٍ فيه معرضيةٌ لانكشاف عرض الآخر ضررٌ حقيقي عليه عرفاً؛ حيثُ إنّ المرأة بمقتضى العادة في بيتها تكون خاليةً مِن الحجاب والستر، فالدخول إلى مكانٍ تكون المرأة فيه معرضاً للنظر خدشٌ في العِرض</w:t>
      </w:r>
      <w:r w:rsidR="008D6FDC">
        <w:rPr>
          <w:rStyle w:val="FootnoteReference"/>
          <w:sz w:val="32"/>
          <w:szCs w:val="32"/>
          <w:rtl/>
        </w:rPr>
        <w:footnoteReference w:id="206"/>
      </w:r>
      <w:r w:rsidRPr="00D51153">
        <w:rPr>
          <w:sz w:val="32"/>
          <w:szCs w:val="32"/>
          <w:rtl/>
        </w:rPr>
        <w:t>، وهذا الخدش ليس أمراً واقعياً ولا خارجياً وإنّما هو أمرٌ اعتباري.</w:t>
      </w:r>
    </w:p>
    <w:p w14:paraId="5440D630" w14:textId="77777777" w:rsidR="00D51153" w:rsidRPr="00D51153" w:rsidRDefault="00D51153" w:rsidP="00D51153">
      <w:pPr>
        <w:bidi/>
        <w:rPr>
          <w:sz w:val="32"/>
          <w:szCs w:val="32"/>
          <w:rtl/>
        </w:rPr>
      </w:pPr>
      <w:r w:rsidRPr="00D51153">
        <w:rPr>
          <w:sz w:val="32"/>
          <w:szCs w:val="32"/>
          <w:rtl/>
        </w:rPr>
        <w:t xml:space="preserve">فبما أنّ الرسول الأعظم (صلى الله عليه وآله) طبق عنوان "الضرر" على الخدش في العرض بهذا النحو وهو أمرٌ اعتباري فهذا منبهٌ على سعةِ مفهوم "الضرر" لما يشمل النقص في </w:t>
      </w:r>
      <w:proofErr w:type="gramStart"/>
      <w:r w:rsidRPr="00D51153">
        <w:rPr>
          <w:sz w:val="32"/>
          <w:szCs w:val="32"/>
          <w:rtl/>
        </w:rPr>
        <w:t>المال</w:t>
      </w:r>
      <w:proofErr w:type="gramEnd"/>
      <w:r w:rsidRPr="00D51153">
        <w:rPr>
          <w:sz w:val="32"/>
          <w:szCs w:val="32"/>
          <w:rtl/>
        </w:rPr>
        <w:t xml:space="preserve"> أو العرض أو النفس أو الحرمان مِن الحقّ، أي: ما يشمل الأضرار الاعتبارية</w:t>
      </w:r>
      <w:r w:rsidRPr="00D51153">
        <w:rPr>
          <w:sz w:val="32"/>
          <w:szCs w:val="32"/>
        </w:rPr>
        <w:t>.</w:t>
      </w:r>
    </w:p>
    <w:p w14:paraId="5665CD06" w14:textId="77777777" w:rsidR="00D51153" w:rsidRPr="00D51153" w:rsidRDefault="00D51153" w:rsidP="00D51153">
      <w:pPr>
        <w:bidi/>
        <w:rPr>
          <w:sz w:val="32"/>
          <w:szCs w:val="32"/>
          <w:rtl/>
        </w:rPr>
      </w:pPr>
      <w:r w:rsidRPr="00D51153">
        <w:rPr>
          <w:b/>
          <w:bCs/>
          <w:sz w:val="32"/>
          <w:szCs w:val="32"/>
          <w:rtl/>
        </w:rPr>
        <w:t>وبالتالي:</w:t>
      </w:r>
      <w:r w:rsidRPr="00D51153">
        <w:rPr>
          <w:sz w:val="32"/>
          <w:szCs w:val="32"/>
          <w:rtl/>
        </w:rPr>
        <w:t xml:space="preserve"> فشمولُ "لا ضرر" للضرر للاعتباري مما لا يحتاج إلى التمسك بالإطلاق المقامي أو القرينة </w:t>
      </w:r>
      <w:proofErr w:type="gramStart"/>
      <w:r w:rsidRPr="00D51153">
        <w:rPr>
          <w:sz w:val="32"/>
          <w:szCs w:val="32"/>
          <w:rtl/>
        </w:rPr>
        <w:t>المقامية</w:t>
      </w:r>
      <w:proofErr w:type="gramEnd"/>
      <w:r w:rsidRPr="00D51153">
        <w:rPr>
          <w:sz w:val="32"/>
          <w:szCs w:val="32"/>
          <w:rtl/>
        </w:rPr>
        <w:t xml:space="preserve"> بل هو كسائر العناوين الواردة في لسان الأدلّة التي تنطبق على مصاديقها بذاتها.</w:t>
      </w:r>
    </w:p>
    <w:p w14:paraId="1A773400" w14:textId="77777777" w:rsidR="00D51153" w:rsidRPr="00D51153" w:rsidRDefault="00D51153" w:rsidP="00D51153">
      <w:pPr>
        <w:bidi/>
        <w:rPr>
          <w:sz w:val="32"/>
          <w:szCs w:val="32"/>
          <w:rtl/>
        </w:rPr>
      </w:pPr>
      <w:r w:rsidRPr="00D51153">
        <w:rPr>
          <w:sz w:val="32"/>
          <w:szCs w:val="32"/>
          <w:rtl/>
        </w:rPr>
        <w:t>وهذا التأملُ ليس ببعيدٍ.</w:t>
      </w:r>
    </w:p>
    <w:p w14:paraId="6A12AF27" w14:textId="77777777" w:rsidR="00D51153" w:rsidRPr="00D51153" w:rsidRDefault="00D51153" w:rsidP="00D51153">
      <w:pPr>
        <w:bidi/>
        <w:rPr>
          <w:sz w:val="32"/>
          <w:szCs w:val="32"/>
          <w:rtl/>
        </w:rPr>
      </w:pPr>
      <w:r w:rsidRPr="00D51153">
        <w:rPr>
          <w:b/>
          <w:bCs/>
          <w:sz w:val="32"/>
          <w:szCs w:val="32"/>
          <w:rtl/>
        </w:rPr>
        <w:lastRenderedPageBreak/>
        <w:t>التأملُ الثاني:</w:t>
      </w:r>
    </w:p>
    <w:p w14:paraId="69D64C1F" w14:textId="77777777" w:rsidR="00D51153" w:rsidRPr="00D51153" w:rsidRDefault="00D51153" w:rsidP="00D51153">
      <w:pPr>
        <w:bidi/>
        <w:rPr>
          <w:sz w:val="32"/>
          <w:szCs w:val="32"/>
          <w:rtl/>
        </w:rPr>
      </w:pPr>
      <w:r w:rsidRPr="00D51153">
        <w:rPr>
          <w:b/>
          <w:bCs/>
          <w:sz w:val="32"/>
          <w:szCs w:val="32"/>
          <w:rtl/>
        </w:rPr>
        <w:t>قد يُقال:</w:t>
      </w:r>
      <w:r w:rsidRPr="00D51153">
        <w:rPr>
          <w:sz w:val="32"/>
          <w:szCs w:val="32"/>
          <w:rtl/>
        </w:rPr>
        <w:t xml:space="preserve"> سلمنا أنّ تطبيق "الضرر" على تجاوز الحقّ القانوني اعتبار عرفي وليس انطباقاً واقعياً، ولكن نظر العرف في تشخيص مصداق الضرر حُجّة</w:t>
      </w:r>
      <w:r w:rsidRPr="00D51153">
        <w:rPr>
          <w:sz w:val="32"/>
          <w:szCs w:val="32"/>
        </w:rPr>
        <w:t>.</w:t>
      </w:r>
    </w:p>
    <w:p w14:paraId="5D33431C" w14:textId="77777777" w:rsidR="00D51153" w:rsidRPr="00D51153" w:rsidRDefault="00D51153" w:rsidP="00D51153">
      <w:pPr>
        <w:bidi/>
        <w:rPr>
          <w:sz w:val="32"/>
          <w:szCs w:val="32"/>
          <w:rtl/>
        </w:rPr>
      </w:pPr>
      <w:r w:rsidRPr="00D51153">
        <w:rPr>
          <w:b/>
          <w:bCs/>
          <w:sz w:val="32"/>
          <w:szCs w:val="32"/>
          <w:rtl/>
        </w:rPr>
        <w:t>والسر في ذلك:</w:t>
      </w:r>
      <w:r w:rsidRPr="00D51153">
        <w:rPr>
          <w:sz w:val="32"/>
          <w:szCs w:val="32"/>
          <w:rtl/>
        </w:rPr>
        <w:t xml:space="preserve"> أنّ نظر العرف في تشخيص مصداق الضرر ليس كسائر الموارد التي ادعي فيها عدم حجية نظر العرف في تشخيص المصداق كما في صدق الحد على ما هو أقل منه لضآلة الفرق بين الحدين</w:t>
      </w:r>
      <w:r w:rsidRPr="00D51153">
        <w:rPr>
          <w:sz w:val="32"/>
          <w:szCs w:val="32"/>
        </w:rPr>
        <w:t>.</w:t>
      </w:r>
    </w:p>
    <w:p w14:paraId="12A2810F" w14:textId="77777777" w:rsidR="00D51153" w:rsidRPr="00D51153" w:rsidRDefault="00D51153" w:rsidP="00D51153">
      <w:pPr>
        <w:bidi/>
        <w:rPr>
          <w:sz w:val="32"/>
          <w:szCs w:val="32"/>
          <w:rtl/>
        </w:rPr>
      </w:pPr>
      <w:r w:rsidRPr="00D51153">
        <w:rPr>
          <w:b/>
          <w:bCs/>
          <w:sz w:val="32"/>
          <w:szCs w:val="32"/>
          <w:rtl/>
        </w:rPr>
        <w:t>فمثلاً:</w:t>
      </w:r>
      <w:r w:rsidRPr="00D51153">
        <w:rPr>
          <w:sz w:val="32"/>
          <w:szCs w:val="32"/>
          <w:rtl/>
        </w:rPr>
        <w:t xml:space="preserve"> تحديدُ الشارع المقدس للمسافة الشرعية بثمانية فراسخ -أي: أربعة وأربعين كيلومتراً- مما يطبق لدى العرف على مقدار أربعة وأربعين كيلو متراً إلّا شبراً واحداً -مثلاً-؛ إذ أنّ مقدار الشبر الذي يعد شيئاً ضئيلاً لا يعتد بِهِ عند العرف</w:t>
      </w:r>
      <w:r w:rsidRPr="00D51153">
        <w:rPr>
          <w:sz w:val="32"/>
          <w:szCs w:val="32"/>
        </w:rPr>
        <w:t>.</w:t>
      </w:r>
    </w:p>
    <w:p w14:paraId="7F3DE7E6" w14:textId="77777777" w:rsidR="00D51153" w:rsidRPr="00D51153" w:rsidRDefault="00D51153" w:rsidP="00D51153">
      <w:pPr>
        <w:bidi/>
        <w:rPr>
          <w:sz w:val="32"/>
          <w:szCs w:val="32"/>
          <w:rtl/>
        </w:rPr>
      </w:pPr>
      <w:r w:rsidRPr="00D51153">
        <w:rPr>
          <w:sz w:val="32"/>
          <w:szCs w:val="32"/>
          <w:rtl/>
        </w:rPr>
        <w:t>وكذلك تحديدُ الكر بسبعة وعشرين شبراً، عند سيدنا الخوئي (قدس سره الشريف) الحاصل من (3 × 3 × 3)، مما يطبق عرفاً على سبعة وعشرين شبراً إلّا مقدار إصبعٍ.</w:t>
      </w:r>
    </w:p>
    <w:p w14:paraId="04F65F64" w14:textId="77777777" w:rsidR="00D51153" w:rsidRPr="00D51153" w:rsidRDefault="00D51153" w:rsidP="00D51153">
      <w:pPr>
        <w:bidi/>
        <w:rPr>
          <w:sz w:val="32"/>
          <w:szCs w:val="32"/>
          <w:rtl/>
        </w:rPr>
      </w:pPr>
      <w:r w:rsidRPr="00D51153">
        <w:rPr>
          <w:sz w:val="32"/>
          <w:szCs w:val="32"/>
          <w:rtl/>
        </w:rPr>
        <w:t xml:space="preserve">وكذلك تحديدُ الشارع في قوله -مثلاً-: "أخرج زكاة الفطرة صاعاً مِن القوت" والصاع مقداره ثلاثة </w:t>
      </w:r>
      <w:proofErr w:type="spellStart"/>
      <w:r w:rsidRPr="00D51153">
        <w:rPr>
          <w:sz w:val="32"/>
          <w:szCs w:val="32"/>
          <w:rtl/>
        </w:rPr>
        <w:t>كيلوات</w:t>
      </w:r>
      <w:proofErr w:type="spellEnd"/>
      <w:r w:rsidRPr="00D51153">
        <w:rPr>
          <w:sz w:val="32"/>
          <w:szCs w:val="32"/>
          <w:rtl/>
        </w:rPr>
        <w:t>، مما يطبق عرفاً</w:t>
      </w:r>
      <w:r w:rsidRPr="00D51153">
        <w:rPr>
          <w:sz w:val="32"/>
          <w:szCs w:val="32"/>
        </w:rPr>
        <w:t xml:space="preserve"> </w:t>
      </w:r>
      <w:r w:rsidRPr="00D51153">
        <w:rPr>
          <w:sz w:val="32"/>
          <w:szCs w:val="32"/>
          <w:rtl/>
        </w:rPr>
        <w:t xml:space="preserve">على ثلاثة </w:t>
      </w:r>
      <w:proofErr w:type="spellStart"/>
      <w:r w:rsidRPr="00D51153">
        <w:rPr>
          <w:sz w:val="32"/>
          <w:szCs w:val="32"/>
          <w:rtl/>
        </w:rPr>
        <w:t>كيلوات</w:t>
      </w:r>
      <w:proofErr w:type="spellEnd"/>
      <w:r w:rsidRPr="00D51153">
        <w:rPr>
          <w:sz w:val="32"/>
          <w:szCs w:val="32"/>
          <w:rtl/>
        </w:rPr>
        <w:t xml:space="preserve"> مِن الحنطة مع حبتين مِن الرز.</w:t>
      </w:r>
    </w:p>
    <w:p w14:paraId="7AB6241D" w14:textId="77777777" w:rsidR="00D51153" w:rsidRPr="00D51153" w:rsidRDefault="00D51153" w:rsidP="00D51153">
      <w:pPr>
        <w:bidi/>
        <w:rPr>
          <w:sz w:val="32"/>
          <w:szCs w:val="32"/>
          <w:rtl/>
        </w:rPr>
      </w:pPr>
      <w:r w:rsidRPr="00D51153">
        <w:rPr>
          <w:sz w:val="32"/>
          <w:szCs w:val="32"/>
          <w:rtl/>
        </w:rPr>
        <w:t>إلّا أنّه كما في كلمات سيدنا الخوئي (قدس سره الشريف) لا حجية لنظر العرف في هذه الموارد وإنْ كان الفارق بين الحدين ضئيلاً جداً؛ فإنّ هذا رجوعٌ للنظر التنزيلي -لا النظر الحقيقي-؛ حيثُ إنّ العرف قد يُنّزل الناقص منزلةَ التام، ولا حجية لنظر العرف في مقام التنزيل.</w:t>
      </w:r>
    </w:p>
    <w:p w14:paraId="389473DB" w14:textId="77777777" w:rsidR="00D51153" w:rsidRPr="00D51153" w:rsidRDefault="00D51153" w:rsidP="00D51153">
      <w:pPr>
        <w:bidi/>
        <w:rPr>
          <w:sz w:val="32"/>
          <w:szCs w:val="32"/>
          <w:rtl/>
        </w:rPr>
      </w:pPr>
      <w:r w:rsidRPr="00D51153">
        <w:rPr>
          <w:sz w:val="32"/>
          <w:szCs w:val="32"/>
          <w:rtl/>
        </w:rPr>
        <w:t>لكن محلّ كلامنا وهو نظر العرف في تشخيص الضرر الاعتباري مما يختلفُ عن تلك الموارد</w:t>
      </w:r>
      <w:r w:rsidRPr="00D51153">
        <w:rPr>
          <w:sz w:val="32"/>
          <w:szCs w:val="32"/>
        </w:rPr>
        <w:t>.</w:t>
      </w:r>
    </w:p>
    <w:p w14:paraId="322D7432" w14:textId="77777777" w:rsidR="00D51153" w:rsidRPr="00D51153" w:rsidRDefault="00D51153" w:rsidP="00D51153">
      <w:pPr>
        <w:bidi/>
        <w:rPr>
          <w:sz w:val="32"/>
          <w:szCs w:val="32"/>
          <w:rtl/>
        </w:rPr>
      </w:pPr>
      <w:r w:rsidRPr="00D51153">
        <w:rPr>
          <w:b/>
          <w:bCs/>
          <w:sz w:val="32"/>
          <w:szCs w:val="32"/>
          <w:rtl/>
        </w:rPr>
        <w:t>والوجهُ فيه:</w:t>
      </w:r>
      <w:r w:rsidRPr="00D51153">
        <w:rPr>
          <w:sz w:val="32"/>
          <w:szCs w:val="32"/>
          <w:rtl/>
        </w:rPr>
        <w:t xml:space="preserve"> أنّ عنوان "الضرر" هو بذاته عنوانٌ عرفي، وليس عنواناً واقعياً؛ فإنّ هناك فرقاً بين العناوين التي لها واقعٌ تحكي عنه ويكون نظر العرف مجرّد إدراك له فتارةً يصيب وتارةً يخطئ كما في الحدود التي مثلنا بها أعلاه، وبين العناوين التي قوامها بإنشاء العرف وليس لها واقعٌ وراء إنشاء العرف، منها: عنوان "الهتك" و "التعظيم"؛ فإنّ عنوان "الهتك" ليس له واقعٌ وراء قرار العرف بأنّ هذا هتكٌ وهذا تعظيمٌ.</w:t>
      </w:r>
    </w:p>
    <w:p w14:paraId="14CF81A0" w14:textId="77777777" w:rsidR="00D51153" w:rsidRPr="00D51153" w:rsidRDefault="00D51153" w:rsidP="00D51153">
      <w:pPr>
        <w:bidi/>
        <w:rPr>
          <w:sz w:val="32"/>
          <w:szCs w:val="32"/>
          <w:rtl/>
        </w:rPr>
      </w:pPr>
      <w:r w:rsidRPr="00D51153">
        <w:rPr>
          <w:sz w:val="32"/>
          <w:szCs w:val="32"/>
          <w:rtl/>
        </w:rPr>
        <w:t xml:space="preserve">كذلك عنوان "الستر والعفاف" كما في صحيحة </w:t>
      </w:r>
      <w:proofErr w:type="gramStart"/>
      <w:r w:rsidRPr="00D51153">
        <w:rPr>
          <w:sz w:val="32"/>
          <w:szCs w:val="32"/>
          <w:rtl/>
        </w:rPr>
        <w:t>عبدالله</w:t>
      </w:r>
      <w:proofErr w:type="gramEnd"/>
      <w:r w:rsidRPr="00D51153">
        <w:rPr>
          <w:sz w:val="32"/>
          <w:szCs w:val="32"/>
          <w:rtl/>
        </w:rPr>
        <w:t xml:space="preserve"> بن أبي يعفور الواردة في تعريف العدالة كما في التهذيب: </w:t>
      </w:r>
      <w:r w:rsidRPr="00D51153">
        <w:rPr>
          <w:b/>
          <w:bCs/>
          <w:sz w:val="32"/>
          <w:szCs w:val="32"/>
          <w:rtl/>
        </w:rPr>
        <w:t xml:space="preserve">(محمّد بن أحمد بن يحيى، عن محمّد بن موسى، عن الحسن بن </w:t>
      </w:r>
      <w:r w:rsidRPr="00D51153">
        <w:rPr>
          <w:b/>
          <w:bCs/>
          <w:sz w:val="32"/>
          <w:szCs w:val="32"/>
          <w:rtl/>
        </w:rPr>
        <w:lastRenderedPageBreak/>
        <w:t xml:space="preserve">علي، عن أبيه، عن علي بن عقبة، عن موسى بن أكيل النميري، عن ابن أبي يعفور قال: قلت لأبي </w:t>
      </w:r>
      <w:proofErr w:type="gramStart"/>
      <w:r w:rsidRPr="00D51153">
        <w:rPr>
          <w:b/>
          <w:bCs/>
          <w:sz w:val="32"/>
          <w:szCs w:val="32"/>
          <w:rtl/>
        </w:rPr>
        <w:t>عبدالله</w:t>
      </w:r>
      <w:proofErr w:type="gramEnd"/>
      <w:r w:rsidRPr="00D51153">
        <w:rPr>
          <w:b/>
          <w:bCs/>
          <w:sz w:val="32"/>
          <w:szCs w:val="32"/>
          <w:rtl/>
        </w:rPr>
        <w:t xml:space="preserve"> (عليه السلام): بما تعرف عدالة الرجل بين المسلمين حتى تقبل شهادته لهم وعليهم؟ قال: فقال: أن تعرفوه بالستر والعفاف والكف عن البطن والفرج واليد واللسان، ويعرف باجتناب الكبائر التي أوعد الله عليها النار ...) </w:t>
      </w:r>
      <w:proofErr w:type="spellStart"/>
      <w:r w:rsidRPr="00D51153">
        <w:rPr>
          <w:sz w:val="32"/>
          <w:szCs w:val="32"/>
          <w:rtl/>
        </w:rPr>
        <w:t>ألخ</w:t>
      </w:r>
      <w:proofErr w:type="spellEnd"/>
      <w:r w:rsidRPr="00D51153">
        <w:rPr>
          <w:sz w:val="32"/>
          <w:szCs w:val="32"/>
          <w:vertAlign w:val="superscript"/>
          <w:rtl/>
        </w:rPr>
        <w:footnoteReference w:id="207"/>
      </w:r>
      <w:r w:rsidRPr="00D51153">
        <w:rPr>
          <w:sz w:val="32"/>
          <w:szCs w:val="32"/>
          <w:rtl/>
        </w:rPr>
        <w:t xml:space="preserve">. فإنّ عنوان الستر ليس عنواناً </w:t>
      </w:r>
      <w:proofErr w:type="gramStart"/>
      <w:r w:rsidRPr="00D51153">
        <w:rPr>
          <w:sz w:val="32"/>
          <w:szCs w:val="32"/>
          <w:rtl/>
        </w:rPr>
        <w:t>واقعياً</w:t>
      </w:r>
      <w:proofErr w:type="gramEnd"/>
      <w:r w:rsidRPr="00D51153">
        <w:rPr>
          <w:sz w:val="32"/>
          <w:szCs w:val="32"/>
          <w:rtl/>
        </w:rPr>
        <w:t xml:space="preserve"> بل هو عنوانٌ عرفي، أي: أنْ يراهُ العرفُ إنساناً مستوراً، فقوامه بإنشاء العرف، فهو مِن مقولة الإنشاء -لا مِن مقولة الإخبار-، أي: ليس نظرُ العرف هنا كنظرِ العرف في حركة الشمس حول الأرض -مما له واقعٌ يصيبه ويخطئه- بل نظرٌ إنشائي فلا يتصور خطأ العرف فيه؛ فإنّ الخطأ إنّما يُتصور مع وجود واقع يُدرك، وأمّا مع عدم وجود واقعٍ وراء العنوان فلا يُتصور خطأُ العرف فيه كما في "الضرر" و "الظلم" و "الهتك".</w:t>
      </w:r>
    </w:p>
    <w:p w14:paraId="77AC9A55" w14:textId="77777777" w:rsidR="00D51153" w:rsidRPr="00D51153" w:rsidRDefault="00D51153" w:rsidP="00D51153">
      <w:pPr>
        <w:bidi/>
        <w:rPr>
          <w:sz w:val="32"/>
          <w:szCs w:val="32"/>
          <w:rtl/>
        </w:rPr>
      </w:pPr>
      <w:r w:rsidRPr="00D51153">
        <w:rPr>
          <w:sz w:val="32"/>
          <w:szCs w:val="32"/>
          <w:rtl/>
        </w:rPr>
        <w:t xml:space="preserve">نعم، دورُ المُشرع تجاهَ النظر العرفي إمّا الإمضاء أو الردع، لا مِن باب تخطئة العرف في </w:t>
      </w:r>
      <w:proofErr w:type="gramStart"/>
      <w:r w:rsidRPr="00D51153">
        <w:rPr>
          <w:sz w:val="32"/>
          <w:szCs w:val="32"/>
          <w:rtl/>
        </w:rPr>
        <w:t>تشخيصه</w:t>
      </w:r>
      <w:proofErr w:type="gramEnd"/>
      <w:r w:rsidRPr="00D51153">
        <w:rPr>
          <w:sz w:val="32"/>
          <w:szCs w:val="32"/>
          <w:rtl/>
        </w:rPr>
        <w:t xml:space="preserve"> بل مِن باب المصالح والمفاسد، فقد يرى الشارعُ أنّ المصالح العامّة تقتضي الردع عن نظر العرف وقد تقتضي إمضاءه، وإلّا فقرار العرف في هذه العناوين المتقومة بالنظر العرفي مما لا يُتصور الخطأ فيه</w:t>
      </w:r>
      <w:r w:rsidRPr="00D51153">
        <w:rPr>
          <w:sz w:val="32"/>
          <w:szCs w:val="32"/>
        </w:rPr>
        <w:t>.</w:t>
      </w:r>
    </w:p>
    <w:p w14:paraId="33A9AC76" w14:textId="77777777" w:rsidR="00D51153" w:rsidRPr="00D51153" w:rsidRDefault="00D51153" w:rsidP="00D51153">
      <w:pPr>
        <w:bidi/>
        <w:rPr>
          <w:sz w:val="32"/>
          <w:szCs w:val="32"/>
          <w:rtl/>
        </w:rPr>
      </w:pPr>
      <w:r w:rsidRPr="00D51153">
        <w:rPr>
          <w:b/>
          <w:bCs/>
          <w:sz w:val="32"/>
          <w:szCs w:val="32"/>
          <w:rtl/>
        </w:rPr>
        <w:t>وبناءً على ذلك،</w:t>
      </w:r>
      <w:r w:rsidRPr="00D51153">
        <w:rPr>
          <w:sz w:val="32"/>
          <w:szCs w:val="32"/>
          <w:rtl/>
        </w:rPr>
        <w:t xml:space="preserve"> إذا لَمْ يرد الردعُ مِن قِبل المُشرع فمقتضى مناسبة الحكم للموضوع إمضاء النظر العرفي، كما لو قال المُشرع: "يحرم هتك حرمة المسلم" ولَمْ يردع العرف في تشخيصه.</w:t>
      </w:r>
    </w:p>
    <w:p w14:paraId="0F49EED5" w14:textId="77777777" w:rsidR="00D51153" w:rsidRPr="00D51153" w:rsidRDefault="00D51153" w:rsidP="00D51153">
      <w:pPr>
        <w:bidi/>
        <w:rPr>
          <w:sz w:val="32"/>
          <w:szCs w:val="32"/>
          <w:rtl/>
        </w:rPr>
      </w:pPr>
      <w:r w:rsidRPr="00D51153">
        <w:rPr>
          <w:sz w:val="32"/>
          <w:szCs w:val="32"/>
          <w:rtl/>
        </w:rPr>
        <w:t>فكذلك إذا قال المُشرع: (</w:t>
      </w:r>
      <w:proofErr w:type="spellStart"/>
      <w:r w:rsidRPr="00D51153">
        <w:rPr>
          <w:sz w:val="32"/>
          <w:szCs w:val="32"/>
          <w:rtl/>
        </w:rPr>
        <w:t>لَاضَرَرَ</w:t>
      </w:r>
      <w:proofErr w:type="spellEnd"/>
      <w:r w:rsidRPr="00D51153">
        <w:rPr>
          <w:sz w:val="32"/>
          <w:szCs w:val="32"/>
          <w:rtl/>
        </w:rPr>
        <w:t xml:space="preserve"> وَلَا ضِرَارَ) مع أنّ عنوان "الضرر" متقومٌ بإنشاء العرف، فإنّ مقتضى مناسبة الحكم للموضوع إمضاء نظرِ العرف في تشخيص المصداق</w:t>
      </w:r>
      <w:r w:rsidRPr="00D51153">
        <w:rPr>
          <w:sz w:val="32"/>
          <w:szCs w:val="32"/>
        </w:rPr>
        <w:t>.</w:t>
      </w:r>
    </w:p>
    <w:p w14:paraId="225C0B31" w14:textId="77777777" w:rsidR="00D51153" w:rsidRPr="00D51153" w:rsidRDefault="00D51153" w:rsidP="00D51153">
      <w:pPr>
        <w:bidi/>
        <w:rPr>
          <w:sz w:val="32"/>
          <w:szCs w:val="32"/>
          <w:rtl/>
        </w:rPr>
      </w:pPr>
      <w:r w:rsidRPr="00D51153">
        <w:rPr>
          <w:b/>
          <w:bCs/>
          <w:sz w:val="32"/>
          <w:szCs w:val="32"/>
          <w:rtl/>
        </w:rPr>
        <w:t>التأملُ الثالث</w:t>
      </w:r>
      <w:r w:rsidRPr="00D51153">
        <w:rPr>
          <w:sz w:val="32"/>
          <w:szCs w:val="32"/>
          <w:rtl/>
        </w:rPr>
        <w:t>:</w:t>
      </w:r>
    </w:p>
    <w:p w14:paraId="402617EA" w14:textId="77777777" w:rsidR="00D51153" w:rsidRPr="00D51153" w:rsidRDefault="00D51153" w:rsidP="00D51153">
      <w:pPr>
        <w:bidi/>
        <w:rPr>
          <w:sz w:val="32"/>
          <w:szCs w:val="32"/>
          <w:rtl/>
        </w:rPr>
      </w:pPr>
      <w:r w:rsidRPr="00D51153">
        <w:rPr>
          <w:sz w:val="32"/>
          <w:szCs w:val="32"/>
          <w:rtl/>
        </w:rPr>
        <w:t>بناءً على ما هو الصحيح الموافقُ للمرتكز العرفي واللغة مِن: (أنّ عنوان "الضرر" عنوانٌ واقعي، وهو النقص الحقيقي في النفس أو المال، والعرف مجرّد مُدركٍ)، إلّا أنّه قد يُنشئ مصداقاً للضرر توسعاً منه</w:t>
      </w:r>
      <w:r w:rsidRPr="00D51153">
        <w:rPr>
          <w:sz w:val="32"/>
          <w:szCs w:val="32"/>
        </w:rPr>
        <w:t>.</w:t>
      </w:r>
    </w:p>
    <w:p w14:paraId="10703FEE" w14:textId="77777777" w:rsidR="00D51153" w:rsidRPr="00D51153" w:rsidRDefault="00D51153" w:rsidP="00D51153">
      <w:pPr>
        <w:bidi/>
        <w:rPr>
          <w:sz w:val="32"/>
          <w:szCs w:val="32"/>
          <w:rtl/>
        </w:rPr>
      </w:pPr>
      <w:r w:rsidRPr="00D51153">
        <w:rPr>
          <w:sz w:val="32"/>
          <w:szCs w:val="32"/>
          <w:rtl/>
        </w:rPr>
        <w:t>فهل يمكنُ القول بحجية نظر العرف في تشخيص المصداق، كما ذهب إليه المحقّق الحائري (قدس سره) وبعض الأكابر (قدس سره) في كتاب الطهارة</w:t>
      </w:r>
      <w:r w:rsidRPr="00D51153">
        <w:rPr>
          <w:sz w:val="32"/>
          <w:szCs w:val="32"/>
          <w:vertAlign w:val="superscript"/>
          <w:rtl/>
        </w:rPr>
        <w:footnoteReference w:id="208"/>
      </w:r>
      <w:r w:rsidRPr="00D51153">
        <w:rPr>
          <w:sz w:val="32"/>
          <w:szCs w:val="32"/>
          <w:rtl/>
        </w:rPr>
        <w:t xml:space="preserve"> وبعض السادة الأعلام القميين (مد ظله) في كتاب النكاح</w:t>
      </w:r>
      <w:r w:rsidRPr="00D51153">
        <w:rPr>
          <w:sz w:val="32"/>
          <w:szCs w:val="32"/>
          <w:vertAlign w:val="superscript"/>
          <w:rtl/>
        </w:rPr>
        <w:footnoteReference w:id="209"/>
      </w:r>
      <w:r w:rsidRPr="00D51153">
        <w:rPr>
          <w:sz w:val="32"/>
          <w:szCs w:val="32"/>
          <w:rtl/>
        </w:rPr>
        <w:t>.</w:t>
      </w:r>
    </w:p>
    <w:p w14:paraId="3D5151B9" w14:textId="77777777" w:rsidR="00D51153" w:rsidRPr="00D51153" w:rsidRDefault="00D51153" w:rsidP="00D51153">
      <w:pPr>
        <w:bidi/>
        <w:rPr>
          <w:sz w:val="32"/>
          <w:szCs w:val="32"/>
          <w:rtl/>
        </w:rPr>
      </w:pPr>
      <w:r w:rsidRPr="00D51153">
        <w:rPr>
          <w:sz w:val="32"/>
          <w:szCs w:val="32"/>
          <w:rtl/>
        </w:rPr>
        <w:lastRenderedPageBreak/>
        <w:t>بل ظاهرُ كلامه (مد ظله) في كتاب النكاح عدم حجية نظر العرف في تحديد المفهوم وأنّ ما هو الحجة نظرُ العرف في تشخيص المصداق</w:t>
      </w:r>
      <w:r w:rsidRPr="00D51153">
        <w:rPr>
          <w:sz w:val="32"/>
          <w:szCs w:val="32"/>
        </w:rPr>
        <w:t>.</w:t>
      </w:r>
    </w:p>
    <w:p w14:paraId="73B8EBE3" w14:textId="77777777" w:rsidR="00D51153" w:rsidRPr="00D51153" w:rsidRDefault="00D51153" w:rsidP="00D51153">
      <w:pPr>
        <w:bidi/>
        <w:rPr>
          <w:sz w:val="32"/>
          <w:szCs w:val="32"/>
          <w:rtl/>
        </w:rPr>
      </w:pPr>
      <w:r w:rsidRPr="00D51153">
        <w:rPr>
          <w:b/>
          <w:bCs/>
          <w:sz w:val="32"/>
          <w:szCs w:val="32"/>
          <w:rtl/>
        </w:rPr>
        <w:t>وتوجيهُ ذلك:</w:t>
      </w:r>
    </w:p>
    <w:p w14:paraId="183E60D3" w14:textId="77777777" w:rsidR="00D51153" w:rsidRPr="00D51153" w:rsidRDefault="00D51153" w:rsidP="00D51153">
      <w:pPr>
        <w:bidi/>
        <w:rPr>
          <w:sz w:val="32"/>
          <w:szCs w:val="32"/>
          <w:rtl/>
        </w:rPr>
      </w:pPr>
      <w:r w:rsidRPr="00D51153">
        <w:rPr>
          <w:sz w:val="32"/>
          <w:szCs w:val="32"/>
          <w:rtl/>
        </w:rPr>
        <w:t>أنّ سياق الأدلّة المتضمنة لهذه العناوين كعنوان "الضرر" وعنوان "الظلم" ظاهر في أنّ الموضوع للأثر الشرعي العنوانُ بما لَهُ مِن مصداقٍ عرفي، فإذا قال الُمشرع: "يحرم على مَن عزل زكاة الفطرة أنْ يخرجها مِن بلده" فإنّ المنصرف مِن الدليل البلد بما لَهُ مِن مصداقٍ عرفي، وإذا قال المُشرع: "الدم نجس" فظاهره أنّ موضوع النجاسة الدم بما لَهُ مِن مصداقٍ عرفي، فلذلك لو رأى الإنسانُ الدم بالمجهر وقال: هذا دم، لقيل له: بأنّ هذا لا يشمله حكم الشارع؛ لأنّ موضوع حكم الشارع الدم بما لَهُ مِن مصداقٍ عرفي</w:t>
      </w:r>
      <w:r w:rsidRPr="00D51153">
        <w:rPr>
          <w:sz w:val="32"/>
          <w:szCs w:val="32"/>
        </w:rPr>
        <w:t>.</w:t>
      </w:r>
    </w:p>
    <w:p w14:paraId="2C152DC9" w14:textId="77777777" w:rsidR="00D51153" w:rsidRPr="00D51153" w:rsidRDefault="00D51153" w:rsidP="00D51153">
      <w:pPr>
        <w:bidi/>
        <w:rPr>
          <w:sz w:val="32"/>
          <w:szCs w:val="32"/>
          <w:rtl/>
        </w:rPr>
      </w:pPr>
      <w:r w:rsidRPr="00D51153">
        <w:rPr>
          <w:sz w:val="32"/>
          <w:szCs w:val="32"/>
          <w:rtl/>
        </w:rPr>
        <w:t xml:space="preserve">كذلك مسألة رؤية الهلال بالتلسكوب، كما إذا قال الشارع: "مَن رأى الهلال صامَ أو أفطرَ"، فإنّ القمر المرئي بجهاز التلسكوب هلالٌ دِقةً لكنه لا عبرة بِهِ شرعاً؛ لأنّ موضوع </w:t>
      </w:r>
      <w:proofErr w:type="gramStart"/>
      <w:r w:rsidRPr="00D51153">
        <w:rPr>
          <w:sz w:val="32"/>
          <w:szCs w:val="32"/>
          <w:rtl/>
        </w:rPr>
        <w:t>الأثر  في</w:t>
      </w:r>
      <w:proofErr w:type="gramEnd"/>
      <w:r w:rsidRPr="00D51153">
        <w:rPr>
          <w:sz w:val="32"/>
          <w:szCs w:val="32"/>
          <w:rtl/>
        </w:rPr>
        <w:t xml:space="preserve"> الدليل ما كان هلالاً بالنظر العرفي، وما لا يرى حسّاً ليس هلالاً بالنظر العرفي؛ كالدم الذي لا يرى حسّا ليس بدم عرفاً.</w:t>
      </w:r>
    </w:p>
    <w:p w14:paraId="438A3529" w14:textId="77777777" w:rsidR="00D51153" w:rsidRPr="00D51153" w:rsidRDefault="00D51153" w:rsidP="00D51153">
      <w:pPr>
        <w:bidi/>
        <w:rPr>
          <w:sz w:val="32"/>
          <w:szCs w:val="32"/>
          <w:rtl/>
        </w:rPr>
      </w:pPr>
      <w:r w:rsidRPr="00D51153">
        <w:rPr>
          <w:b/>
          <w:bCs/>
          <w:sz w:val="32"/>
          <w:szCs w:val="32"/>
          <w:rtl/>
        </w:rPr>
        <w:t>والنتيجة:</w:t>
      </w:r>
      <w:r w:rsidRPr="00D51153">
        <w:rPr>
          <w:sz w:val="32"/>
          <w:szCs w:val="32"/>
          <w:rtl/>
        </w:rPr>
        <w:t xml:space="preserve"> أنّ النظر العرفي في تشخيص المصداق حجةٌ؛ لأنّ الظاهر مِن الأدلّة هو أنّ موضوع الحكم في الدليل العنوان بما لَهُ مِن مصداقٍ عرفي.</w:t>
      </w:r>
    </w:p>
    <w:p w14:paraId="28264821" w14:textId="77777777" w:rsidR="00D51153" w:rsidRPr="00D51153" w:rsidRDefault="00D51153" w:rsidP="00D51153">
      <w:pPr>
        <w:bidi/>
        <w:rPr>
          <w:sz w:val="32"/>
          <w:szCs w:val="32"/>
          <w:rtl/>
        </w:rPr>
      </w:pPr>
      <w:r w:rsidRPr="00D51153">
        <w:rPr>
          <w:b/>
          <w:bCs/>
          <w:sz w:val="32"/>
          <w:szCs w:val="32"/>
          <w:rtl/>
        </w:rPr>
        <w:t>ولكن هذا المبنى ليس تاماً؛ والوجه في ذلك:</w:t>
      </w:r>
    </w:p>
    <w:p w14:paraId="5FA9D27C" w14:textId="77777777" w:rsidR="00D51153" w:rsidRPr="00D51153" w:rsidRDefault="00D51153" w:rsidP="00D51153">
      <w:pPr>
        <w:bidi/>
        <w:rPr>
          <w:sz w:val="32"/>
          <w:szCs w:val="32"/>
          <w:rtl/>
        </w:rPr>
      </w:pPr>
      <w:r w:rsidRPr="00D51153">
        <w:rPr>
          <w:sz w:val="32"/>
          <w:szCs w:val="32"/>
          <w:rtl/>
        </w:rPr>
        <w:t xml:space="preserve">أنّ ما قامتْ عليه السيرة العقلائية هو الرجوعُ إلى العرف العام في تحديد مفهوم العناوين، كسيرتهم في فهم العناوين الواردة في الأقارير والوصايا والأوقاف والمعاملات، ومقتضى الإطلاق المقامي لمجموع مواقف الشارع هو الإمضاء لهذه السيرة العقلائية، وإلّا لو كان لَهُ ردعٌ لبان؛ فإنّ السيرة من السير المستحكمة </w:t>
      </w:r>
      <w:proofErr w:type="gramStart"/>
      <w:r w:rsidRPr="00D51153">
        <w:rPr>
          <w:sz w:val="32"/>
          <w:szCs w:val="32"/>
          <w:rtl/>
        </w:rPr>
        <w:t>الواسعة</w:t>
      </w:r>
      <w:proofErr w:type="gramEnd"/>
      <w:r w:rsidRPr="00D51153">
        <w:rPr>
          <w:sz w:val="32"/>
          <w:szCs w:val="32"/>
          <w:rtl/>
        </w:rPr>
        <w:t xml:space="preserve"> بل الممتدة حتى لتحديد مفاهيم العناوين في أدلّة الأحكام الشرعية؛ فلو لَمْ يكن نظر العرف في تحديد المفهوم حجة لورد الردع عن ذلك، وحيثُ لا وجود لهُ فالنظر العرفي حجة.</w:t>
      </w:r>
    </w:p>
    <w:p w14:paraId="10FCB73E" w14:textId="77777777" w:rsidR="00D51153" w:rsidRPr="00D51153" w:rsidRDefault="00D51153" w:rsidP="00D51153">
      <w:pPr>
        <w:bidi/>
        <w:rPr>
          <w:sz w:val="32"/>
          <w:szCs w:val="32"/>
          <w:rtl/>
        </w:rPr>
      </w:pPr>
      <w:r w:rsidRPr="00D51153">
        <w:rPr>
          <w:sz w:val="32"/>
          <w:szCs w:val="32"/>
          <w:rtl/>
        </w:rPr>
        <w:t>نعم، في العناوين الاعتبارية التي تكونُ موضوعاً للمعاملات كالمِلكيّة والزوجية أو موضوعاً للأمر كالصلاة والطواف ونحوها -فإنّ مقتضى ارتكازية اختلاف الشرع فيها عن العرف العقلائي في الجملة- أنّ هذه العناوين إذا أُطلقت في الأدلّة فالمرادُ بها ما هو بنظر الشارع - لا ما هو بنظر العرف.</w:t>
      </w:r>
    </w:p>
    <w:p w14:paraId="4A0E70FB" w14:textId="77777777" w:rsidR="00D51153" w:rsidRPr="00D51153" w:rsidRDefault="00D51153" w:rsidP="00D51153">
      <w:pPr>
        <w:bidi/>
        <w:rPr>
          <w:sz w:val="32"/>
          <w:szCs w:val="32"/>
          <w:rtl/>
        </w:rPr>
      </w:pPr>
      <w:r w:rsidRPr="00D51153">
        <w:rPr>
          <w:sz w:val="32"/>
          <w:szCs w:val="32"/>
          <w:rtl/>
        </w:rPr>
        <w:lastRenderedPageBreak/>
        <w:t>وأمّا الرجوعُ للعرف في تشخيص المصداق الذي يحتاج إلى تصرفٍ منه فلا شاهدَ على حجيته؛ إذ انطباق العنوان على مصداقه تارةً لا يحتاج إلى تصرفٍ وإنشاءٍ كما في العناوين الخارجية كالسفر والصعيد، أو العناوين الواقعية كالصدق والأمانة، فهنا لا حاجة لحجية نظر العرف؛ لأنّها تنطبق على مصاديقها قهراً، وتارةً يكون الانطباق مما يحتاج إلى تصرفٍ مِن قِبل العرف</w:t>
      </w:r>
      <w:r w:rsidRPr="00D51153">
        <w:rPr>
          <w:sz w:val="32"/>
          <w:szCs w:val="32"/>
        </w:rPr>
        <w:t>.</w:t>
      </w:r>
    </w:p>
    <w:p w14:paraId="27113483" w14:textId="77777777" w:rsidR="00D51153" w:rsidRPr="00D51153" w:rsidRDefault="00D51153" w:rsidP="00D51153">
      <w:pPr>
        <w:bidi/>
        <w:rPr>
          <w:sz w:val="32"/>
          <w:szCs w:val="32"/>
          <w:rtl/>
        </w:rPr>
      </w:pPr>
      <w:r w:rsidRPr="00D51153">
        <w:rPr>
          <w:sz w:val="32"/>
          <w:szCs w:val="32"/>
          <w:rtl/>
        </w:rPr>
        <w:t xml:space="preserve">فإنْ كان العنوان في حدّ ذاته متقوماً بالنظر العرفي، أي: أنّ المنصرف منهُ عند إطلاقه ما كان كذلك بالنظر العرفي كـ "الهتك" و "الاستقامة" و "التعظيم" فالعرفُ حجةٌ فيه؛ لكون المنصرف مِن عنوانه هو ذلك، وإنْ لَمْ يكن العنوان في حدّ ذاته متقوماً بالنظر </w:t>
      </w:r>
      <w:proofErr w:type="gramStart"/>
      <w:r w:rsidRPr="00D51153">
        <w:rPr>
          <w:sz w:val="32"/>
          <w:szCs w:val="32"/>
          <w:rtl/>
        </w:rPr>
        <w:t>العرفي</w:t>
      </w:r>
      <w:proofErr w:type="gramEnd"/>
      <w:r w:rsidRPr="00D51153">
        <w:rPr>
          <w:sz w:val="32"/>
          <w:szCs w:val="32"/>
          <w:rtl/>
        </w:rPr>
        <w:t xml:space="preserve"> ولكن تصرف العرف في مصداقه كما في "الضرر" و "الظلم" ونحو ذلك مِن الأمثلة فهنا لابُدّ مِن إثبات المقتضي لحجيته، ولا مقتضي لها.</w:t>
      </w:r>
    </w:p>
    <w:p w14:paraId="5A184B92" w14:textId="77777777" w:rsidR="00D51153" w:rsidRPr="00D51153" w:rsidRDefault="00D51153" w:rsidP="00D51153">
      <w:pPr>
        <w:bidi/>
        <w:rPr>
          <w:b/>
          <w:bCs/>
          <w:sz w:val="32"/>
          <w:szCs w:val="32"/>
          <w:rtl/>
        </w:rPr>
      </w:pPr>
    </w:p>
    <w:p w14:paraId="711812E7" w14:textId="77777777" w:rsidR="00D51153" w:rsidRDefault="00D51153" w:rsidP="00D51153">
      <w:pPr>
        <w:bidi/>
        <w:rPr>
          <w:b/>
          <w:bCs/>
          <w:sz w:val="32"/>
          <w:szCs w:val="32"/>
        </w:rPr>
      </w:pPr>
      <w:r w:rsidRPr="00D51153">
        <w:rPr>
          <w:b/>
          <w:bCs/>
          <w:sz w:val="32"/>
          <w:szCs w:val="32"/>
          <w:rtl/>
        </w:rPr>
        <w:t>والحمد لله رب العالمين</w:t>
      </w:r>
    </w:p>
    <w:p w14:paraId="15589F5D" w14:textId="204951FE" w:rsidR="00467D36" w:rsidRDefault="00467D36" w:rsidP="00467D36">
      <w:pPr>
        <w:pStyle w:val="Heading3"/>
        <w:bidi/>
        <w:rPr>
          <w:b/>
          <w:bCs/>
          <w:sz w:val="32"/>
          <w:szCs w:val="32"/>
        </w:rPr>
      </w:pPr>
      <w:r>
        <w:rPr>
          <w:b/>
          <w:bCs/>
          <w:sz w:val="32"/>
          <w:szCs w:val="32"/>
        </w:rPr>
        <w:t>323</w:t>
      </w:r>
    </w:p>
    <w:p w14:paraId="111DDEFC" w14:textId="77777777" w:rsidR="00467D36" w:rsidRPr="00467D36" w:rsidRDefault="00467D36" w:rsidP="00467D36">
      <w:pPr>
        <w:bidi/>
        <w:rPr>
          <w:b/>
          <w:bCs/>
          <w:sz w:val="32"/>
          <w:szCs w:val="32"/>
        </w:rPr>
      </w:pPr>
      <w:r w:rsidRPr="00467D36">
        <w:rPr>
          <w:b/>
          <w:bCs/>
          <w:sz w:val="32"/>
          <w:szCs w:val="32"/>
          <w:rtl/>
        </w:rPr>
        <w:t>بسم الله الرحمن الرحيم</w:t>
      </w:r>
    </w:p>
    <w:p w14:paraId="4200250A" w14:textId="77777777" w:rsidR="00467D36" w:rsidRPr="00467D36" w:rsidRDefault="00467D36" w:rsidP="00467D36">
      <w:pPr>
        <w:bidi/>
        <w:rPr>
          <w:b/>
          <w:bCs/>
          <w:sz w:val="32"/>
          <w:szCs w:val="32"/>
          <w:rtl/>
        </w:rPr>
      </w:pPr>
      <w:r w:rsidRPr="00467D36">
        <w:rPr>
          <w:b/>
          <w:bCs/>
          <w:sz w:val="32"/>
          <w:szCs w:val="32"/>
          <w:rtl/>
        </w:rPr>
        <w:t>والصلاة والسلام على أشرف الأنبياء والمرسلين، محمد وآله الطيبين الطاهرين</w:t>
      </w:r>
    </w:p>
    <w:p w14:paraId="1A99D304" w14:textId="77777777" w:rsidR="00467D36" w:rsidRPr="00467D36" w:rsidRDefault="00467D36" w:rsidP="00467D36">
      <w:pPr>
        <w:bidi/>
        <w:rPr>
          <w:b/>
          <w:bCs/>
          <w:sz w:val="32"/>
          <w:szCs w:val="32"/>
          <w:rtl/>
        </w:rPr>
      </w:pPr>
      <w:r w:rsidRPr="00467D36">
        <w:rPr>
          <w:b/>
          <w:bCs/>
          <w:sz w:val="32"/>
          <w:szCs w:val="32"/>
          <w:rtl/>
        </w:rPr>
        <w:t>واللعن الدائم على أعدائهم أجمعين إلى قيام يوم الدين</w:t>
      </w:r>
    </w:p>
    <w:p w14:paraId="1A4106E3" w14:textId="77777777" w:rsidR="00467D36" w:rsidRPr="00467D36" w:rsidRDefault="00467D36" w:rsidP="00467D36">
      <w:pPr>
        <w:bidi/>
        <w:rPr>
          <w:b/>
          <w:bCs/>
          <w:sz w:val="32"/>
          <w:szCs w:val="32"/>
          <w:rtl/>
          <w:lang w:bidi="ar-BH"/>
        </w:rPr>
      </w:pPr>
    </w:p>
    <w:p w14:paraId="4BB2026A" w14:textId="77777777" w:rsidR="00467D36" w:rsidRPr="00467D36" w:rsidRDefault="00467D36" w:rsidP="00467D36">
      <w:pPr>
        <w:bidi/>
        <w:rPr>
          <w:b/>
          <w:bCs/>
          <w:sz w:val="32"/>
          <w:szCs w:val="32"/>
          <w:rtl/>
        </w:rPr>
      </w:pPr>
      <w:r w:rsidRPr="00467D36">
        <w:rPr>
          <w:b/>
          <w:bCs/>
          <w:sz w:val="32"/>
          <w:szCs w:val="32"/>
          <w:rtl/>
        </w:rPr>
        <w:t>التأملُ الرابع</w:t>
      </w:r>
      <w:r w:rsidRPr="00467D36">
        <w:rPr>
          <w:b/>
          <w:bCs/>
          <w:sz w:val="32"/>
          <w:szCs w:val="32"/>
        </w:rPr>
        <w:t>:</w:t>
      </w:r>
    </w:p>
    <w:p w14:paraId="07136F15" w14:textId="77777777" w:rsidR="00467D36" w:rsidRPr="00467D36" w:rsidRDefault="00467D36" w:rsidP="00467D36">
      <w:pPr>
        <w:bidi/>
        <w:rPr>
          <w:b/>
          <w:bCs/>
          <w:sz w:val="32"/>
          <w:szCs w:val="32"/>
          <w:rtl/>
        </w:rPr>
      </w:pPr>
      <w:r w:rsidRPr="00467D36">
        <w:rPr>
          <w:b/>
          <w:bCs/>
          <w:sz w:val="32"/>
          <w:szCs w:val="32"/>
          <w:rtl/>
        </w:rPr>
        <w:t>بناءً على أنّ عنوان "الضرر" مما لا ينطبقُ بنفسه على الضرر الاعتباري -وهو الحرمان مِن الحقِّ العقلائي- فمِن الممكن التمسك بالإطلاق المقامي لقاعدة "لا ضرر" لإثبات شمولها للأضرار الاعتبارية التي تتضمن ثبوتَ حقٍّ في رتبةٍ سابقةٍ</w:t>
      </w:r>
      <w:r w:rsidRPr="00467D36">
        <w:rPr>
          <w:b/>
          <w:bCs/>
          <w:sz w:val="32"/>
          <w:szCs w:val="32"/>
        </w:rPr>
        <w:t>.</w:t>
      </w:r>
    </w:p>
    <w:p w14:paraId="0F99328D" w14:textId="77777777" w:rsidR="00467D36" w:rsidRPr="00467D36" w:rsidRDefault="00467D36" w:rsidP="00467D36">
      <w:pPr>
        <w:bidi/>
        <w:rPr>
          <w:b/>
          <w:bCs/>
          <w:sz w:val="32"/>
          <w:szCs w:val="32"/>
          <w:rtl/>
        </w:rPr>
      </w:pPr>
      <w:r w:rsidRPr="00467D36">
        <w:rPr>
          <w:b/>
          <w:bCs/>
          <w:sz w:val="32"/>
          <w:szCs w:val="32"/>
          <w:rtl/>
        </w:rPr>
        <w:t>فمثلاً: مَن اشترى الأرض الموات واستلّم الوثيقةَ القانونية على مِلكيته لها، فإنّ القانون العقلائي يراهُ مالكاً للأرض مع أنّ المُشرع لا يرى مِلكيته لها إلّا بالإحياء، ففي مِثل هذا المورد لو تصرف شخصٌ آخر في الأرض الموات المملوكة قانوناً بإحيائها بزرعٍ أو بناءٍ أو بتحجيرها، فإنّه بنظر العقلاء قد أضر بالمالك القانوني للأرض</w:t>
      </w:r>
      <w:r w:rsidRPr="00467D36">
        <w:rPr>
          <w:b/>
          <w:bCs/>
          <w:sz w:val="32"/>
          <w:szCs w:val="32"/>
        </w:rPr>
        <w:t>.</w:t>
      </w:r>
    </w:p>
    <w:p w14:paraId="03350E5D" w14:textId="77777777" w:rsidR="00467D36" w:rsidRPr="00467D36" w:rsidRDefault="00467D36" w:rsidP="00467D36">
      <w:pPr>
        <w:bidi/>
        <w:rPr>
          <w:b/>
          <w:bCs/>
          <w:sz w:val="32"/>
          <w:szCs w:val="32"/>
          <w:rtl/>
        </w:rPr>
      </w:pPr>
      <w:r w:rsidRPr="00467D36">
        <w:rPr>
          <w:b/>
          <w:bCs/>
          <w:sz w:val="32"/>
          <w:szCs w:val="32"/>
          <w:rtl/>
        </w:rPr>
        <w:lastRenderedPageBreak/>
        <w:t>فهذا الضرر الاعتباري مستبطنٌ لثبوتِ حقٍّ في رتبةٍ سابقةٍ؛ إذ لولا بناء العقلاء على أنّ مَن بذل ثمناً بإزاء الأرض ثبتَ لَهُ حقٌّ فيها لما صار لهم بناء على أنّ التصرف في الأرض اِضرار بالمالك القانوني</w:t>
      </w:r>
      <w:r w:rsidRPr="00467D36">
        <w:rPr>
          <w:b/>
          <w:bCs/>
          <w:sz w:val="32"/>
          <w:szCs w:val="32"/>
        </w:rPr>
        <w:t>.</w:t>
      </w:r>
    </w:p>
    <w:p w14:paraId="2574AFAC" w14:textId="77777777" w:rsidR="00467D36" w:rsidRPr="00467D36" w:rsidRDefault="00467D36" w:rsidP="00467D36">
      <w:pPr>
        <w:bidi/>
        <w:rPr>
          <w:b/>
          <w:bCs/>
          <w:sz w:val="32"/>
          <w:szCs w:val="32"/>
          <w:rtl/>
        </w:rPr>
      </w:pPr>
      <w:r w:rsidRPr="00467D36">
        <w:rPr>
          <w:b/>
          <w:bCs/>
          <w:sz w:val="32"/>
          <w:szCs w:val="32"/>
          <w:rtl/>
        </w:rPr>
        <w:t>ولولا بناءُ العقلاء على: أنّ للحرّ القادر على العمل حقّاً في فرصة العمل لما كان لهم بناء على ضمانها بالحبس، ولولا أنّ للمخترع حقّ البراءة لما كان في تجاوز حقّه الضمان</w:t>
      </w:r>
      <w:r w:rsidRPr="00467D36">
        <w:rPr>
          <w:b/>
          <w:bCs/>
          <w:sz w:val="32"/>
          <w:szCs w:val="32"/>
        </w:rPr>
        <w:t>.</w:t>
      </w:r>
    </w:p>
    <w:p w14:paraId="08842192" w14:textId="77777777" w:rsidR="00467D36" w:rsidRPr="00467D36" w:rsidRDefault="00467D36" w:rsidP="00467D36">
      <w:pPr>
        <w:bidi/>
        <w:rPr>
          <w:b/>
          <w:bCs/>
          <w:sz w:val="32"/>
          <w:szCs w:val="32"/>
          <w:rtl/>
        </w:rPr>
      </w:pPr>
      <w:r w:rsidRPr="00467D36">
        <w:rPr>
          <w:b/>
          <w:bCs/>
          <w:sz w:val="32"/>
          <w:szCs w:val="32"/>
          <w:rtl/>
        </w:rPr>
        <w:t>فشمول "لا ضرر" للأضرار الاعتبارية بالإطلاق المقامي يعني ثبوت هذه الحقوق المتضمنة في الضرر الاعتباري شرعاً</w:t>
      </w:r>
      <w:r w:rsidRPr="00467D36">
        <w:rPr>
          <w:b/>
          <w:bCs/>
          <w:sz w:val="32"/>
          <w:szCs w:val="32"/>
        </w:rPr>
        <w:t>.</w:t>
      </w:r>
    </w:p>
    <w:p w14:paraId="50089E7A" w14:textId="77777777" w:rsidR="00467D36" w:rsidRPr="00467D36" w:rsidRDefault="00467D36" w:rsidP="00467D36">
      <w:pPr>
        <w:bidi/>
        <w:rPr>
          <w:b/>
          <w:bCs/>
          <w:sz w:val="32"/>
          <w:szCs w:val="32"/>
          <w:rtl/>
        </w:rPr>
      </w:pPr>
      <w:r w:rsidRPr="00467D36">
        <w:rPr>
          <w:b/>
          <w:bCs/>
          <w:sz w:val="32"/>
          <w:szCs w:val="32"/>
          <w:rtl/>
        </w:rPr>
        <w:t>لكن أُوردَ على التمسك بالإطلاق المقامي بوجوهٍ</w:t>
      </w:r>
      <w:r w:rsidRPr="00467D36">
        <w:rPr>
          <w:b/>
          <w:bCs/>
          <w:sz w:val="32"/>
          <w:szCs w:val="32"/>
        </w:rPr>
        <w:t>:</w:t>
      </w:r>
    </w:p>
    <w:p w14:paraId="75B49040" w14:textId="77777777" w:rsidR="00467D36" w:rsidRPr="00467D36" w:rsidRDefault="00467D36" w:rsidP="00467D36">
      <w:pPr>
        <w:bidi/>
        <w:rPr>
          <w:b/>
          <w:bCs/>
          <w:sz w:val="32"/>
          <w:szCs w:val="32"/>
          <w:rtl/>
        </w:rPr>
      </w:pPr>
      <w:r w:rsidRPr="00467D36">
        <w:rPr>
          <w:b/>
          <w:bCs/>
          <w:sz w:val="32"/>
          <w:szCs w:val="32"/>
          <w:rtl/>
        </w:rPr>
        <w:t xml:space="preserve">الوجهُ الأوّل: ما ذكره السيد الشهيد الصدر (قدس سره الشريف) في بحوثه بقوله: (ومنه يعرف حال قاعدة لا ضرر، فإنها لا يمكن أنْ تشمل كافة مصاديق الضرر </w:t>
      </w:r>
      <w:proofErr w:type="spellStart"/>
      <w:r w:rsidRPr="00467D36">
        <w:rPr>
          <w:b/>
          <w:bCs/>
          <w:sz w:val="32"/>
          <w:szCs w:val="32"/>
          <w:rtl/>
        </w:rPr>
        <w:t>العنائية</w:t>
      </w:r>
      <w:proofErr w:type="spellEnd"/>
      <w:r w:rsidRPr="00467D36">
        <w:rPr>
          <w:b/>
          <w:bCs/>
          <w:sz w:val="32"/>
          <w:szCs w:val="32"/>
          <w:rtl/>
        </w:rPr>
        <w:t xml:space="preserve"> المستجدة في العصور المتأخرة إلّا في حدود ما يحرز قبول الشارع لثبوت الحق فيها، بل حتى إذا افترضنا الإطلاق اللفظي في لا ضرر لمثل هذه الأضرار كان لابد من تقييد مفادها بما كان في عصر الشارع ضرراً لا أكثر، إذ من الواضح أن حكم الشارع ليس تابعاً لأحكام العقلاء دائماً وأبداً فإنّ هذا لابدَّ وأنْ يكون على أساس أحد أمرين كلاهما يقطع بخلافه وخلاف ظاهر الخطابات</w:t>
      </w:r>
    </w:p>
    <w:p w14:paraId="2B0ED09A" w14:textId="77777777" w:rsidR="00467D36" w:rsidRPr="00467D36" w:rsidRDefault="00467D36" w:rsidP="00467D36">
      <w:pPr>
        <w:bidi/>
        <w:rPr>
          <w:b/>
          <w:bCs/>
          <w:sz w:val="32"/>
          <w:szCs w:val="32"/>
          <w:rtl/>
        </w:rPr>
      </w:pPr>
      <w:r w:rsidRPr="00467D36">
        <w:rPr>
          <w:b/>
          <w:bCs/>
          <w:sz w:val="32"/>
          <w:szCs w:val="32"/>
          <w:rtl/>
        </w:rPr>
        <w:t>أحدهما – أنْ يكون مجرد حكم العقلاء كافياً لحكم الشارع لأنَّ مطابقة حكم العقلاء بما هو تمام الموضوع لحكم الشارع، وهذا يقطع بعدمه</w:t>
      </w:r>
      <w:r w:rsidRPr="00467D36">
        <w:rPr>
          <w:b/>
          <w:bCs/>
          <w:sz w:val="32"/>
          <w:szCs w:val="32"/>
        </w:rPr>
        <w:t>.</w:t>
      </w:r>
    </w:p>
    <w:p w14:paraId="72656667" w14:textId="77777777" w:rsidR="00467D36" w:rsidRPr="00467D36" w:rsidRDefault="00467D36" w:rsidP="00467D36">
      <w:pPr>
        <w:bidi/>
        <w:rPr>
          <w:b/>
          <w:bCs/>
          <w:sz w:val="32"/>
          <w:szCs w:val="32"/>
          <w:rtl/>
        </w:rPr>
      </w:pPr>
      <w:r w:rsidRPr="00467D36">
        <w:rPr>
          <w:b/>
          <w:bCs/>
          <w:sz w:val="32"/>
          <w:szCs w:val="32"/>
          <w:rtl/>
        </w:rPr>
        <w:t>الثاني – أنْ يكون المولى قد علم بمقتضى علمه بالغيب أنّ كل ما سيجعله العقلاء خارجاً سوف يكون على طبق ما يريده هو أيضاً، وهذا أيضاً خلاف ظاهر الخطابات ومقطوع البطلان)</w:t>
      </w:r>
      <w:r w:rsidRPr="00467D36">
        <w:rPr>
          <w:b/>
          <w:bCs/>
          <w:sz w:val="32"/>
          <w:szCs w:val="32"/>
          <w:vertAlign w:val="superscript"/>
          <w:rtl/>
        </w:rPr>
        <w:footnoteReference w:id="210"/>
      </w:r>
      <w:r w:rsidRPr="00467D36">
        <w:rPr>
          <w:b/>
          <w:bCs/>
          <w:sz w:val="32"/>
          <w:szCs w:val="32"/>
          <w:rtl/>
        </w:rPr>
        <w:t>.</w:t>
      </w:r>
    </w:p>
    <w:p w14:paraId="3716820B" w14:textId="77777777" w:rsidR="00467D36" w:rsidRPr="00467D36" w:rsidRDefault="00467D36" w:rsidP="00467D36">
      <w:pPr>
        <w:bidi/>
        <w:rPr>
          <w:b/>
          <w:bCs/>
          <w:sz w:val="32"/>
          <w:szCs w:val="32"/>
          <w:rtl/>
        </w:rPr>
      </w:pPr>
      <w:r w:rsidRPr="00467D36">
        <w:rPr>
          <w:b/>
          <w:bCs/>
          <w:sz w:val="32"/>
          <w:szCs w:val="32"/>
          <w:rtl/>
        </w:rPr>
        <w:t xml:space="preserve">وحاصلُ كلامه (قدس سره): </w:t>
      </w:r>
      <w:proofErr w:type="gramStart"/>
      <w:r w:rsidRPr="00467D36">
        <w:rPr>
          <w:b/>
          <w:bCs/>
          <w:sz w:val="32"/>
          <w:szCs w:val="32"/>
          <w:rtl/>
        </w:rPr>
        <w:t>أنّه</w:t>
      </w:r>
      <w:proofErr w:type="gramEnd"/>
      <w:r w:rsidRPr="00467D36">
        <w:rPr>
          <w:b/>
          <w:bCs/>
          <w:sz w:val="32"/>
          <w:szCs w:val="32"/>
          <w:rtl/>
        </w:rPr>
        <w:t xml:space="preserve"> حتى لو فرضنا شمول "لا ضرر" للأضرار الاعتبارية بالإطلاق اللفظي فضلاً عن الإطلاق المقامي فهي خاصّة بما كان في عصر النصّ ضرراً، لا كلّ ضررٍ عقلائي (إذ من الواضح أن حكم الشارع ليس تابعاً لأحكام العقلاء دائماً وأبداً)، فإنّ مقتضى التصدي للتشريع التام أنّه في مقام التأسيس وإصلاح الوضع الاجتماعي العقلائي إصلاحاً جذرياً بناءً على ما يراهُ مِن المصالح والمفاسد، لا أّنه في مقام التبعية لحكم العقلاء</w:t>
      </w:r>
      <w:r w:rsidRPr="00467D36">
        <w:rPr>
          <w:b/>
          <w:bCs/>
          <w:sz w:val="32"/>
          <w:szCs w:val="32"/>
        </w:rPr>
        <w:t>.</w:t>
      </w:r>
    </w:p>
    <w:p w14:paraId="7587A6F3" w14:textId="77777777" w:rsidR="00467D36" w:rsidRPr="00467D36" w:rsidRDefault="00467D36" w:rsidP="00467D36">
      <w:pPr>
        <w:bidi/>
        <w:rPr>
          <w:b/>
          <w:bCs/>
          <w:sz w:val="32"/>
          <w:szCs w:val="32"/>
          <w:rtl/>
        </w:rPr>
      </w:pPr>
      <w:r w:rsidRPr="00467D36">
        <w:rPr>
          <w:b/>
          <w:bCs/>
          <w:sz w:val="32"/>
          <w:szCs w:val="32"/>
          <w:rtl/>
        </w:rPr>
        <w:lastRenderedPageBreak/>
        <w:t xml:space="preserve">مضافاً: لاختلاف العقلاء في كلّ عصرٍ في حدود الحقوق والأضرار نتيجةَ تطور الرؤية العقلائية بمقتضى تنوع المصالح العامّة في كلّ عصرٍ، وهو مما لا يمكن القول بمتابعة الشارع له، خصوصاً مع ثبوت اختلاف الشارع مع العقلاء في عدّة </w:t>
      </w:r>
      <w:proofErr w:type="gramStart"/>
      <w:r w:rsidRPr="00467D36">
        <w:rPr>
          <w:b/>
          <w:bCs/>
          <w:sz w:val="32"/>
          <w:szCs w:val="32"/>
          <w:rtl/>
        </w:rPr>
        <w:t>موارد</w:t>
      </w:r>
      <w:r w:rsidRPr="00467D36">
        <w:rPr>
          <w:b/>
          <w:bCs/>
          <w:sz w:val="32"/>
          <w:szCs w:val="32"/>
        </w:rPr>
        <w:t xml:space="preserve"> .</w:t>
      </w:r>
      <w:proofErr w:type="gramEnd"/>
    </w:p>
    <w:p w14:paraId="701CB900" w14:textId="77777777" w:rsidR="00467D36" w:rsidRPr="00467D36" w:rsidRDefault="00467D36" w:rsidP="00467D36">
      <w:pPr>
        <w:bidi/>
        <w:rPr>
          <w:b/>
          <w:bCs/>
          <w:sz w:val="32"/>
          <w:szCs w:val="32"/>
          <w:rtl/>
        </w:rPr>
      </w:pPr>
      <w:r w:rsidRPr="00467D36">
        <w:rPr>
          <w:b/>
          <w:bCs/>
          <w:sz w:val="32"/>
          <w:szCs w:val="32"/>
          <w:rtl/>
        </w:rPr>
        <w:t>منها:</w:t>
      </w:r>
    </w:p>
    <w:p w14:paraId="18F2379A" w14:textId="77777777" w:rsidR="00467D36" w:rsidRPr="00467D36" w:rsidRDefault="00467D36" w:rsidP="00467D36">
      <w:pPr>
        <w:bidi/>
        <w:rPr>
          <w:b/>
          <w:bCs/>
          <w:sz w:val="32"/>
          <w:szCs w:val="32"/>
          <w:rtl/>
        </w:rPr>
      </w:pPr>
      <w:r w:rsidRPr="00467D36">
        <w:rPr>
          <w:b/>
          <w:bCs/>
          <w:sz w:val="32"/>
          <w:szCs w:val="32"/>
          <w:rtl/>
        </w:rPr>
        <w:t xml:space="preserve">الأوّل: أنّه لا إشكال في أنّ المرتكز العقلائي يرى أنّ الدخول في البساتين الواسعة المملوكة وأكل ثمارها والشرب مِن مائها </w:t>
      </w:r>
      <w:proofErr w:type="spellStart"/>
      <w:r w:rsidRPr="00467D36">
        <w:rPr>
          <w:b/>
          <w:bCs/>
          <w:sz w:val="32"/>
          <w:szCs w:val="32"/>
          <w:rtl/>
        </w:rPr>
        <w:t>والتوضئ</w:t>
      </w:r>
      <w:proofErr w:type="spellEnd"/>
      <w:r w:rsidRPr="00467D36">
        <w:rPr>
          <w:b/>
          <w:bCs/>
          <w:sz w:val="32"/>
          <w:szCs w:val="32"/>
          <w:rtl/>
        </w:rPr>
        <w:t xml:space="preserve"> منه مِن دون إذن صاحب البستان ضررٌ وتفويتُ حقٍّ مع أنّ الشارع يُجيز للمارة بالبساتين الواسعة الأكل مِن ثمارها والشرب والوضوء مِن مائها، بل المشهور على جواز ذلك وإنْ كانت </w:t>
      </w:r>
      <w:proofErr w:type="gramStart"/>
      <w:r w:rsidRPr="00467D36">
        <w:rPr>
          <w:b/>
          <w:bCs/>
          <w:sz w:val="32"/>
          <w:szCs w:val="32"/>
          <w:rtl/>
        </w:rPr>
        <w:t>مسورة</w:t>
      </w:r>
      <w:proofErr w:type="gramEnd"/>
      <w:r w:rsidRPr="00467D36">
        <w:rPr>
          <w:b/>
          <w:bCs/>
          <w:sz w:val="32"/>
          <w:szCs w:val="32"/>
          <w:rtl/>
        </w:rPr>
        <w:t xml:space="preserve"> بل حتى مع كراهة المالك.</w:t>
      </w:r>
    </w:p>
    <w:p w14:paraId="1F4BD980" w14:textId="77777777" w:rsidR="00467D36" w:rsidRPr="00467D36" w:rsidRDefault="00467D36" w:rsidP="00467D36">
      <w:pPr>
        <w:bidi/>
        <w:rPr>
          <w:b/>
          <w:bCs/>
          <w:sz w:val="32"/>
          <w:szCs w:val="32"/>
          <w:rtl/>
        </w:rPr>
      </w:pPr>
      <w:r w:rsidRPr="00467D36">
        <w:rPr>
          <w:b/>
          <w:bCs/>
          <w:sz w:val="32"/>
          <w:szCs w:val="32"/>
          <w:rtl/>
        </w:rPr>
        <w:t xml:space="preserve">وإنْ كان السيد الأُستاذ (مد ظله) احتاط وجوباً، حيث قال في المنهاج: (مسألة 296: إذا مرّ الإنسان بشيء من النخل أو الشجر أو الزرع جاز له أن يأكل – ولو من غير ضرورة – من ثمره بلا إفساد </w:t>
      </w:r>
      <w:proofErr w:type="gramStart"/>
      <w:r w:rsidRPr="00467D36">
        <w:rPr>
          <w:b/>
          <w:bCs/>
          <w:sz w:val="32"/>
          <w:szCs w:val="32"/>
          <w:rtl/>
        </w:rPr>
        <w:t>للثمر</w:t>
      </w:r>
      <w:proofErr w:type="gramEnd"/>
      <w:r w:rsidRPr="00467D36">
        <w:rPr>
          <w:b/>
          <w:bCs/>
          <w:sz w:val="32"/>
          <w:szCs w:val="32"/>
          <w:rtl/>
        </w:rPr>
        <w:t xml:space="preserve"> أو الأغصان أو الشجر أو غيرها</w:t>
      </w:r>
      <w:r w:rsidRPr="00467D36">
        <w:rPr>
          <w:b/>
          <w:bCs/>
          <w:sz w:val="32"/>
          <w:szCs w:val="32"/>
        </w:rPr>
        <w:t>.</w:t>
      </w:r>
    </w:p>
    <w:p w14:paraId="3BE3D313" w14:textId="77777777" w:rsidR="00467D36" w:rsidRPr="00467D36" w:rsidRDefault="00467D36" w:rsidP="00467D36">
      <w:pPr>
        <w:bidi/>
        <w:rPr>
          <w:b/>
          <w:bCs/>
          <w:sz w:val="32"/>
          <w:szCs w:val="32"/>
          <w:rtl/>
        </w:rPr>
      </w:pPr>
      <w:r w:rsidRPr="00467D36">
        <w:rPr>
          <w:b/>
          <w:bCs/>
          <w:sz w:val="32"/>
          <w:szCs w:val="32"/>
          <w:rtl/>
        </w:rPr>
        <w:t>مسألة 297: يجوز الأكل للمارّ وإن كان قاصداً له من أوّل الأمر، ولا يجوز له أن يحمل معه شيئاً من الثمر وإذا حمل معه شيئاً حرم ما حمل ولم يحرم ما أكل، وإذا كان للبستان جدار أو حائط أو ظنّ كراهة المالك أو كان قاصراً ففي جواز الأكل إشكال والاجتناب أحوط لزوماً)</w:t>
      </w:r>
      <w:r w:rsidRPr="00467D36">
        <w:rPr>
          <w:b/>
          <w:bCs/>
          <w:sz w:val="32"/>
          <w:szCs w:val="32"/>
          <w:vertAlign w:val="superscript"/>
          <w:rtl/>
        </w:rPr>
        <w:footnoteReference w:id="211"/>
      </w:r>
      <w:r w:rsidRPr="00467D36">
        <w:rPr>
          <w:b/>
          <w:bCs/>
          <w:sz w:val="32"/>
          <w:szCs w:val="32"/>
          <w:rtl/>
        </w:rPr>
        <w:t>.</w:t>
      </w:r>
    </w:p>
    <w:p w14:paraId="2E2555FF" w14:textId="77777777" w:rsidR="00467D36" w:rsidRPr="00467D36" w:rsidRDefault="00467D36" w:rsidP="00467D36">
      <w:pPr>
        <w:bidi/>
        <w:rPr>
          <w:b/>
          <w:bCs/>
          <w:sz w:val="32"/>
          <w:szCs w:val="32"/>
          <w:rtl/>
        </w:rPr>
      </w:pPr>
      <w:r w:rsidRPr="00467D36">
        <w:rPr>
          <w:b/>
          <w:bCs/>
          <w:sz w:val="32"/>
          <w:szCs w:val="32"/>
          <w:rtl/>
        </w:rPr>
        <w:t>الثاني: أنّ العقلاء في زماننا يجرمون الاستيلاء على مال الكافر غير الذمي بدون إذنه، مع أنّ مشهور الفقهاء يجوزون الاستيلاء على مال الكافر غير الذمي وإنْ لَمْ يكن عن إذنه بمناط الاستنقاذ</w:t>
      </w:r>
      <w:r w:rsidRPr="00467D36">
        <w:rPr>
          <w:b/>
          <w:bCs/>
          <w:sz w:val="32"/>
          <w:szCs w:val="32"/>
        </w:rPr>
        <w:t>.</w:t>
      </w:r>
    </w:p>
    <w:p w14:paraId="6960E629" w14:textId="77777777" w:rsidR="00467D36" w:rsidRPr="00467D36" w:rsidRDefault="00467D36" w:rsidP="00467D36">
      <w:pPr>
        <w:bidi/>
        <w:rPr>
          <w:b/>
          <w:bCs/>
          <w:sz w:val="32"/>
          <w:szCs w:val="32"/>
          <w:rtl/>
        </w:rPr>
      </w:pPr>
      <w:r w:rsidRPr="00467D36">
        <w:rPr>
          <w:b/>
          <w:bCs/>
          <w:sz w:val="32"/>
          <w:szCs w:val="32"/>
          <w:rtl/>
        </w:rPr>
        <w:t>الثالث: أنّ العقلاء يرون قبح الاسترقاق وإنْ كان الطرف الآخر الذي يراد استرقاقه.</w:t>
      </w:r>
    </w:p>
    <w:p w14:paraId="456A9A85" w14:textId="77777777" w:rsidR="00467D36" w:rsidRPr="00467D36" w:rsidRDefault="00467D36" w:rsidP="00467D36">
      <w:pPr>
        <w:bidi/>
        <w:rPr>
          <w:b/>
          <w:bCs/>
          <w:sz w:val="32"/>
          <w:szCs w:val="32"/>
          <w:rtl/>
        </w:rPr>
      </w:pPr>
      <w:r w:rsidRPr="00467D36">
        <w:rPr>
          <w:b/>
          <w:bCs/>
          <w:sz w:val="32"/>
          <w:szCs w:val="32"/>
          <w:rtl/>
        </w:rPr>
        <w:t>الرابع: أنّ العقلاء يرون قبح تقييد الحرية الدينية بالنهي عن المنكر، فضلاً عما إذا استلزم النهي عن المنكر الغلظة والردع، بل يستقبحون أدنى صور الردع عن المنكر، نظير ما ورد في الرواية الصحيحة كما في الكافي: (عَلِيُّ بْنُ إِبْرَاهِيمَ، عَنْ أَبِيهِ، عَنِ النَّوْفَلِيِّ، عَنِ السَّكُونِيِّ، عَنْ أَبِي عَبْدِاللَّهِ (عَلَيْهِ السَّلَامُ) قَالَ: «قَالَ أَمِيرُ الْمُؤْمِنِينَ (عَلَيْهِ السَّلَامُ): أَمَرَنَا رَسُولُ اللَّهِ (صَلَّى اللَّهُ عَلَيْهِ وَآلِهِ) أَنْ نَلْقى أَهْلَ الْمَعَاصِي بِوُجُوهٍ مُكْفَهِرَّةٍ)</w:t>
      </w:r>
      <w:r w:rsidRPr="00467D36">
        <w:rPr>
          <w:b/>
          <w:bCs/>
          <w:sz w:val="32"/>
          <w:szCs w:val="32"/>
          <w:vertAlign w:val="superscript"/>
          <w:rtl/>
        </w:rPr>
        <w:footnoteReference w:id="212"/>
      </w:r>
      <w:r w:rsidRPr="00467D36">
        <w:rPr>
          <w:b/>
          <w:bCs/>
          <w:sz w:val="32"/>
          <w:szCs w:val="32"/>
          <w:rtl/>
        </w:rPr>
        <w:t>.</w:t>
      </w:r>
    </w:p>
    <w:p w14:paraId="25B6C22D" w14:textId="77777777" w:rsidR="00467D36" w:rsidRPr="00467D36" w:rsidRDefault="00467D36" w:rsidP="00467D36">
      <w:pPr>
        <w:bidi/>
        <w:rPr>
          <w:b/>
          <w:bCs/>
          <w:sz w:val="32"/>
          <w:szCs w:val="32"/>
          <w:rtl/>
        </w:rPr>
      </w:pPr>
      <w:r w:rsidRPr="00467D36">
        <w:rPr>
          <w:b/>
          <w:bCs/>
          <w:sz w:val="32"/>
          <w:szCs w:val="32"/>
          <w:rtl/>
        </w:rPr>
        <w:lastRenderedPageBreak/>
        <w:t>وقد أفتى السيد الأُستاذ (مد ظله) على طبق هذه الرواية الشريفة وأوردها في المنهاج، بقوله: (يجب الأمر بالمعروف والنهي عن المنكر مع كون المعروف واجباً والمنكر حراماً، ووجوبه عندئذٍ كفائيّ يسقط بقيام البعض به، نعم وجوب إظهار الكراهة قولاً أو فعلاً من ترك الواجب أو فعل الحرام عينيّ لا يسقط بفعل البعض، وعن أمير المؤمنين (عليه السلام) قال: أمرنا رسول الله (صلى الله عليه وآله) أن نلقى أهل المعاصي بوجوه مُكْفَهِرَّةٍ)</w:t>
      </w:r>
      <w:r w:rsidRPr="00467D36">
        <w:rPr>
          <w:b/>
          <w:bCs/>
          <w:sz w:val="32"/>
          <w:szCs w:val="32"/>
          <w:vertAlign w:val="superscript"/>
          <w:rtl/>
        </w:rPr>
        <w:footnoteReference w:id="213"/>
      </w:r>
      <w:r w:rsidRPr="00467D36">
        <w:rPr>
          <w:b/>
          <w:bCs/>
          <w:sz w:val="32"/>
          <w:szCs w:val="32"/>
          <w:rtl/>
        </w:rPr>
        <w:t>.</w:t>
      </w:r>
    </w:p>
    <w:p w14:paraId="6F43F45D" w14:textId="77777777" w:rsidR="00467D36" w:rsidRPr="00467D36" w:rsidRDefault="00467D36" w:rsidP="00467D36">
      <w:pPr>
        <w:bidi/>
        <w:rPr>
          <w:b/>
          <w:bCs/>
          <w:sz w:val="32"/>
          <w:szCs w:val="32"/>
          <w:rtl/>
        </w:rPr>
      </w:pPr>
      <w:r w:rsidRPr="00467D36">
        <w:rPr>
          <w:b/>
          <w:bCs/>
          <w:sz w:val="32"/>
          <w:szCs w:val="32"/>
          <w:rtl/>
        </w:rPr>
        <w:t>وغير ذلك مِن الموارد التي يختلف فيها نظرُ الشارع عن نظر العقلاء، مما يكشف عن عدم تبعية الشارع لحكم العقلاء</w:t>
      </w:r>
      <w:r w:rsidRPr="00467D36">
        <w:rPr>
          <w:b/>
          <w:bCs/>
          <w:sz w:val="32"/>
          <w:szCs w:val="32"/>
        </w:rPr>
        <w:t>.</w:t>
      </w:r>
    </w:p>
    <w:p w14:paraId="1D028095" w14:textId="77777777" w:rsidR="00467D36" w:rsidRPr="00467D36" w:rsidRDefault="00467D36" w:rsidP="00467D36">
      <w:pPr>
        <w:bidi/>
        <w:rPr>
          <w:b/>
          <w:bCs/>
          <w:sz w:val="32"/>
          <w:szCs w:val="32"/>
          <w:rtl/>
        </w:rPr>
      </w:pPr>
      <w:r w:rsidRPr="00467D36">
        <w:rPr>
          <w:b/>
          <w:bCs/>
          <w:sz w:val="32"/>
          <w:szCs w:val="32"/>
          <w:rtl/>
        </w:rPr>
        <w:t xml:space="preserve">فإنْ قلتَ: مِن الجائز أنْ يكون موضوع حكم الشارع الرؤية العقلائية في الحقوق على أساس أنّ المولى بمقتضى علمه بالغيب يعلم أنّ </w:t>
      </w:r>
      <w:proofErr w:type="spellStart"/>
      <w:r w:rsidRPr="00467D36">
        <w:rPr>
          <w:b/>
          <w:bCs/>
          <w:sz w:val="32"/>
          <w:szCs w:val="32"/>
          <w:rtl/>
        </w:rPr>
        <w:t>مايراه</w:t>
      </w:r>
      <w:proofErr w:type="spellEnd"/>
      <w:r w:rsidRPr="00467D36">
        <w:rPr>
          <w:b/>
          <w:bCs/>
          <w:sz w:val="32"/>
          <w:szCs w:val="32"/>
          <w:rtl/>
        </w:rPr>
        <w:t xml:space="preserve"> العقلاء مِن الحقوق فهو على طبق مراده، فإذا أمكن ذلك ثبوتاً فمقتضى الإطلاق المقامي إثباتاً</w:t>
      </w:r>
      <w:r w:rsidRPr="00467D36">
        <w:rPr>
          <w:b/>
          <w:bCs/>
          <w:sz w:val="32"/>
          <w:szCs w:val="32"/>
        </w:rPr>
        <w:t>.</w:t>
      </w:r>
    </w:p>
    <w:p w14:paraId="040BA415" w14:textId="77777777" w:rsidR="00467D36" w:rsidRPr="00467D36" w:rsidRDefault="00467D36" w:rsidP="00467D36">
      <w:pPr>
        <w:bidi/>
        <w:rPr>
          <w:b/>
          <w:bCs/>
          <w:sz w:val="32"/>
          <w:szCs w:val="32"/>
          <w:rtl/>
        </w:rPr>
      </w:pPr>
      <w:r w:rsidRPr="00467D36">
        <w:rPr>
          <w:b/>
          <w:bCs/>
          <w:sz w:val="32"/>
          <w:szCs w:val="32"/>
          <w:rtl/>
        </w:rPr>
        <w:t>قلتُ: إنّ ظاهر سياق الأدلّة الشرعية الصادرة على نحو القضية الحقيقية أنّها بصدد التغيير والتأسيس، بغض النظر عن علم المُشرع عن طريق الغيب بما يصدر مِن العقلاء خارجاً، ومما يؤكد ذلك كون الشارع قد تصدى لتشريع ما يراهُ العقلاء ثابتاً نحو قبح الظُلم والخيانة والكذب لدى العقلاء ومع ذلك قد حرمها الشارع، كما تصدى الشارع لإيجاب ما يراهُ العقلاء حسناً كـ "العدل" و "الصدق" والأمانة".</w:t>
      </w:r>
    </w:p>
    <w:p w14:paraId="4DA265D6" w14:textId="77777777" w:rsidR="00467D36" w:rsidRPr="00467D36" w:rsidRDefault="00467D36" w:rsidP="00467D36">
      <w:pPr>
        <w:bidi/>
        <w:rPr>
          <w:b/>
          <w:bCs/>
          <w:sz w:val="32"/>
          <w:szCs w:val="32"/>
          <w:rtl/>
        </w:rPr>
      </w:pPr>
      <w:r w:rsidRPr="00467D36">
        <w:rPr>
          <w:b/>
          <w:bCs/>
          <w:sz w:val="32"/>
          <w:szCs w:val="32"/>
          <w:rtl/>
        </w:rPr>
        <w:t>وألزم الشارعُ بإنفاق الأب على أطفاله الصغار مع أنّه موافق للعقلاء، مما يكشف عن أنّ ظاهر خطاباته أنّه في مقام التأسيس والتغيير، لا أنّه في مقام المجاراة والإمضاء كي يُقال: بأنّ مقتضى الإطلاق المقامي إقرارُ ما يراهُ العقلاء حقّاً في كلّ زمانٍ</w:t>
      </w:r>
      <w:r w:rsidRPr="00467D36">
        <w:rPr>
          <w:b/>
          <w:bCs/>
          <w:sz w:val="32"/>
          <w:szCs w:val="32"/>
        </w:rPr>
        <w:t>.</w:t>
      </w:r>
    </w:p>
    <w:p w14:paraId="6A29A306" w14:textId="77777777" w:rsidR="00467D36" w:rsidRPr="00467D36" w:rsidRDefault="00467D36" w:rsidP="00467D36">
      <w:pPr>
        <w:bidi/>
        <w:rPr>
          <w:b/>
          <w:bCs/>
          <w:sz w:val="32"/>
          <w:szCs w:val="32"/>
          <w:rtl/>
        </w:rPr>
      </w:pPr>
      <w:r w:rsidRPr="00467D36">
        <w:rPr>
          <w:b/>
          <w:bCs/>
          <w:sz w:val="32"/>
          <w:szCs w:val="32"/>
          <w:rtl/>
        </w:rPr>
        <w:t>ولكن يمكنُ الجواب عن ذلك</w:t>
      </w:r>
      <w:r w:rsidRPr="00467D36">
        <w:rPr>
          <w:b/>
          <w:bCs/>
          <w:sz w:val="32"/>
          <w:szCs w:val="32"/>
        </w:rPr>
        <w:t>:</w:t>
      </w:r>
    </w:p>
    <w:p w14:paraId="5A6006AD" w14:textId="77777777" w:rsidR="00467D36" w:rsidRPr="00467D36" w:rsidRDefault="00467D36" w:rsidP="00467D36">
      <w:pPr>
        <w:bidi/>
        <w:rPr>
          <w:b/>
          <w:bCs/>
          <w:sz w:val="32"/>
          <w:szCs w:val="32"/>
          <w:rtl/>
        </w:rPr>
      </w:pPr>
      <w:r w:rsidRPr="00467D36">
        <w:rPr>
          <w:b/>
          <w:bCs/>
          <w:sz w:val="32"/>
          <w:szCs w:val="32"/>
          <w:rtl/>
        </w:rPr>
        <w:t>بأنّه لا مانع ثبوتاً مِن أنّ يعتبر المُشرع قيام المرتكز العقلائي على بعض المصاديق أمارة على الواقع.</w:t>
      </w:r>
    </w:p>
    <w:p w14:paraId="30ED1176" w14:textId="77777777" w:rsidR="00467D36" w:rsidRPr="00467D36" w:rsidRDefault="00467D36" w:rsidP="00467D36">
      <w:pPr>
        <w:bidi/>
        <w:rPr>
          <w:b/>
          <w:bCs/>
          <w:sz w:val="32"/>
          <w:szCs w:val="32"/>
          <w:rtl/>
        </w:rPr>
      </w:pPr>
      <w:r w:rsidRPr="00467D36">
        <w:rPr>
          <w:b/>
          <w:bCs/>
          <w:sz w:val="32"/>
          <w:szCs w:val="32"/>
          <w:rtl/>
        </w:rPr>
        <w:t>بمعنى: أنّ المُشرع على نحو القضية الحقيقية يرى أنّ في كلّ زمانٍ اتفق العقلاء فيه بما هم عقلاء على مصداقٍ للحقّ أو مصداقٍ للضرر فاتفاقهم أمارةٌ على الواقع، مِن باب ضرب القاعدة، بحيث يرجع له عند الشك ما لَمْ يثبت خلافه</w:t>
      </w:r>
      <w:r w:rsidRPr="00467D36">
        <w:rPr>
          <w:b/>
          <w:bCs/>
          <w:sz w:val="32"/>
          <w:szCs w:val="32"/>
        </w:rPr>
        <w:t>.</w:t>
      </w:r>
    </w:p>
    <w:p w14:paraId="11C3A3F4" w14:textId="77777777" w:rsidR="00467D36" w:rsidRPr="00467D36" w:rsidRDefault="00467D36" w:rsidP="00467D36">
      <w:pPr>
        <w:bidi/>
        <w:rPr>
          <w:b/>
          <w:bCs/>
          <w:sz w:val="32"/>
          <w:szCs w:val="32"/>
          <w:rtl/>
        </w:rPr>
      </w:pPr>
      <w:r w:rsidRPr="00467D36">
        <w:rPr>
          <w:b/>
          <w:bCs/>
          <w:sz w:val="32"/>
          <w:szCs w:val="32"/>
          <w:rtl/>
        </w:rPr>
        <w:lastRenderedPageBreak/>
        <w:t>فإذا شككنا في كلّ زمانٍ في أنّ المورد مِن الحقوق فاتفاق العقلاء عليه أمارة على كونه مِن الحقوق، إمّا بنكتة: أنّ ارتكاز العقلاء كاشفٌ نوعاً عن رؤية الشارع، أو بنكتة: التسهيل على المكلفين؛ إذ لا فرق بينه وبين أمارية الظهور وأمارية خبر الثقة في كلّ زمنٍ على موقف الشارع، مع أنّ هذه الأمارات في معرضية الخطأ وعدم إصابة الواقع</w:t>
      </w:r>
      <w:r w:rsidRPr="00467D36">
        <w:rPr>
          <w:b/>
          <w:bCs/>
          <w:sz w:val="32"/>
          <w:szCs w:val="32"/>
        </w:rPr>
        <w:t>.</w:t>
      </w:r>
    </w:p>
    <w:p w14:paraId="19757114" w14:textId="77777777" w:rsidR="00467D36" w:rsidRPr="00467D36" w:rsidRDefault="00467D36" w:rsidP="00467D36">
      <w:pPr>
        <w:bidi/>
        <w:rPr>
          <w:b/>
          <w:bCs/>
          <w:sz w:val="32"/>
          <w:szCs w:val="32"/>
          <w:rtl/>
        </w:rPr>
      </w:pPr>
      <w:r w:rsidRPr="00467D36">
        <w:rPr>
          <w:b/>
          <w:bCs/>
          <w:sz w:val="32"/>
          <w:szCs w:val="32"/>
          <w:rtl/>
        </w:rPr>
        <w:t>وحيثُ إنّ مِن المحتمل أنّ الشارع قد جعل اتفاق العقلاء بما هم عقلاء حجة فمقتضى الإطلاق المقامي لـ "لا ضرار" ثبوت هذه الأمارية.</w:t>
      </w:r>
    </w:p>
    <w:p w14:paraId="497FD0E6" w14:textId="77777777" w:rsidR="00467D36" w:rsidRPr="00467D36" w:rsidRDefault="00467D36" w:rsidP="00467D36">
      <w:pPr>
        <w:bidi/>
        <w:rPr>
          <w:b/>
          <w:bCs/>
          <w:sz w:val="32"/>
          <w:szCs w:val="32"/>
          <w:rtl/>
        </w:rPr>
      </w:pPr>
    </w:p>
    <w:p w14:paraId="477DF014" w14:textId="77777777" w:rsidR="00467D36" w:rsidRPr="00467D36" w:rsidRDefault="00467D36" w:rsidP="00467D36">
      <w:pPr>
        <w:bidi/>
        <w:rPr>
          <w:b/>
          <w:bCs/>
          <w:sz w:val="32"/>
          <w:szCs w:val="32"/>
          <w:rtl/>
        </w:rPr>
      </w:pPr>
      <w:r w:rsidRPr="00467D36">
        <w:rPr>
          <w:b/>
          <w:bCs/>
          <w:sz w:val="32"/>
          <w:szCs w:val="32"/>
          <w:rtl/>
        </w:rPr>
        <w:t>والحمد لله رب العالمين</w:t>
      </w:r>
    </w:p>
    <w:p w14:paraId="73C98F4B" w14:textId="77777777" w:rsidR="00467D36" w:rsidRDefault="00467D36" w:rsidP="00467D36">
      <w:pPr>
        <w:bidi/>
        <w:rPr>
          <w:b/>
          <w:bCs/>
          <w:sz w:val="32"/>
          <w:szCs w:val="32"/>
        </w:rPr>
      </w:pPr>
    </w:p>
    <w:p w14:paraId="02C8C209" w14:textId="0580A005" w:rsidR="00B07E71" w:rsidRDefault="00B07E71" w:rsidP="00B07E71">
      <w:pPr>
        <w:pStyle w:val="Heading3"/>
        <w:bidi/>
        <w:rPr>
          <w:b/>
          <w:bCs/>
          <w:sz w:val="32"/>
          <w:szCs w:val="32"/>
        </w:rPr>
      </w:pPr>
      <w:r>
        <w:rPr>
          <w:b/>
          <w:bCs/>
          <w:sz w:val="32"/>
          <w:szCs w:val="32"/>
        </w:rPr>
        <w:t>32</w:t>
      </w:r>
      <w:r w:rsidR="00467D36">
        <w:rPr>
          <w:b/>
          <w:bCs/>
          <w:sz w:val="32"/>
          <w:szCs w:val="32"/>
        </w:rPr>
        <w:t>4</w:t>
      </w:r>
    </w:p>
    <w:p w14:paraId="0037A109" w14:textId="77777777" w:rsidR="007A4D35" w:rsidRPr="007A4D35" w:rsidRDefault="007A4D35" w:rsidP="007A4D35">
      <w:pPr>
        <w:bidi/>
        <w:rPr>
          <w:b/>
          <w:bCs/>
        </w:rPr>
      </w:pPr>
      <w:r w:rsidRPr="007A4D35">
        <w:rPr>
          <w:b/>
          <w:bCs/>
          <w:rtl/>
        </w:rPr>
        <w:t>بسم الله الرحمن الرحيم</w:t>
      </w:r>
    </w:p>
    <w:p w14:paraId="71298FF6" w14:textId="77777777" w:rsidR="007A4D35" w:rsidRPr="007A4D35" w:rsidRDefault="007A4D35" w:rsidP="007A4D35">
      <w:pPr>
        <w:bidi/>
        <w:rPr>
          <w:b/>
          <w:bCs/>
          <w:rtl/>
        </w:rPr>
      </w:pPr>
      <w:r w:rsidRPr="007A4D35">
        <w:rPr>
          <w:b/>
          <w:bCs/>
          <w:rtl/>
        </w:rPr>
        <w:t>والصلاة والسلام على أشرف الأنبياء والمرسلين، محمد وآله الطيبين الطاهرين</w:t>
      </w:r>
    </w:p>
    <w:p w14:paraId="6284CB53" w14:textId="77777777" w:rsidR="007A4D35" w:rsidRPr="007A4D35" w:rsidRDefault="007A4D35" w:rsidP="007A4D35">
      <w:pPr>
        <w:bidi/>
        <w:rPr>
          <w:rtl/>
        </w:rPr>
      </w:pPr>
      <w:r w:rsidRPr="007A4D35">
        <w:rPr>
          <w:b/>
          <w:bCs/>
          <w:rtl/>
        </w:rPr>
        <w:t>واللعن الدائم على أعدائهم أجمعين إلى قيام يوم الدين</w:t>
      </w:r>
    </w:p>
    <w:p w14:paraId="1B791A3A" w14:textId="77777777" w:rsidR="007A4D35" w:rsidRPr="007A4D35" w:rsidRDefault="007A4D35" w:rsidP="007A4D35">
      <w:pPr>
        <w:bidi/>
        <w:rPr>
          <w:rtl/>
        </w:rPr>
      </w:pPr>
    </w:p>
    <w:p w14:paraId="0FEFEC34" w14:textId="77777777" w:rsidR="007A4D35" w:rsidRPr="007A4D35" w:rsidRDefault="007A4D35" w:rsidP="007A4D35">
      <w:pPr>
        <w:bidi/>
        <w:rPr>
          <w:rtl/>
        </w:rPr>
      </w:pPr>
      <w:r w:rsidRPr="007A4D35">
        <w:rPr>
          <w:b/>
          <w:bCs/>
          <w:rtl/>
        </w:rPr>
        <w:t>وقد يُصاغ الاستدلال على حجية نظر العرف في الأضرار الاعتبارية بنحوٍ آخر،</w:t>
      </w:r>
      <w:r w:rsidRPr="007A4D35">
        <w:rPr>
          <w:rtl/>
        </w:rPr>
        <w:t xml:space="preserve"> كما جاء في كتاب الفائق في علم الأصول</w:t>
      </w:r>
      <w:r w:rsidRPr="007A4D35">
        <w:rPr>
          <w:vertAlign w:val="superscript"/>
          <w:rtl/>
        </w:rPr>
        <w:footnoteReference w:id="214"/>
      </w:r>
      <w:r w:rsidRPr="007A4D35">
        <w:rPr>
          <w:rtl/>
        </w:rPr>
        <w:t xml:space="preserve"> غير الإطلاق المقامي، حيثُ أُفيد</w:t>
      </w:r>
      <w:r w:rsidRPr="007A4D35">
        <w:rPr>
          <w:vertAlign w:val="superscript"/>
          <w:rtl/>
        </w:rPr>
        <w:footnoteReference w:id="215"/>
      </w:r>
      <w:r w:rsidRPr="007A4D35">
        <w:rPr>
          <w:rtl/>
        </w:rPr>
        <w:t>: أنّ بناء العقلاء على الضرر عند تجاوز الحقّ -كحقّ البراءة- مساوقٌ لصدق عنوان "الضرر" عرفاً عليه؛ إذ لا يحتمل أنْ يحكم العقلاء بأنّه ضرر ولا يستظهر العرفُ صدق عنوان الضرر عليه، ففهم العرف صدق عنوان "الضرر" على الضرر الاعتباري ناشئٌ عن حكم العقلاء بأنّ تجاوز الحقّ ضررٌ، وإذا استظهر العرف مِن عنوان "الضرر" صدقه على الضرر الاعتباري كان نفس حديث "لا ضرر" أمارة كاشفة عن الحكم الواقعي</w:t>
      </w:r>
      <w:r w:rsidRPr="007A4D35">
        <w:t>.</w:t>
      </w:r>
    </w:p>
    <w:p w14:paraId="02454529" w14:textId="77777777" w:rsidR="007A4D35" w:rsidRPr="007A4D35" w:rsidRDefault="007A4D35" w:rsidP="007A4D35">
      <w:pPr>
        <w:bidi/>
        <w:rPr>
          <w:rtl/>
        </w:rPr>
      </w:pPr>
      <w:r w:rsidRPr="007A4D35">
        <w:rPr>
          <w:rtl/>
        </w:rPr>
        <w:t>فالاستدلال على حجية نظر العرف في الأضرار الاعتبارية المستجدة وثبوت الحقّ المستجد، كحقّ البراءة، وحقّ الحرّ القادر على العمل في فرصة العمل، وحقّ مَن بذل مالاً بإزاء الأرض الموات في ملكها مبني على ثلاثة عناصر</w:t>
      </w:r>
      <w:r w:rsidRPr="007A4D35">
        <w:t>:</w:t>
      </w:r>
    </w:p>
    <w:p w14:paraId="367AE733" w14:textId="77777777" w:rsidR="007A4D35" w:rsidRPr="007A4D35" w:rsidRDefault="007A4D35" w:rsidP="007A4D35">
      <w:pPr>
        <w:bidi/>
        <w:rPr>
          <w:rtl/>
        </w:rPr>
      </w:pPr>
      <w:r w:rsidRPr="007A4D35">
        <w:rPr>
          <w:b/>
          <w:bCs/>
          <w:rtl/>
        </w:rPr>
        <w:t xml:space="preserve">العنصرُ الأوّل: </w:t>
      </w:r>
      <w:r w:rsidRPr="007A4D35">
        <w:rPr>
          <w:rtl/>
        </w:rPr>
        <w:t>أنّ العقلاء يحكمون بأنّ هناك حقّاً وهو حقّ البراءة، ويحكمون في طوله بأنّ تجاوز هذا الحقّ ضرر</w:t>
      </w:r>
      <w:r w:rsidRPr="007A4D35">
        <w:t>.</w:t>
      </w:r>
    </w:p>
    <w:p w14:paraId="240456F0" w14:textId="77777777" w:rsidR="007A4D35" w:rsidRPr="007A4D35" w:rsidRDefault="007A4D35" w:rsidP="007A4D35">
      <w:pPr>
        <w:bidi/>
        <w:rPr>
          <w:rtl/>
        </w:rPr>
      </w:pPr>
      <w:r w:rsidRPr="007A4D35">
        <w:rPr>
          <w:b/>
          <w:bCs/>
          <w:rtl/>
        </w:rPr>
        <w:t>العنصرُ الثاني:</w:t>
      </w:r>
      <w:r w:rsidRPr="007A4D35">
        <w:rPr>
          <w:rtl/>
        </w:rPr>
        <w:t xml:space="preserve"> أنّه إذا حكم العقلاء بأنّ تجاوز الحقّ ضررٌ فهم العرف العربي العام مِن عنوان "الضرر" صدقه على هذا الضرر</w:t>
      </w:r>
      <w:r w:rsidRPr="007A4D35">
        <w:t>.</w:t>
      </w:r>
    </w:p>
    <w:p w14:paraId="558803A3" w14:textId="77777777" w:rsidR="007A4D35" w:rsidRPr="007A4D35" w:rsidRDefault="007A4D35" w:rsidP="007A4D35">
      <w:pPr>
        <w:bidi/>
        <w:rPr>
          <w:rtl/>
        </w:rPr>
      </w:pPr>
      <w:r w:rsidRPr="007A4D35">
        <w:rPr>
          <w:b/>
          <w:bCs/>
          <w:rtl/>
        </w:rPr>
        <w:t>العنصرُ الثالث</w:t>
      </w:r>
      <w:r w:rsidRPr="007A4D35">
        <w:rPr>
          <w:b/>
          <w:bCs/>
        </w:rPr>
        <w:t>:</w:t>
      </w:r>
      <w:r w:rsidRPr="007A4D35">
        <w:rPr>
          <w:rtl/>
        </w:rPr>
        <w:t xml:space="preserve"> </w:t>
      </w:r>
      <w:r w:rsidRPr="007A4D35">
        <w:rPr>
          <w:rFonts w:hint="cs"/>
          <w:rtl/>
        </w:rPr>
        <w:t>إذا تحقّق ذلك كان حديث "لا ضرر" المُلقى إلى العرف أمارة على أنّ الضرر في المقام ضررٌ بنظر الشارع كما هو ضررٌ بنظر العقلاء.</w:t>
      </w:r>
    </w:p>
    <w:p w14:paraId="5E0064DF" w14:textId="77777777" w:rsidR="007A4D35" w:rsidRPr="007A4D35" w:rsidRDefault="007A4D35" w:rsidP="007A4D35">
      <w:pPr>
        <w:bidi/>
        <w:rPr>
          <w:rtl/>
        </w:rPr>
      </w:pPr>
      <w:r w:rsidRPr="007A4D35">
        <w:rPr>
          <w:rtl/>
        </w:rPr>
        <w:lastRenderedPageBreak/>
        <w:t>ومقتضى ذلك عدم الحاجة إلى دعوى الإطلاق المقامي؛ بل نفس حديث "لا ضرر" هو الأمارة الكاشفة عن الحكم الواقعي.</w:t>
      </w:r>
    </w:p>
    <w:p w14:paraId="502AA4FD" w14:textId="77777777" w:rsidR="007A4D35" w:rsidRPr="007A4D35" w:rsidRDefault="007A4D35" w:rsidP="007A4D35">
      <w:pPr>
        <w:bidi/>
        <w:rPr>
          <w:rtl/>
        </w:rPr>
      </w:pPr>
      <w:r w:rsidRPr="007A4D35">
        <w:rPr>
          <w:b/>
          <w:bCs/>
          <w:rtl/>
        </w:rPr>
        <w:t>لكن يُلاحظ عليه:</w:t>
      </w:r>
      <w:r w:rsidRPr="007A4D35">
        <w:rPr>
          <w:rtl/>
        </w:rPr>
        <w:t xml:space="preserve"> أنّ أمارية "لا ضرر" حينئذٍ على كون الضرر ضرراً بنظر الشارع المُوجب لكون الحقّ العقلائي -كحقّ البراءة- حقّاً شرعياً مِن باب حجية الظهور؛ لأنّ مرجع هذا الاستدلال إلى ظهور "لا ضرر" في الشمول للضرر العقلائي، وحجية الظهور لا مدرك لها إلّا بناءُ العرف العقلائي على الاحتجاج بها مِن السامع على المتكلم ومِن المتكلم على السامع، وهو ما عبّر عنهُ السيد الأستاذ (مدّ ظله) بالميثاق العقلائي</w:t>
      </w:r>
      <w:r w:rsidRPr="007A4D35">
        <w:t>.</w:t>
      </w:r>
    </w:p>
    <w:p w14:paraId="0F085FEB" w14:textId="77777777" w:rsidR="007A4D35" w:rsidRPr="007A4D35" w:rsidRDefault="007A4D35" w:rsidP="007A4D35">
      <w:pPr>
        <w:bidi/>
        <w:rPr>
          <w:rtl/>
        </w:rPr>
      </w:pPr>
      <w:r w:rsidRPr="007A4D35">
        <w:rPr>
          <w:rtl/>
        </w:rPr>
        <w:t>وحيثُ إنّ المدرك دليلٌ لُبي وهو بناء العرف العقلائي، فالقدر المتيقن منه ما كان الدليل ظاهراً في نفسه في الكشف عن الواقع</w:t>
      </w:r>
      <w:r w:rsidRPr="007A4D35">
        <w:t>.</w:t>
      </w:r>
    </w:p>
    <w:p w14:paraId="4F548453" w14:textId="77777777" w:rsidR="007A4D35" w:rsidRPr="007A4D35" w:rsidRDefault="007A4D35" w:rsidP="007A4D35">
      <w:pPr>
        <w:bidi/>
        <w:rPr>
          <w:rtl/>
        </w:rPr>
      </w:pPr>
      <w:r w:rsidRPr="007A4D35">
        <w:rPr>
          <w:rtl/>
        </w:rPr>
        <w:t xml:space="preserve">وأمّا ما كان ظهور الدليل متفرعاً على الاعتبار العقلائي، أي: لا يكون الظهور متحقّقاً إلّا إذا تحقّق اعتبارٌ عقلائي في رتبةٍ سابقةٍ، كما قرر في الاستدلال: </w:t>
      </w:r>
      <w:r w:rsidRPr="007A4D35">
        <w:rPr>
          <w:b/>
          <w:bCs/>
          <w:rtl/>
        </w:rPr>
        <w:t>(حيثُ إنّه لولا اعتبار العقلاء للضرر لما فهم العرف مِن عنوان "الضرر" صدقه على ذلك، فظهورُ "لا ضرر" في الشمول للضرر الاعتباري متفرع على الاعتبار العقلائي في رتبة سابقة، لا أنّه ظاهر في نفسه في الشمول)</w:t>
      </w:r>
      <w:r w:rsidRPr="007A4D35">
        <w:rPr>
          <w:b/>
          <w:bCs/>
        </w:rPr>
        <w:t>.</w:t>
      </w:r>
    </w:p>
    <w:p w14:paraId="786548B4" w14:textId="77777777" w:rsidR="007A4D35" w:rsidRPr="007A4D35" w:rsidRDefault="007A4D35" w:rsidP="007A4D35">
      <w:pPr>
        <w:bidi/>
        <w:rPr>
          <w:rtl/>
        </w:rPr>
      </w:pPr>
      <w:r w:rsidRPr="007A4D35">
        <w:rPr>
          <w:rtl/>
        </w:rPr>
        <w:t>بحيثُ يكونُ الظهور بمعنى الحكاية والكشف النوعي عن الواقع تابعاً للاعتبار العقلائي القابل للتغير، فلا يُحرز بناءُ العقلاء على حجية الانصراف المزبور.</w:t>
      </w:r>
    </w:p>
    <w:p w14:paraId="60A31873" w14:textId="77777777" w:rsidR="007A4D35" w:rsidRPr="007A4D35" w:rsidRDefault="007A4D35" w:rsidP="007A4D35">
      <w:pPr>
        <w:bidi/>
        <w:rPr>
          <w:b/>
          <w:bCs/>
          <w:rtl/>
        </w:rPr>
      </w:pPr>
      <w:r w:rsidRPr="007A4D35">
        <w:rPr>
          <w:b/>
          <w:bCs/>
          <w:rtl/>
        </w:rPr>
        <w:t>والصحيحُ في إثبات حجية نظر العرف في الأضرار الاعتبارية هو التمسك بالإطلاق المقامي لحديث "لا ضرر".</w:t>
      </w:r>
    </w:p>
    <w:p w14:paraId="6BEDE5BE" w14:textId="77777777" w:rsidR="007A4D35" w:rsidRPr="007A4D35" w:rsidRDefault="007A4D35" w:rsidP="007A4D35">
      <w:pPr>
        <w:bidi/>
        <w:rPr>
          <w:rtl/>
        </w:rPr>
      </w:pPr>
      <w:r w:rsidRPr="007A4D35">
        <w:rPr>
          <w:b/>
          <w:bCs/>
          <w:rtl/>
        </w:rPr>
        <w:t>والنكتةُ في ذلك:</w:t>
      </w:r>
      <w:r w:rsidRPr="007A4D35">
        <w:rPr>
          <w:rtl/>
        </w:rPr>
        <w:t xml:space="preserve"> أنّ عنوان "الضرر" و "الظلم" مما يختلف عن عنوان "الصيد" و "القبلة" و "الماء" الذي هو عنوانٌ لا مصداق لَهُ إلّا المصاديق التكوينية الخارجية؛ إذ عنوان "الضرر" مما لَهُ مصاديق اعتبارية حتى في زمان النصّ؛ إذ لولا صدق الضرر على الخدش في العرض لما طبق الرسول الأعظم (صلى الله عليه وآله) قاعدة "لا ضرر" على قضية سمرة بن جندب</w:t>
      </w:r>
      <w:r w:rsidRPr="007A4D35">
        <w:rPr>
          <w:vertAlign w:val="superscript"/>
          <w:rtl/>
        </w:rPr>
        <w:footnoteReference w:id="216"/>
      </w:r>
      <w:r w:rsidRPr="007A4D35">
        <w:rPr>
          <w:rtl/>
        </w:rPr>
        <w:t>.</w:t>
      </w:r>
    </w:p>
    <w:p w14:paraId="20938E6E" w14:textId="77777777" w:rsidR="007A4D35" w:rsidRPr="007A4D35" w:rsidRDefault="007A4D35" w:rsidP="007A4D35">
      <w:pPr>
        <w:bidi/>
        <w:rPr>
          <w:rtl/>
        </w:rPr>
      </w:pPr>
      <w:r w:rsidRPr="007A4D35">
        <w:rPr>
          <w:rtl/>
        </w:rPr>
        <w:t>فإنّه مِن الواضح أنّ الخدش في العرض، بمعنى: كون المرأة في معرض النظر إليها ليس ضرراً خارجياً تكوينياً، بل هو ضررٌ اعتباري</w:t>
      </w:r>
      <w:r w:rsidRPr="007A4D35">
        <w:t>.</w:t>
      </w:r>
    </w:p>
    <w:p w14:paraId="57CBD4B9" w14:textId="77777777" w:rsidR="007A4D35" w:rsidRPr="007A4D35" w:rsidRDefault="007A4D35" w:rsidP="007A4D35">
      <w:pPr>
        <w:bidi/>
        <w:rPr>
          <w:rtl/>
        </w:rPr>
      </w:pPr>
      <w:r w:rsidRPr="007A4D35">
        <w:rPr>
          <w:rtl/>
        </w:rPr>
        <w:t>فإذا كان العنوان الوارد في لسان الدليل -وهو عنوان الضرر- مما لَهُ مصاديق اعتبارية في زمان الشارع نفسه، فالعنوان مما يلتفت الشارع إلى أنّ له مرونة في أنْ ينطبق على مصاديق اعتبارية أُخرى قد تكون متجددة بحسب الزمان، ومع التفات الشارع لذلك وسكوته عن التقييد بالمصاديق المعلومة المحرزة كان سكوته عن التقييد كاشفاً عن اتكائه على النظر العرفي في مقام التطبيق</w:t>
      </w:r>
      <w:r w:rsidRPr="007A4D35">
        <w:t>.</w:t>
      </w:r>
    </w:p>
    <w:p w14:paraId="41AC90FA" w14:textId="77777777" w:rsidR="007A4D35" w:rsidRPr="007A4D35" w:rsidRDefault="007A4D35" w:rsidP="007A4D35">
      <w:pPr>
        <w:bidi/>
        <w:rPr>
          <w:rtl/>
        </w:rPr>
      </w:pPr>
      <w:r w:rsidRPr="007A4D35">
        <w:rPr>
          <w:b/>
          <w:bCs/>
          <w:rtl/>
        </w:rPr>
        <w:t xml:space="preserve">ونظيرُ ذلك: </w:t>
      </w:r>
      <w:r w:rsidRPr="007A4D35">
        <w:rPr>
          <w:rtl/>
        </w:rPr>
        <w:t xml:space="preserve">عنوان "الإحياء" الوارد كما في كتاب التهذيب: </w:t>
      </w:r>
      <w:r w:rsidRPr="007A4D35">
        <w:rPr>
          <w:b/>
          <w:bCs/>
          <w:rtl/>
        </w:rPr>
        <w:t xml:space="preserve">(علي بن إبراهيم، عن أبيه، عن حماد، عن حريز، عن زرارة، ومحمد بن مسلم، وأبو بصير، وفضيل، وبكير، وحمران، وعبد الرحمن بن أبي </w:t>
      </w:r>
      <w:proofErr w:type="gramStart"/>
      <w:r w:rsidRPr="007A4D35">
        <w:rPr>
          <w:b/>
          <w:bCs/>
          <w:rtl/>
        </w:rPr>
        <w:t>عبدالله</w:t>
      </w:r>
      <w:proofErr w:type="gramEnd"/>
      <w:r w:rsidRPr="007A4D35">
        <w:rPr>
          <w:b/>
          <w:bCs/>
          <w:rtl/>
        </w:rPr>
        <w:t xml:space="preserve"> عن أبي جعفر وأبي </w:t>
      </w:r>
      <w:proofErr w:type="gramStart"/>
      <w:r w:rsidRPr="007A4D35">
        <w:rPr>
          <w:b/>
          <w:bCs/>
          <w:rtl/>
        </w:rPr>
        <w:t>عبدالله</w:t>
      </w:r>
      <w:proofErr w:type="gramEnd"/>
      <w:r w:rsidRPr="007A4D35">
        <w:rPr>
          <w:b/>
          <w:bCs/>
          <w:rtl/>
        </w:rPr>
        <w:t xml:space="preserve"> (عليهما السلام) قالا: قال رسول الله (صلى الله عليه وآله): (مَن أحيا أرضاً مواتاً فهي له))</w:t>
      </w:r>
      <w:r w:rsidRPr="007A4D35">
        <w:rPr>
          <w:vertAlign w:val="superscript"/>
          <w:rtl/>
        </w:rPr>
        <w:footnoteReference w:id="217"/>
      </w:r>
      <w:r w:rsidRPr="007A4D35">
        <w:rPr>
          <w:rtl/>
        </w:rPr>
        <w:t>.</w:t>
      </w:r>
    </w:p>
    <w:p w14:paraId="1442A382" w14:textId="77777777" w:rsidR="007A4D35" w:rsidRPr="007A4D35" w:rsidRDefault="007A4D35" w:rsidP="007A4D35">
      <w:pPr>
        <w:bidi/>
        <w:rPr>
          <w:rtl/>
        </w:rPr>
      </w:pPr>
      <w:r w:rsidRPr="007A4D35">
        <w:rPr>
          <w:rtl/>
        </w:rPr>
        <w:t>الذي تكونُ مصاديقه في زمان النصّ هي الزرع والبناء، لكن هذا العنوان مرنٌ، أي: قابلٌ في نفسه للتطبيق على المصاديق الاعتبارية، كأنْ تُتَخذ الأرضُ الموات ملعباً، فإنّه بنظر العرف يعدّ إحياء، أو تُتَخذ مسرحاً وهذا في نفسه إحياءٌ؛ إذ ليستْ كلّ أرض قابلة لأنْ تكون ملعباً أو مسرحاً</w:t>
      </w:r>
      <w:r w:rsidRPr="007A4D35">
        <w:t>.</w:t>
      </w:r>
    </w:p>
    <w:p w14:paraId="5B878027" w14:textId="77777777" w:rsidR="007A4D35" w:rsidRPr="007A4D35" w:rsidRDefault="007A4D35" w:rsidP="007A4D35">
      <w:pPr>
        <w:bidi/>
        <w:rPr>
          <w:rtl/>
        </w:rPr>
      </w:pPr>
      <w:r w:rsidRPr="007A4D35">
        <w:rPr>
          <w:rtl/>
        </w:rPr>
        <w:lastRenderedPageBreak/>
        <w:t xml:space="preserve">فبما أنّ عنوان "الإحياء" قابلٌ في نفسه للصدق على المصاديق الاعتبارية، فقولُ الشارع: </w:t>
      </w:r>
      <w:r w:rsidRPr="007A4D35">
        <w:rPr>
          <w:b/>
          <w:bCs/>
          <w:rtl/>
        </w:rPr>
        <w:t>(مَن أحيا أرضاً مواتاً فهي له)</w:t>
      </w:r>
      <w:r w:rsidRPr="007A4D35">
        <w:rPr>
          <w:rtl/>
        </w:rPr>
        <w:t xml:space="preserve"> مع التفاته إلى أنّ هذا العنوان فيه مرونة للانطباق على المصاديق الاعتبارية المتجددة بحسب الزمان، وسكوته عن التقييد </w:t>
      </w:r>
      <w:proofErr w:type="spellStart"/>
      <w:r w:rsidRPr="007A4D35">
        <w:rPr>
          <w:rtl/>
        </w:rPr>
        <w:t>بمصاديق</w:t>
      </w:r>
      <w:proofErr w:type="spellEnd"/>
      <w:r w:rsidRPr="007A4D35">
        <w:rPr>
          <w:rtl/>
        </w:rPr>
        <w:t xml:space="preserve"> معينة يقتضي الاتكاء على النظر العرفي في تحديد مصداق الإحياء</w:t>
      </w:r>
      <w:r w:rsidRPr="007A4D35">
        <w:t>.</w:t>
      </w:r>
    </w:p>
    <w:p w14:paraId="784C2E68" w14:textId="77777777" w:rsidR="007A4D35" w:rsidRPr="007A4D35" w:rsidRDefault="007A4D35" w:rsidP="007A4D35">
      <w:pPr>
        <w:bidi/>
        <w:rPr>
          <w:rtl/>
        </w:rPr>
      </w:pPr>
      <w:r w:rsidRPr="007A4D35">
        <w:rPr>
          <w:b/>
          <w:bCs/>
          <w:rtl/>
        </w:rPr>
        <w:t>وكذلك:</w:t>
      </w:r>
      <w:r w:rsidRPr="007A4D35">
        <w:rPr>
          <w:rtl/>
        </w:rPr>
        <w:t xml:space="preserve"> عنوان "السبق" الذي ورد عن النبيّ الأعظم (صلى الله عليه وآله) كما في عوالي اللئالي: </w:t>
      </w:r>
      <w:r w:rsidRPr="007A4D35">
        <w:rPr>
          <w:b/>
          <w:bCs/>
          <w:rtl/>
        </w:rPr>
        <w:t>(وروي عنه (صلى الله عليه وآله) قال: (من سبق إلى ما لا يسبقه إليه مسلم فهو أحق به)</w:t>
      </w:r>
      <w:r w:rsidRPr="007A4D35">
        <w:rPr>
          <w:vertAlign w:val="superscript"/>
          <w:rtl/>
        </w:rPr>
        <w:footnoteReference w:id="218"/>
      </w:r>
      <w:r w:rsidRPr="007A4D35">
        <w:rPr>
          <w:rtl/>
        </w:rPr>
        <w:t>.</w:t>
      </w:r>
    </w:p>
    <w:p w14:paraId="1D9D4E9C" w14:textId="77777777" w:rsidR="007A4D35" w:rsidRPr="007A4D35" w:rsidRDefault="007A4D35" w:rsidP="007A4D35">
      <w:pPr>
        <w:bidi/>
        <w:rPr>
          <w:rtl/>
        </w:rPr>
      </w:pPr>
      <w:r w:rsidRPr="007A4D35">
        <w:rPr>
          <w:rtl/>
        </w:rPr>
        <w:t>فإنّه لا ينحصرُ في المصاديق الموجودة في زمان النصّ، كأنْ يجلس في المكان أو يضع بضاعته فيه؛ بل إنّ مصاديق السبق في زماننا تعتمد على ما يحقّق السلطنة الاعتبارية على المكان، وإنْ لَمْ تكن هناك سلطنة خارجية، فمع كون العنوان ذا مرونة -أي: قابلاً للانطباق على المصاديق المستجدة- فمقتضى الإطلاق المقامي حجية النظر العرفي في المصاديق المستجدة</w:t>
      </w:r>
      <w:r w:rsidRPr="007A4D35">
        <w:t>.</w:t>
      </w:r>
    </w:p>
    <w:p w14:paraId="36DD6FD8" w14:textId="77777777" w:rsidR="007A4D35" w:rsidRPr="007A4D35" w:rsidRDefault="007A4D35" w:rsidP="007A4D35">
      <w:pPr>
        <w:bidi/>
        <w:rPr>
          <w:rtl/>
        </w:rPr>
      </w:pPr>
      <w:r w:rsidRPr="007A4D35">
        <w:rPr>
          <w:rtl/>
        </w:rPr>
        <w:t>تم الكلام في الوجه الأوّل من الوجوه التي أوردت على التمسك بالإطلاق المقامي والجواب عنه</w:t>
      </w:r>
      <w:r w:rsidRPr="007A4D35">
        <w:t>.</w:t>
      </w:r>
    </w:p>
    <w:p w14:paraId="68187BA5" w14:textId="77777777" w:rsidR="007A4D35" w:rsidRPr="007A4D35" w:rsidRDefault="007A4D35" w:rsidP="007A4D35">
      <w:pPr>
        <w:bidi/>
        <w:rPr>
          <w:color w:val="EE0000"/>
          <w:rtl/>
        </w:rPr>
      </w:pPr>
      <w:r w:rsidRPr="007A4D35">
        <w:rPr>
          <w:b/>
          <w:bCs/>
          <w:color w:val="EE0000"/>
          <w:rtl/>
        </w:rPr>
        <w:t>الوجهُ الثاني:</w:t>
      </w:r>
      <w:r w:rsidRPr="007A4D35">
        <w:rPr>
          <w:color w:val="EE0000"/>
          <w:rtl/>
        </w:rPr>
        <w:t xml:space="preserve"> أنْ يُقال: إنّ انعقاد الإطلاق لفظياً أو مقامياً فرعُ إمكان التقييد عرفاً، كما في عنوان "الذهب" وعنوان "مَن قطع ثمانية فراسخ".</w:t>
      </w:r>
    </w:p>
    <w:p w14:paraId="0E4C6267" w14:textId="77777777" w:rsidR="007A4D35" w:rsidRPr="007A4D35" w:rsidRDefault="007A4D35" w:rsidP="007A4D35">
      <w:pPr>
        <w:bidi/>
        <w:rPr>
          <w:rtl/>
        </w:rPr>
      </w:pPr>
      <w:r w:rsidRPr="007A4D35">
        <w:rPr>
          <w:rtl/>
        </w:rPr>
        <w:t>فإنّ عنوان "الذهب" في زمان النصّ لا مصداق لَهُ إلّا الذهب الأصفر، بينما لَهُ مصداق آخر في زماننا وهو الذهب الأبيض، فهل ما دلّ على حرمة لبس الرجل للذهب يشمل الذهب الأبيض أم لا؟</w:t>
      </w:r>
    </w:p>
    <w:p w14:paraId="2367CDC1" w14:textId="77777777" w:rsidR="007A4D35" w:rsidRPr="007A4D35" w:rsidRDefault="007A4D35" w:rsidP="007A4D35">
      <w:pPr>
        <w:bidi/>
        <w:rPr>
          <w:rtl/>
        </w:rPr>
      </w:pPr>
      <w:r w:rsidRPr="007A4D35">
        <w:rPr>
          <w:rtl/>
        </w:rPr>
        <w:t>فقد أُفيد في كلمات بعض الأساتذة: أنّه لا إطلاق لَهُ، فلا حرمة في لبس الرجل للذهب الأبيض</w:t>
      </w:r>
      <w:r w:rsidRPr="007A4D35">
        <w:t>.</w:t>
      </w:r>
    </w:p>
    <w:p w14:paraId="604D31C3" w14:textId="77777777" w:rsidR="007A4D35" w:rsidRPr="007A4D35" w:rsidRDefault="007A4D35" w:rsidP="007A4D35">
      <w:pPr>
        <w:bidi/>
        <w:rPr>
          <w:rtl/>
        </w:rPr>
      </w:pPr>
      <w:r w:rsidRPr="007A4D35">
        <w:rPr>
          <w:b/>
          <w:bCs/>
          <w:rtl/>
        </w:rPr>
        <w:t>والسر في ذلك:</w:t>
      </w:r>
      <w:r w:rsidRPr="007A4D35">
        <w:rPr>
          <w:rtl/>
        </w:rPr>
        <w:t xml:space="preserve"> أنّ انعقاد الإطلاق فرعُ إمكان التقييد، ولو قال الشارع: "يحرم لبس الذهب الأصفر"؛ فإنّ هذا التقييد مستهجنٌ.</w:t>
      </w:r>
    </w:p>
    <w:p w14:paraId="0C7AFF14" w14:textId="77777777" w:rsidR="007A4D35" w:rsidRPr="007A4D35" w:rsidRDefault="007A4D35" w:rsidP="007A4D35">
      <w:pPr>
        <w:bidi/>
        <w:rPr>
          <w:rtl/>
        </w:rPr>
      </w:pPr>
      <w:r w:rsidRPr="007A4D35">
        <w:rPr>
          <w:rtl/>
        </w:rPr>
        <w:t>وحيثُ إنّ التقييد مستهجنٌ في زمان النصّ لَمْ ينعقد الإطلاق؛ أي: لا يكفي في الإطلاق كون المولى في مقام البيان ولَمْ ينصب قرينة، بل هناك مقدمةٌ ثالثةٌ مِن مقدمات الحكمة، وهي إمكان التقييد عرفاً</w:t>
      </w:r>
      <w:r w:rsidRPr="007A4D35">
        <w:t>.</w:t>
      </w:r>
    </w:p>
    <w:p w14:paraId="659851B1" w14:textId="77777777" w:rsidR="007A4D35" w:rsidRPr="007A4D35" w:rsidRDefault="007A4D35" w:rsidP="007A4D35">
      <w:pPr>
        <w:bidi/>
        <w:rPr>
          <w:rtl/>
        </w:rPr>
      </w:pPr>
      <w:r w:rsidRPr="007A4D35">
        <w:rPr>
          <w:rtl/>
        </w:rPr>
        <w:t>وكذا الكلامُ في عنوان "مَن قطع ثمانية فراسخ"، فإنّه لا يمكن في زمان النصّ أنْ يقول الشارع: "مَن قطع ثمانية فراسخ أُفقية قصر صلاته" حيثُ لا وجود لهذا المصداق في زمان النصّ وهو قطع ثمانية فراسخ عمودياً إلى الفضاء، ولازمُ ذلك أنْ لا إطلاق لقول الشارع: "مَن قطع ثمانية فراسخ قصر"؛ لأنّه لا يمكن تقييده في زمان النصّ عرفاً</w:t>
      </w:r>
      <w:r w:rsidRPr="007A4D35">
        <w:t>.</w:t>
      </w:r>
    </w:p>
    <w:p w14:paraId="1F82F2AE" w14:textId="77777777" w:rsidR="007A4D35" w:rsidRPr="007A4D35" w:rsidRDefault="007A4D35" w:rsidP="007A4D35">
      <w:pPr>
        <w:bidi/>
        <w:rPr>
          <w:rtl/>
        </w:rPr>
      </w:pPr>
      <w:r w:rsidRPr="007A4D35">
        <w:rPr>
          <w:b/>
          <w:bCs/>
          <w:rtl/>
        </w:rPr>
        <w:t>ويمكنُ تطبيق هذه النكتة على محل كلامنا:</w:t>
      </w:r>
      <w:r w:rsidRPr="007A4D35">
        <w:rPr>
          <w:rtl/>
        </w:rPr>
        <w:t xml:space="preserve"> فإنّ عنوان "الضرر" مما ليس لَهُ هذا المصداق الاعتباري وهو تجاوز الحقّ العرفي، فكان تقييد "لا ضرر" بالأضرار الحقيقية والاعتبارية في زمان النصّ تقييداً مستهجناً؛ إذ لا توجد مصاديق غيرها</w:t>
      </w:r>
      <w:r w:rsidRPr="007A4D35">
        <w:t>.</w:t>
      </w:r>
    </w:p>
    <w:p w14:paraId="7DA4CEF4" w14:textId="77777777" w:rsidR="007A4D35" w:rsidRPr="007A4D35" w:rsidRDefault="007A4D35" w:rsidP="007A4D35">
      <w:pPr>
        <w:bidi/>
        <w:rPr>
          <w:rtl/>
        </w:rPr>
      </w:pPr>
      <w:r w:rsidRPr="007A4D35">
        <w:rPr>
          <w:rtl/>
        </w:rPr>
        <w:t>فبما أنّ التقييد مستهجنٌ فالإطلاق لَمْ ينعقد لا لفظياً ولا مقامياً</w:t>
      </w:r>
      <w:r w:rsidRPr="007A4D35">
        <w:t>.</w:t>
      </w:r>
    </w:p>
    <w:p w14:paraId="36A46D5D" w14:textId="77777777" w:rsidR="007A4D35" w:rsidRPr="007A4D35" w:rsidRDefault="007A4D35" w:rsidP="007A4D35">
      <w:pPr>
        <w:bidi/>
        <w:rPr>
          <w:rtl/>
        </w:rPr>
      </w:pPr>
      <w:r w:rsidRPr="007A4D35">
        <w:rPr>
          <w:b/>
          <w:bCs/>
          <w:rtl/>
        </w:rPr>
        <w:t>والجوابُ عنه:</w:t>
      </w:r>
      <w:r w:rsidRPr="007A4D35">
        <w:rPr>
          <w:rtl/>
        </w:rPr>
        <w:t xml:space="preserve"> </w:t>
      </w:r>
      <w:r w:rsidRPr="007A4D35">
        <w:rPr>
          <w:b/>
          <w:bCs/>
          <w:rtl/>
        </w:rPr>
        <w:t>أنّه على المبنى المختار:</w:t>
      </w:r>
      <w:r w:rsidRPr="007A4D35">
        <w:rPr>
          <w:rtl/>
        </w:rPr>
        <w:t xml:space="preserve"> يكفي في انعقاد الإطلاق قدرة المولى على هدمه، لا إمكان التقييد</w:t>
      </w:r>
      <w:r w:rsidRPr="007A4D35">
        <w:t>.</w:t>
      </w:r>
    </w:p>
    <w:p w14:paraId="5D04530A" w14:textId="77777777" w:rsidR="007A4D35" w:rsidRPr="007A4D35" w:rsidRDefault="007A4D35" w:rsidP="007A4D35">
      <w:pPr>
        <w:bidi/>
        <w:rPr>
          <w:rtl/>
        </w:rPr>
      </w:pPr>
      <w:r w:rsidRPr="007A4D35">
        <w:rPr>
          <w:b/>
          <w:bCs/>
          <w:rtl/>
        </w:rPr>
        <w:t>وفرقٌ بين الأمرين،</w:t>
      </w:r>
      <w:r w:rsidRPr="007A4D35">
        <w:rPr>
          <w:rtl/>
        </w:rPr>
        <w:t xml:space="preserve"> فكون التقييد مستهجناً عرفاً لا يوجب عدم انعقاد الإطلاق</w:t>
      </w:r>
      <w:r w:rsidRPr="007A4D35">
        <w:t>.</w:t>
      </w:r>
    </w:p>
    <w:p w14:paraId="09F280B3" w14:textId="77777777" w:rsidR="007A4D35" w:rsidRPr="007A4D35" w:rsidRDefault="007A4D35" w:rsidP="007A4D35">
      <w:pPr>
        <w:bidi/>
        <w:rPr>
          <w:rtl/>
        </w:rPr>
      </w:pPr>
      <w:r w:rsidRPr="007A4D35">
        <w:rPr>
          <w:b/>
          <w:bCs/>
          <w:rtl/>
        </w:rPr>
        <w:t>والسر في ذلك:</w:t>
      </w:r>
      <w:r w:rsidRPr="007A4D35">
        <w:rPr>
          <w:rtl/>
        </w:rPr>
        <w:t xml:space="preserve"> أنّه يكفي في انعقاد الإطلاق أنّ المولى كان يمكنه صياغة الدليل بنحوٍ لا ينعقد لَهُ إطلاقٌ، حيث لا يدورُ الأمرُ بين أنْ يقيد أو يطلق، بل هناك شقٌ ثالثٌ وهو أنْ يصوغ دليله بنحوٍ لا ينعقد لَهُ إطلاقٌ، فالقدرةُ على هدم الإطلاق كافيةٌ في انعقاده ولا حاجة لإمكان التقييد عرفاً، فكثيراً ما نرى في الخطابات الشرعية حصول التورية والجواب المحتمل لصور متعددة بمعنى أنّ الإمام المعصوم (صلوات الله عليه) لَمْ يطلق ولَمْ يقيد، بل صاغ الدليل بنحوٍ إذا تلقاه العرف اقتصر منه على المصاديق المتيقنة</w:t>
      </w:r>
      <w:r w:rsidRPr="007A4D35">
        <w:t>.</w:t>
      </w:r>
    </w:p>
    <w:p w14:paraId="3740133E" w14:textId="77777777" w:rsidR="007A4D35" w:rsidRPr="007A4D35" w:rsidRDefault="007A4D35" w:rsidP="007A4D35">
      <w:pPr>
        <w:bidi/>
        <w:rPr>
          <w:rtl/>
        </w:rPr>
      </w:pPr>
      <w:r w:rsidRPr="007A4D35">
        <w:rPr>
          <w:rtl/>
        </w:rPr>
        <w:lastRenderedPageBreak/>
        <w:t>فبما أنّ هذا ممكنٌ للشارع حين صدور الحديث منه كفى ذلك في انعقاد الإطلاق لفظياً فضلاً عن الإطلاق المقامي</w:t>
      </w:r>
      <w:r w:rsidRPr="007A4D35">
        <w:t>.</w:t>
      </w:r>
    </w:p>
    <w:p w14:paraId="302EFE8D" w14:textId="77777777" w:rsidR="007A4D35" w:rsidRPr="007A4D35" w:rsidRDefault="007A4D35" w:rsidP="007A4D35">
      <w:pPr>
        <w:bidi/>
        <w:rPr>
          <w:rtl/>
        </w:rPr>
      </w:pPr>
      <w:r w:rsidRPr="007A4D35">
        <w:rPr>
          <w:b/>
          <w:bCs/>
          <w:rtl/>
        </w:rPr>
        <w:t>وبالتالي،</w:t>
      </w:r>
      <w:r w:rsidRPr="007A4D35">
        <w:rPr>
          <w:rtl/>
        </w:rPr>
        <w:t xml:space="preserve"> فمقتضى الإطلاق المقامي في المقام إمضاءُ الشارع للنظر العرفي في تحديد المصاديق الاعتبارية.</w:t>
      </w:r>
    </w:p>
    <w:p w14:paraId="15E83693" w14:textId="77777777" w:rsidR="007A4D35" w:rsidRPr="007A4D35" w:rsidRDefault="007A4D35" w:rsidP="007A4D35">
      <w:pPr>
        <w:bidi/>
        <w:rPr>
          <w:rtl/>
        </w:rPr>
      </w:pPr>
    </w:p>
    <w:p w14:paraId="08826698" w14:textId="77777777" w:rsidR="007A4D35" w:rsidRPr="007A4D35" w:rsidRDefault="007A4D35" w:rsidP="007A4D35">
      <w:pPr>
        <w:bidi/>
        <w:rPr>
          <w:b/>
          <w:bCs/>
          <w:rtl/>
        </w:rPr>
      </w:pPr>
      <w:r w:rsidRPr="007A4D35">
        <w:rPr>
          <w:b/>
          <w:bCs/>
          <w:rtl/>
        </w:rPr>
        <w:t>والحمد لله رب العالمين</w:t>
      </w:r>
    </w:p>
    <w:p w14:paraId="08C6E3F0" w14:textId="77777777" w:rsidR="007A4D35" w:rsidRPr="007A4D35" w:rsidRDefault="007A4D35" w:rsidP="007A4D35">
      <w:pPr>
        <w:bidi/>
      </w:pPr>
    </w:p>
    <w:p w14:paraId="2B1F70F7" w14:textId="7123E783" w:rsidR="00B07E71" w:rsidRDefault="00B07E71" w:rsidP="00B07E71">
      <w:pPr>
        <w:pStyle w:val="Heading3"/>
        <w:bidi/>
        <w:rPr>
          <w:b/>
          <w:bCs/>
          <w:sz w:val="32"/>
          <w:szCs w:val="32"/>
        </w:rPr>
      </w:pPr>
      <w:r>
        <w:rPr>
          <w:b/>
          <w:bCs/>
          <w:sz w:val="32"/>
          <w:szCs w:val="32"/>
        </w:rPr>
        <w:t>32</w:t>
      </w:r>
      <w:r w:rsidR="00050081">
        <w:rPr>
          <w:b/>
          <w:bCs/>
          <w:sz w:val="32"/>
          <w:szCs w:val="32"/>
        </w:rPr>
        <w:t>5</w:t>
      </w:r>
    </w:p>
    <w:p w14:paraId="6F52F058" w14:textId="1753696B" w:rsidR="00D51153" w:rsidRDefault="009D24EB" w:rsidP="00D51153">
      <w:pPr>
        <w:bidi/>
        <w:rPr>
          <w:b/>
          <w:bCs/>
          <w:sz w:val="32"/>
          <w:szCs w:val="32"/>
        </w:rPr>
      </w:pPr>
      <w:r>
        <w:rPr>
          <w:b/>
          <w:bCs/>
          <w:sz w:val="32"/>
          <w:szCs w:val="32"/>
        </w:rPr>
        <w:t xml:space="preserve"> </w:t>
      </w:r>
    </w:p>
    <w:p w14:paraId="1609C96F" w14:textId="77777777" w:rsidR="009E3B18" w:rsidRDefault="009E3B18" w:rsidP="009E3B18">
      <w:pPr>
        <w:bidi/>
        <w:rPr>
          <w:b/>
          <w:bCs/>
          <w:sz w:val="32"/>
          <w:szCs w:val="32"/>
        </w:rPr>
      </w:pPr>
    </w:p>
    <w:p w14:paraId="69F405C8" w14:textId="77777777" w:rsidR="009E3B18" w:rsidRPr="005E03C1" w:rsidRDefault="009E3B18" w:rsidP="009E3B18">
      <w:pPr>
        <w:pStyle w:val="a"/>
        <w:bidi/>
        <w:spacing w:line="216" w:lineRule="auto"/>
        <w:jc w:val="center"/>
        <w:rPr>
          <w:rFonts w:ascii="mylotus" w:hAnsi="mylotus"/>
          <w:b/>
          <w:bCs/>
          <w:sz w:val="34"/>
          <w:szCs w:val="34"/>
          <w:rtl/>
        </w:rPr>
      </w:pPr>
      <w:r w:rsidRPr="005E03C1">
        <w:rPr>
          <w:rFonts w:ascii="mylotus" w:hAnsi="mylotus"/>
          <w:b/>
          <w:bCs/>
          <w:sz w:val="34"/>
          <w:szCs w:val="34"/>
          <w:rtl/>
        </w:rPr>
        <w:t>بسم الله الرحمن الرحيم</w:t>
      </w:r>
    </w:p>
    <w:p w14:paraId="518EB421" w14:textId="77777777" w:rsidR="009E3B18" w:rsidRPr="005E03C1" w:rsidRDefault="009E3B18" w:rsidP="009E3B18">
      <w:pPr>
        <w:pStyle w:val="a"/>
        <w:bidi/>
        <w:spacing w:line="216" w:lineRule="auto"/>
        <w:jc w:val="center"/>
        <w:rPr>
          <w:rFonts w:ascii="mylotus" w:hAnsi="mylotus"/>
          <w:b/>
          <w:bCs/>
          <w:sz w:val="34"/>
          <w:szCs w:val="34"/>
          <w:rtl/>
        </w:rPr>
      </w:pPr>
      <w:r w:rsidRPr="005E03C1">
        <w:rPr>
          <w:rFonts w:ascii="mylotus" w:hAnsi="mylotus"/>
          <w:b/>
          <w:bCs/>
          <w:sz w:val="34"/>
          <w:szCs w:val="34"/>
          <w:rtl/>
        </w:rPr>
        <w:t>والصلاة والسلام على أشرف الأنبياء والمرسلين، محمد وآله الطيبين الطاهرين</w:t>
      </w:r>
    </w:p>
    <w:p w14:paraId="6AA13419" w14:textId="77777777" w:rsidR="009E3B18" w:rsidRDefault="009E3B18" w:rsidP="009E3B18">
      <w:pPr>
        <w:pStyle w:val="a"/>
        <w:bidi/>
        <w:spacing w:line="216" w:lineRule="auto"/>
        <w:jc w:val="center"/>
        <w:rPr>
          <w:rFonts w:ascii="mylotus" w:hAnsi="mylotus"/>
          <w:sz w:val="34"/>
          <w:szCs w:val="34"/>
          <w:rtl/>
        </w:rPr>
      </w:pPr>
      <w:r w:rsidRPr="005E03C1">
        <w:rPr>
          <w:rFonts w:ascii="mylotus" w:hAnsi="mylotus"/>
          <w:b/>
          <w:bCs/>
          <w:sz w:val="34"/>
          <w:szCs w:val="34"/>
          <w:rtl/>
        </w:rPr>
        <w:t>واللعن الدائم على أعدائهم أجمعين إلى قيام يوم الدين</w:t>
      </w:r>
    </w:p>
    <w:p w14:paraId="45588251" w14:textId="77777777" w:rsidR="009E3B18" w:rsidRPr="007122FA" w:rsidRDefault="009E3B18" w:rsidP="009E3B18">
      <w:pPr>
        <w:pStyle w:val="a"/>
        <w:bidi/>
        <w:spacing w:line="216" w:lineRule="auto"/>
        <w:rPr>
          <w:rFonts w:ascii="mylotus" w:hAnsi="mylotus"/>
          <w:sz w:val="34"/>
          <w:szCs w:val="34"/>
          <w:rtl/>
          <w:lang w:bidi="ar-BH"/>
        </w:rPr>
      </w:pPr>
    </w:p>
    <w:p w14:paraId="6F8C3218" w14:textId="77777777" w:rsidR="009E3B18" w:rsidRDefault="009E3B18" w:rsidP="009E3B18">
      <w:pPr>
        <w:pStyle w:val="a"/>
        <w:bidi/>
        <w:spacing w:line="216" w:lineRule="auto"/>
        <w:rPr>
          <w:rFonts w:ascii="mylotus" w:hAnsi="mylotus"/>
          <w:sz w:val="34"/>
          <w:szCs w:val="34"/>
          <w:rtl/>
        </w:rPr>
      </w:pPr>
      <w:r w:rsidRPr="008C5A14">
        <w:rPr>
          <w:rFonts w:ascii="mylotus" w:hAnsi="mylotus"/>
          <w:b/>
          <w:bCs/>
          <w:sz w:val="34"/>
          <w:szCs w:val="34"/>
          <w:rtl/>
        </w:rPr>
        <w:t xml:space="preserve">الوجهُ الثالث: </w:t>
      </w:r>
      <w:r w:rsidRPr="008C5A14">
        <w:rPr>
          <w:rFonts w:ascii="mylotus" w:hAnsi="mylotus"/>
          <w:sz w:val="34"/>
          <w:szCs w:val="34"/>
          <w:rtl/>
        </w:rPr>
        <w:t>وهو</w:t>
      </w:r>
      <w:r>
        <w:rPr>
          <w:rFonts w:ascii="mylotus" w:hAnsi="mylotus" w:hint="cs"/>
          <w:sz w:val="34"/>
          <w:szCs w:val="34"/>
          <w:rtl/>
        </w:rPr>
        <w:t xml:space="preserve"> </w:t>
      </w:r>
      <w:r w:rsidRPr="008C5A14">
        <w:rPr>
          <w:rFonts w:ascii="mylotus" w:hAnsi="mylotus"/>
          <w:sz w:val="34"/>
          <w:szCs w:val="34"/>
          <w:rtl/>
        </w:rPr>
        <w:t>خاص</w:t>
      </w:r>
      <w:r>
        <w:rPr>
          <w:rFonts w:ascii="mylotus" w:hAnsi="mylotus" w:hint="cs"/>
          <w:sz w:val="34"/>
          <w:szCs w:val="34"/>
          <w:rtl/>
        </w:rPr>
        <w:t>ّ</w:t>
      </w:r>
      <w:r w:rsidRPr="008C5A14">
        <w:rPr>
          <w:rFonts w:ascii="mylotus" w:hAnsi="mylotus"/>
          <w:sz w:val="34"/>
          <w:szCs w:val="34"/>
          <w:rtl/>
        </w:rPr>
        <w:t xml:space="preserve"> بموارد الحدود والتعريفات</w:t>
      </w:r>
      <w:r>
        <w:rPr>
          <w:rFonts w:ascii="mylotus" w:hAnsi="mylotus" w:hint="cs"/>
          <w:sz w:val="34"/>
          <w:szCs w:val="34"/>
          <w:rtl/>
        </w:rPr>
        <w:t>.</w:t>
      </w:r>
    </w:p>
    <w:p w14:paraId="706AA64C" w14:textId="77777777" w:rsidR="009E3B18" w:rsidRDefault="009E3B18" w:rsidP="009E3B18">
      <w:pPr>
        <w:pStyle w:val="a"/>
        <w:bidi/>
        <w:spacing w:line="216" w:lineRule="auto"/>
        <w:rPr>
          <w:rFonts w:ascii="mylotus" w:hAnsi="mylotus"/>
          <w:sz w:val="34"/>
          <w:szCs w:val="34"/>
          <w:rtl/>
        </w:rPr>
      </w:pPr>
      <w:r w:rsidRPr="008C5A14">
        <w:rPr>
          <w:rFonts w:ascii="mylotus" w:hAnsi="mylotus"/>
          <w:b/>
          <w:bCs/>
          <w:sz w:val="34"/>
          <w:szCs w:val="34"/>
          <w:rtl/>
        </w:rPr>
        <w:t>وحاصله</w:t>
      </w:r>
      <w:r>
        <w:rPr>
          <w:rFonts w:ascii="mylotus" w:hAnsi="mylotus" w:hint="cs"/>
          <w:b/>
          <w:bCs/>
          <w:sz w:val="34"/>
          <w:szCs w:val="34"/>
          <w:rtl/>
        </w:rPr>
        <w:t>ُ</w:t>
      </w:r>
      <w:r w:rsidRPr="008C5A14">
        <w:rPr>
          <w:rFonts w:ascii="mylotus" w:hAnsi="mylotus"/>
          <w:b/>
          <w:bCs/>
          <w:sz w:val="34"/>
          <w:szCs w:val="34"/>
          <w:rtl/>
        </w:rPr>
        <w:t>:</w:t>
      </w:r>
      <w:r w:rsidRPr="008C5A14">
        <w:rPr>
          <w:rFonts w:ascii="mylotus" w:hAnsi="mylotus"/>
          <w:sz w:val="34"/>
          <w:szCs w:val="34"/>
          <w:rtl/>
        </w:rPr>
        <w:t xml:space="preserve"> أن</w:t>
      </w:r>
      <w:r>
        <w:rPr>
          <w:rFonts w:ascii="mylotus" w:hAnsi="mylotus" w:hint="cs"/>
          <w:sz w:val="34"/>
          <w:szCs w:val="34"/>
          <w:rtl/>
        </w:rPr>
        <w:t>ّ</w:t>
      </w:r>
      <w:r w:rsidRPr="008C5A14">
        <w:rPr>
          <w:rFonts w:ascii="mylotus" w:hAnsi="mylotus"/>
          <w:sz w:val="34"/>
          <w:szCs w:val="34"/>
          <w:rtl/>
        </w:rPr>
        <w:t xml:space="preserve"> مقتضى ورود العنوان في مقام التقنين والتحديد مانع</w:t>
      </w:r>
      <w:r>
        <w:rPr>
          <w:rFonts w:ascii="mylotus" w:hAnsi="mylotus" w:hint="cs"/>
          <w:sz w:val="34"/>
          <w:szCs w:val="34"/>
          <w:rtl/>
        </w:rPr>
        <w:t>ٌ</w:t>
      </w:r>
      <w:r w:rsidRPr="008C5A14">
        <w:rPr>
          <w:rFonts w:ascii="mylotus" w:hAnsi="mylotus"/>
          <w:sz w:val="34"/>
          <w:szCs w:val="34"/>
          <w:rtl/>
        </w:rPr>
        <w:t xml:space="preserve"> م</w:t>
      </w:r>
      <w:r>
        <w:rPr>
          <w:rFonts w:ascii="mylotus" w:hAnsi="mylotus" w:hint="cs"/>
          <w:sz w:val="34"/>
          <w:szCs w:val="34"/>
          <w:rtl/>
        </w:rPr>
        <w:t>ِ</w:t>
      </w:r>
      <w:r w:rsidRPr="008C5A14">
        <w:rPr>
          <w:rFonts w:ascii="mylotus" w:hAnsi="mylotus"/>
          <w:sz w:val="34"/>
          <w:szCs w:val="34"/>
          <w:rtl/>
        </w:rPr>
        <w:t xml:space="preserve">ن الرجوع للعرف </w:t>
      </w:r>
      <w:proofErr w:type="gramStart"/>
      <w:r w:rsidRPr="008C5A14">
        <w:rPr>
          <w:rFonts w:ascii="mylotus" w:hAnsi="mylotus"/>
          <w:sz w:val="34"/>
          <w:szCs w:val="34"/>
          <w:rtl/>
        </w:rPr>
        <w:t>في  المصداق</w:t>
      </w:r>
      <w:proofErr w:type="gramEnd"/>
      <w:r w:rsidRPr="008C5A14">
        <w:rPr>
          <w:rFonts w:ascii="mylotus" w:hAnsi="mylotus"/>
          <w:sz w:val="34"/>
          <w:szCs w:val="34"/>
          <w:rtl/>
        </w:rPr>
        <w:t xml:space="preserve"> ما</w:t>
      </w:r>
      <w:r>
        <w:rPr>
          <w:rFonts w:ascii="mylotus" w:hAnsi="mylotus" w:hint="cs"/>
          <w:sz w:val="34"/>
          <w:szCs w:val="34"/>
          <w:rtl/>
        </w:rPr>
        <w:t xml:space="preserve"> </w:t>
      </w:r>
      <w:r w:rsidRPr="008C5A14">
        <w:rPr>
          <w:rFonts w:ascii="mylotus" w:hAnsi="mylotus"/>
          <w:sz w:val="34"/>
          <w:szCs w:val="34"/>
          <w:rtl/>
        </w:rPr>
        <w:t>ل</w:t>
      </w:r>
      <w:r>
        <w:rPr>
          <w:rFonts w:ascii="mylotus" w:hAnsi="mylotus" w:hint="cs"/>
          <w:sz w:val="34"/>
          <w:szCs w:val="34"/>
          <w:rtl/>
        </w:rPr>
        <w:t>َ</w:t>
      </w:r>
      <w:r w:rsidRPr="008C5A14">
        <w:rPr>
          <w:rFonts w:ascii="mylotus" w:hAnsi="mylotus"/>
          <w:sz w:val="34"/>
          <w:szCs w:val="34"/>
          <w:rtl/>
        </w:rPr>
        <w:t>م</w:t>
      </w:r>
      <w:r>
        <w:rPr>
          <w:rFonts w:ascii="mylotus" w:hAnsi="mylotus" w:hint="cs"/>
          <w:sz w:val="34"/>
          <w:szCs w:val="34"/>
          <w:rtl/>
        </w:rPr>
        <w:t>ْ</w:t>
      </w:r>
      <w:r w:rsidRPr="008C5A14">
        <w:rPr>
          <w:rFonts w:ascii="mylotus" w:hAnsi="mylotus"/>
          <w:sz w:val="34"/>
          <w:szCs w:val="34"/>
          <w:rtl/>
        </w:rPr>
        <w:t xml:space="preserve"> يكن انطباق العنوان عليه بذاته لا</w:t>
      </w:r>
      <w:r>
        <w:rPr>
          <w:rFonts w:ascii="mylotus" w:hAnsi="mylotus" w:hint="cs"/>
          <w:sz w:val="34"/>
          <w:szCs w:val="34"/>
          <w:rtl/>
        </w:rPr>
        <w:t xml:space="preserve"> </w:t>
      </w:r>
      <w:r w:rsidRPr="008C5A14">
        <w:rPr>
          <w:rFonts w:ascii="mylotus" w:hAnsi="mylotus"/>
          <w:sz w:val="34"/>
          <w:szCs w:val="34"/>
          <w:rtl/>
        </w:rPr>
        <w:t>بتصرف</w:t>
      </w:r>
      <w:r>
        <w:rPr>
          <w:rFonts w:ascii="mylotus" w:hAnsi="mylotus" w:hint="cs"/>
          <w:sz w:val="34"/>
          <w:szCs w:val="34"/>
          <w:rtl/>
        </w:rPr>
        <w:t>ٍ</w:t>
      </w:r>
      <w:r w:rsidRPr="008C5A14">
        <w:rPr>
          <w:rFonts w:ascii="mylotus" w:hAnsi="mylotus"/>
          <w:sz w:val="34"/>
          <w:szCs w:val="34"/>
          <w:rtl/>
        </w:rPr>
        <w:t xml:space="preserve"> م</w:t>
      </w:r>
      <w:r>
        <w:rPr>
          <w:rFonts w:ascii="mylotus" w:hAnsi="mylotus" w:hint="cs"/>
          <w:sz w:val="34"/>
          <w:szCs w:val="34"/>
          <w:rtl/>
        </w:rPr>
        <w:t>ِ</w:t>
      </w:r>
      <w:r w:rsidRPr="008C5A14">
        <w:rPr>
          <w:rFonts w:ascii="mylotus" w:hAnsi="mylotus"/>
          <w:sz w:val="34"/>
          <w:szCs w:val="34"/>
          <w:rtl/>
        </w:rPr>
        <w:t>ن العرف</w:t>
      </w:r>
      <w:r>
        <w:rPr>
          <w:rFonts w:ascii="mylotus" w:hAnsi="mylotus" w:hint="cs"/>
          <w:sz w:val="34"/>
          <w:szCs w:val="34"/>
          <w:rtl/>
        </w:rPr>
        <w:t>.</w:t>
      </w:r>
    </w:p>
    <w:p w14:paraId="467A9AE2" w14:textId="77777777" w:rsidR="009E3B18" w:rsidRDefault="009E3B18" w:rsidP="009E3B18">
      <w:pPr>
        <w:pStyle w:val="a"/>
        <w:bidi/>
        <w:spacing w:line="216" w:lineRule="auto"/>
        <w:rPr>
          <w:rFonts w:ascii="mylotus" w:hAnsi="mylotus"/>
          <w:sz w:val="34"/>
          <w:szCs w:val="34"/>
          <w:rtl/>
        </w:rPr>
      </w:pPr>
      <w:r w:rsidRPr="00DA1191">
        <w:rPr>
          <w:rFonts w:ascii="mylotus" w:hAnsi="mylotus"/>
          <w:b/>
          <w:bCs/>
          <w:sz w:val="34"/>
          <w:szCs w:val="34"/>
          <w:rtl/>
        </w:rPr>
        <w:t>وتفصيل</w:t>
      </w:r>
      <w:r w:rsidRPr="00DA1191">
        <w:rPr>
          <w:rFonts w:ascii="mylotus" w:hAnsi="mylotus" w:hint="cs"/>
          <w:b/>
          <w:bCs/>
          <w:sz w:val="34"/>
          <w:szCs w:val="34"/>
          <w:rtl/>
        </w:rPr>
        <w:t>ُ</w:t>
      </w:r>
      <w:r w:rsidRPr="00DA1191">
        <w:rPr>
          <w:rFonts w:ascii="mylotus" w:hAnsi="mylotus"/>
          <w:b/>
          <w:bCs/>
          <w:sz w:val="34"/>
          <w:szCs w:val="34"/>
          <w:rtl/>
        </w:rPr>
        <w:t xml:space="preserve"> البحث في ذلك:</w:t>
      </w:r>
    </w:p>
    <w:p w14:paraId="6894B1E1" w14:textId="77777777" w:rsidR="009E3B18" w:rsidRPr="008C5A14" w:rsidRDefault="009E3B18" w:rsidP="009E3B18">
      <w:pPr>
        <w:pStyle w:val="a"/>
        <w:bidi/>
        <w:spacing w:line="216" w:lineRule="auto"/>
        <w:rPr>
          <w:rFonts w:ascii="mylotus" w:hAnsi="mylotus"/>
          <w:sz w:val="34"/>
          <w:szCs w:val="34"/>
          <w:rtl/>
        </w:rPr>
      </w:pPr>
      <w:r w:rsidRPr="008C5A14">
        <w:rPr>
          <w:rFonts w:ascii="mylotus" w:hAnsi="mylotus"/>
          <w:sz w:val="34"/>
          <w:szCs w:val="34"/>
          <w:rtl/>
        </w:rPr>
        <w:t>إن</w:t>
      </w:r>
      <w:r>
        <w:rPr>
          <w:rFonts w:ascii="mylotus" w:hAnsi="mylotus" w:hint="cs"/>
          <w:sz w:val="34"/>
          <w:szCs w:val="34"/>
          <w:rtl/>
        </w:rPr>
        <w:t>ّ</w:t>
      </w:r>
      <w:r w:rsidRPr="008C5A14">
        <w:rPr>
          <w:rFonts w:ascii="mylotus" w:hAnsi="mylotus"/>
          <w:sz w:val="34"/>
          <w:szCs w:val="34"/>
          <w:rtl/>
        </w:rPr>
        <w:t xml:space="preserve"> المستفاد م</w:t>
      </w:r>
      <w:r>
        <w:rPr>
          <w:rFonts w:ascii="mylotus" w:hAnsi="mylotus" w:hint="cs"/>
          <w:sz w:val="34"/>
          <w:szCs w:val="34"/>
          <w:rtl/>
        </w:rPr>
        <w:t>ِ</w:t>
      </w:r>
      <w:r w:rsidRPr="008C5A14">
        <w:rPr>
          <w:rFonts w:ascii="mylotus" w:hAnsi="mylotus"/>
          <w:sz w:val="34"/>
          <w:szCs w:val="34"/>
          <w:rtl/>
        </w:rPr>
        <w:t>ن الخلاف الّذي دار بين المحقّق الهمداني وسيدنا الخوئي (قدس سرهما) حول شمول العناوين المأخوذة في الحدود والتعريفات للمصداق التنزيلي</w:t>
      </w:r>
      <w:r>
        <w:rPr>
          <w:rFonts w:ascii="mylotus" w:hAnsi="mylotus" w:hint="cs"/>
          <w:sz w:val="34"/>
          <w:szCs w:val="34"/>
          <w:rtl/>
        </w:rPr>
        <w:t xml:space="preserve"> هو:</w:t>
      </w:r>
      <w:r w:rsidRPr="008C5A14">
        <w:rPr>
          <w:rFonts w:ascii="mylotus" w:hAnsi="mylotus"/>
          <w:sz w:val="34"/>
          <w:szCs w:val="34"/>
          <w:rtl/>
        </w:rPr>
        <w:t xml:space="preserve"> </w:t>
      </w:r>
      <w:r w:rsidRPr="00DA1191">
        <w:rPr>
          <w:rFonts w:ascii="mylotus" w:hAnsi="mylotus"/>
          <w:b/>
          <w:bCs/>
          <w:sz w:val="34"/>
          <w:szCs w:val="34"/>
          <w:rtl/>
        </w:rPr>
        <w:t>"البحث</w:t>
      </w:r>
      <w:r w:rsidRPr="00DA1191">
        <w:rPr>
          <w:rFonts w:ascii="mylotus" w:hAnsi="mylotus" w:hint="cs"/>
          <w:b/>
          <w:bCs/>
          <w:sz w:val="34"/>
          <w:szCs w:val="34"/>
          <w:rtl/>
        </w:rPr>
        <w:t>ُ</w:t>
      </w:r>
      <w:r w:rsidRPr="00DA1191">
        <w:rPr>
          <w:rFonts w:ascii="mylotus" w:hAnsi="mylotus"/>
          <w:b/>
          <w:bCs/>
          <w:sz w:val="34"/>
          <w:szCs w:val="34"/>
          <w:rtl/>
        </w:rPr>
        <w:t xml:space="preserve"> في امتداد اعتبار نظر العرف في تشخيص المصداق حتى للمصاديق التنزيلية لعناوين الحدو</w:t>
      </w:r>
      <w:r w:rsidRPr="00DA1191">
        <w:rPr>
          <w:rFonts w:ascii="mylotus" w:hAnsi="mylotus" w:hint="cs"/>
          <w:b/>
          <w:bCs/>
          <w:sz w:val="34"/>
          <w:szCs w:val="34"/>
          <w:rtl/>
        </w:rPr>
        <w:t>د</w:t>
      </w:r>
      <w:r w:rsidRPr="00DA1191">
        <w:rPr>
          <w:rFonts w:ascii="mylotus" w:hAnsi="mylotus" w:cs="Cambria" w:hint="cs"/>
          <w:b/>
          <w:bCs/>
          <w:sz w:val="34"/>
          <w:szCs w:val="34"/>
          <w:rtl/>
        </w:rPr>
        <w:t>"</w:t>
      </w:r>
      <w:r w:rsidRPr="00DA1191">
        <w:rPr>
          <w:rFonts w:ascii="mylotus" w:hAnsi="mylotus" w:hint="cs"/>
          <w:b/>
          <w:bCs/>
          <w:sz w:val="34"/>
          <w:szCs w:val="34"/>
          <w:rtl/>
        </w:rPr>
        <w:t>.</w:t>
      </w:r>
    </w:p>
    <w:p w14:paraId="2B790684" w14:textId="77777777" w:rsidR="009E3B18" w:rsidRPr="008C5A14" w:rsidRDefault="009E3B18" w:rsidP="009E3B18">
      <w:pPr>
        <w:pStyle w:val="a"/>
        <w:bidi/>
        <w:spacing w:line="216" w:lineRule="auto"/>
        <w:rPr>
          <w:rFonts w:ascii="mylotus" w:hAnsi="mylotus"/>
          <w:sz w:val="34"/>
          <w:szCs w:val="34"/>
          <w:rtl/>
        </w:rPr>
      </w:pPr>
      <w:r w:rsidRPr="008C5A14">
        <w:rPr>
          <w:rFonts w:ascii="mylotus" w:hAnsi="mylotus"/>
          <w:sz w:val="34"/>
          <w:szCs w:val="34"/>
          <w:rtl/>
        </w:rPr>
        <w:t>والحوار</w:t>
      </w:r>
      <w:r>
        <w:rPr>
          <w:rFonts w:ascii="mylotus" w:hAnsi="mylotus" w:hint="cs"/>
          <w:sz w:val="34"/>
          <w:szCs w:val="34"/>
          <w:rtl/>
        </w:rPr>
        <w:t>ُ</w:t>
      </w:r>
      <w:r w:rsidRPr="008C5A14">
        <w:rPr>
          <w:rFonts w:ascii="mylotus" w:hAnsi="mylotus"/>
          <w:sz w:val="34"/>
          <w:szCs w:val="34"/>
          <w:rtl/>
        </w:rPr>
        <w:t xml:space="preserve"> الجاري بين المحققين الهمداني والخوئي (قدس سرهما)</w:t>
      </w:r>
      <w:r>
        <w:rPr>
          <w:rFonts w:ascii="mylotus" w:hAnsi="mylotus" w:hint="cs"/>
          <w:sz w:val="34"/>
          <w:szCs w:val="34"/>
          <w:rtl/>
        </w:rPr>
        <w:t xml:space="preserve"> </w:t>
      </w:r>
      <w:r w:rsidRPr="008C5A14">
        <w:rPr>
          <w:rFonts w:ascii="mylotus" w:hAnsi="mylotus"/>
          <w:sz w:val="34"/>
          <w:szCs w:val="34"/>
          <w:rtl/>
        </w:rPr>
        <w:t>وإنْ كان في باب العدالة إلّا أنّه بحثٌ كبروي لا يختص بمورد العدالة</w:t>
      </w:r>
      <w:r w:rsidRPr="008C5A14">
        <w:rPr>
          <w:rFonts w:ascii="mylotus" w:hAnsi="mylotus"/>
          <w:sz w:val="34"/>
          <w:szCs w:val="34"/>
        </w:rPr>
        <w:t>.</w:t>
      </w:r>
    </w:p>
    <w:p w14:paraId="5CFBC081" w14:textId="77777777" w:rsidR="009E3B18" w:rsidRDefault="009E3B18" w:rsidP="009E3B18">
      <w:pPr>
        <w:pStyle w:val="a"/>
        <w:bidi/>
        <w:spacing w:line="216" w:lineRule="auto"/>
        <w:rPr>
          <w:rFonts w:ascii="mylotus" w:hAnsi="mylotus"/>
          <w:sz w:val="34"/>
          <w:szCs w:val="34"/>
          <w:rtl/>
        </w:rPr>
      </w:pPr>
      <w:r w:rsidRPr="00DA1191">
        <w:rPr>
          <w:rFonts w:ascii="mylotus" w:hAnsi="mylotus"/>
          <w:b/>
          <w:bCs/>
          <w:sz w:val="34"/>
          <w:szCs w:val="34"/>
          <w:rtl/>
        </w:rPr>
        <w:t>وبيانُ ذلك:</w:t>
      </w:r>
    </w:p>
    <w:p w14:paraId="41150ACD" w14:textId="77777777" w:rsidR="009E3B18" w:rsidRPr="00DA1191" w:rsidRDefault="009E3B18" w:rsidP="009E3B18">
      <w:pPr>
        <w:pStyle w:val="a"/>
        <w:bidi/>
        <w:spacing w:line="216" w:lineRule="auto"/>
        <w:rPr>
          <w:rFonts w:ascii="mylotus" w:hAnsi="mylotus"/>
          <w:b/>
          <w:bCs/>
          <w:sz w:val="34"/>
          <w:szCs w:val="34"/>
          <w:rtl/>
        </w:rPr>
      </w:pPr>
      <w:r w:rsidRPr="008C5A14">
        <w:rPr>
          <w:rFonts w:ascii="mylotus" w:hAnsi="mylotus"/>
          <w:sz w:val="34"/>
          <w:szCs w:val="34"/>
          <w:rtl/>
        </w:rPr>
        <w:t>أنّ المحقق الهمداني (قدس سره الشريف) أفاد في مصباح الفقيه</w:t>
      </w:r>
      <w:r>
        <w:rPr>
          <w:rStyle w:val="FootnoteReference"/>
          <w:rFonts w:ascii="mylotus" w:hAnsi="mylotus"/>
          <w:sz w:val="34"/>
          <w:szCs w:val="34"/>
          <w:rtl/>
        </w:rPr>
        <w:footnoteReference w:id="219"/>
      </w:r>
      <w:r w:rsidRPr="008C5A14">
        <w:rPr>
          <w:rFonts w:ascii="mylotus" w:hAnsi="mylotus"/>
          <w:sz w:val="34"/>
          <w:szCs w:val="34"/>
          <w:rtl/>
        </w:rPr>
        <w:t xml:space="preserve"> </w:t>
      </w:r>
      <w:r w:rsidRPr="008C5A14">
        <w:rPr>
          <w:rFonts w:ascii="mylotus" w:hAnsi="mylotus" w:hint="cs"/>
          <w:sz w:val="34"/>
          <w:szCs w:val="34"/>
          <w:rtl/>
        </w:rPr>
        <w:t>بقوله</w:t>
      </w:r>
      <w:r w:rsidRPr="008C5A14">
        <w:rPr>
          <w:rFonts w:ascii="mylotus" w:hAnsi="mylotus"/>
          <w:sz w:val="34"/>
          <w:szCs w:val="34"/>
          <w:rtl/>
        </w:rPr>
        <w:t xml:space="preserve">: </w:t>
      </w:r>
      <w:r w:rsidRPr="00DA1191">
        <w:rPr>
          <w:rFonts w:ascii="mylotus" w:hAnsi="mylotus"/>
          <w:b/>
          <w:bCs/>
          <w:sz w:val="34"/>
          <w:szCs w:val="34"/>
          <w:rtl/>
        </w:rPr>
        <w:t>(</w:t>
      </w:r>
      <w:r w:rsidRPr="00DA1191">
        <w:rPr>
          <w:rFonts w:ascii="mylotus" w:hAnsi="mylotus" w:hint="cs"/>
          <w:b/>
          <w:bCs/>
          <w:sz w:val="34"/>
          <w:szCs w:val="34"/>
          <w:rtl/>
        </w:rPr>
        <w:t>والذي</w:t>
      </w:r>
      <w:r w:rsidRPr="00DA1191">
        <w:rPr>
          <w:rFonts w:ascii="mylotus" w:hAnsi="mylotus"/>
          <w:b/>
          <w:bCs/>
          <w:sz w:val="34"/>
          <w:szCs w:val="34"/>
          <w:rtl/>
        </w:rPr>
        <w:t xml:space="preserve"> </w:t>
      </w:r>
      <w:r w:rsidRPr="00DA1191">
        <w:rPr>
          <w:rFonts w:ascii="mylotus" w:hAnsi="mylotus" w:hint="cs"/>
          <w:b/>
          <w:bCs/>
          <w:sz w:val="34"/>
          <w:szCs w:val="34"/>
          <w:rtl/>
        </w:rPr>
        <w:t>يقوى</w:t>
      </w:r>
      <w:r w:rsidRPr="00DA1191">
        <w:rPr>
          <w:rFonts w:ascii="mylotus" w:hAnsi="mylotus"/>
          <w:b/>
          <w:bCs/>
          <w:sz w:val="34"/>
          <w:szCs w:val="34"/>
          <w:rtl/>
        </w:rPr>
        <w:t xml:space="preserve"> </w:t>
      </w:r>
      <w:r w:rsidRPr="00DA1191">
        <w:rPr>
          <w:rFonts w:ascii="mylotus" w:hAnsi="mylotus" w:hint="cs"/>
          <w:b/>
          <w:bCs/>
          <w:sz w:val="34"/>
          <w:szCs w:val="34"/>
          <w:rtl/>
        </w:rPr>
        <w:t>في</w:t>
      </w:r>
      <w:r w:rsidRPr="00DA1191">
        <w:rPr>
          <w:rFonts w:ascii="mylotus" w:hAnsi="mylotus"/>
          <w:b/>
          <w:bCs/>
          <w:sz w:val="34"/>
          <w:szCs w:val="34"/>
          <w:rtl/>
        </w:rPr>
        <w:t xml:space="preserve"> </w:t>
      </w:r>
      <w:r w:rsidRPr="00DA1191">
        <w:rPr>
          <w:rFonts w:ascii="mylotus" w:hAnsi="mylotus" w:hint="cs"/>
          <w:b/>
          <w:bCs/>
          <w:sz w:val="34"/>
          <w:szCs w:val="34"/>
          <w:rtl/>
        </w:rPr>
        <w:t>النظر</w:t>
      </w:r>
      <w:r w:rsidRPr="00DA1191">
        <w:rPr>
          <w:rFonts w:ascii="mylotus" w:hAnsi="mylotus"/>
          <w:b/>
          <w:bCs/>
          <w:sz w:val="34"/>
          <w:szCs w:val="34"/>
          <w:rtl/>
        </w:rPr>
        <w:t xml:space="preserve"> </w:t>
      </w:r>
      <w:r w:rsidRPr="00DA1191">
        <w:rPr>
          <w:rFonts w:ascii="mylotus" w:hAnsi="mylotus" w:hint="cs"/>
          <w:b/>
          <w:bCs/>
          <w:sz w:val="34"/>
          <w:szCs w:val="34"/>
          <w:rtl/>
        </w:rPr>
        <w:t>أنّ</w:t>
      </w:r>
      <w:r w:rsidRPr="00DA1191">
        <w:rPr>
          <w:rFonts w:ascii="mylotus" w:hAnsi="mylotus"/>
          <w:b/>
          <w:bCs/>
          <w:sz w:val="34"/>
          <w:szCs w:val="34"/>
          <w:rtl/>
        </w:rPr>
        <w:t xml:space="preserve"> </w:t>
      </w:r>
      <w:r w:rsidRPr="00DA1191">
        <w:rPr>
          <w:rFonts w:ascii="mylotus" w:hAnsi="mylotus" w:hint="cs"/>
          <w:b/>
          <w:bCs/>
          <w:sz w:val="34"/>
          <w:szCs w:val="34"/>
          <w:rtl/>
        </w:rPr>
        <w:t>صدور</w:t>
      </w:r>
      <w:r w:rsidRPr="00DA1191">
        <w:rPr>
          <w:rFonts w:ascii="mylotus" w:hAnsi="mylotus"/>
          <w:b/>
          <w:bCs/>
          <w:sz w:val="34"/>
          <w:szCs w:val="34"/>
          <w:rtl/>
        </w:rPr>
        <w:t xml:space="preserve"> </w:t>
      </w:r>
      <w:r w:rsidRPr="00DA1191">
        <w:rPr>
          <w:rFonts w:ascii="mylotus" w:hAnsi="mylotus" w:hint="cs"/>
          <w:b/>
          <w:bCs/>
          <w:sz w:val="34"/>
          <w:szCs w:val="34"/>
          <w:rtl/>
        </w:rPr>
        <w:t>الصغيرة</w:t>
      </w:r>
      <w:r w:rsidRPr="00DA1191">
        <w:rPr>
          <w:rFonts w:ascii="mylotus" w:hAnsi="mylotus"/>
          <w:b/>
          <w:bCs/>
          <w:sz w:val="34"/>
          <w:szCs w:val="34"/>
          <w:rtl/>
        </w:rPr>
        <w:t xml:space="preserve"> </w:t>
      </w:r>
      <w:r w:rsidRPr="00DA1191">
        <w:rPr>
          <w:rFonts w:ascii="mylotus" w:hAnsi="mylotus" w:hint="cs"/>
          <w:b/>
          <w:bCs/>
          <w:sz w:val="34"/>
          <w:szCs w:val="34"/>
          <w:rtl/>
        </w:rPr>
        <w:t>أيضاً</w:t>
      </w:r>
      <w:r w:rsidRPr="00DA1191">
        <w:rPr>
          <w:rFonts w:ascii="mylotus" w:hAnsi="mylotus"/>
          <w:b/>
          <w:bCs/>
          <w:sz w:val="34"/>
          <w:szCs w:val="34"/>
          <w:rtl/>
        </w:rPr>
        <w:t xml:space="preserve"> </w:t>
      </w:r>
      <w:r w:rsidRPr="00DA1191">
        <w:rPr>
          <w:rFonts w:ascii="mylotus" w:hAnsi="mylotus" w:hint="cs"/>
          <w:b/>
          <w:bCs/>
          <w:sz w:val="34"/>
          <w:szCs w:val="34"/>
          <w:rtl/>
        </w:rPr>
        <w:t>إذا</w:t>
      </w:r>
      <w:r w:rsidRPr="00DA1191">
        <w:rPr>
          <w:rFonts w:ascii="mylotus" w:hAnsi="mylotus"/>
          <w:b/>
          <w:bCs/>
          <w:sz w:val="34"/>
          <w:szCs w:val="34"/>
          <w:rtl/>
        </w:rPr>
        <w:t xml:space="preserve"> </w:t>
      </w:r>
      <w:r w:rsidRPr="00DA1191">
        <w:rPr>
          <w:rFonts w:ascii="mylotus" w:hAnsi="mylotus" w:hint="cs"/>
          <w:b/>
          <w:bCs/>
          <w:sz w:val="34"/>
          <w:szCs w:val="34"/>
          <w:rtl/>
        </w:rPr>
        <w:t>كان</w:t>
      </w:r>
      <w:r w:rsidRPr="00DA1191">
        <w:rPr>
          <w:rFonts w:ascii="mylotus" w:hAnsi="mylotus"/>
          <w:b/>
          <w:bCs/>
          <w:sz w:val="34"/>
          <w:szCs w:val="34"/>
          <w:rtl/>
        </w:rPr>
        <w:t xml:space="preserve"> </w:t>
      </w:r>
      <w:r w:rsidRPr="00DA1191">
        <w:rPr>
          <w:rFonts w:ascii="mylotus" w:hAnsi="mylotus" w:hint="cs"/>
          <w:b/>
          <w:bCs/>
          <w:sz w:val="34"/>
          <w:szCs w:val="34"/>
          <w:rtl/>
        </w:rPr>
        <w:t>عن</w:t>
      </w:r>
      <w:r w:rsidRPr="00DA1191">
        <w:rPr>
          <w:rFonts w:ascii="mylotus" w:hAnsi="mylotus"/>
          <w:b/>
          <w:bCs/>
          <w:sz w:val="34"/>
          <w:szCs w:val="34"/>
          <w:rtl/>
        </w:rPr>
        <w:t xml:space="preserve"> </w:t>
      </w:r>
      <w:r w:rsidRPr="00DA1191">
        <w:rPr>
          <w:rFonts w:ascii="mylotus" w:hAnsi="mylotus" w:hint="cs"/>
          <w:b/>
          <w:bCs/>
          <w:sz w:val="34"/>
          <w:szCs w:val="34"/>
          <w:rtl/>
        </w:rPr>
        <w:t>عمدٍ</w:t>
      </w:r>
      <w:r w:rsidRPr="00DA1191">
        <w:rPr>
          <w:rFonts w:ascii="mylotus" w:hAnsi="mylotus"/>
          <w:b/>
          <w:bCs/>
          <w:sz w:val="34"/>
          <w:szCs w:val="34"/>
          <w:rtl/>
        </w:rPr>
        <w:t xml:space="preserve"> </w:t>
      </w:r>
      <w:r w:rsidRPr="00DA1191">
        <w:rPr>
          <w:rFonts w:ascii="mylotus" w:hAnsi="mylotus" w:hint="cs"/>
          <w:b/>
          <w:bCs/>
          <w:sz w:val="34"/>
          <w:szCs w:val="34"/>
          <w:rtl/>
        </w:rPr>
        <w:t>والتفاتٍ</w:t>
      </w:r>
      <w:r w:rsidRPr="00DA1191">
        <w:rPr>
          <w:rFonts w:ascii="mylotus" w:hAnsi="mylotus"/>
          <w:b/>
          <w:bCs/>
          <w:sz w:val="34"/>
          <w:szCs w:val="34"/>
          <w:rtl/>
        </w:rPr>
        <w:t xml:space="preserve"> </w:t>
      </w:r>
      <w:r w:rsidRPr="00DA1191">
        <w:rPr>
          <w:rFonts w:ascii="mylotus" w:hAnsi="mylotus" w:hint="cs"/>
          <w:b/>
          <w:bCs/>
          <w:sz w:val="34"/>
          <w:szCs w:val="34"/>
          <w:rtl/>
        </w:rPr>
        <w:t>تفصيلي</w:t>
      </w:r>
      <w:r w:rsidRPr="00DA1191">
        <w:rPr>
          <w:rFonts w:ascii="mylotus" w:hAnsi="mylotus"/>
          <w:b/>
          <w:bCs/>
          <w:sz w:val="34"/>
          <w:szCs w:val="34"/>
          <w:rtl/>
        </w:rPr>
        <w:t xml:space="preserve"> </w:t>
      </w:r>
      <w:r w:rsidRPr="00DA1191">
        <w:rPr>
          <w:rFonts w:ascii="mylotus" w:hAnsi="mylotus" w:hint="cs"/>
          <w:b/>
          <w:bCs/>
          <w:sz w:val="34"/>
          <w:szCs w:val="34"/>
          <w:rtl/>
        </w:rPr>
        <w:t>إلى</w:t>
      </w:r>
      <w:r w:rsidRPr="00DA1191">
        <w:rPr>
          <w:rFonts w:ascii="mylotus" w:hAnsi="mylotus"/>
          <w:b/>
          <w:bCs/>
          <w:sz w:val="34"/>
          <w:szCs w:val="34"/>
          <w:rtl/>
        </w:rPr>
        <w:t xml:space="preserve"> </w:t>
      </w:r>
      <w:r w:rsidRPr="00DA1191">
        <w:rPr>
          <w:rFonts w:ascii="mylotus" w:hAnsi="mylotus" w:hint="cs"/>
          <w:b/>
          <w:bCs/>
          <w:sz w:val="34"/>
          <w:szCs w:val="34"/>
          <w:rtl/>
        </w:rPr>
        <w:t>حرمتها</w:t>
      </w:r>
      <w:r w:rsidRPr="00DA1191">
        <w:rPr>
          <w:rFonts w:ascii="mylotus" w:hAnsi="mylotus"/>
          <w:b/>
          <w:bCs/>
          <w:sz w:val="34"/>
          <w:szCs w:val="34"/>
          <w:rtl/>
        </w:rPr>
        <w:t xml:space="preserve"> </w:t>
      </w:r>
      <w:r w:rsidRPr="00DA1191">
        <w:rPr>
          <w:rFonts w:ascii="mylotus" w:hAnsi="mylotus" w:hint="cs"/>
          <w:b/>
          <w:bCs/>
          <w:sz w:val="34"/>
          <w:szCs w:val="34"/>
          <w:rtl/>
        </w:rPr>
        <w:t>كالكبيرة</w:t>
      </w:r>
      <w:r w:rsidRPr="00DA1191">
        <w:rPr>
          <w:rFonts w:ascii="mylotus" w:hAnsi="mylotus"/>
          <w:b/>
          <w:bCs/>
          <w:sz w:val="34"/>
          <w:szCs w:val="34"/>
          <w:rtl/>
        </w:rPr>
        <w:t xml:space="preserve"> </w:t>
      </w:r>
      <w:r w:rsidRPr="00DA1191">
        <w:rPr>
          <w:rFonts w:ascii="mylotus" w:hAnsi="mylotus" w:hint="cs"/>
          <w:b/>
          <w:bCs/>
          <w:sz w:val="34"/>
          <w:szCs w:val="34"/>
          <w:rtl/>
        </w:rPr>
        <w:t>منافٍ</w:t>
      </w:r>
      <w:r w:rsidRPr="00DA1191">
        <w:rPr>
          <w:rFonts w:ascii="mylotus" w:hAnsi="mylotus"/>
          <w:b/>
          <w:bCs/>
          <w:sz w:val="34"/>
          <w:szCs w:val="34"/>
          <w:rtl/>
        </w:rPr>
        <w:t xml:space="preserve"> </w:t>
      </w:r>
      <w:r w:rsidRPr="00DA1191">
        <w:rPr>
          <w:rFonts w:ascii="mylotus" w:hAnsi="mylotus" w:hint="cs"/>
          <w:b/>
          <w:bCs/>
          <w:sz w:val="34"/>
          <w:szCs w:val="34"/>
          <w:rtl/>
        </w:rPr>
        <w:t>للعدالة،</w:t>
      </w:r>
      <w:r w:rsidRPr="00DA1191">
        <w:rPr>
          <w:rFonts w:ascii="mylotus" w:hAnsi="mylotus"/>
          <w:b/>
          <w:bCs/>
          <w:sz w:val="34"/>
          <w:szCs w:val="34"/>
          <w:rtl/>
        </w:rPr>
        <w:t xml:space="preserve"> </w:t>
      </w:r>
      <w:r w:rsidRPr="00DA1191">
        <w:rPr>
          <w:rFonts w:ascii="mylotus" w:hAnsi="mylotus" w:hint="cs"/>
          <w:b/>
          <w:bCs/>
          <w:sz w:val="34"/>
          <w:szCs w:val="34"/>
          <w:rtl/>
        </w:rPr>
        <w:t>ولكن</w:t>
      </w:r>
      <w:r w:rsidRPr="00DA1191">
        <w:rPr>
          <w:rFonts w:ascii="mylotus" w:hAnsi="mylotus"/>
          <w:b/>
          <w:bCs/>
          <w:sz w:val="34"/>
          <w:szCs w:val="34"/>
          <w:rtl/>
        </w:rPr>
        <w:t xml:space="preserve"> </w:t>
      </w:r>
      <w:r w:rsidRPr="00DA1191">
        <w:rPr>
          <w:rFonts w:ascii="mylotus" w:hAnsi="mylotus" w:hint="cs"/>
          <w:b/>
          <w:bCs/>
          <w:sz w:val="34"/>
          <w:szCs w:val="34"/>
          <w:rtl/>
        </w:rPr>
        <w:t>الذنوب</w:t>
      </w:r>
      <w:r w:rsidRPr="00DA1191">
        <w:rPr>
          <w:rFonts w:ascii="mylotus" w:hAnsi="mylotus"/>
          <w:b/>
          <w:bCs/>
          <w:sz w:val="34"/>
          <w:szCs w:val="34"/>
          <w:rtl/>
        </w:rPr>
        <w:t xml:space="preserve"> </w:t>
      </w:r>
      <w:r w:rsidRPr="00DA1191">
        <w:rPr>
          <w:rFonts w:ascii="mylotus" w:hAnsi="mylotus" w:hint="cs"/>
          <w:b/>
          <w:bCs/>
          <w:sz w:val="34"/>
          <w:szCs w:val="34"/>
          <w:rtl/>
        </w:rPr>
        <w:t>التي</w:t>
      </w:r>
      <w:r w:rsidRPr="00DA1191">
        <w:rPr>
          <w:rFonts w:ascii="mylotus" w:hAnsi="mylotus"/>
          <w:b/>
          <w:bCs/>
          <w:sz w:val="34"/>
          <w:szCs w:val="34"/>
          <w:rtl/>
        </w:rPr>
        <w:t xml:space="preserve"> </w:t>
      </w:r>
      <w:r w:rsidRPr="00DA1191">
        <w:rPr>
          <w:rFonts w:ascii="mylotus" w:hAnsi="mylotus" w:hint="cs"/>
          <w:b/>
          <w:bCs/>
          <w:sz w:val="34"/>
          <w:szCs w:val="34"/>
          <w:rtl/>
        </w:rPr>
        <w:t>ليست</w:t>
      </w:r>
      <w:r w:rsidRPr="00DA1191">
        <w:rPr>
          <w:rFonts w:ascii="mylotus" w:hAnsi="mylotus"/>
          <w:b/>
          <w:bCs/>
          <w:sz w:val="34"/>
          <w:szCs w:val="34"/>
          <w:rtl/>
        </w:rPr>
        <w:t xml:space="preserve"> </w:t>
      </w:r>
      <w:r w:rsidRPr="00C20BC4">
        <w:rPr>
          <w:rFonts w:ascii="mylotus" w:hAnsi="mylotus" w:hint="cs"/>
          <w:b/>
          <w:bCs/>
          <w:sz w:val="34"/>
          <w:szCs w:val="34"/>
          <w:highlight w:val="yellow"/>
          <w:rtl/>
        </w:rPr>
        <w:t>في</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انظار</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أهل</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الشرع</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كبيرةً</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قد</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يتسامحون</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في</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أمرها،</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فكثيراً</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ما</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لا</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يلتفون</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إلى</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حرمتها</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حال</w:t>
      </w:r>
      <w:r w:rsidRPr="00C20BC4">
        <w:rPr>
          <w:rFonts w:ascii="mylotus" w:hAnsi="mylotus"/>
          <w:b/>
          <w:bCs/>
          <w:sz w:val="34"/>
          <w:szCs w:val="34"/>
          <w:highlight w:val="yellow"/>
          <w:rtl/>
        </w:rPr>
        <w:t xml:space="preserve"> </w:t>
      </w:r>
      <w:r w:rsidRPr="00C20BC4">
        <w:rPr>
          <w:rFonts w:ascii="mylotus" w:hAnsi="mylotus" w:hint="cs"/>
          <w:b/>
          <w:bCs/>
          <w:sz w:val="34"/>
          <w:szCs w:val="34"/>
          <w:highlight w:val="yellow"/>
          <w:rtl/>
        </w:rPr>
        <w:t>الارتكاب،</w:t>
      </w:r>
      <w:r w:rsidRPr="00DA1191">
        <w:rPr>
          <w:rFonts w:ascii="mylotus" w:hAnsi="mylotus"/>
          <w:b/>
          <w:bCs/>
          <w:sz w:val="34"/>
          <w:szCs w:val="34"/>
          <w:rtl/>
        </w:rPr>
        <w:t xml:space="preserve"> </w:t>
      </w:r>
      <w:r w:rsidRPr="00DA1191">
        <w:rPr>
          <w:rFonts w:ascii="mylotus" w:hAnsi="mylotus" w:hint="cs"/>
          <w:b/>
          <w:bCs/>
          <w:sz w:val="34"/>
          <w:szCs w:val="34"/>
          <w:rtl/>
        </w:rPr>
        <w:t>أو</w:t>
      </w:r>
      <w:r w:rsidRPr="00DA1191">
        <w:rPr>
          <w:rFonts w:ascii="mylotus" w:hAnsi="mylotus"/>
          <w:b/>
          <w:bCs/>
          <w:sz w:val="34"/>
          <w:szCs w:val="34"/>
          <w:rtl/>
        </w:rPr>
        <w:t xml:space="preserve"> </w:t>
      </w:r>
      <w:r w:rsidRPr="00DA1191">
        <w:rPr>
          <w:rFonts w:ascii="mylotus" w:hAnsi="mylotus" w:hint="cs"/>
          <w:b/>
          <w:bCs/>
          <w:sz w:val="34"/>
          <w:szCs w:val="34"/>
          <w:rtl/>
        </w:rPr>
        <w:t>يلتفتون</w:t>
      </w:r>
      <w:r w:rsidRPr="00DA1191">
        <w:rPr>
          <w:rFonts w:ascii="mylotus" w:hAnsi="mylotus"/>
          <w:b/>
          <w:bCs/>
          <w:sz w:val="34"/>
          <w:szCs w:val="34"/>
          <w:rtl/>
        </w:rPr>
        <w:t xml:space="preserve"> </w:t>
      </w:r>
      <w:r w:rsidRPr="00DA1191">
        <w:rPr>
          <w:rFonts w:ascii="mylotus" w:hAnsi="mylotus" w:hint="cs"/>
          <w:b/>
          <w:bCs/>
          <w:sz w:val="34"/>
          <w:szCs w:val="34"/>
          <w:rtl/>
        </w:rPr>
        <w:t>إليها</w:t>
      </w:r>
      <w:r w:rsidRPr="00DA1191">
        <w:rPr>
          <w:rFonts w:ascii="mylotus" w:hAnsi="mylotus"/>
          <w:b/>
          <w:bCs/>
          <w:sz w:val="34"/>
          <w:szCs w:val="34"/>
          <w:rtl/>
        </w:rPr>
        <w:t xml:space="preserve"> </w:t>
      </w:r>
      <w:r w:rsidRPr="00DA1191">
        <w:rPr>
          <w:rFonts w:ascii="mylotus" w:hAnsi="mylotus" w:hint="cs"/>
          <w:b/>
          <w:bCs/>
          <w:sz w:val="34"/>
          <w:szCs w:val="34"/>
          <w:rtl/>
        </w:rPr>
        <w:t>ولكن</w:t>
      </w:r>
      <w:r w:rsidRPr="00DA1191">
        <w:rPr>
          <w:rFonts w:ascii="mylotus" w:hAnsi="mylotus"/>
          <w:b/>
          <w:bCs/>
          <w:sz w:val="34"/>
          <w:szCs w:val="34"/>
          <w:rtl/>
        </w:rPr>
        <w:t xml:space="preserve"> </w:t>
      </w:r>
      <w:r w:rsidRPr="00DA1191">
        <w:rPr>
          <w:rFonts w:ascii="mylotus" w:hAnsi="mylotus" w:hint="cs"/>
          <w:b/>
          <w:bCs/>
          <w:sz w:val="34"/>
          <w:szCs w:val="34"/>
          <w:rtl/>
        </w:rPr>
        <w:t>يكتفون</w:t>
      </w:r>
      <w:r w:rsidRPr="00DA1191">
        <w:rPr>
          <w:rFonts w:ascii="mylotus" w:hAnsi="mylotus"/>
          <w:b/>
          <w:bCs/>
          <w:sz w:val="34"/>
          <w:szCs w:val="34"/>
          <w:rtl/>
        </w:rPr>
        <w:t xml:space="preserve"> </w:t>
      </w:r>
      <w:r w:rsidRPr="00DA1191">
        <w:rPr>
          <w:rFonts w:ascii="mylotus" w:hAnsi="mylotus" w:hint="cs"/>
          <w:b/>
          <w:bCs/>
          <w:sz w:val="34"/>
          <w:szCs w:val="34"/>
          <w:rtl/>
        </w:rPr>
        <w:t>في</w:t>
      </w:r>
      <w:r w:rsidRPr="00DA1191">
        <w:rPr>
          <w:rFonts w:ascii="mylotus" w:hAnsi="mylotus"/>
          <w:b/>
          <w:bCs/>
          <w:sz w:val="34"/>
          <w:szCs w:val="34"/>
          <w:rtl/>
        </w:rPr>
        <w:t xml:space="preserve"> </w:t>
      </w:r>
      <w:r w:rsidRPr="00DA1191">
        <w:rPr>
          <w:rFonts w:ascii="mylotus" w:hAnsi="mylotus" w:hint="cs"/>
          <w:b/>
          <w:bCs/>
          <w:sz w:val="34"/>
          <w:szCs w:val="34"/>
          <w:rtl/>
        </w:rPr>
        <w:t>ارتكابها</w:t>
      </w:r>
      <w:r w:rsidRPr="00DA1191">
        <w:rPr>
          <w:rFonts w:ascii="mylotus" w:hAnsi="mylotus"/>
          <w:b/>
          <w:bCs/>
          <w:sz w:val="34"/>
          <w:szCs w:val="34"/>
          <w:rtl/>
        </w:rPr>
        <w:t xml:space="preserve"> </w:t>
      </w:r>
      <w:r w:rsidRPr="00DA1191">
        <w:rPr>
          <w:rFonts w:ascii="mylotus" w:hAnsi="mylotus" w:hint="cs"/>
          <w:b/>
          <w:bCs/>
          <w:sz w:val="34"/>
          <w:szCs w:val="34"/>
          <w:rtl/>
        </w:rPr>
        <w:t>بأعذار</w:t>
      </w:r>
      <w:r w:rsidRPr="00DA1191">
        <w:rPr>
          <w:rFonts w:ascii="mylotus" w:hAnsi="mylotus"/>
          <w:b/>
          <w:bCs/>
          <w:sz w:val="34"/>
          <w:szCs w:val="34"/>
          <w:rtl/>
        </w:rPr>
        <w:t xml:space="preserve"> </w:t>
      </w:r>
      <w:r w:rsidRPr="00DA1191">
        <w:rPr>
          <w:rFonts w:ascii="mylotus" w:hAnsi="mylotus" w:hint="cs"/>
          <w:b/>
          <w:bCs/>
          <w:sz w:val="34"/>
          <w:szCs w:val="34"/>
          <w:rtl/>
        </w:rPr>
        <w:t>عرفيّ</w:t>
      </w:r>
      <w:r w:rsidRPr="00DA1191">
        <w:rPr>
          <w:rFonts w:ascii="mylotus" w:hAnsi="mylotus"/>
          <w:b/>
          <w:bCs/>
          <w:sz w:val="34"/>
          <w:szCs w:val="34"/>
          <w:rtl/>
        </w:rPr>
        <w:t>ة مسامحةً، كترك الأمر بالمعروف أو النهى عن المنكر)</w:t>
      </w:r>
      <w:r w:rsidRPr="008C5A14">
        <w:rPr>
          <w:rFonts w:ascii="mylotus" w:hAnsi="mylotus"/>
          <w:sz w:val="34"/>
          <w:szCs w:val="34"/>
          <w:rtl/>
        </w:rPr>
        <w:t xml:space="preserve"> كما في زماننا اليوم فكثيرٌ مِن الناس لا ينهون أرحامهم أو أصدقائهم أو جيرانهم عن المنكر؛ لأنّه يرى في ذلك خدشا</w:t>
      </w:r>
      <w:r>
        <w:rPr>
          <w:rFonts w:ascii="mylotus" w:hAnsi="mylotus" w:hint="cs"/>
          <w:sz w:val="34"/>
          <w:szCs w:val="34"/>
          <w:rtl/>
        </w:rPr>
        <w:t>ً</w:t>
      </w:r>
      <w:r w:rsidRPr="008C5A14">
        <w:rPr>
          <w:rFonts w:ascii="mylotus" w:hAnsi="mylotus"/>
          <w:sz w:val="34"/>
          <w:szCs w:val="34"/>
          <w:rtl/>
        </w:rPr>
        <w:t xml:space="preserve"> في العلاقة مما يوجب تغير تعامل الغير معه</w:t>
      </w:r>
      <w:r>
        <w:rPr>
          <w:rFonts w:ascii="mylotus" w:hAnsi="mylotus" w:hint="cs"/>
          <w:sz w:val="34"/>
          <w:szCs w:val="34"/>
          <w:rtl/>
        </w:rPr>
        <w:t>ُ</w:t>
      </w:r>
      <w:r w:rsidRPr="008C5A14">
        <w:rPr>
          <w:rFonts w:ascii="mylotus" w:hAnsi="mylotus"/>
          <w:sz w:val="34"/>
          <w:szCs w:val="34"/>
          <w:rtl/>
        </w:rPr>
        <w:t xml:space="preserve"> وما أشبه ذلك م</w:t>
      </w:r>
      <w:r>
        <w:rPr>
          <w:rFonts w:ascii="mylotus" w:hAnsi="mylotus" w:hint="cs"/>
          <w:sz w:val="34"/>
          <w:szCs w:val="34"/>
          <w:rtl/>
        </w:rPr>
        <w:t>ِ</w:t>
      </w:r>
      <w:r w:rsidRPr="008C5A14">
        <w:rPr>
          <w:rFonts w:ascii="mylotus" w:hAnsi="mylotus"/>
          <w:sz w:val="34"/>
          <w:szCs w:val="34"/>
          <w:rtl/>
        </w:rPr>
        <w:t xml:space="preserve">ن الأعذّار </w:t>
      </w:r>
      <w:r w:rsidRPr="008C5A14">
        <w:rPr>
          <w:rFonts w:ascii="mylotus" w:hAnsi="mylotus"/>
          <w:sz w:val="34"/>
          <w:szCs w:val="34"/>
          <w:rtl/>
        </w:rPr>
        <w:lastRenderedPageBreak/>
        <w:t xml:space="preserve">العرفية </w:t>
      </w:r>
      <w:r w:rsidRPr="00DA1191">
        <w:rPr>
          <w:rFonts w:ascii="mylotus" w:hAnsi="mylotus"/>
          <w:b/>
          <w:bCs/>
          <w:sz w:val="34"/>
          <w:szCs w:val="34"/>
          <w:rtl/>
        </w:rPr>
        <w:t xml:space="preserve">(أو الخروج عن مجلس الغيبة ونحوها حياءً مع كونهم كارهين لذلك في نفوسهم) </w:t>
      </w:r>
      <w:r w:rsidRPr="008C5A14">
        <w:rPr>
          <w:rFonts w:ascii="mylotus" w:hAnsi="mylotus"/>
          <w:sz w:val="34"/>
          <w:szCs w:val="34"/>
          <w:rtl/>
        </w:rPr>
        <w:t xml:space="preserve">فهو يكره مِن نفسه هذه الصغيرة لكنه ارتكبها عن عذّرٍ عرفي </w:t>
      </w:r>
      <w:r w:rsidRPr="00DA1191">
        <w:rPr>
          <w:rFonts w:ascii="mylotus" w:hAnsi="mylotus"/>
          <w:b/>
          <w:bCs/>
          <w:sz w:val="34"/>
          <w:szCs w:val="34"/>
          <w:rtl/>
        </w:rPr>
        <w:t>(فالظاهر عدم كون مثل ذلك منافياً لاتّصافه بالفعل عرفاً بكونه من أهل الستر والعفاف والخير والصلاح وغير ذلك من العناوين المعلّق عليها قبول شهادته في أخبار الباب)</w:t>
      </w:r>
      <w:r w:rsidRPr="008C5A14">
        <w:rPr>
          <w:rFonts w:ascii="mylotus" w:hAnsi="mylotus"/>
          <w:sz w:val="34"/>
          <w:szCs w:val="34"/>
          <w:rtl/>
        </w:rPr>
        <w:t xml:space="preserve"> فيصحّ </w:t>
      </w:r>
      <w:proofErr w:type="spellStart"/>
      <w:r w:rsidRPr="008C5A14">
        <w:rPr>
          <w:rFonts w:ascii="mylotus" w:hAnsi="mylotus"/>
          <w:sz w:val="34"/>
          <w:szCs w:val="34"/>
          <w:rtl/>
        </w:rPr>
        <w:t>الإئتمام</w:t>
      </w:r>
      <w:proofErr w:type="spellEnd"/>
      <w:r w:rsidRPr="008C5A14">
        <w:rPr>
          <w:rFonts w:ascii="mylotus" w:hAnsi="mylotus"/>
          <w:sz w:val="34"/>
          <w:szCs w:val="34"/>
          <w:rtl/>
        </w:rPr>
        <w:t xml:space="preserve"> به وتقبل شهادته؛ لأنّه عدلٌ بالنظر العرفي لصدق عنوان الاستقامة على جادة الشرع بالنسبة إليه </w:t>
      </w:r>
      <w:r w:rsidRPr="00DA1191">
        <w:rPr>
          <w:rFonts w:ascii="mylotus" w:hAnsi="mylotus"/>
          <w:b/>
          <w:bCs/>
          <w:sz w:val="34"/>
          <w:szCs w:val="34"/>
          <w:rtl/>
        </w:rPr>
        <w:t xml:space="preserve">(وهذا بخلاف مثل الزنا واللّواط وشرب الخمر وقتل النفس ونظائرها ممّا يرونها كبيرةً، </w:t>
      </w:r>
      <w:r w:rsidRPr="00347403">
        <w:rPr>
          <w:rFonts w:ascii="mylotus" w:hAnsi="mylotus"/>
          <w:b/>
          <w:bCs/>
          <w:sz w:val="34"/>
          <w:szCs w:val="34"/>
          <w:highlight w:val="yellow"/>
          <w:rtl/>
        </w:rPr>
        <w:t>فإنّها غير قابلةٍ عندهم للمسامحة،</w:t>
      </w:r>
      <w:r w:rsidRPr="00DA1191">
        <w:rPr>
          <w:rFonts w:ascii="mylotus" w:hAnsi="mylotus"/>
          <w:b/>
          <w:bCs/>
          <w:sz w:val="34"/>
          <w:szCs w:val="34"/>
          <w:rtl/>
        </w:rPr>
        <w:t xml:space="preserve"> ومانعة عن اتّصاف فاعلها بالاستقامة والاعتدال مطلقاً، فهذا هو الفارق بين ما يراه العرف صغيرةً وكبيرةً فإن ثبت بدليلٍ شرعيّ أنّ بعض الأشياء التي يتسامح فيها أهل العرف ولا يرونها كبيرةً -كالغيبة مثلاً- حاله حال الزنا والسرقة لدى الشارع في كونها كبيرةً، </w:t>
      </w:r>
      <w:r w:rsidRPr="0079283F">
        <w:rPr>
          <w:rFonts w:ascii="mylotus" w:hAnsi="mylotus"/>
          <w:b/>
          <w:bCs/>
          <w:color w:val="EE0000"/>
          <w:sz w:val="34"/>
          <w:szCs w:val="34"/>
          <w:rtl/>
        </w:rPr>
        <w:t>كشف ذلك عن خطاء العرف في مسامحتهم</w:t>
      </w:r>
      <w:r w:rsidRPr="00DA1191">
        <w:rPr>
          <w:rFonts w:ascii="mylotus" w:hAnsi="mylotus"/>
          <w:b/>
          <w:bCs/>
          <w:sz w:val="34"/>
          <w:szCs w:val="34"/>
          <w:rtl/>
        </w:rPr>
        <w:t xml:space="preserve">، وأنّ هذا أيضاً كالزنا منافٍ للعدالة مطلقاً فالذي يعتبر في تحقّق وصف العدالة أن يكون الشخص من حيث هو لو خُلّي ونفسه كافّاً نفسه عن مطلق ما يراه معصيةً، </w:t>
      </w:r>
      <w:proofErr w:type="spellStart"/>
      <w:r w:rsidRPr="00DA1191">
        <w:rPr>
          <w:rFonts w:ascii="mylotus" w:hAnsi="mylotus"/>
          <w:b/>
          <w:bCs/>
          <w:sz w:val="34"/>
          <w:szCs w:val="34"/>
          <w:rtl/>
        </w:rPr>
        <w:t>ومجتنباً</w:t>
      </w:r>
      <w:proofErr w:type="spellEnd"/>
      <w:r w:rsidRPr="00DA1191">
        <w:rPr>
          <w:rFonts w:ascii="mylotus" w:hAnsi="mylotus"/>
          <w:b/>
          <w:bCs/>
          <w:sz w:val="34"/>
          <w:szCs w:val="34"/>
          <w:rtl/>
        </w:rPr>
        <w:t xml:space="preserve"> بالفعل عن كلّ ما هو كبيرة شرعاً أو في أنظار أهل العرف</w:t>
      </w:r>
      <w:r w:rsidRPr="00DA1191">
        <w:rPr>
          <w:rFonts w:ascii="mylotus" w:hAnsi="mylotus"/>
          <w:b/>
          <w:bCs/>
          <w:sz w:val="34"/>
          <w:szCs w:val="34"/>
        </w:rPr>
        <w:t>.</w:t>
      </w:r>
    </w:p>
    <w:p w14:paraId="5F4C3090" w14:textId="77777777" w:rsidR="009E3B18" w:rsidRPr="008C5A14" w:rsidRDefault="009E3B18" w:rsidP="009E3B18">
      <w:pPr>
        <w:pStyle w:val="a"/>
        <w:bidi/>
        <w:spacing w:line="216" w:lineRule="auto"/>
        <w:rPr>
          <w:rFonts w:ascii="mylotus" w:hAnsi="mylotus"/>
          <w:sz w:val="34"/>
          <w:szCs w:val="34"/>
          <w:rtl/>
        </w:rPr>
      </w:pPr>
      <w:r w:rsidRPr="00DA1191">
        <w:rPr>
          <w:rFonts w:ascii="mylotus" w:hAnsi="mylotus"/>
          <w:b/>
          <w:bCs/>
          <w:sz w:val="34"/>
          <w:szCs w:val="34"/>
          <w:rtl/>
        </w:rPr>
        <w:t xml:space="preserve">والدليل على ما قوّيناه ما تقدّمت الإشارة إليه مراراً من أنّ المتبادر من إطلاق كون الرجل عَدْلاً في الدين ليس إلّا إرادة كونه ملازماً للتقوى والصلاح بأداء الواجبات وترك المحرّمات، ولم يظهر من صحيحة ابن أبي يعفور ولا من غيرها من الروايات إرادة ما ينافي ذلك، فمن شهد أهل العرف الذين ألقيّ إليهم الخطاب بإشهاد ذوي عدلٍ منهم بكونه موصوفاً بهذه الصفة جرى عليه حكمه، وإن كانت شهادتهم بذلك مبتنية على بعض المسامحات </w:t>
      </w:r>
      <w:proofErr w:type="spellStart"/>
      <w:r w:rsidRPr="00DA1191">
        <w:rPr>
          <w:rFonts w:ascii="mylotus" w:hAnsi="mylotus"/>
          <w:b/>
          <w:bCs/>
          <w:sz w:val="34"/>
          <w:szCs w:val="34"/>
          <w:rtl/>
        </w:rPr>
        <w:t>المغتفرة</w:t>
      </w:r>
      <w:proofErr w:type="spellEnd"/>
      <w:r w:rsidRPr="00DA1191">
        <w:rPr>
          <w:rFonts w:ascii="mylotus" w:hAnsi="mylotus"/>
          <w:b/>
          <w:bCs/>
          <w:sz w:val="34"/>
          <w:szCs w:val="34"/>
          <w:rtl/>
        </w:rPr>
        <w:t>)</w:t>
      </w:r>
      <w:r w:rsidRPr="008C5A14">
        <w:rPr>
          <w:rFonts w:ascii="mylotus" w:hAnsi="mylotus"/>
          <w:sz w:val="34"/>
          <w:szCs w:val="34"/>
          <w:rtl/>
        </w:rPr>
        <w:t xml:space="preserve"> أي: في مقام الصدق </w:t>
      </w:r>
      <w:r w:rsidRPr="00DA1191">
        <w:rPr>
          <w:rFonts w:ascii="mylotus" w:hAnsi="mylotus"/>
          <w:b/>
          <w:bCs/>
          <w:sz w:val="34"/>
          <w:szCs w:val="34"/>
          <w:rtl/>
        </w:rPr>
        <w:t>(لديهم كسائر الموضوعات التي تعلّق بها حكم شرعيّ ممّا يتحمل المسامحات العرفية كإطلاق الصاع من الحنطة على الحنطة المدفوعة فطرة المشتملة على شيءٍ يسيرٍ من ترابٍ أو تبنٍ ونحوه ممّا يتسامح فيه)</w:t>
      </w:r>
      <w:r w:rsidRPr="008C5A14">
        <w:rPr>
          <w:rFonts w:ascii="mylotus" w:hAnsi="mylotus"/>
          <w:sz w:val="34"/>
          <w:szCs w:val="34"/>
          <w:rtl/>
        </w:rPr>
        <w:t xml:space="preserve"> وكذا إطلاق الماء على ما ليس بماءٍ خالصٍ حقيقةً لاختلاطه بشيءٍ مِن التراب أو الملح فيتوضأ به ويشرب منه، وكالذهب أيضاً على ما امتزج بغيره مِن المعادن نحو الذهب بعيار 19 فهو ذهب</w:t>
      </w:r>
      <w:r>
        <w:rPr>
          <w:rFonts w:ascii="mylotus" w:hAnsi="mylotus" w:hint="cs"/>
          <w:sz w:val="34"/>
          <w:szCs w:val="34"/>
          <w:rtl/>
        </w:rPr>
        <w:t>ٌ</w:t>
      </w:r>
      <w:r w:rsidRPr="008C5A14">
        <w:rPr>
          <w:rFonts w:ascii="mylotus" w:hAnsi="mylotus"/>
          <w:sz w:val="34"/>
          <w:szCs w:val="34"/>
          <w:rtl/>
        </w:rPr>
        <w:t xml:space="preserve"> غير</w:t>
      </w:r>
      <w:r>
        <w:rPr>
          <w:rFonts w:ascii="mylotus" w:hAnsi="mylotus" w:hint="cs"/>
          <w:sz w:val="34"/>
          <w:szCs w:val="34"/>
          <w:rtl/>
        </w:rPr>
        <w:t>ُ</w:t>
      </w:r>
      <w:r w:rsidRPr="008C5A14">
        <w:rPr>
          <w:rFonts w:ascii="mylotus" w:hAnsi="mylotus"/>
          <w:sz w:val="34"/>
          <w:szCs w:val="34"/>
          <w:rtl/>
        </w:rPr>
        <w:t xml:space="preserve"> خالص</w:t>
      </w:r>
      <w:r>
        <w:rPr>
          <w:rFonts w:ascii="mylotus" w:hAnsi="mylotus" w:hint="cs"/>
          <w:sz w:val="34"/>
          <w:szCs w:val="34"/>
          <w:rtl/>
        </w:rPr>
        <w:t>ٍ</w:t>
      </w:r>
      <w:r w:rsidRPr="008C5A14">
        <w:rPr>
          <w:rFonts w:ascii="mylotus" w:hAnsi="mylotus"/>
          <w:sz w:val="34"/>
          <w:szCs w:val="34"/>
          <w:rtl/>
        </w:rPr>
        <w:t xml:space="preserve"> حيث</w:t>
      </w:r>
      <w:r>
        <w:rPr>
          <w:rFonts w:ascii="mylotus" w:hAnsi="mylotus" w:hint="cs"/>
          <w:sz w:val="34"/>
          <w:szCs w:val="34"/>
          <w:rtl/>
        </w:rPr>
        <w:t>ُ</w:t>
      </w:r>
      <w:r w:rsidRPr="008C5A14">
        <w:rPr>
          <w:rFonts w:ascii="mylotus" w:hAnsi="mylotus"/>
          <w:sz w:val="34"/>
          <w:szCs w:val="34"/>
          <w:rtl/>
        </w:rPr>
        <w:t xml:space="preserve"> تتفاوت درجات الذهب بشدّة الخلوص وعدمه، ومع ذلك يعتبر ذهباً يحرم على الرجل لبسه، وغير ذلك من الأمثلة </w:t>
      </w:r>
      <w:r w:rsidRPr="00DA1191">
        <w:rPr>
          <w:rFonts w:ascii="mylotus" w:hAnsi="mylotus"/>
          <w:b/>
          <w:bCs/>
          <w:sz w:val="34"/>
          <w:szCs w:val="34"/>
          <w:rtl/>
        </w:rPr>
        <w:t>(فحكمهم متبع في تشخيص موضوعات الأحكام وإن كان مبنياً)</w:t>
      </w:r>
      <w:r w:rsidRPr="008C5A14">
        <w:rPr>
          <w:rFonts w:ascii="mylotus" w:hAnsi="mylotus"/>
          <w:sz w:val="34"/>
          <w:szCs w:val="34"/>
          <w:rtl/>
        </w:rPr>
        <w:t xml:space="preserve"> هذا التشخيص </w:t>
      </w:r>
      <w:r w:rsidRPr="00DA1191">
        <w:rPr>
          <w:rFonts w:ascii="mylotus" w:hAnsi="mylotus"/>
          <w:b/>
          <w:bCs/>
          <w:sz w:val="34"/>
          <w:szCs w:val="34"/>
          <w:rtl/>
        </w:rPr>
        <w:t>(على هذا النحو من المسامحات الغير الموجبة لكون الإطلاق إطلاقاً مجازياً في عرفهم</w:t>
      </w:r>
      <w:r w:rsidRPr="00DA1191">
        <w:rPr>
          <w:rFonts w:ascii="mylotus" w:hAnsi="mylotus" w:hint="cs"/>
          <w:b/>
          <w:bCs/>
          <w:sz w:val="34"/>
          <w:szCs w:val="34"/>
          <w:rtl/>
        </w:rPr>
        <w:t>).</w:t>
      </w:r>
    </w:p>
    <w:p w14:paraId="08EFF934" w14:textId="77777777" w:rsidR="009E3B18" w:rsidRDefault="009E3B18" w:rsidP="009E3B18">
      <w:pPr>
        <w:pStyle w:val="a"/>
        <w:bidi/>
        <w:spacing w:line="216" w:lineRule="auto"/>
        <w:rPr>
          <w:rFonts w:ascii="mylotus" w:hAnsi="mylotus"/>
          <w:sz w:val="34"/>
          <w:szCs w:val="34"/>
          <w:rtl/>
        </w:rPr>
      </w:pPr>
      <w:r w:rsidRPr="008C5A14">
        <w:rPr>
          <w:rFonts w:ascii="mylotus" w:hAnsi="mylotus"/>
          <w:sz w:val="34"/>
          <w:szCs w:val="34"/>
          <w:rtl/>
        </w:rPr>
        <w:t>فإن</w:t>
      </w:r>
      <w:r>
        <w:rPr>
          <w:rFonts w:ascii="mylotus" w:hAnsi="mylotus" w:hint="cs"/>
          <w:sz w:val="34"/>
          <w:szCs w:val="34"/>
          <w:rtl/>
        </w:rPr>
        <w:t>ّ</w:t>
      </w:r>
      <w:r w:rsidRPr="008C5A14">
        <w:rPr>
          <w:rFonts w:ascii="mylotus" w:hAnsi="mylotus"/>
          <w:sz w:val="34"/>
          <w:szCs w:val="34"/>
          <w:rtl/>
        </w:rPr>
        <w:t xml:space="preserve"> إطلاق الماء على المختلط، والذهب على الممتزج، والحنطة على المختلط وما أشبه ذلك، إنْ لوحظ بلحاظٍ عقليّ فهو تسامح وتجوز، وإنْ لوحظ بلحاظ عرفي فهو مصداقٌ حقيقي للذهب والماء والحنطة ولا يرى العرفي أيّ تجوز في ذلك؛ بلحاظ أنّ الفارق فارقٌ ضئيل</w:t>
      </w:r>
      <w:r>
        <w:rPr>
          <w:rFonts w:ascii="mylotus" w:hAnsi="mylotus" w:hint="cs"/>
          <w:sz w:val="34"/>
          <w:szCs w:val="34"/>
          <w:rtl/>
        </w:rPr>
        <w:t>ٌ</w:t>
      </w:r>
      <w:r w:rsidRPr="008C5A14">
        <w:rPr>
          <w:rFonts w:ascii="mylotus" w:hAnsi="mylotus"/>
          <w:sz w:val="34"/>
          <w:szCs w:val="34"/>
          <w:rtl/>
        </w:rPr>
        <w:t xml:space="preserve"> لا يلتفت</w:t>
      </w:r>
      <w:r>
        <w:rPr>
          <w:rFonts w:ascii="mylotus" w:hAnsi="mylotus" w:hint="cs"/>
          <w:sz w:val="34"/>
          <w:szCs w:val="34"/>
          <w:rtl/>
        </w:rPr>
        <w:t>ُ</w:t>
      </w:r>
      <w:r w:rsidRPr="008C5A14">
        <w:rPr>
          <w:rFonts w:ascii="mylotus" w:hAnsi="mylotus"/>
          <w:sz w:val="34"/>
          <w:szCs w:val="34"/>
          <w:rtl/>
        </w:rPr>
        <w:t xml:space="preserve"> إليه العرف العا</w:t>
      </w:r>
      <w:r>
        <w:rPr>
          <w:rFonts w:ascii="mylotus" w:hAnsi="mylotus" w:hint="cs"/>
          <w:sz w:val="34"/>
          <w:szCs w:val="34"/>
          <w:rtl/>
        </w:rPr>
        <w:t>م.</w:t>
      </w:r>
    </w:p>
    <w:p w14:paraId="79380126" w14:textId="77777777" w:rsidR="009E3B18" w:rsidRPr="00DA1191" w:rsidRDefault="009E3B18" w:rsidP="009E3B18">
      <w:pPr>
        <w:pStyle w:val="a"/>
        <w:bidi/>
        <w:spacing w:line="216" w:lineRule="auto"/>
        <w:rPr>
          <w:rFonts w:ascii="mylotus" w:hAnsi="mylotus"/>
          <w:b/>
          <w:bCs/>
          <w:sz w:val="34"/>
          <w:szCs w:val="34"/>
          <w:rtl/>
        </w:rPr>
      </w:pPr>
      <w:r w:rsidRPr="00DA1191">
        <w:rPr>
          <w:rFonts w:ascii="mylotus" w:hAnsi="mylotus" w:hint="cs"/>
          <w:b/>
          <w:bCs/>
          <w:sz w:val="34"/>
          <w:szCs w:val="34"/>
          <w:rtl/>
        </w:rPr>
        <w:t>(</w:t>
      </w:r>
      <w:r w:rsidRPr="00DA1191">
        <w:rPr>
          <w:rFonts w:ascii="mylotus" w:hAnsi="mylotus"/>
          <w:b/>
          <w:bCs/>
          <w:sz w:val="34"/>
          <w:szCs w:val="34"/>
          <w:rtl/>
        </w:rPr>
        <w:t xml:space="preserve">أللّهم إلّا أن يدل دليل شرعيّ على خطائهم في مسامحتهم وأنّ الذنب الفلاني الذي </w:t>
      </w:r>
      <w:proofErr w:type="spellStart"/>
      <w:r w:rsidRPr="00DA1191">
        <w:rPr>
          <w:rFonts w:ascii="mylotus" w:hAnsi="mylotus"/>
          <w:b/>
          <w:bCs/>
          <w:sz w:val="34"/>
          <w:szCs w:val="34"/>
          <w:rtl/>
        </w:rPr>
        <w:t>يستصغره</w:t>
      </w:r>
      <w:proofErr w:type="spellEnd"/>
      <w:r w:rsidRPr="00DA1191">
        <w:rPr>
          <w:rFonts w:ascii="mylotus" w:hAnsi="mylotus"/>
          <w:b/>
          <w:bCs/>
          <w:sz w:val="34"/>
          <w:szCs w:val="34"/>
          <w:rtl/>
        </w:rPr>
        <w:t xml:space="preserve"> العرف ويتسامحون في أمره ليس كما </w:t>
      </w:r>
      <w:proofErr w:type="gramStart"/>
      <w:r w:rsidRPr="00DA1191">
        <w:rPr>
          <w:rFonts w:ascii="mylotus" w:hAnsi="mylotus"/>
          <w:b/>
          <w:bCs/>
          <w:sz w:val="34"/>
          <w:szCs w:val="34"/>
          <w:rtl/>
        </w:rPr>
        <w:t>يرونه</w:t>
      </w:r>
      <w:proofErr w:type="gramEnd"/>
      <w:r w:rsidRPr="00DA1191">
        <w:rPr>
          <w:rFonts w:ascii="mylotus" w:hAnsi="mylotus"/>
          <w:b/>
          <w:bCs/>
          <w:sz w:val="34"/>
          <w:szCs w:val="34"/>
          <w:rtl/>
        </w:rPr>
        <w:t xml:space="preserve"> بل هو عظيم في الواقع بحيث لو اطلع العرف على عظمته لرأوا كون مرتكبه خارجاً عن حد الاعتدال خروجاً بيناً غير قابلٍ للمسامحة، نظير ما لو دل الدليل في المثال على أنّ ما يرونه من التبن المختلط ليس كما </w:t>
      </w:r>
      <w:proofErr w:type="gramStart"/>
      <w:r w:rsidRPr="00DA1191">
        <w:rPr>
          <w:rFonts w:ascii="mylotus" w:hAnsi="mylotus"/>
          <w:b/>
          <w:bCs/>
          <w:sz w:val="34"/>
          <w:szCs w:val="34"/>
          <w:rtl/>
        </w:rPr>
        <w:lastRenderedPageBreak/>
        <w:t>يرونه</w:t>
      </w:r>
      <w:proofErr w:type="gramEnd"/>
      <w:r w:rsidRPr="00DA1191">
        <w:rPr>
          <w:rFonts w:ascii="mylotus" w:hAnsi="mylotus"/>
          <w:b/>
          <w:bCs/>
          <w:sz w:val="34"/>
          <w:szCs w:val="34"/>
          <w:rtl/>
        </w:rPr>
        <w:t xml:space="preserve"> بل هو جسم ثقيل كقطع الحديد له مقدار معتد به من الوزن غير قابل للمسامحة، فليتأمل فإنّه لا يخلو من دقّة</w:t>
      </w:r>
      <w:r w:rsidRPr="00DA1191">
        <w:rPr>
          <w:rFonts w:ascii="mylotus" w:hAnsi="mylotus" w:hint="cs"/>
          <w:b/>
          <w:bCs/>
          <w:sz w:val="34"/>
          <w:szCs w:val="34"/>
          <w:rtl/>
        </w:rPr>
        <w:t>).</w:t>
      </w:r>
    </w:p>
    <w:p w14:paraId="74911705" w14:textId="7355FE48" w:rsidR="009E3B18" w:rsidRPr="00D7328C" w:rsidRDefault="009E3B18" w:rsidP="009E3B18">
      <w:pPr>
        <w:pStyle w:val="a"/>
        <w:bidi/>
        <w:spacing w:line="216" w:lineRule="auto"/>
        <w:rPr>
          <w:rFonts w:ascii="mylotus" w:hAnsi="mylotus"/>
          <w:b/>
          <w:bCs/>
          <w:color w:val="002060"/>
          <w:sz w:val="34"/>
          <w:szCs w:val="34"/>
          <w:rtl/>
        </w:rPr>
      </w:pPr>
      <w:r w:rsidRPr="008C5A14">
        <w:rPr>
          <w:rFonts w:ascii="mylotus" w:hAnsi="mylotus"/>
          <w:sz w:val="34"/>
          <w:szCs w:val="34"/>
          <w:rtl/>
        </w:rPr>
        <w:t xml:space="preserve">وناقشه سيدنا الخوئي (قدس سره الشريف) </w:t>
      </w:r>
      <w:r>
        <w:rPr>
          <w:rFonts w:ascii="mylotus" w:hAnsi="mylotus" w:hint="cs"/>
          <w:sz w:val="34"/>
          <w:szCs w:val="34"/>
          <w:rtl/>
        </w:rPr>
        <w:t>في كتاب التقليد مِن موسوعته المباركة</w:t>
      </w:r>
      <w:r>
        <w:rPr>
          <w:rStyle w:val="FootnoteReference"/>
          <w:rFonts w:ascii="mylotus" w:hAnsi="mylotus"/>
          <w:sz w:val="34"/>
          <w:szCs w:val="34"/>
          <w:rtl/>
        </w:rPr>
        <w:footnoteReference w:id="220"/>
      </w:r>
      <w:r w:rsidRPr="008C5A14">
        <w:rPr>
          <w:rFonts w:ascii="mylotus" w:hAnsi="mylotus"/>
          <w:sz w:val="34"/>
          <w:szCs w:val="34"/>
          <w:rtl/>
        </w:rPr>
        <w:t xml:space="preserve"> </w:t>
      </w:r>
      <w:r w:rsidRPr="008C5A14">
        <w:rPr>
          <w:rFonts w:ascii="mylotus" w:hAnsi="mylotus" w:hint="cs"/>
          <w:sz w:val="34"/>
          <w:szCs w:val="34"/>
          <w:rtl/>
        </w:rPr>
        <w:t>بقوله</w:t>
      </w:r>
      <w:r>
        <w:rPr>
          <w:rFonts w:ascii="mylotus" w:hAnsi="mylotus" w:hint="cs"/>
          <w:sz w:val="34"/>
          <w:szCs w:val="34"/>
          <w:rtl/>
        </w:rPr>
        <w:t>:</w:t>
      </w:r>
      <w:r w:rsidRPr="008C5A14">
        <w:rPr>
          <w:rFonts w:ascii="mylotus" w:hAnsi="mylotus"/>
          <w:sz w:val="34"/>
          <w:szCs w:val="34"/>
          <w:rtl/>
        </w:rPr>
        <w:t xml:space="preserve"> </w:t>
      </w:r>
      <w:r w:rsidRPr="00DA1191">
        <w:rPr>
          <w:rFonts w:ascii="mylotus" w:hAnsi="mylotus"/>
          <w:b/>
          <w:bCs/>
          <w:sz w:val="34"/>
          <w:szCs w:val="34"/>
          <w:rtl/>
        </w:rPr>
        <w:t>(</w:t>
      </w:r>
      <w:r w:rsidRPr="00DA1191">
        <w:rPr>
          <w:rFonts w:ascii="mylotus" w:hAnsi="mylotus" w:hint="cs"/>
          <w:b/>
          <w:bCs/>
          <w:sz w:val="34"/>
          <w:szCs w:val="34"/>
          <w:rtl/>
        </w:rPr>
        <w:t>ولا</w:t>
      </w:r>
      <w:r w:rsidRPr="00DA1191">
        <w:rPr>
          <w:rFonts w:ascii="mylotus" w:hAnsi="mylotus"/>
          <w:b/>
          <w:bCs/>
          <w:sz w:val="34"/>
          <w:szCs w:val="34"/>
          <w:rtl/>
        </w:rPr>
        <w:t xml:space="preserve"> </w:t>
      </w:r>
      <w:r w:rsidRPr="00DA1191">
        <w:rPr>
          <w:rFonts w:ascii="mylotus" w:hAnsi="mylotus" w:hint="cs"/>
          <w:b/>
          <w:bCs/>
          <w:sz w:val="34"/>
          <w:szCs w:val="34"/>
          <w:rtl/>
        </w:rPr>
        <w:t>يخفى</w:t>
      </w:r>
      <w:r w:rsidRPr="00DA1191">
        <w:rPr>
          <w:rFonts w:ascii="mylotus" w:hAnsi="mylotus"/>
          <w:b/>
          <w:bCs/>
          <w:sz w:val="34"/>
          <w:szCs w:val="34"/>
          <w:rtl/>
        </w:rPr>
        <w:t xml:space="preserve"> </w:t>
      </w:r>
      <w:r w:rsidRPr="00DA1191">
        <w:rPr>
          <w:rFonts w:ascii="mylotus" w:hAnsi="mylotus" w:hint="cs"/>
          <w:b/>
          <w:bCs/>
          <w:sz w:val="34"/>
          <w:szCs w:val="34"/>
          <w:rtl/>
        </w:rPr>
        <w:t>أن</w:t>
      </w:r>
      <w:r w:rsidRPr="00DA1191">
        <w:rPr>
          <w:rFonts w:ascii="mylotus" w:hAnsi="mylotus"/>
          <w:b/>
          <w:bCs/>
          <w:sz w:val="34"/>
          <w:szCs w:val="34"/>
          <w:rtl/>
        </w:rPr>
        <w:t xml:space="preserve"> </w:t>
      </w:r>
      <w:r w:rsidRPr="00DA1191">
        <w:rPr>
          <w:rFonts w:ascii="mylotus" w:hAnsi="mylotus" w:hint="cs"/>
          <w:b/>
          <w:bCs/>
          <w:sz w:val="34"/>
          <w:szCs w:val="34"/>
          <w:rtl/>
        </w:rPr>
        <w:t>ما</w:t>
      </w:r>
      <w:r w:rsidRPr="00DA1191">
        <w:rPr>
          <w:rFonts w:ascii="mylotus" w:hAnsi="mylotus"/>
          <w:b/>
          <w:bCs/>
          <w:sz w:val="34"/>
          <w:szCs w:val="34"/>
          <w:rtl/>
        </w:rPr>
        <w:t xml:space="preserve"> </w:t>
      </w:r>
      <w:r w:rsidRPr="00DA1191">
        <w:rPr>
          <w:rFonts w:ascii="mylotus" w:hAnsi="mylotus" w:hint="cs"/>
          <w:b/>
          <w:bCs/>
          <w:sz w:val="34"/>
          <w:szCs w:val="34"/>
          <w:rtl/>
        </w:rPr>
        <w:t>أفاده</w:t>
      </w:r>
      <w:r w:rsidRPr="00DA1191">
        <w:rPr>
          <w:rFonts w:ascii="mylotus" w:hAnsi="mylotus"/>
          <w:b/>
          <w:bCs/>
          <w:sz w:val="34"/>
          <w:szCs w:val="34"/>
          <w:rtl/>
        </w:rPr>
        <w:t xml:space="preserve"> (</w:t>
      </w:r>
      <w:r w:rsidRPr="00DA1191">
        <w:rPr>
          <w:rFonts w:ascii="mylotus" w:hAnsi="mylotus" w:hint="cs"/>
          <w:b/>
          <w:bCs/>
          <w:sz w:val="34"/>
          <w:szCs w:val="34"/>
          <w:rtl/>
        </w:rPr>
        <w:t>قدّس</w:t>
      </w:r>
      <w:r w:rsidRPr="00DA1191">
        <w:rPr>
          <w:rFonts w:ascii="mylotus" w:hAnsi="mylotus"/>
          <w:b/>
          <w:bCs/>
          <w:sz w:val="34"/>
          <w:szCs w:val="34"/>
          <w:rtl/>
        </w:rPr>
        <w:t xml:space="preserve"> </w:t>
      </w:r>
      <w:r w:rsidRPr="00DA1191">
        <w:rPr>
          <w:rFonts w:ascii="mylotus" w:hAnsi="mylotus" w:hint="cs"/>
          <w:b/>
          <w:bCs/>
          <w:sz w:val="34"/>
          <w:szCs w:val="34"/>
          <w:rtl/>
        </w:rPr>
        <w:t>سرّه</w:t>
      </w:r>
      <w:r w:rsidRPr="00DA1191">
        <w:rPr>
          <w:rFonts w:ascii="mylotus" w:hAnsi="mylotus"/>
          <w:b/>
          <w:bCs/>
          <w:sz w:val="34"/>
          <w:szCs w:val="34"/>
          <w:rtl/>
        </w:rPr>
        <w:t xml:space="preserve">) </w:t>
      </w:r>
      <w:r w:rsidRPr="00DA1191">
        <w:rPr>
          <w:rFonts w:ascii="mylotus" w:hAnsi="mylotus" w:hint="cs"/>
          <w:b/>
          <w:bCs/>
          <w:sz w:val="34"/>
          <w:szCs w:val="34"/>
          <w:rtl/>
        </w:rPr>
        <w:t>لا</w:t>
      </w:r>
      <w:r w:rsidRPr="00DA1191">
        <w:rPr>
          <w:rFonts w:ascii="mylotus" w:hAnsi="mylotus"/>
          <w:b/>
          <w:bCs/>
          <w:sz w:val="34"/>
          <w:szCs w:val="34"/>
          <w:rtl/>
        </w:rPr>
        <w:t xml:space="preserve"> </w:t>
      </w:r>
      <w:r w:rsidRPr="00DA1191">
        <w:rPr>
          <w:rFonts w:ascii="mylotus" w:hAnsi="mylotus" w:hint="cs"/>
          <w:b/>
          <w:bCs/>
          <w:sz w:val="34"/>
          <w:szCs w:val="34"/>
          <w:rtl/>
        </w:rPr>
        <w:t>يرجع</w:t>
      </w:r>
      <w:r w:rsidRPr="00DA1191">
        <w:rPr>
          <w:rFonts w:ascii="mylotus" w:hAnsi="mylotus"/>
          <w:b/>
          <w:bCs/>
          <w:sz w:val="34"/>
          <w:szCs w:val="34"/>
          <w:rtl/>
        </w:rPr>
        <w:t xml:space="preserve"> </w:t>
      </w:r>
      <w:r w:rsidRPr="00DA1191">
        <w:rPr>
          <w:rFonts w:ascii="mylotus" w:hAnsi="mylotus" w:hint="cs"/>
          <w:b/>
          <w:bCs/>
          <w:sz w:val="34"/>
          <w:szCs w:val="34"/>
          <w:rtl/>
        </w:rPr>
        <w:t>إلى</w:t>
      </w:r>
      <w:r w:rsidRPr="00DA1191">
        <w:rPr>
          <w:rFonts w:ascii="mylotus" w:hAnsi="mylotus"/>
          <w:b/>
          <w:bCs/>
          <w:sz w:val="34"/>
          <w:szCs w:val="34"/>
          <w:rtl/>
        </w:rPr>
        <w:t xml:space="preserve"> </w:t>
      </w:r>
      <w:r w:rsidRPr="00DA1191">
        <w:rPr>
          <w:rFonts w:ascii="mylotus" w:hAnsi="mylotus" w:hint="cs"/>
          <w:b/>
          <w:bCs/>
          <w:sz w:val="34"/>
          <w:szCs w:val="34"/>
          <w:rtl/>
        </w:rPr>
        <w:t>محصّل</w:t>
      </w:r>
      <w:r w:rsidRPr="00DA1191">
        <w:rPr>
          <w:rFonts w:ascii="mylotus" w:hAnsi="mylotus"/>
          <w:b/>
          <w:bCs/>
          <w:sz w:val="34"/>
          <w:szCs w:val="34"/>
          <w:rtl/>
        </w:rPr>
        <w:t xml:space="preserve"> </w:t>
      </w:r>
      <w:r w:rsidRPr="00DA1191">
        <w:rPr>
          <w:rFonts w:ascii="mylotus" w:hAnsi="mylotus" w:hint="cs"/>
          <w:b/>
          <w:bCs/>
          <w:sz w:val="34"/>
          <w:szCs w:val="34"/>
          <w:rtl/>
        </w:rPr>
        <w:t>وذلك</w:t>
      </w:r>
      <w:r w:rsidRPr="00DA1191">
        <w:rPr>
          <w:rFonts w:ascii="mylotus" w:hAnsi="mylotus"/>
          <w:b/>
          <w:bCs/>
          <w:sz w:val="34"/>
          <w:szCs w:val="34"/>
          <w:rtl/>
        </w:rPr>
        <w:t xml:space="preserve"> </w:t>
      </w:r>
      <w:r w:rsidRPr="00DA1191">
        <w:rPr>
          <w:rFonts w:ascii="mylotus" w:hAnsi="mylotus" w:hint="cs"/>
          <w:b/>
          <w:bCs/>
          <w:sz w:val="34"/>
          <w:szCs w:val="34"/>
          <w:rtl/>
        </w:rPr>
        <w:t>لأن</w:t>
      </w:r>
      <w:r w:rsidRPr="00DA1191">
        <w:rPr>
          <w:rFonts w:ascii="mylotus" w:hAnsi="mylotus"/>
          <w:b/>
          <w:bCs/>
          <w:sz w:val="34"/>
          <w:szCs w:val="34"/>
          <w:rtl/>
        </w:rPr>
        <w:t xml:space="preserve"> </w:t>
      </w:r>
      <w:r w:rsidRPr="00DA1191">
        <w:rPr>
          <w:rFonts w:ascii="mylotus" w:hAnsi="mylotus" w:hint="cs"/>
          <w:b/>
          <w:bCs/>
          <w:sz w:val="34"/>
          <w:szCs w:val="34"/>
          <w:rtl/>
        </w:rPr>
        <w:t>العدالة</w:t>
      </w:r>
      <w:r w:rsidRPr="00DA1191">
        <w:rPr>
          <w:rFonts w:ascii="mylotus" w:hAnsi="mylotus"/>
          <w:b/>
          <w:bCs/>
          <w:sz w:val="34"/>
          <w:szCs w:val="34"/>
          <w:rtl/>
        </w:rPr>
        <w:t xml:space="preserve"> </w:t>
      </w:r>
      <w:r w:rsidRPr="00DA1191">
        <w:rPr>
          <w:rFonts w:ascii="mylotus" w:hAnsi="mylotus" w:hint="cs"/>
          <w:b/>
          <w:bCs/>
          <w:sz w:val="34"/>
          <w:szCs w:val="34"/>
          <w:rtl/>
        </w:rPr>
        <w:t>بمفهومها</w:t>
      </w:r>
      <w:r w:rsidRPr="00DA1191">
        <w:rPr>
          <w:rFonts w:ascii="mylotus" w:hAnsi="mylotus"/>
          <w:b/>
          <w:bCs/>
          <w:sz w:val="34"/>
          <w:szCs w:val="34"/>
          <w:rtl/>
        </w:rPr>
        <w:t xml:space="preserve"> </w:t>
      </w:r>
      <w:r w:rsidRPr="00DA1191">
        <w:rPr>
          <w:rFonts w:ascii="mylotus" w:hAnsi="mylotus" w:hint="cs"/>
          <w:b/>
          <w:bCs/>
          <w:sz w:val="34"/>
          <w:szCs w:val="34"/>
          <w:rtl/>
        </w:rPr>
        <w:t>أمر</w:t>
      </w:r>
      <w:r w:rsidRPr="00DA1191">
        <w:rPr>
          <w:rFonts w:ascii="mylotus" w:hAnsi="mylotus"/>
          <w:b/>
          <w:bCs/>
          <w:sz w:val="34"/>
          <w:szCs w:val="34"/>
          <w:rtl/>
        </w:rPr>
        <w:t xml:space="preserve"> </w:t>
      </w:r>
      <w:r w:rsidRPr="00DA1191">
        <w:rPr>
          <w:rFonts w:ascii="mylotus" w:hAnsi="mylotus" w:hint="cs"/>
          <w:b/>
          <w:bCs/>
          <w:sz w:val="34"/>
          <w:szCs w:val="34"/>
          <w:rtl/>
        </w:rPr>
        <w:t>يعرفه</w:t>
      </w:r>
      <w:r w:rsidRPr="00DA1191">
        <w:rPr>
          <w:rFonts w:ascii="mylotus" w:hAnsi="mylotus"/>
          <w:b/>
          <w:bCs/>
          <w:sz w:val="34"/>
          <w:szCs w:val="34"/>
          <w:rtl/>
        </w:rPr>
        <w:t xml:space="preserve"> </w:t>
      </w:r>
      <w:r w:rsidRPr="00DA1191">
        <w:rPr>
          <w:rFonts w:ascii="mylotus" w:hAnsi="mylotus" w:hint="cs"/>
          <w:b/>
          <w:bCs/>
          <w:sz w:val="34"/>
          <w:szCs w:val="34"/>
          <w:rtl/>
        </w:rPr>
        <w:t>كل</w:t>
      </w:r>
      <w:r w:rsidRPr="00DA1191">
        <w:rPr>
          <w:rFonts w:ascii="mylotus" w:hAnsi="mylotus"/>
          <w:b/>
          <w:bCs/>
          <w:sz w:val="34"/>
          <w:szCs w:val="34"/>
          <w:rtl/>
        </w:rPr>
        <w:t xml:space="preserve"> </w:t>
      </w:r>
      <w:r w:rsidRPr="00DA1191">
        <w:rPr>
          <w:rFonts w:ascii="mylotus" w:hAnsi="mylotus" w:hint="cs"/>
          <w:b/>
          <w:bCs/>
          <w:sz w:val="34"/>
          <w:szCs w:val="34"/>
          <w:rtl/>
        </w:rPr>
        <w:t>عارف</w:t>
      </w:r>
      <w:r w:rsidRPr="00DA1191">
        <w:rPr>
          <w:rFonts w:ascii="mylotus" w:hAnsi="mylotus"/>
          <w:b/>
          <w:bCs/>
          <w:sz w:val="34"/>
          <w:szCs w:val="34"/>
          <w:rtl/>
        </w:rPr>
        <w:t xml:space="preserve"> </w:t>
      </w:r>
      <w:r w:rsidRPr="00DA1191">
        <w:rPr>
          <w:rFonts w:ascii="mylotus" w:hAnsi="mylotus" w:hint="cs"/>
          <w:b/>
          <w:bCs/>
          <w:sz w:val="34"/>
          <w:szCs w:val="34"/>
          <w:rtl/>
        </w:rPr>
        <w:t>باللسان،</w:t>
      </w:r>
      <w:r w:rsidRPr="00DA1191">
        <w:rPr>
          <w:rFonts w:ascii="mylotus" w:hAnsi="mylotus"/>
          <w:b/>
          <w:bCs/>
          <w:sz w:val="34"/>
          <w:szCs w:val="34"/>
          <w:rtl/>
        </w:rPr>
        <w:t xml:space="preserve"> </w:t>
      </w:r>
      <w:r w:rsidRPr="00DA1191">
        <w:rPr>
          <w:rFonts w:ascii="mylotus" w:hAnsi="mylotus" w:hint="cs"/>
          <w:b/>
          <w:bCs/>
          <w:sz w:val="34"/>
          <w:szCs w:val="34"/>
          <w:rtl/>
        </w:rPr>
        <w:t>كما</w:t>
      </w:r>
      <w:r w:rsidRPr="00DA1191">
        <w:rPr>
          <w:rFonts w:ascii="mylotus" w:hAnsi="mylotus"/>
          <w:b/>
          <w:bCs/>
          <w:sz w:val="34"/>
          <w:szCs w:val="34"/>
          <w:rtl/>
        </w:rPr>
        <w:t xml:space="preserve"> </w:t>
      </w:r>
      <w:r w:rsidRPr="00DA1191">
        <w:rPr>
          <w:rFonts w:ascii="mylotus" w:hAnsi="mylotus" w:hint="cs"/>
          <w:b/>
          <w:bCs/>
          <w:sz w:val="34"/>
          <w:szCs w:val="34"/>
          <w:rtl/>
        </w:rPr>
        <w:t>بيّناه</w:t>
      </w:r>
      <w:r w:rsidRPr="00DA1191">
        <w:rPr>
          <w:rFonts w:ascii="mylotus" w:hAnsi="mylotus"/>
          <w:b/>
          <w:bCs/>
          <w:sz w:val="34"/>
          <w:szCs w:val="34"/>
          <w:rtl/>
        </w:rPr>
        <w:t xml:space="preserve"> </w:t>
      </w:r>
      <w:r w:rsidRPr="00DA1191">
        <w:rPr>
          <w:rFonts w:ascii="mylotus" w:hAnsi="mylotus" w:hint="cs"/>
          <w:b/>
          <w:bCs/>
          <w:sz w:val="34"/>
          <w:szCs w:val="34"/>
          <w:rtl/>
        </w:rPr>
        <w:t>وهو</w:t>
      </w:r>
      <w:r w:rsidRPr="00DA1191">
        <w:rPr>
          <w:rFonts w:ascii="mylotus" w:hAnsi="mylotus"/>
          <w:b/>
          <w:bCs/>
          <w:sz w:val="34"/>
          <w:szCs w:val="34"/>
          <w:rtl/>
        </w:rPr>
        <w:t xml:space="preserve"> </w:t>
      </w:r>
      <w:r w:rsidRPr="00DA1191">
        <w:rPr>
          <w:rFonts w:ascii="mylotus" w:hAnsi="mylotus" w:hint="cs"/>
          <w:b/>
          <w:bCs/>
          <w:sz w:val="34"/>
          <w:szCs w:val="34"/>
          <w:rtl/>
        </w:rPr>
        <w:t>عبارة</w:t>
      </w:r>
      <w:r w:rsidRPr="00DA1191">
        <w:rPr>
          <w:rFonts w:ascii="mylotus" w:hAnsi="mylotus"/>
          <w:b/>
          <w:bCs/>
          <w:sz w:val="34"/>
          <w:szCs w:val="34"/>
          <w:rtl/>
        </w:rPr>
        <w:t xml:space="preserve"> </w:t>
      </w:r>
      <w:r w:rsidRPr="00DA1191">
        <w:rPr>
          <w:rFonts w:ascii="mylotus" w:hAnsi="mylotus" w:hint="cs"/>
          <w:b/>
          <w:bCs/>
          <w:sz w:val="34"/>
          <w:szCs w:val="34"/>
          <w:rtl/>
        </w:rPr>
        <w:t>عن</w:t>
      </w:r>
      <w:r w:rsidRPr="00DA1191">
        <w:rPr>
          <w:rFonts w:ascii="mylotus" w:hAnsi="mylotus"/>
          <w:b/>
          <w:bCs/>
          <w:sz w:val="34"/>
          <w:szCs w:val="34"/>
          <w:rtl/>
        </w:rPr>
        <w:t xml:space="preserve"> </w:t>
      </w:r>
      <w:r w:rsidRPr="00033DF2">
        <w:rPr>
          <w:rFonts w:ascii="mylotus" w:hAnsi="mylotus" w:hint="cs"/>
          <w:b/>
          <w:bCs/>
          <w:color w:val="EE0000"/>
          <w:sz w:val="34"/>
          <w:szCs w:val="34"/>
          <w:rtl/>
        </w:rPr>
        <w:t>الاستقامة</w:t>
      </w:r>
      <w:r w:rsidRPr="00033DF2">
        <w:rPr>
          <w:rFonts w:ascii="mylotus" w:hAnsi="mylotus"/>
          <w:b/>
          <w:bCs/>
          <w:color w:val="EE0000"/>
          <w:sz w:val="34"/>
          <w:szCs w:val="34"/>
          <w:rtl/>
        </w:rPr>
        <w:t xml:space="preserve"> </w:t>
      </w:r>
      <w:r w:rsidRPr="00033DF2">
        <w:rPr>
          <w:rFonts w:ascii="mylotus" w:hAnsi="mylotus" w:hint="cs"/>
          <w:b/>
          <w:bCs/>
          <w:color w:val="EE0000"/>
          <w:sz w:val="34"/>
          <w:szCs w:val="34"/>
          <w:rtl/>
        </w:rPr>
        <w:t>العملية</w:t>
      </w:r>
      <w:r w:rsidRPr="00033DF2">
        <w:rPr>
          <w:rFonts w:ascii="mylotus" w:hAnsi="mylotus"/>
          <w:b/>
          <w:bCs/>
          <w:color w:val="EE0000"/>
          <w:sz w:val="34"/>
          <w:szCs w:val="34"/>
          <w:rtl/>
        </w:rPr>
        <w:t xml:space="preserve"> </w:t>
      </w:r>
      <w:r w:rsidRPr="00033DF2">
        <w:rPr>
          <w:rFonts w:ascii="mylotus" w:hAnsi="mylotus" w:hint="cs"/>
          <w:b/>
          <w:bCs/>
          <w:color w:val="EE0000"/>
          <w:sz w:val="34"/>
          <w:szCs w:val="34"/>
          <w:rtl/>
        </w:rPr>
        <w:t>في</w:t>
      </w:r>
      <w:r w:rsidRPr="00033DF2">
        <w:rPr>
          <w:rFonts w:ascii="mylotus" w:hAnsi="mylotus"/>
          <w:b/>
          <w:bCs/>
          <w:color w:val="EE0000"/>
          <w:sz w:val="34"/>
          <w:szCs w:val="34"/>
          <w:rtl/>
        </w:rPr>
        <w:t xml:space="preserve"> </w:t>
      </w:r>
      <w:r w:rsidRPr="00033DF2">
        <w:rPr>
          <w:rFonts w:ascii="mylotus" w:hAnsi="mylotus" w:hint="cs"/>
          <w:b/>
          <w:bCs/>
          <w:color w:val="EE0000"/>
          <w:sz w:val="34"/>
          <w:szCs w:val="34"/>
          <w:rtl/>
        </w:rPr>
        <w:t>جادة</w:t>
      </w:r>
      <w:r w:rsidRPr="00033DF2">
        <w:rPr>
          <w:rFonts w:ascii="mylotus" w:hAnsi="mylotus"/>
          <w:b/>
          <w:bCs/>
          <w:color w:val="EE0000"/>
          <w:sz w:val="34"/>
          <w:szCs w:val="34"/>
          <w:rtl/>
        </w:rPr>
        <w:t xml:space="preserve"> </w:t>
      </w:r>
      <w:r w:rsidRPr="00033DF2">
        <w:rPr>
          <w:rFonts w:ascii="mylotus" w:hAnsi="mylotus" w:hint="cs"/>
          <w:b/>
          <w:bCs/>
          <w:color w:val="EE0000"/>
          <w:sz w:val="34"/>
          <w:szCs w:val="34"/>
          <w:rtl/>
        </w:rPr>
        <w:t>الشرع،</w:t>
      </w:r>
      <w:r w:rsidRPr="00033DF2">
        <w:rPr>
          <w:rFonts w:ascii="mylotus" w:hAnsi="mylotus"/>
          <w:b/>
          <w:bCs/>
          <w:color w:val="EE0000"/>
          <w:sz w:val="34"/>
          <w:szCs w:val="34"/>
          <w:rtl/>
        </w:rPr>
        <w:t xml:space="preserve"> </w:t>
      </w:r>
      <w:r w:rsidRPr="00033DF2">
        <w:rPr>
          <w:rFonts w:ascii="mylotus" w:hAnsi="mylotus" w:hint="cs"/>
          <w:b/>
          <w:bCs/>
          <w:color w:val="EE0000"/>
          <w:sz w:val="34"/>
          <w:szCs w:val="34"/>
          <w:rtl/>
        </w:rPr>
        <w:t>والأنظار</w:t>
      </w:r>
      <w:r w:rsidRPr="00033DF2">
        <w:rPr>
          <w:rFonts w:ascii="mylotus" w:hAnsi="mylotus"/>
          <w:b/>
          <w:bCs/>
          <w:color w:val="EE0000"/>
          <w:sz w:val="34"/>
          <w:szCs w:val="34"/>
          <w:rtl/>
        </w:rPr>
        <w:t xml:space="preserve"> </w:t>
      </w:r>
      <w:r w:rsidRPr="00033DF2">
        <w:rPr>
          <w:rFonts w:ascii="mylotus" w:hAnsi="mylotus" w:hint="cs"/>
          <w:b/>
          <w:bCs/>
          <w:color w:val="EE0000"/>
          <w:sz w:val="34"/>
          <w:szCs w:val="34"/>
          <w:rtl/>
        </w:rPr>
        <w:t>العرفية</w:t>
      </w:r>
      <w:r w:rsidRPr="00033DF2">
        <w:rPr>
          <w:rFonts w:ascii="mylotus" w:hAnsi="mylotus"/>
          <w:b/>
          <w:bCs/>
          <w:color w:val="EE0000"/>
          <w:sz w:val="34"/>
          <w:szCs w:val="34"/>
          <w:rtl/>
        </w:rPr>
        <w:t xml:space="preserve"> </w:t>
      </w:r>
      <w:proofErr w:type="spellStart"/>
      <w:r w:rsidRPr="00033DF2">
        <w:rPr>
          <w:rFonts w:ascii="mylotus" w:hAnsi="mylotus" w:hint="cs"/>
          <w:b/>
          <w:bCs/>
          <w:color w:val="EE0000"/>
          <w:sz w:val="34"/>
          <w:szCs w:val="34"/>
          <w:rtl/>
        </w:rPr>
        <w:t>وتسامحاتهم</w:t>
      </w:r>
      <w:proofErr w:type="spellEnd"/>
      <w:r w:rsidRPr="00033DF2">
        <w:rPr>
          <w:rFonts w:ascii="mylotus" w:hAnsi="mylotus"/>
          <w:b/>
          <w:bCs/>
          <w:color w:val="EE0000"/>
          <w:sz w:val="34"/>
          <w:szCs w:val="34"/>
          <w:rtl/>
        </w:rPr>
        <w:t xml:space="preserve"> </w:t>
      </w:r>
      <w:r w:rsidRPr="00033DF2">
        <w:rPr>
          <w:rFonts w:ascii="mylotus" w:hAnsi="mylotus" w:hint="cs"/>
          <w:b/>
          <w:bCs/>
          <w:color w:val="EE0000"/>
          <w:sz w:val="34"/>
          <w:szCs w:val="34"/>
          <w:rtl/>
        </w:rPr>
        <w:t>إنما</w:t>
      </w:r>
      <w:r w:rsidRPr="00033DF2">
        <w:rPr>
          <w:rFonts w:ascii="mylotus" w:hAnsi="mylotus"/>
          <w:b/>
          <w:bCs/>
          <w:color w:val="EE0000"/>
          <w:sz w:val="34"/>
          <w:szCs w:val="34"/>
          <w:rtl/>
        </w:rPr>
        <w:t xml:space="preserve"> </w:t>
      </w:r>
      <w:r w:rsidRPr="00033DF2">
        <w:rPr>
          <w:rFonts w:ascii="mylotus" w:hAnsi="mylotus" w:hint="cs"/>
          <w:b/>
          <w:bCs/>
          <w:color w:val="EE0000"/>
          <w:sz w:val="34"/>
          <w:szCs w:val="34"/>
          <w:rtl/>
        </w:rPr>
        <w:t>تتبع</w:t>
      </w:r>
      <w:r w:rsidRPr="00033DF2">
        <w:rPr>
          <w:rFonts w:ascii="mylotus" w:hAnsi="mylotus"/>
          <w:b/>
          <w:bCs/>
          <w:color w:val="EE0000"/>
          <w:sz w:val="34"/>
          <w:szCs w:val="34"/>
          <w:rtl/>
        </w:rPr>
        <w:t xml:space="preserve"> </w:t>
      </w:r>
      <w:r w:rsidRPr="00033DF2">
        <w:rPr>
          <w:rFonts w:ascii="mylotus" w:hAnsi="mylotus" w:hint="cs"/>
          <w:b/>
          <w:bCs/>
          <w:color w:val="EE0000"/>
          <w:sz w:val="34"/>
          <w:szCs w:val="34"/>
          <w:rtl/>
        </w:rPr>
        <w:t>في</w:t>
      </w:r>
      <w:r w:rsidRPr="00033DF2">
        <w:rPr>
          <w:rFonts w:ascii="mylotus" w:hAnsi="mylotus"/>
          <w:b/>
          <w:bCs/>
          <w:color w:val="EE0000"/>
          <w:sz w:val="34"/>
          <w:szCs w:val="34"/>
          <w:rtl/>
        </w:rPr>
        <w:t xml:space="preserve"> </w:t>
      </w:r>
      <w:r w:rsidRPr="00033DF2">
        <w:rPr>
          <w:rFonts w:ascii="mylotus" w:hAnsi="mylotus" w:hint="cs"/>
          <w:b/>
          <w:bCs/>
          <w:color w:val="EE0000"/>
          <w:sz w:val="34"/>
          <w:szCs w:val="34"/>
          <w:rtl/>
        </w:rPr>
        <w:t>مفاهيم</w:t>
      </w:r>
      <w:r w:rsidRPr="00033DF2">
        <w:rPr>
          <w:rFonts w:ascii="mylotus" w:hAnsi="mylotus"/>
          <w:b/>
          <w:bCs/>
          <w:color w:val="EE0000"/>
          <w:sz w:val="34"/>
          <w:szCs w:val="34"/>
          <w:rtl/>
        </w:rPr>
        <w:t xml:space="preserve"> </w:t>
      </w:r>
      <w:r w:rsidRPr="00033DF2">
        <w:rPr>
          <w:rFonts w:ascii="mylotus" w:hAnsi="mylotus" w:hint="cs"/>
          <w:b/>
          <w:bCs/>
          <w:color w:val="EE0000"/>
          <w:sz w:val="34"/>
          <w:szCs w:val="34"/>
          <w:rtl/>
        </w:rPr>
        <w:t>الألفاظ</w:t>
      </w:r>
      <w:r w:rsidRPr="00DA1191">
        <w:rPr>
          <w:rFonts w:ascii="mylotus" w:hAnsi="mylotus" w:hint="cs"/>
          <w:b/>
          <w:bCs/>
          <w:sz w:val="34"/>
          <w:szCs w:val="34"/>
          <w:rtl/>
        </w:rPr>
        <w:t>،</w:t>
      </w:r>
      <w:r w:rsidRPr="00DA1191">
        <w:rPr>
          <w:rFonts w:ascii="mylotus" w:hAnsi="mylotus"/>
          <w:b/>
          <w:bCs/>
          <w:sz w:val="34"/>
          <w:szCs w:val="34"/>
          <w:rtl/>
        </w:rPr>
        <w:t xml:space="preserve"> </w:t>
      </w:r>
      <w:r w:rsidRPr="00DA1191">
        <w:rPr>
          <w:rFonts w:ascii="mylotus" w:hAnsi="mylotus" w:hint="cs"/>
          <w:b/>
          <w:bCs/>
          <w:sz w:val="34"/>
          <w:szCs w:val="34"/>
          <w:rtl/>
        </w:rPr>
        <w:t>فإن</w:t>
      </w:r>
      <w:r w:rsidRPr="00DA1191">
        <w:rPr>
          <w:rFonts w:ascii="mylotus" w:hAnsi="mylotus"/>
          <w:b/>
          <w:bCs/>
          <w:sz w:val="34"/>
          <w:szCs w:val="34"/>
          <w:rtl/>
        </w:rPr>
        <w:t xml:space="preserve"> </w:t>
      </w:r>
      <w:r w:rsidRPr="00DA1191">
        <w:rPr>
          <w:rFonts w:ascii="mylotus" w:hAnsi="mylotus" w:hint="cs"/>
          <w:b/>
          <w:bCs/>
          <w:sz w:val="34"/>
          <w:szCs w:val="34"/>
          <w:rtl/>
        </w:rPr>
        <w:t>التوسعة</w:t>
      </w:r>
      <w:r w:rsidRPr="00DA1191">
        <w:rPr>
          <w:rFonts w:ascii="mylotus" w:hAnsi="mylotus"/>
          <w:b/>
          <w:bCs/>
          <w:sz w:val="34"/>
          <w:szCs w:val="34"/>
          <w:rtl/>
        </w:rPr>
        <w:t xml:space="preserve"> </w:t>
      </w:r>
      <w:r w:rsidRPr="00DA1191">
        <w:rPr>
          <w:rFonts w:ascii="mylotus" w:hAnsi="mylotus" w:hint="cs"/>
          <w:b/>
          <w:bCs/>
          <w:sz w:val="34"/>
          <w:szCs w:val="34"/>
          <w:rtl/>
        </w:rPr>
        <w:t>والتضييق</w:t>
      </w:r>
      <w:r w:rsidRPr="00DA1191">
        <w:rPr>
          <w:rFonts w:ascii="mylotus" w:hAnsi="mylotus"/>
          <w:b/>
          <w:bCs/>
          <w:sz w:val="34"/>
          <w:szCs w:val="34"/>
          <w:rtl/>
        </w:rPr>
        <w:t xml:space="preserve"> </w:t>
      </w:r>
      <w:r w:rsidRPr="00DA1191">
        <w:rPr>
          <w:rFonts w:ascii="mylotus" w:hAnsi="mylotus" w:hint="cs"/>
          <w:b/>
          <w:bCs/>
          <w:sz w:val="34"/>
          <w:szCs w:val="34"/>
          <w:rtl/>
        </w:rPr>
        <w:t>في</w:t>
      </w:r>
      <w:r w:rsidRPr="00DA1191">
        <w:rPr>
          <w:rFonts w:ascii="mylotus" w:hAnsi="mylotus"/>
          <w:b/>
          <w:bCs/>
          <w:sz w:val="34"/>
          <w:szCs w:val="34"/>
          <w:rtl/>
        </w:rPr>
        <w:t xml:space="preserve"> </w:t>
      </w:r>
      <w:r w:rsidRPr="00DA1191">
        <w:rPr>
          <w:rFonts w:ascii="mylotus" w:hAnsi="mylotus" w:hint="cs"/>
          <w:b/>
          <w:bCs/>
          <w:sz w:val="34"/>
          <w:szCs w:val="34"/>
          <w:rtl/>
        </w:rPr>
        <w:t>استفادة</w:t>
      </w:r>
      <w:r w:rsidRPr="00DA1191">
        <w:rPr>
          <w:rFonts w:ascii="mylotus" w:hAnsi="mylotus"/>
          <w:b/>
          <w:bCs/>
          <w:sz w:val="34"/>
          <w:szCs w:val="34"/>
          <w:rtl/>
        </w:rPr>
        <w:t xml:space="preserve"> </w:t>
      </w:r>
      <w:r w:rsidRPr="00DA1191">
        <w:rPr>
          <w:rFonts w:ascii="mylotus" w:hAnsi="mylotus" w:hint="cs"/>
          <w:b/>
          <w:bCs/>
          <w:sz w:val="34"/>
          <w:szCs w:val="34"/>
          <w:rtl/>
        </w:rPr>
        <w:t>المفاهيم</w:t>
      </w:r>
      <w:r w:rsidRPr="00DA1191">
        <w:rPr>
          <w:rFonts w:ascii="mylotus" w:hAnsi="mylotus"/>
          <w:b/>
          <w:bCs/>
          <w:sz w:val="34"/>
          <w:szCs w:val="34"/>
          <w:rtl/>
        </w:rPr>
        <w:t xml:space="preserve"> </w:t>
      </w:r>
      <w:r w:rsidRPr="00DA1191">
        <w:rPr>
          <w:rFonts w:ascii="mylotus" w:hAnsi="mylotus" w:hint="cs"/>
          <w:b/>
          <w:bCs/>
          <w:sz w:val="34"/>
          <w:szCs w:val="34"/>
          <w:rtl/>
        </w:rPr>
        <w:t>من</w:t>
      </w:r>
      <w:r w:rsidRPr="00DA1191">
        <w:rPr>
          <w:rFonts w:ascii="mylotus" w:hAnsi="mylotus"/>
          <w:b/>
          <w:bCs/>
          <w:sz w:val="34"/>
          <w:szCs w:val="34"/>
          <w:rtl/>
        </w:rPr>
        <w:t xml:space="preserve"> </w:t>
      </w:r>
      <w:r w:rsidRPr="00DA1191">
        <w:rPr>
          <w:rFonts w:ascii="mylotus" w:hAnsi="mylotus" w:hint="cs"/>
          <w:b/>
          <w:bCs/>
          <w:sz w:val="34"/>
          <w:szCs w:val="34"/>
          <w:rtl/>
        </w:rPr>
        <w:t>ألفاظها</w:t>
      </w:r>
      <w:r w:rsidRPr="00DA1191">
        <w:rPr>
          <w:rFonts w:ascii="mylotus" w:hAnsi="mylotus"/>
          <w:b/>
          <w:bCs/>
          <w:sz w:val="34"/>
          <w:szCs w:val="34"/>
          <w:rtl/>
        </w:rPr>
        <w:t xml:space="preserve"> </w:t>
      </w:r>
      <w:r w:rsidRPr="00DA1191">
        <w:rPr>
          <w:rFonts w:ascii="mylotus" w:hAnsi="mylotus" w:hint="cs"/>
          <w:b/>
          <w:bCs/>
          <w:sz w:val="34"/>
          <w:szCs w:val="34"/>
          <w:rtl/>
        </w:rPr>
        <w:t>راجعان</w:t>
      </w:r>
      <w:r w:rsidRPr="00DA1191">
        <w:rPr>
          <w:rFonts w:ascii="mylotus" w:hAnsi="mylotus"/>
          <w:b/>
          <w:bCs/>
          <w:sz w:val="34"/>
          <w:szCs w:val="34"/>
          <w:rtl/>
        </w:rPr>
        <w:t xml:space="preserve"> </w:t>
      </w:r>
      <w:r w:rsidRPr="00DA1191">
        <w:rPr>
          <w:rFonts w:ascii="mylotus" w:hAnsi="mylotus" w:hint="cs"/>
          <w:b/>
          <w:bCs/>
          <w:sz w:val="34"/>
          <w:szCs w:val="34"/>
          <w:rtl/>
        </w:rPr>
        <w:t>إلى</w:t>
      </w:r>
      <w:r w:rsidRPr="00DA1191">
        <w:rPr>
          <w:rFonts w:ascii="mylotus" w:hAnsi="mylotus"/>
          <w:b/>
          <w:bCs/>
          <w:sz w:val="34"/>
          <w:szCs w:val="34"/>
          <w:rtl/>
        </w:rPr>
        <w:t xml:space="preserve"> </w:t>
      </w:r>
      <w:r w:rsidRPr="00DA1191">
        <w:rPr>
          <w:rFonts w:ascii="mylotus" w:hAnsi="mylotus" w:hint="cs"/>
          <w:b/>
          <w:bCs/>
          <w:sz w:val="34"/>
          <w:szCs w:val="34"/>
          <w:rtl/>
        </w:rPr>
        <w:t>العرف،</w:t>
      </w:r>
      <w:r w:rsidRPr="00DA1191">
        <w:rPr>
          <w:rFonts w:ascii="mylotus" w:hAnsi="mylotus"/>
          <w:b/>
          <w:bCs/>
          <w:sz w:val="34"/>
          <w:szCs w:val="34"/>
          <w:rtl/>
        </w:rPr>
        <w:t xml:space="preserve"> </w:t>
      </w:r>
      <w:r w:rsidRPr="00DA1191">
        <w:rPr>
          <w:rFonts w:ascii="mylotus" w:hAnsi="mylotus" w:hint="cs"/>
          <w:b/>
          <w:bCs/>
          <w:sz w:val="34"/>
          <w:szCs w:val="34"/>
          <w:rtl/>
        </w:rPr>
        <w:t>ومن</w:t>
      </w:r>
      <w:r w:rsidRPr="00DA1191">
        <w:rPr>
          <w:rFonts w:ascii="mylotus" w:hAnsi="mylotus"/>
          <w:b/>
          <w:bCs/>
          <w:sz w:val="34"/>
          <w:szCs w:val="34"/>
          <w:rtl/>
        </w:rPr>
        <w:t xml:space="preserve"> </w:t>
      </w:r>
      <w:r w:rsidRPr="00DA1191">
        <w:rPr>
          <w:rFonts w:ascii="mylotus" w:hAnsi="mylotus" w:hint="cs"/>
          <w:b/>
          <w:bCs/>
          <w:sz w:val="34"/>
          <w:szCs w:val="34"/>
          <w:rtl/>
        </w:rPr>
        <w:t>هنا</w:t>
      </w:r>
      <w:r w:rsidRPr="00DA1191">
        <w:rPr>
          <w:rFonts w:ascii="mylotus" w:hAnsi="mylotus"/>
          <w:b/>
          <w:bCs/>
          <w:sz w:val="34"/>
          <w:szCs w:val="34"/>
          <w:rtl/>
        </w:rPr>
        <w:t xml:space="preserve"> </w:t>
      </w:r>
      <w:r w:rsidRPr="00DA1191">
        <w:rPr>
          <w:rFonts w:ascii="mylotus" w:hAnsi="mylotus" w:hint="cs"/>
          <w:b/>
          <w:bCs/>
          <w:sz w:val="34"/>
          <w:szCs w:val="34"/>
          <w:rtl/>
        </w:rPr>
        <w:t>نرتب</w:t>
      </w:r>
      <w:r w:rsidRPr="00DA1191">
        <w:rPr>
          <w:rFonts w:ascii="mylotus" w:hAnsi="mylotus"/>
          <w:b/>
          <w:bCs/>
          <w:sz w:val="34"/>
          <w:szCs w:val="34"/>
          <w:rtl/>
        </w:rPr>
        <w:t xml:space="preserve"> </w:t>
      </w:r>
      <w:r w:rsidRPr="00DA1191">
        <w:rPr>
          <w:rFonts w:ascii="mylotus" w:hAnsi="mylotus" w:hint="cs"/>
          <w:b/>
          <w:bCs/>
          <w:sz w:val="34"/>
          <w:szCs w:val="34"/>
          <w:rtl/>
        </w:rPr>
        <w:t>آثار</w:t>
      </w:r>
      <w:r w:rsidRPr="00DA1191">
        <w:rPr>
          <w:rFonts w:ascii="mylotus" w:hAnsi="mylotus"/>
          <w:b/>
          <w:bCs/>
          <w:sz w:val="34"/>
          <w:szCs w:val="34"/>
          <w:rtl/>
        </w:rPr>
        <w:t xml:space="preserve"> الماء على المياه الممتزجة بالزاج والجص وغيرهما مما لا يخلو منه الماء عادة، وكذا آثار الذهب على ما هو ذهب وغيره)</w:t>
      </w:r>
      <w:r w:rsidRPr="008C5A14">
        <w:rPr>
          <w:rFonts w:ascii="mylotus" w:hAnsi="mylotus"/>
          <w:sz w:val="34"/>
          <w:szCs w:val="34"/>
          <w:rtl/>
        </w:rPr>
        <w:t xml:space="preserve"> أي: مختلط بغيره </w:t>
      </w:r>
      <w:r w:rsidRPr="00F906BB">
        <w:rPr>
          <w:rFonts w:ascii="mylotus" w:hAnsi="mylotus"/>
          <w:b/>
          <w:bCs/>
          <w:sz w:val="34"/>
          <w:szCs w:val="34"/>
          <w:rtl/>
        </w:rPr>
        <w:t>(وذلك لأنّ مفهوم الماء والذهب عند إطلاقهما أعم من الخالص والخليط بغيرهما بمقدار يسير. وأما تطبيق المفاهيم العرفية على مصاديقها ومواردها فلم يقم فيه أيّ دليل على اعتبار النظر العرفي وفهمه)</w:t>
      </w:r>
      <w:r w:rsidRPr="008C5A14">
        <w:rPr>
          <w:rFonts w:ascii="mylotus" w:hAnsi="mylotus"/>
          <w:sz w:val="34"/>
          <w:szCs w:val="34"/>
          <w:rtl/>
        </w:rPr>
        <w:t xml:space="preserve"> أي: أنّ النظر العرفي معتبرٌ في حدود المفهوم وأمّا التطبيق فليس كذلك </w:t>
      </w:r>
      <w:r w:rsidRPr="00F906BB">
        <w:rPr>
          <w:rFonts w:ascii="mylotus" w:hAnsi="mylotus"/>
          <w:b/>
          <w:bCs/>
          <w:sz w:val="34"/>
          <w:szCs w:val="34"/>
          <w:rtl/>
        </w:rPr>
        <w:t xml:space="preserve">(وقد ذكرنا أن مفهوم العدالة </w:t>
      </w:r>
      <w:r w:rsidRPr="00AD69E4">
        <w:rPr>
          <w:rFonts w:ascii="mylotus" w:hAnsi="mylotus"/>
          <w:b/>
          <w:bCs/>
          <w:color w:val="EE0000"/>
          <w:sz w:val="34"/>
          <w:szCs w:val="34"/>
          <w:rtl/>
        </w:rPr>
        <w:t xml:space="preserve">أمر يعرفه أهل اللسان، ومع وضوح المفهوم المستفاد من اللفظ </w:t>
      </w:r>
      <w:r w:rsidRPr="00F906BB">
        <w:rPr>
          <w:rFonts w:ascii="mylotus" w:hAnsi="mylotus"/>
          <w:b/>
          <w:bCs/>
          <w:sz w:val="34"/>
          <w:szCs w:val="34"/>
          <w:rtl/>
        </w:rPr>
        <w:t xml:space="preserve">لا يعبأ </w:t>
      </w:r>
      <w:proofErr w:type="spellStart"/>
      <w:r w:rsidRPr="00F906BB">
        <w:rPr>
          <w:rFonts w:ascii="mylotus" w:hAnsi="mylotus"/>
          <w:b/>
          <w:bCs/>
          <w:sz w:val="34"/>
          <w:szCs w:val="34"/>
          <w:rtl/>
        </w:rPr>
        <w:t>بالتسامحات</w:t>
      </w:r>
      <w:proofErr w:type="spellEnd"/>
      <w:r w:rsidRPr="00F906BB">
        <w:rPr>
          <w:rFonts w:ascii="mylotus" w:hAnsi="mylotus"/>
          <w:b/>
          <w:bCs/>
          <w:sz w:val="34"/>
          <w:szCs w:val="34"/>
          <w:rtl/>
        </w:rPr>
        <w:t xml:space="preserve"> العرفية في تطبيقه على مصاديقه، ومن هنا لا يعتنى بمسامحاتهم في المفاهيم المحددة كثمانية فراسخ في السفر الموضوع لوجوب القصر في الصلاة)</w:t>
      </w:r>
      <w:r w:rsidRPr="008C5A14">
        <w:rPr>
          <w:rFonts w:ascii="mylotus" w:hAnsi="mylotus"/>
          <w:sz w:val="34"/>
          <w:szCs w:val="34"/>
          <w:rtl/>
        </w:rPr>
        <w:t xml:space="preserve"> فلو قطع المكلف ثمانية فراسخ -أي: 44 كيلومتراً- إلا اصبع فلا يصدق أنّه قد قطع المسافة بل لابُدّ مِن أنْ يقطعها بالدقة، خلافاً للمحقّق الهمداني (قدس سره) مِن أنّ الفارق إذا كان ضئيلا</w:t>
      </w:r>
      <w:r>
        <w:rPr>
          <w:rFonts w:ascii="mylotus" w:hAnsi="mylotus" w:hint="cs"/>
          <w:sz w:val="34"/>
          <w:szCs w:val="34"/>
          <w:rtl/>
        </w:rPr>
        <w:t>ً</w:t>
      </w:r>
      <w:r w:rsidRPr="008C5A14">
        <w:rPr>
          <w:rFonts w:ascii="mylotus" w:hAnsi="mylotus"/>
          <w:sz w:val="34"/>
          <w:szCs w:val="34"/>
          <w:rtl/>
        </w:rPr>
        <w:t xml:space="preserve"> جداً فإن</w:t>
      </w:r>
      <w:r>
        <w:rPr>
          <w:rFonts w:ascii="mylotus" w:hAnsi="mylotus" w:hint="cs"/>
          <w:sz w:val="34"/>
          <w:szCs w:val="34"/>
          <w:rtl/>
        </w:rPr>
        <w:t>ّ</w:t>
      </w:r>
      <w:r w:rsidRPr="008C5A14">
        <w:rPr>
          <w:rFonts w:ascii="mylotus" w:hAnsi="mylotus"/>
          <w:sz w:val="34"/>
          <w:szCs w:val="34"/>
          <w:rtl/>
        </w:rPr>
        <w:t xml:space="preserve"> العرف يرى أنّه قد قطع ثمانية فراسخ إطلاقاً حقيقياً -لا تجوزاً-، وإنْ كان بالنظر الدقي يعدّ تسامحا</w:t>
      </w:r>
      <w:r>
        <w:rPr>
          <w:rFonts w:ascii="mylotus" w:hAnsi="mylotus" w:hint="cs"/>
          <w:sz w:val="34"/>
          <w:szCs w:val="34"/>
          <w:rtl/>
        </w:rPr>
        <w:t>ً؛</w:t>
      </w:r>
      <w:r w:rsidRPr="008C5A14">
        <w:rPr>
          <w:rFonts w:ascii="mylotus" w:hAnsi="mylotus"/>
          <w:sz w:val="34"/>
          <w:szCs w:val="34"/>
          <w:rtl/>
        </w:rPr>
        <w:t xml:space="preserve"> للفارق الواضح بين التسامح بالنظر الدقي والتسامح بالنظر العرفي </w:t>
      </w:r>
      <w:r w:rsidRPr="00F906BB">
        <w:rPr>
          <w:rFonts w:ascii="mylotus" w:hAnsi="mylotus"/>
          <w:b/>
          <w:bCs/>
          <w:sz w:val="34"/>
          <w:szCs w:val="34"/>
          <w:rtl/>
        </w:rPr>
        <w:t>(</w:t>
      </w:r>
      <w:r w:rsidRPr="00D7328C">
        <w:rPr>
          <w:rFonts w:ascii="mylotus" w:hAnsi="mylotus"/>
          <w:b/>
          <w:bCs/>
          <w:color w:val="002060"/>
          <w:sz w:val="34"/>
          <w:szCs w:val="34"/>
          <w:rtl/>
        </w:rPr>
        <w:t xml:space="preserve">وسبعة وعشرين شبراً في الكر ونحوهما، حيث يعتبر في القصر أن لا يكون المسافة أقل من ثمانية فراسخ ولو بمقدار يسير لا يضر في إطلاق الثمانية لدى العرف، وكذا يعتبر في الكر أن لا يكون أقل من سبعة وعشرين شبراً ولو </w:t>
      </w:r>
      <w:r w:rsidR="00FB27C8" w:rsidRPr="00D7328C">
        <w:rPr>
          <w:rFonts w:ascii="mylotus" w:hAnsi="mylotus" w:hint="cs"/>
          <w:b/>
          <w:bCs/>
          <w:color w:val="002060"/>
          <w:sz w:val="34"/>
          <w:szCs w:val="34"/>
          <w:rtl/>
        </w:rPr>
        <w:t>بإصبع</w:t>
      </w:r>
      <w:r w:rsidRPr="00D7328C">
        <w:rPr>
          <w:rFonts w:ascii="mylotus" w:hAnsi="mylotus"/>
          <w:b/>
          <w:bCs/>
          <w:color w:val="002060"/>
          <w:sz w:val="34"/>
          <w:szCs w:val="34"/>
          <w:rtl/>
        </w:rPr>
        <w:t xml:space="preserve"> وهكذا. وحيث إن مفهوم العدالة أمر غير خفي فلا مناص من أن ينطبق ذلك على مصاديقه انطباقاً حقيقياً عقلياً، ولا </w:t>
      </w:r>
      <w:proofErr w:type="gramStart"/>
      <w:r w:rsidRPr="00D7328C">
        <w:rPr>
          <w:rFonts w:ascii="mylotus" w:hAnsi="mylotus"/>
          <w:b/>
          <w:bCs/>
          <w:color w:val="002060"/>
          <w:sz w:val="34"/>
          <w:szCs w:val="34"/>
          <w:rtl/>
        </w:rPr>
        <w:t>يكفى</w:t>
      </w:r>
      <w:proofErr w:type="gramEnd"/>
      <w:r w:rsidRPr="00D7328C">
        <w:rPr>
          <w:rFonts w:ascii="mylotus" w:hAnsi="mylotus"/>
          <w:b/>
          <w:bCs/>
          <w:color w:val="002060"/>
          <w:sz w:val="34"/>
          <w:szCs w:val="34"/>
          <w:rtl/>
        </w:rPr>
        <w:t xml:space="preserve"> فيه التطبيق المسامحي العرفي بوجه</w:t>
      </w:r>
      <w:r w:rsidRPr="00D7328C">
        <w:rPr>
          <w:rFonts w:ascii="mylotus" w:hAnsi="mylotus"/>
          <w:b/>
          <w:bCs/>
          <w:color w:val="002060"/>
          <w:sz w:val="34"/>
          <w:szCs w:val="34"/>
        </w:rPr>
        <w:t>.</w:t>
      </w:r>
    </w:p>
    <w:p w14:paraId="7D2D23B5" w14:textId="77777777" w:rsidR="009E3B18" w:rsidRPr="00F906BB" w:rsidRDefault="009E3B18" w:rsidP="009E3B18">
      <w:pPr>
        <w:pStyle w:val="a"/>
        <w:bidi/>
        <w:spacing w:line="216" w:lineRule="auto"/>
        <w:rPr>
          <w:rFonts w:ascii="mylotus" w:hAnsi="mylotus"/>
          <w:b/>
          <w:bCs/>
          <w:sz w:val="34"/>
          <w:szCs w:val="34"/>
          <w:rtl/>
        </w:rPr>
      </w:pPr>
      <w:r w:rsidRPr="00D7328C">
        <w:rPr>
          <w:rFonts w:ascii="mylotus" w:hAnsi="mylotus"/>
          <w:b/>
          <w:bCs/>
          <w:color w:val="002060"/>
          <w:sz w:val="34"/>
          <w:szCs w:val="34"/>
          <w:rtl/>
        </w:rPr>
        <w:t>وعلى هذا نقول: إذا كان ارتكاب الصغيرة لا عن عذ</w:t>
      </w:r>
      <w:r w:rsidRPr="00F906BB">
        <w:rPr>
          <w:rFonts w:ascii="mylotus" w:hAnsi="mylotus"/>
          <w:b/>
          <w:bCs/>
          <w:sz w:val="34"/>
          <w:szCs w:val="34"/>
          <w:rtl/>
        </w:rPr>
        <w:t xml:space="preserve">ر) </w:t>
      </w:r>
      <w:r w:rsidRPr="008C5A14">
        <w:rPr>
          <w:rFonts w:ascii="mylotus" w:hAnsi="mylotus"/>
          <w:sz w:val="34"/>
          <w:szCs w:val="34"/>
          <w:rtl/>
        </w:rPr>
        <w:t xml:space="preserve">أي: لا عن عذر شرعي </w:t>
      </w:r>
      <w:r w:rsidRPr="00F906BB">
        <w:rPr>
          <w:rFonts w:ascii="mylotus" w:hAnsi="mylotus"/>
          <w:b/>
          <w:bCs/>
          <w:sz w:val="34"/>
          <w:szCs w:val="34"/>
          <w:rtl/>
        </w:rPr>
        <w:t xml:space="preserve">(وغفلة فلا شبهة في أنه يوجب الفسق والانحراف، ويمنع عن صدق الخيّر والعفيف والكاف بطنه وغيرها من العناوين الواردة في الأخبار. </w:t>
      </w:r>
      <w:r w:rsidRPr="00C10A76">
        <w:rPr>
          <w:rFonts w:ascii="mylotus" w:hAnsi="mylotus"/>
          <w:b/>
          <w:bCs/>
          <w:sz w:val="34"/>
          <w:szCs w:val="34"/>
          <w:highlight w:val="yellow"/>
          <w:rtl/>
        </w:rPr>
        <w:t>وأما إذا كان عن غفلة فلا كلام</w:t>
      </w:r>
      <w:r w:rsidRPr="00F906BB">
        <w:rPr>
          <w:rFonts w:ascii="mylotus" w:hAnsi="mylotus"/>
          <w:b/>
          <w:bCs/>
          <w:sz w:val="34"/>
          <w:szCs w:val="34"/>
          <w:rtl/>
        </w:rPr>
        <w:t xml:space="preserve"> في أن ارتكابها غير مضر للعدالة، لأنه من الخطأ المرفوع في الشريعة المقدسة من دون فرق في ذلك بين الكبائر والصغائر</w:t>
      </w:r>
      <w:r w:rsidRPr="00F906BB">
        <w:rPr>
          <w:rFonts w:ascii="mylotus" w:hAnsi="mylotus"/>
          <w:b/>
          <w:bCs/>
          <w:sz w:val="34"/>
          <w:szCs w:val="34"/>
        </w:rPr>
        <w:t>.</w:t>
      </w:r>
    </w:p>
    <w:p w14:paraId="365434F6" w14:textId="77777777" w:rsidR="00B814CE" w:rsidRDefault="009E3B18" w:rsidP="009E3B18">
      <w:pPr>
        <w:pStyle w:val="a"/>
        <w:bidi/>
        <w:spacing w:line="216" w:lineRule="auto"/>
        <w:rPr>
          <w:rFonts w:ascii="mylotus" w:hAnsi="mylotus"/>
          <w:b/>
          <w:bCs/>
          <w:sz w:val="34"/>
          <w:szCs w:val="34"/>
          <w:rtl/>
        </w:rPr>
      </w:pPr>
      <w:r w:rsidRPr="00F906BB">
        <w:rPr>
          <w:rFonts w:ascii="mylotus" w:hAnsi="mylotus"/>
          <w:b/>
          <w:bCs/>
          <w:sz w:val="34"/>
          <w:szCs w:val="34"/>
          <w:rtl/>
        </w:rPr>
        <w:t xml:space="preserve">وأما إذا كان عن عذر عرفي فإن بلغ ذلك مرتبة يراه الشارع أيضاً عذراً في الارتكاب، كما إذا بلغ مرتبة العسر والحرج، نظير ما لو قدّم له الظالم ماءً متنجّساً وهدّده بضربه أو هتكه أو إخراجه عن البلد على تقدير مخالفته، جاز له ارتكابه ولم يكن ذلك موجباً للفسق والانحراف أيضاً بلا فرق في ذلك بين الكبيرة والصغيرة. </w:t>
      </w:r>
    </w:p>
    <w:p w14:paraId="47BFD190" w14:textId="48EC8FC4" w:rsidR="009E3B18" w:rsidRPr="00F906BB" w:rsidRDefault="009E3B18" w:rsidP="00B814CE">
      <w:pPr>
        <w:pStyle w:val="a"/>
        <w:bidi/>
        <w:spacing w:line="216" w:lineRule="auto"/>
        <w:rPr>
          <w:rFonts w:ascii="mylotus" w:hAnsi="mylotus"/>
          <w:b/>
          <w:bCs/>
          <w:sz w:val="34"/>
          <w:szCs w:val="34"/>
          <w:rtl/>
        </w:rPr>
      </w:pPr>
      <w:r w:rsidRPr="00F906BB">
        <w:rPr>
          <w:rFonts w:ascii="mylotus" w:hAnsi="mylotus"/>
          <w:b/>
          <w:bCs/>
          <w:sz w:val="34"/>
          <w:szCs w:val="34"/>
          <w:rtl/>
        </w:rPr>
        <w:lastRenderedPageBreak/>
        <w:t xml:space="preserve">وأما </w:t>
      </w:r>
      <w:r w:rsidRPr="00B814CE">
        <w:rPr>
          <w:rFonts w:ascii="mylotus" w:hAnsi="mylotus"/>
          <w:b/>
          <w:bCs/>
          <w:sz w:val="34"/>
          <w:szCs w:val="34"/>
          <w:highlight w:val="yellow"/>
          <w:rtl/>
        </w:rPr>
        <w:t>لو لم يبلغ العذر العرفي مرتبة يراه الشارع معذّراً فلا مناص من الحكم</w:t>
      </w:r>
      <w:r w:rsidRPr="00F906BB">
        <w:rPr>
          <w:rFonts w:ascii="mylotus" w:hAnsi="mylotus"/>
          <w:b/>
          <w:bCs/>
          <w:sz w:val="34"/>
          <w:szCs w:val="34"/>
          <w:rtl/>
        </w:rPr>
        <w:t xml:space="preserve"> بحرمة ارتكابه وعصيانه واستلزامه الفسق والانحراف، وعدّ العرف ذلك معذّراً وتسامحهم في عدّ ارتكابه معصية لا يترتب عليهما أثر شرعي أبداً</w:t>
      </w:r>
      <w:r w:rsidRPr="00F906BB">
        <w:rPr>
          <w:rFonts w:ascii="mylotus" w:hAnsi="mylotus"/>
          <w:b/>
          <w:bCs/>
          <w:sz w:val="34"/>
          <w:szCs w:val="34"/>
        </w:rPr>
        <w:t>.</w:t>
      </w:r>
    </w:p>
    <w:p w14:paraId="24D75010" w14:textId="77777777" w:rsidR="009E3B18" w:rsidRPr="00F906BB" w:rsidRDefault="009E3B18" w:rsidP="009E3B18">
      <w:pPr>
        <w:pStyle w:val="a"/>
        <w:bidi/>
        <w:spacing w:line="216" w:lineRule="auto"/>
        <w:rPr>
          <w:rFonts w:ascii="mylotus" w:hAnsi="mylotus"/>
          <w:b/>
          <w:bCs/>
          <w:sz w:val="34"/>
          <w:szCs w:val="34"/>
          <w:rtl/>
        </w:rPr>
      </w:pPr>
      <w:r w:rsidRPr="00F906BB">
        <w:rPr>
          <w:rFonts w:ascii="mylotus" w:hAnsi="mylotus"/>
          <w:b/>
          <w:bCs/>
          <w:sz w:val="34"/>
          <w:szCs w:val="34"/>
          <w:rtl/>
        </w:rPr>
        <w:t>إذن الصحيح أن ارتكاب المعصية كبيرة كانت أو صغيرة تستتبع الفسق والانحراف وينافي العدالة سواء استند إلى عذر عرفي أم لم يستند، هذا كلّه في عدم الفرق بين المعاصي في استلزامها الانحراف الّذي هو ضد العدالة</w:t>
      </w:r>
      <w:r>
        <w:rPr>
          <w:rFonts w:ascii="mylotus" w:hAnsi="mylotus" w:hint="cs"/>
          <w:b/>
          <w:bCs/>
          <w:sz w:val="34"/>
          <w:szCs w:val="34"/>
          <w:rtl/>
        </w:rPr>
        <w:t>).</w:t>
      </w:r>
    </w:p>
    <w:p w14:paraId="73274BFA" w14:textId="77777777" w:rsidR="009E3B18" w:rsidRDefault="009E3B18" w:rsidP="009E3B18">
      <w:pPr>
        <w:pStyle w:val="a"/>
        <w:bidi/>
        <w:spacing w:line="216" w:lineRule="auto"/>
        <w:rPr>
          <w:rFonts w:ascii="mylotus" w:hAnsi="mylotus"/>
          <w:sz w:val="34"/>
          <w:szCs w:val="34"/>
          <w:rtl/>
        </w:rPr>
      </w:pPr>
      <w:r w:rsidRPr="008C5A14">
        <w:rPr>
          <w:rFonts w:ascii="mylotus" w:hAnsi="mylotus"/>
          <w:sz w:val="34"/>
          <w:szCs w:val="34"/>
          <w:rtl/>
        </w:rPr>
        <w:t>وقد أفاد بعض الأساتذة (طاب ثراه) أن</w:t>
      </w:r>
      <w:r>
        <w:rPr>
          <w:rFonts w:ascii="mylotus" w:hAnsi="mylotus" w:hint="cs"/>
          <w:sz w:val="34"/>
          <w:szCs w:val="34"/>
          <w:rtl/>
        </w:rPr>
        <w:t>ّ</w:t>
      </w:r>
      <w:r w:rsidRPr="008C5A14">
        <w:rPr>
          <w:rFonts w:ascii="mylotus" w:hAnsi="mylotus"/>
          <w:sz w:val="34"/>
          <w:szCs w:val="34"/>
          <w:rtl/>
        </w:rPr>
        <w:t xml:space="preserve"> الخلاف بين المحققين -الهمداني والخوئي (قدس </w:t>
      </w:r>
      <w:proofErr w:type="gramStart"/>
      <w:r w:rsidRPr="008C5A14">
        <w:rPr>
          <w:rFonts w:ascii="mylotus" w:hAnsi="mylotus"/>
          <w:sz w:val="34"/>
          <w:szCs w:val="34"/>
          <w:rtl/>
        </w:rPr>
        <w:t>سرهما)-</w:t>
      </w:r>
      <w:proofErr w:type="gramEnd"/>
      <w:r w:rsidRPr="008C5A14">
        <w:rPr>
          <w:rFonts w:ascii="mylotus" w:hAnsi="mylotus"/>
          <w:sz w:val="34"/>
          <w:szCs w:val="34"/>
          <w:rtl/>
        </w:rPr>
        <w:t xml:space="preserve"> خلاف</w:t>
      </w:r>
      <w:r>
        <w:rPr>
          <w:rFonts w:ascii="mylotus" w:hAnsi="mylotus" w:hint="cs"/>
          <w:sz w:val="34"/>
          <w:szCs w:val="34"/>
          <w:rtl/>
        </w:rPr>
        <w:t>ٌ</w:t>
      </w:r>
      <w:r w:rsidRPr="008C5A14">
        <w:rPr>
          <w:rFonts w:ascii="mylotus" w:hAnsi="mylotus"/>
          <w:sz w:val="34"/>
          <w:szCs w:val="34"/>
          <w:rtl/>
        </w:rPr>
        <w:t xml:space="preserve"> لفظي</w:t>
      </w:r>
      <w:r>
        <w:rPr>
          <w:rFonts w:ascii="mylotus" w:hAnsi="mylotus" w:hint="cs"/>
          <w:sz w:val="34"/>
          <w:szCs w:val="34"/>
          <w:rtl/>
        </w:rPr>
        <w:t>.</w:t>
      </w:r>
    </w:p>
    <w:p w14:paraId="459AB1AD" w14:textId="77777777" w:rsidR="009E3B18" w:rsidRPr="008C5A14" w:rsidRDefault="009E3B18" w:rsidP="009E3B18">
      <w:pPr>
        <w:pStyle w:val="a"/>
        <w:bidi/>
        <w:spacing w:line="216" w:lineRule="auto"/>
        <w:rPr>
          <w:rFonts w:ascii="mylotus" w:hAnsi="mylotus"/>
          <w:sz w:val="34"/>
          <w:szCs w:val="34"/>
          <w:rtl/>
        </w:rPr>
      </w:pPr>
      <w:r w:rsidRPr="00F906BB">
        <w:rPr>
          <w:rFonts w:ascii="mylotus" w:hAnsi="mylotus"/>
          <w:b/>
          <w:bCs/>
          <w:sz w:val="34"/>
          <w:szCs w:val="34"/>
          <w:rtl/>
        </w:rPr>
        <w:t>بتقريب:</w:t>
      </w:r>
      <w:r w:rsidRPr="008C5A14">
        <w:rPr>
          <w:rFonts w:ascii="mylotus" w:hAnsi="mylotus"/>
          <w:sz w:val="34"/>
          <w:szCs w:val="34"/>
          <w:rtl/>
        </w:rPr>
        <w:t xml:space="preserve"> أنّ منظور المحقّق الهمداني (قدس سره) هو أنّ </w:t>
      </w:r>
      <w:r w:rsidRPr="005B2DD1">
        <w:rPr>
          <w:rFonts w:ascii="mylotus" w:hAnsi="mylotus"/>
          <w:color w:val="002060"/>
          <w:sz w:val="34"/>
          <w:szCs w:val="34"/>
          <w:rtl/>
        </w:rPr>
        <w:t>العرف مرجعٌ في تشخيص المصاديق لا على نحو الموضوعية</w:t>
      </w:r>
      <w:r w:rsidRPr="008C5A14">
        <w:rPr>
          <w:rFonts w:ascii="mylotus" w:hAnsi="mylotus"/>
          <w:sz w:val="34"/>
          <w:szCs w:val="34"/>
          <w:rtl/>
        </w:rPr>
        <w:t>، بل بما هو كاشف</w:t>
      </w:r>
      <w:r>
        <w:rPr>
          <w:rFonts w:ascii="mylotus" w:hAnsi="mylotus" w:hint="cs"/>
          <w:sz w:val="34"/>
          <w:szCs w:val="34"/>
          <w:rtl/>
        </w:rPr>
        <w:t>ٌ</w:t>
      </w:r>
      <w:r w:rsidRPr="008C5A14">
        <w:rPr>
          <w:rFonts w:ascii="mylotus" w:hAnsi="mylotus"/>
          <w:sz w:val="34"/>
          <w:szCs w:val="34"/>
          <w:rtl/>
        </w:rPr>
        <w:t xml:space="preserve"> عن سعة المفهوم، فهو رجوعٌ للعرف في حدود المفهوم -لا رجوع له في المصداق-، وهذا مما لا يمنع منه سيدنا الخوئي (قدس سره) فقد سلّم بصدق الماء على الماء المختلط وصدق الحنطة على المختلط صدقا</w:t>
      </w:r>
      <w:r>
        <w:rPr>
          <w:rFonts w:ascii="mylotus" w:hAnsi="mylotus" w:hint="cs"/>
          <w:sz w:val="34"/>
          <w:szCs w:val="34"/>
          <w:rtl/>
        </w:rPr>
        <w:t>ً</w:t>
      </w:r>
      <w:r w:rsidRPr="008C5A14">
        <w:rPr>
          <w:rFonts w:ascii="mylotus" w:hAnsi="mylotus"/>
          <w:sz w:val="34"/>
          <w:szCs w:val="34"/>
          <w:rtl/>
        </w:rPr>
        <w:t xml:space="preserve"> حقيقيا</w:t>
      </w:r>
      <w:r>
        <w:rPr>
          <w:rFonts w:ascii="mylotus" w:hAnsi="mylotus" w:hint="cs"/>
          <w:sz w:val="34"/>
          <w:szCs w:val="34"/>
          <w:rtl/>
        </w:rPr>
        <w:t>ً؛</w:t>
      </w:r>
      <w:r w:rsidRPr="008C5A14">
        <w:rPr>
          <w:rFonts w:ascii="mylotus" w:hAnsi="mylotus"/>
          <w:sz w:val="34"/>
          <w:szCs w:val="34"/>
          <w:rtl/>
        </w:rPr>
        <w:t xml:space="preserve"> بلحاظ أنّه إذا كان الإطلاق على المصداق راجعاً للكشف عن حدود المفهوم فهذا مما لا إشكال فيه، وإنّما إشكاله في فرض ما</w:t>
      </w:r>
      <w:r>
        <w:rPr>
          <w:rFonts w:ascii="mylotus" w:hAnsi="mylotus" w:hint="cs"/>
          <w:sz w:val="34"/>
          <w:szCs w:val="34"/>
          <w:rtl/>
        </w:rPr>
        <w:t xml:space="preserve"> </w:t>
      </w:r>
      <w:r w:rsidRPr="008C5A14">
        <w:rPr>
          <w:rFonts w:ascii="mylotus" w:hAnsi="mylotus"/>
          <w:sz w:val="34"/>
          <w:szCs w:val="34"/>
          <w:rtl/>
        </w:rPr>
        <w:t>إذا كان المفهوم واضح الحدود لا يحتاج إلى تطبيقٍ عرفي، فطبقه العرفُ على مصداقٍ مع التفاته إلى أن</w:t>
      </w:r>
      <w:r>
        <w:rPr>
          <w:rFonts w:ascii="mylotus" w:hAnsi="mylotus" w:hint="cs"/>
          <w:sz w:val="34"/>
          <w:szCs w:val="34"/>
          <w:rtl/>
        </w:rPr>
        <w:t>ّ</w:t>
      </w:r>
      <w:r w:rsidRPr="008C5A14">
        <w:rPr>
          <w:rFonts w:ascii="mylotus" w:hAnsi="mylotus"/>
          <w:sz w:val="34"/>
          <w:szCs w:val="34"/>
          <w:rtl/>
        </w:rPr>
        <w:t>ه ليس مصداقاً حقيقياً للمفهوم فهنا لا حجية للنظر العرفي، كما يعترف بذلك المحق</w:t>
      </w:r>
      <w:r>
        <w:rPr>
          <w:rFonts w:ascii="mylotus" w:hAnsi="mylotus" w:hint="cs"/>
          <w:sz w:val="34"/>
          <w:szCs w:val="34"/>
          <w:rtl/>
        </w:rPr>
        <w:t>ّ</w:t>
      </w:r>
      <w:r w:rsidRPr="008C5A14">
        <w:rPr>
          <w:rFonts w:ascii="mylotus" w:hAnsi="mylotus"/>
          <w:sz w:val="34"/>
          <w:szCs w:val="34"/>
          <w:rtl/>
        </w:rPr>
        <w:t xml:space="preserve">ق الهمداني </w:t>
      </w:r>
      <w:r>
        <w:rPr>
          <w:rFonts w:ascii="mylotus" w:hAnsi="mylotus" w:hint="cs"/>
          <w:sz w:val="34"/>
          <w:szCs w:val="34"/>
          <w:rtl/>
        </w:rPr>
        <w:t>(</w:t>
      </w:r>
      <w:r w:rsidRPr="008C5A14">
        <w:rPr>
          <w:rFonts w:ascii="mylotus" w:hAnsi="mylotus"/>
          <w:sz w:val="34"/>
          <w:szCs w:val="34"/>
          <w:rtl/>
        </w:rPr>
        <w:t>قد</w:t>
      </w:r>
      <w:r>
        <w:rPr>
          <w:rFonts w:ascii="mylotus" w:hAnsi="mylotus" w:hint="cs"/>
          <w:sz w:val="34"/>
          <w:szCs w:val="34"/>
          <w:rtl/>
        </w:rPr>
        <w:t>س سره)</w:t>
      </w:r>
      <w:r w:rsidRPr="008C5A14">
        <w:rPr>
          <w:rFonts w:ascii="mylotus" w:hAnsi="mylotus"/>
          <w:sz w:val="34"/>
          <w:szCs w:val="34"/>
          <w:rtl/>
        </w:rPr>
        <w:t xml:space="preserve"> فهما متفقان وليسا مختلفين</w:t>
      </w:r>
      <w:r w:rsidRPr="008C5A14">
        <w:rPr>
          <w:rFonts w:ascii="mylotus" w:hAnsi="mylotus"/>
          <w:sz w:val="34"/>
          <w:szCs w:val="34"/>
        </w:rPr>
        <w:t>.</w:t>
      </w:r>
    </w:p>
    <w:p w14:paraId="5A9F1D6D" w14:textId="77777777" w:rsidR="009E3B18" w:rsidRDefault="009E3B18" w:rsidP="009E3B18">
      <w:pPr>
        <w:pStyle w:val="a"/>
        <w:bidi/>
        <w:spacing w:line="216" w:lineRule="auto"/>
        <w:rPr>
          <w:rFonts w:ascii="mylotus" w:hAnsi="mylotus"/>
          <w:sz w:val="34"/>
          <w:szCs w:val="34"/>
          <w:rtl/>
        </w:rPr>
      </w:pPr>
      <w:r w:rsidRPr="00F906BB">
        <w:rPr>
          <w:rFonts w:ascii="mylotus" w:hAnsi="mylotus"/>
          <w:b/>
          <w:bCs/>
          <w:sz w:val="34"/>
          <w:szCs w:val="34"/>
          <w:rtl/>
        </w:rPr>
        <w:t>لكن قد ي</w:t>
      </w:r>
      <w:r>
        <w:rPr>
          <w:rFonts w:ascii="mylotus" w:hAnsi="mylotus" w:hint="cs"/>
          <w:b/>
          <w:bCs/>
          <w:sz w:val="34"/>
          <w:szCs w:val="34"/>
          <w:rtl/>
        </w:rPr>
        <w:t>ُ</w:t>
      </w:r>
      <w:r w:rsidRPr="00F906BB">
        <w:rPr>
          <w:rFonts w:ascii="mylotus" w:hAnsi="mylotus"/>
          <w:b/>
          <w:bCs/>
          <w:sz w:val="34"/>
          <w:szCs w:val="34"/>
          <w:rtl/>
        </w:rPr>
        <w:t>قال:</w:t>
      </w:r>
      <w:r w:rsidRPr="008C5A14">
        <w:rPr>
          <w:rFonts w:ascii="mylotus" w:hAnsi="mylotus"/>
          <w:sz w:val="34"/>
          <w:szCs w:val="34"/>
          <w:rtl/>
        </w:rPr>
        <w:t xml:space="preserve"> إن</w:t>
      </w:r>
      <w:r>
        <w:rPr>
          <w:rFonts w:ascii="mylotus" w:hAnsi="mylotus" w:hint="cs"/>
          <w:sz w:val="34"/>
          <w:szCs w:val="34"/>
          <w:rtl/>
        </w:rPr>
        <w:t>ّ</w:t>
      </w:r>
      <w:r w:rsidRPr="008C5A14">
        <w:rPr>
          <w:rFonts w:ascii="mylotus" w:hAnsi="mylotus"/>
          <w:sz w:val="34"/>
          <w:szCs w:val="34"/>
          <w:rtl/>
        </w:rPr>
        <w:t xml:space="preserve"> الظاهر مِن عبائر المحقّق الهمداني (قدس سره) عند مراجعتها بتمامها أنّ الفارق بين المحققين جوهريٌ؛ فإنّ المحقّق الهمداني (قدس سره) يرى أنّ مفهوم العنوان وإنْ كان </w:t>
      </w:r>
      <w:r w:rsidRPr="00022DEF">
        <w:rPr>
          <w:rFonts w:ascii="mylotus" w:hAnsi="mylotus"/>
          <w:sz w:val="34"/>
          <w:szCs w:val="34"/>
          <w:highlight w:val="yellow"/>
          <w:rtl/>
        </w:rPr>
        <w:t>واضحاً مِن حيثُ الحدود لكن العرف قد يطبقه اعتباراً منه على مصداق لكون الفارق بين المصداق الحقيقي والتنزيلي فارقا</w:t>
      </w:r>
      <w:r w:rsidRPr="00022DEF">
        <w:rPr>
          <w:rFonts w:ascii="mylotus" w:hAnsi="mylotus" w:hint="cs"/>
          <w:sz w:val="34"/>
          <w:szCs w:val="34"/>
          <w:highlight w:val="yellow"/>
          <w:rtl/>
        </w:rPr>
        <w:t>ً</w:t>
      </w:r>
      <w:r w:rsidRPr="00022DEF">
        <w:rPr>
          <w:rFonts w:ascii="mylotus" w:hAnsi="mylotus"/>
          <w:sz w:val="34"/>
          <w:szCs w:val="34"/>
          <w:highlight w:val="yellow"/>
          <w:rtl/>
        </w:rPr>
        <w:t xml:space="preserve"> ضئيلا</w:t>
      </w:r>
      <w:r w:rsidRPr="00022DEF">
        <w:rPr>
          <w:rFonts w:ascii="mylotus" w:hAnsi="mylotus" w:hint="cs"/>
          <w:sz w:val="34"/>
          <w:szCs w:val="34"/>
          <w:highlight w:val="yellow"/>
          <w:rtl/>
        </w:rPr>
        <w:t>ً</w:t>
      </w:r>
      <w:r w:rsidRPr="00022DEF">
        <w:rPr>
          <w:rFonts w:ascii="mylotus" w:hAnsi="mylotus"/>
          <w:sz w:val="34"/>
          <w:szCs w:val="34"/>
          <w:highlight w:val="yellow"/>
          <w:rtl/>
        </w:rPr>
        <w:t xml:space="preserve"> لا يعبأُ بِهِ لعدم التفات العرف العام له</w:t>
      </w:r>
      <w:r w:rsidRPr="008C5A14">
        <w:rPr>
          <w:rFonts w:ascii="mylotus" w:hAnsi="mylotus"/>
          <w:sz w:val="34"/>
          <w:szCs w:val="34"/>
          <w:rtl/>
        </w:rPr>
        <w:t xml:space="preserve"> كإصبعٍ مِن 44 كيلومتراً أو أُنملة مِن 27 شبراً وما أشبه ذلك، ففي هذا المورد يرى المحقّق الهمداني </w:t>
      </w:r>
      <w:r>
        <w:rPr>
          <w:rFonts w:ascii="mylotus" w:hAnsi="mylotus" w:hint="cs"/>
          <w:sz w:val="34"/>
          <w:szCs w:val="34"/>
          <w:rtl/>
        </w:rPr>
        <w:t>(</w:t>
      </w:r>
      <w:r w:rsidRPr="008C5A14">
        <w:rPr>
          <w:rFonts w:ascii="mylotus" w:hAnsi="mylotus"/>
          <w:sz w:val="34"/>
          <w:szCs w:val="34"/>
          <w:rtl/>
        </w:rPr>
        <w:t>قد</w:t>
      </w:r>
      <w:r>
        <w:rPr>
          <w:rFonts w:ascii="mylotus" w:hAnsi="mylotus" w:hint="cs"/>
          <w:sz w:val="34"/>
          <w:szCs w:val="34"/>
          <w:rtl/>
        </w:rPr>
        <w:t>س سره)</w:t>
      </w:r>
      <w:r w:rsidRPr="008C5A14">
        <w:rPr>
          <w:rFonts w:ascii="mylotus" w:hAnsi="mylotus"/>
          <w:sz w:val="34"/>
          <w:szCs w:val="34"/>
          <w:rtl/>
        </w:rPr>
        <w:t xml:space="preserve"> أنّ الإطلاق إطلاقٌ حقيقي بالنظر العرفي، وهذا مما لا يراه سيدنا الخوئي (قدس سره)</w:t>
      </w:r>
      <w:r>
        <w:rPr>
          <w:rFonts w:ascii="mylotus" w:hAnsi="mylotus" w:hint="cs"/>
          <w:sz w:val="34"/>
          <w:szCs w:val="34"/>
          <w:rtl/>
        </w:rPr>
        <w:t>.</w:t>
      </w:r>
    </w:p>
    <w:p w14:paraId="2538C7CD" w14:textId="77777777" w:rsidR="009E3B18" w:rsidRPr="00F906BB" w:rsidRDefault="009E3B18" w:rsidP="009E3B18">
      <w:pPr>
        <w:pStyle w:val="a"/>
        <w:bidi/>
        <w:spacing w:line="216" w:lineRule="auto"/>
        <w:rPr>
          <w:rFonts w:ascii="mylotus" w:hAnsi="mylotus"/>
          <w:b/>
          <w:bCs/>
          <w:sz w:val="34"/>
          <w:szCs w:val="34"/>
          <w:rtl/>
        </w:rPr>
      </w:pPr>
      <w:r w:rsidRPr="00F906BB">
        <w:rPr>
          <w:rFonts w:ascii="mylotus" w:hAnsi="mylotus"/>
          <w:b/>
          <w:bCs/>
          <w:sz w:val="34"/>
          <w:szCs w:val="34"/>
          <w:rtl/>
        </w:rPr>
        <w:t>وفي النزاع بين العلمين لا يبعد تمامية ما ذكره المحقّق الهمداني (قدس سره)</w:t>
      </w:r>
      <w:r w:rsidRPr="00F906BB">
        <w:rPr>
          <w:rFonts w:ascii="mylotus" w:hAnsi="mylotus"/>
          <w:b/>
          <w:bCs/>
          <w:sz w:val="34"/>
          <w:szCs w:val="34"/>
        </w:rPr>
        <w:t>.</w:t>
      </w:r>
    </w:p>
    <w:p w14:paraId="0E55B7DA" w14:textId="77777777" w:rsidR="009E3B18" w:rsidRPr="00F906BB" w:rsidRDefault="009E3B18" w:rsidP="009E3B18">
      <w:pPr>
        <w:pStyle w:val="a"/>
        <w:bidi/>
        <w:spacing w:line="216" w:lineRule="auto"/>
        <w:rPr>
          <w:rFonts w:ascii="mylotus" w:hAnsi="mylotus"/>
          <w:b/>
          <w:bCs/>
          <w:sz w:val="34"/>
          <w:szCs w:val="34"/>
          <w:rtl/>
        </w:rPr>
      </w:pPr>
      <w:r w:rsidRPr="00F906BB">
        <w:rPr>
          <w:rFonts w:ascii="mylotus" w:hAnsi="mylotus"/>
          <w:b/>
          <w:bCs/>
          <w:sz w:val="34"/>
          <w:szCs w:val="34"/>
          <w:rtl/>
        </w:rPr>
        <w:t>والوجهُ فيه يرتكز على مقدمتين كبروية وصغروي</w:t>
      </w:r>
      <w:r>
        <w:rPr>
          <w:rFonts w:ascii="mylotus" w:hAnsi="mylotus" w:hint="cs"/>
          <w:b/>
          <w:bCs/>
          <w:sz w:val="34"/>
          <w:szCs w:val="34"/>
          <w:rtl/>
        </w:rPr>
        <w:t>ة:</w:t>
      </w:r>
    </w:p>
    <w:p w14:paraId="097AD867" w14:textId="77777777" w:rsidR="009E3B18" w:rsidRPr="008C5A14" w:rsidRDefault="009E3B18" w:rsidP="009E3B18">
      <w:pPr>
        <w:pStyle w:val="a"/>
        <w:bidi/>
        <w:spacing w:line="216" w:lineRule="auto"/>
        <w:rPr>
          <w:rFonts w:ascii="mylotus" w:hAnsi="mylotus"/>
          <w:sz w:val="34"/>
          <w:szCs w:val="34"/>
          <w:rtl/>
        </w:rPr>
      </w:pPr>
      <w:r w:rsidRPr="00F906BB">
        <w:rPr>
          <w:rFonts w:ascii="mylotus" w:hAnsi="mylotus"/>
          <w:b/>
          <w:bCs/>
          <w:sz w:val="34"/>
          <w:szCs w:val="34"/>
          <w:rtl/>
        </w:rPr>
        <w:t>المقدمة</w:t>
      </w:r>
      <w:r>
        <w:rPr>
          <w:rFonts w:ascii="mylotus" w:hAnsi="mylotus" w:hint="cs"/>
          <w:b/>
          <w:bCs/>
          <w:sz w:val="34"/>
          <w:szCs w:val="34"/>
          <w:rtl/>
        </w:rPr>
        <w:t>ُ</w:t>
      </w:r>
      <w:r w:rsidRPr="00F906BB">
        <w:rPr>
          <w:rFonts w:ascii="mylotus" w:hAnsi="mylotus"/>
          <w:b/>
          <w:bCs/>
          <w:sz w:val="34"/>
          <w:szCs w:val="34"/>
          <w:rtl/>
        </w:rPr>
        <w:t xml:space="preserve"> الكبروية:</w:t>
      </w:r>
      <w:r w:rsidRPr="008C5A14">
        <w:rPr>
          <w:rFonts w:ascii="mylotus" w:hAnsi="mylotus"/>
          <w:sz w:val="34"/>
          <w:szCs w:val="34"/>
          <w:rtl/>
        </w:rPr>
        <w:t xml:space="preserve"> إنّ نظر العرف كما هو متبع</w:t>
      </w:r>
      <w:r>
        <w:rPr>
          <w:rFonts w:ascii="mylotus" w:hAnsi="mylotus" w:hint="cs"/>
          <w:sz w:val="34"/>
          <w:szCs w:val="34"/>
          <w:rtl/>
        </w:rPr>
        <w:t>ٌ</w:t>
      </w:r>
      <w:r w:rsidRPr="008C5A14">
        <w:rPr>
          <w:rFonts w:ascii="mylotus" w:hAnsi="mylotus"/>
          <w:sz w:val="34"/>
          <w:szCs w:val="34"/>
          <w:rtl/>
        </w:rPr>
        <w:t xml:space="preserve"> في تحديد المفاهيم الواردة في لسان الأدلّة </w:t>
      </w:r>
      <w:r w:rsidRPr="000B2F61">
        <w:rPr>
          <w:rFonts w:ascii="mylotus" w:hAnsi="mylotus"/>
          <w:sz w:val="34"/>
          <w:szCs w:val="34"/>
          <w:highlight w:val="yellow"/>
          <w:rtl/>
        </w:rPr>
        <w:t>كالصعيد والقبلة، كذلك هو متبعٌ في المصاديق التنزيلية</w:t>
      </w:r>
      <w:r w:rsidRPr="008C5A14">
        <w:rPr>
          <w:rFonts w:ascii="mylotus" w:hAnsi="mylotus"/>
          <w:sz w:val="34"/>
          <w:szCs w:val="34"/>
          <w:rtl/>
        </w:rPr>
        <w:t xml:space="preserve"> إذا كان التنزيل مقترنا</w:t>
      </w:r>
      <w:r>
        <w:rPr>
          <w:rFonts w:ascii="mylotus" w:hAnsi="mylotus" w:hint="cs"/>
          <w:sz w:val="34"/>
          <w:szCs w:val="34"/>
          <w:rtl/>
        </w:rPr>
        <w:t>ً</w:t>
      </w:r>
      <w:r w:rsidRPr="008C5A14">
        <w:rPr>
          <w:rFonts w:ascii="mylotus" w:hAnsi="mylotus"/>
          <w:sz w:val="34"/>
          <w:szCs w:val="34"/>
          <w:rtl/>
        </w:rPr>
        <w:t xml:space="preserve"> بكون إطلاق العنوان على المصداق بالنظر العرفي إطلاقاً حقيقياً</w:t>
      </w:r>
      <w:r w:rsidRPr="008C5A14">
        <w:rPr>
          <w:rFonts w:ascii="mylotus" w:hAnsi="mylotus"/>
          <w:sz w:val="34"/>
          <w:szCs w:val="34"/>
        </w:rPr>
        <w:t>.</w:t>
      </w:r>
    </w:p>
    <w:p w14:paraId="48CC8F5B" w14:textId="77777777" w:rsidR="009E3B18" w:rsidRPr="008C5A14" w:rsidRDefault="009E3B18" w:rsidP="009E3B18">
      <w:pPr>
        <w:pStyle w:val="a"/>
        <w:bidi/>
        <w:spacing w:line="216" w:lineRule="auto"/>
        <w:rPr>
          <w:rFonts w:ascii="mylotus" w:hAnsi="mylotus"/>
          <w:sz w:val="34"/>
          <w:szCs w:val="34"/>
          <w:rtl/>
        </w:rPr>
      </w:pPr>
      <w:r w:rsidRPr="00F906BB">
        <w:rPr>
          <w:rFonts w:ascii="mylotus" w:hAnsi="mylotus"/>
          <w:b/>
          <w:bCs/>
          <w:sz w:val="34"/>
          <w:szCs w:val="34"/>
          <w:rtl/>
        </w:rPr>
        <w:t>والنكتة</w:t>
      </w:r>
      <w:r>
        <w:rPr>
          <w:rFonts w:ascii="mylotus" w:hAnsi="mylotus" w:hint="cs"/>
          <w:b/>
          <w:bCs/>
          <w:sz w:val="34"/>
          <w:szCs w:val="34"/>
          <w:rtl/>
        </w:rPr>
        <w:t>ُ</w:t>
      </w:r>
      <w:r w:rsidRPr="00F906BB">
        <w:rPr>
          <w:rFonts w:ascii="mylotus" w:hAnsi="mylotus"/>
          <w:b/>
          <w:bCs/>
          <w:sz w:val="34"/>
          <w:szCs w:val="34"/>
          <w:rtl/>
        </w:rPr>
        <w:t xml:space="preserve"> في حجية نظر العرف هنا هو:</w:t>
      </w:r>
      <w:r w:rsidRPr="008C5A14">
        <w:rPr>
          <w:rFonts w:ascii="mylotus" w:hAnsi="mylotus"/>
          <w:sz w:val="34"/>
          <w:szCs w:val="34"/>
          <w:rtl/>
        </w:rPr>
        <w:t xml:space="preserve"> الإطلاق المقامي للأدلّة؛ بلحاظ شيوع هذه </w:t>
      </w:r>
      <w:r w:rsidRPr="00E83A1D">
        <w:rPr>
          <w:rFonts w:ascii="mylotus" w:hAnsi="mylotus"/>
          <w:sz w:val="34"/>
          <w:szCs w:val="34"/>
          <w:highlight w:val="yellow"/>
          <w:rtl/>
        </w:rPr>
        <w:t>الظاهرة عند العرف، وهي: أنّهم يطلقون العنوان المأخوذ في الحدّ على الأفراد التنزيلية إطلاقاً حقيقياً، فإطلاقهم العنوان على الفرد حكومة موجبة لتوسعة</w:t>
      </w:r>
      <w:r w:rsidRPr="008C5A14">
        <w:rPr>
          <w:rFonts w:ascii="mylotus" w:hAnsi="mylotus"/>
          <w:sz w:val="34"/>
          <w:szCs w:val="34"/>
          <w:rtl/>
        </w:rPr>
        <w:t xml:space="preserve"> المفهوم لما يشمل المصداق التنزيلي لضآلة الفارق بينهما، فبما أنّ هذه الظاهرة شائعة لدى العرف في زمن الشارع فمقتضى الإطلاق المقامي إمضاءُ النظر العرفي في هذه الموارد، كما جرت عليه السيرة العرفية في العناوين المأخوذة في القوانين الوضعية والوصايا </w:t>
      </w:r>
      <w:proofErr w:type="spellStart"/>
      <w:r w:rsidRPr="008C5A14">
        <w:rPr>
          <w:rFonts w:ascii="mylotus" w:hAnsi="mylotus"/>
          <w:sz w:val="34"/>
          <w:szCs w:val="34"/>
          <w:rtl/>
        </w:rPr>
        <w:t>والأقارير</w:t>
      </w:r>
      <w:proofErr w:type="spellEnd"/>
      <w:r w:rsidRPr="008C5A14">
        <w:rPr>
          <w:rFonts w:ascii="mylotus" w:hAnsi="mylotus"/>
          <w:sz w:val="34"/>
          <w:szCs w:val="34"/>
          <w:rtl/>
        </w:rPr>
        <w:t xml:space="preserve"> والعقود -كعنوان الظلم والضرر والحق</w:t>
      </w:r>
      <w:r>
        <w:rPr>
          <w:rFonts w:ascii="mylotus" w:hAnsi="mylotus" w:hint="cs"/>
          <w:sz w:val="34"/>
          <w:szCs w:val="34"/>
          <w:rtl/>
        </w:rPr>
        <w:t>ّ</w:t>
      </w:r>
      <w:r w:rsidRPr="008C5A14">
        <w:rPr>
          <w:rFonts w:ascii="mylotus" w:hAnsi="mylotus"/>
          <w:sz w:val="34"/>
          <w:szCs w:val="34"/>
          <w:rtl/>
        </w:rPr>
        <w:t xml:space="preserve"> والما</w:t>
      </w:r>
      <w:r>
        <w:rPr>
          <w:rFonts w:ascii="mylotus" w:hAnsi="mylotus" w:hint="cs"/>
          <w:sz w:val="34"/>
          <w:szCs w:val="34"/>
          <w:rtl/>
        </w:rPr>
        <w:t>ل-.</w:t>
      </w:r>
    </w:p>
    <w:p w14:paraId="6AA468C7" w14:textId="77777777" w:rsidR="009E3B18" w:rsidRPr="008C5A14" w:rsidRDefault="009E3B18" w:rsidP="009E3B18">
      <w:pPr>
        <w:pStyle w:val="a"/>
        <w:bidi/>
        <w:spacing w:line="216" w:lineRule="auto"/>
        <w:rPr>
          <w:rFonts w:ascii="mylotus" w:hAnsi="mylotus"/>
          <w:sz w:val="34"/>
          <w:szCs w:val="34"/>
          <w:rtl/>
        </w:rPr>
      </w:pPr>
      <w:r w:rsidRPr="00F906BB">
        <w:rPr>
          <w:rFonts w:ascii="mylotus" w:hAnsi="mylotus"/>
          <w:b/>
          <w:bCs/>
          <w:sz w:val="34"/>
          <w:szCs w:val="34"/>
          <w:rtl/>
        </w:rPr>
        <w:lastRenderedPageBreak/>
        <w:t>المقدمة</w:t>
      </w:r>
      <w:r w:rsidRPr="00F906BB">
        <w:rPr>
          <w:rFonts w:ascii="mylotus" w:hAnsi="mylotus" w:hint="cs"/>
          <w:b/>
          <w:bCs/>
          <w:sz w:val="34"/>
          <w:szCs w:val="34"/>
          <w:rtl/>
        </w:rPr>
        <w:t>ُ</w:t>
      </w:r>
      <w:r w:rsidRPr="00F906BB">
        <w:rPr>
          <w:rFonts w:ascii="mylotus" w:hAnsi="mylotus"/>
          <w:b/>
          <w:bCs/>
          <w:sz w:val="34"/>
          <w:szCs w:val="34"/>
          <w:rtl/>
        </w:rPr>
        <w:t xml:space="preserve"> الصغروية:</w:t>
      </w:r>
      <w:r w:rsidRPr="008C5A14">
        <w:rPr>
          <w:rFonts w:ascii="mylotus" w:hAnsi="mylotus"/>
          <w:sz w:val="34"/>
          <w:szCs w:val="34"/>
          <w:rtl/>
        </w:rPr>
        <w:t xml:space="preserve"> أن</w:t>
      </w:r>
      <w:r>
        <w:rPr>
          <w:rFonts w:ascii="mylotus" w:hAnsi="mylotus" w:hint="cs"/>
          <w:sz w:val="34"/>
          <w:szCs w:val="34"/>
          <w:rtl/>
        </w:rPr>
        <w:t>ّ</w:t>
      </w:r>
      <w:r w:rsidRPr="008C5A14">
        <w:rPr>
          <w:rFonts w:ascii="mylotus" w:hAnsi="mylotus"/>
          <w:sz w:val="34"/>
          <w:szCs w:val="34"/>
          <w:rtl/>
        </w:rPr>
        <w:t>ه في عدّة مِن الموارد يكونُ للعنوان مصداقٌ حقيقي ومصداقٌ تنزيلي، لا بمعنى أنّ صدق العنوان على الفرد التنزيلي مبني على التسامح والتجوز العرفي، بل بمعنى أنّه لما كان الفارق بينه وبين المصداق الحقيقي فارقاً ضئيلاً لا يُلتفت له نوعاً كان النظرُ العرفي قائماً على مصداقيته وفرديته للعنوان وترتيب الآثار عليه، فمقتضى الإطلاق المقامي للروايات الواردة في مقام البيان إمضاؤه</w:t>
      </w:r>
      <w:r w:rsidRPr="008C5A14">
        <w:rPr>
          <w:rFonts w:ascii="mylotus" w:hAnsi="mylotus"/>
          <w:sz w:val="34"/>
          <w:szCs w:val="34"/>
        </w:rPr>
        <w:t>.</w:t>
      </w:r>
    </w:p>
    <w:p w14:paraId="40548883" w14:textId="77777777" w:rsidR="009E3B18" w:rsidRPr="008C5A14" w:rsidRDefault="009E3B18" w:rsidP="009E3B18">
      <w:pPr>
        <w:pStyle w:val="a"/>
        <w:bidi/>
        <w:spacing w:line="216" w:lineRule="auto"/>
        <w:rPr>
          <w:rFonts w:ascii="mylotus" w:hAnsi="mylotus"/>
          <w:sz w:val="34"/>
          <w:szCs w:val="34"/>
          <w:rtl/>
        </w:rPr>
      </w:pPr>
      <w:r w:rsidRPr="008C5A14">
        <w:rPr>
          <w:rFonts w:ascii="mylotus" w:hAnsi="mylotus"/>
          <w:sz w:val="34"/>
          <w:szCs w:val="34"/>
          <w:rtl/>
        </w:rPr>
        <w:t>ومِن هذا القبيل صدق قطع ثمانية فراسخ على ما هو أقل، وصدق 27 شبراً على ما هو أقل، وصدق العدالة على من ارتكب الصغيرة عن عذّرٍ عرفي بنحو لا ينافي أنّه بنظر العرف إنسانٌ مِن أهل الستر والعفاف والخير والصلاح والاستقامة على جادة الشرع</w:t>
      </w:r>
      <w:r w:rsidRPr="008C5A14">
        <w:rPr>
          <w:rFonts w:ascii="mylotus" w:hAnsi="mylotus"/>
          <w:sz w:val="34"/>
          <w:szCs w:val="34"/>
        </w:rPr>
        <w:t>.</w:t>
      </w:r>
    </w:p>
    <w:p w14:paraId="0605EADA" w14:textId="77777777" w:rsidR="009E3B18" w:rsidRDefault="009E3B18" w:rsidP="009E3B18">
      <w:pPr>
        <w:pStyle w:val="a"/>
        <w:bidi/>
        <w:spacing w:line="216" w:lineRule="auto"/>
        <w:rPr>
          <w:rFonts w:ascii="mylotus" w:hAnsi="mylotus"/>
          <w:sz w:val="34"/>
          <w:szCs w:val="34"/>
          <w:rtl/>
        </w:rPr>
      </w:pPr>
      <w:r w:rsidRPr="00F906BB">
        <w:rPr>
          <w:rFonts w:ascii="mylotus" w:hAnsi="mylotus"/>
          <w:b/>
          <w:bCs/>
          <w:sz w:val="34"/>
          <w:szCs w:val="34"/>
          <w:rtl/>
        </w:rPr>
        <w:t>بل (بحسب المبنى المختار)</w:t>
      </w:r>
      <w:r w:rsidRPr="00F906BB">
        <w:rPr>
          <w:rFonts w:ascii="mylotus" w:hAnsi="mylotus" w:hint="cs"/>
          <w:b/>
          <w:bCs/>
          <w:sz w:val="34"/>
          <w:szCs w:val="34"/>
          <w:rtl/>
        </w:rPr>
        <w:t>:</w:t>
      </w:r>
      <w:r w:rsidRPr="00F906BB">
        <w:rPr>
          <w:rFonts w:ascii="mylotus" w:hAnsi="mylotus"/>
          <w:b/>
          <w:bCs/>
          <w:sz w:val="34"/>
          <w:szCs w:val="34"/>
          <w:rtl/>
        </w:rPr>
        <w:t xml:space="preserve"> </w:t>
      </w:r>
      <w:r w:rsidRPr="008C5A14">
        <w:rPr>
          <w:rFonts w:ascii="mylotus" w:hAnsi="mylotus"/>
          <w:sz w:val="34"/>
          <w:szCs w:val="34"/>
          <w:rtl/>
        </w:rPr>
        <w:t>أن</w:t>
      </w:r>
      <w:r>
        <w:rPr>
          <w:rFonts w:ascii="mylotus" w:hAnsi="mylotus" w:hint="cs"/>
          <w:sz w:val="34"/>
          <w:szCs w:val="34"/>
          <w:rtl/>
        </w:rPr>
        <w:t>ّ</w:t>
      </w:r>
      <w:r w:rsidRPr="008C5A14">
        <w:rPr>
          <w:rFonts w:ascii="mylotus" w:hAnsi="mylotus"/>
          <w:sz w:val="34"/>
          <w:szCs w:val="34"/>
          <w:rtl/>
        </w:rPr>
        <w:t>ه يكفي في أهلية إمام الجماعة أن</w:t>
      </w:r>
      <w:r>
        <w:rPr>
          <w:rFonts w:ascii="mylotus" w:hAnsi="mylotus" w:hint="cs"/>
          <w:sz w:val="34"/>
          <w:szCs w:val="34"/>
          <w:rtl/>
        </w:rPr>
        <w:t>ْ</w:t>
      </w:r>
      <w:r w:rsidRPr="008C5A14">
        <w:rPr>
          <w:rFonts w:ascii="mylotus" w:hAnsi="mylotus"/>
          <w:sz w:val="34"/>
          <w:szCs w:val="34"/>
          <w:rtl/>
        </w:rPr>
        <w:t xml:space="preserve"> يصدق عليه عرفا</w:t>
      </w:r>
      <w:r>
        <w:rPr>
          <w:rFonts w:ascii="mylotus" w:hAnsi="mylotus" w:hint="cs"/>
          <w:sz w:val="34"/>
          <w:szCs w:val="34"/>
          <w:rtl/>
        </w:rPr>
        <w:t>ً</w:t>
      </w:r>
      <w:r w:rsidRPr="008C5A14">
        <w:rPr>
          <w:rFonts w:ascii="mylotus" w:hAnsi="mylotus"/>
          <w:sz w:val="34"/>
          <w:szCs w:val="34"/>
          <w:rtl/>
        </w:rPr>
        <w:t xml:space="preserve"> </w:t>
      </w:r>
      <w:r>
        <w:rPr>
          <w:rFonts w:ascii="mylotus" w:hAnsi="mylotus" w:cs="Cambria" w:hint="cs"/>
          <w:sz w:val="34"/>
          <w:szCs w:val="34"/>
          <w:rtl/>
        </w:rPr>
        <w:t>"</w:t>
      </w:r>
      <w:r w:rsidRPr="00F66DF6">
        <w:rPr>
          <w:rFonts w:ascii="mylotus" w:hAnsi="mylotus"/>
          <w:sz w:val="34"/>
          <w:szCs w:val="34"/>
          <w:highlight w:val="yellow"/>
          <w:rtl/>
        </w:rPr>
        <w:t>إمام</w:t>
      </w:r>
      <w:r w:rsidRPr="00F66DF6">
        <w:rPr>
          <w:rFonts w:ascii="mylotus" w:hAnsi="mylotus" w:hint="cs"/>
          <w:sz w:val="34"/>
          <w:szCs w:val="34"/>
          <w:highlight w:val="yellow"/>
          <w:rtl/>
        </w:rPr>
        <w:t>ٌ</w:t>
      </w:r>
      <w:r w:rsidRPr="00F66DF6">
        <w:rPr>
          <w:rFonts w:ascii="mylotus" w:hAnsi="mylotus"/>
          <w:sz w:val="34"/>
          <w:szCs w:val="34"/>
          <w:highlight w:val="yellow"/>
          <w:rtl/>
        </w:rPr>
        <w:t xml:space="preserve"> ع</w:t>
      </w:r>
      <w:r w:rsidRPr="00F66DF6">
        <w:rPr>
          <w:rFonts w:ascii="mylotus" w:hAnsi="mylotus" w:hint="cs"/>
          <w:sz w:val="34"/>
          <w:szCs w:val="34"/>
          <w:highlight w:val="yellow"/>
          <w:rtl/>
        </w:rPr>
        <w:t>َ</w:t>
      </w:r>
      <w:r w:rsidRPr="00F66DF6">
        <w:rPr>
          <w:rFonts w:ascii="mylotus" w:hAnsi="mylotus"/>
          <w:sz w:val="34"/>
          <w:szCs w:val="34"/>
          <w:highlight w:val="yellow"/>
          <w:rtl/>
        </w:rPr>
        <w:t>د</w:t>
      </w:r>
      <w:r w:rsidRPr="00F66DF6">
        <w:rPr>
          <w:rFonts w:ascii="mylotus" w:hAnsi="mylotus" w:hint="cs"/>
          <w:sz w:val="34"/>
          <w:szCs w:val="34"/>
          <w:highlight w:val="yellow"/>
          <w:rtl/>
        </w:rPr>
        <w:t>ْ</w:t>
      </w:r>
      <w:r w:rsidRPr="00F66DF6">
        <w:rPr>
          <w:rFonts w:ascii="mylotus" w:hAnsi="mylotus"/>
          <w:sz w:val="34"/>
          <w:szCs w:val="34"/>
          <w:highlight w:val="yellow"/>
          <w:rtl/>
        </w:rPr>
        <w:t>ل</w:t>
      </w:r>
      <w:r w:rsidRPr="00F66DF6">
        <w:rPr>
          <w:rFonts w:ascii="mylotus" w:hAnsi="mylotus" w:hint="cs"/>
          <w:sz w:val="34"/>
          <w:szCs w:val="34"/>
          <w:highlight w:val="yellow"/>
          <w:rtl/>
        </w:rPr>
        <w:t>ٌ</w:t>
      </w:r>
      <w:r w:rsidRPr="00F66DF6">
        <w:rPr>
          <w:rFonts w:ascii="mylotus" w:hAnsi="mylotus" w:cs="Cambria" w:hint="cs"/>
          <w:sz w:val="34"/>
          <w:szCs w:val="34"/>
          <w:highlight w:val="yellow"/>
          <w:rtl/>
        </w:rPr>
        <w:t xml:space="preserve">" </w:t>
      </w:r>
      <w:r w:rsidRPr="00F66DF6">
        <w:rPr>
          <w:rFonts w:ascii="mylotus" w:hAnsi="mylotus"/>
          <w:sz w:val="34"/>
          <w:szCs w:val="34"/>
          <w:highlight w:val="yellow"/>
          <w:rtl/>
        </w:rPr>
        <w:t>الذي يعني الاستقامة الظاهرية، وإن</w:t>
      </w:r>
      <w:r w:rsidRPr="00F66DF6">
        <w:rPr>
          <w:rFonts w:ascii="mylotus" w:hAnsi="mylotus" w:hint="cs"/>
          <w:sz w:val="34"/>
          <w:szCs w:val="34"/>
          <w:highlight w:val="yellow"/>
          <w:rtl/>
        </w:rPr>
        <w:t>ْ</w:t>
      </w:r>
      <w:r w:rsidRPr="00F66DF6">
        <w:rPr>
          <w:rFonts w:ascii="mylotus" w:hAnsi="mylotus"/>
          <w:sz w:val="34"/>
          <w:szCs w:val="34"/>
          <w:highlight w:val="yellow"/>
          <w:rtl/>
        </w:rPr>
        <w:t xml:space="preserve"> كان </w:t>
      </w:r>
      <w:proofErr w:type="spellStart"/>
      <w:r w:rsidRPr="00F66DF6">
        <w:rPr>
          <w:rFonts w:ascii="mylotus" w:hAnsi="mylotus"/>
          <w:sz w:val="34"/>
          <w:szCs w:val="34"/>
          <w:highlight w:val="yellow"/>
          <w:rtl/>
        </w:rPr>
        <w:t>مقارفا</w:t>
      </w:r>
      <w:r w:rsidRPr="00F66DF6">
        <w:rPr>
          <w:rFonts w:ascii="mylotus" w:hAnsi="mylotus" w:hint="cs"/>
          <w:sz w:val="34"/>
          <w:szCs w:val="34"/>
          <w:highlight w:val="yellow"/>
          <w:rtl/>
        </w:rPr>
        <w:t>ً</w:t>
      </w:r>
      <w:proofErr w:type="spellEnd"/>
      <w:r w:rsidRPr="00F66DF6">
        <w:rPr>
          <w:rFonts w:ascii="mylotus" w:hAnsi="mylotus"/>
          <w:sz w:val="34"/>
          <w:szCs w:val="34"/>
          <w:highlight w:val="yellow"/>
          <w:rtl/>
        </w:rPr>
        <w:t xml:space="preserve"> لبعض الذنوب لا</w:t>
      </w:r>
      <w:r w:rsidRPr="00F66DF6">
        <w:rPr>
          <w:rFonts w:ascii="mylotus" w:hAnsi="mylotus" w:hint="cs"/>
          <w:sz w:val="34"/>
          <w:szCs w:val="34"/>
          <w:highlight w:val="yellow"/>
          <w:rtl/>
        </w:rPr>
        <w:t xml:space="preserve"> </w:t>
      </w:r>
      <w:r w:rsidRPr="00F66DF6">
        <w:rPr>
          <w:rFonts w:ascii="mylotus" w:hAnsi="mylotus"/>
          <w:sz w:val="34"/>
          <w:szCs w:val="34"/>
          <w:highlight w:val="yellow"/>
          <w:rtl/>
        </w:rPr>
        <w:t>عن إصرار</w:t>
      </w:r>
      <w:r w:rsidRPr="00F66DF6">
        <w:rPr>
          <w:rFonts w:ascii="mylotus" w:hAnsi="mylotus" w:hint="cs"/>
          <w:sz w:val="34"/>
          <w:szCs w:val="34"/>
          <w:highlight w:val="yellow"/>
          <w:rtl/>
        </w:rPr>
        <w:t>ٍ</w:t>
      </w:r>
      <w:r>
        <w:rPr>
          <w:rFonts w:ascii="mylotus" w:hAnsi="mylotus" w:hint="cs"/>
          <w:sz w:val="34"/>
          <w:szCs w:val="34"/>
          <w:rtl/>
        </w:rPr>
        <w:t>.</w:t>
      </w:r>
    </w:p>
    <w:p w14:paraId="2C0F57D5" w14:textId="77777777" w:rsidR="009E3B18" w:rsidRDefault="009E3B18" w:rsidP="009E3B18">
      <w:pPr>
        <w:pStyle w:val="a"/>
        <w:bidi/>
        <w:spacing w:line="216" w:lineRule="auto"/>
        <w:rPr>
          <w:rFonts w:ascii="mylotus" w:hAnsi="mylotus"/>
          <w:sz w:val="34"/>
          <w:szCs w:val="34"/>
          <w:rtl/>
        </w:rPr>
      </w:pPr>
      <w:r w:rsidRPr="008C5A14">
        <w:rPr>
          <w:rFonts w:ascii="mylotus" w:hAnsi="mylotus"/>
          <w:sz w:val="34"/>
          <w:szCs w:val="34"/>
          <w:rtl/>
        </w:rPr>
        <w:t>فإن</w:t>
      </w:r>
      <w:r>
        <w:rPr>
          <w:rFonts w:ascii="mylotus" w:hAnsi="mylotus" w:hint="cs"/>
          <w:sz w:val="34"/>
          <w:szCs w:val="34"/>
          <w:rtl/>
        </w:rPr>
        <w:t>ّ</w:t>
      </w:r>
      <w:r w:rsidRPr="008C5A14">
        <w:rPr>
          <w:rFonts w:ascii="mylotus" w:hAnsi="mylotus"/>
          <w:sz w:val="34"/>
          <w:szCs w:val="34"/>
          <w:rtl/>
        </w:rPr>
        <w:t xml:space="preserve"> الدليل على اعتبار العدالة في إمام الجماعة إم</w:t>
      </w:r>
      <w:r>
        <w:rPr>
          <w:rFonts w:ascii="mylotus" w:hAnsi="mylotus" w:hint="cs"/>
          <w:sz w:val="34"/>
          <w:szCs w:val="34"/>
          <w:rtl/>
        </w:rPr>
        <w:t>ّ</w:t>
      </w:r>
      <w:r w:rsidRPr="008C5A14">
        <w:rPr>
          <w:rFonts w:ascii="mylotus" w:hAnsi="mylotus"/>
          <w:sz w:val="34"/>
          <w:szCs w:val="34"/>
          <w:rtl/>
        </w:rPr>
        <w:t>ا الإجماع وهو محتمل</w:t>
      </w:r>
      <w:r>
        <w:rPr>
          <w:rFonts w:ascii="mylotus" w:hAnsi="mylotus" w:hint="cs"/>
          <w:sz w:val="34"/>
          <w:szCs w:val="34"/>
          <w:rtl/>
        </w:rPr>
        <w:t>ُ</w:t>
      </w:r>
      <w:r w:rsidRPr="008C5A14">
        <w:rPr>
          <w:rFonts w:ascii="mylotus" w:hAnsi="mylotus"/>
          <w:sz w:val="34"/>
          <w:szCs w:val="34"/>
          <w:rtl/>
        </w:rPr>
        <w:t xml:space="preserve"> المدركية لورود عد</w:t>
      </w:r>
      <w:r>
        <w:rPr>
          <w:rFonts w:ascii="mylotus" w:hAnsi="mylotus" w:hint="cs"/>
          <w:sz w:val="34"/>
          <w:szCs w:val="34"/>
          <w:rtl/>
        </w:rPr>
        <w:t>ّ</w:t>
      </w:r>
      <w:r w:rsidRPr="008C5A14">
        <w:rPr>
          <w:rFonts w:ascii="mylotus" w:hAnsi="mylotus"/>
          <w:sz w:val="34"/>
          <w:szCs w:val="34"/>
          <w:rtl/>
        </w:rPr>
        <w:t>ة روايات في الباب</w:t>
      </w:r>
      <w:r>
        <w:rPr>
          <w:rFonts w:ascii="mylotus" w:hAnsi="mylotus" w:hint="cs"/>
          <w:sz w:val="34"/>
          <w:szCs w:val="34"/>
          <w:rtl/>
        </w:rPr>
        <w:t xml:space="preserve">، </w:t>
      </w:r>
      <w:r w:rsidRPr="008C5A14">
        <w:rPr>
          <w:rFonts w:ascii="mylotus" w:hAnsi="mylotus"/>
          <w:sz w:val="34"/>
          <w:szCs w:val="34"/>
          <w:rtl/>
        </w:rPr>
        <w:t>مضافا</w:t>
      </w:r>
      <w:r>
        <w:rPr>
          <w:rFonts w:ascii="mylotus" w:hAnsi="mylotus" w:hint="cs"/>
          <w:sz w:val="34"/>
          <w:szCs w:val="34"/>
          <w:rtl/>
        </w:rPr>
        <w:t>ً</w:t>
      </w:r>
      <w:r w:rsidRPr="008C5A14">
        <w:rPr>
          <w:rFonts w:ascii="mylotus" w:hAnsi="mylotus"/>
          <w:sz w:val="34"/>
          <w:szCs w:val="34"/>
          <w:rtl/>
        </w:rPr>
        <w:t xml:space="preserve"> إلى أن</w:t>
      </w:r>
      <w:r>
        <w:rPr>
          <w:rFonts w:ascii="mylotus" w:hAnsi="mylotus" w:hint="cs"/>
          <w:sz w:val="34"/>
          <w:szCs w:val="34"/>
          <w:rtl/>
        </w:rPr>
        <w:t>ّ</w:t>
      </w:r>
      <w:r w:rsidRPr="008C5A14">
        <w:rPr>
          <w:rFonts w:ascii="mylotus" w:hAnsi="mylotus"/>
          <w:sz w:val="34"/>
          <w:szCs w:val="34"/>
          <w:rtl/>
        </w:rPr>
        <w:t xml:space="preserve"> معقده عنوان العدالة وهي بالنظر العرفي لا</w:t>
      </w:r>
      <w:r>
        <w:rPr>
          <w:rFonts w:ascii="mylotus" w:hAnsi="mylotus" w:hint="cs"/>
          <w:sz w:val="34"/>
          <w:szCs w:val="34"/>
          <w:rtl/>
        </w:rPr>
        <w:t xml:space="preserve"> </w:t>
      </w:r>
      <w:r w:rsidRPr="008C5A14">
        <w:rPr>
          <w:rFonts w:ascii="mylotus" w:hAnsi="mylotus"/>
          <w:sz w:val="34"/>
          <w:szCs w:val="34"/>
          <w:rtl/>
        </w:rPr>
        <w:t>تنافي ارتكاب بعض الذنوب لا</w:t>
      </w:r>
      <w:r>
        <w:rPr>
          <w:rFonts w:ascii="mylotus" w:hAnsi="mylotus" w:hint="cs"/>
          <w:sz w:val="34"/>
          <w:szCs w:val="34"/>
          <w:rtl/>
        </w:rPr>
        <w:t xml:space="preserve"> </w:t>
      </w:r>
      <w:r w:rsidRPr="008C5A14">
        <w:rPr>
          <w:rFonts w:ascii="mylotus" w:hAnsi="mylotus"/>
          <w:sz w:val="34"/>
          <w:szCs w:val="34"/>
          <w:rtl/>
        </w:rPr>
        <w:t>عن إصرا</w:t>
      </w:r>
      <w:r>
        <w:rPr>
          <w:rFonts w:ascii="mylotus" w:hAnsi="mylotus" w:hint="cs"/>
          <w:sz w:val="34"/>
          <w:szCs w:val="34"/>
          <w:rtl/>
        </w:rPr>
        <w:t>رٍ.</w:t>
      </w:r>
    </w:p>
    <w:p w14:paraId="63A9476A" w14:textId="77777777" w:rsidR="009E3B18" w:rsidRDefault="009E3B18" w:rsidP="009E3B18">
      <w:pPr>
        <w:pStyle w:val="a"/>
        <w:bidi/>
        <w:spacing w:line="216" w:lineRule="auto"/>
        <w:rPr>
          <w:rFonts w:ascii="mylotus" w:hAnsi="mylotus"/>
          <w:sz w:val="34"/>
          <w:szCs w:val="34"/>
          <w:rtl/>
        </w:rPr>
      </w:pPr>
      <w:r w:rsidRPr="008C5A14">
        <w:rPr>
          <w:rFonts w:ascii="mylotus" w:hAnsi="mylotus"/>
          <w:sz w:val="34"/>
          <w:szCs w:val="34"/>
          <w:rtl/>
        </w:rPr>
        <w:t>وإم</w:t>
      </w:r>
      <w:r>
        <w:rPr>
          <w:rFonts w:ascii="mylotus" w:hAnsi="mylotus" w:hint="cs"/>
          <w:sz w:val="34"/>
          <w:szCs w:val="34"/>
          <w:rtl/>
        </w:rPr>
        <w:t>ّ</w:t>
      </w:r>
      <w:r w:rsidRPr="008C5A14">
        <w:rPr>
          <w:rFonts w:ascii="mylotus" w:hAnsi="mylotus"/>
          <w:sz w:val="34"/>
          <w:szCs w:val="34"/>
          <w:rtl/>
        </w:rPr>
        <w:t>ا الروايات وهي بين ما</w:t>
      </w:r>
      <w:r>
        <w:rPr>
          <w:rFonts w:ascii="mylotus" w:hAnsi="mylotus" w:hint="cs"/>
          <w:sz w:val="34"/>
          <w:szCs w:val="34"/>
          <w:rtl/>
        </w:rPr>
        <w:t xml:space="preserve"> </w:t>
      </w:r>
      <w:r w:rsidRPr="008C5A14">
        <w:rPr>
          <w:rFonts w:ascii="mylotus" w:hAnsi="mylotus"/>
          <w:sz w:val="34"/>
          <w:szCs w:val="34"/>
          <w:rtl/>
        </w:rPr>
        <w:t>هو تام</w:t>
      </w:r>
      <w:r>
        <w:rPr>
          <w:rFonts w:ascii="mylotus" w:hAnsi="mylotus" w:hint="cs"/>
          <w:sz w:val="34"/>
          <w:szCs w:val="34"/>
          <w:rtl/>
        </w:rPr>
        <w:t>ٌ</w:t>
      </w:r>
      <w:r w:rsidRPr="008C5A14">
        <w:rPr>
          <w:rFonts w:ascii="mylotus" w:hAnsi="mylotus"/>
          <w:sz w:val="34"/>
          <w:szCs w:val="34"/>
          <w:rtl/>
        </w:rPr>
        <w:t xml:space="preserve"> دلالة</w:t>
      </w:r>
      <w:r>
        <w:rPr>
          <w:rFonts w:ascii="mylotus" w:hAnsi="mylotus" w:hint="cs"/>
          <w:sz w:val="34"/>
          <w:szCs w:val="34"/>
          <w:rtl/>
        </w:rPr>
        <w:t>ً</w:t>
      </w:r>
      <w:r w:rsidRPr="008C5A14">
        <w:rPr>
          <w:rFonts w:ascii="mylotus" w:hAnsi="mylotus"/>
          <w:sz w:val="34"/>
          <w:szCs w:val="34"/>
          <w:rtl/>
        </w:rPr>
        <w:t xml:space="preserve"> ضعيف</w:t>
      </w:r>
      <w:r>
        <w:rPr>
          <w:rFonts w:ascii="mylotus" w:hAnsi="mylotus" w:hint="cs"/>
          <w:sz w:val="34"/>
          <w:szCs w:val="34"/>
          <w:rtl/>
        </w:rPr>
        <w:t>ٌ</w:t>
      </w:r>
      <w:r w:rsidRPr="008C5A14">
        <w:rPr>
          <w:rFonts w:ascii="mylotus" w:hAnsi="mylotus"/>
          <w:sz w:val="34"/>
          <w:szCs w:val="34"/>
          <w:rtl/>
        </w:rPr>
        <w:t xml:space="preserve"> سندا</w:t>
      </w:r>
      <w:r>
        <w:rPr>
          <w:rFonts w:ascii="mylotus" w:hAnsi="mylotus" w:hint="cs"/>
          <w:sz w:val="34"/>
          <w:szCs w:val="34"/>
          <w:rtl/>
        </w:rPr>
        <w:t>ً</w:t>
      </w:r>
      <w:r w:rsidRPr="008C5A14">
        <w:rPr>
          <w:rFonts w:ascii="mylotus" w:hAnsi="mylotus"/>
          <w:sz w:val="34"/>
          <w:szCs w:val="34"/>
          <w:rtl/>
        </w:rPr>
        <w:t xml:space="preserve"> نحو</w:t>
      </w:r>
      <w:r>
        <w:rPr>
          <w:rFonts w:ascii="mylotus" w:hAnsi="mylotus" w:hint="cs"/>
          <w:sz w:val="34"/>
          <w:szCs w:val="34"/>
          <w:rtl/>
        </w:rPr>
        <w:t xml:space="preserve"> </w:t>
      </w:r>
      <w:r w:rsidRPr="008C5A14">
        <w:rPr>
          <w:rFonts w:ascii="mylotus" w:hAnsi="mylotus"/>
          <w:sz w:val="34"/>
          <w:szCs w:val="34"/>
          <w:rtl/>
        </w:rPr>
        <w:t>رواية سعد بن إسماعيل</w:t>
      </w:r>
      <w:r>
        <w:rPr>
          <w:rFonts w:ascii="mylotus" w:hAnsi="mylotus" w:hint="cs"/>
          <w:sz w:val="34"/>
          <w:szCs w:val="34"/>
          <w:rtl/>
        </w:rPr>
        <w:t xml:space="preserve">: كما في التهذيب: </w:t>
      </w:r>
      <w:r w:rsidRPr="00C16BB6">
        <w:rPr>
          <w:rFonts w:ascii="mylotus" w:hAnsi="mylotus" w:hint="cs"/>
          <w:b/>
          <w:bCs/>
          <w:sz w:val="34"/>
          <w:szCs w:val="34"/>
          <w:rtl/>
        </w:rPr>
        <w:t>(</w:t>
      </w:r>
      <w:r w:rsidRPr="00C16BB6">
        <w:rPr>
          <w:rFonts w:ascii="mylotus" w:hAnsi="mylotus"/>
          <w:b/>
          <w:bCs/>
          <w:sz w:val="34"/>
          <w:szCs w:val="34"/>
          <w:rtl/>
        </w:rPr>
        <w:t>محم</w:t>
      </w:r>
      <w:r w:rsidRPr="00C16BB6">
        <w:rPr>
          <w:rFonts w:ascii="mylotus" w:hAnsi="mylotus" w:hint="cs"/>
          <w:b/>
          <w:bCs/>
          <w:sz w:val="34"/>
          <w:szCs w:val="34"/>
          <w:rtl/>
        </w:rPr>
        <w:t>ّ</w:t>
      </w:r>
      <w:r w:rsidRPr="00C16BB6">
        <w:rPr>
          <w:rFonts w:ascii="mylotus" w:hAnsi="mylotus"/>
          <w:b/>
          <w:bCs/>
          <w:sz w:val="34"/>
          <w:szCs w:val="34"/>
          <w:rtl/>
        </w:rPr>
        <w:t>د بن أحمد بن يحيى</w:t>
      </w:r>
      <w:r w:rsidRPr="00C16BB6">
        <w:rPr>
          <w:rFonts w:ascii="mylotus" w:hAnsi="mylotus" w:hint="cs"/>
          <w:b/>
          <w:bCs/>
          <w:sz w:val="34"/>
          <w:szCs w:val="34"/>
          <w:rtl/>
        </w:rPr>
        <w:t>،</w:t>
      </w:r>
      <w:r w:rsidRPr="00C16BB6">
        <w:rPr>
          <w:rFonts w:ascii="mylotus" w:hAnsi="mylotus"/>
          <w:b/>
          <w:bCs/>
          <w:sz w:val="34"/>
          <w:szCs w:val="34"/>
          <w:rtl/>
        </w:rPr>
        <w:t xml:space="preserve"> عن أحمد بن محم</w:t>
      </w:r>
      <w:r w:rsidRPr="00C16BB6">
        <w:rPr>
          <w:rFonts w:ascii="mylotus" w:hAnsi="mylotus" w:hint="cs"/>
          <w:b/>
          <w:bCs/>
          <w:sz w:val="34"/>
          <w:szCs w:val="34"/>
          <w:rtl/>
        </w:rPr>
        <w:t>ّ</w:t>
      </w:r>
      <w:r w:rsidRPr="00C16BB6">
        <w:rPr>
          <w:rFonts w:ascii="mylotus" w:hAnsi="mylotus"/>
          <w:b/>
          <w:bCs/>
          <w:sz w:val="34"/>
          <w:szCs w:val="34"/>
          <w:rtl/>
        </w:rPr>
        <w:t>د</w:t>
      </w:r>
      <w:r w:rsidRPr="00C16BB6">
        <w:rPr>
          <w:rFonts w:ascii="mylotus" w:hAnsi="mylotus" w:hint="cs"/>
          <w:b/>
          <w:bCs/>
          <w:sz w:val="34"/>
          <w:szCs w:val="34"/>
          <w:rtl/>
        </w:rPr>
        <w:t>،</w:t>
      </w:r>
      <w:r w:rsidRPr="00C16BB6">
        <w:rPr>
          <w:rFonts w:ascii="mylotus" w:hAnsi="mylotus"/>
          <w:b/>
          <w:bCs/>
          <w:sz w:val="34"/>
          <w:szCs w:val="34"/>
          <w:rtl/>
        </w:rPr>
        <w:t xml:space="preserve"> عن سعد بن</w:t>
      </w:r>
      <w:r w:rsidRPr="00C16BB6">
        <w:rPr>
          <w:rFonts w:ascii="mylotus" w:hAnsi="mylotus" w:hint="cs"/>
          <w:b/>
          <w:bCs/>
          <w:sz w:val="34"/>
          <w:szCs w:val="34"/>
          <w:rtl/>
        </w:rPr>
        <w:t xml:space="preserve"> </w:t>
      </w:r>
      <w:r w:rsidRPr="00C16BB6">
        <w:rPr>
          <w:rFonts w:ascii="mylotus" w:hAnsi="mylotus"/>
          <w:b/>
          <w:bCs/>
          <w:sz w:val="34"/>
          <w:szCs w:val="34"/>
          <w:rtl/>
        </w:rPr>
        <w:t>إسماعيل</w:t>
      </w:r>
      <w:r w:rsidRPr="00C16BB6">
        <w:rPr>
          <w:rFonts w:ascii="mylotus" w:hAnsi="mylotus" w:hint="cs"/>
          <w:b/>
          <w:bCs/>
          <w:sz w:val="34"/>
          <w:szCs w:val="34"/>
          <w:rtl/>
        </w:rPr>
        <w:t>،</w:t>
      </w:r>
      <w:r w:rsidRPr="00C16BB6">
        <w:rPr>
          <w:rFonts w:ascii="mylotus" w:hAnsi="mylotus"/>
          <w:b/>
          <w:bCs/>
          <w:sz w:val="34"/>
          <w:szCs w:val="34"/>
          <w:rtl/>
        </w:rPr>
        <w:t xml:space="preserve"> عن أبيه قال: قلت للرضا </w:t>
      </w:r>
      <w:r w:rsidRPr="00C16BB6">
        <w:rPr>
          <w:rFonts w:ascii="mylotus" w:hAnsi="mylotus" w:hint="cs"/>
          <w:b/>
          <w:bCs/>
          <w:sz w:val="34"/>
          <w:szCs w:val="34"/>
          <w:rtl/>
        </w:rPr>
        <w:t>(</w:t>
      </w:r>
      <w:r w:rsidRPr="00C16BB6">
        <w:rPr>
          <w:rFonts w:ascii="mylotus" w:hAnsi="mylotus"/>
          <w:b/>
          <w:bCs/>
          <w:sz w:val="34"/>
          <w:szCs w:val="34"/>
          <w:rtl/>
        </w:rPr>
        <w:t>عليه السلام</w:t>
      </w:r>
      <w:r w:rsidRPr="00C16BB6">
        <w:rPr>
          <w:rFonts w:ascii="mylotus" w:hAnsi="mylotus" w:hint="cs"/>
          <w:b/>
          <w:bCs/>
          <w:sz w:val="34"/>
          <w:szCs w:val="34"/>
          <w:rtl/>
        </w:rPr>
        <w:t>):</w:t>
      </w:r>
      <w:r w:rsidRPr="00C16BB6">
        <w:rPr>
          <w:rFonts w:ascii="mylotus" w:hAnsi="mylotus"/>
          <w:b/>
          <w:bCs/>
          <w:sz w:val="34"/>
          <w:szCs w:val="34"/>
          <w:rtl/>
        </w:rPr>
        <w:t xml:space="preserve"> رجل يقارف الذنوب وهو عارف بهذا</w:t>
      </w:r>
      <w:r w:rsidRPr="00C16BB6">
        <w:rPr>
          <w:rFonts w:ascii="mylotus" w:hAnsi="mylotus" w:hint="cs"/>
          <w:b/>
          <w:bCs/>
          <w:sz w:val="34"/>
          <w:szCs w:val="34"/>
          <w:rtl/>
        </w:rPr>
        <w:t xml:space="preserve"> </w:t>
      </w:r>
      <w:r w:rsidRPr="00C16BB6">
        <w:rPr>
          <w:rFonts w:ascii="mylotus" w:hAnsi="mylotus"/>
          <w:b/>
          <w:bCs/>
          <w:sz w:val="34"/>
          <w:szCs w:val="34"/>
          <w:rtl/>
        </w:rPr>
        <w:t>ال</w:t>
      </w:r>
      <w:r w:rsidRPr="00C16BB6">
        <w:rPr>
          <w:rFonts w:ascii="mylotus" w:hAnsi="mylotus" w:hint="cs"/>
          <w:b/>
          <w:bCs/>
          <w:sz w:val="34"/>
          <w:szCs w:val="34"/>
          <w:rtl/>
        </w:rPr>
        <w:t>أ</w:t>
      </w:r>
      <w:r w:rsidRPr="00C16BB6">
        <w:rPr>
          <w:rFonts w:ascii="mylotus" w:hAnsi="mylotus"/>
          <w:b/>
          <w:bCs/>
          <w:sz w:val="34"/>
          <w:szCs w:val="34"/>
          <w:rtl/>
        </w:rPr>
        <w:t>مر أصلي خلفه؟ قال: ل</w:t>
      </w:r>
      <w:r w:rsidRPr="00C16BB6">
        <w:rPr>
          <w:rFonts w:ascii="mylotus" w:hAnsi="mylotus" w:hint="cs"/>
          <w:b/>
          <w:bCs/>
          <w:sz w:val="34"/>
          <w:szCs w:val="34"/>
          <w:rtl/>
        </w:rPr>
        <w:t>ا)</w:t>
      </w:r>
      <w:r>
        <w:rPr>
          <w:rStyle w:val="FootnoteReference"/>
          <w:rFonts w:ascii="mylotus" w:hAnsi="mylotus"/>
          <w:sz w:val="34"/>
          <w:szCs w:val="34"/>
          <w:rtl/>
        </w:rPr>
        <w:footnoteReference w:id="221"/>
      </w:r>
      <w:r w:rsidRPr="00C16BB6">
        <w:rPr>
          <w:rFonts w:ascii="mylotus" w:hAnsi="mylotus"/>
          <w:b/>
          <w:bCs/>
          <w:sz w:val="34"/>
          <w:szCs w:val="34"/>
          <w:rtl/>
        </w:rPr>
        <w:t>.</w:t>
      </w:r>
    </w:p>
    <w:p w14:paraId="7025A0D2" w14:textId="77777777" w:rsidR="009E3B18" w:rsidRPr="006A7291" w:rsidRDefault="009E3B18" w:rsidP="009E3B18">
      <w:pPr>
        <w:pStyle w:val="a"/>
        <w:bidi/>
        <w:spacing w:line="216" w:lineRule="auto"/>
        <w:rPr>
          <w:rFonts w:ascii="mylotus" w:hAnsi="mylotus"/>
          <w:b/>
          <w:bCs/>
          <w:sz w:val="34"/>
          <w:szCs w:val="34"/>
          <w:rtl/>
        </w:rPr>
      </w:pPr>
      <w:r w:rsidRPr="008C5A14">
        <w:rPr>
          <w:rFonts w:ascii="mylotus" w:hAnsi="mylotus"/>
          <w:sz w:val="34"/>
          <w:szCs w:val="34"/>
          <w:rtl/>
        </w:rPr>
        <w:t>أو ما</w:t>
      </w:r>
      <w:r>
        <w:rPr>
          <w:rFonts w:ascii="mylotus" w:hAnsi="mylotus" w:hint="cs"/>
          <w:sz w:val="34"/>
          <w:szCs w:val="34"/>
          <w:rtl/>
        </w:rPr>
        <w:t xml:space="preserve"> </w:t>
      </w:r>
      <w:r w:rsidRPr="008C5A14">
        <w:rPr>
          <w:rFonts w:ascii="mylotus" w:hAnsi="mylotus"/>
          <w:sz w:val="34"/>
          <w:szCs w:val="34"/>
          <w:rtl/>
        </w:rPr>
        <w:t>كانت غاية مفاده مانعية م</w:t>
      </w:r>
      <w:r>
        <w:rPr>
          <w:rFonts w:ascii="mylotus" w:hAnsi="mylotus" w:hint="cs"/>
          <w:sz w:val="34"/>
          <w:szCs w:val="34"/>
          <w:rtl/>
        </w:rPr>
        <w:t>َ</w:t>
      </w:r>
      <w:r w:rsidRPr="008C5A14">
        <w:rPr>
          <w:rFonts w:ascii="mylotus" w:hAnsi="mylotus"/>
          <w:sz w:val="34"/>
          <w:szCs w:val="34"/>
          <w:rtl/>
        </w:rPr>
        <w:t>ن ضيع السنة -التي هي م</w:t>
      </w:r>
      <w:r>
        <w:rPr>
          <w:rFonts w:ascii="mylotus" w:hAnsi="mylotus" w:hint="cs"/>
          <w:sz w:val="34"/>
          <w:szCs w:val="34"/>
          <w:rtl/>
        </w:rPr>
        <w:t>ِ</w:t>
      </w:r>
      <w:r w:rsidRPr="008C5A14">
        <w:rPr>
          <w:rFonts w:ascii="mylotus" w:hAnsi="mylotus"/>
          <w:sz w:val="34"/>
          <w:szCs w:val="34"/>
          <w:rtl/>
        </w:rPr>
        <w:t>ن أشد الكبائر-</w:t>
      </w:r>
      <w:r>
        <w:rPr>
          <w:rFonts w:ascii="mylotus" w:hAnsi="mylotus" w:hint="cs"/>
          <w:sz w:val="34"/>
          <w:szCs w:val="34"/>
          <w:rtl/>
        </w:rPr>
        <w:t xml:space="preserve"> </w:t>
      </w:r>
      <w:r w:rsidRPr="008C5A14">
        <w:rPr>
          <w:rFonts w:ascii="mylotus" w:hAnsi="mylotus"/>
          <w:sz w:val="34"/>
          <w:szCs w:val="34"/>
          <w:rtl/>
        </w:rPr>
        <w:t>م</w:t>
      </w:r>
      <w:r>
        <w:rPr>
          <w:rFonts w:ascii="mylotus" w:hAnsi="mylotus" w:hint="cs"/>
          <w:sz w:val="34"/>
          <w:szCs w:val="34"/>
          <w:rtl/>
        </w:rPr>
        <w:t>ِ</w:t>
      </w:r>
      <w:r w:rsidRPr="008C5A14">
        <w:rPr>
          <w:rFonts w:ascii="mylotus" w:hAnsi="mylotus"/>
          <w:sz w:val="34"/>
          <w:szCs w:val="34"/>
          <w:rtl/>
        </w:rPr>
        <w:t>ن أهليته للإمامة</w:t>
      </w:r>
      <w:r>
        <w:rPr>
          <w:rFonts w:ascii="mylotus" w:hAnsi="mylotus" w:hint="cs"/>
          <w:sz w:val="34"/>
          <w:szCs w:val="34"/>
          <w:rtl/>
        </w:rPr>
        <w:t xml:space="preserve"> </w:t>
      </w:r>
      <w:r w:rsidRPr="008C5A14">
        <w:rPr>
          <w:rFonts w:ascii="mylotus" w:hAnsi="mylotus"/>
          <w:sz w:val="34"/>
          <w:szCs w:val="34"/>
          <w:rtl/>
        </w:rPr>
        <w:t>كما في موثقة عمرو بن خالد</w:t>
      </w:r>
      <w:r>
        <w:rPr>
          <w:rFonts w:ascii="mylotus" w:hAnsi="mylotus" w:hint="cs"/>
          <w:sz w:val="34"/>
          <w:szCs w:val="34"/>
          <w:rtl/>
        </w:rPr>
        <w:t xml:space="preserve">: كما في التهذيب: </w:t>
      </w:r>
      <w:r w:rsidRPr="006A7291">
        <w:rPr>
          <w:rFonts w:ascii="mylotus" w:hAnsi="mylotus" w:hint="cs"/>
          <w:b/>
          <w:bCs/>
          <w:sz w:val="34"/>
          <w:szCs w:val="34"/>
          <w:rtl/>
        </w:rPr>
        <w:t>(</w:t>
      </w:r>
      <w:r w:rsidRPr="006A7291">
        <w:rPr>
          <w:rFonts w:ascii="mylotus" w:hAnsi="mylotus"/>
          <w:b/>
          <w:bCs/>
          <w:sz w:val="34"/>
          <w:szCs w:val="34"/>
          <w:rtl/>
        </w:rPr>
        <w:t>محم</w:t>
      </w:r>
      <w:r w:rsidRPr="006A7291">
        <w:rPr>
          <w:rFonts w:ascii="mylotus" w:hAnsi="mylotus" w:hint="cs"/>
          <w:b/>
          <w:bCs/>
          <w:sz w:val="34"/>
          <w:szCs w:val="34"/>
          <w:rtl/>
        </w:rPr>
        <w:t>ّ</w:t>
      </w:r>
      <w:r w:rsidRPr="006A7291">
        <w:rPr>
          <w:rFonts w:ascii="mylotus" w:hAnsi="mylotus"/>
          <w:b/>
          <w:bCs/>
          <w:sz w:val="34"/>
          <w:szCs w:val="34"/>
          <w:rtl/>
        </w:rPr>
        <w:t>د بن أحمد بن يحيى</w:t>
      </w:r>
      <w:r w:rsidRPr="006A7291">
        <w:rPr>
          <w:rFonts w:ascii="mylotus" w:hAnsi="mylotus" w:hint="cs"/>
          <w:b/>
          <w:bCs/>
          <w:sz w:val="34"/>
          <w:szCs w:val="34"/>
          <w:rtl/>
        </w:rPr>
        <w:t>،</w:t>
      </w:r>
      <w:r w:rsidRPr="006A7291">
        <w:rPr>
          <w:rFonts w:ascii="mylotus" w:hAnsi="mylotus"/>
          <w:b/>
          <w:bCs/>
          <w:sz w:val="34"/>
          <w:szCs w:val="34"/>
          <w:rtl/>
        </w:rPr>
        <w:t xml:space="preserve"> عن أبي جعفر</w:t>
      </w:r>
      <w:r w:rsidRPr="006A7291">
        <w:rPr>
          <w:rFonts w:ascii="mylotus" w:hAnsi="mylotus" w:hint="cs"/>
          <w:b/>
          <w:bCs/>
          <w:sz w:val="34"/>
          <w:szCs w:val="34"/>
          <w:rtl/>
        </w:rPr>
        <w:t>،</w:t>
      </w:r>
      <w:r w:rsidRPr="006A7291">
        <w:rPr>
          <w:rFonts w:ascii="mylotus" w:hAnsi="mylotus"/>
          <w:b/>
          <w:bCs/>
          <w:sz w:val="34"/>
          <w:szCs w:val="34"/>
          <w:rtl/>
        </w:rPr>
        <w:t xml:space="preserve"> عن أبي الجوزاء</w:t>
      </w:r>
      <w:r w:rsidRPr="006A7291">
        <w:rPr>
          <w:rFonts w:ascii="mylotus" w:hAnsi="mylotus" w:hint="cs"/>
          <w:b/>
          <w:bCs/>
          <w:sz w:val="34"/>
          <w:szCs w:val="34"/>
          <w:rtl/>
        </w:rPr>
        <w:t xml:space="preserve">، </w:t>
      </w:r>
      <w:r w:rsidRPr="006A7291">
        <w:rPr>
          <w:rFonts w:ascii="mylotus" w:hAnsi="mylotus"/>
          <w:b/>
          <w:bCs/>
          <w:sz w:val="34"/>
          <w:szCs w:val="34"/>
          <w:rtl/>
        </w:rPr>
        <w:t>عن الحسين بن علوان</w:t>
      </w:r>
      <w:r w:rsidRPr="006A7291">
        <w:rPr>
          <w:rFonts w:ascii="mylotus" w:hAnsi="mylotus" w:hint="cs"/>
          <w:b/>
          <w:bCs/>
          <w:sz w:val="34"/>
          <w:szCs w:val="34"/>
          <w:rtl/>
        </w:rPr>
        <w:t>،</w:t>
      </w:r>
      <w:r w:rsidRPr="006A7291">
        <w:rPr>
          <w:rFonts w:ascii="mylotus" w:hAnsi="mylotus"/>
          <w:b/>
          <w:bCs/>
          <w:sz w:val="34"/>
          <w:szCs w:val="34"/>
          <w:rtl/>
        </w:rPr>
        <w:t xml:space="preserve"> عن عمرو بن خالد</w:t>
      </w:r>
      <w:r w:rsidRPr="006A7291">
        <w:rPr>
          <w:rFonts w:ascii="mylotus" w:hAnsi="mylotus" w:hint="cs"/>
          <w:b/>
          <w:bCs/>
          <w:sz w:val="34"/>
          <w:szCs w:val="34"/>
          <w:rtl/>
        </w:rPr>
        <w:t>،</w:t>
      </w:r>
      <w:r w:rsidRPr="006A7291">
        <w:rPr>
          <w:rFonts w:ascii="mylotus" w:hAnsi="mylotus"/>
          <w:b/>
          <w:bCs/>
          <w:sz w:val="34"/>
          <w:szCs w:val="34"/>
          <w:rtl/>
        </w:rPr>
        <w:t xml:space="preserve"> عن زيد بن علي</w:t>
      </w:r>
      <w:r w:rsidRPr="006A7291">
        <w:rPr>
          <w:rFonts w:ascii="mylotus" w:hAnsi="mylotus" w:hint="cs"/>
          <w:b/>
          <w:bCs/>
          <w:sz w:val="34"/>
          <w:szCs w:val="34"/>
          <w:rtl/>
        </w:rPr>
        <w:t>،</w:t>
      </w:r>
      <w:r w:rsidRPr="006A7291">
        <w:rPr>
          <w:rFonts w:ascii="mylotus" w:hAnsi="mylotus"/>
          <w:b/>
          <w:bCs/>
          <w:sz w:val="34"/>
          <w:szCs w:val="34"/>
          <w:rtl/>
        </w:rPr>
        <w:t xml:space="preserve"> عن آبائه عن علي </w:t>
      </w:r>
      <w:r w:rsidRPr="006A7291">
        <w:rPr>
          <w:rFonts w:ascii="mylotus" w:hAnsi="mylotus" w:hint="cs"/>
          <w:b/>
          <w:bCs/>
          <w:sz w:val="34"/>
          <w:szCs w:val="34"/>
          <w:rtl/>
        </w:rPr>
        <w:t>(</w:t>
      </w:r>
      <w:r w:rsidRPr="006A7291">
        <w:rPr>
          <w:rFonts w:ascii="mylotus" w:hAnsi="mylotus"/>
          <w:b/>
          <w:bCs/>
          <w:sz w:val="34"/>
          <w:szCs w:val="34"/>
          <w:rtl/>
        </w:rPr>
        <w:t>عليهم</w:t>
      </w:r>
      <w:r w:rsidRPr="006A7291">
        <w:rPr>
          <w:rFonts w:ascii="mylotus" w:hAnsi="mylotus" w:hint="cs"/>
          <w:b/>
          <w:bCs/>
          <w:sz w:val="34"/>
          <w:szCs w:val="34"/>
          <w:rtl/>
        </w:rPr>
        <w:t xml:space="preserve"> </w:t>
      </w:r>
      <w:r w:rsidRPr="006A7291">
        <w:rPr>
          <w:rFonts w:ascii="mylotus" w:hAnsi="mylotus"/>
          <w:b/>
          <w:bCs/>
          <w:sz w:val="34"/>
          <w:szCs w:val="34"/>
          <w:rtl/>
        </w:rPr>
        <w:t>السلام</w:t>
      </w:r>
      <w:r w:rsidRPr="006A7291">
        <w:rPr>
          <w:rFonts w:ascii="mylotus" w:hAnsi="mylotus" w:hint="cs"/>
          <w:b/>
          <w:bCs/>
          <w:sz w:val="34"/>
          <w:szCs w:val="34"/>
          <w:rtl/>
        </w:rPr>
        <w:t>)</w:t>
      </w:r>
      <w:r w:rsidRPr="006A7291">
        <w:rPr>
          <w:rFonts w:ascii="mylotus" w:hAnsi="mylotus"/>
          <w:b/>
          <w:bCs/>
          <w:sz w:val="34"/>
          <w:szCs w:val="34"/>
          <w:rtl/>
        </w:rPr>
        <w:t xml:space="preserve"> قال: </w:t>
      </w:r>
      <w:r w:rsidRPr="006A7291">
        <w:rPr>
          <w:rFonts w:ascii="mylotus" w:hAnsi="mylotus" w:hint="cs"/>
          <w:b/>
          <w:bCs/>
          <w:sz w:val="34"/>
          <w:szCs w:val="34"/>
          <w:rtl/>
        </w:rPr>
        <w:t>إ</w:t>
      </w:r>
      <w:r w:rsidRPr="006A7291">
        <w:rPr>
          <w:rFonts w:ascii="mylotus" w:hAnsi="mylotus"/>
          <w:b/>
          <w:bCs/>
          <w:sz w:val="34"/>
          <w:szCs w:val="34"/>
          <w:rtl/>
        </w:rPr>
        <w:t>لا غلف لا يؤم القوم وإن كان أقرأهم لأنه ضيع من السنة أعظمها،</w:t>
      </w:r>
      <w:r w:rsidRPr="006A7291">
        <w:rPr>
          <w:rFonts w:ascii="mylotus" w:hAnsi="mylotus" w:hint="cs"/>
          <w:b/>
          <w:bCs/>
          <w:sz w:val="34"/>
          <w:szCs w:val="34"/>
          <w:rtl/>
        </w:rPr>
        <w:t xml:space="preserve"> </w:t>
      </w:r>
      <w:r w:rsidRPr="006A7291">
        <w:rPr>
          <w:rFonts w:ascii="mylotus" w:hAnsi="mylotus"/>
          <w:b/>
          <w:bCs/>
          <w:sz w:val="34"/>
          <w:szCs w:val="34"/>
          <w:rtl/>
        </w:rPr>
        <w:t>ولا تقبل له شهادة ولا يصلى عليه إلا أن يكون ترك ذلك خوفا على نفسه</w:t>
      </w:r>
      <w:r w:rsidRPr="006A7291">
        <w:rPr>
          <w:rFonts w:ascii="mylotus" w:hAnsi="mylotus" w:hint="cs"/>
          <w:b/>
          <w:bCs/>
          <w:sz w:val="34"/>
          <w:szCs w:val="34"/>
          <w:rtl/>
        </w:rPr>
        <w:t>)</w:t>
      </w:r>
      <w:r>
        <w:rPr>
          <w:rStyle w:val="FootnoteReference"/>
          <w:rFonts w:ascii="mylotus" w:hAnsi="mylotus"/>
          <w:sz w:val="34"/>
          <w:szCs w:val="34"/>
          <w:rtl/>
        </w:rPr>
        <w:footnoteReference w:id="222"/>
      </w:r>
      <w:r w:rsidRPr="006A7291">
        <w:rPr>
          <w:rFonts w:ascii="mylotus" w:hAnsi="mylotus" w:hint="cs"/>
          <w:b/>
          <w:bCs/>
          <w:sz w:val="34"/>
          <w:szCs w:val="34"/>
          <w:rtl/>
        </w:rPr>
        <w:t>.</w:t>
      </w:r>
    </w:p>
    <w:p w14:paraId="6E978708" w14:textId="77777777" w:rsidR="009E3B18" w:rsidRPr="00492B92" w:rsidRDefault="009E3B18" w:rsidP="009E3B18">
      <w:pPr>
        <w:pStyle w:val="a"/>
        <w:bidi/>
        <w:spacing w:line="216" w:lineRule="auto"/>
        <w:rPr>
          <w:rFonts w:ascii="mylotus" w:hAnsi="mylotus"/>
          <w:b/>
          <w:bCs/>
          <w:sz w:val="34"/>
          <w:szCs w:val="34"/>
          <w:rtl/>
        </w:rPr>
      </w:pPr>
      <w:r w:rsidRPr="008C5A14">
        <w:rPr>
          <w:rFonts w:ascii="mylotus" w:hAnsi="mylotus"/>
          <w:sz w:val="34"/>
          <w:szCs w:val="34"/>
          <w:rtl/>
        </w:rPr>
        <w:t xml:space="preserve">أو مانعية </w:t>
      </w:r>
      <w:proofErr w:type="spellStart"/>
      <w:r w:rsidRPr="008C5A14">
        <w:rPr>
          <w:rFonts w:ascii="mylotus" w:hAnsi="mylotus"/>
          <w:sz w:val="34"/>
          <w:szCs w:val="34"/>
          <w:rtl/>
        </w:rPr>
        <w:t>إرتكاب</w:t>
      </w:r>
      <w:proofErr w:type="spellEnd"/>
      <w:r w:rsidRPr="008C5A14">
        <w:rPr>
          <w:rFonts w:ascii="mylotus" w:hAnsi="mylotus"/>
          <w:sz w:val="34"/>
          <w:szCs w:val="34"/>
          <w:rtl/>
        </w:rPr>
        <w:t xml:space="preserve"> الكبيرة عن إصرار</w:t>
      </w:r>
      <w:r>
        <w:rPr>
          <w:rFonts w:ascii="mylotus" w:hAnsi="mylotus" w:hint="cs"/>
          <w:sz w:val="34"/>
          <w:szCs w:val="34"/>
          <w:rtl/>
        </w:rPr>
        <w:t>ٍ</w:t>
      </w:r>
      <w:r w:rsidRPr="008C5A14">
        <w:rPr>
          <w:rFonts w:ascii="mylotus" w:hAnsi="mylotus"/>
          <w:sz w:val="34"/>
          <w:szCs w:val="34"/>
          <w:rtl/>
        </w:rPr>
        <w:t xml:space="preserve"> م</w:t>
      </w:r>
      <w:r>
        <w:rPr>
          <w:rFonts w:ascii="mylotus" w:hAnsi="mylotus" w:hint="cs"/>
          <w:sz w:val="34"/>
          <w:szCs w:val="34"/>
          <w:rtl/>
        </w:rPr>
        <w:t>ِ</w:t>
      </w:r>
      <w:r w:rsidRPr="008C5A14">
        <w:rPr>
          <w:rFonts w:ascii="mylotus" w:hAnsi="mylotus"/>
          <w:sz w:val="34"/>
          <w:szCs w:val="34"/>
          <w:rtl/>
        </w:rPr>
        <w:t xml:space="preserve">ن صحة </w:t>
      </w:r>
      <w:proofErr w:type="spellStart"/>
      <w:r w:rsidRPr="008C5A14">
        <w:rPr>
          <w:rFonts w:ascii="mylotus" w:hAnsi="mylotus"/>
          <w:sz w:val="34"/>
          <w:szCs w:val="34"/>
          <w:rtl/>
        </w:rPr>
        <w:t>الإئتمام</w:t>
      </w:r>
      <w:proofErr w:type="spellEnd"/>
      <w:r w:rsidRPr="008C5A14">
        <w:rPr>
          <w:rFonts w:ascii="mylotus" w:hAnsi="mylotus"/>
          <w:sz w:val="34"/>
          <w:szCs w:val="34"/>
          <w:rtl/>
        </w:rPr>
        <w:t xml:space="preserve"> به نحو صحيحة عمر بن يزيد</w:t>
      </w:r>
      <w:r>
        <w:rPr>
          <w:rFonts w:ascii="mylotus" w:hAnsi="mylotus" w:hint="cs"/>
          <w:sz w:val="34"/>
          <w:szCs w:val="34"/>
          <w:rtl/>
        </w:rPr>
        <w:t xml:space="preserve">: كما في الوسائل: </w:t>
      </w:r>
      <w:r w:rsidRPr="00492B92">
        <w:rPr>
          <w:rFonts w:ascii="mylotus" w:hAnsi="mylotus" w:hint="cs"/>
          <w:b/>
          <w:bCs/>
          <w:sz w:val="34"/>
          <w:szCs w:val="34"/>
          <w:rtl/>
        </w:rPr>
        <w:t>(</w:t>
      </w:r>
      <w:r w:rsidRPr="00492B92">
        <w:rPr>
          <w:rFonts w:ascii="mylotus" w:hAnsi="mylotus"/>
          <w:b/>
          <w:bCs/>
          <w:sz w:val="34"/>
          <w:szCs w:val="34"/>
          <w:rtl/>
        </w:rPr>
        <w:t>محم</w:t>
      </w:r>
      <w:r w:rsidRPr="00492B92">
        <w:rPr>
          <w:rFonts w:ascii="mylotus" w:hAnsi="mylotus" w:hint="cs"/>
          <w:b/>
          <w:bCs/>
          <w:sz w:val="34"/>
          <w:szCs w:val="34"/>
          <w:rtl/>
        </w:rPr>
        <w:t>ّ</w:t>
      </w:r>
      <w:r w:rsidRPr="00492B92">
        <w:rPr>
          <w:rFonts w:ascii="mylotus" w:hAnsi="mylotus"/>
          <w:b/>
          <w:bCs/>
          <w:sz w:val="34"/>
          <w:szCs w:val="34"/>
          <w:rtl/>
        </w:rPr>
        <w:t>د بن علي بن الحسين</w:t>
      </w:r>
      <w:r w:rsidRPr="00492B92">
        <w:rPr>
          <w:rFonts w:ascii="mylotus" w:hAnsi="mylotus" w:hint="cs"/>
          <w:b/>
          <w:bCs/>
          <w:sz w:val="34"/>
          <w:szCs w:val="34"/>
          <w:rtl/>
        </w:rPr>
        <w:t>،</w:t>
      </w:r>
      <w:r w:rsidRPr="00492B92">
        <w:rPr>
          <w:rFonts w:ascii="mylotus" w:hAnsi="mylotus"/>
          <w:b/>
          <w:bCs/>
          <w:sz w:val="34"/>
          <w:szCs w:val="34"/>
          <w:rtl/>
        </w:rPr>
        <w:t xml:space="preserve"> </w:t>
      </w:r>
      <w:proofErr w:type="spellStart"/>
      <w:r w:rsidRPr="00492B92">
        <w:rPr>
          <w:rFonts w:ascii="mylotus" w:hAnsi="mylotus"/>
          <w:b/>
          <w:bCs/>
          <w:sz w:val="34"/>
          <w:szCs w:val="34"/>
          <w:rtl/>
        </w:rPr>
        <w:t>باسناده</w:t>
      </w:r>
      <w:proofErr w:type="spellEnd"/>
      <w:r w:rsidRPr="00492B92">
        <w:rPr>
          <w:rFonts w:ascii="mylotus" w:hAnsi="mylotus"/>
          <w:b/>
          <w:bCs/>
          <w:sz w:val="34"/>
          <w:szCs w:val="34"/>
          <w:rtl/>
        </w:rPr>
        <w:t xml:space="preserve"> عن عمر بن يزيد أن</w:t>
      </w:r>
      <w:r w:rsidRPr="00492B92">
        <w:rPr>
          <w:rFonts w:ascii="mylotus" w:hAnsi="mylotus" w:hint="cs"/>
          <w:b/>
          <w:bCs/>
          <w:sz w:val="34"/>
          <w:szCs w:val="34"/>
          <w:rtl/>
        </w:rPr>
        <w:t>ّ</w:t>
      </w:r>
      <w:r w:rsidRPr="00492B92">
        <w:rPr>
          <w:rFonts w:ascii="mylotus" w:hAnsi="mylotus"/>
          <w:b/>
          <w:bCs/>
          <w:sz w:val="34"/>
          <w:szCs w:val="34"/>
          <w:rtl/>
        </w:rPr>
        <w:t>ه سأل</w:t>
      </w:r>
      <w:r w:rsidRPr="00492B92">
        <w:rPr>
          <w:rFonts w:ascii="mylotus" w:hAnsi="mylotus" w:hint="cs"/>
          <w:b/>
          <w:bCs/>
          <w:sz w:val="34"/>
          <w:szCs w:val="34"/>
          <w:rtl/>
        </w:rPr>
        <w:t xml:space="preserve"> </w:t>
      </w:r>
      <w:r w:rsidRPr="00492B92">
        <w:rPr>
          <w:rFonts w:ascii="mylotus" w:hAnsi="mylotus"/>
          <w:b/>
          <w:bCs/>
          <w:sz w:val="34"/>
          <w:szCs w:val="34"/>
          <w:rtl/>
        </w:rPr>
        <w:t xml:space="preserve">أبا </w:t>
      </w:r>
      <w:proofErr w:type="gramStart"/>
      <w:r w:rsidRPr="00492B92">
        <w:rPr>
          <w:rFonts w:ascii="mylotus" w:hAnsi="mylotus"/>
          <w:b/>
          <w:bCs/>
          <w:sz w:val="34"/>
          <w:szCs w:val="34"/>
          <w:rtl/>
        </w:rPr>
        <w:t>عبدالله</w:t>
      </w:r>
      <w:proofErr w:type="gramEnd"/>
      <w:r w:rsidRPr="00492B92">
        <w:rPr>
          <w:rFonts w:ascii="mylotus" w:hAnsi="mylotus"/>
          <w:b/>
          <w:bCs/>
          <w:sz w:val="34"/>
          <w:szCs w:val="34"/>
          <w:rtl/>
        </w:rPr>
        <w:t xml:space="preserve"> (عليه السلام) عن </w:t>
      </w:r>
      <w:r w:rsidRPr="00492B92">
        <w:rPr>
          <w:rFonts w:ascii="mylotus" w:hAnsi="mylotus" w:hint="cs"/>
          <w:b/>
          <w:bCs/>
          <w:sz w:val="34"/>
          <w:szCs w:val="34"/>
          <w:rtl/>
        </w:rPr>
        <w:t>إ</w:t>
      </w:r>
      <w:r w:rsidRPr="00492B92">
        <w:rPr>
          <w:rFonts w:ascii="mylotus" w:hAnsi="mylotus"/>
          <w:b/>
          <w:bCs/>
          <w:sz w:val="34"/>
          <w:szCs w:val="34"/>
          <w:rtl/>
        </w:rPr>
        <w:t>مام لا بأس به في جميع أموره عارف،</w:t>
      </w:r>
      <w:r w:rsidRPr="00492B92">
        <w:rPr>
          <w:rFonts w:ascii="mylotus" w:hAnsi="mylotus" w:hint="cs"/>
          <w:b/>
          <w:bCs/>
          <w:sz w:val="34"/>
          <w:szCs w:val="34"/>
          <w:rtl/>
        </w:rPr>
        <w:t xml:space="preserve"> </w:t>
      </w:r>
      <w:r w:rsidRPr="00492B92">
        <w:rPr>
          <w:rFonts w:ascii="mylotus" w:hAnsi="mylotus"/>
          <w:b/>
          <w:bCs/>
          <w:sz w:val="34"/>
          <w:szCs w:val="34"/>
          <w:rtl/>
        </w:rPr>
        <w:t>غير أن</w:t>
      </w:r>
      <w:r w:rsidRPr="00492B92">
        <w:rPr>
          <w:rFonts w:ascii="mylotus" w:hAnsi="mylotus" w:hint="cs"/>
          <w:b/>
          <w:bCs/>
          <w:sz w:val="34"/>
          <w:szCs w:val="34"/>
          <w:rtl/>
        </w:rPr>
        <w:t>ّ</w:t>
      </w:r>
      <w:r w:rsidRPr="00492B92">
        <w:rPr>
          <w:rFonts w:ascii="mylotus" w:hAnsi="mylotus"/>
          <w:b/>
          <w:bCs/>
          <w:sz w:val="34"/>
          <w:szCs w:val="34"/>
          <w:rtl/>
        </w:rPr>
        <w:t>ه يسمع أبويه الكلام الغليظ الذي يغيظهما، أقرأ خلفه؟ قال: لا تقرأ</w:t>
      </w:r>
      <w:r w:rsidRPr="00492B92">
        <w:rPr>
          <w:rFonts w:ascii="mylotus" w:hAnsi="mylotus" w:hint="cs"/>
          <w:b/>
          <w:bCs/>
          <w:sz w:val="34"/>
          <w:szCs w:val="34"/>
          <w:rtl/>
        </w:rPr>
        <w:t xml:space="preserve"> </w:t>
      </w:r>
      <w:r w:rsidRPr="00492B92">
        <w:rPr>
          <w:rFonts w:ascii="mylotus" w:hAnsi="mylotus"/>
          <w:b/>
          <w:bCs/>
          <w:sz w:val="34"/>
          <w:szCs w:val="34"/>
          <w:rtl/>
        </w:rPr>
        <w:t>خلفه ما لم يكن عاقا</w:t>
      </w:r>
      <w:r w:rsidRPr="00492B92">
        <w:rPr>
          <w:rFonts w:ascii="mylotus" w:hAnsi="mylotus" w:hint="cs"/>
          <w:b/>
          <w:bCs/>
          <w:sz w:val="34"/>
          <w:szCs w:val="34"/>
          <w:rtl/>
        </w:rPr>
        <w:t>ً</w:t>
      </w:r>
      <w:r w:rsidRPr="00492B92">
        <w:rPr>
          <w:rFonts w:ascii="mylotus" w:hAnsi="mylotus"/>
          <w:b/>
          <w:bCs/>
          <w:sz w:val="34"/>
          <w:szCs w:val="34"/>
          <w:rtl/>
        </w:rPr>
        <w:t xml:space="preserve"> قاطعا</w:t>
      </w:r>
      <w:r w:rsidRPr="00492B92">
        <w:rPr>
          <w:rFonts w:ascii="mylotus" w:hAnsi="mylotus" w:hint="cs"/>
          <w:b/>
          <w:bCs/>
          <w:sz w:val="34"/>
          <w:szCs w:val="34"/>
          <w:rtl/>
        </w:rPr>
        <w:t>ً)</w:t>
      </w:r>
      <w:r w:rsidRPr="00492B92">
        <w:rPr>
          <w:rFonts w:ascii="mylotus" w:hAnsi="mylotus"/>
          <w:b/>
          <w:bCs/>
          <w:sz w:val="34"/>
          <w:szCs w:val="34"/>
          <w:rtl/>
        </w:rPr>
        <w:t>.</w:t>
      </w:r>
    </w:p>
    <w:p w14:paraId="462429BA" w14:textId="77777777" w:rsidR="009E3B18" w:rsidRDefault="009E3B18" w:rsidP="009E3B18">
      <w:pPr>
        <w:pStyle w:val="a"/>
        <w:bidi/>
        <w:spacing w:line="216" w:lineRule="auto"/>
        <w:rPr>
          <w:rFonts w:ascii="mylotus" w:hAnsi="mylotus"/>
          <w:sz w:val="34"/>
          <w:szCs w:val="34"/>
          <w:rtl/>
        </w:rPr>
      </w:pPr>
      <w:r w:rsidRPr="00492B92">
        <w:rPr>
          <w:rFonts w:ascii="mylotus" w:hAnsi="mylotus"/>
          <w:b/>
          <w:bCs/>
          <w:sz w:val="34"/>
          <w:szCs w:val="34"/>
          <w:rtl/>
        </w:rPr>
        <w:t xml:space="preserve">ورواه الشيخ </w:t>
      </w:r>
      <w:proofErr w:type="spellStart"/>
      <w:r w:rsidRPr="00492B92">
        <w:rPr>
          <w:rFonts w:ascii="mylotus" w:hAnsi="mylotus"/>
          <w:b/>
          <w:bCs/>
          <w:sz w:val="34"/>
          <w:szCs w:val="34"/>
          <w:rtl/>
        </w:rPr>
        <w:t>باسناده</w:t>
      </w:r>
      <w:proofErr w:type="spellEnd"/>
      <w:r w:rsidRPr="00492B92">
        <w:rPr>
          <w:rFonts w:ascii="mylotus" w:hAnsi="mylotus"/>
          <w:b/>
          <w:bCs/>
          <w:sz w:val="34"/>
          <w:szCs w:val="34"/>
          <w:rtl/>
        </w:rPr>
        <w:t xml:space="preserve"> عن سعد، عن يعقوب بن يزيد، عن</w:t>
      </w:r>
      <w:r w:rsidRPr="00492B92">
        <w:rPr>
          <w:rFonts w:ascii="mylotus" w:hAnsi="mylotus" w:hint="cs"/>
          <w:b/>
          <w:bCs/>
          <w:sz w:val="34"/>
          <w:szCs w:val="34"/>
          <w:rtl/>
        </w:rPr>
        <w:t xml:space="preserve"> </w:t>
      </w:r>
      <w:r w:rsidRPr="00492B92">
        <w:rPr>
          <w:rFonts w:ascii="mylotus" w:hAnsi="mylotus"/>
          <w:b/>
          <w:bCs/>
          <w:sz w:val="34"/>
          <w:szCs w:val="34"/>
          <w:rtl/>
        </w:rPr>
        <w:t>عمرو بن عثمان، ومحم</w:t>
      </w:r>
      <w:r w:rsidRPr="00492B92">
        <w:rPr>
          <w:rFonts w:ascii="mylotus" w:hAnsi="mylotus" w:hint="cs"/>
          <w:b/>
          <w:bCs/>
          <w:sz w:val="34"/>
          <w:szCs w:val="34"/>
          <w:rtl/>
        </w:rPr>
        <w:t>ّ</w:t>
      </w:r>
      <w:r w:rsidRPr="00492B92">
        <w:rPr>
          <w:rFonts w:ascii="mylotus" w:hAnsi="mylotus"/>
          <w:b/>
          <w:bCs/>
          <w:sz w:val="34"/>
          <w:szCs w:val="34"/>
          <w:rtl/>
        </w:rPr>
        <w:t>د بن عمر بن يزيد جميعا</w:t>
      </w:r>
      <w:r w:rsidRPr="00492B92">
        <w:rPr>
          <w:rFonts w:ascii="mylotus" w:hAnsi="mylotus" w:hint="cs"/>
          <w:b/>
          <w:bCs/>
          <w:sz w:val="34"/>
          <w:szCs w:val="34"/>
          <w:rtl/>
        </w:rPr>
        <w:t>ً</w:t>
      </w:r>
      <w:r w:rsidRPr="00492B92">
        <w:rPr>
          <w:rFonts w:ascii="mylotus" w:hAnsi="mylotus"/>
          <w:b/>
          <w:bCs/>
          <w:sz w:val="34"/>
          <w:szCs w:val="34"/>
          <w:rtl/>
        </w:rPr>
        <w:t>، عن محم</w:t>
      </w:r>
      <w:r w:rsidRPr="00492B92">
        <w:rPr>
          <w:rFonts w:ascii="mylotus" w:hAnsi="mylotus" w:hint="cs"/>
          <w:b/>
          <w:bCs/>
          <w:sz w:val="34"/>
          <w:szCs w:val="34"/>
          <w:rtl/>
        </w:rPr>
        <w:t>ّ</w:t>
      </w:r>
      <w:r w:rsidRPr="00492B92">
        <w:rPr>
          <w:rFonts w:ascii="mylotus" w:hAnsi="mylotus"/>
          <w:b/>
          <w:bCs/>
          <w:sz w:val="34"/>
          <w:szCs w:val="34"/>
          <w:rtl/>
        </w:rPr>
        <w:t xml:space="preserve">د بن </w:t>
      </w:r>
      <w:proofErr w:type="spellStart"/>
      <w:r w:rsidRPr="00492B92">
        <w:rPr>
          <w:rFonts w:ascii="mylotus" w:hAnsi="mylotus"/>
          <w:b/>
          <w:bCs/>
          <w:sz w:val="34"/>
          <w:szCs w:val="34"/>
          <w:rtl/>
        </w:rPr>
        <w:t>عذافر</w:t>
      </w:r>
      <w:proofErr w:type="spellEnd"/>
      <w:r w:rsidRPr="00492B92">
        <w:rPr>
          <w:rFonts w:ascii="mylotus" w:hAnsi="mylotus"/>
          <w:b/>
          <w:bCs/>
          <w:sz w:val="34"/>
          <w:szCs w:val="34"/>
          <w:rtl/>
        </w:rPr>
        <w:t>، عن عمر بن</w:t>
      </w:r>
      <w:r w:rsidRPr="00492B92">
        <w:rPr>
          <w:rFonts w:ascii="mylotus" w:hAnsi="mylotus" w:hint="cs"/>
          <w:b/>
          <w:bCs/>
          <w:sz w:val="34"/>
          <w:szCs w:val="34"/>
          <w:rtl/>
        </w:rPr>
        <w:t xml:space="preserve"> </w:t>
      </w:r>
      <w:r w:rsidRPr="00492B92">
        <w:rPr>
          <w:rFonts w:ascii="mylotus" w:hAnsi="mylotus"/>
          <w:b/>
          <w:bCs/>
          <w:sz w:val="34"/>
          <w:szCs w:val="34"/>
          <w:rtl/>
        </w:rPr>
        <w:t>يزيد مثله</w:t>
      </w:r>
      <w:r w:rsidRPr="00492B92">
        <w:rPr>
          <w:rFonts w:ascii="mylotus" w:hAnsi="mylotus" w:hint="cs"/>
          <w:b/>
          <w:bCs/>
          <w:sz w:val="34"/>
          <w:szCs w:val="34"/>
          <w:rtl/>
        </w:rPr>
        <w:t>)</w:t>
      </w:r>
      <w:r>
        <w:rPr>
          <w:rStyle w:val="FootnoteReference"/>
          <w:rFonts w:ascii="mylotus" w:hAnsi="mylotus"/>
          <w:sz w:val="34"/>
          <w:szCs w:val="34"/>
          <w:rtl/>
        </w:rPr>
        <w:footnoteReference w:id="223"/>
      </w:r>
      <w:r w:rsidRPr="00492B92">
        <w:rPr>
          <w:rFonts w:ascii="mylotus" w:hAnsi="mylotus"/>
          <w:sz w:val="34"/>
          <w:szCs w:val="34"/>
          <w:rtl/>
        </w:rPr>
        <w:t>.</w:t>
      </w:r>
    </w:p>
    <w:p w14:paraId="7461AD18" w14:textId="77777777" w:rsidR="009E3B18" w:rsidRPr="00492B92" w:rsidRDefault="009E3B18" w:rsidP="009E3B18">
      <w:pPr>
        <w:pStyle w:val="a"/>
        <w:bidi/>
        <w:spacing w:line="216" w:lineRule="auto"/>
        <w:rPr>
          <w:rFonts w:ascii="mylotus" w:hAnsi="mylotus"/>
          <w:b/>
          <w:bCs/>
          <w:sz w:val="34"/>
          <w:szCs w:val="34"/>
          <w:rtl/>
        </w:rPr>
      </w:pPr>
      <w:r w:rsidRPr="008C5A14">
        <w:rPr>
          <w:rFonts w:ascii="mylotus" w:hAnsi="mylotus"/>
          <w:sz w:val="34"/>
          <w:szCs w:val="34"/>
          <w:rtl/>
        </w:rPr>
        <w:t>أو</w:t>
      </w:r>
      <w:r>
        <w:rPr>
          <w:rFonts w:ascii="mylotus" w:hAnsi="mylotus" w:hint="cs"/>
          <w:sz w:val="34"/>
          <w:szCs w:val="34"/>
          <w:rtl/>
        </w:rPr>
        <w:t xml:space="preserve"> </w:t>
      </w:r>
      <w:r w:rsidRPr="008C5A14">
        <w:rPr>
          <w:rFonts w:ascii="mylotus" w:hAnsi="mylotus"/>
          <w:sz w:val="34"/>
          <w:szCs w:val="34"/>
          <w:rtl/>
        </w:rPr>
        <w:t>يكون دالا</w:t>
      </w:r>
      <w:r>
        <w:rPr>
          <w:rFonts w:ascii="mylotus" w:hAnsi="mylotus" w:hint="cs"/>
          <w:sz w:val="34"/>
          <w:szCs w:val="34"/>
          <w:rtl/>
        </w:rPr>
        <w:t>ً</w:t>
      </w:r>
      <w:r w:rsidRPr="008C5A14">
        <w:rPr>
          <w:rFonts w:ascii="mylotus" w:hAnsi="mylotus"/>
          <w:sz w:val="34"/>
          <w:szCs w:val="34"/>
          <w:rtl/>
        </w:rPr>
        <w:t xml:space="preserve"> على اعتبار كون الإمام م</w:t>
      </w:r>
      <w:r>
        <w:rPr>
          <w:rFonts w:ascii="mylotus" w:hAnsi="mylotus" w:hint="cs"/>
          <w:sz w:val="34"/>
          <w:szCs w:val="34"/>
          <w:rtl/>
        </w:rPr>
        <w:t>َ</w:t>
      </w:r>
      <w:r w:rsidRPr="008C5A14">
        <w:rPr>
          <w:rFonts w:ascii="mylotus" w:hAnsi="mylotus"/>
          <w:sz w:val="34"/>
          <w:szCs w:val="34"/>
          <w:rtl/>
        </w:rPr>
        <w:t>ن ت</w:t>
      </w:r>
      <w:r>
        <w:rPr>
          <w:rFonts w:ascii="mylotus" w:hAnsi="mylotus" w:hint="cs"/>
          <w:sz w:val="34"/>
          <w:szCs w:val="34"/>
          <w:rtl/>
        </w:rPr>
        <w:t>َ</w:t>
      </w:r>
      <w:r w:rsidRPr="008C5A14">
        <w:rPr>
          <w:rFonts w:ascii="mylotus" w:hAnsi="mylotus"/>
          <w:sz w:val="34"/>
          <w:szCs w:val="34"/>
          <w:rtl/>
        </w:rPr>
        <w:t>ث</w:t>
      </w:r>
      <w:r>
        <w:rPr>
          <w:rFonts w:ascii="mylotus" w:hAnsi="mylotus" w:hint="cs"/>
          <w:sz w:val="34"/>
          <w:szCs w:val="34"/>
          <w:rtl/>
        </w:rPr>
        <w:t>ِ</w:t>
      </w:r>
      <w:r w:rsidRPr="008C5A14">
        <w:rPr>
          <w:rFonts w:ascii="mylotus" w:hAnsi="mylotus"/>
          <w:sz w:val="34"/>
          <w:szCs w:val="34"/>
          <w:rtl/>
        </w:rPr>
        <w:t>ق</w:t>
      </w:r>
      <w:r>
        <w:rPr>
          <w:rFonts w:ascii="mylotus" w:hAnsi="mylotus" w:hint="cs"/>
          <w:sz w:val="34"/>
          <w:szCs w:val="34"/>
          <w:rtl/>
        </w:rPr>
        <w:t>ُ</w:t>
      </w:r>
      <w:r w:rsidRPr="008C5A14">
        <w:rPr>
          <w:rFonts w:ascii="mylotus" w:hAnsi="mylotus"/>
          <w:sz w:val="34"/>
          <w:szCs w:val="34"/>
          <w:rtl/>
        </w:rPr>
        <w:t xml:space="preserve"> ب</w:t>
      </w:r>
      <w:r>
        <w:rPr>
          <w:rFonts w:ascii="mylotus" w:hAnsi="mylotus" w:hint="cs"/>
          <w:sz w:val="34"/>
          <w:szCs w:val="34"/>
          <w:rtl/>
        </w:rPr>
        <w:t>ِ</w:t>
      </w:r>
      <w:r w:rsidRPr="008C5A14">
        <w:rPr>
          <w:rFonts w:ascii="mylotus" w:hAnsi="mylotus"/>
          <w:sz w:val="34"/>
          <w:szCs w:val="34"/>
          <w:rtl/>
        </w:rPr>
        <w:t>د</w:t>
      </w:r>
      <w:r>
        <w:rPr>
          <w:rFonts w:ascii="mylotus" w:hAnsi="mylotus" w:hint="cs"/>
          <w:sz w:val="34"/>
          <w:szCs w:val="34"/>
          <w:rtl/>
        </w:rPr>
        <w:t>ِ</w:t>
      </w:r>
      <w:r w:rsidRPr="008C5A14">
        <w:rPr>
          <w:rFonts w:ascii="mylotus" w:hAnsi="mylotus"/>
          <w:sz w:val="34"/>
          <w:szCs w:val="34"/>
          <w:rtl/>
        </w:rPr>
        <w:t>ين</w:t>
      </w:r>
      <w:r>
        <w:rPr>
          <w:rFonts w:ascii="mylotus" w:hAnsi="mylotus" w:hint="cs"/>
          <w:sz w:val="34"/>
          <w:szCs w:val="34"/>
          <w:rtl/>
        </w:rPr>
        <w:t>ِ</w:t>
      </w:r>
      <w:r w:rsidRPr="008C5A14">
        <w:rPr>
          <w:rFonts w:ascii="mylotus" w:hAnsi="mylotus"/>
          <w:sz w:val="34"/>
          <w:szCs w:val="34"/>
          <w:rtl/>
        </w:rPr>
        <w:t>ه</w:t>
      </w:r>
      <w:r>
        <w:rPr>
          <w:rFonts w:ascii="mylotus" w:hAnsi="mylotus" w:hint="cs"/>
          <w:sz w:val="34"/>
          <w:szCs w:val="34"/>
          <w:rtl/>
        </w:rPr>
        <w:t>،</w:t>
      </w:r>
      <w:r w:rsidRPr="008C5A14">
        <w:rPr>
          <w:rFonts w:ascii="mylotus" w:hAnsi="mylotus"/>
          <w:sz w:val="34"/>
          <w:szCs w:val="34"/>
          <w:rtl/>
        </w:rPr>
        <w:t xml:space="preserve"> كما في رواية</w:t>
      </w:r>
      <w:r>
        <w:rPr>
          <w:rFonts w:ascii="mylotus" w:hAnsi="mylotus" w:hint="cs"/>
          <w:sz w:val="34"/>
          <w:szCs w:val="34"/>
          <w:rtl/>
        </w:rPr>
        <w:t xml:space="preserve"> </w:t>
      </w:r>
      <w:r w:rsidRPr="008C5A14">
        <w:rPr>
          <w:rFonts w:ascii="mylotus" w:hAnsi="mylotus"/>
          <w:sz w:val="34"/>
          <w:szCs w:val="34"/>
          <w:rtl/>
        </w:rPr>
        <w:t>أبي علي بن راشد</w:t>
      </w:r>
      <w:r>
        <w:rPr>
          <w:rFonts w:ascii="mylotus" w:hAnsi="mylotus" w:hint="cs"/>
          <w:sz w:val="34"/>
          <w:szCs w:val="34"/>
          <w:rtl/>
        </w:rPr>
        <w:t xml:space="preserve">: كما في الوسائل: </w:t>
      </w:r>
      <w:r w:rsidRPr="00492B92">
        <w:rPr>
          <w:rFonts w:ascii="mylotus" w:hAnsi="mylotus" w:hint="cs"/>
          <w:b/>
          <w:bCs/>
          <w:sz w:val="34"/>
          <w:szCs w:val="34"/>
          <w:rtl/>
        </w:rPr>
        <w:t>(</w:t>
      </w:r>
      <w:r w:rsidRPr="00492B92">
        <w:rPr>
          <w:rFonts w:ascii="mylotus" w:hAnsi="mylotus"/>
          <w:b/>
          <w:bCs/>
          <w:sz w:val="34"/>
          <w:szCs w:val="34"/>
          <w:rtl/>
        </w:rPr>
        <w:t xml:space="preserve">وعن علي بن </w:t>
      </w:r>
      <w:proofErr w:type="gramStart"/>
      <w:r w:rsidRPr="00492B92">
        <w:rPr>
          <w:rFonts w:ascii="mylotus" w:hAnsi="mylotus"/>
          <w:b/>
          <w:bCs/>
          <w:sz w:val="34"/>
          <w:szCs w:val="34"/>
          <w:rtl/>
        </w:rPr>
        <w:t>محم</w:t>
      </w:r>
      <w:r w:rsidRPr="00492B92">
        <w:rPr>
          <w:rFonts w:ascii="mylotus" w:hAnsi="mylotus" w:hint="cs"/>
          <w:b/>
          <w:bCs/>
          <w:sz w:val="34"/>
          <w:szCs w:val="34"/>
          <w:rtl/>
        </w:rPr>
        <w:t>ّ</w:t>
      </w:r>
      <w:r w:rsidRPr="00492B92">
        <w:rPr>
          <w:rFonts w:ascii="mylotus" w:hAnsi="mylotus"/>
          <w:b/>
          <w:bCs/>
          <w:sz w:val="34"/>
          <w:szCs w:val="34"/>
          <w:rtl/>
        </w:rPr>
        <w:t xml:space="preserve"> ،</w:t>
      </w:r>
      <w:proofErr w:type="gramEnd"/>
      <w:r w:rsidRPr="00492B92">
        <w:rPr>
          <w:rFonts w:ascii="mylotus" w:hAnsi="mylotus"/>
          <w:b/>
          <w:bCs/>
          <w:sz w:val="34"/>
          <w:szCs w:val="34"/>
          <w:rtl/>
        </w:rPr>
        <w:t xml:space="preserve"> عن سهل بن زياد، عن علي بن مهزيار،</w:t>
      </w:r>
      <w:r w:rsidRPr="00492B92">
        <w:rPr>
          <w:rFonts w:ascii="mylotus" w:hAnsi="mylotus" w:hint="cs"/>
          <w:b/>
          <w:bCs/>
          <w:sz w:val="34"/>
          <w:szCs w:val="34"/>
          <w:rtl/>
        </w:rPr>
        <w:t xml:space="preserve"> </w:t>
      </w:r>
      <w:r w:rsidRPr="00492B92">
        <w:rPr>
          <w:rFonts w:ascii="mylotus" w:hAnsi="mylotus"/>
          <w:b/>
          <w:bCs/>
          <w:sz w:val="34"/>
          <w:szCs w:val="34"/>
          <w:rtl/>
        </w:rPr>
        <w:t xml:space="preserve">عن أبي </w:t>
      </w:r>
      <w:r w:rsidRPr="00492B92">
        <w:rPr>
          <w:rFonts w:ascii="mylotus" w:hAnsi="mylotus"/>
          <w:b/>
          <w:bCs/>
          <w:sz w:val="34"/>
          <w:szCs w:val="34"/>
          <w:rtl/>
        </w:rPr>
        <w:lastRenderedPageBreak/>
        <w:t>علي بن راشد قال: قلت لأبي جعفر (عليه السلام)</w:t>
      </w:r>
      <w:r w:rsidRPr="00492B92">
        <w:rPr>
          <w:rFonts w:ascii="mylotus" w:hAnsi="mylotus" w:hint="cs"/>
          <w:b/>
          <w:bCs/>
          <w:sz w:val="34"/>
          <w:szCs w:val="34"/>
          <w:rtl/>
        </w:rPr>
        <w:t>:</w:t>
      </w:r>
      <w:r w:rsidRPr="00492B92">
        <w:rPr>
          <w:rFonts w:ascii="mylotus" w:hAnsi="mylotus"/>
          <w:b/>
          <w:bCs/>
          <w:sz w:val="34"/>
          <w:szCs w:val="34"/>
          <w:rtl/>
        </w:rPr>
        <w:t xml:space="preserve"> إ</w:t>
      </w:r>
      <w:r w:rsidRPr="00492B92">
        <w:rPr>
          <w:rFonts w:ascii="mylotus" w:hAnsi="mylotus" w:hint="cs"/>
          <w:b/>
          <w:bCs/>
          <w:sz w:val="34"/>
          <w:szCs w:val="34"/>
          <w:rtl/>
        </w:rPr>
        <w:t xml:space="preserve">ن </w:t>
      </w:r>
      <w:r w:rsidRPr="00492B92">
        <w:rPr>
          <w:rFonts w:ascii="mylotus" w:hAnsi="mylotus"/>
          <w:b/>
          <w:bCs/>
          <w:sz w:val="34"/>
          <w:szCs w:val="34"/>
          <w:rtl/>
        </w:rPr>
        <w:t>مواليك قد</w:t>
      </w:r>
      <w:r w:rsidRPr="00492B92">
        <w:rPr>
          <w:rFonts w:ascii="mylotus" w:hAnsi="mylotus" w:hint="cs"/>
          <w:b/>
          <w:bCs/>
          <w:sz w:val="34"/>
          <w:szCs w:val="34"/>
          <w:rtl/>
        </w:rPr>
        <w:t xml:space="preserve"> </w:t>
      </w:r>
      <w:r w:rsidRPr="00492B92">
        <w:rPr>
          <w:rFonts w:ascii="mylotus" w:hAnsi="mylotus"/>
          <w:b/>
          <w:bCs/>
          <w:sz w:val="34"/>
          <w:szCs w:val="34"/>
          <w:rtl/>
        </w:rPr>
        <w:t>اختلفوا ف</w:t>
      </w:r>
      <w:r w:rsidRPr="00492B92">
        <w:rPr>
          <w:rFonts w:ascii="mylotus" w:hAnsi="mylotus" w:hint="cs"/>
          <w:b/>
          <w:bCs/>
          <w:sz w:val="34"/>
          <w:szCs w:val="34"/>
          <w:rtl/>
        </w:rPr>
        <w:t>أُ</w:t>
      </w:r>
      <w:r w:rsidRPr="00492B92">
        <w:rPr>
          <w:rFonts w:ascii="mylotus" w:hAnsi="mylotus"/>
          <w:b/>
          <w:bCs/>
          <w:sz w:val="34"/>
          <w:szCs w:val="34"/>
          <w:rtl/>
        </w:rPr>
        <w:t>صل</w:t>
      </w:r>
      <w:r w:rsidRPr="00492B92">
        <w:rPr>
          <w:rFonts w:ascii="mylotus" w:hAnsi="mylotus" w:hint="cs"/>
          <w:b/>
          <w:bCs/>
          <w:sz w:val="34"/>
          <w:szCs w:val="34"/>
          <w:rtl/>
        </w:rPr>
        <w:t>ّ</w:t>
      </w:r>
      <w:r w:rsidRPr="00492B92">
        <w:rPr>
          <w:rFonts w:ascii="mylotus" w:hAnsi="mylotus"/>
          <w:b/>
          <w:bCs/>
          <w:sz w:val="34"/>
          <w:szCs w:val="34"/>
          <w:rtl/>
        </w:rPr>
        <w:t>ي خلفهم جميعا</w:t>
      </w:r>
      <w:r w:rsidRPr="00492B92">
        <w:rPr>
          <w:rFonts w:ascii="mylotus" w:hAnsi="mylotus" w:hint="cs"/>
          <w:b/>
          <w:bCs/>
          <w:sz w:val="34"/>
          <w:szCs w:val="34"/>
          <w:rtl/>
        </w:rPr>
        <w:t>ً؟</w:t>
      </w:r>
      <w:r w:rsidRPr="00492B92">
        <w:rPr>
          <w:rFonts w:ascii="mylotus" w:hAnsi="mylotus"/>
          <w:b/>
          <w:bCs/>
          <w:sz w:val="34"/>
          <w:szCs w:val="34"/>
          <w:rtl/>
        </w:rPr>
        <w:t xml:space="preserve"> فقال (قال): لا تصل إل</w:t>
      </w:r>
      <w:r w:rsidRPr="00492B92">
        <w:rPr>
          <w:rFonts w:ascii="mylotus" w:hAnsi="mylotus" w:hint="cs"/>
          <w:b/>
          <w:bCs/>
          <w:sz w:val="34"/>
          <w:szCs w:val="34"/>
          <w:rtl/>
        </w:rPr>
        <w:t>ّ</w:t>
      </w:r>
      <w:r w:rsidRPr="00492B92">
        <w:rPr>
          <w:rFonts w:ascii="mylotus" w:hAnsi="mylotus"/>
          <w:b/>
          <w:bCs/>
          <w:sz w:val="34"/>
          <w:szCs w:val="34"/>
          <w:rtl/>
        </w:rPr>
        <w:t>ا خلف م</w:t>
      </w:r>
      <w:r w:rsidRPr="00492B92">
        <w:rPr>
          <w:rFonts w:ascii="mylotus" w:hAnsi="mylotus" w:hint="cs"/>
          <w:b/>
          <w:bCs/>
          <w:sz w:val="34"/>
          <w:szCs w:val="34"/>
          <w:rtl/>
        </w:rPr>
        <w:t>َ</w:t>
      </w:r>
      <w:r w:rsidRPr="00492B92">
        <w:rPr>
          <w:rFonts w:ascii="mylotus" w:hAnsi="mylotus"/>
          <w:b/>
          <w:bCs/>
          <w:sz w:val="34"/>
          <w:szCs w:val="34"/>
          <w:rtl/>
        </w:rPr>
        <w:t>ن ت</w:t>
      </w:r>
      <w:r w:rsidRPr="00492B92">
        <w:rPr>
          <w:rFonts w:ascii="mylotus" w:hAnsi="mylotus" w:hint="cs"/>
          <w:b/>
          <w:bCs/>
          <w:sz w:val="34"/>
          <w:szCs w:val="34"/>
          <w:rtl/>
        </w:rPr>
        <w:t>َ</w:t>
      </w:r>
      <w:r w:rsidRPr="00492B92">
        <w:rPr>
          <w:rFonts w:ascii="mylotus" w:hAnsi="mylotus"/>
          <w:b/>
          <w:bCs/>
          <w:sz w:val="34"/>
          <w:szCs w:val="34"/>
          <w:rtl/>
        </w:rPr>
        <w:t>ث</w:t>
      </w:r>
      <w:r w:rsidRPr="00492B92">
        <w:rPr>
          <w:rFonts w:ascii="mylotus" w:hAnsi="mylotus" w:hint="cs"/>
          <w:b/>
          <w:bCs/>
          <w:sz w:val="34"/>
          <w:szCs w:val="34"/>
          <w:rtl/>
        </w:rPr>
        <w:t>ِ</w:t>
      </w:r>
      <w:r w:rsidRPr="00492B92">
        <w:rPr>
          <w:rFonts w:ascii="mylotus" w:hAnsi="mylotus"/>
          <w:b/>
          <w:bCs/>
          <w:sz w:val="34"/>
          <w:szCs w:val="34"/>
          <w:rtl/>
        </w:rPr>
        <w:t>ق</w:t>
      </w:r>
      <w:r w:rsidRPr="00492B92">
        <w:rPr>
          <w:rFonts w:ascii="mylotus" w:hAnsi="mylotus" w:hint="cs"/>
          <w:b/>
          <w:bCs/>
          <w:sz w:val="34"/>
          <w:szCs w:val="34"/>
          <w:rtl/>
        </w:rPr>
        <w:t>ُ</w:t>
      </w:r>
      <w:r w:rsidRPr="00492B92">
        <w:rPr>
          <w:rFonts w:ascii="mylotus" w:hAnsi="mylotus"/>
          <w:b/>
          <w:bCs/>
          <w:sz w:val="34"/>
          <w:szCs w:val="34"/>
          <w:rtl/>
        </w:rPr>
        <w:t xml:space="preserve"> ب</w:t>
      </w:r>
      <w:r w:rsidRPr="00492B92">
        <w:rPr>
          <w:rFonts w:ascii="mylotus" w:hAnsi="mylotus" w:hint="cs"/>
          <w:b/>
          <w:bCs/>
          <w:sz w:val="34"/>
          <w:szCs w:val="34"/>
          <w:rtl/>
        </w:rPr>
        <w:t>ِ</w:t>
      </w:r>
      <w:r w:rsidRPr="00492B92">
        <w:rPr>
          <w:rFonts w:ascii="mylotus" w:hAnsi="mylotus"/>
          <w:b/>
          <w:bCs/>
          <w:sz w:val="34"/>
          <w:szCs w:val="34"/>
          <w:rtl/>
        </w:rPr>
        <w:t>د</w:t>
      </w:r>
      <w:r w:rsidRPr="00492B92">
        <w:rPr>
          <w:rFonts w:ascii="mylotus" w:hAnsi="mylotus" w:hint="cs"/>
          <w:b/>
          <w:bCs/>
          <w:sz w:val="34"/>
          <w:szCs w:val="34"/>
          <w:rtl/>
        </w:rPr>
        <w:t>ِ</w:t>
      </w:r>
      <w:r w:rsidRPr="00492B92">
        <w:rPr>
          <w:rFonts w:ascii="mylotus" w:hAnsi="mylotus"/>
          <w:b/>
          <w:bCs/>
          <w:sz w:val="34"/>
          <w:szCs w:val="34"/>
          <w:rtl/>
        </w:rPr>
        <w:t>ين</w:t>
      </w:r>
      <w:r w:rsidRPr="00492B92">
        <w:rPr>
          <w:rFonts w:ascii="mylotus" w:hAnsi="mylotus" w:hint="cs"/>
          <w:b/>
          <w:bCs/>
          <w:sz w:val="34"/>
          <w:szCs w:val="34"/>
          <w:rtl/>
        </w:rPr>
        <w:t>ِ</w:t>
      </w:r>
      <w:r w:rsidRPr="00492B92">
        <w:rPr>
          <w:rFonts w:ascii="mylotus" w:hAnsi="mylotus"/>
          <w:b/>
          <w:bCs/>
          <w:sz w:val="34"/>
          <w:szCs w:val="34"/>
          <w:rtl/>
        </w:rPr>
        <w:t>ه</w:t>
      </w:r>
      <w:r w:rsidRPr="00492B92">
        <w:rPr>
          <w:rFonts w:ascii="mylotus" w:hAnsi="mylotus" w:hint="cs"/>
          <w:b/>
          <w:bCs/>
          <w:sz w:val="34"/>
          <w:szCs w:val="34"/>
          <w:rtl/>
        </w:rPr>
        <w:t>.</w:t>
      </w:r>
    </w:p>
    <w:p w14:paraId="623A5A77" w14:textId="77777777" w:rsidR="009E3B18" w:rsidRDefault="009E3B18" w:rsidP="009E3B18">
      <w:pPr>
        <w:pStyle w:val="a"/>
        <w:bidi/>
        <w:spacing w:line="216" w:lineRule="auto"/>
        <w:rPr>
          <w:rFonts w:ascii="mylotus" w:hAnsi="mylotus"/>
          <w:sz w:val="34"/>
          <w:szCs w:val="34"/>
          <w:rtl/>
        </w:rPr>
      </w:pPr>
      <w:r w:rsidRPr="00492B92">
        <w:rPr>
          <w:rFonts w:ascii="mylotus" w:hAnsi="mylotus"/>
          <w:b/>
          <w:bCs/>
          <w:sz w:val="34"/>
          <w:szCs w:val="34"/>
          <w:rtl/>
        </w:rPr>
        <w:t xml:space="preserve">محمد بن الحسن </w:t>
      </w:r>
      <w:proofErr w:type="spellStart"/>
      <w:r w:rsidRPr="00492B92">
        <w:rPr>
          <w:rFonts w:ascii="mylotus" w:hAnsi="mylotus"/>
          <w:b/>
          <w:bCs/>
          <w:sz w:val="34"/>
          <w:szCs w:val="34"/>
          <w:rtl/>
        </w:rPr>
        <w:t>باسناده</w:t>
      </w:r>
      <w:proofErr w:type="spellEnd"/>
      <w:r w:rsidRPr="00492B92">
        <w:rPr>
          <w:rFonts w:ascii="mylotus" w:hAnsi="mylotus"/>
          <w:b/>
          <w:bCs/>
          <w:sz w:val="34"/>
          <w:szCs w:val="34"/>
          <w:rtl/>
        </w:rPr>
        <w:t xml:space="preserve"> عن سهل بن زياد مثله إل</w:t>
      </w:r>
      <w:r w:rsidRPr="00492B92">
        <w:rPr>
          <w:rFonts w:ascii="mylotus" w:hAnsi="mylotus" w:hint="cs"/>
          <w:b/>
          <w:bCs/>
          <w:sz w:val="34"/>
          <w:szCs w:val="34"/>
          <w:rtl/>
        </w:rPr>
        <w:t>ّ</w:t>
      </w:r>
      <w:r w:rsidRPr="00492B92">
        <w:rPr>
          <w:rFonts w:ascii="mylotus" w:hAnsi="mylotus"/>
          <w:b/>
          <w:bCs/>
          <w:sz w:val="34"/>
          <w:szCs w:val="34"/>
          <w:rtl/>
        </w:rPr>
        <w:t>ا أن</w:t>
      </w:r>
      <w:r w:rsidRPr="00492B92">
        <w:rPr>
          <w:rFonts w:ascii="mylotus" w:hAnsi="mylotus" w:hint="cs"/>
          <w:b/>
          <w:bCs/>
          <w:sz w:val="34"/>
          <w:szCs w:val="34"/>
          <w:rtl/>
        </w:rPr>
        <w:t>ّ</w:t>
      </w:r>
      <w:r w:rsidRPr="00492B92">
        <w:rPr>
          <w:rFonts w:ascii="mylotus" w:hAnsi="mylotus"/>
          <w:b/>
          <w:bCs/>
          <w:sz w:val="34"/>
          <w:szCs w:val="34"/>
          <w:rtl/>
        </w:rPr>
        <w:t>ه زا</w:t>
      </w:r>
      <w:r w:rsidRPr="00492B92">
        <w:rPr>
          <w:rFonts w:ascii="mylotus" w:hAnsi="mylotus" w:hint="cs"/>
          <w:b/>
          <w:bCs/>
          <w:sz w:val="34"/>
          <w:szCs w:val="34"/>
          <w:rtl/>
        </w:rPr>
        <w:t xml:space="preserve">د: </w:t>
      </w:r>
      <w:r w:rsidRPr="00492B92">
        <w:rPr>
          <w:rFonts w:ascii="mylotus" w:hAnsi="mylotus"/>
          <w:b/>
          <w:bCs/>
          <w:sz w:val="34"/>
          <w:szCs w:val="34"/>
          <w:rtl/>
        </w:rPr>
        <w:t>وأمانته</w:t>
      </w:r>
      <w:r w:rsidRPr="00492B92">
        <w:rPr>
          <w:rFonts w:ascii="mylotus" w:hAnsi="mylotus" w:hint="cs"/>
          <w:b/>
          <w:bCs/>
          <w:sz w:val="34"/>
          <w:szCs w:val="34"/>
          <w:rtl/>
        </w:rPr>
        <w:t>)</w:t>
      </w:r>
      <w:r>
        <w:rPr>
          <w:rStyle w:val="FootnoteReference"/>
          <w:rFonts w:ascii="mylotus" w:hAnsi="mylotus"/>
          <w:sz w:val="34"/>
          <w:szCs w:val="34"/>
          <w:rtl/>
        </w:rPr>
        <w:footnoteReference w:id="224"/>
      </w:r>
      <w:r>
        <w:rPr>
          <w:rFonts w:ascii="mylotus" w:hAnsi="mylotus" w:hint="cs"/>
          <w:sz w:val="34"/>
          <w:szCs w:val="34"/>
          <w:rtl/>
        </w:rPr>
        <w:t>.</w:t>
      </w:r>
    </w:p>
    <w:p w14:paraId="73AD8508" w14:textId="77777777" w:rsidR="009E3B18" w:rsidRDefault="009E3B18" w:rsidP="009E3B18">
      <w:pPr>
        <w:pStyle w:val="a"/>
        <w:bidi/>
        <w:spacing w:line="216" w:lineRule="auto"/>
        <w:rPr>
          <w:rFonts w:ascii="mylotus" w:hAnsi="mylotus"/>
          <w:sz w:val="34"/>
          <w:szCs w:val="34"/>
          <w:rtl/>
        </w:rPr>
      </w:pPr>
      <w:r>
        <w:rPr>
          <w:rFonts w:ascii="mylotus" w:hAnsi="mylotus" w:hint="cs"/>
          <w:sz w:val="34"/>
          <w:szCs w:val="34"/>
          <w:rtl/>
        </w:rPr>
        <w:t xml:space="preserve">ورواية بن حماد كما في الوسائل: </w:t>
      </w:r>
      <w:r w:rsidRPr="00D835AF">
        <w:rPr>
          <w:rFonts w:ascii="mylotus" w:hAnsi="mylotus" w:hint="cs"/>
          <w:b/>
          <w:bCs/>
          <w:sz w:val="34"/>
          <w:szCs w:val="34"/>
          <w:rtl/>
        </w:rPr>
        <w:t>(</w:t>
      </w:r>
      <w:r w:rsidRPr="00D835AF">
        <w:rPr>
          <w:rFonts w:ascii="mylotus" w:hAnsi="mylotus"/>
          <w:b/>
          <w:bCs/>
          <w:sz w:val="34"/>
          <w:szCs w:val="34"/>
          <w:rtl/>
        </w:rPr>
        <w:t>محم</w:t>
      </w:r>
      <w:r w:rsidRPr="00D835AF">
        <w:rPr>
          <w:rFonts w:ascii="mylotus" w:hAnsi="mylotus" w:hint="cs"/>
          <w:b/>
          <w:bCs/>
          <w:sz w:val="34"/>
          <w:szCs w:val="34"/>
          <w:rtl/>
        </w:rPr>
        <w:t>ّ</w:t>
      </w:r>
      <w:r w:rsidRPr="00D835AF">
        <w:rPr>
          <w:rFonts w:ascii="mylotus" w:hAnsi="mylotus"/>
          <w:b/>
          <w:bCs/>
          <w:sz w:val="34"/>
          <w:szCs w:val="34"/>
          <w:rtl/>
        </w:rPr>
        <w:t>د بن عمر بن عبد العزيز الكشي في كتاب (الرجال)</w:t>
      </w:r>
      <w:r w:rsidRPr="00D835AF">
        <w:rPr>
          <w:rFonts w:ascii="mylotus" w:hAnsi="mylotus" w:hint="cs"/>
          <w:b/>
          <w:bCs/>
          <w:sz w:val="34"/>
          <w:szCs w:val="34"/>
          <w:rtl/>
        </w:rPr>
        <w:t>،</w:t>
      </w:r>
      <w:r w:rsidRPr="00D835AF">
        <w:rPr>
          <w:rFonts w:ascii="mylotus" w:hAnsi="mylotus"/>
          <w:b/>
          <w:bCs/>
          <w:sz w:val="34"/>
          <w:szCs w:val="34"/>
          <w:rtl/>
        </w:rPr>
        <w:t xml:space="preserve"> عن</w:t>
      </w:r>
      <w:r w:rsidRPr="00D835AF">
        <w:rPr>
          <w:rFonts w:ascii="mylotus" w:hAnsi="mylotus" w:hint="cs"/>
          <w:b/>
          <w:bCs/>
          <w:sz w:val="34"/>
          <w:szCs w:val="34"/>
          <w:rtl/>
        </w:rPr>
        <w:t xml:space="preserve"> </w:t>
      </w:r>
      <w:r w:rsidRPr="00D835AF">
        <w:rPr>
          <w:rFonts w:ascii="mylotus" w:hAnsi="mylotus"/>
          <w:b/>
          <w:bCs/>
          <w:sz w:val="34"/>
          <w:szCs w:val="34"/>
          <w:rtl/>
        </w:rPr>
        <w:t>آدم بن محم</w:t>
      </w:r>
      <w:r w:rsidRPr="00D835AF">
        <w:rPr>
          <w:rFonts w:ascii="mylotus" w:hAnsi="mylotus" w:hint="cs"/>
          <w:b/>
          <w:bCs/>
          <w:sz w:val="34"/>
          <w:szCs w:val="34"/>
          <w:rtl/>
        </w:rPr>
        <w:t>ّ</w:t>
      </w:r>
      <w:r w:rsidRPr="00D835AF">
        <w:rPr>
          <w:rFonts w:ascii="mylotus" w:hAnsi="mylotus"/>
          <w:b/>
          <w:bCs/>
          <w:sz w:val="34"/>
          <w:szCs w:val="34"/>
          <w:rtl/>
        </w:rPr>
        <w:t>د، عن علي بن محم</w:t>
      </w:r>
      <w:r w:rsidRPr="00D835AF">
        <w:rPr>
          <w:rFonts w:ascii="mylotus" w:hAnsi="mylotus" w:hint="cs"/>
          <w:b/>
          <w:bCs/>
          <w:sz w:val="34"/>
          <w:szCs w:val="34"/>
          <w:rtl/>
        </w:rPr>
        <w:t>ّ</w:t>
      </w:r>
      <w:r w:rsidRPr="00D835AF">
        <w:rPr>
          <w:rFonts w:ascii="mylotus" w:hAnsi="mylotus"/>
          <w:b/>
          <w:bCs/>
          <w:sz w:val="34"/>
          <w:szCs w:val="34"/>
          <w:rtl/>
        </w:rPr>
        <w:t>د، عن أحمد بن محم</w:t>
      </w:r>
      <w:r w:rsidRPr="00D835AF">
        <w:rPr>
          <w:rFonts w:ascii="mylotus" w:hAnsi="mylotus" w:hint="cs"/>
          <w:b/>
          <w:bCs/>
          <w:sz w:val="34"/>
          <w:szCs w:val="34"/>
          <w:rtl/>
        </w:rPr>
        <w:t>ّ</w:t>
      </w:r>
      <w:r w:rsidRPr="00D835AF">
        <w:rPr>
          <w:rFonts w:ascii="mylotus" w:hAnsi="mylotus"/>
          <w:b/>
          <w:bCs/>
          <w:sz w:val="34"/>
          <w:szCs w:val="34"/>
          <w:rtl/>
        </w:rPr>
        <w:t>د بن يحيى، عن يعقوب بن</w:t>
      </w:r>
      <w:r w:rsidRPr="00D835AF">
        <w:rPr>
          <w:rFonts w:ascii="mylotus" w:hAnsi="mylotus" w:hint="cs"/>
          <w:b/>
          <w:bCs/>
          <w:sz w:val="34"/>
          <w:szCs w:val="34"/>
          <w:rtl/>
        </w:rPr>
        <w:t xml:space="preserve"> </w:t>
      </w:r>
      <w:r w:rsidRPr="00D835AF">
        <w:rPr>
          <w:rFonts w:ascii="mylotus" w:hAnsi="mylotus"/>
          <w:b/>
          <w:bCs/>
          <w:sz w:val="34"/>
          <w:szCs w:val="34"/>
          <w:rtl/>
        </w:rPr>
        <w:t>يزيد، عن أبيه يزيد بن حماد، عن أبي الحسن (عليه السلام) قال: قلت</w:t>
      </w:r>
      <w:r w:rsidRPr="00D835AF">
        <w:rPr>
          <w:rFonts w:ascii="mylotus" w:hAnsi="mylotus" w:hint="cs"/>
          <w:b/>
          <w:bCs/>
          <w:sz w:val="34"/>
          <w:szCs w:val="34"/>
          <w:rtl/>
        </w:rPr>
        <w:t xml:space="preserve"> </w:t>
      </w:r>
      <w:r w:rsidRPr="00D835AF">
        <w:rPr>
          <w:rFonts w:ascii="mylotus" w:hAnsi="mylotus"/>
          <w:b/>
          <w:bCs/>
          <w:sz w:val="34"/>
          <w:szCs w:val="34"/>
          <w:rtl/>
        </w:rPr>
        <w:t>له: أصل</w:t>
      </w:r>
      <w:r w:rsidRPr="00D835AF">
        <w:rPr>
          <w:rFonts w:ascii="mylotus" w:hAnsi="mylotus" w:hint="cs"/>
          <w:b/>
          <w:bCs/>
          <w:sz w:val="34"/>
          <w:szCs w:val="34"/>
          <w:rtl/>
        </w:rPr>
        <w:t>ّ</w:t>
      </w:r>
      <w:r w:rsidRPr="00D835AF">
        <w:rPr>
          <w:rFonts w:ascii="mylotus" w:hAnsi="mylotus"/>
          <w:b/>
          <w:bCs/>
          <w:sz w:val="34"/>
          <w:szCs w:val="34"/>
          <w:rtl/>
        </w:rPr>
        <w:t xml:space="preserve">ي خلف </w:t>
      </w:r>
      <w:r w:rsidRPr="00AD0292">
        <w:rPr>
          <w:rFonts w:ascii="mylotus" w:hAnsi="mylotus"/>
          <w:b/>
          <w:bCs/>
          <w:sz w:val="34"/>
          <w:szCs w:val="34"/>
          <w:highlight w:val="yellow"/>
          <w:rtl/>
        </w:rPr>
        <w:t>من لا أعرف؟ فقال: لا تصل</w:t>
      </w:r>
      <w:r w:rsidRPr="00AD0292">
        <w:rPr>
          <w:rFonts w:ascii="mylotus" w:hAnsi="mylotus" w:hint="cs"/>
          <w:b/>
          <w:bCs/>
          <w:sz w:val="34"/>
          <w:szCs w:val="34"/>
          <w:highlight w:val="yellow"/>
          <w:rtl/>
        </w:rPr>
        <w:t>ّ</w:t>
      </w:r>
      <w:r w:rsidRPr="00AD0292">
        <w:rPr>
          <w:rFonts w:ascii="mylotus" w:hAnsi="mylotus"/>
          <w:b/>
          <w:bCs/>
          <w:sz w:val="34"/>
          <w:szCs w:val="34"/>
          <w:highlight w:val="yellow"/>
          <w:rtl/>
        </w:rPr>
        <w:t xml:space="preserve"> إل</w:t>
      </w:r>
      <w:r w:rsidRPr="00AD0292">
        <w:rPr>
          <w:rFonts w:ascii="mylotus" w:hAnsi="mylotus" w:hint="cs"/>
          <w:b/>
          <w:bCs/>
          <w:sz w:val="34"/>
          <w:szCs w:val="34"/>
          <w:highlight w:val="yellow"/>
          <w:rtl/>
        </w:rPr>
        <w:t>ّ</w:t>
      </w:r>
      <w:r w:rsidRPr="00AD0292">
        <w:rPr>
          <w:rFonts w:ascii="mylotus" w:hAnsi="mylotus"/>
          <w:b/>
          <w:bCs/>
          <w:sz w:val="34"/>
          <w:szCs w:val="34"/>
          <w:highlight w:val="yellow"/>
          <w:rtl/>
        </w:rPr>
        <w:t>ا خلف م</w:t>
      </w:r>
      <w:r w:rsidRPr="00AD0292">
        <w:rPr>
          <w:rFonts w:ascii="mylotus" w:hAnsi="mylotus" w:hint="cs"/>
          <w:b/>
          <w:bCs/>
          <w:sz w:val="34"/>
          <w:szCs w:val="34"/>
          <w:highlight w:val="yellow"/>
          <w:rtl/>
        </w:rPr>
        <w:t>َ</w:t>
      </w:r>
      <w:r w:rsidRPr="00AD0292">
        <w:rPr>
          <w:rFonts w:ascii="mylotus" w:hAnsi="mylotus"/>
          <w:b/>
          <w:bCs/>
          <w:sz w:val="34"/>
          <w:szCs w:val="34"/>
          <w:highlight w:val="yellow"/>
          <w:rtl/>
        </w:rPr>
        <w:t>ن ت</w:t>
      </w:r>
      <w:r w:rsidRPr="00AD0292">
        <w:rPr>
          <w:rFonts w:ascii="mylotus" w:hAnsi="mylotus" w:hint="cs"/>
          <w:b/>
          <w:bCs/>
          <w:sz w:val="34"/>
          <w:szCs w:val="34"/>
          <w:highlight w:val="yellow"/>
          <w:rtl/>
        </w:rPr>
        <w:t>َ</w:t>
      </w:r>
      <w:r w:rsidRPr="00AD0292">
        <w:rPr>
          <w:rFonts w:ascii="mylotus" w:hAnsi="mylotus"/>
          <w:b/>
          <w:bCs/>
          <w:sz w:val="34"/>
          <w:szCs w:val="34"/>
          <w:highlight w:val="yellow"/>
          <w:rtl/>
        </w:rPr>
        <w:t>ث</w:t>
      </w:r>
      <w:r w:rsidRPr="00AD0292">
        <w:rPr>
          <w:rFonts w:ascii="mylotus" w:hAnsi="mylotus" w:hint="cs"/>
          <w:b/>
          <w:bCs/>
          <w:sz w:val="34"/>
          <w:szCs w:val="34"/>
          <w:highlight w:val="yellow"/>
          <w:rtl/>
        </w:rPr>
        <w:t>ِ</w:t>
      </w:r>
      <w:r w:rsidRPr="00AD0292">
        <w:rPr>
          <w:rFonts w:ascii="mylotus" w:hAnsi="mylotus"/>
          <w:b/>
          <w:bCs/>
          <w:sz w:val="34"/>
          <w:szCs w:val="34"/>
          <w:highlight w:val="yellow"/>
          <w:rtl/>
        </w:rPr>
        <w:t>ق</w:t>
      </w:r>
      <w:r w:rsidRPr="00AD0292">
        <w:rPr>
          <w:rFonts w:ascii="mylotus" w:hAnsi="mylotus" w:hint="cs"/>
          <w:b/>
          <w:bCs/>
          <w:sz w:val="34"/>
          <w:szCs w:val="34"/>
          <w:highlight w:val="yellow"/>
          <w:rtl/>
        </w:rPr>
        <w:t>ُ</w:t>
      </w:r>
      <w:r w:rsidRPr="00AD0292">
        <w:rPr>
          <w:rFonts w:ascii="mylotus" w:hAnsi="mylotus"/>
          <w:b/>
          <w:bCs/>
          <w:sz w:val="34"/>
          <w:szCs w:val="34"/>
          <w:highlight w:val="yellow"/>
          <w:rtl/>
        </w:rPr>
        <w:t xml:space="preserve"> ب</w:t>
      </w:r>
      <w:r w:rsidRPr="00AD0292">
        <w:rPr>
          <w:rFonts w:ascii="mylotus" w:hAnsi="mylotus" w:hint="cs"/>
          <w:b/>
          <w:bCs/>
          <w:sz w:val="34"/>
          <w:szCs w:val="34"/>
          <w:highlight w:val="yellow"/>
          <w:rtl/>
        </w:rPr>
        <w:t>ِ</w:t>
      </w:r>
      <w:r w:rsidRPr="00AD0292">
        <w:rPr>
          <w:rFonts w:ascii="mylotus" w:hAnsi="mylotus"/>
          <w:b/>
          <w:bCs/>
          <w:sz w:val="34"/>
          <w:szCs w:val="34"/>
          <w:highlight w:val="yellow"/>
          <w:rtl/>
        </w:rPr>
        <w:t>د</w:t>
      </w:r>
      <w:r w:rsidRPr="00AD0292">
        <w:rPr>
          <w:rFonts w:ascii="mylotus" w:hAnsi="mylotus" w:hint="cs"/>
          <w:b/>
          <w:bCs/>
          <w:sz w:val="34"/>
          <w:szCs w:val="34"/>
          <w:highlight w:val="yellow"/>
          <w:rtl/>
        </w:rPr>
        <w:t>ِ</w:t>
      </w:r>
      <w:r w:rsidRPr="00AD0292">
        <w:rPr>
          <w:rFonts w:ascii="mylotus" w:hAnsi="mylotus"/>
          <w:b/>
          <w:bCs/>
          <w:sz w:val="34"/>
          <w:szCs w:val="34"/>
          <w:highlight w:val="yellow"/>
          <w:rtl/>
        </w:rPr>
        <w:t>ين</w:t>
      </w:r>
      <w:r w:rsidRPr="00AD0292">
        <w:rPr>
          <w:rFonts w:ascii="mylotus" w:hAnsi="mylotus" w:hint="cs"/>
          <w:b/>
          <w:bCs/>
          <w:sz w:val="34"/>
          <w:szCs w:val="34"/>
          <w:highlight w:val="yellow"/>
          <w:rtl/>
        </w:rPr>
        <w:t>ِ</w:t>
      </w:r>
      <w:r w:rsidRPr="00AD0292">
        <w:rPr>
          <w:rFonts w:ascii="mylotus" w:hAnsi="mylotus"/>
          <w:b/>
          <w:bCs/>
          <w:sz w:val="34"/>
          <w:szCs w:val="34"/>
          <w:highlight w:val="yellow"/>
          <w:rtl/>
        </w:rPr>
        <w:t>ه</w:t>
      </w:r>
      <w:r w:rsidRPr="00AD0292">
        <w:rPr>
          <w:rFonts w:ascii="mylotus" w:hAnsi="mylotus" w:hint="cs"/>
          <w:b/>
          <w:bCs/>
          <w:sz w:val="34"/>
          <w:szCs w:val="34"/>
          <w:highlight w:val="yellow"/>
          <w:rtl/>
        </w:rPr>
        <w:t xml:space="preserve">). </w:t>
      </w:r>
      <w:r w:rsidRPr="00AD0292">
        <w:rPr>
          <w:rFonts w:ascii="mylotus" w:hAnsi="mylotus"/>
          <w:b/>
          <w:bCs/>
          <w:sz w:val="34"/>
          <w:szCs w:val="34"/>
          <w:highlight w:val="yellow"/>
          <w:rtl/>
        </w:rPr>
        <w:t>الحديث</w:t>
      </w:r>
      <w:r w:rsidRPr="00D835AF">
        <w:rPr>
          <w:rFonts w:ascii="mylotus" w:hAnsi="mylotus" w:hint="cs"/>
          <w:b/>
          <w:bCs/>
          <w:sz w:val="34"/>
          <w:szCs w:val="34"/>
          <w:rtl/>
        </w:rPr>
        <w:t>)</w:t>
      </w:r>
      <w:r>
        <w:rPr>
          <w:rStyle w:val="FootnoteReference"/>
          <w:rFonts w:ascii="mylotus" w:hAnsi="mylotus"/>
          <w:sz w:val="34"/>
          <w:szCs w:val="34"/>
          <w:rtl/>
        </w:rPr>
        <w:footnoteReference w:id="225"/>
      </w:r>
      <w:r w:rsidRPr="00D835AF">
        <w:rPr>
          <w:rFonts w:ascii="mylotus" w:hAnsi="mylotus"/>
          <w:sz w:val="34"/>
          <w:szCs w:val="34"/>
          <w:rtl/>
        </w:rPr>
        <w:t>.</w:t>
      </w:r>
    </w:p>
    <w:p w14:paraId="62D58322" w14:textId="77777777" w:rsidR="009E3B18" w:rsidRDefault="009E3B18" w:rsidP="009E3B18">
      <w:pPr>
        <w:pStyle w:val="a"/>
        <w:bidi/>
        <w:spacing w:line="216" w:lineRule="auto"/>
        <w:rPr>
          <w:rFonts w:ascii="mylotus" w:hAnsi="mylotus"/>
          <w:sz w:val="34"/>
          <w:szCs w:val="34"/>
          <w:rtl/>
        </w:rPr>
      </w:pPr>
      <w:r w:rsidRPr="008C5A14">
        <w:rPr>
          <w:rFonts w:ascii="mylotus" w:hAnsi="mylotus"/>
          <w:sz w:val="34"/>
          <w:szCs w:val="34"/>
          <w:rtl/>
        </w:rPr>
        <w:t>ورواية</w:t>
      </w:r>
      <w:r>
        <w:rPr>
          <w:rFonts w:ascii="mylotus" w:hAnsi="mylotus" w:hint="cs"/>
          <w:sz w:val="34"/>
          <w:szCs w:val="34"/>
          <w:rtl/>
        </w:rPr>
        <w:t xml:space="preserve"> </w:t>
      </w:r>
      <w:r w:rsidRPr="008C5A14">
        <w:rPr>
          <w:rFonts w:ascii="mylotus" w:hAnsi="mylotus"/>
          <w:sz w:val="34"/>
          <w:szCs w:val="34"/>
          <w:rtl/>
        </w:rPr>
        <w:t>البصري عن جعفر بن محم</w:t>
      </w:r>
      <w:r>
        <w:rPr>
          <w:rFonts w:ascii="mylotus" w:hAnsi="mylotus" w:hint="cs"/>
          <w:sz w:val="34"/>
          <w:szCs w:val="34"/>
          <w:rtl/>
        </w:rPr>
        <w:t>ّ</w:t>
      </w:r>
      <w:r w:rsidRPr="008C5A14">
        <w:rPr>
          <w:rFonts w:ascii="mylotus" w:hAnsi="mylotus"/>
          <w:sz w:val="34"/>
          <w:szCs w:val="34"/>
          <w:rtl/>
        </w:rPr>
        <w:t>د</w:t>
      </w:r>
      <w:r>
        <w:rPr>
          <w:rFonts w:ascii="mylotus" w:hAnsi="mylotus" w:hint="cs"/>
          <w:sz w:val="34"/>
          <w:szCs w:val="34"/>
          <w:rtl/>
        </w:rPr>
        <w:t xml:space="preserve">: كما في الوسائل: </w:t>
      </w:r>
      <w:r w:rsidRPr="006F74E3">
        <w:rPr>
          <w:rFonts w:ascii="mylotus" w:hAnsi="mylotus" w:hint="cs"/>
          <w:b/>
          <w:bCs/>
          <w:sz w:val="34"/>
          <w:szCs w:val="34"/>
          <w:rtl/>
        </w:rPr>
        <w:t>(</w:t>
      </w:r>
      <w:proofErr w:type="spellStart"/>
      <w:r w:rsidRPr="006F74E3">
        <w:rPr>
          <w:rFonts w:ascii="mylotus" w:hAnsi="mylotus"/>
          <w:b/>
          <w:bCs/>
          <w:sz w:val="34"/>
          <w:szCs w:val="34"/>
          <w:rtl/>
        </w:rPr>
        <w:t>وباسناده</w:t>
      </w:r>
      <w:proofErr w:type="spellEnd"/>
      <w:r w:rsidRPr="006F74E3">
        <w:rPr>
          <w:rFonts w:ascii="mylotus" w:hAnsi="mylotus"/>
          <w:b/>
          <w:bCs/>
          <w:sz w:val="34"/>
          <w:szCs w:val="34"/>
          <w:rtl/>
        </w:rPr>
        <w:t xml:space="preserve"> عن أحمد بن محم</w:t>
      </w:r>
      <w:r w:rsidRPr="006F74E3">
        <w:rPr>
          <w:rFonts w:ascii="mylotus" w:hAnsi="mylotus" w:hint="cs"/>
          <w:b/>
          <w:bCs/>
          <w:sz w:val="34"/>
          <w:szCs w:val="34"/>
          <w:rtl/>
        </w:rPr>
        <w:t>ّ</w:t>
      </w:r>
      <w:r w:rsidRPr="006F74E3">
        <w:rPr>
          <w:rFonts w:ascii="mylotus" w:hAnsi="mylotus"/>
          <w:b/>
          <w:bCs/>
          <w:sz w:val="34"/>
          <w:szCs w:val="34"/>
          <w:rtl/>
        </w:rPr>
        <w:t>د بن سعيد بن عقدة، عن أحمد بن</w:t>
      </w:r>
      <w:r w:rsidRPr="006F74E3">
        <w:rPr>
          <w:rFonts w:ascii="mylotus" w:hAnsi="mylotus" w:hint="cs"/>
          <w:b/>
          <w:bCs/>
          <w:sz w:val="34"/>
          <w:szCs w:val="34"/>
          <w:rtl/>
        </w:rPr>
        <w:t xml:space="preserve"> </w:t>
      </w:r>
      <w:r w:rsidRPr="006F74E3">
        <w:rPr>
          <w:rFonts w:ascii="mylotus" w:hAnsi="mylotus"/>
          <w:b/>
          <w:bCs/>
          <w:sz w:val="34"/>
          <w:szCs w:val="34"/>
          <w:rtl/>
        </w:rPr>
        <w:t>محم</w:t>
      </w:r>
      <w:r w:rsidRPr="006F74E3">
        <w:rPr>
          <w:rFonts w:ascii="mylotus" w:hAnsi="mylotus" w:hint="cs"/>
          <w:b/>
          <w:bCs/>
          <w:sz w:val="34"/>
          <w:szCs w:val="34"/>
          <w:rtl/>
        </w:rPr>
        <w:t>ّ</w:t>
      </w:r>
      <w:r w:rsidRPr="006F74E3">
        <w:rPr>
          <w:rFonts w:ascii="mylotus" w:hAnsi="mylotus"/>
          <w:b/>
          <w:bCs/>
          <w:sz w:val="34"/>
          <w:szCs w:val="34"/>
          <w:rtl/>
        </w:rPr>
        <w:t xml:space="preserve">د بن يحيى </w:t>
      </w:r>
      <w:proofErr w:type="spellStart"/>
      <w:r w:rsidRPr="006F74E3">
        <w:rPr>
          <w:rFonts w:ascii="mylotus" w:hAnsi="mylotus"/>
          <w:b/>
          <w:bCs/>
          <w:sz w:val="34"/>
          <w:szCs w:val="34"/>
          <w:rtl/>
        </w:rPr>
        <w:t>الخارقي</w:t>
      </w:r>
      <w:proofErr w:type="spellEnd"/>
      <w:r w:rsidRPr="006F74E3">
        <w:rPr>
          <w:rFonts w:ascii="mylotus" w:hAnsi="mylotus"/>
          <w:b/>
          <w:bCs/>
          <w:sz w:val="34"/>
          <w:szCs w:val="34"/>
          <w:rtl/>
        </w:rPr>
        <w:t>، عن الحسن بن الحسين، عن إبراهيم بن علي</w:t>
      </w:r>
      <w:r w:rsidRPr="006F74E3">
        <w:rPr>
          <w:rFonts w:ascii="mylotus" w:hAnsi="mylotus" w:hint="cs"/>
          <w:b/>
          <w:bCs/>
          <w:sz w:val="34"/>
          <w:szCs w:val="34"/>
          <w:rtl/>
        </w:rPr>
        <w:t xml:space="preserve"> </w:t>
      </w:r>
      <w:proofErr w:type="spellStart"/>
      <w:r w:rsidRPr="006F74E3">
        <w:rPr>
          <w:rFonts w:ascii="mylotus" w:hAnsi="mylotus"/>
          <w:b/>
          <w:bCs/>
          <w:sz w:val="34"/>
          <w:szCs w:val="34"/>
          <w:rtl/>
        </w:rPr>
        <w:t>المرافقي</w:t>
      </w:r>
      <w:proofErr w:type="spellEnd"/>
      <w:r w:rsidRPr="006F74E3">
        <w:rPr>
          <w:rFonts w:ascii="mylotus" w:hAnsi="mylotus"/>
          <w:b/>
          <w:bCs/>
          <w:sz w:val="34"/>
          <w:szCs w:val="34"/>
          <w:rtl/>
        </w:rPr>
        <w:t xml:space="preserve"> وعمرو بن الربيع البصري، عن جعفر بن محم</w:t>
      </w:r>
      <w:r w:rsidRPr="006F74E3">
        <w:rPr>
          <w:rFonts w:ascii="mylotus" w:hAnsi="mylotus" w:hint="cs"/>
          <w:b/>
          <w:bCs/>
          <w:sz w:val="34"/>
          <w:szCs w:val="34"/>
          <w:rtl/>
        </w:rPr>
        <w:t>ّ</w:t>
      </w:r>
      <w:r w:rsidRPr="006F74E3">
        <w:rPr>
          <w:rFonts w:ascii="mylotus" w:hAnsi="mylotus"/>
          <w:b/>
          <w:bCs/>
          <w:sz w:val="34"/>
          <w:szCs w:val="34"/>
          <w:rtl/>
        </w:rPr>
        <w:t>د (عليهما السلام)</w:t>
      </w:r>
      <w:r w:rsidRPr="006F74E3">
        <w:rPr>
          <w:rFonts w:ascii="mylotus" w:hAnsi="mylotus" w:hint="cs"/>
          <w:b/>
          <w:bCs/>
          <w:sz w:val="34"/>
          <w:szCs w:val="34"/>
          <w:rtl/>
        </w:rPr>
        <w:t xml:space="preserve"> </w:t>
      </w:r>
      <w:r w:rsidRPr="006F74E3">
        <w:rPr>
          <w:rFonts w:ascii="mylotus" w:hAnsi="mylotus"/>
          <w:b/>
          <w:bCs/>
          <w:sz w:val="34"/>
          <w:szCs w:val="34"/>
          <w:rtl/>
        </w:rPr>
        <w:t>أن</w:t>
      </w:r>
      <w:r w:rsidRPr="006F74E3">
        <w:rPr>
          <w:rFonts w:ascii="mylotus" w:hAnsi="mylotus" w:hint="cs"/>
          <w:b/>
          <w:bCs/>
          <w:sz w:val="34"/>
          <w:szCs w:val="34"/>
          <w:rtl/>
        </w:rPr>
        <w:t>ّ</w:t>
      </w:r>
      <w:r w:rsidRPr="006F74E3">
        <w:rPr>
          <w:rFonts w:ascii="mylotus" w:hAnsi="mylotus"/>
          <w:b/>
          <w:bCs/>
          <w:sz w:val="34"/>
          <w:szCs w:val="34"/>
          <w:rtl/>
        </w:rPr>
        <w:t>ه سأل عن القراءة خلف الإمام فقال</w:t>
      </w:r>
      <w:r w:rsidRPr="006F74E3">
        <w:rPr>
          <w:rFonts w:ascii="mylotus" w:hAnsi="mylotus" w:hint="cs"/>
          <w:b/>
          <w:bCs/>
          <w:sz w:val="34"/>
          <w:szCs w:val="34"/>
          <w:rtl/>
        </w:rPr>
        <w:t xml:space="preserve">: </w:t>
      </w:r>
      <w:r w:rsidRPr="006F74E3">
        <w:rPr>
          <w:rFonts w:ascii="mylotus" w:hAnsi="mylotus"/>
          <w:b/>
          <w:bCs/>
          <w:sz w:val="34"/>
          <w:szCs w:val="34"/>
          <w:rtl/>
        </w:rPr>
        <w:t>إذا كنت خلف ال</w:t>
      </w:r>
      <w:r w:rsidRPr="006F74E3">
        <w:rPr>
          <w:rFonts w:ascii="mylotus" w:hAnsi="mylotus" w:hint="cs"/>
          <w:b/>
          <w:bCs/>
          <w:sz w:val="34"/>
          <w:szCs w:val="34"/>
          <w:rtl/>
        </w:rPr>
        <w:t>إ</w:t>
      </w:r>
      <w:r w:rsidRPr="006F74E3">
        <w:rPr>
          <w:rFonts w:ascii="mylotus" w:hAnsi="mylotus"/>
          <w:b/>
          <w:bCs/>
          <w:sz w:val="34"/>
          <w:szCs w:val="34"/>
          <w:rtl/>
        </w:rPr>
        <w:t>مام تولاه وتثق</w:t>
      </w:r>
      <w:r w:rsidRPr="006F74E3">
        <w:rPr>
          <w:rFonts w:ascii="mylotus" w:hAnsi="mylotus" w:hint="cs"/>
          <w:b/>
          <w:bCs/>
          <w:sz w:val="34"/>
          <w:szCs w:val="34"/>
          <w:rtl/>
        </w:rPr>
        <w:t xml:space="preserve"> </w:t>
      </w:r>
      <w:r w:rsidRPr="006F74E3">
        <w:rPr>
          <w:rFonts w:ascii="mylotus" w:hAnsi="mylotus"/>
          <w:b/>
          <w:bCs/>
          <w:sz w:val="34"/>
          <w:szCs w:val="34"/>
          <w:rtl/>
        </w:rPr>
        <w:t>به فإن</w:t>
      </w:r>
      <w:r w:rsidRPr="006F74E3">
        <w:rPr>
          <w:rFonts w:ascii="mylotus" w:hAnsi="mylotus" w:hint="cs"/>
          <w:b/>
          <w:bCs/>
          <w:sz w:val="34"/>
          <w:szCs w:val="34"/>
          <w:rtl/>
        </w:rPr>
        <w:t>ّ</w:t>
      </w:r>
      <w:r w:rsidRPr="006F74E3">
        <w:rPr>
          <w:rFonts w:ascii="mylotus" w:hAnsi="mylotus"/>
          <w:b/>
          <w:bCs/>
          <w:sz w:val="34"/>
          <w:szCs w:val="34"/>
          <w:rtl/>
        </w:rPr>
        <w:t xml:space="preserve">ه يجزيك </w:t>
      </w:r>
      <w:proofErr w:type="spellStart"/>
      <w:r w:rsidRPr="006F74E3">
        <w:rPr>
          <w:rFonts w:ascii="mylotus" w:hAnsi="mylotus"/>
          <w:b/>
          <w:bCs/>
          <w:sz w:val="34"/>
          <w:szCs w:val="34"/>
          <w:rtl/>
        </w:rPr>
        <w:t>قرائته</w:t>
      </w:r>
      <w:proofErr w:type="spellEnd"/>
      <w:r w:rsidRPr="006F74E3">
        <w:rPr>
          <w:rFonts w:ascii="mylotus" w:hAnsi="mylotus"/>
          <w:b/>
          <w:bCs/>
          <w:sz w:val="34"/>
          <w:szCs w:val="34"/>
          <w:rtl/>
        </w:rPr>
        <w:t>، وإن أحببت أن تقرأ فاقرأ فيما يخافت فيه، فإذا جهر</w:t>
      </w:r>
      <w:r w:rsidRPr="006F74E3">
        <w:rPr>
          <w:rFonts w:ascii="mylotus" w:hAnsi="mylotus" w:hint="cs"/>
          <w:b/>
          <w:bCs/>
          <w:sz w:val="34"/>
          <w:szCs w:val="34"/>
          <w:rtl/>
        </w:rPr>
        <w:t xml:space="preserve"> </w:t>
      </w:r>
      <w:r w:rsidRPr="006F74E3">
        <w:rPr>
          <w:rFonts w:ascii="mylotus" w:hAnsi="mylotus"/>
          <w:b/>
          <w:bCs/>
          <w:sz w:val="34"/>
          <w:szCs w:val="34"/>
          <w:rtl/>
        </w:rPr>
        <w:t>فأنصت قال الله تعالى</w:t>
      </w:r>
      <w:r w:rsidRPr="006F74E3">
        <w:rPr>
          <w:rFonts w:ascii="mylotus" w:hAnsi="mylotus" w:hint="cs"/>
          <w:b/>
          <w:bCs/>
          <w:sz w:val="34"/>
          <w:szCs w:val="34"/>
          <w:rtl/>
        </w:rPr>
        <w:t>:</w:t>
      </w:r>
      <w:r w:rsidRPr="006F74E3">
        <w:rPr>
          <w:rFonts w:ascii="mylotus" w:hAnsi="mylotus"/>
          <w:b/>
          <w:bCs/>
          <w:sz w:val="34"/>
          <w:szCs w:val="34"/>
          <w:rtl/>
        </w:rPr>
        <w:t xml:space="preserve"> </w:t>
      </w:r>
      <w:r w:rsidRPr="006F74E3">
        <w:rPr>
          <w:rFonts w:ascii="mylotus" w:hAnsi="mylotus" w:hint="cs"/>
          <w:b/>
          <w:bCs/>
          <w:sz w:val="34"/>
          <w:szCs w:val="34"/>
          <w:rtl/>
        </w:rPr>
        <w:t>(</w:t>
      </w:r>
      <w:r w:rsidRPr="006F74E3">
        <w:rPr>
          <w:rFonts w:ascii="mylotus" w:hAnsi="mylotus"/>
          <w:b/>
          <w:bCs/>
          <w:sz w:val="34"/>
          <w:szCs w:val="34"/>
          <w:rtl/>
        </w:rPr>
        <w:t>وَأَنصِتُوا لَعَلَّكُمْ تُرْحَمُونَ</w:t>
      </w:r>
      <w:r w:rsidRPr="006F74E3">
        <w:rPr>
          <w:rFonts w:ascii="mylotus" w:hAnsi="mylotus" w:hint="cs"/>
          <w:b/>
          <w:bCs/>
          <w:sz w:val="34"/>
          <w:szCs w:val="34"/>
          <w:rtl/>
        </w:rPr>
        <w:t>)</w:t>
      </w:r>
      <w:r w:rsidRPr="006F74E3">
        <w:rPr>
          <w:rStyle w:val="FootnoteReference"/>
          <w:rFonts w:ascii="mylotus" w:hAnsi="mylotus"/>
          <w:sz w:val="34"/>
          <w:szCs w:val="34"/>
          <w:rtl/>
        </w:rPr>
        <w:footnoteReference w:id="226"/>
      </w:r>
      <w:r w:rsidRPr="006F74E3">
        <w:rPr>
          <w:rFonts w:ascii="mylotus" w:hAnsi="mylotus"/>
          <w:b/>
          <w:bCs/>
          <w:sz w:val="34"/>
          <w:szCs w:val="34"/>
          <w:rtl/>
        </w:rPr>
        <w:t>)</w:t>
      </w:r>
      <w:r w:rsidRPr="006F74E3">
        <w:rPr>
          <w:rFonts w:ascii="mylotus" w:hAnsi="mylotus" w:hint="cs"/>
          <w:b/>
          <w:bCs/>
          <w:sz w:val="34"/>
          <w:szCs w:val="34"/>
          <w:rtl/>
        </w:rPr>
        <w:t xml:space="preserve">. </w:t>
      </w:r>
      <w:r w:rsidRPr="006F74E3">
        <w:rPr>
          <w:rFonts w:ascii="mylotus" w:hAnsi="mylotus"/>
          <w:b/>
          <w:bCs/>
          <w:sz w:val="34"/>
          <w:szCs w:val="34"/>
          <w:rtl/>
        </w:rPr>
        <w:t>الحديث</w:t>
      </w:r>
      <w:r w:rsidRPr="006F74E3">
        <w:rPr>
          <w:rFonts w:ascii="mylotus" w:hAnsi="mylotus" w:hint="cs"/>
          <w:b/>
          <w:bCs/>
          <w:sz w:val="34"/>
          <w:szCs w:val="34"/>
          <w:rtl/>
        </w:rPr>
        <w:t>)</w:t>
      </w:r>
      <w:r>
        <w:rPr>
          <w:rStyle w:val="FootnoteReference"/>
          <w:rFonts w:ascii="mylotus" w:hAnsi="mylotus"/>
          <w:sz w:val="34"/>
          <w:szCs w:val="34"/>
          <w:rtl/>
        </w:rPr>
        <w:footnoteReference w:id="227"/>
      </w:r>
      <w:r w:rsidRPr="006F74E3">
        <w:rPr>
          <w:rFonts w:ascii="mylotus" w:hAnsi="mylotus"/>
          <w:sz w:val="34"/>
          <w:szCs w:val="34"/>
          <w:rtl/>
        </w:rPr>
        <w:t>.</w:t>
      </w:r>
    </w:p>
    <w:p w14:paraId="341499AD" w14:textId="77777777" w:rsidR="009E3B18" w:rsidRPr="007F2948" w:rsidRDefault="009E3B18" w:rsidP="009E3B18">
      <w:pPr>
        <w:pStyle w:val="a"/>
        <w:bidi/>
        <w:spacing w:line="216" w:lineRule="auto"/>
        <w:rPr>
          <w:rFonts w:ascii="mylotus" w:hAnsi="mylotus"/>
          <w:b/>
          <w:bCs/>
          <w:sz w:val="34"/>
          <w:szCs w:val="34"/>
          <w:rtl/>
        </w:rPr>
      </w:pPr>
      <w:r w:rsidRPr="008C5A14">
        <w:rPr>
          <w:rFonts w:ascii="mylotus" w:hAnsi="mylotus"/>
          <w:sz w:val="34"/>
          <w:szCs w:val="34"/>
          <w:rtl/>
        </w:rPr>
        <w:t>وكل</w:t>
      </w:r>
      <w:r>
        <w:rPr>
          <w:rFonts w:ascii="mylotus" w:hAnsi="mylotus" w:hint="cs"/>
          <w:sz w:val="34"/>
          <w:szCs w:val="34"/>
          <w:rtl/>
        </w:rPr>
        <w:t>ّ</w:t>
      </w:r>
      <w:r w:rsidRPr="008C5A14">
        <w:rPr>
          <w:rFonts w:ascii="mylotus" w:hAnsi="mylotus"/>
          <w:sz w:val="34"/>
          <w:szCs w:val="34"/>
          <w:rtl/>
        </w:rPr>
        <w:t>ها مضافا</w:t>
      </w:r>
      <w:r>
        <w:rPr>
          <w:rFonts w:ascii="mylotus" w:hAnsi="mylotus" w:hint="cs"/>
          <w:sz w:val="34"/>
          <w:szCs w:val="34"/>
          <w:rtl/>
        </w:rPr>
        <w:t>ً</w:t>
      </w:r>
      <w:r w:rsidRPr="008C5A14">
        <w:rPr>
          <w:rFonts w:ascii="mylotus" w:hAnsi="mylotus"/>
          <w:sz w:val="34"/>
          <w:szCs w:val="34"/>
          <w:rtl/>
        </w:rPr>
        <w:t xml:space="preserve"> لضعف أسنادها ناظر</w:t>
      </w:r>
      <w:r>
        <w:rPr>
          <w:rFonts w:ascii="mylotus" w:hAnsi="mylotus" w:hint="cs"/>
          <w:sz w:val="34"/>
          <w:szCs w:val="34"/>
          <w:rtl/>
        </w:rPr>
        <w:t>ة</w:t>
      </w:r>
      <w:r w:rsidRPr="008C5A14">
        <w:rPr>
          <w:rFonts w:ascii="mylotus" w:hAnsi="mylotus"/>
          <w:sz w:val="34"/>
          <w:szCs w:val="34"/>
          <w:rtl/>
        </w:rPr>
        <w:t xml:space="preserve"> لاشتراط كون الإمام إماميا</w:t>
      </w:r>
      <w:r>
        <w:rPr>
          <w:rFonts w:ascii="mylotus" w:hAnsi="mylotus" w:hint="cs"/>
          <w:sz w:val="34"/>
          <w:szCs w:val="34"/>
          <w:rtl/>
        </w:rPr>
        <w:t>ً</w:t>
      </w:r>
      <w:r w:rsidRPr="008C5A14">
        <w:rPr>
          <w:rFonts w:ascii="mylotus" w:hAnsi="mylotus"/>
          <w:sz w:val="34"/>
          <w:szCs w:val="34"/>
          <w:rtl/>
        </w:rPr>
        <w:t xml:space="preserve"> إثني عشري كما هو ظاهر  سياقها، وليس في الباب ما</w:t>
      </w:r>
      <w:r>
        <w:rPr>
          <w:rFonts w:ascii="mylotus" w:hAnsi="mylotus" w:hint="cs"/>
          <w:sz w:val="34"/>
          <w:szCs w:val="34"/>
          <w:rtl/>
        </w:rPr>
        <w:t xml:space="preserve"> </w:t>
      </w:r>
      <w:r w:rsidRPr="008C5A14">
        <w:rPr>
          <w:rFonts w:ascii="mylotus" w:hAnsi="mylotus"/>
          <w:sz w:val="34"/>
          <w:szCs w:val="34"/>
          <w:rtl/>
        </w:rPr>
        <w:t>هو تام</w:t>
      </w:r>
      <w:r>
        <w:rPr>
          <w:rFonts w:ascii="mylotus" w:hAnsi="mylotus" w:hint="cs"/>
          <w:sz w:val="34"/>
          <w:szCs w:val="34"/>
          <w:rtl/>
        </w:rPr>
        <w:t>ٌ</w:t>
      </w:r>
      <w:r w:rsidRPr="008C5A14">
        <w:rPr>
          <w:rFonts w:ascii="mylotus" w:hAnsi="mylotus"/>
          <w:sz w:val="34"/>
          <w:szCs w:val="34"/>
          <w:rtl/>
        </w:rPr>
        <w:t xml:space="preserve"> سندا</w:t>
      </w:r>
      <w:r>
        <w:rPr>
          <w:rFonts w:ascii="mylotus" w:hAnsi="mylotus" w:hint="cs"/>
          <w:sz w:val="34"/>
          <w:szCs w:val="34"/>
          <w:rtl/>
        </w:rPr>
        <w:t>ً</w:t>
      </w:r>
      <w:r w:rsidRPr="008C5A14">
        <w:rPr>
          <w:rFonts w:ascii="mylotus" w:hAnsi="mylotus"/>
          <w:sz w:val="34"/>
          <w:szCs w:val="34"/>
          <w:rtl/>
        </w:rPr>
        <w:t xml:space="preserve"> ودلالة </w:t>
      </w:r>
      <w:r>
        <w:rPr>
          <w:rFonts w:ascii="mylotus" w:hAnsi="mylotus" w:hint="cs"/>
          <w:sz w:val="34"/>
          <w:szCs w:val="34"/>
          <w:rtl/>
        </w:rPr>
        <w:t>إ</w:t>
      </w:r>
      <w:r w:rsidRPr="008C5A14">
        <w:rPr>
          <w:rFonts w:ascii="mylotus" w:hAnsi="mylotus"/>
          <w:sz w:val="34"/>
          <w:szCs w:val="34"/>
          <w:rtl/>
        </w:rPr>
        <w:t>ل</w:t>
      </w:r>
      <w:r>
        <w:rPr>
          <w:rFonts w:ascii="mylotus" w:hAnsi="mylotus" w:hint="cs"/>
          <w:sz w:val="34"/>
          <w:szCs w:val="34"/>
          <w:rtl/>
        </w:rPr>
        <w:t>ّ</w:t>
      </w:r>
      <w:r w:rsidRPr="008C5A14">
        <w:rPr>
          <w:rFonts w:ascii="mylotus" w:hAnsi="mylotus"/>
          <w:sz w:val="34"/>
          <w:szCs w:val="34"/>
          <w:rtl/>
        </w:rPr>
        <w:t xml:space="preserve">ا موثقة سماعة </w:t>
      </w:r>
      <w:r>
        <w:rPr>
          <w:rFonts w:ascii="mylotus" w:hAnsi="mylotus" w:hint="cs"/>
          <w:sz w:val="34"/>
          <w:szCs w:val="34"/>
          <w:rtl/>
        </w:rPr>
        <w:t xml:space="preserve">كما في الوسائل: </w:t>
      </w:r>
      <w:r w:rsidRPr="007F2948">
        <w:rPr>
          <w:rFonts w:ascii="mylotus" w:hAnsi="mylotus" w:hint="cs"/>
          <w:b/>
          <w:bCs/>
          <w:sz w:val="34"/>
          <w:szCs w:val="34"/>
          <w:rtl/>
        </w:rPr>
        <w:t>(</w:t>
      </w:r>
      <w:r w:rsidRPr="007F2948">
        <w:rPr>
          <w:rFonts w:ascii="mylotus" w:hAnsi="mylotus"/>
          <w:b/>
          <w:bCs/>
          <w:sz w:val="34"/>
          <w:szCs w:val="34"/>
          <w:rtl/>
        </w:rPr>
        <w:t>وعن محم</w:t>
      </w:r>
      <w:r w:rsidRPr="007F2948">
        <w:rPr>
          <w:rFonts w:ascii="mylotus" w:hAnsi="mylotus" w:hint="cs"/>
          <w:b/>
          <w:bCs/>
          <w:sz w:val="34"/>
          <w:szCs w:val="34"/>
          <w:rtl/>
        </w:rPr>
        <w:t>ّ</w:t>
      </w:r>
      <w:r w:rsidRPr="007F2948">
        <w:rPr>
          <w:rFonts w:ascii="mylotus" w:hAnsi="mylotus"/>
          <w:b/>
          <w:bCs/>
          <w:sz w:val="34"/>
          <w:szCs w:val="34"/>
          <w:rtl/>
        </w:rPr>
        <w:t>د بن يحيى، عن أحمد بن محم</w:t>
      </w:r>
      <w:r w:rsidRPr="007F2948">
        <w:rPr>
          <w:rFonts w:ascii="mylotus" w:hAnsi="mylotus" w:hint="cs"/>
          <w:b/>
          <w:bCs/>
          <w:sz w:val="34"/>
          <w:szCs w:val="34"/>
          <w:rtl/>
        </w:rPr>
        <w:t>ّ</w:t>
      </w:r>
      <w:r w:rsidRPr="007F2948">
        <w:rPr>
          <w:rFonts w:ascii="mylotus" w:hAnsi="mylotus"/>
          <w:b/>
          <w:bCs/>
          <w:sz w:val="34"/>
          <w:szCs w:val="34"/>
          <w:rtl/>
        </w:rPr>
        <w:t>د، عن عثمان بن</w:t>
      </w:r>
      <w:r w:rsidRPr="007F2948">
        <w:rPr>
          <w:rFonts w:ascii="mylotus" w:hAnsi="mylotus" w:hint="cs"/>
          <w:b/>
          <w:bCs/>
          <w:sz w:val="34"/>
          <w:szCs w:val="34"/>
          <w:rtl/>
        </w:rPr>
        <w:t xml:space="preserve"> </w:t>
      </w:r>
      <w:r w:rsidRPr="007F2948">
        <w:rPr>
          <w:rFonts w:ascii="mylotus" w:hAnsi="mylotus"/>
          <w:b/>
          <w:bCs/>
          <w:sz w:val="34"/>
          <w:szCs w:val="34"/>
          <w:rtl/>
        </w:rPr>
        <w:t>عيسى، عن سماعة قال: سألته عن رجل كان يصلي فخرج ال</w:t>
      </w:r>
      <w:r w:rsidRPr="007F2948">
        <w:rPr>
          <w:rFonts w:ascii="mylotus" w:hAnsi="mylotus" w:hint="cs"/>
          <w:b/>
          <w:bCs/>
          <w:sz w:val="34"/>
          <w:szCs w:val="34"/>
          <w:rtl/>
        </w:rPr>
        <w:t>إ</w:t>
      </w:r>
      <w:r w:rsidRPr="007F2948">
        <w:rPr>
          <w:rFonts w:ascii="mylotus" w:hAnsi="mylotus"/>
          <w:b/>
          <w:bCs/>
          <w:sz w:val="34"/>
          <w:szCs w:val="34"/>
          <w:rtl/>
        </w:rPr>
        <w:t>مام وقد صلى</w:t>
      </w:r>
      <w:r w:rsidRPr="007F2948">
        <w:rPr>
          <w:rFonts w:ascii="mylotus" w:hAnsi="mylotus" w:hint="cs"/>
          <w:b/>
          <w:bCs/>
          <w:sz w:val="34"/>
          <w:szCs w:val="34"/>
          <w:rtl/>
        </w:rPr>
        <w:t xml:space="preserve"> </w:t>
      </w:r>
      <w:r w:rsidRPr="007F2948">
        <w:rPr>
          <w:rFonts w:ascii="mylotus" w:hAnsi="mylotus"/>
          <w:b/>
          <w:bCs/>
          <w:sz w:val="34"/>
          <w:szCs w:val="34"/>
          <w:rtl/>
        </w:rPr>
        <w:t>الرجل ركعة من صلاة فريضة قال: إن كان إماما</w:t>
      </w:r>
      <w:r w:rsidRPr="007F2948">
        <w:rPr>
          <w:rFonts w:ascii="mylotus" w:hAnsi="mylotus" w:hint="cs"/>
          <w:b/>
          <w:bCs/>
          <w:sz w:val="34"/>
          <w:szCs w:val="34"/>
          <w:rtl/>
        </w:rPr>
        <w:t>ً</w:t>
      </w:r>
      <w:r w:rsidRPr="007F2948">
        <w:rPr>
          <w:rFonts w:ascii="mylotus" w:hAnsi="mylotus"/>
          <w:b/>
          <w:bCs/>
          <w:sz w:val="34"/>
          <w:szCs w:val="34"/>
          <w:rtl/>
        </w:rPr>
        <w:t xml:space="preserve"> عدلا</w:t>
      </w:r>
      <w:r w:rsidRPr="007F2948">
        <w:rPr>
          <w:rFonts w:ascii="mylotus" w:hAnsi="mylotus" w:hint="cs"/>
          <w:b/>
          <w:bCs/>
          <w:sz w:val="34"/>
          <w:szCs w:val="34"/>
          <w:rtl/>
        </w:rPr>
        <w:t>ً</w:t>
      </w:r>
      <w:r w:rsidRPr="007F2948">
        <w:rPr>
          <w:rFonts w:ascii="mylotus" w:hAnsi="mylotus"/>
          <w:b/>
          <w:bCs/>
          <w:sz w:val="34"/>
          <w:szCs w:val="34"/>
          <w:rtl/>
        </w:rPr>
        <w:t xml:space="preserve"> فليصل أخرى</w:t>
      </w:r>
      <w:r w:rsidRPr="007F2948">
        <w:rPr>
          <w:rFonts w:ascii="mylotus" w:hAnsi="mylotus" w:hint="cs"/>
          <w:b/>
          <w:bCs/>
          <w:sz w:val="34"/>
          <w:szCs w:val="34"/>
          <w:rtl/>
        </w:rPr>
        <w:t xml:space="preserve"> </w:t>
      </w:r>
      <w:r w:rsidRPr="007F2948">
        <w:rPr>
          <w:rFonts w:ascii="mylotus" w:hAnsi="mylotus"/>
          <w:b/>
          <w:bCs/>
          <w:sz w:val="34"/>
          <w:szCs w:val="34"/>
          <w:rtl/>
        </w:rPr>
        <w:t>وينصرف، ويجعلهما تطوعا</w:t>
      </w:r>
      <w:r w:rsidRPr="007F2948">
        <w:rPr>
          <w:rFonts w:ascii="mylotus" w:hAnsi="mylotus" w:hint="cs"/>
          <w:b/>
          <w:bCs/>
          <w:sz w:val="34"/>
          <w:szCs w:val="34"/>
          <w:rtl/>
        </w:rPr>
        <w:t>ً</w:t>
      </w:r>
      <w:r w:rsidRPr="007F2948">
        <w:rPr>
          <w:rFonts w:ascii="mylotus" w:hAnsi="mylotus"/>
          <w:b/>
          <w:bCs/>
          <w:sz w:val="34"/>
          <w:szCs w:val="34"/>
          <w:rtl/>
        </w:rPr>
        <w:t xml:space="preserve"> وليدخل مع ال</w:t>
      </w:r>
      <w:r w:rsidRPr="007F2948">
        <w:rPr>
          <w:rFonts w:ascii="mylotus" w:hAnsi="mylotus" w:hint="cs"/>
          <w:b/>
          <w:bCs/>
          <w:sz w:val="34"/>
          <w:szCs w:val="34"/>
          <w:rtl/>
        </w:rPr>
        <w:t>إ</w:t>
      </w:r>
      <w:r w:rsidRPr="007F2948">
        <w:rPr>
          <w:rFonts w:ascii="mylotus" w:hAnsi="mylotus"/>
          <w:b/>
          <w:bCs/>
          <w:sz w:val="34"/>
          <w:szCs w:val="34"/>
          <w:rtl/>
        </w:rPr>
        <w:t>مام في صلاته كما هو، وإن لم يكن</w:t>
      </w:r>
      <w:r w:rsidRPr="007F2948">
        <w:rPr>
          <w:rFonts w:ascii="mylotus" w:hAnsi="mylotus" w:hint="cs"/>
          <w:b/>
          <w:bCs/>
          <w:sz w:val="34"/>
          <w:szCs w:val="34"/>
          <w:rtl/>
        </w:rPr>
        <w:t xml:space="preserve"> </w:t>
      </w:r>
      <w:r w:rsidRPr="007F2948">
        <w:rPr>
          <w:rFonts w:ascii="mylotus" w:hAnsi="mylotus"/>
          <w:b/>
          <w:bCs/>
          <w:sz w:val="34"/>
          <w:szCs w:val="34"/>
          <w:rtl/>
        </w:rPr>
        <w:t>إمام عدل فليبن على صلاته كما هو ويصلى ركعة أخرى ويجلس قدر ما</w:t>
      </w:r>
      <w:r w:rsidRPr="007F2948">
        <w:rPr>
          <w:rFonts w:ascii="mylotus" w:hAnsi="mylotus" w:hint="cs"/>
          <w:b/>
          <w:bCs/>
          <w:sz w:val="34"/>
          <w:szCs w:val="34"/>
          <w:rtl/>
        </w:rPr>
        <w:t xml:space="preserve"> </w:t>
      </w:r>
      <w:r w:rsidRPr="007F2948">
        <w:rPr>
          <w:rFonts w:ascii="mylotus" w:hAnsi="mylotus"/>
          <w:b/>
          <w:bCs/>
          <w:sz w:val="34"/>
          <w:szCs w:val="34"/>
          <w:rtl/>
        </w:rPr>
        <w:t>يقول: (أشهد أن لا إله إلا الله وحده لا شريك له، وأشهد أن</w:t>
      </w:r>
      <w:r w:rsidRPr="007F2948">
        <w:rPr>
          <w:rFonts w:ascii="mylotus" w:hAnsi="mylotus" w:hint="cs"/>
          <w:b/>
          <w:bCs/>
          <w:sz w:val="34"/>
          <w:szCs w:val="34"/>
          <w:rtl/>
        </w:rPr>
        <w:t>ّ</w:t>
      </w:r>
      <w:r w:rsidRPr="007F2948">
        <w:rPr>
          <w:rFonts w:ascii="mylotus" w:hAnsi="mylotus"/>
          <w:b/>
          <w:bCs/>
          <w:sz w:val="34"/>
          <w:szCs w:val="34"/>
          <w:rtl/>
        </w:rPr>
        <w:t xml:space="preserve"> محمد</w:t>
      </w:r>
      <w:r w:rsidRPr="007F2948">
        <w:rPr>
          <w:rFonts w:ascii="mylotus" w:hAnsi="mylotus" w:hint="cs"/>
          <w:b/>
          <w:bCs/>
          <w:sz w:val="34"/>
          <w:szCs w:val="34"/>
          <w:rtl/>
        </w:rPr>
        <w:t>اً</w:t>
      </w:r>
      <w:r w:rsidRPr="007F2948">
        <w:rPr>
          <w:rFonts w:ascii="mylotus" w:hAnsi="mylotus"/>
          <w:b/>
          <w:bCs/>
          <w:sz w:val="34"/>
          <w:szCs w:val="34"/>
          <w:rtl/>
        </w:rPr>
        <w:t xml:space="preserve"> عبده</w:t>
      </w:r>
      <w:r w:rsidRPr="007F2948">
        <w:rPr>
          <w:rFonts w:ascii="mylotus" w:hAnsi="mylotus" w:hint="cs"/>
          <w:b/>
          <w:bCs/>
          <w:sz w:val="34"/>
          <w:szCs w:val="34"/>
          <w:rtl/>
        </w:rPr>
        <w:t xml:space="preserve"> </w:t>
      </w:r>
      <w:r w:rsidRPr="007F2948">
        <w:rPr>
          <w:rFonts w:ascii="mylotus" w:hAnsi="mylotus"/>
          <w:b/>
          <w:bCs/>
          <w:sz w:val="34"/>
          <w:szCs w:val="34"/>
          <w:rtl/>
        </w:rPr>
        <w:t>ورسوله) ثم ليتم صلاته معه على ما استطاع، ف</w:t>
      </w:r>
      <w:r w:rsidRPr="007F2948">
        <w:rPr>
          <w:rFonts w:ascii="mylotus" w:hAnsi="mylotus" w:hint="cs"/>
          <w:b/>
          <w:bCs/>
          <w:sz w:val="34"/>
          <w:szCs w:val="34"/>
          <w:rtl/>
        </w:rPr>
        <w:t>إ</w:t>
      </w:r>
      <w:r w:rsidRPr="007F2948">
        <w:rPr>
          <w:rFonts w:ascii="mylotus" w:hAnsi="mylotus"/>
          <w:b/>
          <w:bCs/>
          <w:sz w:val="34"/>
          <w:szCs w:val="34"/>
          <w:rtl/>
        </w:rPr>
        <w:t>ن</w:t>
      </w:r>
      <w:r w:rsidRPr="007F2948">
        <w:rPr>
          <w:rFonts w:ascii="mylotus" w:hAnsi="mylotus" w:hint="cs"/>
          <w:b/>
          <w:bCs/>
          <w:sz w:val="34"/>
          <w:szCs w:val="34"/>
          <w:rtl/>
        </w:rPr>
        <w:t>ّ</w:t>
      </w:r>
      <w:r w:rsidRPr="007F2948">
        <w:rPr>
          <w:rFonts w:ascii="mylotus" w:hAnsi="mylotus"/>
          <w:b/>
          <w:bCs/>
          <w:sz w:val="34"/>
          <w:szCs w:val="34"/>
          <w:rtl/>
        </w:rPr>
        <w:t xml:space="preserve"> التقية</w:t>
      </w:r>
      <w:r w:rsidRPr="007F2948">
        <w:rPr>
          <w:rFonts w:ascii="mylotus" w:hAnsi="mylotus" w:hint="cs"/>
          <w:b/>
          <w:bCs/>
          <w:sz w:val="34"/>
          <w:szCs w:val="34"/>
          <w:rtl/>
        </w:rPr>
        <w:t xml:space="preserve"> </w:t>
      </w:r>
      <w:r w:rsidRPr="007F2948">
        <w:rPr>
          <w:rFonts w:ascii="mylotus" w:hAnsi="mylotus"/>
          <w:b/>
          <w:bCs/>
          <w:sz w:val="34"/>
          <w:szCs w:val="34"/>
          <w:rtl/>
        </w:rPr>
        <w:t xml:space="preserve">واسعة، وليس </w:t>
      </w:r>
      <w:proofErr w:type="spellStart"/>
      <w:r w:rsidRPr="007F2948">
        <w:rPr>
          <w:rFonts w:ascii="mylotus" w:hAnsi="mylotus"/>
          <w:b/>
          <w:bCs/>
          <w:sz w:val="34"/>
          <w:szCs w:val="34"/>
          <w:rtl/>
        </w:rPr>
        <w:t>شئ</w:t>
      </w:r>
      <w:proofErr w:type="spellEnd"/>
      <w:r w:rsidRPr="007F2948">
        <w:rPr>
          <w:rFonts w:ascii="mylotus" w:hAnsi="mylotus"/>
          <w:b/>
          <w:bCs/>
          <w:sz w:val="34"/>
          <w:szCs w:val="34"/>
          <w:rtl/>
        </w:rPr>
        <w:t xml:space="preserve"> من التقية إلا وصاحبها مأجور عليها إن شاء الل</w:t>
      </w:r>
      <w:r w:rsidRPr="007F2948">
        <w:rPr>
          <w:rFonts w:ascii="mylotus" w:hAnsi="mylotus" w:hint="cs"/>
          <w:b/>
          <w:bCs/>
          <w:sz w:val="34"/>
          <w:szCs w:val="34"/>
          <w:rtl/>
        </w:rPr>
        <w:t>ه).</w:t>
      </w:r>
    </w:p>
    <w:p w14:paraId="15585206" w14:textId="77777777" w:rsidR="009E3B18" w:rsidRDefault="009E3B18" w:rsidP="009E3B18">
      <w:pPr>
        <w:pStyle w:val="a"/>
        <w:bidi/>
        <w:spacing w:line="216" w:lineRule="auto"/>
        <w:rPr>
          <w:rFonts w:ascii="mylotus" w:hAnsi="mylotus"/>
          <w:sz w:val="34"/>
          <w:szCs w:val="34"/>
          <w:rtl/>
        </w:rPr>
      </w:pPr>
      <w:r w:rsidRPr="007F2948">
        <w:rPr>
          <w:rFonts w:ascii="mylotus" w:hAnsi="mylotus"/>
          <w:b/>
          <w:bCs/>
          <w:sz w:val="34"/>
          <w:szCs w:val="34"/>
          <w:rtl/>
        </w:rPr>
        <w:t xml:space="preserve">ورواه الشيخ </w:t>
      </w:r>
      <w:proofErr w:type="spellStart"/>
      <w:r w:rsidRPr="007F2948">
        <w:rPr>
          <w:rFonts w:ascii="mylotus" w:hAnsi="mylotus"/>
          <w:b/>
          <w:bCs/>
          <w:sz w:val="34"/>
          <w:szCs w:val="34"/>
          <w:rtl/>
        </w:rPr>
        <w:t>باسناده</w:t>
      </w:r>
      <w:proofErr w:type="spellEnd"/>
      <w:r w:rsidRPr="007F2948">
        <w:rPr>
          <w:rFonts w:ascii="mylotus" w:hAnsi="mylotus"/>
          <w:b/>
          <w:bCs/>
          <w:sz w:val="34"/>
          <w:szCs w:val="34"/>
          <w:rtl/>
        </w:rPr>
        <w:t xml:space="preserve"> عن محم</w:t>
      </w:r>
      <w:r w:rsidRPr="007F2948">
        <w:rPr>
          <w:rFonts w:ascii="mylotus" w:hAnsi="mylotus" w:hint="cs"/>
          <w:b/>
          <w:bCs/>
          <w:sz w:val="34"/>
          <w:szCs w:val="34"/>
          <w:rtl/>
        </w:rPr>
        <w:t>ّ</w:t>
      </w:r>
      <w:r w:rsidRPr="007F2948">
        <w:rPr>
          <w:rFonts w:ascii="mylotus" w:hAnsi="mylotus"/>
          <w:b/>
          <w:bCs/>
          <w:sz w:val="34"/>
          <w:szCs w:val="34"/>
          <w:rtl/>
        </w:rPr>
        <w:t>د بن يعقوب</w:t>
      </w:r>
      <w:r w:rsidRPr="007F2948">
        <w:rPr>
          <w:rFonts w:ascii="mylotus" w:hAnsi="mylotus" w:hint="cs"/>
          <w:b/>
          <w:bCs/>
          <w:sz w:val="34"/>
          <w:szCs w:val="34"/>
          <w:rtl/>
        </w:rPr>
        <w:t>)</w:t>
      </w:r>
      <w:r>
        <w:rPr>
          <w:rStyle w:val="FootnoteReference"/>
          <w:rFonts w:ascii="mylotus" w:hAnsi="mylotus"/>
          <w:sz w:val="34"/>
          <w:szCs w:val="34"/>
          <w:rtl/>
        </w:rPr>
        <w:footnoteReference w:id="228"/>
      </w:r>
      <w:r>
        <w:rPr>
          <w:rFonts w:ascii="mylotus" w:hAnsi="mylotus" w:hint="cs"/>
          <w:sz w:val="34"/>
          <w:szCs w:val="34"/>
          <w:rtl/>
        </w:rPr>
        <w:t>.</w:t>
      </w:r>
    </w:p>
    <w:p w14:paraId="784F714A" w14:textId="77777777" w:rsidR="009E3B18" w:rsidRDefault="009E3B18" w:rsidP="009E3B18">
      <w:pPr>
        <w:pStyle w:val="a"/>
        <w:bidi/>
        <w:spacing w:line="216" w:lineRule="auto"/>
        <w:rPr>
          <w:rFonts w:ascii="mylotus" w:hAnsi="mylotus"/>
          <w:sz w:val="34"/>
          <w:szCs w:val="34"/>
          <w:rtl/>
        </w:rPr>
      </w:pPr>
      <w:r w:rsidRPr="007F2948">
        <w:rPr>
          <w:rFonts w:ascii="mylotus" w:hAnsi="mylotus"/>
          <w:b/>
          <w:bCs/>
          <w:sz w:val="34"/>
          <w:szCs w:val="34"/>
          <w:rtl/>
        </w:rPr>
        <w:t>والحاصل:</w:t>
      </w:r>
      <w:r w:rsidRPr="008C5A14">
        <w:rPr>
          <w:rFonts w:ascii="mylotus" w:hAnsi="mylotus"/>
          <w:sz w:val="34"/>
          <w:szCs w:val="34"/>
          <w:rtl/>
        </w:rPr>
        <w:t xml:space="preserve"> أنّ مدرك شمول العنوان الوارد في لسان الأدلّة </w:t>
      </w:r>
      <w:r w:rsidRPr="007F2948">
        <w:rPr>
          <w:rFonts w:ascii="mylotus" w:hAnsi="mylotus"/>
          <w:b/>
          <w:bCs/>
          <w:sz w:val="34"/>
          <w:szCs w:val="34"/>
          <w:rtl/>
        </w:rPr>
        <w:t>(للفرد الاعتباري لعنوان موضوع الحكم كما في إطلاق "الضرر" على تجاوز الحقّ العرفي كحقّ البراءة أو حقّ الحرّ القادر على العمل في فرصة العمل)</w:t>
      </w:r>
      <w:r w:rsidRPr="008C5A14">
        <w:rPr>
          <w:rFonts w:ascii="mylotus" w:hAnsi="mylotus"/>
          <w:sz w:val="34"/>
          <w:szCs w:val="34"/>
          <w:rtl/>
        </w:rPr>
        <w:t xml:space="preserve">، </w:t>
      </w:r>
      <w:r w:rsidRPr="007F2948">
        <w:rPr>
          <w:rFonts w:ascii="mylotus" w:hAnsi="mylotus"/>
          <w:b/>
          <w:bCs/>
          <w:sz w:val="34"/>
          <w:szCs w:val="34"/>
          <w:rtl/>
        </w:rPr>
        <w:t xml:space="preserve">(أو الفرد التنزيلي للعنوان المأخوذ في الحدود والتعريفات، في فرض كون التطبيق بنظر العرف حقيقيا </w:t>
      </w:r>
      <w:proofErr w:type="spellStart"/>
      <w:r w:rsidRPr="007F2948">
        <w:rPr>
          <w:rFonts w:ascii="mylotus" w:hAnsi="mylotus"/>
          <w:b/>
          <w:bCs/>
          <w:sz w:val="34"/>
          <w:szCs w:val="34"/>
          <w:rtl/>
        </w:rPr>
        <w:t>لامجازيا</w:t>
      </w:r>
      <w:proofErr w:type="spellEnd"/>
      <w:r w:rsidRPr="007F2948">
        <w:rPr>
          <w:rFonts w:ascii="mylotus" w:hAnsi="mylotus"/>
          <w:b/>
          <w:bCs/>
          <w:sz w:val="34"/>
          <w:szCs w:val="34"/>
          <w:rtl/>
        </w:rPr>
        <w:t>)</w:t>
      </w:r>
      <w:r>
        <w:rPr>
          <w:rFonts w:ascii="mylotus" w:hAnsi="mylotus" w:hint="cs"/>
          <w:b/>
          <w:bCs/>
          <w:sz w:val="34"/>
          <w:szCs w:val="34"/>
          <w:rtl/>
        </w:rPr>
        <w:t xml:space="preserve"> </w:t>
      </w:r>
      <w:r w:rsidRPr="008C5A14">
        <w:rPr>
          <w:rFonts w:ascii="mylotus" w:hAnsi="mylotus"/>
          <w:sz w:val="34"/>
          <w:szCs w:val="34"/>
          <w:rtl/>
        </w:rPr>
        <w:t xml:space="preserve">هو الإطلاق المقامي </w:t>
      </w:r>
      <w:r w:rsidRPr="008C5A14">
        <w:rPr>
          <w:rFonts w:ascii="mylotus" w:hAnsi="mylotus"/>
          <w:sz w:val="34"/>
          <w:szCs w:val="34"/>
          <w:rtl/>
        </w:rPr>
        <w:lastRenderedPageBreak/>
        <w:t xml:space="preserve">للأدلّة إذا كان للعنوان الوارد في لسان الدليل بنحو الموضوع أو المتعلّق مرونة الانطباق على الأفراد الاعتبارية </w:t>
      </w:r>
      <w:proofErr w:type="spellStart"/>
      <w:r w:rsidRPr="008C5A14">
        <w:rPr>
          <w:rFonts w:ascii="mylotus" w:hAnsi="mylotus"/>
          <w:sz w:val="34"/>
          <w:szCs w:val="34"/>
          <w:rtl/>
        </w:rPr>
        <w:t>والتنزيلية</w:t>
      </w:r>
      <w:proofErr w:type="spellEnd"/>
      <w:r w:rsidRPr="008C5A14">
        <w:rPr>
          <w:rFonts w:ascii="mylotus" w:hAnsi="mylotus"/>
          <w:sz w:val="34"/>
          <w:szCs w:val="34"/>
          <w:rtl/>
        </w:rPr>
        <w:t>، وكان لذلك الانطباق جذورٌ في زمن الشارع؛ فإنّ التفات الشارع لذلك وسكوته عن الردع أو التقييد مع كونه في مقام البيان كاشفٌ عن اتكائه على النظر العرفي في هذه الموارد، وكون المشرع في مقام التقنين والتحديد لا</w:t>
      </w:r>
      <w:r>
        <w:rPr>
          <w:rFonts w:ascii="mylotus" w:hAnsi="mylotus" w:hint="cs"/>
          <w:sz w:val="34"/>
          <w:szCs w:val="34"/>
          <w:rtl/>
        </w:rPr>
        <w:t xml:space="preserve"> </w:t>
      </w:r>
      <w:r w:rsidRPr="008C5A14">
        <w:rPr>
          <w:rFonts w:ascii="mylotus" w:hAnsi="mylotus"/>
          <w:sz w:val="34"/>
          <w:szCs w:val="34"/>
          <w:rtl/>
        </w:rPr>
        <w:t>ينافي ذلك، فإن</w:t>
      </w:r>
      <w:r>
        <w:rPr>
          <w:rFonts w:ascii="mylotus" w:hAnsi="mylotus" w:hint="cs"/>
          <w:sz w:val="34"/>
          <w:szCs w:val="34"/>
          <w:rtl/>
        </w:rPr>
        <w:t>ّ</w:t>
      </w:r>
      <w:r w:rsidRPr="008C5A14">
        <w:rPr>
          <w:rFonts w:ascii="mylotus" w:hAnsi="mylotus"/>
          <w:sz w:val="34"/>
          <w:szCs w:val="34"/>
          <w:rtl/>
        </w:rPr>
        <w:t xml:space="preserve"> إمضاء النظر العرفي في مقام التطبيق بمثابة متمم الجعل التطبيقي المتعارف في القوانين الوضعية، وبذلك يمكنُ إثبات الحقوق الاعتبارية المستجدة التي يُطْبِقُ العقلاء على الإقرار بها بمقتضى الإطلاق المقامي لقاعدة "لا ضرر"، دون الحقوق التي تختلف باختلاف المجتمعات والأعراف والقوانين.</w:t>
      </w:r>
    </w:p>
    <w:p w14:paraId="1ABA1E2B" w14:textId="77777777" w:rsidR="009E3B18" w:rsidRPr="00D75DED" w:rsidRDefault="009E3B18" w:rsidP="009E3B18">
      <w:pPr>
        <w:pStyle w:val="a"/>
        <w:bidi/>
        <w:spacing w:line="216" w:lineRule="auto"/>
        <w:ind w:firstLine="0"/>
        <w:rPr>
          <w:rFonts w:ascii="mylotus" w:hAnsi="mylotus"/>
          <w:sz w:val="34"/>
          <w:szCs w:val="34"/>
          <w:rtl/>
        </w:rPr>
      </w:pPr>
    </w:p>
    <w:p w14:paraId="71241BE1" w14:textId="77777777" w:rsidR="009E3B18" w:rsidRPr="005E03C1" w:rsidRDefault="009E3B18" w:rsidP="009E3B18">
      <w:pPr>
        <w:pStyle w:val="a"/>
        <w:bidi/>
        <w:spacing w:line="216" w:lineRule="auto"/>
        <w:jc w:val="center"/>
        <w:rPr>
          <w:rFonts w:ascii="mylotus" w:hAnsi="mylotus"/>
          <w:b/>
          <w:bCs/>
          <w:sz w:val="34"/>
          <w:szCs w:val="34"/>
        </w:rPr>
      </w:pPr>
      <w:r w:rsidRPr="005E03C1">
        <w:rPr>
          <w:rFonts w:ascii="mylotus" w:hAnsi="mylotus"/>
          <w:b/>
          <w:bCs/>
          <w:sz w:val="34"/>
          <w:szCs w:val="34"/>
          <w:rtl/>
        </w:rPr>
        <w:t>والحمد لله رب العالمين</w:t>
      </w:r>
    </w:p>
    <w:p w14:paraId="4D379FA3" w14:textId="77777777" w:rsidR="009E3B18" w:rsidRDefault="009E3B18" w:rsidP="009E3B18">
      <w:pPr>
        <w:bidi/>
        <w:rPr>
          <w:sz w:val="32"/>
          <w:szCs w:val="32"/>
        </w:rPr>
      </w:pPr>
    </w:p>
    <w:p w14:paraId="22583D2E" w14:textId="78B08F84" w:rsidR="006B6CEE" w:rsidRDefault="006B6CEE" w:rsidP="006B6CEE">
      <w:pPr>
        <w:pStyle w:val="Heading3"/>
        <w:bidi/>
        <w:rPr>
          <w:sz w:val="32"/>
          <w:szCs w:val="32"/>
        </w:rPr>
      </w:pPr>
      <w:r>
        <w:rPr>
          <w:sz w:val="32"/>
          <w:szCs w:val="32"/>
        </w:rPr>
        <w:t>326</w:t>
      </w:r>
    </w:p>
    <w:p w14:paraId="1D1EAA7A" w14:textId="77777777" w:rsidR="006B6CEE" w:rsidRPr="00D22D23" w:rsidRDefault="006B6CEE" w:rsidP="006B6CEE">
      <w:pPr>
        <w:bidi/>
        <w:rPr>
          <w:sz w:val="32"/>
          <w:szCs w:val="32"/>
        </w:rPr>
      </w:pPr>
    </w:p>
    <w:p w14:paraId="253BB5EB" w14:textId="77777777" w:rsidR="00D22D23" w:rsidRPr="005E03C1" w:rsidRDefault="00D22D23" w:rsidP="00D22D23">
      <w:pPr>
        <w:pStyle w:val="a"/>
        <w:bidi/>
        <w:spacing w:line="216" w:lineRule="auto"/>
        <w:jc w:val="center"/>
        <w:rPr>
          <w:rFonts w:ascii="mylotus" w:hAnsi="mylotus"/>
          <w:b/>
          <w:bCs/>
          <w:sz w:val="34"/>
          <w:szCs w:val="34"/>
          <w:rtl/>
        </w:rPr>
      </w:pPr>
      <w:r w:rsidRPr="005E03C1">
        <w:rPr>
          <w:rFonts w:ascii="mylotus" w:hAnsi="mylotus"/>
          <w:b/>
          <w:bCs/>
          <w:sz w:val="34"/>
          <w:szCs w:val="34"/>
          <w:rtl/>
        </w:rPr>
        <w:t>بسم الله الرحمن الرحيم</w:t>
      </w:r>
    </w:p>
    <w:p w14:paraId="7EBEC41F" w14:textId="77777777" w:rsidR="00D22D23" w:rsidRPr="005E03C1" w:rsidRDefault="00D22D23" w:rsidP="00D22D23">
      <w:pPr>
        <w:pStyle w:val="a"/>
        <w:bidi/>
        <w:spacing w:line="216" w:lineRule="auto"/>
        <w:jc w:val="center"/>
        <w:rPr>
          <w:rFonts w:ascii="mylotus" w:hAnsi="mylotus"/>
          <w:b/>
          <w:bCs/>
          <w:sz w:val="34"/>
          <w:szCs w:val="34"/>
          <w:rtl/>
        </w:rPr>
      </w:pPr>
      <w:r w:rsidRPr="005E03C1">
        <w:rPr>
          <w:rFonts w:ascii="mylotus" w:hAnsi="mylotus"/>
          <w:b/>
          <w:bCs/>
          <w:sz w:val="34"/>
          <w:szCs w:val="34"/>
          <w:rtl/>
        </w:rPr>
        <w:t>والصلاة والسلام على أشرف الأنبياء والمرسلين، محمد وآله الطيبين الطاهرين</w:t>
      </w:r>
    </w:p>
    <w:p w14:paraId="7776CB99" w14:textId="77777777" w:rsidR="00D22D23" w:rsidRDefault="00D22D23" w:rsidP="00D22D23">
      <w:pPr>
        <w:pStyle w:val="a"/>
        <w:bidi/>
        <w:spacing w:line="216" w:lineRule="auto"/>
        <w:jc w:val="center"/>
        <w:rPr>
          <w:rFonts w:ascii="mylotus" w:hAnsi="mylotus"/>
          <w:sz w:val="34"/>
          <w:szCs w:val="34"/>
          <w:rtl/>
        </w:rPr>
      </w:pPr>
      <w:r w:rsidRPr="005E03C1">
        <w:rPr>
          <w:rFonts w:ascii="mylotus" w:hAnsi="mylotus"/>
          <w:b/>
          <w:bCs/>
          <w:sz w:val="34"/>
          <w:szCs w:val="34"/>
          <w:rtl/>
        </w:rPr>
        <w:t>واللعن الدائم على أعدائهم أجمعين إلى قيام يوم الدين</w:t>
      </w:r>
    </w:p>
    <w:p w14:paraId="236DB3FB" w14:textId="77777777" w:rsidR="00D22D23" w:rsidRPr="00E262BE" w:rsidRDefault="00D22D23" w:rsidP="00D22D23">
      <w:pPr>
        <w:pStyle w:val="a"/>
        <w:bidi/>
        <w:spacing w:line="216" w:lineRule="auto"/>
        <w:rPr>
          <w:rFonts w:ascii="mylotus" w:hAnsi="mylotus"/>
          <w:sz w:val="34"/>
          <w:szCs w:val="34"/>
          <w:rtl/>
        </w:rPr>
      </w:pPr>
    </w:p>
    <w:p w14:paraId="429E605A" w14:textId="77777777" w:rsidR="00D22D23" w:rsidRPr="006B4158" w:rsidRDefault="00D22D23" w:rsidP="00D22D23">
      <w:pPr>
        <w:pStyle w:val="a"/>
        <w:bidi/>
        <w:spacing w:line="216" w:lineRule="auto"/>
        <w:rPr>
          <w:rFonts w:ascii="mylotus" w:hAnsi="mylotus"/>
          <w:b/>
          <w:bCs/>
          <w:sz w:val="34"/>
          <w:szCs w:val="34"/>
          <w:rtl/>
        </w:rPr>
      </w:pPr>
      <w:r w:rsidRPr="006B4158">
        <w:rPr>
          <w:rFonts w:ascii="mylotus" w:hAnsi="mylotus"/>
          <w:b/>
          <w:bCs/>
          <w:sz w:val="34"/>
          <w:szCs w:val="34"/>
          <w:rtl/>
        </w:rPr>
        <w:t>وملخصُ ما مضى</w:t>
      </w:r>
      <w:r w:rsidRPr="006B4158">
        <w:rPr>
          <w:rFonts w:ascii="mylotus" w:hAnsi="mylotus"/>
          <w:b/>
          <w:bCs/>
          <w:sz w:val="34"/>
          <w:szCs w:val="34"/>
        </w:rPr>
        <w:t>:</w:t>
      </w:r>
    </w:p>
    <w:p w14:paraId="50E33110"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sz w:val="34"/>
          <w:szCs w:val="34"/>
          <w:rtl/>
        </w:rPr>
        <w:t>تمامية دلالة الطريق الأوّل لإثبات حقّ البراءة وضمان منافع الحرّ الكسوب عند حبسه، وهو عبارةٌ عن التمسك بالدليل النقلي لإثبات الضمان</w:t>
      </w:r>
      <w:r w:rsidRPr="006B4158">
        <w:rPr>
          <w:rFonts w:ascii="mylotus" w:hAnsi="mylotus"/>
          <w:sz w:val="34"/>
          <w:szCs w:val="34"/>
        </w:rPr>
        <w:t>.</w:t>
      </w:r>
    </w:p>
    <w:p w14:paraId="36DE20E2" w14:textId="77777777" w:rsidR="00D22D23" w:rsidRPr="006B4158" w:rsidRDefault="00D22D23" w:rsidP="00D22D23">
      <w:pPr>
        <w:pStyle w:val="a"/>
        <w:bidi/>
        <w:spacing w:line="216" w:lineRule="auto"/>
        <w:rPr>
          <w:rFonts w:ascii="mylotus" w:hAnsi="mylotus"/>
          <w:b/>
          <w:bCs/>
          <w:sz w:val="34"/>
          <w:szCs w:val="34"/>
          <w:rtl/>
        </w:rPr>
      </w:pPr>
      <w:r w:rsidRPr="006B4158">
        <w:rPr>
          <w:rFonts w:ascii="mylotus" w:hAnsi="mylotus"/>
          <w:b/>
          <w:bCs/>
          <w:sz w:val="34"/>
          <w:szCs w:val="34"/>
          <w:rtl/>
        </w:rPr>
        <w:t>والدليلُ النقلي في المقام أحد ثلاثة</w:t>
      </w:r>
      <w:r w:rsidRPr="006B4158">
        <w:rPr>
          <w:rFonts w:ascii="mylotus" w:hAnsi="mylotus"/>
          <w:b/>
          <w:bCs/>
          <w:sz w:val="34"/>
          <w:szCs w:val="34"/>
        </w:rPr>
        <w:t>:</w:t>
      </w:r>
    </w:p>
    <w:p w14:paraId="02A0516D"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b/>
          <w:bCs/>
          <w:sz w:val="34"/>
          <w:szCs w:val="34"/>
          <w:rtl/>
        </w:rPr>
        <w:t>الأوّل:</w:t>
      </w:r>
      <w:r w:rsidRPr="006B4158">
        <w:rPr>
          <w:rFonts w:ascii="mylotus" w:hAnsi="mylotus"/>
          <w:sz w:val="34"/>
          <w:szCs w:val="34"/>
          <w:rtl/>
        </w:rPr>
        <w:t xml:space="preserve"> فقرة "لا ضرر</w:t>
      </w:r>
      <w:r>
        <w:rPr>
          <w:rFonts w:ascii="mylotus" w:hAnsi="mylotus" w:cs="Cambria" w:hint="cs"/>
          <w:sz w:val="34"/>
          <w:szCs w:val="34"/>
          <w:rtl/>
        </w:rPr>
        <w:t>"</w:t>
      </w:r>
      <w:r>
        <w:rPr>
          <w:rFonts w:ascii="mylotus" w:hAnsi="mylotus" w:hint="cs"/>
          <w:sz w:val="34"/>
          <w:szCs w:val="34"/>
          <w:rtl/>
        </w:rPr>
        <w:t>.</w:t>
      </w:r>
    </w:p>
    <w:p w14:paraId="5B607579"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b/>
          <w:bCs/>
          <w:sz w:val="34"/>
          <w:szCs w:val="34"/>
          <w:rtl/>
        </w:rPr>
        <w:t>والثاني:</w:t>
      </w:r>
      <w:r w:rsidRPr="006B4158">
        <w:rPr>
          <w:rFonts w:ascii="mylotus" w:hAnsi="mylotus"/>
          <w:sz w:val="34"/>
          <w:szCs w:val="34"/>
          <w:rtl/>
        </w:rPr>
        <w:t xml:space="preserve"> فقرة "لا ضرا</w:t>
      </w:r>
      <w:r>
        <w:rPr>
          <w:rFonts w:ascii="mylotus" w:hAnsi="mylotus" w:hint="cs"/>
          <w:sz w:val="34"/>
          <w:szCs w:val="34"/>
          <w:rtl/>
        </w:rPr>
        <w:t>ر</w:t>
      </w:r>
      <w:r>
        <w:rPr>
          <w:rFonts w:ascii="mylotus" w:hAnsi="mylotus" w:cs="Cambria" w:hint="cs"/>
          <w:sz w:val="34"/>
          <w:szCs w:val="34"/>
          <w:rtl/>
        </w:rPr>
        <w:t>"</w:t>
      </w:r>
      <w:r>
        <w:rPr>
          <w:rFonts w:ascii="mylotus" w:hAnsi="mylotus" w:hint="cs"/>
          <w:sz w:val="34"/>
          <w:szCs w:val="34"/>
          <w:rtl/>
        </w:rPr>
        <w:t>.</w:t>
      </w:r>
    </w:p>
    <w:p w14:paraId="1E87899D"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b/>
          <w:bCs/>
          <w:sz w:val="34"/>
          <w:szCs w:val="34"/>
          <w:rtl/>
        </w:rPr>
        <w:t>والثالث:</w:t>
      </w:r>
      <w:r w:rsidRPr="006B4158">
        <w:rPr>
          <w:rFonts w:ascii="mylotus" w:hAnsi="mylotus"/>
          <w:sz w:val="34"/>
          <w:szCs w:val="34"/>
          <w:rtl/>
        </w:rPr>
        <w:t xml:space="preserve"> دليل حرمة الظلم</w:t>
      </w:r>
      <w:r w:rsidRPr="006B4158">
        <w:rPr>
          <w:rFonts w:ascii="mylotus" w:hAnsi="mylotus"/>
          <w:sz w:val="34"/>
          <w:szCs w:val="34"/>
        </w:rPr>
        <w:t>.</w:t>
      </w:r>
    </w:p>
    <w:p w14:paraId="50B710AB" w14:textId="60524863" w:rsidR="00D22D23" w:rsidRPr="006B4158" w:rsidRDefault="00D22D23" w:rsidP="00D22D23">
      <w:pPr>
        <w:pStyle w:val="a"/>
        <w:bidi/>
        <w:spacing w:line="216" w:lineRule="auto"/>
        <w:rPr>
          <w:rFonts w:ascii="mylotus" w:hAnsi="mylotus"/>
          <w:sz w:val="34"/>
          <w:szCs w:val="34"/>
          <w:rtl/>
        </w:rPr>
      </w:pPr>
      <w:r w:rsidRPr="006B4158">
        <w:rPr>
          <w:rFonts w:ascii="mylotus" w:hAnsi="mylotus"/>
          <w:sz w:val="34"/>
          <w:szCs w:val="34"/>
          <w:rtl/>
        </w:rPr>
        <w:t>وقد مضى عند البحث في فقرة: "لا ضرر": أن</w:t>
      </w:r>
      <w:r>
        <w:rPr>
          <w:rFonts w:ascii="mylotus" w:hAnsi="mylotus" w:hint="cs"/>
          <w:sz w:val="34"/>
          <w:szCs w:val="34"/>
          <w:rtl/>
        </w:rPr>
        <w:t>ّ</w:t>
      </w:r>
      <w:r w:rsidRPr="006B4158">
        <w:rPr>
          <w:rFonts w:ascii="mylotus" w:hAnsi="mylotus"/>
          <w:sz w:val="34"/>
          <w:szCs w:val="34"/>
          <w:rtl/>
        </w:rPr>
        <w:t xml:space="preserve"> الصحيح شمول "لا ضرر" للأضرار الاعتبارية العرفية ولو كان ضرراً مستجداً؛ لنكتةٍ كبروية وهي: أنّ مقتضى الإطلاق المقامي في </w:t>
      </w:r>
      <w:r w:rsidRPr="008B4725">
        <w:rPr>
          <w:rFonts w:ascii="mylotus" w:hAnsi="mylotus"/>
          <w:color w:val="EE0000"/>
          <w:sz w:val="34"/>
          <w:szCs w:val="34"/>
          <w:rtl/>
        </w:rPr>
        <w:t xml:space="preserve">كُلّ دليلٍ شمولُ عنوان موضوعه للمصاديق الاعتبارية </w:t>
      </w:r>
      <w:r w:rsidRPr="006B4158">
        <w:rPr>
          <w:rFonts w:ascii="mylotus" w:hAnsi="mylotus"/>
          <w:sz w:val="34"/>
          <w:szCs w:val="34"/>
          <w:rtl/>
        </w:rPr>
        <w:t>إذا كان إطلاق العنوان فيها</w:t>
      </w:r>
      <w:r w:rsidR="008B4725">
        <w:rPr>
          <w:rFonts w:ascii="mylotus" w:hAnsi="mylotus" w:hint="cs"/>
          <w:sz w:val="34"/>
          <w:szCs w:val="34"/>
          <w:rtl/>
        </w:rPr>
        <w:t xml:space="preserve"> </w:t>
      </w:r>
      <w:r w:rsidRPr="006B4158">
        <w:rPr>
          <w:rFonts w:ascii="mylotus" w:hAnsi="mylotus"/>
          <w:sz w:val="34"/>
          <w:szCs w:val="34"/>
          <w:rtl/>
        </w:rPr>
        <w:t>على المصداق إطلاقاً حقيقياً بالنظر العرفي، وإنْ كان الصدق الحقيقي في طول الاعتبار</w:t>
      </w:r>
      <w:r w:rsidRPr="006B4158">
        <w:rPr>
          <w:rFonts w:ascii="mylotus" w:hAnsi="mylotus"/>
          <w:sz w:val="34"/>
          <w:szCs w:val="34"/>
        </w:rPr>
        <w:t>.</w:t>
      </w:r>
    </w:p>
    <w:p w14:paraId="1A0758A6"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b/>
          <w:bCs/>
          <w:sz w:val="34"/>
          <w:szCs w:val="34"/>
          <w:rtl/>
        </w:rPr>
        <w:t xml:space="preserve">بمعنى: </w:t>
      </w:r>
      <w:r w:rsidRPr="006B4158">
        <w:rPr>
          <w:rFonts w:ascii="mylotus" w:hAnsi="mylotus"/>
          <w:sz w:val="34"/>
          <w:szCs w:val="34"/>
          <w:rtl/>
        </w:rPr>
        <w:t xml:space="preserve">أنّ هناك مرحلتين: </w:t>
      </w:r>
      <w:r w:rsidRPr="006B4158">
        <w:rPr>
          <w:rFonts w:ascii="mylotus" w:hAnsi="mylotus"/>
          <w:b/>
          <w:bCs/>
          <w:sz w:val="34"/>
          <w:szCs w:val="34"/>
          <w:rtl/>
        </w:rPr>
        <w:t xml:space="preserve">الأُولى: </w:t>
      </w:r>
      <w:r w:rsidRPr="006B4158">
        <w:rPr>
          <w:rFonts w:ascii="mylotus" w:hAnsi="mylotus"/>
          <w:sz w:val="34"/>
          <w:szCs w:val="34"/>
          <w:rtl/>
        </w:rPr>
        <w:t>أنْ يصدر مِن العقلاء اعتبارٌ لحقّ معين، كأنْْ يصدر مِن العقلاء أنّ للحر</w:t>
      </w:r>
      <w:r>
        <w:rPr>
          <w:rFonts w:ascii="mylotus" w:hAnsi="mylotus" w:hint="cs"/>
          <w:sz w:val="34"/>
          <w:szCs w:val="34"/>
          <w:rtl/>
        </w:rPr>
        <w:t>ّ</w:t>
      </w:r>
      <w:r w:rsidRPr="006B4158">
        <w:rPr>
          <w:rFonts w:ascii="mylotus" w:hAnsi="mylotus"/>
          <w:sz w:val="34"/>
          <w:szCs w:val="34"/>
          <w:rtl/>
        </w:rPr>
        <w:t xml:space="preserve"> القادر على العمل حقّاً في فرصة العمل، فيترتب عليه أنّ حبسه تفويتُ حقٍّ فهو ضررٌ عليه</w:t>
      </w:r>
      <w:r>
        <w:rPr>
          <w:rFonts w:ascii="mylotus" w:hAnsi="mylotus" w:hint="cs"/>
          <w:sz w:val="34"/>
          <w:szCs w:val="34"/>
          <w:rtl/>
        </w:rPr>
        <w:t xml:space="preserve">. </w:t>
      </w:r>
      <w:r w:rsidRPr="006B4158">
        <w:rPr>
          <w:rFonts w:ascii="mylotus" w:hAnsi="mylotus"/>
          <w:b/>
          <w:bCs/>
          <w:sz w:val="34"/>
          <w:szCs w:val="34"/>
          <w:rtl/>
        </w:rPr>
        <w:t>الثانية:</w:t>
      </w:r>
      <w:r w:rsidRPr="006B4158">
        <w:rPr>
          <w:rFonts w:ascii="mylotus" w:hAnsi="mylotus"/>
          <w:sz w:val="34"/>
          <w:szCs w:val="34"/>
          <w:rtl/>
        </w:rPr>
        <w:t xml:space="preserve"> أن</w:t>
      </w:r>
      <w:r>
        <w:rPr>
          <w:rFonts w:ascii="mylotus" w:hAnsi="mylotus" w:hint="cs"/>
          <w:sz w:val="34"/>
          <w:szCs w:val="34"/>
          <w:rtl/>
        </w:rPr>
        <w:t>ّ</w:t>
      </w:r>
      <w:r w:rsidRPr="006B4158">
        <w:rPr>
          <w:rFonts w:ascii="mylotus" w:hAnsi="mylotus"/>
          <w:sz w:val="34"/>
          <w:szCs w:val="34"/>
          <w:rtl/>
        </w:rPr>
        <w:t xml:space="preserve"> في طول الاعتبار العقلائي يكون المنصرف عرفا</w:t>
      </w:r>
      <w:r>
        <w:rPr>
          <w:rFonts w:ascii="mylotus" w:hAnsi="mylotus" w:hint="cs"/>
          <w:sz w:val="34"/>
          <w:szCs w:val="34"/>
          <w:rtl/>
        </w:rPr>
        <w:t>ً</w:t>
      </w:r>
      <w:r w:rsidRPr="006B4158">
        <w:rPr>
          <w:rFonts w:ascii="mylotus" w:hAnsi="mylotus"/>
          <w:sz w:val="34"/>
          <w:szCs w:val="34"/>
          <w:rtl/>
        </w:rPr>
        <w:t xml:space="preserve"> م</w:t>
      </w:r>
      <w:r>
        <w:rPr>
          <w:rFonts w:ascii="mylotus" w:hAnsi="mylotus" w:hint="cs"/>
          <w:sz w:val="34"/>
          <w:szCs w:val="34"/>
          <w:rtl/>
        </w:rPr>
        <w:t>ِ</w:t>
      </w:r>
      <w:r w:rsidRPr="006B4158">
        <w:rPr>
          <w:rFonts w:ascii="mylotus" w:hAnsi="mylotus"/>
          <w:sz w:val="34"/>
          <w:szCs w:val="34"/>
          <w:rtl/>
        </w:rPr>
        <w:t>ن العنوان كعنوان "الضرر" انطباقه على الضرر الاعتباري انطباقاً حقيقياً، لا تسامحياً</w:t>
      </w:r>
      <w:r w:rsidRPr="006B4158">
        <w:rPr>
          <w:rFonts w:ascii="mylotus" w:hAnsi="mylotus"/>
          <w:sz w:val="34"/>
          <w:szCs w:val="34"/>
        </w:rPr>
        <w:t>.</w:t>
      </w:r>
    </w:p>
    <w:p w14:paraId="26E09AB1"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b/>
          <w:bCs/>
          <w:sz w:val="34"/>
          <w:szCs w:val="34"/>
          <w:rtl/>
        </w:rPr>
        <w:lastRenderedPageBreak/>
        <w:t>ومنشأُ ال</w:t>
      </w:r>
      <w:r>
        <w:rPr>
          <w:rFonts w:ascii="mylotus" w:hAnsi="mylotus" w:hint="cs"/>
          <w:b/>
          <w:bCs/>
          <w:sz w:val="34"/>
          <w:szCs w:val="34"/>
          <w:rtl/>
        </w:rPr>
        <w:t>ا</w:t>
      </w:r>
      <w:r w:rsidRPr="006B4158">
        <w:rPr>
          <w:rFonts w:ascii="mylotus" w:hAnsi="mylotus"/>
          <w:b/>
          <w:bCs/>
          <w:sz w:val="34"/>
          <w:szCs w:val="34"/>
          <w:rtl/>
        </w:rPr>
        <w:t>عتبار العقلائي أحد أمورٍ:</w:t>
      </w:r>
      <w:r w:rsidRPr="006B4158">
        <w:rPr>
          <w:rFonts w:ascii="mylotus" w:hAnsi="mylotus"/>
          <w:sz w:val="34"/>
          <w:szCs w:val="34"/>
          <w:rtl/>
        </w:rPr>
        <w:t xml:space="preserve"> إمّا الاستهلاك، أو</w:t>
      </w:r>
      <w:r>
        <w:rPr>
          <w:rFonts w:ascii="mylotus" w:hAnsi="mylotus" w:hint="cs"/>
          <w:sz w:val="34"/>
          <w:szCs w:val="34"/>
          <w:rtl/>
        </w:rPr>
        <w:t xml:space="preserve"> </w:t>
      </w:r>
      <w:r w:rsidRPr="006B4158">
        <w:rPr>
          <w:rFonts w:ascii="mylotus" w:hAnsi="mylotus"/>
          <w:sz w:val="34"/>
          <w:szCs w:val="34"/>
          <w:rtl/>
        </w:rPr>
        <w:t>تعارف الوجود، أو ضآلة الفارق</w:t>
      </w:r>
      <w:r w:rsidRPr="006B4158">
        <w:rPr>
          <w:rFonts w:ascii="mylotus" w:hAnsi="mylotus"/>
          <w:sz w:val="34"/>
          <w:szCs w:val="34"/>
        </w:rPr>
        <w:t>.</w:t>
      </w:r>
    </w:p>
    <w:p w14:paraId="119B4F98"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b/>
          <w:bCs/>
          <w:sz w:val="34"/>
          <w:szCs w:val="34"/>
          <w:rtl/>
        </w:rPr>
        <w:t>ومثال</w:t>
      </w:r>
      <w:r w:rsidRPr="006B4158">
        <w:rPr>
          <w:rFonts w:ascii="mylotus" w:hAnsi="mylotus" w:hint="cs"/>
          <w:b/>
          <w:bCs/>
          <w:sz w:val="34"/>
          <w:szCs w:val="34"/>
          <w:rtl/>
        </w:rPr>
        <w:t>ُ</w:t>
      </w:r>
      <w:r w:rsidRPr="006B4158">
        <w:rPr>
          <w:rFonts w:ascii="mylotus" w:hAnsi="mylotus"/>
          <w:b/>
          <w:bCs/>
          <w:sz w:val="34"/>
          <w:szCs w:val="34"/>
          <w:rtl/>
        </w:rPr>
        <w:t xml:space="preserve"> الأو</w:t>
      </w:r>
      <w:r w:rsidRPr="006B4158">
        <w:rPr>
          <w:rFonts w:ascii="mylotus" w:hAnsi="mylotus" w:hint="cs"/>
          <w:b/>
          <w:bCs/>
          <w:sz w:val="34"/>
          <w:szCs w:val="34"/>
          <w:rtl/>
        </w:rPr>
        <w:t>ّ</w:t>
      </w:r>
      <w:r w:rsidRPr="006B4158">
        <w:rPr>
          <w:rFonts w:ascii="mylotus" w:hAnsi="mylotus"/>
          <w:b/>
          <w:bCs/>
          <w:sz w:val="34"/>
          <w:szCs w:val="34"/>
          <w:rtl/>
        </w:rPr>
        <w:t>ل:</w:t>
      </w:r>
      <w:r w:rsidRPr="006B4158">
        <w:rPr>
          <w:rFonts w:ascii="mylotus" w:hAnsi="mylotus"/>
          <w:sz w:val="34"/>
          <w:szCs w:val="34"/>
          <w:rtl/>
        </w:rPr>
        <w:t xml:space="preserve"> ما</w:t>
      </w:r>
      <w:r>
        <w:rPr>
          <w:rFonts w:ascii="mylotus" w:hAnsi="mylotus" w:hint="cs"/>
          <w:sz w:val="34"/>
          <w:szCs w:val="34"/>
          <w:rtl/>
        </w:rPr>
        <w:t xml:space="preserve"> </w:t>
      </w:r>
      <w:r w:rsidRPr="006B4158">
        <w:rPr>
          <w:rFonts w:ascii="mylotus" w:hAnsi="mylotus"/>
          <w:sz w:val="34"/>
          <w:szCs w:val="34"/>
          <w:rtl/>
        </w:rPr>
        <w:t>لو دفع المكلف في يوم عيد الفطر زكاة الفطرة صاعاً مِن الدهن الحيواني -باعتبار أنّ الدهن الحيواني مِن القوت- وكان الصاع مِن الدهن الحيواني مشتملاً على غرامٍ مِن الدهن النباتي، فلا إشكال في انطباق الصاعٍ مِن الدهن الحيواني على الصاع الممتزج انطباقاً حقيقياً بنظر العرف؛ لاستهلاكه في</w:t>
      </w:r>
      <w:r>
        <w:rPr>
          <w:rFonts w:ascii="mylotus" w:hAnsi="mylotus" w:hint="cs"/>
          <w:sz w:val="34"/>
          <w:szCs w:val="34"/>
          <w:rtl/>
        </w:rPr>
        <w:t>ه.</w:t>
      </w:r>
    </w:p>
    <w:p w14:paraId="0E494527"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b/>
          <w:bCs/>
          <w:sz w:val="34"/>
          <w:szCs w:val="34"/>
          <w:rtl/>
        </w:rPr>
        <w:t>ومثال</w:t>
      </w:r>
      <w:r w:rsidRPr="006B4158">
        <w:rPr>
          <w:rFonts w:ascii="mylotus" w:hAnsi="mylotus" w:hint="cs"/>
          <w:b/>
          <w:bCs/>
          <w:sz w:val="34"/>
          <w:szCs w:val="34"/>
          <w:rtl/>
        </w:rPr>
        <w:t>ُ</w:t>
      </w:r>
      <w:r w:rsidRPr="006B4158">
        <w:rPr>
          <w:rFonts w:ascii="mylotus" w:hAnsi="mylotus"/>
          <w:b/>
          <w:bCs/>
          <w:sz w:val="34"/>
          <w:szCs w:val="34"/>
          <w:rtl/>
        </w:rPr>
        <w:t xml:space="preserve"> الثاني:</w:t>
      </w:r>
      <w:r w:rsidRPr="006B4158">
        <w:rPr>
          <w:rFonts w:ascii="mylotus" w:hAnsi="mylotus"/>
          <w:sz w:val="34"/>
          <w:szCs w:val="34"/>
          <w:rtl/>
        </w:rPr>
        <w:t xml:space="preserve"> أن</w:t>
      </w:r>
      <w:r>
        <w:rPr>
          <w:rFonts w:ascii="mylotus" w:hAnsi="mylotus" w:hint="cs"/>
          <w:sz w:val="34"/>
          <w:szCs w:val="34"/>
          <w:rtl/>
        </w:rPr>
        <w:t>ّ</w:t>
      </w:r>
      <w:r w:rsidRPr="006B4158">
        <w:rPr>
          <w:rFonts w:ascii="mylotus" w:hAnsi="mylotus"/>
          <w:sz w:val="34"/>
          <w:szCs w:val="34"/>
          <w:rtl/>
        </w:rPr>
        <w:t xml:space="preserve"> المتعارف في الأزمنة السابقة اختلاط الحنطة والأرز بشيءٍ م</w:t>
      </w:r>
      <w:r>
        <w:rPr>
          <w:rFonts w:ascii="mylotus" w:hAnsi="mylotus" w:hint="cs"/>
          <w:sz w:val="34"/>
          <w:szCs w:val="34"/>
          <w:rtl/>
        </w:rPr>
        <w:t>ِ</w:t>
      </w:r>
      <w:r w:rsidRPr="006B4158">
        <w:rPr>
          <w:rFonts w:ascii="mylotus" w:hAnsi="mylotus"/>
          <w:sz w:val="34"/>
          <w:szCs w:val="34"/>
          <w:rtl/>
        </w:rPr>
        <w:t>ن التبن أو</w:t>
      </w:r>
      <w:r>
        <w:rPr>
          <w:rFonts w:ascii="mylotus" w:hAnsi="mylotus" w:hint="cs"/>
          <w:sz w:val="34"/>
          <w:szCs w:val="34"/>
          <w:rtl/>
        </w:rPr>
        <w:t xml:space="preserve"> </w:t>
      </w:r>
      <w:r w:rsidRPr="006B4158">
        <w:rPr>
          <w:rFonts w:ascii="mylotus" w:hAnsi="mylotus"/>
          <w:sz w:val="34"/>
          <w:szCs w:val="34"/>
          <w:rtl/>
        </w:rPr>
        <w:t>التراب، وبالتالي لو دفع المكلفُ في يوم عيد الفطر صاعاً مِن الحنطة الممتزجة بشيءٍ قليلٍ مِن التراب أو التبن لَمْ يكن ذاك ضائراً بصدق صاعٍ مِن الحنطة على ما دفعه صدقاً حقيقياً -لا تجوزياً-، ومنشأُ الصدق هو تعارفُ الوجود</w:t>
      </w:r>
      <w:r w:rsidRPr="006B4158">
        <w:rPr>
          <w:rFonts w:ascii="mylotus" w:hAnsi="mylotus"/>
          <w:sz w:val="34"/>
          <w:szCs w:val="34"/>
        </w:rPr>
        <w:t>.</w:t>
      </w:r>
    </w:p>
    <w:p w14:paraId="2BEE8EDC" w14:textId="77777777" w:rsidR="00D22D23" w:rsidRDefault="00D22D23" w:rsidP="00D22D23">
      <w:pPr>
        <w:pStyle w:val="a"/>
        <w:bidi/>
        <w:spacing w:line="216" w:lineRule="auto"/>
        <w:rPr>
          <w:rFonts w:ascii="mylotus" w:hAnsi="mylotus"/>
          <w:sz w:val="34"/>
          <w:szCs w:val="34"/>
          <w:rtl/>
        </w:rPr>
      </w:pPr>
      <w:r w:rsidRPr="006B4158">
        <w:rPr>
          <w:rFonts w:ascii="mylotus" w:hAnsi="mylotus"/>
          <w:b/>
          <w:bCs/>
          <w:sz w:val="34"/>
          <w:szCs w:val="34"/>
          <w:rtl/>
        </w:rPr>
        <w:t>ومثال</w:t>
      </w:r>
      <w:r w:rsidRPr="006B4158">
        <w:rPr>
          <w:rFonts w:ascii="mylotus" w:hAnsi="mylotus" w:hint="cs"/>
          <w:b/>
          <w:bCs/>
          <w:sz w:val="34"/>
          <w:szCs w:val="34"/>
          <w:rtl/>
        </w:rPr>
        <w:t>ُ الثالث</w:t>
      </w:r>
      <w:r w:rsidRPr="006B4158">
        <w:rPr>
          <w:rFonts w:ascii="mylotus" w:hAnsi="mylotus"/>
          <w:b/>
          <w:bCs/>
          <w:sz w:val="34"/>
          <w:szCs w:val="34"/>
          <w:rtl/>
        </w:rPr>
        <w:t>:</w:t>
      </w:r>
      <w:r w:rsidRPr="006B4158">
        <w:rPr>
          <w:rFonts w:ascii="mylotus" w:hAnsi="mylotus"/>
          <w:sz w:val="34"/>
          <w:szCs w:val="34"/>
          <w:rtl/>
        </w:rPr>
        <w:t xml:space="preserve"> ما لو قطع المكلفُ ثمانية فراسخ إلّا إصبعاً، فإنّ العرف يرى أنّه قد قطع ثمانية فراسخ، ففي زمان النصّ عندما كان الناسُ يقطعون ثمانية فراسخ بالجمال، فإنّ الجمل لا يقف عادة على رأس الثمانية الفراسخ بشكل</w:t>
      </w:r>
      <w:r>
        <w:rPr>
          <w:rFonts w:ascii="mylotus" w:hAnsi="mylotus" w:hint="cs"/>
          <w:sz w:val="34"/>
          <w:szCs w:val="34"/>
          <w:rtl/>
        </w:rPr>
        <w:t>ٍ</w:t>
      </w:r>
      <w:r w:rsidRPr="006B4158">
        <w:rPr>
          <w:rFonts w:ascii="mylotus" w:hAnsi="mylotus"/>
          <w:sz w:val="34"/>
          <w:szCs w:val="34"/>
          <w:rtl/>
        </w:rPr>
        <w:t xml:space="preserve"> </w:t>
      </w:r>
      <w:proofErr w:type="gramStart"/>
      <w:r w:rsidRPr="006B4158">
        <w:rPr>
          <w:rFonts w:ascii="mylotus" w:hAnsi="mylotus"/>
          <w:sz w:val="34"/>
          <w:szCs w:val="34"/>
          <w:rtl/>
        </w:rPr>
        <w:t>دقيق</w:t>
      </w:r>
      <w:r>
        <w:rPr>
          <w:rFonts w:ascii="mylotus" w:hAnsi="mylotus" w:hint="cs"/>
          <w:sz w:val="34"/>
          <w:szCs w:val="34"/>
          <w:rtl/>
        </w:rPr>
        <w:t>ٍ</w:t>
      </w:r>
      <w:proofErr w:type="gramEnd"/>
      <w:r w:rsidRPr="006B4158">
        <w:rPr>
          <w:rFonts w:ascii="mylotus" w:hAnsi="mylotus"/>
          <w:sz w:val="34"/>
          <w:szCs w:val="34"/>
          <w:rtl/>
        </w:rPr>
        <w:t xml:space="preserve"> بل قد يتأخر قليلا</w:t>
      </w:r>
      <w:r>
        <w:rPr>
          <w:rFonts w:ascii="mylotus" w:hAnsi="mylotus" w:hint="cs"/>
          <w:sz w:val="34"/>
          <w:szCs w:val="34"/>
          <w:rtl/>
        </w:rPr>
        <w:t>ً</w:t>
      </w:r>
      <w:r w:rsidRPr="006B4158">
        <w:rPr>
          <w:rFonts w:ascii="mylotus" w:hAnsi="mylotus"/>
          <w:sz w:val="34"/>
          <w:szCs w:val="34"/>
          <w:rtl/>
        </w:rPr>
        <w:t>، لكن العرف لا</w:t>
      </w:r>
      <w:r>
        <w:rPr>
          <w:rFonts w:ascii="mylotus" w:hAnsi="mylotus" w:hint="cs"/>
          <w:sz w:val="34"/>
          <w:szCs w:val="34"/>
          <w:rtl/>
        </w:rPr>
        <w:t xml:space="preserve"> </w:t>
      </w:r>
      <w:r w:rsidRPr="006B4158">
        <w:rPr>
          <w:rFonts w:ascii="mylotus" w:hAnsi="mylotus"/>
          <w:sz w:val="34"/>
          <w:szCs w:val="34"/>
          <w:rtl/>
        </w:rPr>
        <w:t>يرى أنّ هذا المقدار مِن الفرق -وهو فرق إصبع- ضائر بالإطلاق الحقيقي</w:t>
      </w:r>
      <w:r w:rsidRPr="006B4158">
        <w:rPr>
          <w:rFonts w:ascii="mylotus" w:hAnsi="mylotus"/>
          <w:sz w:val="34"/>
          <w:szCs w:val="34"/>
        </w:rPr>
        <w:t>.</w:t>
      </w:r>
    </w:p>
    <w:p w14:paraId="79EB4F68"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sz w:val="34"/>
          <w:szCs w:val="34"/>
          <w:rtl/>
        </w:rPr>
        <w:t>أو مَن علم أنّ الكر 27 شبراً فقاس البئر بأشباره فرأى أنّ البئر 27 شبراً إلّا أنملة أو</w:t>
      </w:r>
      <w:r>
        <w:rPr>
          <w:rFonts w:ascii="mylotus" w:hAnsi="mylotus" w:hint="cs"/>
          <w:sz w:val="34"/>
          <w:szCs w:val="34"/>
          <w:rtl/>
        </w:rPr>
        <w:t xml:space="preserve"> </w:t>
      </w:r>
      <w:r w:rsidRPr="006B4158">
        <w:rPr>
          <w:rFonts w:ascii="mylotus" w:hAnsi="mylotus"/>
          <w:sz w:val="34"/>
          <w:szCs w:val="34"/>
          <w:rtl/>
        </w:rPr>
        <w:t xml:space="preserve">مقدار </w:t>
      </w:r>
      <w:proofErr w:type="spellStart"/>
      <w:r w:rsidRPr="006B4158">
        <w:rPr>
          <w:rFonts w:ascii="mylotus" w:hAnsi="mylotus"/>
          <w:sz w:val="34"/>
          <w:szCs w:val="34"/>
          <w:rtl/>
        </w:rPr>
        <w:t>الإظفر</w:t>
      </w:r>
      <w:proofErr w:type="spellEnd"/>
      <w:r w:rsidRPr="006B4158">
        <w:rPr>
          <w:rFonts w:ascii="mylotus" w:hAnsi="mylotus"/>
          <w:sz w:val="34"/>
          <w:szCs w:val="34"/>
          <w:rtl/>
        </w:rPr>
        <w:t>، فإن</w:t>
      </w:r>
      <w:r>
        <w:rPr>
          <w:rFonts w:ascii="mylotus" w:hAnsi="mylotus" w:hint="cs"/>
          <w:sz w:val="34"/>
          <w:szCs w:val="34"/>
          <w:rtl/>
        </w:rPr>
        <w:t>ّ</w:t>
      </w:r>
      <w:r w:rsidRPr="006B4158">
        <w:rPr>
          <w:rFonts w:ascii="mylotus" w:hAnsi="mylotus"/>
          <w:sz w:val="34"/>
          <w:szCs w:val="34"/>
          <w:rtl/>
        </w:rPr>
        <w:t>ه لا</w:t>
      </w:r>
      <w:r>
        <w:rPr>
          <w:rFonts w:ascii="mylotus" w:hAnsi="mylotus" w:hint="cs"/>
          <w:sz w:val="34"/>
          <w:szCs w:val="34"/>
          <w:rtl/>
        </w:rPr>
        <w:t xml:space="preserve"> </w:t>
      </w:r>
      <w:r w:rsidRPr="006B4158">
        <w:rPr>
          <w:rFonts w:ascii="mylotus" w:hAnsi="mylotus"/>
          <w:sz w:val="34"/>
          <w:szCs w:val="34"/>
          <w:rtl/>
        </w:rPr>
        <w:t>يرى أنّ الإطلاق إطلاقٌ مجازيٌ أبداً</w:t>
      </w:r>
      <w:r w:rsidRPr="006B4158">
        <w:rPr>
          <w:rFonts w:ascii="mylotus" w:hAnsi="mylotus"/>
          <w:sz w:val="34"/>
          <w:szCs w:val="34"/>
        </w:rPr>
        <w:t>.</w:t>
      </w:r>
    </w:p>
    <w:p w14:paraId="53523F8B"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sz w:val="34"/>
          <w:szCs w:val="34"/>
          <w:rtl/>
        </w:rPr>
        <w:t>فمتى كان العرف يطلق العنوان المأخوذ في الموضوع على المصداق الاعتباري أو التنزيلي إطلاقاً حقيقياً</w:t>
      </w:r>
      <w:r>
        <w:rPr>
          <w:rFonts w:ascii="mylotus" w:hAnsi="mylotus" w:hint="cs"/>
          <w:sz w:val="34"/>
          <w:szCs w:val="34"/>
          <w:rtl/>
        </w:rPr>
        <w:t xml:space="preserve"> </w:t>
      </w:r>
      <w:r w:rsidRPr="006B4158">
        <w:rPr>
          <w:rFonts w:ascii="mylotus" w:hAnsi="mylotus"/>
          <w:sz w:val="34"/>
          <w:szCs w:val="34"/>
          <w:rtl/>
        </w:rPr>
        <w:t>شمله الدليل بمقتضى الإطلاق المقام</w:t>
      </w:r>
      <w:r>
        <w:rPr>
          <w:rFonts w:ascii="mylotus" w:hAnsi="mylotus" w:hint="cs"/>
          <w:sz w:val="34"/>
          <w:szCs w:val="34"/>
          <w:rtl/>
        </w:rPr>
        <w:t>ي.</w:t>
      </w:r>
    </w:p>
    <w:p w14:paraId="155C8D97"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sz w:val="34"/>
          <w:szCs w:val="34"/>
          <w:rtl/>
        </w:rPr>
        <w:t>فهذا هو وجه التمسك بفقرة: "لا ضرر" لإثبات شمولها للأضرار الاعتبارية، ومنها: ضمانُ منافع الحرّ الكسوب أو حقّ البراءة</w:t>
      </w:r>
      <w:r w:rsidRPr="006B4158">
        <w:rPr>
          <w:rFonts w:ascii="mylotus" w:hAnsi="mylotus"/>
          <w:sz w:val="34"/>
          <w:szCs w:val="34"/>
        </w:rPr>
        <w:t>.</w:t>
      </w:r>
    </w:p>
    <w:p w14:paraId="1AB0A862"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sz w:val="34"/>
          <w:szCs w:val="34"/>
          <w:rtl/>
        </w:rPr>
        <w:t>لكن سيدنا الخوئي (قدس سره) في مصباح الأصول</w:t>
      </w:r>
      <w:r>
        <w:rPr>
          <w:rStyle w:val="FootnoteReference"/>
          <w:rFonts w:ascii="mylotus" w:hAnsi="mylotus"/>
          <w:sz w:val="34"/>
          <w:szCs w:val="34"/>
          <w:rtl/>
        </w:rPr>
        <w:footnoteReference w:id="229"/>
      </w:r>
      <w:r>
        <w:rPr>
          <w:rFonts w:ascii="mylotus" w:hAnsi="mylotus" w:hint="cs"/>
          <w:sz w:val="34"/>
          <w:szCs w:val="34"/>
          <w:rtl/>
        </w:rPr>
        <w:t xml:space="preserve"> </w:t>
      </w:r>
      <w:r w:rsidRPr="006B4158">
        <w:rPr>
          <w:rFonts w:ascii="mylotus" w:hAnsi="mylotus" w:hint="cs"/>
          <w:sz w:val="34"/>
          <w:szCs w:val="34"/>
          <w:rtl/>
        </w:rPr>
        <w:t>قد</w:t>
      </w:r>
      <w:r w:rsidRPr="006B4158">
        <w:rPr>
          <w:rFonts w:ascii="mylotus" w:hAnsi="mylotus"/>
          <w:sz w:val="34"/>
          <w:szCs w:val="34"/>
          <w:rtl/>
        </w:rPr>
        <w:t xml:space="preserve"> </w:t>
      </w:r>
      <w:r w:rsidRPr="006B4158">
        <w:rPr>
          <w:rFonts w:ascii="mylotus" w:hAnsi="mylotus" w:hint="cs"/>
          <w:sz w:val="34"/>
          <w:szCs w:val="34"/>
          <w:rtl/>
        </w:rPr>
        <w:t>أشكل</w:t>
      </w:r>
      <w:r w:rsidRPr="006B4158">
        <w:rPr>
          <w:rFonts w:ascii="mylotus" w:hAnsi="mylotus"/>
          <w:sz w:val="34"/>
          <w:szCs w:val="34"/>
          <w:rtl/>
        </w:rPr>
        <w:t xml:space="preserve"> </w:t>
      </w:r>
      <w:r w:rsidRPr="006B4158">
        <w:rPr>
          <w:rFonts w:ascii="mylotus" w:hAnsi="mylotus" w:hint="cs"/>
          <w:sz w:val="34"/>
          <w:szCs w:val="34"/>
          <w:rtl/>
        </w:rPr>
        <w:t>على</w:t>
      </w:r>
      <w:r w:rsidRPr="006B4158">
        <w:rPr>
          <w:rFonts w:ascii="mylotus" w:hAnsi="mylotus"/>
          <w:sz w:val="34"/>
          <w:szCs w:val="34"/>
          <w:rtl/>
        </w:rPr>
        <w:t xml:space="preserve"> </w:t>
      </w:r>
      <w:r w:rsidRPr="006B4158">
        <w:rPr>
          <w:rFonts w:ascii="mylotus" w:hAnsi="mylotus" w:hint="cs"/>
          <w:sz w:val="34"/>
          <w:szCs w:val="34"/>
          <w:rtl/>
        </w:rPr>
        <w:t>التمسك</w:t>
      </w:r>
      <w:r w:rsidRPr="006B4158">
        <w:rPr>
          <w:rFonts w:ascii="mylotus" w:hAnsi="mylotus"/>
          <w:sz w:val="34"/>
          <w:szCs w:val="34"/>
          <w:rtl/>
        </w:rPr>
        <w:t xml:space="preserve"> </w:t>
      </w:r>
      <w:r w:rsidRPr="006B4158">
        <w:rPr>
          <w:rFonts w:ascii="mylotus" w:hAnsi="mylotus" w:hint="cs"/>
          <w:sz w:val="34"/>
          <w:szCs w:val="34"/>
          <w:rtl/>
        </w:rPr>
        <w:t>بقاعدة</w:t>
      </w:r>
      <w:r w:rsidRPr="006B4158">
        <w:rPr>
          <w:rFonts w:ascii="mylotus" w:hAnsi="mylotus"/>
          <w:sz w:val="34"/>
          <w:szCs w:val="34"/>
          <w:rtl/>
        </w:rPr>
        <w:t xml:space="preserve"> "</w:t>
      </w:r>
      <w:r w:rsidRPr="006B4158">
        <w:rPr>
          <w:rFonts w:ascii="mylotus" w:hAnsi="mylotus" w:hint="cs"/>
          <w:sz w:val="34"/>
          <w:szCs w:val="34"/>
          <w:rtl/>
        </w:rPr>
        <w:t>لا</w:t>
      </w:r>
      <w:r w:rsidRPr="006B4158">
        <w:rPr>
          <w:rFonts w:ascii="mylotus" w:hAnsi="mylotus"/>
          <w:sz w:val="34"/>
          <w:szCs w:val="34"/>
          <w:rtl/>
        </w:rPr>
        <w:t xml:space="preserve"> </w:t>
      </w:r>
      <w:r w:rsidRPr="006B4158">
        <w:rPr>
          <w:rFonts w:ascii="mylotus" w:hAnsi="mylotus" w:hint="cs"/>
          <w:sz w:val="34"/>
          <w:szCs w:val="34"/>
          <w:rtl/>
        </w:rPr>
        <w:t>ضرر</w:t>
      </w:r>
      <w:r w:rsidRPr="006B4158">
        <w:rPr>
          <w:rFonts w:ascii="mylotus" w:hAnsi="mylotus"/>
          <w:sz w:val="34"/>
          <w:szCs w:val="34"/>
          <w:rtl/>
        </w:rPr>
        <w:t xml:space="preserve">" </w:t>
      </w:r>
      <w:r w:rsidRPr="006B4158">
        <w:rPr>
          <w:rFonts w:ascii="mylotus" w:hAnsi="mylotus" w:hint="cs"/>
          <w:sz w:val="34"/>
          <w:szCs w:val="34"/>
          <w:rtl/>
        </w:rPr>
        <w:t>لإثبات</w:t>
      </w:r>
      <w:r w:rsidRPr="006B4158">
        <w:rPr>
          <w:rFonts w:ascii="mylotus" w:hAnsi="mylotus"/>
          <w:sz w:val="34"/>
          <w:szCs w:val="34"/>
          <w:rtl/>
        </w:rPr>
        <w:t xml:space="preserve"> </w:t>
      </w:r>
      <w:r w:rsidRPr="006B4158">
        <w:rPr>
          <w:rFonts w:ascii="mylotus" w:hAnsi="mylotus" w:hint="cs"/>
          <w:sz w:val="34"/>
          <w:szCs w:val="34"/>
          <w:rtl/>
        </w:rPr>
        <w:t>ضمان</w:t>
      </w:r>
      <w:r w:rsidRPr="006B4158">
        <w:rPr>
          <w:rFonts w:ascii="mylotus" w:hAnsi="mylotus"/>
          <w:sz w:val="34"/>
          <w:szCs w:val="34"/>
          <w:rtl/>
        </w:rPr>
        <w:t xml:space="preserve"> </w:t>
      </w:r>
      <w:r w:rsidRPr="006B4158">
        <w:rPr>
          <w:rFonts w:ascii="mylotus" w:hAnsi="mylotus" w:hint="cs"/>
          <w:sz w:val="34"/>
          <w:szCs w:val="34"/>
          <w:rtl/>
        </w:rPr>
        <w:t>منافع</w:t>
      </w:r>
      <w:r w:rsidRPr="006B4158">
        <w:rPr>
          <w:rFonts w:ascii="mylotus" w:hAnsi="mylotus"/>
          <w:sz w:val="34"/>
          <w:szCs w:val="34"/>
          <w:rtl/>
        </w:rPr>
        <w:t xml:space="preserve"> </w:t>
      </w:r>
      <w:r w:rsidRPr="006B4158">
        <w:rPr>
          <w:rFonts w:ascii="mylotus" w:hAnsi="mylotus" w:hint="cs"/>
          <w:sz w:val="34"/>
          <w:szCs w:val="34"/>
          <w:rtl/>
        </w:rPr>
        <w:t>الحرّ</w:t>
      </w:r>
      <w:r w:rsidRPr="006B4158">
        <w:rPr>
          <w:rFonts w:ascii="mylotus" w:hAnsi="mylotus"/>
          <w:sz w:val="34"/>
          <w:szCs w:val="34"/>
          <w:rtl/>
        </w:rPr>
        <w:t xml:space="preserve"> </w:t>
      </w:r>
      <w:r w:rsidRPr="006B4158">
        <w:rPr>
          <w:rFonts w:ascii="mylotus" w:hAnsi="mylotus" w:hint="cs"/>
          <w:sz w:val="34"/>
          <w:szCs w:val="34"/>
          <w:rtl/>
        </w:rPr>
        <w:t>الكسوب</w:t>
      </w:r>
      <w:r w:rsidRPr="006B4158">
        <w:rPr>
          <w:rFonts w:ascii="mylotus" w:hAnsi="mylotus"/>
          <w:sz w:val="34"/>
          <w:szCs w:val="34"/>
          <w:rtl/>
        </w:rPr>
        <w:t xml:space="preserve"> </w:t>
      </w:r>
      <w:r w:rsidRPr="006B4158">
        <w:rPr>
          <w:rFonts w:ascii="mylotus" w:hAnsi="mylotus" w:hint="cs"/>
          <w:sz w:val="34"/>
          <w:szCs w:val="34"/>
          <w:rtl/>
        </w:rPr>
        <w:t>بثلاثة</w:t>
      </w:r>
      <w:r w:rsidRPr="006B4158">
        <w:rPr>
          <w:rFonts w:ascii="mylotus" w:hAnsi="mylotus"/>
          <w:sz w:val="34"/>
          <w:szCs w:val="34"/>
          <w:rtl/>
        </w:rPr>
        <w:t xml:space="preserve"> </w:t>
      </w:r>
      <w:r w:rsidRPr="006B4158">
        <w:rPr>
          <w:rFonts w:ascii="mylotus" w:hAnsi="mylotus" w:hint="cs"/>
          <w:sz w:val="34"/>
          <w:szCs w:val="34"/>
          <w:rtl/>
        </w:rPr>
        <w:t>إشكالات</w:t>
      </w:r>
      <w:r w:rsidRPr="006B4158">
        <w:rPr>
          <w:rFonts w:ascii="mylotus" w:hAnsi="mylotus"/>
          <w:sz w:val="34"/>
          <w:szCs w:val="34"/>
        </w:rPr>
        <w:t>.</w:t>
      </w:r>
    </w:p>
    <w:p w14:paraId="063878DE"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 xml:space="preserve">الإشكالُ الأوّل: </w:t>
      </w:r>
      <w:r w:rsidRPr="006B4158">
        <w:rPr>
          <w:rFonts w:ascii="mylotus" w:hAnsi="mylotus"/>
          <w:sz w:val="34"/>
          <w:szCs w:val="34"/>
          <w:rtl/>
        </w:rPr>
        <w:t>عدمُ صدق الضرر على حبس الحرّ الكسوب، وإنّما الحبس تفويتُ نفعٍ لا إيقاعُ ضررٍ، نظير</w:t>
      </w:r>
      <w:r>
        <w:rPr>
          <w:rFonts w:ascii="mylotus" w:hAnsi="mylotus" w:hint="cs"/>
          <w:sz w:val="34"/>
          <w:szCs w:val="34"/>
          <w:rtl/>
        </w:rPr>
        <w:t>ُ</w:t>
      </w:r>
      <w:r w:rsidRPr="006B4158">
        <w:rPr>
          <w:rFonts w:ascii="mylotus" w:hAnsi="mylotus"/>
          <w:sz w:val="34"/>
          <w:szCs w:val="34"/>
          <w:rtl/>
        </w:rPr>
        <w:t xml:space="preserve"> مَن قام بعمل</w:t>
      </w:r>
      <w:r>
        <w:rPr>
          <w:rFonts w:ascii="mylotus" w:hAnsi="mylotus" w:hint="cs"/>
          <w:sz w:val="34"/>
          <w:szCs w:val="34"/>
          <w:rtl/>
        </w:rPr>
        <w:t>ٍ</w:t>
      </w:r>
      <w:r w:rsidRPr="006B4158">
        <w:rPr>
          <w:rFonts w:ascii="mylotus" w:hAnsi="mylotus"/>
          <w:sz w:val="34"/>
          <w:szCs w:val="34"/>
          <w:rtl/>
        </w:rPr>
        <w:t xml:space="preserve"> أوجب</w:t>
      </w:r>
      <w:r>
        <w:rPr>
          <w:rFonts w:ascii="mylotus" w:hAnsi="mylotus" w:hint="cs"/>
          <w:sz w:val="34"/>
          <w:szCs w:val="34"/>
          <w:rtl/>
        </w:rPr>
        <w:t>َ</w:t>
      </w:r>
      <w:r w:rsidRPr="006B4158">
        <w:rPr>
          <w:rFonts w:ascii="mylotus" w:hAnsi="mylotus"/>
          <w:sz w:val="34"/>
          <w:szCs w:val="34"/>
          <w:rtl/>
        </w:rPr>
        <w:t xml:space="preserve"> أن</w:t>
      </w:r>
      <w:r>
        <w:rPr>
          <w:rFonts w:ascii="mylotus" w:hAnsi="mylotus" w:hint="cs"/>
          <w:sz w:val="34"/>
          <w:szCs w:val="34"/>
          <w:rtl/>
        </w:rPr>
        <w:t>ْ</w:t>
      </w:r>
      <w:r w:rsidRPr="006B4158">
        <w:rPr>
          <w:rFonts w:ascii="mylotus" w:hAnsi="mylotus"/>
          <w:sz w:val="34"/>
          <w:szCs w:val="34"/>
          <w:rtl/>
        </w:rPr>
        <w:t xml:space="preserve"> يفلتَ الصيد </w:t>
      </w:r>
      <w:proofErr w:type="gramStart"/>
      <w:r w:rsidRPr="006B4158">
        <w:rPr>
          <w:rFonts w:ascii="mylotus" w:hAnsi="mylotus"/>
          <w:sz w:val="34"/>
          <w:szCs w:val="34"/>
          <w:rtl/>
        </w:rPr>
        <w:t>على  الصياد</w:t>
      </w:r>
      <w:proofErr w:type="gramEnd"/>
      <w:r w:rsidRPr="006B4158">
        <w:rPr>
          <w:rFonts w:ascii="mylotus" w:hAnsi="mylotus"/>
          <w:sz w:val="34"/>
          <w:szCs w:val="34"/>
          <w:rtl/>
        </w:rPr>
        <w:t>، فإن</w:t>
      </w:r>
      <w:r>
        <w:rPr>
          <w:rFonts w:ascii="mylotus" w:hAnsi="mylotus" w:hint="cs"/>
          <w:sz w:val="34"/>
          <w:szCs w:val="34"/>
          <w:rtl/>
        </w:rPr>
        <w:t>ّ</w:t>
      </w:r>
      <w:r w:rsidRPr="006B4158">
        <w:rPr>
          <w:rFonts w:ascii="mylotus" w:hAnsi="mylotus"/>
          <w:sz w:val="34"/>
          <w:szCs w:val="34"/>
          <w:rtl/>
        </w:rPr>
        <w:t>ه ل</w:t>
      </w:r>
      <w:r>
        <w:rPr>
          <w:rFonts w:ascii="mylotus" w:hAnsi="mylotus" w:hint="cs"/>
          <w:sz w:val="34"/>
          <w:szCs w:val="34"/>
          <w:rtl/>
        </w:rPr>
        <w:t>َ</w:t>
      </w:r>
      <w:r w:rsidRPr="006B4158">
        <w:rPr>
          <w:rFonts w:ascii="mylotus" w:hAnsi="mylotus"/>
          <w:sz w:val="34"/>
          <w:szCs w:val="34"/>
          <w:rtl/>
        </w:rPr>
        <w:t>م</w:t>
      </w:r>
      <w:r>
        <w:rPr>
          <w:rFonts w:ascii="mylotus" w:hAnsi="mylotus" w:hint="cs"/>
          <w:sz w:val="34"/>
          <w:szCs w:val="34"/>
          <w:rtl/>
        </w:rPr>
        <w:t>ْ</w:t>
      </w:r>
      <w:r w:rsidRPr="006B4158">
        <w:rPr>
          <w:rFonts w:ascii="mylotus" w:hAnsi="mylotus"/>
          <w:sz w:val="34"/>
          <w:szCs w:val="34"/>
          <w:rtl/>
        </w:rPr>
        <w:t xml:space="preserve"> يوقع ضرراً عليه وإنّما فوّت نفعاً، فكذلك الأمر في المقام</w:t>
      </w:r>
      <w:r w:rsidRPr="006B4158">
        <w:rPr>
          <w:rFonts w:ascii="mylotus" w:hAnsi="mylotus"/>
          <w:sz w:val="34"/>
          <w:szCs w:val="34"/>
        </w:rPr>
        <w:t>.</w:t>
      </w:r>
    </w:p>
    <w:p w14:paraId="3F819824" w14:textId="77777777" w:rsidR="00D22D23"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ولكن يلاحظُ عليه:</w:t>
      </w:r>
      <w:r w:rsidRPr="006B4158">
        <w:rPr>
          <w:rFonts w:ascii="mylotus" w:hAnsi="mylotus"/>
          <w:sz w:val="34"/>
          <w:szCs w:val="34"/>
          <w:rtl/>
        </w:rPr>
        <w:t xml:space="preserve"> أنّه مبني على مختاره م</w:t>
      </w:r>
      <w:r>
        <w:rPr>
          <w:rFonts w:ascii="mylotus" w:hAnsi="mylotus" w:hint="cs"/>
          <w:sz w:val="34"/>
          <w:szCs w:val="34"/>
          <w:rtl/>
        </w:rPr>
        <w:t>ِ</w:t>
      </w:r>
      <w:r w:rsidRPr="006B4158">
        <w:rPr>
          <w:rFonts w:ascii="mylotus" w:hAnsi="mylotus"/>
          <w:sz w:val="34"/>
          <w:szCs w:val="34"/>
          <w:rtl/>
        </w:rPr>
        <w:t>ن عدم اعتبار مال أو حق</w:t>
      </w:r>
      <w:r>
        <w:rPr>
          <w:rFonts w:ascii="mylotus" w:hAnsi="mylotus" w:hint="cs"/>
          <w:sz w:val="34"/>
          <w:szCs w:val="34"/>
          <w:rtl/>
        </w:rPr>
        <w:t>ّ</w:t>
      </w:r>
      <w:r w:rsidRPr="006B4158">
        <w:rPr>
          <w:rFonts w:ascii="mylotus" w:hAnsi="mylotus"/>
          <w:sz w:val="34"/>
          <w:szCs w:val="34"/>
          <w:rtl/>
        </w:rPr>
        <w:t xml:space="preserve"> في العمل في رتبة</w:t>
      </w:r>
      <w:r>
        <w:rPr>
          <w:rFonts w:ascii="mylotus" w:hAnsi="mylotus" w:hint="cs"/>
          <w:sz w:val="34"/>
          <w:szCs w:val="34"/>
          <w:rtl/>
        </w:rPr>
        <w:t>ٍ</w:t>
      </w:r>
      <w:r w:rsidRPr="006B4158">
        <w:rPr>
          <w:rFonts w:ascii="mylotus" w:hAnsi="mylotus"/>
          <w:sz w:val="34"/>
          <w:szCs w:val="34"/>
          <w:rtl/>
        </w:rPr>
        <w:t xml:space="preserve"> سابقة</w:t>
      </w:r>
      <w:r>
        <w:rPr>
          <w:rFonts w:ascii="mylotus" w:hAnsi="mylotus" w:hint="cs"/>
          <w:sz w:val="34"/>
          <w:szCs w:val="34"/>
          <w:rtl/>
        </w:rPr>
        <w:t>ٍ</w:t>
      </w:r>
      <w:r w:rsidRPr="006B4158">
        <w:rPr>
          <w:rFonts w:ascii="mylotus" w:hAnsi="mylotus"/>
          <w:sz w:val="34"/>
          <w:szCs w:val="34"/>
          <w:rtl/>
        </w:rPr>
        <w:t>.</w:t>
      </w:r>
    </w:p>
    <w:p w14:paraId="69B67F75"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sz w:val="34"/>
          <w:szCs w:val="34"/>
          <w:rtl/>
        </w:rPr>
        <w:t>وأم</w:t>
      </w:r>
      <w:r>
        <w:rPr>
          <w:rFonts w:ascii="mylotus" w:hAnsi="mylotus" w:hint="cs"/>
          <w:sz w:val="34"/>
          <w:szCs w:val="34"/>
          <w:rtl/>
        </w:rPr>
        <w:t>ّ</w:t>
      </w:r>
      <w:r w:rsidRPr="006B4158">
        <w:rPr>
          <w:rFonts w:ascii="mylotus" w:hAnsi="mylotus"/>
          <w:sz w:val="34"/>
          <w:szCs w:val="34"/>
          <w:rtl/>
        </w:rPr>
        <w:t>ا على المبنى الصحيح م</w:t>
      </w:r>
      <w:r>
        <w:rPr>
          <w:rFonts w:ascii="mylotus" w:hAnsi="mylotus" w:hint="cs"/>
          <w:sz w:val="34"/>
          <w:szCs w:val="34"/>
          <w:rtl/>
        </w:rPr>
        <w:t>ِ</w:t>
      </w:r>
      <w:r w:rsidRPr="006B4158">
        <w:rPr>
          <w:rFonts w:ascii="mylotus" w:hAnsi="mylotus"/>
          <w:sz w:val="34"/>
          <w:szCs w:val="34"/>
          <w:rtl/>
        </w:rPr>
        <w:t>ن أن</w:t>
      </w:r>
      <w:r>
        <w:rPr>
          <w:rFonts w:ascii="mylotus" w:hAnsi="mylotus" w:hint="cs"/>
          <w:sz w:val="34"/>
          <w:szCs w:val="34"/>
          <w:rtl/>
        </w:rPr>
        <w:t>ّ</w:t>
      </w:r>
      <w:r w:rsidRPr="006B4158">
        <w:rPr>
          <w:rFonts w:ascii="mylotus" w:hAnsi="mylotus"/>
          <w:sz w:val="34"/>
          <w:szCs w:val="34"/>
          <w:rtl/>
        </w:rPr>
        <w:t xml:space="preserve"> عمل الحرّ القادر على العمل مالٌ -كما سبق تنقيحه-، فتفويته تفويتٌ لمالٍ، ومِن الواضح أنّ تفويت المال نقصٌ حقيقةً فهو ضررٌ</w:t>
      </w:r>
      <w:r w:rsidRPr="006B4158">
        <w:rPr>
          <w:rFonts w:ascii="mylotus" w:hAnsi="mylotus"/>
          <w:sz w:val="34"/>
          <w:szCs w:val="34"/>
        </w:rPr>
        <w:t>.</w:t>
      </w:r>
    </w:p>
    <w:p w14:paraId="1944984D"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أو فقُل:</w:t>
      </w:r>
      <w:r w:rsidRPr="006B4158">
        <w:rPr>
          <w:rFonts w:ascii="mylotus" w:hAnsi="mylotus"/>
          <w:sz w:val="34"/>
          <w:szCs w:val="34"/>
          <w:rtl/>
        </w:rPr>
        <w:t xml:space="preserve"> إنّ للحرّ القادر على العمل الباذل نفسه حقّاً في فرصة العمل، فلو حبس فقد فوّت عليه حقّه، </w:t>
      </w:r>
      <w:r w:rsidRPr="00D9526F">
        <w:rPr>
          <w:rFonts w:ascii="mylotus" w:hAnsi="mylotus"/>
          <w:sz w:val="34"/>
          <w:szCs w:val="34"/>
          <w:highlight w:val="yellow"/>
          <w:rtl/>
        </w:rPr>
        <w:t>وتفويتُ الحقّ العقلائي ضررٌ</w:t>
      </w:r>
      <w:r w:rsidRPr="006B4158">
        <w:rPr>
          <w:rFonts w:ascii="mylotus" w:hAnsi="mylotus"/>
          <w:sz w:val="34"/>
          <w:szCs w:val="34"/>
          <w:rtl/>
        </w:rPr>
        <w:t>، فصدق الضرر على المورد صدقٌ عرفي</w:t>
      </w:r>
      <w:r w:rsidRPr="006B4158">
        <w:rPr>
          <w:rFonts w:ascii="mylotus" w:hAnsi="mylotus"/>
          <w:sz w:val="34"/>
          <w:szCs w:val="34"/>
        </w:rPr>
        <w:t>.</w:t>
      </w:r>
    </w:p>
    <w:p w14:paraId="779391EB"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الإشكالُ الثاني:</w:t>
      </w:r>
      <w:r w:rsidRPr="006B4158">
        <w:rPr>
          <w:rFonts w:ascii="mylotus" w:hAnsi="mylotus"/>
          <w:sz w:val="34"/>
          <w:szCs w:val="34"/>
          <w:rtl/>
        </w:rPr>
        <w:t xml:space="preserve"> أنّ مفاد "لا ضرر" نفي الضرر خلافاً لما فهمه الفاضل التوني (رحمه الله) م</w:t>
      </w:r>
      <w:r>
        <w:rPr>
          <w:rFonts w:ascii="mylotus" w:hAnsi="mylotus" w:hint="cs"/>
          <w:sz w:val="34"/>
          <w:szCs w:val="34"/>
          <w:rtl/>
        </w:rPr>
        <w:t>ِ</w:t>
      </w:r>
      <w:r w:rsidRPr="006B4158">
        <w:rPr>
          <w:rFonts w:ascii="mylotus" w:hAnsi="mylotus"/>
          <w:sz w:val="34"/>
          <w:szCs w:val="34"/>
          <w:rtl/>
        </w:rPr>
        <w:t>ن أنّ مفادَ فقرة "لا ضرر" نفي الضرر غير المتدارك، فإن</w:t>
      </w:r>
      <w:r>
        <w:rPr>
          <w:rFonts w:ascii="mylotus" w:hAnsi="mylotus" w:hint="cs"/>
          <w:sz w:val="34"/>
          <w:szCs w:val="34"/>
          <w:rtl/>
        </w:rPr>
        <w:t>ّ</w:t>
      </w:r>
      <w:r w:rsidRPr="006B4158">
        <w:rPr>
          <w:rFonts w:ascii="mylotus" w:hAnsi="mylotus"/>
          <w:sz w:val="34"/>
          <w:szCs w:val="34"/>
          <w:rtl/>
        </w:rPr>
        <w:t>ه إذا كان الضررُ حاصلاً في الخارج ولَمْ يتداركه الشارع -أي: لَمْ يجبر الخسارة الواقعة - فهو مناف</w:t>
      </w:r>
      <w:r>
        <w:rPr>
          <w:rFonts w:ascii="mylotus" w:hAnsi="mylotus" w:hint="cs"/>
          <w:sz w:val="34"/>
          <w:szCs w:val="34"/>
          <w:rtl/>
        </w:rPr>
        <w:t>ٍ</w:t>
      </w:r>
      <w:r w:rsidRPr="006B4158">
        <w:rPr>
          <w:rFonts w:ascii="mylotus" w:hAnsi="mylotus"/>
          <w:sz w:val="34"/>
          <w:szCs w:val="34"/>
          <w:rtl/>
        </w:rPr>
        <w:t xml:space="preserve"> لمفاد دليل "لا </w:t>
      </w:r>
      <w:r w:rsidRPr="006B4158">
        <w:rPr>
          <w:rFonts w:ascii="mylotus" w:hAnsi="mylotus"/>
          <w:sz w:val="34"/>
          <w:szCs w:val="34"/>
          <w:rtl/>
        </w:rPr>
        <w:lastRenderedPageBreak/>
        <w:t>ضرر"، وم</w:t>
      </w:r>
      <w:r>
        <w:rPr>
          <w:rFonts w:ascii="mylotus" w:hAnsi="mylotus" w:hint="cs"/>
          <w:sz w:val="34"/>
          <w:szCs w:val="34"/>
          <w:rtl/>
        </w:rPr>
        <w:t>ِ</w:t>
      </w:r>
      <w:r w:rsidRPr="006B4158">
        <w:rPr>
          <w:rFonts w:ascii="mylotus" w:hAnsi="mylotus"/>
          <w:sz w:val="34"/>
          <w:szCs w:val="34"/>
          <w:rtl/>
        </w:rPr>
        <w:t>ن أمثلة ذلك: أنّ حبس الحرّ الكسوب ضررٌ فلو لَمْ يتداركه الشارع لكان ذلك منافياً لمفاد "لا ضرر</w:t>
      </w:r>
      <w:r>
        <w:rPr>
          <w:rFonts w:ascii="mylotus" w:hAnsi="mylotus" w:cs="Cambria" w:hint="cs"/>
          <w:sz w:val="34"/>
          <w:szCs w:val="34"/>
          <w:rtl/>
        </w:rPr>
        <w:t>"</w:t>
      </w:r>
      <w:r>
        <w:rPr>
          <w:rFonts w:ascii="mylotus" w:hAnsi="mylotus" w:hint="cs"/>
          <w:sz w:val="34"/>
          <w:szCs w:val="34"/>
          <w:rtl/>
        </w:rPr>
        <w:t>.</w:t>
      </w:r>
    </w:p>
    <w:p w14:paraId="7351DD4D"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لكن الصحيح:</w:t>
      </w:r>
      <w:r w:rsidRPr="006B4158">
        <w:rPr>
          <w:rFonts w:ascii="mylotus" w:hAnsi="mylotus"/>
          <w:sz w:val="34"/>
          <w:szCs w:val="34"/>
          <w:rtl/>
        </w:rPr>
        <w:t xml:space="preserve"> أنّ ما أقحمه الفاضل التوني (رحمه الله) في مفاد الحديث مما لا قرينة عليه، وأنّ مفاد "لا ضرر" نفي الضرر، لا نفي الضرر غير المتدارك، فالمستفادُ منها أنّ دور الشارع ليس تدارك </w:t>
      </w:r>
      <w:proofErr w:type="gramStart"/>
      <w:r w:rsidRPr="006B4158">
        <w:rPr>
          <w:rFonts w:ascii="mylotus" w:hAnsi="mylotus"/>
          <w:sz w:val="34"/>
          <w:szCs w:val="34"/>
          <w:rtl/>
        </w:rPr>
        <w:t>الأضرار</w:t>
      </w:r>
      <w:proofErr w:type="gramEnd"/>
      <w:r w:rsidRPr="006B4158">
        <w:rPr>
          <w:rFonts w:ascii="mylotus" w:hAnsi="mylotus"/>
          <w:sz w:val="34"/>
          <w:szCs w:val="34"/>
          <w:rtl/>
        </w:rPr>
        <w:t xml:space="preserve"> بل دورُهُ منعُ حدوث الضرر مِن الأساس</w:t>
      </w:r>
      <w:r>
        <w:rPr>
          <w:rFonts w:ascii="mylotus" w:hAnsi="mylotus" w:hint="cs"/>
          <w:sz w:val="34"/>
          <w:szCs w:val="34"/>
          <w:rtl/>
        </w:rPr>
        <w:t>.</w:t>
      </w:r>
    </w:p>
    <w:p w14:paraId="26A3D9C5"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وتقريب</w:t>
      </w:r>
      <w:r>
        <w:rPr>
          <w:rFonts w:ascii="mylotus" w:hAnsi="mylotus" w:hint="cs"/>
          <w:b/>
          <w:bCs/>
          <w:sz w:val="34"/>
          <w:szCs w:val="34"/>
          <w:rtl/>
        </w:rPr>
        <w:t>ُ</w:t>
      </w:r>
      <w:r w:rsidRPr="00B05231">
        <w:rPr>
          <w:rFonts w:ascii="mylotus" w:hAnsi="mylotus"/>
          <w:b/>
          <w:bCs/>
          <w:sz w:val="34"/>
          <w:szCs w:val="34"/>
          <w:rtl/>
        </w:rPr>
        <w:t xml:space="preserve"> الفرق بينهما:</w:t>
      </w:r>
      <w:r w:rsidRPr="006B4158">
        <w:rPr>
          <w:rFonts w:ascii="mylotus" w:hAnsi="mylotus"/>
          <w:sz w:val="34"/>
          <w:szCs w:val="34"/>
          <w:rtl/>
        </w:rPr>
        <w:t xml:space="preserve"> أن</w:t>
      </w:r>
      <w:r>
        <w:rPr>
          <w:rFonts w:ascii="mylotus" w:hAnsi="mylotus" w:hint="cs"/>
          <w:sz w:val="34"/>
          <w:szCs w:val="34"/>
          <w:rtl/>
        </w:rPr>
        <w:t>ّ</w:t>
      </w:r>
      <w:r w:rsidRPr="006B4158">
        <w:rPr>
          <w:rFonts w:ascii="mylotus" w:hAnsi="mylotus"/>
          <w:sz w:val="34"/>
          <w:szCs w:val="34"/>
          <w:rtl/>
        </w:rPr>
        <w:t>ه لو فرض أنّ الغاصب أخذَ مالَ شخصٍ وأتلفَهُ فهنا حُكمان</w:t>
      </w:r>
      <w:r w:rsidRPr="006B4158">
        <w:rPr>
          <w:rFonts w:ascii="mylotus" w:hAnsi="mylotus"/>
          <w:sz w:val="34"/>
          <w:szCs w:val="34"/>
        </w:rPr>
        <w:t>:</w:t>
      </w:r>
    </w:p>
    <w:p w14:paraId="76E62BB6"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الأوّل:</w:t>
      </w:r>
      <w:r w:rsidRPr="006B4158">
        <w:rPr>
          <w:rFonts w:ascii="mylotus" w:hAnsi="mylotus"/>
          <w:sz w:val="34"/>
          <w:szCs w:val="34"/>
          <w:rtl/>
        </w:rPr>
        <w:t xml:space="preserve"> الحكمُ بضمان الغاصب قيمة المال التالف</w:t>
      </w:r>
      <w:r w:rsidRPr="006B4158">
        <w:rPr>
          <w:rFonts w:ascii="mylotus" w:hAnsi="mylotus"/>
          <w:sz w:val="34"/>
          <w:szCs w:val="34"/>
        </w:rPr>
        <w:t>.</w:t>
      </w:r>
    </w:p>
    <w:p w14:paraId="7727DA74"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الثاني:</w:t>
      </w:r>
      <w:r w:rsidRPr="006B4158">
        <w:rPr>
          <w:rFonts w:ascii="mylotus" w:hAnsi="mylotus"/>
          <w:sz w:val="34"/>
          <w:szCs w:val="34"/>
          <w:rtl/>
        </w:rPr>
        <w:t xml:space="preserve"> الحكمُ بثبوت الضمان </w:t>
      </w:r>
      <w:proofErr w:type="gramStart"/>
      <w:r w:rsidRPr="006B4158">
        <w:rPr>
          <w:rFonts w:ascii="mylotus" w:hAnsi="mylotus"/>
          <w:sz w:val="34"/>
          <w:szCs w:val="34"/>
          <w:rtl/>
        </w:rPr>
        <w:t>في  بيت</w:t>
      </w:r>
      <w:proofErr w:type="gramEnd"/>
      <w:r w:rsidRPr="006B4158">
        <w:rPr>
          <w:rFonts w:ascii="mylotus" w:hAnsi="mylotus"/>
          <w:sz w:val="34"/>
          <w:szCs w:val="34"/>
          <w:rtl/>
        </w:rPr>
        <w:t xml:space="preserve"> مال المسلمين في حال كون الغاصب مما</w:t>
      </w:r>
      <w:r>
        <w:rPr>
          <w:rFonts w:ascii="mylotus" w:hAnsi="mylotus" w:hint="cs"/>
          <w:sz w:val="34"/>
          <w:szCs w:val="34"/>
          <w:rtl/>
        </w:rPr>
        <w:t xml:space="preserve"> </w:t>
      </w:r>
      <w:r w:rsidRPr="006B4158">
        <w:rPr>
          <w:rFonts w:ascii="mylotus" w:hAnsi="mylotus"/>
          <w:sz w:val="34"/>
          <w:szCs w:val="34"/>
          <w:rtl/>
        </w:rPr>
        <w:t>لا يمكن الوصول إليه</w:t>
      </w:r>
      <w:r w:rsidRPr="006B4158">
        <w:rPr>
          <w:rFonts w:ascii="mylotus" w:hAnsi="mylotus"/>
          <w:sz w:val="34"/>
          <w:szCs w:val="34"/>
        </w:rPr>
        <w:t>.</w:t>
      </w:r>
    </w:p>
    <w:p w14:paraId="4EF47F5D"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فإنّ الحكم الأوّل</w:t>
      </w:r>
      <w:r w:rsidRPr="006B4158">
        <w:rPr>
          <w:rFonts w:ascii="mylotus" w:hAnsi="mylotus"/>
          <w:sz w:val="34"/>
          <w:szCs w:val="34"/>
          <w:rtl/>
        </w:rPr>
        <w:t xml:space="preserve"> -وهو ضمان الغاصب لما أتلف- منعٌ للضرر، حيث</w:t>
      </w:r>
      <w:r>
        <w:rPr>
          <w:rFonts w:ascii="mylotus" w:hAnsi="mylotus" w:hint="cs"/>
          <w:sz w:val="34"/>
          <w:szCs w:val="34"/>
          <w:rtl/>
        </w:rPr>
        <w:t>ُ</w:t>
      </w:r>
      <w:r w:rsidRPr="006B4158">
        <w:rPr>
          <w:rFonts w:ascii="mylotus" w:hAnsi="mylotus"/>
          <w:sz w:val="34"/>
          <w:szCs w:val="34"/>
          <w:rtl/>
        </w:rPr>
        <w:t xml:space="preserve"> إن</w:t>
      </w:r>
      <w:r>
        <w:rPr>
          <w:rFonts w:ascii="mylotus" w:hAnsi="mylotus" w:hint="cs"/>
          <w:sz w:val="34"/>
          <w:szCs w:val="34"/>
          <w:rtl/>
        </w:rPr>
        <w:t>ّ</w:t>
      </w:r>
      <w:r w:rsidRPr="006B4158">
        <w:rPr>
          <w:rFonts w:ascii="mylotus" w:hAnsi="mylotus"/>
          <w:sz w:val="34"/>
          <w:szCs w:val="34"/>
          <w:rtl/>
        </w:rPr>
        <w:t xml:space="preserve"> صاحب المال ل</w:t>
      </w:r>
      <w:r>
        <w:rPr>
          <w:rFonts w:ascii="mylotus" w:hAnsi="mylotus" w:hint="cs"/>
          <w:sz w:val="34"/>
          <w:szCs w:val="34"/>
          <w:rtl/>
        </w:rPr>
        <w:t>َ</w:t>
      </w:r>
      <w:r w:rsidRPr="006B4158">
        <w:rPr>
          <w:rFonts w:ascii="mylotus" w:hAnsi="mylotus"/>
          <w:sz w:val="34"/>
          <w:szCs w:val="34"/>
          <w:rtl/>
        </w:rPr>
        <w:t>م</w:t>
      </w:r>
      <w:r>
        <w:rPr>
          <w:rFonts w:ascii="mylotus" w:hAnsi="mylotus" w:hint="cs"/>
          <w:sz w:val="34"/>
          <w:szCs w:val="34"/>
          <w:rtl/>
        </w:rPr>
        <w:t>ْ</w:t>
      </w:r>
      <w:r w:rsidRPr="006B4158">
        <w:rPr>
          <w:rFonts w:ascii="mylotus" w:hAnsi="mylotus"/>
          <w:sz w:val="34"/>
          <w:szCs w:val="34"/>
          <w:rtl/>
        </w:rPr>
        <w:t xml:space="preserve"> ينقص ماله فما أتلف حل مكانه عوضه في ذم</w:t>
      </w:r>
      <w:r>
        <w:rPr>
          <w:rFonts w:ascii="mylotus" w:hAnsi="mylotus" w:hint="cs"/>
          <w:sz w:val="34"/>
          <w:szCs w:val="34"/>
          <w:rtl/>
        </w:rPr>
        <w:t>ّ</w:t>
      </w:r>
      <w:r w:rsidRPr="006B4158">
        <w:rPr>
          <w:rFonts w:ascii="mylotus" w:hAnsi="mylotus"/>
          <w:sz w:val="34"/>
          <w:szCs w:val="34"/>
          <w:rtl/>
        </w:rPr>
        <w:t>ة الغاصب</w:t>
      </w:r>
      <w:r w:rsidRPr="006B4158">
        <w:rPr>
          <w:rFonts w:ascii="mylotus" w:hAnsi="mylotus"/>
          <w:sz w:val="34"/>
          <w:szCs w:val="34"/>
        </w:rPr>
        <w:t>.</w:t>
      </w:r>
    </w:p>
    <w:p w14:paraId="14C6E9EE"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بينما الحكم الثاني</w:t>
      </w:r>
      <w:r w:rsidRPr="006B4158">
        <w:rPr>
          <w:rFonts w:ascii="mylotus" w:hAnsi="mylotus"/>
          <w:sz w:val="34"/>
          <w:szCs w:val="34"/>
          <w:rtl/>
        </w:rPr>
        <w:t xml:space="preserve"> جبرٌ للضرر المالي الواقع خارجا</w:t>
      </w:r>
      <w:r>
        <w:rPr>
          <w:rFonts w:ascii="mylotus" w:hAnsi="mylotus" w:hint="cs"/>
          <w:sz w:val="34"/>
          <w:szCs w:val="34"/>
          <w:rtl/>
        </w:rPr>
        <w:t>ً</w:t>
      </w:r>
      <w:r w:rsidRPr="006B4158">
        <w:rPr>
          <w:rFonts w:ascii="mylotus" w:hAnsi="mylotus"/>
          <w:sz w:val="34"/>
          <w:szCs w:val="34"/>
          <w:rtl/>
        </w:rPr>
        <w:t xml:space="preserve"> لتعذر تحصيل عوضه، وما يستفادُ مِن دليل "لا ضرر" هو منعُ الضرر -لا جبر الضرر</w:t>
      </w:r>
      <w:r>
        <w:rPr>
          <w:rFonts w:ascii="mylotus" w:hAnsi="mylotus" w:hint="cs"/>
          <w:sz w:val="34"/>
          <w:szCs w:val="34"/>
          <w:rtl/>
        </w:rPr>
        <w:t>-.</w:t>
      </w:r>
    </w:p>
    <w:p w14:paraId="2E090C74"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 xml:space="preserve">وتطبيق ذلك على المقام: </w:t>
      </w:r>
      <w:r w:rsidRPr="006B4158">
        <w:rPr>
          <w:rFonts w:ascii="mylotus" w:hAnsi="mylotus"/>
          <w:sz w:val="34"/>
          <w:szCs w:val="34"/>
          <w:rtl/>
        </w:rPr>
        <w:t>أنّ الضرر قد</w:t>
      </w:r>
      <w:r>
        <w:rPr>
          <w:rFonts w:ascii="mylotus" w:hAnsi="mylotus" w:hint="cs"/>
          <w:sz w:val="34"/>
          <w:szCs w:val="34"/>
          <w:rtl/>
        </w:rPr>
        <w:t xml:space="preserve"> </w:t>
      </w:r>
      <w:r w:rsidRPr="006B4158">
        <w:rPr>
          <w:rFonts w:ascii="mylotus" w:hAnsi="mylotus"/>
          <w:sz w:val="34"/>
          <w:szCs w:val="34"/>
          <w:rtl/>
        </w:rPr>
        <w:t>ورد على الحرّ الكسوب بنفس حبسه، فتضمين الحابس قيمة فرصة العمل مِن باب جبر الضرر، لا منع الضرر</w:t>
      </w:r>
      <w:r w:rsidRPr="006B4158">
        <w:rPr>
          <w:rFonts w:ascii="mylotus" w:hAnsi="mylotus"/>
          <w:sz w:val="34"/>
          <w:szCs w:val="34"/>
        </w:rPr>
        <w:t>.</w:t>
      </w:r>
    </w:p>
    <w:p w14:paraId="2C2F9270" w14:textId="77777777" w:rsidR="00D22D23"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ولكن يلاحظُ على ذلك:</w:t>
      </w:r>
      <w:r w:rsidRPr="006B4158">
        <w:rPr>
          <w:rFonts w:ascii="mylotus" w:hAnsi="mylotus"/>
          <w:sz w:val="34"/>
          <w:szCs w:val="34"/>
          <w:rtl/>
        </w:rPr>
        <w:t xml:space="preserve"> أنّه مع فرض ثبوت حقّ</w:t>
      </w:r>
      <w:r>
        <w:rPr>
          <w:rFonts w:ascii="mylotus" w:hAnsi="mylotus" w:hint="cs"/>
          <w:sz w:val="34"/>
          <w:szCs w:val="34"/>
          <w:rtl/>
        </w:rPr>
        <w:t>ٍ</w:t>
      </w:r>
      <w:r w:rsidRPr="006B4158">
        <w:rPr>
          <w:rFonts w:ascii="mylotus" w:hAnsi="mylotus"/>
          <w:sz w:val="34"/>
          <w:szCs w:val="34"/>
          <w:rtl/>
        </w:rPr>
        <w:t xml:space="preserve"> عقلائي للحرّ الكسوب في فرصة العمل أو كون منافعه مالاً في رتبةٍ سابقةٍ فاعتبارها مالا</w:t>
      </w:r>
      <w:r>
        <w:rPr>
          <w:rFonts w:ascii="mylotus" w:hAnsi="mylotus" w:hint="cs"/>
          <w:sz w:val="34"/>
          <w:szCs w:val="34"/>
          <w:rtl/>
        </w:rPr>
        <w:t>ً</w:t>
      </w:r>
      <w:r w:rsidRPr="006B4158">
        <w:rPr>
          <w:rFonts w:ascii="mylotus" w:hAnsi="mylotus"/>
          <w:sz w:val="34"/>
          <w:szCs w:val="34"/>
          <w:rtl/>
        </w:rPr>
        <w:t xml:space="preserve"> مساوقٌ لاعتبار</w:t>
      </w:r>
      <w:r>
        <w:rPr>
          <w:rFonts w:ascii="mylotus" w:hAnsi="mylotus" w:hint="cs"/>
          <w:sz w:val="34"/>
          <w:szCs w:val="34"/>
          <w:rtl/>
        </w:rPr>
        <w:t xml:space="preserve"> </w:t>
      </w:r>
      <w:r w:rsidRPr="006B4158">
        <w:rPr>
          <w:rFonts w:ascii="mylotus" w:hAnsi="mylotus"/>
          <w:sz w:val="34"/>
          <w:szCs w:val="34"/>
          <w:rtl/>
        </w:rPr>
        <w:t>الضمان عند تفويتها، كما هو المختار وفاقا</w:t>
      </w:r>
      <w:r>
        <w:rPr>
          <w:rFonts w:ascii="mylotus" w:hAnsi="mylotus" w:hint="cs"/>
          <w:sz w:val="34"/>
          <w:szCs w:val="34"/>
          <w:rtl/>
        </w:rPr>
        <w:t>ً</w:t>
      </w:r>
      <w:r w:rsidRPr="006B4158">
        <w:rPr>
          <w:rFonts w:ascii="mylotus" w:hAnsi="mylotus"/>
          <w:sz w:val="34"/>
          <w:szCs w:val="34"/>
          <w:rtl/>
        </w:rPr>
        <w:t xml:space="preserve"> للسيد الأستاذ (مدّ ظله الشريف) في مبنى "ال</w:t>
      </w:r>
      <w:r>
        <w:rPr>
          <w:rFonts w:ascii="mylotus" w:hAnsi="mylotus" w:hint="cs"/>
          <w:sz w:val="34"/>
          <w:szCs w:val="34"/>
          <w:rtl/>
        </w:rPr>
        <w:t>ا</w:t>
      </w:r>
      <w:r w:rsidRPr="006B4158">
        <w:rPr>
          <w:rFonts w:ascii="mylotus" w:hAnsi="mylotus"/>
          <w:sz w:val="34"/>
          <w:szCs w:val="34"/>
          <w:rtl/>
        </w:rPr>
        <w:t>ندماجية بين الاعتبارات"</w:t>
      </w:r>
      <w:r>
        <w:rPr>
          <w:rFonts w:ascii="mylotus" w:hAnsi="mylotus" w:hint="cs"/>
          <w:sz w:val="34"/>
          <w:szCs w:val="34"/>
          <w:rtl/>
        </w:rPr>
        <w:t>.</w:t>
      </w:r>
    </w:p>
    <w:p w14:paraId="3811936D"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بمعنى:</w:t>
      </w:r>
      <w:r w:rsidRPr="006B4158">
        <w:rPr>
          <w:rFonts w:ascii="mylotus" w:hAnsi="mylotus"/>
          <w:sz w:val="34"/>
          <w:szCs w:val="34"/>
          <w:rtl/>
        </w:rPr>
        <w:t xml:space="preserve"> أنّه لا يحتاج العقلاء في بعض الموارد للقيام باعتبارين، بل يكفي وضع أحدهما ليترتب عليه الآخر</w:t>
      </w:r>
      <w:r w:rsidRPr="006B4158">
        <w:rPr>
          <w:rFonts w:ascii="mylotus" w:hAnsi="mylotus"/>
          <w:sz w:val="34"/>
          <w:szCs w:val="34"/>
        </w:rPr>
        <w:t>.</w:t>
      </w:r>
    </w:p>
    <w:p w14:paraId="1551940B"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فمثلاً:</w:t>
      </w:r>
      <w:r w:rsidRPr="006B4158">
        <w:rPr>
          <w:rFonts w:ascii="mylotus" w:hAnsi="mylotus"/>
          <w:sz w:val="34"/>
          <w:szCs w:val="34"/>
          <w:rtl/>
        </w:rPr>
        <w:t xml:space="preserve"> إذا اعتبر العقلاء الم</w:t>
      </w:r>
      <w:r>
        <w:rPr>
          <w:rFonts w:ascii="mylotus" w:hAnsi="mylotus" w:hint="cs"/>
          <w:sz w:val="34"/>
          <w:szCs w:val="34"/>
          <w:rtl/>
        </w:rPr>
        <w:t>ِ</w:t>
      </w:r>
      <w:r w:rsidRPr="006B4158">
        <w:rPr>
          <w:rFonts w:ascii="mylotus" w:hAnsi="mylotus"/>
          <w:sz w:val="34"/>
          <w:szCs w:val="34"/>
          <w:rtl/>
        </w:rPr>
        <w:t>لكي</w:t>
      </w:r>
      <w:r>
        <w:rPr>
          <w:rFonts w:ascii="mylotus" w:hAnsi="mylotus" w:hint="cs"/>
          <w:sz w:val="34"/>
          <w:szCs w:val="34"/>
          <w:rtl/>
        </w:rPr>
        <w:t>ّ</w:t>
      </w:r>
      <w:r w:rsidRPr="006B4158">
        <w:rPr>
          <w:rFonts w:ascii="mylotus" w:hAnsi="mylotus"/>
          <w:sz w:val="34"/>
          <w:szCs w:val="34"/>
          <w:rtl/>
        </w:rPr>
        <w:t>ة عند تحق</w:t>
      </w:r>
      <w:r>
        <w:rPr>
          <w:rFonts w:ascii="mylotus" w:hAnsi="mylotus" w:hint="cs"/>
          <w:sz w:val="34"/>
          <w:szCs w:val="34"/>
          <w:rtl/>
        </w:rPr>
        <w:t>ّ</w:t>
      </w:r>
      <w:r w:rsidRPr="006B4158">
        <w:rPr>
          <w:rFonts w:ascii="mylotus" w:hAnsi="mylotus"/>
          <w:sz w:val="34"/>
          <w:szCs w:val="34"/>
          <w:rtl/>
        </w:rPr>
        <w:t>ق الحيازة، فإن</w:t>
      </w:r>
      <w:r>
        <w:rPr>
          <w:rFonts w:ascii="mylotus" w:hAnsi="mylotus" w:hint="cs"/>
          <w:sz w:val="34"/>
          <w:szCs w:val="34"/>
          <w:rtl/>
        </w:rPr>
        <w:t>ّ</w:t>
      </w:r>
      <w:r w:rsidRPr="006B4158">
        <w:rPr>
          <w:rFonts w:ascii="mylotus" w:hAnsi="mylotus"/>
          <w:sz w:val="34"/>
          <w:szCs w:val="34"/>
          <w:rtl/>
        </w:rPr>
        <w:t xml:space="preserve"> نفس اعتبار الم</w:t>
      </w:r>
      <w:r>
        <w:rPr>
          <w:rFonts w:ascii="mylotus" w:hAnsi="mylotus" w:hint="cs"/>
          <w:sz w:val="34"/>
          <w:szCs w:val="34"/>
          <w:rtl/>
        </w:rPr>
        <w:t>ِ</w:t>
      </w:r>
      <w:r w:rsidRPr="006B4158">
        <w:rPr>
          <w:rFonts w:ascii="mylotus" w:hAnsi="mylotus"/>
          <w:sz w:val="34"/>
          <w:szCs w:val="34"/>
          <w:rtl/>
        </w:rPr>
        <w:t>لكي</w:t>
      </w:r>
      <w:r>
        <w:rPr>
          <w:rFonts w:ascii="mylotus" w:hAnsi="mylotus" w:hint="cs"/>
          <w:sz w:val="34"/>
          <w:szCs w:val="34"/>
          <w:rtl/>
        </w:rPr>
        <w:t>ّ</w:t>
      </w:r>
      <w:r w:rsidRPr="006B4158">
        <w:rPr>
          <w:rFonts w:ascii="mylotus" w:hAnsi="mylotus"/>
          <w:sz w:val="34"/>
          <w:szCs w:val="34"/>
          <w:rtl/>
        </w:rPr>
        <w:t>ة مستبطن</w:t>
      </w:r>
      <w:r>
        <w:rPr>
          <w:rFonts w:ascii="mylotus" w:hAnsi="mylotus" w:hint="cs"/>
          <w:sz w:val="34"/>
          <w:szCs w:val="34"/>
          <w:rtl/>
        </w:rPr>
        <w:t>ٌ</w:t>
      </w:r>
      <w:r w:rsidRPr="006B4158">
        <w:rPr>
          <w:rFonts w:ascii="mylotus" w:hAnsi="mylotus"/>
          <w:sz w:val="34"/>
          <w:szCs w:val="34"/>
          <w:rtl/>
        </w:rPr>
        <w:t xml:space="preserve"> لاعتبار سلطنة الحائز على ما</w:t>
      </w:r>
      <w:r>
        <w:rPr>
          <w:rFonts w:ascii="mylotus" w:hAnsi="mylotus" w:hint="cs"/>
          <w:sz w:val="34"/>
          <w:szCs w:val="34"/>
          <w:rtl/>
        </w:rPr>
        <w:t xml:space="preserve"> </w:t>
      </w:r>
      <w:r w:rsidRPr="006B4158">
        <w:rPr>
          <w:rFonts w:ascii="mylotus" w:hAnsi="mylotus"/>
          <w:sz w:val="34"/>
          <w:szCs w:val="34"/>
          <w:rtl/>
        </w:rPr>
        <w:t>حاز وحرمة مزاحمة غيره له فيه، بلا</w:t>
      </w:r>
      <w:r>
        <w:rPr>
          <w:rFonts w:ascii="mylotus" w:hAnsi="mylotus" w:hint="cs"/>
          <w:sz w:val="34"/>
          <w:szCs w:val="34"/>
          <w:rtl/>
        </w:rPr>
        <w:t xml:space="preserve"> </w:t>
      </w:r>
      <w:r w:rsidRPr="006B4158">
        <w:rPr>
          <w:rFonts w:ascii="mylotus" w:hAnsi="mylotus"/>
          <w:sz w:val="34"/>
          <w:szCs w:val="34"/>
          <w:rtl/>
        </w:rPr>
        <w:t>حاجة لصدور اعتبارين آخرين مع اعتبار الم</w:t>
      </w:r>
      <w:r>
        <w:rPr>
          <w:rFonts w:ascii="mylotus" w:hAnsi="mylotus" w:hint="cs"/>
          <w:sz w:val="34"/>
          <w:szCs w:val="34"/>
          <w:rtl/>
        </w:rPr>
        <w:t>ِ</w:t>
      </w:r>
      <w:r w:rsidRPr="006B4158">
        <w:rPr>
          <w:rFonts w:ascii="mylotus" w:hAnsi="mylotus"/>
          <w:sz w:val="34"/>
          <w:szCs w:val="34"/>
          <w:rtl/>
        </w:rPr>
        <w:t>لكي</w:t>
      </w:r>
      <w:r>
        <w:rPr>
          <w:rFonts w:ascii="mylotus" w:hAnsi="mylotus" w:hint="cs"/>
          <w:sz w:val="34"/>
          <w:szCs w:val="34"/>
          <w:rtl/>
        </w:rPr>
        <w:t>ّ</w:t>
      </w:r>
      <w:r w:rsidRPr="006B4158">
        <w:rPr>
          <w:rFonts w:ascii="mylotus" w:hAnsi="mylotus"/>
          <w:sz w:val="34"/>
          <w:szCs w:val="34"/>
          <w:rtl/>
        </w:rPr>
        <w:t>ة</w:t>
      </w:r>
      <w:r w:rsidRPr="006B4158">
        <w:rPr>
          <w:rFonts w:ascii="mylotus" w:hAnsi="mylotus"/>
          <w:sz w:val="34"/>
          <w:szCs w:val="34"/>
        </w:rPr>
        <w:t>.</w:t>
      </w:r>
    </w:p>
    <w:p w14:paraId="75A91C7F"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sz w:val="34"/>
          <w:szCs w:val="34"/>
          <w:rtl/>
        </w:rPr>
        <w:t>والمقامُ مِن هذا القبيل؛ فإنّ نفس اعتبار العقلاء أنّ للحرّ الكسوب حقّاً في فرصة العمل مستبطن</w:t>
      </w:r>
      <w:r>
        <w:rPr>
          <w:rFonts w:ascii="mylotus" w:hAnsi="mylotus" w:hint="cs"/>
          <w:sz w:val="34"/>
          <w:szCs w:val="34"/>
          <w:rtl/>
        </w:rPr>
        <w:t>ٌ</w:t>
      </w:r>
      <w:r w:rsidRPr="006B4158">
        <w:rPr>
          <w:rFonts w:ascii="mylotus" w:hAnsi="mylotus"/>
          <w:sz w:val="34"/>
          <w:szCs w:val="34"/>
          <w:rtl/>
        </w:rPr>
        <w:t xml:space="preserve"> لاعتبارُ الضمان عند</w:t>
      </w:r>
      <w:r>
        <w:rPr>
          <w:rFonts w:ascii="mylotus" w:hAnsi="mylotus" w:hint="cs"/>
          <w:sz w:val="34"/>
          <w:szCs w:val="34"/>
          <w:rtl/>
        </w:rPr>
        <w:t xml:space="preserve"> </w:t>
      </w:r>
      <w:r w:rsidRPr="006B4158">
        <w:rPr>
          <w:rFonts w:ascii="mylotus" w:hAnsi="mylotus"/>
          <w:sz w:val="34"/>
          <w:szCs w:val="34"/>
          <w:rtl/>
        </w:rPr>
        <w:t>تفويته، حيث</w:t>
      </w:r>
      <w:r>
        <w:rPr>
          <w:rFonts w:ascii="mylotus" w:hAnsi="mylotus" w:hint="cs"/>
          <w:sz w:val="34"/>
          <w:szCs w:val="34"/>
          <w:rtl/>
        </w:rPr>
        <w:t>ُ</w:t>
      </w:r>
      <w:r w:rsidRPr="006B4158">
        <w:rPr>
          <w:rFonts w:ascii="mylotus" w:hAnsi="mylotus"/>
          <w:sz w:val="34"/>
          <w:szCs w:val="34"/>
          <w:rtl/>
        </w:rPr>
        <w:t xml:space="preserve"> إن</w:t>
      </w:r>
      <w:r>
        <w:rPr>
          <w:rFonts w:ascii="mylotus" w:hAnsi="mylotus" w:hint="cs"/>
          <w:sz w:val="34"/>
          <w:szCs w:val="34"/>
          <w:rtl/>
        </w:rPr>
        <w:t>ّ</w:t>
      </w:r>
      <w:r w:rsidRPr="006B4158">
        <w:rPr>
          <w:rFonts w:ascii="mylotus" w:hAnsi="mylotus"/>
          <w:sz w:val="34"/>
          <w:szCs w:val="34"/>
          <w:rtl/>
        </w:rPr>
        <w:t xml:space="preserve"> التفكيك بينهما مستهجن</w:t>
      </w:r>
      <w:r>
        <w:rPr>
          <w:rFonts w:ascii="mylotus" w:hAnsi="mylotus" w:hint="cs"/>
          <w:sz w:val="34"/>
          <w:szCs w:val="34"/>
          <w:rtl/>
        </w:rPr>
        <w:t xml:space="preserve">ٌ، </w:t>
      </w:r>
      <w:r w:rsidRPr="006B4158">
        <w:rPr>
          <w:rFonts w:ascii="mylotus" w:hAnsi="mylotus"/>
          <w:sz w:val="34"/>
          <w:szCs w:val="34"/>
          <w:rtl/>
        </w:rPr>
        <w:t>فلذلك كان الحكم بالضمان منعاً للضرر -لا جبراً للضرر</w:t>
      </w:r>
      <w:r>
        <w:rPr>
          <w:rFonts w:ascii="mylotus" w:hAnsi="mylotus" w:hint="cs"/>
          <w:sz w:val="34"/>
          <w:szCs w:val="34"/>
          <w:rtl/>
        </w:rPr>
        <w:t>-.</w:t>
      </w:r>
    </w:p>
    <w:p w14:paraId="73B71E4F"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الإشكالُ الثالث:</w:t>
      </w:r>
      <w:r w:rsidRPr="006B4158">
        <w:rPr>
          <w:rFonts w:ascii="mylotus" w:hAnsi="mylotus"/>
          <w:sz w:val="34"/>
          <w:szCs w:val="34"/>
          <w:rtl/>
        </w:rPr>
        <w:t xml:space="preserve"> أنّ ثبوت الضمان على الحابس منافٍ للامتنان، </w:t>
      </w:r>
      <w:proofErr w:type="spellStart"/>
      <w:r w:rsidRPr="006B4158">
        <w:rPr>
          <w:rFonts w:ascii="mylotus" w:hAnsi="mylotus"/>
          <w:sz w:val="34"/>
          <w:szCs w:val="34"/>
          <w:rtl/>
        </w:rPr>
        <w:t>و"لا</w:t>
      </w:r>
      <w:proofErr w:type="spellEnd"/>
      <w:r w:rsidRPr="006B4158">
        <w:rPr>
          <w:rFonts w:ascii="mylotus" w:hAnsi="mylotus"/>
          <w:sz w:val="34"/>
          <w:szCs w:val="34"/>
          <w:rtl/>
        </w:rPr>
        <w:t xml:space="preserve"> ضرر" واردٌ مورد الامتنان فلا فعلية له في مورد تستلزم فعليته خلاف الامتنان</w:t>
      </w:r>
      <w:r w:rsidRPr="006B4158">
        <w:rPr>
          <w:rFonts w:ascii="mylotus" w:hAnsi="mylotus"/>
          <w:sz w:val="34"/>
          <w:szCs w:val="34"/>
        </w:rPr>
        <w:t>.</w:t>
      </w:r>
    </w:p>
    <w:p w14:paraId="5312A560"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أو فقُل:</w:t>
      </w:r>
      <w:r w:rsidRPr="006B4158">
        <w:rPr>
          <w:rFonts w:ascii="mylotus" w:hAnsi="mylotus"/>
          <w:sz w:val="34"/>
          <w:szCs w:val="34"/>
          <w:rtl/>
        </w:rPr>
        <w:t xml:space="preserve"> إن</w:t>
      </w:r>
      <w:r>
        <w:rPr>
          <w:rFonts w:ascii="mylotus" w:hAnsi="mylotus" w:hint="cs"/>
          <w:sz w:val="34"/>
          <w:szCs w:val="34"/>
          <w:rtl/>
        </w:rPr>
        <w:t>ّ</w:t>
      </w:r>
      <w:r w:rsidRPr="006B4158">
        <w:rPr>
          <w:rFonts w:ascii="mylotus" w:hAnsi="mylotus"/>
          <w:sz w:val="34"/>
          <w:szCs w:val="34"/>
          <w:rtl/>
        </w:rPr>
        <w:t xml:space="preserve"> المقام مِن موارد تعارض الضررين؛ فإنّ في عدم ضمان منافع الحرّ الكسوب عند حبسه ضررا</w:t>
      </w:r>
      <w:r>
        <w:rPr>
          <w:rFonts w:ascii="mylotus" w:hAnsi="mylotus" w:hint="cs"/>
          <w:sz w:val="34"/>
          <w:szCs w:val="34"/>
          <w:rtl/>
        </w:rPr>
        <w:t>ً</w:t>
      </w:r>
      <w:r w:rsidRPr="006B4158">
        <w:rPr>
          <w:rFonts w:ascii="mylotus" w:hAnsi="mylotus"/>
          <w:sz w:val="34"/>
          <w:szCs w:val="34"/>
          <w:rtl/>
        </w:rPr>
        <w:t xml:space="preserve"> عليه، وفي الحكم بالضمان ضررا</w:t>
      </w:r>
      <w:r>
        <w:rPr>
          <w:rFonts w:ascii="mylotus" w:hAnsi="mylotus" w:hint="cs"/>
          <w:sz w:val="34"/>
          <w:szCs w:val="34"/>
          <w:rtl/>
        </w:rPr>
        <w:t>ً</w:t>
      </w:r>
      <w:r w:rsidRPr="006B4158">
        <w:rPr>
          <w:rFonts w:ascii="mylotus" w:hAnsi="mylotus"/>
          <w:sz w:val="34"/>
          <w:szCs w:val="34"/>
          <w:rtl/>
        </w:rPr>
        <w:t xml:space="preserve"> على الحابس، ولا إطلاق لـ "لا ضرر" لمورد تعارض الضررين عرفاً</w:t>
      </w:r>
      <w:r w:rsidRPr="006B4158">
        <w:rPr>
          <w:rFonts w:ascii="mylotus" w:hAnsi="mylotus"/>
          <w:sz w:val="34"/>
          <w:szCs w:val="34"/>
        </w:rPr>
        <w:t>.</w:t>
      </w:r>
    </w:p>
    <w:p w14:paraId="0D5F2447" w14:textId="77777777" w:rsidR="00D22D23" w:rsidRPr="006B4158" w:rsidRDefault="00D22D23" w:rsidP="00D22D23">
      <w:pPr>
        <w:pStyle w:val="a"/>
        <w:bidi/>
        <w:spacing w:line="216" w:lineRule="auto"/>
        <w:rPr>
          <w:rFonts w:ascii="mylotus" w:hAnsi="mylotus"/>
          <w:sz w:val="34"/>
          <w:szCs w:val="34"/>
          <w:rtl/>
        </w:rPr>
      </w:pPr>
      <w:r w:rsidRPr="00B05231">
        <w:rPr>
          <w:rFonts w:ascii="mylotus" w:hAnsi="mylotus"/>
          <w:b/>
          <w:bCs/>
          <w:sz w:val="34"/>
          <w:szCs w:val="34"/>
          <w:rtl/>
        </w:rPr>
        <w:t xml:space="preserve">ولكن يلاحظُ عليه: </w:t>
      </w:r>
      <w:r w:rsidRPr="006B4158">
        <w:rPr>
          <w:rFonts w:ascii="mylotus" w:hAnsi="mylotus"/>
          <w:sz w:val="34"/>
          <w:szCs w:val="34"/>
          <w:rtl/>
        </w:rPr>
        <w:t xml:space="preserve">أنّ ضمان الحابس لمنافع الحرّ الكسوب ليس </w:t>
      </w:r>
      <w:r>
        <w:rPr>
          <w:rFonts w:ascii="mylotus" w:hAnsi="mylotus" w:hint="cs"/>
          <w:sz w:val="34"/>
          <w:szCs w:val="34"/>
          <w:rtl/>
        </w:rPr>
        <w:t>اِ</w:t>
      </w:r>
      <w:r w:rsidRPr="006B4158">
        <w:rPr>
          <w:rFonts w:ascii="mylotus" w:hAnsi="mylotus"/>
          <w:sz w:val="34"/>
          <w:szCs w:val="34"/>
          <w:rtl/>
        </w:rPr>
        <w:t>ضراراً بحقه بحسب النظر العقلائي لإقدامه على ذلك، فالضرر مستند له لا</w:t>
      </w:r>
      <w:r>
        <w:rPr>
          <w:rFonts w:ascii="mylotus" w:hAnsi="mylotus" w:hint="cs"/>
          <w:sz w:val="34"/>
          <w:szCs w:val="34"/>
          <w:rtl/>
        </w:rPr>
        <w:t xml:space="preserve"> </w:t>
      </w:r>
      <w:r w:rsidRPr="006B4158">
        <w:rPr>
          <w:rFonts w:ascii="mylotus" w:hAnsi="mylotus"/>
          <w:sz w:val="34"/>
          <w:szCs w:val="34"/>
          <w:rtl/>
        </w:rPr>
        <w:t>للحكم بالضمان، كما أن</w:t>
      </w:r>
      <w:r>
        <w:rPr>
          <w:rFonts w:ascii="mylotus" w:hAnsi="mylotus" w:hint="cs"/>
          <w:sz w:val="34"/>
          <w:szCs w:val="34"/>
          <w:rtl/>
        </w:rPr>
        <w:t>ّ</w:t>
      </w:r>
      <w:r w:rsidRPr="006B4158">
        <w:rPr>
          <w:rFonts w:ascii="mylotus" w:hAnsi="mylotus"/>
          <w:sz w:val="34"/>
          <w:szCs w:val="34"/>
          <w:rtl/>
        </w:rPr>
        <w:t>ه ليس منافياً للامتنان بحسب المرتكزات؛ إذ ال</w:t>
      </w:r>
      <w:r>
        <w:rPr>
          <w:rFonts w:ascii="mylotus" w:hAnsi="mylotus" w:hint="cs"/>
          <w:sz w:val="34"/>
          <w:szCs w:val="34"/>
          <w:rtl/>
        </w:rPr>
        <w:t>ا</w:t>
      </w:r>
      <w:r w:rsidRPr="006B4158">
        <w:rPr>
          <w:rFonts w:ascii="mylotus" w:hAnsi="mylotus"/>
          <w:sz w:val="34"/>
          <w:szCs w:val="34"/>
          <w:rtl/>
        </w:rPr>
        <w:t>متنان ليس بمعنى التسهيل والعطف، بل بمعنى رعاية الحرمة والحق</w:t>
      </w:r>
      <w:r>
        <w:rPr>
          <w:rFonts w:ascii="mylotus" w:hAnsi="mylotus" w:hint="cs"/>
          <w:sz w:val="34"/>
          <w:szCs w:val="34"/>
          <w:rtl/>
        </w:rPr>
        <w:t>ّ</w:t>
      </w:r>
      <w:r w:rsidRPr="006B4158">
        <w:rPr>
          <w:rFonts w:ascii="mylotus" w:hAnsi="mylotus"/>
          <w:sz w:val="34"/>
          <w:szCs w:val="34"/>
          <w:rtl/>
        </w:rPr>
        <w:t>، والحبس عدوان يمنع أهلية</w:t>
      </w:r>
      <w:r>
        <w:rPr>
          <w:rFonts w:ascii="mylotus" w:hAnsi="mylotus" w:hint="cs"/>
          <w:sz w:val="34"/>
          <w:szCs w:val="34"/>
          <w:rtl/>
        </w:rPr>
        <w:t xml:space="preserve"> </w:t>
      </w:r>
      <w:r w:rsidRPr="006B4158">
        <w:rPr>
          <w:rFonts w:ascii="mylotus" w:hAnsi="mylotus"/>
          <w:sz w:val="34"/>
          <w:szCs w:val="34"/>
          <w:rtl/>
        </w:rPr>
        <w:t>ال</w:t>
      </w:r>
      <w:r>
        <w:rPr>
          <w:rFonts w:ascii="mylotus" w:hAnsi="mylotus" w:hint="cs"/>
          <w:sz w:val="34"/>
          <w:szCs w:val="34"/>
          <w:rtl/>
        </w:rPr>
        <w:t>ا</w:t>
      </w:r>
      <w:r w:rsidRPr="006B4158">
        <w:rPr>
          <w:rFonts w:ascii="mylotus" w:hAnsi="mylotus"/>
          <w:sz w:val="34"/>
          <w:szCs w:val="34"/>
          <w:rtl/>
        </w:rPr>
        <w:t>متنان لدى العقلاء</w:t>
      </w:r>
      <w:r w:rsidRPr="006B4158">
        <w:rPr>
          <w:rFonts w:ascii="mylotus" w:hAnsi="mylotus"/>
          <w:sz w:val="34"/>
          <w:szCs w:val="34"/>
        </w:rPr>
        <w:t>.</w:t>
      </w:r>
    </w:p>
    <w:p w14:paraId="15FF6773" w14:textId="77777777" w:rsidR="00D22D23" w:rsidRPr="006B4158" w:rsidRDefault="00D22D23" w:rsidP="00D22D23">
      <w:pPr>
        <w:pStyle w:val="a"/>
        <w:bidi/>
        <w:spacing w:line="216" w:lineRule="auto"/>
        <w:rPr>
          <w:rFonts w:ascii="mylotus" w:hAnsi="mylotus"/>
          <w:sz w:val="34"/>
          <w:szCs w:val="34"/>
          <w:rtl/>
        </w:rPr>
      </w:pPr>
      <w:r w:rsidRPr="006B4158">
        <w:rPr>
          <w:rFonts w:ascii="mylotus" w:hAnsi="mylotus"/>
          <w:sz w:val="34"/>
          <w:szCs w:val="34"/>
          <w:rtl/>
        </w:rPr>
        <w:lastRenderedPageBreak/>
        <w:t>خصوصاً مع البناء على: أنّ "لا ضرر" ليس حكماً تعبدياً، بل هو إمضاءٌ للمرتكز العقلائي الذي يرى أنّ مقتضى حكمة المقنن سن القوانين المانعة للضرر وعدم شمول قوانينه لما يوجب الضرر</w:t>
      </w:r>
      <w:r>
        <w:rPr>
          <w:rFonts w:ascii="mylotus" w:hAnsi="mylotus" w:hint="cs"/>
          <w:sz w:val="34"/>
          <w:szCs w:val="34"/>
          <w:rtl/>
        </w:rPr>
        <w:t xml:space="preserve"> </w:t>
      </w:r>
      <w:r w:rsidRPr="006B4158">
        <w:rPr>
          <w:rFonts w:ascii="mylotus" w:hAnsi="mylotus"/>
          <w:sz w:val="34"/>
          <w:szCs w:val="34"/>
          <w:rtl/>
        </w:rPr>
        <w:t>على المواط</w:t>
      </w:r>
      <w:r>
        <w:rPr>
          <w:rFonts w:ascii="mylotus" w:hAnsi="mylotus" w:hint="cs"/>
          <w:sz w:val="34"/>
          <w:szCs w:val="34"/>
          <w:rtl/>
        </w:rPr>
        <w:t>ن.</w:t>
      </w:r>
    </w:p>
    <w:p w14:paraId="02306E57" w14:textId="77777777" w:rsidR="00D22D23" w:rsidRDefault="00D22D23" w:rsidP="00D22D23">
      <w:pPr>
        <w:pStyle w:val="a"/>
        <w:bidi/>
        <w:spacing w:line="216" w:lineRule="auto"/>
        <w:rPr>
          <w:rFonts w:ascii="mylotus" w:hAnsi="mylotus"/>
          <w:sz w:val="34"/>
          <w:szCs w:val="34"/>
          <w:rtl/>
          <w:lang w:bidi="ar-BH"/>
        </w:rPr>
      </w:pPr>
      <w:r w:rsidRPr="006B4158">
        <w:rPr>
          <w:rFonts w:ascii="mylotus" w:hAnsi="mylotus"/>
          <w:sz w:val="34"/>
          <w:szCs w:val="34"/>
          <w:rtl/>
        </w:rPr>
        <w:t>فبما أنّ "لا ضرر" واردٌ مورد الإمضاء للمرتكز العقلائي فتطبيقاته في إطار المرتكزات العقلائية، والمرتكز العقلائي لا يرى الحابس موردا</w:t>
      </w:r>
      <w:r>
        <w:rPr>
          <w:rFonts w:ascii="mylotus" w:hAnsi="mylotus" w:hint="cs"/>
          <w:sz w:val="34"/>
          <w:szCs w:val="34"/>
          <w:rtl/>
        </w:rPr>
        <w:t>ً</w:t>
      </w:r>
      <w:r w:rsidRPr="006B4158">
        <w:rPr>
          <w:rFonts w:ascii="mylotus" w:hAnsi="mylotus"/>
          <w:sz w:val="34"/>
          <w:szCs w:val="34"/>
          <w:rtl/>
        </w:rPr>
        <w:t xml:space="preserve"> لل</w:t>
      </w:r>
      <w:r>
        <w:rPr>
          <w:rFonts w:ascii="mylotus" w:hAnsi="mylotus" w:hint="cs"/>
          <w:sz w:val="34"/>
          <w:szCs w:val="34"/>
          <w:rtl/>
        </w:rPr>
        <w:t>ا</w:t>
      </w:r>
      <w:r w:rsidRPr="006B4158">
        <w:rPr>
          <w:rFonts w:ascii="mylotus" w:hAnsi="mylotus"/>
          <w:sz w:val="34"/>
          <w:szCs w:val="34"/>
          <w:rtl/>
        </w:rPr>
        <w:t>متنان بتضمينه قيمة منافع الحرّ الكسوب.</w:t>
      </w:r>
    </w:p>
    <w:p w14:paraId="17059EA1" w14:textId="77777777" w:rsidR="00D22D23" w:rsidRPr="00A17B4E" w:rsidRDefault="00D22D23" w:rsidP="00D22D23">
      <w:pPr>
        <w:pStyle w:val="a"/>
        <w:bidi/>
        <w:spacing w:line="216" w:lineRule="auto"/>
        <w:rPr>
          <w:rFonts w:ascii="mylotus" w:hAnsi="mylotus"/>
          <w:sz w:val="34"/>
          <w:szCs w:val="34"/>
          <w:rtl/>
          <w:lang w:bidi="ar-BH"/>
        </w:rPr>
      </w:pPr>
    </w:p>
    <w:p w14:paraId="4DA3419C" w14:textId="77777777" w:rsidR="00D22D23" w:rsidRPr="005E03C1" w:rsidRDefault="00D22D23" w:rsidP="00D22D23">
      <w:pPr>
        <w:pStyle w:val="a"/>
        <w:bidi/>
        <w:spacing w:line="216" w:lineRule="auto"/>
        <w:jc w:val="center"/>
        <w:rPr>
          <w:rFonts w:ascii="mylotus" w:hAnsi="mylotus"/>
          <w:b/>
          <w:bCs/>
          <w:sz w:val="34"/>
          <w:szCs w:val="34"/>
        </w:rPr>
      </w:pPr>
      <w:r w:rsidRPr="005E03C1">
        <w:rPr>
          <w:rFonts w:ascii="mylotus" w:hAnsi="mylotus"/>
          <w:b/>
          <w:bCs/>
          <w:sz w:val="34"/>
          <w:szCs w:val="34"/>
          <w:rtl/>
        </w:rPr>
        <w:t>والحمد لله رب العالمين</w:t>
      </w:r>
    </w:p>
    <w:p w14:paraId="30C8F452" w14:textId="77777777" w:rsidR="00D22D23" w:rsidRDefault="00D22D23" w:rsidP="00D22D23">
      <w:pPr>
        <w:bidi/>
        <w:rPr>
          <w:sz w:val="32"/>
          <w:szCs w:val="32"/>
        </w:rPr>
      </w:pPr>
    </w:p>
    <w:p w14:paraId="26D2F308" w14:textId="3FC3DEEA" w:rsidR="00396E70" w:rsidRDefault="00396E70" w:rsidP="00396E70">
      <w:pPr>
        <w:pStyle w:val="Heading3"/>
        <w:bidi/>
        <w:rPr>
          <w:sz w:val="32"/>
          <w:szCs w:val="32"/>
        </w:rPr>
      </w:pPr>
      <w:r>
        <w:rPr>
          <w:sz w:val="32"/>
          <w:szCs w:val="32"/>
        </w:rPr>
        <w:t>327</w:t>
      </w:r>
    </w:p>
    <w:p w14:paraId="0D527015" w14:textId="77777777" w:rsidR="00396E70" w:rsidRPr="00396E70" w:rsidRDefault="00396E70" w:rsidP="00396E70">
      <w:pPr>
        <w:bidi/>
        <w:rPr>
          <w:b/>
          <w:bCs/>
          <w:sz w:val="32"/>
          <w:szCs w:val="32"/>
        </w:rPr>
      </w:pPr>
      <w:r w:rsidRPr="00396E70">
        <w:rPr>
          <w:b/>
          <w:bCs/>
          <w:sz w:val="32"/>
          <w:szCs w:val="32"/>
          <w:rtl/>
        </w:rPr>
        <w:t>بسم الله الرحمن الرحيم</w:t>
      </w:r>
    </w:p>
    <w:p w14:paraId="2EA29D7D" w14:textId="77777777" w:rsidR="00396E70" w:rsidRPr="00396E70" w:rsidRDefault="00396E70" w:rsidP="00396E70">
      <w:pPr>
        <w:bidi/>
        <w:rPr>
          <w:b/>
          <w:bCs/>
          <w:sz w:val="32"/>
          <w:szCs w:val="32"/>
          <w:rtl/>
        </w:rPr>
      </w:pPr>
      <w:r w:rsidRPr="00396E70">
        <w:rPr>
          <w:b/>
          <w:bCs/>
          <w:sz w:val="32"/>
          <w:szCs w:val="32"/>
          <w:rtl/>
        </w:rPr>
        <w:t>والصلاة والسلام على أشرف الأنبياء والمرسلين، محمد وآله الطيبين الطاهرين</w:t>
      </w:r>
    </w:p>
    <w:p w14:paraId="2F807F4E" w14:textId="77777777" w:rsidR="00396E70" w:rsidRPr="00396E70" w:rsidRDefault="00396E70" w:rsidP="00396E70">
      <w:pPr>
        <w:bidi/>
        <w:rPr>
          <w:sz w:val="32"/>
          <w:szCs w:val="32"/>
          <w:rtl/>
        </w:rPr>
      </w:pPr>
      <w:r w:rsidRPr="00396E70">
        <w:rPr>
          <w:b/>
          <w:bCs/>
          <w:sz w:val="32"/>
          <w:szCs w:val="32"/>
          <w:rtl/>
        </w:rPr>
        <w:t>واللعن الدائم على أعدائهم أجمعين إلى قيام يوم الدين</w:t>
      </w:r>
    </w:p>
    <w:p w14:paraId="6FA0A455" w14:textId="77777777" w:rsidR="00396E70" w:rsidRPr="00396E70" w:rsidRDefault="00396E70" w:rsidP="00396E70">
      <w:pPr>
        <w:bidi/>
        <w:rPr>
          <w:sz w:val="32"/>
          <w:szCs w:val="32"/>
          <w:rtl/>
          <w:lang w:bidi="ar-BH"/>
        </w:rPr>
      </w:pPr>
    </w:p>
    <w:p w14:paraId="00CD3849" w14:textId="77777777" w:rsidR="00396E70" w:rsidRPr="00396E70" w:rsidRDefault="00396E70" w:rsidP="00396E70">
      <w:pPr>
        <w:bidi/>
        <w:rPr>
          <w:b/>
          <w:bCs/>
          <w:sz w:val="32"/>
          <w:szCs w:val="32"/>
          <w:rtl/>
        </w:rPr>
      </w:pPr>
      <w:r w:rsidRPr="00396E70">
        <w:rPr>
          <w:b/>
          <w:bCs/>
          <w:sz w:val="32"/>
          <w:szCs w:val="32"/>
          <w:rtl/>
        </w:rPr>
        <w:t>الدليلُ النقلي الثاني: هو التمسك بفقرة "لا ضرار".</w:t>
      </w:r>
    </w:p>
    <w:p w14:paraId="5BF4EF1B" w14:textId="77777777" w:rsidR="00396E70" w:rsidRPr="00396E70" w:rsidRDefault="00396E70" w:rsidP="00396E70">
      <w:pPr>
        <w:bidi/>
        <w:rPr>
          <w:sz w:val="32"/>
          <w:szCs w:val="32"/>
          <w:rtl/>
        </w:rPr>
      </w:pPr>
      <w:r w:rsidRPr="00396E70">
        <w:rPr>
          <w:sz w:val="32"/>
          <w:szCs w:val="32"/>
          <w:rtl/>
        </w:rPr>
        <w:t>وهو ما أفاده السيد الأُستاذ (مدّ ظله) في قاعدة لا ضرر</w:t>
      </w:r>
      <w:r w:rsidRPr="00396E70">
        <w:rPr>
          <w:sz w:val="32"/>
          <w:szCs w:val="32"/>
          <w:vertAlign w:val="superscript"/>
          <w:rtl/>
        </w:rPr>
        <w:footnoteReference w:id="230"/>
      </w:r>
      <w:r w:rsidRPr="00396E70">
        <w:rPr>
          <w:sz w:val="32"/>
          <w:szCs w:val="32"/>
          <w:rtl/>
        </w:rPr>
        <w:t>.</w:t>
      </w:r>
    </w:p>
    <w:p w14:paraId="5E85CD8D" w14:textId="77777777" w:rsidR="00396E70" w:rsidRPr="00396E70" w:rsidRDefault="00396E70" w:rsidP="00396E70">
      <w:pPr>
        <w:bidi/>
        <w:rPr>
          <w:color w:val="7030A0"/>
          <w:sz w:val="32"/>
          <w:szCs w:val="32"/>
          <w:rtl/>
        </w:rPr>
      </w:pPr>
      <w:r w:rsidRPr="00396E70">
        <w:rPr>
          <w:b/>
          <w:bCs/>
          <w:sz w:val="32"/>
          <w:szCs w:val="32"/>
          <w:rtl/>
        </w:rPr>
        <w:t>بتقريب:</w:t>
      </w:r>
      <w:r w:rsidRPr="00396E70">
        <w:rPr>
          <w:sz w:val="32"/>
          <w:szCs w:val="32"/>
          <w:rtl/>
        </w:rPr>
        <w:t xml:space="preserve"> أنّ "لا" في "لا ضرار" ليست ناهية بمعنى حرمة الإضرار بالغير، وإلّا للزم تنافر السياق؛ إذ المنصرف عرفاً من الفقرة الأولى -وهي قوله: "لا ضرر"- هو النفي، فلو كان المنصرف من الفقرة الثانية -وهي قوله: "لا ضرار"- هو النهي، لكان السياق متنافراً بورود فقرتين في سياقٍ واحدٍ بلسانٍ واحدٍ مع أنّ الأولى نفي والثانية نهي، بل إنّ المراد الاستعمالي من كلٍّ منهما هو النفي، إلّا أنّ المرادُ الجدّي في الفقرة الأولى -وهي "لا ضرر"- نفي تسبيب الشارع لوقوع أيِّ ضررٍ على المكلف، و المراد الجدي في الفقرة الثانية -وهي "لا ضرار"- </w:t>
      </w:r>
      <w:r w:rsidRPr="00396E70">
        <w:rPr>
          <w:color w:val="7030A0"/>
          <w:sz w:val="32"/>
          <w:szCs w:val="32"/>
          <w:rtl/>
        </w:rPr>
        <w:t>منعُ الشارع مِن وقوع الإضرار</w:t>
      </w:r>
      <w:r w:rsidRPr="00396E70">
        <w:rPr>
          <w:color w:val="7030A0"/>
          <w:sz w:val="32"/>
          <w:szCs w:val="32"/>
        </w:rPr>
        <w:t>.</w:t>
      </w:r>
    </w:p>
    <w:p w14:paraId="4E2B915C" w14:textId="77777777" w:rsidR="00396E70" w:rsidRPr="00396E70" w:rsidRDefault="00396E70" w:rsidP="00396E70">
      <w:pPr>
        <w:bidi/>
        <w:rPr>
          <w:sz w:val="32"/>
          <w:szCs w:val="32"/>
          <w:rtl/>
        </w:rPr>
      </w:pPr>
      <w:r w:rsidRPr="00396E70">
        <w:rPr>
          <w:sz w:val="32"/>
          <w:szCs w:val="32"/>
          <w:rtl/>
        </w:rPr>
        <w:t xml:space="preserve">فإنّ مقتضى حكمة المشرّع أنّه كما لا يصدر منه أيُّ قانون يوجب الضرر، فكذلك يتعيّن أنْ يتصدى لسدّ الأبواب أمامَ إضرارِ أحدٍ بآخر، مما يعني أنّ المرادَ الجدّي في الفقرة الأولى </w:t>
      </w:r>
      <w:r w:rsidRPr="00396E70">
        <w:rPr>
          <w:sz w:val="32"/>
          <w:szCs w:val="32"/>
          <w:rtl/>
        </w:rPr>
        <w:lastRenderedPageBreak/>
        <w:t>سلبي، بينما المراد الجدّي في الفقرة الثانية إيجابي؛ إذ الأول عبارة عن نفي تسبيب الشارع للضرر، والثاني هو عبارة عن تسبيب الشارع لمنع إضرارِ أحدٍ بأحدٍ</w:t>
      </w:r>
      <w:r w:rsidRPr="00396E70">
        <w:rPr>
          <w:sz w:val="32"/>
          <w:szCs w:val="32"/>
        </w:rPr>
        <w:t>.</w:t>
      </w:r>
    </w:p>
    <w:p w14:paraId="787448EA" w14:textId="77777777" w:rsidR="00396E70" w:rsidRPr="00396E70" w:rsidRDefault="00396E70" w:rsidP="00396E70">
      <w:pPr>
        <w:bidi/>
        <w:rPr>
          <w:sz w:val="32"/>
          <w:szCs w:val="32"/>
          <w:rtl/>
        </w:rPr>
      </w:pPr>
      <w:r w:rsidRPr="00396E70">
        <w:rPr>
          <w:sz w:val="32"/>
          <w:szCs w:val="32"/>
          <w:rtl/>
        </w:rPr>
        <w:t>وحيثُ إنّ المراد الجدّي مِن فقرة "لا ضرار" هو تسبيبُ الشارع لمنع الإضرار، فهذا يقتضي ثبوت الحكم التكليفي وهو حرمة إضرارِ أحدٍ بأحدٍ، كما يقتضي أيضاً وضع وسائل إجرائية مِن قِبل المقنن لمنع ضررٍ مِن أحدٍ على أحدٍ</w:t>
      </w:r>
      <w:r w:rsidRPr="00396E70">
        <w:rPr>
          <w:sz w:val="32"/>
          <w:szCs w:val="32"/>
        </w:rPr>
        <w:t>.</w:t>
      </w:r>
    </w:p>
    <w:p w14:paraId="201E38B0" w14:textId="77777777" w:rsidR="00396E70" w:rsidRPr="00396E70" w:rsidRDefault="00396E70" w:rsidP="00396E70">
      <w:pPr>
        <w:bidi/>
        <w:rPr>
          <w:sz w:val="32"/>
          <w:szCs w:val="32"/>
          <w:rtl/>
        </w:rPr>
      </w:pPr>
      <w:r w:rsidRPr="00396E70">
        <w:rPr>
          <w:sz w:val="32"/>
          <w:szCs w:val="32"/>
          <w:rtl/>
        </w:rPr>
        <w:t>ومِن هذه الوسائل الإجرائية: الضمان، فإنّ حكمه بضمان منافع الحرّ الكسوب عند حبسه مِن الوسائل الإجرائية لمنع إضرارِ أحدٍ بأحدٍ</w:t>
      </w:r>
      <w:r w:rsidRPr="00396E70">
        <w:rPr>
          <w:sz w:val="32"/>
          <w:szCs w:val="32"/>
        </w:rPr>
        <w:t>.</w:t>
      </w:r>
    </w:p>
    <w:p w14:paraId="42717F32" w14:textId="77777777" w:rsidR="00396E70" w:rsidRPr="00396E70" w:rsidRDefault="00396E70" w:rsidP="00396E70">
      <w:pPr>
        <w:bidi/>
        <w:rPr>
          <w:sz w:val="32"/>
          <w:szCs w:val="32"/>
          <w:rtl/>
        </w:rPr>
      </w:pPr>
      <w:r w:rsidRPr="00396E70">
        <w:rPr>
          <w:b/>
          <w:bCs/>
          <w:sz w:val="32"/>
          <w:szCs w:val="32"/>
          <w:rtl/>
        </w:rPr>
        <w:t>والنتيجة:</w:t>
      </w:r>
      <w:r w:rsidRPr="00396E70">
        <w:rPr>
          <w:sz w:val="32"/>
          <w:szCs w:val="32"/>
          <w:rtl/>
        </w:rPr>
        <w:t xml:space="preserve"> صحّة الاستدلال بـ "لا ضرار" على ثبوت الضمان</w:t>
      </w:r>
      <w:r w:rsidRPr="00396E70">
        <w:rPr>
          <w:sz w:val="32"/>
          <w:szCs w:val="32"/>
        </w:rPr>
        <w:t>.</w:t>
      </w:r>
    </w:p>
    <w:p w14:paraId="1729710A" w14:textId="77777777" w:rsidR="00396E70" w:rsidRPr="00396E70" w:rsidRDefault="00396E70" w:rsidP="00396E70">
      <w:pPr>
        <w:bidi/>
        <w:rPr>
          <w:sz w:val="32"/>
          <w:szCs w:val="32"/>
          <w:rtl/>
        </w:rPr>
      </w:pPr>
      <w:r w:rsidRPr="00396E70">
        <w:rPr>
          <w:b/>
          <w:bCs/>
          <w:sz w:val="32"/>
          <w:szCs w:val="32"/>
          <w:rtl/>
        </w:rPr>
        <w:t xml:space="preserve">ويلاحظُ عليه: </w:t>
      </w:r>
      <w:r w:rsidRPr="00396E70">
        <w:rPr>
          <w:sz w:val="32"/>
          <w:szCs w:val="32"/>
          <w:rtl/>
        </w:rPr>
        <w:t>أنّه على فرض تسليم أنّ المراد الجدّي مِن فقرة "لا ضرار" هو المضمون الإيجابي -وهو سدّ الشارع الأبواب أمامَ إضرارِ أحدٍ بأحدٍ- فيكفي في تحقيق المنع مِن ذلك عرفاً الحرمة التكليفية، أي: حرمة الإضرار، ولوازم الحرمة التكليفية مِن قبيل التعزير والسجن؛ فإنّها مِن لوازم المنع</w:t>
      </w:r>
      <w:r w:rsidRPr="00396E70">
        <w:rPr>
          <w:sz w:val="32"/>
          <w:szCs w:val="32"/>
        </w:rPr>
        <w:t>.</w:t>
      </w:r>
    </w:p>
    <w:p w14:paraId="2BE2583D" w14:textId="77777777" w:rsidR="00396E70" w:rsidRPr="00396E70" w:rsidRDefault="00396E70" w:rsidP="00396E70">
      <w:pPr>
        <w:bidi/>
        <w:rPr>
          <w:sz w:val="32"/>
          <w:szCs w:val="32"/>
          <w:rtl/>
        </w:rPr>
      </w:pPr>
      <w:r w:rsidRPr="00396E70">
        <w:rPr>
          <w:sz w:val="32"/>
          <w:szCs w:val="32"/>
          <w:rtl/>
        </w:rPr>
        <w:t>وأمّا الحكم الوضعي بما هو مجرّداً عن الحكم التكليفي -وهو ثبوت الضمان الذي لا معنى له إلّا اشتغال ذمّة الحابس أو المُتلِف بقيمة فرصة العمل-، فمما لا يقتضيه سدّ أبواب العدم أمامَ الإضرار.</w:t>
      </w:r>
    </w:p>
    <w:p w14:paraId="255FDA34" w14:textId="77777777" w:rsidR="00396E70" w:rsidRPr="00396E70" w:rsidRDefault="00396E70" w:rsidP="00396E70">
      <w:pPr>
        <w:bidi/>
        <w:rPr>
          <w:sz w:val="32"/>
          <w:szCs w:val="32"/>
          <w:rtl/>
        </w:rPr>
      </w:pPr>
      <w:r w:rsidRPr="00396E70">
        <w:rPr>
          <w:sz w:val="32"/>
          <w:szCs w:val="32"/>
          <w:rtl/>
        </w:rPr>
        <w:t>نعم، قد يقتضي ذلك وضع الغرامة كوسيلةٍ مِن وسائل الردع، إلّا أنّ ذلك خروجٌ عن المُدعى؛ لوضوح الفرق بين الغرامة وبين الضمان، فالغرامة حكمٌ تكليفي كما في باب الكفارات، والضمان حكمٌ وضعي، وما يعدّ مِن لوازم سياق الردع عرفاً هو الأوّل، نحو توجه الأمر بدفع الكفارة لمَن ارتكب المحظور وهو محرم أو مَن أفطر متعمداً، أومَن حنث اليمين أو خالف العهد.</w:t>
      </w:r>
    </w:p>
    <w:p w14:paraId="6942BFA6" w14:textId="77777777" w:rsidR="00396E70" w:rsidRPr="00396E70" w:rsidRDefault="00396E70" w:rsidP="00396E70">
      <w:pPr>
        <w:bidi/>
        <w:rPr>
          <w:sz w:val="32"/>
          <w:szCs w:val="32"/>
          <w:rtl/>
        </w:rPr>
      </w:pPr>
      <w:r w:rsidRPr="00396E70">
        <w:rPr>
          <w:sz w:val="32"/>
          <w:szCs w:val="32"/>
          <w:rtl/>
        </w:rPr>
        <w:t>وأمّا تملك المحبوس في ذمّة الحابس عوض فرصة العمل فليس مِن لوازم الردع والمنع عرفاً</w:t>
      </w:r>
      <w:r w:rsidRPr="00396E70">
        <w:rPr>
          <w:sz w:val="32"/>
          <w:szCs w:val="32"/>
        </w:rPr>
        <w:t>.</w:t>
      </w:r>
    </w:p>
    <w:p w14:paraId="40BF3D70" w14:textId="77777777" w:rsidR="00396E70" w:rsidRPr="00396E70" w:rsidRDefault="00396E70" w:rsidP="00396E70">
      <w:pPr>
        <w:bidi/>
        <w:rPr>
          <w:b/>
          <w:bCs/>
          <w:sz w:val="32"/>
          <w:szCs w:val="32"/>
          <w:rtl/>
        </w:rPr>
      </w:pPr>
      <w:r w:rsidRPr="00396E70">
        <w:rPr>
          <w:b/>
          <w:bCs/>
          <w:sz w:val="32"/>
          <w:szCs w:val="32"/>
          <w:rtl/>
        </w:rPr>
        <w:t>الدليلُ النقلي الثالث: هو التمسك بدليل "حرمة الظلم".</w:t>
      </w:r>
    </w:p>
    <w:p w14:paraId="03A4CE61" w14:textId="77777777" w:rsidR="00396E70" w:rsidRPr="00396E70" w:rsidRDefault="00396E70" w:rsidP="00396E70">
      <w:pPr>
        <w:bidi/>
        <w:rPr>
          <w:b/>
          <w:bCs/>
          <w:sz w:val="32"/>
          <w:szCs w:val="32"/>
          <w:rtl/>
        </w:rPr>
      </w:pPr>
      <w:r w:rsidRPr="00396E70">
        <w:rPr>
          <w:b/>
          <w:bCs/>
          <w:sz w:val="32"/>
          <w:szCs w:val="32"/>
          <w:rtl/>
        </w:rPr>
        <w:t>وذلك مِن خلال بيانين</w:t>
      </w:r>
      <w:r w:rsidRPr="00396E70">
        <w:rPr>
          <w:b/>
          <w:bCs/>
          <w:sz w:val="32"/>
          <w:szCs w:val="32"/>
        </w:rPr>
        <w:t>:</w:t>
      </w:r>
    </w:p>
    <w:p w14:paraId="648E06CC" w14:textId="77777777" w:rsidR="00396E70" w:rsidRPr="00396E70" w:rsidRDefault="00396E70" w:rsidP="00396E70">
      <w:pPr>
        <w:bidi/>
        <w:rPr>
          <w:sz w:val="32"/>
          <w:szCs w:val="32"/>
          <w:rtl/>
        </w:rPr>
      </w:pPr>
      <w:r w:rsidRPr="00396E70">
        <w:rPr>
          <w:b/>
          <w:bCs/>
          <w:sz w:val="32"/>
          <w:szCs w:val="32"/>
          <w:rtl/>
        </w:rPr>
        <w:t>البيانُ الأوّل:</w:t>
      </w:r>
      <w:r w:rsidRPr="00396E70">
        <w:rPr>
          <w:sz w:val="32"/>
          <w:szCs w:val="32"/>
          <w:rtl/>
        </w:rPr>
        <w:t xml:space="preserve"> أنّ المنصرف مِن العناوين المأخوذة في لسان الدليل هو المفهوم العرفي للعنوان، كانصراف لفظ "الصعيد" و "الدم" لمفاهيمها العرفية، ما لَمْ يتدخل الشارع في تحديد معنى </w:t>
      </w:r>
      <w:r w:rsidRPr="00396E70">
        <w:rPr>
          <w:sz w:val="32"/>
          <w:szCs w:val="32"/>
          <w:rtl/>
        </w:rPr>
        <w:lastRenderedPageBreak/>
        <w:t>العنوان، كما في باب "الميتة" أو "المالك" أو "الزوج" فإنّها عناوينٌ قد تدخل الشارع في مفهومها</w:t>
      </w:r>
      <w:r w:rsidRPr="00396E70">
        <w:rPr>
          <w:sz w:val="32"/>
          <w:szCs w:val="32"/>
        </w:rPr>
        <w:t>.</w:t>
      </w:r>
    </w:p>
    <w:p w14:paraId="37A7BCB7" w14:textId="77777777" w:rsidR="00396E70" w:rsidRPr="00396E70" w:rsidRDefault="00396E70" w:rsidP="00396E70">
      <w:pPr>
        <w:bidi/>
        <w:rPr>
          <w:sz w:val="32"/>
          <w:szCs w:val="32"/>
          <w:rtl/>
        </w:rPr>
      </w:pPr>
      <w:r w:rsidRPr="00396E70">
        <w:rPr>
          <w:sz w:val="32"/>
          <w:szCs w:val="32"/>
          <w:rtl/>
        </w:rPr>
        <w:t>ومقتضى ذلك أنْ يكون المنصرف مِن دليل "حرمة الظلم" هو الظلم بمعناه العرفي، وهو: سلبُ ما يراهُ العرف العقلائي ظلماً، وبما أنّ الظلم هو سلب ذي الحقّ حقّه، فلابُدّ مِن افتراض وجود حقٍّ بالنظر العقلائي في رتبةٍ سابقةٍ؛ ليثبت في طوله صدق عنوان "الظلم" عرفاً.</w:t>
      </w:r>
    </w:p>
    <w:p w14:paraId="38FF94F1" w14:textId="77777777" w:rsidR="00396E70" w:rsidRPr="00396E70" w:rsidRDefault="00396E70" w:rsidP="00396E70">
      <w:pPr>
        <w:bidi/>
        <w:rPr>
          <w:sz w:val="32"/>
          <w:szCs w:val="32"/>
          <w:rtl/>
        </w:rPr>
      </w:pPr>
      <w:r w:rsidRPr="00396E70">
        <w:rPr>
          <w:b/>
          <w:bCs/>
          <w:sz w:val="32"/>
          <w:szCs w:val="32"/>
          <w:rtl/>
        </w:rPr>
        <w:t>فإنْ قُلتَ:</w:t>
      </w:r>
      <w:r w:rsidRPr="00396E70">
        <w:rPr>
          <w:sz w:val="32"/>
          <w:szCs w:val="32"/>
          <w:rtl/>
        </w:rPr>
        <w:t xml:space="preserve"> إنّ المرادَ بـ "الظلم" هو سلبُ الحقّ الشرعي بالخصوص لانصراف العنوان الصادر مِن الشارع للمعنى الشرعي، أو سلب الحقّ الواقعي الذي هو بمعنى: الحقّ الثابت بحكم العقل العملي؛ حيثُ إنّ للعقل العملي أحكاماً كما في قُبح العدوان والغصب، لانصراف العناوين لمفاهيمها الواقعية.</w:t>
      </w:r>
    </w:p>
    <w:p w14:paraId="4001C0EF" w14:textId="77777777" w:rsidR="00396E70" w:rsidRPr="00396E70" w:rsidRDefault="00396E70" w:rsidP="00396E70">
      <w:pPr>
        <w:bidi/>
        <w:rPr>
          <w:sz w:val="32"/>
          <w:szCs w:val="32"/>
          <w:rtl/>
        </w:rPr>
      </w:pPr>
      <w:r w:rsidRPr="00396E70">
        <w:rPr>
          <w:b/>
          <w:bCs/>
          <w:sz w:val="32"/>
          <w:szCs w:val="32"/>
          <w:rtl/>
        </w:rPr>
        <w:t>قلتُ:</w:t>
      </w:r>
      <w:r w:rsidRPr="00396E70">
        <w:rPr>
          <w:sz w:val="32"/>
          <w:szCs w:val="32"/>
          <w:rtl/>
        </w:rPr>
        <w:t xml:space="preserve"> إنّ ذلك تقييدٌ بلا موجب، بل المرادُ بـ "الظلم" سلبُ ما يراهُ العرف العقلائي حقّاً، الشامل لموارد الحقّ القانوني الوضعي أو الشرعي، وموارد حكم العقل العملي</w:t>
      </w:r>
      <w:r w:rsidRPr="00396E70">
        <w:rPr>
          <w:sz w:val="32"/>
          <w:szCs w:val="32"/>
        </w:rPr>
        <w:t>.</w:t>
      </w:r>
    </w:p>
    <w:p w14:paraId="1E53736F" w14:textId="77777777" w:rsidR="00396E70" w:rsidRPr="00396E70" w:rsidRDefault="00396E70" w:rsidP="00396E70">
      <w:pPr>
        <w:bidi/>
        <w:rPr>
          <w:sz w:val="32"/>
          <w:szCs w:val="32"/>
          <w:rtl/>
        </w:rPr>
      </w:pPr>
      <w:r w:rsidRPr="00396E70">
        <w:rPr>
          <w:b/>
          <w:bCs/>
          <w:sz w:val="32"/>
          <w:szCs w:val="32"/>
          <w:rtl/>
        </w:rPr>
        <w:t>وبالتالي،</w:t>
      </w:r>
      <w:r w:rsidRPr="00396E70">
        <w:rPr>
          <w:sz w:val="32"/>
          <w:szCs w:val="32"/>
          <w:rtl/>
        </w:rPr>
        <w:t xml:space="preserve"> فمقتضى الإطلاق اللفظي لدليل حرمة الظلم شمولُ الحرمة لكُلّ ظلمٍ بنظر العرف ولو كان مستحدثاً؛ كصدق الظلم على تفويت حقّ البراءة للمخترع وتفويت منافع الحرّ الكسوب عند </w:t>
      </w:r>
      <w:proofErr w:type="gramStart"/>
      <w:r w:rsidRPr="00396E70">
        <w:rPr>
          <w:sz w:val="32"/>
          <w:szCs w:val="32"/>
          <w:rtl/>
        </w:rPr>
        <w:t>حبسه</w:t>
      </w:r>
      <w:r w:rsidRPr="00396E70">
        <w:rPr>
          <w:sz w:val="32"/>
          <w:szCs w:val="32"/>
        </w:rPr>
        <w:t xml:space="preserve"> .</w:t>
      </w:r>
      <w:proofErr w:type="gramEnd"/>
    </w:p>
    <w:p w14:paraId="02801E4D" w14:textId="77777777" w:rsidR="00396E70" w:rsidRPr="00396E70" w:rsidRDefault="00396E70" w:rsidP="00396E70">
      <w:pPr>
        <w:bidi/>
        <w:rPr>
          <w:sz w:val="32"/>
          <w:szCs w:val="32"/>
          <w:rtl/>
        </w:rPr>
      </w:pPr>
      <w:r w:rsidRPr="00396E70">
        <w:rPr>
          <w:b/>
          <w:bCs/>
          <w:sz w:val="32"/>
          <w:szCs w:val="32"/>
          <w:rtl/>
        </w:rPr>
        <w:t>ويلاحظُ على هذا البيان:</w:t>
      </w:r>
      <w:r w:rsidRPr="00396E70">
        <w:rPr>
          <w:sz w:val="32"/>
          <w:szCs w:val="32"/>
          <w:rtl/>
        </w:rPr>
        <w:t xml:space="preserve"> أنّ الظلم لا ينقسمُ إلى ظلمٍ شرعي وظلمٍ عرفي وظلمٍ واقعي، بل الظلم ذو مفهومٍ واحدٍ، وهو سلب ذي الحقّ حقّه، ولا معنى للتنويع فيه، وإنّما المدار على تحديد ما هو الحقّ في رتبةٍ سابقةٍ، والحقّ -بمعنى الاستحقاق- مما لَهُ تقرر واقعي في نفسه، وإنّما النظر العرفي بمثابة المُدرك للحقّ لا بمثابة المُنشئ له.</w:t>
      </w:r>
    </w:p>
    <w:p w14:paraId="08173390" w14:textId="77777777" w:rsidR="00396E70" w:rsidRPr="00396E70" w:rsidRDefault="00396E70" w:rsidP="00396E70">
      <w:pPr>
        <w:bidi/>
        <w:rPr>
          <w:sz w:val="32"/>
          <w:szCs w:val="32"/>
          <w:rtl/>
        </w:rPr>
      </w:pPr>
      <w:r w:rsidRPr="00396E70">
        <w:rPr>
          <w:sz w:val="32"/>
          <w:szCs w:val="32"/>
          <w:rtl/>
        </w:rPr>
        <w:t>حتى الحقوق الاعتبارية التي وضعها العقلاء كحقّ الاختصاص وحقّ السبق فإنّها وإنْ كانت في طول الاعتبار العقلائي، إلّا أنّها لما كانت غطاء لمصالح واقعية نوعية، فصدق عنوان "الظلم" على سلبها بالنظر العرفي مِن باب الإدراك لها -لا مِن باب الإنشاء-، وهذا هو المصحّح لكون تفويتها ظلماً بنظره</w:t>
      </w:r>
      <w:r w:rsidRPr="00396E70">
        <w:rPr>
          <w:sz w:val="32"/>
          <w:szCs w:val="32"/>
        </w:rPr>
        <w:t>.</w:t>
      </w:r>
    </w:p>
    <w:p w14:paraId="7D21C8A5" w14:textId="77777777" w:rsidR="00396E70" w:rsidRPr="00396E70" w:rsidRDefault="00396E70" w:rsidP="00396E70">
      <w:pPr>
        <w:bidi/>
        <w:rPr>
          <w:sz w:val="32"/>
          <w:szCs w:val="32"/>
          <w:rtl/>
        </w:rPr>
      </w:pPr>
      <w:r w:rsidRPr="00396E70">
        <w:rPr>
          <w:b/>
          <w:bCs/>
          <w:sz w:val="32"/>
          <w:szCs w:val="32"/>
          <w:rtl/>
        </w:rPr>
        <w:t>والشاهد على أنّ الظلم ليس لَهُ أنواع:</w:t>
      </w:r>
      <w:r w:rsidRPr="00396E70">
        <w:rPr>
          <w:sz w:val="32"/>
          <w:szCs w:val="32"/>
          <w:rtl/>
        </w:rPr>
        <w:t xml:space="preserve"> أنّ اختلاف نظر الشرع والعرف في بعض الموارد مِن باب التخطئة في الموضوع، لا مِن باب الاختلاف في الحكم، فالعرفُ يرى مثلاً أنّ أكل المارّة مِن البستان دون إذن صاحبه ظلمٌ، بينما الشارع يرخص في ذلك، وليس ذلك بنظر العرف ظلماً حلالاً، بل ليس ظلماً، وكذلك الاستيلاء على مال الكافر المحارب حيثُ يمنع منه العرف ويرخص فيه الشارع، فإنّه ليس مِن الظلم الحلال، وإنّما هو مِن باب التخطئة لنظرِ العرف في </w:t>
      </w:r>
      <w:r w:rsidRPr="00396E70">
        <w:rPr>
          <w:sz w:val="32"/>
          <w:szCs w:val="32"/>
          <w:rtl/>
        </w:rPr>
        <w:lastRenderedPageBreak/>
        <w:t>تحديد الحقّ المساوق للتخطئة في نظر العرف في صدق عنوان "الظلم"، وليس مِن باب الظلم المرخص فيه</w:t>
      </w:r>
      <w:r w:rsidRPr="00396E70">
        <w:rPr>
          <w:sz w:val="32"/>
          <w:szCs w:val="32"/>
        </w:rPr>
        <w:t>.</w:t>
      </w:r>
    </w:p>
    <w:p w14:paraId="141B4EA8" w14:textId="77777777" w:rsidR="00396E70" w:rsidRPr="00396E70" w:rsidRDefault="00396E70" w:rsidP="00396E70">
      <w:pPr>
        <w:bidi/>
        <w:rPr>
          <w:sz w:val="32"/>
          <w:szCs w:val="32"/>
          <w:rtl/>
        </w:rPr>
      </w:pPr>
      <w:r w:rsidRPr="00396E70">
        <w:rPr>
          <w:b/>
          <w:bCs/>
          <w:sz w:val="32"/>
          <w:szCs w:val="32"/>
          <w:rtl/>
        </w:rPr>
        <w:t>البيانُ الثاني:</w:t>
      </w:r>
      <w:r w:rsidRPr="00396E70">
        <w:rPr>
          <w:sz w:val="32"/>
          <w:szCs w:val="32"/>
          <w:rtl/>
        </w:rPr>
        <w:t xml:space="preserve"> أنّ مقتضى الإطلاق المقامي لأدلّة "حرمة الظلم" شمولها لما يراهُ المرتكز العقلائي ظلماً ولو لَمْ يكن ذلك في زمان النصّ</w:t>
      </w:r>
      <w:r w:rsidRPr="00396E70">
        <w:rPr>
          <w:sz w:val="32"/>
          <w:szCs w:val="32"/>
        </w:rPr>
        <w:t>.</w:t>
      </w:r>
    </w:p>
    <w:p w14:paraId="76A53CCC" w14:textId="77777777" w:rsidR="00396E70" w:rsidRPr="00396E70" w:rsidRDefault="00396E70" w:rsidP="00396E70">
      <w:pPr>
        <w:bidi/>
        <w:rPr>
          <w:sz w:val="32"/>
          <w:szCs w:val="32"/>
          <w:rtl/>
        </w:rPr>
      </w:pPr>
      <w:r w:rsidRPr="00396E70">
        <w:rPr>
          <w:sz w:val="32"/>
          <w:szCs w:val="32"/>
          <w:rtl/>
        </w:rPr>
        <w:t>فإنّ العنوان الاعتباري كعنوان: "الزوج" أو "المِلك"، أو العنوان الذي لَهُ مصاديق حقيقية واعتبارية كعنوان "المال"، حيثُ إنّ المال ما تتعلق به الرغبة العقلائية، وقد يكون واقعياً وقد يكون اعتبارياً، فالأدوية والأغذية مالٌ حقيقي لتعلّق الرغبة العقلائية بها في كُلّ زمانٍ، بينما العملات الورقية مصاديق اعتبارية للمال، ولذلك لو سقطت العملة أو نزلت قيمتها الشرائية إلى حدٍّ لا يتعامل بها، تسقط عنها المالية، فمصداقيتها للمال مصداقية اعتبارية</w:t>
      </w:r>
      <w:r w:rsidRPr="00396E70">
        <w:rPr>
          <w:sz w:val="32"/>
          <w:szCs w:val="32"/>
        </w:rPr>
        <w:t>.</w:t>
      </w:r>
    </w:p>
    <w:p w14:paraId="3C1A6009" w14:textId="77777777" w:rsidR="00396E70" w:rsidRPr="00396E70" w:rsidRDefault="00396E70" w:rsidP="00396E70">
      <w:pPr>
        <w:bidi/>
        <w:rPr>
          <w:sz w:val="32"/>
          <w:szCs w:val="32"/>
          <w:rtl/>
        </w:rPr>
      </w:pPr>
      <w:r w:rsidRPr="00396E70">
        <w:rPr>
          <w:sz w:val="32"/>
          <w:szCs w:val="32"/>
          <w:rtl/>
        </w:rPr>
        <w:t>وبناءً على ذلك، لو ورد العنوان الاعتباري أو العنوان الذي له مصداقان حقيقي واعتباري في كلام أيّ متكلم، فالظاهرُ الأولي منه أنّ المراد الجدّي ما يراهُ المُتكلم مِلكاً أو زوجاً أو مالاً</w:t>
      </w:r>
      <w:r w:rsidRPr="00396E70">
        <w:rPr>
          <w:sz w:val="32"/>
          <w:szCs w:val="32"/>
        </w:rPr>
        <w:t>.</w:t>
      </w:r>
    </w:p>
    <w:p w14:paraId="5AE311E9" w14:textId="77777777" w:rsidR="00396E70" w:rsidRPr="00396E70" w:rsidRDefault="00396E70" w:rsidP="00396E70">
      <w:pPr>
        <w:bidi/>
        <w:rPr>
          <w:sz w:val="32"/>
          <w:szCs w:val="32"/>
          <w:rtl/>
        </w:rPr>
      </w:pPr>
      <w:r w:rsidRPr="00396E70">
        <w:rPr>
          <w:sz w:val="32"/>
          <w:szCs w:val="32"/>
          <w:rtl/>
        </w:rPr>
        <w:t>إلّا أنّ هناك ميزة لعنوان "الظلم" مِن بين العناوين الاعتبارية، وهي: أنّه لا يمكن حمل الظلم على المعنى الشرعي؛ لأنّ لازمه أنْ تكون القضية مِن قبيل الضرورية بشرط المحمول؛ إذ معنى الظلم سلب ذي الحقّ حقّه، ومعنى الحقّ الشرعي ما حرم الشارع سلبه، فمقتضى ذلك أنْ يكون مفادُ قول المُشرع: يحرمُ الظلم -مع إرادة الشرعي منه- هو: يحرمُ سلب الحقّ الشرعي، والحقّ الشرعي هو ما حرم سلبه، فالنتيجة هي: يحرم سلب ما يحرم سلبه، وهذه مِن القضية الضرورية بشرط المحمول</w:t>
      </w:r>
      <w:r w:rsidRPr="00396E70">
        <w:rPr>
          <w:sz w:val="32"/>
          <w:szCs w:val="32"/>
        </w:rPr>
        <w:t>.</w:t>
      </w:r>
    </w:p>
    <w:p w14:paraId="5432ECE9" w14:textId="77777777" w:rsidR="00396E70" w:rsidRPr="00396E70" w:rsidRDefault="00396E70" w:rsidP="00396E70">
      <w:pPr>
        <w:bidi/>
        <w:rPr>
          <w:sz w:val="32"/>
          <w:szCs w:val="32"/>
          <w:rtl/>
        </w:rPr>
      </w:pPr>
      <w:r w:rsidRPr="00396E70">
        <w:rPr>
          <w:sz w:val="32"/>
          <w:szCs w:val="32"/>
          <w:rtl/>
        </w:rPr>
        <w:t>وذلك قرينة على كون المراد بـ "الظلم" في دليل تحريمه هو ما كان بالنظر العرفي ظلماً، وحيثُ تمّ ذلك فإنّ مقتضى الإطلاق المقامي لدليل "حرمة الظلم" بمقتضى وروده في مقام الردع عما عليه العرف البشري والتفات الشارع إلى أنّ للظلم مصاديق اعتبارية لدى العقلاء وسكوته عن الردع أو التقييد، هو إمضاءٌ النظر العقلائي العام في تحديد مصاديق الظلم المساوق لتحديد مصاديق الحقّ في رتبةٍ سابقةٍ، أي: أنّ مقتضى الإطلاق المقامي لدليل الحرمة هو حرمةُ الظلم العقلائي ولو كان في زمانٍ متأخرٍ عن الشارع، ومنهُ سلبُ حقّ البراءة أو سلبُ حقّ الحرّ العامل في فرصة العمل</w:t>
      </w:r>
      <w:r w:rsidRPr="00396E70">
        <w:rPr>
          <w:sz w:val="32"/>
          <w:szCs w:val="32"/>
        </w:rPr>
        <w:t>.</w:t>
      </w:r>
    </w:p>
    <w:p w14:paraId="40B79B9C" w14:textId="77777777" w:rsidR="00396E70" w:rsidRPr="00396E70" w:rsidRDefault="00396E70" w:rsidP="00396E70">
      <w:pPr>
        <w:bidi/>
        <w:rPr>
          <w:sz w:val="32"/>
          <w:szCs w:val="32"/>
          <w:rtl/>
        </w:rPr>
      </w:pPr>
      <w:r w:rsidRPr="00396E70">
        <w:rPr>
          <w:sz w:val="32"/>
          <w:szCs w:val="32"/>
          <w:rtl/>
        </w:rPr>
        <w:t xml:space="preserve">وقد أفاد السيد الشهيد الصدر (قدس سره الشريف) في قاعدة لا ضرر: أنّه يمكن طرح بيانٍ آخرٍ لإثبات الحقوق المستحدثة غيرُ ما مضى، وهو: </w:t>
      </w:r>
      <w:r w:rsidRPr="00396E70">
        <w:rPr>
          <w:b/>
          <w:bCs/>
          <w:sz w:val="32"/>
          <w:szCs w:val="32"/>
          <w:rtl/>
        </w:rPr>
        <w:t>التمسك بأصالة الثبات.</w:t>
      </w:r>
    </w:p>
    <w:p w14:paraId="5ED977E7" w14:textId="77777777" w:rsidR="00396E70" w:rsidRPr="00396E70" w:rsidRDefault="00396E70" w:rsidP="00396E70">
      <w:pPr>
        <w:bidi/>
        <w:rPr>
          <w:sz w:val="32"/>
          <w:szCs w:val="32"/>
          <w:rtl/>
        </w:rPr>
      </w:pPr>
      <w:r w:rsidRPr="00396E70">
        <w:rPr>
          <w:b/>
          <w:bCs/>
          <w:sz w:val="32"/>
          <w:szCs w:val="32"/>
          <w:rtl/>
        </w:rPr>
        <w:lastRenderedPageBreak/>
        <w:t>بتقريب:</w:t>
      </w:r>
      <w:r w:rsidRPr="00396E70">
        <w:rPr>
          <w:sz w:val="32"/>
          <w:szCs w:val="32"/>
          <w:rtl/>
        </w:rPr>
        <w:t xml:space="preserve"> أنّه لا ريب في صدق عنوان "الضرر" و "الظلم" بالنظر العرفي حقيقةً على سلب حقّ البراءة أو سلب فرصة العمل في زماننا، فإذا شك في ثبوت ذلك في زمان النصّ فمقتضى أصالة الثبات أنّ ما يصدق عليه أنّه ظلم أو ضرر بالفعل فهو كذلك في العرف المعاصر لزمان النصّ؛ فإنّ أصالة الثبات كما تجري في المفاهيم الحقيقية -نحو عنوان: "الصعيد" و "الدم"-  تجري في المفاهيم الاعتبارية  العقلائية، فكما أنّ مقتضى العادة عدم تغير المفاهيم اللغوية المتوارثة لدى أبناء اللغة الواحدة، كذلك مقتضى العادة عدم تباين النكات العقلائية بمرور الزمن.</w:t>
      </w:r>
    </w:p>
    <w:p w14:paraId="57D9B6A7" w14:textId="77777777" w:rsidR="00396E70" w:rsidRPr="00396E70" w:rsidRDefault="00396E70" w:rsidP="00396E70">
      <w:pPr>
        <w:bidi/>
        <w:rPr>
          <w:sz w:val="32"/>
          <w:szCs w:val="32"/>
          <w:rtl/>
        </w:rPr>
      </w:pPr>
    </w:p>
    <w:p w14:paraId="5641076C" w14:textId="77777777" w:rsidR="00396E70" w:rsidRPr="00396E70" w:rsidRDefault="00396E70" w:rsidP="00396E70">
      <w:pPr>
        <w:bidi/>
        <w:rPr>
          <w:b/>
          <w:bCs/>
          <w:sz w:val="32"/>
          <w:szCs w:val="32"/>
        </w:rPr>
      </w:pPr>
      <w:r w:rsidRPr="00396E70">
        <w:rPr>
          <w:b/>
          <w:bCs/>
          <w:sz w:val="32"/>
          <w:szCs w:val="32"/>
          <w:rtl/>
        </w:rPr>
        <w:t>والحمد لله رب العالمين</w:t>
      </w:r>
    </w:p>
    <w:p w14:paraId="674B37A1" w14:textId="77777777" w:rsidR="00396E70" w:rsidRDefault="00396E70" w:rsidP="00396E70">
      <w:pPr>
        <w:bidi/>
        <w:rPr>
          <w:sz w:val="32"/>
          <w:szCs w:val="32"/>
        </w:rPr>
      </w:pPr>
    </w:p>
    <w:p w14:paraId="1F5F71D5" w14:textId="77777777" w:rsidR="00E003A8" w:rsidRDefault="00E003A8" w:rsidP="00E003A8">
      <w:pPr>
        <w:bidi/>
        <w:rPr>
          <w:sz w:val="32"/>
          <w:szCs w:val="32"/>
        </w:rPr>
      </w:pPr>
    </w:p>
    <w:p w14:paraId="0102E46F" w14:textId="143577AF" w:rsidR="00E003A8" w:rsidRDefault="00E003A8" w:rsidP="00E003A8">
      <w:pPr>
        <w:pStyle w:val="Heading3"/>
        <w:bidi/>
        <w:rPr>
          <w:sz w:val="32"/>
          <w:szCs w:val="32"/>
        </w:rPr>
      </w:pPr>
      <w:r>
        <w:rPr>
          <w:sz w:val="32"/>
          <w:szCs w:val="32"/>
        </w:rPr>
        <w:t>328</w:t>
      </w:r>
    </w:p>
    <w:p w14:paraId="41B28150" w14:textId="77777777" w:rsidR="00E003A8" w:rsidRPr="00E003A8" w:rsidRDefault="00E003A8" w:rsidP="00E003A8">
      <w:pPr>
        <w:bidi/>
        <w:rPr>
          <w:b/>
          <w:bCs/>
          <w:sz w:val="32"/>
          <w:szCs w:val="32"/>
        </w:rPr>
      </w:pPr>
      <w:r w:rsidRPr="00E003A8">
        <w:rPr>
          <w:b/>
          <w:bCs/>
          <w:sz w:val="32"/>
          <w:szCs w:val="32"/>
          <w:rtl/>
        </w:rPr>
        <w:t>بسم الله الرحمن الرحيم</w:t>
      </w:r>
    </w:p>
    <w:p w14:paraId="7817B09A" w14:textId="77777777" w:rsidR="00E003A8" w:rsidRPr="00E003A8" w:rsidRDefault="00E003A8" w:rsidP="00E003A8">
      <w:pPr>
        <w:bidi/>
        <w:rPr>
          <w:b/>
          <w:bCs/>
          <w:sz w:val="32"/>
          <w:szCs w:val="32"/>
          <w:rtl/>
        </w:rPr>
      </w:pPr>
      <w:r w:rsidRPr="00E003A8">
        <w:rPr>
          <w:b/>
          <w:bCs/>
          <w:sz w:val="32"/>
          <w:szCs w:val="32"/>
          <w:rtl/>
        </w:rPr>
        <w:t>والصلاة والسلام على أشرف الأنبياء والمرسلين، محمد وآله الطيبين الطاهرين</w:t>
      </w:r>
    </w:p>
    <w:p w14:paraId="3FDEFC48" w14:textId="77777777" w:rsidR="00E003A8" w:rsidRPr="00E003A8" w:rsidRDefault="00E003A8" w:rsidP="00E003A8">
      <w:pPr>
        <w:bidi/>
        <w:rPr>
          <w:sz w:val="32"/>
          <w:szCs w:val="32"/>
          <w:rtl/>
        </w:rPr>
      </w:pPr>
      <w:r w:rsidRPr="00E003A8">
        <w:rPr>
          <w:b/>
          <w:bCs/>
          <w:sz w:val="32"/>
          <w:szCs w:val="32"/>
          <w:rtl/>
        </w:rPr>
        <w:t>واللعن الدائم على أعدائهم أجمعين إلى قيام يوم الدين</w:t>
      </w:r>
    </w:p>
    <w:p w14:paraId="68812534" w14:textId="77777777" w:rsidR="00E003A8" w:rsidRPr="00E003A8" w:rsidRDefault="00E003A8" w:rsidP="00E003A8">
      <w:pPr>
        <w:bidi/>
        <w:rPr>
          <w:sz w:val="32"/>
          <w:szCs w:val="32"/>
          <w:rtl/>
        </w:rPr>
      </w:pPr>
    </w:p>
    <w:p w14:paraId="3D7D2DEF" w14:textId="77777777" w:rsidR="00E003A8" w:rsidRPr="00E003A8" w:rsidRDefault="00E003A8" w:rsidP="00E003A8">
      <w:pPr>
        <w:bidi/>
        <w:rPr>
          <w:b/>
          <w:bCs/>
          <w:sz w:val="32"/>
          <w:szCs w:val="32"/>
          <w:rtl/>
        </w:rPr>
      </w:pPr>
      <w:r w:rsidRPr="00E003A8">
        <w:rPr>
          <w:sz w:val="32"/>
          <w:szCs w:val="32"/>
          <w:rtl/>
        </w:rPr>
        <w:t>وقد أفاد السيد الشهيد الصدر (قدس سره الشريف) في بحوثه</w:t>
      </w:r>
      <w:r w:rsidRPr="00E003A8">
        <w:rPr>
          <w:sz w:val="32"/>
          <w:szCs w:val="32"/>
          <w:vertAlign w:val="superscript"/>
          <w:rtl/>
        </w:rPr>
        <w:footnoteReference w:id="231"/>
      </w:r>
      <w:r w:rsidRPr="00E003A8">
        <w:rPr>
          <w:sz w:val="32"/>
          <w:szCs w:val="32"/>
          <w:rtl/>
        </w:rPr>
        <w:t xml:space="preserve"> أنّه يمكن طرح بيانٍ آخرٍ لإثبات شرعية الحقوق المستحدثة غيرُ ما مضى، وهو: </w:t>
      </w:r>
      <w:r w:rsidRPr="00E003A8">
        <w:rPr>
          <w:b/>
          <w:bCs/>
          <w:sz w:val="32"/>
          <w:szCs w:val="32"/>
          <w:rtl/>
        </w:rPr>
        <w:t>التمسك بأصالة الثبات</w:t>
      </w:r>
      <w:r w:rsidRPr="00E003A8">
        <w:rPr>
          <w:b/>
          <w:bCs/>
          <w:sz w:val="32"/>
          <w:szCs w:val="32"/>
        </w:rPr>
        <w:t>.</w:t>
      </w:r>
    </w:p>
    <w:p w14:paraId="0657EED6" w14:textId="77777777" w:rsidR="00E003A8" w:rsidRPr="00E003A8" w:rsidRDefault="00E003A8" w:rsidP="00E003A8">
      <w:pPr>
        <w:bidi/>
        <w:rPr>
          <w:sz w:val="32"/>
          <w:szCs w:val="32"/>
          <w:rtl/>
        </w:rPr>
      </w:pPr>
      <w:r w:rsidRPr="00E003A8">
        <w:rPr>
          <w:b/>
          <w:bCs/>
          <w:sz w:val="32"/>
          <w:szCs w:val="32"/>
          <w:rtl/>
        </w:rPr>
        <w:t xml:space="preserve">بتقريب: </w:t>
      </w:r>
      <w:r w:rsidRPr="00E003A8">
        <w:rPr>
          <w:sz w:val="32"/>
          <w:szCs w:val="32"/>
          <w:rtl/>
        </w:rPr>
        <w:t xml:space="preserve">أنّه لا ريب في صدق عنوان "الضرر" و "الظلم" بالنظر العرفي حقيقةً على سلب حقّ البراءة أو سلب فرصة العمل عن الحر العامل في زماننا، فإذا شك في ثبوت ذلك في زمان النصّ فمقتضى أصالة الثبات أنّ ما يصدق عليه أنّه ظلم أو ضرر بالفعل فهو كذلك في العرف المعاصر لزمان النصّ؛ فإنّ أصالة الثبات كما تجري في المفاهيم الحقيقية -نحو عنوان: "الصعيد" و "الدم"- تجري في المفاهيم الاعتبارية العقلائية؛ بلحاظ أنّه كما أنّ مقتضى </w:t>
      </w:r>
      <w:r w:rsidRPr="00E003A8">
        <w:rPr>
          <w:sz w:val="32"/>
          <w:szCs w:val="32"/>
          <w:rtl/>
        </w:rPr>
        <w:lastRenderedPageBreak/>
        <w:t>العادة عدم تغير المفاهيم اللغوية المتوارثة لدى أبناء اللغة الواحدة، كذلك مقتضى العادة عدم تباين النكات العقلائية الدخيلة في المفاهيم الاعتبارية بمرور الزمن</w:t>
      </w:r>
      <w:r w:rsidRPr="00E003A8">
        <w:rPr>
          <w:sz w:val="32"/>
          <w:szCs w:val="32"/>
        </w:rPr>
        <w:t>.</w:t>
      </w:r>
    </w:p>
    <w:p w14:paraId="76724661" w14:textId="77777777" w:rsidR="00E003A8" w:rsidRPr="00E003A8" w:rsidRDefault="00E003A8" w:rsidP="00E003A8">
      <w:pPr>
        <w:bidi/>
        <w:rPr>
          <w:sz w:val="32"/>
          <w:szCs w:val="32"/>
          <w:rtl/>
        </w:rPr>
      </w:pPr>
      <w:r w:rsidRPr="00E003A8">
        <w:rPr>
          <w:b/>
          <w:bCs/>
          <w:sz w:val="32"/>
          <w:szCs w:val="32"/>
          <w:rtl/>
        </w:rPr>
        <w:t>وبعبارةٍ أُخرى:</w:t>
      </w:r>
      <w:r w:rsidRPr="00E003A8">
        <w:rPr>
          <w:sz w:val="32"/>
          <w:szCs w:val="32"/>
          <w:rtl/>
        </w:rPr>
        <w:t xml:space="preserve"> إنّ عنوان "الضرر" وعنوان "الظلم" مما يصدق في زماننا على تفويت حقّ البراءة أو حقّ العامل في فرصة العمل، فإذا شك في صدق هذا العنوان على تفويت هذين الحقّين في زمن النصّ -وهو زمن صدور "لا ضرر" ودليل "حرمة الظلم"- أمكن إثباته في زمن النصّ بأصالة الثبات.</w:t>
      </w:r>
    </w:p>
    <w:p w14:paraId="1902F1C0" w14:textId="77777777" w:rsidR="00E003A8" w:rsidRPr="00E003A8" w:rsidRDefault="00E003A8" w:rsidP="00E003A8">
      <w:pPr>
        <w:bidi/>
        <w:rPr>
          <w:b/>
          <w:bCs/>
          <w:sz w:val="32"/>
          <w:szCs w:val="32"/>
          <w:rtl/>
        </w:rPr>
      </w:pPr>
      <w:r w:rsidRPr="00E003A8">
        <w:rPr>
          <w:b/>
          <w:bCs/>
          <w:sz w:val="32"/>
          <w:szCs w:val="32"/>
          <w:rtl/>
        </w:rPr>
        <w:t>ويلاحظُ على ما أفاده (قدس سره)</w:t>
      </w:r>
      <w:r w:rsidRPr="00E003A8">
        <w:rPr>
          <w:b/>
          <w:bCs/>
          <w:sz w:val="32"/>
          <w:szCs w:val="32"/>
        </w:rPr>
        <w:t>:</w:t>
      </w:r>
    </w:p>
    <w:p w14:paraId="210105A1" w14:textId="77777777" w:rsidR="00E003A8" w:rsidRPr="00E003A8" w:rsidRDefault="00E003A8" w:rsidP="00E003A8">
      <w:pPr>
        <w:bidi/>
        <w:rPr>
          <w:sz w:val="32"/>
          <w:szCs w:val="32"/>
          <w:rtl/>
        </w:rPr>
      </w:pPr>
      <w:r w:rsidRPr="00E003A8">
        <w:rPr>
          <w:b/>
          <w:bCs/>
          <w:sz w:val="32"/>
          <w:szCs w:val="32"/>
          <w:rtl/>
        </w:rPr>
        <w:t xml:space="preserve">أوّلاً: </w:t>
      </w:r>
      <w:r w:rsidRPr="00E003A8">
        <w:rPr>
          <w:sz w:val="32"/>
          <w:szCs w:val="32"/>
          <w:rtl/>
        </w:rPr>
        <w:t xml:space="preserve">أنّ المختار عندنا في الأصول في بحث حجية الظهور هو منعُ الكبرى وهي أصالة الثبات في المعاني اللغوية؛ وذلك لأنّ اللغة -لا بمعنى النطق ولا بمعنى القدرة على التركيب- </w:t>
      </w:r>
      <w:r w:rsidRPr="00E003A8">
        <w:rPr>
          <w:sz w:val="32"/>
          <w:szCs w:val="32"/>
          <w:highlight w:val="yellow"/>
          <w:rtl/>
        </w:rPr>
        <w:t>بمعنى الارتباط العرفي بين اللفظ والمعنى</w:t>
      </w:r>
      <w:r w:rsidRPr="00E003A8">
        <w:rPr>
          <w:sz w:val="32"/>
          <w:szCs w:val="32"/>
          <w:rtl/>
        </w:rPr>
        <w:t xml:space="preserve"> مِن الظواهر الاجتماعية الحية، ومعنى أنّها مِن الظواهر الحية: أي الظواهر المتحركة القابلة للتجدد والتغير كسائر الظواهر الاجتماعية الحية في تقاليد المجتمعات وأعرافهم ومبانيهم، فاللغة بهذا المعنى فهي في معرضية التغير، خصوصاً مِن حيثُ السعة والضيق، فلا يوجد مرتكزٌ عقلائي على أنّ الأصل في المعاني اللغوية أنْ تكون ثابتة مِن دون تغيير</w:t>
      </w:r>
      <w:r w:rsidRPr="00E003A8">
        <w:rPr>
          <w:sz w:val="32"/>
          <w:szCs w:val="32"/>
        </w:rPr>
        <w:t>.</w:t>
      </w:r>
    </w:p>
    <w:p w14:paraId="3F41B1C7" w14:textId="77777777" w:rsidR="00E003A8" w:rsidRPr="00E003A8" w:rsidRDefault="00E003A8" w:rsidP="00E003A8">
      <w:pPr>
        <w:bidi/>
        <w:rPr>
          <w:sz w:val="32"/>
          <w:szCs w:val="32"/>
          <w:rtl/>
        </w:rPr>
      </w:pPr>
      <w:r w:rsidRPr="00E003A8">
        <w:rPr>
          <w:sz w:val="32"/>
          <w:szCs w:val="32"/>
          <w:rtl/>
        </w:rPr>
        <w:t xml:space="preserve">نعم، إنْ كان المقصود بأصالة الثبات: أنّ مقتضى العادة حصول الوثوق النوعي -بثبات المعاني اللغوية والاعتبارية- للعرف العام، بحيثُ يكونُ احتمال الخلاف احتمالاً مما لا يعتنى بِهِ عرفاً، ولذلك جرت السيرة العقلائية على تنفيذ وثائق الوقف والوصية والعقود </w:t>
      </w:r>
      <w:proofErr w:type="spellStart"/>
      <w:r w:rsidRPr="00E003A8">
        <w:rPr>
          <w:sz w:val="32"/>
          <w:szCs w:val="32"/>
          <w:rtl/>
        </w:rPr>
        <w:t>والأقارير</w:t>
      </w:r>
      <w:proofErr w:type="spellEnd"/>
      <w:r w:rsidRPr="00E003A8">
        <w:rPr>
          <w:sz w:val="32"/>
          <w:szCs w:val="32"/>
          <w:rtl/>
        </w:rPr>
        <w:t xml:space="preserve"> على حسب ما هو المتبادر مِن ألفاظها في الزمان المعاصر، وإنْ كان صدور الوثيقة قَبل ألفِ عامٍ مثلاً، فهذا مما </w:t>
      </w:r>
      <w:proofErr w:type="spellStart"/>
      <w:r w:rsidRPr="00E003A8">
        <w:rPr>
          <w:sz w:val="32"/>
          <w:szCs w:val="32"/>
          <w:rtl/>
        </w:rPr>
        <w:t>لانزاع</w:t>
      </w:r>
      <w:proofErr w:type="spellEnd"/>
      <w:r w:rsidRPr="00E003A8">
        <w:rPr>
          <w:sz w:val="32"/>
          <w:szCs w:val="32"/>
          <w:rtl/>
        </w:rPr>
        <w:t xml:space="preserve"> فيه.</w:t>
      </w:r>
    </w:p>
    <w:p w14:paraId="564DF349" w14:textId="77777777" w:rsidR="00E003A8" w:rsidRPr="00E003A8" w:rsidRDefault="00E003A8" w:rsidP="00E003A8">
      <w:pPr>
        <w:bidi/>
        <w:rPr>
          <w:sz w:val="32"/>
          <w:szCs w:val="32"/>
          <w:rtl/>
        </w:rPr>
      </w:pPr>
      <w:r w:rsidRPr="00E003A8">
        <w:rPr>
          <w:sz w:val="32"/>
          <w:szCs w:val="32"/>
          <w:rtl/>
        </w:rPr>
        <w:t>ولكن لو قام منشأٌ عقلائي لاحتمال الخلاف كما لو فُرض أنّ الوثيقة صدرت مِن متكلمٍ ذي فهمٍ خاصّ كشاعرٍ أو أديبٍ، بحيثُ يكونُ ذلك منشأ عقلائياً لاحتمال معنى غير ما هو المتبادر في أذهاننا، أو كانت الوثيقة خطاباً لجماعةٍ معيّنةٍ لهم عرفٌ خاصّ، فإنّ العقلاء يتوقفون في مثل هذه الموارد، ولو كانت أصالة الثبات أصلاً عقلائياً مركوزاً لما توقف العقلاء في التعويل عليه في الموارد التي يكونُ فيها منشأٌ عقلائي لاحتمال الخلاف، نظير التمسك بأمارية اليد على المِلكيّة والإقرار على اللوازم وإنْ كان هناك منشأ عقلائي لاحتمال الخلاف.</w:t>
      </w:r>
    </w:p>
    <w:p w14:paraId="077B291D" w14:textId="77777777" w:rsidR="00E003A8" w:rsidRPr="00E003A8" w:rsidRDefault="00E003A8" w:rsidP="00E003A8">
      <w:pPr>
        <w:bidi/>
        <w:rPr>
          <w:sz w:val="32"/>
          <w:szCs w:val="32"/>
          <w:rtl/>
        </w:rPr>
      </w:pPr>
      <w:r w:rsidRPr="00E003A8">
        <w:rPr>
          <w:sz w:val="32"/>
          <w:szCs w:val="32"/>
          <w:rtl/>
        </w:rPr>
        <w:t>وبالتالي فلَمْ يُحرز بناء العقلاء على تنفيذ أصالة الثبات مع قيام منشأ عقلائي على الخلاف.</w:t>
      </w:r>
    </w:p>
    <w:p w14:paraId="1AE4FF1A" w14:textId="77777777" w:rsidR="00E003A8" w:rsidRPr="00E003A8" w:rsidRDefault="00E003A8" w:rsidP="00E003A8">
      <w:pPr>
        <w:bidi/>
        <w:rPr>
          <w:sz w:val="32"/>
          <w:szCs w:val="32"/>
          <w:rtl/>
        </w:rPr>
      </w:pPr>
      <w:r w:rsidRPr="00E003A8">
        <w:rPr>
          <w:b/>
          <w:bCs/>
          <w:sz w:val="32"/>
          <w:szCs w:val="32"/>
          <w:rtl/>
        </w:rPr>
        <w:lastRenderedPageBreak/>
        <w:t>فإنْ قيل:</w:t>
      </w:r>
      <w:r w:rsidRPr="00E003A8">
        <w:rPr>
          <w:sz w:val="32"/>
          <w:szCs w:val="32"/>
          <w:rtl/>
        </w:rPr>
        <w:t xml:space="preserve"> إذا لَمْ يُبنَ على أيِّ أصلٍ في المقام نحو أصالة عدم النقل أو الاستصحاب </w:t>
      </w:r>
      <w:proofErr w:type="spellStart"/>
      <w:r w:rsidRPr="00E003A8">
        <w:rPr>
          <w:sz w:val="32"/>
          <w:szCs w:val="32"/>
          <w:rtl/>
        </w:rPr>
        <w:t>القهقرائي</w:t>
      </w:r>
      <w:proofErr w:type="spellEnd"/>
      <w:r w:rsidRPr="00E003A8">
        <w:rPr>
          <w:sz w:val="32"/>
          <w:szCs w:val="32"/>
          <w:rtl/>
        </w:rPr>
        <w:t xml:space="preserve"> أو أصالة الثبات، فلازمُ سدّ هذا الباب سدّ باب الاستنباط.</w:t>
      </w:r>
    </w:p>
    <w:p w14:paraId="5E1B3972" w14:textId="77777777" w:rsidR="00E003A8" w:rsidRPr="00E003A8" w:rsidRDefault="00E003A8" w:rsidP="00E003A8">
      <w:pPr>
        <w:bidi/>
        <w:rPr>
          <w:sz w:val="32"/>
          <w:szCs w:val="32"/>
          <w:rtl/>
        </w:rPr>
      </w:pPr>
      <w:r w:rsidRPr="00E003A8">
        <w:rPr>
          <w:b/>
          <w:bCs/>
          <w:sz w:val="32"/>
          <w:szCs w:val="32"/>
          <w:rtl/>
        </w:rPr>
        <w:t xml:space="preserve">قلتُ: </w:t>
      </w:r>
      <w:r w:rsidRPr="00E003A8">
        <w:rPr>
          <w:sz w:val="32"/>
          <w:szCs w:val="32"/>
          <w:rtl/>
        </w:rPr>
        <w:t>إنّ المناط لدى الفقيه في مقام الاستنباط هو جمعُ القرائن المختلفة حتى يحصل لَهُ الاطمئنان بكون اللفظ ظاهراً في هذا المعنى، وذلك بمراجعة كتب اللغة وتراث الأدباء والشعراء، والتدقيق في كلمات القدماء مِن فقهائنا (رحمهم الله) فإنّ فهمهم للروايات الواردة مِن أوضح القرائن والشواهد على تحديد ظهور اللفظ في المعنى.</w:t>
      </w:r>
    </w:p>
    <w:p w14:paraId="5577C2AC" w14:textId="77777777" w:rsidR="00E003A8" w:rsidRPr="00E003A8" w:rsidRDefault="00E003A8" w:rsidP="00E003A8">
      <w:pPr>
        <w:bidi/>
        <w:rPr>
          <w:sz w:val="32"/>
          <w:szCs w:val="32"/>
          <w:rtl/>
        </w:rPr>
      </w:pPr>
      <w:r w:rsidRPr="00E003A8">
        <w:rPr>
          <w:b/>
          <w:bCs/>
          <w:sz w:val="32"/>
          <w:szCs w:val="32"/>
          <w:rtl/>
        </w:rPr>
        <w:t>وثانياً:</w:t>
      </w:r>
      <w:r w:rsidRPr="00E003A8">
        <w:rPr>
          <w:sz w:val="32"/>
          <w:szCs w:val="32"/>
          <w:rtl/>
        </w:rPr>
        <w:t xml:space="preserve"> على فرض التسليم بأصالة الثبات، فالمقام -وهو صدق عنوان "الظلم" على تفويت حقّ البراءة في زماننا- ليس مِن موارد تطبيقها؛ إذ المفروض أنّ صدق "الضرر" و "الظلم" على تفويت حقّ البراءة أو حقّ العامل في فرصة العمل لَمْ يستند لظهور اللفظ في نفسه في هذا المعنى، وإنّما تحقّق الصدق في طول اعتبارٍ عقلائي للحقّ، إذ لولا أنّ العقلاء في زماننا جرى بناؤهم على أنّ للعامل حقّاً في فرصة العمل لما صدق على حبسه عنوان "الضرر"، ولولا بناءُ العقلاء على أنّ للمخترع حقّ البراءة فيما اخترع لما صدق على تفويت هذا الحقّ أنّه ظلمٌ أو ضررٌ</w:t>
      </w:r>
      <w:r w:rsidRPr="00E003A8">
        <w:rPr>
          <w:sz w:val="32"/>
          <w:szCs w:val="32"/>
        </w:rPr>
        <w:t>.</w:t>
      </w:r>
    </w:p>
    <w:p w14:paraId="6E742EC7" w14:textId="77777777" w:rsidR="00E003A8" w:rsidRPr="00E003A8" w:rsidRDefault="00E003A8" w:rsidP="00E003A8">
      <w:pPr>
        <w:bidi/>
        <w:rPr>
          <w:sz w:val="32"/>
          <w:szCs w:val="32"/>
          <w:rtl/>
        </w:rPr>
      </w:pPr>
      <w:r w:rsidRPr="00E003A8">
        <w:rPr>
          <w:sz w:val="32"/>
          <w:szCs w:val="32"/>
          <w:rtl/>
        </w:rPr>
        <w:t>فصدق عنوان "الظلم" و "الضرر" في هذه الموارد ليس مِن ذات اللفظ كي يكون مِن موارد تطبيقات أصالة الثبات؛ وإنّما هو في طول اعتبارٍ عقلائي سابقٍ رتبةً على ثبوت الحقّ.</w:t>
      </w:r>
    </w:p>
    <w:p w14:paraId="7A337084" w14:textId="77777777" w:rsidR="00E003A8" w:rsidRPr="00E003A8" w:rsidRDefault="00E003A8" w:rsidP="00E003A8">
      <w:pPr>
        <w:bidi/>
        <w:rPr>
          <w:sz w:val="32"/>
          <w:szCs w:val="32"/>
          <w:rtl/>
        </w:rPr>
      </w:pPr>
      <w:r w:rsidRPr="00E003A8">
        <w:rPr>
          <w:sz w:val="32"/>
          <w:szCs w:val="32"/>
          <w:rtl/>
        </w:rPr>
        <w:t>وبالتالي، فإنْ كان للاعتبار العقلائي جذورٌ في زمن النصّ، بأنْ كانت هذه الاعتبارات العقلائية -حقّ البراءة وحقّ العامل في فرصة العمل- ناشئة عن مصالح نوعية عامّة، بحيثُ لو التفت العقلاء إليها في زمن النصّ لجرى بناؤهم الفعلي عليها؛ لأنّ جذورها جذور عقلائية عامّة، فيمكنُ التمسك بقاعدة "لا ضرر" أو بدليل "حرمة الظلم" لإثباتها، لكن مِن باب الإطلاق المقامي -لا من باب أصالة الثبات- المساوق لإمضاء الاعتبار العقلائي الارتكازي المتحقّق في زمن النصّ ارتكازاً وإنْ لَمْ يكن فعلاً؛ بلحاظ أنّ موضوع الإمضاء ليس السيرة العملية، وإنّما موضوع الإمضاء الارتكاز الكامن وراء السيرة، وإنْ لَمْ تكن سيرة على طبقه، وإنْ لَمْ يكن لهذه الاعتبارات العقلائية جذورٌ في زمن النصّ، كما لو احتملنا أنّ منشأ هذه الارتكازات مصالح في زماننا لا أنّها مصالح عقلائية نوعية فلا مجال لإثباتها لا بأصالة الثبات ولا بالإطلاق.</w:t>
      </w:r>
    </w:p>
    <w:p w14:paraId="22706B45" w14:textId="77777777" w:rsidR="00E003A8" w:rsidRPr="00E003A8" w:rsidRDefault="00E003A8" w:rsidP="00E003A8">
      <w:pPr>
        <w:bidi/>
        <w:rPr>
          <w:sz w:val="32"/>
          <w:szCs w:val="32"/>
          <w:rtl/>
        </w:rPr>
      </w:pPr>
      <w:r w:rsidRPr="00E003A8">
        <w:rPr>
          <w:b/>
          <w:bCs/>
          <w:sz w:val="32"/>
          <w:szCs w:val="32"/>
          <w:rtl/>
        </w:rPr>
        <w:t>فتلخص:</w:t>
      </w:r>
      <w:r w:rsidRPr="00E003A8">
        <w:rPr>
          <w:sz w:val="32"/>
          <w:szCs w:val="32"/>
          <w:rtl/>
        </w:rPr>
        <w:t xml:space="preserve"> أنّ الصحيح في مجال التمسك بالدليل النقلي -وهو دليل "لا ضرر" أو دليل "حرمة الظلم"- لإثبات هذه الحقوق المستحدثة هو أنّ مقتضى الإطلاق المقامي لهذه الأدلّة الإقرار بصدق الضرر والظلم على تفويت هذا الحقّ المستحدث، والإقرار بثبوت الحقّ إقرارٌ </w:t>
      </w:r>
      <w:r w:rsidRPr="00E003A8">
        <w:rPr>
          <w:sz w:val="32"/>
          <w:szCs w:val="32"/>
          <w:rtl/>
        </w:rPr>
        <w:lastRenderedPageBreak/>
        <w:t>بالضمان، لما مرّ مِن الاندماجية بين الاعتبارات، فإنّ اعتبار العقلاء للحقّ اعتبارٌ منهم لضمانه عند تفويته، فإنّ التفكيك بينهما مستهجنٌ</w:t>
      </w:r>
      <w:r w:rsidRPr="00E003A8">
        <w:rPr>
          <w:sz w:val="32"/>
          <w:szCs w:val="32"/>
        </w:rPr>
        <w:t>.</w:t>
      </w:r>
    </w:p>
    <w:p w14:paraId="4DCFFE86" w14:textId="77777777" w:rsidR="00E003A8" w:rsidRPr="00E003A8" w:rsidRDefault="00E003A8" w:rsidP="00E003A8">
      <w:pPr>
        <w:bidi/>
        <w:rPr>
          <w:sz w:val="32"/>
          <w:szCs w:val="32"/>
          <w:rtl/>
        </w:rPr>
      </w:pPr>
      <w:r w:rsidRPr="00E003A8">
        <w:rPr>
          <w:sz w:val="32"/>
          <w:szCs w:val="32"/>
          <w:rtl/>
        </w:rPr>
        <w:t xml:space="preserve">هذا تمامُ الكلام في التمسك بالدليل النقلي لإثبات الحقوق </w:t>
      </w:r>
      <w:proofErr w:type="gramStart"/>
      <w:r w:rsidRPr="00E003A8">
        <w:rPr>
          <w:sz w:val="32"/>
          <w:szCs w:val="32"/>
          <w:rtl/>
        </w:rPr>
        <w:t>المستحدثة</w:t>
      </w:r>
      <w:r w:rsidRPr="00E003A8">
        <w:rPr>
          <w:sz w:val="32"/>
          <w:szCs w:val="32"/>
        </w:rPr>
        <w:t xml:space="preserve"> .</w:t>
      </w:r>
      <w:proofErr w:type="gramEnd"/>
    </w:p>
    <w:p w14:paraId="3F6426F5" w14:textId="77777777" w:rsidR="00E003A8" w:rsidRPr="00E003A8" w:rsidRDefault="00E003A8" w:rsidP="007A501B">
      <w:pPr>
        <w:pStyle w:val="Heading3"/>
        <w:bidi/>
        <w:rPr>
          <w:b/>
          <w:bCs/>
          <w:sz w:val="32"/>
          <w:szCs w:val="32"/>
          <w:rtl/>
        </w:rPr>
      </w:pPr>
      <w:r w:rsidRPr="00E003A8">
        <w:rPr>
          <w:b/>
          <w:bCs/>
          <w:sz w:val="32"/>
          <w:szCs w:val="32"/>
          <w:rtl/>
        </w:rPr>
        <w:t>المنشأُ الثاني: الحيلولة</w:t>
      </w:r>
      <w:r w:rsidRPr="00E003A8">
        <w:rPr>
          <w:b/>
          <w:bCs/>
          <w:sz w:val="32"/>
          <w:szCs w:val="32"/>
        </w:rPr>
        <w:t>.</w:t>
      </w:r>
    </w:p>
    <w:p w14:paraId="00375B67" w14:textId="77777777" w:rsidR="00E003A8" w:rsidRPr="00E003A8" w:rsidRDefault="00E003A8" w:rsidP="00E003A8">
      <w:pPr>
        <w:bidi/>
        <w:rPr>
          <w:sz w:val="32"/>
          <w:szCs w:val="32"/>
          <w:rtl/>
        </w:rPr>
      </w:pPr>
      <w:r w:rsidRPr="00E003A8">
        <w:rPr>
          <w:sz w:val="32"/>
          <w:szCs w:val="32"/>
          <w:rtl/>
        </w:rPr>
        <w:t>التمسك لإثبات الضمان بمناط الحيلولة.</w:t>
      </w:r>
    </w:p>
    <w:p w14:paraId="66BA1C16" w14:textId="77777777" w:rsidR="00E003A8" w:rsidRPr="00E003A8" w:rsidRDefault="00E003A8" w:rsidP="00E003A8">
      <w:pPr>
        <w:bidi/>
        <w:rPr>
          <w:sz w:val="32"/>
          <w:szCs w:val="32"/>
          <w:rtl/>
        </w:rPr>
      </w:pPr>
      <w:r w:rsidRPr="00E003A8">
        <w:rPr>
          <w:sz w:val="32"/>
          <w:szCs w:val="32"/>
          <w:rtl/>
        </w:rPr>
        <w:t>إنّ سيدنا الخوئي (قدس سره الشريف) في كتاب الإجارة مِن موسوعته المباركة</w:t>
      </w:r>
      <w:r w:rsidRPr="00E003A8">
        <w:rPr>
          <w:sz w:val="32"/>
          <w:szCs w:val="32"/>
          <w:vertAlign w:val="superscript"/>
          <w:rtl/>
        </w:rPr>
        <w:footnoteReference w:id="232"/>
      </w:r>
      <w:r w:rsidRPr="00E003A8">
        <w:rPr>
          <w:sz w:val="32"/>
          <w:szCs w:val="32"/>
          <w:rtl/>
        </w:rPr>
        <w:t xml:space="preserve"> أفادَ أنّ منشأ الضمان أحد أمرين: إمّا اليد أو الإتلاف، فلو وضع الظالم أو الغاصب يده على عين وتلفت تحت يده لكان ضامناً بمناط اليد كما في المروي عن النبيّ الأعظم (صلى الله عليه وآله): </w:t>
      </w:r>
      <w:r w:rsidRPr="00E003A8">
        <w:rPr>
          <w:b/>
          <w:bCs/>
          <w:sz w:val="32"/>
          <w:szCs w:val="32"/>
          <w:rtl/>
        </w:rPr>
        <w:t>(على اليد ما أخذت حتى تؤدي)</w:t>
      </w:r>
      <w:r w:rsidRPr="00E003A8">
        <w:rPr>
          <w:sz w:val="32"/>
          <w:szCs w:val="32"/>
          <w:vertAlign w:val="superscript"/>
          <w:rtl/>
        </w:rPr>
        <w:footnoteReference w:id="233"/>
      </w:r>
      <w:r w:rsidRPr="00E003A8">
        <w:rPr>
          <w:sz w:val="32"/>
          <w:szCs w:val="32"/>
          <w:rtl/>
        </w:rPr>
        <w:t>، ولو أتلف المال أحد لكان ضامناً بمناط الإتلاف، وحيثُ إنّ مناط الضمان بنظر سيدنا الخوئي (قدس سره) -كما ذكر ذلك في كتاب الإجارة- إمّا اليد أو الإتلاف، وشيءٌ منهما لا يصدق على حبس الحرّ الكسوب ولو استمر سنين، فمقتضى ذلك أنْ لا ضمان لمنافعه</w:t>
      </w:r>
      <w:r w:rsidRPr="00E003A8">
        <w:rPr>
          <w:sz w:val="32"/>
          <w:szCs w:val="32"/>
        </w:rPr>
        <w:t>.</w:t>
      </w:r>
    </w:p>
    <w:p w14:paraId="0CD47581" w14:textId="77777777" w:rsidR="00E003A8" w:rsidRPr="00E003A8" w:rsidRDefault="00E003A8" w:rsidP="00E003A8">
      <w:pPr>
        <w:bidi/>
        <w:rPr>
          <w:sz w:val="32"/>
          <w:szCs w:val="32"/>
          <w:rtl/>
        </w:rPr>
      </w:pPr>
      <w:r w:rsidRPr="00E003A8">
        <w:rPr>
          <w:b/>
          <w:bCs/>
          <w:sz w:val="32"/>
          <w:szCs w:val="32"/>
          <w:rtl/>
        </w:rPr>
        <w:t xml:space="preserve">ولكن الظاهر: </w:t>
      </w:r>
      <w:r w:rsidRPr="00E003A8">
        <w:rPr>
          <w:sz w:val="32"/>
          <w:szCs w:val="32"/>
          <w:rtl/>
        </w:rPr>
        <w:t>أنّ نفس الحيلولة ومنع الحرّ العامل عن عمله هو في نفسه سببٌ للضمان</w:t>
      </w:r>
      <w:r w:rsidRPr="00E003A8">
        <w:rPr>
          <w:sz w:val="32"/>
          <w:szCs w:val="32"/>
        </w:rPr>
        <w:t>.</w:t>
      </w:r>
    </w:p>
    <w:p w14:paraId="4DAC7AE1" w14:textId="77777777" w:rsidR="00E003A8" w:rsidRPr="00E003A8" w:rsidRDefault="00E003A8" w:rsidP="00E003A8">
      <w:pPr>
        <w:bidi/>
        <w:rPr>
          <w:b/>
          <w:bCs/>
          <w:sz w:val="32"/>
          <w:szCs w:val="32"/>
          <w:rtl/>
        </w:rPr>
      </w:pPr>
      <w:r w:rsidRPr="00E003A8">
        <w:rPr>
          <w:b/>
          <w:bCs/>
          <w:sz w:val="32"/>
          <w:szCs w:val="32"/>
          <w:rtl/>
        </w:rPr>
        <w:t>وبيانُ ذلك بأحد طريقين</w:t>
      </w:r>
      <w:r w:rsidRPr="00E003A8">
        <w:rPr>
          <w:b/>
          <w:bCs/>
          <w:sz w:val="32"/>
          <w:szCs w:val="32"/>
        </w:rPr>
        <w:t>:</w:t>
      </w:r>
    </w:p>
    <w:p w14:paraId="6CF2D93C" w14:textId="77777777" w:rsidR="00E003A8" w:rsidRPr="00E003A8" w:rsidRDefault="00E003A8" w:rsidP="00E003A8">
      <w:pPr>
        <w:bidi/>
        <w:rPr>
          <w:sz w:val="32"/>
          <w:szCs w:val="32"/>
          <w:rtl/>
        </w:rPr>
      </w:pPr>
      <w:r w:rsidRPr="00E003A8">
        <w:rPr>
          <w:b/>
          <w:bCs/>
          <w:sz w:val="32"/>
          <w:szCs w:val="32"/>
          <w:rtl/>
        </w:rPr>
        <w:t>الطريقُ الأوّل:</w:t>
      </w:r>
      <w:r w:rsidRPr="00E003A8">
        <w:rPr>
          <w:sz w:val="32"/>
          <w:szCs w:val="32"/>
          <w:rtl/>
        </w:rPr>
        <w:t xml:space="preserve"> أنّ الضمان بمناط دفع الضرر؛ إذ لولا ضمان منافعه لكان ذلك ضرراً عليه</w:t>
      </w:r>
      <w:r w:rsidRPr="00E003A8">
        <w:rPr>
          <w:sz w:val="32"/>
          <w:szCs w:val="32"/>
        </w:rPr>
        <w:t>.</w:t>
      </w:r>
    </w:p>
    <w:p w14:paraId="3B84C849" w14:textId="77777777" w:rsidR="00E003A8" w:rsidRPr="00E003A8" w:rsidRDefault="00E003A8" w:rsidP="00E003A8">
      <w:pPr>
        <w:bidi/>
        <w:rPr>
          <w:sz w:val="32"/>
          <w:szCs w:val="32"/>
          <w:rtl/>
        </w:rPr>
      </w:pPr>
      <w:r w:rsidRPr="00E003A8">
        <w:rPr>
          <w:b/>
          <w:bCs/>
          <w:sz w:val="32"/>
          <w:szCs w:val="32"/>
          <w:rtl/>
        </w:rPr>
        <w:t>ولكن:</w:t>
      </w:r>
      <w:r w:rsidRPr="00E003A8">
        <w:rPr>
          <w:sz w:val="32"/>
          <w:szCs w:val="32"/>
          <w:rtl/>
        </w:rPr>
        <w:t xml:space="preserve"> هذا المناط يقتضي ثبوت حقٍّ في رتبةٍ سابقةٍ كي يكون تفويته ضرراً، فإنّه إذا كان تفويته ضرراً فلا دافع للضرر إلّا القول بالضمان</w:t>
      </w:r>
      <w:r w:rsidRPr="00E003A8">
        <w:rPr>
          <w:sz w:val="32"/>
          <w:szCs w:val="32"/>
        </w:rPr>
        <w:t>.</w:t>
      </w:r>
    </w:p>
    <w:p w14:paraId="70046B2A" w14:textId="77777777" w:rsidR="00E003A8" w:rsidRPr="00E003A8" w:rsidRDefault="00E003A8" w:rsidP="00E003A8">
      <w:pPr>
        <w:bidi/>
        <w:rPr>
          <w:sz w:val="32"/>
          <w:szCs w:val="32"/>
          <w:rtl/>
        </w:rPr>
      </w:pPr>
      <w:r w:rsidRPr="00E003A8">
        <w:rPr>
          <w:sz w:val="32"/>
          <w:szCs w:val="32"/>
          <w:rtl/>
        </w:rPr>
        <w:t>فهذا الطريق لا يتم إلّا إذا ثبت بناءٌ عقلائي على أنّ للعامل حقّاً في فرصة العمل أو للمخترع حقّاً فيما اخترع، فإذا ثبت بناء عقلائي على الحقّ كان عدم ضمانه ضرراً، فمقتضى دفع الضرر القولُ بالضمان</w:t>
      </w:r>
      <w:r w:rsidRPr="00E003A8">
        <w:rPr>
          <w:sz w:val="32"/>
          <w:szCs w:val="32"/>
        </w:rPr>
        <w:t>.</w:t>
      </w:r>
    </w:p>
    <w:p w14:paraId="74901182" w14:textId="77777777" w:rsidR="00E003A8" w:rsidRPr="00E003A8" w:rsidRDefault="00E003A8" w:rsidP="00E003A8">
      <w:pPr>
        <w:bidi/>
        <w:rPr>
          <w:sz w:val="32"/>
          <w:szCs w:val="32"/>
          <w:rtl/>
        </w:rPr>
      </w:pPr>
      <w:r w:rsidRPr="00E003A8">
        <w:rPr>
          <w:sz w:val="32"/>
          <w:szCs w:val="32"/>
          <w:rtl/>
        </w:rPr>
        <w:t>لكن مَن لا يرى وجود بناء عقلائي على ذلك كسيدنا الخوئي والسيد الشهيد الصدر (قدس سرهما) فلا مجال لإثبات الضمان لديه بنكتة دفع الضرر.</w:t>
      </w:r>
    </w:p>
    <w:p w14:paraId="55FC8DC1" w14:textId="77777777" w:rsidR="00E003A8" w:rsidRPr="00E003A8" w:rsidRDefault="00E003A8" w:rsidP="00E003A8">
      <w:pPr>
        <w:bidi/>
        <w:rPr>
          <w:sz w:val="32"/>
          <w:szCs w:val="32"/>
          <w:rtl/>
        </w:rPr>
      </w:pPr>
      <w:r w:rsidRPr="00E003A8">
        <w:rPr>
          <w:b/>
          <w:bCs/>
          <w:sz w:val="32"/>
          <w:szCs w:val="32"/>
          <w:rtl/>
        </w:rPr>
        <w:t>الطريقُ الثاني:</w:t>
      </w:r>
      <w:r w:rsidRPr="00E003A8">
        <w:rPr>
          <w:sz w:val="32"/>
          <w:szCs w:val="32"/>
          <w:rtl/>
        </w:rPr>
        <w:t xml:space="preserve"> أنّ مناط الضمان في المقام مِن باب الإتلاف</w:t>
      </w:r>
      <w:r w:rsidRPr="00E003A8">
        <w:rPr>
          <w:sz w:val="32"/>
          <w:szCs w:val="32"/>
        </w:rPr>
        <w:t>.</w:t>
      </w:r>
    </w:p>
    <w:p w14:paraId="54D703BF" w14:textId="77777777" w:rsidR="00E003A8" w:rsidRPr="00E003A8" w:rsidRDefault="00E003A8" w:rsidP="00E003A8">
      <w:pPr>
        <w:bidi/>
        <w:rPr>
          <w:sz w:val="32"/>
          <w:szCs w:val="32"/>
          <w:rtl/>
        </w:rPr>
      </w:pPr>
      <w:r w:rsidRPr="00E003A8">
        <w:rPr>
          <w:sz w:val="32"/>
          <w:szCs w:val="32"/>
          <w:rtl/>
        </w:rPr>
        <w:lastRenderedPageBreak/>
        <w:t>فإنّ إتلاف كلّ شيءٍ بحسبه، فإتلاف المال الحسّيّ الخارجي بكسره أو تضييعه، وإتلاف منافع الحرّ الكسوب عليه بالحيلولة بينه وبين استثمارها واستيفائها، فإنّ نفس الحيلولة مصداقٌ لقول العرف: "أتلفتَ عليه عمله حيثُ منعتَه منه".</w:t>
      </w:r>
    </w:p>
    <w:p w14:paraId="57B7A009" w14:textId="77777777" w:rsidR="00E003A8" w:rsidRPr="00E003A8" w:rsidRDefault="00E003A8" w:rsidP="00E003A8">
      <w:pPr>
        <w:bidi/>
        <w:rPr>
          <w:sz w:val="32"/>
          <w:szCs w:val="32"/>
          <w:rtl/>
        </w:rPr>
      </w:pPr>
      <w:r w:rsidRPr="00E003A8">
        <w:rPr>
          <w:b/>
          <w:bCs/>
          <w:sz w:val="32"/>
          <w:szCs w:val="32"/>
          <w:rtl/>
        </w:rPr>
        <w:t>أو فقُل:</w:t>
      </w:r>
      <w:r w:rsidRPr="00E003A8">
        <w:rPr>
          <w:sz w:val="32"/>
          <w:szCs w:val="32"/>
          <w:rtl/>
        </w:rPr>
        <w:t xml:space="preserve"> حيثُ إنّ عنوان "الإتلاف" لَمْ يرد في روايةٍ وإنّما القاعدة المعروفة: </w:t>
      </w:r>
      <w:r w:rsidRPr="00E003A8">
        <w:rPr>
          <w:b/>
          <w:bCs/>
          <w:sz w:val="32"/>
          <w:szCs w:val="32"/>
          <w:rtl/>
        </w:rPr>
        <w:t xml:space="preserve">"مَن أتلف مالَ غيره فهو لَهُ ضامنٌ" </w:t>
      </w:r>
      <w:r w:rsidRPr="00E003A8">
        <w:rPr>
          <w:sz w:val="32"/>
          <w:szCs w:val="32"/>
          <w:rtl/>
        </w:rPr>
        <w:t>هي قاعدةٌ متصيدة، بل ذهب بعضهم إلى أنّه لا دليل عليها إلّا المرتكز العقلائي، وبالتالي لا وجه للدوران مدار صدق الإتلاف؛ بل يُقال: إنّ النكتة التي أوجبتْ أنْ يكون الإتلاف سبباً للضمان -وهي التضييع والهدر- هي نفس النكتة التي أوجبتْ أنْ تكون الحيلولة مناطاً للضمان.</w:t>
      </w:r>
    </w:p>
    <w:p w14:paraId="3A835774" w14:textId="77777777" w:rsidR="00E003A8" w:rsidRPr="00E003A8" w:rsidRDefault="00E003A8" w:rsidP="00E003A8">
      <w:pPr>
        <w:bidi/>
        <w:rPr>
          <w:sz w:val="32"/>
          <w:szCs w:val="32"/>
          <w:rtl/>
        </w:rPr>
      </w:pPr>
    </w:p>
    <w:p w14:paraId="5BBEE357" w14:textId="77777777" w:rsidR="00E003A8" w:rsidRPr="00E003A8" w:rsidRDefault="00E003A8" w:rsidP="00E003A8">
      <w:pPr>
        <w:bidi/>
        <w:rPr>
          <w:b/>
          <w:bCs/>
          <w:sz w:val="32"/>
          <w:szCs w:val="32"/>
          <w:rtl/>
        </w:rPr>
      </w:pPr>
      <w:r w:rsidRPr="00E003A8">
        <w:rPr>
          <w:b/>
          <w:bCs/>
          <w:sz w:val="32"/>
          <w:szCs w:val="32"/>
          <w:rtl/>
        </w:rPr>
        <w:t>والحمد لله رب العالمين</w:t>
      </w:r>
    </w:p>
    <w:p w14:paraId="626F4747" w14:textId="1C0C6F7E" w:rsidR="00E003A8" w:rsidRDefault="0053786A" w:rsidP="0053786A">
      <w:pPr>
        <w:pStyle w:val="Heading3"/>
        <w:bidi/>
        <w:rPr>
          <w:sz w:val="32"/>
          <w:szCs w:val="32"/>
          <w:rtl/>
        </w:rPr>
      </w:pPr>
      <w:r>
        <w:rPr>
          <w:rFonts w:hint="cs"/>
          <w:sz w:val="32"/>
          <w:szCs w:val="32"/>
          <w:rtl/>
        </w:rPr>
        <w:t>329</w:t>
      </w:r>
    </w:p>
    <w:p w14:paraId="091D1BB8" w14:textId="77777777" w:rsidR="0053786A" w:rsidRPr="0053786A" w:rsidRDefault="0053786A" w:rsidP="0053786A">
      <w:pPr>
        <w:bidi/>
        <w:rPr>
          <w:b/>
          <w:bCs/>
          <w:sz w:val="32"/>
          <w:szCs w:val="32"/>
        </w:rPr>
      </w:pPr>
      <w:r w:rsidRPr="0053786A">
        <w:rPr>
          <w:b/>
          <w:bCs/>
          <w:sz w:val="32"/>
          <w:szCs w:val="32"/>
          <w:rtl/>
        </w:rPr>
        <w:t>بسم الله الرحمن الرحيم</w:t>
      </w:r>
    </w:p>
    <w:p w14:paraId="3CBD27D4" w14:textId="77777777" w:rsidR="0053786A" w:rsidRPr="0053786A" w:rsidRDefault="0053786A" w:rsidP="0053786A">
      <w:pPr>
        <w:bidi/>
        <w:rPr>
          <w:b/>
          <w:bCs/>
          <w:sz w:val="32"/>
          <w:szCs w:val="32"/>
          <w:rtl/>
        </w:rPr>
      </w:pPr>
      <w:r w:rsidRPr="0053786A">
        <w:rPr>
          <w:b/>
          <w:bCs/>
          <w:sz w:val="32"/>
          <w:szCs w:val="32"/>
          <w:rtl/>
        </w:rPr>
        <w:t>والصلاة والسلام على أشرف الأنبياء والمرسلين، محمد وآله الطيبين الطاهرين</w:t>
      </w:r>
    </w:p>
    <w:p w14:paraId="3FADBC85" w14:textId="77777777" w:rsidR="0053786A" w:rsidRPr="0053786A" w:rsidRDefault="0053786A" w:rsidP="0053786A">
      <w:pPr>
        <w:bidi/>
        <w:rPr>
          <w:sz w:val="32"/>
          <w:szCs w:val="32"/>
          <w:rtl/>
        </w:rPr>
      </w:pPr>
      <w:r w:rsidRPr="0053786A">
        <w:rPr>
          <w:b/>
          <w:bCs/>
          <w:sz w:val="32"/>
          <w:szCs w:val="32"/>
          <w:rtl/>
        </w:rPr>
        <w:t>واللعن الدائم على أعدائهم أجمعين إلى قيام يوم الدين</w:t>
      </w:r>
    </w:p>
    <w:p w14:paraId="0725FF41" w14:textId="77777777" w:rsidR="0053786A" w:rsidRPr="0053786A" w:rsidRDefault="0053786A" w:rsidP="0053786A">
      <w:pPr>
        <w:bidi/>
        <w:rPr>
          <w:sz w:val="32"/>
          <w:szCs w:val="32"/>
          <w:rtl/>
        </w:rPr>
      </w:pPr>
    </w:p>
    <w:p w14:paraId="57BE1849" w14:textId="77777777" w:rsidR="0053786A" w:rsidRPr="0053786A" w:rsidRDefault="0053786A" w:rsidP="0053786A">
      <w:pPr>
        <w:bidi/>
        <w:rPr>
          <w:sz w:val="32"/>
          <w:szCs w:val="32"/>
          <w:rtl/>
        </w:rPr>
      </w:pPr>
      <w:r w:rsidRPr="0053786A">
        <w:rPr>
          <w:b/>
          <w:bCs/>
          <w:sz w:val="32"/>
          <w:szCs w:val="32"/>
          <w:rtl/>
        </w:rPr>
        <w:t>والحاصل:</w:t>
      </w:r>
      <w:r w:rsidRPr="0053786A">
        <w:rPr>
          <w:sz w:val="32"/>
          <w:szCs w:val="32"/>
          <w:rtl/>
        </w:rPr>
        <w:t xml:space="preserve"> أنّ المنشأ الثاني لضمان منافع الحرّ الكسوب لدى العقلاء هو الحيلولة، أي: منعُ الحرّ العامل مِن فرصة العمل بحبسه أو قهره على ذلك، وهذا المنعُ بالنظر العرفي مصداقٌ للإتلاف، وهو مناطُ الضمان، ومقتضى ذلك هو الفرق بين الحرّ المستعد للعمل وغيره بضمان منافع الأوّل دون الثاني، وإنْ كان كلّ منهما ذا منافع وكلٌّ منهما واجداً للقدرة التكوينية على العمل، إلّا أنّ أحدهما في مقام الاستعداد للعمل والآخر ليس كذلك.</w:t>
      </w:r>
    </w:p>
    <w:p w14:paraId="32B680C9" w14:textId="77777777" w:rsidR="0053786A" w:rsidRPr="0053786A" w:rsidRDefault="0053786A" w:rsidP="0053786A">
      <w:pPr>
        <w:bidi/>
        <w:rPr>
          <w:sz w:val="32"/>
          <w:szCs w:val="32"/>
          <w:rtl/>
        </w:rPr>
      </w:pPr>
      <w:r w:rsidRPr="0053786A">
        <w:rPr>
          <w:b/>
          <w:bCs/>
          <w:sz w:val="32"/>
          <w:szCs w:val="32"/>
          <w:rtl/>
        </w:rPr>
        <w:t>والسر في ذلك:</w:t>
      </w:r>
      <w:r w:rsidRPr="0053786A">
        <w:rPr>
          <w:sz w:val="32"/>
          <w:szCs w:val="32"/>
          <w:rtl/>
        </w:rPr>
        <w:t xml:space="preserve"> أنّ حبس الحرّ المستعد للعمل مما يستندُ فوتُ منافعه إلى الحبس؛ لأنّه لولا الحبس لاستثمر هذه المنافع، بينما الحرّ غير المستعد للعمل وإنْ كان قادراً عليه لكنه لا يستندُ فوتُ منافعه إلى الحبس، بل فوتها لعدم المقتضي -لا لوجود المانع-، إذ سواءً حبس أو لَمْ يحبس فإنّ المنافع فائتةٌ عليه على كلّ حالٍ</w:t>
      </w:r>
      <w:r w:rsidRPr="0053786A">
        <w:rPr>
          <w:sz w:val="32"/>
          <w:szCs w:val="32"/>
        </w:rPr>
        <w:t>.</w:t>
      </w:r>
    </w:p>
    <w:p w14:paraId="1E7777D0" w14:textId="77777777" w:rsidR="0053786A" w:rsidRPr="0053786A" w:rsidRDefault="0053786A" w:rsidP="0053786A">
      <w:pPr>
        <w:bidi/>
        <w:rPr>
          <w:sz w:val="32"/>
          <w:szCs w:val="32"/>
          <w:rtl/>
        </w:rPr>
      </w:pPr>
      <w:r w:rsidRPr="0053786A">
        <w:rPr>
          <w:b/>
          <w:bCs/>
          <w:sz w:val="32"/>
          <w:szCs w:val="32"/>
          <w:rtl/>
        </w:rPr>
        <w:t>أو فقُل:</w:t>
      </w:r>
      <w:r w:rsidRPr="0053786A">
        <w:rPr>
          <w:sz w:val="32"/>
          <w:szCs w:val="32"/>
          <w:rtl/>
        </w:rPr>
        <w:t xml:space="preserve"> إنّ منافع كليهما وإنْ كان محط الرغبة العقلائية، إلّا أنّ عنوان المالية عنوانٌ انتزاعي، والمصحح لانتزاعه مما لا يكفي فيه كون المنافع محطاً للرغبة العقلائية في حدّ ذاتها، بل لابُدّ </w:t>
      </w:r>
      <w:r w:rsidRPr="0053786A">
        <w:rPr>
          <w:sz w:val="32"/>
          <w:szCs w:val="32"/>
          <w:rtl/>
        </w:rPr>
        <w:lastRenderedPageBreak/>
        <w:t>مِن ضم عنصرٍ آخر وهو كونُ المنافع معرضاً للمعاملة عليها بيُسرٍ لا مطلقاً، والحرّ القادر على العمل الفاقدُ للاستعداد لَهُ مما لا مصحح لاتصاف منافعه بالمالية، وعلى فرض اتصافها بذلك ففوتها عند حبسه لفقد المقتضي وهو عدمُ الاستعداد -لا لوجود المانع</w:t>
      </w:r>
      <w:r w:rsidRPr="0053786A">
        <w:rPr>
          <w:sz w:val="32"/>
          <w:szCs w:val="32"/>
        </w:rPr>
        <w:t>-</w:t>
      </w:r>
      <w:r w:rsidRPr="0053786A">
        <w:rPr>
          <w:sz w:val="32"/>
          <w:szCs w:val="32"/>
          <w:rtl/>
        </w:rPr>
        <w:t>.</w:t>
      </w:r>
    </w:p>
    <w:p w14:paraId="683C2367" w14:textId="77777777" w:rsidR="0053786A" w:rsidRPr="0053786A" w:rsidRDefault="0053786A" w:rsidP="0053786A">
      <w:pPr>
        <w:bidi/>
        <w:rPr>
          <w:sz w:val="32"/>
          <w:szCs w:val="32"/>
          <w:rtl/>
        </w:rPr>
      </w:pPr>
      <w:r w:rsidRPr="0053786A">
        <w:rPr>
          <w:b/>
          <w:bCs/>
          <w:sz w:val="32"/>
          <w:szCs w:val="32"/>
          <w:rtl/>
        </w:rPr>
        <w:t>فإنْ قُلتَ:</w:t>
      </w:r>
      <w:r w:rsidRPr="0053786A">
        <w:rPr>
          <w:sz w:val="32"/>
          <w:szCs w:val="32"/>
          <w:rtl/>
        </w:rPr>
        <w:t xml:space="preserve"> لازم ذلك التفصيلُ حتى في الأعيان والعبيد، </w:t>
      </w:r>
      <w:r w:rsidRPr="0053786A">
        <w:rPr>
          <w:b/>
          <w:bCs/>
          <w:sz w:val="32"/>
          <w:szCs w:val="32"/>
          <w:rtl/>
        </w:rPr>
        <w:t>بأنْ يُقال:</w:t>
      </w:r>
      <w:r w:rsidRPr="0053786A">
        <w:rPr>
          <w:sz w:val="32"/>
          <w:szCs w:val="32"/>
          <w:rtl/>
        </w:rPr>
        <w:t xml:space="preserve"> إنْ غصبَ السيارة المعدّة للاستثمار ضمن منافعها، وإنْ غصبَ السيارةَ المهملة فمقتضى ذلك عدمُ ضمان منافعها، وكذلك الأمر في حبس العبد المملوك فإنّه لابُدّ أنْ يفصل بين كونه عبداً معداً للعمل والاستفادة مِن منافعه فيضمن منافعه، وإنْ كان عبداً عاطلاً فحبسه لا يوجبُ ضمان منافعه؛ لأنّ منافعه ليست موضوعاً لانتزاع صفة المالية بلحاظ عدم كونها في معرض المعاملة</w:t>
      </w:r>
      <w:r w:rsidRPr="0053786A">
        <w:rPr>
          <w:sz w:val="32"/>
          <w:szCs w:val="32"/>
        </w:rPr>
        <w:t>.</w:t>
      </w:r>
    </w:p>
    <w:p w14:paraId="66271323" w14:textId="77777777" w:rsidR="0053786A" w:rsidRPr="0053786A" w:rsidRDefault="0053786A" w:rsidP="0053786A">
      <w:pPr>
        <w:bidi/>
        <w:rPr>
          <w:sz w:val="32"/>
          <w:szCs w:val="32"/>
          <w:rtl/>
        </w:rPr>
      </w:pPr>
      <w:r w:rsidRPr="0053786A">
        <w:rPr>
          <w:sz w:val="32"/>
          <w:szCs w:val="32"/>
          <w:rtl/>
        </w:rPr>
        <w:t>فلابُدّ مِن التفصيل في الأعيان والعبيد كما في الحرّ القادر على العمل</w:t>
      </w:r>
      <w:r w:rsidRPr="0053786A">
        <w:rPr>
          <w:sz w:val="32"/>
          <w:szCs w:val="32"/>
        </w:rPr>
        <w:t>.</w:t>
      </w:r>
    </w:p>
    <w:p w14:paraId="04161510" w14:textId="77777777" w:rsidR="0053786A" w:rsidRPr="0053786A" w:rsidRDefault="0053786A" w:rsidP="0053786A">
      <w:pPr>
        <w:bidi/>
        <w:rPr>
          <w:sz w:val="32"/>
          <w:szCs w:val="32"/>
          <w:rtl/>
        </w:rPr>
      </w:pPr>
      <w:r w:rsidRPr="0053786A">
        <w:rPr>
          <w:sz w:val="32"/>
          <w:szCs w:val="32"/>
          <w:rtl/>
        </w:rPr>
        <w:t>وهذا مما لَمْ يقل بِهِ أحدٌ؛ حيثُ إنّ ظاهر كلماتهم أنّ حبس العبد موجبٌ للضمان بغض النظر عن صفة العبد، وحبس الأعيان موجبٌ لضمان منافعها بغض النظر عن اختلاف الأعيان في هذه الصفة</w:t>
      </w:r>
      <w:r w:rsidRPr="0053786A">
        <w:rPr>
          <w:sz w:val="32"/>
          <w:szCs w:val="32"/>
        </w:rPr>
        <w:t>.</w:t>
      </w:r>
    </w:p>
    <w:p w14:paraId="5E32B724" w14:textId="77777777" w:rsidR="0053786A" w:rsidRPr="0053786A" w:rsidRDefault="0053786A" w:rsidP="0053786A">
      <w:pPr>
        <w:bidi/>
        <w:rPr>
          <w:sz w:val="32"/>
          <w:szCs w:val="32"/>
          <w:rtl/>
        </w:rPr>
      </w:pPr>
      <w:r w:rsidRPr="0053786A">
        <w:rPr>
          <w:b/>
          <w:bCs/>
          <w:sz w:val="32"/>
          <w:szCs w:val="32"/>
          <w:rtl/>
        </w:rPr>
        <w:t>قلتُ:</w:t>
      </w:r>
      <w:r w:rsidRPr="0053786A">
        <w:rPr>
          <w:sz w:val="32"/>
          <w:szCs w:val="32"/>
          <w:rtl/>
        </w:rPr>
        <w:t xml:space="preserve"> إنْ كان هناك إجماعٌ في البين على عدم التفصيل فهو تعبدٌ بالضمان مع انتفاء المناط العقلائي فيه، وإلّا لو لَمْ يكن في البين إجماعٌ محصلٌ وكان الدليلُ على الضمان هو المرتكزُ العقلائي والمناطُ للضمان بحسب المرتكز العقلائي هو الحيلولة والمنع، بمعنى: أنّه لولا الحيلولة لكانت المنافع موردَ الاستيفاء، فمقتضى ذلك التفصيل في الأعيان والعبيد كما هو في الحرّ القادر على العمل</w:t>
      </w:r>
      <w:r w:rsidRPr="0053786A">
        <w:rPr>
          <w:sz w:val="32"/>
          <w:szCs w:val="32"/>
        </w:rPr>
        <w:t>.</w:t>
      </w:r>
    </w:p>
    <w:p w14:paraId="5AA8BFFC" w14:textId="77777777" w:rsidR="0053786A" w:rsidRPr="0053786A" w:rsidRDefault="0053786A" w:rsidP="0053786A">
      <w:pPr>
        <w:bidi/>
        <w:rPr>
          <w:sz w:val="32"/>
          <w:szCs w:val="32"/>
          <w:rtl/>
        </w:rPr>
      </w:pPr>
      <w:r w:rsidRPr="0053786A">
        <w:rPr>
          <w:sz w:val="32"/>
          <w:szCs w:val="32"/>
          <w:rtl/>
        </w:rPr>
        <w:t>هذا تمام الكلام في المنشأ الثاني لإثبات ضمان منافع الحرّ الكسوب</w:t>
      </w:r>
      <w:r w:rsidRPr="0053786A">
        <w:rPr>
          <w:sz w:val="32"/>
          <w:szCs w:val="32"/>
        </w:rPr>
        <w:t>.</w:t>
      </w:r>
    </w:p>
    <w:p w14:paraId="16DA1392" w14:textId="77777777" w:rsidR="0053786A" w:rsidRPr="0053786A" w:rsidRDefault="0053786A" w:rsidP="0053786A">
      <w:pPr>
        <w:bidi/>
        <w:rPr>
          <w:b/>
          <w:bCs/>
          <w:sz w:val="32"/>
          <w:szCs w:val="32"/>
          <w:rtl/>
        </w:rPr>
      </w:pPr>
      <w:r w:rsidRPr="0053786A">
        <w:rPr>
          <w:b/>
          <w:bCs/>
          <w:sz w:val="32"/>
          <w:szCs w:val="32"/>
          <w:rtl/>
        </w:rPr>
        <w:t>المنشأُ الثالث: البناء العقلائي</w:t>
      </w:r>
      <w:r w:rsidRPr="0053786A">
        <w:rPr>
          <w:b/>
          <w:bCs/>
          <w:sz w:val="32"/>
          <w:szCs w:val="32"/>
        </w:rPr>
        <w:t>.</w:t>
      </w:r>
    </w:p>
    <w:p w14:paraId="472D8687" w14:textId="77777777" w:rsidR="0053786A" w:rsidRPr="0053786A" w:rsidRDefault="0053786A" w:rsidP="0053786A">
      <w:pPr>
        <w:bidi/>
        <w:rPr>
          <w:sz w:val="32"/>
          <w:szCs w:val="32"/>
          <w:rtl/>
        </w:rPr>
      </w:pPr>
      <w:r w:rsidRPr="0053786A">
        <w:rPr>
          <w:sz w:val="32"/>
          <w:szCs w:val="32"/>
          <w:rtl/>
        </w:rPr>
        <w:t>وهذا هو الذي تشبث بِهِ سيدنا الخوئي (قدس سره الشريف) في مصباح الفقاهة</w:t>
      </w:r>
      <w:r w:rsidRPr="0053786A">
        <w:rPr>
          <w:sz w:val="32"/>
          <w:szCs w:val="32"/>
          <w:vertAlign w:val="superscript"/>
          <w:rtl/>
        </w:rPr>
        <w:footnoteReference w:id="234"/>
      </w:r>
      <w:r w:rsidRPr="0053786A">
        <w:rPr>
          <w:sz w:val="32"/>
          <w:szCs w:val="32"/>
          <w:rtl/>
        </w:rPr>
        <w:t xml:space="preserve"> حيثُ أفاد بأنّ منشأ الضمان لمنافع الحرّ الكسوب قيام الارتكاز العقلائي على ذلك، واعتبره دليلاً مستقلاً على الضمان بغض النظر عن دليل "لا ضرر" ومناط الحيلولة والتفويت، ونفاه (قدس سره) في كتاب الإجارة</w:t>
      </w:r>
      <w:r w:rsidRPr="0053786A">
        <w:rPr>
          <w:sz w:val="32"/>
          <w:szCs w:val="32"/>
          <w:vertAlign w:val="superscript"/>
          <w:rtl/>
        </w:rPr>
        <w:footnoteReference w:id="235"/>
      </w:r>
      <w:r w:rsidRPr="0053786A">
        <w:rPr>
          <w:sz w:val="32"/>
          <w:szCs w:val="32"/>
          <w:rtl/>
        </w:rPr>
        <w:t>.</w:t>
      </w:r>
    </w:p>
    <w:p w14:paraId="388ED59D" w14:textId="77777777" w:rsidR="0053786A" w:rsidRPr="0053786A" w:rsidRDefault="0053786A" w:rsidP="0053786A">
      <w:pPr>
        <w:bidi/>
        <w:rPr>
          <w:sz w:val="32"/>
          <w:szCs w:val="32"/>
          <w:rtl/>
        </w:rPr>
      </w:pPr>
      <w:r w:rsidRPr="0053786A">
        <w:rPr>
          <w:b/>
          <w:bCs/>
          <w:sz w:val="32"/>
          <w:szCs w:val="32"/>
          <w:rtl/>
        </w:rPr>
        <w:lastRenderedPageBreak/>
        <w:t>ومرجعُ البحث في المقام إلى:</w:t>
      </w:r>
      <w:r w:rsidRPr="0053786A">
        <w:rPr>
          <w:sz w:val="32"/>
          <w:szCs w:val="32"/>
          <w:rtl/>
        </w:rPr>
        <w:t xml:space="preserve"> أنّه هل أنّ مصب الإمضاء هو السيرة العملية الخارجية أو يشمل الإمضاء الارتكازات وإنْ لَمْ تتحول إلى سيرةٍ عمليةٍ فعلية؟</w:t>
      </w:r>
    </w:p>
    <w:p w14:paraId="5AA5C971" w14:textId="77777777" w:rsidR="0053786A" w:rsidRPr="0053786A" w:rsidRDefault="0053786A" w:rsidP="0053786A">
      <w:pPr>
        <w:bidi/>
        <w:rPr>
          <w:sz w:val="32"/>
          <w:szCs w:val="32"/>
          <w:rtl/>
        </w:rPr>
      </w:pPr>
      <w:r w:rsidRPr="0053786A">
        <w:rPr>
          <w:b/>
          <w:bCs/>
          <w:sz w:val="32"/>
          <w:szCs w:val="32"/>
          <w:rtl/>
        </w:rPr>
        <w:t>فإنْ قُلنا:</w:t>
      </w:r>
      <w:r w:rsidRPr="0053786A">
        <w:rPr>
          <w:sz w:val="32"/>
          <w:szCs w:val="32"/>
          <w:rtl/>
        </w:rPr>
        <w:t xml:space="preserve"> بأنّ مصب الإمضاء دائماً هو السيرة العملية الخارجية، كما بنى عليه المحقق الأصفهاني (قدس سره) وتبعه سيدنا الخوئي (قدس سره) في بعض كلماته، فقد أفادَ (قدس سره) في بحث "تقليد الميت ابتداءً"</w:t>
      </w:r>
      <w:r w:rsidRPr="0053786A">
        <w:rPr>
          <w:sz w:val="32"/>
          <w:szCs w:val="32"/>
          <w:vertAlign w:val="superscript"/>
          <w:rtl/>
        </w:rPr>
        <w:footnoteReference w:id="236"/>
      </w:r>
      <w:r w:rsidRPr="0053786A">
        <w:rPr>
          <w:sz w:val="32"/>
          <w:szCs w:val="32"/>
          <w:rtl/>
        </w:rPr>
        <w:t xml:space="preserve"> بأنّ المرتكز العقلائي وإنْ قام على عدم الفرق بين الميت والحي، وأنّ المهم هو رأي الخبير ولا فرق في الأخذ برأي الخبير عند المرتكز العقلائي بين كون الخبير ميتاً أو حياً، كما في الأطباء وأصحاب الخبرات، إلّا أنّ مصب </w:t>
      </w:r>
      <w:r w:rsidRPr="0053786A">
        <w:rPr>
          <w:sz w:val="32"/>
          <w:szCs w:val="32"/>
          <w:highlight w:val="yellow"/>
          <w:rtl/>
        </w:rPr>
        <w:t>الإمضاء هو السيرة، ولَمْ يحرز وجود سيرةٍ عمليةٍ</w:t>
      </w:r>
      <w:r w:rsidRPr="0053786A">
        <w:rPr>
          <w:sz w:val="32"/>
          <w:szCs w:val="32"/>
          <w:rtl/>
        </w:rPr>
        <w:t xml:space="preserve"> فعليةٍ في زمان النصّ على الرجوع للميت ابتداءً كي يُقال بأنّ مقتضى قيام السيرة العملية في زمان النصّ على الرجوع للميت ابتداءً هو حجية فتوى الميت باعتبار أنّ السيرة بمرأى ومسمع مِن الشارع، والمفروض أنّها سيرة راسخة مستحكمة، فالسكوتُ عنها مع كون الشارع في مقام البيان وقدرته على الردع إمضاءٌ، ولكن لَمْ يحرز في زمان النصّ سيرة بالنسبة لتقليد الميت ابتداءً</w:t>
      </w:r>
      <w:r w:rsidRPr="0053786A">
        <w:rPr>
          <w:sz w:val="32"/>
          <w:szCs w:val="32"/>
        </w:rPr>
        <w:t>.</w:t>
      </w:r>
    </w:p>
    <w:p w14:paraId="252DD2FD" w14:textId="77777777" w:rsidR="0053786A" w:rsidRPr="0053786A" w:rsidRDefault="0053786A" w:rsidP="0053786A">
      <w:pPr>
        <w:bidi/>
        <w:rPr>
          <w:sz w:val="32"/>
          <w:szCs w:val="32"/>
          <w:rtl/>
        </w:rPr>
      </w:pPr>
      <w:r w:rsidRPr="0053786A">
        <w:rPr>
          <w:sz w:val="32"/>
          <w:szCs w:val="32"/>
          <w:rtl/>
        </w:rPr>
        <w:t>كذلك في المقام، لَمْ يحرز وجود سيرة عملية في زمان النصّ على ضمان منافع الحرّ الكسوب، فلَمْ يُحرز الإمضاء</w:t>
      </w:r>
      <w:r w:rsidRPr="0053786A">
        <w:rPr>
          <w:sz w:val="32"/>
          <w:szCs w:val="32"/>
        </w:rPr>
        <w:t>.</w:t>
      </w:r>
    </w:p>
    <w:p w14:paraId="6A03ECB4" w14:textId="77777777" w:rsidR="0053786A" w:rsidRPr="0053786A" w:rsidRDefault="0053786A" w:rsidP="0053786A">
      <w:pPr>
        <w:bidi/>
        <w:rPr>
          <w:sz w:val="32"/>
          <w:szCs w:val="32"/>
          <w:rtl/>
        </w:rPr>
      </w:pPr>
      <w:r w:rsidRPr="0053786A">
        <w:rPr>
          <w:b/>
          <w:bCs/>
          <w:sz w:val="32"/>
          <w:szCs w:val="32"/>
          <w:rtl/>
        </w:rPr>
        <w:t>وأمّا إذا قُلنا:</w:t>
      </w:r>
      <w:r w:rsidRPr="0053786A">
        <w:rPr>
          <w:sz w:val="32"/>
          <w:szCs w:val="32"/>
          <w:rtl/>
        </w:rPr>
        <w:t xml:space="preserve"> أنّ مصب الإمضاء لا يختصُ بالسير، بل يشمل الارتكازات الراسخة وإنْ لَمْ تتحول إلى سيرٍ عملية؛ بلحاظ أنّه إذا كانت الجذور الارتكازية لهذا الأمر ثابتةٌ منذ زمان النصّ، كما في محل كلامنا حيثُ إنّ جذور الارتكاز العقلائي على الحقوق -وهو: أنّ للمخترع حقّاً فيما اخترع، وللعامل حقّاً في فرصة العمل- كانت معاصرةً لزمان النصّ</w:t>
      </w:r>
      <w:r w:rsidRPr="0053786A">
        <w:rPr>
          <w:sz w:val="32"/>
          <w:szCs w:val="32"/>
        </w:rPr>
        <w:t>.</w:t>
      </w:r>
    </w:p>
    <w:p w14:paraId="339CA975" w14:textId="77777777" w:rsidR="0053786A" w:rsidRPr="0053786A" w:rsidRDefault="0053786A" w:rsidP="0053786A">
      <w:pPr>
        <w:bidi/>
        <w:rPr>
          <w:sz w:val="32"/>
          <w:szCs w:val="32"/>
          <w:rtl/>
        </w:rPr>
      </w:pPr>
      <w:r w:rsidRPr="0053786A">
        <w:rPr>
          <w:b/>
          <w:bCs/>
          <w:sz w:val="32"/>
          <w:szCs w:val="32"/>
          <w:rtl/>
        </w:rPr>
        <w:t>والسر في ذلك:</w:t>
      </w:r>
      <w:r w:rsidRPr="0053786A">
        <w:rPr>
          <w:sz w:val="32"/>
          <w:szCs w:val="32"/>
          <w:rtl/>
        </w:rPr>
        <w:t xml:space="preserve"> أنّه لا يوجد لدى العقلاء نكات متعددة، </w:t>
      </w:r>
      <w:r w:rsidRPr="0053786A">
        <w:rPr>
          <w:b/>
          <w:bCs/>
          <w:sz w:val="32"/>
          <w:szCs w:val="32"/>
          <w:rtl/>
        </w:rPr>
        <w:t xml:space="preserve">بأنْ يقال: </w:t>
      </w:r>
      <w:r w:rsidRPr="0053786A">
        <w:rPr>
          <w:sz w:val="32"/>
          <w:szCs w:val="32"/>
          <w:rtl/>
        </w:rPr>
        <w:t xml:space="preserve">مَن أحيا الأرض ثبت لهُ حقّ فيها بملاك، ومَن سبق إلى مكان في المسجد أو السوق ثبت لَهُ حقّ بملاكٍ آخر، ومَن استولى على ما لا يملك كما إذا استولى على حيوانٍ لا يحلُ أكله ثبتَ لَهُ حقّ بملاكٍ ثالث، فإنّ هذا منافٍ للمرتكزات العقلائية؛ بل النكتة في المرتكزات العقلائية في سائر الموارد واحدةٌ، فالنكتة في ثبوت حقّ الاختصاص بحسب المرتكزات هي النكتة في ثبوت حقّ السبق، وهي النكتة في ثبوت حقّ التحجير، وهي عبارةٌ عن أنّ مَن تمكن مِن السلطنة على ما هو مورد النفع سواءً كان أرضاً مواتاً بإحيائها أو تحجيرها أو سبق إلى مكان لَمْ يسبق إليه غيره أو نحو ذلك فهو أحقُّ بِهِ، أي: أنّ له الأولوية فيها، والنكتة ارتكازيةٌ عقلائيةٌ عامّة ولا تختص بتلك الصغريات </w:t>
      </w:r>
      <w:r w:rsidRPr="0053786A">
        <w:rPr>
          <w:sz w:val="32"/>
          <w:szCs w:val="32"/>
          <w:rtl/>
        </w:rPr>
        <w:lastRenderedPageBreak/>
        <w:t>الموجودة في زمان النصّ، فتشملُ مَن اخترع شيئاً وهو مورد النفع للعقلاء فإنّ نكتة السبق تأتي فيه، وكذلك الحرّ المستعد للعمل فإنّ نكتة السلطنة على مورد النفع حيثُ إنّ لَهُ سلطنة على فرصة العمل التي لا يتمكن منها غيره -كالحداد، والنجار، والخباز- متوفرةٌ فيه.</w:t>
      </w:r>
    </w:p>
    <w:p w14:paraId="1C1DAED8" w14:textId="77777777" w:rsidR="0053786A" w:rsidRPr="0053786A" w:rsidRDefault="0053786A" w:rsidP="0053786A">
      <w:pPr>
        <w:bidi/>
        <w:rPr>
          <w:sz w:val="32"/>
          <w:szCs w:val="32"/>
          <w:rtl/>
        </w:rPr>
      </w:pPr>
      <w:r w:rsidRPr="0053786A">
        <w:rPr>
          <w:sz w:val="32"/>
          <w:szCs w:val="32"/>
          <w:rtl/>
        </w:rPr>
        <w:t>فوجودُ صغريات في زمان النصّ للنكتة تعني أنّ جذور الارتكاز العقلائي متحقّقة في زمان النصّ</w:t>
      </w:r>
      <w:r w:rsidRPr="0053786A">
        <w:rPr>
          <w:sz w:val="32"/>
          <w:szCs w:val="32"/>
        </w:rPr>
        <w:t>.</w:t>
      </w:r>
    </w:p>
    <w:p w14:paraId="39C956EE" w14:textId="77777777" w:rsidR="0053786A" w:rsidRPr="0053786A" w:rsidRDefault="0053786A" w:rsidP="0053786A">
      <w:pPr>
        <w:bidi/>
        <w:rPr>
          <w:sz w:val="32"/>
          <w:szCs w:val="32"/>
          <w:rtl/>
        </w:rPr>
      </w:pPr>
      <w:r w:rsidRPr="0053786A">
        <w:rPr>
          <w:sz w:val="32"/>
          <w:szCs w:val="32"/>
          <w:rtl/>
        </w:rPr>
        <w:t>وبما أنّ الشارع في مقام البيان وهو ملتفتٌ إلى أنّ هذا الارتكاز وإنْ لَمْ يتحول إلى سيرةٍ عملية إلّا أنّ فيه معرضية الامتداد لأغراضه، وعدم الردع عنه مع عدم حجيته نقضٌ للأغراض أو تفويتٌ لها، فمقتضى سكوته عنه إمضاؤه</w:t>
      </w:r>
      <w:r w:rsidRPr="0053786A">
        <w:rPr>
          <w:sz w:val="32"/>
          <w:szCs w:val="32"/>
        </w:rPr>
        <w:t>.</w:t>
      </w:r>
    </w:p>
    <w:p w14:paraId="7C18C6B8" w14:textId="77777777" w:rsidR="0053786A" w:rsidRPr="0053786A" w:rsidRDefault="0053786A" w:rsidP="0053786A">
      <w:pPr>
        <w:bidi/>
        <w:rPr>
          <w:sz w:val="32"/>
          <w:szCs w:val="32"/>
          <w:rtl/>
        </w:rPr>
      </w:pPr>
      <w:r w:rsidRPr="0053786A">
        <w:rPr>
          <w:b/>
          <w:bCs/>
          <w:sz w:val="32"/>
          <w:szCs w:val="32"/>
          <w:rtl/>
        </w:rPr>
        <w:t xml:space="preserve">ولكن ربما يُقال: </w:t>
      </w:r>
      <w:r w:rsidRPr="0053786A">
        <w:rPr>
          <w:sz w:val="32"/>
          <w:szCs w:val="32"/>
          <w:rtl/>
        </w:rPr>
        <w:t>كما في كلمات بعض الأجلة القميين (حفظه الله): بأنّ استكشاف المرتكز العقلائي إنّما يتم لو لَمْ يقم إجماعٌ على العدم، وظاهر كلمات الأصحاب عدمُ التسليم بذلك، وهو بحدّ ذاته -وإنْ كان اتفاقاً فقهياً- مانعٌ مِن اكتشاف المرتكز العقلائي على الضمان</w:t>
      </w:r>
      <w:r w:rsidRPr="0053786A">
        <w:rPr>
          <w:sz w:val="32"/>
          <w:szCs w:val="32"/>
        </w:rPr>
        <w:t>.</w:t>
      </w:r>
    </w:p>
    <w:p w14:paraId="5D8C6E03" w14:textId="77777777" w:rsidR="0053786A" w:rsidRPr="0053786A" w:rsidRDefault="0053786A" w:rsidP="0053786A">
      <w:pPr>
        <w:bidi/>
        <w:rPr>
          <w:b/>
          <w:bCs/>
          <w:sz w:val="32"/>
          <w:szCs w:val="32"/>
          <w:rtl/>
        </w:rPr>
      </w:pPr>
      <w:r w:rsidRPr="0053786A">
        <w:rPr>
          <w:sz w:val="32"/>
          <w:szCs w:val="32"/>
          <w:rtl/>
        </w:rPr>
        <w:t xml:space="preserve">فقد ذكر في مفتاح الكرامة في التعليق على كلام العلامة (عليه الرحمة) الذي قال: </w:t>
      </w:r>
      <w:r w:rsidRPr="0053786A">
        <w:rPr>
          <w:b/>
          <w:bCs/>
          <w:sz w:val="32"/>
          <w:szCs w:val="32"/>
          <w:rtl/>
        </w:rPr>
        <w:t>(ولو حبس صانعاً ولم ينتفع به لم يضمن أجرته)</w:t>
      </w:r>
      <w:r w:rsidRPr="0053786A">
        <w:rPr>
          <w:b/>
          <w:bCs/>
          <w:sz w:val="32"/>
          <w:szCs w:val="32"/>
        </w:rPr>
        <w:t>.</w:t>
      </w:r>
    </w:p>
    <w:p w14:paraId="6F655BF4" w14:textId="77777777" w:rsidR="0053786A" w:rsidRPr="0053786A" w:rsidRDefault="0053786A" w:rsidP="0053786A">
      <w:pPr>
        <w:bidi/>
        <w:rPr>
          <w:sz w:val="32"/>
          <w:szCs w:val="32"/>
          <w:rtl/>
        </w:rPr>
      </w:pPr>
      <w:r w:rsidRPr="0053786A">
        <w:rPr>
          <w:sz w:val="32"/>
          <w:szCs w:val="32"/>
          <w:rtl/>
        </w:rPr>
        <w:t xml:space="preserve">قال: </w:t>
      </w:r>
      <w:r w:rsidRPr="0053786A">
        <w:rPr>
          <w:b/>
          <w:bCs/>
          <w:sz w:val="32"/>
          <w:szCs w:val="32"/>
          <w:rtl/>
        </w:rPr>
        <w:t>(هذا مقطوع به في كلام الأصحاب، كما في الكفاية والقطع به في الشرائع والنافع والتحرير والإرشاد والتبصرة والمهذّب البارع والمسالك والروضة، ولا قطع في التذكرة وإنّما قال: هو الأقوى، ولا تعرّض له في غيرها فيما أجد)</w:t>
      </w:r>
      <w:r w:rsidRPr="0053786A">
        <w:rPr>
          <w:b/>
          <w:bCs/>
          <w:sz w:val="32"/>
          <w:szCs w:val="32"/>
          <w:vertAlign w:val="superscript"/>
          <w:rtl/>
        </w:rPr>
        <w:footnoteReference w:id="237"/>
      </w:r>
      <w:r w:rsidRPr="0053786A">
        <w:rPr>
          <w:b/>
          <w:bCs/>
          <w:sz w:val="32"/>
          <w:szCs w:val="32"/>
          <w:rtl/>
        </w:rPr>
        <w:t>.</w:t>
      </w:r>
    </w:p>
    <w:p w14:paraId="1E858AF1" w14:textId="77777777" w:rsidR="0053786A" w:rsidRPr="0053786A" w:rsidRDefault="0053786A" w:rsidP="0053786A">
      <w:pPr>
        <w:bidi/>
        <w:rPr>
          <w:sz w:val="32"/>
          <w:szCs w:val="32"/>
          <w:rtl/>
        </w:rPr>
      </w:pPr>
      <w:r w:rsidRPr="0053786A">
        <w:rPr>
          <w:sz w:val="32"/>
          <w:szCs w:val="32"/>
          <w:rtl/>
        </w:rPr>
        <w:t>وهذه الكلمات مانعٌ مِن اكتشاف بناء العقلاء على الضمان</w:t>
      </w:r>
      <w:r w:rsidRPr="0053786A">
        <w:rPr>
          <w:sz w:val="32"/>
          <w:szCs w:val="32"/>
        </w:rPr>
        <w:t>.</w:t>
      </w:r>
    </w:p>
    <w:p w14:paraId="042FF73A" w14:textId="77777777" w:rsidR="0053786A" w:rsidRPr="0053786A" w:rsidRDefault="0053786A" w:rsidP="0053786A">
      <w:pPr>
        <w:bidi/>
        <w:rPr>
          <w:sz w:val="32"/>
          <w:szCs w:val="32"/>
          <w:rtl/>
        </w:rPr>
      </w:pPr>
      <w:r w:rsidRPr="0053786A">
        <w:rPr>
          <w:b/>
          <w:bCs/>
          <w:sz w:val="32"/>
          <w:szCs w:val="32"/>
          <w:rtl/>
        </w:rPr>
        <w:t>ولكن هذا الإشكال كما ترى؛</w:t>
      </w:r>
      <w:r w:rsidRPr="0053786A">
        <w:rPr>
          <w:sz w:val="32"/>
          <w:szCs w:val="32"/>
          <w:rtl/>
        </w:rPr>
        <w:t xml:space="preserve"> فإنّ مَن حكى القطع على عدم الضمان هم المتأخرون، ولا يوجد شاهدٌ على ذلك في كلمات المتقدمين، وقد قوى الضمان المقدس الأردبيلي وأستاذه (قدس سرهما) فيما إذا كان الحابس سبباً مفوتاً لمنافع المحبوس</w:t>
      </w:r>
      <w:r w:rsidRPr="0053786A">
        <w:rPr>
          <w:sz w:val="32"/>
          <w:szCs w:val="32"/>
          <w:vertAlign w:val="superscript"/>
          <w:rtl/>
        </w:rPr>
        <w:footnoteReference w:id="238"/>
      </w:r>
      <w:r w:rsidRPr="0053786A">
        <w:rPr>
          <w:sz w:val="32"/>
          <w:szCs w:val="32"/>
          <w:rtl/>
        </w:rPr>
        <w:t>.</w:t>
      </w:r>
    </w:p>
    <w:p w14:paraId="3F2C1DF9" w14:textId="77777777" w:rsidR="0053786A" w:rsidRPr="0053786A" w:rsidRDefault="0053786A" w:rsidP="0053786A">
      <w:pPr>
        <w:bidi/>
        <w:rPr>
          <w:sz w:val="32"/>
          <w:szCs w:val="32"/>
          <w:rtl/>
        </w:rPr>
      </w:pPr>
      <w:r w:rsidRPr="0053786A">
        <w:rPr>
          <w:b/>
          <w:bCs/>
          <w:sz w:val="32"/>
          <w:szCs w:val="32"/>
          <w:rtl/>
        </w:rPr>
        <w:t>والمنبهُ على تمامية المرتكز العقلائي على الضمان في المقام:</w:t>
      </w:r>
      <w:r w:rsidRPr="0053786A">
        <w:rPr>
          <w:sz w:val="32"/>
          <w:szCs w:val="32"/>
          <w:rtl/>
        </w:rPr>
        <w:t xml:space="preserve"> أنّ الظالم لو حبس الحرّ وسيارته، فهل يُرى مِن المرتكز العقلائي أنْ تضمن منافع السيارة، وأمّا الحر السجين فلا ضمان له؟!، أو حبس الظالمُ الحرّ وعبده وسيارته، فهل يُرى مِن المرتكز العقلائي أنّ العبد والسيارة مضمونان وأمّا الحر فلا ضمان له؟! ولا ريب أنّ التفكيك بين الحرّ وسيارته أو بين </w:t>
      </w:r>
      <w:r w:rsidRPr="0053786A">
        <w:rPr>
          <w:sz w:val="32"/>
          <w:szCs w:val="32"/>
          <w:rtl/>
        </w:rPr>
        <w:lastRenderedPageBreak/>
        <w:t>الحرّ وعبده مستهجنٌ لدى المرتكز العقلائي، وهو منبهٌ على ضمان منافع الحرّ المستعد للعمل حسب المرتكزات.</w:t>
      </w:r>
    </w:p>
    <w:p w14:paraId="1A86B240" w14:textId="77777777" w:rsidR="0053786A" w:rsidRPr="0053786A" w:rsidRDefault="0053786A" w:rsidP="0053786A">
      <w:pPr>
        <w:bidi/>
        <w:rPr>
          <w:sz w:val="32"/>
          <w:szCs w:val="32"/>
          <w:rtl/>
          <w:lang w:bidi="ar-BH"/>
        </w:rPr>
      </w:pPr>
    </w:p>
    <w:p w14:paraId="3C70FE18" w14:textId="77777777" w:rsidR="0053786A" w:rsidRPr="0053786A" w:rsidRDefault="0053786A" w:rsidP="0053786A">
      <w:pPr>
        <w:bidi/>
        <w:rPr>
          <w:b/>
          <w:bCs/>
          <w:sz w:val="32"/>
          <w:szCs w:val="32"/>
          <w:rtl/>
        </w:rPr>
      </w:pPr>
      <w:r w:rsidRPr="0053786A">
        <w:rPr>
          <w:b/>
          <w:bCs/>
          <w:sz w:val="32"/>
          <w:szCs w:val="32"/>
          <w:rtl/>
        </w:rPr>
        <w:t>والحمد لله رب العالمين</w:t>
      </w:r>
    </w:p>
    <w:p w14:paraId="29A5F976" w14:textId="77777777" w:rsidR="0053786A" w:rsidRDefault="0053786A" w:rsidP="0053786A">
      <w:pPr>
        <w:bidi/>
        <w:rPr>
          <w:sz w:val="32"/>
          <w:szCs w:val="32"/>
        </w:rPr>
      </w:pPr>
    </w:p>
    <w:p w14:paraId="251EF835" w14:textId="3C3675B8" w:rsidR="00656ABC" w:rsidRDefault="00656ABC" w:rsidP="00656ABC">
      <w:pPr>
        <w:pStyle w:val="Heading3"/>
        <w:bidi/>
        <w:rPr>
          <w:sz w:val="32"/>
          <w:szCs w:val="32"/>
        </w:rPr>
      </w:pPr>
      <w:r>
        <w:rPr>
          <w:sz w:val="32"/>
          <w:szCs w:val="32"/>
        </w:rPr>
        <w:t>330</w:t>
      </w:r>
    </w:p>
    <w:p w14:paraId="0E97A800" w14:textId="77777777" w:rsidR="000C3987" w:rsidRPr="005E03C1" w:rsidRDefault="000C3987" w:rsidP="000C3987">
      <w:pPr>
        <w:pStyle w:val="a"/>
        <w:bidi/>
        <w:spacing w:line="216" w:lineRule="auto"/>
        <w:jc w:val="center"/>
        <w:rPr>
          <w:rFonts w:ascii="mylotus" w:hAnsi="mylotus"/>
          <w:b/>
          <w:bCs/>
          <w:sz w:val="34"/>
          <w:szCs w:val="34"/>
          <w:rtl/>
        </w:rPr>
      </w:pPr>
      <w:r w:rsidRPr="005E03C1">
        <w:rPr>
          <w:rFonts w:ascii="mylotus" w:hAnsi="mylotus"/>
          <w:b/>
          <w:bCs/>
          <w:sz w:val="34"/>
          <w:szCs w:val="34"/>
          <w:rtl/>
        </w:rPr>
        <w:t>بسم الله الرحمن الرحيم</w:t>
      </w:r>
    </w:p>
    <w:p w14:paraId="6B14B208" w14:textId="77777777" w:rsidR="000C3987" w:rsidRPr="005E03C1" w:rsidRDefault="000C3987" w:rsidP="000C3987">
      <w:pPr>
        <w:pStyle w:val="a"/>
        <w:bidi/>
        <w:spacing w:line="216" w:lineRule="auto"/>
        <w:jc w:val="center"/>
        <w:rPr>
          <w:rFonts w:ascii="mylotus" w:hAnsi="mylotus"/>
          <w:b/>
          <w:bCs/>
          <w:sz w:val="34"/>
          <w:szCs w:val="34"/>
          <w:rtl/>
        </w:rPr>
      </w:pPr>
      <w:r w:rsidRPr="005E03C1">
        <w:rPr>
          <w:rFonts w:ascii="mylotus" w:hAnsi="mylotus"/>
          <w:b/>
          <w:bCs/>
          <w:sz w:val="34"/>
          <w:szCs w:val="34"/>
          <w:rtl/>
        </w:rPr>
        <w:t>والصلاة والسلام على أشرف الأنبياء والمرسلين، محمد وآله الطيبين الطاهرين</w:t>
      </w:r>
    </w:p>
    <w:p w14:paraId="13FED94A" w14:textId="77777777" w:rsidR="000C3987" w:rsidRDefault="000C3987" w:rsidP="000C3987">
      <w:pPr>
        <w:pStyle w:val="a"/>
        <w:bidi/>
        <w:spacing w:line="216" w:lineRule="auto"/>
        <w:jc w:val="center"/>
        <w:rPr>
          <w:rFonts w:ascii="mylotus" w:hAnsi="mylotus"/>
          <w:sz w:val="34"/>
          <w:szCs w:val="34"/>
          <w:rtl/>
        </w:rPr>
      </w:pPr>
      <w:r w:rsidRPr="005E03C1">
        <w:rPr>
          <w:rFonts w:ascii="mylotus" w:hAnsi="mylotus"/>
          <w:b/>
          <w:bCs/>
          <w:sz w:val="34"/>
          <w:szCs w:val="34"/>
          <w:rtl/>
        </w:rPr>
        <w:t>واللعن الدائم على أعدائهم أجمعين إلى قيام يوم الدين</w:t>
      </w:r>
    </w:p>
    <w:p w14:paraId="32E2B371" w14:textId="77777777" w:rsidR="000C3987" w:rsidRPr="003B5CC6" w:rsidRDefault="000C3987" w:rsidP="000C3987">
      <w:pPr>
        <w:pStyle w:val="a"/>
        <w:bidi/>
        <w:spacing w:line="216" w:lineRule="auto"/>
        <w:rPr>
          <w:rFonts w:ascii="mylotus" w:hAnsi="mylotus"/>
          <w:sz w:val="34"/>
          <w:szCs w:val="34"/>
          <w:rtl/>
          <w:lang w:bidi="ar-BH"/>
        </w:rPr>
      </w:pPr>
    </w:p>
    <w:p w14:paraId="3E0ABB6F"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b/>
          <w:bCs/>
          <w:sz w:val="34"/>
          <w:szCs w:val="34"/>
          <w:rtl/>
        </w:rPr>
        <w:t>وخلاصةُ ما تقدم:</w:t>
      </w:r>
      <w:r w:rsidRPr="007B7AA9">
        <w:rPr>
          <w:rFonts w:ascii="mylotus" w:hAnsi="mylotus"/>
          <w:sz w:val="34"/>
          <w:szCs w:val="34"/>
          <w:rtl/>
        </w:rPr>
        <w:t xml:space="preserve"> أنّ ضمان منافع الحرّ الكسوب عند حبسه ثابتٌ بالبناء العقلائي على الضمان بمناط الحيلولة بين الحرّ العامل وفرصة العم</w:t>
      </w:r>
      <w:r>
        <w:rPr>
          <w:rFonts w:ascii="mylotus" w:hAnsi="mylotus" w:hint="cs"/>
          <w:sz w:val="34"/>
          <w:szCs w:val="34"/>
          <w:rtl/>
        </w:rPr>
        <w:t>ل.</w:t>
      </w:r>
    </w:p>
    <w:p w14:paraId="3CC572CE" w14:textId="77777777" w:rsidR="000C3987" w:rsidRPr="007B7AA9" w:rsidRDefault="000C3987" w:rsidP="000C3987">
      <w:pPr>
        <w:pStyle w:val="a"/>
        <w:bidi/>
        <w:spacing w:line="216" w:lineRule="auto"/>
        <w:rPr>
          <w:rFonts w:ascii="mylotus" w:hAnsi="mylotus"/>
          <w:b/>
          <w:bCs/>
          <w:sz w:val="34"/>
          <w:szCs w:val="34"/>
          <w:rtl/>
          <w:lang w:bidi="ar-BH"/>
        </w:rPr>
      </w:pPr>
      <w:r w:rsidRPr="007B7AA9">
        <w:rPr>
          <w:rFonts w:ascii="mylotus" w:hAnsi="mylotus"/>
          <w:b/>
          <w:bCs/>
          <w:sz w:val="34"/>
          <w:szCs w:val="34"/>
          <w:rtl/>
        </w:rPr>
        <w:t>وفي المقابل قد أُثيرتْ بعضُ الإشكالات، ومنها</w:t>
      </w:r>
      <w:r w:rsidRPr="007B7AA9">
        <w:rPr>
          <w:rFonts w:ascii="mylotus" w:hAnsi="mylotus"/>
          <w:b/>
          <w:bCs/>
          <w:sz w:val="34"/>
          <w:szCs w:val="34"/>
        </w:rPr>
        <w:t>:</w:t>
      </w:r>
    </w:p>
    <w:p w14:paraId="7DD22EBC" w14:textId="77777777" w:rsidR="000C3987" w:rsidRDefault="000C3987" w:rsidP="000C3987">
      <w:pPr>
        <w:pStyle w:val="a"/>
        <w:bidi/>
        <w:spacing w:line="216" w:lineRule="auto"/>
        <w:rPr>
          <w:rFonts w:ascii="mylotus" w:hAnsi="mylotus"/>
          <w:sz w:val="34"/>
          <w:szCs w:val="34"/>
          <w:rtl/>
        </w:rPr>
      </w:pPr>
      <w:r w:rsidRPr="007B7AA9">
        <w:rPr>
          <w:rFonts w:ascii="mylotus" w:hAnsi="mylotus"/>
          <w:b/>
          <w:bCs/>
          <w:sz w:val="34"/>
          <w:szCs w:val="34"/>
          <w:rtl/>
        </w:rPr>
        <w:t>الإشكالُ الأوّل:</w:t>
      </w:r>
      <w:r w:rsidRPr="007B7AA9">
        <w:rPr>
          <w:rFonts w:ascii="mylotus" w:hAnsi="mylotus"/>
          <w:sz w:val="34"/>
          <w:szCs w:val="34"/>
          <w:rtl/>
        </w:rPr>
        <w:t xml:space="preserve"> أنّ هناك فرقاً بين الحرّ القادر على العمل والحرّ المشلول لعاهةٍ جسدية أو نفسية، فإنّ الثاني -وهو الحرّ الفاقد للقدرة على العمل- مما لا ضمانَ لمنافعه عند حبسه؛ إذ لا يتوقع أنْ تكون منافعُهُ موضوعاً للمبادلة بالمال لكونه مشلولاً ومع عدم كونها مقابلة بالمال عرفا</w:t>
      </w:r>
      <w:r>
        <w:rPr>
          <w:rFonts w:ascii="mylotus" w:hAnsi="mylotus" w:hint="cs"/>
          <w:sz w:val="34"/>
          <w:szCs w:val="34"/>
          <w:rtl/>
        </w:rPr>
        <w:t>ً</w:t>
      </w:r>
      <w:r w:rsidRPr="007B7AA9">
        <w:rPr>
          <w:rFonts w:ascii="mylotus" w:hAnsi="mylotus"/>
          <w:sz w:val="34"/>
          <w:szCs w:val="34"/>
          <w:rtl/>
        </w:rPr>
        <w:t xml:space="preserve"> ل</w:t>
      </w:r>
      <w:r>
        <w:rPr>
          <w:rFonts w:ascii="mylotus" w:hAnsi="mylotus" w:hint="cs"/>
          <w:sz w:val="34"/>
          <w:szCs w:val="34"/>
          <w:rtl/>
        </w:rPr>
        <w:t>َ</w:t>
      </w:r>
      <w:r w:rsidRPr="007B7AA9">
        <w:rPr>
          <w:rFonts w:ascii="mylotus" w:hAnsi="mylotus"/>
          <w:sz w:val="34"/>
          <w:szCs w:val="34"/>
          <w:rtl/>
        </w:rPr>
        <w:t>م</w:t>
      </w:r>
      <w:r>
        <w:rPr>
          <w:rFonts w:ascii="mylotus" w:hAnsi="mylotus" w:hint="cs"/>
          <w:sz w:val="34"/>
          <w:szCs w:val="34"/>
          <w:rtl/>
        </w:rPr>
        <w:t>ْ</w:t>
      </w:r>
      <w:r w:rsidRPr="007B7AA9">
        <w:rPr>
          <w:rFonts w:ascii="mylotus" w:hAnsi="mylotus"/>
          <w:sz w:val="34"/>
          <w:szCs w:val="34"/>
          <w:rtl/>
        </w:rPr>
        <w:t xml:space="preserve"> تكن مضمونة عند تفويتها، وأمّا الأوّل -وهو الحرّ القادر على العمل- فحيثُ إنّ منافعه مما يُرتقب أنْ تكون مقابلةً بالمال لتمامية القدرة التكوينية والسلطنة القانونية على العمل فمقتضى ذلك ضمانُ منافعه عند حبسه وإنْ لَمْ يكن كسوباً ولا متهيئاً للعمل، كما لو فُرض أنّه لا يرغب في العمل لعدم الحاجة أو لأن</w:t>
      </w:r>
      <w:r>
        <w:rPr>
          <w:rFonts w:ascii="mylotus" w:hAnsi="mylotus" w:hint="cs"/>
          <w:sz w:val="34"/>
          <w:szCs w:val="34"/>
          <w:rtl/>
        </w:rPr>
        <w:t>ّ</w:t>
      </w:r>
      <w:r w:rsidRPr="007B7AA9">
        <w:rPr>
          <w:rFonts w:ascii="mylotus" w:hAnsi="mylotus"/>
          <w:sz w:val="34"/>
          <w:szCs w:val="34"/>
          <w:rtl/>
        </w:rPr>
        <w:t>ه لا</w:t>
      </w:r>
      <w:r>
        <w:rPr>
          <w:rFonts w:ascii="mylotus" w:hAnsi="mylotus" w:hint="cs"/>
          <w:sz w:val="34"/>
          <w:szCs w:val="34"/>
          <w:rtl/>
        </w:rPr>
        <w:t xml:space="preserve"> </w:t>
      </w:r>
      <w:r w:rsidRPr="007B7AA9">
        <w:rPr>
          <w:rFonts w:ascii="mylotus" w:hAnsi="mylotus"/>
          <w:sz w:val="34"/>
          <w:szCs w:val="34"/>
          <w:rtl/>
        </w:rPr>
        <w:t>يرى العمل لائقا</w:t>
      </w:r>
      <w:r>
        <w:rPr>
          <w:rFonts w:ascii="mylotus" w:hAnsi="mylotus" w:hint="cs"/>
          <w:sz w:val="34"/>
          <w:szCs w:val="34"/>
          <w:rtl/>
        </w:rPr>
        <w:t>ً</w:t>
      </w:r>
      <w:r w:rsidRPr="007B7AA9">
        <w:rPr>
          <w:rFonts w:ascii="mylotus" w:hAnsi="mylotus"/>
          <w:sz w:val="34"/>
          <w:szCs w:val="34"/>
          <w:rtl/>
        </w:rPr>
        <w:t xml:space="preserve"> بشأنه ال</w:t>
      </w:r>
      <w:r>
        <w:rPr>
          <w:rFonts w:ascii="mylotus" w:hAnsi="mylotus" w:hint="cs"/>
          <w:sz w:val="34"/>
          <w:szCs w:val="34"/>
          <w:rtl/>
        </w:rPr>
        <w:t>ا</w:t>
      </w:r>
      <w:r w:rsidRPr="007B7AA9">
        <w:rPr>
          <w:rFonts w:ascii="mylotus" w:hAnsi="mylotus"/>
          <w:sz w:val="34"/>
          <w:szCs w:val="34"/>
          <w:rtl/>
        </w:rPr>
        <w:t>جتماعي؛ لأنّ منافعه صالحة عند العقلاء للمعاوضة عليها فهي مضمونة عن تفويتها</w:t>
      </w:r>
      <w:r w:rsidRPr="007B7AA9">
        <w:rPr>
          <w:rFonts w:ascii="mylotus" w:hAnsi="mylotus"/>
          <w:sz w:val="34"/>
          <w:szCs w:val="34"/>
        </w:rPr>
        <w:t>.</w:t>
      </w:r>
    </w:p>
    <w:p w14:paraId="0357E3B4"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b/>
          <w:bCs/>
          <w:sz w:val="34"/>
          <w:szCs w:val="34"/>
          <w:rtl/>
        </w:rPr>
        <w:t>والشاهدُ على ذلك:</w:t>
      </w:r>
      <w:r w:rsidRPr="007B7AA9">
        <w:rPr>
          <w:rFonts w:ascii="mylotus" w:hAnsi="mylotus"/>
          <w:sz w:val="34"/>
          <w:szCs w:val="34"/>
          <w:rtl/>
        </w:rPr>
        <w:t xml:space="preserve"> أن</w:t>
      </w:r>
      <w:r>
        <w:rPr>
          <w:rFonts w:ascii="mylotus" w:hAnsi="mylotus" w:hint="cs"/>
          <w:sz w:val="34"/>
          <w:szCs w:val="34"/>
          <w:rtl/>
        </w:rPr>
        <w:t>ّ</w:t>
      </w:r>
      <w:r w:rsidRPr="007B7AA9">
        <w:rPr>
          <w:rFonts w:ascii="mylotus" w:hAnsi="mylotus"/>
          <w:sz w:val="34"/>
          <w:szCs w:val="34"/>
          <w:rtl/>
        </w:rPr>
        <w:t>ه لو أجبره شخصٌ على العمل ض</w:t>
      </w:r>
      <w:r>
        <w:rPr>
          <w:rFonts w:ascii="mylotus" w:hAnsi="mylotus" w:hint="cs"/>
          <w:sz w:val="34"/>
          <w:szCs w:val="34"/>
          <w:rtl/>
        </w:rPr>
        <w:t>َ</w:t>
      </w:r>
      <w:r w:rsidRPr="007B7AA9">
        <w:rPr>
          <w:rFonts w:ascii="mylotus" w:hAnsi="mylotus"/>
          <w:sz w:val="34"/>
          <w:szCs w:val="34"/>
          <w:rtl/>
        </w:rPr>
        <w:t>م</w:t>
      </w:r>
      <w:r>
        <w:rPr>
          <w:rFonts w:ascii="mylotus" w:hAnsi="mylotus" w:hint="cs"/>
          <w:sz w:val="34"/>
          <w:szCs w:val="34"/>
          <w:rtl/>
        </w:rPr>
        <w:t>ِ</w:t>
      </w:r>
      <w:r w:rsidRPr="007B7AA9">
        <w:rPr>
          <w:rFonts w:ascii="mylotus" w:hAnsi="mylotus"/>
          <w:sz w:val="34"/>
          <w:szCs w:val="34"/>
          <w:rtl/>
        </w:rPr>
        <w:t>ن</w:t>
      </w:r>
      <w:r>
        <w:rPr>
          <w:rFonts w:ascii="mylotus" w:hAnsi="mylotus" w:hint="cs"/>
          <w:sz w:val="34"/>
          <w:szCs w:val="34"/>
          <w:rtl/>
        </w:rPr>
        <w:t>َ</w:t>
      </w:r>
      <w:r w:rsidRPr="007B7AA9">
        <w:rPr>
          <w:rFonts w:ascii="mylotus" w:hAnsi="mylotus"/>
          <w:sz w:val="34"/>
          <w:szCs w:val="34"/>
          <w:rtl/>
        </w:rPr>
        <w:t xml:space="preserve"> قيمة عمله بلا ريب، وإنْ لَمْ يكن مِن قبيل الحرّ الكسوب ولا المتهيئ للعمل، ولكن ألجأهُ شخصٌ على الكتابة أو الخياطة</w:t>
      </w:r>
      <w:r>
        <w:rPr>
          <w:rFonts w:ascii="mylotus" w:hAnsi="mylotus" w:hint="cs"/>
          <w:sz w:val="34"/>
          <w:szCs w:val="34"/>
          <w:rtl/>
        </w:rPr>
        <w:t>،</w:t>
      </w:r>
      <w:r w:rsidRPr="007B7AA9">
        <w:rPr>
          <w:rFonts w:ascii="mylotus" w:hAnsi="mylotus"/>
          <w:sz w:val="34"/>
          <w:szCs w:val="34"/>
          <w:rtl/>
        </w:rPr>
        <w:t xml:space="preserve"> مما يكشف عن كون المناط في الضمان قابلية العمل للمعاوضة وإن</w:t>
      </w:r>
      <w:r>
        <w:rPr>
          <w:rFonts w:ascii="mylotus" w:hAnsi="mylotus" w:hint="cs"/>
          <w:sz w:val="34"/>
          <w:szCs w:val="34"/>
          <w:rtl/>
        </w:rPr>
        <w:t>ْ</w:t>
      </w:r>
      <w:r w:rsidRPr="007B7AA9">
        <w:rPr>
          <w:rFonts w:ascii="mylotus" w:hAnsi="mylotus"/>
          <w:sz w:val="34"/>
          <w:szCs w:val="34"/>
          <w:rtl/>
        </w:rPr>
        <w:t xml:space="preserve"> ل</w:t>
      </w:r>
      <w:r>
        <w:rPr>
          <w:rFonts w:ascii="mylotus" w:hAnsi="mylotus" w:hint="cs"/>
          <w:sz w:val="34"/>
          <w:szCs w:val="34"/>
          <w:rtl/>
        </w:rPr>
        <w:t>َ</w:t>
      </w:r>
      <w:r w:rsidRPr="007B7AA9">
        <w:rPr>
          <w:rFonts w:ascii="mylotus" w:hAnsi="mylotus"/>
          <w:sz w:val="34"/>
          <w:szCs w:val="34"/>
          <w:rtl/>
        </w:rPr>
        <w:t>م</w:t>
      </w:r>
      <w:r>
        <w:rPr>
          <w:rFonts w:ascii="mylotus" w:hAnsi="mylotus" w:hint="cs"/>
          <w:sz w:val="34"/>
          <w:szCs w:val="34"/>
          <w:rtl/>
        </w:rPr>
        <w:t>ْ</w:t>
      </w:r>
      <w:r w:rsidRPr="007B7AA9">
        <w:rPr>
          <w:rFonts w:ascii="mylotus" w:hAnsi="mylotus"/>
          <w:sz w:val="34"/>
          <w:szCs w:val="34"/>
          <w:rtl/>
        </w:rPr>
        <w:t xml:space="preserve"> يكن في معرض المبادل</w:t>
      </w:r>
      <w:r>
        <w:rPr>
          <w:rFonts w:ascii="mylotus" w:hAnsi="mylotus" w:hint="cs"/>
          <w:sz w:val="34"/>
          <w:szCs w:val="34"/>
          <w:rtl/>
        </w:rPr>
        <w:t>ة.</w:t>
      </w:r>
    </w:p>
    <w:p w14:paraId="5DC7182D" w14:textId="77777777" w:rsidR="000C3987" w:rsidRPr="00EC1B0A" w:rsidRDefault="000C3987" w:rsidP="000C3987">
      <w:pPr>
        <w:pStyle w:val="a"/>
        <w:bidi/>
        <w:spacing w:line="216" w:lineRule="auto"/>
        <w:rPr>
          <w:rFonts w:ascii="mylotus" w:hAnsi="mylotus"/>
          <w:b/>
          <w:bCs/>
          <w:sz w:val="34"/>
          <w:szCs w:val="34"/>
          <w:rtl/>
        </w:rPr>
      </w:pPr>
      <w:r w:rsidRPr="00EC1B0A">
        <w:rPr>
          <w:rFonts w:ascii="mylotus" w:hAnsi="mylotus"/>
          <w:b/>
          <w:bCs/>
          <w:sz w:val="34"/>
          <w:szCs w:val="34"/>
          <w:rtl/>
        </w:rPr>
        <w:t>وفيه تأملٌ؛ وحاصلُهُ</w:t>
      </w:r>
      <w:r w:rsidRPr="00EC1B0A">
        <w:rPr>
          <w:rFonts w:ascii="mylotus" w:hAnsi="mylotus"/>
          <w:b/>
          <w:bCs/>
          <w:sz w:val="34"/>
          <w:szCs w:val="34"/>
        </w:rPr>
        <w:t>:</w:t>
      </w:r>
    </w:p>
    <w:p w14:paraId="39F7617F" w14:textId="77777777" w:rsidR="000C3987" w:rsidRDefault="000C3987" w:rsidP="000C3987">
      <w:pPr>
        <w:pStyle w:val="a"/>
        <w:bidi/>
        <w:spacing w:line="216" w:lineRule="auto"/>
        <w:rPr>
          <w:rFonts w:ascii="mylotus" w:hAnsi="mylotus"/>
          <w:sz w:val="34"/>
          <w:szCs w:val="34"/>
          <w:rtl/>
        </w:rPr>
      </w:pPr>
      <w:r w:rsidRPr="007B7AA9">
        <w:rPr>
          <w:rFonts w:ascii="mylotus" w:hAnsi="mylotus"/>
          <w:sz w:val="34"/>
          <w:szCs w:val="34"/>
          <w:rtl/>
        </w:rPr>
        <w:t>أنّ تحديد موضوع الضمان منوط</w:t>
      </w:r>
      <w:r>
        <w:rPr>
          <w:rFonts w:ascii="mylotus" w:hAnsi="mylotus" w:hint="cs"/>
          <w:sz w:val="34"/>
          <w:szCs w:val="34"/>
          <w:rtl/>
        </w:rPr>
        <w:t>ٌ</w:t>
      </w:r>
      <w:r w:rsidRPr="007B7AA9">
        <w:rPr>
          <w:rFonts w:ascii="mylotus" w:hAnsi="mylotus"/>
          <w:sz w:val="34"/>
          <w:szCs w:val="34"/>
          <w:rtl/>
        </w:rPr>
        <w:t xml:space="preserve"> بتحديد مناط الضمان وسببه للتلازم العقلائي بينهما</w:t>
      </w:r>
      <w:r>
        <w:rPr>
          <w:rFonts w:ascii="mylotus" w:hAnsi="mylotus" w:hint="cs"/>
          <w:sz w:val="34"/>
          <w:szCs w:val="34"/>
          <w:rtl/>
        </w:rPr>
        <w:t>.</w:t>
      </w:r>
    </w:p>
    <w:p w14:paraId="6264153C" w14:textId="77777777" w:rsidR="000C3987" w:rsidRDefault="000C3987" w:rsidP="000C3987">
      <w:pPr>
        <w:pStyle w:val="a"/>
        <w:bidi/>
        <w:spacing w:line="216" w:lineRule="auto"/>
        <w:rPr>
          <w:rFonts w:ascii="mylotus" w:hAnsi="mylotus"/>
          <w:sz w:val="34"/>
          <w:szCs w:val="34"/>
          <w:rtl/>
        </w:rPr>
      </w:pPr>
      <w:r w:rsidRPr="00EC1B0A">
        <w:rPr>
          <w:rFonts w:ascii="mylotus" w:hAnsi="mylotus"/>
          <w:b/>
          <w:bCs/>
          <w:sz w:val="34"/>
          <w:szCs w:val="34"/>
          <w:rtl/>
        </w:rPr>
        <w:t>والصحيح</w:t>
      </w:r>
      <w:r w:rsidRPr="00EC1B0A">
        <w:rPr>
          <w:rFonts w:ascii="mylotus" w:hAnsi="mylotus" w:hint="cs"/>
          <w:b/>
          <w:bCs/>
          <w:sz w:val="34"/>
          <w:szCs w:val="34"/>
          <w:rtl/>
        </w:rPr>
        <w:t>:</w:t>
      </w:r>
      <w:r w:rsidRPr="007B7AA9">
        <w:rPr>
          <w:rFonts w:ascii="mylotus" w:hAnsi="mylotus"/>
          <w:sz w:val="34"/>
          <w:szCs w:val="34"/>
          <w:rtl/>
        </w:rPr>
        <w:t xml:space="preserve"> أن</w:t>
      </w:r>
      <w:r>
        <w:rPr>
          <w:rFonts w:ascii="mylotus" w:hAnsi="mylotus" w:hint="cs"/>
          <w:sz w:val="34"/>
          <w:szCs w:val="34"/>
          <w:rtl/>
        </w:rPr>
        <w:t>ّ</w:t>
      </w:r>
      <w:r w:rsidRPr="007B7AA9">
        <w:rPr>
          <w:rFonts w:ascii="mylotus" w:hAnsi="mylotus"/>
          <w:sz w:val="34"/>
          <w:szCs w:val="34"/>
          <w:rtl/>
        </w:rPr>
        <w:t xml:space="preserve"> مناط الضمان للأعمال لدى المرتكز العقلائي هو المناط للضمان في الأعيان: وهو الإتلاف -وهو فعل المتلف-</w:t>
      </w:r>
      <w:r>
        <w:rPr>
          <w:rFonts w:ascii="mylotus" w:hAnsi="mylotus" w:hint="cs"/>
          <w:sz w:val="34"/>
          <w:szCs w:val="34"/>
          <w:rtl/>
        </w:rPr>
        <w:t>،</w:t>
      </w:r>
      <w:r w:rsidRPr="007B7AA9">
        <w:rPr>
          <w:rFonts w:ascii="mylotus" w:hAnsi="mylotus"/>
          <w:sz w:val="34"/>
          <w:szCs w:val="34"/>
          <w:rtl/>
        </w:rPr>
        <w:t xml:space="preserve"> أو ال</w:t>
      </w:r>
      <w:r>
        <w:rPr>
          <w:rFonts w:ascii="mylotus" w:hAnsi="mylotus" w:hint="cs"/>
          <w:sz w:val="34"/>
          <w:szCs w:val="34"/>
          <w:rtl/>
        </w:rPr>
        <w:t>ا</w:t>
      </w:r>
      <w:r w:rsidRPr="007B7AA9">
        <w:rPr>
          <w:rFonts w:ascii="mylotus" w:hAnsi="mylotus"/>
          <w:sz w:val="34"/>
          <w:szCs w:val="34"/>
          <w:rtl/>
        </w:rPr>
        <w:t>ستيفاء للمنفعة أو العمل، وإن</w:t>
      </w:r>
      <w:r>
        <w:rPr>
          <w:rFonts w:ascii="mylotus" w:hAnsi="mylotus" w:hint="cs"/>
          <w:sz w:val="34"/>
          <w:szCs w:val="34"/>
          <w:rtl/>
        </w:rPr>
        <w:t>ّ</w:t>
      </w:r>
      <w:r w:rsidRPr="007B7AA9">
        <w:rPr>
          <w:rFonts w:ascii="mylotus" w:hAnsi="mylotus"/>
          <w:sz w:val="34"/>
          <w:szCs w:val="34"/>
          <w:rtl/>
        </w:rPr>
        <w:t xml:space="preserve">ما عمم العقلاء الحكم لفرض منع المالك </w:t>
      </w:r>
      <w:r>
        <w:rPr>
          <w:rFonts w:ascii="mylotus" w:hAnsi="mylotus" w:hint="cs"/>
          <w:sz w:val="34"/>
          <w:szCs w:val="34"/>
          <w:rtl/>
        </w:rPr>
        <w:t>أ</w:t>
      </w:r>
      <w:r w:rsidRPr="007B7AA9">
        <w:rPr>
          <w:rFonts w:ascii="mylotus" w:hAnsi="mylotus"/>
          <w:sz w:val="34"/>
          <w:szCs w:val="34"/>
          <w:rtl/>
        </w:rPr>
        <w:t>و الم</w:t>
      </w:r>
      <w:r>
        <w:rPr>
          <w:rFonts w:ascii="mylotus" w:hAnsi="mylotus" w:hint="cs"/>
          <w:sz w:val="34"/>
          <w:szCs w:val="34"/>
          <w:rtl/>
        </w:rPr>
        <w:t>ُ</w:t>
      </w:r>
      <w:r w:rsidRPr="007B7AA9">
        <w:rPr>
          <w:rFonts w:ascii="mylotus" w:hAnsi="mylotus"/>
          <w:sz w:val="34"/>
          <w:szCs w:val="34"/>
          <w:rtl/>
        </w:rPr>
        <w:t>ستأجر م</w:t>
      </w:r>
      <w:r>
        <w:rPr>
          <w:rFonts w:ascii="mylotus" w:hAnsi="mylotus" w:hint="cs"/>
          <w:sz w:val="34"/>
          <w:szCs w:val="34"/>
          <w:rtl/>
        </w:rPr>
        <w:t>ِ</w:t>
      </w:r>
      <w:r w:rsidRPr="007B7AA9">
        <w:rPr>
          <w:rFonts w:ascii="mylotus" w:hAnsi="mylotus"/>
          <w:sz w:val="34"/>
          <w:szCs w:val="34"/>
          <w:rtl/>
        </w:rPr>
        <w:t>ن الانتفاع بالعين لاشتراكه مع الإتلاف في المناط، كذلك عمم العقلاء الحكم في فرض منع العامل م</w:t>
      </w:r>
      <w:r>
        <w:rPr>
          <w:rFonts w:ascii="mylotus" w:hAnsi="mylotus" w:hint="cs"/>
          <w:sz w:val="34"/>
          <w:szCs w:val="34"/>
          <w:rtl/>
        </w:rPr>
        <w:t>ِ</w:t>
      </w:r>
      <w:r w:rsidRPr="007B7AA9">
        <w:rPr>
          <w:rFonts w:ascii="mylotus" w:hAnsi="mylotus"/>
          <w:sz w:val="34"/>
          <w:szCs w:val="34"/>
          <w:rtl/>
        </w:rPr>
        <w:t>ن العمل لاشتراكه مع الإتلاف في  المناط، ولازمُ ذلك أنْ يكون مناط</w:t>
      </w:r>
      <w:r>
        <w:rPr>
          <w:rFonts w:ascii="mylotus" w:hAnsi="mylotus" w:hint="cs"/>
          <w:sz w:val="34"/>
          <w:szCs w:val="34"/>
          <w:rtl/>
        </w:rPr>
        <w:t>ُ</w:t>
      </w:r>
      <w:r w:rsidRPr="007B7AA9">
        <w:rPr>
          <w:rFonts w:ascii="mylotus" w:hAnsi="mylotus"/>
          <w:sz w:val="34"/>
          <w:szCs w:val="34"/>
          <w:rtl/>
        </w:rPr>
        <w:t xml:space="preserve"> الضمان هو هدر العمل الفعلي أو استيفاؤه أو الحيلولة دونه، لا هدر قابلية العمل ومنع أصل الاستعداد له كما لو فرض أنّه قادرٌ على العمل ولكن لا رغبة </w:t>
      </w:r>
      <w:r w:rsidRPr="007B7AA9">
        <w:rPr>
          <w:rFonts w:ascii="mylotus" w:hAnsi="mylotus"/>
          <w:sz w:val="34"/>
          <w:szCs w:val="34"/>
          <w:rtl/>
        </w:rPr>
        <w:lastRenderedPageBreak/>
        <w:t>له أصلاً فإن</w:t>
      </w:r>
      <w:r>
        <w:rPr>
          <w:rFonts w:ascii="mylotus" w:hAnsi="mylotus" w:hint="cs"/>
          <w:sz w:val="34"/>
          <w:szCs w:val="34"/>
          <w:rtl/>
        </w:rPr>
        <w:t>ّ</w:t>
      </w:r>
      <w:r w:rsidRPr="007B7AA9">
        <w:rPr>
          <w:rFonts w:ascii="mylotus" w:hAnsi="mylotus"/>
          <w:sz w:val="34"/>
          <w:szCs w:val="34"/>
          <w:rtl/>
        </w:rPr>
        <w:t xml:space="preserve"> حبسه هدر لأصل القابلية ومنع لأصل الاستعداد، لا إتلاف للعمل لعدم تلبسه ب</w:t>
      </w:r>
      <w:r>
        <w:rPr>
          <w:rFonts w:ascii="mylotus" w:hAnsi="mylotus" w:hint="cs"/>
          <w:sz w:val="34"/>
          <w:szCs w:val="34"/>
          <w:rtl/>
        </w:rPr>
        <w:t>ِ</w:t>
      </w:r>
      <w:r w:rsidRPr="007B7AA9">
        <w:rPr>
          <w:rFonts w:ascii="mylotus" w:hAnsi="mylotus"/>
          <w:sz w:val="34"/>
          <w:szCs w:val="34"/>
          <w:rtl/>
        </w:rPr>
        <w:t>ه</w:t>
      </w:r>
      <w:r>
        <w:rPr>
          <w:rFonts w:ascii="mylotus" w:hAnsi="mylotus" w:hint="cs"/>
          <w:sz w:val="34"/>
          <w:szCs w:val="34"/>
          <w:rtl/>
        </w:rPr>
        <w:t>ِ</w:t>
      </w:r>
      <w:r w:rsidRPr="007B7AA9">
        <w:rPr>
          <w:rFonts w:ascii="mylotus" w:hAnsi="mylotus"/>
          <w:sz w:val="34"/>
          <w:szCs w:val="34"/>
          <w:rtl/>
        </w:rPr>
        <w:t xml:space="preserve"> ولا</w:t>
      </w:r>
      <w:r>
        <w:rPr>
          <w:rFonts w:ascii="mylotus" w:hAnsi="mylotus" w:hint="cs"/>
          <w:sz w:val="34"/>
          <w:szCs w:val="34"/>
          <w:rtl/>
        </w:rPr>
        <w:t xml:space="preserve"> </w:t>
      </w:r>
      <w:r w:rsidRPr="007B7AA9">
        <w:rPr>
          <w:rFonts w:ascii="mylotus" w:hAnsi="mylotus"/>
          <w:sz w:val="34"/>
          <w:szCs w:val="34"/>
          <w:rtl/>
        </w:rPr>
        <w:t>حيلولة دون العمل بل دون أصل تحول القابلية للفعل</w:t>
      </w:r>
      <w:r>
        <w:rPr>
          <w:rFonts w:ascii="mylotus" w:hAnsi="mylotus" w:hint="cs"/>
          <w:sz w:val="34"/>
          <w:szCs w:val="34"/>
          <w:rtl/>
        </w:rPr>
        <w:t>؛</w:t>
      </w:r>
      <w:r w:rsidRPr="007B7AA9">
        <w:rPr>
          <w:rFonts w:ascii="mylotus" w:hAnsi="mylotus"/>
          <w:sz w:val="34"/>
          <w:szCs w:val="34"/>
          <w:rtl/>
        </w:rPr>
        <w:t xml:space="preserve"> وذلك لأن</w:t>
      </w:r>
      <w:r>
        <w:rPr>
          <w:rFonts w:ascii="mylotus" w:hAnsi="mylotus" w:hint="cs"/>
          <w:sz w:val="34"/>
          <w:szCs w:val="34"/>
          <w:rtl/>
        </w:rPr>
        <w:t>ّ</w:t>
      </w:r>
      <w:r w:rsidRPr="007B7AA9">
        <w:rPr>
          <w:rFonts w:ascii="mylotus" w:hAnsi="mylotus"/>
          <w:sz w:val="34"/>
          <w:szCs w:val="34"/>
          <w:rtl/>
        </w:rPr>
        <w:t xml:space="preserve"> فوت المنافع على غير المتهيئ للعمل مستند</w:t>
      </w:r>
      <w:r>
        <w:rPr>
          <w:rFonts w:ascii="mylotus" w:hAnsi="mylotus" w:hint="cs"/>
          <w:sz w:val="34"/>
          <w:szCs w:val="34"/>
          <w:rtl/>
        </w:rPr>
        <w:t>ٌ</w:t>
      </w:r>
      <w:r w:rsidRPr="007B7AA9">
        <w:rPr>
          <w:rFonts w:ascii="mylotus" w:hAnsi="mylotus"/>
          <w:sz w:val="34"/>
          <w:szCs w:val="34"/>
          <w:rtl/>
        </w:rPr>
        <w:t xml:space="preserve"> له </w:t>
      </w:r>
      <w:r>
        <w:rPr>
          <w:rFonts w:ascii="mylotus" w:hAnsi="mylotus" w:hint="cs"/>
          <w:sz w:val="34"/>
          <w:szCs w:val="34"/>
          <w:rtl/>
        </w:rPr>
        <w:t>-</w:t>
      </w:r>
      <w:r w:rsidRPr="007B7AA9">
        <w:rPr>
          <w:rFonts w:ascii="mylotus" w:hAnsi="mylotus"/>
          <w:sz w:val="34"/>
          <w:szCs w:val="34"/>
          <w:rtl/>
        </w:rPr>
        <w:t>لعدم المقتضي-</w:t>
      </w:r>
      <w:r>
        <w:rPr>
          <w:rFonts w:ascii="mylotus" w:hAnsi="mylotus" w:hint="cs"/>
          <w:sz w:val="34"/>
          <w:szCs w:val="34"/>
          <w:rtl/>
        </w:rPr>
        <w:t>،</w:t>
      </w:r>
      <w:r w:rsidRPr="007B7AA9">
        <w:rPr>
          <w:rFonts w:ascii="mylotus" w:hAnsi="mylotus"/>
          <w:sz w:val="34"/>
          <w:szCs w:val="34"/>
          <w:rtl/>
        </w:rPr>
        <w:t xml:space="preserve"> لا للحابس -أي</w:t>
      </w:r>
      <w:r>
        <w:rPr>
          <w:rFonts w:ascii="mylotus" w:hAnsi="mylotus" w:hint="cs"/>
          <w:sz w:val="34"/>
          <w:szCs w:val="34"/>
          <w:rtl/>
        </w:rPr>
        <w:t>:</w:t>
      </w:r>
      <w:r w:rsidRPr="007B7AA9">
        <w:rPr>
          <w:rFonts w:ascii="mylotus" w:hAnsi="mylotus"/>
          <w:sz w:val="34"/>
          <w:szCs w:val="34"/>
          <w:rtl/>
        </w:rPr>
        <w:t xml:space="preserve"> المانع- فلا</w:t>
      </w:r>
      <w:r>
        <w:rPr>
          <w:rFonts w:ascii="mylotus" w:hAnsi="mylotus" w:hint="cs"/>
          <w:sz w:val="34"/>
          <w:szCs w:val="34"/>
          <w:rtl/>
        </w:rPr>
        <w:t xml:space="preserve"> </w:t>
      </w:r>
      <w:r w:rsidRPr="007B7AA9">
        <w:rPr>
          <w:rFonts w:ascii="mylotus" w:hAnsi="mylotus"/>
          <w:sz w:val="34"/>
          <w:szCs w:val="34"/>
          <w:rtl/>
        </w:rPr>
        <w:t>وجه للاستشهاد على تعميم موضوع الضمان لغير المستعد للعمل بالحكم بالضمان في فرض جبره على العمل فإن</w:t>
      </w:r>
      <w:r>
        <w:rPr>
          <w:rFonts w:ascii="mylotus" w:hAnsi="mylotus" w:hint="cs"/>
          <w:sz w:val="34"/>
          <w:szCs w:val="34"/>
          <w:rtl/>
        </w:rPr>
        <w:t>ّ</w:t>
      </w:r>
      <w:r w:rsidRPr="007B7AA9">
        <w:rPr>
          <w:rFonts w:ascii="mylotus" w:hAnsi="mylotus"/>
          <w:sz w:val="34"/>
          <w:szCs w:val="34"/>
          <w:rtl/>
        </w:rPr>
        <w:t>ه بمناط ال</w:t>
      </w:r>
      <w:r>
        <w:rPr>
          <w:rFonts w:ascii="mylotus" w:hAnsi="mylotus" w:hint="cs"/>
          <w:sz w:val="34"/>
          <w:szCs w:val="34"/>
          <w:rtl/>
        </w:rPr>
        <w:t>ا</w:t>
      </w:r>
      <w:r w:rsidRPr="007B7AA9">
        <w:rPr>
          <w:rFonts w:ascii="mylotus" w:hAnsi="mylotus"/>
          <w:sz w:val="34"/>
          <w:szCs w:val="34"/>
          <w:rtl/>
        </w:rPr>
        <w:t>ستيفاء المشترك مع الإتلاف في اختصاصه بم</w:t>
      </w:r>
      <w:r>
        <w:rPr>
          <w:rFonts w:ascii="mylotus" w:hAnsi="mylotus" w:hint="cs"/>
          <w:sz w:val="34"/>
          <w:szCs w:val="34"/>
          <w:rtl/>
        </w:rPr>
        <w:t>َ</w:t>
      </w:r>
      <w:r w:rsidRPr="007B7AA9">
        <w:rPr>
          <w:rFonts w:ascii="mylotus" w:hAnsi="mylotus"/>
          <w:sz w:val="34"/>
          <w:szCs w:val="34"/>
          <w:rtl/>
        </w:rPr>
        <w:t>ن تم</w:t>
      </w:r>
      <w:r>
        <w:rPr>
          <w:rFonts w:ascii="mylotus" w:hAnsi="mylotus" w:hint="cs"/>
          <w:sz w:val="34"/>
          <w:szCs w:val="34"/>
          <w:rtl/>
        </w:rPr>
        <w:t>ّ</w:t>
      </w:r>
      <w:r w:rsidRPr="007B7AA9">
        <w:rPr>
          <w:rFonts w:ascii="mylotus" w:hAnsi="mylotus"/>
          <w:sz w:val="34"/>
          <w:szCs w:val="34"/>
          <w:rtl/>
        </w:rPr>
        <w:t xml:space="preserve"> الم</w:t>
      </w:r>
      <w:r>
        <w:rPr>
          <w:rFonts w:ascii="mylotus" w:hAnsi="mylotus" w:hint="cs"/>
          <w:sz w:val="34"/>
          <w:szCs w:val="34"/>
          <w:rtl/>
        </w:rPr>
        <w:t>ُ</w:t>
      </w:r>
      <w:r w:rsidRPr="007B7AA9">
        <w:rPr>
          <w:rFonts w:ascii="mylotus" w:hAnsi="mylotus"/>
          <w:sz w:val="34"/>
          <w:szCs w:val="34"/>
          <w:rtl/>
        </w:rPr>
        <w:t>قتضي فيه للعمل وتلبس ب</w:t>
      </w:r>
      <w:r>
        <w:rPr>
          <w:rFonts w:ascii="mylotus" w:hAnsi="mylotus" w:hint="cs"/>
          <w:sz w:val="34"/>
          <w:szCs w:val="34"/>
          <w:rtl/>
        </w:rPr>
        <w:t>ِ</w:t>
      </w:r>
      <w:r w:rsidRPr="007B7AA9">
        <w:rPr>
          <w:rFonts w:ascii="mylotus" w:hAnsi="mylotus"/>
          <w:sz w:val="34"/>
          <w:szCs w:val="34"/>
          <w:rtl/>
        </w:rPr>
        <w:t>ه</w:t>
      </w:r>
      <w:r>
        <w:rPr>
          <w:rFonts w:ascii="mylotus" w:hAnsi="mylotus" w:hint="cs"/>
          <w:sz w:val="34"/>
          <w:szCs w:val="34"/>
          <w:rtl/>
        </w:rPr>
        <w:t>ِ</w:t>
      </w:r>
      <w:r w:rsidRPr="007B7AA9">
        <w:rPr>
          <w:rFonts w:ascii="mylotus" w:hAnsi="mylotus"/>
          <w:sz w:val="34"/>
          <w:szCs w:val="34"/>
          <w:rtl/>
        </w:rPr>
        <w:t>، ومقتضى قياس فرض التفويت عليه اختصاص موضوع الضمان أيضا</w:t>
      </w:r>
      <w:r>
        <w:rPr>
          <w:rFonts w:ascii="mylotus" w:hAnsi="mylotus" w:hint="cs"/>
          <w:sz w:val="34"/>
          <w:szCs w:val="34"/>
          <w:rtl/>
        </w:rPr>
        <w:t>ً</w:t>
      </w:r>
      <w:r w:rsidRPr="007B7AA9">
        <w:rPr>
          <w:rFonts w:ascii="mylotus" w:hAnsi="mylotus"/>
          <w:sz w:val="34"/>
          <w:szCs w:val="34"/>
          <w:rtl/>
        </w:rPr>
        <w:t xml:space="preserve"> في فرض التفويت بفرض تمامية المقتضي.</w:t>
      </w:r>
    </w:p>
    <w:p w14:paraId="348F7F4E"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ولو كان موضوع الضمان عند التفويت شاملاً لكُلّ حرٍّ قادرٍ على العمل وإنْ لَمْ يكن مستعداً</w:t>
      </w:r>
      <w:r>
        <w:rPr>
          <w:rFonts w:ascii="mylotus" w:hAnsi="mylotus" w:hint="cs"/>
          <w:sz w:val="34"/>
          <w:szCs w:val="34"/>
          <w:rtl/>
        </w:rPr>
        <w:t xml:space="preserve"> </w:t>
      </w:r>
      <w:r w:rsidRPr="007B7AA9">
        <w:rPr>
          <w:rFonts w:ascii="mylotus" w:hAnsi="mylotus"/>
          <w:sz w:val="34"/>
          <w:szCs w:val="34"/>
          <w:rtl/>
        </w:rPr>
        <w:t>لكون المناط الحيلولة ولو كانت منعا</w:t>
      </w:r>
      <w:r>
        <w:rPr>
          <w:rFonts w:ascii="mylotus" w:hAnsi="mylotus" w:hint="cs"/>
          <w:sz w:val="34"/>
          <w:szCs w:val="34"/>
          <w:rtl/>
        </w:rPr>
        <w:t>ً</w:t>
      </w:r>
      <w:r w:rsidRPr="007B7AA9">
        <w:rPr>
          <w:rFonts w:ascii="mylotus" w:hAnsi="mylotus"/>
          <w:sz w:val="34"/>
          <w:szCs w:val="34"/>
          <w:rtl/>
        </w:rPr>
        <w:t xml:space="preserve"> لأصل ال</w:t>
      </w:r>
      <w:r>
        <w:rPr>
          <w:rFonts w:ascii="mylotus" w:hAnsi="mylotus" w:hint="cs"/>
          <w:sz w:val="34"/>
          <w:szCs w:val="34"/>
          <w:rtl/>
        </w:rPr>
        <w:t>ا</w:t>
      </w:r>
      <w:r w:rsidRPr="007B7AA9">
        <w:rPr>
          <w:rFonts w:ascii="mylotus" w:hAnsi="mylotus"/>
          <w:sz w:val="34"/>
          <w:szCs w:val="34"/>
          <w:rtl/>
        </w:rPr>
        <w:t>ستعداد لكان ذلك مطردا</w:t>
      </w:r>
      <w:r>
        <w:rPr>
          <w:rFonts w:ascii="mylotus" w:hAnsi="mylotus" w:hint="cs"/>
          <w:sz w:val="34"/>
          <w:szCs w:val="34"/>
          <w:rtl/>
        </w:rPr>
        <w:t>ً</w:t>
      </w:r>
      <w:r w:rsidRPr="007B7AA9">
        <w:rPr>
          <w:rFonts w:ascii="mylotus" w:hAnsi="mylotus"/>
          <w:sz w:val="34"/>
          <w:szCs w:val="34"/>
          <w:rtl/>
        </w:rPr>
        <w:t xml:space="preserve"> لسائر موارد منع ال</w:t>
      </w:r>
      <w:r>
        <w:rPr>
          <w:rFonts w:ascii="mylotus" w:hAnsi="mylotus" w:hint="cs"/>
          <w:sz w:val="34"/>
          <w:szCs w:val="34"/>
          <w:rtl/>
        </w:rPr>
        <w:t>ا</w:t>
      </w:r>
      <w:r w:rsidRPr="007B7AA9">
        <w:rPr>
          <w:rFonts w:ascii="mylotus" w:hAnsi="mylotus"/>
          <w:sz w:val="34"/>
          <w:szCs w:val="34"/>
          <w:rtl/>
        </w:rPr>
        <w:t>ستعدا</w:t>
      </w:r>
      <w:r>
        <w:rPr>
          <w:rFonts w:ascii="mylotus" w:hAnsi="mylotus" w:hint="cs"/>
          <w:sz w:val="34"/>
          <w:szCs w:val="34"/>
          <w:rtl/>
        </w:rPr>
        <w:t>د.</w:t>
      </w:r>
    </w:p>
    <w:p w14:paraId="0013AB62" w14:textId="77777777" w:rsidR="000C3987" w:rsidRDefault="000C3987" w:rsidP="000C3987">
      <w:pPr>
        <w:pStyle w:val="a"/>
        <w:bidi/>
        <w:spacing w:line="216" w:lineRule="auto"/>
        <w:rPr>
          <w:rFonts w:ascii="mylotus" w:hAnsi="mylotus"/>
          <w:sz w:val="34"/>
          <w:szCs w:val="34"/>
          <w:rtl/>
        </w:rPr>
      </w:pPr>
      <w:r w:rsidRPr="007B7AA9">
        <w:rPr>
          <w:rFonts w:ascii="mylotus" w:hAnsi="mylotus"/>
          <w:sz w:val="34"/>
          <w:szCs w:val="34"/>
          <w:rtl/>
        </w:rPr>
        <w:t>مع أن</w:t>
      </w:r>
      <w:r>
        <w:rPr>
          <w:rFonts w:ascii="mylotus" w:hAnsi="mylotus" w:hint="cs"/>
          <w:sz w:val="34"/>
          <w:szCs w:val="34"/>
          <w:rtl/>
        </w:rPr>
        <w:t>ّ</w:t>
      </w:r>
      <w:r w:rsidRPr="007B7AA9">
        <w:rPr>
          <w:rFonts w:ascii="mylotus" w:hAnsi="mylotus"/>
          <w:sz w:val="34"/>
          <w:szCs w:val="34"/>
          <w:rtl/>
        </w:rPr>
        <w:t>ه ليس كذلك</w:t>
      </w:r>
      <w:r>
        <w:rPr>
          <w:rFonts w:ascii="mylotus" w:hAnsi="mylotus" w:hint="cs"/>
          <w:sz w:val="34"/>
          <w:szCs w:val="34"/>
          <w:rtl/>
        </w:rPr>
        <w:t>،</w:t>
      </w:r>
      <w:r w:rsidRPr="007B7AA9">
        <w:rPr>
          <w:rFonts w:ascii="mylotus" w:hAnsi="mylotus"/>
          <w:sz w:val="34"/>
          <w:szCs w:val="34"/>
          <w:rtl/>
        </w:rPr>
        <w:t xml:space="preserve"> نظير قطع يد الإنسان التي هي محورُ العمل أحيانا</w:t>
      </w:r>
      <w:r>
        <w:rPr>
          <w:rFonts w:ascii="mylotus" w:hAnsi="mylotus" w:hint="cs"/>
          <w:sz w:val="34"/>
          <w:szCs w:val="34"/>
          <w:rtl/>
        </w:rPr>
        <w:t>ً</w:t>
      </w:r>
      <w:r w:rsidRPr="007B7AA9">
        <w:rPr>
          <w:rFonts w:ascii="mylotus" w:hAnsi="mylotus"/>
          <w:sz w:val="34"/>
          <w:szCs w:val="34"/>
          <w:rtl/>
        </w:rPr>
        <w:t xml:space="preserve"> كما لو كان كاتباً أو خياطاً أو نجاراً، فإن</w:t>
      </w:r>
      <w:r>
        <w:rPr>
          <w:rFonts w:ascii="mylotus" w:hAnsi="mylotus" w:hint="cs"/>
          <w:sz w:val="34"/>
          <w:szCs w:val="34"/>
          <w:rtl/>
        </w:rPr>
        <w:t>ّ</w:t>
      </w:r>
      <w:r w:rsidRPr="007B7AA9">
        <w:rPr>
          <w:rFonts w:ascii="mylotus" w:hAnsi="mylotus"/>
          <w:sz w:val="34"/>
          <w:szCs w:val="34"/>
          <w:rtl/>
        </w:rPr>
        <w:t>ه ل</w:t>
      </w:r>
      <w:r>
        <w:rPr>
          <w:rFonts w:ascii="mylotus" w:hAnsi="mylotus" w:hint="cs"/>
          <w:sz w:val="34"/>
          <w:szCs w:val="34"/>
          <w:rtl/>
        </w:rPr>
        <w:t>َ</w:t>
      </w:r>
      <w:r w:rsidRPr="007B7AA9">
        <w:rPr>
          <w:rFonts w:ascii="mylotus" w:hAnsi="mylotus"/>
          <w:sz w:val="34"/>
          <w:szCs w:val="34"/>
          <w:rtl/>
        </w:rPr>
        <w:t>م</w:t>
      </w:r>
      <w:r>
        <w:rPr>
          <w:rFonts w:ascii="mylotus" w:hAnsi="mylotus" w:hint="cs"/>
          <w:sz w:val="34"/>
          <w:szCs w:val="34"/>
          <w:rtl/>
        </w:rPr>
        <w:t>ْ</w:t>
      </w:r>
      <w:r w:rsidRPr="007B7AA9">
        <w:rPr>
          <w:rFonts w:ascii="mylotus" w:hAnsi="mylotus"/>
          <w:sz w:val="34"/>
          <w:szCs w:val="34"/>
          <w:rtl/>
        </w:rPr>
        <w:t xml:space="preserve"> يقل </w:t>
      </w:r>
      <w:proofErr w:type="gramStart"/>
      <w:r w:rsidRPr="007B7AA9">
        <w:rPr>
          <w:rFonts w:ascii="mylotus" w:hAnsi="mylotus"/>
          <w:sz w:val="34"/>
          <w:szCs w:val="34"/>
          <w:rtl/>
        </w:rPr>
        <w:t>أحد</w:t>
      </w:r>
      <w:r>
        <w:rPr>
          <w:rFonts w:ascii="mylotus" w:hAnsi="mylotus" w:hint="cs"/>
          <w:sz w:val="34"/>
          <w:szCs w:val="34"/>
          <w:rtl/>
        </w:rPr>
        <w:t>ٌ</w:t>
      </w:r>
      <w:r w:rsidRPr="007B7AA9">
        <w:rPr>
          <w:rFonts w:ascii="mylotus" w:hAnsi="mylotus"/>
          <w:sz w:val="34"/>
          <w:szCs w:val="34"/>
          <w:rtl/>
        </w:rPr>
        <w:t xml:space="preserve">  بأن</w:t>
      </w:r>
      <w:r>
        <w:rPr>
          <w:rFonts w:ascii="mylotus" w:hAnsi="mylotus" w:hint="cs"/>
          <w:sz w:val="34"/>
          <w:szCs w:val="34"/>
          <w:rtl/>
        </w:rPr>
        <w:t>ّ</w:t>
      </w:r>
      <w:r w:rsidRPr="007B7AA9">
        <w:rPr>
          <w:rFonts w:ascii="mylotus" w:hAnsi="mylotus"/>
          <w:sz w:val="34"/>
          <w:szCs w:val="34"/>
          <w:rtl/>
        </w:rPr>
        <w:t>ه</w:t>
      </w:r>
      <w:proofErr w:type="gramEnd"/>
      <w:r w:rsidRPr="007B7AA9">
        <w:rPr>
          <w:rFonts w:ascii="mylotus" w:hAnsi="mylotus"/>
          <w:sz w:val="34"/>
          <w:szCs w:val="34"/>
          <w:rtl/>
        </w:rPr>
        <w:t>: إذا قطع شخصٌ م</w:t>
      </w:r>
      <w:r>
        <w:rPr>
          <w:rFonts w:ascii="mylotus" w:hAnsi="mylotus" w:hint="cs"/>
          <w:sz w:val="34"/>
          <w:szCs w:val="34"/>
          <w:rtl/>
        </w:rPr>
        <w:t>ِ</w:t>
      </w:r>
      <w:r w:rsidRPr="007B7AA9">
        <w:rPr>
          <w:rFonts w:ascii="mylotus" w:hAnsi="mylotus"/>
          <w:sz w:val="34"/>
          <w:szCs w:val="34"/>
          <w:rtl/>
        </w:rPr>
        <w:t>ن آخر يده ضمن عمله ومنافع يده.</w:t>
      </w:r>
    </w:p>
    <w:p w14:paraId="0DA26C20" w14:textId="77777777" w:rsidR="000C3987" w:rsidRDefault="000C3987" w:rsidP="000C3987">
      <w:pPr>
        <w:pStyle w:val="a"/>
        <w:bidi/>
        <w:spacing w:line="216" w:lineRule="auto"/>
        <w:rPr>
          <w:rFonts w:ascii="mylotus" w:hAnsi="mylotus"/>
          <w:sz w:val="34"/>
          <w:szCs w:val="34"/>
          <w:rtl/>
        </w:rPr>
      </w:pPr>
      <w:r w:rsidRPr="007B7AA9">
        <w:rPr>
          <w:rFonts w:ascii="mylotus" w:hAnsi="mylotus"/>
          <w:sz w:val="34"/>
          <w:szCs w:val="34"/>
          <w:rtl/>
        </w:rPr>
        <w:t>وهذا منبّهٌ على أنّ موضوع الضمان ليس هو هدر القابلية أو منع الاستعداد، وإلّا لشمل مثل هذه الموارد التي لا يقولُ أحدٌ بضمان المنافع فيها</w:t>
      </w:r>
      <w:r>
        <w:rPr>
          <w:rFonts w:ascii="mylotus" w:hAnsi="mylotus" w:hint="cs"/>
          <w:sz w:val="34"/>
          <w:szCs w:val="34"/>
          <w:rtl/>
        </w:rPr>
        <w:t>.</w:t>
      </w:r>
    </w:p>
    <w:p w14:paraId="2B1AD0D5"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فالإنصاف</w:t>
      </w:r>
      <w:r>
        <w:rPr>
          <w:rFonts w:ascii="mylotus" w:hAnsi="mylotus" w:hint="cs"/>
          <w:sz w:val="34"/>
          <w:szCs w:val="34"/>
          <w:rtl/>
        </w:rPr>
        <w:t>:</w:t>
      </w:r>
      <w:r w:rsidRPr="007B7AA9">
        <w:rPr>
          <w:rFonts w:ascii="mylotus" w:hAnsi="mylotus"/>
          <w:sz w:val="34"/>
          <w:szCs w:val="34"/>
          <w:rtl/>
        </w:rPr>
        <w:t xml:space="preserve"> أنّ موضوع الضمان خاص بفرض كون الاستعداد </w:t>
      </w:r>
      <w:proofErr w:type="gramStart"/>
      <w:r w:rsidRPr="007B7AA9">
        <w:rPr>
          <w:rFonts w:ascii="mylotus" w:hAnsi="mylotus"/>
          <w:sz w:val="34"/>
          <w:szCs w:val="34"/>
          <w:rtl/>
        </w:rPr>
        <w:t>تاما</w:t>
      </w:r>
      <w:r>
        <w:rPr>
          <w:rFonts w:ascii="mylotus" w:hAnsi="mylotus" w:hint="cs"/>
          <w:sz w:val="34"/>
          <w:szCs w:val="34"/>
          <w:rtl/>
        </w:rPr>
        <w:t>ً</w:t>
      </w:r>
      <w:proofErr w:type="gramEnd"/>
      <w:r w:rsidRPr="007B7AA9">
        <w:rPr>
          <w:rFonts w:ascii="mylotus" w:hAnsi="mylotus"/>
          <w:sz w:val="34"/>
          <w:szCs w:val="34"/>
          <w:rtl/>
        </w:rPr>
        <w:t xml:space="preserve"> ولكن فُوّتت عليه فرصة العمل بالحيلولة، ليكون قياسه على ما</w:t>
      </w:r>
      <w:r>
        <w:rPr>
          <w:rFonts w:ascii="mylotus" w:hAnsi="mylotus" w:hint="cs"/>
          <w:sz w:val="34"/>
          <w:szCs w:val="34"/>
          <w:rtl/>
        </w:rPr>
        <w:t xml:space="preserve"> </w:t>
      </w:r>
      <w:r w:rsidRPr="007B7AA9">
        <w:rPr>
          <w:rFonts w:ascii="mylotus" w:hAnsi="mylotus"/>
          <w:sz w:val="34"/>
          <w:szCs w:val="34"/>
          <w:rtl/>
        </w:rPr>
        <w:t>هو القدر المتيقن م</w:t>
      </w:r>
      <w:r>
        <w:rPr>
          <w:rFonts w:ascii="mylotus" w:hAnsi="mylotus" w:hint="cs"/>
          <w:sz w:val="34"/>
          <w:szCs w:val="34"/>
          <w:rtl/>
        </w:rPr>
        <w:t>ِ</w:t>
      </w:r>
      <w:r w:rsidRPr="007B7AA9">
        <w:rPr>
          <w:rFonts w:ascii="mylotus" w:hAnsi="mylotus"/>
          <w:sz w:val="34"/>
          <w:szCs w:val="34"/>
          <w:rtl/>
        </w:rPr>
        <w:t>ن مناط الضمان وهو فرض ال</w:t>
      </w:r>
      <w:r>
        <w:rPr>
          <w:rFonts w:ascii="mylotus" w:hAnsi="mylotus" w:hint="cs"/>
          <w:sz w:val="34"/>
          <w:szCs w:val="34"/>
          <w:rtl/>
        </w:rPr>
        <w:t>ا</w:t>
      </w:r>
      <w:r w:rsidRPr="007B7AA9">
        <w:rPr>
          <w:rFonts w:ascii="mylotus" w:hAnsi="mylotus"/>
          <w:sz w:val="34"/>
          <w:szCs w:val="34"/>
          <w:rtl/>
        </w:rPr>
        <w:t>ستيفاء أو الإتلاف صحيح</w:t>
      </w:r>
      <w:r>
        <w:rPr>
          <w:rFonts w:ascii="mylotus" w:hAnsi="mylotus" w:hint="cs"/>
          <w:sz w:val="34"/>
          <w:szCs w:val="34"/>
          <w:rtl/>
        </w:rPr>
        <w:t>اً.</w:t>
      </w:r>
    </w:p>
    <w:p w14:paraId="3ECA4E45" w14:textId="77777777" w:rsidR="000C3987" w:rsidRPr="007B7AA9" w:rsidRDefault="000C3987" w:rsidP="000C3987">
      <w:pPr>
        <w:pStyle w:val="a"/>
        <w:bidi/>
        <w:spacing w:line="216" w:lineRule="auto"/>
        <w:rPr>
          <w:rFonts w:ascii="mylotus" w:hAnsi="mylotus"/>
          <w:sz w:val="34"/>
          <w:szCs w:val="34"/>
          <w:rtl/>
        </w:rPr>
      </w:pPr>
      <w:r w:rsidRPr="009E6F08">
        <w:rPr>
          <w:rFonts w:ascii="mylotus" w:hAnsi="mylotus"/>
          <w:b/>
          <w:bCs/>
          <w:sz w:val="34"/>
          <w:szCs w:val="34"/>
          <w:rtl/>
        </w:rPr>
        <w:t xml:space="preserve">الإشكالُ الثاني: </w:t>
      </w:r>
      <w:r w:rsidRPr="007B7AA9">
        <w:rPr>
          <w:rFonts w:ascii="mylotus" w:hAnsi="mylotus"/>
          <w:sz w:val="34"/>
          <w:szCs w:val="34"/>
          <w:rtl/>
        </w:rPr>
        <w:t xml:space="preserve">-وهو أعم مِن الأوّل- </w:t>
      </w:r>
      <w:r w:rsidRPr="009E6F08">
        <w:rPr>
          <w:rFonts w:ascii="mylotus" w:hAnsi="mylotus"/>
          <w:b/>
          <w:bCs/>
          <w:sz w:val="34"/>
          <w:szCs w:val="34"/>
          <w:rtl/>
        </w:rPr>
        <w:t>وحاصله</w:t>
      </w:r>
      <w:r w:rsidRPr="009E6F08">
        <w:rPr>
          <w:rFonts w:ascii="mylotus" w:hAnsi="mylotus" w:hint="cs"/>
          <w:b/>
          <w:bCs/>
          <w:sz w:val="34"/>
          <w:szCs w:val="34"/>
          <w:rtl/>
        </w:rPr>
        <w:t>ُ</w:t>
      </w:r>
      <w:r w:rsidRPr="009E6F08">
        <w:rPr>
          <w:rFonts w:ascii="mylotus" w:hAnsi="mylotus"/>
          <w:b/>
          <w:bCs/>
          <w:sz w:val="34"/>
          <w:szCs w:val="34"/>
          <w:rtl/>
        </w:rPr>
        <w:t>:</w:t>
      </w:r>
      <w:r w:rsidRPr="007B7AA9">
        <w:rPr>
          <w:rFonts w:ascii="mylotus" w:hAnsi="mylotus"/>
          <w:sz w:val="34"/>
          <w:szCs w:val="34"/>
          <w:rtl/>
        </w:rPr>
        <w:t xml:space="preserve"> الاعتراضُ على أصل عقلائية ضمان منافع الحرّ الكسوب فضلا</w:t>
      </w:r>
      <w:r>
        <w:rPr>
          <w:rFonts w:ascii="mylotus" w:hAnsi="mylotus" w:hint="cs"/>
          <w:sz w:val="34"/>
          <w:szCs w:val="34"/>
          <w:rtl/>
        </w:rPr>
        <w:t>ً</w:t>
      </w:r>
      <w:r w:rsidRPr="007B7AA9">
        <w:rPr>
          <w:rFonts w:ascii="mylotus" w:hAnsi="mylotus"/>
          <w:sz w:val="34"/>
          <w:szCs w:val="34"/>
          <w:rtl/>
        </w:rPr>
        <w:t xml:space="preserve"> عن غيره، مما يؤيد ما</w:t>
      </w:r>
      <w:r>
        <w:rPr>
          <w:rFonts w:ascii="mylotus" w:hAnsi="mylotus" w:hint="cs"/>
          <w:sz w:val="34"/>
          <w:szCs w:val="34"/>
          <w:rtl/>
        </w:rPr>
        <w:t xml:space="preserve"> </w:t>
      </w:r>
      <w:r w:rsidRPr="007B7AA9">
        <w:rPr>
          <w:rFonts w:ascii="mylotus" w:hAnsi="mylotus"/>
          <w:sz w:val="34"/>
          <w:szCs w:val="34"/>
          <w:rtl/>
        </w:rPr>
        <w:t>ذهبَ له معظم المتأخرين م</w:t>
      </w:r>
      <w:r>
        <w:rPr>
          <w:rFonts w:ascii="mylotus" w:hAnsi="mylotus" w:hint="cs"/>
          <w:sz w:val="34"/>
          <w:szCs w:val="34"/>
          <w:rtl/>
        </w:rPr>
        <w:t>ِ</w:t>
      </w:r>
      <w:r w:rsidRPr="007B7AA9">
        <w:rPr>
          <w:rFonts w:ascii="mylotus" w:hAnsi="mylotus"/>
          <w:sz w:val="34"/>
          <w:szCs w:val="34"/>
          <w:rtl/>
        </w:rPr>
        <w:t>ن عدم الضمان</w:t>
      </w:r>
      <w:r w:rsidRPr="007B7AA9">
        <w:rPr>
          <w:rFonts w:ascii="mylotus" w:hAnsi="mylotus"/>
          <w:sz w:val="34"/>
          <w:szCs w:val="34"/>
        </w:rPr>
        <w:t>.</w:t>
      </w:r>
    </w:p>
    <w:p w14:paraId="72297AFD"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والشاهدُ على ذلك: أنّه لو قتل شخصٌ حرّاً قادراً على العمل مستعداً له كسوباً، فهل يضمن ديته ومنافعه؟! أو بتر أحدَ أعضائه التي هي محورُ العمل سواءً كان عمله برجليه، أو بيديه، أو بلسانه، فهل يضمن وراء الدية قيمة منافعه؟</w:t>
      </w:r>
    </w:p>
    <w:p w14:paraId="3C603884"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م</w:t>
      </w:r>
      <w:r>
        <w:rPr>
          <w:rFonts w:ascii="mylotus" w:hAnsi="mylotus" w:hint="cs"/>
          <w:sz w:val="34"/>
          <w:szCs w:val="34"/>
          <w:rtl/>
        </w:rPr>
        <w:t>ِ</w:t>
      </w:r>
      <w:r w:rsidRPr="007B7AA9">
        <w:rPr>
          <w:rFonts w:ascii="mylotus" w:hAnsi="mylotus"/>
          <w:sz w:val="34"/>
          <w:szCs w:val="34"/>
          <w:rtl/>
        </w:rPr>
        <w:t>ن الواضح أن</w:t>
      </w:r>
      <w:r>
        <w:rPr>
          <w:rFonts w:ascii="mylotus" w:hAnsi="mylotus" w:hint="cs"/>
          <w:sz w:val="34"/>
          <w:szCs w:val="34"/>
          <w:rtl/>
        </w:rPr>
        <w:t>ّ</w:t>
      </w:r>
      <w:r w:rsidRPr="007B7AA9">
        <w:rPr>
          <w:rFonts w:ascii="mylotus" w:hAnsi="mylotus"/>
          <w:sz w:val="34"/>
          <w:szCs w:val="34"/>
          <w:rtl/>
        </w:rPr>
        <w:t>ه لا ريب لدى العقلاء فضلاً عن المتشرعة في عدم ضمان منافعه في هذه الموارد، مما يؤكدُ عدم عقلائية ضمان منافع الحرّ الكسوب، فضلاً عن ضمان الحقوق المستجدة كضمان حقّ البراءة عند تفويت</w:t>
      </w:r>
      <w:r>
        <w:rPr>
          <w:rFonts w:ascii="mylotus" w:hAnsi="mylotus" w:hint="cs"/>
          <w:sz w:val="34"/>
          <w:szCs w:val="34"/>
          <w:rtl/>
        </w:rPr>
        <w:t>ه.</w:t>
      </w:r>
    </w:p>
    <w:p w14:paraId="5264FC7D" w14:textId="77777777" w:rsidR="000C3987" w:rsidRDefault="000C3987" w:rsidP="000C3987">
      <w:pPr>
        <w:pStyle w:val="a"/>
        <w:bidi/>
        <w:spacing w:line="216" w:lineRule="auto"/>
        <w:rPr>
          <w:rFonts w:ascii="mylotus" w:hAnsi="mylotus"/>
          <w:sz w:val="34"/>
          <w:szCs w:val="34"/>
          <w:rtl/>
        </w:rPr>
      </w:pPr>
      <w:r w:rsidRPr="00116C93">
        <w:rPr>
          <w:rFonts w:ascii="mylotus" w:hAnsi="mylotus"/>
          <w:b/>
          <w:bCs/>
          <w:sz w:val="34"/>
          <w:szCs w:val="34"/>
          <w:rtl/>
        </w:rPr>
        <w:t>ويمكن</w:t>
      </w:r>
      <w:r>
        <w:rPr>
          <w:rFonts w:ascii="mylotus" w:hAnsi="mylotus" w:hint="cs"/>
          <w:b/>
          <w:bCs/>
          <w:sz w:val="34"/>
          <w:szCs w:val="34"/>
          <w:rtl/>
        </w:rPr>
        <w:t>ُ</w:t>
      </w:r>
      <w:r w:rsidRPr="00116C93">
        <w:rPr>
          <w:rFonts w:ascii="mylotus" w:hAnsi="mylotus"/>
          <w:b/>
          <w:bCs/>
          <w:sz w:val="34"/>
          <w:szCs w:val="34"/>
          <w:rtl/>
        </w:rPr>
        <w:t xml:space="preserve"> الجوابُ عن ذلك:</w:t>
      </w:r>
      <w:r w:rsidRPr="007B7AA9">
        <w:rPr>
          <w:rFonts w:ascii="mylotus" w:hAnsi="mylotus"/>
          <w:sz w:val="34"/>
          <w:szCs w:val="34"/>
          <w:rtl/>
        </w:rPr>
        <w:t xml:space="preserve"> أنّ المصالح النوعية اللزومية تقتضي في بعض الفروض النظر الاستقلالي، وفي بعضها النظر الاندكاكي</w:t>
      </w:r>
      <w:r w:rsidRPr="007B7AA9">
        <w:rPr>
          <w:rFonts w:ascii="mylotus" w:hAnsi="mylotus"/>
          <w:sz w:val="34"/>
          <w:szCs w:val="34"/>
        </w:rPr>
        <w:t>.</w:t>
      </w:r>
    </w:p>
    <w:p w14:paraId="07372DC4" w14:textId="77777777" w:rsidR="000C3987" w:rsidRPr="007B7AA9" w:rsidRDefault="000C3987" w:rsidP="000C3987">
      <w:pPr>
        <w:pStyle w:val="a"/>
        <w:bidi/>
        <w:spacing w:line="216" w:lineRule="auto"/>
        <w:rPr>
          <w:rFonts w:ascii="mylotus" w:hAnsi="mylotus"/>
          <w:sz w:val="34"/>
          <w:szCs w:val="34"/>
          <w:rtl/>
        </w:rPr>
      </w:pPr>
      <w:r w:rsidRPr="00116C93">
        <w:rPr>
          <w:rFonts w:ascii="mylotus" w:hAnsi="mylotus"/>
          <w:b/>
          <w:bCs/>
          <w:sz w:val="34"/>
          <w:szCs w:val="34"/>
          <w:rtl/>
        </w:rPr>
        <w:t>وبيانُ ذلك:</w:t>
      </w:r>
      <w:r w:rsidRPr="007B7AA9">
        <w:rPr>
          <w:rFonts w:ascii="mylotus" w:hAnsi="mylotus"/>
          <w:sz w:val="34"/>
          <w:szCs w:val="34"/>
          <w:rtl/>
        </w:rPr>
        <w:t xml:space="preserve"> أنّ ما يكونُ تابعاً في الوجود والسلطنة لغيره كالصفة والعمل والمنافع، تارةً تقتضي المصلحةُ اللزومية النظر إليه نظراً استقلالياً -مع أنّه تابع- كما لو كانت العينُ في معرض الإيجار سواءً كانت مملوكة أو موقوفة، فإن</w:t>
      </w:r>
      <w:r>
        <w:rPr>
          <w:rFonts w:ascii="mylotus" w:hAnsi="mylotus" w:hint="cs"/>
          <w:sz w:val="34"/>
          <w:szCs w:val="34"/>
          <w:rtl/>
        </w:rPr>
        <w:t>ّ</w:t>
      </w:r>
      <w:r w:rsidRPr="007B7AA9">
        <w:rPr>
          <w:rFonts w:ascii="mylotus" w:hAnsi="mylotus"/>
          <w:sz w:val="34"/>
          <w:szCs w:val="34"/>
          <w:rtl/>
        </w:rPr>
        <w:t xml:space="preserve"> منافعها تُلحظ في هذه الصورة لحاظاً استقلالياً، وكذلك الحرّ إذا كان في معرض استئجاره، بنحو يقعُ التداول والمبادلة على منافع</w:t>
      </w:r>
      <w:r>
        <w:rPr>
          <w:rFonts w:ascii="mylotus" w:hAnsi="mylotus" w:hint="cs"/>
          <w:sz w:val="34"/>
          <w:szCs w:val="34"/>
          <w:rtl/>
        </w:rPr>
        <w:t>ه.</w:t>
      </w:r>
    </w:p>
    <w:p w14:paraId="6AE37052"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وقد تقتضي المصالح النوعية اللزومية في بعض الفروض أنْ ينظر إلى الصفة أو العمل أو المنفعة</w:t>
      </w:r>
      <w:r>
        <w:rPr>
          <w:rFonts w:ascii="mylotus" w:hAnsi="mylotus" w:hint="cs"/>
          <w:sz w:val="34"/>
          <w:szCs w:val="34"/>
          <w:rtl/>
        </w:rPr>
        <w:t xml:space="preserve"> -</w:t>
      </w:r>
      <w:r w:rsidRPr="007B7AA9">
        <w:rPr>
          <w:rFonts w:ascii="mylotus" w:hAnsi="mylotus"/>
          <w:sz w:val="34"/>
          <w:szCs w:val="34"/>
          <w:rtl/>
        </w:rPr>
        <w:t xml:space="preserve">كما هو واقعه- نظراً </w:t>
      </w:r>
      <w:proofErr w:type="spellStart"/>
      <w:r w:rsidRPr="007B7AA9">
        <w:rPr>
          <w:rFonts w:ascii="mylotus" w:hAnsi="mylotus"/>
          <w:sz w:val="34"/>
          <w:szCs w:val="34"/>
          <w:rtl/>
        </w:rPr>
        <w:t>اندكاكياً</w:t>
      </w:r>
      <w:proofErr w:type="spellEnd"/>
      <w:r w:rsidRPr="007B7AA9">
        <w:rPr>
          <w:rFonts w:ascii="mylotus" w:hAnsi="mylotus"/>
          <w:sz w:val="34"/>
          <w:szCs w:val="34"/>
          <w:rtl/>
        </w:rPr>
        <w:t xml:space="preserve"> فيما هو تابعٌ لَهُ، كما في حال ترتب الأثر </w:t>
      </w:r>
      <w:r w:rsidRPr="007B7AA9">
        <w:rPr>
          <w:rFonts w:ascii="mylotus" w:hAnsi="mylotus"/>
          <w:sz w:val="34"/>
          <w:szCs w:val="34"/>
          <w:rtl/>
        </w:rPr>
        <w:lastRenderedPageBreak/>
        <w:t xml:space="preserve">على العين نفسها في </w:t>
      </w:r>
      <w:proofErr w:type="gramStart"/>
      <w:r w:rsidRPr="007B7AA9">
        <w:rPr>
          <w:rFonts w:ascii="mylotus" w:hAnsi="mylotus"/>
          <w:sz w:val="34"/>
          <w:szCs w:val="34"/>
          <w:rtl/>
        </w:rPr>
        <w:t>بيعها</w:t>
      </w:r>
      <w:proofErr w:type="gramEnd"/>
      <w:r w:rsidRPr="007B7AA9">
        <w:rPr>
          <w:rFonts w:ascii="mylotus" w:hAnsi="mylotus"/>
          <w:sz w:val="34"/>
          <w:szCs w:val="34"/>
          <w:rtl/>
        </w:rPr>
        <w:t xml:space="preserve"> أو رهنها أو ثبوت الخُمس أو الزكاة فيها على نحو الشركة في العين أو المالية، حيثُ لا يُرى لدى المرتكز العقلائي في هذا الفرض مستوى قيمة منافع العين ويضم إلى ثمنها وقيمتها استقلالاً</w:t>
      </w:r>
      <w:r w:rsidRPr="007B7AA9">
        <w:rPr>
          <w:rFonts w:ascii="mylotus" w:hAnsi="mylotus"/>
          <w:sz w:val="34"/>
          <w:szCs w:val="34"/>
        </w:rPr>
        <w:t>.</w:t>
      </w:r>
    </w:p>
    <w:p w14:paraId="3258FBDE"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 xml:space="preserve">نعم، قد يكون مستوى جودة العين حيثية تعليلية لزيادة ثمنها؛ فإنّ الأعيان تختلف في قيمتها باختلاف مستوى الجودة في منافعها، لا أنّ المنافع تُلحظ لها قيمة بإزاءِ قيمة العين، فهذا لا يخرج النظر إليها في هذه الفروض عن كونه نظراً </w:t>
      </w:r>
      <w:proofErr w:type="spellStart"/>
      <w:r w:rsidRPr="007B7AA9">
        <w:rPr>
          <w:rFonts w:ascii="mylotus" w:hAnsi="mylotus"/>
          <w:sz w:val="34"/>
          <w:szCs w:val="34"/>
          <w:rtl/>
        </w:rPr>
        <w:t>اندكاكياً</w:t>
      </w:r>
      <w:proofErr w:type="spellEnd"/>
      <w:r w:rsidRPr="007B7AA9">
        <w:rPr>
          <w:rFonts w:ascii="mylotus" w:hAnsi="mylotus"/>
          <w:sz w:val="34"/>
          <w:szCs w:val="34"/>
        </w:rPr>
        <w:t>.</w:t>
      </w:r>
    </w:p>
    <w:p w14:paraId="1AC333B7"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ولذلك فإنّ ضمانَ قيمة منافع الحرّ الكسوب عند حبسه لا يتضمن ضمان قيمة مزاياه الذاتية الدخيلة في جودة عمله</w:t>
      </w:r>
      <w:r>
        <w:rPr>
          <w:rFonts w:ascii="mylotus" w:hAnsi="mylotus" w:hint="cs"/>
          <w:sz w:val="34"/>
          <w:szCs w:val="34"/>
          <w:rtl/>
        </w:rPr>
        <w:t>،</w:t>
      </w:r>
      <w:r w:rsidRPr="007B7AA9">
        <w:rPr>
          <w:rFonts w:ascii="mylotus" w:hAnsi="mylotus"/>
          <w:sz w:val="34"/>
          <w:szCs w:val="34"/>
          <w:rtl/>
        </w:rPr>
        <w:t xml:space="preserve"> </w:t>
      </w:r>
      <w:r>
        <w:rPr>
          <w:rFonts w:ascii="mylotus" w:hAnsi="mylotus" w:hint="cs"/>
          <w:sz w:val="34"/>
          <w:szCs w:val="34"/>
          <w:rtl/>
        </w:rPr>
        <w:t>ف</w:t>
      </w:r>
      <w:r w:rsidRPr="007B7AA9">
        <w:rPr>
          <w:rFonts w:ascii="mylotus" w:hAnsi="mylotus"/>
          <w:sz w:val="34"/>
          <w:szCs w:val="34"/>
          <w:rtl/>
        </w:rPr>
        <w:t>مثلا</w:t>
      </w:r>
      <w:r>
        <w:rPr>
          <w:rFonts w:ascii="mylotus" w:hAnsi="mylotus" w:hint="cs"/>
          <w:sz w:val="34"/>
          <w:szCs w:val="34"/>
          <w:rtl/>
        </w:rPr>
        <w:t>ً:</w:t>
      </w:r>
      <w:r w:rsidRPr="007B7AA9">
        <w:rPr>
          <w:rFonts w:ascii="mylotus" w:hAnsi="mylotus"/>
          <w:sz w:val="34"/>
          <w:szCs w:val="34"/>
          <w:rtl/>
        </w:rPr>
        <w:t xml:space="preserve"> الأطباء يتفاوتون في المهارة والمزايا لكن قيمة العملية الجراحية التي يقوم بها الطبيب لا</w:t>
      </w:r>
      <w:r>
        <w:rPr>
          <w:rFonts w:ascii="mylotus" w:hAnsi="mylotus" w:hint="cs"/>
          <w:sz w:val="34"/>
          <w:szCs w:val="34"/>
          <w:rtl/>
        </w:rPr>
        <w:t xml:space="preserve"> </w:t>
      </w:r>
      <w:r w:rsidRPr="007B7AA9">
        <w:rPr>
          <w:rFonts w:ascii="mylotus" w:hAnsi="mylotus"/>
          <w:sz w:val="34"/>
          <w:szCs w:val="34"/>
          <w:rtl/>
        </w:rPr>
        <w:t xml:space="preserve">يُضمن معها المزايا والمهارات الذاتية -لهذا الطبيب- الدخيلة في جودة العمل، بل ينظر إلى المزايا الذاتية نظراً </w:t>
      </w:r>
      <w:proofErr w:type="spellStart"/>
      <w:r w:rsidRPr="007B7AA9">
        <w:rPr>
          <w:rFonts w:ascii="mylotus" w:hAnsi="mylotus"/>
          <w:sz w:val="34"/>
          <w:szCs w:val="34"/>
          <w:rtl/>
        </w:rPr>
        <w:t>اندكاكياً</w:t>
      </w:r>
      <w:proofErr w:type="spellEnd"/>
      <w:r w:rsidRPr="007B7AA9">
        <w:rPr>
          <w:rFonts w:ascii="mylotus" w:hAnsi="mylotus"/>
          <w:sz w:val="34"/>
          <w:szCs w:val="34"/>
          <w:rtl/>
        </w:rPr>
        <w:t xml:space="preserve"> فيما هو محطُ المبادلة</w:t>
      </w:r>
      <w:r w:rsidRPr="007B7AA9">
        <w:rPr>
          <w:rFonts w:ascii="mylotus" w:hAnsi="mylotus"/>
          <w:sz w:val="34"/>
          <w:szCs w:val="34"/>
        </w:rPr>
        <w:t>.</w:t>
      </w:r>
    </w:p>
    <w:p w14:paraId="4DA3B292"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 xml:space="preserve">والمنبّهُ على الفرق بين النظر الاستقلالي </w:t>
      </w:r>
      <w:proofErr w:type="spellStart"/>
      <w:r w:rsidRPr="007B7AA9">
        <w:rPr>
          <w:rFonts w:ascii="mylotus" w:hAnsi="mylotus"/>
          <w:sz w:val="34"/>
          <w:szCs w:val="34"/>
          <w:rtl/>
        </w:rPr>
        <w:t>والاندكاكي</w:t>
      </w:r>
      <w:proofErr w:type="spellEnd"/>
      <w:r w:rsidRPr="007B7AA9">
        <w:rPr>
          <w:rFonts w:ascii="mylotus" w:hAnsi="mylotus"/>
          <w:sz w:val="34"/>
          <w:szCs w:val="34"/>
          <w:rtl/>
        </w:rPr>
        <w:t xml:space="preserve"> في نسبة عمل الحرّ ومنافعه قياسُهُ على الأعيان؛ فكما أنّ ضمان العين باليد كما لو غصب</w:t>
      </w:r>
      <w:r>
        <w:rPr>
          <w:rFonts w:ascii="mylotus" w:hAnsi="mylotus" w:hint="cs"/>
          <w:sz w:val="34"/>
          <w:szCs w:val="34"/>
          <w:rtl/>
        </w:rPr>
        <w:t>َ</w:t>
      </w:r>
      <w:r w:rsidRPr="007B7AA9">
        <w:rPr>
          <w:rFonts w:ascii="mylotus" w:hAnsi="mylotus"/>
          <w:sz w:val="34"/>
          <w:szCs w:val="34"/>
          <w:rtl/>
        </w:rPr>
        <w:t xml:space="preserve"> شخص</w:t>
      </w:r>
      <w:r>
        <w:rPr>
          <w:rFonts w:ascii="mylotus" w:hAnsi="mylotus" w:hint="cs"/>
          <w:sz w:val="34"/>
          <w:szCs w:val="34"/>
          <w:rtl/>
        </w:rPr>
        <w:t>ٌ</w:t>
      </w:r>
      <w:r w:rsidRPr="007B7AA9">
        <w:rPr>
          <w:rFonts w:ascii="mylotus" w:hAnsi="mylotus"/>
          <w:sz w:val="34"/>
          <w:szCs w:val="34"/>
          <w:rtl/>
        </w:rPr>
        <w:t xml:space="preserve"> العين</w:t>
      </w:r>
      <w:r>
        <w:rPr>
          <w:rFonts w:ascii="mylotus" w:hAnsi="mylotus" w:hint="cs"/>
          <w:sz w:val="34"/>
          <w:szCs w:val="34"/>
          <w:rtl/>
        </w:rPr>
        <w:t>َ</w:t>
      </w:r>
      <w:r w:rsidRPr="007B7AA9">
        <w:rPr>
          <w:rFonts w:ascii="mylotus" w:hAnsi="mylotus"/>
          <w:sz w:val="34"/>
          <w:szCs w:val="34"/>
          <w:rtl/>
        </w:rPr>
        <w:t xml:space="preserve"> كالسيارة مِن شخصٍ وتلفت تحت يده غصباً</w:t>
      </w:r>
      <w:r>
        <w:rPr>
          <w:rFonts w:ascii="mylotus" w:hAnsi="mylotus" w:hint="cs"/>
          <w:sz w:val="34"/>
          <w:szCs w:val="34"/>
          <w:rtl/>
        </w:rPr>
        <w:t>،</w:t>
      </w:r>
      <w:r w:rsidRPr="007B7AA9">
        <w:rPr>
          <w:rFonts w:ascii="mylotus" w:hAnsi="mylotus"/>
          <w:sz w:val="34"/>
          <w:szCs w:val="34"/>
          <w:rtl/>
        </w:rPr>
        <w:t xml:space="preserve"> أو الإتلاف كما</w:t>
      </w:r>
      <w:r>
        <w:rPr>
          <w:rFonts w:ascii="mylotus" w:hAnsi="mylotus" w:hint="cs"/>
          <w:sz w:val="34"/>
          <w:szCs w:val="34"/>
          <w:rtl/>
        </w:rPr>
        <w:t xml:space="preserve"> </w:t>
      </w:r>
      <w:r w:rsidRPr="007B7AA9">
        <w:rPr>
          <w:rFonts w:ascii="mylotus" w:hAnsi="mylotus"/>
          <w:sz w:val="34"/>
          <w:szCs w:val="34"/>
          <w:rtl/>
        </w:rPr>
        <w:t>لو أتلف</w:t>
      </w:r>
      <w:r>
        <w:rPr>
          <w:rFonts w:ascii="mylotus" w:hAnsi="mylotus" w:hint="cs"/>
          <w:sz w:val="34"/>
          <w:szCs w:val="34"/>
          <w:rtl/>
        </w:rPr>
        <w:t>َ</w:t>
      </w:r>
      <w:r w:rsidRPr="007B7AA9">
        <w:rPr>
          <w:rFonts w:ascii="mylotus" w:hAnsi="mylotus"/>
          <w:sz w:val="34"/>
          <w:szCs w:val="34"/>
          <w:rtl/>
        </w:rPr>
        <w:t xml:space="preserve"> العين شخص ولو عن غفلة، أو الحيلولة كما لو أخذ مالَ شخصٍ وألقاهُ في البحر بنحوٍ لا يمكنُ الوصول إليه، فإن</w:t>
      </w:r>
      <w:r>
        <w:rPr>
          <w:rFonts w:ascii="mylotus" w:hAnsi="mylotus" w:hint="cs"/>
          <w:sz w:val="34"/>
          <w:szCs w:val="34"/>
          <w:rtl/>
        </w:rPr>
        <w:t>ّ</w:t>
      </w:r>
      <w:r w:rsidRPr="007B7AA9">
        <w:rPr>
          <w:rFonts w:ascii="mylotus" w:hAnsi="mylotus"/>
          <w:sz w:val="34"/>
          <w:szCs w:val="34"/>
          <w:rtl/>
        </w:rPr>
        <w:t xml:space="preserve"> هذه الأسباب لا</w:t>
      </w:r>
      <w:r>
        <w:rPr>
          <w:rFonts w:ascii="mylotus" w:hAnsi="mylotus" w:hint="cs"/>
          <w:sz w:val="34"/>
          <w:szCs w:val="34"/>
          <w:rtl/>
        </w:rPr>
        <w:t xml:space="preserve"> </w:t>
      </w:r>
      <w:r w:rsidRPr="007B7AA9">
        <w:rPr>
          <w:rFonts w:ascii="mylotus" w:hAnsi="mylotus"/>
          <w:sz w:val="34"/>
          <w:szCs w:val="34"/>
          <w:rtl/>
        </w:rPr>
        <w:t>تتكفل ضمان منافع العين، بل الضمان لقيمة العين فقط، مما يعني أن</w:t>
      </w:r>
      <w:r>
        <w:rPr>
          <w:rFonts w:ascii="mylotus" w:hAnsi="mylotus" w:hint="cs"/>
          <w:sz w:val="34"/>
          <w:szCs w:val="34"/>
          <w:rtl/>
        </w:rPr>
        <w:t>ّ</w:t>
      </w:r>
      <w:r w:rsidRPr="007B7AA9">
        <w:rPr>
          <w:rFonts w:ascii="mylotus" w:hAnsi="mylotus"/>
          <w:sz w:val="34"/>
          <w:szCs w:val="34"/>
          <w:rtl/>
        </w:rPr>
        <w:t xml:space="preserve"> نظر العقلاء إلى المنافع في هذا الفرض نظراً اندكاكي</w:t>
      </w:r>
      <w:r w:rsidRPr="007B7AA9">
        <w:rPr>
          <w:rFonts w:ascii="mylotus" w:hAnsi="mylotus"/>
          <w:sz w:val="34"/>
          <w:szCs w:val="34"/>
        </w:rPr>
        <w:t>.</w:t>
      </w:r>
    </w:p>
    <w:p w14:paraId="1C0662A2"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كذلك الأمرُ في الحرّ عند قتله أو بتر عضوٍ مِن أعضائه، فإنّ المجتمع العقلائي في هذا الفرض يرى اندكاك منافعه وأعماله في ذاته، ولعلّه مِن باب ترجيح حُرمة الإنسان في نفسه على حرمة أمواله ومنافعه، لذلك يكونُ الضمانُ بإزاءِ جسمه أو عضوٍ مِن أعضائه مِن دون أنْ يتضمن ملاحظة منافعه وأعماله في ذلك، حتى لو كان حرّاً كسوباً فضلاً عن غيره</w:t>
      </w:r>
      <w:r w:rsidRPr="007B7AA9">
        <w:rPr>
          <w:rFonts w:ascii="mylotus" w:hAnsi="mylotus"/>
          <w:sz w:val="34"/>
          <w:szCs w:val="34"/>
        </w:rPr>
        <w:t>.</w:t>
      </w:r>
    </w:p>
    <w:p w14:paraId="3C02A14A" w14:textId="77777777" w:rsidR="000C3987" w:rsidRPr="007B7AA9" w:rsidRDefault="000C3987" w:rsidP="000C3987">
      <w:pPr>
        <w:pStyle w:val="a"/>
        <w:bidi/>
        <w:spacing w:line="216" w:lineRule="auto"/>
        <w:rPr>
          <w:rFonts w:ascii="mylotus" w:hAnsi="mylotus"/>
          <w:sz w:val="34"/>
          <w:szCs w:val="34"/>
          <w:rtl/>
        </w:rPr>
      </w:pPr>
      <w:r w:rsidRPr="00116C93">
        <w:rPr>
          <w:rFonts w:ascii="mylotus" w:hAnsi="mylotus"/>
          <w:b/>
          <w:bCs/>
          <w:sz w:val="34"/>
          <w:szCs w:val="34"/>
          <w:rtl/>
        </w:rPr>
        <w:t>الإشكالُ الثالث:</w:t>
      </w:r>
      <w:r w:rsidRPr="007B7AA9">
        <w:rPr>
          <w:rFonts w:ascii="mylotus" w:hAnsi="mylotus"/>
          <w:sz w:val="34"/>
          <w:szCs w:val="34"/>
          <w:rtl/>
        </w:rPr>
        <w:t xml:space="preserve"> لو أنّ شخصاً ثالثاً حبسَ الأجير أو منعَهُ مِن مزاولة عمله</w:t>
      </w:r>
      <w:r w:rsidRPr="007B7AA9">
        <w:rPr>
          <w:rFonts w:ascii="mylotus" w:hAnsi="mylotus"/>
          <w:sz w:val="34"/>
          <w:szCs w:val="34"/>
        </w:rPr>
        <w:t>.</w:t>
      </w:r>
    </w:p>
    <w:p w14:paraId="4BF275D0"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كما لو استأجرَ رجلٌ شخصاً لكنس المسجد فحبسَ الأجير</w:t>
      </w:r>
      <w:r>
        <w:rPr>
          <w:rFonts w:ascii="mylotus" w:hAnsi="mylotus" w:hint="cs"/>
          <w:sz w:val="34"/>
          <w:szCs w:val="34"/>
          <w:rtl/>
        </w:rPr>
        <w:t>َ</w:t>
      </w:r>
      <w:r w:rsidRPr="007B7AA9">
        <w:rPr>
          <w:rFonts w:ascii="mylotus" w:hAnsi="mylotus"/>
          <w:sz w:val="34"/>
          <w:szCs w:val="34"/>
          <w:rtl/>
        </w:rPr>
        <w:t xml:space="preserve"> شخص</w:t>
      </w:r>
      <w:r>
        <w:rPr>
          <w:rFonts w:ascii="mylotus" w:hAnsi="mylotus" w:hint="cs"/>
          <w:sz w:val="34"/>
          <w:szCs w:val="34"/>
          <w:rtl/>
        </w:rPr>
        <w:t>ٌ</w:t>
      </w:r>
      <w:r w:rsidRPr="007B7AA9">
        <w:rPr>
          <w:rFonts w:ascii="mylotus" w:hAnsi="mylotus"/>
          <w:sz w:val="34"/>
          <w:szCs w:val="34"/>
          <w:rtl/>
        </w:rPr>
        <w:t xml:space="preserve"> ثالث في وقت العمل أو منع</w:t>
      </w:r>
      <w:r>
        <w:rPr>
          <w:rFonts w:ascii="mylotus" w:hAnsi="mylotus" w:hint="cs"/>
          <w:sz w:val="34"/>
          <w:szCs w:val="34"/>
          <w:rtl/>
        </w:rPr>
        <w:t>َ</w:t>
      </w:r>
      <w:r w:rsidRPr="007B7AA9">
        <w:rPr>
          <w:rFonts w:ascii="mylotus" w:hAnsi="mylotus"/>
          <w:sz w:val="34"/>
          <w:szCs w:val="34"/>
          <w:rtl/>
        </w:rPr>
        <w:t>ه</w:t>
      </w:r>
      <w:r>
        <w:rPr>
          <w:rFonts w:ascii="mylotus" w:hAnsi="mylotus" w:hint="cs"/>
          <w:sz w:val="34"/>
          <w:szCs w:val="34"/>
          <w:rtl/>
        </w:rPr>
        <w:t>ُ</w:t>
      </w:r>
      <w:r w:rsidRPr="007B7AA9">
        <w:rPr>
          <w:rFonts w:ascii="mylotus" w:hAnsi="mylotus"/>
          <w:sz w:val="34"/>
          <w:szCs w:val="34"/>
          <w:rtl/>
        </w:rPr>
        <w:t>، فإنْ قُلنا بصحّة الإجارة ولزومها وأنّ الظالم عند حبسه أو منعه يضمنُ قيمة عمل الأجير للمُستأجر الذي ملك عمله -وليس للأجير- كان ذلك منسجما</w:t>
      </w:r>
      <w:r>
        <w:rPr>
          <w:rFonts w:ascii="mylotus" w:hAnsi="mylotus" w:hint="cs"/>
          <w:sz w:val="34"/>
          <w:szCs w:val="34"/>
          <w:rtl/>
        </w:rPr>
        <w:t>ً</w:t>
      </w:r>
      <w:r w:rsidRPr="007B7AA9">
        <w:rPr>
          <w:rFonts w:ascii="mylotus" w:hAnsi="mylotus"/>
          <w:sz w:val="34"/>
          <w:szCs w:val="34"/>
          <w:rtl/>
        </w:rPr>
        <w:t xml:space="preserve"> مع دعوى ضمان منافع الحر</w:t>
      </w:r>
      <w:r>
        <w:rPr>
          <w:rFonts w:ascii="mylotus" w:hAnsi="mylotus" w:hint="cs"/>
          <w:sz w:val="34"/>
          <w:szCs w:val="34"/>
          <w:rtl/>
        </w:rPr>
        <w:t>ّ</w:t>
      </w:r>
      <w:r w:rsidRPr="007B7AA9">
        <w:rPr>
          <w:rFonts w:ascii="mylotus" w:hAnsi="mylotus"/>
          <w:sz w:val="34"/>
          <w:szCs w:val="34"/>
          <w:rtl/>
        </w:rPr>
        <w:t xml:space="preserve"> المستعد للعم</w:t>
      </w:r>
      <w:r>
        <w:rPr>
          <w:rFonts w:ascii="mylotus" w:hAnsi="mylotus" w:hint="cs"/>
          <w:sz w:val="34"/>
          <w:szCs w:val="34"/>
          <w:rtl/>
        </w:rPr>
        <w:t>ل.</w:t>
      </w:r>
    </w:p>
    <w:p w14:paraId="2F9E95EA"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وأمّا إذا قلنا كما ذهب إليه المشهور مِن الفقهاء بانفساخ الإجارة؛ باعتبار أنّه يعتبر في صحّة الإجارة قدرة الأجير على أداء العمل، فمع حبسه أو منعه لا قدرة لَهُ على العمل ومقتضاه انفساخ الإجارة</w:t>
      </w:r>
      <w:r w:rsidRPr="007B7AA9">
        <w:rPr>
          <w:rFonts w:ascii="mylotus" w:hAnsi="mylotus"/>
          <w:sz w:val="34"/>
          <w:szCs w:val="34"/>
        </w:rPr>
        <w:t>.</w:t>
      </w:r>
    </w:p>
    <w:p w14:paraId="71E9F451" w14:textId="77777777" w:rsidR="000C3987" w:rsidRPr="007B7AA9" w:rsidRDefault="000C3987" w:rsidP="000C3987">
      <w:pPr>
        <w:pStyle w:val="a"/>
        <w:bidi/>
        <w:spacing w:line="216" w:lineRule="auto"/>
        <w:rPr>
          <w:rFonts w:ascii="mylotus" w:hAnsi="mylotus"/>
          <w:sz w:val="34"/>
          <w:szCs w:val="34"/>
          <w:rtl/>
        </w:rPr>
      </w:pPr>
      <w:r w:rsidRPr="007B7AA9">
        <w:rPr>
          <w:rFonts w:ascii="mylotus" w:hAnsi="mylotus"/>
          <w:sz w:val="34"/>
          <w:szCs w:val="34"/>
          <w:rtl/>
        </w:rPr>
        <w:t>فمبنى المشهور منب</w:t>
      </w:r>
      <w:r>
        <w:rPr>
          <w:rFonts w:ascii="mylotus" w:hAnsi="mylotus" w:hint="cs"/>
          <w:sz w:val="34"/>
          <w:szCs w:val="34"/>
          <w:rtl/>
        </w:rPr>
        <w:t>ّ</w:t>
      </w:r>
      <w:r w:rsidRPr="007B7AA9">
        <w:rPr>
          <w:rFonts w:ascii="mylotus" w:hAnsi="mylotus"/>
          <w:sz w:val="34"/>
          <w:szCs w:val="34"/>
          <w:rtl/>
        </w:rPr>
        <w:t>ه</w:t>
      </w:r>
      <w:r>
        <w:rPr>
          <w:rFonts w:ascii="mylotus" w:hAnsi="mylotus" w:hint="cs"/>
          <w:sz w:val="34"/>
          <w:szCs w:val="34"/>
          <w:rtl/>
        </w:rPr>
        <w:t>ٌ</w:t>
      </w:r>
      <w:r w:rsidRPr="007B7AA9">
        <w:rPr>
          <w:rFonts w:ascii="mylotus" w:hAnsi="mylotus"/>
          <w:sz w:val="34"/>
          <w:szCs w:val="34"/>
          <w:rtl/>
        </w:rPr>
        <w:t xml:space="preserve"> على أنّ عمل الحرّ ومنافعه في حدّ ذاتها ليست مورداً للضمان، وإنّما الطريقُ لضمانها ال</w:t>
      </w:r>
      <w:r>
        <w:rPr>
          <w:rFonts w:ascii="mylotus" w:hAnsi="mylotus" w:hint="cs"/>
          <w:sz w:val="34"/>
          <w:szCs w:val="34"/>
          <w:rtl/>
        </w:rPr>
        <w:t>ا</w:t>
      </w:r>
      <w:r w:rsidRPr="007B7AA9">
        <w:rPr>
          <w:rFonts w:ascii="mylotus" w:hAnsi="mylotus"/>
          <w:sz w:val="34"/>
          <w:szCs w:val="34"/>
          <w:rtl/>
        </w:rPr>
        <w:t>ستيفاء أو كونها مورد المعاوضة والمبادلة لا غير ذلك</w:t>
      </w:r>
      <w:r w:rsidRPr="007B7AA9">
        <w:rPr>
          <w:rFonts w:ascii="mylotus" w:hAnsi="mylotus"/>
          <w:sz w:val="34"/>
          <w:szCs w:val="34"/>
        </w:rPr>
        <w:t>.</w:t>
      </w:r>
    </w:p>
    <w:p w14:paraId="374EBE1D" w14:textId="77777777" w:rsidR="000C3987" w:rsidRDefault="000C3987" w:rsidP="000C3987">
      <w:pPr>
        <w:pStyle w:val="a"/>
        <w:bidi/>
        <w:spacing w:line="216" w:lineRule="auto"/>
        <w:rPr>
          <w:rFonts w:ascii="mylotus" w:hAnsi="mylotus"/>
          <w:sz w:val="34"/>
          <w:szCs w:val="34"/>
          <w:rtl/>
        </w:rPr>
      </w:pPr>
      <w:r w:rsidRPr="00116C93">
        <w:rPr>
          <w:rFonts w:ascii="mylotus" w:hAnsi="mylotus"/>
          <w:b/>
          <w:bCs/>
          <w:sz w:val="34"/>
          <w:szCs w:val="34"/>
          <w:rtl/>
        </w:rPr>
        <w:t>ولكن فيه:</w:t>
      </w:r>
      <w:r w:rsidRPr="007B7AA9">
        <w:rPr>
          <w:rFonts w:ascii="mylotus" w:hAnsi="mylotus"/>
          <w:sz w:val="34"/>
          <w:szCs w:val="34"/>
          <w:rtl/>
        </w:rPr>
        <w:t xml:space="preserve"> أنّ الموافق للمرتكزات العقلائية هو صحّة الإجارة ولزومها؛ وذلك لأن</w:t>
      </w:r>
      <w:r>
        <w:rPr>
          <w:rFonts w:ascii="mylotus" w:hAnsi="mylotus" w:hint="cs"/>
          <w:sz w:val="34"/>
          <w:szCs w:val="34"/>
          <w:rtl/>
        </w:rPr>
        <w:t>ّ</w:t>
      </w:r>
      <w:r w:rsidRPr="007B7AA9">
        <w:rPr>
          <w:rFonts w:ascii="mylotus" w:hAnsi="mylotus"/>
          <w:sz w:val="34"/>
          <w:szCs w:val="34"/>
          <w:rtl/>
        </w:rPr>
        <w:t xml:space="preserve"> مدرك اعتبار القدرة في صح</w:t>
      </w:r>
      <w:r>
        <w:rPr>
          <w:rFonts w:ascii="mylotus" w:hAnsi="mylotus" w:hint="cs"/>
          <w:sz w:val="34"/>
          <w:szCs w:val="34"/>
          <w:rtl/>
        </w:rPr>
        <w:t>ّ</w:t>
      </w:r>
      <w:r w:rsidRPr="007B7AA9">
        <w:rPr>
          <w:rFonts w:ascii="mylotus" w:hAnsi="mylotus"/>
          <w:sz w:val="34"/>
          <w:szCs w:val="34"/>
          <w:rtl/>
        </w:rPr>
        <w:t xml:space="preserve">ة إجارة الأعمال هو نفس مدرك </w:t>
      </w:r>
      <w:r>
        <w:rPr>
          <w:rFonts w:ascii="mylotus" w:hAnsi="mylotus" w:hint="cs"/>
          <w:sz w:val="34"/>
          <w:szCs w:val="34"/>
          <w:rtl/>
        </w:rPr>
        <w:t>ا</w:t>
      </w:r>
      <w:r w:rsidRPr="007B7AA9">
        <w:rPr>
          <w:rFonts w:ascii="mylotus" w:hAnsi="mylotus"/>
          <w:sz w:val="34"/>
          <w:szCs w:val="34"/>
          <w:rtl/>
        </w:rPr>
        <w:t>عتبار الصلاحية في إجارة الأعيان</w:t>
      </w:r>
      <w:r>
        <w:rPr>
          <w:rFonts w:ascii="mylotus" w:hAnsi="mylotus" w:hint="cs"/>
          <w:sz w:val="34"/>
          <w:szCs w:val="34"/>
          <w:rtl/>
        </w:rPr>
        <w:t>،</w:t>
      </w:r>
      <w:r w:rsidRPr="007B7AA9">
        <w:rPr>
          <w:rFonts w:ascii="mylotus" w:hAnsi="mylotus"/>
          <w:sz w:val="34"/>
          <w:szCs w:val="34"/>
          <w:rtl/>
        </w:rPr>
        <w:t xml:space="preserve"> وهو ارتكاز العقلاء على أن</w:t>
      </w:r>
      <w:r>
        <w:rPr>
          <w:rFonts w:ascii="mylotus" w:hAnsi="mylotus" w:hint="cs"/>
          <w:sz w:val="34"/>
          <w:szCs w:val="34"/>
          <w:rtl/>
        </w:rPr>
        <w:t>ّ</w:t>
      </w:r>
      <w:r w:rsidRPr="007B7AA9">
        <w:rPr>
          <w:rFonts w:ascii="mylotus" w:hAnsi="mylotus"/>
          <w:sz w:val="34"/>
          <w:szCs w:val="34"/>
          <w:rtl/>
        </w:rPr>
        <w:t xml:space="preserve"> المدار في تمامية المعاملة كونها طريقا</w:t>
      </w:r>
      <w:r>
        <w:rPr>
          <w:rFonts w:ascii="mylotus" w:hAnsi="mylotus" w:hint="cs"/>
          <w:sz w:val="34"/>
          <w:szCs w:val="34"/>
          <w:rtl/>
        </w:rPr>
        <w:t>ً</w:t>
      </w:r>
      <w:r w:rsidRPr="007B7AA9">
        <w:rPr>
          <w:rFonts w:ascii="mylotus" w:hAnsi="mylotus"/>
          <w:sz w:val="34"/>
          <w:szCs w:val="34"/>
          <w:rtl/>
        </w:rPr>
        <w:t xml:space="preserve"> للنمو وتبادل الأموال، وذلك مرهون بصلاحية العين في نفسها لل</w:t>
      </w:r>
      <w:r>
        <w:rPr>
          <w:rFonts w:ascii="mylotus" w:hAnsi="mylotus" w:hint="cs"/>
          <w:sz w:val="34"/>
          <w:szCs w:val="34"/>
          <w:rtl/>
        </w:rPr>
        <w:t>ا</w:t>
      </w:r>
      <w:r w:rsidRPr="007B7AA9">
        <w:rPr>
          <w:rFonts w:ascii="mylotus" w:hAnsi="mylotus"/>
          <w:sz w:val="34"/>
          <w:szCs w:val="34"/>
          <w:rtl/>
        </w:rPr>
        <w:t xml:space="preserve">نتفاع بها، فلو كانت خربة أو حصل </w:t>
      </w:r>
      <w:r w:rsidRPr="007B7AA9">
        <w:rPr>
          <w:rFonts w:ascii="mylotus" w:hAnsi="mylotus"/>
          <w:sz w:val="34"/>
          <w:szCs w:val="34"/>
          <w:rtl/>
        </w:rPr>
        <w:lastRenderedPageBreak/>
        <w:t>مانع عام م</w:t>
      </w:r>
      <w:r>
        <w:rPr>
          <w:rFonts w:ascii="mylotus" w:hAnsi="mylotus" w:hint="cs"/>
          <w:sz w:val="34"/>
          <w:szCs w:val="34"/>
          <w:rtl/>
        </w:rPr>
        <w:t>ِ</w:t>
      </w:r>
      <w:r w:rsidRPr="007B7AA9">
        <w:rPr>
          <w:rFonts w:ascii="mylotus" w:hAnsi="mylotus"/>
          <w:sz w:val="34"/>
          <w:szCs w:val="34"/>
          <w:rtl/>
        </w:rPr>
        <w:t>ن استيفاء المنافع منها م</w:t>
      </w:r>
      <w:r>
        <w:rPr>
          <w:rFonts w:ascii="mylotus" w:hAnsi="mylotus" w:hint="cs"/>
          <w:sz w:val="34"/>
          <w:szCs w:val="34"/>
          <w:rtl/>
        </w:rPr>
        <w:t>ِ</w:t>
      </w:r>
      <w:r w:rsidRPr="007B7AA9">
        <w:rPr>
          <w:rFonts w:ascii="mylotus" w:hAnsi="mylotus"/>
          <w:sz w:val="34"/>
          <w:szCs w:val="34"/>
          <w:rtl/>
        </w:rPr>
        <w:t xml:space="preserve">ن دون اختصاص المانع بالعين المستأجرة كالحرب </w:t>
      </w:r>
      <w:proofErr w:type="spellStart"/>
      <w:r w:rsidRPr="007B7AA9">
        <w:rPr>
          <w:rFonts w:ascii="mylotus" w:hAnsi="mylotus"/>
          <w:sz w:val="34"/>
          <w:szCs w:val="34"/>
          <w:rtl/>
        </w:rPr>
        <w:t>أوسيطرة</w:t>
      </w:r>
      <w:proofErr w:type="spellEnd"/>
      <w:r w:rsidRPr="007B7AA9">
        <w:rPr>
          <w:rFonts w:ascii="mylotus" w:hAnsi="mylotus"/>
          <w:sz w:val="34"/>
          <w:szCs w:val="34"/>
          <w:rtl/>
        </w:rPr>
        <w:t xml:space="preserve"> الظالم على الدور، كان ذلك موجبا</w:t>
      </w:r>
      <w:r>
        <w:rPr>
          <w:rFonts w:ascii="mylotus" w:hAnsi="mylotus" w:hint="cs"/>
          <w:sz w:val="34"/>
          <w:szCs w:val="34"/>
          <w:rtl/>
        </w:rPr>
        <w:t>ً</w:t>
      </w:r>
      <w:r w:rsidRPr="007B7AA9">
        <w:rPr>
          <w:rFonts w:ascii="mylotus" w:hAnsi="mylotus"/>
          <w:sz w:val="34"/>
          <w:szCs w:val="34"/>
          <w:rtl/>
        </w:rPr>
        <w:t xml:space="preserve"> لبطلان الإجارة</w:t>
      </w:r>
      <w:r>
        <w:rPr>
          <w:rFonts w:ascii="mylotus" w:hAnsi="mylotus" w:hint="cs"/>
          <w:sz w:val="34"/>
          <w:szCs w:val="34"/>
          <w:rtl/>
        </w:rPr>
        <w:t>،</w:t>
      </w:r>
      <w:r w:rsidRPr="007B7AA9">
        <w:rPr>
          <w:rFonts w:ascii="mylotus" w:hAnsi="mylotus"/>
          <w:sz w:val="34"/>
          <w:szCs w:val="34"/>
          <w:rtl/>
        </w:rPr>
        <w:t xml:space="preserve"> أو انفساخها</w:t>
      </w:r>
      <w:r>
        <w:rPr>
          <w:rFonts w:ascii="mylotus" w:hAnsi="mylotus" w:hint="cs"/>
          <w:sz w:val="34"/>
          <w:szCs w:val="34"/>
          <w:rtl/>
        </w:rPr>
        <w:t>.</w:t>
      </w:r>
    </w:p>
    <w:p w14:paraId="62E02D95" w14:textId="77777777" w:rsidR="000C3987" w:rsidRDefault="000C3987" w:rsidP="000C3987">
      <w:pPr>
        <w:pStyle w:val="a"/>
        <w:bidi/>
        <w:spacing w:line="216" w:lineRule="auto"/>
        <w:rPr>
          <w:rFonts w:ascii="mylotus" w:hAnsi="mylotus"/>
          <w:sz w:val="34"/>
          <w:szCs w:val="34"/>
          <w:rtl/>
        </w:rPr>
      </w:pPr>
      <w:r w:rsidRPr="007B7AA9">
        <w:rPr>
          <w:rFonts w:ascii="mylotus" w:hAnsi="mylotus"/>
          <w:sz w:val="34"/>
          <w:szCs w:val="34"/>
          <w:rtl/>
        </w:rPr>
        <w:t>وأم</w:t>
      </w:r>
      <w:r>
        <w:rPr>
          <w:rFonts w:ascii="mylotus" w:hAnsi="mylotus" w:hint="cs"/>
          <w:sz w:val="34"/>
          <w:szCs w:val="34"/>
          <w:rtl/>
        </w:rPr>
        <w:t>ّ</w:t>
      </w:r>
      <w:r w:rsidRPr="007B7AA9">
        <w:rPr>
          <w:rFonts w:ascii="mylotus" w:hAnsi="mylotus"/>
          <w:sz w:val="34"/>
          <w:szCs w:val="34"/>
          <w:rtl/>
        </w:rPr>
        <w:t>ا لو كان المنع الوارد على الدار منعا</w:t>
      </w:r>
      <w:r>
        <w:rPr>
          <w:rFonts w:ascii="mylotus" w:hAnsi="mylotus" w:hint="cs"/>
          <w:sz w:val="34"/>
          <w:szCs w:val="34"/>
          <w:rtl/>
        </w:rPr>
        <w:t>ً</w:t>
      </w:r>
      <w:r w:rsidRPr="007B7AA9">
        <w:rPr>
          <w:rFonts w:ascii="mylotus" w:hAnsi="mylotus"/>
          <w:sz w:val="34"/>
          <w:szCs w:val="34"/>
          <w:rtl/>
        </w:rPr>
        <w:t xml:space="preserve"> عدوانيا أو اعتباطيا</w:t>
      </w:r>
      <w:r>
        <w:rPr>
          <w:rFonts w:ascii="mylotus" w:hAnsi="mylotus" w:hint="cs"/>
          <w:sz w:val="34"/>
          <w:szCs w:val="34"/>
          <w:rtl/>
        </w:rPr>
        <w:t>ً</w:t>
      </w:r>
      <w:r w:rsidRPr="007B7AA9">
        <w:rPr>
          <w:rFonts w:ascii="mylotus" w:hAnsi="mylotus"/>
          <w:sz w:val="34"/>
          <w:szCs w:val="34"/>
          <w:rtl/>
        </w:rPr>
        <w:t>،</w:t>
      </w:r>
      <w:r>
        <w:rPr>
          <w:rFonts w:ascii="mylotus" w:hAnsi="mylotus" w:hint="cs"/>
          <w:sz w:val="34"/>
          <w:szCs w:val="34"/>
          <w:rtl/>
        </w:rPr>
        <w:t xml:space="preserve"> </w:t>
      </w:r>
      <w:r w:rsidRPr="007B7AA9">
        <w:rPr>
          <w:rFonts w:ascii="mylotus" w:hAnsi="mylotus"/>
          <w:sz w:val="34"/>
          <w:szCs w:val="34"/>
          <w:rtl/>
        </w:rPr>
        <w:t>لا</w:t>
      </w:r>
      <w:r>
        <w:rPr>
          <w:rFonts w:ascii="mylotus" w:hAnsi="mylotus" w:hint="cs"/>
          <w:sz w:val="34"/>
          <w:szCs w:val="34"/>
          <w:rtl/>
        </w:rPr>
        <w:t xml:space="preserve"> </w:t>
      </w:r>
      <w:r w:rsidRPr="007B7AA9">
        <w:rPr>
          <w:rFonts w:ascii="mylotus" w:hAnsi="mylotus"/>
          <w:sz w:val="34"/>
          <w:szCs w:val="34"/>
          <w:rtl/>
        </w:rPr>
        <w:t>لمشكلة خاص</w:t>
      </w:r>
      <w:r>
        <w:rPr>
          <w:rFonts w:ascii="mylotus" w:hAnsi="mylotus" w:hint="cs"/>
          <w:sz w:val="34"/>
          <w:szCs w:val="34"/>
          <w:rtl/>
        </w:rPr>
        <w:t>ّ</w:t>
      </w:r>
      <w:r w:rsidRPr="007B7AA9">
        <w:rPr>
          <w:rFonts w:ascii="mylotus" w:hAnsi="mylotus"/>
          <w:sz w:val="34"/>
          <w:szCs w:val="34"/>
          <w:rtl/>
        </w:rPr>
        <w:t>ة ولا</w:t>
      </w:r>
      <w:r>
        <w:rPr>
          <w:rFonts w:ascii="mylotus" w:hAnsi="mylotus" w:hint="cs"/>
          <w:sz w:val="34"/>
          <w:szCs w:val="34"/>
          <w:rtl/>
        </w:rPr>
        <w:t xml:space="preserve"> </w:t>
      </w:r>
      <w:r w:rsidRPr="007B7AA9">
        <w:rPr>
          <w:rFonts w:ascii="mylotus" w:hAnsi="mylotus"/>
          <w:sz w:val="34"/>
          <w:szCs w:val="34"/>
          <w:rtl/>
        </w:rPr>
        <w:t>عام</w:t>
      </w:r>
      <w:r>
        <w:rPr>
          <w:rFonts w:ascii="mylotus" w:hAnsi="mylotus" w:hint="cs"/>
          <w:sz w:val="34"/>
          <w:szCs w:val="34"/>
          <w:rtl/>
        </w:rPr>
        <w:t>ّ</w:t>
      </w:r>
      <w:r w:rsidRPr="007B7AA9">
        <w:rPr>
          <w:rFonts w:ascii="mylotus" w:hAnsi="mylotus"/>
          <w:sz w:val="34"/>
          <w:szCs w:val="34"/>
          <w:rtl/>
        </w:rPr>
        <w:t>ة</w:t>
      </w:r>
      <w:r>
        <w:rPr>
          <w:rFonts w:ascii="mylotus" w:hAnsi="mylotus" w:hint="cs"/>
          <w:sz w:val="34"/>
          <w:szCs w:val="34"/>
          <w:rtl/>
        </w:rPr>
        <w:t>،</w:t>
      </w:r>
      <w:r w:rsidRPr="007B7AA9">
        <w:rPr>
          <w:rFonts w:ascii="mylotus" w:hAnsi="mylotus"/>
          <w:sz w:val="34"/>
          <w:szCs w:val="34"/>
          <w:rtl/>
        </w:rPr>
        <w:t xml:space="preserve"> فإن</w:t>
      </w:r>
      <w:r>
        <w:rPr>
          <w:rFonts w:ascii="mylotus" w:hAnsi="mylotus" w:hint="cs"/>
          <w:sz w:val="34"/>
          <w:szCs w:val="34"/>
          <w:rtl/>
        </w:rPr>
        <w:t>ّ</w:t>
      </w:r>
      <w:r w:rsidRPr="007B7AA9">
        <w:rPr>
          <w:rFonts w:ascii="mylotus" w:hAnsi="mylotus"/>
          <w:sz w:val="34"/>
          <w:szCs w:val="34"/>
          <w:rtl/>
        </w:rPr>
        <w:t>ه لا</w:t>
      </w:r>
      <w:r>
        <w:rPr>
          <w:rFonts w:ascii="mylotus" w:hAnsi="mylotus" w:hint="cs"/>
          <w:sz w:val="34"/>
          <w:szCs w:val="34"/>
          <w:rtl/>
        </w:rPr>
        <w:t xml:space="preserve"> </w:t>
      </w:r>
      <w:r w:rsidRPr="007B7AA9">
        <w:rPr>
          <w:rFonts w:ascii="mylotus" w:hAnsi="mylotus"/>
          <w:sz w:val="34"/>
          <w:szCs w:val="34"/>
          <w:rtl/>
        </w:rPr>
        <w:t xml:space="preserve">يوجب انفساخ </w:t>
      </w:r>
      <w:proofErr w:type="gramStart"/>
      <w:r w:rsidRPr="007B7AA9">
        <w:rPr>
          <w:rFonts w:ascii="mylotus" w:hAnsi="mylotus"/>
          <w:sz w:val="34"/>
          <w:szCs w:val="34"/>
          <w:rtl/>
        </w:rPr>
        <w:t>الإجارة</w:t>
      </w:r>
      <w:proofErr w:type="gramEnd"/>
      <w:r w:rsidRPr="007B7AA9">
        <w:rPr>
          <w:rFonts w:ascii="mylotus" w:hAnsi="mylotus"/>
          <w:sz w:val="34"/>
          <w:szCs w:val="34"/>
          <w:rtl/>
        </w:rPr>
        <w:t xml:space="preserve"> بل هو سبب للضمان </w:t>
      </w:r>
      <w:r>
        <w:rPr>
          <w:rFonts w:ascii="mylotus" w:hAnsi="mylotus" w:hint="cs"/>
          <w:sz w:val="34"/>
          <w:szCs w:val="34"/>
          <w:rtl/>
        </w:rPr>
        <w:t>-</w:t>
      </w:r>
      <w:r w:rsidRPr="007B7AA9">
        <w:rPr>
          <w:rFonts w:ascii="mylotus" w:hAnsi="mylotus"/>
          <w:sz w:val="34"/>
          <w:szCs w:val="34"/>
          <w:rtl/>
        </w:rPr>
        <w:t>أي</w:t>
      </w:r>
      <w:r>
        <w:rPr>
          <w:rFonts w:ascii="mylotus" w:hAnsi="mylotus" w:hint="cs"/>
          <w:sz w:val="34"/>
          <w:szCs w:val="34"/>
          <w:rtl/>
        </w:rPr>
        <w:t>:</w:t>
      </w:r>
      <w:r w:rsidRPr="007B7AA9">
        <w:rPr>
          <w:rFonts w:ascii="mylotus" w:hAnsi="mylotus"/>
          <w:sz w:val="34"/>
          <w:szCs w:val="34"/>
          <w:rtl/>
        </w:rPr>
        <w:t xml:space="preserve"> ضمان قيمة المنفعة للمستأجر لا المؤجر</w:t>
      </w:r>
      <w:r>
        <w:rPr>
          <w:rFonts w:ascii="mylotus" w:hAnsi="mylotus" w:hint="cs"/>
          <w:sz w:val="34"/>
          <w:szCs w:val="34"/>
          <w:rtl/>
        </w:rPr>
        <w:t>-</w:t>
      </w:r>
      <w:r w:rsidRPr="007B7AA9">
        <w:rPr>
          <w:rFonts w:ascii="mylotus" w:hAnsi="mylotus"/>
          <w:sz w:val="34"/>
          <w:szCs w:val="34"/>
          <w:rtl/>
        </w:rPr>
        <w:t>، وكذلك الأمر في إجارة الأعمال فإن</w:t>
      </w:r>
      <w:r>
        <w:rPr>
          <w:rFonts w:ascii="mylotus" w:hAnsi="mylotus" w:hint="cs"/>
          <w:sz w:val="34"/>
          <w:szCs w:val="34"/>
          <w:rtl/>
        </w:rPr>
        <w:t>ّ</w:t>
      </w:r>
      <w:r w:rsidRPr="007B7AA9">
        <w:rPr>
          <w:rFonts w:ascii="mylotus" w:hAnsi="mylotus"/>
          <w:sz w:val="34"/>
          <w:szCs w:val="34"/>
          <w:rtl/>
        </w:rPr>
        <w:t>ه إن</w:t>
      </w:r>
      <w:r>
        <w:rPr>
          <w:rFonts w:ascii="mylotus" w:hAnsi="mylotus" w:hint="cs"/>
          <w:sz w:val="34"/>
          <w:szCs w:val="34"/>
          <w:rtl/>
        </w:rPr>
        <w:t>ْ</w:t>
      </w:r>
      <w:r w:rsidRPr="007B7AA9">
        <w:rPr>
          <w:rFonts w:ascii="mylotus" w:hAnsi="mylotus"/>
          <w:sz w:val="34"/>
          <w:szCs w:val="34"/>
          <w:rtl/>
        </w:rPr>
        <w:t xml:space="preserve"> كان الأجير غير صالح للعمل لعاهة</w:t>
      </w:r>
      <w:r>
        <w:rPr>
          <w:rFonts w:ascii="mylotus" w:hAnsi="mylotus" w:hint="cs"/>
          <w:sz w:val="34"/>
          <w:szCs w:val="34"/>
          <w:rtl/>
        </w:rPr>
        <w:t>ٍ</w:t>
      </w:r>
      <w:r w:rsidRPr="007B7AA9">
        <w:rPr>
          <w:rFonts w:ascii="mylotus" w:hAnsi="mylotus"/>
          <w:sz w:val="34"/>
          <w:szCs w:val="34"/>
          <w:rtl/>
        </w:rPr>
        <w:t xml:space="preserve"> جسدية</w:t>
      </w:r>
      <w:r>
        <w:rPr>
          <w:rFonts w:ascii="mylotus" w:hAnsi="mylotus" w:hint="cs"/>
          <w:sz w:val="34"/>
          <w:szCs w:val="34"/>
          <w:rtl/>
        </w:rPr>
        <w:t>ٍ</w:t>
      </w:r>
      <w:r w:rsidRPr="007B7AA9">
        <w:rPr>
          <w:rFonts w:ascii="mylotus" w:hAnsi="mylotus"/>
          <w:sz w:val="34"/>
          <w:szCs w:val="34"/>
          <w:rtl/>
        </w:rPr>
        <w:t xml:space="preserve"> أو نفسية</w:t>
      </w:r>
      <w:r>
        <w:rPr>
          <w:rFonts w:ascii="mylotus" w:hAnsi="mylotus" w:hint="cs"/>
          <w:sz w:val="34"/>
          <w:szCs w:val="34"/>
          <w:rtl/>
        </w:rPr>
        <w:t>ٍ</w:t>
      </w:r>
      <w:r w:rsidRPr="007B7AA9">
        <w:rPr>
          <w:rFonts w:ascii="mylotus" w:hAnsi="mylotus"/>
          <w:sz w:val="34"/>
          <w:szCs w:val="34"/>
          <w:rtl/>
        </w:rPr>
        <w:t xml:space="preserve"> أو مرض</w:t>
      </w:r>
      <w:r>
        <w:rPr>
          <w:rFonts w:ascii="mylotus" w:hAnsi="mylotus" w:hint="cs"/>
          <w:sz w:val="34"/>
          <w:szCs w:val="34"/>
          <w:rtl/>
        </w:rPr>
        <w:t>ٍ</w:t>
      </w:r>
      <w:r w:rsidRPr="007B7AA9">
        <w:rPr>
          <w:rFonts w:ascii="mylotus" w:hAnsi="mylotus"/>
          <w:sz w:val="34"/>
          <w:szCs w:val="34"/>
          <w:rtl/>
        </w:rPr>
        <w:t xml:space="preserve"> طارئ كان موجبا</w:t>
      </w:r>
      <w:r>
        <w:rPr>
          <w:rFonts w:ascii="mylotus" w:hAnsi="mylotus" w:hint="cs"/>
          <w:sz w:val="34"/>
          <w:szCs w:val="34"/>
          <w:rtl/>
        </w:rPr>
        <w:t>ً</w:t>
      </w:r>
      <w:r w:rsidRPr="007B7AA9">
        <w:rPr>
          <w:rFonts w:ascii="mylotus" w:hAnsi="mylotus"/>
          <w:sz w:val="34"/>
          <w:szCs w:val="34"/>
          <w:rtl/>
        </w:rPr>
        <w:t xml:space="preserve"> لانفساخ الإجارة</w:t>
      </w:r>
      <w:r>
        <w:rPr>
          <w:rFonts w:ascii="mylotus" w:hAnsi="mylotus" w:hint="cs"/>
          <w:sz w:val="34"/>
          <w:szCs w:val="34"/>
          <w:rtl/>
        </w:rPr>
        <w:t>.</w:t>
      </w:r>
    </w:p>
    <w:p w14:paraId="4D419F2B" w14:textId="77777777" w:rsidR="000C3987" w:rsidRDefault="000C3987" w:rsidP="000C3987">
      <w:pPr>
        <w:pStyle w:val="a"/>
        <w:bidi/>
        <w:spacing w:line="216" w:lineRule="auto"/>
        <w:rPr>
          <w:rFonts w:ascii="mylotus" w:hAnsi="mylotus"/>
          <w:sz w:val="34"/>
          <w:szCs w:val="34"/>
          <w:rtl/>
        </w:rPr>
      </w:pPr>
      <w:r w:rsidRPr="007B7AA9">
        <w:rPr>
          <w:rFonts w:ascii="mylotus" w:hAnsi="mylotus"/>
          <w:sz w:val="34"/>
          <w:szCs w:val="34"/>
          <w:rtl/>
        </w:rPr>
        <w:t>وأم</w:t>
      </w:r>
      <w:r>
        <w:rPr>
          <w:rFonts w:ascii="mylotus" w:hAnsi="mylotus" w:hint="cs"/>
          <w:sz w:val="34"/>
          <w:szCs w:val="34"/>
          <w:rtl/>
        </w:rPr>
        <w:t>ّ</w:t>
      </w:r>
      <w:r w:rsidRPr="007B7AA9">
        <w:rPr>
          <w:rFonts w:ascii="mylotus" w:hAnsi="mylotus"/>
          <w:sz w:val="34"/>
          <w:szCs w:val="34"/>
          <w:rtl/>
        </w:rPr>
        <w:t>ا إذا ل</w:t>
      </w:r>
      <w:r>
        <w:rPr>
          <w:rFonts w:ascii="mylotus" w:hAnsi="mylotus" w:hint="cs"/>
          <w:sz w:val="34"/>
          <w:szCs w:val="34"/>
          <w:rtl/>
        </w:rPr>
        <w:t>َ</w:t>
      </w:r>
      <w:r w:rsidRPr="007B7AA9">
        <w:rPr>
          <w:rFonts w:ascii="mylotus" w:hAnsi="mylotus"/>
          <w:sz w:val="34"/>
          <w:szCs w:val="34"/>
          <w:rtl/>
        </w:rPr>
        <w:t>م</w:t>
      </w:r>
      <w:r>
        <w:rPr>
          <w:rFonts w:ascii="mylotus" w:hAnsi="mylotus" w:hint="cs"/>
          <w:sz w:val="34"/>
          <w:szCs w:val="34"/>
          <w:rtl/>
        </w:rPr>
        <w:t>ْ</w:t>
      </w:r>
      <w:r w:rsidRPr="007B7AA9">
        <w:rPr>
          <w:rFonts w:ascii="mylotus" w:hAnsi="mylotus"/>
          <w:sz w:val="34"/>
          <w:szCs w:val="34"/>
          <w:rtl/>
        </w:rPr>
        <w:t xml:space="preserve"> يكن عجز الأجير عن العمل عجزاً ذاتياً، وإنّما هو امتناعٌ بالغير -أي: بسبب حبس الظالم أو منعه-، فمقتضى ذلك صحّة الإجارة واستحقاقُ المُستأجر على الحابس قيمة مِلكه وماله الذي فوّته عليه، وإن</w:t>
      </w:r>
      <w:r>
        <w:rPr>
          <w:rFonts w:ascii="mylotus" w:hAnsi="mylotus" w:hint="cs"/>
          <w:sz w:val="34"/>
          <w:szCs w:val="34"/>
          <w:rtl/>
        </w:rPr>
        <w:t>ْ</w:t>
      </w:r>
      <w:r w:rsidRPr="007B7AA9">
        <w:rPr>
          <w:rFonts w:ascii="mylotus" w:hAnsi="mylotus"/>
          <w:sz w:val="34"/>
          <w:szCs w:val="34"/>
          <w:rtl/>
        </w:rPr>
        <w:t xml:space="preserve"> حكي عن مشهور المتأخرين القول بانفساخ الإجار</w:t>
      </w:r>
      <w:r>
        <w:rPr>
          <w:rFonts w:ascii="mylotus" w:hAnsi="mylotus" w:hint="cs"/>
          <w:sz w:val="34"/>
          <w:szCs w:val="34"/>
          <w:rtl/>
        </w:rPr>
        <w:t>ة.</w:t>
      </w:r>
    </w:p>
    <w:p w14:paraId="69841FFE" w14:textId="77777777" w:rsidR="000C3987" w:rsidRPr="004151FF" w:rsidRDefault="000C3987" w:rsidP="000C3987">
      <w:pPr>
        <w:pStyle w:val="a"/>
        <w:bidi/>
        <w:spacing w:line="216" w:lineRule="auto"/>
        <w:rPr>
          <w:rFonts w:ascii="mylotus" w:hAnsi="mylotus"/>
          <w:b/>
          <w:bCs/>
          <w:sz w:val="34"/>
          <w:szCs w:val="34"/>
          <w:rtl/>
        </w:rPr>
      </w:pPr>
      <w:r w:rsidRPr="00116C93">
        <w:rPr>
          <w:rFonts w:ascii="mylotus" w:hAnsi="mylotus"/>
          <w:b/>
          <w:bCs/>
          <w:sz w:val="34"/>
          <w:szCs w:val="34"/>
          <w:rtl/>
        </w:rPr>
        <w:t>وخلاصةُ البحث:</w:t>
      </w:r>
      <w:r w:rsidRPr="007B7AA9">
        <w:rPr>
          <w:rFonts w:ascii="mylotus" w:hAnsi="mylotus"/>
          <w:sz w:val="34"/>
          <w:szCs w:val="34"/>
          <w:rtl/>
        </w:rPr>
        <w:t xml:space="preserve"> </w:t>
      </w:r>
      <w:r w:rsidRPr="004151FF">
        <w:rPr>
          <w:rFonts w:ascii="mylotus" w:hAnsi="mylotus"/>
          <w:b/>
          <w:bCs/>
          <w:sz w:val="34"/>
          <w:szCs w:val="34"/>
          <w:rtl/>
        </w:rPr>
        <w:t>أنّ الدليل على ضمان منافع الحرّ المستعد للعمل مركبٌ مِن مقدمات</w:t>
      </w:r>
      <w:r w:rsidRPr="004151FF">
        <w:rPr>
          <w:rFonts w:ascii="mylotus" w:hAnsi="mylotus" w:hint="cs"/>
          <w:b/>
          <w:bCs/>
          <w:sz w:val="34"/>
          <w:szCs w:val="34"/>
          <w:rtl/>
        </w:rPr>
        <w:t>ٍ</w:t>
      </w:r>
      <w:r w:rsidRPr="004151FF">
        <w:rPr>
          <w:rFonts w:ascii="mylotus" w:hAnsi="mylotus"/>
          <w:b/>
          <w:bCs/>
          <w:sz w:val="34"/>
          <w:szCs w:val="34"/>
          <w:rtl/>
        </w:rPr>
        <w:t xml:space="preserve"> ثلاث</w:t>
      </w:r>
      <w:r w:rsidRPr="004151FF">
        <w:rPr>
          <w:rFonts w:ascii="mylotus" w:hAnsi="mylotus" w:hint="cs"/>
          <w:b/>
          <w:bCs/>
          <w:sz w:val="34"/>
          <w:szCs w:val="34"/>
          <w:rtl/>
        </w:rPr>
        <w:t>:</w:t>
      </w:r>
    </w:p>
    <w:p w14:paraId="0CCC3848" w14:textId="77777777" w:rsidR="000C3987" w:rsidRDefault="000C3987" w:rsidP="000C3987">
      <w:pPr>
        <w:pStyle w:val="a"/>
        <w:bidi/>
        <w:spacing w:line="216" w:lineRule="auto"/>
        <w:rPr>
          <w:rFonts w:ascii="mylotus" w:hAnsi="mylotus"/>
          <w:sz w:val="34"/>
          <w:szCs w:val="34"/>
          <w:rtl/>
        </w:rPr>
      </w:pPr>
      <w:r w:rsidRPr="004151FF">
        <w:rPr>
          <w:rFonts w:ascii="mylotus" w:hAnsi="mylotus" w:hint="cs"/>
          <w:b/>
          <w:bCs/>
          <w:sz w:val="34"/>
          <w:szCs w:val="34"/>
          <w:rtl/>
        </w:rPr>
        <w:t>المقدمةُ الأُولى:</w:t>
      </w:r>
      <w:r>
        <w:rPr>
          <w:rFonts w:ascii="mylotus" w:hAnsi="mylotus" w:hint="cs"/>
          <w:sz w:val="34"/>
          <w:szCs w:val="34"/>
          <w:rtl/>
        </w:rPr>
        <w:t xml:space="preserve"> </w:t>
      </w:r>
      <w:r w:rsidRPr="007B7AA9">
        <w:rPr>
          <w:rFonts w:ascii="mylotus" w:hAnsi="mylotus"/>
          <w:sz w:val="34"/>
          <w:szCs w:val="34"/>
          <w:rtl/>
        </w:rPr>
        <w:t>في تحديد مناط الضمان: والصحيح</w:t>
      </w:r>
      <w:r>
        <w:rPr>
          <w:rFonts w:ascii="mylotus" w:hAnsi="mylotus" w:hint="cs"/>
          <w:sz w:val="34"/>
          <w:szCs w:val="34"/>
          <w:rtl/>
        </w:rPr>
        <w:t>ُ</w:t>
      </w:r>
      <w:r w:rsidRPr="007B7AA9">
        <w:rPr>
          <w:rFonts w:ascii="mylotus" w:hAnsi="mylotus"/>
          <w:sz w:val="34"/>
          <w:szCs w:val="34"/>
          <w:rtl/>
        </w:rPr>
        <w:t xml:space="preserve"> أنّ مناط الضمان لدى المرتكز العقلائي لا ينحصرُ -كما ذهب إليه سيدنا الخوئي (قدس </w:t>
      </w:r>
      <w:proofErr w:type="gramStart"/>
      <w:r w:rsidRPr="007B7AA9">
        <w:rPr>
          <w:rFonts w:ascii="mylotus" w:hAnsi="mylotus"/>
          <w:sz w:val="34"/>
          <w:szCs w:val="34"/>
          <w:rtl/>
        </w:rPr>
        <w:t>سره)-</w:t>
      </w:r>
      <w:proofErr w:type="gramEnd"/>
      <w:r w:rsidRPr="007B7AA9">
        <w:rPr>
          <w:rFonts w:ascii="mylotus" w:hAnsi="mylotus"/>
          <w:sz w:val="34"/>
          <w:szCs w:val="34"/>
          <w:rtl/>
        </w:rPr>
        <w:t xml:space="preserve"> في اليد أو الإتلاف، بل هو أعم</w:t>
      </w:r>
      <w:r>
        <w:rPr>
          <w:rFonts w:ascii="mylotus" w:hAnsi="mylotus" w:hint="cs"/>
          <w:sz w:val="34"/>
          <w:szCs w:val="34"/>
          <w:rtl/>
        </w:rPr>
        <w:t>،</w:t>
      </w:r>
      <w:r w:rsidRPr="007B7AA9">
        <w:rPr>
          <w:rFonts w:ascii="mylotus" w:hAnsi="mylotus"/>
          <w:sz w:val="34"/>
          <w:szCs w:val="34"/>
          <w:rtl/>
        </w:rPr>
        <w:t xml:space="preserve"> وهو عبارة عن سد</w:t>
      </w:r>
      <w:r>
        <w:rPr>
          <w:rFonts w:ascii="mylotus" w:hAnsi="mylotus" w:hint="cs"/>
          <w:sz w:val="34"/>
          <w:szCs w:val="34"/>
          <w:rtl/>
        </w:rPr>
        <w:t>ّ</w:t>
      </w:r>
      <w:r w:rsidRPr="007B7AA9">
        <w:rPr>
          <w:rFonts w:ascii="mylotus" w:hAnsi="mylotus"/>
          <w:sz w:val="34"/>
          <w:szCs w:val="34"/>
          <w:rtl/>
        </w:rPr>
        <w:t xml:space="preserve"> الباب أمام الحر</w:t>
      </w:r>
      <w:r>
        <w:rPr>
          <w:rFonts w:ascii="mylotus" w:hAnsi="mylotus" w:hint="cs"/>
          <w:sz w:val="34"/>
          <w:szCs w:val="34"/>
          <w:rtl/>
        </w:rPr>
        <w:t>ّ</w:t>
      </w:r>
      <w:r w:rsidRPr="007B7AA9">
        <w:rPr>
          <w:rFonts w:ascii="mylotus" w:hAnsi="mylotus"/>
          <w:sz w:val="34"/>
          <w:szCs w:val="34"/>
          <w:rtl/>
        </w:rPr>
        <w:t xml:space="preserve"> القادر المستعد م</w:t>
      </w:r>
      <w:r>
        <w:rPr>
          <w:rFonts w:ascii="mylotus" w:hAnsi="mylotus" w:hint="cs"/>
          <w:sz w:val="34"/>
          <w:szCs w:val="34"/>
          <w:rtl/>
        </w:rPr>
        <w:t>ِ</w:t>
      </w:r>
      <w:r w:rsidRPr="007B7AA9">
        <w:rPr>
          <w:rFonts w:ascii="mylotus" w:hAnsi="mylotus"/>
          <w:sz w:val="34"/>
          <w:szCs w:val="34"/>
          <w:rtl/>
        </w:rPr>
        <w:t>ن استفادته م</w:t>
      </w:r>
      <w:r>
        <w:rPr>
          <w:rFonts w:ascii="mylotus" w:hAnsi="mylotus" w:hint="cs"/>
          <w:sz w:val="34"/>
          <w:szCs w:val="34"/>
          <w:rtl/>
        </w:rPr>
        <w:t>ِ</w:t>
      </w:r>
      <w:r w:rsidRPr="007B7AA9">
        <w:rPr>
          <w:rFonts w:ascii="mylotus" w:hAnsi="mylotus"/>
          <w:sz w:val="34"/>
          <w:szCs w:val="34"/>
          <w:rtl/>
        </w:rPr>
        <w:t xml:space="preserve">ن منافعه بنفسها أو بدلها، </w:t>
      </w:r>
      <w:r>
        <w:rPr>
          <w:rFonts w:ascii="mylotus" w:hAnsi="mylotus" w:hint="cs"/>
          <w:sz w:val="34"/>
          <w:szCs w:val="34"/>
          <w:rtl/>
        </w:rPr>
        <w:t>إ</w:t>
      </w:r>
      <w:r w:rsidRPr="007B7AA9">
        <w:rPr>
          <w:rFonts w:ascii="mylotus" w:hAnsi="mylotus"/>
          <w:sz w:val="34"/>
          <w:szCs w:val="34"/>
          <w:rtl/>
        </w:rPr>
        <w:t>ل</w:t>
      </w:r>
      <w:r>
        <w:rPr>
          <w:rFonts w:ascii="mylotus" w:hAnsi="mylotus" w:hint="cs"/>
          <w:sz w:val="34"/>
          <w:szCs w:val="34"/>
          <w:rtl/>
        </w:rPr>
        <w:t>ّ</w:t>
      </w:r>
      <w:r w:rsidRPr="007B7AA9">
        <w:rPr>
          <w:rFonts w:ascii="mylotus" w:hAnsi="mylotus"/>
          <w:sz w:val="34"/>
          <w:szCs w:val="34"/>
          <w:rtl/>
        </w:rPr>
        <w:t>ا أن</w:t>
      </w:r>
      <w:r>
        <w:rPr>
          <w:rFonts w:ascii="mylotus" w:hAnsi="mylotus" w:hint="cs"/>
          <w:sz w:val="34"/>
          <w:szCs w:val="34"/>
          <w:rtl/>
        </w:rPr>
        <w:t>ّ</w:t>
      </w:r>
      <w:r w:rsidRPr="007B7AA9">
        <w:rPr>
          <w:rFonts w:ascii="mylotus" w:hAnsi="mylotus"/>
          <w:sz w:val="34"/>
          <w:szCs w:val="34"/>
          <w:rtl/>
        </w:rPr>
        <w:t xml:space="preserve"> ضمان منافع الحرّ العامل مِن باب الحيلولة فرعُ ثبوت حقّ لَهُ في فرصة عمل، فلابُدّ مِن إثبات حقّ لَهُ في رتبةٍ سابقةٍ كي يُقال: م</w:t>
      </w:r>
      <w:r>
        <w:rPr>
          <w:rFonts w:ascii="mylotus" w:hAnsi="mylotus" w:hint="cs"/>
          <w:sz w:val="34"/>
          <w:szCs w:val="34"/>
          <w:rtl/>
        </w:rPr>
        <w:t>َ</w:t>
      </w:r>
      <w:r w:rsidRPr="007B7AA9">
        <w:rPr>
          <w:rFonts w:ascii="mylotus" w:hAnsi="mylotus"/>
          <w:sz w:val="34"/>
          <w:szCs w:val="34"/>
          <w:rtl/>
        </w:rPr>
        <w:t>ن فوّت حقّه أو فوّت ماله فقد ضمنه.</w:t>
      </w:r>
    </w:p>
    <w:p w14:paraId="1197CFF1" w14:textId="77777777" w:rsidR="000C3987" w:rsidRDefault="000C3987" w:rsidP="000C3987">
      <w:pPr>
        <w:pStyle w:val="a"/>
        <w:bidi/>
        <w:spacing w:line="216" w:lineRule="auto"/>
        <w:rPr>
          <w:rFonts w:ascii="mylotus" w:hAnsi="mylotus"/>
          <w:sz w:val="34"/>
          <w:szCs w:val="34"/>
          <w:rtl/>
        </w:rPr>
      </w:pPr>
      <w:r w:rsidRPr="004151FF">
        <w:rPr>
          <w:rFonts w:ascii="mylotus" w:hAnsi="mylotus" w:hint="cs"/>
          <w:b/>
          <w:bCs/>
          <w:sz w:val="34"/>
          <w:szCs w:val="34"/>
          <w:rtl/>
        </w:rPr>
        <w:t>المقدمةُ الثانية:</w:t>
      </w:r>
      <w:r>
        <w:rPr>
          <w:rFonts w:ascii="mylotus" w:hAnsi="mylotus" w:hint="cs"/>
          <w:sz w:val="34"/>
          <w:szCs w:val="34"/>
          <w:rtl/>
        </w:rPr>
        <w:t xml:space="preserve"> </w:t>
      </w:r>
      <w:r w:rsidRPr="007B7AA9">
        <w:rPr>
          <w:rFonts w:ascii="mylotus" w:hAnsi="mylotus"/>
          <w:sz w:val="34"/>
          <w:szCs w:val="34"/>
          <w:rtl/>
        </w:rPr>
        <w:t>أن</w:t>
      </w:r>
      <w:r>
        <w:rPr>
          <w:rFonts w:ascii="mylotus" w:hAnsi="mylotus" w:hint="cs"/>
          <w:sz w:val="34"/>
          <w:szCs w:val="34"/>
          <w:rtl/>
        </w:rPr>
        <w:t>ّ</w:t>
      </w:r>
      <w:r w:rsidRPr="007B7AA9">
        <w:rPr>
          <w:rFonts w:ascii="mylotus" w:hAnsi="mylotus"/>
          <w:sz w:val="34"/>
          <w:szCs w:val="34"/>
          <w:rtl/>
        </w:rPr>
        <w:t xml:space="preserve"> الحقّ في فرصة العمل أو براءة ال</w:t>
      </w:r>
      <w:r>
        <w:rPr>
          <w:rFonts w:ascii="mylotus" w:hAnsi="mylotus" w:hint="cs"/>
          <w:sz w:val="34"/>
          <w:szCs w:val="34"/>
          <w:rtl/>
        </w:rPr>
        <w:t>ا</w:t>
      </w:r>
      <w:r w:rsidRPr="007B7AA9">
        <w:rPr>
          <w:rFonts w:ascii="mylotus" w:hAnsi="mylotus"/>
          <w:sz w:val="34"/>
          <w:szCs w:val="34"/>
          <w:rtl/>
        </w:rPr>
        <w:t>ختراع إمّا مِن باب إمضاء المرتكز العقلائي، أو مِن باب حديث "لا ضرر" إذا كان تفويتها ضرراً، أو دليل "حرمة الظلم" بالإطلاق</w:t>
      </w:r>
      <w:r>
        <w:rPr>
          <w:rFonts w:ascii="mylotus" w:hAnsi="mylotus" w:hint="cs"/>
          <w:sz w:val="34"/>
          <w:szCs w:val="34"/>
          <w:rtl/>
        </w:rPr>
        <w:t xml:space="preserve"> </w:t>
      </w:r>
      <w:r w:rsidRPr="007B7AA9">
        <w:rPr>
          <w:rFonts w:ascii="mylotus" w:hAnsi="mylotus"/>
          <w:sz w:val="34"/>
          <w:szCs w:val="34"/>
          <w:rtl/>
        </w:rPr>
        <w:t>اللفظي أو</w:t>
      </w:r>
      <w:r>
        <w:rPr>
          <w:rFonts w:ascii="mylotus" w:hAnsi="mylotus" w:hint="cs"/>
          <w:sz w:val="34"/>
          <w:szCs w:val="34"/>
          <w:rtl/>
        </w:rPr>
        <w:t xml:space="preserve"> </w:t>
      </w:r>
      <w:r w:rsidRPr="007B7AA9">
        <w:rPr>
          <w:rFonts w:ascii="mylotus" w:hAnsi="mylotus"/>
          <w:sz w:val="34"/>
          <w:szCs w:val="34"/>
          <w:rtl/>
        </w:rPr>
        <w:t>المقامي كما سبق.</w:t>
      </w:r>
    </w:p>
    <w:p w14:paraId="0811035B" w14:textId="77777777" w:rsidR="000C3987" w:rsidRDefault="000C3987" w:rsidP="000C3987">
      <w:pPr>
        <w:pStyle w:val="a"/>
        <w:bidi/>
        <w:spacing w:line="216" w:lineRule="auto"/>
        <w:rPr>
          <w:rFonts w:ascii="mylotus" w:hAnsi="mylotus"/>
          <w:sz w:val="34"/>
          <w:szCs w:val="34"/>
          <w:rtl/>
        </w:rPr>
      </w:pPr>
      <w:r w:rsidRPr="004151FF">
        <w:rPr>
          <w:rFonts w:ascii="mylotus" w:hAnsi="mylotus" w:hint="cs"/>
          <w:b/>
          <w:bCs/>
          <w:sz w:val="34"/>
          <w:szCs w:val="34"/>
          <w:rtl/>
        </w:rPr>
        <w:t xml:space="preserve">المقدمةُ الثالثة: </w:t>
      </w:r>
      <w:r w:rsidRPr="007B7AA9">
        <w:rPr>
          <w:rFonts w:ascii="mylotus" w:hAnsi="mylotus"/>
          <w:sz w:val="34"/>
          <w:szCs w:val="34"/>
          <w:rtl/>
        </w:rPr>
        <w:t>أن</w:t>
      </w:r>
      <w:r>
        <w:rPr>
          <w:rFonts w:ascii="mylotus" w:hAnsi="mylotus" w:hint="cs"/>
          <w:sz w:val="34"/>
          <w:szCs w:val="34"/>
          <w:rtl/>
        </w:rPr>
        <w:t>ّ</w:t>
      </w:r>
      <w:r w:rsidRPr="007B7AA9">
        <w:rPr>
          <w:rFonts w:ascii="mylotus" w:hAnsi="mylotus"/>
          <w:sz w:val="34"/>
          <w:szCs w:val="34"/>
          <w:rtl/>
        </w:rPr>
        <w:t xml:space="preserve"> حبس الحر</w:t>
      </w:r>
      <w:r>
        <w:rPr>
          <w:rFonts w:ascii="mylotus" w:hAnsi="mylotus" w:hint="cs"/>
          <w:sz w:val="34"/>
          <w:szCs w:val="34"/>
          <w:rtl/>
        </w:rPr>
        <w:t>ّ</w:t>
      </w:r>
      <w:r w:rsidRPr="007B7AA9">
        <w:rPr>
          <w:rFonts w:ascii="mylotus" w:hAnsi="mylotus"/>
          <w:sz w:val="34"/>
          <w:szCs w:val="34"/>
          <w:rtl/>
        </w:rPr>
        <w:t xml:space="preserve"> العامل أو عدم استئذان المخترع مصداق للإتلاف أو التفويت</w:t>
      </w:r>
      <w:r>
        <w:rPr>
          <w:rFonts w:ascii="mylotus" w:hAnsi="mylotus" w:hint="cs"/>
          <w:sz w:val="34"/>
          <w:szCs w:val="34"/>
          <w:rtl/>
        </w:rPr>
        <w:t>.</w:t>
      </w:r>
    </w:p>
    <w:p w14:paraId="0FBA7362" w14:textId="77777777" w:rsidR="000C3987" w:rsidRDefault="000C3987" w:rsidP="000C3987">
      <w:pPr>
        <w:pStyle w:val="a"/>
        <w:bidi/>
        <w:spacing w:line="216" w:lineRule="auto"/>
        <w:rPr>
          <w:rFonts w:ascii="mylotus" w:hAnsi="mylotus"/>
          <w:sz w:val="34"/>
          <w:szCs w:val="34"/>
          <w:rtl/>
        </w:rPr>
      </w:pPr>
      <w:r w:rsidRPr="007B7AA9">
        <w:rPr>
          <w:rFonts w:ascii="mylotus" w:hAnsi="mylotus"/>
          <w:sz w:val="34"/>
          <w:szCs w:val="34"/>
          <w:rtl/>
        </w:rPr>
        <w:t>أو فق</w:t>
      </w:r>
      <w:r>
        <w:rPr>
          <w:rFonts w:ascii="mylotus" w:hAnsi="mylotus" w:hint="cs"/>
          <w:sz w:val="34"/>
          <w:szCs w:val="34"/>
          <w:rtl/>
        </w:rPr>
        <w:t>ُ</w:t>
      </w:r>
      <w:r w:rsidRPr="007B7AA9">
        <w:rPr>
          <w:rFonts w:ascii="mylotus" w:hAnsi="mylotus"/>
          <w:sz w:val="34"/>
          <w:szCs w:val="34"/>
          <w:rtl/>
        </w:rPr>
        <w:t>ل</w:t>
      </w:r>
      <w:r>
        <w:rPr>
          <w:rFonts w:ascii="mylotus" w:hAnsi="mylotus" w:hint="cs"/>
          <w:sz w:val="34"/>
          <w:szCs w:val="34"/>
          <w:rtl/>
        </w:rPr>
        <w:t>:</w:t>
      </w:r>
      <w:r w:rsidRPr="007B7AA9">
        <w:rPr>
          <w:rFonts w:ascii="mylotus" w:hAnsi="mylotus"/>
          <w:sz w:val="34"/>
          <w:szCs w:val="34"/>
          <w:rtl/>
        </w:rPr>
        <w:t xml:space="preserve"> سد</w:t>
      </w:r>
      <w:r>
        <w:rPr>
          <w:rFonts w:ascii="mylotus" w:hAnsi="mylotus" w:hint="cs"/>
          <w:sz w:val="34"/>
          <w:szCs w:val="34"/>
          <w:rtl/>
        </w:rPr>
        <w:t>ّ</w:t>
      </w:r>
      <w:r w:rsidRPr="007B7AA9">
        <w:rPr>
          <w:rFonts w:ascii="mylotus" w:hAnsi="mylotus"/>
          <w:sz w:val="34"/>
          <w:szCs w:val="34"/>
          <w:rtl/>
        </w:rPr>
        <w:t xml:space="preserve"> الباب أم الانتفاع بالعمل.</w:t>
      </w:r>
    </w:p>
    <w:p w14:paraId="7EE9285A" w14:textId="77777777" w:rsidR="000C3987" w:rsidRPr="00116C93" w:rsidRDefault="000C3987" w:rsidP="000C3987">
      <w:pPr>
        <w:pStyle w:val="a"/>
        <w:bidi/>
        <w:spacing w:line="216" w:lineRule="auto"/>
        <w:rPr>
          <w:rFonts w:ascii="mylotus" w:hAnsi="mylotus"/>
          <w:sz w:val="34"/>
          <w:szCs w:val="34"/>
        </w:rPr>
      </w:pPr>
    </w:p>
    <w:p w14:paraId="51BDF5E9" w14:textId="77777777" w:rsidR="000C3987" w:rsidRPr="005E03C1" w:rsidRDefault="000C3987" w:rsidP="000C3987">
      <w:pPr>
        <w:pStyle w:val="a"/>
        <w:bidi/>
        <w:spacing w:line="216" w:lineRule="auto"/>
        <w:jc w:val="center"/>
        <w:rPr>
          <w:rFonts w:ascii="mylotus" w:hAnsi="mylotus"/>
          <w:b/>
          <w:bCs/>
          <w:sz w:val="34"/>
          <w:szCs w:val="34"/>
        </w:rPr>
      </w:pPr>
      <w:r w:rsidRPr="005E03C1">
        <w:rPr>
          <w:rFonts w:ascii="mylotus" w:hAnsi="mylotus"/>
          <w:b/>
          <w:bCs/>
          <w:sz w:val="34"/>
          <w:szCs w:val="34"/>
          <w:rtl/>
        </w:rPr>
        <w:t>والحمد لله رب العالمين</w:t>
      </w:r>
    </w:p>
    <w:p w14:paraId="3F34E1EB" w14:textId="7C567CA2" w:rsidR="00656ABC" w:rsidRDefault="00820018" w:rsidP="00820018">
      <w:pPr>
        <w:pStyle w:val="Heading3"/>
        <w:bidi/>
        <w:rPr>
          <w:sz w:val="32"/>
          <w:szCs w:val="32"/>
        </w:rPr>
      </w:pPr>
      <w:r>
        <w:rPr>
          <w:sz w:val="32"/>
          <w:szCs w:val="32"/>
        </w:rPr>
        <w:t>331</w:t>
      </w:r>
    </w:p>
    <w:p w14:paraId="2680483C" w14:textId="77777777" w:rsidR="001964E6" w:rsidRPr="001964E6" w:rsidRDefault="001964E6" w:rsidP="001964E6">
      <w:pPr>
        <w:bidi/>
        <w:rPr>
          <w:b/>
          <w:bCs/>
          <w:sz w:val="32"/>
          <w:szCs w:val="32"/>
        </w:rPr>
      </w:pPr>
      <w:r w:rsidRPr="001964E6">
        <w:rPr>
          <w:b/>
          <w:bCs/>
          <w:sz w:val="32"/>
          <w:szCs w:val="32"/>
          <w:rtl/>
        </w:rPr>
        <w:t>بسم الله الرحمن الرحيم</w:t>
      </w:r>
    </w:p>
    <w:p w14:paraId="225FF1ED" w14:textId="77777777" w:rsidR="001964E6" w:rsidRPr="001964E6" w:rsidRDefault="001964E6" w:rsidP="001964E6">
      <w:pPr>
        <w:bidi/>
        <w:rPr>
          <w:b/>
          <w:bCs/>
          <w:sz w:val="32"/>
          <w:szCs w:val="32"/>
          <w:rtl/>
        </w:rPr>
      </w:pPr>
      <w:r w:rsidRPr="001964E6">
        <w:rPr>
          <w:b/>
          <w:bCs/>
          <w:sz w:val="32"/>
          <w:szCs w:val="32"/>
          <w:rtl/>
        </w:rPr>
        <w:t>والصلاة والسلام على أشرف الأنبياء والمرسلين، محمد وآله الطيبين الطاهرين</w:t>
      </w:r>
    </w:p>
    <w:p w14:paraId="55D0D98D" w14:textId="77777777" w:rsidR="001964E6" w:rsidRPr="001964E6" w:rsidRDefault="001964E6" w:rsidP="001964E6">
      <w:pPr>
        <w:bidi/>
        <w:rPr>
          <w:sz w:val="32"/>
          <w:szCs w:val="32"/>
          <w:rtl/>
        </w:rPr>
      </w:pPr>
      <w:r w:rsidRPr="001964E6">
        <w:rPr>
          <w:b/>
          <w:bCs/>
          <w:sz w:val="32"/>
          <w:szCs w:val="32"/>
          <w:rtl/>
        </w:rPr>
        <w:t>واللعن الدائم على أعدائهم أجمعين إلى قيام يوم الدين</w:t>
      </w:r>
    </w:p>
    <w:p w14:paraId="4836E8DD" w14:textId="77777777" w:rsidR="001964E6" w:rsidRPr="001964E6" w:rsidRDefault="001964E6" w:rsidP="001964E6">
      <w:pPr>
        <w:bidi/>
        <w:rPr>
          <w:sz w:val="32"/>
          <w:szCs w:val="32"/>
          <w:rtl/>
        </w:rPr>
      </w:pPr>
    </w:p>
    <w:p w14:paraId="7D903CAD" w14:textId="77777777" w:rsidR="001964E6" w:rsidRPr="001964E6" w:rsidRDefault="001964E6" w:rsidP="001964E6">
      <w:pPr>
        <w:bidi/>
        <w:rPr>
          <w:b/>
          <w:bCs/>
          <w:sz w:val="32"/>
          <w:szCs w:val="32"/>
          <w:rtl/>
        </w:rPr>
      </w:pPr>
      <w:r w:rsidRPr="001964E6">
        <w:rPr>
          <w:sz w:val="32"/>
          <w:szCs w:val="32"/>
          <w:rtl/>
        </w:rPr>
        <w:t xml:space="preserve">قال سيد العروة (قدس سره الشريف): </w:t>
      </w:r>
      <w:r w:rsidRPr="001964E6">
        <w:rPr>
          <w:b/>
          <w:bCs/>
          <w:sz w:val="32"/>
          <w:szCs w:val="32"/>
          <w:rtl/>
        </w:rPr>
        <w:t>(ولو استأجره لقلع ضرسه فزال الألم بعد العقد لم تثبت الاُجرة، لانفساخ الإجارة حينئذٍ)</w:t>
      </w:r>
      <w:r w:rsidRPr="001964E6">
        <w:rPr>
          <w:b/>
          <w:bCs/>
          <w:sz w:val="32"/>
          <w:szCs w:val="32"/>
        </w:rPr>
        <w:t>.</w:t>
      </w:r>
    </w:p>
    <w:p w14:paraId="2174A33F" w14:textId="77777777" w:rsidR="001964E6" w:rsidRPr="001964E6" w:rsidRDefault="001964E6" w:rsidP="001964E6">
      <w:pPr>
        <w:bidi/>
        <w:rPr>
          <w:sz w:val="32"/>
          <w:szCs w:val="32"/>
          <w:rtl/>
        </w:rPr>
      </w:pPr>
      <w:r w:rsidRPr="001964E6">
        <w:rPr>
          <w:sz w:val="32"/>
          <w:szCs w:val="32"/>
          <w:rtl/>
        </w:rPr>
        <w:lastRenderedPageBreak/>
        <w:t xml:space="preserve">وقد ذكر جملة مِن الأكابر أنّ المقصود بالانفساخ هنا هو انكشاف البطلان مِن أوّل الأمر -لا أنّ الإجارة صحت آناً ما ثمّ بطلت قهراً- </w:t>
      </w:r>
      <w:r w:rsidRPr="001964E6">
        <w:rPr>
          <w:sz w:val="32"/>
          <w:szCs w:val="32"/>
          <w:highlight w:val="magenta"/>
          <w:rtl/>
        </w:rPr>
        <w:t>لانتفاء الموضوع؛ حيثُ إنّ موضوع</w:t>
      </w:r>
      <w:r w:rsidRPr="001964E6">
        <w:rPr>
          <w:sz w:val="32"/>
          <w:szCs w:val="32"/>
          <w:rtl/>
        </w:rPr>
        <w:t xml:space="preserve"> الإجارة -أي: ما وقع مورداً للمعاوضة- هو قلع الضرس عن ألمٍ، فإذا زال الألم انتفى المعوَّض، ومع انتفاء المعوَّض فلا معنى للإجارة</w:t>
      </w:r>
      <w:r w:rsidRPr="001964E6">
        <w:rPr>
          <w:sz w:val="32"/>
          <w:szCs w:val="32"/>
        </w:rPr>
        <w:t>.</w:t>
      </w:r>
    </w:p>
    <w:p w14:paraId="12A77F08" w14:textId="77777777" w:rsidR="001964E6" w:rsidRPr="001964E6" w:rsidRDefault="001964E6" w:rsidP="001964E6">
      <w:pPr>
        <w:bidi/>
        <w:rPr>
          <w:sz w:val="32"/>
          <w:szCs w:val="32"/>
          <w:rtl/>
        </w:rPr>
      </w:pPr>
      <w:r w:rsidRPr="001964E6">
        <w:rPr>
          <w:sz w:val="32"/>
          <w:szCs w:val="32"/>
          <w:rtl/>
        </w:rPr>
        <w:t>ولكن سيدنا الخوئي (قدس سره) في كتاب الإجارة مِن موسوعته المباركة ناقش ما ذكره سيد العروة (قدس سره) وبيّن أنّ العمل في فرض زوال المقتضي -وهو الألم- إمّا أنْ يكون محرّماً أو مباحاً</w:t>
      </w:r>
      <w:r w:rsidRPr="001964E6">
        <w:rPr>
          <w:sz w:val="32"/>
          <w:szCs w:val="32"/>
        </w:rPr>
        <w:t>.</w:t>
      </w:r>
    </w:p>
    <w:p w14:paraId="3EC112E6" w14:textId="77777777" w:rsidR="001964E6" w:rsidRPr="001964E6" w:rsidRDefault="001964E6" w:rsidP="001964E6">
      <w:pPr>
        <w:bidi/>
        <w:rPr>
          <w:sz w:val="32"/>
          <w:szCs w:val="32"/>
          <w:rtl/>
        </w:rPr>
      </w:pPr>
      <w:r w:rsidRPr="001964E6">
        <w:rPr>
          <w:b/>
          <w:bCs/>
          <w:sz w:val="32"/>
          <w:szCs w:val="32"/>
          <w:rtl/>
        </w:rPr>
        <w:t>فإنْ كان العمل محرّماً،</w:t>
      </w:r>
      <w:r w:rsidRPr="001964E6">
        <w:rPr>
          <w:sz w:val="32"/>
          <w:szCs w:val="32"/>
          <w:rtl/>
        </w:rPr>
        <w:t xml:space="preserve"> كما لو أصبح قلع الضرس بعد زوال الألم محرّماً بطلت الإجارة لا لزوال المقتضي -وهو الألم-، </w:t>
      </w:r>
      <w:r w:rsidRPr="001964E6">
        <w:rPr>
          <w:color w:val="EE0000"/>
          <w:sz w:val="32"/>
          <w:szCs w:val="32"/>
          <w:rtl/>
        </w:rPr>
        <w:t>بل لعدم قابلية العمل المحرّم للتمليك</w:t>
      </w:r>
      <w:r w:rsidRPr="001964E6">
        <w:rPr>
          <w:sz w:val="32"/>
          <w:szCs w:val="32"/>
          <w:rtl/>
        </w:rPr>
        <w:t>، فإنّ معنى تحريمه شرعاً إلغاءُ ماليته، ومقتضى إلغاء الماليّة عدم قابليته للتمليك، فتبطلُ الإجارة، كما لو استأجره على الغناء أو صنع الخمر للشرب وأمثال ذلك.</w:t>
      </w:r>
    </w:p>
    <w:p w14:paraId="0FFED5DA" w14:textId="77777777" w:rsidR="001964E6" w:rsidRPr="001964E6" w:rsidRDefault="001964E6" w:rsidP="001964E6">
      <w:pPr>
        <w:bidi/>
        <w:rPr>
          <w:sz w:val="32"/>
          <w:szCs w:val="32"/>
          <w:rtl/>
        </w:rPr>
      </w:pPr>
      <w:r w:rsidRPr="001964E6">
        <w:rPr>
          <w:sz w:val="32"/>
          <w:szCs w:val="32"/>
          <w:rtl/>
        </w:rPr>
        <w:t>بل العمل المحرّم في المقام مجمعٌ للأمر والنهي، فهو منهيٌ عنه لكونه محرّماً، وهو مأمورٌ بِهِ مِن باب الأمر بالوفاء بالعقد، وحيثُ لا يُعقل الأمر بالإتيان بالعمل المحرّم مِن باب الأمر بالوفاء بالعقد كانت الإجارة باطلة؛ إذ المناطُ في صحّة الإجارة أنْ يكون العمل المتعلّق للإجارة موضوعاً لوجوب الوفاء، وما كان عملاً محرّماً فلا يُعقل أنْ يكون موضوعاً لوجوب الوفاء، فمقتضى ذلك بطلان الإجارة</w:t>
      </w:r>
      <w:r w:rsidRPr="001964E6">
        <w:rPr>
          <w:sz w:val="32"/>
          <w:szCs w:val="32"/>
        </w:rPr>
        <w:t>.</w:t>
      </w:r>
    </w:p>
    <w:p w14:paraId="3E5ECCEF" w14:textId="77777777" w:rsidR="001964E6" w:rsidRPr="001964E6" w:rsidRDefault="001964E6" w:rsidP="001964E6">
      <w:pPr>
        <w:bidi/>
        <w:rPr>
          <w:sz w:val="32"/>
          <w:szCs w:val="32"/>
          <w:rtl/>
        </w:rPr>
      </w:pPr>
      <w:r w:rsidRPr="001964E6">
        <w:rPr>
          <w:b/>
          <w:bCs/>
          <w:sz w:val="32"/>
          <w:szCs w:val="32"/>
          <w:rtl/>
        </w:rPr>
        <w:t>ومثالُ ذلك:</w:t>
      </w:r>
      <w:r w:rsidRPr="001964E6">
        <w:rPr>
          <w:sz w:val="32"/>
          <w:szCs w:val="32"/>
          <w:rtl/>
        </w:rPr>
        <w:t xml:space="preserve"> ما لو استأجره لإجراء عمليةٍ في قلبه وهي إزالة شريان مِن شرايين قلبه لتوقّف إنقاذ حياته على إزالة الشريان، ثمّ صلح أمره وأصبح ذلك الشريان مما يتدفق فيه الدم وعادت الحياة في القلب إلى طبيعتها ومجاريها، فهنا لا إشكال في أنّ قطع الشريان بعد صلاحيته عمل محرّمٌ، فلا تصحّ الإجارة لكونه عملاً محرّماً لا لزوال المقتضي؛ بل لكون العمل محرّماً.</w:t>
      </w:r>
    </w:p>
    <w:p w14:paraId="55E8C444" w14:textId="77777777" w:rsidR="001964E6" w:rsidRPr="001964E6" w:rsidRDefault="001964E6" w:rsidP="001964E6">
      <w:pPr>
        <w:bidi/>
        <w:rPr>
          <w:sz w:val="32"/>
          <w:szCs w:val="32"/>
          <w:rtl/>
        </w:rPr>
      </w:pPr>
      <w:r w:rsidRPr="001964E6">
        <w:rPr>
          <w:b/>
          <w:bCs/>
          <w:sz w:val="32"/>
          <w:szCs w:val="32"/>
          <w:rtl/>
        </w:rPr>
        <w:t>وإنْ كان العمل مباحاً</w:t>
      </w:r>
      <w:r w:rsidRPr="001964E6">
        <w:rPr>
          <w:sz w:val="32"/>
          <w:szCs w:val="32"/>
          <w:rtl/>
        </w:rPr>
        <w:t xml:space="preserve"> كما في محل الكلام، فإنّ قلع الضرس بعد زوال الألم ليس عملاً محرّماً، فلا موجب لبطلان الإجارة أو انفساخها أو تزلزلها، حتى لو كان العمل </w:t>
      </w:r>
      <w:proofErr w:type="spellStart"/>
      <w:r w:rsidRPr="001964E6">
        <w:rPr>
          <w:sz w:val="32"/>
          <w:szCs w:val="32"/>
          <w:rtl/>
        </w:rPr>
        <w:t>سفهيًا</w:t>
      </w:r>
      <w:proofErr w:type="spellEnd"/>
      <w:r w:rsidRPr="001964E6">
        <w:rPr>
          <w:sz w:val="32"/>
          <w:szCs w:val="32"/>
          <w:rtl/>
        </w:rPr>
        <w:t xml:space="preserve"> -حيث إنّ قلع الضرس بعد زوال الألم عملٌ سفهي- فالإجارةُ ما زالت صحيحة</w:t>
      </w:r>
      <w:r w:rsidRPr="001964E6">
        <w:rPr>
          <w:sz w:val="32"/>
          <w:szCs w:val="32"/>
        </w:rPr>
        <w:t>.</w:t>
      </w:r>
    </w:p>
    <w:p w14:paraId="5DBE3D91" w14:textId="77777777" w:rsidR="001964E6" w:rsidRPr="001964E6" w:rsidRDefault="001964E6" w:rsidP="001964E6">
      <w:pPr>
        <w:bidi/>
        <w:rPr>
          <w:b/>
          <w:bCs/>
          <w:sz w:val="32"/>
          <w:szCs w:val="32"/>
          <w:rtl/>
        </w:rPr>
      </w:pPr>
      <w:r w:rsidRPr="001964E6">
        <w:rPr>
          <w:sz w:val="32"/>
          <w:szCs w:val="32"/>
          <w:rtl/>
        </w:rPr>
        <w:t>وقد أفاد ذلك (قدس سره) بقوله</w:t>
      </w:r>
      <w:r w:rsidRPr="001964E6">
        <w:rPr>
          <w:sz w:val="32"/>
          <w:szCs w:val="32"/>
          <w:vertAlign w:val="superscript"/>
          <w:rtl/>
        </w:rPr>
        <w:footnoteReference w:id="239"/>
      </w:r>
      <w:r w:rsidRPr="001964E6">
        <w:rPr>
          <w:sz w:val="32"/>
          <w:szCs w:val="32"/>
          <w:rtl/>
        </w:rPr>
        <w:t xml:space="preserve">: </w:t>
      </w:r>
      <w:r w:rsidRPr="001964E6">
        <w:rPr>
          <w:b/>
          <w:bCs/>
          <w:sz w:val="32"/>
          <w:szCs w:val="32"/>
          <w:rtl/>
        </w:rPr>
        <w:t xml:space="preserve">(لم يتّضح وجهٌ للانفساخ بقولٍ مطلق، فإنّ زوال الألم لا يستوجب البطلان فيما إذا احتمل عوده ثانياً كما هو الغالب من تكرّر العود إلى أن يقلع، </w:t>
      </w:r>
      <w:r w:rsidRPr="001964E6">
        <w:rPr>
          <w:b/>
          <w:bCs/>
          <w:sz w:val="32"/>
          <w:szCs w:val="32"/>
          <w:rtl/>
        </w:rPr>
        <w:lastRenderedPageBreak/>
        <w:t>فالزوال المزبور لا يكشف عن الانفساخ فيما إذا كان الضرس في معرض الألم بحيث لا ينتفع به بعدئذٍ. فلا تستقيم العبارة على إطلاقها)</w:t>
      </w:r>
      <w:r w:rsidRPr="001964E6">
        <w:rPr>
          <w:b/>
          <w:bCs/>
          <w:sz w:val="32"/>
          <w:szCs w:val="32"/>
        </w:rPr>
        <w:t>.</w:t>
      </w:r>
    </w:p>
    <w:p w14:paraId="664CCDD9" w14:textId="77777777" w:rsidR="001964E6" w:rsidRPr="001964E6" w:rsidRDefault="001964E6" w:rsidP="001964E6">
      <w:pPr>
        <w:bidi/>
        <w:rPr>
          <w:sz w:val="32"/>
          <w:szCs w:val="32"/>
          <w:rtl/>
        </w:rPr>
      </w:pPr>
      <w:r w:rsidRPr="001964E6">
        <w:rPr>
          <w:sz w:val="32"/>
          <w:szCs w:val="32"/>
          <w:rtl/>
        </w:rPr>
        <w:t xml:space="preserve">وهذا الفرض واضح الخروج عن محل </w:t>
      </w:r>
      <w:proofErr w:type="gramStart"/>
      <w:r w:rsidRPr="001964E6">
        <w:rPr>
          <w:sz w:val="32"/>
          <w:szCs w:val="32"/>
          <w:rtl/>
        </w:rPr>
        <w:t>الكلام ،</w:t>
      </w:r>
      <w:proofErr w:type="gramEnd"/>
      <w:r w:rsidRPr="001964E6">
        <w:rPr>
          <w:sz w:val="32"/>
          <w:szCs w:val="32"/>
          <w:rtl/>
        </w:rPr>
        <w:t xml:space="preserve"> فإنّ منظور سيد العروة (قدس سره) ما إذا زال الألم بالكُليّة</w:t>
      </w:r>
      <w:r w:rsidRPr="001964E6">
        <w:rPr>
          <w:sz w:val="32"/>
          <w:szCs w:val="32"/>
        </w:rPr>
        <w:t>.</w:t>
      </w:r>
    </w:p>
    <w:p w14:paraId="2B81E66F" w14:textId="77777777" w:rsidR="001964E6" w:rsidRPr="001964E6" w:rsidRDefault="001964E6" w:rsidP="001964E6">
      <w:pPr>
        <w:bidi/>
        <w:rPr>
          <w:b/>
          <w:bCs/>
          <w:sz w:val="32"/>
          <w:szCs w:val="32"/>
          <w:rtl/>
        </w:rPr>
      </w:pPr>
      <w:r w:rsidRPr="001964E6">
        <w:rPr>
          <w:b/>
          <w:bCs/>
          <w:sz w:val="32"/>
          <w:szCs w:val="32"/>
          <w:rtl/>
        </w:rPr>
        <w:t xml:space="preserve">(بل يمكن أن يقال بصحّة الإجارة حتى مع العلم بعدم العود، لعدم أيّ مقتضٍ للبطلان بعد أن لم يكن الضرس بعنوانه محرّماً حتى إذا كان لغرض </w:t>
      </w:r>
      <w:proofErr w:type="spellStart"/>
      <w:r w:rsidRPr="001964E6">
        <w:rPr>
          <w:b/>
          <w:bCs/>
          <w:sz w:val="32"/>
          <w:szCs w:val="32"/>
          <w:rtl/>
        </w:rPr>
        <w:t>سفهائي</w:t>
      </w:r>
      <w:proofErr w:type="spellEnd"/>
      <w:r w:rsidRPr="001964E6">
        <w:rPr>
          <w:b/>
          <w:bCs/>
          <w:sz w:val="32"/>
          <w:szCs w:val="32"/>
          <w:rtl/>
        </w:rPr>
        <w:t xml:space="preserve"> فضلاً عن داعٍ عقلائي، فغايته أنّ صاحب الضرس إذا امتنع استقرّت عليه الاُجرة، لا أنّ الإجارة تكون باطلة</w:t>
      </w:r>
      <w:r w:rsidRPr="001964E6">
        <w:rPr>
          <w:b/>
          <w:bCs/>
          <w:sz w:val="32"/>
          <w:szCs w:val="32"/>
        </w:rPr>
        <w:t>.</w:t>
      </w:r>
    </w:p>
    <w:p w14:paraId="3171F9AE" w14:textId="77777777" w:rsidR="001964E6" w:rsidRPr="001964E6" w:rsidRDefault="001964E6" w:rsidP="001964E6">
      <w:pPr>
        <w:bidi/>
        <w:rPr>
          <w:b/>
          <w:bCs/>
          <w:sz w:val="32"/>
          <w:szCs w:val="32"/>
          <w:rtl/>
        </w:rPr>
      </w:pPr>
      <w:r w:rsidRPr="001964E6">
        <w:rPr>
          <w:b/>
          <w:bCs/>
          <w:sz w:val="32"/>
          <w:szCs w:val="32"/>
          <w:rtl/>
        </w:rPr>
        <w:t>نعم، لو فرض عروض عنوان ثانوي محرّم، كما لو استلزم القلع المزبور نزيفاً يشرف صاحبه على التهلكة ويوقعه في الخطر، كشف لا محالة عن بطلان الإجارة وانفساخها، لصيرورة المنفعة حينئذٍ محرّمة، والمنفعة المحرّمة لا تصحّ الإجارة عليها. لكن الفرض نادر والغالب خلافه، فالظاهر صحّة الإجارة في الفروض الغالبة، سواء أكان الألم مرجوّ العود أم لا).</w:t>
      </w:r>
    </w:p>
    <w:p w14:paraId="7C845B61" w14:textId="77777777" w:rsidR="001964E6" w:rsidRPr="001964E6" w:rsidRDefault="001964E6" w:rsidP="001964E6">
      <w:pPr>
        <w:bidi/>
        <w:rPr>
          <w:b/>
          <w:bCs/>
          <w:sz w:val="32"/>
          <w:szCs w:val="32"/>
          <w:rtl/>
        </w:rPr>
      </w:pPr>
      <w:r w:rsidRPr="001964E6">
        <w:rPr>
          <w:sz w:val="32"/>
          <w:szCs w:val="32"/>
          <w:rtl/>
        </w:rPr>
        <w:t>وقد أفاد ما هو شبيهٌ بذلك السيد الحكيم السبط (قدس سره الشريف) في مصباح المنهاج في تعليقته على عبارة السيد الحكيم الجد (قدس سره الشريف) وهي: (</w:t>
      </w:r>
      <w:r w:rsidRPr="001964E6">
        <w:rPr>
          <w:b/>
          <w:bCs/>
          <w:sz w:val="32"/>
          <w:szCs w:val="32"/>
          <w:rtl/>
        </w:rPr>
        <w:t>فإذا استأجره لقلع ضرسه فبرئ من الألم بطلت الإجارة)</w:t>
      </w:r>
      <w:r w:rsidRPr="001964E6">
        <w:rPr>
          <w:b/>
          <w:bCs/>
          <w:sz w:val="32"/>
          <w:szCs w:val="32"/>
        </w:rPr>
        <w:t>.</w:t>
      </w:r>
    </w:p>
    <w:p w14:paraId="7CB289E7" w14:textId="77777777" w:rsidR="001964E6" w:rsidRPr="001964E6" w:rsidRDefault="001964E6" w:rsidP="001964E6">
      <w:pPr>
        <w:bidi/>
        <w:rPr>
          <w:sz w:val="32"/>
          <w:szCs w:val="32"/>
          <w:rtl/>
        </w:rPr>
      </w:pPr>
      <w:r w:rsidRPr="001964E6">
        <w:rPr>
          <w:sz w:val="32"/>
          <w:szCs w:val="32"/>
          <w:rtl/>
        </w:rPr>
        <w:t>حيثُ قال (قدس سره)</w:t>
      </w:r>
      <w:r w:rsidRPr="001964E6">
        <w:rPr>
          <w:sz w:val="32"/>
          <w:szCs w:val="32"/>
          <w:vertAlign w:val="superscript"/>
          <w:rtl/>
        </w:rPr>
        <w:footnoteReference w:id="240"/>
      </w:r>
      <w:r w:rsidRPr="001964E6">
        <w:rPr>
          <w:sz w:val="32"/>
          <w:szCs w:val="32"/>
          <w:rtl/>
        </w:rPr>
        <w:t xml:space="preserve">: </w:t>
      </w:r>
      <w:r w:rsidRPr="001964E6">
        <w:rPr>
          <w:b/>
          <w:bCs/>
          <w:sz w:val="32"/>
          <w:szCs w:val="32"/>
          <w:rtl/>
        </w:rPr>
        <w:t xml:space="preserve">(كما في المبسوط وكثير مما تأخر عنه، وقد يظهر من بعضهم المفروغية عنه، وظاهر بعضهم وصريح آخر تعليله بحرمة القلع حينئذٍ.) </w:t>
      </w:r>
      <w:r w:rsidRPr="001964E6">
        <w:rPr>
          <w:sz w:val="32"/>
          <w:szCs w:val="32"/>
          <w:rtl/>
        </w:rPr>
        <w:t>أي: أنّ البطلان ليس لأجل زوال الألم، بل لأجل أنّ العمل محرّم كما ذكره في المستمسك أيضاً.</w:t>
      </w:r>
    </w:p>
    <w:p w14:paraId="686151E2" w14:textId="77777777" w:rsidR="001964E6" w:rsidRPr="001964E6" w:rsidRDefault="001964E6" w:rsidP="001964E6">
      <w:pPr>
        <w:bidi/>
        <w:rPr>
          <w:b/>
          <w:bCs/>
          <w:sz w:val="32"/>
          <w:szCs w:val="32"/>
          <w:rtl/>
        </w:rPr>
      </w:pPr>
      <w:r w:rsidRPr="001964E6">
        <w:rPr>
          <w:b/>
          <w:bCs/>
          <w:sz w:val="32"/>
          <w:szCs w:val="32"/>
          <w:rtl/>
        </w:rPr>
        <w:t xml:space="preserve">(وهو غير ظاهر، خصوصًا إذا كان بحال يكون معرضاً لعود الألم. ولعله لذا قيده بعض مشايخنا (قدس سره)) </w:t>
      </w:r>
      <w:r w:rsidRPr="001964E6">
        <w:rPr>
          <w:sz w:val="32"/>
          <w:szCs w:val="32"/>
          <w:rtl/>
        </w:rPr>
        <w:t xml:space="preserve">أي: السيد الخوئي </w:t>
      </w:r>
      <w:r w:rsidRPr="001964E6">
        <w:rPr>
          <w:b/>
          <w:bCs/>
          <w:sz w:val="32"/>
          <w:szCs w:val="32"/>
          <w:rtl/>
        </w:rPr>
        <w:t>(بما إذا كان القلع محرماً</w:t>
      </w:r>
      <w:r w:rsidRPr="001964E6">
        <w:rPr>
          <w:b/>
          <w:bCs/>
          <w:sz w:val="32"/>
          <w:szCs w:val="32"/>
        </w:rPr>
        <w:t>.</w:t>
      </w:r>
    </w:p>
    <w:p w14:paraId="788F4BC0" w14:textId="77777777" w:rsidR="001964E6" w:rsidRPr="001964E6" w:rsidRDefault="001964E6" w:rsidP="001964E6">
      <w:pPr>
        <w:bidi/>
        <w:rPr>
          <w:b/>
          <w:bCs/>
          <w:sz w:val="32"/>
          <w:szCs w:val="32"/>
          <w:rtl/>
        </w:rPr>
      </w:pPr>
      <w:r w:rsidRPr="001964E6">
        <w:rPr>
          <w:b/>
          <w:bCs/>
          <w:sz w:val="32"/>
          <w:szCs w:val="32"/>
          <w:rtl/>
        </w:rPr>
        <w:t>نعم، إذا انصرف القلع المستأجر عليه لما إذا كان لإزالة الألم كان زوال الألم رافعًا لموضوع الإجارة، فتبطل، نظير ما سبق منّا من بطلاة الإجارة لمداواة المريض بشفائه أو موته).</w:t>
      </w:r>
    </w:p>
    <w:p w14:paraId="2C5A003C" w14:textId="77777777" w:rsidR="001964E6" w:rsidRPr="001964E6" w:rsidRDefault="001964E6" w:rsidP="001964E6">
      <w:pPr>
        <w:bidi/>
        <w:rPr>
          <w:sz w:val="32"/>
          <w:szCs w:val="32"/>
          <w:rtl/>
        </w:rPr>
      </w:pPr>
      <w:r w:rsidRPr="001964E6">
        <w:rPr>
          <w:b/>
          <w:bCs/>
          <w:sz w:val="32"/>
          <w:szCs w:val="32"/>
          <w:rtl/>
        </w:rPr>
        <w:t>وينبغي أنْ يُقال في المقام:</w:t>
      </w:r>
      <w:r w:rsidRPr="001964E6">
        <w:rPr>
          <w:sz w:val="32"/>
          <w:szCs w:val="32"/>
          <w:rtl/>
        </w:rPr>
        <w:t xml:space="preserve"> أنّ مناط صحّة الإجارة كون الوفاء بالعقد محقّقاً للغرض الارتكازي مِن الإجارة؛ فإنّ لكُلّ إجارة غرضاً ارتكازياً يختلف باختلاف الحالات</w:t>
      </w:r>
      <w:r w:rsidRPr="001964E6">
        <w:rPr>
          <w:sz w:val="32"/>
          <w:szCs w:val="32"/>
        </w:rPr>
        <w:t>.</w:t>
      </w:r>
    </w:p>
    <w:p w14:paraId="13C7BE77" w14:textId="77777777" w:rsidR="001964E6" w:rsidRPr="001964E6" w:rsidRDefault="001964E6" w:rsidP="001964E6">
      <w:pPr>
        <w:bidi/>
        <w:rPr>
          <w:sz w:val="32"/>
          <w:szCs w:val="32"/>
          <w:rtl/>
        </w:rPr>
      </w:pPr>
      <w:r w:rsidRPr="001964E6">
        <w:rPr>
          <w:sz w:val="32"/>
          <w:szCs w:val="32"/>
          <w:rtl/>
        </w:rPr>
        <w:lastRenderedPageBreak/>
        <w:t xml:space="preserve">فتارةً يكونُ قلع الضرس لإزالة الألم على نحو الحيثية التقييدية، أي: أنّ متعلّق الإجارة إزالةُ الألم بقلع الضرس -لا قلع الضرس بنفسه-؛ إذ لا يمكن إزالةُ الألم بوسيلةٍ أُخرى كالدواء أو الإبر، </w:t>
      </w:r>
      <w:proofErr w:type="gramStart"/>
      <w:r w:rsidRPr="001964E6">
        <w:rPr>
          <w:sz w:val="32"/>
          <w:szCs w:val="32"/>
          <w:rtl/>
        </w:rPr>
        <w:t>وتارةً  يكونُ</w:t>
      </w:r>
      <w:proofErr w:type="gramEnd"/>
      <w:r w:rsidRPr="001964E6">
        <w:rPr>
          <w:sz w:val="32"/>
          <w:szCs w:val="32"/>
          <w:rtl/>
        </w:rPr>
        <w:t xml:space="preserve"> قلع الضرس للزينة، وتارةً يكون لعدم الحاجة له، وتحديدُ ما هو مصب الإجارة يكونُ بالقرينة المقامية الكاشفة عن الغرض مِن الإجارة</w:t>
      </w:r>
      <w:r w:rsidRPr="001964E6">
        <w:rPr>
          <w:sz w:val="32"/>
          <w:szCs w:val="32"/>
        </w:rPr>
        <w:t>.</w:t>
      </w:r>
    </w:p>
    <w:p w14:paraId="70E28556" w14:textId="77777777" w:rsidR="001964E6" w:rsidRPr="001964E6" w:rsidRDefault="001964E6" w:rsidP="001964E6">
      <w:pPr>
        <w:bidi/>
        <w:rPr>
          <w:sz w:val="32"/>
          <w:szCs w:val="32"/>
          <w:rtl/>
        </w:rPr>
      </w:pPr>
      <w:r w:rsidRPr="001964E6">
        <w:rPr>
          <w:sz w:val="32"/>
          <w:szCs w:val="32"/>
          <w:rtl/>
        </w:rPr>
        <w:t>فإنْ قامت القرينةُ المقاميةُ حين العقد على كون قلع الضرس مِن قبيل الثاني أو الثالث -أي: قلع الضرس للزينة أو لعدم الحاجة له- فلا موجب للانفساخ</w:t>
      </w:r>
      <w:r w:rsidRPr="001964E6">
        <w:rPr>
          <w:sz w:val="32"/>
          <w:szCs w:val="32"/>
        </w:rPr>
        <w:t>.</w:t>
      </w:r>
    </w:p>
    <w:p w14:paraId="3D223798" w14:textId="77777777" w:rsidR="001964E6" w:rsidRPr="001964E6" w:rsidRDefault="001964E6" w:rsidP="001964E6">
      <w:pPr>
        <w:bidi/>
        <w:rPr>
          <w:sz w:val="32"/>
          <w:szCs w:val="32"/>
          <w:rtl/>
        </w:rPr>
      </w:pPr>
      <w:r w:rsidRPr="001964E6">
        <w:rPr>
          <w:sz w:val="32"/>
          <w:szCs w:val="32"/>
          <w:rtl/>
        </w:rPr>
        <w:t xml:space="preserve">وإنْ كانت مِن قبيل الأوّل -أي: قلع الضرس لإزالة الألم- فإنْ كانتْ إزالةُ الألم بنحو الداعي فقط فمِن </w:t>
      </w:r>
      <w:r w:rsidRPr="001964E6">
        <w:rPr>
          <w:sz w:val="32"/>
          <w:szCs w:val="32"/>
          <w:highlight w:val="magenta"/>
          <w:rtl/>
        </w:rPr>
        <w:t>الواضح أنّ تخلف الداعي لا يوجبُ انفساخ الإجارة</w:t>
      </w:r>
      <w:r w:rsidRPr="001964E6">
        <w:rPr>
          <w:sz w:val="32"/>
          <w:szCs w:val="32"/>
          <w:rtl/>
        </w:rPr>
        <w:t>، وإنْ كانتْ إزالةُ الألم بنحو الشرط، أي: اشترط المستأجر -وهو المريض- على الأجير -وهو الطبيب- قلع الضرس إذا كان هناك ألمٌ فزالَ الألم، فغايةُ ما يترتبُ على تخلف الشرط ثبوتُ الخيار للمُستأجر لا بطلان الإجارة</w:t>
      </w:r>
      <w:r w:rsidRPr="001964E6">
        <w:rPr>
          <w:sz w:val="32"/>
          <w:szCs w:val="32"/>
        </w:rPr>
        <w:t>.</w:t>
      </w:r>
    </w:p>
    <w:p w14:paraId="64BB85BA" w14:textId="77777777" w:rsidR="001964E6" w:rsidRPr="001964E6" w:rsidRDefault="001964E6" w:rsidP="001964E6">
      <w:pPr>
        <w:bidi/>
        <w:rPr>
          <w:sz w:val="32"/>
          <w:szCs w:val="32"/>
          <w:rtl/>
        </w:rPr>
      </w:pPr>
      <w:r w:rsidRPr="001964E6">
        <w:rPr>
          <w:sz w:val="32"/>
          <w:szCs w:val="32"/>
          <w:rtl/>
        </w:rPr>
        <w:t>وتارةً يكون إزالةُ الألم حيثيةً تقييديةً، بمعنى: أنّ متعلّق الإجارة هو إزالةُ الألم بقلع الضرس لا العكس، وحينئذٍ فمقتضى القرينة المقامية بطلانُ الإجارة عند زوال الألم، وهذا هو منظور سيد العروة (قدس سره).</w:t>
      </w:r>
    </w:p>
    <w:p w14:paraId="090623AA" w14:textId="77777777" w:rsidR="001964E6" w:rsidRPr="001964E6" w:rsidRDefault="001964E6" w:rsidP="001964E6">
      <w:pPr>
        <w:bidi/>
        <w:rPr>
          <w:sz w:val="32"/>
          <w:szCs w:val="32"/>
          <w:rtl/>
        </w:rPr>
      </w:pPr>
      <w:r w:rsidRPr="001964E6">
        <w:rPr>
          <w:sz w:val="32"/>
          <w:szCs w:val="32"/>
          <w:rtl/>
        </w:rPr>
        <w:t>هذا تمام الكلام في المسألة الثالثة</w:t>
      </w:r>
      <w:r w:rsidRPr="001964E6">
        <w:rPr>
          <w:sz w:val="32"/>
          <w:szCs w:val="32"/>
        </w:rPr>
        <w:t>.</w:t>
      </w:r>
    </w:p>
    <w:p w14:paraId="4B92E43C" w14:textId="77777777" w:rsidR="001964E6" w:rsidRPr="001964E6" w:rsidRDefault="001964E6" w:rsidP="00D341EA">
      <w:pPr>
        <w:pStyle w:val="Heading3"/>
        <w:bidi/>
        <w:rPr>
          <w:b/>
          <w:bCs/>
          <w:sz w:val="32"/>
          <w:szCs w:val="32"/>
          <w:rtl/>
        </w:rPr>
      </w:pPr>
      <w:r w:rsidRPr="001964E6">
        <w:rPr>
          <w:b/>
          <w:bCs/>
          <w:sz w:val="32"/>
          <w:szCs w:val="32"/>
          <w:rtl/>
        </w:rPr>
        <w:t>المسألة الرابعة "من فصل أحكام العوضين".</w:t>
      </w:r>
    </w:p>
    <w:p w14:paraId="5D4AA378" w14:textId="77777777" w:rsidR="001964E6" w:rsidRPr="001964E6" w:rsidRDefault="001964E6" w:rsidP="001964E6">
      <w:pPr>
        <w:bidi/>
        <w:rPr>
          <w:b/>
          <w:bCs/>
          <w:sz w:val="32"/>
          <w:szCs w:val="32"/>
          <w:rtl/>
        </w:rPr>
      </w:pPr>
      <w:r w:rsidRPr="001964E6">
        <w:rPr>
          <w:sz w:val="32"/>
          <w:szCs w:val="32"/>
          <w:rtl/>
        </w:rPr>
        <w:t xml:space="preserve">قال سيد العروة (قدس سره الشريف): </w:t>
      </w:r>
      <w:r w:rsidRPr="001964E6">
        <w:rPr>
          <w:b/>
          <w:bCs/>
          <w:sz w:val="32"/>
          <w:szCs w:val="32"/>
          <w:rtl/>
        </w:rPr>
        <w:t>(إذا تلفت العين المستأجرة قبل قبض المستأجر بطلت الإجارة، وكذا إذا تلفت عقيب قبضها بلا فصل، وأمّا إذا تلفت بعد استيفاء منفعتها في بعض المدّة فتبطل بالنسبة إلى بقيّة المدّة، فيرجع من الاُجرة بما قابل المتخلّف من المدّة إن نصفاً فنصف وإن ثلثاً فثلث مع تساوي الأجزاء بحسب الأوقات، ومع التفاوت تلاحظ النسبة)</w:t>
      </w:r>
      <w:r w:rsidRPr="001964E6">
        <w:rPr>
          <w:b/>
          <w:bCs/>
          <w:sz w:val="32"/>
          <w:szCs w:val="32"/>
        </w:rPr>
        <w:t>.</w:t>
      </w:r>
    </w:p>
    <w:p w14:paraId="136E0BFC" w14:textId="77777777" w:rsidR="001964E6" w:rsidRPr="001964E6" w:rsidRDefault="001964E6" w:rsidP="001964E6">
      <w:pPr>
        <w:bidi/>
        <w:rPr>
          <w:b/>
          <w:bCs/>
          <w:sz w:val="32"/>
          <w:szCs w:val="32"/>
          <w:rtl/>
        </w:rPr>
      </w:pPr>
      <w:r w:rsidRPr="001964E6">
        <w:rPr>
          <w:b/>
          <w:bCs/>
          <w:sz w:val="32"/>
          <w:szCs w:val="32"/>
          <w:rtl/>
        </w:rPr>
        <w:t>وقد وقع البحث في أنّه: ما هو المدرك في بطلان الإجارة إذا تلفت العينُ قَبل استلامها أو بَعْدَ استلامها بلا فصلٍ؟</w:t>
      </w:r>
    </w:p>
    <w:p w14:paraId="7FCE90C5" w14:textId="77777777" w:rsidR="001964E6" w:rsidRPr="001964E6" w:rsidRDefault="001964E6" w:rsidP="001964E6">
      <w:pPr>
        <w:bidi/>
        <w:rPr>
          <w:b/>
          <w:bCs/>
          <w:sz w:val="32"/>
          <w:szCs w:val="32"/>
          <w:rtl/>
        </w:rPr>
      </w:pPr>
      <w:r w:rsidRPr="001964E6">
        <w:rPr>
          <w:b/>
          <w:bCs/>
          <w:sz w:val="32"/>
          <w:szCs w:val="32"/>
          <w:rtl/>
        </w:rPr>
        <w:t>وقد ذُكر في المقام عدّة مدارك</w:t>
      </w:r>
      <w:r w:rsidRPr="001964E6">
        <w:rPr>
          <w:b/>
          <w:bCs/>
          <w:sz w:val="32"/>
          <w:szCs w:val="32"/>
        </w:rPr>
        <w:t>:</w:t>
      </w:r>
    </w:p>
    <w:p w14:paraId="3294C7AF" w14:textId="77777777" w:rsidR="001964E6" w:rsidRPr="001964E6" w:rsidRDefault="001964E6" w:rsidP="001964E6">
      <w:pPr>
        <w:bidi/>
        <w:rPr>
          <w:sz w:val="32"/>
          <w:szCs w:val="32"/>
          <w:rtl/>
        </w:rPr>
      </w:pPr>
      <w:r w:rsidRPr="001964E6">
        <w:rPr>
          <w:b/>
          <w:bCs/>
          <w:sz w:val="32"/>
          <w:szCs w:val="32"/>
          <w:rtl/>
        </w:rPr>
        <w:lastRenderedPageBreak/>
        <w:t>المدركُ الأوّل:</w:t>
      </w:r>
      <w:r w:rsidRPr="001964E6">
        <w:rPr>
          <w:sz w:val="32"/>
          <w:szCs w:val="32"/>
          <w:rtl/>
        </w:rPr>
        <w:t xml:space="preserve"> ما ورد في كلمات المشهور مِن أنّ المقام مندرجٌ تحت النبوي كما في المستدرك على الوسائل: </w:t>
      </w:r>
      <w:r w:rsidRPr="001964E6">
        <w:rPr>
          <w:b/>
          <w:bCs/>
          <w:sz w:val="32"/>
          <w:szCs w:val="32"/>
          <w:rtl/>
        </w:rPr>
        <w:t xml:space="preserve">(عوالي </w:t>
      </w:r>
      <w:proofErr w:type="spellStart"/>
      <w:r w:rsidRPr="001964E6">
        <w:rPr>
          <w:b/>
          <w:bCs/>
          <w:sz w:val="32"/>
          <w:szCs w:val="32"/>
          <w:rtl/>
        </w:rPr>
        <w:t>اللآلي</w:t>
      </w:r>
      <w:proofErr w:type="spellEnd"/>
      <w:r w:rsidRPr="001964E6">
        <w:rPr>
          <w:b/>
          <w:bCs/>
          <w:sz w:val="32"/>
          <w:szCs w:val="32"/>
          <w:rtl/>
        </w:rPr>
        <w:t>: عن النبي (صلى الله عليه وآله) أنّه قال: (كل مبيع تلف قبل قبضه، فهو من مال بائعه)</w:t>
      </w:r>
      <w:r w:rsidRPr="001964E6">
        <w:rPr>
          <w:sz w:val="32"/>
          <w:szCs w:val="32"/>
          <w:vertAlign w:val="superscript"/>
          <w:rtl/>
        </w:rPr>
        <w:footnoteReference w:id="241"/>
      </w:r>
      <w:r w:rsidRPr="001964E6">
        <w:rPr>
          <w:sz w:val="32"/>
          <w:szCs w:val="32"/>
          <w:rtl/>
        </w:rPr>
        <w:t>.</w:t>
      </w:r>
    </w:p>
    <w:p w14:paraId="10BD50A1" w14:textId="77777777" w:rsidR="001964E6" w:rsidRPr="001964E6" w:rsidRDefault="001964E6" w:rsidP="001964E6">
      <w:pPr>
        <w:bidi/>
        <w:rPr>
          <w:sz w:val="32"/>
          <w:szCs w:val="32"/>
          <w:rtl/>
        </w:rPr>
      </w:pPr>
      <w:r w:rsidRPr="001964E6">
        <w:rPr>
          <w:b/>
          <w:bCs/>
          <w:sz w:val="32"/>
          <w:szCs w:val="32"/>
          <w:rtl/>
        </w:rPr>
        <w:t>بدعوى:</w:t>
      </w:r>
      <w:r w:rsidRPr="001964E6">
        <w:rPr>
          <w:sz w:val="32"/>
          <w:szCs w:val="32"/>
          <w:rtl/>
        </w:rPr>
        <w:t xml:space="preserve"> أنّ المتفاهم عرفاً مِن النبوي أنّ تلف متعلق المعاوضة قبل قبضه مِن مال المالك الأوّل، ففي البيع مِن مال البائع فالبيع باطل، وفي الإجارة مِن مال المُؤجّر فالإجارة باطلة</w:t>
      </w:r>
      <w:r w:rsidRPr="001964E6">
        <w:rPr>
          <w:sz w:val="32"/>
          <w:szCs w:val="32"/>
        </w:rPr>
        <w:t>.</w:t>
      </w:r>
    </w:p>
    <w:p w14:paraId="49CAF1FA" w14:textId="77777777" w:rsidR="001964E6" w:rsidRPr="001964E6" w:rsidRDefault="001964E6" w:rsidP="001964E6">
      <w:pPr>
        <w:bidi/>
        <w:rPr>
          <w:sz w:val="32"/>
          <w:szCs w:val="32"/>
          <w:rtl/>
        </w:rPr>
      </w:pPr>
      <w:r w:rsidRPr="001964E6">
        <w:rPr>
          <w:sz w:val="32"/>
          <w:szCs w:val="32"/>
          <w:rtl/>
        </w:rPr>
        <w:t xml:space="preserve">وقد أفاد سيدنا الخوئي (قدس سره الشريف) في كتاب الإجارة مِن موسوعته المباركة بقوله: </w:t>
      </w:r>
      <w:r w:rsidRPr="001964E6">
        <w:rPr>
          <w:b/>
          <w:bCs/>
          <w:sz w:val="32"/>
          <w:szCs w:val="32"/>
          <w:rtl/>
        </w:rPr>
        <w:t>(فإنّ التعدّي عن مورد البيع وإن قيل به إلّا أنّه يحتاج إلى القطع بعدم الفرق ليدّعى إلغاء خصوصيّة البيع الذي هو مورد النصّ، وأنى لنا به ولم يقم عليه أيّ دليل؟!)</w:t>
      </w:r>
      <w:r w:rsidRPr="001964E6">
        <w:rPr>
          <w:sz w:val="32"/>
          <w:szCs w:val="32"/>
          <w:vertAlign w:val="superscript"/>
          <w:rtl/>
        </w:rPr>
        <w:footnoteReference w:id="242"/>
      </w:r>
      <w:r w:rsidRPr="001964E6">
        <w:rPr>
          <w:sz w:val="32"/>
          <w:szCs w:val="32"/>
          <w:rtl/>
        </w:rPr>
        <w:t>.</w:t>
      </w:r>
    </w:p>
    <w:p w14:paraId="09B1D439" w14:textId="77777777" w:rsidR="001964E6" w:rsidRPr="001964E6" w:rsidRDefault="001964E6" w:rsidP="001964E6">
      <w:pPr>
        <w:bidi/>
        <w:rPr>
          <w:sz w:val="32"/>
          <w:szCs w:val="32"/>
          <w:rtl/>
        </w:rPr>
      </w:pPr>
      <w:r w:rsidRPr="001964E6">
        <w:rPr>
          <w:b/>
          <w:bCs/>
          <w:sz w:val="32"/>
          <w:szCs w:val="32"/>
          <w:rtl/>
        </w:rPr>
        <w:t>إلّا أنّ الصحيح:</w:t>
      </w:r>
      <w:r w:rsidRPr="001964E6">
        <w:rPr>
          <w:sz w:val="32"/>
          <w:szCs w:val="32"/>
          <w:rtl/>
        </w:rPr>
        <w:t xml:space="preserve"> كما ذكره مَن استدلَ بذلك، ولعله أشار إليه سيد المستمسك (قدس سره الشريف) مِن أنّ النظر العرفي الواضح لا يرى خصوصية للبيع</w:t>
      </w:r>
      <w:r w:rsidRPr="001964E6">
        <w:rPr>
          <w:sz w:val="32"/>
          <w:szCs w:val="32"/>
        </w:rPr>
        <w:t>.</w:t>
      </w:r>
    </w:p>
    <w:p w14:paraId="06273E5E" w14:textId="77777777" w:rsidR="001964E6" w:rsidRPr="001964E6" w:rsidRDefault="001964E6" w:rsidP="001964E6">
      <w:pPr>
        <w:bidi/>
        <w:rPr>
          <w:sz w:val="32"/>
          <w:szCs w:val="32"/>
          <w:rtl/>
        </w:rPr>
      </w:pPr>
      <w:r w:rsidRPr="001964E6">
        <w:rPr>
          <w:sz w:val="32"/>
          <w:szCs w:val="32"/>
          <w:rtl/>
        </w:rPr>
        <w:t>نعم، مقتضى التعدّي عن مورد الرواية أنْ يجمد على ما إذا تلفت العين المستأجرة قَبل القبض، وأمّا إذا تلفت بَعْدَ القبض فلا موجب للتعدّي</w:t>
      </w:r>
      <w:r w:rsidRPr="001964E6">
        <w:rPr>
          <w:sz w:val="32"/>
          <w:szCs w:val="32"/>
        </w:rPr>
        <w:t>.</w:t>
      </w:r>
    </w:p>
    <w:p w14:paraId="2A903D58" w14:textId="77777777" w:rsidR="001964E6" w:rsidRPr="001964E6" w:rsidRDefault="001964E6" w:rsidP="001964E6">
      <w:pPr>
        <w:bidi/>
        <w:rPr>
          <w:sz w:val="32"/>
          <w:szCs w:val="32"/>
          <w:rtl/>
        </w:rPr>
      </w:pPr>
      <w:r w:rsidRPr="001964E6">
        <w:rPr>
          <w:sz w:val="32"/>
          <w:szCs w:val="32"/>
          <w:rtl/>
        </w:rPr>
        <w:t>هذا هو المدركُ الأوّل، على فرض صحّة النبوي، وإلّا فإنّه غيرُ تامٍ سنداً.</w:t>
      </w:r>
    </w:p>
    <w:p w14:paraId="7A8E1E59" w14:textId="77777777" w:rsidR="001964E6" w:rsidRPr="001964E6" w:rsidRDefault="001964E6" w:rsidP="001964E6">
      <w:pPr>
        <w:bidi/>
        <w:rPr>
          <w:sz w:val="32"/>
          <w:szCs w:val="32"/>
          <w:rtl/>
        </w:rPr>
      </w:pPr>
      <w:r w:rsidRPr="001964E6">
        <w:rPr>
          <w:b/>
          <w:bCs/>
          <w:sz w:val="32"/>
          <w:szCs w:val="32"/>
          <w:rtl/>
        </w:rPr>
        <w:t>المدركُ الثاني:</w:t>
      </w:r>
      <w:r w:rsidRPr="001964E6">
        <w:rPr>
          <w:sz w:val="32"/>
          <w:szCs w:val="32"/>
          <w:rtl/>
        </w:rPr>
        <w:t xml:space="preserve"> أنّ بطلان الإجارة في هذين الفرضين -قَبل القبض أو بَعْدَ القبض بلا فصلٍ- مقتضى القاعدة؛ نظراً إلى أنّ التسليم والتسلّم الخارجيين وإنْ لَمْ يكونا قيدًا في صحّة العقد في غير بيعي الصرف والسلّم، إلّا أنّهما متممان للمعاوضة بالنظر العقلائي؛ بحيثُ يرى النظر العقلائي -إنْ لَمْ يتمّ الاستلام لتلفِ العين، أو تمّ الاستلام لكنه كـ لا استلام لتلف العين بَعْدَ القبض بلا فصلٍ- أنّ المعاوضة لَمْ تتم؛ لأنّ مضمون المعاوضة ليس مجرّد اعتبار المِلكيّة -أي: اعتبار مبادلة منفعةٍ بأُجرة أو مبادلة مبيعٍ بثمن-، بل المعاوضة بالنظر العقلائي ما كانت سبباً لتحقّق الغرض النوعي، والغرضُ النوعي متوقّفٌ على الاستلام بنحوٍ يمكنه مِن استيفاء المنفعة، فمع عدم تحقّق ذلك فلا موضوع للغرض النوعي مِن المعاملة، ومع انتفاء الغرض النوعي المقوم لها تبطل مِن هذا الباب</w:t>
      </w:r>
      <w:r w:rsidRPr="001964E6">
        <w:rPr>
          <w:sz w:val="32"/>
          <w:szCs w:val="32"/>
        </w:rPr>
        <w:t>.</w:t>
      </w:r>
    </w:p>
    <w:p w14:paraId="392F442E" w14:textId="77777777" w:rsidR="001964E6" w:rsidRPr="001964E6" w:rsidRDefault="001964E6" w:rsidP="001964E6">
      <w:pPr>
        <w:bidi/>
        <w:rPr>
          <w:sz w:val="32"/>
          <w:szCs w:val="32"/>
          <w:rtl/>
        </w:rPr>
      </w:pPr>
      <w:r w:rsidRPr="001964E6">
        <w:rPr>
          <w:sz w:val="32"/>
          <w:szCs w:val="32"/>
          <w:rtl/>
        </w:rPr>
        <w:lastRenderedPageBreak/>
        <w:t>لكن سيدنا الخوئي (قدس سره الشريف) لَمْ يقبل بهذا الاستدلال، فقال في كتاب الإجارة</w:t>
      </w:r>
      <w:r w:rsidRPr="001964E6">
        <w:rPr>
          <w:sz w:val="32"/>
          <w:szCs w:val="32"/>
          <w:vertAlign w:val="superscript"/>
          <w:rtl/>
        </w:rPr>
        <w:footnoteReference w:id="243"/>
      </w:r>
      <w:r w:rsidRPr="001964E6">
        <w:rPr>
          <w:sz w:val="32"/>
          <w:szCs w:val="32"/>
          <w:rtl/>
        </w:rPr>
        <w:t xml:space="preserve">: </w:t>
      </w:r>
      <w:r w:rsidRPr="001964E6">
        <w:rPr>
          <w:b/>
          <w:bCs/>
          <w:sz w:val="32"/>
          <w:szCs w:val="32"/>
          <w:rtl/>
        </w:rPr>
        <w:t>(بل الظاهر أنّ المال بعد أن انتقل إلى الآخر بعقدٍ صحيح)</w:t>
      </w:r>
      <w:r w:rsidRPr="001964E6">
        <w:rPr>
          <w:sz w:val="32"/>
          <w:szCs w:val="32"/>
          <w:rtl/>
        </w:rPr>
        <w:t xml:space="preserve"> حيثُ إنّ الإجارة قد وقعت صحيحة في ظرفها </w:t>
      </w:r>
      <w:r w:rsidRPr="001964E6">
        <w:rPr>
          <w:b/>
          <w:bCs/>
          <w:sz w:val="32"/>
          <w:szCs w:val="32"/>
          <w:rtl/>
        </w:rPr>
        <w:t>(وأصبح ملكاً له)</w:t>
      </w:r>
      <w:r w:rsidRPr="001964E6">
        <w:rPr>
          <w:sz w:val="32"/>
          <w:szCs w:val="32"/>
          <w:rtl/>
        </w:rPr>
        <w:t xml:space="preserve"> أي: للثاني </w:t>
      </w:r>
      <w:r w:rsidRPr="001964E6">
        <w:rPr>
          <w:b/>
          <w:bCs/>
          <w:sz w:val="32"/>
          <w:szCs w:val="32"/>
          <w:rtl/>
        </w:rPr>
        <w:t>(كما هو المفروض فلا جرم كان أمانة شرعيّة بيد من عنده المال)</w:t>
      </w:r>
      <w:r w:rsidRPr="001964E6">
        <w:rPr>
          <w:sz w:val="32"/>
          <w:szCs w:val="32"/>
          <w:rtl/>
        </w:rPr>
        <w:t xml:space="preserve"> أي: بيد البائع أو المُؤجّر </w:t>
      </w:r>
      <w:r w:rsidRPr="001964E6">
        <w:rPr>
          <w:b/>
          <w:bCs/>
          <w:sz w:val="32"/>
          <w:szCs w:val="32"/>
          <w:rtl/>
        </w:rPr>
        <w:t>(حتى يوصله إلى صاحبه، ولازمه)</w:t>
      </w:r>
      <w:r w:rsidRPr="001964E6">
        <w:rPr>
          <w:sz w:val="32"/>
          <w:szCs w:val="32"/>
          <w:rtl/>
        </w:rPr>
        <w:t xml:space="preserve"> أنّ المال لو تلف قبل الإيصال إمّا بيد المؤجّر أو البائع أو بيد شخصٍ ثالثٍ، أو بيد المُستأجر لكن بَعْدَ الاستلام بلا فصل </w:t>
      </w:r>
      <w:r w:rsidRPr="001964E6">
        <w:rPr>
          <w:b/>
          <w:bCs/>
          <w:sz w:val="32"/>
          <w:szCs w:val="32"/>
          <w:rtl/>
        </w:rPr>
        <w:t>(كون التلف على مالكه)</w:t>
      </w:r>
      <w:r w:rsidRPr="001964E6">
        <w:rPr>
          <w:sz w:val="32"/>
          <w:szCs w:val="32"/>
          <w:rtl/>
        </w:rPr>
        <w:t xml:space="preserve"> أي: المشتري أو المُستأجر </w:t>
      </w:r>
      <w:r w:rsidRPr="001964E6">
        <w:rPr>
          <w:b/>
          <w:bCs/>
          <w:sz w:val="32"/>
          <w:szCs w:val="32"/>
          <w:rtl/>
        </w:rPr>
        <w:t xml:space="preserve">(بطبيعة الحال، ولم تتحقّق أيّ سيرة عقلائية قائمة على الضمان المدّعى في المقام.) </w:t>
      </w:r>
      <w:r w:rsidRPr="001964E6">
        <w:rPr>
          <w:sz w:val="32"/>
          <w:szCs w:val="32"/>
          <w:rtl/>
        </w:rPr>
        <w:t>أي: لَمْ تقم سيرة عقلائية على أنّ المعوَّض مضمونٌ على البائع والمُؤجّر الذي هو مساوقٌ لبطلان الإجارة</w:t>
      </w:r>
      <w:r w:rsidRPr="001964E6">
        <w:rPr>
          <w:sz w:val="32"/>
          <w:szCs w:val="32"/>
        </w:rPr>
        <w:t>.</w:t>
      </w:r>
    </w:p>
    <w:p w14:paraId="65575853" w14:textId="77777777" w:rsidR="001964E6" w:rsidRPr="001964E6" w:rsidRDefault="001964E6" w:rsidP="001964E6">
      <w:pPr>
        <w:bidi/>
        <w:rPr>
          <w:sz w:val="32"/>
          <w:szCs w:val="32"/>
          <w:rtl/>
        </w:rPr>
      </w:pPr>
      <w:r w:rsidRPr="001964E6">
        <w:rPr>
          <w:b/>
          <w:bCs/>
          <w:sz w:val="32"/>
          <w:szCs w:val="32"/>
          <w:rtl/>
        </w:rPr>
        <w:t>ولكن قد يجابُ عن ذلك:</w:t>
      </w:r>
      <w:r w:rsidRPr="001964E6">
        <w:rPr>
          <w:sz w:val="32"/>
          <w:szCs w:val="32"/>
          <w:rtl/>
        </w:rPr>
        <w:t xml:space="preserve"> إنّ الغرض النوعي مِن المعاوضة ليس مجرّد اعتبار مقابل اعتبار، بل المعاوضة النافذة لدى النظر العقلائي ما كانت سبباً لتحقيق الغرض النوعي منها، والغرض النوعي هو الانتفاع سواءً كان انتفاعاً حقيقياً أو انتفاعاً اعتبارياً بأنْ يملكها أو يهبها، وحينئذٍ فإذا انتفى الغرض النوعي لانتفاء موضوعه وهو تلف المبيع أو العين المستأجرة قَبل القبض أو بَعْدَ القبض بلا فصلٍ فلا مقتضي أصلاً لصحّة الإجارة.</w:t>
      </w:r>
    </w:p>
    <w:p w14:paraId="62E44A28" w14:textId="77777777" w:rsidR="001964E6" w:rsidRPr="001964E6" w:rsidRDefault="001964E6" w:rsidP="001964E6">
      <w:pPr>
        <w:bidi/>
        <w:rPr>
          <w:sz w:val="32"/>
          <w:szCs w:val="32"/>
          <w:rtl/>
          <w:lang w:bidi="ar-BH"/>
        </w:rPr>
      </w:pPr>
    </w:p>
    <w:p w14:paraId="6AFDD0D9" w14:textId="77777777" w:rsidR="001964E6" w:rsidRPr="001964E6" w:rsidRDefault="001964E6" w:rsidP="001964E6">
      <w:pPr>
        <w:bidi/>
        <w:rPr>
          <w:b/>
          <w:bCs/>
          <w:sz w:val="32"/>
          <w:szCs w:val="32"/>
          <w:rtl/>
        </w:rPr>
      </w:pPr>
      <w:r w:rsidRPr="001964E6">
        <w:rPr>
          <w:b/>
          <w:bCs/>
          <w:sz w:val="32"/>
          <w:szCs w:val="32"/>
          <w:rtl/>
        </w:rPr>
        <w:t>والحمد لله رب العالمين</w:t>
      </w:r>
    </w:p>
    <w:p w14:paraId="7EBC44A3" w14:textId="77777777" w:rsidR="00820018" w:rsidRDefault="00820018" w:rsidP="00820018">
      <w:pPr>
        <w:bidi/>
        <w:rPr>
          <w:sz w:val="32"/>
          <w:szCs w:val="32"/>
          <w:rtl/>
        </w:rPr>
      </w:pPr>
    </w:p>
    <w:p w14:paraId="1E771D02" w14:textId="77777777" w:rsidR="00DF6B84" w:rsidRDefault="00DF6B84" w:rsidP="00DF6B84">
      <w:pPr>
        <w:bidi/>
        <w:rPr>
          <w:sz w:val="32"/>
          <w:szCs w:val="32"/>
          <w:rtl/>
        </w:rPr>
      </w:pPr>
    </w:p>
    <w:p w14:paraId="5F6E1703" w14:textId="59CD068D" w:rsidR="00DF6B84" w:rsidRDefault="00DF6B84" w:rsidP="00DF6B84">
      <w:pPr>
        <w:pStyle w:val="Heading3"/>
        <w:bidi/>
        <w:rPr>
          <w:sz w:val="32"/>
          <w:szCs w:val="32"/>
          <w:rtl/>
        </w:rPr>
      </w:pPr>
      <w:r>
        <w:rPr>
          <w:rFonts w:hint="cs"/>
          <w:sz w:val="32"/>
          <w:szCs w:val="32"/>
          <w:rtl/>
        </w:rPr>
        <w:t>332</w:t>
      </w:r>
    </w:p>
    <w:p w14:paraId="3FFFB9DC" w14:textId="77777777" w:rsidR="00DF6B84" w:rsidRPr="00DF6B84" w:rsidRDefault="00DF6B84" w:rsidP="00DF6B84">
      <w:pPr>
        <w:bidi/>
        <w:rPr>
          <w:b/>
          <w:bCs/>
          <w:sz w:val="32"/>
          <w:szCs w:val="32"/>
        </w:rPr>
      </w:pPr>
      <w:r w:rsidRPr="00DF6B84">
        <w:rPr>
          <w:b/>
          <w:bCs/>
          <w:sz w:val="32"/>
          <w:szCs w:val="32"/>
          <w:rtl/>
        </w:rPr>
        <w:t>بسم الله الرحمن الرحيم</w:t>
      </w:r>
    </w:p>
    <w:p w14:paraId="508A1034" w14:textId="77777777" w:rsidR="00DF6B84" w:rsidRPr="00DF6B84" w:rsidRDefault="00DF6B84" w:rsidP="00DF6B84">
      <w:pPr>
        <w:bidi/>
        <w:rPr>
          <w:b/>
          <w:bCs/>
          <w:sz w:val="32"/>
          <w:szCs w:val="32"/>
          <w:rtl/>
        </w:rPr>
      </w:pPr>
      <w:r w:rsidRPr="00DF6B84">
        <w:rPr>
          <w:b/>
          <w:bCs/>
          <w:sz w:val="32"/>
          <w:szCs w:val="32"/>
          <w:rtl/>
        </w:rPr>
        <w:t>والصلاة والسلام على أشرف الأنبياء والمرسلين، محمد وآله الطيبين الطاهرين</w:t>
      </w:r>
    </w:p>
    <w:p w14:paraId="5B9C6837" w14:textId="77777777" w:rsidR="00DF6B84" w:rsidRPr="00DF6B84" w:rsidRDefault="00DF6B84" w:rsidP="00DF6B84">
      <w:pPr>
        <w:bidi/>
        <w:rPr>
          <w:sz w:val="32"/>
          <w:szCs w:val="32"/>
          <w:rtl/>
        </w:rPr>
      </w:pPr>
      <w:r w:rsidRPr="00DF6B84">
        <w:rPr>
          <w:b/>
          <w:bCs/>
          <w:sz w:val="32"/>
          <w:szCs w:val="32"/>
          <w:rtl/>
        </w:rPr>
        <w:t>واللعن الدائم على أعدائهم أجمعين إلى قيام يوم الدين</w:t>
      </w:r>
    </w:p>
    <w:p w14:paraId="1A56F135" w14:textId="77777777" w:rsidR="00DF6B84" w:rsidRPr="00DF6B84" w:rsidRDefault="00DF6B84" w:rsidP="00DF6B84">
      <w:pPr>
        <w:bidi/>
        <w:rPr>
          <w:sz w:val="32"/>
          <w:szCs w:val="32"/>
          <w:rtl/>
        </w:rPr>
      </w:pPr>
    </w:p>
    <w:p w14:paraId="14702EF6" w14:textId="77777777" w:rsidR="00DF6B84" w:rsidRPr="00DF6B84" w:rsidRDefault="00DF6B84" w:rsidP="00DF6B84">
      <w:pPr>
        <w:bidi/>
        <w:rPr>
          <w:sz w:val="32"/>
          <w:szCs w:val="32"/>
          <w:rtl/>
        </w:rPr>
      </w:pPr>
      <w:r w:rsidRPr="00DF6B84">
        <w:rPr>
          <w:b/>
          <w:bCs/>
          <w:sz w:val="32"/>
          <w:szCs w:val="32"/>
          <w:rtl/>
        </w:rPr>
        <w:lastRenderedPageBreak/>
        <w:t>المدركُ الثالث:</w:t>
      </w:r>
      <w:r w:rsidRPr="00DF6B84">
        <w:rPr>
          <w:sz w:val="32"/>
          <w:szCs w:val="32"/>
          <w:rtl/>
        </w:rPr>
        <w:t xml:space="preserve"> ما ذكره سيدنا الخوئي (قدس سره الشريف) في كتاب الإجارة مِن موسوعته المباركة</w:t>
      </w:r>
      <w:r w:rsidRPr="00DF6B84">
        <w:rPr>
          <w:sz w:val="32"/>
          <w:szCs w:val="32"/>
          <w:vertAlign w:val="superscript"/>
          <w:rtl/>
        </w:rPr>
        <w:footnoteReference w:id="244"/>
      </w:r>
      <w:r w:rsidRPr="00DF6B84">
        <w:rPr>
          <w:sz w:val="32"/>
          <w:szCs w:val="32"/>
          <w:rtl/>
        </w:rPr>
        <w:t>.</w:t>
      </w:r>
    </w:p>
    <w:p w14:paraId="2EC64964" w14:textId="77777777" w:rsidR="00DF6B84" w:rsidRPr="00DF6B84" w:rsidRDefault="00DF6B84" w:rsidP="00DF6B84">
      <w:pPr>
        <w:bidi/>
        <w:rPr>
          <w:b/>
          <w:bCs/>
          <w:sz w:val="32"/>
          <w:szCs w:val="32"/>
          <w:rtl/>
        </w:rPr>
      </w:pPr>
      <w:r w:rsidRPr="00DF6B84">
        <w:rPr>
          <w:b/>
          <w:bCs/>
          <w:sz w:val="32"/>
          <w:szCs w:val="32"/>
          <w:rtl/>
        </w:rPr>
        <w:t>وبيانُهُ بذكر مقدمتين</w:t>
      </w:r>
      <w:r w:rsidRPr="00DF6B84">
        <w:rPr>
          <w:b/>
          <w:bCs/>
          <w:sz w:val="32"/>
          <w:szCs w:val="32"/>
        </w:rPr>
        <w:t>:</w:t>
      </w:r>
    </w:p>
    <w:p w14:paraId="07FA59BF" w14:textId="77777777" w:rsidR="00DF6B84" w:rsidRPr="00DF6B84" w:rsidRDefault="00DF6B84" w:rsidP="00DF6B84">
      <w:pPr>
        <w:bidi/>
        <w:rPr>
          <w:sz w:val="32"/>
          <w:szCs w:val="32"/>
          <w:rtl/>
        </w:rPr>
      </w:pPr>
      <w:r w:rsidRPr="00DF6B84">
        <w:rPr>
          <w:b/>
          <w:bCs/>
          <w:sz w:val="32"/>
          <w:szCs w:val="32"/>
          <w:rtl/>
        </w:rPr>
        <w:t>المقدمةُ الأُولى:</w:t>
      </w:r>
      <w:r w:rsidRPr="00DF6B84">
        <w:rPr>
          <w:sz w:val="32"/>
          <w:szCs w:val="32"/>
          <w:rtl/>
        </w:rPr>
        <w:t xml:space="preserve"> كبروية، وهي تبعية المنافع للعين في الوجود </w:t>
      </w:r>
      <w:proofErr w:type="gramStart"/>
      <w:r w:rsidRPr="00DF6B84">
        <w:rPr>
          <w:sz w:val="32"/>
          <w:szCs w:val="32"/>
          <w:rtl/>
        </w:rPr>
        <w:t>والمِلكيّة</w:t>
      </w:r>
      <w:r w:rsidRPr="00DF6B84">
        <w:rPr>
          <w:sz w:val="32"/>
          <w:szCs w:val="32"/>
        </w:rPr>
        <w:t xml:space="preserve"> .</w:t>
      </w:r>
      <w:proofErr w:type="gramEnd"/>
    </w:p>
    <w:p w14:paraId="2A51B4C0" w14:textId="77777777" w:rsidR="00DF6B84" w:rsidRPr="00DF6B84" w:rsidRDefault="00DF6B84" w:rsidP="00DF6B84">
      <w:pPr>
        <w:bidi/>
        <w:rPr>
          <w:sz w:val="32"/>
          <w:szCs w:val="32"/>
          <w:rtl/>
        </w:rPr>
      </w:pPr>
      <w:r w:rsidRPr="00DF6B84">
        <w:rPr>
          <w:b/>
          <w:bCs/>
          <w:sz w:val="32"/>
          <w:szCs w:val="32"/>
          <w:rtl/>
        </w:rPr>
        <w:t>وتوضيحُ ذلك: أنْ يُقال:</w:t>
      </w:r>
      <w:r w:rsidRPr="00DF6B84">
        <w:rPr>
          <w:sz w:val="32"/>
          <w:szCs w:val="32"/>
          <w:rtl/>
        </w:rPr>
        <w:t xml:space="preserve"> إنّ مِلكيّة المنافع ليست مِلكيّة مستقلة، بل هي تابعة لمِلكيّة العين؛ فمتى كانت العين مملوكة كانت المنافع مملوكة بتبعها، ومتى خرجت العين عن المِلك خرجت المنافع عن المِلك، ومقتضى هذه التبعية أنّ العين لو سقطتْ عن القابلية للتمليك ولَمْ تتصف بالمِلكيّة العقلائيّة كانت المنافع كذلك</w:t>
      </w:r>
      <w:r w:rsidRPr="00DF6B84">
        <w:rPr>
          <w:sz w:val="32"/>
          <w:szCs w:val="32"/>
        </w:rPr>
        <w:t>.</w:t>
      </w:r>
    </w:p>
    <w:p w14:paraId="1B9004B7" w14:textId="77777777" w:rsidR="00DF6B84" w:rsidRPr="00DF6B84" w:rsidRDefault="00DF6B84" w:rsidP="00DF6B84">
      <w:pPr>
        <w:bidi/>
        <w:rPr>
          <w:b/>
          <w:bCs/>
          <w:sz w:val="32"/>
          <w:szCs w:val="32"/>
          <w:rtl/>
        </w:rPr>
      </w:pPr>
      <w:r w:rsidRPr="00DF6B84">
        <w:rPr>
          <w:sz w:val="32"/>
          <w:szCs w:val="32"/>
          <w:rtl/>
        </w:rPr>
        <w:t xml:space="preserve">قال (قدس سره): </w:t>
      </w:r>
      <w:r w:rsidRPr="00DF6B84">
        <w:rPr>
          <w:b/>
          <w:bCs/>
          <w:sz w:val="32"/>
          <w:szCs w:val="32"/>
          <w:rtl/>
        </w:rPr>
        <w:t xml:space="preserve">(ومن ثمّ لا ينبغي </w:t>
      </w:r>
      <w:proofErr w:type="gramStart"/>
      <w:r w:rsidRPr="00DF6B84">
        <w:rPr>
          <w:b/>
          <w:bCs/>
          <w:sz w:val="32"/>
          <w:szCs w:val="32"/>
          <w:rtl/>
        </w:rPr>
        <w:t>الشكّ</w:t>
      </w:r>
      <w:proofErr w:type="gramEnd"/>
      <w:r w:rsidRPr="00DF6B84">
        <w:rPr>
          <w:b/>
          <w:bCs/>
          <w:sz w:val="32"/>
          <w:szCs w:val="32"/>
          <w:rtl/>
        </w:rPr>
        <w:t xml:space="preserve"> بل لم يشكّ أحد في عدم جواز إجارة العين في أزيد من عمرها العادي وما تستعدّ فيه للبقاء، كإجارة العبد </w:t>
      </w:r>
      <w:proofErr w:type="gramStart"/>
      <w:r w:rsidRPr="00DF6B84">
        <w:rPr>
          <w:b/>
          <w:bCs/>
          <w:sz w:val="32"/>
          <w:szCs w:val="32"/>
          <w:rtl/>
        </w:rPr>
        <w:t>مائة</w:t>
      </w:r>
      <w:proofErr w:type="gramEnd"/>
      <w:r w:rsidRPr="00DF6B84">
        <w:rPr>
          <w:b/>
          <w:bCs/>
          <w:sz w:val="32"/>
          <w:szCs w:val="32"/>
          <w:rtl/>
        </w:rPr>
        <w:t xml:space="preserve"> سنة)</w:t>
      </w:r>
      <w:r w:rsidRPr="00DF6B84">
        <w:rPr>
          <w:sz w:val="32"/>
          <w:szCs w:val="32"/>
          <w:rtl/>
        </w:rPr>
        <w:t xml:space="preserve"> أو إجارة السيارة </w:t>
      </w:r>
      <w:proofErr w:type="gramStart"/>
      <w:r w:rsidRPr="00DF6B84">
        <w:rPr>
          <w:sz w:val="32"/>
          <w:szCs w:val="32"/>
          <w:rtl/>
        </w:rPr>
        <w:t>مائة</w:t>
      </w:r>
      <w:proofErr w:type="gramEnd"/>
      <w:r w:rsidRPr="00DF6B84">
        <w:rPr>
          <w:sz w:val="32"/>
          <w:szCs w:val="32"/>
          <w:rtl/>
        </w:rPr>
        <w:t xml:space="preserve"> سنة </w:t>
      </w:r>
      <w:r w:rsidRPr="00DF6B84">
        <w:rPr>
          <w:b/>
          <w:bCs/>
          <w:sz w:val="32"/>
          <w:szCs w:val="32"/>
          <w:rtl/>
        </w:rPr>
        <w:t>(أو الدار ألف سنة، أو الدابّة عشرين، وهكذا، لعدم اعتبار العقلاء ملكيّة العين بعد تلك المدّة المديدة، فلا تكون قابلة للملكيّة وقتئذٍ فكذا منافعها، فحيث لا يعتبرنه)</w:t>
      </w:r>
      <w:r w:rsidRPr="00DF6B84">
        <w:rPr>
          <w:sz w:val="32"/>
          <w:szCs w:val="32"/>
          <w:rtl/>
        </w:rPr>
        <w:t xml:space="preserve"> أي: العقلاء </w:t>
      </w:r>
      <w:r w:rsidRPr="00DF6B84">
        <w:rPr>
          <w:b/>
          <w:bCs/>
          <w:sz w:val="32"/>
          <w:szCs w:val="32"/>
          <w:rtl/>
        </w:rPr>
        <w:t>(مالكاً لتلك المنافع فلا جرم تبطل الإجارة عليها)</w:t>
      </w:r>
      <w:r w:rsidRPr="00DF6B84">
        <w:rPr>
          <w:b/>
          <w:bCs/>
          <w:sz w:val="32"/>
          <w:szCs w:val="32"/>
        </w:rPr>
        <w:t>.</w:t>
      </w:r>
    </w:p>
    <w:p w14:paraId="7F11A795" w14:textId="77777777" w:rsidR="00DF6B84" w:rsidRPr="00DF6B84" w:rsidRDefault="00DF6B84" w:rsidP="00DF6B84">
      <w:pPr>
        <w:bidi/>
        <w:rPr>
          <w:b/>
          <w:bCs/>
          <w:sz w:val="32"/>
          <w:szCs w:val="32"/>
          <w:rtl/>
        </w:rPr>
      </w:pPr>
      <w:r w:rsidRPr="00DF6B84">
        <w:rPr>
          <w:b/>
          <w:bCs/>
          <w:sz w:val="32"/>
          <w:szCs w:val="32"/>
          <w:rtl/>
        </w:rPr>
        <w:t>المقدمةُ الثانية:</w:t>
      </w:r>
      <w:r w:rsidRPr="00DF6B84">
        <w:rPr>
          <w:sz w:val="32"/>
          <w:szCs w:val="32"/>
          <w:rtl/>
        </w:rPr>
        <w:t xml:space="preserve"> صغروية، وهي: أنّ تلف العين موجبٌ لتلف المنافع وعدم قابليتها للمِلك والتمليك، وهو ما ذكره بقوله (قدس سره): </w:t>
      </w:r>
      <w:r w:rsidRPr="00DF6B84">
        <w:rPr>
          <w:b/>
          <w:bCs/>
          <w:sz w:val="32"/>
          <w:szCs w:val="32"/>
          <w:rtl/>
        </w:rPr>
        <w:t>(وعليه، فملكيّة المالك للمنافع محدودة طبعاً ببقاء العين وإمكان الانتفاع بها، وأما المنافع بعد التلف)</w:t>
      </w:r>
      <w:r w:rsidRPr="00DF6B84">
        <w:rPr>
          <w:sz w:val="32"/>
          <w:szCs w:val="32"/>
          <w:rtl/>
        </w:rPr>
        <w:t xml:space="preserve"> أي: تلف العين </w:t>
      </w:r>
      <w:r w:rsidRPr="00DF6B84">
        <w:rPr>
          <w:b/>
          <w:bCs/>
          <w:sz w:val="32"/>
          <w:szCs w:val="32"/>
          <w:rtl/>
        </w:rPr>
        <w:t>(فلم تكن مملوكة له من الأوّل)</w:t>
      </w:r>
      <w:r w:rsidRPr="00DF6B84">
        <w:rPr>
          <w:sz w:val="32"/>
          <w:szCs w:val="32"/>
          <w:rtl/>
        </w:rPr>
        <w:t xml:space="preserve"> أي: لَمْ تكن مملوكة للمؤجّر كي يملكها للمُستأجر </w:t>
      </w:r>
      <w:r w:rsidRPr="00DF6B84">
        <w:rPr>
          <w:b/>
          <w:bCs/>
          <w:sz w:val="32"/>
          <w:szCs w:val="32"/>
          <w:rtl/>
        </w:rPr>
        <w:t>(فلو آجر عبده أو دابّته أو داره)</w:t>
      </w:r>
      <w:r w:rsidRPr="00DF6B84">
        <w:rPr>
          <w:sz w:val="32"/>
          <w:szCs w:val="32"/>
          <w:rtl/>
        </w:rPr>
        <w:t xml:space="preserve"> أو سيارته </w:t>
      </w:r>
      <w:r w:rsidRPr="00DF6B84">
        <w:rPr>
          <w:b/>
          <w:bCs/>
          <w:sz w:val="32"/>
          <w:szCs w:val="32"/>
          <w:rtl/>
        </w:rPr>
        <w:t xml:space="preserve">(فتلفت أو انهدمت قبل التسليم كشف ذلك عن أنّ تلك المنفعة لم تكن مملوكة للمالك من الأوّل حتى يسوغ له تمليكها، فإنّ العبد الميّت أو الدابّة التالفة فاقدة للمنفعة </w:t>
      </w:r>
      <w:proofErr w:type="spellStart"/>
      <w:r w:rsidRPr="00DF6B84">
        <w:rPr>
          <w:b/>
          <w:bCs/>
          <w:sz w:val="32"/>
          <w:szCs w:val="32"/>
          <w:rtl/>
        </w:rPr>
        <w:t>العابلة</w:t>
      </w:r>
      <w:proofErr w:type="spellEnd"/>
      <w:r w:rsidRPr="00DF6B84">
        <w:rPr>
          <w:b/>
          <w:bCs/>
          <w:sz w:val="32"/>
          <w:szCs w:val="32"/>
          <w:rtl/>
        </w:rPr>
        <w:t xml:space="preserve"> للملكيّة)</w:t>
      </w:r>
      <w:r w:rsidRPr="00DF6B84">
        <w:rPr>
          <w:b/>
          <w:bCs/>
          <w:sz w:val="32"/>
          <w:szCs w:val="32"/>
        </w:rPr>
        <w:t>.</w:t>
      </w:r>
    </w:p>
    <w:p w14:paraId="63570DCA" w14:textId="77777777" w:rsidR="00DF6B84" w:rsidRPr="00DF6B84" w:rsidRDefault="00DF6B84" w:rsidP="00DF6B84">
      <w:pPr>
        <w:bidi/>
        <w:rPr>
          <w:sz w:val="32"/>
          <w:szCs w:val="32"/>
          <w:rtl/>
        </w:rPr>
      </w:pPr>
      <w:r w:rsidRPr="00DF6B84">
        <w:rPr>
          <w:b/>
          <w:bCs/>
          <w:sz w:val="32"/>
          <w:szCs w:val="32"/>
          <w:rtl/>
        </w:rPr>
        <w:t>دفعُ دخلٍ: قد يُقال:</w:t>
      </w:r>
      <w:r w:rsidRPr="00DF6B84">
        <w:rPr>
          <w:sz w:val="32"/>
          <w:szCs w:val="32"/>
          <w:rtl/>
        </w:rPr>
        <w:t xml:space="preserve"> إنّ المِلكيّة مِن الأمور الاعتباريّة التي تدور مدار اعتبار العقلاء، ومِن الممكن أنْ يعتبر العقلاء المِلكيّة للمعدوم، سواءً كان المعدوم مِن المملوك أو المالك، كما في الوقف على ذرية فلان في قول الواقف -مثلاً-: "وقفتُ هذه الدار على ذرية الإمام الحسن المجتبى (عليه السلام)"، حيثُ تكون منافع الدار بعد ألف سنة غير موجودة بالفعل بحسب </w:t>
      </w:r>
      <w:r w:rsidRPr="00DF6B84">
        <w:rPr>
          <w:sz w:val="32"/>
          <w:szCs w:val="32"/>
          <w:rtl/>
        </w:rPr>
        <w:lastRenderedPageBreak/>
        <w:t>النظر العرفي، ومع ذلك صحّ تمليكها للموقوف عليه؛ لأنّ الوقف عبارةٌ عن تحبيس العين وتمليك المنافع للموقوف عليه، فهذا مِن تمليك المعدوم</w:t>
      </w:r>
      <w:r w:rsidRPr="00DF6B84">
        <w:rPr>
          <w:sz w:val="32"/>
          <w:szCs w:val="32"/>
        </w:rPr>
        <w:t>.</w:t>
      </w:r>
    </w:p>
    <w:p w14:paraId="1DB8F898" w14:textId="77777777" w:rsidR="00DF6B84" w:rsidRPr="00DF6B84" w:rsidRDefault="00DF6B84" w:rsidP="00DF6B84">
      <w:pPr>
        <w:bidi/>
        <w:rPr>
          <w:sz w:val="32"/>
          <w:szCs w:val="32"/>
          <w:rtl/>
        </w:rPr>
      </w:pPr>
      <w:r w:rsidRPr="00DF6B84">
        <w:rPr>
          <w:sz w:val="32"/>
          <w:szCs w:val="32"/>
          <w:rtl/>
        </w:rPr>
        <w:t xml:space="preserve">أو كان المالك معدوماً كالولد قبل انعقاد النطفة واستقرارها في جدار الرحم، فإنّه لو قال الأب: "وهبتُ هذه العين للولد المتولد مِن هذه النطفة" وقبضها بالولاية عنه، دخلت العين في مِلكه مع أنّه معدومٌ بالنظر العرفي، وإنْ كان ثبوت المِلك منوطاً بالشرط المتأخر وهو ولادته </w:t>
      </w:r>
      <w:proofErr w:type="gramStart"/>
      <w:r w:rsidRPr="00DF6B84">
        <w:rPr>
          <w:sz w:val="32"/>
          <w:szCs w:val="32"/>
          <w:rtl/>
        </w:rPr>
        <w:t>حيّاً</w:t>
      </w:r>
      <w:r w:rsidRPr="00DF6B84">
        <w:rPr>
          <w:sz w:val="32"/>
          <w:szCs w:val="32"/>
        </w:rPr>
        <w:t xml:space="preserve"> .</w:t>
      </w:r>
      <w:proofErr w:type="gramEnd"/>
    </w:p>
    <w:p w14:paraId="5C259C82" w14:textId="77777777" w:rsidR="00DF6B84" w:rsidRPr="00DF6B84" w:rsidRDefault="00DF6B84" w:rsidP="00DF6B84">
      <w:pPr>
        <w:bidi/>
        <w:rPr>
          <w:sz w:val="32"/>
          <w:szCs w:val="32"/>
          <w:rtl/>
        </w:rPr>
      </w:pPr>
      <w:r w:rsidRPr="00DF6B84">
        <w:rPr>
          <w:sz w:val="32"/>
          <w:szCs w:val="32"/>
          <w:rtl/>
        </w:rPr>
        <w:t>فبما أنّ المِلكيّة مِن الاعتبارات العقلائية، والاعتبار العقلائي قد يجعل المِلكيّة للمعدوم، فما هو المانع في المقام مِن أنْ تعتبر المنافع مملوكةً للمُستأجر وإنْ تلفت العين قَبل التسليم أو بعده بلا فصلٍ؟</w:t>
      </w:r>
    </w:p>
    <w:p w14:paraId="29F21765" w14:textId="77777777" w:rsidR="00DF6B84" w:rsidRPr="00DF6B84" w:rsidRDefault="00DF6B84" w:rsidP="00DF6B84">
      <w:pPr>
        <w:bidi/>
        <w:rPr>
          <w:sz w:val="32"/>
          <w:szCs w:val="32"/>
          <w:rtl/>
        </w:rPr>
      </w:pPr>
      <w:r w:rsidRPr="00DF6B84">
        <w:rPr>
          <w:sz w:val="32"/>
          <w:szCs w:val="32"/>
          <w:rtl/>
        </w:rPr>
        <w:t xml:space="preserve">وقد أجاب عنه سيدنا الخوئي (قدس سره الشريف) بقوله: </w:t>
      </w:r>
      <w:r w:rsidRPr="00DF6B84">
        <w:rPr>
          <w:b/>
          <w:bCs/>
          <w:sz w:val="32"/>
          <w:szCs w:val="32"/>
          <w:rtl/>
        </w:rPr>
        <w:t>(إذ الملكيّة وإن كانت من الاُمور الاعتباريّة القابلة للتعلّق حتى بالمعدوم، بل قد يكون المالك أيضاً معدوماً، إلّا أنّه خاصّ بما إذا كان)</w:t>
      </w:r>
      <w:r w:rsidRPr="00DF6B84">
        <w:rPr>
          <w:sz w:val="32"/>
          <w:szCs w:val="32"/>
          <w:rtl/>
        </w:rPr>
        <w:t xml:space="preserve"> الشيء </w:t>
      </w:r>
      <w:r w:rsidRPr="00DF6B84">
        <w:rPr>
          <w:b/>
          <w:bCs/>
          <w:sz w:val="32"/>
          <w:szCs w:val="32"/>
          <w:rtl/>
        </w:rPr>
        <w:t>(قابلاً للملكيّة العقلائيّة وللانتفاع في ظرفه)</w:t>
      </w:r>
      <w:r w:rsidRPr="00DF6B84">
        <w:rPr>
          <w:sz w:val="32"/>
          <w:szCs w:val="32"/>
          <w:rtl/>
        </w:rPr>
        <w:t xml:space="preserve"> أي: إذا كان قابلاً للانتفاع بِهِ في ظرفه فلا مانع مِن تمليكه وإنْ كان معدوماً، بخلاف ما ليس قابلاً للانتفاع به </w:t>
      </w:r>
      <w:r w:rsidRPr="00DF6B84">
        <w:rPr>
          <w:b/>
          <w:bCs/>
          <w:sz w:val="32"/>
          <w:szCs w:val="32"/>
          <w:rtl/>
        </w:rPr>
        <w:t>(ومن ثمّ لا يسوغ إجارة العبد أو الدابّة بعد الموت ابتداءً، لعدم قيام منفعة بهما وقتئذٍ ليملكها المؤجّر فيملّكها للمستأجر.)</w:t>
      </w:r>
      <w:r w:rsidRPr="00DF6B84">
        <w:rPr>
          <w:sz w:val="32"/>
          <w:szCs w:val="32"/>
          <w:rtl/>
        </w:rPr>
        <w:t xml:space="preserve"> فإنّ المنافع بعد تلف العين مما لا قابلية للانتفاع بِهِا في ظرفها، فهي غير قابلة لجعل المِلكيّة بإزائها</w:t>
      </w:r>
      <w:r w:rsidRPr="00DF6B84">
        <w:rPr>
          <w:sz w:val="32"/>
          <w:szCs w:val="32"/>
        </w:rPr>
        <w:t>.</w:t>
      </w:r>
    </w:p>
    <w:p w14:paraId="4778544F" w14:textId="77777777" w:rsidR="00DF6B84" w:rsidRPr="00DF6B84" w:rsidRDefault="00DF6B84" w:rsidP="00DF6B84">
      <w:pPr>
        <w:bidi/>
        <w:rPr>
          <w:sz w:val="32"/>
          <w:szCs w:val="32"/>
          <w:rtl/>
        </w:rPr>
      </w:pPr>
      <w:r w:rsidRPr="00DF6B84">
        <w:rPr>
          <w:b/>
          <w:bCs/>
          <w:sz w:val="32"/>
          <w:szCs w:val="32"/>
          <w:rtl/>
        </w:rPr>
        <w:t>وخلاصةُ ما أُفيد:</w:t>
      </w:r>
      <w:r w:rsidRPr="00DF6B84">
        <w:rPr>
          <w:sz w:val="32"/>
          <w:szCs w:val="32"/>
          <w:rtl/>
        </w:rPr>
        <w:t xml:space="preserve"> أنّ النكتة في بطلان الإجارة إذا تلفت العين قَبل التسليم أو بعده بلا فصلٍ، هي: أنْ "لا شيء" يصلح أنْ يكون موطناً للتمليك والمبادلة</w:t>
      </w:r>
      <w:r w:rsidRPr="00DF6B84">
        <w:rPr>
          <w:sz w:val="32"/>
          <w:szCs w:val="32"/>
        </w:rPr>
        <w:t>.</w:t>
      </w:r>
    </w:p>
    <w:p w14:paraId="6E4733A3" w14:textId="77777777" w:rsidR="00DF6B84" w:rsidRPr="00DF6B84" w:rsidRDefault="00DF6B84" w:rsidP="00DF6B84">
      <w:pPr>
        <w:bidi/>
        <w:rPr>
          <w:sz w:val="32"/>
          <w:szCs w:val="32"/>
          <w:rtl/>
        </w:rPr>
      </w:pPr>
      <w:r w:rsidRPr="00DF6B84">
        <w:rPr>
          <w:b/>
          <w:bCs/>
          <w:sz w:val="32"/>
          <w:szCs w:val="32"/>
          <w:rtl/>
        </w:rPr>
        <w:t>فإنْ قُلتَ:</w:t>
      </w:r>
      <w:r w:rsidRPr="00DF6B84">
        <w:rPr>
          <w:sz w:val="32"/>
          <w:szCs w:val="32"/>
          <w:rtl/>
        </w:rPr>
        <w:t xml:space="preserve"> إنّ العين حين العقد كانت موجودة، فكانت المنافع المستقبلة موجودةً بوجودها على نحو الوجود الاستعدادي، ومقتضى ذلك أنّ المُستأجر قد ملك المنافع حين الإجارة، فإذا تلفت العين بعد ذلك فتلف المنافع - لأنّها كانت موجودة بوجود العين- مِن باب الرفع لا مِن باب الدفع.</w:t>
      </w:r>
    </w:p>
    <w:p w14:paraId="3C94E55B" w14:textId="77777777" w:rsidR="00DF6B84" w:rsidRPr="00DF6B84" w:rsidRDefault="00DF6B84" w:rsidP="00DF6B84">
      <w:pPr>
        <w:bidi/>
        <w:rPr>
          <w:sz w:val="32"/>
          <w:szCs w:val="32"/>
          <w:rtl/>
        </w:rPr>
      </w:pPr>
      <w:r w:rsidRPr="00DF6B84">
        <w:rPr>
          <w:sz w:val="32"/>
          <w:szCs w:val="32"/>
          <w:rtl/>
        </w:rPr>
        <w:t>فكما أنّ المنافع تابعةٌ للعين وجوداً ومِلكيّةً فهي تابعةٌ لها مِن حيثُ سِنْخِ التلف وأنّه مِن الدفع أو مِن الرفع؛ وحيثُ إنّ تلف العين بَعْدَ وجودها يعدّ رفعاً، فكذا تلفُ منافعها رفعٌ لوجودها لا دفعٌ له.</w:t>
      </w:r>
    </w:p>
    <w:p w14:paraId="372FB8B0" w14:textId="77777777" w:rsidR="00DF6B84" w:rsidRPr="00DF6B84" w:rsidRDefault="00DF6B84" w:rsidP="00DF6B84">
      <w:pPr>
        <w:bidi/>
        <w:rPr>
          <w:sz w:val="32"/>
          <w:szCs w:val="32"/>
          <w:rtl/>
        </w:rPr>
      </w:pPr>
      <w:r w:rsidRPr="00DF6B84">
        <w:rPr>
          <w:sz w:val="32"/>
          <w:szCs w:val="32"/>
          <w:rtl/>
        </w:rPr>
        <w:t>ولذا لا يسقط ضمان العين لو تلفت تحت يدٍ عادية، كذلك منافعها.</w:t>
      </w:r>
    </w:p>
    <w:p w14:paraId="3CCD0F9B" w14:textId="77777777" w:rsidR="00DF6B84" w:rsidRPr="00DF6B84" w:rsidRDefault="00DF6B84" w:rsidP="00DF6B84">
      <w:pPr>
        <w:bidi/>
        <w:rPr>
          <w:sz w:val="32"/>
          <w:szCs w:val="32"/>
          <w:rtl/>
        </w:rPr>
      </w:pPr>
      <w:r w:rsidRPr="00DF6B84">
        <w:rPr>
          <w:sz w:val="32"/>
          <w:szCs w:val="32"/>
          <w:rtl/>
        </w:rPr>
        <w:t>وبالتالي، فحيثُ إنّ تلف العين تلف للمنافع بعد وجودها فقد تلفت على المُستأجر -لا المؤجّر-؛ إذ خرجت المنافع مِن مِلك المؤجّر، فمقتضى ذلك بقاءُ الإجارة</w:t>
      </w:r>
      <w:r w:rsidRPr="00DF6B84">
        <w:rPr>
          <w:sz w:val="32"/>
          <w:szCs w:val="32"/>
        </w:rPr>
        <w:t>.</w:t>
      </w:r>
    </w:p>
    <w:p w14:paraId="21DC74B8" w14:textId="77777777" w:rsidR="00DF6B84" w:rsidRPr="00DF6B84" w:rsidRDefault="00DF6B84" w:rsidP="00DF6B84">
      <w:pPr>
        <w:bidi/>
        <w:rPr>
          <w:sz w:val="32"/>
          <w:szCs w:val="32"/>
          <w:rtl/>
        </w:rPr>
      </w:pPr>
      <w:r w:rsidRPr="00DF6B84">
        <w:rPr>
          <w:b/>
          <w:bCs/>
          <w:sz w:val="32"/>
          <w:szCs w:val="32"/>
          <w:rtl/>
        </w:rPr>
        <w:lastRenderedPageBreak/>
        <w:t xml:space="preserve">قلتُ: </w:t>
      </w:r>
      <w:r w:rsidRPr="00DF6B84">
        <w:rPr>
          <w:sz w:val="32"/>
          <w:szCs w:val="32"/>
          <w:rtl/>
        </w:rPr>
        <w:t>إنّ العين وإنْ لَمْ تكن متكثرة بمرور الزمن، إلّا أنّ استمرار وجودها وقابلية الانتفاع بها منشأٌ لرؤية عقلائية وهي كثرة المنافع بتكثر الزمن، حيث يرون المنافع عديدة -لا واحدة-، فما يكون مِن هذه المنافع حين العقد يُعتبر موجوداً، وما يكونُ منها بَعْدَ تلف العين يعتبر معدوماً مِن حين العقد بنظر العرف العقلائي، وحيثُ لا وجود لها في لوح الواقع مِن أوّل الأمر تبطلُ الإجارة بالنسبة إليها؛ لعدم وجود المعوض؛ فإنّ الإجارة عقدٌ والعقد لابُدّ لَهُ مِن محل يقع عليه المبادلة، والمفروضُ أنّ المنافع بعد تلف العين مما لا وجود لَهُ مِن الأوّل، فلا محل ولا معوض قابلاً للتمليك والمبادلة</w:t>
      </w:r>
      <w:r w:rsidRPr="00DF6B84">
        <w:rPr>
          <w:sz w:val="32"/>
          <w:szCs w:val="32"/>
        </w:rPr>
        <w:t>.</w:t>
      </w:r>
    </w:p>
    <w:p w14:paraId="21766E4B" w14:textId="77777777" w:rsidR="00DF6B84" w:rsidRPr="00DF6B84" w:rsidRDefault="00DF6B84" w:rsidP="00DF6B84">
      <w:pPr>
        <w:bidi/>
        <w:rPr>
          <w:sz w:val="32"/>
          <w:szCs w:val="32"/>
          <w:rtl/>
        </w:rPr>
      </w:pPr>
      <w:r w:rsidRPr="00DF6B84">
        <w:rPr>
          <w:sz w:val="32"/>
          <w:szCs w:val="32"/>
          <w:rtl/>
        </w:rPr>
        <w:t>وبالتالي، فإنّ انعدام المنافع بَعْدَ تلف العين مِن باب الدفع لا مِن باب الرفع</w:t>
      </w:r>
      <w:r w:rsidRPr="00DF6B84">
        <w:rPr>
          <w:sz w:val="32"/>
          <w:szCs w:val="32"/>
        </w:rPr>
        <w:t>.</w:t>
      </w:r>
    </w:p>
    <w:p w14:paraId="5771F69B" w14:textId="77777777" w:rsidR="00DF6B84" w:rsidRPr="00DF6B84" w:rsidRDefault="00DF6B84" w:rsidP="00DF6B84">
      <w:pPr>
        <w:bidi/>
        <w:rPr>
          <w:sz w:val="32"/>
          <w:szCs w:val="32"/>
          <w:rtl/>
        </w:rPr>
      </w:pPr>
      <w:r w:rsidRPr="00DF6B84">
        <w:rPr>
          <w:b/>
          <w:bCs/>
          <w:sz w:val="32"/>
          <w:szCs w:val="32"/>
          <w:rtl/>
        </w:rPr>
        <w:t xml:space="preserve">فإنْ قلتَ: </w:t>
      </w:r>
      <w:r w:rsidRPr="00DF6B84">
        <w:rPr>
          <w:sz w:val="32"/>
          <w:szCs w:val="32"/>
          <w:rtl/>
        </w:rPr>
        <w:t>إنّ لازم ما ذُكر -مِن كون تلف العين قَبل القبض أو بعده بلا فصلٍ مِن قبيل انعدام المحل، فلا مِلكيّة لها كي تنتقل للمُستأجر- أنْ يُقال بالبطلان في صورة الإتلاف أيضاً، فلو فرض أنّ المُستأجر استلم العين فأتلفها -عمداً أو قهراً- فالمنافع في علم الله تعالى معدومةٌ مِن الأوّل، وإنْ استند تلف العين إلى المُستأجر، ومقتضى القول بانفساخ الإجارة في فرض تلف العين أنْ يُقال أيضاً بانفساخ الإجارة في فرض الإتلاف؛ إذ لا وجود للمنافع في ظرفها، وانتفاؤها مِن باب السالبة بانتفاء الموضوع، فتلفها مِن الدفع لا مِن الرفع</w:t>
      </w:r>
      <w:r w:rsidRPr="00DF6B84">
        <w:rPr>
          <w:sz w:val="32"/>
          <w:szCs w:val="32"/>
        </w:rPr>
        <w:t>.</w:t>
      </w:r>
    </w:p>
    <w:p w14:paraId="4A0E7D76" w14:textId="77777777" w:rsidR="00DF6B84" w:rsidRPr="00DF6B84" w:rsidRDefault="00DF6B84" w:rsidP="00DF6B84">
      <w:pPr>
        <w:bidi/>
        <w:rPr>
          <w:sz w:val="32"/>
          <w:szCs w:val="32"/>
          <w:rtl/>
        </w:rPr>
      </w:pPr>
      <w:r w:rsidRPr="00DF6B84">
        <w:rPr>
          <w:b/>
          <w:bCs/>
          <w:sz w:val="32"/>
          <w:szCs w:val="32"/>
          <w:rtl/>
        </w:rPr>
        <w:t>والأثرُ الفقهي لذلك:</w:t>
      </w:r>
      <w:r w:rsidRPr="00DF6B84">
        <w:rPr>
          <w:sz w:val="32"/>
          <w:szCs w:val="32"/>
          <w:rtl/>
        </w:rPr>
        <w:t xml:space="preserve"> أنّه إنْ قيل بأنّ الإتلاف موجبٌ لانفساخ الإجارة ضَمِنَ المُستأجر المُتلف للمالك قيمةَ العين الكاملة؛ لأنّ الإجارة كأنْ لَمْ تكن، فيسترجع الأُجرة المُسمّاة وتبطل الإجارة</w:t>
      </w:r>
      <w:r w:rsidRPr="00DF6B84">
        <w:rPr>
          <w:sz w:val="32"/>
          <w:szCs w:val="32"/>
        </w:rPr>
        <w:t>.</w:t>
      </w:r>
    </w:p>
    <w:p w14:paraId="28EFF9F3" w14:textId="77777777" w:rsidR="00DF6B84" w:rsidRPr="00DF6B84" w:rsidRDefault="00DF6B84" w:rsidP="00DF6B84">
      <w:pPr>
        <w:bidi/>
        <w:rPr>
          <w:sz w:val="32"/>
          <w:szCs w:val="32"/>
          <w:rtl/>
        </w:rPr>
      </w:pPr>
      <w:r w:rsidRPr="00DF6B84">
        <w:rPr>
          <w:sz w:val="32"/>
          <w:szCs w:val="32"/>
          <w:rtl/>
        </w:rPr>
        <w:t>وإنْ قيل بصحّة الإجارة ضَمِنَ المُستأجرُ للمالك قيمة العين مسلوبة المنفعة، مما يعني ملاحظة التفاوت بين عينٍ واجدة المنفعة لمدّة عشرين سنة وبين عين مسلوبة المنفعة لمدّة عشرين سنة وضمانه</w:t>
      </w:r>
      <w:r w:rsidRPr="00DF6B84">
        <w:rPr>
          <w:sz w:val="32"/>
          <w:szCs w:val="32"/>
        </w:rPr>
        <w:t>.</w:t>
      </w:r>
    </w:p>
    <w:p w14:paraId="1954B034" w14:textId="77777777" w:rsidR="00DF6B84" w:rsidRPr="00DF6B84" w:rsidRDefault="00DF6B84" w:rsidP="00DF6B84">
      <w:pPr>
        <w:bidi/>
        <w:rPr>
          <w:sz w:val="32"/>
          <w:szCs w:val="32"/>
          <w:rtl/>
        </w:rPr>
      </w:pPr>
      <w:r w:rsidRPr="00DF6B84">
        <w:rPr>
          <w:sz w:val="32"/>
          <w:szCs w:val="32"/>
          <w:rtl/>
        </w:rPr>
        <w:t>وإنّما يصدق إتلاف المنفعة للعين في فرض بقاء العين، كما إذا غصبها غاصب وفوّت منافعها على مالكها، وأمّا إذا أتلف العين نفسها فقد تلفت المنافع مِن باب السالبة بانتفاء الموضوع، وبالتالي فهي معدومةٌ مِن الأوّل، ومقتضى هذا القولُ بالانفساخ حتى في صورة الإتلاف</w:t>
      </w:r>
      <w:r w:rsidRPr="00DF6B84">
        <w:rPr>
          <w:sz w:val="32"/>
          <w:szCs w:val="32"/>
        </w:rPr>
        <w:t>.</w:t>
      </w:r>
    </w:p>
    <w:p w14:paraId="60F874F5" w14:textId="77777777" w:rsidR="00DF6B84" w:rsidRPr="00DF6B84" w:rsidRDefault="00DF6B84" w:rsidP="00DF6B84">
      <w:pPr>
        <w:bidi/>
        <w:rPr>
          <w:sz w:val="32"/>
          <w:szCs w:val="32"/>
          <w:rtl/>
        </w:rPr>
      </w:pPr>
      <w:r w:rsidRPr="00DF6B84">
        <w:rPr>
          <w:b/>
          <w:bCs/>
          <w:sz w:val="32"/>
          <w:szCs w:val="32"/>
          <w:rtl/>
        </w:rPr>
        <w:t xml:space="preserve">قلتُ: </w:t>
      </w:r>
      <w:r w:rsidRPr="00DF6B84">
        <w:rPr>
          <w:sz w:val="32"/>
          <w:szCs w:val="32"/>
          <w:rtl/>
        </w:rPr>
        <w:t>مِن الواضح الفرق بالنظر العقلائي بين فرض التلف وفرض الإتلاف</w:t>
      </w:r>
      <w:r w:rsidRPr="00DF6B84">
        <w:rPr>
          <w:sz w:val="32"/>
          <w:szCs w:val="32"/>
        </w:rPr>
        <w:t>.</w:t>
      </w:r>
    </w:p>
    <w:p w14:paraId="36ABD271" w14:textId="77777777" w:rsidR="00DF6B84" w:rsidRPr="00DF6B84" w:rsidRDefault="00DF6B84" w:rsidP="00DF6B84">
      <w:pPr>
        <w:bidi/>
        <w:rPr>
          <w:sz w:val="32"/>
          <w:szCs w:val="32"/>
          <w:rtl/>
        </w:rPr>
      </w:pPr>
      <w:r w:rsidRPr="00DF6B84">
        <w:rPr>
          <w:sz w:val="32"/>
          <w:szCs w:val="32"/>
          <w:rtl/>
        </w:rPr>
        <w:t>فالتلفُ حيثُ إنّه خارجٌ عن اختيار المكلف وأمرٌ قهري عليه فلا محالة يكشف عن أنّ المنفعة المستقبلية لَمْ يكن لها وجودٌ مِن أوّل الأمر</w:t>
      </w:r>
      <w:r w:rsidRPr="00DF6B84">
        <w:rPr>
          <w:sz w:val="32"/>
          <w:szCs w:val="32"/>
        </w:rPr>
        <w:t>.</w:t>
      </w:r>
    </w:p>
    <w:p w14:paraId="78B5010E" w14:textId="77777777" w:rsidR="00DF6B84" w:rsidRPr="00DF6B84" w:rsidRDefault="00DF6B84" w:rsidP="00DF6B84">
      <w:pPr>
        <w:bidi/>
        <w:rPr>
          <w:sz w:val="32"/>
          <w:szCs w:val="32"/>
          <w:rtl/>
        </w:rPr>
      </w:pPr>
      <w:r w:rsidRPr="00DF6B84">
        <w:rPr>
          <w:sz w:val="32"/>
          <w:szCs w:val="32"/>
          <w:rtl/>
        </w:rPr>
        <w:lastRenderedPageBreak/>
        <w:t xml:space="preserve">بخلاف فرض الإتلاف؛ فإنّه حيثُ يكونُ باختيار المكلف وصنعه، فيكونُ مِن الرفع والتفويت للمنفعة لا مِن الدفع، فلا يوجبُ </w:t>
      </w:r>
      <w:proofErr w:type="gramStart"/>
      <w:r w:rsidRPr="00DF6B84">
        <w:rPr>
          <w:sz w:val="32"/>
          <w:szCs w:val="32"/>
          <w:rtl/>
        </w:rPr>
        <w:t>الانفساخ</w:t>
      </w:r>
      <w:proofErr w:type="gramEnd"/>
      <w:r w:rsidRPr="00DF6B84">
        <w:rPr>
          <w:sz w:val="32"/>
          <w:szCs w:val="32"/>
          <w:rtl/>
        </w:rPr>
        <w:t xml:space="preserve"> بل يوجبُ التضمين</w:t>
      </w:r>
      <w:r w:rsidRPr="00DF6B84">
        <w:rPr>
          <w:sz w:val="32"/>
          <w:szCs w:val="32"/>
        </w:rPr>
        <w:t>.</w:t>
      </w:r>
    </w:p>
    <w:p w14:paraId="52F66547" w14:textId="77777777" w:rsidR="00DF6B84" w:rsidRPr="00DF6B84" w:rsidRDefault="00DF6B84" w:rsidP="00DF6B84">
      <w:pPr>
        <w:bidi/>
        <w:rPr>
          <w:sz w:val="32"/>
          <w:szCs w:val="32"/>
          <w:rtl/>
        </w:rPr>
      </w:pPr>
      <w:r w:rsidRPr="00DF6B84">
        <w:rPr>
          <w:sz w:val="32"/>
          <w:szCs w:val="32"/>
          <w:rtl/>
        </w:rPr>
        <w:t>ولو فرض أنّ المُتلف غيرُ المستأجر، يثبت للمُستأجر الخيار</w:t>
      </w:r>
      <w:r w:rsidRPr="00DF6B84">
        <w:rPr>
          <w:sz w:val="32"/>
          <w:szCs w:val="32"/>
        </w:rPr>
        <w:t>.</w:t>
      </w:r>
    </w:p>
    <w:p w14:paraId="519843E9" w14:textId="77777777" w:rsidR="00DF6B84" w:rsidRPr="00DF6B84" w:rsidRDefault="00DF6B84" w:rsidP="00DF6B84">
      <w:pPr>
        <w:bidi/>
        <w:rPr>
          <w:sz w:val="32"/>
          <w:szCs w:val="32"/>
          <w:rtl/>
        </w:rPr>
      </w:pPr>
      <w:r w:rsidRPr="00DF6B84">
        <w:rPr>
          <w:sz w:val="32"/>
          <w:szCs w:val="32"/>
          <w:rtl/>
        </w:rPr>
        <w:t>هذا تمام الكلام في المدرك الثالث.</w:t>
      </w:r>
    </w:p>
    <w:p w14:paraId="597229CB" w14:textId="77777777" w:rsidR="00DF6B84" w:rsidRPr="00DF6B84" w:rsidRDefault="00DF6B84" w:rsidP="00DF6B84">
      <w:pPr>
        <w:bidi/>
        <w:rPr>
          <w:sz w:val="32"/>
          <w:szCs w:val="32"/>
          <w:rtl/>
        </w:rPr>
      </w:pPr>
      <w:r w:rsidRPr="00DF6B84">
        <w:rPr>
          <w:b/>
          <w:bCs/>
          <w:sz w:val="32"/>
          <w:szCs w:val="32"/>
          <w:rtl/>
        </w:rPr>
        <w:t>ولكنْ قد يُقال:</w:t>
      </w:r>
      <w:r w:rsidRPr="00DF6B84">
        <w:rPr>
          <w:sz w:val="32"/>
          <w:szCs w:val="32"/>
          <w:rtl/>
        </w:rPr>
        <w:t xml:space="preserve"> إنّ ما ذُكر تامٌ بحسب الدقة العقلية، وهو أنْ يُرى في المنفعة فردان: فردٌ قَبل التلف فهو موجود، وفردٌ بعد التلف وهو معدومٌ مِن الأوّل، بحيثُ يكونُ تلفه دفعاً لا رفعاً</w:t>
      </w:r>
      <w:r w:rsidRPr="00DF6B84">
        <w:rPr>
          <w:sz w:val="32"/>
          <w:szCs w:val="32"/>
        </w:rPr>
        <w:t>.</w:t>
      </w:r>
    </w:p>
    <w:p w14:paraId="0BBA3D05" w14:textId="77777777" w:rsidR="00DF6B84" w:rsidRPr="00DF6B84" w:rsidRDefault="00DF6B84" w:rsidP="00DF6B84">
      <w:pPr>
        <w:bidi/>
        <w:rPr>
          <w:sz w:val="32"/>
          <w:szCs w:val="32"/>
          <w:rtl/>
        </w:rPr>
      </w:pPr>
      <w:r w:rsidRPr="00DF6B84">
        <w:rPr>
          <w:sz w:val="32"/>
          <w:szCs w:val="32"/>
          <w:rtl/>
        </w:rPr>
        <w:t>ولكن بحسب النظر العقلائي الحاف بالمعاملات حين إبرامها تُرى المنفعة المستقبلية موجودة ابتداء -فإنّ وجود العين حين العقد وجودٌ لتمام منافعها-، فإذا عرض التلف على العين كان مِن باب الرفع -لا مِن باب الدفع-، ومقتضى ذلك القول بصحّة الإجارة.</w:t>
      </w:r>
    </w:p>
    <w:p w14:paraId="02C3AE5B" w14:textId="77777777" w:rsidR="00DF6B84" w:rsidRPr="00DF6B84" w:rsidRDefault="00DF6B84" w:rsidP="00DF6B84">
      <w:pPr>
        <w:bidi/>
        <w:rPr>
          <w:sz w:val="32"/>
          <w:szCs w:val="32"/>
          <w:rtl/>
        </w:rPr>
      </w:pPr>
    </w:p>
    <w:p w14:paraId="28047BC1" w14:textId="77777777" w:rsidR="00DF6B84" w:rsidRPr="00DF6B84" w:rsidRDefault="00DF6B84" w:rsidP="00DF6B84">
      <w:pPr>
        <w:bidi/>
        <w:rPr>
          <w:b/>
          <w:bCs/>
          <w:sz w:val="32"/>
          <w:szCs w:val="32"/>
          <w:rtl/>
        </w:rPr>
      </w:pPr>
      <w:r w:rsidRPr="00DF6B84">
        <w:rPr>
          <w:b/>
          <w:bCs/>
          <w:sz w:val="32"/>
          <w:szCs w:val="32"/>
          <w:rtl/>
        </w:rPr>
        <w:t>والحمد لله رب العالمين</w:t>
      </w:r>
    </w:p>
    <w:p w14:paraId="5AA9A124" w14:textId="77777777" w:rsidR="00DF6B84" w:rsidRDefault="00DF6B84" w:rsidP="00DF6B84">
      <w:pPr>
        <w:bidi/>
        <w:rPr>
          <w:sz w:val="32"/>
          <w:szCs w:val="32"/>
        </w:rPr>
      </w:pPr>
    </w:p>
    <w:p w14:paraId="7CFF7EA6" w14:textId="77777777" w:rsidR="00EE6605" w:rsidRDefault="00EE6605" w:rsidP="00EE6605">
      <w:pPr>
        <w:bidi/>
        <w:rPr>
          <w:sz w:val="32"/>
          <w:szCs w:val="32"/>
        </w:rPr>
      </w:pPr>
    </w:p>
    <w:p w14:paraId="5A951F7F" w14:textId="205CE14C" w:rsidR="00EE6605" w:rsidRDefault="00EE6605" w:rsidP="00EE6605">
      <w:pPr>
        <w:pStyle w:val="Heading3"/>
        <w:bidi/>
        <w:rPr>
          <w:sz w:val="32"/>
          <w:szCs w:val="32"/>
        </w:rPr>
      </w:pPr>
      <w:r>
        <w:rPr>
          <w:sz w:val="32"/>
          <w:szCs w:val="32"/>
        </w:rPr>
        <w:t>333</w:t>
      </w:r>
    </w:p>
    <w:p w14:paraId="556891D4"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sz w:val="34"/>
          <w:szCs w:val="34"/>
          <w:rtl/>
        </w:rPr>
        <w:t>ومحصلُ الوجه الثالث الذي ذكره سيدنا الخوئي (قدس سره الشريف) -لبيان مدرك بطلان الإجارة عند تلف العين قَبل قبضها أو بَعْدَ قبضها بلا فصلٍ- أنّ تلف العين تلفٌ للمنفعة، وتلف المنفعة مساوقٌ لعدم وجود ما يقبل المبادلة والمعاوضة، ومع عدم وجود ما يقبل المبادلة والمعاوضة فالمعاوضة باطلة</w:t>
      </w:r>
      <w:r w:rsidRPr="00DF3B5A">
        <w:rPr>
          <w:rFonts w:ascii="mylotus" w:hAnsi="mylotus"/>
          <w:sz w:val="34"/>
          <w:szCs w:val="34"/>
        </w:rPr>
        <w:t>.</w:t>
      </w:r>
    </w:p>
    <w:p w14:paraId="27AF4C9B"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sz w:val="34"/>
          <w:szCs w:val="34"/>
          <w:rtl/>
        </w:rPr>
        <w:t>وقد تأمل في ذلك السيد الحكيم السبط (قدس سره الشريف) كما في كتاب الإجارة م</w:t>
      </w:r>
      <w:r>
        <w:rPr>
          <w:rFonts w:ascii="mylotus" w:hAnsi="mylotus" w:hint="cs"/>
          <w:sz w:val="34"/>
          <w:szCs w:val="34"/>
          <w:rtl/>
        </w:rPr>
        <w:t>ِ</w:t>
      </w:r>
      <w:r w:rsidRPr="00DF3B5A">
        <w:rPr>
          <w:rFonts w:ascii="mylotus" w:hAnsi="mylotus"/>
          <w:sz w:val="34"/>
          <w:szCs w:val="34"/>
          <w:rtl/>
        </w:rPr>
        <w:t>ن مصباح المنهاج</w:t>
      </w:r>
      <w:r>
        <w:rPr>
          <w:rStyle w:val="FootnoteReference"/>
          <w:rFonts w:ascii="mylotus" w:hAnsi="mylotus"/>
          <w:sz w:val="34"/>
          <w:szCs w:val="34"/>
          <w:rtl/>
        </w:rPr>
        <w:footnoteReference w:id="245"/>
      </w:r>
      <w:r w:rsidRPr="00DF3B5A">
        <w:rPr>
          <w:rFonts w:ascii="mylotus" w:hAnsi="mylotus" w:hint="cs"/>
          <w:sz w:val="34"/>
          <w:szCs w:val="34"/>
          <w:rtl/>
        </w:rPr>
        <w:t>،</w:t>
      </w:r>
      <w:r w:rsidRPr="00DF3B5A">
        <w:rPr>
          <w:rFonts w:ascii="mylotus" w:hAnsi="mylotus"/>
          <w:sz w:val="34"/>
          <w:szCs w:val="34"/>
          <w:rtl/>
        </w:rPr>
        <w:t xml:space="preserve"> </w:t>
      </w:r>
      <w:r w:rsidRPr="00DF3B5A">
        <w:rPr>
          <w:rFonts w:ascii="mylotus" w:hAnsi="mylotus" w:hint="cs"/>
          <w:sz w:val="34"/>
          <w:szCs w:val="34"/>
          <w:rtl/>
        </w:rPr>
        <w:t>وتفصيل</w:t>
      </w:r>
      <w:r w:rsidRPr="00DF3B5A">
        <w:rPr>
          <w:rFonts w:ascii="mylotus" w:hAnsi="mylotus"/>
          <w:sz w:val="34"/>
          <w:szCs w:val="34"/>
          <w:rtl/>
        </w:rPr>
        <w:t xml:space="preserve"> </w:t>
      </w:r>
      <w:r w:rsidRPr="00DF3B5A">
        <w:rPr>
          <w:rFonts w:ascii="mylotus" w:hAnsi="mylotus" w:hint="cs"/>
          <w:sz w:val="34"/>
          <w:szCs w:val="34"/>
          <w:rtl/>
        </w:rPr>
        <w:t>مرامه</w:t>
      </w:r>
      <w:r w:rsidRPr="00DF3B5A">
        <w:rPr>
          <w:rFonts w:ascii="mylotus" w:hAnsi="mylotus"/>
          <w:sz w:val="34"/>
          <w:szCs w:val="34"/>
          <w:rtl/>
        </w:rPr>
        <w:t xml:space="preserve"> </w:t>
      </w:r>
      <w:r w:rsidRPr="00DF3B5A">
        <w:rPr>
          <w:rFonts w:ascii="mylotus" w:hAnsi="mylotus" w:hint="cs"/>
          <w:sz w:val="34"/>
          <w:szCs w:val="34"/>
          <w:rtl/>
        </w:rPr>
        <w:t>يتضح</w:t>
      </w:r>
      <w:r w:rsidRPr="00DF3B5A">
        <w:rPr>
          <w:rFonts w:ascii="mylotus" w:hAnsi="mylotus"/>
          <w:sz w:val="34"/>
          <w:szCs w:val="34"/>
          <w:rtl/>
        </w:rPr>
        <w:t xml:space="preserve"> </w:t>
      </w:r>
      <w:r w:rsidRPr="00DF3B5A">
        <w:rPr>
          <w:rFonts w:ascii="mylotus" w:hAnsi="mylotus" w:hint="cs"/>
          <w:sz w:val="34"/>
          <w:szCs w:val="34"/>
          <w:rtl/>
        </w:rPr>
        <w:t>بذكرِ</w:t>
      </w:r>
      <w:r w:rsidRPr="00DF3B5A">
        <w:rPr>
          <w:rFonts w:ascii="mylotus" w:hAnsi="mylotus"/>
          <w:sz w:val="34"/>
          <w:szCs w:val="34"/>
          <w:rtl/>
        </w:rPr>
        <w:t xml:space="preserve"> </w:t>
      </w:r>
      <w:r w:rsidRPr="00DF3B5A">
        <w:rPr>
          <w:rFonts w:ascii="mylotus" w:hAnsi="mylotus" w:hint="cs"/>
          <w:sz w:val="34"/>
          <w:szCs w:val="34"/>
          <w:rtl/>
        </w:rPr>
        <w:t>أمورٍ</w:t>
      </w:r>
      <w:r w:rsidRPr="00DF3B5A">
        <w:rPr>
          <w:rFonts w:ascii="mylotus" w:hAnsi="mylotus"/>
          <w:sz w:val="34"/>
          <w:szCs w:val="34"/>
        </w:rPr>
        <w:t>:</w:t>
      </w:r>
    </w:p>
    <w:p w14:paraId="0B1AA0F1" w14:textId="62342D64" w:rsidR="00EE6605" w:rsidRPr="00DF3B5A" w:rsidRDefault="00EE6605" w:rsidP="00EE6605">
      <w:pPr>
        <w:pStyle w:val="a"/>
        <w:bidi/>
        <w:spacing w:line="216" w:lineRule="auto"/>
        <w:rPr>
          <w:rFonts w:ascii="mylotus" w:hAnsi="mylotus"/>
          <w:sz w:val="34"/>
          <w:szCs w:val="34"/>
          <w:rtl/>
        </w:rPr>
      </w:pPr>
      <w:r w:rsidRPr="00DF3B5A">
        <w:rPr>
          <w:rFonts w:ascii="mylotus" w:hAnsi="mylotus"/>
          <w:b/>
          <w:bCs/>
          <w:sz w:val="34"/>
          <w:szCs w:val="34"/>
          <w:rtl/>
        </w:rPr>
        <w:t>الأمرُ الأوّل:</w:t>
      </w:r>
      <w:r w:rsidRPr="00DF3B5A">
        <w:rPr>
          <w:rFonts w:ascii="mylotus" w:hAnsi="mylotus"/>
          <w:sz w:val="34"/>
          <w:szCs w:val="34"/>
          <w:rtl/>
        </w:rPr>
        <w:t xml:space="preserve"> ما أبانه (قدس سره) بقوله: </w:t>
      </w:r>
      <w:r w:rsidRPr="00DF3B5A">
        <w:rPr>
          <w:rFonts w:ascii="mylotus" w:hAnsi="mylotus"/>
          <w:b/>
          <w:bCs/>
          <w:sz w:val="34"/>
          <w:szCs w:val="34"/>
          <w:rtl/>
        </w:rPr>
        <w:t>(هذا وقد استدل غير واحد أولهم -فيما عثرت عليه- السيد الطباطبائي (قدس سره) في العروة الوثقى على بطلان الإجارة بتلف العين بأنه مع تلفها ينكشف عدم ثبوت المنفعة لها من حين التلف المستلزم لبطلان الإجارة في الزمان المذكور)</w:t>
      </w:r>
      <w:r w:rsidRPr="00DF3B5A">
        <w:rPr>
          <w:rFonts w:ascii="mylotus" w:hAnsi="mylotus"/>
          <w:sz w:val="34"/>
          <w:szCs w:val="34"/>
          <w:rtl/>
        </w:rPr>
        <w:t xml:space="preserve"> وهو زمان تلف المنفعة </w:t>
      </w:r>
      <w:r w:rsidRPr="00DF3B5A">
        <w:rPr>
          <w:rFonts w:ascii="mylotus" w:hAnsi="mylotus"/>
          <w:b/>
          <w:bCs/>
          <w:sz w:val="34"/>
          <w:szCs w:val="34"/>
          <w:rtl/>
        </w:rPr>
        <w:t>(لعدم وجود الموضوع لها)</w:t>
      </w:r>
      <w:r w:rsidRPr="00DF3B5A">
        <w:rPr>
          <w:rFonts w:ascii="mylotus" w:hAnsi="mylotus"/>
          <w:sz w:val="34"/>
          <w:szCs w:val="34"/>
          <w:rtl/>
        </w:rPr>
        <w:t xml:space="preserve"> أي: أنّ العلّة في البطلان هي أنّه لا يوجد شيء صالح لأن يملك </w:t>
      </w:r>
      <w:r w:rsidRPr="00DF3B5A">
        <w:rPr>
          <w:rFonts w:ascii="mylotus" w:hAnsi="mylotus"/>
          <w:b/>
          <w:bCs/>
          <w:sz w:val="34"/>
          <w:szCs w:val="34"/>
          <w:rtl/>
        </w:rPr>
        <w:t>(وهو المنفعة، نظير إجارة الأرض للزراعة إذا كانت غير قابلة للزرع.)</w:t>
      </w:r>
      <w:r w:rsidRPr="00DF3B5A">
        <w:rPr>
          <w:rFonts w:ascii="mylotus" w:hAnsi="mylotus"/>
          <w:sz w:val="34"/>
          <w:szCs w:val="34"/>
          <w:rtl/>
        </w:rPr>
        <w:t xml:space="preserve"> فإنّه لا يوجد موضوع يستأجر عليه باعتبار أنّ الأرض غير قابلة للزراعة</w:t>
      </w:r>
      <w:r>
        <w:rPr>
          <w:rFonts w:ascii="mylotus" w:hAnsi="mylotus" w:hint="cs"/>
          <w:sz w:val="34"/>
          <w:szCs w:val="34"/>
          <w:rtl/>
        </w:rPr>
        <w:t xml:space="preserve">، </w:t>
      </w:r>
      <w:r w:rsidRPr="00DF3B5A">
        <w:rPr>
          <w:rFonts w:ascii="mylotus" w:hAnsi="mylotus"/>
          <w:sz w:val="34"/>
          <w:szCs w:val="34"/>
          <w:rtl/>
        </w:rPr>
        <w:t xml:space="preserve">هذا ملخص تخريج سيد العروة (قدس سره الشريف) </w:t>
      </w:r>
      <w:proofErr w:type="gramStart"/>
      <w:r w:rsidRPr="00DF3B5A">
        <w:rPr>
          <w:rFonts w:ascii="mylotus" w:hAnsi="mylotus"/>
          <w:sz w:val="34"/>
          <w:szCs w:val="34"/>
          <w:rtl/>
        </w:rPr>
        <w:t>للبطلان</w:t>
      </w:r>
      <w:r w:rsidRPr="00DF3B5A">
        <w:rPr>
          <w:rFonts w:ascii="mylotus" w:hAnsi="mylotus"/>
          <w:sz w:val="34"/>
          <w:szCs w:val="34"/>
        </w:rPr>
        <w:t xml:space="preserve"> .</w:t>
      </w:r>
      <w:proofErr w:type="gramEnd"/>
    </w:p>
    <w:p w14:paraId="179CEDBC"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b/>
          <w:bCs/>
          <w:sz w:val="34"/>
          <w:szCs w:val="34"/>
          <w:rtl/>
        </w:rPr>
        <w:lastRenderedPageBreak/>
        <w:t>(وقد يرجع إليه)</w:t>
      </w:r>
      <w:r w:rsidRPr="00DF3B5A">
        <w:rPr>
          <w:rFonts w:ascii="mylotus" w:hAnsi="mylotus"/>
          <w:sz w:val="34"/>
          <w:szCs w:val="34"/>
          <w:rtl/>
        </w:rPr>
        <w:t xml:space="preserve"> أي: لكلام سيد العروة (قدس سره) </w:t>
      </w:r>
      <w:r w:rsidRPr="00DF3B5A">
        <w:rPr>
          <w:rFonts w:ascii="mylotus" w:hAnsi="mylotus"/>
          <w:b/>
          <w:bCs/>
          <w:sz w:val="34"/>
          <w:szCs w:val="34"/>
          <w:rtl/>
        </w:rPr>
        <w:t>(ما عن بعض مشايخنا (قدس سره))</w:t>
      </w:r>
      <w:r w:rsidRPr="00DF3B5A">
        <w:rPr>
          <w:rFonts w:ascii="mylotus" w:hAnsi="mylotus"/>
          <w:sz w:val="34"/>
          <w:szCs w:val="34"/>
          <w:rtl/>
        </w:rPr>
        <w:t xml:space="preserve"> أي: سيدنا الخوئي (قدس سره) </w:t>
      </w:r>
      <w:r w:rsidRPr="00DF3B5A">
        <w:rPr>
          <w:rFonts w:ascii="mylotus" w:hAnsi="mylotus"/>
          <w:b/>
          <w:bCs/>
          <w:sz w:val="34"/>
          <w:szCs w:val="34"/>
          <w:rtl/>
        </w:rPr>
        <w:t>(من أن ملكية المنفعة فرع ملكية العين)</w:t>
      </w:r>
      <w:r w:rsidRPr="00DF3B5A">
        <w:rPr>
          <w:rFonts w:ascii="mylotus" w:hAnsi="mylotus"/>
          <w:sz w:val="34"/>
          <w:szCs w:val="34"/>
          <w:rtl/>
        </w:rPr>
        <w:t xml:space="preserve"> أي: أنّ المنفعة تابعةٌ للعين وجوداً ومِلكيّة </w:t>
      </w:r>
      <w:r w:rsidRPr="00DF3B5A">
        <w:rPr>
          <w:rFonts w:ascii="mylotus" w:hAnsi="mylotus"/>
          <w:b/>
          <w:bCs/>
          <w:sz w:val="34"/>
          <w:szCs w:val="34"/>
          <w:rtl/>
        </w:rPr>
        <w:t>(فمع تلف العين وعدم ملكيتها لا ملكية لها، لتكون مورداً للإجارة)</w:t>
      </w:r>
      <w:r w:rsidRPr="00DF3B5A">
        <w:rPr>
          <w:rFonts w:ascii="mylotus" w:hAnsi="mylotus"/>
          <w:b/>
          <w:bCs/>
          <w:sz w:val="34"/>
          <w:szCs w:val="34"/>
        </w:rPr>
        <w:t>.</w:t>
      </w:r>
    </w:p>
    <w:p w14:paraId="7A58F0E7"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b/>
          <w:bCs/>
          <w:sz w:val="34"/>
          <w:szCs w:val="34"/>
          <w:rtl/>
        </w:rPr>
        <w:t>(وإلا)</w:t>
      </w:r>
      <w:r w:rsidRPr="00DF3B5A">
        <w:rPr>
          <w:rFonts w:ascii="mylotus" w:hAnsi="mylotus"/>
          <w:sz w:val="34"/>
          <w:szCs w:val="34"/>
          <w:rtl/>
        </w:rPr>
        <w:t xml:space="preserve"> إي: إذا لَمْ يرجع كلام السيد الخوئي إلى كلام سيد العروة (قدس سرهما) </w:t>
      </w:r>
      <w:r w:rsidRPr="00DF3B5A">
        <w:rPr>
          <w:rFonts w:ascii="mylotus" w:hAnsi="mylotus"/>
          <w:b/>
          <w:bCs/>
          <w:sz w:val="34"/>
          <w:szCs w:val="34"/>
          <w:rtl/>
        </w:rPr>
        <w:t>(فهو بظاهره لا يخلو عن إشكال. لفرض ملكية العين للمؤجر حين الإجارة</w:t>
      </w:r>
      <w:r>
        <w:rPr>
          <w:rFonts w:ascii="mylotus" w:hAnsi="mylotus" w:hint="cs"/>
          <w:b/>
          <w:bCs/>
          <w:sz w:val="34"/>
          <w:szCs w:val="34"/>
          <w:rtl/>
        </w:rPr>
        <w:t>)</w:t>
      </w:r>
      <w:r w:rsidRPr="00DF3B5A">
        <w:rPr>
          <w:rFonts w:ascii="mylotus" w:hAnsi="mylotus"/>
          <w:sz w:val="34"/>
          <w:szCs w:val="34"/>
          <w:rtl/>
        </w:rPr>
        <w:t xml:space="preserve"> المساوق لمِلكيّة المنفعة حينئذٍ </w:t>
      </w:r>
      <w:r w:rsidRPr="00DF3B5A">
        <w:rPr>
          <w:rFonts w:ascii="mylotus" w:hAnsi="mylotus"/>
          <w:b/>
          <w:bCs/>
          <w:sz w:val="34"/>
          <w:szCs w:val="34"/>
          <w:rtl/>
        </w:rPr>
        <w:t xml:space="preserve">(وخروجها) </w:t>
      </w:r>
      <w:r w:rsidRPr="00DF3B5A">
        <w:rPr>
          <w:rFonts w:ascii="mylotus" w:hAnsi="mylotus"/>
          <w:sz w:val="34"/>
          <w:szCs w:val="34"/>
          <w:rtl/>
        </w:rPr>
        <w:t xml:space="preserve">أي: خروج العين بَعْدَ أنْ تلفت </w:t>
      </w:r>
      <w:r w:rsidRPr="00DF3B5A">
        <w:rPr>
          <w:rFonts w:ascii="mylotus" w:hAnsi="mylotus"/>
          <w:b/>
          <w:bCs/>
          <w:sz w:val="34"/>
          <w:szCs w:val="34"/>
          <w:rtl/>
        </w:rPr>
        <w:t>(عن ملكيته بعد الإجارة لا يوجب بطلان الإجارة قطعاً)</w:t>
      </w:r>
      <w:r w:rsidRPr="00DF3B5A">
        <w:rPr>
          <w:rFonts w:ascii="mylotus" w:hAnsi="mylotus"/>
          <w:sz w:val="34"/>
          <w:szCs w:val="34"/>
          <w:rtl/>
        </w:rPr>
        <w:t xml:space="preserve"> إذ حينما وقعت الإجارة كانت العين مملوكة فصارت المنفعة مملوكة فتمّ عقد الإجارة، والشيء لا ينقلب عما وقع عليه</w:t>
      </w:r>
      <w:r w:rsidRPr="00DF3B5A">
        <w:rPr>
          <w:rFonts w:ascii="mylotus" w:hAnsi="mylotus"/>
          <w:sz w:val="34"/>
          <w:szCs w:val="34"/>
        </w:rPr>
        <w:t>.</w:t>
      </w:r>
    </w:p>
    <w:p w14:paraId="411EC32E"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b/>
          <w:bCs/>
          <w:sz w:val="34"/>
          <w:szCs w:val="34"/>
          <w:rtl/>
        </w:rPr>
        <w:t>وتقريبُ كلامه (قدس سره):</w:t>
      </w:r>
      <w:r w:rsidRPr="00DF3B5A">
        <w:rPr>
          <w:rFonts w:ascii="mylotus" w:hAnsi="mylotus"/>
          <w:sz w:val="34"/>
          <w:szCs w:val="34"/>
          <w:rtl/>
        </w:rPr>
        <w:t xml:space="preserve"> -بنحو</w:t>
      </w:r>
      <w:r>
        <w:rPr>
          <w:rFonts w:ascii="mylotus" w:hAnsi="mylotus" w:hint="cs"/>
          <w:sz w:val="34"/>
          <w:szCs w:val="34"/>
          <w:rtl/>
        </w:rPr>
        <w:t>ٍ</w:t>
      </w:r>
      <w:r w:rsidRPr="00DF3B5A">
        <w:rPr>
          <w:rFonts w:ascii="mylotus" w:hAnsi="mylotus"/>
          <w:sz w:val="34"/>
          <w:szCs w:val="34"/>
          <w:rtl/>
        </w:rPr>
        <w:t xml:space="preserve"> علمي</w:t>
      </w:r>
      <w:r w:rsidRPr="00DF3B5A">
        <w:rPr>
          <w:rFonts w:ascii="mylotus" w:hAnsi="mylotus"/>
          <w:sz w:val="34"/>
          <w:szCs w:val="34"/>
        </w:rPr>
        <w:t xml:space="preserve"> </w:t>
      </w:r>
      <w:r>
        <w:rPr>
          <w:rFonts w:ascii="mylotus" w:hAnsi="mylotus" w:hint="cs"/>
          <w:sz w:val="34"/>
          <w:szCs w:val="34"/>
          <w:rtl/>
        </w:rPr>
        <w:t>-.</w:t>
      </w:r>
    </w:p>
    <w:p w14:paraId="54329FE4"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sz w:val="34"/>
          <w:szCs w:val="34"/>
          <w:rtl/>
        </w:rPr>
        <w:t>أنّ هناك فرقاً بين دعوى سيد العروة (قدس سره) مِن انعدام المنفعة المساوق لكون المعاوضة بلا محل الموجب لبطلانها مِن باب السالبة بانتفاء الموضوع، وبين دعوى سيدنا الخوئي (قدس سره) مِن عدم مِلكيّة المنفعة لعدم مِلكيّة العين بعد تلفها، والثاني غيرُ ملازمٍ لبطلان الإجارة؛ فإنّ التسليم بوجود المنفعة وقت الإجارة إقرارٌ بقابلية المنفعة للمِلك</w:t>
      </w:r>
      <w:r w:rsidRPr="00DF3B5A">
        <w:rPr>
          <w:rFonts w:ascii="mylotus" w:hAnsi="mylotus"/>
          <w:sz w:val="34"/>
          <w:szCs w:val="34"/>
        </w:rPr>
        <w:t>.</w:t>
      </w:r>
    </w:p>
    <w:p w14:paraId="352CC20C" w14:textId="77777777" w:rsidR="00EE6605" w:rsidRPr="00DF3B5A" w:rsidRDefault="00EE6605" w:rsidP="00EE6605">
      <w:pPr>
        <w:pStyle w:val="a"/>
        <w:bidi/>
        <w:spacing w:line="216" w:lineRule="auto"/>
        <w:rPr>
          <w:rFonts w:ascii="mylotus" w:hAnsi="mylotus"/>
          <w:b/>
          <w:bCs/>
          <w:sz w:val="34"/>
          <w:szCs w:val="34"/>
          <w:rtl/>
        </w:rPr>
      </w:pPr>
      <w:r w:rsidRPr="00DF3B5A">
        <w:rPr>
          <w:rFonts w:ascii="mylotus" w:hAnsi="mylotus"/>
          <w:b/>
          <w:bCs/>
          <w:sz w:val="34"/>
          <w:szCs w:val="34"/>
          <w:rtl/>
        </w:rPr>
        <w:t>ولكن يمكن أن</w:t>
      </w:r>
      <w:r>
        <w:rPr>
          <w:rFonts w:ascii="mylotus" w:hAnsi="mylotus" w:hint="cs"/>
          <w:b/>
          <w:bCs/>
          <w:sz w:val="34"/>
          <w:szCs w:val="34"/>
          <w:rtl/>
        </w:rPr>
        <w:t>ْ</w:t>
      </w:r>
      <w:r w:rsidRPr="00DF3B5A">
        <w:rPr>
          <w:rFonts w:ascii="mylotus" w:hAnsi="mylotus"/>
          <w:b/>
          <w:bCs/>
          <w:sz w:val="34"/>
          <w:szCs w:val="34"/>
          <w:rtl/>
        </w:rPr>
        <w:t xml:space="preserve"> ي</w:t>
      </w:r>
      <w:r>
        <w:rPr>
          <w:rFonts w:ascii="mylotus" w:hAnsi="mylotus" w:hint="cs"/>
          <w:b/>
          <w:bCs/>
          <w:sz w:val="34"/>
          <w:szCs w:val="34"/>
          <w:rtl/>
        </w:rPr>
        <w:t>ُ</w:t>
      </w:r>
      <w:r w:rsidRPr="00DF3B5A">
        <w:rPr>
          <w:rFonts w:ascii="mylotus" w:hAnsi="mylotus"/>
          <w:b/>
          <w:bCs/>
          <w:sz w:val="34"/>
          <w:szCs w:val="34"/>
          <w:rtl/>
        </w:rPr>
        <w:t>قال:</w:t>
      </w:r>
      <w:r w:rsidRPr="00DF3B5A">
        <w:rPr>
          <w:rFonts w:ascii="mylotus" w:hAnsi="mylotus"/>
          <w:sz w:val="34"/>
          <w:szCs w:val="34"/>
          <w:rtl/>
        </w:rPr>
        <w:t xml:space="preserve"> إنّ الظاهر الأوّلي لكلام سيدنا (قدس سره) -وإنْ كان كما أُفيد مِن قِبَل السيد الحكيم السبط (قدس سره)- </w:t>
      </w:r>
      <w:r>
        <w:rPr>
          <w:rFonts w:ascii="mylotus" w:hAnsi="mylotus" w:hint="cs"/>
          <w:sz w:val="34"/>
          <w:szCs w:val="34"/>
          <w:rtl/>
        </w:rPr>
        <w:t>إ</w:t>
      </w:r>
      <w:r w:rsidRPr="00DF3B5A">
        <w:rPr>
          <w:rFonts w:ascii="mylotus" w:hAnsi="mylotus"/>
          <w:sz w:val="34"/>
          <w:szCs w:val="34"/>
          <w:rtl/>
        </w:rPr>
        <w:t>ل</w:t>
      </w:r>
      <w:r>
        <w:rPr>
          <w:rFonts w:ascii="mylotus" w:hAnsi="mylotus" w:hint="cs"/>
          <w:sz w:val="34"/>
          <w:szCs w:val="34"/>
          <w:rtl/>
        </w:rPr>
        <w:t>ّ</w:t>
      </w:r>
      <w:r w:rsidRPr="00DF3B5A">
        <w:rPr>
          <w:rFonts w:ascii="mylotus" w:hAnsi="mylotus"/>
          <w:sz w:val="34"/>
          <w:szCs w:val="34"/>
          <w:rtl/>
        </w:rPr>
        <w:t xml:space="preserve">ا أنّ مقتضى قوله (قدس سره) -في كتاب الإجارة من موسوعته المباركة: </w:t>
      </w:r>
      <w:r w:rsidRPr="00DF3B5A">
        <w:rPr>
          <w:rFonts w:ascii="mylotus" w:hAnsi="mylotus"/>
          <w:b/>
          <w:bCs/>
          <w:sz w:val="34"/>
          <w:szCs w:val="34"/>
          <w:rtl/>
        </w:rPr>
        <w:t>(فإنّ العبد الميّت أو الدابّة التالفة فاقدة للمنفعة القابلة للملكيّة، إذ الملكيّة وإن كانت من الاُمور الاعتباريّة القابلة للتعلّق حتى للمعدوم، بل قد يكون المالك أيضاً معدوماً، إلّا أنّه خاصّ بما إذا كان قابلاً للملكيّة العقلائيّة وللانتفاع في ظرفه، ومن ثمّ لا يسوغ إجارة العبد أو الدابّة بعد الموت ابتداءً، لعدم قيام منفعة بهما وقتئذٍ ليملكهما المؤجّر للمستأجر</w:t>
      </w:r>
      <w:r w:rsidRPr="00DF3B5A">
        <w:rPr>
          <w:rFonts w:ascii="mylotus" w:hAnsi="mylotus"/>
          <w:b/>
          <w:bCs/>
          <w:sz w:val="34"/>
          <w:szCs w:val="34"/>
        </w:rPr>
        <w:t>.</w:t>
      </w:r>
    </w:p>
    <w:p w14:paraId="111D267F"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b/>
          <w:bCs/>
          <w:sz w:val="34"/>
          <w:szCs w:val="34"/>
          <w:rtl/>
        </w:rPr>
        <w:t xml:space="preserve">إذن فالتلف قبل </w:t>
      </w:r>
      <w:proofErr w:type="gramStart"/>
      <w:r w:rsidRPr="00DF3B5A">
        <w:rPr>
          <w:rFonts w:ascii="mylotus" w:hAnsi="mylotus"/>
          <w:b/>
          <w:bCs/>
          <w:sz w:val="34"/>
          <w:szCs w:val="34"/>
          <w:rtl/>
        </w:rPr>
        <w:t>القبض</w:t>
      </w:r>
      <w:proofErr w:type="gramEnd"/>
      <w:r w:rsidRPr="00DF3B5A">
        <w:rPr>
          <w:rFonts w:ascii="mylotus" w:hAnsi="mylotus"/>
          <w:b/>
          <w:bCs/>
          <w:sz w:val="34"/>
          <w:szCs w:val="34"/>
          <w:rtl/>
        </w:rPr>
        <w:t xml:space="preserve"> بل بعد القبض بلا فصل - أي قبل مضيّ زمان يمكن الانتفاع - يكشف عن فساد الإجارة من الأوّل لا محالة)</w:t>
      </w:r>
      <w:r>
        <w:rPr>
          <w:rStyle w:val="FootnoteReference"/>
          <w:rFonts w:ascii="mylotus" w:hAnsi="mylotus"/>
          <w:sz w:val="34"/>
          <w:szCs w:val="34"/>
          <w:rtl/>
        </w:rPr>
        <w:footnoteReference w:id="246"/>
      </w:r>
      <w:r w:rsidRPr="00DF3B5A">
        <w:rPr>
          <w:rFonts w:ascii="mylotus" w:hAnsi="mylotus"/>
          <w:sz w:val="34"/>
          <w:szCs w:val="34"/>
          <w:rtl/>
        </w:rPr>
        <w:t xml:space="preserve">- </w:t>
      </w:r>
      <w:r w:rsidRPr="00DF3B5A">
        <w:rPr>
          <w:rFonts w:ascii="mylotus" w:hAnsi="mylotus" w:hint="cs"/>
          <w:sz w:val="34"/>
          <w:szCs w:val="34"/>
          <w:rtl/>
        </w:rPr>
        <w:t>قرينةٌ</w:t>
      </w:r>
      <w:r w:rsidRPr="00DF3B5A">
        <w:rPr>
          <w:rFonts w:ascii="mylotus" w:hAnsi="mylotus"/>
          <w:sz w:val="34"/>
          <w:szCs w:val="34"/>
          <w:rtl/>
        </w:rPr>
        <w:t xml:space="preserve"> </w:t>
      </w:r>
      <w:r w:rsidRPr="00DF3B5A">
        <w:rPr>
          <w:rFonts w:ascii="mylotus" w:hAnsi="mylotus" w:hint="cs"/>
          <w:sz w:val="34"/>
          <w:szCs w:val="34"/>
          <w:rtl/>
        </w:rPr>
        <w:t>على</w:t>
      </w:r>
      <w:r w:rsidRPr="00DF3B5A">
        <w:rPr>
          <w:rFonts w:ascii="mylotus" w:hAnsi="mylotus"/>
          <w:sz w:val="34"/>
          <w:szCs w:val="34"/>
          <w:rtl/>
        </w:rPr>
        <w:t xml:space="preserve"> </w:t>
      </w:r>
      <w:r w:rsidRPr="00DF3B5A">
        <w:rPr>
          <w:rFonts w:ascii="mylotus" w:hAnsi="mylotus" w:hint="cs"/>
          <w:sz w:val="34"/>
          <w:szCs w:val="34"/>
          <w:rtl/>
        </w:rPr>
        <w:t>أنّ</w:t>
      </w:r>
      <w:r w:rsidRPr="00DF3B5A">
        <w:rPr>
          <w:rFonts w:ascii="mylotus" w:hAnsi="mylotus"/>
          <w:sz w:val="34"/>
          <w:szCs w:val="34"/>
          <w:rtl/>
        </w:rPr>
        <w:t xml:space="preserve"> </w:t>
      </w:r>
      <w:r w:rsidRPr="00DF3B5A">
        <w:rPr>
          <w:rFonts w:ascii="mylotus" w:hAnsi="mylotus" w:hint="cs"/>
          <w:sz w:val="34"/>
          <w:szCs w:val="34"/>
          <w:rtl/>
        </w:rPr>
        <w:t>منظوره</w:t>
      </w:r>
      <w:r>
        <w:rPr>
          <w:rFonts w:ascii="mylotus" w:hAnsi="mylotus" w:hint="cs"/>
          <w:sz w:val="34"/>
          <w:szCs w:val="34"/>
          <w:rtl/>
        </w:rPr>
        <w:t>:</w:t>
      </w:r>
      <w:r w:rsidRPr="00DF3B5A">
        <w:rPr>
          <w:rFonts w:ascii="mylotus" w:hAnsi="mylotus"/>
          <w:sz w:val="34"/>
          <w:szCs w:val="34"/>
          <w:rtl/>
        </w:rPr>
        <w:t xml:space="preserve"> </w:t>
      </w:r>
      <w:r w:rsidRPr="00DF3B5A">
        <w:rPr>
          <w:rFonts w:ascii="mylotus" w:hAnsi="mylotus" w:hint="cs"/>
          <w:sz w:val="34"/>
          <w:szCs w:val="34"/>
          <w:rtl/>
        </w:rPr>
        <w:t>أنْ</w:t>
      </w:r>
      <w:r w:rsidRPr="00DF3B5A">
        <w:rPr>
          <w:rFonts w:ascii="mylotus" w:hAnsi="mylotus"/>
          <w:sz w:val="34"/>
          <w:szCs w:val="34"/>
          <w:rtl/>
        </w:rPr>
        <w:t xml:space="preserve"> </w:t>
      </w:r>
      <w:r w:rsidRPr="00DF3B5A">
        <w:rPr>
          <w:rFonts w:ascii="mylotus" w:hAnsi="mylotus" w:hint="cs"/>
          <w:sz w:val="34"/>
          <w:szCs w:val="34"/>
          <w:rtl/>
        </w:rPr>
        <w:t>لا</w:t>
      </w:r>
      <w:r w:rsidRPr="00DF3B5A">
        <w:rPr>
          <w:rFonts w:ascii="mylotus" w:hAnsi="mylotus"/>
          <w:sz w:val="34"/>
          <w:szCs w:val="34"/>
          <w:rtl/>
        </w:rPr>
        <w:t xml:space="preserve"> </w:t>
      </w:r>
      <w:r w:rsidRPr="00DF3B5A">
        <w:rPr>
          <w:rFonts w:ascii="mylotus" w:hAnsi="mylotus" w:hint="cs"/>
          <w:sz w:val="34"/>
          <w:szCs w:val="34"/>
          <w:rtl/>
        </w:rPr>
        <w:t>موضوعية</w:t>
      </w:r>
      <w:r w:rsidRPr="00DF3B5A">
        <w:rPr>
          <w:rFonts w:ascii="mylotus" w:hAnsi="mylotus"/>
          <w:sz w:val="34"/>
          <w:szCs w:val="34"/>
          <w:rtl/>
        </w:rPr>
        <w:t xml:space="preserve"> </w:t>
      </w:r>
      <w:r w:rsidRPr="00DF3B5A">
        <w:rPr>
          <w:rFonts w:ascii="mylotus" w:hAnsi="mylotus" w:hint="cs"/>
          <w:sz w:val="34"/>
          <w:szCs w:val="34"/>
          <w:rtl/>
        </w:rPr>
        <w:t>لانعدام</w:t>
      </w:r>
      <w:r w:rsidRPr="00DF3B5A">
        <w:rPr>
          <w:rFonts w:ascii="mylotus" w:hAnsi="mylotus"/>
          <w:sz w:val="34"/>
          <w:szCs w:val="34"/>
          <w:rtl/>
        </w:rPr>
        <w:t xml:space="preserve"> </w:t>
      </w:r>
      <w:r w:rsidRPr="00DF3B5A">
        <w:rPr>
          <w:rFonts w:ascii="mylotus" w:hAnsi="mylotus" w:hint="cs"/>
          <w:sz w:val="34"/>
          <w:szCs w:val="34"/>
          <w:rtl/>
        </w:rPr>
        <w:t>المنفعة</w:t>
      </w:r>
      <w:r w:rsidRPr="00DF3B5A">
        <w:rPr>
          <w:rFonts w:ascii="mylotus" w:hAnsi="mylotus"/>
          <w:sz w:val="34"/>
          <w:szCs w:val="34"/>
          <w:rtl/>
        </w:rPr>
        <w:t xml:space="preserve"> </w:t>
      </w:r>
      <w:r w:rsidRPr="00DF3B5A">
        <w:rPr>
          <w:rFonts w:ascii="mylotus" w:hAnsi="mylotus" w:hint="cs"/>
          <w:sz w:val="34"/>
          <w:szCs w:val="34"/>
          <w:rtl/>
        </w:rPr>
        <w:t>حين</w:t>
      </w:r>
      <w:r w:rsidRPr="00DF3B5A">
        <w:rPr>
          <w:rFonts w:ascii="mylotus" w:hAnsi="mylotus"/>
          <w:sz w:val="34"/>
          <w:szCs w:val="34"/>
          <w:rtl/>
        </w:rPr>
        <w:t xml:space="preserve"> </w:t>
      </w:r>
      <w:r w:rsidRPr="00DF3B5A">
        <w:rPr>
          <w:rFonts w:ascii="mylotus" w:hAnsi="mylotus" w:hint="cs"/>
          <w:sz w:val="34"/>
          <w:szCs w:val="34"/>
          <w:rtl/>
        </w:rPr>
        <w:t>العقد</w:t>
      </w:r>
      <w:r w:rsidRPr="00DF3B5A">
        <w:rPr>
          <w:rFonts w:ascii="mylotus" w:hAnsi="mylotus"/>
          <w:sz w:val="34"/>
          <w:szCs w:val="34"/>
          <w:rtl/>
        </w:rPr>
        <w:t xml:space="preserve"> </w:t>
      </w:r>
      <w:r w:rsidRPr="00DF3B5A">
        <w:rPr>
          <w:rFonts w:ascii="mylotus" w:hAnsi="mylotus" w:hint="cs"/>
          <w:sz w:val="34"/>
          <w:szCs w:val="34"/>
          <w:rtl/>
        </w:rPr>
        <w:t>في</w:t>
      </w:r>
      <w:r w:rsidRPr="00DF3B5A">
        <w:rPr>
          <w:rFonts w:ascii="mylotus" w:hAnsi="mylotus"/>
          <w:sz w:val="34"/>
          <w:szCs w:val="34"/>
          <w:rtl/>
        </w:rPr>
        <w:t xml:space="preserve"> </w:t>
      </w:r>
      <w:r w:rsidRPr="00DF3B5A">
        <w:rPr>
          <w:rFonts w:ascii="mylotus" w:hAnsi="mylotus" w:hint="cs"/>
          <w:sz w:val="34"/>
          <w:szCs w:val="34"/>
          <w:rtl/>
        </w:rPr>
        <w:t>بطلان</w:t>
      </w:r>
      <w:r w:rsidRPr="00DF3B5A">
        <w:rPr>
          <w:rFonts w:ascii="mylotus" w:hAnsi="mylotus"/>
          <w:sz w:val="34"/>
          <w:szCs w:val="34"/>
          <w:rtl/>
        </w:rPr>
        <w:t xml:space="preserve"> </w:t>
      </w:r>
      <w:r w:rsidRPr="00DF3B5A">
        <w:rPr>
          <w:rFonts w:ascii="mylotus" w:hAnsi="mylotus" w:hint="cs"/>
          <w:sz w:val="34"/>
          <w:szCs w:val="34"/>
          <w:rtl/>
        </w:rPr>
        <w:t>العقد</w:t>
      </w:r>
      <w:r w:rsidRPr="00DF3B5A">
        <w:rPr>
          <w:rFonts w:ascii="mylotus" w:hAnsi="mylotus"/>
          <w:sz w:val="34"/>
          <w:szCs w:val="34"/>
          <w:rtl/>
        </w:rPr>
        <w:t xml:space="preserve"> </w:t>
      </w:r>
      <w:r w:rsidRPr="00DF3B5A">
        <w:rPr>
          <w:rFonts w:ascii="mylotus" w:hAnsi="mylotus" w:hint="cs"/>
          <w:sz w:val="34"/>
          <w:szCs w:val="34"/>
          <w:rtl/>
        </w:rPr>
        <w:t>بالنظر</w:t>
      </w:r>
      <w:r w:rsidRPr="00DF3B5A">
        <w:rPr>
          <w:rFonts w:ascii="mylotus" w:hAnsi="mylotus"/>
          <w:sz w:val="34"/>
          <w:szCs w:val="34"/>
          <w:rtl/>
        </w:rPr>
        <w:t xml:space="preserve"> </w:t>
      </w:r>
      <w:r w:rsidRPr="00DF3B5A">
        <w:rPr>
          <w:rFonts w:ascii="mylotus" w:hAnsi="mylotus" w:hint="cs"/>
          <w:sz w:val="34"/>
          <w:szCs w:val="34"/>
          <w:rtl/>
        </w:rPr>
        <w:t>العقلائي</w:t>
      </w:r>
      <w:r w:rsidRPr="00DF3B5A">
        <w:rPr>
          <w:rFonts w:ascii="mylotus" w:hAnsi="mylotus"/>
          <w:sz w:val="34"/>
          <w:szCs w:val="34"/>
          <w:rtl/>
        </w:rPr>
        <w:t xml:space="preserve"> -</w:t>
      </w:r>
      <w:r w:rsidRPr="00DF3B5A">
        <w:rPr>
          <w:rFonts w:ascii="mylotus" w:hAnsi="mylotus" w:hint="cs"/>
          <w:sz w:val="34"/>
          <w:szCs w:val="34"/>
          <w:rtl/>
        </w:rPr>
        <w:t>كما</w:t>
      </w:r>
      <w:r w:rsidRPr="00DF3B5A">
        <w:rPr>
          <w:rFonts w:ascii="mylotus" w:hAnsi="mylotus"/>
          <w:sz w:val="34"/>
          <w:szCs w:val="34"/>
          <w:rtl/>
        </w:rPr>
        <w:t xml:space="preserve"> </w:t>
      </w:r>
      <w:r w:rsidRPr="00DF3B5A">
        <w:rPr>
          <w:rFonts w:ascii="mylotus" w:hAnsi="mylotus" w:hint="cs"/>
          <w:sz w:val="34"/>
          <w:szCs w:val="34"/>
          <w:rtl/>
        </w:rPr>
        <w:t>عبر</w:t>
      </w:r>
      <w:r w:rsidRPr="00DF3B5A">
        <w:rPr>
          <w:rFonts w:ascii="mylotus" w:hAnsi="mylotus"/>
          <w:sz w:val="34"/>
          <w:szCs w:val="34"/>
          <w:rtl/>
        </w:rPr>
        <w:t xml:space="preserve"> </w:t>
      </w:r>
      <w:r w:rsidRPr="00DF3B5A">
        <w:rPr>
          <w:rFonts w:ascii="mylotus" w:hAnsi="mylotus" w:hint="cs"/>
          <w:sz w:val="34"/>
          <w:szCs w:val="34"/>
          <w:rtl/>
        </w:rPr>
        <w:t>سيد</w:t>
      </w:r>
      <w:r w:rsidRPr="00DF3B5A">
        <w:rPr>
          <w:rFonts w:ascii="mylotus" w:hAnsi="mylotus"/>
          <w:sz w:val="34"/>
          <w:szCs w:val="34"/>
          <w:rtl/>
        </w:rPr>
        <w:t xml:space="preserve"> </w:t>
      </w:r>
      <w:r w:rsidRPr="00DF3B5A">
        <w:rPr>
          <w:rFonts w:ascii="mylotus" w:hAnsi="mylotus" w:hint="cs"/>
          <w:sz w:val="34"/>
          <w:szCs w:val="34"/>
          <w:rtl/>
        </w:rPr>
        <w:t>العروة</w:t>
      </w:r>
      <w:r w:rsidRPr="00DF3B5A">
        <w:rPr>
          <w:rFonts w:ascii="mylotus" w:hAnsi="mylotus"/>
          <w:sz w:val="34"/>
          <w:szCs w:val="34"/>
          <w:rtl/>
        </w:rPr>
        <w:t xml:space="preserve"> (</w:t>
      </w:r>
      <w:r w:rsidRPr="00DF3B5A">
        <w:rPr>
          <w:rFonts w:ascii="mylotus" w:hAnsi="mylotus" w:hint="cs"/>
          <w:sz w:val="34"/>
          <w:szCs w:val="34"/>
          <w:rtl/>
        </w:rPr>
        <w:t>قدس</w:t>
      </w:r>
      <w:r w:rsidRPr="00DF3B5A">
        <w:rPr>
          <w:rFonts w:ascii="mylotus" w:hAnsi="mylotus"/>
          <w:sz w:val="34"/>
          <w:szCs w:val="34"/>
          <w:rtl/>
        </w:rPr>
        <w:t xml:space="preserve"> </w:t>
      </w:r>
      <w:proofErr w:type="gramStart"/>
      <w:r w:rsidRPr="00DF3B5A">
        <w:rPr>
          <w:rFonts w:ascii="mylotus" w:hAnsi="mylotus" w:hint="cs"/>
          <w:sz w:val="34"/>
          <w:szCs w:val="34"/>
          <w:rtl/>
        </w:rPr>
        <w:t>سره</w:t>
      </w:r>
      <w:r w:rsidRPr="00DF3B5A">
        <w:rPr>
          <w:rFonts w:ascii="mylotus" w:hAnsi="mylotus"/>
          <w:sz w:val="34"/>
          <w:szCs w:val="34"/>
          <w:rtl/>
        </w:rPr>
        <w:t>)-</w:t>
      </w:r>
      <w:proofErr w:type="gramEnd"/>
      <w:r w:rsidRPr="00DF3B5A">
        <w:rPr>
          <w:rFonts w:ascii="mylotus" w:hAnsi="mylotus" w:hint="cs"/>
          <w:sz w:val="34"/>
          <w:szCs w:val="34"/>
          <w:rtl/>
        </w:rPr>
        <w:t>،</w:t>
      </w:r>
      <w:r w:rsidRPr="00DF3B5A">
        <w:rPr>
          <w:rFonts w:ascii="mylotus" w:hAnsi="mylotus"/>
          <w:sz w:val="34"/>
          <w:szCs w:val="34"/>
          <w:rtl/>
        </w:rPr>
        <w:t xml:space="preserve"> </w:t>
      </w:r>
      <w:r w:rsidRPr="00DF3B5A">
        <w:rPr>
          <w:rFonts w:ascii="mylotus" w:hAnsi="mylotus" w:hint="cs"/>
          <w:sz w:val="34"/>
          <w:szCs w:val="34"/>
          <w:rtl/>
        </w:rPr>
        <w:t>بل</w:t>
      </w:r>
      <w:r w:rsidRPr="00DF3B5A">
        <w:rPr>
          <w:rFonts w:ascii="mylotus" w:hAnsi="mylotus"/>
          <w:sz w:val="34"/>
          <w:szCs w:val="34"/>
          <w:rtl/>
        </w:rPr>
        <w:t xml:space="preserve"> </w:t>
      </w:r>
      <w:r w:rsidRPr="00DF3B5A">
        <w:rPr>
          <w:rFonts w:ascii="mylotus" w:hAnsi="mylotus" w:hint="cs"/>
          <w:sz w:val="34"/>
          <w:szCs w:val="34"/>
          <w:rtl/>
        </w:rPr>
        <w:t>الموضوعية</w:t>
      </w:r>
      <w:r w:rsidRPr="00DF3B5A">
        <w:rPr>
          <w:rFonts w:ascii="mylotus" w:hAnsi="mylotus"/>
          <w:sz w:val="34"/>
          <w:szCs w:val="34"/>
          <w:rtl/>
        </w:rPr>
        <w:t xml:space="preserve"> </w:t>
      </w:r>
      <w:r w:rsidRPr="00DF3B5A">
        <w:rPr>
          <w:rFonts w:ascii="mylotus" w:hAnsi="mylotus" w:hint="cs"/>
          <w:sz w:val="34"/>
          <w:szCs w:val="34"/>
          <w:rtl/>
        </w:rPr>
        <w:t>لعدم</w:t>
      </w:r>
      <w:r w:rsidRPr="00DF3B5A">
        <w:rPr>
          <w:rFonts w:ascii="mylotus" w:hAnsi="mylotus"/>
          <w:sz w:val="34"/>
          <w:szCs w:val="34"/>
          <w:rtl/>
        </w:rPr>
        <w:t xml:space="preserve"> </w:t>
      </w:r>
      <w:r w:rsidRPr="00DF3B5A">
        <w:rPr>
          <w:rFonts w:ascii="mylotus" w:hAnsi="mylotus" w:hint="cs"/>
          <w:sz w:val="34"/>
          <w:szCs w:val="34"/>
          <w:rtl/>
        </w:rPr>
        <w:t>إمكان</w:t>
      </w:r>
      <w:r w:rsidRPr="00DF3B5A">
        <w:rPr>
          <w:rFonts w:ascii="mylotus" w:hAnsi="mylotus"/>
          <w:sz w:val="34"/>
          <w:szCs w:val="34"/>
          <w:rtl/>
        </w:rPr>
        <w:t xml:space="preserve"> </w:t>
      </w:r>
      <w:r w:rsidRPr="00DF3B5A">
        <w:rPr>
          <w:rFonts w:ascii="mylotus" w:hAnsi="mylotus" w:hint="cs"/>
          <w:sz w:val="34"/>
          <w:szCs w:val="34"/>
          <w:rtl/>
        </w:rPr>
        <w:t>الانتفاع</w:t>
      </w:r>
      <w:r w:rsidRPr="00DF3B5A">
        <w:rPr>
          <w:rFonts w:ascii="mylotus" w:hAnsi="mylotus"/>
          <w:sz w:val="34"/>
          <w:szCs w:val="34"/>
          <w:rtl/>
        </w:rPr>
        <w:t xml:space="preserve"> </w:t>
      </w:r>
      <w:r w:rsidRPr="00DF3B5A">
        <w:rPr>
          <w:rFonts w:ascii="mylotus" w:hAnsi="mylotus" w:hint="cs"/>
          <w:sz w:val="34"/>
          <w:szCs w:val="34"/>
          <w:rtl/>
        </w:rPr>
        <w:t>وعدم</w:t>
      </w:r>
      <w:r w:rsidRPr="00DF3B5A">
        <w:rPr>
          <w:rFonts w:ascii="mylotus" w:hAnsi="mylotus"/>
          <w:sz w:val="34"/>
          <w:szCs w:val="34"/>
          <w:rtl/>
        </w:rPr>
        <w:t xml:space="preserve"> </w:t>
      </w:r>
      <w:r w:rsidRPr="00DF3B5A">
        <w:rPr>
          <w:rFonts w:ascii="mylotus" w:hAnsi="mylotus" w:hint="cs"/>
          <w:sz w:val="34"/>
          <w:szCs w:val="34"/>
          <w:rtl/>
        </w:rPr>
        <w:t>القابلية</w:t>
      </w:r>
      <w:r w:rsidRPr="00DF3B5A">
        <w:rPr>
          <w:rFonts w:ascii="mylotus" w:hAnsi="mylotus"/>
          <w:sz w:val="34"/>
          <w:szCs w:val="34"/>
          <w:rtl/>
        </w:rPr>
        <w:t xml:space="preserve"> </w:t>
      </w:r>
      <w:r w:rsidRPr="00DF3B5A">
        <w:rPr>
          <w:rFonts w:ascii="mylotus" w:hAnsi="mylotus" w:hint="cs"/>
          <w:sz w:val="34"/>
          <w:szCs w:val="34"/>
          <w:rtl/>
        </w:rPr>
        <w:t>له،</w:t>
      </w:r>
      <w:r w:rsidRPr="00DF3B5A">
        <w:rPr>
          <w:rFonts w:ascii="mylotus" w:hAnsi="mylotus"/>
          <w:sz w:val="34"/>
          <w:szCs w:val="34"/>
          <w:rtl/>
        </w:rPr>
        <w:t xml:space="preserve"> </w:t>
      </w:r>
      <w:r w:rsidRPr="00DF3B5A">
        <w:rPr>
          <w:rFonts w:ascii="mylotus" w:hAnsi="mylotus" w:hint="cs"/>
          <w:sz w:val="34"/>
          <w:szCs w:val="34"/>
          <w:rtl/>
        </w:rPr>
        <w:t>فالعين</w:t>
      </w:r>
      <w:r w:rsidRPr="00DF3B5A">
        <w:rPr>
          <w:rFonts w:ascii="mylotus" w:hAnsi="mylotus"/>
          <w:sz w:val="34"/>
          <w:szCs w:val="34"/>
          <w:rtl/>
        </w:rPr>
        <w:t xml:space="preserve"> </w:t>
      </w:r>
      <w:proofErr w:type="gramStart"/>
      <w:r w:rsidRPr="00DF3B5A">
        <w:rPr>
          <w:rFonts w:ascii="mylotus" w:hAnsi="mylotus" w:hint="cs"/>
          <w:sz w:val="34"/>
          <w:szCs w:val="34"/>
          <w:rtl/>
        </w:rPr>
        <w:t>والمنفعة</w:t>
      </w:r>
      <w:proofErr w:type="gramEnd"/>
      <w:r w:rsidRPr="00DF3B5A">
        <w:rPr>
          <w:rFonts w:ascii="mylotus" w:hAnsi="mylotus"/>
          <w:sz w:val="34"/>
          <w:szCs w:val="34"/>
          <w:rtl/>
        </w:rPr>
        <w:t xml:space="preserve"> </w:t>
      </w:r>
      <w:r w:rsidRPr="00DF3B5A">
        <w:rPr>
          <w:rFonts w:ascii="mylotus" w:hAnsi="mylotus" w:hint="cs"/>
          <w:sz w:val="34"/>
          <w:szCs w:val="34"/>
          <w:rtl/>
        </w:rPr>
        <w:t>حتى</w:t>
      </w:r>
      <w:r w:rsidRPr="00DF3B5A">
        <w:rPr>
          <w:rFonts w:ascii="mylotus" w:hAnsi="mylotus"/>
          <w:sz w:val="34"/>
          <w:szCs w:val="34"/>
          <w:rtl/>
        </w:rPr>
        <w:t xml:space="preserve"> </w:t>
      </w:r>
      <w:r w:rsidRPr="00DF3B5A">
        <w:rPr>
          <w:rFonts w:ascii="mylotus" w:hAnsi="mylotus" w:hint="cs"/>
          <w:sz w:val="34"/>
          <w:szCs w:val="34"/>
          <w:rtl/>
        </w:rPr>
        <w:t>لو</w:t>
      </w:r>
      <w:r w:rsidRPr="00DF3B5A">
        <w:rPr>
          <w:rFonts w:ascii="mylotus" w:hAnsi="mylotus"/>
          <w:sz w:val="34"/>
          <w:szCs w:val="34"/>
          <w:rtl/>
        </w:rPr>
        <w:t xml:space="preserve"> </w:t>
      </w:r>
      <w:r w:rsidRPr="00DF3B5A">
        <w:rPr>
          <w:rFonts w:ascii="mylotus" w:hAnsi="mylotus" w:hint="cs"/>
          <w:sz w:val="34"/>
          <w:szCs w:val="34"/>
          <w:rtl/>
        </w:rPr>
        <w:t>كانا</w:t>
      </w:r>
      <w:r w:rsidRPr="00DF3B5A">
        <w:rPr>
          <w:rFonts w:ascii="mylotus" w:hAnsi="mylotus"/>
          <w:sz w:val="34"/>
          <w:szCs w:val="34"/>
          <w:rtl/>
        </w:rPr>
        <w:t xml:space="preserve"> </w:t>
      </w:r>
      <w:r w:rsidRPr="00DF3B5A">
        <w:rPr>
          <w:rFonts w:ascii="mylotus" w:hAnsi="mylotus" w:hint="cs"/>
          <w:sz w:val="34"/>
          <w:szCs w:val="34"/>
          <w:rtl/>
        </w:rPr>
        <w:t>موجودين</w:t>
      </w:r>
      <w:r w:rsidRPr="00DF3B5A">
        <w:rPr>
          <w:rFonts w:ascii="mylotus" w:hAnsi="mylotus"/>
          <w:sz w:val="34"/>
          <w:szCs w:val="34"/>
          <w:rtl/>
        </w:rPr>
        <w:t xml:space="preserve"> </w:t>
      </w:r>
      <w:r w:rsidRPr="00DF3B5A">
        <w:rPr>
          <w:rFonts w:ascii="mylotus" w:hAnsi="mylotus" w:hint="cs"/>
          <w:sz w:val="34"/>
          <w:szCs w:val="34"/>
          <w:rtl/>
        </w:rPr>
        <w:t>تكويناً</w:t>
      </w:r>
      <w:r w:rsidRPr="00DF3B5A">
        <w:rPr>
          <w:rFonts w:ascii="mylotus" w:hAnsi="mylotus"/>
          <w:sz w:val="34"/>
          <w:szCs w:val="34"/>
          <w:rtl/>
        </w:rPr>
        <w:t xml:space="preserve"> </w:t>
      </w:r>
      <w:r w:rsidRPr="00DF3B5A">
        <w:rPr>
          <w:rFonts w:ascii="mylotus" w:hAnsi="mylotus" w:hint="cs"/>
          <w:sz w:val="34"/>
          <w:szCs w:val="34"/>
          <w:rtl/>
        </w:rPr>
        <w:t>أو</w:t>
      </w:r>
      <w:r w:rsidRPr="00DF3B5A">
        <w:rPr>
          <w:rFonts w:ascii="mylotus" w:hAnsi="mylotus"/>
          <w:sz w:val="34"/>
          <w:szCs w:val="34"/>
          <w:rtl/>
        </w:rPr>
        <w:t xml:space="preserve"> </w:t>
      </w:r>
      <w:r w:rsidRPr="00DF3B5A">
        <w:rPr>
          <w:rFonts w:ascii="mylotus" w:hAnsi="mylotus" w:hint="cs"/>
          <w:sz w:val="34"/>
          <w:szCs w:val="34"/>
          <w:rtl/>
        </w:rPr>
        <w:t>اعتبا</w:t>
      </w:r>
      <w:r w:rsidRPr="00DF3B5A">
        <w:rPr>
          <w:rFonts w:ascii="mylotus" w:hAnsi="mylotus"/>
          <w:sz w:val="34"/>
          <w:szCs w:val="34"/>
          <w:rtl/>
        </w:rPr>
        <w:t>راً إلّا أنّ المناط في صحّة المعاوضة كونُ المتعلّق مما يمكن الانتفاع به</w:t>
      </w:r>
      <w:r w:rsidRPr="00DF3B5A">
        <w:rPr>
          <w:rFonts w:ascii="mylotus" w:hAnsi="mylotus"/>
          <w:sz w:val="34"/>
          <w:szCs w:val="34"/>
        </w:rPr>
        <w:t>.</w:t>
      </w:r>
    </w:p>
    <w:p w14:paraId="265A8B56" w14:textId="136D7A20" w:rsidR="00EE6605" w:rsidRPr="00DF3B5A" w:rsidRDefault="00EE6605" w:rsidP="00EE6605">
      <w:pPr>
        <w:pStyle w:val="a"/>
        <w:bidi/>
        <w:spacing w:line="216" w:lineRule="auto"/>
        <w:rPr>
          <w:rFonts w:ascii="mylotus" w:hAnsi="mylotus"/>
          <w:sz w:val="34"/>
          <w:szCs w:val="34"/>
          <w:rtl/>
        </w:rPr>
      </w:pPr>
      <w:r w:rsidRPr="00DF3B5A">
        <w:rPr>
          <w:rFonts w:ascii="mylotus" w:hAnsi="mylotus"/>
          <w:sz w:val="34"/>
          <w:szCs w:val="34"/>
          <w:rtl/>
        </w:rPr>
        <w:t>ومِن آثار أنّ المنفعة لا يمكنُ استيفاؤها ولا الاستفادة منها: عدمُ صلاحية المنفعة للمِلك والتمليك، فهو وإن</w:t>
      </w:r>
      <w:r>
        <w:rPr>
          <w:rFonts w:ascii="mylotus" w:hAnsi="mylotus" w:hint="cs"/>
          <w:sz w:val="34"/>
          <w:szCs w:val="34"/>
          <w:rtl/>
        </w:rPr>
        <w:t>ْ</w:t>
      </w:r>
      <w:r w:rsidRPr="00DF3B5A">
        <w:rPr>
          <w:rFonts w:ascii="mylotus" w:hAnsi="mylotus"/>
          <w:sz w:val="34"/>
          <w:szCs w:val="34"/>
          <w:rtl/>
        </w:rPr>
        <w:t xml:space="preserve"> عبر بأنّ المنفعة </w:t>
      </w:r>
      <w:r w:rsidR="00E02167" w:rsidRPr="00DF3B5A">
        <w:rPr>
          <w:rFonts w:ascii="mylotus" w:hAnsi="mylotus" w:hint="cs"/>
          <w:sz w:val="34"/>
          <w:szCs w:val="34"/>
          <w:rtl/>
        </w:rPr>
        <w:t>لا</w:t>
      </w:r>
      <w:r w:rsidR="00E02167">
        <w:rPr>
          <w:rFonts w:ascii="mylotus" w:hAnsi="mylotus" w:hint="cs"/>
          <w:sz w:val="34"/>
          <w:szCs w:val="34"/>
          <w:rtl/>
        </w:rPr>
        <w:t xml:space="preserve"> </w:t>
      </w:r>
      <w:r w:rsidR="00E02167" w:rsidRPr="00DF3B5A">
        <w:rPr>
          <w:rFonts w:ascii="mylotus" w:hAnsi="mylotus" w:hint="cs"/>
          <w:sz w:val="34"/>
          <w:szCs w:val="34"/>
          <w:rtl/>
        </w:rPr>
        <w:t>تملك</w:t>
      </w:r>
      <w:r w:rsidRPr="00DF3B5A">
        <w:rPr>
          <w:rFonts w:ascii="mylotus" w:hAnsi="mylotus"/>
          <w:sz w:val="34"/>
          <w:szCs w:val="34"/>
          <w:rtl/>
        </w:rPr>
        <w:t xml:space="preserve"> لكن أردفه بعدم القابلية لل</w:t>
      </w:r>
      <w:r>
        <w:rPr>
          <w:rFonts w:ascii="mylotus" w:hAnsi="mylotus" w:hint="cs"/>
          <w:sz w:val="34"/>
          <w:szCs w:val="34"/>
          <w:rtl/>
        </w:rPr>
        <w:t>ا</w:t>
      </w:r>
      <w:r w:rsidRPr="00DF3B5A">
        <w:rPr>
          <w:rFonts w:ascii="mylotus" w:hAnsi="mylotus"/>
          <w:sz w:val="34"/>
          <w:szCs w:val="34"/>
          <w:rtl/>
        </w:rPr>
        <w:t>نتفاع</w:t>
      </w:r>
      <w:r>
        <w:rPr>
          <w:rFonts w:ascii="mylotus" w:hAnsi="mylotus" w:hint="cs"/>
          <w:sz w:val="34"/>
          <w:szCs w:val="34"/>
          <w:rtl/>
        </w:rPr>
        <w:t>.</w:t>
      </w:r>
    </w:p>
    <w:p w14:paraId="7AA03ABB"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sz w:val="34"/>
          <w:szCs w:val="34"/>
          <w:rtl/>
        </w:rPr>
        <w:t>وظاهر</w:t>
      </w:r>
      <w:r>
        <w:rPr>
          <w:rFonts w:ascii="mylotus" w:hAnsi="mylotus" w:hint="cs"/>
          <w:sz w:val="34"/>
          <w:szCs w:val="34"/>
          <w:rtl/>
        </w:rPr>
        <w:t>ُ</w:t>
      </w:r>
      <w:r w:rsidRPr="00DF3B5A">
        <w:rPr>
          <w:rFonts w:ascii="mylotus" w:hAnsi="mylotus"/>
          <w:sz w:val="34"/>
          <w:szCs w:val="34"/>
          <w:rtl/>
        </w:rPr>
        <w:t xml:space="preserve"> العطف أن</w:t>
      </w:r>
      <w:r>
        <w:rPr>
          <w:rFonts w:ascii="mylotus" w:hAnsi="mylotus" w:hint="cs"/>
          <w:sz w:val="34"/>
          <w:szCs w:val="34"/>
          <w:rtl/>
        </w:rPr>
        <w:t>ّ</w:t>
      </w:r>
      <w:r w:rsidRPr="00DF3B5A">
        <w:rPr>
          <w:rFonts w:ascii="mylotus" w:hAnsi="mylotus"/>
          <w:sz w:val="34"/>
          <w:szCs w:val="34"/>
          <w:rtl/>
        </w:rPr>
        <w:t xml:space="preserve"> المنشأ لعدم قابلية المنفعة للملك عدم قابليتها لل</w:t>
      </w:r>
      <w:r>
        <w:rPr>
          <w:rFonts w:ascii="mylotus" w:hAnsi="mylotus" w:hint="cs"/>
          <w:sz w:val="34"/>
          <w:szCs w:val="34"/>
          <w:rtl/>
        </w:rPr>
        <w:t>ا</w:t>
      </w:r>
      <w:r w:rsidRPr="00DF3B5A">
        <w:rPr>
          <w:rFonts w:ascii="mylotus" w:hAnsi="mylotus"/>
          <w:sz w:val="34"/>
          <w:szCs w:val="34"/>
          <w:rtl/>
        </w:rPr>
        <w:t>نتفاع،</w:t>
      </w:r>
      <w:r>
        <w:rPr>
          <w:rFonts w:ascii="mylotus" w:hAnsi="mylotus" w:hint="cs"/>
          <w:sz w:val="34"/>
          <w:szCs w:val="34"/>
          <w:rtl/>
        </w:rPr>
        <w:t xml:space="preserve"> </w:t>
      </w:r>
      <w:r w:rsidRPr="00DF3B5A">
        <w:rPr>
          <w:rFonts w:ascii="mylotus" w:hAnsi="mylotus"/>
          <w:b/>
          <w:bCs/>
          <w:sz w:val="34"/>
          <w:szCs w:val="34"/>
          <w:rtl/>
        </w:rPr>
        <w:t xml:space="preserve">بذلك يتبين أنّ الإيراد على كلام سيدنا </w:t>
      </w:r>
      <w:r w:rsidRPr="00DF3B5A">
        <w:rPr>
          <w:rFonts w:ascii="mylotus" w:hAnsi="mylotus" w:hint="cs"/>
          <w:b/>
          <w:bCs/>
          <w:sz w:val="34"/>
          <w:szCs w:val="34"/>
          <w:rtl/>
        </w:rPr>
        <w:t>الخوئي</w:t>
      </w:r>
      <w:r w:rsidRPr="00DF3B5A">
        <w:rPr>
          <w:rFonts w:ascii="mylotus" w:hAnsi="mylotus"/>
          <w:b/>
          <w:bCs/>
          <w:sz w:val="34"/>
          <w:szCs w:val="34"/>
          <w:rtl/>
        </w:rPr>
        <w:t xml:space="preserve"> (قدس سره)</w:t>
      </w:r>
      <w:r w:rsidRPr="00DF3B5A">
        <w:rPr>
          <w:rFonts w:ascii="mylotus" w:hAnsi="mylotus"/>
          <w:sz w:val="34"/>
          <w:szCs w:val="34"/>
          <w:rtl/>
        </w:rPr>
        <w:t xml:space="preserve"> بما سبق مِن أنّ المنفعة المستقبلية لها وجود بالنظر العرفي بوجود العين، حيثُ يرى النظر العرفي العين موجودة وقت الإجارة فسائر المنافع موجودة ولو كانت مستقبلية</w:t>
      </w:r>
      <w:r>
        <w:rPr>
          <w:rFonts w:ascii="mylotus" w:hAnsi="mylotus" w:hint="cs"/>
          <w:sz w:val="34"/>
          <w:szCs w:val="34"/>
          <w:rtl/>
        </w:rPr>
        <w:t xml:space="preserve"> </w:t>
      </w:r>
      <w:r w:rsidRPr="00DF3B5A">
        <w:rPr>
          <w:rFonts w:ascii="mylotus" w:hAnsi="mylotus"/>
          <w:sz w:val="34"/>
          <w:szCs w:val="34"/>
          <w:rtl/>
        </w:rPr>
        <w:t xml:space="preserve">بوجودها، </w:t>
      </w:r>
      <w:r w:rsidRPr="00DF3B5A">
        <w:rPr>
          <w:rFonts w:ascii="mylotus" w:hAnsi="mylotus"/>
          <w:b/>
          <w:bCs/>
          <w:sz w:val="34"/>
          <w:szCs w:val="34"/>
          <w:rtl/>
        </w:rPr>
        <w:t>غيرُ تامٍ؛</w:t>
      </w:r>
      <w:r w:rsidRPr="00DF3B5A">
        <w:rPr>
          <w:rFonts w:ascii="mylotus" w:hAnsi="mylotus"/>
          <w:sz w:val="34"/>
          <w:szCs w:val="34"/>
          <w:rtl/>
        </w:rPr>
        <w:t xml:space="preserve"> إذ ليس المدار على الوجود وإنّما المدار على إمكان الانتفاع</w:t>
      </w:r>
      <w:r w:rsidRPr="00DF3B5A">
        <w:rPr>
          <w:rFonts w:ascii="mylotus" w:hAnsi="mylotus"/>
          <w:sz w:val="34"/>
          <w:szCs w:val="34"/>
        </w:rPr>
        <w:t>.</w:t>
      </w:r>
    </w:p>
    <w:p w14:paraId="6FFA05A0" w14:textId="77777777" w:rsidR="00EE6605" w:rsidRPr="00DF3B5A" w:rsidRDefault="00EE6605" w:rsidP="00EE6605">
      <w:pPr>
        <w:pStyle w:val="a"/>
        <w:bidi/>
        <w:spacing w:line="216" w:lineRule="auto"/>
        <w:rPr>
          <w:rFonts w:ascii="mylotus" w:hAnsi="mylotus"/>
          <w:b/>
          <w:bCs/>
          <w:sz w:val="34"/>
          <w:szCs w:val="34"/>
          <w:rtl/>
        </w:rPr>
      </w:pPr>
      <w:r w:rsidRPr="00DF3B5A">
        <w:rPr>
          <w:rFonts w:ascii="mylotus" w:hAnsi="mylotus"/>
          <w:b/>
          <w:bCs/>
          <w:sz w:val="34"/>
          <w:szCs w:val="34"/>
          <w:rtl/>
        </w:rPr>
        <w:lastRenderedPageBreak/>
        <w:t>الأمرُ الثاني:</w:t>
      </w:r>
      <w:r w:rsidRPr="00DF3B5A">
        <w:rPr>
          <w:rFonts w:ascii="mylotus" w:hAnsi="mylotus"/>
          <w:sz w:val="34"/>
          <w:szCs w:val="34"/>
          <w:rtl/>
        </w:rPr>
        <w:t xml:space="preserve"> قد أفاد السيد الحكيم السبط (قدس سره الشريف)</w:t>
      </w:r>
      <w:r>
        <w:rPr>
          <w:rFonts w:ascii="mylotus" w:hAnsi="mylotus" w:hint="cs"/>
          <w:sz w:val="34"/>
          <w:szCs w:val="34"/>
          <w:rtl/>
        </w:rPr>
        <w:t xml:space="preserve"> بقوله</w:t>
      </w:r>
      <w:r>
        <w:rPr>
          <w:rStyle w:val="FootnoteReference"/>
          <w:rFonts w:ascii="mylotus" w:hAnsi="mylotus"/>
          <w:sz w:val="34"/>
          <w:szCs w:val="34"/>
          <w:rtl/>
        </w:rPr>
        <w:footnoteReference w:id="247"/>
      </w:r>
      <w:r w:rsidRPr="00DF3B5A">
        <w:rPr>
          <w:rFonts w:ascii="mylotus" w:hAnsi="mylotus"/>
          <w:sz w:val="34"/>
          <w:szCs w:val="34"/>
          <w:rtl/>
        </w:rPr>
        <w:t xml:space="preserve">: </w:t>
      </w:r>
      <w:r w:rsidRPr="00DF3B5A">
        <w:rPr>
          <w:rFonts w:ascii="mylotus" w:hAnsi="mylotus"/>
          <w:b/>
          <w:bCs/>
          <w:sz w:val="34"/>
          <w:szCs w:val="34"/>
          <w:rtl/>
        </w:rPr>
        <w:t>(</w:t>
      </w:r>
      <w:r w:rsidRPr="00DF3B5A">
        <w:rPr>
          <w:rFonts w:ascii="mylotus" w:hAnsi="mylotus" w:hint="cs"/>
          <w:b/>
          <w:bCs/>
          <w:sz w:val="34"/>
          <w:szCs w:val="34"/>
          <w:rtl/>
        </w:rPr>
        <w:t>على</w:t>
      </w:r>
      <w:r w:rsidRPr="00DF3B5A">
        <w:rPr>
          <w:rFonts w:ascii="mylotus" w:hAnsi="mylotus"/>
          <w:b/>
          <w:bCs/>
          <w:sz w:val="34"/>
          <w:szCs w:val="34"/>
          <w:rtl/>
        </w:rPr>
        <w:t xml:space="preserve"> </w:t>
      </w:r>
      <w:r w:rsidRPr="00DF3B5A">
        <w:rPr>
          <w:rFonts w:ascii="mylotus" w:hAnsi="mylotus" w:hint="cs"/>
          <w:b/>
          <w:bCs/>
          <w:sz w:val="34"/>
          <w:szCs w:val="34"/>
          <w:rtl/>
        </w:rPr>
        <w:t>أن</w:t>
      </w:r>
      <w:r w:rsidRPr="00DF3B5A">
        <w:rPr>
          <w:rFonts w:ascii="mylotus" w:hAnsi="mylotus"/>
          <w:b/>
          <w:bCs/>
          <w:sz w:val="34"/>
          <w:szCs w:val="34"/>
          <w:rtl/>
        </w:rPr>
        <w:t xml:space="preserve"> </w:t>
      </w:r>
      <w:r w:rsidRPr="00DF3B5A">
        <w:rPr>
          <w:rFonts w:ascii="mylotus" w:hAnsi="mylotus" w:hint="cs"/>
          <w:b/>
          <w:bCs/>
          <w:sz w:val="34"/>
          <w:szCs w:val="34"/>
          <w:rtl/>
        </w:rPr>
        <w:t>مرادهم</w:t>
      </w:r>
      <w:r w:rsidRPr="00DF3B5A">
        <w:rPr>
          <w:rFonts w:ascii="mylotus" w:hAnsi="mylotus"/>
          <w:b/>
          <w:bCs/>
          <w:sz w:val="34"/>
          <w:szCs w:val="34"/>
          <w:rtl/>
        </w:rPr>
        <w:t xml:space="preserve"> </w:t>
      </w:r>
      <w:r w:rsidRPr="00DF3B5A">
        <w:rPr>
          <w:rFonts w:ascii="mylotus" w:hAnsi="mylotus" w:hint="cs"/>
          <w:b/>
          <w:bCs/>
          <w:sz w:val="34"/>
          <w:szCs w:val="34"/>
          <w:rtl/>
        </w:rPr>
        <w:t>بالتلف</w:t>
      </w:r>
      <w:r w:rsidRPr="00DF3B5A">
        <w:rPr>
          <w:rFonts w:ascii="mylotus" w:hAnsi="mylotus"/>
          <w:b/>
          <w:bCs/>
          <w:sz w:val="34"/>
          <w:szCs w:val="34"/>
          <w:rtl/>
        </w:rPr>
        <w:t xml:space="preserve"> </w:t>
      </w:r>
      <w:r w:rsidRPr="00DF3B5A">
        <w:rPr>
          <w:rFonts w:ascii="mylotus" w:hAnsi="mylotus" w:hint="cs"/>
          <w:b/>
          <w:bCs/>
          <w:sz w:val="34"/>
          <w:szCs w:val="34"/>
          <w:rtl/>
        </w:rPr>
        <w:t>هو</w:t>
      </w:r>
      <w:r w:rsidRPr="00DF3B5A">
        <w:rPr>
          <w:rFonts w:ascii="mylotus" w:hAnsi="mylotus"/>
          <w:b/>
          <w:bCs/>
          <w:sz w:val="34"/>
          <w:szCs w:val="34"/>
          <w:rtl/>
        </w:rPr>
        <w:t xml:space="preserve"> </w:t>
      </w:r>
      <w:r w:rsidRPr="00DF3B5A">
        <w:rPr>
          <w:rFonts w:ascii="mylotus" w:hAnsi="mylotus" w:hint="cs"/>
          <w:b/>
          <w:bCs/>
          <w:sz w:val="34"/>
          <w:szCs w:val="34"/>
          <w:rtl/>
        </w:rPr>
        <w:t>التلف</w:t>
      </w:r>
      <w:r w:rsidRPr="00DF3B5A">
        <w:rPr>
          <w:rFonts w:ascii="mylotus" w:hAnsi="mylotus"/>
          <w:b/>
          <w:bCs/>
          <w:sz w:val="34"/>
          <w:szCs w:val="34"/>
          <w:rtl/>
        </w:rPr>
        <w:t xml:space="preserve"> </w:t>
      </w:r>
      <w:r w:rsidRPr="00DF3B5A">
        <w:rPr>
          <w:rFonts w:ascii="mylotus" w:hAnsi="mylotus" w:hint="cs"/>
          <w:b/>
          <w:bCs/>
          <w:sz w:val="34"/>
          <w:szCs w:val="34"/>
          <w:rtl/>
        </w:rPr>
        <w:t>المانع</w:t>
      </w:r>
      <w:r w:rsidRPr="00DF3B5A">
        <w:rPr>
          <w:rFonts w:ascii="mylotus" w:hAnsi="mylotus"/>
          <w:b/>
          <w:bCs/>
          <w:sz w:val="34"/>
          <w:szCs w:val="34"/>
          <w:rtl/>
        </w:rPr>
        <w:t xml:space="preserve"> </w:t>
      </w:r>
      <w:r w:rsidRPr="00DF3B5A">
        <w:rPr>
          <w:rFonts w:ascii="mylotus" w:hAnsi="mylotus" w:hint="cs"/>
          <w:b/>
          <w:bCs/>
          <w:sz w:val="34"/>
          <w:szCs w:val="34"/>
          <w:rtl/>
        </w:rPr>
        <w:t>من</w:t>
      </w:r>
      <w:r w:rsidRPr="00DF3B5A">
        <w:rPr>
          <w:rFonts w:ascii="mylotus" w:hAnsi="mylotus"/>
          <w:b/>
          <w:bCs/>
          <w:sz w:val="34"/>
          <w:szCs w:val="34"/>
          <w:rtl/>
        </w:rPr>
        <w:t xml:space="preserve"> </w:t>
      </w:r>
      <w:r w:rsidRPr="00DF3B5A">
        <w:rPr>
          <w:rFonts w:ascii="mylotus" w:hAnsi="mylotus" w:hint="cs"/>
          <w:b/>
          <w:bCs/>
          <w:sz w:val="34"/>
          <w:szCs w:val="34"/>
          <w:rtl/>
        </w:rPr>
        <w:t>الانتفاع</w:t>
      </w:r>
      <w:r w:rsidRPr="00DF3B5A">
        <w:rPr>
          <w:rFonts w:ascii="mylotus" w:hAnsi="mylotus"/>
          <w:b/>
          <w:bCs/>
          <w:sz w:val="34"/>
          <w:szCs w:val="34"/>
          <w:rtl/>
        </w:rPr>
        <w:t xml:space="preserve"> </w:t>
      </w:r>
      <w:r w:rsidRPr="00DF3B5A">
        <w:rPr>
          <w:rFonts w:ascii="mylotus" w:hAnsi="mylotus" w:hint="cs"/>
          <w:b/>
          <w:bCs/>
          <w:sz w:val="34"/>
          <w:szCs w:val="34"/>
          <w:rtl/>
        </w:rPr>
        <w:t>في</w:t>
      </w:r>
      <w:r w:rsidRPr="00DF3B5A">
        <w:rPr>
          <w:rFonts w:ascii="mylotus" w:hAnsi="mylotus"/>
          <w:b/>
          <w:bCs/>
          <w:sz w:val="34"/>
          <w:szCs w:val="34"/>
          <w:rtl/>
        </w:rPr>
        <w:t xml:space="preserve"> </w:t>
      </w:r>
      <w:r w:rsidRPr="00DF3B5A">
        <w:rPr>
          <w:rFonts w:ascii="mylotus" w:hAnsi="mylotus" w:hint="cs"/>
          <w:b/>
          <w:bCs/>
          <w:sz w:val="34"/>
          <w:szCs w:val="34"/>
          <w:rtl/>
        </w:rPr>
        <w:t>العين</w:t>
      </w:r>
      <w:r w:rsidRPr="00DF3B5A">
        <w:rPr>
          <w:rFonts w:ascii="mylotus" w:hAnsi="mylotus"/>
          <w:b/>
          <w:bCs/>
          <w:sz w:val="34"/>
          <w:szCs w:val="34"/>
          <w:rtl/>
        </w:rPr>
        <w:t xml:space="preserve"> </w:t>
      </w:r>
      <w:r w:rsidRPr="00DF3B5A">
        <w:rPr>
          <w:rFonts w:ascii="mylotus" w:hAnsi="mylotus" w:hint="cs"/>
          <w:b/>
          <w:bCs/>
          <w:sz w:val="34"/>
          <w:szCs w:val="34"/>
          <w:rtl/>
        </w:rPr>
        <w:t>بالنحو</w:t>
      </w:r>
      <w:r w:rsidRPr="00DF3B5A">
        <w:rPr>
          <w:rFonts w:ascii="mylotus" w:hAnsi="mylotus"/>
          <w:b/>
          <w:bCs/>
          <w:sz w:val="34"/>
          <w:szCs w:val="34"/>
          <w:rtl/>
        </w:rPr>
        <w:t xml:space="preserve"> </w:t>
      </w:r>
      <w:r w:rsidRPr="00DF3B5A">
        <w:rPr>
          <w:rFonts w:ascii="mylotus" w:hAnsi="mylotus" w:hint="cs"/>
          <w:b/>
          <w:bCs/>
          <w:sz w:val="34"/>
          <w:szCs w:val="34"/>
          <w:rtl/>
        </w:rPr>
        <w:t>الذي</w:t>
      </w:r>
      <w:r w:rsidRPr="00DF3B5A">
        <w:rPr>
          <w:rFonts w:ascii="mylotus" w:hAnsi="mylotus"/>
          <w:b/>
          <w:bCs/>
          <w:sz w:val="34"/>
          <w:szCs w:val="34"/>
          <w:rtl/>
        </w:rPr>
        <w:t xml:space="preserve"> </w:t>
      </w:r>
      <w:r w:rsidRPr="00DF3B5A">
        <w:rPr>
          <w:rFonts w:ascii="mylotus" w:hAnsi="mylotus" w:hint="cs"/>
          <w:b/>
          <w:bCs/>
          <w:sz w:val="34"/>
          <w:szCs w:val="34"/>
          <w:rtl/>
        </w:rPr>
        <w:t>أجرت</w:t>
      </w:r>
      <w:r w:rsidRPr="00DF3B5A">
        <w:rPr>
          <w:rFonts w:ascii="mylotus" w:hAnsi="mylotus"/>
          <w:b/>
          <w:bCs/>
          <w:sz w:val="34"/>
          <w:szCs w:val="34"/>
          <w:rtl/>
        </w:rPr>
        <w:t xml:space="preserve"> </w:t>
      </w:r>
      <w:r w:rsidRPr="00DF3B5A">
        <w:rPr>
          <w:rFonts w:ascii="mylotus" w:hAnsi="mylotus" w:hint="cs"/>
          <w:b/>
          <w:bCs/>
          <w:sz w:val="34"/>
          <w:szCs w:val="34"/>
          <w:rtl/>
        </w:rPr>
        <w:t>له</w:t>
      </w:r>
      <w:r w:rsidRPr="00DF3B5A">
        <w:rPr>
          <w:rFonts w:ascii="mylotus" w:hAnsi="mylotus"/>
          <w:b/>
          <w:bCs/>
          <w:sz w:val="34"/>
          <w:szCs w:val="34"/>
          <w:rtl/>
        </w:rPr>
        <w:t>)</w:t>
      </w:r>
      <w:r w:rsidRPr="00DF3B5A">
        <w:rPr>
          <w:rFonts w:ascii="mylotus" w:hAnsi="mylotus"/>
          <w:sz w:val="34"/>
          <w:szCs w:val="34"/>
          <w:rtl/>
        </w:rPr>
        <w:t xml:space="preserve"> </w:t>
      </w:r>
      <w:r w:rsidRPr="00DF3B5A">
        <w:rPr>
          <w:rFonts w:ascii="mylotus" w:hAnsi="mylotus" w:hint="cs"/>
          <w:sz w:val="34"/>
          <w:szCs w:val="34"/>
          <w:rtl/>
        </w:rPr>
        <w:t>أي</w:t>
      </w:r>
      <w:r w:rsidRPr="00DF3B5A">
        <w:rPr>
          <w:rFonts w:ascii="mylotus" w:hAnsi="mylotus"/>
          <w:sz w:val="34"/>
          <w:szCs w:val="34"/>
          <w:rtl/>
        </w:rPr>
        <w:t xml:space="preserve">: </w:t>
      </w:r>
      <w:r w:rsidRPr="00DF3B5A">
        <w:rPr>
          <w:rFonts w:ascii="mylotus" w:hAnsi="mylotus" w:hint="cs"/>
          <w:sz w:val="34"/>
          <w:szCs w:val="34"/>
          <w:rtl/>
        </w:rPr>
        <w:t>أن</w:t>
      </w:r>
      <w:r>
        <w:rPr>
          <w:rFonts w:ascii="mylotus" w:hAnsi="mylotus" w:hint="cs"/>
          <w:sz w:val="34"/>
          <w:szCs w:val="34"/>
          <w:rtl/>
        </w:rPr>
        <w:t>ّ</w:t>
      </w:r>
      <w:r w:rsidRPr="00DF3B5A">
        <w:rPr>
          <w:rFonts w:ascii="mylotus" w:hAnsi="mylotus"/>
          <w:sz w:val="34"/>
          <w:szCs w:val="34"/>
          <w:rtl/>
        </w:rPr>
        <w:t xml:space="preserve"> </w:t>
      </w:r>
      <w:r w:rsidRPr="00DF3B5A">
        <w:rPr>
          <w:rFonts w:ascii="mylotus" w:hAnsi="mylotus" w:hint="cs"/>
          <w:sz w:val="34"/>
          <w:szCs w:val="34"/>
          <w:rtl/>
        </w:rPr>
        <w:t>تلف</w:t>
      </w:r>
      <w:r w:rsidRPr="00DF3B5A">
        <w:rPr>
          <w:rFonts w:ascii="mylotus" w:hAnsi="mylotus"/>
          <w:sz w:val="34"/>
          <w:szCs w:val="34"/>
          <w:rtl/>
        </w:rPr>
        <w:t xml:space="preserve"> </w:t>
      </w:r>
      <w:r w:rsidRPr="00DF3B5A">
        <w:rPr>
          <w:rFonts w:ascii="mylotus" w:hAnsi="mylotus" w:hint="cs"/>
          <w:sz w:val="34"/>
          <w:szCs w:val="34"/>
          <w:rtl/>
        </w:rPr>
        <w:t>العين</w:t>
      </w:r>
      <w:r w:rsidRPr="00DF3B5A">
        <w:rPr>
          <w:rFonts w:ascii="mylotus" w:hAnsi="mylotus"/>
          <w:sz w:val="34"/>
          <w:szCs w:val="34"/>
          <w:rtl/>
        </w:rPr>
        <w:t xml:space="preserve"> </w:t>
      </w:r>
      <w:r w:rsidRPr="00DF3B5A">
        <w:rPr>
          <w:rFonts w:ascii="mylotus" w:hAnsi="mylotus" w:hint="cs"/>
          <w:sz w:val="34"/>
          <w:szCs w:val="34"/>
          <w:rtl/>
        </w:rPr>
        <w:t>بمعنى</w:t>
      </w:r>
      <w:r w:rsidRPr="00DF3B5A">
        <w:rPr>
          <w:rFonts w:ascii="mylotus" w:hAnsi="mylotus"/>
          <w:sz w:val="34"/>
          <w:szCs w:val="34"/>
          <w:rtl/>
        </w:rPr>
        <w:t xml:space="preserve"> </w:t>
      </w:r>
      <w:r w:rsidRPr="00DF3B5A">
        <w:rPr>
          <w:rFonts w:ascii="mylotus" w:hAnsi="mylotus" w:hint="cs"/>
          <w:sz w:val="34"/>
          <w:szCs w:val="34"/>
          <w:rtl/>
        </w:rPr>
        <w:t>أنْ</w:t>
      </w:r>
      <w:r w:rsidRPr="00DF3B5A">
        <w:rPr>
          <w:rFonts w:ascii="mylotus" w:hAnsi="mylotus"/>
          <w:sz w:val="34"/>
          <w:szCs w:val="34"/>
          <w:rtl/>
        </w:rPr>
        <w:t xml:space="preserve"> </w:t>
      </w:r>
      <w:r w:rsidRPr="00DF3B5A">
        <w:rPr>
          <w:rFonts w:ascii="mylotus" w:hAnsi="mylotus" w:hint="cs"/>
          <w:sz w:val="34"/>
          <w:szCs w:val="34"/>
          <w:rtl/>
        </w:rPr>
        <w:t>لا</w:t>
      </w:r>
      <w:r w:rsidRPr="00DF3B5A">
        <w:rPr>
          <w:rFonts w:ascii="mylotus" w:hAnsi="mylotus"/>
          <w:sz w:val="34"/>
          <w:szCs w:val="34"/>
          <w:rtl/>
        </w:rPr>
        <w:t xml:space="preserve"> </w:t>
      </w:r>
      <w:r w:rsidRPr="00DF3B5A">
        <w:rPr>
          <w:rFonts w:ascii="mylotus" w:hAnsi="mylotus" w:hint="cs"/>
          <w:sz w:val="34"/>
          <w:szCs w:val="34"/>
          <w:rtl/>
        </w:rPr>
        <w:t>يمكن</w:t>
      </w:r>
      <w:r w:rsidRPr="00DF3B5A">
        <w:rPr>
          <w:rFonts w:ascii="mylotus" w:hAnsi="mylotus"/>
          <w:sz w:val="34"/>
          <w:szCs w:val="34"/>
          <w:rtl/>
        </w:rPr>
        <w:t xml:space="preserve"> </w:t>
      </w:r>
      <w:r w:rsidRPr="00DF3B5A">
        <w:rPr>
          <w:rFonts w:ascii="mylotus" w:hAnsi="mylotus" w:hint="cs"/>
          <w:sz w:val="34"/>
          <w:szCs w:val="34"/>
          <w:rtl/>
        </w:rPr>
        <w:t>الانتفاع</w:t>
      </w:r>
      <w:r w:rsidRPr="00DF3B5A">
        <w:rPr>
          <w:rFonts w:ascii="mylotus" w:hAnsi="mylotus"/>
          <w:sz w:val="34"/>
          <w:szCs w:val="34"/>
          <w:rtl/>
        </w:rPr>
        <w:t xml:space="preserve"> </w:t>
      </w:r>
      <w:r w:rsidRPr="00DF3B5A">
        <w:rPr>
          <w:rFonts w:ascii="mylotus" w:hAnsi="mylotus" w:hint="cs"/>
          <w:sz w:val="34"/>
          <w:szCs w:val="34"/>
          <w:rtl/>
        </w:rPr>
        <w:t>بها</w:t>
      </w:r>
      <w:r w:rsidRPr="00DF3B5A">
        <w:rPr>
          <w:rFonts w:ascii="mylotus" w:hAnsi="mylotus"/>
          <w:sz w:val="34"/>
          <w:szCs w:val="34"/>
          <w:rtl/>
        </w:rPr>
        <w:t xml:space="preserve"> </w:t>
      </w:r>
      <w:r w:rsidRPr="00DF3B5A">
        <w:rPr>
          <w:rFonts w:ascii="mylotus" w:hAnsi="mylotus" w:hint="cs"/>
          <w:sz w:val="34"/>
          <w:szCs w:val="34"/>
          <w:rtl/>
        </w:rPr>
        <w:t>بالنحو</w:t>
      </w:r>
      <w:r w:rsidRPr="00DF3B5A">
        <w:rPr>
          <w:rFonts w:ascii="mylotus" w:hAnsi="mylotus"/>
          <w:sz w:val="34"/>
          <w:szCs w:val="34"/>
          <w:rtl/>
        </w:rPr>
        <w:t xml:space="preserve"> </w:t>
      </w:r>
      <w:r w:rsidRPr="00DF3B5A">
        <w:rPr>
          <w:rFonts w:ascii="mylotus" w:hAnsi="mylotus" w:hint="cs"/>
          <w:sz w:val="34"/>
          <w:szCs w:val="34"/>
          <w:rtl/>
        </w:rPr>
        <w:t>الذي</w:t>
      </w:r>
      <w:r w:rsidRPr="00DF3B5A">
        <w:rPr>
          <w:rFonts w:ascii="mylotus" w:hAnsi="mylotus"/>
          <w:sz w:val="34"/>
          <w:szCs w:val="34"/>
          <w:rtl/>
        </w:rPr>
        <w:t xml:space="preserve"> </w:t>
      </w:r>
      <w:r w:rsidRPr="00DF3B5A">
        <w:rPr>
          <w:rFonts w:ascii="mylotus" w:hAnsi="mylotus" w:hint="cs"/>
          <w:sz w:val="34"/>
          <w:szCs w:val="34"/>
          <w:rtl/>
        </w:rPr>
        <w:t>وقعت</w:t>
      </w:r>
      <w:r w:rsidRPr="00DF3B5A">
        <w:rPr>
          <w:rFonts w:ascii="mylotus" w:hAnsi="mylotus"/>
          <w:sz w:val="34"/>
          <w:szCs w:val="34"/>
          <w:rtl/>
        </w:rPr>
        <w:t xml:space="preserve"> </w:t>
      </w:r>
      <w:r w:rsidRPr="00DF3B5A">
        <w:rPr>
          <w:rFonts w:ascii="mylotus" w:hAnsi="mylotus" w:hint="cs"/>
          <w:sz w:val="34"/>
          <w:szCs w:val="34"/>
          <w:rtl/>
        </w:rPr>
        <w:t>عليه</w:t>
      </w:r>
      <w:r w:rsidRPr="00DF3B5A">
        <w:rPr>
          <w:rFonts w:ascii="mylotus" w:hAnsi="mylotus"/>
          <w:sz w:val="34"/>
          <w:szCs w:val="34"/>
          <w:rtl/>
        </w:rPr>
        <w:t xml:space="preserve"> </w:t>
      </w:r>
      <w:r w:rsidRPr="00DF3B5A">
        <w:rPr>
          <w:rFonts w:ascii="mylotus" w:hAnsi="mylotus" w:hint="cs"/>
          <w:sz w:val="34"/>
          <w:szCs w:val="34"/>
          <w:rtl/>
        </w:rPr>
        <w:t>الإجارة،</w:t>
      </w:r>
      <w:r w:rsidRPr="00DF3B5A">
        <w:rPr>
          <w:rFonts w:ascii="mylotus" w:hAnsi="mylotus"/>
          <w:sz w:val="34"/>
          <w:szCs w:val="34"/>
          <w:rtl/>
        </w:rPr>
        <w:t xml:space="preserve"> </w:t>
      </w:r>
      <w:r w:rsidRPr="00DF3B5A">
        <w:rPr>
          <w:rFonts w:ascii="mylotus" w:hAnsi="mylotus" w:hint="cs"/>
          <w:sz w:val="34"/>
          <w:szCs w:val="34"/>
          <w:rtl/>
        </w:rPr>
        <w:t>لا</w:t>
      </w:r>
      <w:r w:rsidRPr="00DF3B5A">
        <w:rPr>
          <w:rFonts w:ascii="mylotus" w:hAnsi="mylotus"/>
          <w:sz w:val="34"/>
          <w:szCs w:val="34"/>
          <w:rtl/>
        </w:rPr>
        <w:t xml:space="preserve"> </w:t>
      </w:r>
      <w:r w:rsidRPr="00DF3B5A">
        <w:rPr>
          <w:rFonts w:ascii="mylotus" w:hAnsi="mylotus" w:hint="cs"/>
          <w:sz w:val="34"/>
          <w:szCs w:val="34"/>
          <w:rtl/>
        </w:rPr>
        <w:t>أنّ</w:t>
      </w:r>
      <w:r w:rsidRPr="00DF3B5A">
        <w:rPr>
          <w:rFonts w:ascii="mylotus" w:hAnsi="mylotus"/>
          <w:sz w:val="34"/>
          <w:szCs w:val="34"/>
          <w:rtl/>
        </w:rPr>
        <w:t xml:space="preserve"> </w:t>
      </w:r>
      <w:r w:rsidRPr="00DF3B5A">
        <w:rPr>
          <w:rFonts w:ascii="mylotus" w:hAnsi="mylotus" w:hint="cs"/>
          <w:sz w:val="34"/>
          <w:szCs w:val="34"/>
          <w:rtl/>
        </w:rPr>
        <w:t>مقصودهم</w:t>
      </w:r>
      <w:r w:rsidRPr="00DF3B5A">
        <w:rPr>
          <w:rFonts w:ascii="mylotus" w:hAnsi="mylotus"/>
          <w:sz w:val="34"/>
          <w:szCs w:val="34"/>
          <w:rtl/>
        </w:rPr>
        <w:t xml:space="preserve"> </w:t>
      </w:r>
      <w:r w:rsidRPr="00DF3B5A">
        <w:rPr>
          <w:rFonts w:ascii="mylotus" w:hAnsi="mylotus" w:hint="cs"/>
          <w:sz w:val="34"/>
          <w:szCs w:val="34"/>
          <w:rtl/>
        </w:rPr>
        <w:t>بالتلف</w:t>
      </w:r>
      <w:r w:rsidRPr="00DF3B5A">
        <w:rPr>
          <w:rFonts w:ascii="mylotus" w:hAnsi="mylotus"/>
          <w:sz w:val="34"/>
          <w:szCs w:val="34"/>
          <w:rtl/>
        </w:rPr>
        <w:t xml:space="preserve"> </w:t>
      </w:r>
      <w:r w:rsidRPr="00DF3B5A">
        <w:rPr>
          <w:rFonts w:ascii="mylotus" w:hAnsi="mylotus" w:hint="cs"/>
          <w:sz w:val="34"/>
          <w:szCs w:val="34"/>
          <w:rtl/>
        </w:rPr>
        <w:t>أنّ</w:t>
      </w:r>
      <w:r w:rsidRPr="00DF3B5A">
        <w:rPr>
          <w:rFonts w:ascii="mylotus" w:hAnsi="mylotus"/>
          <w:sz w:val="34"/>
          <w:szCs w:val="34"/>
          <w:rtl/>
        </w:rPr>
        <w:t xml:space="preserve"> </w:t>
      </w:r>
      <w:r w:rsidRPr="00DF3B5A">
        <w:rPr>
          <w:rFonts w:ascii="mylotus" w:hAnsi="mylotus" w:hint="cs"/>
          <w:sz w:val="34"/>
          <w:szCs w:val="34"/>
          <w:rtl/>
        </w:rPr>
        <w:t>العين</w:t>
      </w:r>
      <w:r w:rsidRPr="00DF3B5A">
        <w:rPr>
          <w:rFonts w:ascii="mylotus" w:hAnsi="mylotus"/>
          <w:sz w:val="34"/>
          <w:szCs w:val="34"/>
          <w:rtl/>
        </w:rPr>
        <w:t xml:space="preserve"> </w:t>
      </w:r>
      <w:r w:rsidRPr="00DF3B5A">
        <w:rPr>
          <w:rFonts w:ascii="mylotus" w:hAnsi="mylotus" w:hint="cs"/>
          <w:sz w:val="34"/>
          <w:szCs w:val="34"/>
          <w:rtl/>
        </w:rPr>
        <w:t>قد</w:t>
      </w:r>
      <w:r w:rsidRPr="00DF3B5A">
        <w:rPr>
          <w:rFonts w:ascii="mylotus" w:hAnsi="mylotus"/>
          <w:sz w:val="34"/>
          <w:szCs w:val="34"/>
          <w:rtl/>
        </w:rPr>
        <w:t xml:space="preserve"> </w:t>
      </w:r>
      <w:r w:rsidRPr="00DF3B5A">
        <w:rPr>
          <w:rFonts w:ascii="mylotus" w:hAnsi="mylotus" w:hint="cs"/>
          <w:sz w:val="34"/>
          <w:szCs w:val="34"/>
          <w:rtl/>
        </w:rPr>
        <w:t>انعدمت</w:t>
      </w:r>
      <w:r w:rsidRPr="00DF3B5A">
        <w:rPr>
          <w:rFonts w:ascii="mylotus" w:hAnsi="mylotus"/>
          <w:sz w:val="34"/>
          <w:szCs w:val="34"/>
          <w:rtl/>
        </w:rPr>
        <w:t xml:space="preserve"> </w:t>
      </w:r>
      <w:r w:rsidRPr="00DF3B5A">
        <w:rPr>
          <w:rFonts w:ascii="mylotus" w:hAnsi="mylotus"/>
          <w:b/>
          <w:bCs/>
          <w:sz w:val="34"/>
          <w:szCs w:val="34"/>
          <w:rtl/>
        </w:rPr>
        <w:t>(</w:t>
      </w:r>
      <w:r w:rsidRPr="00DF3B5A">
        <w:rPr>
          <w:rFonts w:ascii="mylotus" w:hAnsi="mylotus" w:hint="cs"/>
          <w:b/>
          <w:bCs/>
          <w:sz w:val="34"/>
          <w:szCs w:val="34"/>
          <w:rtl/>
        </w:rPr>
        <w:t>ولو</w:t>
      </w:r>
      <w:r w:rsidRPr="00DF3B5A">
        <w:rPr>
          <w:rFonts w:ascii="mylotus" w:hAnsi="mylotus"/>
          <w:b/>
          <w:bCs/>
          <w:sz w:val="34"/>
          <w:szCs w:val="34"/>
          <w:rtl/>
        </w:rPr>
        <w:t xml:space="preserve"> </w:t>
      </w:r>
      <w:r w:rsidRPr="00DF3B5A">
        <w:rPr>
          <w:rFonts w:ascii="mylotus" w:hAnsi="mylotus" w:hint="cs"/>
          <w:b/>
          <w:bCs/>
          <w:sz w:val="34"/>
          <w:szCs w:val="34"/>
          <w:rtl/>
        </w:rPr>
        <w:t>مع</w:t>
      </w:r>
      <w:r w:rsidRPr="00DF3B5A">
        <w:rPr>
          <w:rFonts w:ascii="mylotus" w:hAnsi="mylotus"/>
          <w:b/>
          <w:bCs/>
          <w:sz w:val="34"/>
          <w:szCs w:val="34"/>
          <w:rtl/>
        </w:rPr>
        <w:t xml:space="preserve"> </w:t>
      </w:r>
      <w:r w:rsidRPr="00DF3B5A">
        <w:rPr>
          <w:rFonts w:ascii="mylotus" w:hAnsi="mylotus" w:hint="cs"/>
          <w:b/>
          <w:bCs/>
          <w:sz w:val="34"/>
          <w:szCs w:val="34"/>
          <w:rtl/>
        </w:rPr>
        <w:t>بقائها</w:t>
      </w:r>
      <w:r w:rsidRPr="00DF3B5A">
        <w:rPr>
          <w:rFonts w:ascii="mylotus" w:hAnsi="mylotus"/>
          <w:b/>
          <w:bCs/>
          <w:sz w:val="34"/>
          <w:szCs w:val="34"/>
          <w:rtl/>
        </w:rPr>
        <w:t xml:space="preserve"> </w:t>
      </w:r>
      <w:r w:rsidRPr="00DF3B5A">
        <w:rPr>
          <w:rFonts w:ascii="mylotus" w:hAnsi="mylotus" w:hint="cs"/>
          <w:b/>
          <w:bCs/>
          <w:sz w:val="34"/>
          <w:szCs w:val="34"/>
          <w:rtl/>
        </w:rPr>
        <w:t>في</w:t>
      </w:r>
      <w:r w:rsidRPr="00DF3B5A">
        <w:rPr>
          <w:rFonts w:ascii="mylotus" w:hAnsi="mylotus"/>
          <w:b/>
          <w:bCs/>
          <w:sz w:val="34"/>
          <w:szCs w:val="34"/>
          <w:rtl/>
        </w:rPr>
        <w:t xml:space="preserve"> </w:t>
      </w:r>
      <w:r w:rsidRPr="00DF3B5A">
        <w:rPr>
          <w:rFonts w:ascii="mylotus" w:hAnsi="mylotus" w:hint="cs"/>
          <w:b/>
          <w:bCs/>
          <w:sz w:val="34"/>
          <w:szCs w:val="34"/>
          <w:rtl/>
        </w:rPr>
        <w:t>ملك</w:t>
      </w:r>
      <w:r w:rsidRPr="00DF3B5A">
        <w:rPr>
          <w:rFonts w:ascii="mylotus" w:hAnsi="mylotus"/>
          <w:b/>
          <w:bCs/>
          <w:sz w:val="34"/>
          <w:szCs w:val="34"/>
          <w:rtl/>
        </w:rPr>
        <w:t xml:space="preserve"> </w:t>
      </w:r>
      <w:r w:rsidRPr="00DF3B5A">
        <w:rPr>
          <w:rFonts w:ascii="mylotus" w:hAnsi="mylotus" w:hint="cs"/>
          <w:b/>
          <w:bCs/>
          <w:sz w:val="34"/>
          <w:szCs w:val="34"/>
          <w:rtl/>
        </w:rPr>
        <w:t>صاحبها،</w:t>
      </w:r>
      <w:r w:rsidRPr="00DF3B5A">
        <w:rPr>
          <w:rFonts w:ascii="mylotus" w:hAnsi="mylotus"/>
          <w:b/>
          <w:bCs/>
          <w:sz w:val="34"/>
          <w:szCs w:val="34"/>
          <w:rtl/>
        </w:rPr>
        <w:t xml:space="preserve"> </w:t>
      </w:r>
      <w:r w:rsidRPr="00DF3B5A">
        <w:rPr>
          <w:rFonts w:ascii="mylotus" w:hAnsi="mylotus" w:hint="cs"/>
          <w:b/>
          <w:bCs/>
          <w:sz w:val="34"/>
          <w:szCs w:val="34"/>
          <w:rtl/>
        </w:rPr>
        <w:t>كما</w:t>
      </w:r>
      <w:r w:rsidRPr="00DF3B5A">
        <w:rPr>
          <w:rFonts w:ascii="mylotus" w:hAnsi="mylotus"/>
          <w:b/>
          <w:bCs/>
          <w:sz w:val="34"/>
          <w:szCs w:val="34"/>
          <w:rtl/>
        </w:rPr>
        <w:t xml:space="preserve"> </w:t>
      </w:r>
      <w:r w:rsidRPr="00DF3B5A">
        <w:rPr>
          <w:rFonts w:ascii="mylotus" w:hAnsi="mylotus" w:hint="cs"/>
          <w:b/>
          <w:bCs/>
          <w:sz w:val="34"/>
          <w:szCs w:val="34"/>
          <w:rtl/>
        </w:rPr>
        <w:t>لو</w:t>
      </w:r>
      <w:r w:rsidRPr="00DF3B5A">
        <w:rPr>
          <w:rFonts w:ascii="mylotus" w:hAnsi="mylotus"/>
          <w:b/>
          <w:bCs/>
          <w:sz w:val="34"/>
          <w:szCs w:val="34"/>
          <w:rtl/>
        </w:rPr>
        <w:t xml:space="preserve"> </w:t>
      </w:r>
      <w:r w:rsidRPr="00DF3B5A">
        <w:rPr>
          <w:rFonts w:ascii="mylotus" w:hAnsi="mylotus" w:hint="cs"/>
          <w:b/>
          <w:bCs/>
          <w:sz w:val="34"/>
          <w:szCs w:val="34"/>
          <w:rtl/>
        </w:rPr>
        <w:t>استؤجرت</w:t>
      </w:r>
      <w:r w:rsidRPr="00DF3B5A">
        <w:rPr>
          <w:rFonts w:ascii="mylotus" w:hAnsi="mylotus"/>
          <w:b/>
          <w:bCs/>
          <w:sz w:val="34"/>
          <w:szCs w:val="34"/>
          <w:rtl/>
        </w:rPr>
        <w:t xml:space="preserve"> </w:t>
      </w:r>
      <w:r w:rsidRPr="00DF3B5A">
        <w:rPr>
          <w:rFonts w:ascii="mylotus" w:hAnsi="mylotus" w:hint="cs"/>
          <w:b/>
          <w:bCs/>
          <w:sz w:val="34"/>
          <w:szCs w:val="34"/>
          <w:rtl/>
        </w:rPr>
        <w:t>الناقة</w:t>
      </w:r>
      <w:r w:rsidRPr="00DF3B5A">
        <w:rPr>
          <w:rFonts w:ascii="mylotus" w:hAnsi="mylotus"/>
          <w:b/>
          <w:bCs/>
          <w:sz w:val="34"/>
          <w:szCs w:val="34"/>
          <w:rtl/>
        </w:rPr>
        <w:t xml:space="preserve"> </w:t>
      </w:r>
      <w:r w:rsidRPr="00DF3B5A">
        <w:rPr>
          <w:rFonts w:ascii="mylotus" w:hAnsi="mylotus" w:hint="cs"/>
          <w:b/>
          <w:bCs/>
          <w:sz w:val="34"/>
          <w:szCs w:val="34"/>
          <w:rtl/>
        </w:rPr>
        <w:t>للركوب،</w:t>
      </w:r>
      <w:r w:rsidRPr="00DF3B5A">
        <w:rPr>
          <w:rFonts w:ascii="mylotus" w:hAnsi="mylotus"/>
          <w:b/>
          <w:bCs/>
          <w:sz w:val="34"/>
          <w:szCs w:val="34"/>
          <w:rtl/>
        </w:rPr>
        <w:t xml:space="preserve"> </w:t>
      </w:r>
      <w:r w:rsidRPr="00DF3B5A">
        <w:rPr>
          <w:rFonts w:ascii="mylotus" w:hAnsi="mylotus" w:hint="cs"/>
          <w:b/>
          <w:bCs/>
          <w:sz w:val="34"/>
          <w:szCs w:val="34"/>
          <w:rtl/>
        </w:rPr>
        <w:t>فذبحت</w:t>
      </w:r>
      <w:r w:rsidRPr="00DF3B5A">
        <w:rPr>
          <w:rFonts w:ascii="mylotus" w:hAnsi="mylotus"/>
          <w:b/>
          <w:bCs/>
          <w:sz w:val="34"/>
          <w:szCs w:val="34"/>
          <w:rtl/>
        </w:rPr>
        <w:t xml:space="preserve"> </w:t>
      </w:r>
      <w:r w:rsidRPr="00DF3B5A">
        <w:rPr>
          <w:rFonts w:ascii="mylotus" w:hAnsi="mylotus" w:hint="cs"/>
          <w:b/>
          <w:bCs/>
          <w:sz w:val="34"/>
          <w:szCs w:val="34"/>
          <w:rtl/>
        </w:rPr>
        <w:t>ذبحاً</w:t>
      </w:r>
      <w:r w:rsidRPr="00DF3B5A">
        <w:rPr>
          <w:rFonts w:ascii="mylotus" w:hAnsi="mylotus"/>
          <w:b/>
          <w:bCs/>
          <w:sz w:val="34"/>
          <w:szCs w:val="34"/>
          <w:rtl/>
        </w:rPr>
        <w:t xml:space="preserve"> </w:t>
      </w:r>
      <w:r w:rsidRPr="00DF3B5A">
        <w:rPr>
          <w:rFonts w:ascii="mylotus" w:hAnsi="mylotus" w:hint="cs"/>
          <w:b/>
          <w:bCs/>
          <w:sz w:val="34"/>
          <w:szCs w:val="34"/>
          <w:rtl/>
        </w:rPr>
        <w:t>مذكياً</w:t>
      </w:r>
      <w:r w:rsidRPr="00DF3B5A">
        <w:rPr>
          <w:rFonts w:ascii="mylotus" w:hAnsi="mylotus"/>
          <w:b/>
          <w:bCs/>
          <w:sz w:val="34"/>
          <w:szCs w:val="34"/>
          <w:rtl/>
        </w:rPr>
        <w:t xml:space="preserve"> </w:t>
      </w:r>
      <w:r w:rsidRPr="00DF3B5A">
        <w:rPr>
          <w:rFonts w:ascii="mylotus" w:hAnsi="mylotus" w:hint="cs"/>
          <w:b/>
          <w:bCs/>
          <w:sz w:val="34"/>
          <w:szCs w:val="34"/>
          <w:rtl/>
        </w:rPr>
        <w:t>لها</w:t>
      </w:r>
      <w:r w:rsidRPr="00DF3B5A">
        <w:rPr>
          <w:rFonts w:ascii="mylotus" w:hAnsi="mylotus"/>
          <w:b/>
          <w:bCs/>
          <w:sz w:val="34"/>
          <w:szCs w:val="34"/>
          <w:rtl/>
        </w:rPr>
        <w:t>)</w:t>
      </w:r>
      <w:r w:rsidRPr="00DF3B5A">
        <w:rPr>
          <w:rFonts w:ascii="mylotus" w:hAnsi="mylotus"/>
          <w:b/>
          <w:bCs/>
          <w:sz w:val="34"/>
          <w:szCs w:val="34"/>
        </w:rPr>
        <w:t>.</w:t>
      </w:r>
    </w:p>
    <w:p w14:paraId="65B6C854"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sz w:val="34"/>
          <w:szCs w:val="34"/>
          <w:rtl/>
        </w:rPr>
        <w:t>فإنّ الناقة ما زالت موجودة وما زالت مملوكة، لكن الانتفاع بها فيما استؤجرت عليه قد انتفى</w:t>
      </w:r>
      <w:r w:rsidRPr="00DF3B5A">
        <w:rPr>
          <w:rFonts w:ascii="mylotus" w:hAnsi="mylotus"/>
          <w:sz w:val="34"/>
          <w:szCs w:val="34"/>
        </w:rPr>
        <w:t>.</w:t>
      </w:r>
    </w:p>
    <w:p w14:paraId="30302C70"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sz w:val="34"/>
          <w:szCs w:val="34"/>
          <w:rtl/>
        </w:rPr>
        <w:t>فليست العبرة بتلف العين تكويناً</w:t>
      </w:r>
      <w:r w:rsidRPr="00DF3B5A">
        <w:rPr>
          <w:rFonts w:ascii="mylotus" w:hAnsi="mylotus"/>
          <w:sz w:val="34"/>
          <w:szCs w:val="34"/>
        </w:rPr>
        <w:t>.</w:t>
      </w:r>
    </w:p>
    <w:p w14:paraId="43258A12"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sz w:val="34"/>
          <w:szCs w:val="34"/>
          <w:rtl/>
        </w:rPr>
        <w:t xml:space="preserve">وما </w:t>
      </w:r>
      <w:proofErr w:type="gramStart"/>
      <w:r w:rsidRPr="00DF3B5A">
        <w:rPr>
          <w:rFonts w:ascii="mylotus" w:hAnsi="mylotus"/>
          <w:sz w:val="34"/>
          <w:szCs w:val="34"/>
          <w:rtl/>
        </w:rPr>
        <w:t>ذكره  (</w:t>
      </w:r>
      <w:proofErr w:type="gramEnd"/>
      <w:r w:rsidRPr="00DF3B5A">
        <w:rPr>
          <w:rFonts w:ascii="mylotus" w:hAnsi="mylotus"/>
          <w:sz w:val="34"/>
          <w:szCs w:val="34"/>
          <w:rtl/>
        </w:rPr>
        <w:t>قدس سره الشريف) تامٌ ومتين</w:t>
      </w:r>
      <w:r w:rsidRPr="00DF3B5A">
        <w:rPr>
          <w:rFonts w:ascii="mylotus" w:hAnsi="mylotus"/>
          <w:sz w:val="34"/>
          <w:szCs w:val="34"/>
        </w:rPr>
        <w:t>.</w:t>
      </w:r>
    </w:p>
    <w:p w14:paraId="122EB606" w14:textId="77777777" w:rsidR="00EE6605" w:rsidRPr="00DF3B5A" w:rsidRDefault="00EE6605" w:rsidP="00EE6605">
      <w:pPr>
        <w:pStyle w:val="a"/>
        <w:bidi/>
        <w:spacing w:line="216" w:lineRule="auto"/>
        <w:rPr>
          <w:rFonts w:ascii="mylotus" w:hAnsi="mylotus"/>
          <w:sz w:val="34"/>
          <w:szCs w:val="34"/>
          <w:rtl/>
        </w:rPr>
      </w:pPr>
      <w:r w:rsidRPr="0053740D">
        <w:rPr>
          <w:rFonts w:ascii="mylotus" w:hAnsi="mylotus"/>
          <w:b/>
          <w:bCs/>
          <w:sz w:val="34"/>
          <w:szCs w:val="34"/>
          <w:rtl/>
        </w:rPr>
        <w:t>وحاصلُهُ:</w:t>
      </w:r>
      <w:r w:rsidRPr="00DF3B5A">
        <w:rPr>
          <w:rFonts w:ascii="mylotus" w:hAnsi="mylotus"/>
          <w:sz w:val="34"/>
          <w:szCs w:val="34"/>
          <w:rtl/>
        </w:rPr>
        <w:t xml:space="preserve"> أنّ تلف العين في المقام مما لا موضوعية له بحسب المرتكزات، وأنّ المدار على ما يحول دون الانتفاع بالعين بالنحو الذي تعلقت بِهِ الإجارة، وإنْ لَمْ يكن تلفاً للعين، كما في حصول المانع العام كالحرب والغزو والاحتلال وما أشبه ذلك -بحيثُ لا يمكن الاستفادة مِن السيارات والبيوت، فهذا كافٍ في بطلان الإجارة-، فإنّ كُلّ ذلك داخل في وجود ما يحول دون إمكان الانتفاع، ولا موضوعية لتلف العين تكويناً</w:t>
      </w:r>
      <w:r w:rsidRPr="00DF3B5A">
        <w:rPr>
          <w:rFonts w:ascii="mylotus" w:hAnsi="mylotus"/>
          <w:sz w:val="34"/>
          <w:szCs w:val="34"/>
        </w:rPr>
        <w:t>.</w:t>
      </w:r>
    </w:p>
    <w:p w14:paraId="2509C3B9" w14:textId="77777777" w:rsidR="00EE6605" w:rsidRPr="0053740D" w:rsidRDefault="00EE6605" w:rsidP="00EE6605">
      <w:pPr>
        <w:pStyle w:val="a"/>
        <w:bidi/>
        <w:spacing w:line="216" w:lineRule="auto"/>
        <w:rPr>
          <w:rFonts w:ascii="mylotus" w:hAnsi="mylotus"/>
          <w:b/>
          <w:bCs/>
          <w:sz w:val="34"/>
          <w:szCs w:val="34"/>
          <w:rtl/>
        </w:rPr>
      </w:pPr>
      <w:r w:rsidRPr="00DF3B5A">
        <w:rPr>
          <w:rFonts w:ascii="mylotus" w:hAnsi="mylotus"/>
          <w:sz w:val="34"/>
          <w:szCs w:val="34"/>
          <w:rtl/>
        </w:rPr>
        <w:t>ويؤكد ذلك ما أشار إليه (قدس سره الشريف) في تحديد المراد مِن تعبير سيد العروة والسيد الحكيم الجد (قدس سرهما)</w:t>
      </w:r>
      <w:r>
        <w:rPr>
          <w:rFonts w:ascii="mylotus" w:hAnsi="mylotus" w:hint="cs"/>
          <w:sz w:val="34"/>
          <w:szCs w:val="34"/>
          <w:rtl/>
        </w:rPr>
        <w:t>:</w:t>
      </w:r>
      <w:r w:rsidRPr="00DF3B5A">
        <w:rPr>
          <w:rFonts w:ascii="mylotus" w:hAnsi="mylotus"/>
          <w:sz w:val="34"/>
          <w:szCs w:val="34"/>
          <w:rtl/>
        </w:rPr>
        <w:t xml:space="preserve"> </w:t>
      </w:r>
      <w:r w:rsidRPr="0053740D">
        <w:rPr>
          <w:rFonts w:ascii="mylotus" w:hAnsi="mylotus"/>
          <w:b/>
          <w:bCs/>
          <w:sz w:val="34"/>
          <w:szCs w:val="34"/>
          <w:rtl/>
        </w:rPr>
        <w:t>(أنّ تلف العين قبل القبض أو بعد القبض بلا فصلٍ)،</w:t>
      </w:r>
      <w:r w:rsidRPr="00DF3B5A">
        <w:rPr>
          <w:rFonts w:ascii="mylotus" w:hAnsi="mylotus"/>
          <w:sz w:val="34"/>
          <w:szCs w:val="34"/>
          <w:rtl/>
        </w:rPr>
        <w:t xml:space="preserve"> بقوله</w:t>
      </w:r>
      <w:r>
        <w:rPr>
          <w:rStyle w:val="FootnoteReference"/>
          <w:rFonts w:ascii="mylotus" w:hAnsi="mylotus"/>
          <w:sz w:val="34"/>
          <w:szCs w:val="34"/>
          <w:rtl/>
        </w:rPr>
        <w:footnoteReference w:id="248"/>
      </w:r>
      <w:r w:rsidRPr="00DF3B5A">
        <w:rPr>
          <w:rFonts w:ascii="mylotus" w:hAnsi="mylotus"/>
          <w:sz w:val="34"/>
          <w:szCs w:val="34"/>
          <w:rtl/>
        </w:rPr>
        <w:t xml:space="preserve">: </w:t>
      </w:r>
      <w:r w:rsidRPr="0053740D">
        <w:rPr>
          <w:rFonts w:ascii="mylotus" w:hAnsi="mylotus"/>
          <w:b/>
          <w:bCs/>
          <w:sz w:val="34"/>
          <w:szCs w:val="34"/>
          <w:rtl/>
        </w:rPr>
        <w:t>(والوجه فيه: أن موضوع الإجارة لما كان هو المنفعة فقبض العين لا أثر له في نفسه، بل إنما يلزم من أجل قبض المنفعة التي هي موضوع الإجارة والتمكين منها، فإذا لم يكن لها تلك المنفعة، لفرض التلف قبل مضي مدة يمكن استيفاؤها منها المستلزم لبطلان الإجارة، تعين عدم ترتيب الأثر على القبض المذكور، لأنه قبض من دون إجارة</w:t>
      </w:r>
      <w:r w:rsidRPr="0053740D">
        <w:rPr>
          <w:rFonts w:ascii="mylotus" w:hAnsi="mylotus"/>
          <w:b/>
          <w:bCs/>
          <w:sz w:val="34"/>
          <w:szCs w:val="34"/>
        </w:rPr>
        <w:t>.</w:t>
      </w:r>
    </w:p>
    <w:p w14:paraId="02A644E3" w14:textId="77777777" w:rsidR="00EE6605" w:rsidRPr="0053740D" w:rsidRDefault="00EE6605" w:rsidP="00EE6605">
      <w:pPr>
        <w:pStyle w:val="a"/>
        <w:bidi/>
        <w:spacing w:line="216" w:lineRule="auto"/>
        <w:rPr>
          <w:rFonts w:ascii="mylotus" w:hAnsi="mylotus"/>
          <w:b/>
          <w:bCs/>
          <w:sz w:val="34"/>
          <w:szCs w:val="34"/>
          <w:rtl/>
        </w:rPr>
      </w:pPr>
      <w:r w:rsidRPr="0053740D">
        <w:rPr>
          <w:rFonts w:ascii="mylotus" w:hAnsi="mylotus"/>
          <w:b/>
          <w:bCs/>
          <w:sz w:val="34"/>
          <w:szCs w:val="34"/>
          <w:rtl/>
        </w:rPr>
        <w:t xml:space="preserve">وبذلك يظهر أن المعيار في ذلك </w:t>
      </w:r>
      <w:r w:rsidRPr="00514CC1">
        <w:rPr>
          <w:rFonts w:ascii="mylotus" w:hAnsi="mylotus"/>
          <w:b/>
          <w:bCs/>
          <w:sz w:val="34"/>
          <w:szCs w:val="34"/>
          <w:highlight w:val="cyan"/>
          <w:rtl/>
        </w:rPr>
        <w:t>عدم مضي مدة يمكن الانتفاع بها في المنفعة</w:t>
      </w:r>
      <w:r w:rsidRPr="0053740D">
        <w:rPr>
          <w:rFonts w:ascii="mylotus" w:hAnsi="mylotus"/>
          <w:b/>
          <w:bCs/>
          <w:sz w:val="34"/>
          <w:szCs w:val="34"/>
          <w:rtl/>
        </w:rPr>
        <w:t xml:space="preserve"> التي هي موضوع الإجارة ولو مع الفصل بين القبض والتلف بزمن طويل، فإذا استأجر دابة) </w:t>
      </w:r>
      <w:r w:rsidRPr="00DF3B5A">
        <w:rPr>
          <w:rFonts w:ascii="mylotus" w:hAnsi="mylotus"/>
          <w:sz w:val="34"/>
          <w:szCs w:val="34"/>
          <w:rtl/>
        </w:rPr>
        <w:t xml:space="preserve">أو استأجر سيارة </w:t>
      </w:r>
      <w:r w:rsidRPr="0053740D">
        <w:rPr>
          <w:rFonts w:ascii="mylotus" w:hAnsi="mylotus"/>
          <w:b/>
          <w:bCs/>
          <w:sz w:val="34"/>
          <w:szCs w:val="34"/>
          <w:rtl/>
        </w:rPr>
        <w:t xml:space="preserve">(على أن يسير عليها يوم السبت، فقبضها يوم الأربعاء وماتت) </w:t>
      </w:r>
      <w:r w:rsidRPr="00DF3B5A">
        <w:rPr>
          <w:rFonts w:ascii="mylotus" w:hAnsi="mylotus"/>
          <w:sz w:val="34"/>
          <w:szCs w:val="34"/>
          <w:rtl/>
        </w:rPr>
        <w:t xml:space="preserve">أي: الدابّة، أو تلفت السيارة </w:t>
      </w:r>
      <w:r w:rsidRPr="0053740D">
        <w:rPr>
          <w:rFonts w:ascii="mylotus" w:hAnsi="mylotus"/>
          <w:b/>
          <w:bCs/>
          <w:sz w:val="34"/>
          <w:szCs w:val="34"/>
          <w:rtl/>
        </w:rPr>
        <w:t>(ليلة السبت، فلا أثر للقبض المذكور</w:t>
      </w:r>
      <w:r w:rsidRPr="0053740D">
        <w:rPr>
          <w:rFonts w:ascii="mylotus" w:hAnsi="mylotus" w:hint="cs"/>
          <w:b/>
          <w:bCs/>
          <w:sz w:val="34"/>
          <w:szCs w:val="34"/>
          <w:rtl/>
        </w:rPr>
        <w:t>).</w:t>
      </w:r>
    </w:p>
    <w:p w14:paraId="3FAD602D" w14:textId="77777777" w:rsidR="00EE6605" w:rsidRPr="00DF3B5A" w:rsidRDefault="00EE6605" w:rsidP="00EE6605">
      <w:pPr>
        <w:pStyle w:val="a"/>
        <w:bidi/>
        <w:spacing w:line="216" w:lineRule="auto"/>
        <w:rPr>
          <w:rFonts w:ascii="mylotus" w:hAnsi="mylotus"/>
          <w:sz w:val="34"/>
          <w:szCs w:val="34"/>
          <w:rtl/>
        </w:rPr>
      </w:pPr>
      <w:r w:rsidRPr="00DF3B5A">
        <w:rPr>
          <w:rFonts w:ascii="mylotus" w:hAnsi="mylotus"/>
          <w:sz w:val="34"/>
          <w:szCs w:val="34"/>
          <w:rtl/>
        </w:rPr>
        <w:t>كما لو كان مبدأ مدّة الإجارة مِن يوم السبت مثلا</w:t>
      </w:r>
      <w:r>
        <w:rPr>
          <w:rFonts w:ascii="mylotus" w:hAnsi="mylotus" w:hint="cs"/>
          <w:sz w:val="34"/>
          <w:szCs w:val="34"/>
          <w:rtl/>
        </w:rPr>
        <w:t>ً</w:t>
      </w:r>
      <w:r w:rsidRPr="00DF3B5A">
        <w:rPr>
          <w:rFonts w:ascii="mylotus" w:hAnsi="mylotus"/>
          <w:sz w:val="34"/>
          <w:szCs w:val="34"/>
          <w:rtl/>
        </w:rPr>
        <w:t>، فقبضها مِن يوم الأربعاء، لكنها حيث</w:t>
      </w:r>
      <w:r>
        <w:rPr>
          <w:rFonts w:ascii="mylotus" w:hAnsi="mylotus" w:hint="cs"/>
          <w:sz w:val="34"/>
          <w:szCs w:val="34"/>
          <w:rtl/>
        </w:rPr>
        <w:t>ُ</w:t>
      </w:r>
      <w:r w:rsidRPr="00DF3B5A">
        <w:rPr>
          <w:rFonts w:ascii="mylotus" w:hAnsi="mylotus"/>
          <w:sz w:val="34"/>
          <w:szCs w:val="34"/>
          <w:rtl/>
        </w:rPr>
        <w:t xml:space="preserve"> تلفت</w:t>
      </w:r>
      <w:r>
        <w:rPr>
          <w:rFonts w:ascii="mylotus" w:hAnsi="mylotus" w:hint="cs"/>
          <w:sz w:val="34"/>
          <w:szCs w:val="34"/>
          <w:rtl/>
        </w:rPr>
        <w:t>ْ</w:t>
      </w:r>
      <w:r w:rsidRPr="00DF3B5A">
        <w:rPr>
          <w:rFonts w:ascii="mylotus" w:hAnsi="mylotus"/>
          <w:sz w:val="34"/>
          <w:szCs w:val="34"/>
          <w:rtl/>
        </w:rPr>
        <w:t xml:space="preserve"> قبل الزمان المقرر للإجارة ولو بلحظة بطلت الإجارة</w:t>
      </w:r>
      <w:r w:rsidRPr="00DF3B5A">
        <w:rPr>
          <w:rFonts w:ascii="mylotus" w:hAnsi="mylotus"/>
          <w:sz w:val="34"/>
          <w:szCs w:val="34"/>
        </w:rPr>
        <w:t>.</w:t>
      </w:r>
    </w:p>
    <w:p w14:paraId="794F8287" w14:textId="77777777" w:rsidR="00EE6605" w:rsidRDefault="00EE6605" w:rsidP="00EE6605">
      <w:pPr>
        <w:pStyle w:val="a"/>
        <w:bidi/>
        <w:spacing w:line="216" w:lineRule="auto"/>
        <w:rPr>
          <w:rFonts w:ascii="mylotus" w:hAnsi="mylotus"/>
          <w:sz w:val="34"/>
          <w:szCs w:val="34"/>
          <w:rtl/>
        </w:rPr>
      </w:pPr>
      <w:r w:rsidRPr="00DF3B5A">
        <w:rPr>
          <w:rFonts w:ascii="mylotus" w:hAnsi="mylotus"/>
          <w:sz w:val="34"/>
          <w:szCs w:val="34"/>
          <w:rtl/>
        </w:rPr>
        <w:t>فليس المدار</w:t>
      </w:r>
      <w:r>
        <w:rPr>
          <w:rFonts w:ascii="mylotus" w:hAnsi="mylotus" w:hint="cs"/>
          <w:sz w:val="34"/>
          <w:szCs w:val="34"/>
          <w:rtl/>
        </w:rPr>
        <w:t>ُ</w:t>
      </w:r>
      <w:r w:rsidRPr="00DF3B5A">
        <w:rPr>
          <w:rFonts w:ascii="mylotus" w:hAnsi="mylotus"/>
          <w:sz w:val="34"/>
          <w:szCs w:val="34"/>
          <w:rtl/>
        </w:rPr>
        <w:t xml:space="preserve"> على تلفها قَبل القبض أو بَعْدَ القبض بلا فصلٍ، بل المدارُ على تلفها قَبل مضيّ زمانٍ يمكن فيه الانتفاع.</w:t>
      </w:r>
    </w:p>
    <w:p w14:paraId="7A4F6043" w14:textId="77777777" w:rsidR="00EE6605" w:rsidRPr="00A17B4E" w:rsidRDefault="00EE6605" w:rsidP="00EE6605">
      <w:pPr>
        <w:pStyle w:val="a"/>
        <w:bidi/>
        <w:spacing w:line="216" w:lineRule="auto"/>
        <w:rPr>
          <w:rFonts w:ascii="mylotus" w:hAnsi="mylotus"/>
          <w:sz w:val="34"/>
          <w:szCs w:val="34"/>
          <w:rtl/>
        </w:rPr>
      </w:pPr>
    </w:p>
    <w:p w14:paraId="522CE7D8" w14:textId="77777777" w:rsidR="00EE6605" w:rsidRPr="005E03C1" w:rsidRDefault="00EE6605" w:rsidP="00EE6605">
      <w:pPr>
        <w:pStyle w:val="a"/>
        <w:bidi/>
        <w:spacing w:line="216" w:lineRule="auto"/>
        <w:jc w:val="center"/>
        <w:rPr>
          <w:rFonts w:ascii="mylotus" w:hAnsi="mylotus"/>
          <w:b/>
          <w:bCs/>
          <w:sz w:val="34"/>
          <w:szCs w:val="34"/>
        </w:rPr>
      </w:pPr>
      <w:r w:rsidRPr="005E03C1">
        <w:rPr>
          <w:rFonts w:ascii="mylotus" w:hAnsi="mylotus"/>
          <w:b/>
          <w:bCs/>
          <w:sz w:val="34"/>
          <w:szCs w:val="34"/>
          <w:rtl/>
        </w:rPr>
        <w:t>والحمد لله رب العالمين</w:t>
      </w:r>
    </w:p>
    <w:p w14:paraId="64015699" w14:textId="77777777" w:rsidR="00EE6605" w:rsidRDefault="00EE6605" w:rsidP="00EE6605">
      <w:pPr>
        <w:bidi/>
        <w:rPr>
          <w:sz w:val="32"/>
          <w:szCs w:val="32"/>
          <w:rtl/>
        </w:rPr>
      </w:pPr>
    </w:p>
    <w:p w14:paraId="7A616476" w14:textId="442465B1" w:rsidR="009B3D7B" w:rsidRDefault="009B3D7B" w:rsidP="009B3D7B">
      <w:pPr>
        <w:pStyle w:val="Heading3"/>
        <w:bidi/>
        <w:rPr>
          <w:sz w:val="32"/>
          <w:szCs w:val="32"/>
          <w:rtl/>
        </w:rPr>
      </w:pPr>
      <w:r>
        <w:rPr>
          <w:rFonts w:hint="cs"/>
          <w:sz w:val="32"/>
          <w:szCs w:val="32"/>
          <w:rtl/>
        </w:rPr>
        <w:lastRenderedPageBreak/>
        <w:t>334</w:t>
      </w:r>
    </w:p>
    <w:p w14:paraId="0783CEB0" w14:textId="77777777" w:rsidR="009B3D7B" w:rsidRPr="009B3D7B" w:rsidRDefault="009B3D7B" w:rsidP="009B3D7B">
      <w:pPr>
        <w:bidi/>
        <w:rPr>
          <w:b/>
          <w:bCs/>
          <w:sz w:val="32"/>
          <w:szCs w:val="32"/>
        </w:rPr>
      </w:pPr>
      <w:r w:rsidRPr="009B3D7B">
        <w:rPr>
          <w:b/>
          <w:bCs/>
          <w:sz w:val="32"/>
          <w:szCs w:val="32"/>
          <w:rtl/>
        </w:rPr>
        <w:t>بسم الله الرحمن الرحيم</w:t>
      </w:r>
    </w:p>
    <w:p w14:paraId="669CEE48" w14:textId="77777777" w:rsidR="009B3D7B" w:rsidRPr="009B3D7B" w:rsidRDefault="009B3D7B" w:rsidP="009B3D7B">
      <w:pPr>
        <w:bidi/>
        <w:rPr>
          <w:b/>
          <w:bCs/>
          <w:sz w:val="32"/>
          <w:szCs w:val="32"/>
          <w:rtl/>
        </w:rPr>
      </w:pPr>
      <w:r w:rsidRPr="009B3D7B">
        <w:rPr>
          <w:b/>
          <w:bCs/>
          <w:sz w:val="32"/>
          <w:szCs w:val="32"/>
          <w:rtl/>
        </w:rPr>
        <w:t>والصلاة والسلام على أشرف الأنبياء والمرسلين، محمد وآله الطيبين الطاهرين</w:t>
      </w:r>
    </w:p>
    <w:p w14:paraId="2D6E30C6" w14:textId="77777777" w:rsidR="009B3D7B" w:rsidRPr="009B3D7B" w:rsidRDefault="009B3D7B" w:rsidP="009B3D7B">
      <w:pPr>
        <w:bidi/>
        <w:rPr>
          <w:sz w:val="32"/>
          <w:szCs w:val="32"/>
          <w:rtl/>
        </w:rPr>
      </w:pPr>
      <w:r w:rsidRPr="009B3D7B">
        <w:rPr>
          <w:b/>
          <w:bCs/>
          <w:sz w:val="32"/>
          <w:szCs w:val="32"/>
          <w:rtl/>
        </w:rPr>
        <w:t>واللعن الدائم على أعدائهم أجمعين إلى قيام يوم الدين</w:t>
      </w:r>
    </w:p>
    <w:p w14:paraId="7751F5FE" w14:textId="77777777" w:rsidR="009B3D7B" w:rsidRPr="009B3D7B" w:rsidRDefault="009B3D7B" w:rsidP="009B3D7B">
      <w:pPr>
        <w:bidi/>
        <w:rPr>
          <w:sz w:val="32"/>
          <w:szCs w:val="32"/>
          <w:rtl/>
        </w:rPr>
      </w:pPr>
    </w:p>
    <w:p w14:paraId="1E56F7DA" w14:textId="77777777" w:rsidR="009B3D7B" w:rsidRPr="009B3D7B" w:rsidRDefault="009B3D7B" w:rsidP="009B3D7B">
      <w:pPr>
        <w:bidi/>
        <w:rPr>
          <w:sz w:val="32"/>
          <w:szCs w:val="32"/>
          <w:rtl/>
        </w:rPr>
      </w:pPr>
      <w:r w:rsidRPr="009B3D7B">
        <w:rPr>
          <w:b/>
          <w:bCs/>
          <w:sz w:val="32"/>
          <w:szCs w:val="32"/>
          <w:rtl/>
        </w:rPr>
        <w:t>الأمرُ الثالث:</w:t>
      </w:r>
      <w:r w:rsidRPr="009B3D7B">
        <w:rPr>
          <w:sz w:val="32"/>
          <w:szCs w:val="32"/>
          <w:rtl/>
        </w:rPr>
        <w:t xml:space="preserve"> -مما تعرض له السيد الحكيم السبط (قدس سره </w:t>
      </w:r>
      <w:proofErr w:type="gramStart"/>
      <w:r w:rsidRPr="009B3D7B">
        <w:rPr>
          <w:sz w:val="32"/>
          <w:szCs w:val="32"/>
          <w:rtl/>
        </w:rPr>
        <w:t>الشريف)-</w:t>
      </w:r>
      <w:proofErr w:type="gramEnd"/>
      <w:r w:rsidRPr="009B3D7B">
        <w:rPr>
          <w:sz w:val="32"/>
          <w:szCs w:val="32"/>
          <w:rtl/>
        </w:rPr>
        <w:t xml:space="preserve"> وهو عبارةٌ عن دفع دخل</w:t>
      </w:r>
      <w:r w:rsidRPr="009B3D7B">
        <w:rPr>
          <w:sz w:val="32"/>
          <w:szCs w:val="32"/>
        </w:rPr>
        <w:t>.</w:t>
      </w:r>
    </w:p>
    <w:p w14:paraId="096F334D" w14:textId="77777777" w:rsidR="009B3D7B" w:rsidRPr="009B3D7B" w:rsidRDefault="009B3D7B" w:rsidP="009B3D7B">
      <w:pPr>
        <w:bidi/>
        <w:rPr>
          <w:sz w:val="32"/>
          <w:szCs w:val="32"/>
          <w:rtl/>
        </w:rPr>
      </w:pPr>
      <w:r w:rsidRPr="009B3D7B">
        <w:rPr>
          <w:sz w:val="32"/>
          <w:szCs w:val="32"/>
          <w:rtl/>
        </w:rPr>
        <w:t>أمّا الدخل فقوله</w:t>
      </w:r>
      <w:r w:rsidRPr="009B3D7B">
        <w:rPr>
          <w:sz w:val="32"/>
          <w:szCs w:val="32"/>
          <w:vertAlign w:val="superscript"/>
          <w:rtl/>
        </w:rPr>
        <w:footnoteReference w:id="249"/>
      </w:r>
      <w:r w:rsidRPr="009B3D7B">
        <w:rPr>
          <w:sz w:val="32"/>
          <w:szCs w:val="32"/>
          <w:rtl/>
        </w:rPr>
        <w:t xml:space="preserve">: </w:t>
      </w:r>
      <w:r w:rsidRPr="009B3D7B">
        <w:rPr>
          <w:b/>
          <w:bCs/>
          <w:sz w:val="32"/>
          <w:szCs w:val="32"/>
          <w:rtl/>
        </w:rPr>
        <w:t>(بل قد يقال بصحة الإجارة حتى إذا استند التلف لسبب قهري مع قابلية العين حين الإجارة للبقاء بحيث ينتفع بها في الجهة الملحوظة في الإجارة، لمشاركته)</w:t>
      </w:r>
      <w:r w:rsidRPr="009B3D7B">
        <w:rPr>
          <w:sz w:val="32"/>
          <w:szCs w:val="32"/>
          <w:rtl/>
        </w:rPr>
        <w:t xml:space="preserve"> أي: هذا الفرض </w:t>
      </w:r>
      <w:r w:rsidRPr="009B3D7B">
        <w:rPr>
          <w:b/>
          <w:bCs/>
          <w:sz w:val="32"/>
          <w:szCs w:val="32"/>
          <w:rtl/>
        </w:rPr>
        <w:t>(لما إذا استند التلف لسبب اختياري في قابلية المنفعة للحصول من العين.)</w:t>
      </w:r>
    </w:p>
    <w:p w14:paraId="0A0FC0EE" w14:textId="77777777" w:rsidR="009B3D7B" w:rsidRPr="009B3D7B" w:rsidRDefault="009B3D7B" w:rsidP="009B3D7B">
      <w:pPr>
        <w:bidi/>
        <w:rPr>
          <w:sz w:val="32"/>
          <w:szCs w:val="32"/>
          <w:rtl/>
        </w:rPr>
      </w:pPr>
      <w:r w:rsidRPr="009B3D7B">
        <w:rPr>
          <w:sz w:val="32"/>
          <w:szCs w:val="32"/>
          <w:rtl/>
        </w:rPr>
        <w:t>وهو ما سبق ذكره مِن قياس باب التلف على الإتلاف، فكما يُقال في الإتلاف: إنّ العين قَبل الإتلاف كانت قابلة للانتفاع بها لولا الإتلاف، وهذه القابلية مصححة للإجارة، فكذا في حال التلف؛ حيثُ إنّ العين قَبل حصول التلف كانت قابلة للانتفاع بها حتى بلحاظ المنفعة المستقبلية، وبما أنّها كانت قابلة للانتفاع بها بسائر المنافع ومنها المنفعة المستقبلية فهذا كافٍ في صحّة الإجارة</w:t>
      </w:r>
      <w:r w:rsidRPr="009B3D7B">
        <w:rPr>
          <w:sz w:val="32"/>
          <w:szCs w:val="32"/>
        </w:rPr>
        <w:t>.</w:t>
      </w:r>
    </w:p>
    <w:p w14:paraId="19692788" w14:textId="77777777" w:rsidR="009B3D7B" w:rsidRPr="009B3D7B" w:rsidRDefault="009B3D7B" w:rsidP="009B3D7B">
      <w:pPr>
        <w:bidi/>
        <w:rPr>
          <w:sz w:val="32"/>
          <w:szCs w:val="32"/>
          <w:rtl/>
        </w:rPr>
      </w:pPr>
      <w:r w:rsidRPr="009B3D7B">
        <w:rPr>
          <w:b/>
          <w:bCs/>
          <w:sz w:val="32"/>
          <w:szCs w:val="32"/>
          <w:rtl/>
        </w:rPr>
        <w:t>وحاصلُهُ:</w:t>
      </w:r>
      <w:r w:rsidRPr="009B3D7B">
        <w:rPr>
          <w:sz w:val="32"/>
          <w:szCs w:val="32"/>
          <w:rtl/>
        </w:rPr>
        <w:t xml:space="preserve"> أنّ قابلية العين للبقاء لولا التلف مساوقٌ لقابلية المنفعة للاستيفاء لولا التلف، وهو كافٍ في صحّة الإجارة</w:t>
      </w:r>
      <w:r w:rsidRPr="009B3D7B">
        <w:rPr>
          <w:sz w:val="32"/>
          <w:szCs w:val="32"/>
        </w:rPr>
        <w:t>.</w:t>
      </w:r>
    </w:p>
    <w:p w14:paraId="721E414E" w14:textId="77777777" w:rsidR="009B3D7B" w:rsidRPr="009B3D7B" w:rsidRDefault="009B3D7B" w:rsidP="009B3D7B">
      <w:pPr>
        <w:bidi/>
        <w:rPr>
          <w:sz w:val="32"/>
          <w:szCs w:val="32"/>
          <w:rtl/>
        </w:rPr>
      </w:pPr>
      <w:r w:rsidRPr="009B3D7B">
        <w:rPr>
          <w:b/>
          <w:bCs/>
          <w:sz w:val="32"/>
          <w:szCs w:val="32"/>
          <w:rtl/>
        </w:rPr>
        <w:t>أو فقُل:</w:t>
      </w:r>
      <w:r w:rsidRPr="009B3D7B">
        <w:rPr>
          <w:sz w:val="32"/>
          <w:szCs w:val="32"/>
          <w:rtl/>
        </w:rPr>
        <w:t xml:space="preserve"> إنّ وجود العين في أيّ زمان مساوق لقابلية العين لسائر المنافع المتصورة في ذلك الزمان ومنها المنافع المستقبلية وهو كافٍ في صحّة الإجارة</w:t>
      </w:r>
      <w:r w:rsidRPr="009B3D7B">
        <w:rPr>
          <w:sz w:val="32"/>
          <w:szCs w:val="32"/>
        </w:rPr>
        <w:t>.</w:t>
      </w:r>
    </w:p>
    <w:p w14:paraId="0DBC3052" w14:textId="77777777" w:rsidR="009B3D7B" w:rsidRPr="009B3D7B" w:rsidRDefault="009B3D7B" w:rsidP="009B3D7B">
      <w:pPr>
        <w:bidi/>
        <w:rPr>
          <w:sz w:val="32"/>
          <w:szCs w:val="32"/>
          <w:rtl/>
        </w:rPr>
      </w:pPr>
      <w:r w:rsidRPr="009B3D7B">
        <w:rPr>
          <w:sz w:val="32"/>
          <w:szCs w:val="32"/>
          <w:rtl/>
        </w:rPr>
        <w:t xml:space="preserve">ودفعه (قدس سره) بقوله: </w:t>
      </w:r>
      <w:r w:rsidRPr="009B3D7B">
        <w:rPr>
          <w:b/>
          <w:bCs/>
          <w:sz w:val="32"/>
          <w:szCs w:val="32"/>
          <w:rtl/>
        </w:rPr>
        <w:t>(اللهم إلا أن يقال: إن مجرّد قابلية العين لحصول المنفعة منها لا أثر له بعد فرض عدم تحقق المنفعة وفوتها من دون مسؤولية على أحد)</w:t>
      </w:r>
      <w:r w:rsidRPr="009B3D7B">
        <w:rPr>
          <w:sz w:val="32"/>
          <w:szCs w:val="32"/>
          <w:rtl/>
        </w:rPr>
        <w:t xml:space="preserve"> أي: مِن دون أنْ يكون الفوت مضموناً؛ لأنّه ليس إتلافاً </w:t>
      </w:r>
      <w:r w:rsidRPr="009B3D7B">
        <w:rPr>
          <w:b/>
          <w:bCs/>
          <w:sz w:val="32"/>
          <w:szCs w:val="32"/>
          <w:rtl/>
        </w:rPr>
        <w:t>(فلو آجر الدابة)</w:t>
      </w:r>
      <w:r w:rsidRPr="009B3D7B">
        <w:rPr>
          <w:sz w:val="32"/>
          <w:szCs w:val="32"/>
          <w:rtl/>
        </w:rPr>
        <w:t xml:space="preserve"> أو السيارة -مثلاً- </w:t>
      </w:r>
      <w:r w:rsidRPr="009B3D7B">
        <w:rPr>
          <w:b/>
          <w:bCs/>
          <w:sz w:val="32"/>
          <w:szCs w:val="32"/>
          <w:rtl/>
        </w:rPr>
        <w:t>(يوم الجمعة للنقل يوم الاثنين)</w:t>
      </w:r>
      <w:r w:rsidRPr="009B3D7B">
        <w:rPr>
          <w:sz w:val="32"/>
          <w:szCs w:val="32"/>
          <w:rtl/>
        </w:rPr>
        <w:t xml:space="preserve"> أي: تمّ العقد في يوم الجمعة ولكن الزمن المقرر أنْ يبدأ مِن يوم الاثنين </w:t>
      </w:r>
      <w:r w:rsidRPr="009B3D7B">
        <w:rPr>
          <w:b/>
          <w:bCs/>
          <w:sz w:val="32"/>
          <w:szCs w:val="32"/>
          <w:rtl/>
        </w:rPr>
        <w:t>(ثم علم)</w:t>
      </w:r>
      <w:r w:rsidRPr="009B3D7B">
        <w:rPr>
          <w:sz w:val="32"/>
          <w:szCs w:val="32"/>
          <w:rtl/>
        </w:rPr>
        <w:t xml:space="preserve"> نفس المؤجّر </w:t>
      </w:r>
      <w:r w:rsidRPr="009B3D7B">
        <w:rPr>
          <w:b/>
          <w:bCs/>
          <w:sz w:val="32"/>
          <w:szCs w:val="32"/>
          <w:rtl/>
        </w:rPr>
        <w:t xml:space="preserve">(بعدم بقائها إلى يوم الاثنين) </w:t>
      </w:r>
      <w:r w:rsidRPr="009B3D7B">
        <w:rPr>
          <w:sz w:val="32"/>
          <w:szCs w:val="32"/>
          <w:rtl/>
        </w:rPr>
        <w:t xml:space="preserve">وأنّها سوف تتلف قّبل الزمان المقرر لإجارتها </w:t>
      </w:r>
      <w:r w:rsidRPr="009B3D7B">
        <w:rPr>
          <w:b/>
          <w:bCs/>
          <w:sz w:val="32"/>
          <w:szCs w:val="32"/>
          <w:rtl/>
        </w:rPr>
        <w:t>(لعروض وباء قاتل أو سيل جارف)</w:t>
      </w:r>
      <w:r w:rsidRPr="009B3D7B">
        <w:rPr>
          <w:sz w:val="32"/>
          <w:szCs w:val="32"/>
          <w:rtl/>
        </w:rPr>
        <w:t xml:space="preserve"> أو زلزلة </w:t>
      </w:r>
      <w:r w:rsidRPr="009B3D7B">
        <w:rPr>
          <w:b/>
          <w:bCs/>
          <w:sz w:val="32"/>
          <w:szCs w:val="32"/>
          <w:rtl/>
        </w:rPr>
        <w:t>(لا يمكن التخلص منه ينكشف بطلان الإجارة)</w:t>
      </w:r>
      <w:r w:rsidRPr="009B3D7B">
        <w:rPr>
          <w:sz w:val="32"/>
          <w:szCs w:val="32"/>
          <w:rtl/>
        </w:rPr>
        <w:t xml:space="preserve"> </w:t>
      </w:r>
      <w:r w:rsidRPr="009B3D7B">
        <w:rPr>
          <w:sz w:val="32"/>
          <w:szCs w:val="32"/>
          <w:rtl/>
        </w:rPr>
        <w:lastRenderedPageBreak/>
        <w:t xml:space="preserve">حتى مع بقاء العين لأنّها ستتلف قَبل الزمان المقرر </w:t>
      </w:r>
      <w:r w:rsidRPr="009B3D7B">
        <w:rPr>
          <w:b/>
          <w:bCs/>
          <w:sz w:val="32"/>
          <w:szCs w:val="32"/>
          <w:rtl/>
        </w:rPr>
        <w:t>(وبقاء الأجرة في ملك المستأجر، لعدم الأثر لملكية المنفعة بعد عدم حصولها وعدم المسؤولية في فوتها. ولو أتلف العين متلف قبل طروء السبب القهري لم يكن معتدياً على المستأجر)</w:t>
      </w:r>
      <w:r w:rsidRPr="009B3D7B">
        <w:rPr>
          <w:sz w:val="32"/>
          <w:szCs w:val="32"/>
          <w:rtl/>
        </w:rPr>
        <w:t xml:space="preserve"> وإنّما هو معتدي على المؤجّر </w:t>
      </w:r>
      <w:r w:rsidRPr="009B3D7B">
        <w:rPr>
          <w:b/>
          <w:bCs/>
          <w:sz w:val="32"/>
          <w:szCs w:val="32"/>
          <w:rtl/>
        </w:rPr>
        <w:t>(بسبب بطلان الإجارة)</w:t>
      </w:r>
      <w:r w:rsidRPr="009B3D7B">
        <w:rPr>
          <w:b/>
          <w:bCs/>
          <w:sz w:val="32"/>
          <w:szCs w:val="32"/>
        </w:rPr>
        <w:t>.</w:t>
      </w:r>
    </w:p>
    <w:p w14:paraId="07966B52" w14:textId="77777777" w:rsidR="009B3D7B" w:rsidRPr="009B3D7B" w:rsidRDefault="009B3D7B" w:rsidP="009B3D7B">
      <w:pPr>
        <w:bidi/>
        <w:rPr>
          <w:sz w:val="32"/>
          <w:szCs w:val="32"/>
          <w:rtl/>
        </w:rPr>
      </w:pPr>
      <w:r w:rsidRPr="009B3D7B">
        <w:rPr>
          <w:sz w:val="32"/>
          <w:szCs w:val="32"/>
          <w:rtl/>
        </w:rPr>
        <w:t>فهو يضمن العين للمؤجّر دون ضمان المنافع للمُستأجر</w:t>
      </w:r>
      <w:r w:rsidRPr="009B3D7B">
        <w:rPr>
          <w:sz w:val="32"/>
          <w:szCs w:val="32"/>
        </w:rPr>
        <w:t>.</w:t>
      </w:r>
    </w:p>
    <w:p w14:paraId="309FDEBD" w14:textId="77777777" w:rsidR="009B3D7B" w:rsidRPr="009B3D7B" w:rsidRDefault="009B3D7B" w:rsidP="009B3D7B">
      <w:pPr>
        <w:bidi/>
        <w:rPr>
          <w:sz w:val="32"/>
          <w:szCs w:val="32"/>
          <w:rtl/>
        </w:rPr>
      </w:pPr>
      <w:r w:rsidRPr="009B3D7B">
        <w:rPr>
          <w:sz w:val="32"/>
          <w:szCs w:val="32"/>
          <w:rtl/>
        </w:rPr>
        <w:t>والمستفادُ مما ذكره (قدس سره) هنا أنّه يرى بطلان الإجارة ويوافق السيد الخوئي (قدس سره) في ذلك</w:t>
      </w:r>
      <w:r w:rsidRPr="009B3D7B">
        <w:rPr>
          <w:sz w:val="32"/>
          <w:szCs w:val="32"/>
        </w:rPr>
        <w:t>.</w:t>
      </w:r>
    </w:p>
    <w:p w14:paraId="0030CA1D" w14:textId="77777777" w:rsidR="009B3D7B" w:rsidRPr="009B3D7B" w:rsidRDefault="009B3D7B" w:rsidP="009B3D7B">
      <w:pPr>
        <w:bidi/>
        <w:rPr>
          <w:b/>
          <w:bCs/>
          <w:sz w:val="32"/>
          <w:szCs w:val="32"/>
          <w:rtl/>
        </w:rPr>
      </w:pPr>
      <w:r w:rsidRPr="009B3D7B">
        <w:rPr>
          <w:b/>
          <w:bCs/>
          <w:sz w:val="32"/>
          <w:szCs w:val="32"/>
          <w:rtl/>
        </w:rPr>
        <w:t>الأمرُ الرابع:</w:t>
      </w:r>
      <w:r w:rsidRPr="009B3D7B">
        <w:rPr>
          <w:sz w:val="32"/>
          <w:szCs w:val="32"/>
          <w:rtl/>
        </w:rPr>
        <w:t xml:space="preserve"> ما أفاده (قدس سره) بقوله</w:t>
      </w:r>
      <w:r w:rsidRPr="009B3D7B">
        <w:rPr>
          <w:sz w:val="32"/>
          <w:szCs w:val="32"/>
          <w:vertAlign w:val="superscript"/>
          <w:rtl/>
        </w:rPr>
        <w:footnoteReference w:id="250"/>
      </w:r>
      <w:r w:rsidRPr="009B3D7B">
        <w:rPr>
          <w:sz w:val="32"/>
          <w:szCs w:val="32"/>
          <w:rtl/>
        </w:rPr>
        <w:t xml:space="preserve">: </w:t>
      </w:r>
      <w:r w:rsidRPr="009B3D7B">
        <w:rPr>
          <w:b/>
          <w:bCs/>
          <w:sz w:val="32"/>
          <w:szCs w:val="32"/>
          <w:rtl/>
        </w:rPr>
        <w:t>(وكيف كان فالمرجع في المورد الذي تصح فيه الإجارة حين وقوعها هو القاعدة التي سبق الكلام فيها</w:t>
      </w:r>
      <w:r w:rsidRPr="009B3D7B">
        <w:rPr>
          <w:b/>
          <w:bCs/>
          <w:sz w:val="32"/>
          <w:szCs w:val="32"/>
        </w:rPr>
        <w:t>.</w:t>
      </w:r>
    </w:p>
    <w:p w14:paraId="6AC658A7" w14:textId="77777777" w:rsidR="009B3D7B" w:rsidRPr="009B3D7B" w:rsidRDefault="009B3D7B" w:rsidP="009B3D7B">
      <w:pPr>
        <w:bidi/>
        <w:rPr>
          <w:sz w:val="32"/>
          <w:szCs w:val="32"/>
          <w:rtl/>
        </w:rPr>
      </w:pPr>
      <w:r w:rsidRPr="009B3D7B">
        <w:rPr>
          <w:b/>
          <w:bCs/>
          <w:sz w:val="32"/>
          <w:szCs w:val="32"/>
          <w:rtl/>
        </w:rPr>
        <w:t>وحينئذٍ نقول: مع التلف القهري غير المستند إلى أحد، أو إلى من لا يمكن الرجوع عليه)</w:t>
      </w:r>
      <w:r w:rsidRPr="009B3D7B">
        <w:rPr>
          <w:sz w:val="32"/>
          <w:szCs w:val="32"/>
          <w:rtl/>
        </w:rPr>
        <w:t xml:space="preserve"> كالظالم المستبد </w:t>
      </w:r>
      <w:r w:rsidRPr="009B3D7B">
        <w:rPr>
          <w:b/>
          <w:bCs/>
          <w:sz w:val="32"/>
          <w:szCs w:val="32"/>
          <w:rtl/>
        </w:rPr>
        <w:t>(فإن قلنا بإلحاق الإجارة بالبيع).</w:t>
      </w:r>
    </w:p>
    <w:p w14:paraId="5643FF9F" w14:textId="1758609F" w:rsidR="009B3D7B" w:rsidRPr="009B3D7B" w:rsidRDefault="009B3D7B" w:rsidP="009B3D7B">
      <w:pPr>
        <w:bidi/>
        <w:rPr>
          <w:sz w:val="32"/>
          <w:szCs w:val="32"/>
          <w:rtl/>
        </w:rPr>
      </w:pPr>
      <w:r w:rsidRPr="009B3D7B">
        <w:rPr>
          <w:b/>
          <w:bCs/>
          <w:sz w:val="32"/>
          <w:szCs w:val="32"/>
          <w:rtl/>
        </w:rPr>
        <w:t>بمعنى:</w:t>
      </w:r>
      <w:r w:rsidRPr="009B3D7B">
        <w:rPr>
          <w:sz w:val="32"/>
          <w:szCs w:val="32"/>
          <w:rtl/>
        </w:rPr>
        <w:t xml:space="preserve"> </w:t>
      </w:r>
      <w:r w:rsidR="003D4014" w:rsidRPr="009B3D7B">
        <w:rPr>
          <w:rFonts w:hint="cs"/>
          <w:sz w:val="32"/>
          <w:szCs w:val="32"/>
          <w:rtl/>
        </w:rPr>
        <w:t>إندراجها</w:t>
      </w:r>
      <w:r w:rsidRPr="009B3D7B">
        <w:rPr>
          <w:sz w:val="32"/>
          <w:szCs w:val="32"/>
          <w:rtl/>
        </w:rPr>
        <w:t xml:space="preserve"> تحت النبوي كما في المستدرك على الوسائل: </w:t>
      </w:r>
      <w:r w:rsidRPr="009B3D7B">
        <w:rPr>
          <w:b/>
          <w:bCs/>
          <w:sz w:val="32"/>
          <w:szCs w:val="32"/>
          <w:rtl/>
        </w:rPr>
        <w:t xml:space="preserve">(عوالي </w:t>
      </w:r>
      <w:proofErr w:type="spellStart"/>
      <w:r w:rsidRPr="009B3D7B">
        <w:rPr>
          <w:b/>
          <w:bCs/>
          <w:sz w:val="32"/>
          <w:szCs w:val="32"/>
          <w:rtl/>
        </w:rPr>
        <w:t>اللآلي</w:t>
      </w:r>
      <w:proofErr w:type="spellEnd"/>
      <w:r w:rsidRPr="009B3D7B">
        <w:rPr>
          <w:b/>
          <w:bCs/>
          <w:sz w:val="32"/>
          <w:szCs w:val="32"/>
          <w:rtl/>
        </w:rPr>
        <w:t>: عن النبي (صلى الله عليه وآله) أنّه قال: (كل مبيع تلف قبل قبضه، فهو من مال بائعه)</w:t>
      </w:r>
      <w:r w:rsidRPr="009B3D7B">
        <w:rPr>
          <w:b/>
          <w:bCs/>
          <w:sz w:val="32"/>
          <w:szCs w:val="32"/>
          <w:vertAlign w:val="superscript"/>
          <w:rtl/>
        </w:rPr>
        <w:footnoteReference w:id="251"/>
      </w:r>
      <w:r w:rsidRPr="009B3D7B">
        <w:rPr>
          <w:sz w:val="32"/>
          <w:szCs w:val="32"/>
          <w:rtl/>
        </w:rPr>
        <w:t>.</w:t>
      </w:r>
    </w:p>
    <w:p w14:paraId="09B24FDB" w14:textId="77777777" w:rsidR="009B3D7B" w:rsidRPr="009B3D7B" w:rsidRDefault="009B3D7B" w:rsidP="009B3D7B">
      <w:pPr>
        <w:bidi/>
        <w:rPr>
          <w:sz w:val="32"/>
          <w:szCs w:val="32"/>
          <w:rtl/>
        </w:rPr>
      </w:pPr>
      <w:r w:rsidRPr="009B3D7B">
        <w:rPr>
          <w:sz w:val="32"/>
          <w:szCs w:val="32"/>
          <w:rtl/>
        </w:rPr>
        <w:t xml:space="preserve">كما أُفيد في الجواهر بقوله (قدس سره): </w:t>
      </w:r>
      <w:r w:rsidRPr="009B3D7B">
        <w:rPr>
          <w:b/>
          <w:bCs/>
          <w:sz w:val="32"/>
          <w:szCs w:val="32"/>
          <w:rtl/>
        </w:rPr>
        <w:t>(بل ظاهر الأصحاب في المقام اتحاد الحكم في المقامين)</w:t>
      </w:r>
      <w:r w:rsidRPr="009B3D7B">
        <w:rPr>
          <w:sz w:val="32"/>
          <w:szCs w:val="32"/>
          <w:rtl/>
        </w:rPr>
        <w:t xml:space="preserve"> أي: البيع والإجارة </w:t>
      </w:r>
      <w:r w:rsidRPr="009B3D7B">
        <w:rPr>
          <w:b/>
          <w:bCs/>
          <w:sz w:val="32"/>
          <w:szCs w:val="32"/>
          <w:rtl/>
        </w:rPr>
        <w:t>(وأن المنفعة هنا بمنزلة المبيع، والأجرة هنا بمنزلة الثمن)</w:t>
      </w:r>
      <w:r w:rsidRPr="009B3D7B">
        <w:rPr>
          <w:b/>
          <w:bCs/>
          <w:sz w:val="32"/>
          <w:szCs w:val="32"/>
          <w:vertAlign w:val="superscript"/>
          <w:rtl/>
        </w:rPr>
        <w:footnoteReference w:id="252"/>
      </w:r>
      <w:r w:rsidRPr="009B3D7B">
        <w:rPr>
          <w:b/>
          <w:bCs/>
          <w:sz w:val="32"/>
          <w:szCs w:val="32"/>
          <w:rtl/>
        </w:rPr>
        <w:t>.</w:t>
      </w:r>
    </w:p>
    <w:p w14:paraId="18AE36EA" w14:textId="77777777" w:rsidR="009B3D7B" w:rsidRPr="009B3D7B" w:rsidRDefault="009B3D7B" w:rsidP="009B3D7B">
      <w:pPr>
        <w:bidi/>
        <w:rPr>
          <w:sz w:val="32"/>
          <w:szCs w:val="32"/>
          <w:rtl/>
        </w:rPr>
      </w:pPr>
      <w:r w:rsidRPr="009B3D7B">
        <w:rPr>
          <w:sz w:val="32"/>
          <w:szCs w:val="32"/>
          <w:rtl/>
        </w:rPr>
        <w:t xml:space="preserve">وكذا في مفتاح الكرامة حيثُ قال (عليه الرحمة): </w:t>
      </w:r>
      <w:r w:rsidRPr="009B3D7B">
        <w:rPr>
          <w:b/>
          <w:bCs/>
          <w:sz w:val="32"/>
          <w:szCs w:val="32"/>
          <w:rtl/>
        </w:rPr>
        <w:t>(وكأن ذلك لا خلاف فيه ولذلك يأخذونه مسلما فإذا فات أحد العوضين قبل القبض بطل كالبيع)</w:t>
      </w:r>
      <w:r w:rsidRPr="009B3D7B">
        <w:rPr>
          <w:b/>
          <w:bCs/>
          <w:sz w:val="32"/>
          <w:szCs w:val="32"/>
          <w:vertAlign w:val="superscript"/>
          <w:rtl/>
        </w:rPr>
        <w:footnoteReference w:id="253"/>
      </w:r>
      <w:r w:rsidRPr="009B3D7B">
        <w:rPr>
          <w:b/>
          <w:bCs/>
          <w:sz w:val="32"/>
          <w:szCs w:val="32"/>
          <w:rtl/>
        </w:rPr>
        <w:t>.</w:t>
      </w:r>
    </w:p>
    <w:p w14:paraId="6E7D64E1" w14:textId="77777777" w:rsidR="009B3D7B" w:rsidRPr="009B3D7B" w:rsidRDefault="009B3D7B" w:rsidP="009B3D7B">
      <w:pPr>
        <w:bidi/>
        <w:rPr>
          <w:sz w:val="32"/>
          <w:szCs w:val="32"/>
          <w:rtl/>
        </w:rPr>
      </w:pPr>
      <w:r w:rsidRPr="009B3D7B">
        <w:rPr>
          <w:sz w:val="32"/>
          <w:szCs w:val="32"/>
          <w:rtl/>
        </w:rPr>
        <w:t>وإن استشكل فيه في الرياض وغيره باختصاص الدليل بالبيع فلا مجال للتعدي للإجارة وغيرها من المعاوضات</w:t>
      </w:r>
      <w:r w:rsidRPr="009B3D7B">
        <w:rPr>
          <w:sz w:val="32"/>
          <w:szCs w:val="32"/>
        </w:rPr>
        <w:t>.</w:t>
      </w:r>
    </w:p>
    <w:p w14:paraId="5B93FC94" w14:textId="77777777" w:rsidR="009B3D7B" w:rsidRPr="009B3D7B" w:rsidRDefault="009B3D7B" w:rsidP="009B3D7B">
      <w:pPr>
        <w:bidi/>
        <w:rPr>
          <w:sz w:val="32"/>
          <w:szCs w:val="32"/>
          <w:rtl/>
        </w:rPr>
      </w:pPr>
      <w:r w:rsidRPr="009B3D7B">
        <w:rPr>
          <w:sz w:val="32"/>
          <w:szCs w:val="32"/>
          <w:rtl/>
        </w:rPr>
        <w:t xml:space="preserve">فهنا السيد الحكيم السبط (قدس سره) أفاد -أنّه إنْ قُلنا كما قال صاحب الجواهر ومفتاح الكرامة مِن أنّه لا خصوصية للبيع وأنّ العرف يلغي الخصوصية- بقوله: </w:t>
      </w:r>
      <w:r w:rsidRPr="009B3D7B">
        <w:rPr>
          <w:b/>
          <w:bCs/>
          <w:sz w:val="32"/>
          <w:szCs w:val="32"/>
          <w:rtl/>
        </w:rPr>
        <w:t>(يتعين بطلانها)</w:t>
      </w:r>
      <w:r w:rsidRPr="009B3D7B">
        <w:rPr>
          <w:sz w:val="32"/>
          <w:szCs w:val="32"/>
          <w:rtl/>
        </w:rPr>
        <w:t xml:space="preserve"> أي: بطلان </w:t>
      </w:r>
      <w:r w:rsidRPr="009B3D7B">
        <w:rPr>
          <w:sz w:val="32"/>
          <w:szCs w:val="32"/>
          <w:rtl/>
        </w:rPr>
        <w:lastRenderedPageBreak/>
        <w:t xml:space="preserve">الإجارة، وهذا يعني أنّه (قدس سره) يرى أنّ مقتضى القاعدة الصحّة وأنّه يكفي قابلية العين حين وقوع العقد للانتفاع بها في صحّة الإجارة، ولا مخرج عن هذه القاعدة إلّا إذا عممنا دليل البيع للإجارة </w:t>
      </w:r>
      <w:r w:rsidRPr="009B3D7B">
        <w:rPr>
          <w:b/>
          <w:bCs/>
          <w:sz w:val="32"/>
          <w:szCs w:val="32"/>
          <w:rtl/>
        </w:rPr>
        <w:t>(وإلا يتعين البناء على تخيير المستأجر بين الفسخ -فيرجع بالأجرة المسماة- لما سبق من ابتناء المعاوضات عموماً على)</w:t>
      </w:r>
      <w:r w:rsidRPr="009B3D7B">
        <w:rPr>
          <w:sz w:val="32"/>
          <w:szCs w:val="32"/>
          <w:rtl/>
        </w:rPr>
        <w:t xml:space="preserve"> شرطٍ ارتكازي وهو </w:t>
      </w:r>
      <w:r w:rsidRPr="009B3D7B">
        <w:rPr>
          <w:b/>
          <w:bCs/>
          <w:sz w:val="32"/>
          <w:szCs w:val="32"/>
          <w:rtl/>
        </w:rPr>
        <w:t xml:space="preserve">(التسليم والتسلم) </w:t>
      </w:r>
      <w:r w:rsidRPr="009B3D7B">
        <w:rPr>
          <w:sz w:val="32"/>
          <w:szCs w:val="32"/>
          <w:rtl/>
        </w:rPr>
        <w:t xml:space="preserve">وقد تخلف الشرط الارتكازي لانتفاء المنفعة بتلف العين فلَمْ يكن هناك تسليم ولا تسلم فيثبت للمُستأجر الخيار </w:t>
      </w:r>
      <w:r w:rsidRPr="009B3D7B">
        <w:rPr>
          <w:b/>
          <w:bCs/>
          <w:sz w:val="32"/>
          <w:szCs w:val="32"/>
          <w:rtl/>
        </w:rPr>
        <w:t>(وعدم الفسخ من دون الرجوع بشيء، لعدم تحقق سبب الضمان)</w:t>
      </w:r>
      <w:r w:rsidRPr="009B3D7B">
        <w:rPr>
          <w:b/>
          <w:bCs/>
          <w:sz w:val="32"/>
          <w:szCs w:val="32"/>
        </w:rPr>
        <w:t>.</w:t>
      </w:r>
    </w:p>
    <w:p w14:paraId="574DA8E2" w14:textId="77777777" w:rsidR="009B3D7B" w:rsidRPr="009B3D7B" w:rsidRDefault="009B3D7B" w:rsidP="009B3D7B">
      <w:pPr>
        <w:bidi/>
        <w:rPr>
          <w:sz w:val="32"/>
          <w:szCs w:val="32"/>
          <w:rtl/>
        </w:rPr>
      </w:pPr>
      <w:r w:rsidRPr="009B3D7B">
        <w:rPr>
          <w:b/>
          <w:bCs/>
          <w:sz w:val="32"/>
          <w:szCs w:val="32"/>
          <w:rtl/>
        </w:rPr>
        <w:t>ولكن الصحيح:</w:t>
      </w:r>
      <w:r w:rsidRPr="009B3D7B">
        <w:rPr>
          <w:sz w:val="32"/>
          <w:szCs w:val="32"/>
          <w:rtl/>
        </w:rPr>
        <w:t xml:space="preserve"> </w:t>
      </w:r>
      <w:r w:rsidRPr="009B3D7B">
        <w:rPr>
          <w:b/>
          <w:bCs/>
          <w:sz w:val="32"/>
          <w:szCs w:val="32"/>
          <w:rtl/>
        </w:rPr>
        <w:t>هو بطلانُ الإجارة وفاقاً للأعلام؛</w:t>
      </w:r>
      <w:r w:rsidRPr="009B3D7B">
        <w:rPr>
          <w:sz w:val="32"/>
          <w:szCs w:val="32"/>
          <w:rtl/>
        </w:rPr>
        <w:t xml:space="preserve"> لأنّ الشرط في صحّة الإجارة إمكان استيفاء المنفعة المقصودة بالإجارة، وتلفُ العين قهراً يكشف عن عدم إمكان استيفاء تلك المنفعة المقصودة بالإجارة، ومقتضاهُ بطلان الإجارة</w:t>
      </w:r>
      <w:r w:rsidRPr="009B3D7B">
        <w:rPr>
          <w:sz w:val="32"/>
          <w:szCs w:val="32"/>
        </w:rPr>
        <w:t>.</w:t>
      </w:r>
    </w:p>
    <w:p w14:paraId="5954CE40" w14:textId="77777777" w:rsidR="009B3D7B" w:rsidRPr="009B3D7B" w:rsidRDefault="009B3D7B" w:rsidP="009B3D7B">
      <w:pPr>
        <w:bidi/>
        <w:rPr>
          <w:sz w:val="32"/>
          <w:szCs w:val="32"/>
          <w:rtl/>
        </w:rPr>
      </w:pPr>
      <w:r w:rsidRPr="009B3D7B">
        <w:rPr>
          <w:b/>
          <w:bCs/>
          <w:sz w:val="32"/>
          <w:szCs w:val="32"/>
          <w:rtl/>
        </w:rPr>
        <w:t>المدركُ الرابع:</w:t>
      </w:r>
      <w:r w:rsidRPr="009B3D7B">
        <w:rPr>
          <w:sz w:val="32"/>
          <w:szCs w:val="32"/>
          <w:rtl/>
        </w:rPr>
        <w:t xml:space="preserve"> -لبيان بطلان الإجارة في المقام-ما ذكره بعض الأجلة (رحمه الله) في كتابه الإجارة</w:t>
      </w:r>
      <w:r w:rsidRPr="009B3D7B">
        <w:rPr>
          <w:sz w:val="32"/>
          <w:szCs w:val="32"/>
          <w:vertAlign w:val="superscript"/>
          <w:rtl/>
        </w:rPr>
        <w:footnoteReference w:id="254"/>
      </w:r>
      <w:r w:rsidRPr="009B3D7B">
        <w:rPr>
          <w:sz w:val="32"/>
          <w:szCs w:val="32"/>
          <w:rtl/>
        </w:rPr>
        <w:t>.</w:t>
      </w:r>
    </w:p>
    <w:p w14:paraId="25795986" w14:textId="77777777" w:rsidR="009B3D7B" w:rsidRPr="009B3D7B" w:rsidRDefault="009B3D7B" w:rsidP="009B3D7B">
      <w:pPr>
        <w:bidi/>
        <w:rPr>
          <w:b/>
          <w:bCs/>
          <w:sz w:val="32"/>
          <w:szCs w:val="32"/>
          <w:rtl/>
        </w:rPr>
      </w:pPr>
      <w:r w:rsidRPr="009B3D7B">
        <w:rPr>
          <w:b/>
          <w:bCs/>
          <w:sz w:val="32"/>
          <w:szCs w:val="32"/>
          <w:rtl/>
        </w:rPr>
        <w:t>وهو مؤلفٌ مِن عنصرين</w:t>
      </w:r>
      <w:r w:rsidRPr="009B3D7B">
        <w:rPr>
          <w:b/>
          <w:bCs/>
          <w:sz w:val="32"/>
          <w:szCs w:val="32"/>
        </w:rPr>
        <w:t>:</w:t>
      </w:r>
    </w:p>
    <w:p w14:paraId="3B6C2F37" w14:textId="77777777" w:rsidR="009B3D7B" w:rsidRPr="009B3D7B" w:rsidRDefault="009B3D7B" w:rsidP="009B3D7B">
      <w:pPr>
        <w:bidi/>
        <w:rPr>
          <w:b/>
          <w:bCs/>
          <w:sz w:val="32"/>
          <w:szCs w:val="32"/>
          <w:rtl/>
        </w:rPr>
      </w:pPr>
      <w:r w:rsidRPr="009B3D7B">
        <w:rPr>
          <w:b/>
          <w:bCs/>
          <w:sz w:val="32"/>
          <w:szCs w:val="32"/>
          <w:rtl/>
        </w:rPr>
        <w:t>العنصرُ الأوّل:</w:t>
      </w:r>
      <w:r w:rsidRPr="009B3D7B">
        <w:rPr>
          <w:sz w:val="32"/>
          <w:szCs w:val="32"/>
          <w:rtl/>
        </w:rPr>
        <w:t xml:space="preserve"> وجود المنافع المستقبلية حين العقد، كما أُفيد بقوله (رحمه الله): </w:t>
      </w:r>
      <w:r w:rsidRPr="009B3D7B">
        <w:rPr>
          <w:b/>
          <w:bCs/>
          <w:sz w:val="32"/>
          <w:szCs w:val="32"/>
          <w:rtl/>
        </w:rPr>
        <w:t>(بأنّه بناءً على قبول النظر العرفي القاضي بتحقق ملكية المنافع المستقبلية للمستأجر بالعقد لكونها)</w:t>
      </w:r>
      <w:r w:rsidRPr="009B3D7B">
        <w:rPr>
          <w:sz w:val="32"/>
          <w:szCs w:val="32"/>
          <w:rtl/>
        </w:rPr>
        <w:t xml:space="preserve"> أي: المنافع </w:t>
      </w:r>
      <w:r w:rsidRPr="009B3D7B">
        <w:rPr>
          <w:b/>
          <w:bCs/>
          <w:sz w:val="32"/>
          <w:szCs w:val="32"/>
          <w:rtl/>
        </w:rPr>
        <w:t xml:space="preserve">(مقدرة الوجود) </w:t>
      </w:r>
      <w:r w:rsidRPr="009B3D7B">
        <w:rPr>
          <w:sz w:val="32"/>
          <w:szCs w:val="32"/>
          <w:rtl/>
        </w:rPr>
        <w:t xml:space="preserve">أي: موجودة بوجود العين </w:t>
      </w:r>
      <w:r w:rsidRPr="009B3D7B">
        <w:rPr>
          <w:b/>
          <w:bCs/>
          <w:sz w:val="32"/>
          <w:szCs w:val="32"/>
          <w:rtl/>
        </w:rPr>
        <w:t>(وأنّ تلفها فيما بعد فضلاً عن إتلافها من الرفع لا الدفع كتلف العين تماماً)</w:t>
      </w:r>
      <w:r w:rsidRPr="009B3D7B">
        <w:rPr>
          <w:b/>
          <w:bCs/>
          <w:sz w:val="32"/>
          <w:szCs w:val="32"/>
        </w:rPr>
        <w:t>.</w:t>
      </w:r>
    </w:p>
    <w:p w14:paraId="405C1A09" w14:textId="77777777" w:rsidR="009B3D7B" w:rsidRPr="009B3D7B" w:rsidRDefault="009B3D7B" w:rsidP="009B3D7B">
      <w:pPr>
        <w:bidi/>
        <w:rPr>
          <w:sz w:val="32"/>
          <w:szCs w:val="32"/>
          <w:rtl/>
        </w:rPr>
      </w:pPr>
      <w:r w:rsidRPr="009B3D7B">
        <w:rPr>
          <w:b/>
          <w:bCs/>
          <w:sz w:val="32"/>
          <w:szCs w:val="32"/>
          <w:rtl/>
        </w:rPr>
        <w:t>العنصرُ الثاني:</w:t>
      </w:r>
      <w:r w:rsidRPr="009B3D7B">
        <w:rPr>
          <w:sz w:val="32"/>
          <w:szCs w:val="32"/>
          <w:rtl/>
        </w:rPr>
        <w:t xml:space="preserve"> أنّ مِن شروط صحّة المعاوضات شرعاً </w:t>
      </w:r>
      <w:proofErr w:type="spellStart"/>
      <w:r w:rsidRPr="009B3D7B">
        <w:rPr>
          <w:sz w:val="32"/>
          <w:szCs w:val="32"/>
          <w:rtl/>
        </w:rPr>
        <w:t>وعقلائياً</w:t>
      </w:r>
      <w:proofErr w:type="spellEnd"/>
      <w:r w:rsidRPr="009B3D7B">
        <w:rPr>
          <w:sz w:val="32"/>
          <w:szCs w:val="32"/>
          <w:rtl/>
        </w:rPr>
        <w:t xml:space="preserve"> القدرةُ على التسليم، وهو شرطٌ لا بوجوده العلمي كي يقال بعدم علمهم بتلفها وقت الإجارة وإنّما يبنون على بقاء العين، بل بوجوده </w:t>
      </w:r>
      <w:r w:rsidRPr="009B3D7B">
        <w:rPr>
          <w:sz w:val="32"/>
          <w:szCs w:val="32"/>
          <w:highlight w:val="yellow"/>
          <w:rtl/>
        </w:rPr>
        <w:t>الواقعي حين العقد</w:t>
      </w:r>
      <w:r w:rsidRPr="009B3D7B">
        <w:rPr>
          <w:sz w:val="32"/>
          <w:szCs w:val="32"/>
        </w:rPr>
        <w:t>.</w:t>
      </w:r>
    </w:p>
    <w:p w14:paraId="285FA8EF" w14:textId="77777777" w:rsidR="009B3D7B" w:rsidRPr="009B3D7B" w:rsidRDefault="009B3D7B" w:rsidP="009B3D7B">
      <w:pPr>
        <w:bidi/>
        <w:rPr>
          <w:sz w:val="32"/>
          <w:szCs w:val="32"/>
          <w:rtl/>
        </w:rPr>
      </w:pPr>
      <w:r w:rsidRPr="009B3D7B">
        <w:rPr>
          <w:sz w:val="32"/>
          <w:szCs w:val="32"/>
          <w:rtl/>
        </w:rPr>
        <w:t xml:space="preserve">وبناءً عليه: </w:t>
      </w:r>
      <w:r w:rsidRPr="009B3D7B">
        <w:rPr>
          <w:b/>
          <w:bCs/>
          <w:sz w:val="32"/>
          <w:szCs w:val="32"/>
          <w:rtl/>
        </w:rPr>
        <w:t>(</w:t>
      </w:r>
      <w:r w:rsidRPr="009B3D7B">
        <w:rPr>
          <w:b/>
          <w:bCs/>
          <w:sz w:val="32"/>
          <w:szCs w:val="32"/>
          <w:highlight w:val="yellow"/>
          <w:rtl/>
        </w:rPr>
        <w:t>ينكشف بالتلف القهري عدم قدرة المالك على تسليم تلك</w:t>
      </w:r>
      <w:r w:rsidRPr="009B3D7B">
        <w:rPr>
          <w:b/>
          <w:bCs/>
          <w:sz w:val="32"/>
          <w:szCs w:val="32"/>
          <w:rtl/>
        </w:rPr>
        <w:t xml:space="preserve"> المنفعة التالفة للمستأجر لعدم قدرته على إبقاء العين وتسليمها له في ذلك الزمان لينتفع بها فيحكم بالانفساخ من جهة فقدان شرط القدرة على التسليم لا عدم المعوّض)</w:t>
      </w:r>
      <w:r w:rsidRPr="009B3D7B">
        <w:rPr>
          <w:sz w:val="32"/>
          <w:szCs w:val="32"/>
          <w:rtl/>
        </w:rPr>
        <w:t xml:space="preserve"> لا أنّ الحكم بالانفساخ مِن جهة عدم المنفعة كما ذهب له سيد العروة (قدس سره)، ولا مِن جهة عدم قابلية المنفعة للتملك كما أفاده سيدنا الخوئي (قدس سره)، ولا مِن جهة عدم إمكان الانتفاع -كما مضى-.</w:t>
      </w:r>
    </w:p>
    <w:p w14:paraId="78E08E3F" w14:textId="77777777" w:rsidR="009B3D7B" w:rsidRPr="009B3D7B" w:rsidRDefault="009B3D7B" w:rsidP="009B3D7B">
      <w:pPr>
        <w:bidi/>
        <w:rPr>
          <w:sz w:val="32"/>
          <w:szCs w:val="32"/>
          <w:rtl/>
        </w:rPr>
      </w:pPr>
      <w:r w:rsidRPr="009B3D7B">
        <w:rPr>
          <w:b/>
          <w:bCs/>
          <w:sz w:val="32"/>
          <w:szCs w:val="32"/>
          <w:rtl/>
        </w:rPr>
        <w:t>ولكن يلاحظُ عليه:</w:t>
      </w:r>
      <w:r w:rsidRPr="009B3D7B">
        <w:rPr>
          <w:sz w:val="32"/>
          <w:szCs w:val="32"/>
          <w:rtl/>
        </w:rPr>
        <w:t xml:space="preserve"> -ما سبق ذكره عند بحث شرطية القدرة على التسليم-.</w:t>
      </w:r>
    </w:p>
    <w:p w14:paraId="59BDF448" w14:textId="77777777" w:rsidR="009B3D7B" w:rsidRPr="009B3D7B" w:rsidRDefault="009B3D7B" w:rsidP="009B3D7B">
      <w:pPr>
        <w:bidi/>
        <w:rPr>
          <w:sz w:val="32"/>
          <w:szCs w:val="32"/>
          <w:rtl/>
        </w:rPr>
      </w:pPr>
      <w:r w:rsidRPr="009B3D7B">
        <w:rPr>
          <w:sz w:val="32"/>
          <w:szCs w:val="32"/>
          <w:rtl/>
        </w:rPr>
        <w:lastRenderedPageBreak/>
        <w:t>مِن أنّه لا موضوعية للقدرة على التسليم، وإنّما المناط في الصحّة وعدمه ثبوتُ الغرض النوعي أو انتفاؤه، والغرض النوعي في هذه الموارد منتفٍ</w:t>
      </w:r>
      <w:r w:rsidRPr="009B3D7B">
        <w:rPr>
          <w:sz w:val="32"/>
          <w:szCs w:val="32"/>
        </w:rPr>
        <w:t>.</w:t>
      </w:r>
    </w:p>
    <w:p w14:paraId="67514F7C" w14:textId="77777777" w:rsidR="009B3D7B" w:rsidRPr="009B3D7B" w:rsidRDefault="009B3D7B" w:rsidP="009B3D7B">
      <w:pPr>
        <w:bidi/>
        <w:rPr>
          <w:b/>
          <w:bCs/>
          <w:sz w:val="32"/>
          <w:szCs w:val="32"/>
          <w:rtl/>
        </w:rPr>
      </w:pPr>
      <w:r w:rsidRPr="009B3D7B">
        <w:rPr>
          <w:b/>
          <w:bCs/>
          <w:sz w:val="32"/>
          <w:szCs w:val="32"/>
          <w:rtl/>
        </w:rPr>
        <w:t>وبيانُ ذلك بذكر مقدمتين</w:t>
      </w:r>
      <w:r w:rsidRPr="009B3D7B">
        <w:rPr>
          <w:b/>
          <w:bCs/>
          <w:sz w:val="32"/>
          <w:szCs w:val="32"/>
        </w:rPr>
        <w:t>:</w:t>
      </w:r>
    </w:p>
    <w:p w14:paraId="35634660" w14:textId="77777777" w:rsidR="009B3D7B" w:rsidRPr="009B3D7B" w:rsidRDefault="009B3D7B" w:rsidP="009B3D7B">
      <w:pPr>
        <w:bidi/>
        <w:rPr>
          <w:sz w:val="32"/>
          <w:szCs w:val="32"/>
          <w:rtl/>
        </w:rPr>
      </w:pPr>
      <w:r w:rsidRPr="009B3D7B">
        <w:rPr>
          <w:b/>
          <w:bCs/>
          <w:sz w:val="32"/>
          <w:szCs w:val="32"/>
          <w:rtl/>
        </w:rPr>
        <w:t>المقدمةُ الأُولى:</w:t>
      </w:r>
      <w:r w:rsidRPr="009B3D7B">
        <w:rPr>
          <w:sz w:val="32"/>
          <w:szCs w:val="32"/>
          <w:rtl/>
        </w:rPr>
        <w:t xml:space="preserve"> إنّ الغرض مِن المعاوضة على أنواعٍ ثلاثة</w:t>
      </w:r>
      <w:r w:rsidRPr="009B3D7B">
        <w:rPr>
          <w:sz w:val="32"/>
          <w:szCs w:val="32"/>
        </w:rPr>
        <w:t>:</w:t>
      </w:r>
    </w:p>
    <w:p w14:paraId="3C8FB428" w14:textId="77777777" w:rsidR="009B3D7B" w:rsidRPr="009B3D7B" w:rsidRDefault="009B3D7B" w:rsidP="009B3D7B">
      <w:pPr>
        <w:bidi/>
        <w:rPr>
          <w:sz w:val="32"/>
          <w:szCs w:val="32"/>
          <w:rtl/>
        </w:rPr>
      </w:pPr>
      <w:r w:rsidRPr="009B3D7B">
        <w:rPr>
          <w:b/>
          <w:bCs/>
          <w:sz w:val="32"/>
          <w:szCs w:val="32"/>
          <w:rtl/>
        </w:rPr>
        <w:t>النوعُ الأوّل: الغرض الاعتباري،</w:t>
      </w:r>
      <w:r w:rsidRPr="009B3D7B">
        <w:rPr>
          <w:sz w:val="32"/>
          <w:szCs w:val="32"/>
          <w:rtl/>
        </w:rPr>
        <w:t xml:space="preserve"> وهو المبادلة بين المالين، بأنْ يدخل في ملكه عوضٌ عما خرج عن ملكه، أي: حلولُ كلٍّ منهما محل الآخر في الملكية</w:t>
      </w:r>
      <w:r w:rsidRPr="009B3D7B">
        <w:rPr>
          <w:sz w:val="32"/>
          <w:szCs w:val="32"/>
        </w:rPr>
        <w:t>.</w:t>
      </w:r>
    </w:p>
    <w:p w14:paraId="6FFF2FDB" w14:textId="77777777" w:rsidR="009B3D7B" w:rsidRPr="009B3D7B" w:rsidRDefault="009B3D7B" w:rsidP="009B3D7B">
      <w:pPr>
        <w:bidi/>
        <w:rPr>
          <w:sz w:val="32"/>
          <w:szCs w:val="32"/>
          <w:rtl/>
        </w:rPr>
      </w:pPr>
      <w:r w:rsidRPr="009B3D7B">
        <w:rPr>
          <w:sz w:val="32"/>
          <w:szCs w:val="32"/>
          <w:rtl/>
        </w:rPr>
        <w:t>وهذا الغرض مقومٌ للعقد</w:t>
      </w:r>
      <w:r w:rsidRPr="009B3D7B">
        <w:rPr>
          <w:sz w:val="32"/>
          <w:szCs w:val="32"/>
        </w:rPr>
        <w:t>.</w:t>
      </w:r>
    </w:p>
    <w:p w14:paraId="2BDBCFC8" w14:textId="77777777" w:rsidR="009B3D7B" w:rsidRPr="009B3D7B" w:rsidRDefault="009B3D7B" w:rsidP="009B3D7B">
      <w:pPr>
        <w:bidi/>
        <w:rPr>
          <w:sz w:val="32"/>
          <w:szCs w:val="32"/>
          <w:rtl/>
        </w:rPr>
      </w:pPr>
      <w:r w:rsidRPr="009B3D7B">
        <w:rPr>
          <w:b/>
          <w:bCs/>
          <w:sz w:val="32"/>
          <w:szCs w:val="32"/>
          <w:rtl/>
        </w:rPr>
        <w:t>النوعُ الثاني: الغرض الخارجي،</w:t>
      </w:r>
      <w:r w:rsidRPr="009B3D7B">
        <w:rPr>
          <w:sz w:val="32"/>
          <w:szCs w:val="32"/>
          <w:rtl/>
        </w:rPr>
        <w:t xml:space="preserve"> وهو الاستيلاء على ما استؤجر عليه</w:t>
      </w:r>
      <w:r w:rsidRPr="009B3D7B">
        <w:rPr>
          <w:sz w:val="32"/>
          <w:szCs w:val="32"/>
        </w:rPr>
        <w:t>.</w:t>
      </w:r>
    </w:p>
    <w:p w14:paraId="2ABF02CD" w14:textId="77777777" w:rsidR="009B3D7B" w:rsidRPr="009B3D7B" w:rsidRDefault="009B3D7B" w:rsidP="009B3D7B">
      <w:pPr>
        <w:bidi/>
        <w:rPr>
          <w:sz w:val="32"/>
          <w:szCs w:val="32"/>
          <w:rtl/>
        </w:rPr>
      </w:pPr>
      <w:r w:rsidRPr="009B3D7B">
        <w:rPr>
          <w:sz w:val="32"/>
          <w:szCs w:val="32"/>
          <w:rtl/>
        </w:rPr>
        <w:t>وهذا الغرض دخيلٌ في صحّة العقد -لا في قوام العقد-.</w:t>
      </w:r>
    </w:p>
    <w:p w14:paraId="7CDB2F76" w14:textId="77777777" w:rsidR="009B3D7B" w:rsidRPr="009B3D7B" w:rsidRDefault="009B3D7B" w:rsidP="009B3D7B">
      <w:pPr>
        <w:bidi/>
        <w:rPr>
          <w:sz w:val="32"/>
          <w:szCs w:val="32"/>
          <w:rtl/>
        </w:rPr>
      </w:pPr>
      <w:r w:rsidRPr="009B3D7B">
        <w:rPr>
          <w:b/>
          <w:bCs/>
          <w:sz w:val="32"/>
          <w:szCs w:val="32"/>
          <w:rtl/>
        </w:rPr>
        <w:t>النوعُ الثالث: الغرض الشخصي،</w:t>
      </w:r>
      <w:r w:rsidRPr="009B3D7B">
        <w:rPr>
          <w:sz w:val="32"/>
          <w:szCs w:val="32"/>
          <w:rtl/>
        </w:rPr>
        <w:t xml:space="preserve"> أي: الداعي لإيقاع المعاملة الذي يختلف باختلاف الأشخاص</w:t>
      </w:r>
      <w:r w:rsidRPr="009B3D7B">
        <w:rPr>
          <w:sz w:val="32"/>
          <w:szCs w:val="32"/>
        </w:rPr>
        <w:t>.</w:t>
      </w:r>
    </w:p>
    <w:p w14:paraId="7FB8BC85" w14:textId="77777777" w:rsidR="009B3D7B" w:rsidRPr="009B3D7B" w:rsidRDefault="009B3D7B" w:rsidP="009B3D7B">
      <w:pPr>
        <w:bidi/>
        <w:rPr>
          <w:sz w:val="32"/>
          <w:szCs w:val="32"/>
          <w:rtl/>
        </w:rPr>
      </w:pPr>
      <w:r w:rsidRPr="009B3D7B">
        <w:rPr>
          <w:sz w:val="32"/>
          <w:szCs w:val="32"/>
          <w:rtl/>
        </w:rPr>
        <w:t>كما لو استأجر شخصٌ السيارةَ وكان الداعي لاستئجارها هو التزين أمامَ الناس، ولَمْ يستطع التزين، إلّا أنّ الإجارة صحيحة؛ لأنّ تخلف الداعي لا يوجبُ بطلان المعاملة</w:t>
      </w:r>
      <w:r w:rsidRPr="009B3D7B">
        <w:rPr>
          <w:sz w:val="32"/>
          <w:szCs w:val="32"/>
        </w:rPr>
        <w:t>.</w:t>
      </w:r>
    </w:p>
    <w:p w14:paraId="6D2547DB" w14:textId="77777777" w:rsidR="009B3D7B" w:rsidRPr="009B3D7B" w:rsidRDefault="009B3D7B" w:rsidP="009B3D7B">
      <w:pPr>
        <w:bidi/>
        <w:rPr>
          <w:sz w:val="32"/>
          <w:szCs w:val="32"/>
          <w:rtl/>
        </w:rPr>
      </w:pPr>
      <w:r w:rsidRPr="009B3D7B">
        <w:rPr>
          <w:b/>
          <w:bCs/>
          <w:sz w:val="32"/>
          <w:szCs w:val="32"/>
          <w:rtl/>
        </w:rPr>
        <w:t>المقدمةُ الثانية:</w:t>
      </w:r>
      <w:r w:rsidRPr="009B3D7B">
        <w:rPr>
          <w:sz w:val="32"/>
          <w:szCs w:val="32"/>
          <w:rtl/>
        </w:rPr>
        <w:t xml:space="preserve"> إنّ انتفاء الغرض النوعي الخارجي وهو الاستيلاء على متعلّق الإجارة مِن أجل استيفاء المنفعة</w:t>
      </w:r>
      <w:r w:rsidRPr="009B3D7B">
        <w:rPr>
          <w:sz w:val="32"/>
          <w:szCs w:val="32"/>
        </w:rPr>
        <w:t>.</w:t>
      </w:r>
    </w:p>
    <w:p w14:paraId="4A427B0B" w14:textId="77777777" w:rsidR="009B3D7B" w:rsidRPr="009B3D7B" w:rsidRDefault="009B3D7B" w:rsidP="009B3D7B">
      <w:pPr>
        <w:bidi/>
        <w:rPr>
          <w:sz w:val="32"/>
          <w:szCs w:val="32"/>
          <w:rtl/>
        </w:rPr>
      </w:pPr>
      <w:r w:rsidRPr="009B3D7B">
        <w:rPr>
          <w:b/>
          <w:bCs/>
          <w:sz w:val="32"/>
          <w:szCs w:val="32"/>
          <w:rtl/>
        </w:rPr>
        <w:t>أو فقُل:</w:t>
      </w:r>
      <w:r w:rsidRPr="009B3D7B">
        <w:rPr>
          <w:sz w:val="32"/>
          <w:szCs w:val="32"/>
          <w:rtl/>
        </w:rPr>
        <w:t xml:space="preserve"> التمكن مِن الانتفاع -ولو مِن دون استيلاء-، موجبٌ للغوية المبادلة، ومقتضى ذلك فساد الإجارة</w:t>
      </w:r>
      <w:r w:rsidRPr="009B3D7B">
        <w:rPr>
          <w:sz w:val="32"/>
          <w:szCs w:val="32"/>
        </w:rPr>
        <w:t>.</w:t>
      </w:r>
    </w:p>
    <w:p w14:paraId="737730C8" w14:textId="77777777" w:rsidR="009B3D7B" w:rsidRPr="009B3D7B" w:rsidRDefault="009B3D7B" w:rsidP="009B3D7B">
      <w:pPr>
        <w:bidi/>
        <w:rPr>
          <w:sz w:val="32"/>
          <w:szCs w:val="32"/>
          <w:rtl/>
        </w:rPr>
      </w:pPr>
      <w:r w:rsidRPr="009B3D7B">
        <w:rPr>
          <w:sz w:val="32"/>
          <w:szCs w:val="32"/>
          <w:rtl/>
        </w:rPr>
        <w:t>وهو الوجه الأوّل الذي ذكرناه لبطلان الإجارة وهو انتفاءُ الغرض النوعي</w:t>
      </w:r>
      <w:r w:rsidRPr="009B3D7B">
        <w:rPr>
          <w:sz w:val="32"/>
          <w:szCs w:val="32"/>
        </w:rPr>
        <w:t>.</w:t>
      </w:r>
    </w:p>
    <w:p w14:paraId="3E97560D" w14:textId="77777777" w:rsidR="009B3D7B" w:rsidRPr="009B3D7B" w:rsidRDefault="009B3D7B" w:rsidP="009B3D7B">
      <w:pPr>
        <w:bidi/>
        <w:rPr>
          <w:sz w:val="32"/>
          <w:szCs w:val="32"/>
          <w:rtl/>
        </w:rPr>
      </w:pPr>
      <w:r w:rsidRPr="009B3D7B">
        <w:rPr>
          <w:b/>
          <w:bCs/>
          <w:sz w:val="32"/>
          <w:szCs w:val="32"/>
          <w:rtl/>
        </w:rPr>
        <w:t>فتلخص مِن ذلك:</w:t>
      </w:r>
      <w:r w:rsidRPr="009B3D7B">
        <w:rPr>
          <w:sz w:val="32"/>
          <w:szCs w:val="32"/>
          <w:rtl/>
        </w:rPr>
        <w:t xml:space="preserve"> أنّ الصحيح في محلّ الكلام: أنّ تلف العين قَبل القبض أو بَعْدَ القبض بلا فصلٍ موجبٌ لبطلان الإجارة</w:t>
      </w:r>
      <w:r w:rsidRPr="009B3D7B">
        <w:rPr>
          <w:sz w:val="32"/>
          <w:szCs w:val="32"/>
        </w:rPr>
        <w:t>.</w:t>
      </w:r>
    </w:p>
    <w:p w14:paraId="4ECD120E" w14:textId="77777777" w:rsidR="009B3D7B" w:rsidRPr="009B3D7B" w:rsidRDefault="009B3D7B" w:rsidP="009B3D7B">
      <w:pPr>
        <w:bidi/>
        <w:rPr>
          <w:sz w:val="32"/>
          <w:szCs w:val="32"/>
          <w:rtl/>
        </w:rPr>
      </w:pPr>
      <w:r w:rsidRPr="009B3D7B">
        <w:rPr>
          <w:sz w:val="32"/>
          <w:szCs w:val="32"/>
          <w:rtl/>
        </w:rPr>
        <w:t>تمّ الكلام في الصورة الأولى</w:t>
      </w:r>
      <w:r w:rsidRPr="009B3D7B">
        <w:rPr>
          <w:sz w:val="32"/>
          <w:szCs w:val="32"/>
        </w:rPr>
        <w:t>.</w:t>
      </w:r>
    </w:p>
    <w:p w14:paraId="2C3A7B0E" w14:textId="77777777" w:rsidR="009B3D7B" w:rsidRPr="009B3D7B" w:rsidRDefault="009B3D7B" w:rsidP="009B3D7B">
      <w:pPr>
        <w:bidi/>
        <w:rPr>
          <w:b/>
          <w:bCs/>
          <w:sz w:val="32"/>
          <w:szCs w:val="32"/>
          <w:rtl/>
        </w:rPr>
      </w:pPr>
      <w:r w:rsidRPr="009B3D7B">
        <w:rPr>
          <w:b/>
          <w:bCs/>
          <w:sz w:val="32"/>
          <w:szCs w:val="32"/>
          <w:highlight w:val="yellow"/>
          <w:rtl/>
        </w:rPr>
        <w:t>الصورةُ الثانية: ما إذا تلفت العين بَعْدَ القبض بزمنٍ أمكنَ فيه الانتفاع بالعين</w:t>
      </w:r>
      <w:r w:rsidRPr="009B3D7B">
        <w:rPr>
          <w:b/>
          <w:bCs/>
          <w:sz w:val="32"/>
          <w:szCs w:val="32"/>
          <w:highlight w:val="yellow"/>
        </w:rPr>
        <w:t>.</w:t>
      </w:r>
    </w:p>
    <w:p w14:paraId="5A8F8500" w14:textId="77777777" w:rsidR="009B3D7B" w:rsidRPr="009B3D7B" w:rsidRDefault="009B3D7B" w:rsidP="009B3D7B">
      <w:pPr>
        <w:bidi/>
        <w:rPr>
          <w:sz w:val="32"/>
          <w:szCs w:val="32"/>
          <w:rtl/>
        </w:rPr>
      </w:pPr>
      <w:r w:rsidRPr="009B3D7B">
        <w:rPr>
          <w:sz w:val="32"/>
          <w:szCs w:val="32"/>
          <w:rtl/>
        </w:rPr>
        <w:t>فحينئذٍ لا إشكال عندهم في انفساخ الإجارة بلحاظ المدّة الباقية، دون المدّة السابقة</w:t>
      </w:r>
      <w:r w:rsidRPr="009B3D7B">
        <w:rPr>
          <w:sz w:val="32"/>
          <w:szCs w:val="32"/>
        </w:rPr>
        <w:t>.</w:t>
      </w:r>
    </w:p>
    <w:p w14:paraId="4EEE44B0" w14:textId="77777777" w:rsidR="009B3D7B" w:rsidRPr="009B3D7B" w:rsidRDefault="009B3D7B" w:rsidP="009B3D7B">
      <w:pPr>
        <w:bidi/>
        <w:rPr>
          <w:sz w:val="32"/>
          <w:szCs w:val="32"/>
          <w:rtl/>
        </w:rPr>
      </w:pPr>
      <w:r w:rsidRPr="009B3D7B">
        <w:rPr>
          <w:sz w:val="32"/>
          <w:szCs w:val="32"/>
          <w:rtl/>
        </w:rPr>
        <w:lastRenderedPageBreak/>
        <w:t xml:space="preserve">وإنّما الكلام الذي وقع عندهم في خيار تبعض الصفقة؛ حيثُ تبعضت الصفقة على المُستأجر بلحاظ عمود الزمان، فهل تبعض الصفقة بلحاظ عمود الزمان </w:t>
      </w:r>
      <w:proofErr w:type="spellStart"/>
      <w:r w:rsidRPr="009B3D7B">
        <w:rPr>
          <w:sz w:val="32"/>
          <w:szCs w:val="32"/>
          <w:rtl/>
        </w:rPr>
        <w:t>كتبعض</w:t>
      </w:r>
      <w:proofErr w:type="spellEnd"/>
      <w:r w:rsidRPr="009B3D7B">
        <w:rPr>
          <w:sz w:val="32"/>
          <w:szCs w:val="32"/>
          <w:rtl/>
        </w:rPr>
        <w:t xml:space="preserve"> الصفقة بلحاظ الأجزاء الخارجية، كما لو </w:t>
      </w:r>
      <w:proofErr w:type="gramStart"/>
      <w:r w:rsidRPr="009B3D7B">
        <w:rPr>
          <w:sz w:val="32"/>
          <w:szCs w:val="32"/>
          <w:rtl/>
        </w:rPr>
        <w:t>استلم</w:t>
      </w:r>
      <w:proofErr w:type="gramEnd"/>
      <w:r w:rsidRPr="009B3D7B">
        <w:rPr>
          <w:sz w:val="32"/>
          <w:szCs w:val="32"/>
          <w:rtl/>
        </w:rPr>
        <w:t xml:space="preserve"> البيت فخربت بعض غرفه ودوره؟</w:t>
      </w:r>
    </w:p>
    <w:p w14:paraId="25CDFF29" w14:textId="77777777" w:rsidR="009B3D7B" w:rsidRPr="009B3D7B" w:rsidRDefault="009B3D7B" w:rsidP="009B3D7B">
      <w:pPr>
        <w:bidi/>
        <w:rPr>
          <w:sz w:val="32"/>
          <w:szCs w:val="32"/>
          <w:rtl/>
        </w:rPr>
      </w:pPr>
      <w:r w:rsidRPr="009B3D7B">
        <w:rPr>
          <w:sz w:val="32"/>
          <w:szCs w:val="32"/>
          <w:rtl/>
        </w:rPr>
        <w:t>ولَمْ يتعرض سيد العروة وسيدنا الخوئي (قدس سرهما) في المقام لخيار تبعض الصفقة</w:t>
      </w:r>
      <w:r w:rsidRPr="009B3D7B">
        <w:rPr>
          <w:sz w:val="32"/>
          <w:szCs w:val="32"/>
        </w:rPr>
        <w:t>.</w:t>
      </w:r>
    </w:p>
    <w:p w14:paraId="6AC29EF5" w14:textId="77777777" w:rsidR="009B3D7B" w:rsidRPr="009B3D7B" w:rsidRDefault="009B3D7B" w:rsidP="009B3D7B">
      <w:pPr>
        <w:bidi/>
        <w:rPr>
          <w:sz w:val="32"/>
          <w:szCs w:val="32"/>
          <w:rtl/>
        </w:rPr>
      </w:pPr>
      <w:r w:rsidRPr="009B3D7B">
        <w:rPr>
          <w:sz w:val="32"/>
          <w:szCs w:val="32"/>
          <w:rtl/>
        </w:rPr>
        <w:t>والموردُ وإنْ لَمْ يكن مما اتفق عليه مِن موارد تبعض الصفقة، إلّا أنّ النكتة في خيارِ تبعض الصفقة متحقّقةٌ في المقام؛ فإنّ مِلاك خيار تبعض الصفقة -كما ذهب إليه سيدنا الخوئي (قدس سره) أيضاً- الشرطُ الضمني الارتكازي، أي: أنّ هناك شرطاً ارتكازياً حافاً بالمعاوضات وهو وحدة متعلّق المعاوضة، فإذا انفصمت الوحدة مكاناً أو زماناً فيثبتُ خيار تبعض الصفقة، وهذا متحقّق في المقام بلحاظ المنفعة المتكثرة بعمود الزمان.</w:t>
      </w:r>
    </w:p>
    <w:p w14:paraId="47591FC1" w14:textId="77777777" w:rsidR="009B3D7B" w:rsidRPr="009B3D7B" w:rsidRDefault="009B3D7B" w:rsidP="009B3D7B">
      <w:pPr>
        <w:bidi/>
        <w:rPr>
          <w:sz w:val="32"/>
          <w:szCs w:val="32"/>
          <w:rtl/>
        </w:rPr>
      </w:pPr>
    </w:p>
    <w:p w14:paraId="41240787" w14:textId="77777777" w:rsidR="009B3D7B" w:rsidRPr="009B3D7B" w:rsidRDefault="009B3D7B" w:rsidP="009B3D7B">
      <w:pPr>
        <w:bidi/>
        <w:rPr>
          <w:b/>
          <w:bCs/>
          <w:sz w:val="32"/>
          <w:szCs w:val="32"/>
          <w:rtl/>
        </w:rPr>
      </w:pPr>
      <w:r w:rsidRPr="009B3D7B">
        <w:rPr>
          <w:b/>
          <w:bCs/>
          <w:sz w:val="32"/>
          <w:szCs w:val="32"/>
          <w:rtl/>
        </w:rPr>
        <w:t>والحمد لله رب العالمين</w:t>
      </w:r>
    </w:p>
    <w:p w14:paraId="098831FB" w14:textId="77777777" w:rsidR="009B3D7B" w:rsidRDefault="009B3D7B" w:rsidP="009B3D7B">
      <w:pPr>
        <w:bidi/>
        <w:rPr>
          <w:sz w:val="32"/>
          <w:szCs w:val="32"/>
          <w:rtl/>
        </w:rPr>
      </w:pPr>
    </w:p>
    <w:p w14:paraId="11B8E900" w14:textId="24A0F4A5" w:rsidR="001421D9" w:rsidRDefault="00B0575B" w:rsidP="00B0575B">
      <w:pPr>
        <w:pStyle w:val="Heading3"/>
        <w:bidi/>
        <w:rPr>
          <w:sz w:val="32"/>
          <w:szCs w:val="32"/>
          <w:rtl/>
        </w:rPr>
      </w:pPr>
      <w:r>
        <w:rPr>
          <w:rFonts w:hint="cs"/>
          <w:sz w:val="32"/>
          <w:szCs w:val="32"/>
          <w:rtl/>
        </w:rPr>
        <w:t>335</w:t>
      </w:r>
    </w:p>
    <w:p w14:paraId="251494C8" w14:textId="77777777" w:rsidR="00B0575B" w:rsidRPr="005E03C1" w:rsidRDefault="00B0575B" w:rsidP="00B0575B">
      <w:pPr>
        <w:pStyle w:val="a"/>
        <w:bidi/>
        <w:spacing w:line="216" w:lineRule="auto"/>
        <w:jc w:val="center"/>
        <w:rPr>
          <w:rFonts w:ascii="mylotus" w:hAnsi="mylotus"/>
          <w:b/>
          <w:bCs/>
          <w:sz w:val="34"/>
          <w:szCs w:val="34"/>
          <w:rtl/>
        </w:rPr>
      </w:pPr>
      <w:r w:rsidRPr="005E03C1">
        <w:rPr>
          <w:rFonts w:ascii="mylotus" w:hAnsi="mylotus"/>
          <w:b/>
          <w:bCs/>
          <w:sz w:val="34"/>
          <w:szCs w:val="34"/>
          <w:rtl/>
        </w:rPr>
        <w:t>بسم الله الرحمن الرحيم</w:t>
      </w:r>
    </w:p>
    <w:p w14:paraId="219C94D9" w14:textId="77777777" w:rsidR="00B0575B" w:rsidRPr="005E03C1" w:rsidRDefault="00B0575B" w:rsidP="00B0575B">
      <w:pPr>
        <w:pStyle w:val="a"/>
        <w:bidi/>
        <w:spacing w:line="216" w:lineRule="auto"/>
        <w:jc w:val="center"/>
        <w:rPr>
          <w:rFonts w:ascii="mylotus" w:hAnsi="mylotus"/>
          <w:b/>
          <w:bCs/>
          <w:sz w:val="34"/>
          <w:szCs w:val="34"/>
          <w:rtl/>
        </w:rPr>
      </w:pPr>
      <w:r w:rsidRPr="005E03C1">
        <w:rPr>
          <w:rFonts w:ascii="mylotus" w:hAnsi="mylotus"/>
          <w:b/>
          <w:bCs/>
          <w:sz w:val="34"/>
          <w:szCs w:val="34"/>
          <w:rtl/>
        </w:rPr>
        <w:t>والصلاة والسلام على أشرف الأنبياء والمرسلين، محمد وآله الطيبين الطاهرين</w:t>
      </w:r>
    </w:p>
    <w:p w14:paraId="0F071AA8" w14:textId="77777777" w:rsidR="00B0575B" w:rsidRDefault="00B0575B" w:rsidP="00B0575B">
      <w:pPr>
        <w:pStyle w:val="a"/>
        <w:bidi/>
        <w:spacing w:line="216" w:lineRule="auto"/>
        <w:jc w:val="center"/>
        <w:rPr>
          <w:rFonts w:ascii="mylotus" w:hAnsi="mylotus"/>
          <w:sz w:val="34"/>
          <w:szCs w:val="34"/>
          <w:rtl/>
        </w:rPr>
      </w:pPr>
      <w:r w:rsidRPr="005E03C1">
        <w:rPr>
          <w:rFonts w:ascii="mylotus" w:hAnsi="mylotus"/>
          <w:b/>
          <w:bCs/>
          <w:sz w:val="34"/>
          <w:szCs w:val="34"/>
          <w:rtl/>
        </w:rPr>
        <w:t>واللعن الدائم على أعدائهم أجمعين إلى قيام يوم الدين</w:t>
      </w:r>
    </w:p>
    <w:p w14:paraId="1E965FFF" w14:textId="77777777" w:rsidR="00B0575B" w:rsidRPr="00E262BE" w:rsidRDefault="00B0575B" w:rsidP="00B0575B">
      <w:pPr>
        <w:pStyle w:val="a"/>
        <w:bidi/>
        <w:spacing w:line="216" w:lineRule="auto"/>
        <w:rPr>
          <w:rFonts w:ascii="mylotus" w:hAnsi="mylotus"/>
          <w:sz w:val="34"/>
          <w:szCs w:val="34"/>
          <w:rtl/>
        </w:rPr>
      </w:pPr>
    </w:p>
    <w:p w14:paraId="09ED7FA0" w14:textId="77777777" w:rsidR="00B0575B" w:rsidRDefault="00B0575B" w:rsidP="00B0575B">
      <w:pPr>
        <w:pStyle w:val="a"/>
        <w:bidi/>
        <w:spacing w:line="216" w:lineRule="auto"/>
        <w:rPr>
          <w:rFonts w:ascii="mylotus" w:hAnsi="mylotus"/>
          <w:b/>
          <w:bCs/>
          <w:sz w:val="34"/>
          <w:szCs w:val="34"/>
          <w:rtl/>
        </w:rPr>
      </w:pPr>
      <w:r w:rsidRPr="00024EE1">
        <w:rPr>
          <w:rFonts w:ascii="mylotus" w:hAnsi="mylotus"/>
          <w:b/>
          <w:bCs/>
          <w:sz w:val="34"/>
          <w:szCs w:val="34"/>
          <w:rtl/>
        </w:rPr>
        <w:t>وتنقيح</w:t>
      </w:r>
      <w:r w:rsidRPr="00024EE1">
        <w:rPr>
          <w:rFonts w:ascii="mylotus" w:hAnsi="mylotus" w:hint="cs"/>
          <w:b/>
          <w:bCs/>
          <w:sz w:val="34"/>
          <w:szCs w:val="34"/>
          <w:rtl/>
        </w:rPr>
        <w:t>ُ</w:t>
      </w:r>
      <w:r w:rsidRPr="00024EE1">
        <w:rPr>
          <w:rFonts w:ascii="mylotus" w:hAnsi="mylotus"/>
          <w:b/>
          <w:bCs/>
          <w:sz w:val="34"/>
          <w:szCs w:val="34"/>
          <w:rtl/>
        </w:rPr>
        <w:t xml:space="preserve"> المطلب أن</w:t>
      </w:r>
      <w:r w:rsidRPr="00024EE1">
        <w:rPr>
          <w:rFonts w:ascii="mylotus" w:hAnsi="mylotus" w:hint="cs"/>
          <w:b/>
          <w:bCs/>
          <w:sz w:val="34"/>
          <w:szCs w:val="34"/>
          <w:rtl/>
        </w:rPr>
        <w:t>ْ</w:t>
      </w:r>
      <w:r w:rsidRPr="00024EE1">
        <w:rPr>
          <w:rFonts w:ascii="mylotus" w:hAnsi="mylotus"/>
          <w:b/>
          <w:bCs/>
          <w:sz w:val="34"/>
          <w:szCs w:val="34"/>
          <w:rtl/>
        </w:rPr>
        <w:t xml:space="preserve"> ي</w:t>
      </w:r>
      <w:r w:rsidRPr="00024EE1">
        <w:rPr>
          <w:rFonts w:ascii="mylotus" w:hAnsi="mylotus" w:hint="cs"/>
          <w:b/>
          <w:bCs/>
          <w:sz w:val="34"/>
          <w:szCs w:val="34"/>
          <w:rtl/>
        </w:rPr>
        <w:t>ُ</w:t>
      </w:r>
      <w:r w:rsidRPr="00024EE1">
        <w:rPr>
          <w:rFonts w:ascii="mylotus" w:hAnsi="mylotus"/>
          <w:b/>
          <w:bCs/>
          <w:sz w:val="34"/>
          <w:szCs w:val="34"/>
          <w:rtl/>
        </w:rPr>
        <w:t>قال:</w:t>
      </w:r>
      <w:r w:rsidRPr="00D65F50">
        <w:rPr>
          <w:rFonts w:ascii="mylotus" w:hAnsi="mylotus"/>
          <w:sz w:val="34"/>
          <w:szCs w:val="34"/>
          <w:rtl/>
        </w:rPr>
        <w:t xml:space="preserve"> إذا تلفت العينُ أثناء مدّة الإجارة، أو امتنع الانتفاع بها خلالها، فقد أفاد الشيخ (عليه الرحمة) في المبسوط بقوله</w:t>
      </w:r>
      <w:r>
        <w:rPr>
          <w:rStyle w:val="FootnoteReference"/>
          <w:rFonts w:ascii="mylotus" w:hAnsi="mylotus"/>
          <w:sz w:val="34"/>
          <w:szCs w:val="34"/>
          <w:rtl/>
        </w:rPr>
        <w:footnoteReference w:id="255"/>
      </w:r>
      <w:r w:rsidRPr="00D65F50">
        <w:rPr>
          <w:rFonts w:ascii="mylotus" w:hAnsi="mylotus"/>
          <w:sz w:val="34"/>
          <w:szCs w:val="34"/>
          <w:rtl/>
        </w:rPr>
        <w:t xml:space="preserve">: </w:t>
      </w:r>
      <w:r w:rsidRPr="00024EE1">
        <w:rPr>
          <w:rFonts w:ascii="mylotus" w:hAnsi="mylotus"/>
          <w:b/>
          <w:bCs/>
          <w:sz w:val="34"/>
          <w:szCs w:val="34"/>
          <w:rtl/>
        </w:rPr>
        <w:t>(إذا استوفى بعض المنفعة ثم تلف مثل أن يكون آجر عبده سنة معلومة بأجرة معلومة فاستخدمه ستة أشهر ثم مات العبد، فلا خلاف في أن العقد فيما بقي يبطل)</w:t>
      </w:r>
      <w:r w:rsidRPr="00D65F50">
        <w:rPr>
          <w:rFonts w:ascii="mylotus" w:hAnsi="mylotus"/>
          <w:sz w:val="34"/>
          <w:szCs w:val="34"/>
          <w:rtl/>
        </w:rPr>
        <w:t xml:space="preserve"> بانتفاء المنفعة </w:t>
      </w:r>
      <w:r w:rsidRPr="00024EE1">
        <w:rPr>
          <w:rFonts w:ascii="mylotus" w:hAnsi="mylotus"/>
          <w:b/>
          <w:bCs/>
          <w:sz w:val="34"/>
          <w:szCs w:val="34"/>
          <w:rtl/>
        </w:rPr>
        <w:t>(وفيما مضى)</w:t>
      </w:r>
      <w:r w:rsidRPr="00D65F50">
        <w:rPr>
          <w:rFonts w:ascii="mylotus" w:hAnsi="mylotus"/>
          <w:sz w:val="34"/>
          <w:szCs w:val="34"/>
          <w:rtl/>
        </w:rPr>
        <w:t xml:space="preserve"> أي: </w:t>
      </w:r>
      <w:proofErr w:type="gramStart"/>
      <w:r w:rsidRPr="00D65F50">
        <w:rPr>
          <w:rFonts w:ascii="mylotus" w:hAnsi="mylotus"/>
          <w:sz w:val="34"/>
          <w:szCs w:val="34"/>
          <w:rtl/>
        </w:rPr>
        <w:t>في ما</w:t>
      </w:r>
      <w:proofErr w:type="gramEnd"/>
      <w:r w:rsidRPr="00D65F50">
        <w:rPr>
          <w:rFonts w:ascii="mylotus" w:hAnsi="mylotus"/>
          <w:sz w:val="34"/>
          <w:szCs w:val="34"/>
          <w:rtl/>
        </w:rPr>
        <w:t xml:space="preserve"> استوفاه </w:t>
      </w:r>
      <w:r w:rsidRPr="00024EE1">
        <w:rPr>
          <w:rFonts w:ascii="mylotus" w:hAnsi="mylotus"/>
          <w:b/>
          <w:bCs/>
          <w:sz w:val="34"/>
          <w:szCs w:val="34"/>
          <w:rtl/>
        </w:rPr>
        <w:t>(لا يبطل عندنا)</w:t>
      </w:r>
      <w:r w:rsidRPr="00D65F50">
        <w:rPr>
          <w:rFonts w:ascii="mylotus" w:hAnsi="mylotus"/>
          <w:sz w:val="34"/>
          <w:szCs w:val="34"/>
          <w:rtl/>
        </w:rPr>
        <w:t xml:space="preserve"> وكذلك عند بعض العامّة </w:t>
      </w:r>
      <w:r w:rsidRPr="00024EE1">
        <w:rPr>
          <w:rFonts w:ascii="mylotus" w:hAnsi="mylotus"/>
          <w:b/>
          <w:bCs/>
          <w:sz w:val="34"/>
          <w:szCs w:val="34"/>
          <w:rtl/>
        </w:rPr>
        <w:t>(وفيهم)</w:t>
      </w:r>
      <w:r w:rsidRPr="00D65F50">
        <w:rPr>
          <w:rFonts w:ascii="mylotus" w:hAnsi="mylotus"/>
          <w:sz w:val="34"/>
          <w:szCs w:val="34"/>
          <w:rtl/>
        </w:rPr>
        <w:t xml:space="preserve"> أي: العامّة </w:t>
      </w:r>
      <w:r w:rsidRPr="00024EE1">
        <w:rPr>
          <w:rFonts w:ascii="mylotus" w:hAnsi="mylotus"/>
          <w:b/>
          <w:bCs/>
          <w:sz w:val="34"/>
          <w:szCs w:val="34"/>
          <w:rtl/>
        </w:rPr>
        <w:t>(من قال يبطل مبنيا على تفريق الصفقة)</w:t>
      </w:r>
      <w:r w:rsidRPr="00024EE1">
        <w:rPr>
          <w:rFonts w:ascii="mylotus" w:hAnsi="mylotus"/>
          <w:b/>
          <w:bCs/>
          <w:sz w:val="34"/>
          <w:szCs w:val="34"/>
        </w:rPr>
        <w:t>.</w:t>
      </w:r>
    </w:p>
    <w:p w14:paraId="7745C343" w14:textId="77777777" w:rsidR="00B0575B" w:rsidRPr="00D718B1" w:rsidRDefault="00B0575B" w:rsidP="00B0575B">
      <w:pPr>
        <w:pStyle w:val="a"/>
        <w:bidi/>
        <w:spacing w:line="216" w:lineRule="auto"/>
        <w:rPr>
          <w:rFonts w:ascii="mylotus" w:hAnsi="mylotus" w:cs="Cambria"/>
          <w:b/>
          <w:bCs/>
          <w:sz w:val="34"/>
          <w:szCs w:val="34"/>
          <w:rtl/>
        </w:rPr>
      </w:pPr>
      <w:r w:rsidRPr="00D65F50">
        <w:rPr>
          <w:rFonts w:ascii="mylotus" w:hAnsi="mylotus"/>
          <w:sz w:val="34"/>
          <w:szCs w:val="34"/>
          <w:rtl/>
        </w:rPr>
        <w:t>كما نقل في السرائر والتذكرة عن بعضهم</w:t>
      </w:r>
      <w:r>
        <w:rPr>
          <w:rFonts w:ascii="mylotus" w:hAnsi="mylotus" w:hint="cs"/>
          <w:sz w:val="34"/>
          <w:szCs w:val="34"/>
          <w:rtl/>
        </w:rPr>
        <w:t>:</w:t>
      </w:r>
      <w:r w:rsidRPr="00D65F50">
        <w:rPr>
          <w:rFonts w:ascii="mylotus" w:hAnsi="mylotus"/>
          <w:sz w:val="34"/>
          <w:szCs w:val="34"/>
          <w:rtl/>
        </w:rPr>
        <w:t xml:space="preserve"> </w:t>
      </w:r>
      <w:r>
        <w:rPr>
          <w:rFonts w:ascii="mylotus" w:hAnsi="mylotus" w:cs="Cambria" w:hint="cs"/>
          <w:sz w:val="34"/>
          <w:szCs w:val="34"/>
          <w:rtl/>
        </w:rPr>
        <w:t>"</w:t>
      </w:r>
      <w:r w:rsidRPr="00D65F50">
        <w:rPr>
          <w:rFonts w:ascii="mylotus" w:hAnsi="mylotus"/>
          <w:sz w:val="34"/>
          <w:szCs w:val="34"/>
          <w:rtl/>
        </w:rPr>
        <w:t xml:space="preserve">أنّ تلف العين الموجب لتلف المنفعة في بعض المدّة مبطلٌ للعقد، باعتبار أنّ وحدة </w:t>
      </w:r>
      <w:proofErr w:type="gramStart"/>
      <w:r w:rsidRPr="00D65F50">
        <w:rPr>
          <w:rFonts w:ascii="mylotus" w:hAnsi="mylotus"/>
          <w:sz w:val="34"/>
          <w:szCs w:val="34"/>
          <w:rtl/>
        </w:rPr>
        <w:t>الصفقة  عنصرٌ</w:t>
      </w:r>
      <w:proofErr w:type="gramEnd"/>
      <w:r w:rsidRPr="00D65F50">
        <w:rPr>
          <w:rFonts w:ascii="mylotus" w:hAnsi="mylotus"/>
          <w:sz w:val="34"/>
          <w:szCs w:val="34"/>
          <w:rtl/>
        </w:rPr>
        <w:t xml:space="preserve"> دخيلٌ في صحّة المعامل</w:t>
      </w:r>
      <w:r>
        <w:rPr>
          <w:rFonts w:ascii="mylotus" w:hAnsi="mylotus" w:hint="cs"/>
          <w:sz w:val="34"/>
          <w:szCs w:val="34"/>
          <w:rtl/>
        </w:rPr>
        <w:t>ة</w:t>
      </w:r>
      <w:r>
        <w:rPr>
          <w:rFonts w:ascii="mylotus" w:hAnsi="mylotus" w:cs="Cambria" w:hint="cs"/>
          <w:sz w:val="34"/>
          <w:szCs w:val="34"/>
          <w:rtl/>
        </w:rPr>
        <w:t>"</w:t>
      </w:r>
      <w:r>
        <w:rPr>
          <w:rFonts w:ascii="mylotus" w:hAnsi="mylotus" w:hint="cs"/>
          <w:sz w:val="34"/>
          <w:szCs w:val="34"/>
          <w:rtl/>
        </w:rPr>
        <w:t>.</w:t>
      </w:r>
    </w:p>
    <w:p w14:paraId="4A60CCA3" w14:textId="77777777" w:rsidR="00B0575B" w:rsidRPr="00D65F50" w:rsidRDefault="00B0575B" w:rsidP="00B0575B">
      <w:pPr>
        <w:pStyle w:val="a"/>
        <w:bidi/>
        <w:spacing w:line="216" w:lineRule="auto"/>
        <w:rPr>
          <w:rFonts w:ascii="mylotus" w:hAnsi="mylotus"/>
          <w:sz w:val="34"/>
          <w:szCs w:val="34"/>
          <w:rtl/>
        </w:rPr>
      </w:pPr>
      <w:r w:rsidRPr="00D65F50">
        <w:rPr>
          <w:rFonts w:ascii="mylotus" w:hAnsi="mylotus"/>
          <w:sz w:val="34"/>
          <w:szCs w:val="34"/>
          <w:rtl/>
        </w:rPr>
        <w:t>وأمّا مذهب الإمامية فالمشهور</w:t>
      </w:r>
      <w:r>
        <w:rPr>
          <w:rFonts w:ascii="mylotus" w:hAnsi="mylotus" w:hint="cs"/>
          <w:sz w:val="34"/>
          <w:szCs w:val="34"/>
          <w:rtl/>
        </w:rPr>
        <w:t>ُ</w:t>
      </w:r>
      <w:r w:rsidRPr="00D65F50">
        <w:rPr>
          <w:rFonts w:ascii="mylotus" w:hAnsi="mylotus"/>
          <w:sz w:val="34"/>
          <w:szCs w:val="34"/>
          <w:rtl/>
        </w:rPr>
        <w:t xml:space="preserve"> بينهم عدم البطلان، بل </w:t>
      </w:r>
      <w:proofErr w:type="spellStart"/>
      <w:r w:rsidRPr="00D65F50">
        <w:rPr>
          <w:rFonts w:ascii="mylotus" w:hAnsi="mylotus"/>
          <w:sz w:val="34"/>
          <w:szCs w:val="34"/>
          <w:rtl/>
        </w:rPr>
        <w:t>تتقسط</w:t>
      </w:r>
      <w:proofErr w:type="spellEnd"/>
      <w:r w:rsidRPr="00D65F50">
        <w:rPr>
          <w:rFonts w:ascii="mylotus" w:hAnsi="mylotus"/>
          <w:sz w:val="34"/>
          <w:szCs w:val="34"/>
          <w:rtl/>
        </w:rPr>
        <w:t xml:space="preserve"> الأ</w:t>
      </w:r>
      <w:r>
        <w:rPr>
          <w:rFonts w:ascii="mylotus" w:hAnsi="mylotus" w:hint="cs"/>
          <w:sz w:val="34"/>
          <w:szCs w:val="34"/>
          <w:rtl/>
        </w:rPr>
        <w:t>ُ</w:t>
      </w:r>
      <w:r w:rsidRPr="00D65F50">
        <w:rPr>
          <w:rFonts w:ascii="mylotus" w:hAnsi="mylotus"/>
          <w:sz w:val="34"/>
          <w:szCs w:val="34"/>
          <w:rtl/>
        </w:rPr>
        <w:t>جرة على المدّة</w:t>
      </w:r>
      <w:r w:rsidRPr="00D65F50">
        <w:rPr>
          <w:rFonts w:ascii="mylotus" w:hAnsi="mylotus"/>
          <w:sz w:val="34"/>
          <w:szCs w:val="34"/>
        </w:rPr>
        <w:t>.</w:t>
      </w:r>
    </w:p>
    <w:p w14:paraId="7E97673F" w14:textId="77777777" w:rsidR="00B0575B" w:rsidRPr="00D65F50" w:rsidRDefault="00B0575B" w:rsidP="00B0575B">
      <w:pPr>
        <w:pStyle w:val="a"/>
        <w:bidi/>
        <w:spacing w:line="216" w:lineRule="auto"/>
        <w:rPr>
          <w:rFonts w:ascii="mylotus" w:hAnsi="mylotus"/>
          <w:sz w:val="34"/>
          <w:szCs w:val="34"/>
          <w:rtl/>
        </w:rPr>
      </w:pPr>
      <w:r w:rsidRPr="00024EE1">
        <w:rPr>
          <w:rFonts w:ascii="mylotus" w:hAnsi="mylotus"/>
          <w:b/>
          <w:bCs/>
          <w:sz w:val="34"/>
          <w:szCs w:val="34"/>
          <w:rtl/>
        </w:rPr>
        <w:t xml:space="preserve">والوجهُ في ذلك: </w:t>
      </w:r>
      <w:r w:rsidRPr="00D65F50">
        <w:rPr>
          <w:rFonts w:ascii="mylotus" w:hAnsi="mylotus"/>
          <w:sz w:val="34"/>
          <w:szCs w:val="34"/>
          <w:rtl/>
        </w:rPr>
        <w:t>أنّ الإجارة المتعلقة بالمنفعة المتكثرة بمرور</w:t>
      </w:r>
      <w:r>
        <w:rPr>
          <w:rFonts w:ascii="mylotus" w:hAnsi="mylotus" w:hint="cs"/>
          <w:sz w:val="34"/>
          <w:szCs w:val="34"/>
          <w:rtl/>
        </w:rPr>
        <w:t xml:space="preserve"> </w:t>
      </w:r>
      <w:r w:rsidRPr="00D65F50">
        <w:rPr>
          <w:rFonts w:ascii="mylotus" w:hAnsi="mylotus"/>
          <w:sz w:val="34"/>
          <w:szCs w:val="34"/>
          <w:rtl/>
        </w:rPr>
        <w:t>الزمن انحلالية، والمعيار في صحّة المعاوضة هو إمكان الانتفاع بالعوضين، والمفروض أن</w:t>
      </w:r>
      <w:r>
        <w:rPr>
          <w:rFonts w:ascii="mylotus" w:hAnsi="mylotus" w:hint="cs"/>
          <w:sz w:val="34"/>
          <w:szCs w:val="34"/>
          <w:rtl/>
        </w:rPr>
        <w:t>ّ</w:t>
      </w:r>
      <w:r w:rsidRPr="00D65F50">
        <w:rPr>
          <w:rFonts w:ascii="mylotus" w:hAnsi="mylotus"/>
          <w:sz w:val="34"/>
          <w:szCs w:val="34"/>
          <w:rtl/>
        </w:rPr>
        <w:t xml:space="preserve"> الم</w:t>
      </w:r>
      <w:r>
        <w:rPr>
          <w:rFonts w:ascii="mylotus" w:hAnsi="mylotus" w:hint="cs"/>
          <w:sz w:val="34"/>
          <w:szCs w:val="34"/>
          <w:rtl/>
        </w:rPr>
        <w:t>ُ</w:t>
      </w:r>
      <w:r w:rsidRPr="00D65F50">
        <w:rPr>
          <w:rFonts w:ascii="mylotus" w:hAnsi="mylotus"/>
          <w:sz w:val="34"/>
          <w:szCs w:val="34"/>
          <w:rtl/>
        </w:rPr>
        <w:t>ستأجر في المقام قد استوفى المنفعة السابقة، وهذا يعني صح</w:t>
      </w:r>
      <w:r>
        <w:rPr>
          <w:rFonts w:ascii="mylotus" w:hAnsi="mylotus" w:hint="cs"/>
          <w:sz w:val="34"/>
          <w:szCs w:val="34"/>
          <w:rtl/>
        </w:rPr>
        <w:t>ّ</w:t>
      </w:r>
      <w:r w:rsidRPr="00D65F50">
        <w:rPr>
          <w:rFonts w:ascii="mylotus" w:hAnsi="mylotus"/>
          <w:sz w:val="34"/>
          <w:szCs w:val="34"/>
          <w:rtl/>
        </w:rPr>
        <w:t>ة الإجارة</w:t>
      </w:r>
      <w:r>
        <w:rPr>
          <w:rFonts w:ascii="mylotus" w:hAnsi="mylotus" w:hint="cs"/>
          <w:sz w:val="34"/>
          <w:szCs w:val="34"/>
          <w:rtl/>
        </w:rPr>
        <w:t>؛</w:t>
      </w:r>
      <w:r w:rsidRPr="00D65F50">
        <w:rPr>
          <w:rFonts w:ascii="mylotus" w:hAnsi="mylotus"/>
          <w:sz w:val="34"/>
          <w:szCs w:val="34"/>
          <w:rtl/>
        </w:rPr>
        <w:t xml:space="preserve"> لتحق</w:t>
      </w:r>
      <w:r>
        <w:rPr>
          <w:rFonts w:ascii="mylotus" w:hAnsi="mylotus" w:hint="cs"/>
          <w:sz w:val="34"/>
          <w:szCs w:val="34"/>
          <w:rtl/>
        </w:rPr>
        <w:t>ّ</w:t>
      </w:r>
      <w:r w:rsidRPr="00D65F50">
        <w:rPr>
          <w:rFonts w:ascii="mylotus" w:hAnsi="mylotus"/>
          <w:sz w:val="34"/>
          <w:szCs w:val="34"/>
          <w:rtl/>
        </w:rPr>
        <w:t>ق المعيار للصح</w:t>
      </w:r>
      <w:r>
        <w:rPr>
          <w:rFonts w:ascii="mylotus" w:hAnsi="mylotus" w:hint="cs"/>
          <w:sz w:val="34"/>
          <w:szCs w:val="34"/>
          <w:rtl/>
        </w:rPr>
        <w:t>ّ</w:t>
      </w:r>
      <w:r w:rsidRPr="00D65F50">
        <w:rPr>
          <w:rFonts w:ascii="mylotus" w:hAnsi="mylotus"/>
          <w:sz w:val="34"/>
          <w:szCs w:val="34"/>
          <w:rtl/>
        </w:rPr>
        <w:t>ة فيها، فلا</w:t>
      </w:r>
      <w:r>
        <w:rPr>
          <w:rFonts w:ascii="mylotus" w:hAnsi="mylotus" w:hint="cs"/>
          <w:sz w:val="34"/>
          <w:szCs w:val="34"/>
          <w:rtl/>
        </w:rPr>
        <w:t xml:space="preserve"> </w:t>
      </w:r>
      <w:r w:rsidRPr="00D65F50">
        <w:rPr>
          <w:rFonts w:ascii="mylotus" w:hAnsi="mylotus"/>
          <w:sz w:val="34"/>
          <w:szCs w:val="34"/>
          <w:rtl/>
        </w:rPr>
        <w:t xml:space="preserve">وجه </w:t>
      </w:r>
      <w:r w:rsidRPr="00D65F50">
        <w:rPr>
          <w:rFonts w:ascii="mylotus" w:hAnsi="mylotus"/>
          <w:sz w:val="34"/>
          <w:szCs w:val="34"/>
          <w:rtl/>
        </w:rPr>
        <w:lastRenderedPageBreak/>
        <w:t xml:space="preserve">للبطلان </w:t>
      </w:r>
      <w:proofErr w:type="gramStart"/>
      <w:r w:rsidRPr="00D65F50">
        <w:rPr>
          <w:rFonts w:ascii="mylotus" w:hAnsi="mylotus"/>
          <w:sz w:val="34"/>
          <w:szCs w:val="34"/>
          <w:rtl/>
        </w:rPr>
        <w:t>في ما</w:t>
      </w:r>
      <w:proofErr w:type="gramEnd"/>
      <w:r>
        <w:rPr>
          <w:rFonts w:ascii="mylotus" w:hAnsi="mylotus" w:hint="cs"/>
          <w:sz w:val="34"/>
          <w:szCs w:val="34"/>
          <w:rtl/>
        </w:rPr>
        <w:t xml:space="preserve"> </w:t>
      </w:r>
      <w:r w:rsidRPr="00D65F50">
        <w:rPr>
          <w:rFonts w:ascii="mylotus" w:hAnsi="mylotus"/>
          <w:sz w:val="34"/>
          <w:szCs w:val="34"/>
          <w:rtl/>
        </w:rPr>
        <w:t>تحق</w:t>
      </w:r>
      <w:r>
        <w:rPr>
          <w:rFonts w:ascii="mylotus" w:hAnsi="mylotus" w:hint="cs"/>
          <w:sz w:val="34"/>
          <w:szCs w:val="34"/>
          <w:rtl/>
        </w:rPr>
        <w:t>ّ</w:t>
      </w:r>
      <w:r w:rsidRPr="00D65F50">
        <w:rPr>
          <w:rFonts w:ascii="mylotus" w:hAnsi="mylotus"/>
          <w:sz w:val="34"/>
          <w:szCs w:val="34"/>
          <w:rtl/>
        </w:rPr>
        <w:t>ق، كما لا</w:t>
      </w:r>
      <w:r>
        <w:rPr>
          <w:rFonts w:ascii="mylotus" w:hAnsi="mylotus" w:hint="cs"/>
          <w:sz w:val="34"/>
          <w:szCs w:val="34"/>
          <w:rtl/>
        </w:rPr>
        <w:t xml:space="preserve"> </w:t>
      </w:r>
      <w:r w:rsidRPr="00D65F50">
        <w:rPr>
          <w:rFonts w:ascii="mylotus" w:hAnsi="mylotus"/>
          <w:sz w:val="34"/>
          <w:szCs w:val="34"/>
          <w:rtl/>
        </w:rPr>
        <w:t>وجه للصح</w:t>
      </w:r>
      <w:r>
        <w:rPr>
          <w:rFonts w:ascii="mylotus" w:hAnsi="mylotus" w:hint="cs"/>
          <w:sz w:val="34"/>
          <w:szCs w:val="34"/>
          <w:rtl/>
        </w:rPr>
        <w:t>ّ</w:t>
      </w:r>
      <w:r w:rsidRPr="00D65F50">
        <w:rPr>
          <w:rFonts w:ascii="mylotus" w:hAnsi="mylotus"/>
          <w:sz w:val="34"/>
          <w:szCs w:val="34"/>
          <w:rtl/>
        </w:rPr>
        <w:t xml:space="preserve">ة </w:t>
      </w:r>
      <w:proofErr w:type="gramStart"/>
      <w:r w:rsidRPr="00D65F50">
        <w:rPr>
          <w:rFonts w:ascii="mylotus" w:hAnsi="mylotus"/>
          <w:sz w:val="34"/>
          <w:szCs w:val="34"/>
          <w:rtl/>
        </w:rPr>
        <w:t>في ما</w:t>
      </w:r>
      <w:proofErr w:type="gramEnd"/>
      <w:r>
        <w:rPr>
          <w:rFonts w:ascii="mylotus" w:hAnsi="mylotus" w:hint="cs"/>
          <w:sz w:val="34"/>
          <w:szCs w:val="34"/>
          <w:rtl/>
        </w:rPr>
        <w:t xml:space="preserve"> </w:t>
      </w:r>
      <w:r w:rsidRPr="00D65F50">
        <w:rPr>
          <w:rFonts w:ascii="mylotus" w:hAnsi="mylotus"/>
          <w:sz w:val="34"/>
          <w:szCs w:val="34"/>
          <w:rtl/>
        </w:rPr>
        <w:t>بقي</w:t>
      </w:r>
      <w:r>
        <w:rPr>
          <w:rFonts w:ascii="mylotus" w:hAnsi="mylotus" w:hint="cs"/>
          <w:sz w:val="34"/>
          <w:szCs w:val="34"/>
          <w:rtl/>
        </w:rPr>
        <w:t>؛</w:t>
      </w:r>
      <w:r w:rsidRPr="00D65F50">
        <w:rPr>
          <w:rFonts w:ascii="mylotus" w:hAnsi="mylotus"/>
          <w:sz w:val="34"/>
          <w:szCs w:val="34"/>
          <w:rtl/>
        </w:rPr>
        <w:t xml:space="preserve"> لامتناع ال</w:t>
      </w:r>
      <w:r>
        <w:rPr>
          <w:rFonts w:ascii="mylotus" w:hAnsi="mylotus" w:hint="cs"/>
          <w:sz w:val="34"/>
          <w:szCs w:val="34"/>
          <w:rtl/>
        </w:rPr>
        <w:t>ا</w:t>
      </w:r>
      <w:r w:rsidRPr="00D65F50">
        <w:rPr>
          <w:rFonts w:ascii="mylotus" w:hAnsi="mylotus"/>
          <w:sz w:val="34"/>
          <w:szCs w:val="34"/>
          <w:rtl/>
        </w:rPr>
        <w:t>نتفاع في ظرفه.</w:t>
      </w:r>
      <w:r>
        <w:rPr>
          <w:rFonts w:ascii="mylotus" w:hAnsi="mylotus" w:hint="cs"/>
          <w:sz w:val="34"/>
          <w:szCs w:val="34"/>
          <w:rtl/>
        </w:rPr>
        <w:t xml:space="preserve"> </w:t>
      </w:r>
      <w:r w:rsidRPr="00D65F50">
        <w:rPr>
          <w:rFonts w:ascii="mylotus" w:hAnsi="mylotus"/>
          <w:sz w:val="34"/>
          <w:szCs w:val="34"/>
          <w:rtl/>
        </w:rPr>
        <w:t>أو لانتفاء القدرة على التسليم بناء</w:t>
      </w:r>
      <w:r>
        <w:rPr>
          <w:rFonts w:ascii="mylotus" w:hAnsi="mylotus" w:hint="cs"/>
          <w:sz w:val="34"/>
          <w:szCs w:val="34"/>
          <w:rtl/>
        </w:rPr>
        <w:t>ً</w:t>
      </w:r>
      <w:r w:rsidRPr="00D65F50">
        <w:rPr>
          <w:rFonts w:ascii="mylotus" w:hAnsi="mylotus"/>
          <w:sz w:val="34"/>
          <w:szCs w:val="34"/>
          <w:rtl/>
        </w:rPr>
        <w:t xml:space="preserve"> على شرطيتها في صح</w:t>
      </w:r>
      <w:r>
        <w:rPr>
          <w:rFonts w:ascii="mylotus" w:hAnsi="mylotus" w:hint="cs"/>
          <w:sz w:val="34"/>
          <w:szCs w:val="34"/>
          <w:rtl/>
        </w:rPr>
        <w:t>ّ</w:t>
      </w:r>
      <w:r w:rsidRPr="00D65F50">
        <w:rPr>
          <w:rFonts w:ascii="mylotus" w:hAnsi="mylotus"/>
          <w:sz w:val="34"/>
          <w:szCs w:val="34"/>
          <w:rtl/>
        </w:rPr>
        <w:t>ة المعاملة،</w:t>
      </w:r>
      <w:r>
        <w:rPr>
          <w:rFonts w:ascii="mylotus" w:hAnsi="mylotus" w:hint="cs"/>
          <w:sz w:val="34"/>
          <w:szCs w:val="34"/>
          <w:rtl/>
        </w:rPr>
        <w:t xml:space="preserve"> </w:t>
      </w:r>
      <w:r w:rsidRPr="00D65F50">
        <w:rPr>
          <w:rFonts w:ascii="mylotus" w:hAnsi="mylotus"/>
          <w:sz w:val="34"/>
          <w:szCs w:val="34"/>
          <w:rtl/>
        </w:rPr>
        <w:t>أو</w:t>
      </w:r>
      <w:r>
        <w:rPr>
          <w:rFonts w:ascii="mylotus" w:hAnsi="mylotus" w:hint="cs"/>
          <w:sz w:val="34"/>
          <w:szCs w:val="34"/>
          <w:rtl/>
        </w:rPr>
        <w:t xml:space="preserve"> </w:t>
      </w:r>
      <w:r w:rsidRPr="00D65F50">
        <w:rPr>
          <w:rFonts w:ascii="mylotus" w:hAnsi="mylotus"/>
          <w:sz w:val="34"/>
          <w:szCs w:val="34"/>
          <w:rtl/>
        </w:rPr>
        <w:t>لأن</w:t>
      </w:r>
      <w:r>
        <w:rPr>
          <w:rFonts w:ascii="mylotus" w:hAnsi="mylotus" w:hint="cs"/>
          <w:sz w:val="34"/>
          <w:szCs w:val="34"/>
          <w:rtl/>
        </w:rPr>
        <w:t>ّ</w:t>
      </w:r>
      <w:r w:rsidRPr="00D65F50">
        <w:rPr>
          <w:rFonts w:ascii="mylotus" w:hAnsi="mylotus"/>
          <w:sz w:val="34"/>
          <w:szCs w:val="34"/>
          <w:rtl/>
        </w:rPr>
        <w:t xml:space="preserve"> امتناع الانتفاع في المدّة الباقية مساوق</w:t>
      </w:r>
      <w:r>
        <w:rPr>
          <w:rFonts w:ascii="mylotus" w:hAnsi="mylotus" w:hint="cs"/>
          <w:sz w:val="34"/>
          <w:szCs w:val="34"/>
          <w:rtl/>
        </w:rPr>
        <w:t>ٌ</w:t>
      </w:r>
      <w:r w:rsidRPr="00D65F50">
        <w:rPr>
          <w:rFonts w:ascii="mylotus" w:hAnsi="mylotus"/>
          <w:sz w:val="34"/>
          <w:szCs w:val="34"/>
          <w:rtl/>
        </w:rPr>
        <w:t xml:space="preserve"> لانتفاء الغرض النوعي الموجب للبطلان، فمقتضى ذلك تقسيط الأ</w:t>
      </w:r>
      <w:r>
        <w:rPr>
          <w:rFonts w:ascii="mylotus" w:hAnsi="mylotus" w:hint="cs"/>
          <w:sz w:val="34"/>
          <w:szCs w:val="34"/>
          <w:rtl/>
        </w:rPr>
        <w:t>ُ</w:t>
      </w:r>
      <w:r w:rsidRPr="00D65F50">
        <w:rPr>
          <w:rFonts w:ascii="mylotus" w:hAnsi="mylotus"/>
          <w:sz w:val="34"/>
          <w:szCs w:val="34"/>
          <w:rtl/>
        </w:rPr>
        <w:t>جرة على ما مضى وما بقي إنْ كانت الأجزاء متساوية، وإنْ كانت متفاوتة فبالنسبة، كما في المدن الكبيرة والعواصم حيثُ تختلف الأُجرة فيها في فصل الصيف عنها في فصل الشتاء لكثرة السياحة فيه، وكذلك في الأماكن المقدسة حيثُ تكونُ الأُجرة في أيام المناسبات أغلى مِن بقية الأيام، ففي مقام التقسيط لابُدّ مِن ملاحظة التفاوت. وهذا واضحٌ</w:t>
      </w:r>
      <w:r w:rsidRPr="00D65F50">
        <w:rPr>
          <w:rFonts w:ascii="mylotus" w:hAnsi="mylotus"/>
          <w:sz w:val="34"/>
          <w:szCs w:val="34"/>
        </w:rPr>
        <w:t>.</w:t>
      </w:r>
    </w:p>
    <w:p w14:paraId="1160DA85" w14:textId="77777777" w:rsidR="00B0575B" w:rsidRPr="00D65F50" w:rsidRDefault="00B0575B" w:rsidP="00B0575B">
      <w:pPr>
        <w:pStyle w:val="a"/>
        <w:bidi/>
        <w:spacing w:line="216" w:lineRule="auto"/>
        <w:rPr>
          <w:rFonts w:ascii="mylotus" w:hAnsi="mylotus"/>
          <w:sz w:val="34"/>
          <w:szCs w:val="34"/>
          <w:rtl/>
        </w:rPr>
      </w:pPr>
      <w:r w:rsidRPr="00D65F50">
        <w:rPr>
          <w:rFonts w:ascii="mylotus" w:hAnsi="mylotus"/>
          <w:sz w:val="34"/>
          <w:szCs w:val="34"/>
          <w:rtl/>
        </w:rPr>
        <w:t xml:space="preserve">إلّا أنّ الشيخ (عليه الرحمة) في المبسوط أضاف لذلك ثبوت الخيار بقوله: </w:t>
      </w:r>
      <w:r w:rsidRPr="00024EE1">
        <w:rPr>
          <w:rFonts w:ascii="mylotus" w:hAnsi="mylotus"/>
          <w:b/>
          <w:bCs/>
          <w:sz w:val="34"/>
          <w:szCs w:val="34"/>
          <w:rtl/>
        </w:rPr>
        <w:t xml:space="preserve">(وإذا ثبت ما قلناه إن الإجارة صحيحة فيما مضى، وباطلة فيما بقي، فهو بالخيار بين أن يفسخ وأن يقيم، فإن أراد الفسخ فلا كلام فيه كما لو انفسخ أوقلنا ببطلانه، فله أجرة المثل، وإن أقام نظرت فإن كان أجرة ما بقي مثل أجرة ما مضى، فإنه يأخذه لما مضى. وإن كان فيما بقي من المدة أجرته أكثر مما مضى، فإنه يستحق تلك الزيادة وذلك مثل أن يكون أجرة المدة التي مضت </w:t>
      </w:r>
      <w:proofErr w:type="gramStart"/>
      <w:r w:rsidRPr="00024EE1">
        <w:rPr>
          <w:rFonts w:ascii="mylotus" w:hAnsi="mylotus"/>
          <w:b/>
          <w:bCs/>
          <w:sz w:val="34"/>
          <w:szCs w:val="34"/>
          <w:rtl/>
        </w:rPr>
        <w:t>مائة</w:t>
      </w:r>
      <w:proofErr w:type="gramEnd"/>
      <w:r w:rsidRPr="00024EE1">
        <w:rPr>
          <w:rFonts w:ascii="mylotus" w:hAnsi="mylotus"/>
          <w:b/>
          <w:bCs/>
          <w:sz w:val="34"/>
          <w:szCs w:val="34"/>
          <w:rtl/>
        </w:rPr>
        <w:t xml:space="preserve"> درهم، وأجرة مدة ما بقي </w:t>
      </w:r>
      <w:proofErr w:type="gramStart"/>
      <w:r w:rsidRPr="00024EE1">
        <w:rPr>
          <w:rFonts w:ascii="mylotus" w:hAnsi="mylotus"/>
          <w:b/>
          <w:bCs/>
          <w:sz w:val="34"/>
          <w:szCs w:val="34"/>
          <w:rtl/>
        </w:rPr>
        <w:t>مائتين</w:t>
      </w:r>
      <w:proofErr w:type="gramEnd"/>
      <w:r w:rsidRPr="00024EE1">
        <w:rPr>
          <w:rFonts w:ascii="mylotus" w:hAnsi="mylotus"/>
          <w:b/>
          <w:bCs/>
          <w:sz w:val="34"/>
          <w:szCs w:val="34"/>
          <w:rtl/>
        </w:rPr>
        <w:t xml:space="preserve"> فإنه يستحق عليه </w:t>
      </w:r>
      <w:proofErr w:type="gramStart"/>
      <w:r w:rsidRPr="00024EE1">
        <w:rPr>
          <w:rFonts w:ascii="mylotus" w:hAnsi="mylotus"/>
          <w:b/>
          <w:bCs/>
          <w:sz w:val="34"/>
          <w:szCs w:val="34"/>
          <w:rtl/>
        </w:rPr>
        <w:t>مائتين</w:t>
      </w:r>
      <w:proofErr w:type="gramEnd"/>
      <w:r w:rsidRPr="00024EE1">
        <w:rPr>
          <w:rFonts w:ascii="mylotus" w:hAnsi="mylotus"/>
          <w:b/>
          <w:bCs/>
          <w:sz w:val="34"/>
          <w:szCs w:val="34"/>
          <w:rtl/>
        </w:rPr>
        <w:t xml:space="preserve"> ويعكس هذا إن كانت أجرة المدة التي مضت </w:t>
      </w:r>
      <w:proofErr w:type="gramStart"/>
      <w:r w:rsidRPr="00024EE1">
        <w:rPr>
          <w:rFonts w:ascii="mylotus" w:hAnsi="mylotus"/>
          <w:b/>
          <w:bCs/>
          <w:sz w:val="34"/>
          <w:szCs w:val="34"/>
          <w:rtl/>
        </w:rPr>
        <w:t>مائتين</w:t>
      </w:r>
      <w:proofErr w:type="gramEnd"/>
      <w:r w:rsidRPr="00024EE1">
        <w:rPr>
          <w:rFonts w:ascii="mylotus" w:hAnsi="mylotus"/>
          <w:b/>
          <w:bCs/>
          <w:sz w:val="34"/>
          <w:szCs w:val="34"/>
          <w:rtl/>
        </w:rPr>
        <w:t xml:space="preserve"> ومدة الباقي </w:t>
      </w:r>
      <w:proofErr w:type="gramStart"/>
      <w:r w:rsidRPr="00024EE1">
        <w:rPr>
          <w:rFonts w:ascii="mylotus" w:hAnsi="mylotus"/>
          <w:b/>
          <w:bCs/>
          <w:sz w:val="34"/>
          <w:szCs w:val="34"/>
          <w:rtl/>
        </w:rPr>
        <w:t>مائة</w:t>
      </w:r>
      <w:proofErr w:type="gramEnd"/>
      <w:r w:rsidRPr="00024EE1">
        <w:rPr>
          <w:rFonts w:ascii="mylotus" w:hAnsi="mylotus"/>
          <w:b/>
          <w:bCs/>
          <w:sz w:val="34"/>
          <w:szCs w:val="34"/>
          <w:rtl/>
        </w:rPr>
        <w:t xml:space="preserve">، فإنه يستحق </w:t>
      </w:r>
      <w:proofErr w:type="gramStart"/>
      <w:r w:rsidRPr="00024EE1">
        <w:rPr>
          <w:rFonts w:ascii="mylotus" w:hAnsi="mylotus"/>
          <w:b/>
          <w:bCs/>
          <w:sz w:val="34"/>
          <w:szCs w:val="34"/>
          <w:rtl/>
        </w:rPr>
        <w:t>مائة</w:t>
      </w:r>
      <w:proofErr w:type="gramEnd"/>
      <w:r w:rsidRPr="00024EE1">
        <w:rPr>
          <w:rFonts w:ascii="mylotus" w:hAnsi="mylotus"/>
          <w:b/>
          <w:bCs/>
          <w:sz w:val="34"/>
          <w:szCs w:val="34"/>
          <w:rtl/>
        </w:rPr>
        <w:t>)</w:t>
      </w:r>
      <w:r>
        <w:rPr>
          <w:rStyle w:val="FootnoteReference"/>
          <w:rFonts w:ascii="mylotus" w:hAnsi="mylotus"/>
          <w:sz w:val="34"/>
          <w:szCs w:val="34"/>
          <w:rtl/>
        </w:rPr>
        <w:footnoteReference w:id="256"/>
      </w:r>
      <w:r w:rsidRPr="00024EE1">
        <w:rPr>
          <w:rFonts w:ascii="mylotus" w:hAnsi="mylotus"/>
          <w:b/>
          <w:bCs/>
          <w:sz w:val="34"/>
          <w:szCs w:val="34"/>
          <w:rtl/>
        </w:rPr>
        <w:t>.</w:t>
      </w:r>
    </w:p>
    <w:p w14:paraId="4BABD2E5" w14:textId="77777777" w:rsidR="00B0575B" w:rsidRPr="00D65F50" w:rsidRDefault="00B0575B" w:rsidP="00B0575B">
      <w:pPr>
        <w:pStyle w:val="a"/>
        <w:bidi/>
        <w:spacing w:line="216" w:lineRule="auto"/>
        <w:rPr>
          <w:rFonts w:ascii="mylotus" w:hAnsi="mylotus"/>
          <w:sz w:val="34"/>
          <w:szCs w:val="34"/>
          <w:rtl/>
        </w:rPr>
      </w:pPr>
      <w:r w:rsidRPr="00024EE1">
        <w:rPr>
          <w:rFonts w:ascii="mylotus" w:hAnsi="mylotus"/>
          <w:b/>
          <w:bCs/>
          <w:sz w:val="34"/>
          <w:szCs w:val="34"/>
          <w:rtl/>
        </w:rPr>
        <w:t>وم</w:t>
      </w:r>
      <w:r w:rsidRPr="00024EE1">
        <w:rPr>
          <w:rFonts w:ascii="mylotus" w:hAnsi="mylotus" w:hint="cs"/>
          <w:b/>
          <w:bCs/>
          <w:sz w:val="34"/>
          <w:szCs w:val="34"/>
          <w:rtl/>
        </w:rPr>
        <w:t>ُ</w:t>
      </w:r>
      <w:r w:rsidRPr="00024EE1">
        <w:rPr>
          <w:rFonts w:ascii="mylotus" w:hAnsi="mylotus"/>
          <w:b/>
          <w:bCs/>
          <w:sz w:val="34"/>
          <w:szCs w:val="34"/>
          <w:rtl/>
        </w:rPr>
        <w:t>ؤدى كلامه (رحمه الله):</w:t>
      </w:r>
      <w:r w:rsidRPr="00D65F50">
        <w:rPr>
          <w:rFonts w:ascii="mylotus" w:hAnsi="mylotus"/>
          <w:sz w:val="34"/>
          <w:szCs w:val="34"/>
          <w:rtl/>
        </w:rPr>
        <w:t xml:space="preserve"> أنّ للمُستأجر فسخ العقد</w:t>
      </w:r>
      <w:r>
        <w:rPr>
          <w:rFonts w:ascii="mylotus" w:hAnsi="mylotus" w:hint="cs"/>
          <w:sz w:val="34"/>
          <w:szCs w:val="34"/>
          <w:rtl/>
        </w:rPr>
        <w:t>،</w:t>
      </w:r>
      <w:r w:rsidRPr="00D65F50">
        <w:rPr>
          <w:rFonts w:ascii="mylotus" w:hAnsi="mylotus"/>
          <w:sz w:val="34"/>
          <w:szCs w:val="34"/>
          <w:rtl/>
        </w:rPr>
        <w:t xml:space="preserve"> فإذا فسخ العقد استرجع تمام الأُجرة المسمّاة ودفع عما استوفاه أ</w:t>
      </w:r>
      <w:r>
        <w:rPr>
          <w:rFonts w:ascii="mylotus" w:hAnsi="mylotus" w:hint="cs"/>
          <w:sz w:val="34"/>
          <w:szCs w:val="34"/>
          <w:rtl/>
        </w:rPr>
        <w:t>ُ</w:t>
      </w:r>
      <w:r w:rsidRPr="00D65F50">
        <w:rPr>
          <w:rFonts w:ascii="mylotus" w:hAnsi="mylotus"/>
          <w:sz w:val="34"/>
          <w:szCs w:val="34"/>
          <w:rtl/>
        </w:rPr>
        <w:t>جرة المثل</w:t>
      </w:r>
      <w:r w:rsidRPr="00D65F50">
        <w:rPr>
          <w:rFonts w:ascii="mylotus" w:hAnsi="mylotus"/>
          <w:sz w:val="34"/>
          <w:szCs w:val="34"/>
        </w:rPr>
        <w:t>.</w:t>
      </w:r>
    </w:p>
    <w:p w14:paraId="19C665F9" w14:textId="77777777" w:rsidR="00B0575B" w:rsidRPr="00024EE1" w:rsidRDefault="00B0575B" w:rsidP="00B0575B">
      <w:pPr>
        <w:pStyle w:val="a"/>
        <w:bidi/>
        <w:spacing w:line="216" w:lineRule="auto"/>
        <w:rPr>
          <w:rFonts w:ascii="mylotus" w:hAnsi="mylotus"/>
          <w:b/>
          <w:bCs/>
          <w:sz w:val="34"/>
          <w:szCs w:val="34"/>
          <w:rtl/>
        </w:rPr>
      </w:pPr>
      <w:r w:rsidRPr="00D65F50">
        <w:rPr>
          <w:rFonts w:ascii="mylotus" w:hAnsi="mylotus"/>
          <w:sz w:val="34"/>
          <w:szCs w:val="34"/>
          <w:rtl/>
        </w:rPr>
        <w:t>وقد وافقه السيد الحكيم الجد (قدس سره الشريف) في منهاج الصالحين بقوله</w:t>
      </w:r>
      <w:r>
        <w:rPr>
          <w:rStyle w:val="FootnoteReference"/>
          <w:rFonts w:ascii="mylotus" w:hAnsi="mylotus"/>
          <w:sz w:val="34"/>
          <w:szCs w:val="34"/>
          <w:rtl/>
        </w:rPr>
        <w:footnoteReference w:id="257"/>
      </w:r>
      <w:r w:rsidRPr="00D65F50">
        <w:rPr>
          <w:rFonts w:ascii="mylotus" w:hAnsi="mylotus"/>
          <w:sz w:val="34"/>
          <w:szCs w:val="34"/>
          <w:rtl/>
        </w:rPr>
        <w:t xml:space="preserve">: </w:t>
      </w:r>
      <w:r w:rsidRPr="00024EE1">
        <w:rPr>
          <w:rFonts w:ascii="mylotus" w:hAnsi="mylotus"/>
          <w:b/>
          <w:bCs/>
          <w:sz w:val="34"/>
          <w:szCs w:val="34"/>
          <w:rtl/>
        </w:rPr>
        <w:t>(مسألة 27: إذا انهدمت الدار التي استأجرها فبادر المؤجر إلى تجديدها فالأقوى أنه إن كانت الفترة غير معتد بها)</w:t>
      </w:r>
      <w:r w:rsidRPr="00D65F50">
        <w:rPr>
          <w:rFonts w:ascii="mylotus" w:hAnsi="mylotus"/>
          <w:sz w:val="34"/>
          <w:szCs w:val="34"/>
          <w:rtl/>
        </w:rPr>
        <w:t xml:space="preserve"> كأن تكون بضع ساعاتٍ </w:t>
      </w:r>
      <w:r w:rsidRPr="00024EE1">
        <w:rPr>
          <w:rFonts w:ascii="mylotus" w:hAnsi="mylotus"/>
          <w:b/>
          <w:bCs/>
          <w:sz w:val="34"/>
          <w:szCs w:val="34"/>
          <w:rtl/>
        </w:rPr>
        <w:t>(فلا فسخ ولا انفساخ)</w:t>
      </w:r>
      <w:r w:rsidRPr="00D65F50">
        <w:rPr>
          <w:rFonts w:ascii="mylotus" w:hAnsi="mylotus"/>
          <w:sz w:val="34"/>
          <w:szCs w:val="34"/>
          <w:rtl/>
        </w:rPr>
        <w:t xml:space="preserve"> أي: لا تنفسخ الإجارة وليس للمُستأجر الخيار </w:t>
      </w:r>
      <w:r w:rsidRPr="00024EE1">
        <w:rPr>
          <w:rFonts w:ascii="mylotus" w:hAnsi="mylotus"/>
          <w:b/>
          <w:bCs/>
          <w:sz w:val="34"/>
          <w:szCs w:val="34"/>
          <w:rtl/>
        </w:rPr>
        <w:t>(وإن كان معتدا بها)</w:t>
      </w:r>
      <w:r w:rsidRPr="00D65F50">
        <w:rPr>
          <w:rFonts w:ascii="mylotus" w:hAnsi="mylotus"/>
          <w:sz w:val="34"/>
          <w:szCs w:val="34"/>
          <w:rtl/>
        </w:rPr>
        <w:t xml:space="preserve"> كأنْ فات على المستأجر ثلاثة أيامٍ في إصلاح الدار أو السيارة مثلاً </w:t>
      </w:r>
      <w:r w:rsidRPr="00024EE1">
        <w:rPr>
          <w:rFonts w:ascii="mylotus" w:hAnsi="mylotus"/>
          <w:b/>
          <w:bCs/>
          <w:sz w:val="34"/>
          <w:szCs w:val="34"/>
          <w:rtl/>
        </w:rPr>
        <w:t>(رجع المستأجر بما يقابلها من الأجرة وكان له الفسخ في الجميع لتبعض الصفقة، فإذا فسخ رجع بتمام الأجرة)</w:t>
      </w:r>
      <w:r w:rsidRPr="00D65F50">
        <w:rPr>
          <w:rFonts w:ascii="mylotus" w:hAnsi="mylotus"/>
          <w:sz w:val="34"/>
          <w:szCs w:val="34"/>
          <w:rtl/>
        </w:rPr>
        <w:t xml:space="preserve"> مع أنّه استوفى بعض المنفعة </w:t>
      </w:r>
      <w:r w:rsidRPr="00024EE1">
        <w:rPr>
          <w:rFonts w:ascii="mylotus" w:hAnsi="mylotus"/>
          <w:b/>
          <w:bCs/>
          <w:sz w:val="34"/>
          <w:szCs w:val="34"/>
          <w:rtl/>
        </w:rPr>
        <w:t>(وعليه أجرة المثل لما قبل الانهدام)</w:t>
      </w:r>
      <w:r w:rsidRPr="00024EE1">
        <w:rPr>
          <w:rFonts w:ascii="mylotus" w:hAnsi="mylotus"/>
          <w:b/>
          <w:bCs/>
          <w:sz w:val="34"/>
          <w:szCs w:val="34"/>
        </w:rPr>
        <w:t>.</w:t>
      </w:r>
    </w:p>
    <w:p w14:paraId="6B42BF92" w14:textId="77777777" w:rsidR="00B0575B" w:rsidRPr="00D65F50" w:rsidRDefault="00B0575B" w:rsidP="00B0575B">
      <w:pPr>
        <w:pStyle w:val="a"/>
        <w:bidi/>
        <w:spacing w:line="216" w:lineRule="auto"/>
        <w:rPr>
          <w:rFonts w:ascii="mylotus" w:hAnsi="mylotus"/>
          <w:sz w:val="34"/>
          <w:szCs w:val="34"/>
          <w:rtl/>
        </w:rPr>
      </w:pPr>
      <w:r w:rsidRPr="00D65F50">
        <w:rPr>
          <w:rFonts w:ascii="mylotus" w:hAnsi="mylotus"/>
          <w:sz w:val="34"/>
          <w:szCs w:val="34"/>
          <w:rtl/>
        </w:rPr>
        <w:t xml:space="preserve">كما وافقه في المسألة السيد الأُستاذ (مدّ ظله) في المنهاج بقوله: </w:t>
      </w:r>
      <w:r w:rsidRPr="00024EE1">
        <w:rPr>
          <w:rFonts w:ascii="mylotus" w:hAnsi="mylotus"/>
          <w:b/>
          <w:bCs/>
          <w:sz w:val="34"/>
          <w:szCs w:val="34"/>
          <w:rtl/>
        </w:rPr>
        <w:t xml:space="preserve">(مسألة 405: إذا استأجر داراً فانهدم قسم منها، فإن كانت بحيث لو أعاد بناءُ القسم المهدوم على الوجه المتعارف لعدّت بعد التعمير مغايرة لما قبله في النظر العرفيّ كان حكمه ما تقدّم في المسألة السابقة، وإن لم تعدّ كذلك فإن أقدم المؤجر على تعميرها فوراً على وجهٍ لا يتلف شيء من منفعتها عرفاً لم تبطل الإجارة ولم يكن للمستأجر حقّ الفسخ، وإن لم يقدم على ذلك وكان قادراً عليه فللمستأجر إلزامه به، فإن لم يفعل كان له مطالبته بأجرة المثل للمنفعة الفائتة كما أنّ له الخيار في فسخ الإجارة رأساً </w:t>
      </w:r>
      <w:r w:rsidRPr="00024EE1">
        <w:rPr>
          <w:rFonts w:ascii="Times New Roman" w:hAnsi="Times New Roman" w:cs="Times New Roman" w:hint="cs"/>
          <w:b/>
          <w:bCs/>
          <w:sz w:val="34"/>
          <w:szCs w:val="34"/>
          <w:rtl/>
        </w:rPr>
        <w:t>–</w:t>
      </w:r>
      <w:r w:rsidRPr="00024EE1">
        <w:rPr>
          <w:rFonts w:ascii="mylotus" w:hAnsi="mylotus"/>
          <w:b/>
          <w:bCs/>
          <w:sz w:val="34"/>
          <w:szCs w:val="34"/>
          <w:rtl/>
        </w:rPr>
        <w:t xml:space="preserve"> </w:t>
      </w:r>
      <w:r w:rsidRPr="00024EE1">
        <w:rPr>
          <w:rFonts w:ascii="mylotus" w:hAnsi="mylotus" w:hint="cs"/>
          <w:b/>
          <w:bCs/>
          <w:sz w:val="34"/>
          <w:szCs w:val="34"/>
          <w:rtl/>
        </w:rPr>
        <w:t>ولو</w:t>
      </w:r>
      <w:r w:rsidRPr="00024EE1">
        <w:rPr>
          <w:rFonts w:ascii="mylotus" w:hAnsi="mylotus"/>
          <w:b/>
          <w:bCs/>
          <w:sz w:val="34"/>
          <w:szCs w:val="34"/>
          <w:rtl/>
        </w:rPr>
        <w:t xml:space="preserve"> </w:t>
      </w:r>
      <w:r w:rsidRPr="00024EE1">
        <w:rPr>
          <w:rFonts w:ascii="mylotus" w:hAnsi="mylotus" w:hint="cs"/>
          <w:b/>
          <w:bCs/>
          <w:sz w:val="34"/>
          <w:szCs w:val="34"/>
          <w:rtl/>
        </w:rPr>
        <w:t>مع</w:t>
      </w:r>
      <w:r w:rsidRPr="00024EE1">
        <w:rPr>
          <w:rFonts w:ascii="mylotus" w:hAnsi="mylotus"/>
          <w:b/>
          <w:bCs/>
          <w:sz w:val="34"/>
          <w:szCs w:val="34"/>
          <w:rtl/>
        </w:rPr>
        <w:t xml:space="preserve"> </w:t>
      </w:r>
      <w:r w:rsidRPr="00024EE1">
        <w:rPr>
          <w:rFonts w:ascii="mylotus" w:hAnsi="mylotus" w:hint="cs"/>
          <w:b/>
          <w:bCs/>
          <w:sz w:val="34"/>
          <w:szCs w:val="34"/>
          <w:rtl/>
        </w:rPr>
        <w:t>التمكّن</w:t>
      </w:r>
      <w:r w:rsidRPr="00024EE1">
        <w:rPr>
          <w:rFonts w:ascii="mylotus" w:hAnsi="mylotus"/>
          <w:b/>
          <w:bCs/>
          <w:sz w:val="34"/>
          <w:szCs w:val="34"/>
          <w:rtl/>
        </w:rPr>
        <w:t xml:space="preserve"> </w:t>
      </w:r>
      <w:r w:rsidRPr="00024EE1">
        <w:rPr>
          <w:rFonts w:ascii="mylotus" w:hAnsi="mylotus" w:hint="cs"/>
          <w:b/>
          <w:bCs/>
          <w:sz w:val="34"/>
          <w:szCs w:val="34"/>
          <w:rtl/>
        </w:rPr>
        <w:t>من</w:t>
      </w:r>
      <w:r w:rsidRPr="00024EE1">
        <w:rPr>
          <w:rFonts w:ascii="mylotus" w:hAnsi="mylotus"/>
          <w:b/>
          <w:bCs/>
          <w:sz w:val="34"/>
          <w:szCs w:val="34"/>
          <w:rtl/>
        </w:rPr>
        <w:t xml:space="preserve"> </w:t>
      </w:r>
      <w:r w:rsidRPr="00024EE1">
        <w:rPr>
          <w:rFonts w:ascii="mylotus" w:hAnsi="mylotus" w:hint="cs"/>
          <w:b/>
          <w:bCs/>
          <w:sz w:val="34"/>
          <w:szCs w:val="34"/>
          <w:rtl/>
        </w:rPr>
        <w:t>إلزامه</w:t>
      </w:r>
      <w:r w:rsidRPr="00024EE1">
        <w:rPr>
          <w:rFonts w:ascii="mylotus" w:hAnsi="mylotus"/>
          <w:b/>
          <w:bCs/>
          <w:sz w:val="34"/>
          <w:szCs w:val="34"/>
          <w:rtl/>
        </w:rPr>
        <w:t xml:space="preserve"> </w:t>
      </w:r>
      <w:r w:rsidRPr="00024EE1">
        <w:rPr>
          <w:rFonts w:ascii="Times New Roman" w:hAnsi="Times New Roman" w:cs="Times New Roman" w:hint="cs"/>
          <w:b/>
          <w:bCs/>
          <w:sz w:val="34"/>
          <w:szCs w:val="34"/>
          <w:rtl/>
        </w:rPr>
        <w:t>–</w:t>
      </w:r>
      <w:r w:rsidRPr="00024EE1">
        <w:rPr>
          <w:rFonts w:ascii="mylotus" w:hAnsi="mylotus"/>
          <w:b/>
          <w:bCs/>
          <w:sz w:val="34"/>
          <w:szCs w:val="34"/>
          <w:rtl/>
        </w:rPr>
        <w:t xml:space="preserve"> </w:t>
      </w:r>
      <w:r w:rsidRPr="00024EE1">
        <w:rPr>
          <w:rFonts w:ascii="mylotus" w:hAnsi="mylotus" w:hint="cs"/>
          <w:b/>
          <w:bCs/>
          <w:sz w:val="34"/>
          <w:szCs w:val="34"/>
          <w:rtl/>
        </w:rPr>
        <w:t>فإن</w:t>
      </w:r>
      <w:r w:rsidRPr="00024EE1">
        <w:rPr>
          <w:rFonts w:ascii="mylotus" w:hAnsi="mylotus"/>
          <w:b/>
          <w:bCs/>
          <w:sz w:val="34"/>
          <w:szCs w:val="34"/>
          <w:rtl/>
        </w:rPr>
        <w:t xml:space="preserve"> </w:t>
      </w:r>
      <w:r w:rsidRPr="00024EE1">
        <w:rPr>
          <w:rFonts w:ascii="mylotus" w:hAnsi="mylotus" w:hint="cs"/>
          <w:b/>
          <w:bCs/>
          <w:sz w:val="34"/>
          <w:szCs w:val="34"/>
          <w:rtl/>
        </w:rPr>
        <w:t>فسخ</w:t>
      </w:r>
      <w:r w:rsidRPr="00024EE1">
        <w:rPr>
          <w:rFonts w:ascii="mylotus" w:hAnsi="mylotus"/>
          <w:b/>
          <w:bCs/>
          <w:sz w:val="34"/>
          <w:szCs w:val="34"/>
          <w:rtl/>
        </w:rPr>
        <w:t xml:space="preserve"> </w:t>
      </w:r>
      <w:r w:rsidRPr="00024EE1">
        <w:rPr>
          <w:rFonts w:ascii="mylotus" w:hAnsi="mylotus" w:hint="cs"/>
          <w:b/>
          <w:bCs/>
          <w:sz w:val="34"/>
          <w:szCs w:val="34"/>
          <w:rtl/>
        </w:rPr>
        <w:t>كان</w:t>
      </w:r>
      <w:r w:rsidRPr="00024EE1">
        <w:rPr>
          <w:rFonts w:ascii="mylotus" w:hAnsi="mylotus"/>
          <w:b/>
          <w:bCs/>
          <w:sz w:val="34"/>
          <w:szCs w:val="34"/>
          <w:rtl/>
        </w:rPr>
        <w:t xml:space="preserve"> </w:t>
      </w:r>
      <w:r w:rsidRPr="00024EE1">
        <w:rPr>
          <w:rFonts w:ascii="mylotus" w:hAnsi="mylotus" w:hint="cs"/>
          <w:b/>
          <w:bCs/>
          <w:sz w:val="34"/>
          <w:szCs w:val="34"/>
          <w:rtl/>
        </w:rPr>
        <w:t>عليه</w:t>
      </w:r>
      <w:r w:rsidRPr="00024EE1">
        <w:rPr>
          <w:rFonts w:ascii="mylotus" w:hAnsi="mylotus"/>
          <w:b/>
          <w:bCs/>
          <w:sz w:val="34"/>
          <w:szCs w:val="34"/>
          <w:rtl/>
        </w:rPr>
        <w:t xml:space="preserve"> </w:t>
      </w:r>
      <w:r w:rsidRPr="00024EE1">
        <w:rPr>
          <w:rFonts w:ascii="mylotus" w:hAnsi="mylotus" w:hint="cs"/>
          <w:b/>
          <w:bCs/>
          <w:sz w:val="34"/>
          <w:szCs w:val="34"/>
          <w:rtl/>
        </w:rPr>
        <w:t>للمؤجر</w:t>
      </w:r>
      <w:r w:rsidRPr="00024EE1">
        <w:rPr>
          <w:rFonts w:ascii="mylotus" w:hAnsi="mylotus"/>
          <w:b/>
          <w:bCs/>
          <w:sz w:val="34"/>
          <w:szCs w:val="34"/>
          <w:rtl/>
        </w:rPr>
        <w:t xml:space="preserve"> </w:t>
      </w:r>
      <w:r w:rsidRPr="00024EE1">
        <w:rPr>
          <w:rFonts w:ascii="mylotus" w:hAnsi="mylotus" w:hint="cs"/>
          <w:b/>
          <w:bCs/>
          <w:sz w:val="34"/>
          <w:szCs w:val="34"/>
          <w:rtl/>
        </w:rPr>
        <w:t>أجرة</w:t>
      </w:r>
      <w:r w:rsidRPr="00024EE1">
        <w:rPr>
          <w:rFonts w:ascii="mylotus" w:hAnsi="mylotus"/>
          <w:b/>
          <w:bCs/>
          <w:sz w:val="34"/>
          <w:szCs w:val="34"/>
          <w:rtl/>
        </w:rPr>
        <w:t xml:space="preserve"> </w:t>
      </w:r>
      <w:r w:rsidRPr="00024EE1">
        <w:rPr>
          <w:rFonts w:ascii="mylotus" w:hAnsi="mylotus" w:hint="cs"/>
          <w:b/>
          <w:bCs/>
          <w:sz w:val="34"/>
          <w:szCs w:val="34"/>
          <w:rtl/>
        </w:rPr>
        <w:t>مثل</w:t>
      </w:r>
      <w:r w:rsidRPr="00024EE1">
        <w:rPr>
          <w:rFonts w:ascii="mylotus" w:hAnsi="mylotus"/>
          <w:b/>
          <w:bCs/>
          <w:sz w:val="34"/>
          <w:szCs w:val="34"/>
          <w:rtl/>
        </w:rPr>
        <w:t xml:space="preserve"> </w:t>
      </w:r>
      <w:r w:rsidRPr="00024EE1">
        <w:rPr>
          <w:rFonts w:ascii="mylotus" w:hAnsi="mylotus" w:hint="cs"/>
          <w:b/>
          <w:bCs/>
          <w:sz w:val="34"/>
          <w:szCs w:val="34"/>
          <w:rtl/>
        </w:rPr>
        <w:t>ما</w:t>
      </w:r>
      <w:r w:rsidRPr="00024EE1">
        <w:rPr>
          <w:rFonts w:ascii="mylotus" w:hAnsi="mylotus"/>
          <w:b/>
          <w:bCs/>
          <w:sz w:val="34"/>
          <w:szCs w:val="34"/>
          <w:rtl/>
        </w:rPr>
        <w:t xml:space="preserve"> </w:t>
      </w:r>
      <w:r w:rsidRPr="00024EE1">
        <w:rPr>
          <w:rFonts w:ascii="mylotus" w:hAnsi="mylotus" w:hint="cs"/>
          <w:b/>
          <w:bCs/>
          <w:sz w:val="34"/>
          <w:szCs w:val="34"/>
          <w:rtl/>
        </w:rPr>
        <w:t>استوفاه</w:t>
      </w:r>
      <w:r w:rsidRPr="00024EE1">
        <w:rPr>
          <w:rFonts w:ascii="mylotus" w:hAnsi="mylotus"/>
          <w:b/>
          <w:bCs/>
          <w:sz w:val="34"/>
          <w:szCs w:val="34"/>
          <w:rtl/>
        </w:rPr>
        <w:t xml:space="preserve"> </w:t>
      </w:r>
      <w:r w:rsidRPr="00024EE1">
        <w:rPr>
          <w:rFonts w:ascii="mylotus" w:hAnsi="mylotus" w:hint="cs"/>
          <w:b/>
          <w:bCs/>
          <w:sz w:val="34"/>
          <w:szCs w:val="34"/>
          <w:rtl/>
        </w:rPr>
        <w:t>من</w:t>
      </w:r>
      <w:r w:rsidRPr="00024EE1">
        <w:rPr>
          <w:rFonts w:ascii="mylotus" w:hAnsi="mylotus"/>
          <w:b/>
          <w:bCs/>
          <w:sz w:val="34"/>
          <w:szCs w:val="34"/>
          <w:rtl/>
        </w:rPr>
        <w:t xml:space="preserve"> </w:t>
      </w:r>
      <w:r w:rsidRPr="00024EE1">
        <w:rPr>
          <w:rFonts w:ascii="mylotus" w:hAnsi="mylotus" w:hint="cs"/>
          <w:b/>
          <w:bCs/>
          <w:sz w:val="34"/>
          <w:szCs w:val="34"/>
          <w:rtl/>
        </w:rPr>
        <w:t>المنافع</w:t>
      </w:r>
      <w:r w:rsidRPr="00024EE1">
        <w:rPr>
          <w:rFonts w:ascii="mylotus" w:hAnsi="mylotus"/>
          <w:b/>
          <w:bCs/>
          <w:sz w:val="34"/>
          <w:szCs w:val="34"/>
          <w:rtl/>
        </w:rPr>
        <w:t xml:space="preserve"> </w:t>
      </w:r>
      <w:r w:rsidRPr="00024EE1">
        <w:rPr>
          <w:rFonts w:ascii="mylotus" w:hAnsi="mylotus" w:hint="cs"/>
          <w:b/>
          <w:bCs/>
          <w:sz w:val="34"/>
          <w:szCs w:val="34"/>
          <w:rtl/>
        </w:rPr>
        <w:t>ويرجع</w:t>
      </w:r>
      <w:r w:rsidRPr="00024EE1">
        <w:rPr>
          <w:rFonts w:ascii="mylotus" w:hAnsi="mylotus"/>
          <w:b/>
          <w:bCs/>
          <w:sz w:val="34"/>
          <w:szCs w:val="34"/>
          <w:rtl/>
        </w:rPr>
        <w:t xml:space="preserve"> </w:t>
      </w:r>
      <w:r w:rsidRPr="00024EE1">
        <w:rPr>
          <w:rFonts w:ascii="mylotus" w:hAnsi="mylotus" w:hint="cs"/>
          <w:b/>
          <w:bCs/>
          <w:sz w:val="34"/>
          <w:szCs w:val="34"/>
          <w:rtl/>
        </w:rPr>
        <w:t>عليه</w:t>
      </w:r>
      <w:r w:rsidRPr="00024EE1">
        <w:rPr>
          <w:rFonts w:ascii="mylotus" w:hAnsi="mylotus"/>
          <w:b/>
          <w:bCs/>
          <w:sz w:val="34"/>
          <w:szCs w:val="34"/>
          <w:rtl/>
        </w:rPr>
        <w:t xml:space="preserve"> </w:t>
      </w:r>
      <w:r w:rsidRPr="00024EE1">
        <w:rPr>
          <w:rFonts w:ascii="mylotus" w:hAnsi="mylotus" w:hint="cs"/>
          <w:b/>
          <w:bCs/>
          <w:sz w:val="34"/>
          <w:szCs w:val="34"/>
          <w:rtl/>
        </w:rPr>
        <w:t>بتمام</w:t>
      </w:r>
      <w:r w:rsidRPr="00024EE1">
        <w:rPr>
          <w:rFonts w:ascii="mylotus" w:hAnsi="mylotus"/>
          <w:b/>
          <w:bCs/>
          <w:sz w:val="34"/>
          <w:szCs w:val="34"/>
          <w:rtl/>
        </w:rPr>
        <w:t xml:space="preserve"> </w:t>
      </w:r>
      <w:r w:rsidRPr="00024EE1">
        <w:rPr>
          <w:rFonts w:ascii="mylotus" w:hAnsi="mylotus" w:hint="cs"/>
          <w:b/>
          <w:bCs/>
          <w:sz w:val="34"/>
          <w:szCs w:val="34"/>
          <w:rtl/>
        </w:rPr>
        <w:t>الأجرة</w:t>
      </w:r>
      <w:r w:rsidRPr="00024EE1">
        <w:rPr>
          <w:rFonts w:ascii="mylotus" w:hAnsi="mylotus"/>
          <w:b/>
          <w:bCs/>
          <w:sz w:val="34"/>
          <w:szCs w:val="34"/>
          <w:rtl/>
        </w:rPr>
        <w:t xml:space="preserve"> </w:t>
      </w:r>
      <w:r w:rsidRPr="00024EE1">
        <w:rPr>
          <w:rFonts w:ascii="mylotus" w:hAnsi="mylotus" w:hint="cs"/>
          <w:b/>
          <w:bCs/>
          <w:sz w:val="34"/>
          <w:szCs w:val="34"/>
          <w:rtl/>
        </w:rPr>
        <w:t>المسمّاة،</w:t>
      </w:r>
      <w:r w:rsidRPr="00024EE1">
        <w:rPr>
          <w:rFonts w:ascii="mylotus" w:hAnsi="mylotus"/>
          <w:b/>
          <w:bCs/>
          <w:sz w:val="34"/>
          <w:szCs w:val="34"/>
          <w:rtl/>
        </w:rPr>
        <w:t xml:space="preserve"> </w:t>
      </w:r>
      <w:r w:rsidRPr="00024EE1">
        <w:rPr>
          <w:rFonts w:ascii="mylotus" w:hAnsi="mylotus" w:hint="cs"/>
          <w:b/>
          <w:bCs/>
          <w:sz w:val="34"/>
          <w:szCs w:val="34"/>
          <w:rtl/>
        </w:rPr>
        <w:t>وإن</w:t>
      </w:r>
      <w:r w:rsidRPr="00024EE1">
        <w:rPr>
          <w:rFonts w:ascii="mylotus" w:hAnsi="mylotus"/>
          <w:b/>
          <w:bCs/>
          <w:sz w:val="34"/>
          <w:szCs w:val="34"/>
          <w:rtl/>
        </w:rPr>
        <w:t xml:space="preserve"> </w:t>
      </w:r>
      <w:r w:rsidRPr="00024EE1">
        <w:rPr>
          <w:rFonts w:ascii="mylotus" w:hAnsi="mylotus" w:hint="cs"/>
          <w:b/>
          <w:bCs/>
          <w:sz w:val="34"/>
          <w:szCs w:val="34"/>
          <w:rtl/>
        </w:rPr>
        <w:t>لم</w:t>
      </w:r>
      <w:r w:rsidRPr="00024EE1">
        <w:rPr>
          <w:rFonts w:ascii="mylotus" w:hAnsi="mylotus"/>
          <w:b/>
          <w:bCs/>
          <w:sz w:val="34"/>
          <w:szCs w:val="34"/>
          <w:rtl/>
        </w:rPr>
        <w:t xml:space="preserve"> </w:t>
      </w:r>
      <w:r w:rsidRPr="00024EE1">
        <w:rPr>
          <w:rFonts w:ascii="mylotus" w:hAnsi="mylotus" w:hint="cs"/>
          <w:b/>
          <w:bCs/>
          <w:sz w:val="34"/>
          <w:szCs w:val="34"/>
          <w:rtl/>
        </w:rPr>
        <w:t>يقدم</w:t>
      </w:r>
      <w:r w:rsidRPr="00024EE1">
        <w:rPr>
          <w:rFonts w:ascii="mylotus" w:hAnsi="mylotus"/>
          <w:b/>
          <w:bCs/>
          <w:sz w:val="34"/>
          <w:szCs w:val="34"/>
          <w:rtl/>
        </w:rPr>
        <w:t xml:space="preserve"> </w:t>
      </w:r>
      <w:r w:rsidRPr="00024EE1">
        <w:rPr>
          <w:rFonts w:ascii="mylotus" w:hAnsi="mylotus" w:hint="cs"/>
          <w:b/>
          <w:bCs/>
          <w:sz w:val="34"/>
          <w:szCs w:val="34"/>
          <w:rtl/>
        </w:rPr>
        <w:t>على</w:t>
      </w:r>
      <w:r w:rsidRPr="00024EE1">
        <w:rPr>
          <w:rFonts w:ascii="mylotus" w:hAnsi="mylotus"/>
          <w:b/>
          <w:bCs/>
          <w:sz w:val="34"/>
          <w:szCs w:val="34"/>
          <w:rtl/>
        </w:rPr>
        <w:t xml:space="preserve"> </w:t>
      </w:r>
      <w:r w:rsidRPr="00024EE1">
        <w:rPr>
          <w:rFonts w:ascii="mylotus" w:hAnsi="mylotus" w:hint="cs"/>
          <w:b/>
          <w:bCs/>
          <w:sz w:val="34"/>
          <w:szCs w:val="34"/>
          <w:rtl/>
        </w:rPr>
        <w:t>تعميرها</w:t>
      </w:r>
      <w:r w:rsidRPr="00024EE1">
        <w:rPr>
          <w:rFonts w:ascii="mylotus" w:hAnsi="mylotus"/>
          <w:b/>
          <w:bCs/>
          <w:sz w:val="34"/>
          <w:szCs w:val="34"/>
          <w:rtl/>
        </w:rPr>
        <w:t xml:space="preserve"> </w:t>
      </w:r>
      <w:r w:rsidRPr="00024EE1">
        <w:rPr>
          <w:rFonts w:ascii="mylotus" w:hAnsi="mylotus" w:hint="cs"/>
          <w:b/>
          <w:bCs/>
          <w:sz w:val="34"/>
          <w:szCs w:val="34"/>
          <w:rtl/>
        </w:rPr>
        <w:t>على</w:t>
      </w:r>
      <w:r w:rsidRPr="00024EE1">
        <w:rPr>
          <w:rFonts w:ascii="mylotus" w:hAnsi="mylotus"/>
          <w:b/>
          <w:bCs/>
          <w:sz w:val="34"/>
          <w:szCs w:val="34"/>
          <w:rtl/>
        </w:rPr>
        <w:t xml:space="preserve"> </w:t>
      </w:r>
      <w:r w:rsidRPr="00024EE1">
        <w:rPr>
          <w:rFonts w:ascii="mylotus" w:hAnsi="mylotus" w:hint="cs"/>
          <w:b/>
          <w:bCs/>
          <w:sz w:val="34"/>
          <w:szCs w:val="34"/>
          <w:rtl/>
        </w:rPr>
        <w:t>الوجه</w:t>
      </w:r>
      <w:r w:rsidRPr="00024EE1">
        <w:rPr>
          <w:rFonts w:ascii="mylotus" w:hAnsi="mylotus"/>
          <w:b/>
          <w:bCs/>
          <w:sz w:val="34"/>
          <w:szCs w:val="34"/>
          <w:rtl/>
        </w:rPr>
        <w:t xml:space="preserve"> </w:t>
      </w:r>
      <w:r w:rsidRPr="00024EE1">
        <w:rPr>
          <w:rFonts w:ascii="mylotus" w:hAnsi="mylotus" w:hint="cs"/>
          <w:b/>
          <w:bCs/>
          <w:sz w:val="34"/>
          <w:szCs w:val="34"/>
          <w:rtl/>
        </w:rPr>
        <w:t>المذكور</w:t>
      </w:r>
      <w:r w:rsidRPr="00024EE1">
        <w:rPr>
          <w:rFonts w:ascii="mylotus" w:hAnsi="mylotus"/>
          <w:b/>
          <w:bCs/>
          <w:sz w:val="34"/>
          <w:szCs w:val="34"/>
          <w:rtl/>
        </w:rPr>
        <w:t xml:space="preserve"> </w:t>
      </w:r>
      <w:r w:rsidRPr="00024EE1">
        <w:rPr>
          <w:rFonts w:ascii="mylotus" w:hAnsi="mylotus" w:hint="cs"/>
          <w:b/>
          <w:bCs/>
          <w:sz w:val="34"/>
          <w:szCs w:val="34"/>
          <w:rtl/>
        </w:rPr>
        <w:t>لتعذّره</w:t>
      </w:r>
      <w:r w:rsidRPr="00024EE1">
        <w:rPr>
          <w:rFonts w:ascii="mylotus" w:hAnsi="mylotus"/>
          <w:b/>
          <w:bCs/>
          <w:sz w:val="34"/>
          <w:szCs w:val="34"/>
          <w:rtl/>
        </w:rPr>
        <w:t xml:space="preserve"> </w:t>
      </w:r>
      <w:r w:rsidRPr="00024EE1">
        <w:rPr>
          <w:rFonts w:ascii="mylotus" w:hAnsi="mylotus" w:hint="cs"/>
          <w:b/>
          <w:bCs/>
          <w:sz w:val="34"/>
          <w:szCs w:val="34"/>
          <w:rtl/>
        </w:rPr>
        <w:t>ولو</w:t>
      </w:r>
      <w:r w:rsidRPr="00024EE1">
        <w:rPr>
          <w:rFonts w:ascii="mylotus" w:hAnsi="mylotus"/>
          <w:b/>
          <w:bCs/>
          <w:sz w:val="34"/>
          <w:szCs w:val="34"/>
          <w:rtl/>
        </w:rPr>
        <w:t xml:space="preserve"> </w:t>
      </w:r>
      <w:r w:rsidRPr="00024EE1">
        <w:rPr>
          <w:rFonts w:ascii="mylotus" w:hAnsi="mylotus" w:hint="cs"/>
          <w:b/>
          <w:bCs/>
          <w:sz w:val="34"/>
          <w:szCs w:val="34"/>
          <w:rtl/>
        </w:rPr>
        <w:t>في</w:t>
      </w:r>
      <w:r w:rsidRPr="00024EE1">
        <w:rPr>
          <w:rFonts w:ascii="mylotus" w:hAnsi="mylotus"/>
          <w:b/>
          <w:bCs/>
          <w:sz w:val="34"/>
          <w:szCs w:val="34"/>
          <w:rtl/>
        </w:rPr>
        <w:t xml:space="preserve"> </w:t>
      </w:r>
      <w:r w:rsidRPr="00024EE1">
        <w:rPr>
          <w:rFonts w:ascii="mylotus" w:hAnsi="mylotus" w:hint="cs"/>
          <w:b/>
          <w:bCs/>
          <w:sz w:val="34"/>
          <w:szCs w:val="34"/>
          <w:rtl/>
        </w:rPr>
        <w:t>حقّه</w:t>
      </w:r>
      <w:r w:rsidRPr="00024EE1">
        <w:rPr>
          <w:rFonts w:ascii="mylotus" w:hAnsi="mylotus"/>
          <w:b/>
          <w:bCs/>
          <w:sz w:val="34"/>
          <w:szCs w:val="34"/>
          <w:rtl/>
        </w:rPr>
        <w:t xml:space="preserve"> </w:t>
      </w:r>
      <w:r w:rsidRPr="00024EE1">
        <w:rPr>
          <w:rFonts w:ascii="mylotus" w:hAnsi="mylotus" w:hint="cs"/>
          <w:b/>
          <w:bCs/>
          <w:sz w:val="34"/>
          <w:szCs w:val="34"/>
          <w:rtl/>
        </w:rPr>
        <w:t>فتلف</w:t>
      </w:r>
      <w:r w:rsidRPr="00024EE1">
        <w:rPr>
          <w:rFonts w:ascii="mylotus" w:hAnsi="mylotus"/>
          <w:b/>
          <w:bCs/>
          <w:sz w:val="34"/>
          <w:szCs w:val="34"/>
          <w:rtl/>
        </w:rPr>
        <w:t xml:space="preserve"> </w:t>
      </w:r>
      <w:r w:rsidRPr="00024EE1">
        <w:rPr>
          <w:rFonts w:ascii="mylotus" w:hAnsi="mylotus" w:hint="cs"/>
          <w:b/>
          <w:bCs/>
          <w:sz w:val="34"/>
          <w:szCs w:val="34"/>
          <w:rtl/>
        </w:rPr>
        <w:t>مقدار</w:t>
      </w:r>
      <w:r w:rsidRPr="00024EE1">
        <w:rPr>
          <w:rFonts w:ascii="mylotus" w:hAnsi="mylotus"/>
          <w:b/>
          <w:bCs/>
          <w:sz w:val="34"/>
          <w:szCs w:val="34"/>
          <w:rtl/>
        </w:rPr>
        <w:t xml:space="preserve"> </w:t>
      </w:r>
      <w:r w:rsidRPr="00024EE1">
        <w:rPr>
          <w:rFonts w:ascii="mylotus" w:hAnsi="mylotus" w:hint="cs"/>
          <w:b/>
          <w:bCs/>
          <w:sz w:val="34"/>
          <w:szCs w:val="34"/>
          <w:rtl/>
        </w:rPr>
        <w:lastRenderedPageBreak/>
        <w:t>من</w:t>
      </w:r>
      <w:r w:rsidRPr="00024EE1">
        <w:rPr>
          <w:rFonts w:ascii="mylotus" w:hAnsi="mylotus"/>
          <w:b/>
          <w:bCs/>
          <w:sz w:val="34"/>
          <w:szCs w:val="34"/>
          <w:rtl/>
        </w:rPr>
        <w:t xml:space="preserve"> </w:t>
      </w:r>
      <w:r w:rsidRPr="00024EE1">
        <w:rPr>
          <w:rFonts w:ascii="mylotus" w:hAnsi="mylotus" w:hint="cs"/>
          <w:b/>
          <w:bCs/>
          <w:sz w:val="34"/>
          <w:szCs w:val="34"/>
          <w:rtl/>
        </w:rPr>
        <w:t>منفعة</w:t>
      </w:r>
      <w:r w:rsidRPr="00024EE1">
        <w:rPr>
          <w:rFonts w:ascii="mylotus" w:hAnsi="mylotus"/>
          <w:b/>
          <w:bCs/>
          <w:sz w:val="34"/>
          <w:szCs w:val="34"/>
          <w:rtl/>
        </w:rPr>
        <w:t xml:space="preserve"> </w:t>
      </w:r>
      <w:r w:rsidRPr="00024EE1">
        <w:rPr>
          <w:rFonts w:ascii="mylotus" w:hAnsi="mylotus" w:hint="cs"/>
          <w:b/>
          <w:bCs/>
          <w:sz w:val="34"/>
          <w:szCs w:val="34"/>
          <w:rtl/>
        </w:rPr>
        <w:t>الدار</w:t>
      </w:r>
      <w:r w:rsidRPr="00024EE1">
        <w:rPr>
          <w:rFonts w:ascii="mylotus" w:hAnsi="mylotus"/>
          <w:b/>
          <w:bCs/>
          <w:sz w:val="34"/>
          <w:szCs w:val="34"/>
          <w:rtl/>
        </w:rPr>
        <w:t xml:space="preserve"> </w:t>
      </w:r>
      <w:r w:rsidRPr="00024EE1">
        <w:rPr>
          <w:rFonts w:ascii="mylotus" w:hAnsi="mylotus" w:hint="cs"/>
          <w:b/>
          <w:bCs/>
          <w:sz w:val="34"/>
          <w:szCs w:val="34"/>
          <w:rtl/>
        </w:rPr>
        <w:t>بطلت</w:t>
      </w:r>
      <w:r w:rsidRPr="00024EE1">
        <w:rPr>
          <w:rFonts w:ascii="mylotus" w:hAnsi="mylotus"/>
          <w:b/>
          <w:bCs/>
          <w:sz w:val="34"/>
          <w:szCs w:val="34"/>
          <w:rtl/>
        </w:rPr>
        <w:t xml:space="preserve"> </w:t>
      </w:r>
      <w:r w:rsidRPr="00024EE1">
        <w:rPr>
          <w:rFonts w:ascii="mylotus" w:hAnsi="mylotus" w:hint="cs"/>
          <w:b/>
          <w:bCs/>
          <w:sz w:val="34"/>
          <w:szCs w:val="34"/>
          <w:rtl/>
        </w:rPr>
        <w:t>الإجارة</w:t>
      </w:r>
      <w:r w:rsidRPr="00024EE1">
        <w:rPr>
          <w:rFonts w:ascii="mylotus" w:hAnsi="mylotus"/>
          <w:b/>
          <w:bCs/>
          <w:sz w:val="34"/>
          <w:szCs w:val="34"/>
          <w:rtl/>
        </w:rPr>
        <w:t xml:space="preserve"> </w:t>
      </w:r>
      <w:r w:rsidRPr="00024EE1">
        <w:rPr>
          <w:rFonts w:ascii="mylotus" w:hAnsi="mylotus" w:hint="cs"/>
          <w:b/>
          <w:bCs/>
          <w:sz w:val="34"/>
          <w:szCs w:val="34"/>
          <w:rtl/>
        </w:rPr>
        <w:t>بالنسبة</w:t>
      </w:r>
      <w:r w:rsidRPr="00024EE1">
        <w:rPr>
          <w:rFonts w:ascii="mylotus" w:hAnsi="mylotus"/>
          <w:b/>
          <w:bCs/>
          <w:sz w:val="34"/>
          <w:szCs w:val="34"/>
          <w:rtl/>
        </w:rPr>
        <w:t xml:space="preserve"> </w:t>
      </w:r>
      <w:r w:rsidRPr="00024EE1">
        <w:rPr>
          <w:rFonts w:ascii="mylotus" w:hAnsi="mylotus" w:hint="cs"/>
          <w:b/>
          <w:bCs/>
          <w:sz w:val="34"/>
          <w:szCs w:val="34"/>
          <w:rtl/>
        </w:rPr>
        <w:t>إلى</w:t>
      </w:r>
      <w:r w:rsidRPr="00024EE1">
        <w:rPr>
          <w:rFonts w:ascii="mylotus" w:hAnsi="mylotus"/>
          <w:b/>
          <w:bCs/>
          <w:sz w:val="34"/>
          <w:szCs w:val="34"/>
          <w:rtl/>
        </w:rPr>
        <w:t xml:space="preserve"> </w:t>
      </w:r>
      <w:r w:rsidRPr="00024EE1">
        <w:rPr>
          <w:rFonts w:ascii="mylotus" w:hAnsi="mylotus" w:hint="cs"/>
          <w:b/>
          <w:bCs/>
          <w:sz w:val="34"/>
          <w:szCs w:val="34"/>
          <w:rtl/>
        </w:rPr>
        <w:t>المنافع</w:t>
      </w:r>
      <w:r w:rsidRPr="00024EE1">
        <w:rPr>
          <w:rFonts w:ascii="mylotus" w:hAnsi="mylotus"/>
          <w:b/>
          <w:bCs/>
          <w:sz w:val="34"/>
          <w:szCs w:val="34"/>
          <w:rtl/>
        </w:rPr>
        <w:t xml:space="preserve"> </w:t>
      </w:r>
      <w:r w:rsidRPr="00024EE1">
        <w:rPr>
          <w:rFonts w:ascii="mylotus" w:hAnsi="mylotus" w:hint="cs"/>
          <w:b/>
          <w:bCs/>
          <w:sz w:val="34"/>
          <w:szCs w:val="34"/>
          <w:rtl/>
        </w:rPr>
        <w:t>الفائتة،</w:t>
      </w:r>
      <w:r w:rsidRPr="00024EE1">
        <w:rPr>
          <w:rFonts w:ascii="mylotus" w:hAnsi="mylotus"/>
          <w:b/>
          <w:bCs/>
          <w:sz w:val="34"/>
          <w:szCs w:val="34"/>
          <w:rtl/>
        </w:rPr>
        <w:t xml:space="preserve"> </w:t>
      </w:r>
      <w:r w:rsidRPr="00024EE1">
        <w:rPr>
          <w:rFonts w:ascii="mylotus" w:hAnsi="mylotus" w:hint="cs"/>
          <w:b/>
          <w:bCs/>
          <w:sz w:val="34"/>
          <w:szCs w:val="34"/>
          <w:rtl/>
        </w:rPr>
        <w:t>وكان</w:t>
      </w:r>
      <w:r w:rsidRPr="00024EE1">
        <w:rPr>
          <w:rFonts w:ascii="mylotus" w:hAnsi="mylotus"/>
          <w:b/>
          <w:bCs/>
          <w:sz w:val="34"/>
          <w:szCs w:val="34"/>
          <w:rtl/>
        </w:rPr>
        <w:t xml:space="preserve"> </w:t>
      </w:r>
      <w:r w:rsidRPr="00024EE1">
        <w:rPr>
          <w:rFonts w:ascii="mylotus" w:hAnsi="mylotus" w:hint="cs"/>
          <w:b/>
          <w:bCs/>
          <w:sz w:val="34"/>
          <w:szCs w:val="34"/>
          <w:rtl/>
        </w:rPr>
        <w:t>للمستأجر</w:t>
      </w:r>
      <w:r w:rsidRPr="00024EE1">
        <w:rPr>
          <w:rFonts w:ascii="mylotus" w:hAnsi="mylotus"/>
          <w:b/>
          <w:bCs/>
          <w:sz w:val="34"/>
          <w:szCs w:val="34"/>
          <w:rtl/>
        </w:rPr>
        <w:t xml:space="preserve"> </w:t>
      </w:r>
      <w:r w:rsidRPr="00024EE1">
        <w:rPr>
          <w:rFonts w:ascii="mylotus" w:hAnsi="mylotus" w:hint="cs"/>
          <w:b/>
          <w:bCs/>
          <w:sz w:val="34"/>
          <w:szCs w:val="34"/>
          <w:rtl/>
        </w:rPr>
        <w:t>حقّ</w:t>
      </w:r>
      <w:r w:rsidRPr="00024EE1">
        <w:rPr>
          <w:rFonts w:ascii="mylotus" w:hAnsi="mylotus"/>
          <w:b/>
          <w:bCs/>
          <w:sz w:val="34"/>
          <w:szCs w:val="34"/>
          <w:rtl/>
        </w:rPr>
        <w:t xml:space="preserve"> </w:t>
      </w:r>
      <w:r w:rsidRPr="00024EE1">
        <w:rPr>
          <w:rFonts w:ascii="mylotus" w:hAnsi="mylotus" w:hint="cs"/>
          <w:b/>
          <w:bCs/>
          <w:sz w:val="34"/>
          <w:szCs w:val="34"/>
          <w:rtl/>
        </w:rPr>
        <w:t>فسخ</w:t>
      </w:r>
      <w:r w:rsidRPr="00024EE1">
        <w:rPr>
          <w:rFonts w:ascii="mylotus" w:hAnsi="mylotus"/>
          <w:b/>
          <w:bCs/>
          <w:sz w:val="34"/>
          <w:szCs w:val="34"/>
          <w:rtl/>
        </w:rPr>
        <w:t xml:space="preserve"> </w:t>
      </w:r>
      <w:r w:rsidRPr="00024EE1">
        <w:rPr>
          <w:rFonts w:ascii="mylotus" w:hAnsi="mylotus" w:hint="cs"/>
          <w:b/>
          <w:bCs/>
          <w:sz w:val="34"/>
          <w:szCs w:val="34"/>
          <w:rtl/>
        </w:rPr>
        <w:t>أصل</w:t>
      </w:r>
      <w:r w:rsidRPr="00024EE1">
        <w:rPr>
          <w:rFonts w:ascii="mylotus" w:hAnsi="mylotus"/>
          <w:b/>
          <w:bCs/>
          <w:sz w:val="34"/>
          <w:szCs w:val="34"/>
          <w:rtl/>
        </w:rPr>
        <w:t xml:space="preserve"> </w:t>
      </w:r>
      <w:r w:rsidRPr="00024EE1">
        <w:rPr>
          <w:rFonts w:ascii="mylotus" w:hAnsi="mylotus" w:hint="cs"/>
          <w:b/>
          <w:bCs/>
          <w:sz w:val="34"/>
          <w:szCs w:val="34"/>
          <w:rtl/>
        </w:rPr>
        <w:t>الإجارة،</w:t>
      </w:r>
      <w:r w:rsidRPr="00024EE1">
        <w:rPr>
          <w:rFonts w:ascii="mylotus" w:hAnsi="mylotus"/>
          <w:b/>
          <w:bCs/>
          <w:sz w:val="34"/>
          <w:szCs w:val="34"/>
          <w:rtl/>
        </w:rPr>
        <w:t xml:space="preserve"> </w:t>
      </w:r>
      <w:r w:rsidRPr="00024EE1">
        <w:rPr>
          <w:rFonts w:ascii="mylotus" w:hAnsi="mylotus" w:hint="cs"/>
          <w:b/>
          <w:bCs/>
          <w:sz w:val="34"/>
          <w:szCs w:val="34"/>
          <w:rtl/>
        </w:rPr>
        <w:t>فإن</w:t>
      </w:r>
      <w:r w:rsidRPr="00024EE1">
        <w:rPr>
          <w:rFonts w:ascii="mylotus" w:hAnsi="mylotus"/>
          <w:b/>
          <w:bCs/>
          <w:sz w:val="34"/>
          <w:szCs w:val="34"/>
          <w:rtl/>
        </w:rPr>
        <w:t xml:space="preserve"> </w:t>
      </w:r>
      <w:r w:rsidRPr="00024EE1">
        <w:rPr>
          <w:rFonts w:ascii="mylotus" w:hAnsi="mylotus" w:hint="cs"/>
          <w:b/>
          <w:bCs/>
          <w:sz w:val="34"/>
          <w:szCs w:val="34"/>
          <w:rtl/>
        </w:rPr>
        <w:t>فسخ</w:t>
      </w:r>
      <w:r w:rsidRPr="00024EE1">
        <w:rPr>
          <w:rFonts w:ascii="mylotus" w:hAnsi="mylotus"/>
          <w:b/>
          <w:bCs/>
          <w:sz w:val="34"/>
          <w:szCs w:val="34"/>
          <w:rtl/>
        </w:rPr>
        <w:t xml:space="preserve"> </w:t>
      </w:r>
      <w:r w:rsidRPr="00024EE1">
        <w:rPr>
          <w:rFonts w:ascii="mylotus" w:hAnsi="mylotus" w:hint="cs"/>
          <w:b/>
          <w:bCs/>
          <w:sz w:val="34"/>
          <w:szCs w:val="34"/>
          <w:rtl/>
        </w:rPr>
        <w:t>جرى</w:t>
      </w:r>
      <w:r w:rsidRPr="00024EE1">
        <w:rPr>
          <w:rFonts w:ascii="mylotus" w:hAnsi="mylotus"/>
          <w:b/>
          <w:bCs/>
          <w:sz w:val="34"/>
          <w:szCs w:val="34"/>
          <w:rtl/>
        </w:rPr>
        <w:t xml:space="preserve"> </w:t>
      </w:r>
      <w:r w:rsidRPr="00024EE1">
        <w:rPr>
          <w:rFonts w:ascii="mylotus" w:hAnsi="mylotus" w:hint="cs"/>
          <w:b/>
          <w:bCs/>
          <w:sz w:val="34"/>
          <w:szCs w:val="34"/>
          <w:rtl/>
        </w:rPr>
        <w:t>عليه</w:t>
      </w:r>
      <w:r w:rsidRPr="00024EE1">
        <w:rPr>
          <w:rFonts w:ascii="mylotus" w:hAnsi="mylotus"/>
          <w:b/>
          <w:bCs/>
          <w:sz w:val="34"/>
          <w:szCs w:val="34"/>
          <w:rtl/>
        </w:rPr>
        <w:t xml:space="preserve"> </w:t>
      </w:r>
      <w:r w:rsidRPr="00024EE1">
        <w:rPr>
          <w:rFonts w:ascii="mylotus" w:hAnsi="mylotus" w:hint="cs"/>
          <w:b/>
          <w:bCs/>
          <w:sz w:val="34"/>
          <w:szCs w:val="34"/>
          <w:rtl/>
        </w:rPr>
        <w:t>ما</w:t>
      </w:r>
      <w:r w:rsidRPr="00024EE1">
        <w:rPr>
          <w:rFonts w:ascii="mylotus" w:hAnsi="mylotus"/>
          <w:b/>
          <w:bCs/>
          <w:sz w:val="34"/>
          <w:szCs w:val="34"/>
          <w:rtl/>
        </w:rPr>
        <w:t xml:space="preserve"> </w:t>
      </w:r>
      <w:r w:rsidRPr="00024EE1">
        <w:rPr>
          <w:rFonts w:ascii="mylotus" w:hAnsi="mylotus" w:hint="cs"/>
          <w:b/>
          <w:bCs/>
          <w:sz w:val="34"/>
          <w:szCs w:val="34"/>
          <w:rtl/>
        </w:rPr>
        <w:t>تقدّم</w:t>
      </w:r>
      <w:r w:rsidRPr="00024EE1">
        <w:rPr>
          <w:rFonts w:ascii="mylotus" w:hAnsi="mylotus"/>
          <w:b/>
          <w:bCs/>
          <w:sz w:val="34"/>
          <w:szCs w:val="34"/>
          <w:rtl/>
        </w:rPr>
        <w:t xml:space="preserve"> </w:t>
      </w:r>
      <w:r w:rsidRPr="00024EE1">
        <w:rPr>
          <w:rFonts w:ascii="mylotus" w:hAnsi="mylotus" w:hint="cs"/>
          <w:b/>
          <w:bCs/>
          <w:sz w:val="34"/>
          <w:szCs w:val="34"/>
          <w:rtl/>
        </w:rPr>
        <w:t>في</w:t>
      </w:r>
      <w:r w:rsidRPr="00024EE1">
        <w:rPr>
          <w:rFonts w:ascii="mylotus" w:hAnsi="mylotus"/>
          <w:b/>
          <w:bCs/>
          <w:sz w:val="34"/>
          <w:szCs w:val="34"/>
          <w:rtl/>
        </w:rPr>
        <w:t xml:space="preserve"> </w:t>
      </w:r>
      <w:r w:rsidRPr="00024EE1">
        <w:rPr>
          <w:rFonts w:ascii="mylotus" w:hAnsi="mylotus" w:hint="cs"/>
          <w:b/>
          <w:bCs/>
          <w:sz w:val="34"/>
          <w:szCs w:val="34"/>
          <w:rtl/>
        </w:rPr>
        <w:t>الصورة</w:t>
      </w:r>
      <w:r w:rsidRPr="00024EE1">
        <w:rPr>
          <w:rFonts w:ascii="mylotus" w:hAnsi="mylotus"/>
          <w:b/>
          <w:bCs/>
          <w:sz w:val="34"/>
          <w:szCs w:val="34"/>
          <w:rtl/>
        </w:rPr>
        <w:t xml:space="preserve"> </w:t>
      </w:r>
      <w:r w:rsidRPr="00024EE1">
        <w:rPr>
          <w:rFonts w:ascii="mylotus" w:hAnsi="mylotus" w:hint="cs"/>
          <w:b/>
          <w:bCs/>
          <w:sz w:val="34"/>
          <w:szCs w:val="34"/>
          <w:rtl/>
        </w:rPr>
        <w:t>السابقة</w:t>
      </w:r>
      <w:r w:rsidRPr="00024EE1">
        <w:rPr>
          <w:rFonts w:ascii="mylotus" w:hAnsi="mylotus"/>
          <w:b/>
          <w:bCs/>
          <w:sz w:val="34"/>
          <w:szCs w:val="34"/>
          <w:rtl/>
        </w:rPr>
        <w:t xml:space="preserve"> </w:t>
      </w:r>
      <w:r w:rsidRPr="00024EE1">
        <w:rPr>
          <w:rFonts w:ascii="mylotus" w:hAnsi="mylotus" w:hint="cs"/>
          <w:b/>
          <w:bCs/>
          <w:sz w:val="34"/>
          <w:szCs w:val="34"/>
          <w:rtl/>
        </w:rPr>
        <w:t>عند</w:t>
      </w:r>
      <w:r w:rsidRPr="00024EE1">
        <w:rPr>
          <w:rFonts w:ascii="mylotus" w:hAnsi="mylotus"/>
          <w:b/>
          <w:bCs/>
          <w:sz w:val="34"/>
          <w:szCs w:val="34"/>
          <w:rtl/>
        </w:rPr>
        <w:t xml:space="preserve"> </w:t>
      </w:r>
      <w:r w:rsidRPr="00024EE1">
        <w:rPr>
          <w:rFonts w:ascii="mylotus" w:hAnsi="mylotus" w:hint="cs"/>
          <w:b/>
          <w:bCs/>
          <w:sz w:val="34"/>
          <w:szCs w:val="34"/>
          <w:rtl/>
        </w:rPr>
        <w:t>الفسخ</w:t>
      </w:r>
      <w:r w:rsidRPr="00024EE1">
        <w:rPr>
          <w:rFonts w:ascii="mylotus" w:hAnsi="mylotus"/>
          <w:b/>
          <w:bCs/>
          <w:sz w:val="34"/>
          <w:szCs w:val="34"/>
          <w:rtl/>
        </w:rPr>
        <w:t>)</w:t>
      </w:r>
      <w:r>
        <w:rPr>
          <w:rStyle w:val="FootnoteReference"/>
          <w:rFonts w:ascii="mylotus" w:hAnsi="mylotus"/>
          <w:sz w:val="34"/>
          <w:szCs w:val="34"/>
          <w:rtl/>
        </w:rPr>
        <w:footnoteReference w:id="258"/>
      </w:r>
      <w:r w:rsidRPr="00D65F50">
        <w:rPr>
          <w:rFonts w:ascii="mylotus" w:hAnsi="mylotus"/>
          <w:sz w:val="34"/>
          <w:szCs w:val="34"/>
          <w:rtl/>
        </w:rPr>
        <w:t>.</w:t>
      </w:r>
    </w:p>
    <w:p w14:paraId="7ABC3421" w14:textId="77777777" w:rsidR="00B0575B" w:rsidRPr="007507CB" w:rsidRDefault="00B0575B" w:rsidP="00B0575B">
      <w:pPr>
        <w:pStyle w:val="a"/>
        <w:bidi/>
        <w:spacing w:line="216" w:lineRule="auto"/>
        <w:rPr>
          <w:rFonts w:ascii="mylotus" w:hAnsi="mylotus"/>
          <w:b/>
          <w:bCs/>
          <w:sz w:val="34"/>
          <w:szCs w:val="34"/>
          <w:rtl/>
        </w:rPr>
      </w:pPr>
      <w:r w:rsidRPr="00D65F50">
        <w:rPr>
          <w:rFonts w:ascii="mylotus" w:hAnsi="mylotus"/>
          <w:sz w:val="34"/>
          <w:szCs w:val="34"/>
          <w:rtl/>
        </w:rPr>
        <w:t>وهو ما أفاده سيدنا الخوئي (قدس سره الشريف) في كتاب الإجارة م</w:t>
      </w:r>
      <w:r>
        <w:rPr>
          <w:rFonts w:ascii="mylotus" w:hAnsi="mylotus" w:hint="cs"/>
          <w:sz w:val="34"/>
          <w:szCs w:val="34"/>
          <w:rtl/>
        </w:rPr>
        <w:t>ِ</w:t>
      </w:r>
      <w:r w:rsidRPr="00D65F50">
        <w:rPr>
          <w:rFonts w:ascii="mylotus" w:hAnsi="mylotus"/>
          <w:sz w:val="34"/>
          <w:szCs w:val="34"/>
          <w:rtl/>
        </w:rPr>
        <w:t>ن موسوعته المباركة</w:t>
      </w:r>
      <w:r>
        <w:rPr>
          <w:rStyle w:val="FootnoteReference"/>
          <w:rFonts w:ascii="mylotus" w:hAnsi="mylotus"/>
          <w:sz w:val="34"/>
          <w:szCs w:val="34"/>
          <w:rtl/>
        </w:rPr>
        <w:footnoteReference w:id="259"/>
      </w:r>
      <w:r w:rsidRPr="00D65F50">
        <w:rPr>
          <w:rFonts w:ascii="mylotus" w:hAnsi="mylotus"/>
          <w:sz w:val="34"/>
          <w:szCs w:val="34"/>
          <w:rtl/>
        </w:rPr>
        <w:t xml:space="preserve"> </w:t>
      </w:r>
      <w:r w:rsidRPr="00D65F50">
        <w:rPr>
          <w:rFonts w:ascii="mylotus" w:hAnsi="mylotus" w:hint="cs"/>
          <w:sz w:val="34"/>
          <w:szCs w:val="34"/>
          <w:rtl/>
        </w:rPr>
        <w:t>بقوله</w:t>
      </w:r>
      <w:r w:rsidRPr="00D65F50">
        <w:rPr>
          <w:rFonts w:ascii="mylotus" w:hAnsi="mylotus"/>
          <w:sz w:val="34"/>
          <w:szCs w:val="34"/>
          <w:rtl/>
        </w:rPr>
        <w:t xml:space="preserve">: </w:t>
      </w:r>
      <w:r w:rsidRPr="007507CB">
        <w:rPr>
          <w:rFonts w:ascii="mylotus" w:hAnsi="mylotus"/>
          <w:b/>
          <w:bCs/>
          <w:sz w:val="34"/>
          <w:szCs w:val="34"/>
          <w:rtl/>
        </w:rPr>
        <w:t>(</w:t>
      </w:r>
      <w:r w:rsidRPr="007507CB">
        <w:rPr>
          <w:rFonts w:ascii="mylotus" w:hAnsi="mylotus" w:hint="cs"/>
          <w:b/>
          <w:bCs/>
          <w:sz w:val="34"/>
          <w:szCs w:val="34"/>
          <w:rtl/>
        </w:rPr>
        <w:t>ولكنّه</w:t>
      </w:r>
      <w:r w:rsidRPr="007507CB">
        <w:rPr>
          <w:rFonts w:ascii="mylotus" w:hAnsi="mylotus"/>
          <w:b/>
          <w:bCs/>
          <w:sz w:val="34"/>
          <w:szCs w:val="34"/>
          <w:rtl/>
        </w:rPr>
        <w:t xml:space="preserve"> </w:t>
      </w:r>
      <w:r w:rsidRPr="007507CB">
        <w:rPr>
          <w:rFonts w:ascii="mylotus" w:hAnsi="mylotus" w:hint="cs"/>
          <w:b/>
          <w:bCs/>
          <w:sz w:val="34"/>
          <w:szCs w:val="34"/>
          <w:rtl/>
        </w:rPr>
        <w:t>مع</w:t>
      </w:r>
      <w:r w:rsidRPr="007507CB">
        <w:rPr>
          <w:rFonts w:ascii="mylotus" w:hAnsi="mylotus"/>
          <w:b/>
          <w:bCs/>
          <w:sz w:val="34"/>
          <w:szCs w:val="34"/>
          <w:rtl/>
        </w:rPr>
        <w:t xml:space="preserve"> </w:t>
      </w:r>
      <w:r w:rsidRPr="007507CB">
        <w:rPr>
          <w:rFonts w:ascii="mylotus" w:hAnsi="mylotus" w:hint="cs"/>
          <w:b/>
          <w:bCs/>
          <w:sz w:val="34"/>
          <w:szCs w:val="34"/>
          <w:rtl/>
        </w:rPr>
        <w:t>ذلك</w:t>
      </w:r>
      <w:r w:rsidRPr="007507CB">
        <w:rPr>
          <w:rFonts w:ascii="mylotus" w:hAnsi="mylotus"/>
          <w:b/>
          <w:bCs/>
          <w:sz w:val="34"/>
          <w:szCs w:val="34"/>
          <w:rtl/>
        </w:rPr>
        <w:t xml:space="preserve"> </w:t>
      </w:r>
      <w:r w:rsidRPr="007507CB">
        <w:rPr>
          <w:rFonts w:ascii="mylotus" w:hAnsi="mylotus" w:hint="cs"/>
          <w:b/>
          <w:bCs/>
          <w:sz w:val="34"/>
          <w:szCs w:val="34"/>
          <w:rtl/>
        </w:rPr>
        <w:t>يثبت</w:t>
      </w:r>
      <w:r w:rsidRPr="007507CB">
        <w:rPr>
          <w:rFonts w:ascii="mylotus" w:hAnsi="mylotus"/>
          <w:b/>
          <w:bCs/>
          <w:sz w:val="34"/>
          <w:szCs w:val="34"/>
          <w:rtl/>
        </w:rPr>
        <w:t xml:space="preserve"> </w:t>
      </w:r>
      <w:r w:rsidRPr="007507CB">
        <w:rPr>
          <w:rFonts w:ascii="mylotus" w:hAnsi="mylotus" w:hint="cs"/>
          <w:b/>
          <w:bCs/>
          <w:sz w:val="34"/>
          <w:szCs w:val="34"/>
          <w:rtl/>
        </w:rPr>
        <w:t>الخيار</w:t>
      </w:r>
      <w:r w:rsidRPr="007507CB">
        <w:rPr>
          <w:rFonts w:ascii="mylotus" w:hAnsi="mylotus"/>
          <w:b/>
          <w:bCs/>
          <w:sz w:val="34"/>
          <w:szCs w:val="34"/>
          <w:rtl/>
        </w:rPr>
        <w:t xml:space="preserve"> </w:t>
      </w:r>
      <w:r w:rsidRPr="007507CB">
        <w:rPr>
          <w:rFonts w:ascii="mylotus" w:hAnsi="mylotus" w:hint="cs"/>
          <w:b/>
          <w:bCs/>
          <w:sz w:val="34"/>
          <w:szCs w:val="34"/>
          <w:rtl/>
        </w:rPr>
        <w:t>للمستأجر</w:t>
      </w:r>
      <w:r w:rsidRPr="007507CB">
        <w:rPr>
          <w:rFonts w:ascii="mylotus" w:hAnsi="mylotus"/>
          <w:b/>
          <w:bCs/>
          <w:sz w:val="34"/>
          <w:szCs w:val="34"/>
          <w:rtl/>
        </w:rPr>
        <w:t xml:space="preserve"> </w:t>
      </w:r>
      <w:r w:rsidRPr="007507CB">
        <w:rPr>
          <w:rFonts w:ascii="mylotus" w:hAnsi="mylotus" w:hint="cs"/>
          <w:b/>
          <w:bCs/>
          <w:sz w:val="34"/>
          <w:szCs w:val="34"/>
          <w:rtl/>
        </w:rPr>
        <w:t>وإن</w:t>
      </w:r>
      <w:r w:rsidRPr="007507CB">
        <w:rPr>
          <w:rFonts w:ascii="mylotus" w:hAnsi="mylotus"/>
          <w:b/>
          <w:bCs/>
          <w:sz w:val="34"/>
          <w:szCs w:val="34"/>
          <w:rtl/>
        </w:rPr>
        <w:t xml:space="preserve"> </w:t>
      </w:r>
      <w:r w:rsidRPr="007507CB">
        <w:rPr>
          <w:rFonts w:ascii="mylotus" w:hAnsi="mylotus" w:hint="cs"/>
          <w:b/>
          <w:bCs/>
          <w:sz w:val="34"/>
          <w:szCs w:val="34"/>
          <w:rtl/>
        </w:rPr>
        <w:t>لم</w:t>
      </w:r>
      <w:r w:rsidRPr="007507CB">
        <w:rPr>
          <w:rFonts w:ascii="mylotus" w:hAnsi="mylotus"/>
          <w:b/>
          <w:bCs/>
          <w:sz w:val="34"/>
          <w:szCs w:val="34"/>
          <w:rtl/>
        </w:rPr>
        <w:t xml:space="preserve"> </w:t>
      </w:r>
      <w:r w:rsidRPr="007507CB">
        <w:rPr>
          <w:rFonts w:ascii="mylotus" w:hAnsi="mylotus" w:hint="cs"/>
          <w:b/>
          <w:bCs/>
          <w:sz w:val="34"/>
          <w:szCs w:val="34"/>
          <w:rtl/>
        </w:rPr>
        <w:t>يتعرّض</w:t>
      </w:r>
      <w:r w:rsidRPr="007507CB">
        <w:rPr>
          <w:rFonts w:ascii="mylotus" w:hAnsi="mylotus"/>
          <w:b/>
          <w:bCs/>
          <w:sz w:val="34"/>
          <w:szCs w:val="34"/>
          <w:rtl/>
        </w:rPr>
        <w:t xml:space="preserve"> </w:t>
      </w:r>
      <w:r w:rsidRPr="007507CB">
        <w:rPr>
          <w:rFonts w:ascii="mylotus" w:hAnsi="mylotus" w:hint="cs"/>
          <w:b/>
          <w:bCs/>
          <w:sz w:val="34"/>
          <w:szCs w:val="34"/>
          <w:rtl/>
        </w:rPr>
        <w:t>له</w:t>
      </w:r>
      <w:r w:rsidRPr="007507CB">
        <w:rPr>
          <w:rFonts w:ascii="mylotus" w:hAnsi="mylotus"/>
          <w:b/>
          <w:bCs/>
          <w:sz w:val="34"/>
          <w:szCs w:val="34"/>
          <w:rtl/>
        </w:rPr>
        <w:t xml:space="preserve"> </w:t>
      </w:r>
      <w:r w:rsidRPr="007507CB">
        <w:rPr>
          <w:rFonts w:ascii="mylotus" w:hAnsi="mylotus" w:hint="cs"/>
          <w:b/>
          <w:bCs/>
          <w:sz w:val="34"/>
          <w:szCs w:val="34"/>
          <w:rtl/>
        </w:rPr>
        <w:t>الماتن،</w:t>
      </w:r>
      <w:r w:rsidRPr="007507CB">
        <w:rPr>
          <w:rFonts w:ascii="mylotus" w:hAnsi="mylotus"/>
          <w:b/>
          <w:bCs/>
          <w:sz w:val="34"/>
          <w:szCs w:val="34"/>
          <w:rtl/>
        </w:rPr>
        <w:t xml:space="preserve"> </w:t>
      </w:r>
      <w:r w:rsidRPr="007507CB">
        <w:rPr>
          <w:rFonts w:ascii="mylotus" w:hAnsi="mylotus" w:hint="cs"/>
          <w:b/>
          <w:bCs/>
          <w:sz w:val="34"/>
          <w:szCs w:val="34"/>
          <w:rtl/>
        </w:rPr>
        <w:t>باعتبار</w:t>
      </w:r>
      <w:r w:rsidRPr="007507CB">
        <w:rPr>
          <w:rFonts w:ascii="mylotus" w:hAnsi="mylotus"/>
          <w:b/>
          <w:bCs/>
          <w:sz w:val="34"/>
          <w:szCs w:val="34"/>
          <w:rtl/>
        </w:rPr>
        <w:t xml:space="preserve"> </w:t>
      </w:r>
      <w:r w:rsidRPr="007507CB">
        <w:rPr>
          <w:rFonts w:ascii="mylotus" w:hAnsi="mylotus" w:hint="cs"/>
          <w:b/>
          <w:bCs/>
          <w:sz w:val="34"/>
          <w:szCs w:val="34"/>
          <w:rtl/>
        </w:rPr>
        <w:t>أنّ</w:t>
      </w:r>
      <w:r w:rsidRPr="007507CB">
        <w:rPr>
          <w:rFonts w:ascii="mylotus" w:hAnsi="mylotus"/>
          <w:b/>
          <w:bCs/>
          <w:sz w:val="34"/>
          <w:szCs w:val="34"/>
          <w:rtl/>
        </w:rPr>
        <w:t xml:space="preserve"> </w:t>
      </w:r>
      <w:r w:rsidRPr="007507CB">
        <w:rPr>
          <w:rFonts w:ascii="mylotus" w:hAnsi="mylotus" w:hint="cs"/>
          <w:b/>
          <w:bCs/>
          <w:sz w:val="34"/>
          <w:szCs w:val="34"/>
          <w:rtl/>
        </w:rPr>
        <w:t>المستأجر</w:t>
      </w:r>
      <w:r w:rsidRPr="007507CB">
        <w:rPr>
          <w:rFonts w:ascii="mylotus" w:hAnsi="mylotus"/>
          <w:b/>
          <w:bCs/>
          <w:sz w:val="34"/>
          <w:szCs w:val="34"/>
          <w:rtl/>
        </w:rPr>
        <w:t xml:space="preserve"> </w:t>
      </w:r>
      <w:r w:rsidRPr="007507CB">
        <w:rPr>
          <w:rFonts w:ascii="mylotus" w:hAnsi="mylotus" w:hint="cs"/>
          <w:b/>
          <w:bCs/>
          <w:sz w:val="34"/>
          <w:szCs w:val="34"/>
          <w:rtl/>
        </w:rPr>
        <w:t>استأجر</w:t>
      </w:r>
      <w:r w:rsidRPr="007507CB">
        <w:rPr>
          <w:rFonts w:ascii="mylotus" w:hAnsi="mylotus"/>
          <w:b/>
          <w:bCs/>
          <w:sz w:val="34"/>
          <w:szCs w:val="34"/>
          <w:rtl/>
        </w:rPr>
        <w:t xml:space="preserve"> </w:t>
      </w:r>
      <w:r w:rsidRPr="007507CB">
        <w:rPr>
          <w:rFonts w:ascii="mylotus" w:hAnsi="mylotus" w:hint="cs"/>
          <w:b/>
          <w:bCs/>
          <w:sz w:val="34"/>
          <w:szCs w:val="34"/>
          <w:rtl/>
        </w:rPr>
        <w:t>العين</w:t>
      </w:r>
      <w:r w:rsidRPr="007507CB">
        <w:rPr>
          <w:rFonts w:ascii="mylotus" w:hAnsi="mylotus"/>
          <w:b/>
          <w:bCs/>
          <w:sz w:val="34"/>
          <w:szCs w:val="34"/>
          <w:rtl/>
        </w:rPr>
        <w:t xml:space="preserve"> </w:t>
      </w:r>
      <w:r w:rsidRPr="007507CB">
        <w:rPr>
          <w:rFonts w:ascii="mylotus" w:hAnsi="mylotus" w:hint="cs"/>
          <w:b/>
          <w:bCs/>
          <w:sz w:val="34"/>
          <w:szCs w:val="34"/>
          <w:rtl/>
        </w:rPr>
        <w:t>في</w:t>
      </w:r>
      <w:r w:rsidRPr="007507CB">
        <w:rPr>
          <w:rFonts w:ascii="mylotus" w:hAnsi="mylotus"/>
          <w:b/>
          <w:bCs/>
          <w:sz w:val="34"/>
          <w:szCs w:val="34"/>
          <w:rtl/>
        </w:rPr>
        <w:t xml:space="preserve"> </w:t>
      </w:r>
      <w:r w:rsidRPr="007507CB">
        <w:rPr>
          <w:rFonts w:ascii="mylotus" w:hAnsi="mylotus" w:hint="cs"/>
          <w:b/>
          <w:bCs/>
          <w:sz w:val="34"/>
          <w:szCs w:val="34"/>
          <w:rtl/>
        </w:rPr>
        <w:t>تمام</w:t>
      </w:r>
      <w:r w:rsidRPr="007507CB">
        <w:rPr>
          <w:rFonts w:ascii="mylotus" w:hAnsi="mylotus"/>
          <w:b/>
          <w:bCs/>
          <w:sz w:val="34"/>
          <w:szCs w:val="34"/>
          <w:rtl/>
        </w:rPr>
        <w:t xml:space="preserve"> </w:t>
      </w:r>
      <w:r w:rsidRPr="007507CB">
        <w:rPr>
          <w:rFonts w:ascii="mylotus" w:hAnsi="mylotus" w:hint="cs"/>
          <w:b/>
          <w:bCs/>
          <w:sz w:val="34"/>
          <w:szCs w:val="34"/>
          <w:rtl/>
        </w:rPr>
        <w:t>المدّة</w:t>
      </w:r>
      <w:r w:rsidRPr="007507CB">
        <w:rPr>
          <w:rFonts w:ascii="mylotus" w:hAnsi="mylotus"/>
          <w:b/>
          <w:bCs/>
          <w:sz w:val="34"/>
          <w:szCs w:val="34"/>
          <w:rtl/>
        </w:rPr>
        <w:t xml:space="preserve"> </w:t>
      </w:r>
      <w:r w:rsidRPr="007507CB">
        <w:rPr>
          <w:rFonts w:ascii="mylotus" w:hAnsi="mylotus" w:hint="cs"/>
          <w:b/>
          <w:bCs/>
          <w:sz w:val="34"/>
          <w:szCs w:val="34"/>
          <w:rtl/>
        </w:rPr>
        <w:t>بإجارة</w:t>
      </w:r>
      <w:r w:rsidRPr="007507CB">
        <w:rPr>
          <w:rFonts w:ascii="mylotus" w:hAnsi="mylotus"/>
          <w:b/>
          <w:bCs/>
          <w:sz w:val="34"/>
          <w:szCs w:val="34"/>
          <w:rtl/>
        </w:rPr>
        <w:t xml:space="preserve"> </w:t>
      </w:r>
      <w:r w:rsidRPr="007507CB">
        <w:rPr>
          <w:rFonts w:ascii="mylotus" w:hAnsi="mylotus" w:hint="cs"/>
          <w:b/>
          <w:bCs/>
          <w:sz w:val="34"/>
          <w:szCs w:val="34"/>
          <w:rtl/>
        </w:rPr>
        <w:t>واحدة،</w:t>
      </w:r>
      <w:r w:rsidRPr="007507CB">
        <w:rPr>
          <w:rFonts w:ascii="mylotus" w:hAnsi="mylotus"/>
          <w:b/>
          <w:bCs/>
          <w:sz w:val="34"/>
          <w:szCs w:val="34"/>
          <w:rtl/>
        </w:rPr>
        <w:t xml:space="preserve"> </w:t>
      </w:r>
      <w:r w:rsidRPr="007507CB">
        <w:rPr>
          <w:rFonts w:ascii="mylotus" w:hAnsi="mylotus" w:hint="cs"/>
          <w:b/>
          <w:bCs/>
          <w:sz w:val="34"/>
          <w:szCs w:val="34"/>
          <w:rtl/>
        </w:rPr>
        <w:t>وهي</w:t>
      </w:r>
      <w:r w:rsidRPr="007507CB">
        <w:rPr>
          <w:rFonts w:ascii="mylotus" w:hAnsi="mylotus"/>
          <w:b/>
          <w:bCs/>
          <w:sz w:val="34"/>
          <w:szCs w:val="34"/>
          <w:rtl/>
        </w:rPr>
        <w:t xml:space="preserve"> </w:t>
      </w:r>
      <w:r w:rsidRPr="007507CB">
        <w:rPr>
          <w:rFonts w:ascii="mylotus" w:hAnsi="mylotus" w:hint="cs"/>
          <w:b/>
          <w:bCs/>
          <w:sz w:val="34"/>
          <w:szCs w:val="34"/>
          <w:rtl/>
        </w:rPr>
        <w:t>وإن</w:t>
      </w:r>
      <w:r w:rsidRPr="007507CB">
        <w:rPr>
          <w:rFonts w:ascii="mylotus" w:hAnsi="mylotus"/>
          <w:b/>
          <w:bCs/>
          <w:sz w:val="34"/>
          <w:szCs w:val="34"/>
          <w:rtl/>
        </w:rPr>
        <w:t xml:space="preserve"> </w:t>
      </w:r>
      <w:r w:rsidRPr="007507CB">
        <w:rPr>
          <w:rFonts w:ascii="mylotus" w:hAnsi="mylotus" w:hint="cs"/>
          <w:b/>
          <w:bCs/>
          <w:sz w:val="34"/>
          <w:szCs w:val="34"/>
          <w:rtl/>
        </w:rPr>
        <w:t>كانت</w:t>
      </w:r>
      <w:r w:rsidRPr="007507CB">
        <w:rPr>
          <w:rFonts w:ascii="mylotus" w:hAnsi="mylotus"/>
          <w:b/>
          <w:bCs/>
          <w:sz w:val="34"/>
          <w:szCs w:val="34"/>
          <w:rtl/>
        </w:rPr>
        <w:t xml:space="preserve"> </w:t>
      </w:r>
      <w:r w:rsidRPr="007507CB">
        <w:rPr>
          <w:rFonts w:ascii="mylotus" w:hAnsi="mylotus" w:hint="cs"/>
          <w:b/>
          <w:bCs/>
          <w:sz w:val="34"/>
          <w:szCs w:val="34"/>
          <w:rtl/>
        </w:rPr>
        <w:t>منحلّة</w:t>
      </w:r>
      <w:r w:rsidRPr="007507CB">
        <w:rPr>
          <w:rFonts w:ascii="mylotus" w:hAnsi="mylotus"/>
          <w:b/>
          <w:bCs/>
          <w:sz w:val="34"/>
          <w:szCs w:val="34"/>
          <w:rtl/>
        </w:rPr>
        <w:t>)</w:t>
      </w:r>
      <w:r w:rsidRPr="00D65F50">
        <w:rPr>
          <w:rFonts w:ascii="mylotus" w:hAnsi="mylotus"/>
          <w:sz w:val="34"/>
          <w:szCs w:val="34"/>
          <w:rtl/>
        </w:rPr>
        <w:t xml:space="preserve"> </w:t>
      </w:r>
      <w:r w:rsidRPr="00D65F50">
        <w:rPr>
          <w:rFonts w:ascii="mylotus" w:hAnsi="mylotus" w:hint="cs"/>
          <w:sz w:val="34"/>
          <w:szCs w:val="34"/>
          <w:rtl/>
        </w:rPr>
        <w:t>لأنّ</w:t>
      </w:r>
      <w:r w:rsidRPr="00D65F50">
        <w:rPr>
          <w:rFonts w:ascii="mylotus" w:hAnsi="mylotus"/>
          <w:sz w:val="34"/>
          <w:szCs w:val="34"/>
          <w:rtl/>
        </w:rPr>
        <w:t xml:space="preserve"> </w:t>
      </w:r>
      <w:r w:rsidRPr="00D65F50">
        <w:rPr>
          <w:rFonts w:ascii="mylotus" w:hAnsi="mylotus" w:hint="cs"/>
          <w:sz w:val="34"/>
          <w:szCs w:val="34"/>
          <w:rtl/>
        </w:rPr>
        <w:t>المنافع</w:t>
      </w:r>
      <w:r w:rsidRPr="00D65F50">
        <w:rPr>
          <w:rFonts w:ascii="mylotus" w:hAnsi="mylotus"/>
          <w:sz w:val="34"/>
          <w:szCs w:val="34"/>
          <w:rtl/>
        </w:rPr>
        <w:t xml:space="preserve"> </w:t>
      </w:r>
      <w:r w:rsidRPr="00D65F50">
        <w:rPr>
          <w:rFonts w:ascii="mylotus" w:hAnsi="mylotus" w:hint="cs"/>
          <w:sz w:val="34"/>
          <w:szCs w:val="34"/>
          <w:rtl/>
        </w:rPr>
        <w:t>تتكثر</w:t>
      </w:r>
      <w:r w:rsidRPr="00D65F50">
        <w:rPr>
          <w:rFonts w:ascii="mylotus" w:hAnsi="mylotus"/>
          <w:sz w:val="34"/>
          <w:szCs w:val="34"/>
          <w:rtl/>
        </w:rPr>
        <w:t xml:space="preserve"> </w:t>
      </w:r>
      <w:r w:rsidRPr="00D65F50">
        <w:rPr>
          <w:rFonts w:ascii="mylotus" w:hAnsi="mylotus" w:hint="cs"/>
          <w:sz w:val="34"/>
          <w:szCs w:val="34"/>
          <w:rtl/>
        </w:rPr>
        <w:t>بمرور</w:t>
      </w:r>
      <w:r w:rsidRPr="00D65F50">
        <w:rPr>
          <w:rFonts w:ascii="mylotus" w:hAnsi="mylotus"/>
          <w:sz w:val="34"/>
          <w:szCs w:val="34"/>
          <w:rtl/>
        </w:rPr>
        <w:t xml:space="preserve"> </w:t>
      </w:r>
      <w:r w:rsidRPr="00D65F50">
        <w:rPr>
          <w:rFonts w:ascii="mylotus" w:hAnsi="mylotus" w:hint="cs"/>
          <w:sz w:val="34"/>
          <w:szCs w:val="34"/>
          <w:rtl/>
        </w:rPr>
        <w:t>الزمن</w:t>
      </w:r>
      <w:r w:rsidRPr="00D65F50">
        <w:rPr>
          <w:rFonts w:ascii="mylotus" w:hAnsi="mylotus"/>
          <w:sz w:val="34"/>
          <w:szCs w:val="34"/>
          <w:rtl/>
        </w:rPr>
        <w:t xml:space="preserve"> </w:t>
      </w:r>
      <w:r w:rsidRPr="007507CB">
        <w:rPr>
          <w:rFonts w:ascii="mylotus" w:hAnsi="mylotus"/>
          <w:b/>
          <w:bCs/>
          <w:sz w:val="34"/>
          <w:szCs w:val="34"/>
          <w:rtl/>
        </w:rPr>
        <w:t>(</w:t>
      </w:r>
      <w:r w:rsidRPr="007507CB">
        <w:rPr>
          <w:rFonts w:ascii="mylotus" w:hAnsi="mylotus" w:hint="cs"/>
          <w:b/>
          <w:bCs/>
          <w:sz w:val="34"/>
          <w:szCs w:val="34"/>
          <w:rtl/>
        </w:rPr>
        <w:t>إلّا</w:t>
      </w:r>
      <w:r w:rsidRPr="007507CB">
        <w:rPr>
          <w:rFonts w:ascii="mylotus" w:hAnsi="mylotus"/>
          <w:b/>
          <w:bCs/>
          <w:sz w:val="34"/>
          <w:szCs w:val="34"/>
          <w:rtl/>
        </w:rPr>
        <w:t xml:space="preserve"> </w:t>
      </w:r>
      <w:r w:rsidRPr="007507CB">
        <w:rPr>
          <w:rFonts w:ascii="mylotus" w:hAnsi="mylotus" w:hint="cs"/>
          <w:b/>
          <w:bCs/>
          <w:sz w:val="34"/>
          <w:szCs w:val="34"/>
          <w:rtl/>
        </w:rPr>
        <w:t>أنّ</w:t>
      </w:r>
      <w:r w:rsidRPr="007507CB">
        <w:rPr>
          <w:rFonts w:ascii="mylotus" w:hAnsi="mylotus"/>
          <w:b/>
          <w:bCs/>
          <w:sz w:val="34"/>
          <w:szCs w:val="34"/>
          <w:rtl/>
        </w:rPr>
        <w:t xml:space="preserve"> </w:t>
      </w:r>
      <w:r w:rsidRPr="007507CB">
        <w:rPr>
          <w:rFonts w:ascii="mylotus" w:hAnsi="mylotus" w:hint="cs"/>
          <w:b/>
          <w:bCs/>
          <w:sz w:val="34"/>
          <w:szCs w:val="34"/>
          <w:rtl/>
        </w:rPr>
        <w:t>كلّ</w:t>
      </w:r>
      <w:r w:rsidRPr="007507CB">
        <w:rPr>
          <w:rFonts w:ascii="mylotus" w:hAnsi="mylotus"/>
          <w:b/>
          <w:bCs/>
          <w:sz w:val="34"/>
          <w:szCs w:val="34"/>
          <w:rtl/>
        </w:rPr>
        <w:t xml:space="preserve"> </w:t>
      </w:r>
      <w:r w:rsidRPr="007507CB">
        <w:rPr>
          <w:rFonts w:ascii="mylotus" w:hAnsi="mylotus" w:hint="cs"/>
          <w:b/>
          <w:bCs/>
          <w:sz w:val="34"/>
          <w:szCs w:val="34"/>
          <w:rtl/>
        </w:rPr>
        <w:t>جزء</w:t>
      </w:r>
      <w:r w:rsidRPr="007507CB">
        <w:rPr>
          <w:rFonts w:ascii="mylotus" w:hAnsi="mylotus"/>
          <w:b/>
          <w:bCs/>
          <w:sz w:val="34"/>
          <w:szCs w:val="34"/>
          <w:rtl/>
        </w:rPr>
        <w:t xml:space="preserve"> </w:t>
      </w:r>
      <w:r w:rsidRPr="007507CB">
        <w:rPr>
          <w:rFonts w:ascii="mylotus" w:hAnsi="mylotus" w:hint="cs"/>
          <w:b/>
          <w:bCs/>
          <w:sz w:val="34"/>
          <w:szCs w:val="34"/>
          <w:rtl/>
        </w:rPr>
        <w:t>مرتبط</w:t>
      </w:r>
      <w:r w:rsidRPr="007507CB">
        <w:rPr>
          <w:rFonts w:ascii="mylotus" w:hAnsi="mylotus"/>
          <w:b/>
          <w:bCs/>
          <w:sz w:val="34"/>
          <w:szCs w:val="34"/>
          <w:rtl/>
        </w:rPr>
        <w:t xml:space="preserve"> </w:t>
      </w:r>
      <w:r w:rsidRPr="007507CB">
        <w:rPr>
          <w:rFonts w:ascii="mylotus" w:hAnsi="mylotus" w:hint="cs"/>
          <w:b/>
          <w:bCs/>
          <w:sz w:val="34"/>
          <w:szCs w:val="34"/>
          <w:rtl/>
        </w:rPr>
        <w:t>بالآخر</w:t>
      </w:r>
      <w:r w:rsidRPr="007507CB">
        <w:rPr>
          <w:rFonts w:ascii="mylotus" w:hAnsi="mylotus"/>
          <w:b/>
          <w:bCs/>
          <w:sz w:val="34"/>
          <w:szCs w:val="34"/>
          <w:rtl/>
        </w:rPr>
        <w:t xml:space="preserve"> </w:t>
      </w:r>
      <w:r w:rsidRPr="007507CB">
        <w:rPr>
          <w:rFonts w:ascii="mylotus" w:hAnsi="mylotus" w:hint="cs"/>
          <w:b/>
          <w:bCs/>
          <w:sz w:val="34"/>
          <w:szCs w:val="34"/>
          <w:rtl/>
        </w:rPr>
        <w:t>بمقتضى</w:t>
      </w:r>
      <w:r w:rsidRPr="007507CB">
        <w:rPr>
          <w:rFonts w:ascii="mylotus" w:hAnsi="mylotus"/>
          <w:b/>
          <w:bCs/>
          <w:sz w:val="34"/>
          <w:szCs w:val="34"/>
          <w:rtl/>
        </w:rPr>
        <w:t xml:space="preserve"> </w:t>
      </w:r>
      <w:r w:rsidRPr="007507CB">
        <w:rPr>
          <w:rFonts w:ascii="mylotus" w:hAnsi="mylotus" w:hint="cs"/>
          <w:b/>
          <w:bCs/>
          <w:sz w:val="34"/>
          <w:szCs w:val="34"/>
          <w:rtl/>
        </w:rPr>
        <w:t>فرض</w:t>
      </w:r>
      <w:r w:rsidRPr="007507CB">
        <w:rPr>
          <w:rFonts w:ascii="mylotus" w:hAnsi="mylotus"/>
          <w:b/>
          <w:bCs/>
          <w:sz w:val="34"/>
          <w:szCs w:val="34"/>
          <w:rtl/>
        </w:rPr>
        <w:t xml:space="preserve"> </w:t>
      </w:r>
      <w:r w:rsidRPr="007507CB">
        <w:rPr>
          <w:rFonts w:ascii="mylotus" w:hAnsi="mylotus" w:hint="cs"/>
          <w:b/>
          <w:bCs/>
          <w:sz w:val="34"/>
          <w:szCs w:val="34"/>
          <w:rtl/>
        </w:rPr>
        <w:t>وحدة</w:t>
      </w:r>
      <w:r w:rsidRPr="007507CB">
        <w:rPr>
          <w:rFonts w:ascii="mylotus" w:hAnsi="mylotus"/>
          <w:b/>
          <w:bCs/>
          <w:sz w:val="34"/>
          <w:szCs w:val="34"/>
          <w:rtl/>
        </w:rPr>
        <w:t xml:space="preserve"> </w:t>
      </w:r>
      <w:r w:rsidRPr="007507CB">
        <w:rPr>
          <w:rFonts w:ascii="mylotus" w:hAnsi="mylotus" w:hint="cs"/>
          <w:b/>
          <w:bCs/>
          <w:sz w:val="34"/>
          <w:szCs w:val="34"/>
          <w:rtl/>
        </w:rPr>
        <w:t>الإجارة</w:t>
      </w:r>
      <w:r w:rsidRPr="007507CB">
        <w:rPr>
          <w:rFonts w:ascii="mylotus" w:hAnsi="mylotus"/>
          <w:b/>
          <w:bCs/>
          <w:sz w:val="34"/>
          <w:szCs w:val="34"/>
          <w:rtl/>
        </w:rPr>
        <w:t>)</w:t>
      </w:r>
      <w:r w:rsidRPr="00D65F50">
        <w:rPr>
          <w:rFonts w:ascii="mylotus" w:hAnsi="mylotus"/>
          <w:sz w:val="34"/>
          <w:szCs w:val="34"/>
          <w:rtl/>
        </w:rPr>
        <w:t xml:space="preserve"> </w:t>
      </w:r>
      <w:r w:rsidRPr="00D65F50">
        <w:rPr>
          <w:rFonts w:ascii="mylotus" w:hAnsi="mylotus" w:hint="cs"/>
          <w:sz w:val="34"/>
          <w:szCs w:val="34"/>
          <w:rtl/>
        </w:rPr>
        <w:t>فهي</w:t>
      </w:r>
      <w:r w:rsidRPr="00D65F50">
        <w:rPr>
          <w:rFonts w:ascii="mylotus" w:hAnsi="mylotus"/>
          <w:sz w:val="34"/>
          <w:szCs w:val="34"/>
          <w:rtl/>
        </w:rPr>
        <w:t xml:space="preserve"> </w:t>
      </w:r>
      <w:r w:rsidRPr="00D65F50">
        <w:rPr>
          <w:rFonts w:ascii="mylotus" w:hAnsi="mylotus" w:hint="cs"/>
          <w:sz w:val="34"/>
          <w:szCs w:val="34"/>
          <w:rtl/>
        </w:rPr>
        <w:t>صفقة</w:t>
      </w:r>
      <w:r w:rsidRPr="00D65F50">
        <w:rPr>
          <w:rFonts w:ascii="mylotus" w:hAnsi="mylotus"/>
          <w:sz w:val="34"/>
          <w:szCs w:val="34"/>
          <w:rtl/>
        </w:rPr>
        <w:t xml:space="preserve"> </w:t>
      </w:r>
      <w:r w:rsidRPr="00D65F50">
        <w:rPr>
          <w:rFonts w:ascii="mylotus" w:hAnsi="mylotus" w:hint="cs"/>
          <w:sz w:val="34"/>
          <w:szCs w:val="34"/>
          <w:rtl/>
        </w:rPr>
        <w:t>واحدة</w:t>
      </w:r>
      <w:r w:rsidRPr="00D65F50">
        <w:rPr>
          <w:rFonts w:ascii="mylotus" w:hAnsi="mylotus"/>
          <w:sz w:val="34"/>
          <w:szCs w:val="34"/>
          <w:rtl/>
        </w:rPr>
        <w:t xml:space="preserve"> </w:t>
      </w:r>
      <w:r w:rsidRPr="007507CB">
        <w:rPr>
          <w:rFonts w:ascii="mylotus" w:hAnsi="mylotus"/>
          <w:b/>
          <w:bCs/>
          <w:sz w:val="34"/>
          <w:szCs w:val="34"/>
          <w:rtl/>
        </w:rPr>
        <w:t>(</w:t>
      </w:r>
      <w:r w:rsidRPr="007507CB">
        <w:rPr>
          <w:rFonts w:ascii="mylotus" w:hAnsi="mylotus" w:hint="cs"/>
          <w:b/>
          <w:bCs/>
          <w:sz w:val="34"/>
          <w:szCs w:val="34"/>
          <w:rtl/>
        </w:rPr>
        <w:t>وحيث</w:t>
      </w:r>
      <w:r w:rsidRPr="007507CB">
        <w:rPr>
          <w:rFonts w:ascii="mylotus" w:hAnsi="mylotus"/>
          <w:b/>
          <w:bCs/>
          <w:sz w:val="34"/>
          <w:szCs w:val="34"/>
          <w:rtl/>
        </w:rPr>
        <w:t xml:space="preserve"> </w:t>
      </w:r>
      <w:r w:rsidRPr="007507CB">
        <w:rPr>
          <w:rFonts w:ascii="mylotus" w:hAnsi="mylotus" w:hint="cs"/>
          <w:b/>
          <w:bCs/>
          <w:sz w:val="34"/>
          <w:szCs w:val="34"/>
          <w:rtl/>
        </w:rPr>
        <w:t>صحّت</w:t>
      </w:r>
      <w:r w:rsidRPr="007507CB">
        <w:rPr>
          <w:rFonts w:ascii="mylotus" w:hAnsi="mylotus"/>
          <w:b/>
          <w:bCs/>
          <w:sz w:val="34"/>
          <w:szCs w:val="34"/>
          <w:rtl/>
        </w:rPr>
        <w:t xml:space="preserve"> </w:t>
      </w:r>
      <w:r w:rsidRPr="007507CB">
        <w:rPr>
          <w:rFonts w:ascii="mylotus" w:hAnsi="mylotus" w:hint="cs"/>
          <w:b/>
          <w:bCs/>
          <w:sz w:val="34"/>
          <w:szCs w:val="34"/>
          <w:rtl/>
        </w:rPr>
        <w:t>الإجارة</w:t>
      </w:r>
      <w:r w:rsidRPr="007507CB">
        <w:rPr>
          <w:rFonts w:ascii="mylotus" w:hAnsi="mylotus"/>
          <w:b/>
          <w:bCs/>
          <w:sz w:val="34"/>
          <w:szCs w:val="34"/>
          <w:rtl/>
        </w:rPr>
        <w:t xml:space="preserve"> في البعض)</w:t>
      </w:r>
      <w:r w:rsidRPr="00D65F50">
        <w:rPr>
          <w:rFonts w:ascii="mylotus" w:hAnsi="mylotus"/>
          <w:sz w:val="34"/>
          <w:szCs w:val="34"/>
          <w:rtl/>
        </w:rPr>
        <w:t xml:space="preserve"> وهو ما مضى </w:t>
      </w:r>
      <w:r w:rsidRPr="007507CB">
        <w:rPr>
          <w:rFonts w:ascii="mylotus" w:hAnsi="mylotus"/>
          <w:b/>
          <w:bCs/>
          <w:sz w:val="34"/>
          <w:szCs w:val="34"/>
          <w:rtl/>
        </w:rPr>
        <w:t>(دون الآخر)</w:t>
      </w:r>
      <w:r w:rsidRPr="00D65F50">
        <w:rPr>
          <w:rFonts w:ascii="mylotus" w:hAnsi="mylotus"/>
          <w:sz w:val="34"/>
          <w:szCs w:val="34"/>
          <w:rtl/>
        </w:rPr>
        <w:t xml:space="preserve"> وهو ما بقي </w:t>
      </w:r>
      <w:r w:rsidRPr="007507CB">
        <w:rPr>
          <w:rFonts w:ascii="mylotus" w:hAnsi="mylotus"/>
          <w:b/>
          <w:bCs/>
          <w:sz w:val="34"/>
          <w:szCs w:val="34"/>
          <w:rtl/>
        </w:rPr>
        <w:t xml:space="preserve">(فلا جرم تبعّضت عليه الصفقة، فمن أجله يثبت له خيار </w:t>
      </w:r>
      <w:proofErr w:type="spellStart"/>
      <w:r w:rsidRPr="007507CB">
        <w:rPr>
          <w:rFonts w:ascii="mylotus" w:hAnsi="mylotus"/>
          <w:b/>
          <w:bCs/>
          <w:sz w:val="34"/>
          <w:szCs w:val="34"/>
          <w:rtl/>
        </w:rPr>
        <w:t>التبعّض</w:t>
      </w:r>
      <w:proofErr w:type="spellEnd"/>
      <w:r w:rsidRPr="007507CB">
        <w:rPr>
          <w:rFonts w:ascii="mylotus" w:hAnsi="mylotus"/>
          <w:b/>
          <w:bCs/>
          <w:sz w:val="34"/>
          <w:szCs w:val="34"/>
          <w:rtl/>
        </w:rPr>
        <w:t xml:space="preserve"> من أجل تخلّف الشرط الضمني)</w:t>
      </w:r>
      <w:r w:rsidRPr="00D65F50">
        <w:rPr>
          <w:rFonts w:ascii="mylotus" w:hAnsi="mylotus"/>
          <w:sz w:val="34"/>
          <w:szCs w:val="34"/>
          <w:rtl/>
        </w:rPr>
        <w:t xml:space="preserve"> لاحتفاف المعاوضة بشرط ارتكازي وهو تملك تمام الأجزاء بملكية واحدة </w:t>
      </w:r>
      <w:r w:rsidRPr="007507CB">
        <w:rPr>
          <w:rFonts w:ascii="mylotus" w:hAnsi="mylotus"/>
          <w:b/>
          <w:bCs/>
          <w:sz w:val="34"/>
          <w:szCs w:val="34"/>
          <w:rtl/>
        </w:rPr>
        <w:t>(فله حينئذٍ فسخ العقد من أصله وفرضه كأن لم يكن، فيرجع بتمام الاُجرة المسمّاة، ويدفع للمؤجّر اُجرة المثل لما مضى، كي لا يذهب المال المحترم هدراً بعد امتناع استرداده كما أنّ له الإمضاء والتقسيط حسبما عرفت)</w:t>
      </w:r>
      <w:r w:rsidRPr="007507CB">
        <w:rPr>
          <w:rFonts w:ascii="mylotus" w:hAnsi="mylotus"/>
          <w:b/>
          <w:bCs/>
          <w:sz w:val="34"/>
          <w:szCs w:val="34"/>
        </w:rPr>
        <w:t>.</w:t>
      </w:r>
    </w:p>
    <w:p w14:paraId="2128CC01" w14:textId="77777777" w:rsidR="00B0575B" w:rsidRPr="007507CB" w:rsidRDefault="00B0575B" w:rsidP="00B0575B">
      <w:pPr>
        <w:pStyle w:val="a"/>
        <w:bidi/>
        <w:spacing w:line="216" w:lineRule="auto"/>
        <w:rPr>
          <w:rFonts w:ascii="mylotus" w:hAnsi="mylotus"/>
          <w:b/>
          <w:bCs/>
          <w:sz w:val="34"/>
          <w:szCs w:val="34"/>
          <w:rtl/>
        </w:rPr>
      </w:pPr>
      <w:r w:rsidRPr="007507CB">
        <w:rPr>
          <w:rFonts w:ascii="mylotus" w:hAnsi="mylotus"/>
          <w:b/>
          <w:bCs/>
          <w:sz w:val="34"/>
          <w:szCs w:val="34"/>
          <w:rtl/>
        </w:rPr>
        <w:t>وتحقيق المسألة بالبحث في مطلبين</w:t>
      </w:r>
      <w:r w:rsidRPr="007507CB">
        <w:rPr>
          <w:rFonts w:ascii="mylotus" w:hAnsi="mylotus"/>
          <w:b/>
          <w:bCs/>
          <w:sz w:val="34"/>
          <w:szCs w:val="34"/>
        </w:rPr>
        <w:t>:</w:t>
      </w:r>
    </w:p>
    <w:p w14:paraId="3526F923" w14:textId="77777777" w:rsidR="00B0575B" w:rsidRPr="007507CB" w:rsidRDefault="00B0575B" w:rsidP="00B0575B">
      <w:pPr>
        <w:pStyle w:val="a"/>
        <w:bidi/>
        <w:spacing w:line="216" w:lineRule="auto"/>
        <w:rPr>
          <w:rFonts w:ascii="mylotus" w:hAnsi="mylotus"/>
          <w:b/>
          <w:bCs/>
          <w:sz w:val="34"/>
          <w:szCs w:val="34"/>
          <w:rtl/>
        </w:rPr>
      </w:pPr>
      <w:r w:rsidRPr="007507CB">
        <w:rPr>
          <w:rFonts w:ascii="mylotus" w:hAnsi="mylotus"/>
          <w:b/>
          <w:bCs/>
          <w:sz w:val="34"/>
          <w:szCs w:val="34"/>
          <w:rtl/>
        </w:rPr>
        <w:t>المطلبُ الأوّل: في تخريج خيار تبعّض الصفقة</w:t>
      </w:r>
      <w:r w:rsidRPr="007507CB">
        <w:rPr>
          <w:rFonts w:ascii="mylotus" w:hAnsi="mylotus"/>
          <w:b/>
          <w:bCs/>
          <w:sz w:val="34"/>
          <w:szCs w:val="34"/>
        </w:rPr>
        <w:t>.</w:t>
      </w:r>
    </w:p>
    <w:p w14:paraId="33308517" w14:textId="77777777" w:rsidR="00B0575B" w:rsidRPr="007507CB" w:rsidRDefault="00B0575B" w:rsidP="00B0575B">
      <w:pPr>
        <w:pStyle w:val="a"/>
        <w:bidi/>
        <w:spacing w:line="216" w:lineRule="auto"/>
        <w:rPr>
          <w:rFonts w:ascii="mylotus" w:hAnsi="mylotus"/>
          <w:b/>
          <w:bCs/>
          <w:sz w:val="34"/>
          <w:szCs w:val="34"/>
          <w:rtl/>
        </w:rPr>
      </w:pPr>
      <w:r w:rsidRPr="007507CB">
        <w:rPr>
          <w:rFonts w:ascii="mylotus" w:hAnsi="mylotus"/>
          <w:b/>
          <w:bCs/>
          <w:sz w:val="34"/>
          <w:szCs w:val="34"/>
          <w:rtl/>
        </w:rPr>
        <w:t>والمطلب الثاني: في توجيه عدم بناء المشهور على ثبوت خيار تبعّض الصفقة</w:t>
      </w:r>
      <w:r w:rsidRPr="007507CB">
        <w:rPr>
          <w:rFonts w:ascii="mylotus" w:hAnsi="mylotus"/>
          <w:b/>
          <w:bCs/>
          <w:sz w:val="34"/>
          <w:szCs w:val="34"/>
        </w:rPr>
        <w:t>.</w:t>
      </w:r>
    </w:p>
    <w:p w14:paraId="676E80DF" w14:textId="77777777" w:rsidR="00B0575B" w:rsidRPr="007507CB" w:rsidRDefault="00B0575B" w:rsidP="00B0575B">
      <w:pPr>
        <w:pStyle w:val="a"/>
        <w:bidi/>
        <w:spacing w:line="216" w:lineRule="auto"/>
        <w:rPr>
          <w:rFonts w:ascii="mylotus" w:hAnsi="mylotus"/>
          <w:b/>
          <w:bCs/>
          <w:sz w:val="34"/>
          <w:szCs w:val="34"/>
          <w:rtl/>
        </w:rPr>
      </w:pPr>
      <w:r w:rsidRPr="007507CB">
        <w:rPr>
          <w:rFonts w:ascii="mylotus" w:hAnsi="mylotus"/>
          <w:b/>
          <w:bCs/>
          <w:sz w:val="34"/>
          <w:szCs w:val="34"/>
          <w:rtl/>
        </w:rPr>
        <w:t>المطلبُ الأوّل: في تخريج خيار تبعّض الصفقة</w:t>
      </w:r>
      <w:r w:rsidRPr="007507CB">
        <w:rPr>
          <w:rFonts w:ascii="mylotus" w:hAnsi="mylotus"/>
          <w:b/>
          <w:bCs/>
          <w:sz w:val="34"/>
          <w:szCs w:val="34"/>
        </w:rPr>
        <w:t>.</w:t>
      </w:r>
    </w:p>
    <w:p w14:paraId="1552C9B9" w14:textId="77777777" w:rsidR="00B0575B" w:rsidRPr="00D65F50" w:rsidRDefault="00B0575B" w:rsidP="00B0575B">
      <w:pPr>
        <w:pStyle w:val="a"/>
        <w:bidi/>
        <w:spacing w:line="216" w:lineRule="auto"/>
        <w:rPr>
          <w:rFonts w:ascii="mylotus" w:hAnsi="mylotus"/>
          <w:sz w:val="34"/>
          <w:szCs w:val="34"/>
          <w:rtl/>
        </w:rPr>
      </w:pPr>
      <w:r w:rsidRPr="00D65F50">
        <w:rPr>
          <w:rFonts w:ascii="mylotus" w:hAnsi="mylotus"/>
          <w:sz w:val="34"/>
          <w:szCs w:val="34"/>
          <w:rtl/>
        </w:rPr>
        <w:t>إن مدركُ خيار تبعّض الصفقة أحد وجهين</w:t>
      </w:r>
      <w:r w:rsidRPr="00D65F50">
        <w:rPr>
          <w:rFonts w:ascii="mylotus" w:hAnsi="mylotus"/>
          <w:sz w:val="34"/>
          <w:szCs w:val="34"/>
        </w:rPr>
        <w:t>:</w:t>
      </w:r>
    </w:p>
    <w:p w14:paraId="24118877" w14:textId="77777777" w:rsidR="00B0575B" w:rsidRPr="00D65F50" w:rsidRDefault="00B0575B" w:rsidP="00B0575B">
      <w:pPr>
        <w:pStyle w:val="a"/>
        <w:bidi/>
        <w:spacing w:line="216" w:lineRule="auto"/>
        <w:rPr>
          <w:rFonts w:ascii="mylotus" w:hAnsi="mylotus"/>
          <w:sz w:val="34"/>
          <w:szCs w:val="34"/>
          <w:rtl/>
        </w:rPr>
      </w:pPr>
      <w:r w:rsidRPr="007507CB">
        <w:rPr>
          <w:rFonts w:ascii="mylotus" w:hAnsi="mylotus"/>
          <w:b/>
          <w:bCs/>
          <w:sz w:val="34"/>
          <w:szCs w:val="34"/>
          <w:rtl/>
        </w:rPr>
        <w:t>الوجهُ الأوّل:</w:t>
      </w:r>
      <w:r w:rsidRPr="00D65F50">
        <w:rPr>
          <w:rFonts w:ascii="mylotus" w:hAnsi="mylotus"/>
          <w:sz w:val="34"/>
          <w:szCs w:val="34"/>
          <w:rtl/>
        </w:rPr>
        <w:t xml:space="preserve"> ما ذكره سيدنا الخوئي (قدس سره الشريف) مِن وجود شرطٍ ارتكازي في كُلّ معاوضةٍ وهو </w:t>
      </w:r>
      <w:proofErr w:type="gramStart"/>
      <w:r w:rsidRPr="00D65F50">
        <w:rPr>
          <w:rFonts w:ascii="mylotus" w:hAnsi="mylotus"/>
          <w:sz w:val="34"/>
          <w:szCs w:val="34"/>
          <w:rtl/>
        </w:rPr>
        <w:t>الوحدة</w:t>
      </w:r>
      <w:r w:rsidRPr="00D65F50">
        <w:rPr>
          <w:rFonts w:ascii="mylotus" w:hAnsi="mylotus"/>
          <w:sz w:val="34"/>
          <w:szCs w:val="34"/>
        </w:rPr>
        <w:t xml:space="preserve"> .</w:t>
      </w:r>
      <w:proofErr w:type="gramEnd"/>
    </w:p>
    <w:p w14:paraId="4FACF0EE" w14:textId="77777777" w:rsidR="00B0575B" w:rsidRDefault="00B0575B" w:rsidP="00B0575B">
      <w:pPr>
        <w:pStyle w:val="a"/>
        <w:bidi/>
        <w:spacing w:line="216" w:lineRule="auto"/>
        <w:rPr>
          <w:rFonts w:ascii="mylotus" w:hAnsi="mylotus"/>
          <w:sz w:val="34"/>
          <w:szCs w:val="34"/>
          <w:rtl/>
        </w:rPr>
      </w:pPr>
      <w:r w:rsidRPr="00D65F50">
        <w:rPr>
          <w:rFonts w:ascii="mylotus" w:hAnsi="mylotus"/>
          <w:sz w:val="34"/>
          <w:szCs w:val="34"/>
          <w:rtl/>
        </w:rPr>
        <w:t>فكما أنّ هذا الشرط ملحوظٌ في العين المتعلّق للمعاوضة، كما لو باعه داراً فتخلّفت بعض غرفها، أو باعه موسوعةً فتخلفت</w:t>
      </w:r>
      <w:r>
        <w:rPr>
          <w:rFonts w:ascii="mylotus" w:hAnsi="mylotus" w:hint="cs"/>
          <w:sz w:val="34"/>
          <w:szCs w:val="34"/>
          <w:rtl/>
        </w:rPr>
        <w:t>ْ</w:t>
      </w:r>
      <w:r w:rsidRPr="00D65F50">
        <w:rPr>
          <w:rFonts w:ascii="mylotus" w:hAnsi="mylotus"/>
          <w:sz w:val="34"/>
          <w:szCs w:val="34"/>
          <w:rtl/>
        </w:rPr>
        <w:t xml:space="preserve"> بعضُ أجزائها، ثبت لَهُ خيار تبعّض الصفقة، فكذلك في الإجار</w:t>
      </w:r>
      <w:r>
        <w:rPr>
          <w:rFonts w:ascii="mylotus" w:hAnsi="mylotus" w:hint="cs"/>
          <w:sz w:val="34"/>
          <w:szCs w:val="34"/>
          <w:rtl/>
        </w:rPr>
        <w:t>ة.</w:t>
      </w:r>
    </w:p>
    <w:p w14:paraId="38A3C10A" w14:textId="77777777" w:rsidR="00B0575B" w:rsidRPr="00D65F50" w:rsidRDefault="00B0575B" w:rsidP="00B0575B">
      <w:pPr>
        <w:pStyle w:val="a"/>
        <w:bidi/>
        <w:spacing w:line="216" w:lineRule="auto"/>
        <w:rPr>
          <w:rFonts w:ascii="mylotus" w:hAnsi="mylotus"/>
          <w:sz w:val="34"/>
          <w:szCs w:val="34"/>
          <w:rtl/>
        </w:rPr>
      </w:pPr>
      <w:r w:rsidRPr="00D65F50">
        <w:rPr>
          <w:rFonts w:ascii="mylotus" w:hAnsi="mylotus"/>
          <w:sz w:val="34"/>
          <w:szCs w:val="34"/>
          <w:rtl/>
        </w:rPr>
        <w:t>ولا يختصُ ذلك بإجارة الأعيان بل يشمل إجارة الأعمال؛ فكما أنّه في إجارة الأعيان إذا آجره السيارة لمدّة شهرين -مثلاً- فخربت السيارة أثناء المدّة، فإن</w:t>
      </w:r>
      <w:r>
        <w:rPr>
          <w:rFonts w:ascii="mylotus" w:hAnsi="mylotus" w:hint="cs"/>
          <w:sz w:val="34"/>
          <w:szCs w:val="34"/>
          <w:rtl/>
        </w:rPr>
        <w:t>ّ</w:t>
      </w:r>
      <w:r w:rsidRPr="00D65F50">
        <w:rPr>
          <w:rFonts w:ascii="mylotus" w:hAnsi="mylotus"/>
          <w:sz w:val="34"/>
          <w:szCs w:val="34"/>
          <w:rtl/>
        </w:rPr>
        <w:t xml:space="preserve"> ل</w:t>
      </w:r>
      <w:r>
        <w:rPr>
          <w:rFonts w:ascii="mylotus" w:hAnsi="mylotus" w:hint="cs"/>
          <w:sz w:val="34"/>
          <w:szCs w:val="34"/>
          <w:rtl/>
        </w:rPr>
        <w:t>َ</w:t>
      </w:r>
      <w:r w:rsidRPr="00D65F50">
        <w:rPr>
          <w:rFonts w:ascii="mylotus" w:hAnsi="mylotus"/>
          <w:sz w:val="34"/>
          <w:szCs w:val="34"/>
          <w:rtl/>
        </w:rPr>
        <w:t>ه</w:t>
      </w:r>
      <w:r>
        <w:rPr>
          <w:rFonts w:ascii="mylotus" w:hAnsi="mylotus" w:hint="cs"/>
          <w:sz w:val="34"/>
          <w:szCs w:val="34"/>
          <w:rtl/>
        </w:rPr>
        <w:t>ُ</w:t>
      </w:r>
      <w:r w:rsidRPr="00D65F50">
        <w:rPr>
          <w:rFonts w:ascii="mylotus" w:hAnsi="mylotus"/>
          <w:sz w:val="34"/>
          <w:szCs w:val="34"/>
          <w:rtl/>
        </w:rPr>
        <w:t xml:space="preserve"> خيار تبعّض الصفقة لتخلف الشرط الارتكازي -وهو وحدة الصفقة- وإنْ كانت منافع السيارة منحلّة بحسب عمود الزمان، كذلك في إجارة الأعمال كما لو استأجره على بناء البيت، فإنّ بناء البيت ينحل إلى أعمال وأيام، ولكن إذا حصل خلل أثناء المدّة بنحو</w:t>
      </w:r>
      <w:r>
        <w:rPr>
          <w:rFonts w:ascii="mylotus" w:hAnsi="mylotus" w:hint="cs"/>
          <w:sz w:val="34"/>
          <w:szCs w:val="34"/>
          <w:rtl/>
        </w:rPr>
        <w:t xml:space="preserve">ٍ </w:t>
      </w:r>
      <w:r w:rsidRPr="00D65F50">
        <w:rPr>
          <w:rFonts w:ascii="mylotus" w:hAnsi="mylotus"/>
          <w:sz w:val="34"/>
          <w:szCs w:val="34"/>
          <w:rtl/>
        </w:rPr>
        <w:t>أوجب بطلان الإجارة فيما بقي والصح</w:t>
      </w:r>
      <w:r>
        <w:rPr>
          <w:rFonts w:ascii="mylotus" w:hAnsi="mylotus" w:hint="cs"/>
          <w:sz w:val="34"/>
          <w:szCs w:val="34"/>
          <w:rtl/>
        </w:rPr>
        <w:t>ّ</w:t>
      </w:r>
      <w:r w:rsidRPr="00D65F50">
        <w:rPr>
          <w:rFonts w:ascii="mylotus" w:hAnsi="mylotus"/>
          <w:sz w:val="34"/>
          <w:szCs w:val="34"/>
          <w:rtl/>
        </w:rPr>
        <w:t>ة فيما مضى، فإنّ لَهُ خيار تبعّض الصفقة لنفس المناط وهو تخلف الشرط الارتكازي</w:t>
      </w:r>
      <w:r w:rsidRPr="00D65F50">
        <w:rPr>
          <w:rFonts w:ascii="mylotus" w:hAnsi="mylotus"/>
          <w:sz w:val="34"/>
          <w:szCs w:val="34"/>
        </w:rPr>
        <w:t>.</w:t>
      </w:r>
    </w:p>
    <w:p w14:paraId="7D3169A8" w14:textId="77777777" w:rsidR="00B0575B" w:rsidRPr="00D65F50" w:rsidRDefault="00B0575B" w:rsidP="00B0575B">
      <w:pPr>
        <w:pStyle w:val="a"/>
        <w:bidi/>
        <w:spacing w:line="216" w:lineRule="auto"/>
        <w:rPr>
          <w:rFonts w:ascii="mylotus" w:hAnsi="mylotus"/>
          <w:sz w:val="34"/>
          <w:szCs w:val="34"/>
          <w:rtl/>
        </w:rPr>
      </w:pPr>
      <w:r w:rsidRPr="00D65F50">
        <w:rPr>
          <w:rFonts w:ascii="mylotus" w:hAnsi="mylotus"/>
          <w:sz w:val="34"/>
          <w:szCs w:val="34"/>
          <w:rtl/>
        </w:rPr>
        <w:t>وقد أشكل بعض الأجلة (رحمه الله) في كتابه الإجارة</w:t>
      </w:r>
      <w:r>
        <w:rPr>
          <w:rStyle w:val="FootnoteReference"/>
          <w:rFonts w:ascii="mylotus" w:hAnsi="mylotus"/>
          <w:sz w:val="34"/>
          <w:szCs w:val="34"/>
          <w:rtl/>
        </w:rPr>
        <w:footnoteReference w:id="260"/>
      </w:r>
      <w:r w:rsidRPr="00D65F50">
        <w:rPr>
          <w:rFonts w:ascii="mylotus" w:hAnsi="mylotus"/>
          <w:sz w:val="34"/>
          <w:szCs w:val="34"/>
          <w:rtl/>
        </w:rPr>
        <w:t xml:space="preserve"> فقال: </w:t>
      </w:r>
      <w:r w:rsidRPr="007507CB">
        <w:rPr>
          <w:rFonts w:ascii="mylotus" w:hAnsi="mylotus"/>
          <w:b/>
          <w:bCs/>
          <w:sz w:val="34"/>
          <w:szCs w:val="34"/>
          <w:rtl/>
        </w:rPr>
        <w:t>(وقد ذكرنا فما سبق أنَّ ملاك خيار تبعض الصفقة إنّما هو الشرط الضمني الارتكازي بوحدة الصفقة، وهذا غير موجود بلحاظ الأجزاء الطولية للمنفعة في عمود الزمان)</w:t>
      </w:r>
      <w:r w:rsidRPr="007507CB">
        <w:rPr>
          <w:rFonts w:ascii="mylotus" w:hAnsi="mylotus"/>
          <w:b/>
          <w:bCs/>
          <w:sz w:val="34"/>
          <w:szCs w:val="34"/>
        </w:rPr>
        <w:t>.</w:t>
      </w:r>
    </w:p>
    <w:p w14:paraId="6BAF47BE" w14:textId="77777777" w:rsidR="00B0575B" w:rsidRPr="00D65F50" w:rsidRDefault="00B0575B" w:rsidP="00B0575B">
      <w:pPr>
        <w:pStyle w:val="a"/>
        <w:bidi/>
        <w:spacing w:line="216" w:lineRule="auto"/>
        <w:rPr>
          <w:rFonts w:ascii="mylotus" w:hAnsi="mylotus"/>
          <w:sz w:val="34"/>
          <w:szCs w:val="34"/>
          <w:rtl/>
        </w:rPr>
      </w:pPr>
      <w:r w:rsidRPr="00D65F50">
        <w:rPr>
          <w:rFonts w:ascii="mylotus" w:hAnsi="mylotus"/>
          <w:sz w:val="34"/>
          <w:szCs w:val="34"/>
          <w:rtl/>
        </w:rPr>
        <w:lastRenderedPageBreak/>
        <w:t>وإنّما هو</w:t>
      </w:r>
      <w:r>
        <w:rPr>
          <w:rFonts w:ascii="mylotus" w:hAnsi="mylotus" w:hint="cs"/>
          <w:sz w:val="34"/>
          <w:szCs w:val="34"/>
          <w:rtl/>
        </w:rPr>
        <w:t xml:space="preserve"> </w:t>
      </w:r>
      <w:r w:rsidRPr="00D65F50">
        <w:rPr>
          <w:rFonts w:ascii="mylotus" w:hAnsi="mylotus"/>
          <w:sz w:val="34"/>
          <w:szCs w:val="34"/>
          <w:rtl/>
        </w:rPr>
        <w:t>ثابت بنظر العقلاء في الأجزاء العرضية، كما لو اشترى موسوعةً فتخلّف بعض أجزائها، فهنا يأتي خيار تبعّض الصفقة</w:t>
      </w:r>
      <w:r w:rsidRPr="00D65F50">
        <w:rPr>
          <w:rFonts w:ascii="mylotus" w:hAnsi="mylotus"/>
          <w:sz w:val="34"/>
          <w:szCs w:val="34"/>
        </w:rPr>
        <w:t>.</w:t>
      </w:r>
    </w:p>
    <w:p w14:paraId="3E602BA6" w14:textId="77777777" w:rsidR="00B0575B" w:rsidRPr="007507CB" w:rsidRDefault="00B0575B" w:rsidP="00B0575B">
      <w:pPr>
        <w:pStyle w:val="a"/>
        <w:bidi/>
        <w:spacing w:line="216" w:lineRule="auto"/>
        <w:rPr>
          <w:rFonts w:ascii="mylotus" w:hAnsi="mylotus"/>
          <w:b/>
          <w:bCs/>
          <w:sz w:val="34"/>
          <w:szCs w:val="34"/>
          <w:rtl/>
        </w:rPr>
      </w:pPr>
      <w:r w:rsidRPr="00D65F50">
        <w:rPr>
          <w:rFonts w:ascii="mylotus" w:hAnsi="mylotus"/>
          <w:sz w:val="34"/>
          <w:szCs w:val="34"/>
          <w:rtl/>
        </w:rPr>
        <w:t xml:space="preserve">أمّا في الأجزاء الطولية للمنفعة بحسب عمود الزمان كمنافع الدار ومنافع السيارة فلا </w:t>
      </w:r>
      <w:r w:rsidRPr="007507CB">
        <w:rPr>
          <w:rFonts w:ascii="mylotus" w:hAnsi="mylotus"/>
          <w:b/>
          <w:bCs/>
          <w:sz w:val="34"/>
          <w:szCs w:val="34"/>
          <w:rtl/>
        </w:rPr>
        <w:t>(بمعنى أنّه لا يوجد شرط ضمني)</w:t>
      </w:r>
      <w:r w:rsidRPr="00D65F50">
        <w:rPr>
          <w:rFonts w:ascii="mylotus" w:hAnsi="mylotus"/>
          <w:sz w:val="34"/>
          <w:szCs w:val="34"/>
          <w:rtl/>
        </w:rPr>
        <w:t xml:space="preserve"> ارتكازي </w:t>
      </w:r>
      <w:r w:rsidRPr="007507CB">
        <w:rPr>
          <w:rFonts w:ascii="mylotus" w:hAnsi="mylotus"/>
          <w:b/>
          <w:bCs/>
          <w:sz w:val="34"/>
          <w:szCs w:val="34"/>
          <w:rtl/>
        </w:rPr>
        <w:t>(بأنَّ تكون المدة التي استؤجر فيها العين)</w:t>
      </w:r>
      <w:r w:rsidRPr="00D65F50">
        <w:rPr>
          <w:rFonts w:ascii="mylotus" w:hAnsi="mylotus"/>
          <w:sz w:val="34"/>
          <w:szCs w:val="34"/>
          <w:rtl/>
        </w:rPr>
        <w:t xml:space="preserve"> م</w:t>
      </w:r>
      <w:r>
        <w:rPr>
          <w:rFonts w:ascii="mylotus" w:hAnsi="mylotus" w:hint="cs"/>
          <w:sz w:val="34"/>
          <w:szCs w:val="34"/>
          <w:rtl/>
        </w:rPr>
        <w:t>ِ</w:t>
      </w:r>
      <w:r w:rsidRPr="00D65F50">
        <w:rPr>
          <w:rFonts w:ascii="mylotus" w:hAnsi="mylotus"/>
          <w:sz w:val="34"/>
          <w:szCs w:val="34"/>
          <w:rtl/>
        </w:rPr>
        <w:t>ن حيث</w:t>
      </w:r>
      <w:r>
        <w:rPr>
          <w:rFonts w:ascii="mylotus" w:hAnsi="mylotus" w:hint="cs"/>
          <w:sz w:val="34"/>
          <w:szCs w:val="34"/>
          <w:rtl/>
        </w:rPr>
        <w:t>ُ</w:t>
      </w:r>
      <w:r w:rsidRPr="00D65F50">
        <w:rPr>
          <w:rFonts w:ascii="mylotus" w:hAnsi="mylotus"/>
          <w:sz w:val="34"/>
          <w:szCs w:val="34"/>
          <w:rtl/>
        </w:rPr>
        <w:t xml:space="preserve"> الم</w:t>
      </w:r>
      <w:r>
        <w:rPr>
          <w:rFonts w:ascii="mylotus" w:hAnsi="mylotus" w:hint="cs"/>
          <w:sz w:val="34"/>
          <w:szCs w:val="34"/>
          <w:rtl/>
        </w:rPr>
        <w:t>ِ</w:t>
      </w:r>
      <w:r w:rsidRPr="00D65F50">
        <w:rPr>
          <w:rFonts w:ascii="mylotus" w:hAnsi="mylotus"/>
          <w:sz w:val="34"/>
          <w:szCs w:val="34"/>
          <w:rtl/>
        </w:rPr>
        <w:t>لكي</w:t>
      </w:r>
      <w:r>
        <w:rPr>
          <w:rFonts w:ascii="mylotus" w:hAnsi="mylotus" w:hint="cs"/>
          <w:sz w:val="34"/>
          <w:szCs w:val="34"/>
          <w:rtl/>
        </w:rPr>
        <w:t>ّ</w:t>
      </w:r>
      <w:r w:rsidRPr="00D65F50">
        <w:rPr>
          <w:rFonts w:ascii="mylotus" w:hAnsi="mylotus"/>
          <w:sz w:val="34"/>
          <w:szCs w:val="34"/>
          <w:rtl/>
        </w:rPr>
        <w:t>ة بنظر الم</w:t>
      </w:r>
      <w:r>
        <w:rPr>
          <w:rFonts w:ascii="mylotus" w:hAnsi="mylotus" w:hint="cs"/>
          <w:sz w:val="34"/>
          <w:szCs w:val="34"/>
          <w:rtl/>
        </w:rPr>
        <w:t>ُ</w:t>
      </w:r>
      <w:r w:rsidRPr="00D65F50">
        <w:rPr>
          <w:rFonts w:ascii="mylotus" w:hAnsi="mylotus"/>
          <w:sz w:val="34"/>
          <w:szCs w:val="34"/>
          <w:rtl/>
        </w:rPr>
        <w:t>ستأجر على نحو العموم المجموعي بحيثُ يأبى أن</w:t>
      </w:r>
      <w:r>
        <w:rPr>
          <w:rFonts w:ascii="mylotus" w:hAnsi="mylotus" w:hint="cs"/>
          <w:sz w:val="34"/>
          <w:szCs w:val="34"/>
          <w:rtl/>
        </w:rPr>
        <w:t>ْ</w:t>
      </w:r>
      <w:r w:rsidRPr="00D65F50">
        <w:rPr>
          <w:rFonts w:ascii="mylotus" w:hAnsi="mylotus"/>
          <w:sz w:val="34"/>
          <w:szCs w:val="34"/>
          <w:rtl/>
        </w:rPr>
        <w:t xml:space="preserve"> تكون م</w:t>
      </w:r>
      <w:r>
        <w:rPr>
          <w:rFonts w:ascii="mylotus" w:hAnsi="mylotus" w:hint="cs"/>
          <w:sz w:val="34"/>
          <w:szCs w:val="34"/>
          <w:rtl/>
        </w:rPr>
        <w:t>ِ</w:t>
      </w:r>
      <w:r w:rsidRPr="00D65F50">
        <w:rPr>
          <w:rFonts w:ascii="mylotus" w:hAnsi="mylotus"/>
          <w:sz w:val="34"/>
          <w:szCs w:val="34"/>
          <w:rtl/>
        </w:rPr>
        <w:t>لكي</w:t>
      </w:r>
      <w:r>
        <w:rPr>
          <w:rFonts w:ascii="mylotus" w:hAnsi="mylotus" w:hint="cs"/>
          <w:sz w:val="34"/>
          <w:szCs w:val="34"/>
          <w:rtl/>
        </w:rPr>
        <w:t>ّ</w:t>
      </w:r>
      <w:r w:rsidRPr="00D65F50">
        <w:rPr>
          <w:rFonts w:ascii="mylotus" w:hAnsi="mylotus"/>
          <w:sz w:val="34"/>
          <w:szCs w:val="34"/>
          <w:rtl/>
        </w:rPr>
        <w:t xml:space="preserve">ته لها </w:t>
      </w:r>
      <w:proofErr w:type="spellStart"/>
      <w:r w:rsidRPr="00D65F50">
        <w:rPr>
          <w:rFonts w:ascii="mylotus" w:hAnsi="mylotus"/>
          <w:sz w:val="34"/>
          <w:szCs w:val="34"/>
          <w:rtl/>
        </w:rPr>
        <w:t>مبع</w:t>
      </w:r>
      <w:r>
        <w:rPr>
          <w:rFonts w:ascii="mylotus" w:hAnsi="mylotus" w:hint="cs"/>
          <w:sz w:val="34"/>
          <w:szCs w:val="34"/>
          <w:rtl/>
        </w:rPr>
        <w:t>ّ</w:t>
      </w:r>
      <w:r w:rsidRPr="00D65F50">
        <w:rPr>
          <w:rFonts w:ascii="mylotus" w:hAnsi="mylotus"/>
          <w:sz w:val="34"/>
          <w:szCs w:val="34"/>
          <w:rtl/>
        </w:rPr>
        <w:t>ضة</w:t>
      </w:r>
      <w:proofErr w:type="spellEnd"/>
      <w:r w:rsidRPr="00D65F50">
        <w:rPr>
          <w:rFonts w:ascii="mylotus" w:hAnsi="mylotus"/>
          <w:sz w:val="34"/>
          <w:szCs w:val="34"/>
          <w:rtl/>
        </w:rPr>
        <w:t xml:space="preserve"> فيثبت</w:t>
      </w:r>
      <w:r>
        <w:rPr>
          <w:rFonts w:ascii="mylotus" w:hAnsi="mylotus" w:hint="cs"/>
          <w:sz w:val="34"/>
          <w:szCs w:val="34"/>
          <w:rtl/>
        </w:rPr>
        <w:t>ُ</w:t>
      </w:r>
      <w:r w:rsidRPr="00D65F50">
        <w:rPr>
          <w:rFonts w:ascii="mylotus" w:hAnsi="mylotus"/>
          <w:sz w:val="34"/>
          <w:szCs w:val="34"/>
          <w:rtl/>
        </w:rPr>
        <w:t xml:space="preserve"> ل</w:t>
      </w:r>
      <w:r>
        <w:rPr>
          <w:rFonts w:ascii="mylotus" w:hAnsi="mylotus" w:hint="cs"/>
          <w:sz w:val="34"/>
          <w:szCs w:val="34"/>
          <w:rtl/>
        </w:rPr>
        <w:t>َ</w:t>
      </w:r>
      <w:r w:rsidRPr="00D65F50">
        <w:rPr>
          <w:rFonts w:ascii="mylotus" w:hAnsi="mylotus"/>
          <w:sz w:val="34"/>
          <w:szCs w:val="34"/>
          <w:rtl/>
        </w:rPr>
        <w:t>ه</w:t>
      </w:r>
      <w:r>
        <w:rPr>
          <w:rFonts w:ascii="mylotus" w:hAnsi="mylotus" w:hint="cs"/>
          <w:sz w:val="34"/>
          <w:szCs w:val="34"/>
          <w:rtl/>
        </w:rPr>
        <w:t>ُ</w:t>
      </w:r>
      <w:r w:rsidRPr="00D65F50">
        <w:rPr>
          <w:rFonts w:ascii="mylotus" w:hAnsi="mylotus"/>
          <w:sz w:val="34"/>
          <w:szCs w:val="34"/>
          <w:rtl/>
        </w:rPr>
        <w:t xml:space="preserve"> خيار تبعّض الصفقة </w:t>
      </w:r>
      <w:r w:rsidRPr="007507CB">
        <w:rPr>
          <w:rFonts w:ascii="mylotus" w:hAnsi="mylotus"/>
          <w:b/>
          <w:bCs/>
          <w:sz w:val="34"/>
          <w:szCs w:val="34"/>
          <w:rtl/>
        </w:rPr>
        <w:t>(إذا بقي مقدار منها غير منتقل إليه فالمستأجر غير راض بما استوفاه من المنفعة في المدة المضروبة، إذ بعد فرض أنّه قد استوفى المنفعة واستقرت عليه الأجرة)</w:t>
      </w:r>
      <w:r w:rsidRPr="00D65F50">
        <w:rPr>
          <w:rFonts w:ascii="mylotus" w:hAnsi="mylotus"/>
          <w:sz w:val="34"/>
          <w:szCs w:val="34"/>
          <w:rtl/>
        </w:rPr>
        <w:t xml:space="preserve"> فيما مضى </w:t>
      </w:r>
      <w:r w:rsidRPr="007507CB">
        <w:rPr>
          <w:rFonts w:ascii="mylotus" w:hAnsi="mylotus"/>
          <w:b/>
          <w:bCs/>
          <w:sz w:val="34"/>
          <w:szCs w:val="34"/>
          <w:rtl/>
        </w:rPr>
        <w:t>(فهو ملزم به)</w:t>
      </w:r>
      <w:r w:rsidRPr="00D65F50">
        <w:rPr>
          <w:rFonts w:ascii="mylotus" w:hAnsi="mylotus"/>
          <w:sz w:val="34"/>
          <w:szCs w:val="34"/>
          <w:rtl/>
        </w:rPr>
        <w:t xml:space="preserve"> أي: بالأُجرة المسمّاة مقابل ما مضى </w:t>
      </w:r>
      <w:r w:rsidRPr="007507CB">
        <w:rPr>
          <w:rFonts w:ascii="mylotus" w:hAnsi="mylotus"/>
          <w:b/>
          <w:bCs/>
          <w:sz w:val="34"/>
          <w:szCs w:val="34"/>
          <w:rtl/>
        </w:rPr>
        <w:t>(فلا أثر لهذا الخيار إلّا تبديل اُجرة المسمّى إلى اُجرة المثل، وليس هذا هو حكمة جعل الخيار عقلائياً في موارد تبعض الصفقة)</w:t>
      </w:r>
      <w:r w:rsidRPr="00D65F50">
        <w:rPr>
          <w:rFonts w:ascii="mylotus" w:hAnsi="mylotus"/>
          <w:sz w:val="34"/>
          <w:szCs w:val="34"/>
          <w:rtl/>
        </w:rPr>
        <w:t xml:space="preserve"> حتى نقول به في المقام </w:t>
      </w:r>
      <w:r w:rsidRPr="007507CB">
        <w:rPr>
          <w:rFonts w:ascii="mylotus" w:hAnsi="mylotus"/>
          <w:b/>
          <w:bCs/>
          <w:sz w:val="34"/>
          <w:szCs w:val="34"/>
          <w:rtl/>
        </w:rPr>
        <w:t>(فإنَّ نكتة جعله)</w:t>
      </w:r>
      <w:r w:rsidRPr="00D65F50">
        <w:rPr>
          <w:rFonts w:ascii="mylotus" w:hAnsi="mylotus"/>
          <w:sz w:val="34"/>
          <w:szCs w:val="34"/>
          <w:rtl/>
        </w:rPr>
        <w:t xml:space="preserve"> أي: خيار تبعّض الصفقة </w:t>
      </w:r>
      <w:r w:rsidRPr="007507CB">
        <w:rPr>
          <w:rFonts w:ascii="mylotus" w:hAnsi="mylotus"/>
          <w:b/>
          <w:bCs/>
          <w:sz w:val="34"/>
          <w:szCs w:val="34"/>
          <w:rtl/>
        </w:rPr>
        <w:t xml:space="preserve">(ولو بالشرط الضمني الارتكازي أن لا تتبعض الصفقة على من انتقل إليه بحيث يملك بعضها) </w:t>
      </w:r>
      <w:r w:rsidRPr="00D65F50">
        <w:rPr>
          <w:rFonts w:ascii="mylotus" w:hAnsi="mylotus"/>
          <w:sz w:val="34"/>
          <w:szCs w:val="34"/>
          <w:rtl/>
        </w:rPr>
        <w:t xml:space="preserve">دون البعض الآخر </w:t>
      </w:r>
      <w:r w:rsidRPr="007507CB">
        <w:rPr>
          <w:rFonts w:ascii="mylotus" w:hAnsi="mylotus"/>
          <w:b/>
          <w:bCs/>
          <w:sz w:val="34"/>
          <w:szCs w:val="34"/>
          <w:rtl/>
        </w:rPr>
        <w:t>(وهذا حاصل في المقام على كل حال، وليس نكتة خيار تبعض الصفقة الانتقال من قيمة المسمى إلى قيمة المثل كما في خيار الغبن أو العيب)</w:t>
      </w:r>
      <w:r w:rsidRPr="007507CB">
        <w:rPr>
          <w:rFonts w:ascii="mylotus" w:hAnsi="mylotus"/>
          <w:b/>
          <w:bCs/>
          <w:sz w:val="34"/>
          <w:szCs w:val="34"/>
        </w:rPr>
        <w:t>.</w:t>
      </w:r>
    </w:p>
    <w:p w14:paraId="0A77613D" w14:textId="77777777" w:rsidR="00B0575B" w:rsidRDefault="00B0575B" w:rsidP="00B0575B">
      <w:pPr>
        <w:pStyle w:val="a"/>
        <w:bidi/>
        <w:spacing w:line="216" w:lineRule="auto"/>
        <w:rPr>
          <w:rFonts w:ascii="mylotus" w:hAnsi="mylotus"/>
          <w:sz w:val="34"/>
          <w:szCs w:val="34"/>
          <w:rtl/>
        </w:rPr>
      </w:pPr>
      <w:r w:rsidRPr="007507CB">
        <w:rPr>
          <w:rFonts w:ascii="mylotus" w:hAnsi="mylotus"/>
          <w:b/>
          <w:bCs/>
          <w:sz w:val="34"/>
          <w:szCs w:val="34"/>
          <w:rtl/>
        </w:rPr>
        <w:t>بمعنى:</w:t>
      </w:r>
      <w:r w:rsidRPr="00D65F50">
        <w:rPr>
          <w:rFonts w:ascii="mylotus" w:hAnsi="mylotus"/>
          <w:sz w:val="34"/>
          <w:szCs w:val="34"/>
          <w:rtl/>
        </w:rPr>
        <w:t xml:space="preserve"> أنّ مصب الشرط ال</w:t>
      </w:r>
      <w:r>
        <w:rPr>
          <w:rFonts w:ascii="mylotus" w:hAnsi="mylotus" w:hint="cs"/>
          <w:sz w:val="34"/>
          <w:szCs w:val="34"/>
          <w:rtl/>
        </w:rPr>
        <w:t>ا</w:t>
      </w:r>
      <w:r w:rsidRPr="00D65F50">
        <w:rPr>
          <w:rFonts w:ascii="mylotus" w:hAnsi="mylotus"/>
          <w:sz w:val="34"/>
          <w:szCs w:val="34"/>
          <w:rtl/>
        </w:rPr>
        <w:t>رتكازي هو التباني م</w:t>
      </w:r>
      <w:r>
        <w:rPr>
          <w:rFonts w:ascii="mylotus" w:hAnsi="mylotus" w:hint="cs"/>
          <w:sz w:val="34"/>
          <w:szCs w:val="34"/>
          <w:rtl/>
        </w:rPr>
        <w:t>ِ</w:t>
      </w:r>
      <w:r w:rsidRPr="00D65F50">
        <w:rPr>
          <w:rFonts w:ascii="mylotus" w:hAnsi="mylotus"/>
          <w:sz w:val="34"/>
          <w:szCs w:val="34"/>
          <w:rtl/>
        </w:rPr>
        <w:t>ن الطرفين على تملك تمام المعوض م</w:t>
      </w:r>
      <w:r>
        <w:rPr>
          <w:rFonts w:ascii="mylotus" w:hAnsi="mylotus" w:hint="cs"/>
          <w:sz w:val="34"/>
          <w:szCs w:val="34"/>
          <w:rtl/>
        </w:rPr>
        <w:t>ِ</w:t>
      </w:r>
      <w:r w:rsidRPr="00D65F50">
        <w:rPr>
          <w:rFonts w:ascii="mylotus" w:hAnsi="mylotus"/>
          <w:sz w:val="34"/>
          <w:szCs w:val="34"/>
          <w:rtl/>
        </w:rPr>
        <w:t>لكي</w:t>
      </w:r>
      <w:r>
        <w:rPr>
          <w:rFonts w:ascii="mylotus" w:hAnsi="mylotus" w:hint="cs"/>
          <w:sz w:val="34"/>
          <w:szCs w:val="34"/>
          <w:rtl/>
        </w:rPr>
        <w:t>ّ</w:t>
      </w:r>
      <w:r w:rsidRPr="00D65F50">
        <w:rPr>
          <w:rFonts w:ascii="mylotus" w:hAnsi="mylotus"/>
          <w:sz w:val="34"/>
          <w:szCs w:val="34"/>
          <w:rtl/>
        </w:rPr>
        <w:t>ة واحدة، بحيث</w:t>
      </w:r>
      <w:r>
        <w:rPr>
          <w:rFonts w:ascii="mylotus" w:hAnsi="mylotus" w:hint="cs"/>
          <w:sz w:val="34"/>
          <w:szCs w:val="34"/>
          <w:rtl/>
        </w:rPr>
        <w:t>ُ</w:t>
      </w:r>
      <w:r w:rsidRPr="00D65F50">
        <w:rPr>
          <w:rFonts w:ascii="mylotus" w:hAnsi="mylotus"/>
          <w:sz w:val="34"/>
          <w:szCs w:val="34"/>
          <w:rtl/>
        </w:rPr>
        <w:t xml:space="preserve"> يأبى الم</w:t>
      </w:r>
      <w:r>
        <w:rPr>
          <w:rFonts w:ascii="mylotus" w:hAnsi="mylotus" w:hint="cs"/>
          <w:sz w:val="34"/>
          <w:szCs w:val="34"/>
          <w:rtl/>
        </w:rPr>
        <w:t>ُ</w:t>
      </w:r>
      <w:r w:rsidRPr="00D65F50">
        <w:rPr>
          <w:rFonts w:ascii="mylotus" w:hAnsi="mylotus"/>
          <w:sz w:val="34"/>
          <w:szCs w:val="34"/>
          <w:rtl/>
        </w:rPr>
        <w:t xml:space="preserve">ستأجر أو المشتري التبعيض فيها، وتمليك المجموع بصفقة واحدة قد حصل بالعقد، </w:t>
      </w:r>
      <w:proofErr w:type="spellStart"/>
      <w:r w:rsidRPr="00D65F50">
        <w:rPr>
          <w:rFonts w:ascii="mylotus" w:hAnsi="mylotus"/>
          <w:sz w:val="34"/>
          <w:szCs w:val="34"/>
          <w:rtl/>
        </w:rPr>
        <w:t>والتبعض</w:t>
      </w:r>
      <w:proofErr w:type="spellEnd"/>
      <w:r w:rsidRPr="00D65F50">
        <w:rPr>
          <w:rFonts w:ascii="mylotus" w:hAnsi="mylotus"/>
          <w:sz w:val="34"/>
          <w:szCs w:val="34"/>
          <w:rtl/>
        </w:rPr>
        <w:t xml:space="preserve"> الفعلي قهري وليس اختيارياً كي يكون تخلفاً للشرط الارتكازي، وبالتالي لا توجد نكتة في المقام لثبوت خيار تبعّض الصفقة إلّا تبديل الأُجرة المسمّاة بأُجرة المثل، وليس هذا هو الملاك  في جعل الخيار، بل هو أثر لثبوت الخيار، فلابُدّ مِن فرض ثبوت الخيار في رتبةٍ سابقةٍ كي يترتب عليه هذا الأثر، وهو استرجاع الأُجرة المسمّاة ودفع أُجرة المثل مكانها</w:t>
      </w:r>
      <w:r>
        <w:rPr>
          <w:rFonts w:ascii="mylotus" w:hAnsi="mylotus" w:hint="cs"/>
          <w:sz w:val="34"/>
          <w:szCs w:val="34"/>
          <w:rtl/>
        </w:rPr>
        <w:t>.</w:t>
      </w:r>
    </w:p>
    <w:p w14:paraId="20DA2426" w14:textId="77777777" w:rsidR="00B0575B" w:rsidRDefault="00B0575B" w:rsidP="00B0575B">
      <w:pPr>
        <w:pStyle w:val="a"/>
        <w:bidi/>
        <w:spacing w:line="216" w:lineRule="auto"/>
        <w:rPr>
          <w:rFonts w:ascii="mylotus" w:hAnsi="mylotus"/>
          <w:sz w:val="34"/>
          <w:szCs w:val="34"/>
          <w:rtl/>
        </w:rPr>
      </w:pPr>
      <w:r w:rsidRPr="00D65F50">
        <w:rPr>
          <w:rFonts w:ascii="mylotus" w:hAnsi="mylotus"/>
          <w:sz w:val="34"/>
          <w:szCs w:val="34"/>
          <w:rtl/>
        </w:rPr>
        <w:t>وثبوت</w:t>
      </w:r>
      <w:r>
        <w:rPr>
          <w:rFonts w:ascii="mylotus" w:hAnsi="mylotus" w:hint="cs"/>
          <w:sz w:val="34"/>
          <w:szCs w:val="34"/>
          <w:rtl/>
        </w:rPr>
        <w:t>ُ</w:t>
      </w:r>
      <w:r w:rsidRPr="00D65F50">
        <w:rPr>
          <w:rFonts w:ascii="mylotus" w:hAnsi="mylotus"/>
          <w:sz w:val="34"/>
          <w:szCs w:val="34"/>
          <w:rtl/>
        </w:rPr>
        <w:t xml:space="preserve"> الخيار منوط</w:t>
      </w:r>
      <w:r>
        <w:rPr>
          <w:rFonts w:ascii="mylotus" w:hAnsi="mylotus" w:hint="cs"/>
          <w:sz w:val="34"/>
          <w:szCs w:val="34"/>
          <w:rtl/>
        </w:rPr>
        <w:t>ٌ</w:t>
      </w:r>
      <w:r w:rsidRPr="00D65F50">
        <w:rPr>
          <w:rFonts w:ascii="mylotus" w:hAnsi="mylotus"/>
          <w:sz w:val="34"/>
          <w:szCs w:val="34"/>
          <w:rtl/>
        </w:rPr>
        <w:t xml:space="preserve"> بتوفر</w:t>
      </w:r>
      <w:r>
        <w:rPr>
          <w:rFonts w:ascii="mylotus" w:hAnsi="mylotus" w:hint="cs"/>
          <w:sz w:val="34"/>
          <w:szCs w:val="34"/>
          <w:rtl/>
        </w:rPr>
        <w:t xml:space="preserve"> </w:t>
      </w:r>
      <w:r w:rsidRPr="00D65F50">
        <w:rPr>
          <w:rFonts w:ascii="mylotus" w:hAnsi="mylotus"/>
          <w:sz w:val="34"/>
          <w:szCs w:val="34"/>
          <w:rtl/>
        </w:rPr>
        <w:t>ملاكه لدى المرتكز العقلائي في المقام، وعند الرجوع إلى المرتكز العقلائي لا</w:t>
      </w:r>
      <w:r>
        <w:rPr>
          <w:rFonts w:ascii="mylotus" w:hAnsi="mylotus" w:hint="cs"/>
          <w:sz w:val="34"/>
          <w:szCs w:val="34"/>
          <w:rtl/>
        </w:rPr>
        <w:t xml:space="preserve"> </w:t>
      </w:r>
      <w:r w:rsidRPr="00D65F50">
        <w:rPr>
          <w:rFonts w:ascii="mylotus" w:hAnsi="mylotus"/>
          <w:sz w:val="34"/>
          <w:szCs w:val="34"/>
          <w:rtl/>
        </w:rPr>
        <w:t>نجد في مورد الأجزاء الطولية ملاكا</w:t>
      </w:r>
      <w:r>
        <w:rPr>
          <w:rFonts w:ascii="mylotus" w:hAnsi="mylotus" w:hint="cs"/>
          <w:sz w:val="34"/>
          <w:szCs w:val="34"/>
          <w:rtl/>
        </w:rPr>
        <w:t>ً</w:t>
      </w:r>
      <w:r w:rsidRPr="00D65F50">
        <w:rPr>
          <w:rFonts w:ascii="mylotus" w:hAnsi="mylotus"/>
          <w:sz w:val="34"/>
          <w:szCs w:val="34"/>
          <w:rtl/>
        </w:rPr>
        <w:t xml:space="preserve"> يقتضيه.</w:t>
      </w:r>
    </w:p>
    <w:p w14:paraId="6BA9881D" w14:textId="77777777" w:rsidR="00B0575B" w:rsidRPr="00A17B4E" w:rsidRDefault="00B0575B" w:rsidP="00B0575B">
      <w:pPr>
        <w:pStyle w:val="a"/>
        <w:bidi/>
        <w:spacing w:line="216" w:lineRule="auto"/>
        <w:rPr>
          <w:rFonts w:ascii="mylotus" w:hAnsi="mylotus"/>
          <w:sz w:val="34"/>
          <w:szCs w:val="34"/>
          <w:rtl/>
          <w:lang w:bidi="ar-BH"/>
        </w:rPr>
      </w:pPr>
    </w:p>
    <w:p w14:paraId="61D7B738" w14:textId="77777777" w:rsidR="00B0575B" w:rsidRPr="005E03C1" w:rsidRDefault="00B0575B" w:rsidP="00B0575B">
      <w:pPr>
        <w:pStyle w:val="a"/>
        <w:bidi/>
        <w:spacing w:line="216" w:lineRule="auto"/>
        <w:jc w:val="center"/>
        <w:rPr>
          <w:rFonts w:ascii="mylotus" w:hAnsi="mylotus"/>
          <w:b/>
          <w:bCs/>
          <w:sz w:val="34"/>
          <w:szCs w:val="34"/>
        </w:rPr>
      </w:pPr>
      <w:r w:rsidRPr="005E03C1">
        <w:rPr>
          <w:rFonts w:ascii="mylotus" w:hAnsi="mylotus"/>
          <w:b/>
          <w:bCs/>
          <w:sz w:val="34"/>
          <w:szCs w:val="34"/>
          <w:rtl/>
        </w:rPr>
        <w:t>والحمد لله رب العالمين</w:t>
      </w:r>
    </w:p>
    <w:p w14:paraId="29D9D6DD" w14:textId="6D8873D6" w:rsidR="00B0575B" w:rsidRDefault="00C85626" w:rsidP="00C85626">
      <w:pPr>
        <w:pStyle w:val="Heading3"/>
        <w:bidi/>
        <w:rPr>
          <w:sz w:val="32"/>
          <w:szCs w:val="32"/>
          <w:rtl/>
        </w:rPr>
      </w:pPr>
      <w:r>
        <w:rPr>
          <w:rFonts w:hint="cs"/>
          <w:sz w:val="32"/>
          <w:szCs w:val="32"/>
          <w:rtl/>
        </w:rPr>
        <w:t>337</w:t>
      </w:r>
    </w:p>
    <w:p w14:paraId="5F618487" w14:textId="77777777" w:rsidR="00C85626" w:rsidRPr="00C85626" w:rsidRDefault="00C85626" w:rsidP="00C85626">
      <w:pPr>
        <w:bidi/>
        <w:rPr>
          <w:b/>
          <w:bCs/>
          <w:sz w:val="32"/>
          <w:szCs w:val="32"/>
        </w:rPr>
      </w:pPr>
      <w:r w:rsidRPr="00C85626">
        <w:rPr>
          <w:b/>
          <w:bCs/>
          <w:sz w:val="32"/>
          <w:szCs w:val="32"/>
          <w:rtl/>
        </w:rPr>
        <w:t>بسم الله الرحمن الرحيم</w:t>
      </w:r>
    </w:p>
    <w:p w14:paraId="3B2610D3" w14:textId="77777777" w:rsidR="00C85626" w:rsidRPr="00C85626" w:rsidRDefault="00C85626" w:rsidP="00C85626">
      <w:pPr>
        <w:bidi/>
        <w:rPr>
          <w:b/>
          <w:bCs/>
          <w:sz w:val="32"/>
          <w:szCs w:val="32"/>
          <w:rtl/>
        </w:rPr>
      </w:pPr>
      <w:r w:rsidRPr="00C85626">
        <w:rPr>
          <w:b/>
          <w:bCs/>
          <w:sz w:val="32"/>
          <w:szCs w:val="32"/>
          <w:rtl/>
        </w:rPr>
        <w:t>والصلاة والسلام على أشرف الأنبياء والمرسلين، محمد وآله الطيبين الطاهرين</w:t>
      </w:r>
    </w:p>
    <w:p w14:paraId="3E604A11" w14:textId="77777777" w:rsidR="00C85626" w:rsidRPr="00C85626" w:rsidRDefault="00C85626" w:rsidP="00C85626">
      <w:pPr>
        <w:bidi/>
        <w:rPr>
          <w:sz w:val="32"/>
          <w:szCs w:val="32"/>
          <w:rtl/>
        </w:rPr>
      </w:pPr>
      <w:r w:rsidRPr="00C85626">
        <w:rPr>
          <w:b/>
          <w:bCs/>
          <w:sz w:val="32"/>
          <w:szCs w:val="32"/>
          <w:rtl/>
        </w:rPr>
        <w:t>واللعن الدائم على أعدائهم أجمعين إلى قيام يوم الدين</w:t>
      </w:r>
    </w:p>
    <w:p w14:paraId="0F0638BC" w14:textId="77777777" w:rsidR="00C85626" w:rsidRPr="00C85626" w:rsidRDefault="00C85626" w:rsidP="00C85626">
      <w:pPr>
        <w:bidi/>
        <w:rPr>
          <w:sz w:val="32"/>
          <w:szCs w:val="32"/>
          <w:rtl/>
        </w:rPr>
      </w:pPr>
    </w:p>
    <w:p w14:paraId="7CBB2D81" w14:textId="77777777" w:rsidR="00C85626" w:rsidRPr="00C85626" w:rsidRDefault="00C85626" w:rsidP="00C85626">
      <w:pPr>
        <w:bidi/>
        <w:rPr>
          <w:b/>
          <w:bCs/>
          <w:sz w:val="32"/>
          <w:szCs w:val="32"/>
          <w:rtl/>
        </w:rPr>
      </w:pPr>
      <w:r w:rsidRPr="00C85626">
        <w:rPr>
          <w:b/>
          <w:bCs/>
          <w:sz w:val="32"/>
          <w:szCs w:val="32"/>
          <w:rtl/>
        </w:rPr>
        <w:t>ويمكنُ أنْ يُلاحظ على ما أُفيد</w:t>
      </w:r>
      <w:r w:rsidRPr="00C85626">
        <w:rPr>
          <w:b/>
          <w:bCs/>
          <w:sz w:val="32"/>
          <w:szCs w:val="32"/>
        </w:rPr>
        <w:t>:</w:t>
      </w:r>
    </w:p>
    <w:p w14:paraId="33CDAA52" w14:textId="77777777" w:rsidR="00C85626" w:rsidRPr="00C85626" w:rsidRDefault="00C85626" w:rsidP="00C85626">
      <w:pPr>
        <w:bidi/>
        <w:rPr>
          <w:sz w:val="32"/>
          <w:szCs w:val="32"/>
          <w:rtl/>
        </w:rPr>
      </w:pPr>
      <w:r w:rsidRPr="00C85626">
        <w:rPr>
          <w:sz w:val="32"/>
          <w:szCs w:val="32"/>
          <w:rtl/>
        </w:rPr>
        <w:lastRenderedPageBreak/>
        <w:t>أنّ المسألة لا تبتني على وجود التعهد الشخصي وعدمه؛ لوجود ارتكازات عقلائية حافة بالمعاملات تقتضي جري المتعاملين على طبقها ما لَمْ ينصّ على خلافها في متن العقد.</w:t>
      </w:r>
    </w:p>
    <w:p w14:paraId="740BDA63" w14:textId="77777777" w:rsidR="00C85626" w:rsidRPr="00C85626" w:rsidRDefault="00C85626" w:rsidP="00C85626">
      <w:pPr>
        <w:bidi/>
        <w:rPr>
          <w:sz w:val="32"/>
          <w:szCs w:val="32"/>
          <w:rtl/>
        </w:rPr>
      </w:pPr>
      <w:r w:rsidRPr="00C85626">
        <w:rPr>
          <w:b/>
          <w:bCs/>
          <w:sz w:val="32"/>
          <w:szCs w:val="32"/>
          <w:rtl/>
        </w:rPr>
        <w:t>ومقتضى ذلك</w:t>
      </w:r>
      <w:r w:rsidRPr="00C85626">
        <w:rPr>
          <w:sz w:val="32"/>
          <w:szCs w:val="32"/>
          <w:rtl/>
        </w:rPr>
        <w:t xml:space="preserve"> هو الرجوعُ إلى المرتكزات العقلائية في المقام، ليُرى أنّه هل المنظور عندهم في المنافع المتكثرة بالزمن في إجارة الأعيان هو الانحلال </w:t>
      </w:r>
      <w:proofErr w:type="spellStart"/>
      <w:r w:rsidRPr="00C85626">
        <w:rPr>
          <w:sz w:val="32"/>
          <w:szCs w:val="32"/>
          <w:rtl/>
        </w:rPr>
        <w:t>لتمليكات</w:t>
      </w:r>
      <w:proofErr w:type="spellEnd"/>
      <w:r w:rsidRPr="00C85626">
        <w:rPr>
          <w:sz w:val="32"/>
          <w:szCs w:val="32"/>
          <w:rtl/>
        </w:rPr>
        <w:t xml:space="preserve"> بعدد المنافع أم العموم المجموعي؟</w:t>
      </w:r>
    </w:p>
    <w:p w14:paraId="05C5F690" w14:textId="77777777" w:rsidR="00C85626" w:rsidRPr="00C85626" w:rsidRDefault="00C85626" w:rsidP="00C85626">
      <w:pPr>
        <w:bidi/>
        <w:rPr>
          <w:sz w:val="32"/>
          <w:szCs w:val="32"/>
          <w:rtl/>
        </w:rPr>
      </w:pPr>
      <w:r w:rsidRPr="00C85626">
        <w:rPr>
          <w:sz w:val="32"/>
          <w:szCs w:val="32"/>
          <w:rtl/>
        </w:rPr>
        <w:t xml:space="preserve">وكما يُتصور ذلك في إجارة الأعيان، يتصور أيضاً في إجارة الأعمال القابلة للتبعيض والتجزئة، كما لو استأجره لبناء البيت في مدّة سنةٍ واحدةٍ، فإذا كانت المنافع أو العمل بالنظر العقلائي ملحوظة على نحو الانحلال فلا ريب في أنّه إذا تلفتْ بعض المنافع صحّت الإجارة </w:t>
      </w:r>
      <w:proofErr w:type="gramStart"/>
      <w:r w:rsidRPr="00C85626">
        <w:rPr>
          <w:sz w:val="32"/>
          <w:szCs w:val="32"/>
          <w:rtl/>
        </w:rPr>
        <w:t>في ما</w:t>
      </w:r>
      <w:proofErr w:type="gramEnd"/>
      <w:r w:rsidRPr="00C85626">
        <w:rPr>
          <w:sz w:val="32"/>
          <w:szCs w:val="32"/>
          <w:rtl/>
        </w:rPr>
        <w:t xml:space="preserve"> بقي دون ما تلف؛ لكونهما واقعاً بمنزلة إجارتين.</w:t>
      </w:r>
    </w:p>
    <w:p w14:paraId="1690A9B0" w14:textId="77777777" w:rsidR="00C85626" w:rsidRPr="00C85626" w:rsidRDefault="00C85626" w:rsidP="00C85626">
      <w:pPr>
        <w:bidi/>
        <w:rPr>
          <w:sz w:val="32"/>
          <w:szCs w:val="32"/>
          <w:rtl/>
        </w:rPr>
      </w:pPr>
      <w:r w:rsidRPr="00C85626">
        <w:rPr>
          <w:sz w:val="32"/>
          <w:szCs w:val="32"/>
          <w:rtl/>
        </w:rPr>
        <w:t>وإنْ كانت ملحوظة على نحو العموم المجموعي كما لا يبعد، فحينئذٍ إنْ ترتب على تبعّض المِلك بالنسبة للمُستأجر ضررٌ أو فوت غرضٍ نوعي مقصودٍ بالمعاملة ثبت الخيار عند التلف، لقاعدة "</w:t>
      </w:r>
      <w:proofErr w:type="spellStart"/>
      <w:r w:rsidRPr="00C85626">
        <w:rPr>
          <w:sz w:val="32"/>
          <w:szCs w:val="32"/>
          <w:rtl/>
        </w:rPr>
        <w:t>لاضرر</w:t>
      </w:r>
      <w:proofErr w:type="spellEnd"/>
      <w:r w:rsidRPr="00C85626">
        <w:rPr>
          <w:sz w:val="32"/>
          <w:szCs w:val="32"/>
          <w:rtl/>
        </w:rPr>
        <w:t xml:space="preserve">" أو لتخلف الشرط الارتكازي؛ حيثُ إنّ معنى الشرط الارتكازي هو التباني العام المتعلق بالغرض النوعي المقصود بالمعاملة بنحو يُفترض بالمتعاملين الالتفات إليه سواءً وجد تعهد شخصي أم لَمْ يوجد، وأمّا إذا لَمْ يترتب أيّ منهما </w:t>
      </w:r>
      <w:proofErr w:type="spellStart"/>
      <w:r w:rsidRPr="00C85626">
        <w:rPr>
          <w:sz w:val="32"/>
          <w:szCs w:val="32"/>
          <w:rtl/>
        </w:rPr>
        <w:t>فلامقتضي</w:t>
      </w:r>
      <w:proofErr w:type="spellEnd"/>
      <w:r w:rsidRPr="00C85626">
        <w:rPr>
          <w:sz w:val="32"/>
          <w:szCs w:val="32"/>
          <w:rtl/>
        </w:rPr>
        <w:t xml:space="preserve"> للخيار.</w:t>
      </w:r>
    </w:p>
    <w:p w14:paraId="46CA8154" w14:textId="77777777" w:rsidR="00C85626" w:rsidRPr="00C85626" w:rsidRDefault="00C85626" w:rsidP="00C85626">
      <w:pPr>
        <w:bidi/>
        <w:rPr>
          <w:sz w:val="32"/>
          <w:szCs w:val="32"/>
          <w:rtl/>
        </w:rPr>
      </w:pPr>
      <w:r w:rsidRPr="00C85626">
        <w:rPr>
          <w:b/>
          <w:bCs/>
          <w:sz w:val="32"/>
          <w:szCs w:val="32"/>
          <w:rtl/>
        </w:rPr>
        <w:t xml:space="preserve">والنتيجةُ أنّه: </w:t>
      </w:r>
      <w:r w:rsidRPr="00C85626">
        <w:rPr>
          <w:sz w:val="32"/>
          <w:szCs w:val="32"/>
          <w:rtl/>
        </w:rPr>
        <w:t xml:space="preserve">إنْ كان المنظور في تعبير السيد الحكيم السبط (قدس سره الشريف) بـ "التعهد" هو التعهد الشخصي فلا ينتفي الخيار </w:t>
      </w:r>
      <w:proofErr w:type="spellStart"/>
      <w:r w:rsidRPr="00C85626">
        <w:rPr>
          <w:sz w:val="32"/>
          <w:szCs w:val="32"/>
          <w:rtl/>
        </w:rPr>
        <w:t>بانتفاءه</w:t>
      </w:r>
      <w:proofErr w:type="spellEnd"/>
      <w:r w:rsidRPr="00C85626">
        <w:rPr>
          <w:sz w:val="32"/>
          <w:szCs w:val="32"/>
          <w:rtl/>
        </w:rPr>
        <w:t xml:space="preserve"> لما سبق بيانه، وإنْ كان المنظور هو الشرط النوعي الارتكازي فلا وجه لتعليل عدمه بعدم إحراز المستقبل واحتمال طروء الموانع؛ فإنّه مضافاً لإمكان إحراز المستقبل واحتساب الطوارئ في كثيرٍ مِن الموارد بالطرق العقلائية، فإنّ المدار في ثبوت </w:t>
      </w:r>
      <w:proofErr w:type="gramStart"/>
      <w:r w:rsidRPr="00C85626">
        <w:rPr>
          <w:sz w:val="32"/>
          <w:szCs w:val="32"/>
          <w:rtl/>
        </w:rPr>
        <w:t>الخيار  على</w:t>
      </w:r>
      <w:proofErr w:type="gramEnd"/>
      <w:r w:rsidRPr="00C85626">
        <w:rPr>
          <w:sz w:val="32"/>
          <w:szCs w:val="32"/>
          <w:rtl/>
        </w:rPr>
        <w:t xml:space="preserve"> الأغراض المقصودة نوعاً في كُلّ معاملة مِن خلال كيفيتها العقلائية المتعارفة.</w:t>
      </w:r>
    </w:p>
    <w:p w14:paraId="61D05CCA" w14:textId="77777777" w:rsidR="00C85626" w:rsidRPr="00C85626" w:rsidRDefault="00C85626" w:rsidP="00C85626">
      <w:pPr>
        <w:bidi/>
        <w:rPr>
          <w:sz w:val="32"/>
          <w:szCs w:val="32"/>
          <w:rtl/>
        </w:rPr>
      </w:pPr>
      <w:r w:rsidRPr="00C85626">
        <w:rPr>
          <w:sz w:val="32"/>
          <w:szCs w:val="32"/>
          <w:rtl/>
        </w:rPr>
        <w:t>هذا تمام الكلام في ثبوت خيار تبعّض الصفقة في إجارة الأعيان</w:t>
      </w:r>
      <w:r w:rsidRPr="00C85626">
        <w:rPr>
          <w:sz w:val="32"/>
          <w:szCs w:val="32"/>
        </w:rPr>
        <w:t>.</w:t>
      </w:r>
    </w:p>
    <w:p w14:paraId="11849318" w14:textId="77777777" w:rsidR="00C85626" w:rsidRPr="00C85626" w:rsidRDefault="00C85626" w:rsidP="00C85626">
      <w:pPr>
        <w:bidi/>
        <w:rPr>
          <w:b/>
          <w:bCs/>
          <w:sz w:val="32"/>
          <w:szCs w:val="32"/>
          <w:rtl/>
        </w:rPr>
      </w:pPr>
      <w:r w:rsidRPr="00C85626">
        <w:rPr>
          <w:b/>
          <w:bCs/>
          <w:sz w:val="32"/>
          <w:szCs w:val="32"/>
          <w:rtl/>
        </w:rPr>
        <w:t>تعقيبٌ</w:t>
      </w:r>
      <w:r w:rsidRPr="00C85626">
        <w:rPr>
          <w:b/>
          <w:bCs/>
          <w:sz w:val="32"/>
          <w:szCs w:val="32"/>
        </w:rPr>
        <w:t>:</w:t>
      </w:r>
    </w:p>
    <w:p w14:paraId="260BADCD" w14:textId="77777777" w:rsidR="00C85626" w:rsidRPr="00C85626" w:rsidRDefault="00C85626" w:rsidP="00C85626">
      <w:pPr>
        <w:bidi/>
        <w:rPr>
          <w:sz w:val="32"/>
          <w:szCs w:val="32"/>
          <w:rtl/>
        </w:rPr>
      </w:pPr>
      <w:r w:rsidRPr="00C85626">
        <w:rPr>
          <w:sz w:val="32"/>
          <w:szCs w:val="32"/>
          <w:rtl/>
        </w:rPr>
        <w:t>حيثُ إنّ الأعلام لَمْ يبحثوا في المقام خيار تبعّض الصفقة في إجارة الأعمال، كان ينبغي التنبيهُ على ملاكه فيها وموارده.</w:t>
      </w:r>
    </w:p>
    <w:p w14:paraId="29176026" w14:textId="77777777" w:rsidR="00C85626" w:rsidRPr="00C85626" w:rsidRDefault="00C85626" w:rsidP="00C85626">
      <w:pPr>
        <w:bidi/>
        <w:rPr>
          <w:b/>
          <w:bCs/>
          <w:sz w:val="32"/>
          <w:szCs w:val="32"/>
          <w:rtl/>
        </w:rPr>
      </w:pPr>
      <w:r w:rsidRPr="00C85626">
        <w:rPr>
          <w:b/>
          <w:bCs/>
          <w:sz w:val="32"/>
          <w:szCs w:val="32"/>
          <w:rtl/>
        </w:rPr>
        <w:t>وبيانُ ذلك: أنّ تبعّض العمل المُستأجَر عليه يُتصورُ على عدّة أنحاء</w:t>
      </w:r>
      <w:r w:rsidRPr="00C85626">
        <w:rPr>
          <w:b/>
          <w:bCs/>
          <w:sz w:val="32"/>
          <w:szCs w:val="32"/>
        </w:rPr>
        <w:t>:</w:t>
      </w:r>
    </w:p>
    <w:p w14:paraId="00D06102" w14:textId="77777777" w:rsidR="00C85626" w:rsidRPr="00C85626" w:rsidRDefault="00C85626" w:rsidP="00C85626">
      <w:pPr>
        <w:bidi/>
        <w:rPr>
          <w:sz w:val="32"/>
          <w:szCs w:val="32"/>
          <w:rtl/>
        </w:rPr>
      </w:pPr>
      <w:r w:rsidRPr="00C85626">
        <w:rPr>
          <w:b/>
          <w:bCs/>
          <w:sz w:val="32"/>
          <w:szCs w:val="32"/>
          <w:rtl/>
        </w:rPr>
        <w:lastRenderedPageBreak/>
        <w:t>النحو الأوّل:</w:t>
      </w:r>
      <w:r w:rsidRPr="00C85626">
        <w:rPr>
          <w:sz w:val="32"/>
          <w:szCs w:val="32"/>
          <w:rtl/>
        </w:rPr>
        <w:t xml:space="preserve"> أنْ يكون المُستأجَر عليه في واقعه عملين مستقلين لكُلٍّ منهما منفعةٌ مقصودةٌ ويمكنُ التفكيك بينهما باستئجار أجيرين، لكن المُستأجر استأجرَ أجيراً بإجارةٍ واحدةٍ على العملين المستقلين، كما في استئجار شخصٍ لقضاءِ صوم شهرين عن الميت، والإجارةُ في مثل هذا النحو ترجعُ إلى عقدين مستقلين، فلو صامَ أحد الشهرين وعجز عن الآخر بُنيّ على صحّة الإجارة الأُولى دون الثانية ولا مورد لخيار تبعّض الصفقة؛ لانتفاء ملاكه، فإنّ ملاكه إمّا الضرر أو تخلف الشرط الارتكازي، ولا مورد لهما في هذا النحو</w:t>
      </w:r>
      <w:r w:rsidRPr="00C85626">
        <w:rPr>
          <w:sz w:val="32"/>
          <w:szCs w:val="32"/>
        </w:rPr>
        <w:t>.</w:t>
      </w:r>
    </w:p>
    <w:p w14:paraId="55263CFA" w14:textId="77777777" w:rsidR="00C85626" w:rsidRPr="00C85626" w:rsidRDefault="00C85626" w:rsidP="00C85626">
      <w:pPr>
        <w:bidi/>
        <w:rPr>
          <w:sz w:val="32"/>
          <w:szCs w:val="32"/>
          <w:rtl/>
        </w:rPr>
      </w:pPr>
      <w:r w:rsidRPr="00C85626">
        <w:rPr>
          <w:b/>
          <w:bCs/>
          <w:sz w:val="32"/>
          <w:szCs w:val="32"/>
          <w:rtl/>
        </w:rPr>
        <w:t>النحو الثاني:</w:t>
      </w:r>
      <w:r w:rsidRPr="00C85626">
        <w:rPr>
          <w:sz w:val="32"/>
          <w:szCs w:val="32"/>
          <w:rtl/>
        </w:rPr>
        <w:t xml:space="preserve"> أنْ يكون مرجعُ عقد الإجارة بالنظر العرفي إلى عقدين، إلّا أنّ الالتزام بأحد العقدين منوطٌ بالوفاء بالعقد الآخر، وذلك عادةً في فرض كون العمل الثاني مِن المتممات بالنظر العرفي للعمل الأوّل، وإنْ لَمْ يكن مقوماً لَهُ ولا مستقلاً عنه، كما هو شائعٌ في زماننا اليوم في استئجار المقاول للبناء والتشطيب، حيثُ إنّ التشطيب عملٌ يُقام بِهِ بَعْدَ البناء، لكن حيثُ لا ينجزُهُ عادةً بالنحو المناسب للبناء إلّا الأجير الأوّل، كان الالتزام بالإجارة على البناء منوطاً بالوفاء بِهِ.</w:t>
      </w:r>
    </w:p>
    <w:p w14:paraId="36FE25F4" w14:textId="77777777" w:rsidR="00C85626" w:rsidRPr="00C85626" w:rsidRDefault="00C85626" w:rsidP="00C85626">
      <w:pPr>
        <w:bidi/>
        <w:rPr>
          <w:sz w:val="32"/>
          <w:szCs w:val="32"/>
          <w:rtl/>
        </w:rPr>
      </w:pPr>
      <w:r w:rsidRPr="00C85626">
        <w:rPr>
          <w:sz w:val="32"/>
          <w:szCs w:val="32"/>
          <w:rtl/>
        </w:rPr>
        <w:t>وكما في استئجار وسيلة النقل أو السائق للسفر ذهاباً وإياباً، حيثُ إنّ الإياب مِن المتممات</w:t>
      </w:r>
      <w:r w:rsidRPr="00C85626">
        <w:rPr>
          <w:sz w:val="32"/>
          <w:szCs w:val="32"/>
        </w:rPr>
        <w:t>.</w:t>
      </w:r>
    </w:p>
    <w:p w14:paraId="4F02CC7E" w14:textId="77777777" w:rsidR="00C85626" w:rsidRPr="00C85626" w:rsidRDefault="00C85626" w:rsidP="00C85626">
      <w:pPr>
        <w:bidi/>
        <w:rPr>
          <w:sz w:val="32"/>
          <w:szCs w:val="32"/>
          <w:rtl/>
        </w:rPr>
      </w:pPr>
      <w:r w:rsidRPr="00C85626">
        <w:rPr>
          <w:sz w:val="32"/>
          <w:szCs w:val="32"/>
          <w:rtl/>
        </w:rPr>
        <w:t xml:space="preserve">ففي فرض تخلف الأجير عن الإتيان بالعمل المتمم يثبتُ للمُستأجر حقّ الفسخ للإجارة </w:t>
      </w:r>
      <w:proofErr w:type="gramStart"/>
      <w:r w:rsidRPr="00C85626">
        <w:rPr>
          <w:sz w:val="32"/>
          <w:szCs w:val="32"/>
          <w:rtl/>
        </w:rPr>
        <w:t>الثانية؛  بملاك</w:t>
      </w:r>
      <w:proofErr w:type="gramEnd"/>
      <w:r w:rsidRPr="00C85626">
        <w:rPr>
          <w:sz w:val="32"/>
          <w:szCs w:val="32"/>
          <w:rtl/>
        </w:rPr>
        <w:t xml:space="preserve"> تخلف شرط التسليم، كما يثبت لَهُ حقّ الفسخ في الإجارة الأُولى أيضاً؛ لأنّه ربط التزامه بالإجارة الأُولى بالوفاء بالإجارة الثانية، فيثبتُ لَهُ الخيار مِن باب تخلف الشرط، لا مِن باب خيار تبعّض الصفقة</w:t>
      </w:r>
      <w:r w:rsidRPr="00C85626">
        <w:rPr>
          <w:sz w:val="32"/>
          <w:szCs w:val="32"/>
        </w:rPr>
        <w:t>.</w:t>
      </w:r>
    </w:p>
    <w:p w14:paraId="396BE939" w14:textId="77777777" w:rsidR="00C85626" w:rsidRPr="00C85626" w:rsidRDefault="00C85626" w:rsidP="00C85626">
      <w:pPr>
        <w:bidi/>
        <w:rPr>
          <w:sz w:val="32"/>
          <w:szCs w:val="32"/>
          <w:rtl/>
        </w:rPr>
      </w:pPr>
      <w:r w:rsidRPr="00C85626">
        <w:rPr>
          <w:b/>
          <w:bCs/>
          <w:sz w:val="32"/>
          <w:szCs w:val="32"/>
          <w:rtl/>
        </w:rPr>
        <w:t>النحو الثالث:</w:t>
      </w:r>
      <w:r w:rsidRPr="00C85626">
        <w:rPr>
          <w:sz w:val="32"/>
          <w:szCs w:val="32"/>
          <w:rtl/>
        </w:rPr>
        <w:t xml:space="preserve"> أنْ يكون العمل المُستأجَر عليه بالنظر العرفي واحداً مركباً مِن جزءين، وإنْ كان يمكنُ التفكيك بينهما عرفاً بجعل كُلٍّ منهما في عهدة أجيرٍ غير الآخر، إلّا أنّ المتعارف بين الناس استئجارُ أجيرٍ واحدٍ على الجزءين معاً، ولو حصل التفكيك بأنْ وفى الأجيرُ الأوّل بأحدهما دون الآخر فإنّه يمكن عرفاً إتمام العمل بأجيرٍ آخر، كما في استئجار الخياط لخياطة القباء وخياطة بطانته</w:t>
      </w:r>
      <w:r w:rsidRPr="00C85626">
        <w:rPr>
          <w:sz w:val="32"/>
          <w:szCs w:val="32"/>
        </w:rPr>
        <w:t>.</w:t>
      </w:r>
    </w:p>
    <w:p w14:paraId="7BDEF550" w14:textId="77777777" w:rsidR="00C85626" w:rsidRPr="00C85626" w:rsidRDefault="00C85626" w:rsidP="00C85626">
      <w:pPr>
        <w:bidi/>
        <w:rPr>
          <w:sz w:val="32"/>
          <w:szCs w:val="32"/>
          <w:rtl/>
        </w:rPr>
      </w:pPr>
      <w:r w:rsidRPr="00C85626">
        <w:rPr>
          <w:sz w:val="32"/>
          <w:szCs w:val="32"/>
          <w:rtl/>
        </w:rPr>
        <w:t>واستئجارُ الطبيب على العملية الجراحية ولوازمها مِن تعقيم موضع العملية بنحوٍ يضمن النتائج المرجوة ومراقبة وضع المريض لفترةٍ معيّنةٍ.</w:t>
      </w:r>
    </w:p>
    <w:p w14:paraId="3375F473" w14:textId="77777777" w:rsidR="00C85626" w:rsidRPr="00C85626" w:rsidRDefault="00C85626" w:rsidP="00C85626">
      <w:pPr>
        <w:bidi/>
        <w:rPr>
          <w:sz w:val="32"/>
          <w:szCs w:val="32"/>
          <w:rtl/>
        </w:rPr>
      </w:pPr>
      <w:r w:rsidRPr="00C85626">
        <w:rPr>
          <w:sz w:val="32"/>
          <w:szCs w:val="32"/>
          <w:rtl/>
        </w:rPr>
        <w:t xml:space="preserve">فإذا تخلف الأجيرُ عن الجزءِ الثاني مِن العمل، فإنّه وإنْ لَمْ يكن في هذا النحو انحلال حقيقي كما في النحوين السابقين لوحدة العمل عرفاً، إلّا أنّه لا يبعدُ قيام السيرة العقلائية على الانحلال الحكمي بالتعامل مع هذا النحو معاملة النحو الثاني، ومقتضاهُ أنّه يمكنُ للمُستأجر فسخ أصل </w:t>
      </w:r>
      <w:r w:rsidRPr="00C85626">
        <w:rPr>
          <w:sz w:val="32"/>
          <w:szCs w:val="32"/>
          <w:rtl/>
        </w:rPr>
        <w:lastRenderedPageBreak/>
        <w:t>العقد؛ ويضمن للأجير أُجرة المثل بإزاء الجزء الأوّل، أو يمضي العقد وتوزع الأُجرة بينهما بالنسبة</w:t>
      </w:r>
      <w:r w:rsidRPr="00C85626">
        <w:rPr>
          <w:sz w:val="32"/>
          <w:szCs w:val="32"/>
        </w:rPr>
        <w:t>.</w:t>
      </w:r>
    </w:p>
    <w:p w14:paraId="4F2FB951" w14:textId="77777777" w:rsidR="00C85626" w:rsidRPr="00C85626" w:rsidRDefault="00C85626" w:rsidP="00C85626">
      <w:pPr>
        <w:bidi/>
        <w:rPr>
          <w:sz w:val="32"/>
          <w:szCs w:val="32"/>
          <w:rtl/>
        </w:rPr>
      </w:pPr>
      <w:r w:rsidRPr="00C85626">
        <w:rPr>
          <w:b/>
          <w:bCs/>
          <w:sz w:val="32"/>
          <w:szCs w:val="32"/>
          <w:rtl/>
        </w:rPr>
        <w:t>النحو الرابع:</w:t>
      </w:r>
      <w:r w:rsidRPr="00C85626">
        <w:rPr>
          <w:sz w:val="32"/>
          <w:szCs w:val="32"/>
          <w:rtl/>
        </w:rPr>
        <w:t xml:space="preserve"> أنْ يكون العمل المُستأجَر عليه عملاً واحداً مركباً مِن جزءين كما في النحو السابق، إلّا أنّه لو لَمْ يتحقّق الجزء الثاني فإنّ العمل المأتي بِهِ مما لا يمكن إلحاق الجزء الثاني بِهِ بعد ذلك، وإنْ كان لَهُ منفعة عقلائية في نفسه، كما في استئجار الخياط لخياطة القباء بالكيفية النجفية، فإذا خاطه بالكيفية الفارسية فإنّه وإنْ كان للقباء منفعة عقلائية لكن لا يمكنُ إلحاقُ الجزء الثاني بالجزء الأوّل بَعْدَ أنْ أتى بِهِ بهذا النحو</w:t>
      </w:r>
      <w:r w:rsidRPr="00C85626">
        <w:rPr>
          <w:sz w:val="32"/>
          <w:szCs w:val="32"/>
        </w:rPr>
        <w:t>.</w:t>
      </w:r>
    </w:p>
    <w:p w14:paraId="74E53496" w14:textId="77777777" w:rsidR="00C85626" w:rsidRPr="00C85626" w:rsidRDefault="00C85626" w:rsidP="00C85626">
      <w:pPr>
        <w:bidi/>
        <w:rPr>
          <w:sz w:val="32"/>
          <w:szCs w:val="32"/>
          <w:rtl/>
        </w:rPr>
      </w:pPr>
      <w:r w:rsidRPr="00C85626">
        <w:rPr>
          <w:b/>
          <w:bCs/>
          <w:sz w:val="32"/>
          <w:szCs w:val="32"/>
          <w:rtl/>
        </w:rPr>
        <w:t>وحينئذٍ قد يُقال:</w:t>
      </w:r>
      <w:r w:rsidRPr="00C85626">
        <w:rPr>
          <w:sz w:val="32"/>
          <w:szCs w:val="32"/>
          <w:rtl/>
        </w:rPr>
        <w:t xml:space="preserve"> بجريان حكم النحو السابق عليه، وهو صحّة الإجارة مع تقسيط الأُجرة وثبوت حقّ الفسخ مع ضمان أُجرة المثل، لكن لا يبعدُ جريان حكم النحو الآتي وهو البطلان مع ضمان أُجرة المثل.</w:t>
      </w:r>
    </w:p>
    <w:p w14:paraId="181F485E" w14:textId="77777777" w:rsidR="00C85626" w:rsidRPr="00C85626" w:rsidRDefault="00C85626" w:rsidP="00C85626">
      <w:pPr>
        <w:bidi/>
        <w:rPr>
          <w:sz w:val="32"/>
          <w:szCs w:val="32"/>
          <w:rtl/>
        </w:rPr>
      </w:pPr>
      <w:r w:rsidRPr="00C85626">
        <w:rPr>
          <w:b/>
          <w:bCs/>
          <w:sz w:val="32"/>
          <w:szCs w:val="32"/>
          <w:rtl/>
        </w:rPr>
        <w:t>النحو الخامس:</w:t>
      </w:r>
      <w:r w:rsidRPr="00C85626">
        <w:rPr>
          <w:sz w:val="32"/>
          <w:szCs w:val="32"/>
          <w:rtl/>
        </w:rPr>
        <w:t xml:space="preserve"> أنْ يكون العمل المُستأجَر عليه مركباً مِن جزءين بنحو لا تترتب منفعة عقلائية إلّا في فرض اجتماعهما، كاستئجار الطبيب للعملية الجراحية المؤلفة مِن عدّة خطوات لا يمكن تحقّقها إلّا باجتماعها، أو استئجار الإنسان للصلاة الواحدة عن الميت حيثُ لا يمكن التبعيض في الصلاة الواحدة</w:t>
      </w:r>
      <w:r w:rsidRPr="00C85626">
        <w:rPr>
          <w:sz w:val="32"/>
          <w:szCs w:val="32"/>
        </w:rPr>
        <w:t>.</w:t>
      </w:r>
    </w:p>
    <w:p w14:paraId="03280AF4" w14:textId="77777777" w:rsidR="00C85626" w:rsidRPr="00C85626" w:rsidRDefault="00C85626" w:rsidP="00C85626">
      <w:pPr>
        <w:bidi/>
        <w:rPr>
          <w:sz w:val="32"/>
          <w:szCs w:val="32"/>
          <w:rtl/>
        </w:rPr>
      </w:pPr>
      <w:r w:rsidRPr="00C85626">
        <w:rPr>
          <w:sz w:val="32"/>
          <w:szCs w:val="32"/>
          <w:rtl/>
        </w:rPr>
        <w:t>فإذا تخلف الأجيرُ عن الجزء الآخر سواءً اختياراً أو قهراً كما لو انطفأت الكهرباء أثناء العملية الجراحية، أو أُصيب الأجير الذي استؤجر للصلاة عن الميت بعجزٍ وشللٍ بعد ركعتين</w:t>
      </w:r>
      <w:r w:rsidRPr="00C85626">
        <w:rPr>
          <w:sz w:val="32"/>
          <w:szCs w:val="32"/>
        </w:rPr>
        <w:t>.</w:t>
      </w:r>
    </w:p>
    <w:p w14:paraId="3238ED16" w14:textId="77777777" w:rsidR="00C85626" w:rsidRPr="00C85626" w:rsidRDefault="00C85626" w:rsidP="00C85626">
      <w:pPr>
        <w:bidi/>
        <w:rPr>
          <w:sz w:val="32"/>
          <w:szCs w:val="32"/>
          <w:rtl/>
        </w:rPr>
      </w:pPr>
      <w:r w:rsidRPr="00C85626">
        <w:rPr>
          <w:sz w:val="32"/>
          <w:szCs w:val="32"/>
          <w:rtl/>
        </w:rPr>
        <w:t>فهل الحكمُ هو بطلان الإجارة أو الصحّة؟</w:t>
      </w:r>
    </w:p>
    <w:p w14:paraId="4CEC328B" w14:textId="77777777" w:rsidR="00C85626" w:rsidRPr="00C85626" w:rsidRDefault="00C85626" w:rsidP="00C85626">
      <w:pPr>
        <w:bidi/>
        <w:rPr>
          <w:sz w:val="32"/>
          <w:szCs w:val="32"/>
          <w:rtl/>
        </w:rPr>
      </w:pPr>
    </w:p>
    <w:p w14:paraId="1C5BEF44" w14:textId="77777777" w:rsidR="00C85626" w:rsidRPr="00C85626" w:rsidRDefault="00C85626" w:rsidP="00C85626">
      <w:pPr>
        <w:bidi/>
        <w:rPr>
          <w:b/>
          <w:bCs/>
          <w:sz w:val="32"/>
          <w:szCs w:val="32"/>
          <w:rtl/>
        </w:rPr>
      </w:pPr>
      <w:r w:rsidRPr="00C85626">
        <w:rPr>
          <w:b/>
          <w:bCs/>
          <w:sz w:val="32"/>
          <w:szCs w:val="32"/>
          <w:rtl/>
        </w:rPr>
        <w:t>والحمد لله رب العالمين</w:t>
      </w:r>
    </w:p>
    <w:p w14:paraId="33568226" w14:textId="77777777" w:rsidR="00820018" w:rsidRDefault="00820018" w:rsidP="00820018">
      <w:pPr>
        <w:bidi/>
        <w:rPr>
          <w:sz w:val="32"/>
          <w:szCs w:val="32"/>
          <w:rtl/>
        </w:rPr>
      </w:pPr>
    </w:p>
    <w:p w14:paraId="1F0E9783" w14:textId="6A7B1CED" w:rsidR="00C04089" w:rsidRDefault="00C04089" w:rsidP="00C04089">
      <w:pPr>
        <w:pStyle w:val="Heading3"/>
        <w:bidi/>
        <w:rPr>
          <w:sz w:val="32"/>
          <w:szCs w:val="32"/>
          <w:rtl/>
        </w:rPr>
      </w:pPr>
      <w:r>
        <w:rPr>
          <w:rFonts w:hint="cs"/>
          <w:sz w:val="32"/>
          <w:szCs w:val="32"/>
          <w:rtl/>
        </w:rPr>
        <w:t>338</w:t>
      </w:r>
    </w:p>
    <w:p w14:paraId="36CBF324" w14:textId="77777777" w:rsidR="00C04089" w:rsidRPr="00C04089" w:rsidRDefault="00C04089" w:rsidP="00C04089">
      <w:pPr>
        <w:bidi/>
        <w:rPr>
          <w:b/>
          <w:bCs/>
          <w:sz w:val="32"/>
          <w:szCs w:val="32"/>
        </w:rPr>
      </w:pPr>
      <w:r w:rsidRPr="00C04089">
        <w:rPr>
          <w:b/>
          <w:bCs/>
          <w:sz w:val="32"/>
          <w:szCs w:val="32"/>
          <w:rtl/>
        </w:rPr>
        <w:t>بسم الله الرحمن الرحيم</w:t>
      </w:r>
    </w:p>
    <w:p w14:paraId="493B773B" w14:textId="77777777" w:rsidR="00C04089" w:rsidRPr="00C04089" w:rsidRDefault="00C04089" w:rsidP="00C04089">
      <w:pPr>
        <w:bidi/>
        <w:rPr>
          <w:b/>
          <w:bCs/>
          <w:sz w:val="32"/>
          <w:szCs w:val="32"/>
          <w:rtl/>
        </w:rPr>
      </w:pPr>
      <w:r w:rsidRPr="00C04089">
        <w:rPr>
          <w:b/>
          <w:bCs/>
          <w:sz w:val="32"/>
          <w:szCs w:val="32"/>
          <w:rtl/>
        </w:rPr>
        <w:t>والصلاة والسلام على أشرف الأنبياء والمرسلين، محمد وآله الطيبين الطاهرين</w:t>
      </w:r>
    </w:p>
    <w:p w14:paraId="0959F365" w14:textId="77777777" w:rsidR="00C04089" w:rsidRPr="00C04089" w:rsidRDefault="00C04089" w:rsidP="00C04089">
      <w:pPr>
        <w:bidi/>
        <w:rPr>
          <w:sz w:val="32"/>
          <w:szCs w:val="32"/>
          <w:rtl/>
        </w:rPr>
      </w:pPr>
      <w:r w:rsidRPr="00C04089">
        <w:rPr>
          <w:b/>
          <w:bCs/>
          <w:sz w:val="32"/>
          <w:szCs w:val="32"/>
          <w:rtl/>
        </w:rPr>
        <w:t>واللعن الدائم على أعدائهم أجمعين إلى قيام يوم الدين</w:t>
      </w:r>
    </w:p>
    <w:p w14:paraId="5ADB1ED0" w14:textId="77777777" w:rsidR="00C04089" w:rsidRPr="00C04089" w:rsidRDefault="00C04089" w:rsidP="00C04089">
      <w:pPr>
        <w:bidi/>
        <w:rPr>
          <w:sz w:val="32"/>
          <w:szCs w:val="32"/>
          <w:rtl/>
        </w:rPr>
      </w:pPr>
    </w:p>
    <w:p w14:paraId="233A0973" w14:textId="77777777" w:rsidR="00C04089" w:rsidRPr="00C04089" w:rsidRDefault="00C04089" w:rsidP="00C04089">
      <w:pPr>
        <w:bidi/>
        <w:rPr>
          <w:sz w:val="32"/>
          <w:szCs w:val="32"/>
          <w:rtl/>
        </w:rPr>
      </w:pPr>
      <w:r w:rsidRPr="00C04089">
        <w:rPr>
          <w:b/>
          <w:bCs/>
          <w:sz w:val="32"/>
          <w:szCs w:val="32"/>
          <w:rtl/>
        </w:rPr>
        <w:lastRenderedPageBreak/>
        <w:t>النحو الخامس:</w:t>
      </w:r>
      <w:r w:rsidRPr="00C04089">
        <w:rPr>
          <w:sz w:val="32"/>
          <w:szCs w:val="32"/>
          <w:rtl/>
        </w:rPr>
        <w:t xml:space="preserve"> أنْ يكون العمل المُستأجَر عليه مركباً مِن جزءين بنحو لا تترتب منفعةٌ عقلائيةٌ إلّا في فرض اجتماعهما، كاستئجار الطبيب للعملية الجراحية المؤلفة مِن عدّة خطوات، أو استئجار الإنسان للصلاة الواحدة عن </w:t>
      </w:r>
      <w:proofErr w:type="gramStart"/>
      <w:r w:rsidRPr="00C04089">
        <w:rPr>
          <w:sz w:val="32"/>
          <w:szCs w:val="32"/>
          <w:rtl/>
        </w:rPr>
        <w:t>الميت</w:t>
      </w:r>
      <w:r w:rsidRPr="00C04089">
        <w:rPr>
          <w:sz w:val="32"/>
          <w:szCs w:val="32"/>
        </w:rPr>
        <w:t xml:space="preserve"> .</w:t>
      </w:r>
      <w:proofErr w:type="gramEnd"/>
    </w:p>
    <w:p w14:paraId="04894C3C" w14:textId="77777777" w:rsidR="00C04089" w:rsidRPr="00C04089" w:rsidRDefault="00C04089" w:rsidP="00C04089">
      <w:pPr>
        <w:bidi/>
        <w:rPr>
          <w:sz w:val="32"/>
          <w:szCs w:val="32"/>
          <w:rtl/>
        </w:rPr>
      </w:pPr>
      <w:r w:rsidRPr="00C04089">
        <w:rPr>
          <w:sz w:val="32"/>
          <w:szCs w:val="32"/>
          <w:rtl/>
        </w:rPr>
        <w:t>فإذا عجز الأجيرُ عن الجزءِ الآخر كما لو فُرض أنّ الطبيب أتى ببعض خطوات العملية وعجز عن الباقي لأيّ عذرٍ.</w:t>
      </w:r>
    </w:p>
    <w:p w14:paraId="223E49E7" w14:textId="77777777" w:rsidR="00C04089" w:rsidRPr="00C04089" w:rsidRDefault="00C04089" w:rsidP="00C04089">
      <w:pPr>
        <w:bidi/>
        <w:rPr>
          <w:b/>
          <w:bCs/>
          <w:sz w:val="32"/>
          <w:szCs w:val="32"/>
          <w:rtl/>
        </w:rPr>
      </w:pPr>
      <w:r w:rsidRPr="00C04089">
        <w:rPr>
          <w:b/>
          <w:bCs/>
          <w:sz w:val="32"/>
          <w:szCs w:val="32"/>
          <w:rtl/>
        </w:rPr>
        <w:t>فما هو حكم المعاملة في هذه الصورة؟ هل هو بطلان الإجارة أم الصحّة؟ وعلى فرض الصحّة فهل هي مع الخيار أم بدونه؟</w:t>
      </w:r>
    </w:p>
    <w:p w14:paraId="4AA5EDEC" w14:textId="77777777" w:rsidR="00C04089" w:rsidRPr="00C04089" w:rsidRDefault="00C04089" w:rsidP="00C04089">
      <w:pPr>
        <w:bidi/>
        <w:rPr>
          <w:b/>
          <w:bCs/>
          <w:sz w:val="32"/>
          <w:szCs w:val="32"/>
          <w:rtl/>
        </w:rPr>
      </w:pPr>
      <w:r w:rsidRPr="00C04089">
        <w:rPr>
          <w:b/>
          <w:bCs/>
          <w:sz w:val="32"/>
          <w:szCs w:val="32"/>
          <w:rtl/>
        </w:rPr>
        <w:t>وهنا أقوالٌ ثلاثة</w:t>
      </w:r>
      <w:r w:rsidRPr="00C04089">
        <w:rPr>
          <w:b/>
          <w:bCs/>
          <w:sz w:val="32"/>
          <w:szCs w:val="32"/>
        </w:rPr>
        <w:t>:</w:t>
      </w:r>
    </w:p>
    <w:p w14:paraId="5AA549C1" w14:textId="77777777" w:rsidR="00C04089" w:rsidRPr="00C04089" w:rsidRDefault="00C04089" w:rsidP="00C04089">
      <w:pPr>
        <w:bidi/>
        <w:rPr>
          <w:b/>
          <w:bCs/>
          <w:sz w:val="32"/>
          <w:szCs w:val="32"/>
          <w:rtl/>
        </w:rPr>
      </w:pPr>
      <w:r w:rsidRPr="00C04089">
        <w:rPr>
          <w:b/>
          <w:bCs/>
          <w:sz w:val="32"/>
          <w:szCs w:val="32"/>
          <w:rtl/>
        </w:rPr>
        <w:t>القولُ الأوّل: صحّة الإجارة من دونَ خيارٍ</w:t>
      </w:r>
      <w:r w:rsidRPr="00C04089">
        <w:rPr>
          <w:b/>
          <w:bCs/>
          <w:sz w:val="32"/>
          <w:szCs w:val="32"/>
        </w:rPr>
        <w:t>.</w:t>
      </w:r>
    </w:p>
    <w:p w14:paraId="120B54D9" w14:textId="77777777" w:rsidR="00C04089" w:rsidRPr="00C04089" w:rsidRDefault="00C04089" w:rsidP="00C04089">
      <w:pPr>
        <w:bidi/>
        <w:rPr>
          <w:sz w:val="32"/>
          <w:szCs w:val="32"/>
          <w:rtl/>
        </w:rPr>
      </w:pPr>
      <w:r w:rsidRPr="00C04089">
        <w:rPr>
          <w:sz w:val="32"/>
          <w:szCs w:val="32"/>
          <w:rtl/>
        </w:rPr>
        <w:t>وهو ما ذهب إليه السيد أبو الحسن الأصفهاني والسيد البروجردي (قدس سرهما)، كما في تعليقتهما على العروة الوثقى</w:t>
      </w:r>
      <w:r w:rsidRPr="00C04089">
        <w:rPr>
          <w:sz w:val="32"/>
          <w:szCs w:val="32"/>
          <w:vertAlign w:val="superscript"/>
          <w:rtl/>
        </w:rPr>
        <w:footnoteReference w:id="261"/>
      </w:r>
      <w:r w:rsidRPr="00C04089">
        <w:rPr>
          <w:sz w:val="32"/>
          <w:szCs w:val="32"/>
          <w:rtl/>
        </w:rPr>
        <w:t xml:space="preserve"> وقد أشار السيد البروجردي (قدس سره) إلى النكتة في ذلك</w:t>
      </w:r>
      <w:r w:rsidRPr="00C04089">
        <w:rPr>
          <w:sz w:val="32"/>
          <w:szCs w:val="32"/>
        </w:rPr>
        <w:t>.</w:t>
      </w:r>
    </w:p>
    <w:p w14:paraId="57C2B33E" w14:textId="77777777" w:rsidR="00C04089" w:rsidRPr="00C04089" w:rsidRDefault="00C04089" w:rsidP="00C04089">
      <w:pPr>
        <w:bidi/>
        <w:rPr>
          <w:sz w:val="32"/>
          <w:szCs w:val="32"/>
          <w:rtl/>
        </w:rPr>
      </w:pPr>
      <w:r w:rsidRPr="00C04089">
        <w:rPr>
          <w:b/>
          <w:bCs/>
          <w:sz w:val="32"/>
          <w:szCs w:val="32"/>
          <w:rtl/>
        </w:rPr>
        <w:t>وتقريبُ كلامه:</w:t>
      </w:r>
      <w:r w:rsidRPr="00C04089">
        <w:rPr>
          <w:sz w:val="32"/>
          <w:szCs w:val="32"/>
          <w:rtl/>
        </w:rPr>
        <w:t xml:space="preserve"> أنّ ما فاتَ على المُستأجر هو الغرض الشخصي مِن الإجارة؛ حيثُ إنّ غرض المُستأجر -مثلاً- علاجُ ولده، وقد فات عليه الغرض لعدم تمامية العملية الجراحية، كما لو استأجره لصلاة جعفر الطيار عن والده فأتى بجزءٍ مِن الركعة وعجز عن الباقي، فإنّ الفائت هو الغرض الشخصي -أي: وصول الثواب لوالده-، ومِن الواضح أنّ فوات الغرض الشخصي لا يوجب بطلان المعاملة، كما لو اشترى شخصٌ لحماً بغرض تقديمه للضيوف فلَمْ يأتِ الضيوف، فإنّ ذلك لا يبطل المعاملة، غايةُ ما في الباب أنّ العمل المتعلق للإجارة قد تبعّض؛ حيثُ أتى الأجير ببعضه وعجز عن الباقي، إلّا أنّ ذلك ليس موجباً للبطلان، كما أنّه لا خيار معها.</w:t>
      </w:r>
    </w:p>
    <w:p w14:paraId="63632405" w14:textId="77777777" w:rsidR="00C04089" w:rsidRPr="00C04089" w:rsidRDefault="00C04089" w:rsidP="00C04089">
      <w:pPr>
        <w:bidi/>
        <w:rPr>
          <w:sz w:val="32"/>
          <w:szCs w:val="32"/>
          <w:rtl/>
        </w:rPr>
      </w:pPr>
      <w:r w:rsidRPr="00C04089">
        <w:rPr>
          <w:b/>
          <w:bCs/>
          <w:sz w:val="32"/>
          <w:szCs w:val="32"/>
          <w:rtl/>
        </w:rPr>
        <w:t xml:space="preserve">والنُكتة في ذلك: </w:t>
      </w:r>
      <w:r w:rsidRPr="00C04089">
        <w:rPr>
          <w:sz w:val="32"/>
          <w:szCs w:val="32"/>
          <w:rtl/>
        </w:rPr>
        <w:t>أنّ الخيار إنّما يُصار إليه في المعاملة إذا ترتب على الفسخ أثرٌ وهو ضمان أُجرة المثل لما أتى بِهِ الأجير، والمفروضُ أنّه لو فسخ المستأجر، فإنّ ما أتى بِهِ الأجير مما لا مالية لَهُ، وحيثُ لا مالية له لا يقبل الضمان بأُجرة المثل</w:t>
      </w:r>
      <w:r w:rsidRPr="00C04089">
        <w:rPr>
          <w:sz w:val="32"/>
          <w:szCs w:val="32"/>
        </w:rPr>
        <w:t>.</w:t>
      </w:r>
    </w:p>
    <w:p w14:paraId="6D69AD21" w14:textId="77777777" w:rsidR="00C04089" w:rsidRPr="00C04089" w:rsidRDefault="00C04089" w:rsidP="00C04089">
      <w:pPr>
        <w:bidi/>
        <w:rPr>
          <w:sz w:val="32"/>
          <w:szCs w:val="32"/>
          <w:rtl/>
        </w:rPr>
      </w:pPr>
      <w:r w:rsidRPr="00C04089">
        <w:rPr>
          <w:b/>
          <w:bCs/>
          <w:sz w:val="32"/>
          <w:szCs w:val="32"/>
          <w:rtl/>
        </w:rPr>
        <w:t>والنتيجةُ أنّه:</w:t>
      </w:r>
      <w:r w:rsidRPr="00C04089">
        <w:rPr>
          <w:sz w:val="32"/>
          <w:szCs w:val="32"/>
          <w:rtl/>
        </w:rPr>
        <w:t xml:space="preserve"> لا معنى لحكم الشارع بأنّ للمُستأجر الخيار بين الإمضاء والفسخ مع عدم الأثر العملي للفسخ، وإنّما تُقسّط الأُجرة المُسمّاة على أجزاء العمل، فيُعطى الأجير نصيباً مِن الأُجرة مقابل ما صدرَ منهُ</w:t>
      </w:r>
      <w:r w:rsidRPr="00C04089">
        <w:rPr>
          <w:sz w:val="32"/>
          <w:szCs w:val="32"/>
        </w:rPr>
        <w:t>.</w:t>
      </w:r>
    </w:p>
    <w:p w14:paraId="0A23B89D" w14:textId="77777777" w:rsidR="00C04089" w:rsidRPr="00C04089" w:rsidRDefault="00C04089" w:rsidP="00C04089">
      <w:pPr>
        <w:bidi/>
        <w:rPr>
          <w:sz w:val="32"/>
          <w:szCs w:val="32"/>
          <w:rtl/>
        </w:rPr>
      </w:pPr>
      <w:r w:rsidRPr="00C04089">
        <w:rPr>
          <w:b/>
          <w:bCs/>
          <w:sz w:val="32"/>
          <w:szCs w:val="32"/>
          <w:rtl/>
        </w:rPr>
        <w:lastRenderedPageBreak/>
        <w:t>والسر في ذلك:</w:t>
      </w:r>
      <w:r w:rsidRPr="00C04089">
        <w:rPr>
          <w:sz w:val="32"/>
          <w:szCs w:val="32"/>
          <w:rtl/>
        </w:rPr>
        <w:t xml:space="preserve"> أنّ ما أتى بِهِ وإنْ لَمْ يكن لَهُ مالية، إلّا أنّ الأجير استحقه بالعقد؛ باعتبار أنّ الأجير حينما ملك الخياطة للمستأجر في ذمّته مَلَك على المُستأجر جزءاً مِن الأُجرة مقابل كلّ جزءٍ مِن العمل، وحيثُ مَلَكَ جزءاً مِن الأُجرة مقابل أيّ جزءٍ مِن العمل بالعقد فعجزه عن باقي العمل لا يوجب ارتفاع مِلكه لمقدارٍ مِن الأُجرة مقابل مقدارٍ مِن عمله</w:t>
      </w:r>
      <w:r w:rsidRPr="00C04089">
        <w:rPr>
          <w:sz w:val="32"/>
          <w:szCs w:val="32"/>
        </w:rPr>
        <w:t>.</w:t>
      </w:r>
    </w:p>
    <w:p w14:paraId="176E08A0" w14:textId="77777777" w:rsidR="00C04089" w:rsidRPr="00C04089" w:rsidRDefault="00C04089" w:rsidP="00C04089">
      <w:pPr>
        <w:bidi/>
        <w:rPr>
          <w:sz w:val="32"/>
          <w:szCs w:val="32"/>
          <w:rtl/>
        </w:rPr>
      </w:pPr>
      <w:r w:rsidRPr="00C04089">
        <w:rPr>
          <w:sz w:val="32"/>
          <w:szCs w:val="32"/>
          <w:rtl/>
        </w:rPr>
        <w:t>بينما الفسخ لا أثرَ لَهُ في ضمان أُجرة المثل للأجير مقابل ما أتى بِهِ</w:t>
      </w:r>
      <w:r w:rsidRPr="00C04089">
        <w:rPr>
          <w:sz w:val="32"/>
          <w:szCs w:val="32"/>
        </w:rPr>
        <w:t>.</w:t>
      </w:r>
    </w:p>
    <w:p w14:paraId="734D8E54" w14:textId="77777777" w:rsidR="00C04089" w:rsidRPr="00C04089" w:rsidRDefault="00C04089" w:rsidP="00C04089">
      <w:pPr>
        <w:bidi/>
        <w:rPr>
          <w:b/>
          <w:bCs/>
          <w:sz w:val="32"/>
          <w:szCs w:val="32"/>
          <w:rtl/>
        </w:rPr>
      </w:pPr>
      <w:r w:rsidRPr="00C04089">
        <w:rPr>
          <w:b/>
          <w:bCs/>
          <w:sz w:val="32"/>
          <w:szCs w:val="32"/>
          <w:rtl/>
        </w:rPr>
        <w:t>القولُ الثاني: بطلانُ الإجارة</w:t>
      </w:r>
      <w:r w:rsidRPr="00C04089">
        <w:rPr>
          <w:b/>
          <w:bCs/>
          <w:sz w:val="32"/>
          <w:szCs w:val="32"/>
        </w:rPr>
        <w:t>.</w:t>
      </w:r>
    </w:p>
    <w:p w14:paraId="015A332A" w14:textId="77777777" w:rsidR="00C04089" w:rsidRPr="00C04089" w:rsidRDefault="00C04089" w:rsidP="00C04089">
      <w:pPr>
        <w:bidi/>
        <w:rPr>
          <w:sz w:val="32"/>
          <w:szCs w:val="32"/>
          <w:rtl/>
        </w:rPr>
      </w:pPr>
      <w:r w:rsidRPr="00C04089">
        <w:rPr>
          <w:sz w:val="32"/>
          <w:szCs w:val="32"/>
          <w:rtl/>
        </w:rPr>
        <w:t>وهو ما ذكره فقيه عصره سيد المستمسك (قدس سره الشريف)</w:t>
      </w:r>
      <w:r w:rsidRPr="00C04089">
        <w:rPr>
          <w:sz w:val="32"/>
          <w:szCs w:val="32"/>
          <w:vertAlign w:val="superscript"/>
          <w:rtl/>
        </w:rPr>
        <w:footnoteReference w:id="262"/>
      </w:r>
      <w:r w:rsidRPr="00C04089">
        <w:rPr>
          <w:sz w:val="32"/>
          <w:szCs w:val="32"/>
          <w:rtl/>
        </w:rPr>
        <w:t xml:space="preserve"> أنّ المعاملة باطلة</w:t>
      </w:r>
      <w:r w:rsidRPr="00C04089">
        <w:rPr>
          <w:sz w:val="32"/>
          <w:szCs w:val="32"/>
        </w:rPr>
        <w:t>.</w:t>
      </w:r>
    </w:p>
    <w:p w14:paraId="7C699577" w14:textId="77777777" w:rsidR="00C04089" w:rsidRPr="00C04089" w:rsidRDefault="00C04089" w:rsidP="00C04089">
      <w:pPr>
        <w:bidi/>
        <w:rPr>
          <w:sz w:val="32"/>
          <w:szCs w:val="32"/>
          <w:rtl/>
        </w:rPr>
      </w:pPr>
      <w:r w:rsidRPr="00C04089">
        <w:rPr>
          <w:b/>
          <w:bCs/>
          <w:sz w:val="32"/>
          <w:szCs w:val="32"/>
          <w:rtl/>
        </w:rPr>
        <w:t>ووجهُ ذلك:</w:t>
      </w:r>
      <w:r w:rsidRPr="00C04089">
        <w:rPr>
          <w:sz w:val="32"/>
          <w:szCs w:val="32"/>
          <w:rtl/>
        </w:rPr>
        <w:t xml:space="preserve"> أنّه لا فرق بين الضمان بالتقسيط أو الضمان بأُجرة المثل، فكما أنّ المرتكز العقلائي يأبى أنْ يكون للمُستأجر السلطنة على الفسخ؛ لأنّ السلطنة على الفسخ لا أثر لها؛ حيثُ إنّ الأثر المتوقع هو ضمان أُجرة المثل والعمل المأتي بِهِ لا مالية لَهُ كي يكون مضموناً بأُجرة المثل، كذلك المرتكز العقلائي يأبى صحّة الإجارة مع تقسيط الأُجرة وتوزيعها؛ حيثُ إنّ الجزء المأتي بِهِ مما لا قيمة لَهُ، فكما لا ضمان لَهُ بأُجرة المثل بنظر المرتكز العقلائي لا ضمان لَهُ بتقسيط الأُجرة أيضاً، بل إنّ استحلال الأُجرة مقابل الجزء المأتي بِهِ مع عدم ماليته هو مِن أكل المال بالباطل</w:t>
      </w:r>
      <w:r w:rsidRPr="00C04089">
        <w:rPr>
          <w:sz w:val="32"/>
          <w:szCs w:val="32"/>
        </w:rPr>
        <w:t>.</w:t>
      </w:r>
    </w:p>
    <w:p w14:paraId="7997F3CF" w14:textId="77777777" w:rsidR="00C04089" w:rsidRPr="00C04089" w:rsidRDefault="00C04089" w:rsidP="00C04089">
      <w:pPr>
        <w:bidi/>
        <w:rPr>
          <w:sz w:val="32"/>
          <w:szCs w:val="32"/>
          <w:rtl/>
        </w:rPr>
      </w:pPr>
      <w:r w:rsidRPr="00C04089">
        <w:rPr>
          <w:sz w:val="32"/>
          <w:szCs w:val="32"/>
          <w:rtl/>
        </w:rPr>
        <w:t xml:space="preserve">وكذلك الحال في باب البيع أيضاً؛ فلو فُرض أنّ المبيع عند استلامه انكسر جزءٌ منه أو </w:t>
      </w:r>
      <w:proofErr w:type="gramStart"/>
      <w:r w:rsidRPr="00C04089">
        <w:rPr>
          <w:sz w:val="32"/>
          <w:szCs w:val="32"/>
          <w:rtl/>
        </w:rPr>
        <w:t>انهدم  بحيثُ</w:t>
      </w:r>
      <w:proofErr w:type="gramEnd"/>
      <w:r w:rsidRPr="00C04089">
        <w:rPr>
          <w:sz w:val="32"/>
          <w:szCs w:val="32"/>
          <w:rtl/>
        </w:rPr>
        <w:t xml:space="preserve"> يكونُ الجزءُ الباقي مما لا مالية لَهُ، فلا معنى للقول بالصحّة وتقسيط الثمن، بل يتعيّن القولُ بالبطلان؛ لأنّ المقدارَ الباقي مما لا مالية لَهُ، فكما لا يكون مضموناً بأُجرة المثل لا يكون مضموناً بقسطٍ مِن الثمن</w:t>
      </w:r>
      <w:r w:rsidRPr="00C04089">
        <w:rPr>
          <w:sz w:val="32"/>
          <w:szCs w:val="32"/>
        </w:rPr>
        <w:t>.</w:t>
      </w:r>
    </w:p>
    <w:p w14:paraId="5571420F" w14:textId="77777777" w:rsidR="00C04089" w:rsidRPr="00C04089" w:rsidRDefault="00C04089" w:rsidP="00C04089">
      <w:pPr>
        <w:bidi/>
        <w:rPr>
          <w:b/>
          <w:bCs/>
          <w:sz w:val="32"/>
          <w:szCs w:val="32"/>
          <w:rtl/>
        </w:rPr>
      </w:pPr>
      <w:r w:rsidRPr="00C04089">
        <w:rPr>
          <w:b/>
          <w:bCs/>
          <w:sz w:val="32"/>
          <w:szCs w:val="32"/>
          <w:rtl/>
        </w:rPr>
        <w:t>القولُ الثالث: صحّة الإجارة مع ثبوت الخيار</w:t>
      </w:r>
      <w:r w:rsidRPr="00C04089">
        <w:rPr>
          <w:b/>
          <w:bCs/>
          <w:sz w:val="32"/>
          <w:szCs w:val="32"/>
        </w:rPr>
        <w:t>.</w:t>
      </w:r>
    </w:p>
    <w:p w14:paraId="75002F02" w14:textId="77777777" w:rsidR="00C04089" w:rsidRPr="00C04089" w:rsidRDefault="00C04089" w:rsidP="00C04089">
      <w:pPr>
        <w:bidi/>
        <w:rPr>
          <w:sz w:val="32"/>
          <w:szCs w:val="32"/>
          <w:rtl/>
        </w:rPr>
      </w:pPr>
      <w:r w:rsidRPr="00C04089">
        <w:rPr>
          <w:sz w:val="32"/>
          <w:szCs w:val="32"/>
          <w:rtl/>
        </w:rPr>
        <w:t>وقد تبيّن فساد هذا القول؛ إذ لا معنى للحكم بالصحّة مع عدم وجود أثرٍ عقلائي لا لتقسيط الأُجرة ولا للفسخ</w:t>
      </w:r>
      <w:r w:rsidRPr="00C04089">
        <w:rPr>
          <w:sz w:val="32"/>
          <w:szCs w:val="32"/>
        </w:rPr>
        <w:t>.</w:t>
      </w:r>
    </w:p>
    <w:p w14:paraId="23185FB5" w14:textId="77777777" w:rsidR="00C04089" w:rsidRPr="00C04089" w:rsidRDefault="00C04089" w:rsidP="00C04089">
      <w:pPr>
        <w:bidi/>
        <w:rPr>
          <w:b/>
          <w:bCs/>
          <w:sz w:val="32"/>
          <w:szCs w:val="32"/>
          <w:rtl/>
        </w:rPr>
      </w:pPr>
      <w:r w:rsidRPr="00C04089">
        <w:rPr>
          <w:b/>
          <w:bCs/>
          <w:sz w:val="32"/>
          <w:szCs w:val="32"/>
          <w:rtl/>
        </w:rPr>
        <w:t>وبالتالي، فالمتعيّن ما ذكره الفقيه النبيه السيد الحكيم (قدس سره الشريف)</w:t>
      </w:r>
      <w:r w:rsidRPr="00C04089">
        <w:rPr>
          <w:b/>
          <w:bCs/>
          <w:sz w:val="32"/>
          <w:szCs w:val="32"/>
        </w:rPr>
        <w:t>.</w:t>
      </w:r>
    </w:p>
    <w:p w14:paraId="791C5F85" w14:textId="77777777" w:rsidR="00C04089" w:rsidRPr="00C04089" w:rsidRDefault="00C04089" w:rsidP="00C04089">
      <w:pPr>
        <w:bidi/>
        <w:rPr>
          <w:sz w:val="32"/>
          <w:szCs w:val="32"/>
          <w:rtl/>
        </w:rPr>
      </w:pPr>
      <w:r w:rsidRPr="00C04089">
        <w:rPr>
          <w:b/>
          <w:bCs/>
          <w:sz w:val="32"/>
          <w:szCs w:val="32"/>
          <w:rtl/>
        </w:rPr>
        <w:lastRenderedPageBreak/>
        <w:t>غايةُ ما في الباب:</w:t>
      </w:r>
      <w:r w:rsidRPr="00C04089">
        <w:rPr>
          <w:sz w:val="32"/>
          <w:szCs w:val="32"/>
          <w:rtl/>
        </w:rPr>
        <w:t xml:space="preserve"> أنّ البحث: يقع حول النكتة في بطلان الإجارة، فهل هي أنّ المأتي بِهِ لا مالية لَهُ، أو أنّ النكتة في بطلان الإجارة هنا فوتُ الغرض كما حاول السيد البروجردي (قدس سره) نفيّه، أو أنّ النكتة تخلف متعلق الإجارة؟</w:t>
      </w:r>
    </w:p>
    <w:p w14:paraId="50895711" w14:textId="77777777" w:rsidR="00C04089" w:rsidRPr="00C04089" w:rsidRDefault="00C04089" w:rsidP="00C04089">
      <w:pPr>
        <w:bidi/>
        <w:rPr>
          <w:sz w:val="32"/>
          <w:szCs w:val="32"/>
          <w:rtl/>
        </w:rPr>
      </w:pPr>
      <w:r w:rsidRPr="00C04089">
        <w:rPr>
          <w:sz w:val="32"/>
          <w:szCs w:val="32"/>
          <w:rtl/>
        </w:rPr>
        <w:t>فإنْ قُلنا بأنّ النكتة في بطلان الإجارة أنّ المأتي بِهِ مما لا مالية لَهُ، فسوف يختصُ البطلان بالنحو الخامس وهو ما إذا كان العمل المُستأجَر عليه مركباً من جزئين لا تترتبُ منفعة إلّا عند اجتماعهما وقد تلف أحدُ الجزئين، بينما في النحو الرابع وهو ما إذا كان العمل مركباً من جزئين لكُلٍّ منهما في حدّ ذاته منفعة، وغايةُ ما في الباب أنّ المنفعة العقلائية المقصودة بالمعاملة متفرعةٌ على اجتماعهما، كما لو استأجره على خياطة القباء بالكيفية النجفية فخاطه بالكيفية الفارسية، فالعمل المأتي بِهِ وإنْ كان لَهُ مالية إلّا أنّ العمل المُستأجَر عليه لَمْ يتحقّق ولا يمكن تداركه</w:t>
      </w:r>
      <w:r w:rsidRPr="00C04089">
        <w:rPr>
          <w:sz w:val="32"/>
          <w:szCs w:val="32"/>
        </w:rPr>
        <w:t>.</w:t>
      </w:r>
    </w:p>
    <w:p w14:paraId="3FDE1ACA" w14:textId="77777777" w:rsidR="00C04089" w:rsidRPr="00C04089" w:rsidRDefault="00C04089" w:rsidP="00C04089">
      <w:pPr>
        <w:bidi/>
        <w:rPr>
          <w:sz w:val="32"/>
          <w:szCs w:val="32"/>
          <w:rtl/>
        </w:rPr>
      </w:pPr>
      <w:r w:rsidRPr="00C04089">
        <w:rPr>
          <w:sz w:val="32"/>
          <w:szCs w:val="32"/>
          <w:rtl/>
        </w:rPr>
        <w:t xml:space="preserve">فإذا قُلنا بأنّ النكتة في البطلان أنّ العمل المُستأجَر عليه بنحو وحدّة المطلوب ولذلك لا ينحلُ بالنظر العرفي إلى جزئين -خياطة قباء وكونه بالكيفية الكذائية-، فلا مجال للقول بالصحّة لا مع الخيار ولا بدونه؛ لأنّ متعلّق المعاملة لَمْ يُؤتَ بِهِ ولا يمكنُ تداركه، وهذا يقتضي أنّ حكم النحوين </w:t>
      </w:r>
      <w:proofErr w:type="gramStart"/>
      <w:r w:rsidRPr="00C04089">
        <w:rPr>
          <w:sz w:val="32"/>
          <w:szCs w:val="32"/>
          <w:rtl/>
        </w:rPr>
        <w:t>واحد،  وهو</w:t>
      </w:r>
      <w:proofErr w:type="gramEnd"/>
      <w:r w:rsidRPr="00C04089">
        <w:rPr>
          <w:sz w:val="32"/>
          <w:szCs w:val="32"/>
          <w:rtl/>
        </w:rPr>
        <w:t xml:space="preserve"> البطلان بدون خيار.</w:t>
      </w:r>
    </w:p>
    <w:p w14:paraId="46B69BA3" w14:textId="77777777" w:rsidR="00C04089" w:rsidRPr="00C04089" w:rsidRDefault="00C04089" w:rsidP="00C04089">
      <w:pPr>
        <w:bidi/>
        <w:rPr>
          <w:sz w:val="32"/>
          <w:szCs w:val="32"/>
          <w:rtl/>
        </w:rPr>
      </w:pPr>
      <w:r w:rsidRPr="00C04089">
        <w:rPr>
          <w:sz w:val="32"/>
          <w:szCs w:val="32"/>
          <w:rtl/>
        </w:rPr>
        <w:t xml:space="preserve">بينما إذا قُلنا بالنكتة التي بنى عليها السيد الحكيم (قدس سره الشريف) وهو أنّ البعض الباقي من العمل مما لا مالية لَهُ -وحيثُ إنّه لا مالية لَهُ لَمْ </w:t>
      </w:r>
      <w:proofErr w:type="gramStart"/>
      <w:r w:rsidRPr="00C04089">
        <w:rPr>
          <w:sz w:val="32"/>
          <w:szCs w:val="32"/>
          <w:rtl/>
        </w:rPr>
        <w:t>يقبل  التقسيط</w:t>
      </w:r>
      <w:proofErr w:type="gramEnd"/>
      <w:r w:rsidRPr="00C04089">
        <w:rPr>
          <w:sz w:val="32"/>
          <w:szCs w:val="32"/>
          <w:rtl/>
        </w:rPr>
        <w:t xml:space="preserve"> ولا الضمان بأُجرة المثل- فسوف يختصُ البطلان بالنحو الخامس</w:t>
      </w:r>
      <w:r w:rsidRPr="00C04089">
        <w:rPr>
          <w:sz w:val="32"/>
          <w:szCs w:val="32"/>
        </w:rPr>
        <w:t>.</w:t>
      </w:r>
    </w:p>
    <w:p w14:paraId="667D9767" w14:textId="77777777" w:rsidR="00C04089" w:rsidRPr="00C04089" w:rsidRDefault="00C04089" w:rsidP="00C04089">
      <w:pPr>
        <w:bidi/>
        <w:rPr>
          <w:sz w:val="32"/>
          <w:szCs w:val="32"/>
          <w:rtl/>
        </w:rPr>
      </w:pPr>
      <w:r w:rsidRPr="00C04089">
        <w:rPr>
          <w:sz w:val="32"/>
          <w:szCs w:val="32"/>
          <w:rtl/>
        </w:rPr>
        <w:t>وأمّا النحو الرابع فيمكنُ القول فيه بأنّه لما كان العمل المأتي بِهِ مما لَهُ مالية فللمستأجر الفسخ، وإذا فسخ ضمن للأجير أُجرة مِثل عمله</w:t>
      </w:r>
      <w:r w:rsidRPr="00C04089">
        <w:rPr>
          <w:sz w:val="32"/>
          <w:szCs w:val="32"/>
        </w:rPr>
        <w:t>.</w:t>
      </w:r>
    </w:p>
    <w:p w14:paraId="7B26266D" w14:textId="77777777" w:rsidR="00C04089" w:rsidRPr="00C04089" w:rsidRDefault="00C04089" w:rsidP="00C04089">
      <w:pPr>
        <w:bidi/>
        <w:rPr>
          <w:sz w:val="32"/>
          <w:szCs w:val="32"/>
          <w:rtl/>
        </w:rPr>
      </w:pPr>
      <w:r w:rsidRPr="00C04089">
        <w:rPr>
          <w:sz w:val="32"/>
          <w:szCs w:val="32"/>
          <w:rtl/>
        </w:rPr>
        <w:t>وأمّا ما ذكره السيد البروجردي (قدس سره الشريف) فقد تبيّن وجه الخدشة فيه؛ إذ المقامُ ليس مِن باب تخلف الغرض الشخصي، بل المقامُ مِن باب تخلف الغرض النوعي المقصود بالمعاملة، لا الغرض الشخصي كي لا يكون تخلفه موجباً للبطلان؛ إذ المفروض أنّ ما فعله الأجير أوجب تلف المِلك على مالكه.</w:t>
      </w:r>
    </w:p>
    <w:p w14:paraId="019D25E7" w14:textId="77777777" w:rsidR="00C04089" w:rsidRPr="00C04089" w:rsidRDefault="00C04089" w:rsidP="00C04089">
      <w:pPr>
        <w:bidi/>
        <w:rPr>
          <w:sz w:val="32"/>
          <w:szCs w:val="32"/>
          <w:rtl/>
        </w:rPr>
      </w:pPr>
    </w:p>
    <w:p w14:paraId="04C3BD9A" w14:textId="77777777" w:rsidR="00C04089" w:rsidRPr="00C04089" w:rsidRDefault="00C04089" w:rsidP="00C04089">
      <w:pPr>
        <w:bidi/>
        <w:rPr>
          <w:b/>
          <w:bCs/>
          <w:sz w:val="32"/>
          <w:szCs w:val="32"/>
          <w:rtl/>
        </w:rPr>
      </w:pPr>
      <w:r w:rsidRPr="00C04089">
        <w:rPr>
          <w:b/>
          <w:bCs/>
          <w:sz w:val="32"/>
          <w:szCs w:val="32"/>
          <w:rtl/>
        </w:rPr>
        <w:t>والحمد لله رب العالمين</w:t>
      </w:r>
    </w:p>
    <w:p w14:paraId="0CFC6151" w14:textId="206F05A7" w:rsidR="00C04089" w:rsidRDefault="00CD7965" w:rsidP="00CD7965">
      <w:pPr>
        <w:pStyle w:val="Heading3"/>
        <w:bidi/>
        <w:rPr>
          <w:sz w:val="32"/>
          <w:szCs w:val="32"/>
        </w:rPr>
      </w:pPr>
      <w:r>
        <w:rPr>
          <w:sz w:val="32"/>
          <w:szCs w:val="32"/>
        </w:rPr>
        <w:t>339</w:t>
      </w:r>
    </w:p>
    <w:p w14:paraId="3438C39B" w14:textId="77777777" w:rsidR="00CD7965" w:rsidRPr="00CD7965" w:rsidRDefault="00CD7965" w:rsidP="00CD7965">
      <w:pPr>
        <w:bidi/>
        <w:rPr>
          <w:b/>
          <w:bCs/>
          <w:sz w:val="32"/>
          <w:szCs w:val="32"/>
        </w:rPr>
      </w:pPr>
      <w:r w:rsidRPr="00CD7965">
        <w:rPr>
          <w:b/>
          <w:bCs/>
          <w:sz w:val="32"/>
          <w:szCs w:val="32"/>
          <w:rtl/>
        </w:rPr>
        <w:t>بسم الله الرحمن الرحيم</w:t>
      </w:r>
    </w:p>
    <w:p w14:paraId="00B4E0F6" w14:textId="77777777" w:rsidR="00CD7965" w:rsidRPr="00CD7965" w:rsidRDefault="00CD7965" w:rsidP="00CD7965">
      <w:pPr>
        <w:bidi/>
        <w:rPr>
          <w:b/>
          <w:bCs/>
          <w:sz w:val="32"/>
          <w:szCs w:val="32"/>
          <w:rtl/>
        </w:rPr>
      </w:pPr>
      <w:r w:rsidRPr="00CD7965">
        <w:rPr>
          <w:b/>
          <w:bCs/>
          <w:sz w:val="32"/>
          <w:szCs w:val="32"/>
          <w:rtl/>
        </w:rPr>
        <w:lastRenderedPageBreak/>
        <w:t>والصلاة والسلام على أشرف الأنبياء والمرسلين، محمد وآله الطيبين الطاهرين</w:t>
      </w:r>
    </w:p>
    <w:p w14:paraId="3626F411" w14:textId="77777777" w:rsidR="00CD7965" w:rsidRPr="00CD7965" w:rsidRDefault="00CD7965" w:rsidP="00CD7965">
      <w:pPr>
        <w:bidi/>
        <w:rPr>
          <w:sz w:val="32"/>
          <w:szCs w:val="32"/>
          <w:rtl/>
        </w:rPr>
      </w:pPr>
      <w:r w:rsidRPr="00CD7965">
        <w:rPr>
          <w:b/>
          <w:bCs/>
          <w:sz w:val="32"/>
          <w:szCs w:val="32"/>
          <w:rtl/>
        </w:rPr>
        <w:t>واللعن الدائم على أعدائهم أجمعين إلى قيام يوم الدين</w:t>
      </w:r>
    </w:p>
    <w:p w14:paraId="0F6DFA96" w14:textId="77777777" w:rsidR="00CD7965" w:rsidRPr="00CD7965" w:rsidRDefault="00CD7965" w:rsidP="00CD7965">
      <w:pPr>
        <w:bidi/>
        <w:rPr>
          <w:sz w:val="32"/>
          <w:szCs w:val="32"/>
          <w:rtl/>
        </w:rPr>
      </w:pPr>
    </w:p>
    <w:p w14:paraId="0932F33C" w14:textId="77777777" w:rsidR="00CD7965" w:rsidRPr="00CD7965" w:rsidRDefault="00CD7965" w:rsidP="00CD7965">
      <w:pPr>
        <w:bidi/>
        <w:rPr>
          <w:b/>
          <w:bCs/>
          <w:sz w:val="32"/>
          <w:szCs w:val="32"/>
          <w:rtl/>
        </w:rPr>
      </w:pPr>
      <w:r w:rsidRPr="00CD7965">
        <w:rPr>
          <w:b/>
          <w:bCs/>
          <w:sz w:val="32"/>
          <w:szCs w:val="32"/>
          <w:rtl/>
        </w:rPr>
        <w:t>وقد تلخّص:</w:t>
      </w:r>
    </w:p>
    <w:p w14:paraId="02A9F4C1" w14:textId="77777777" w:rsidR="00CD7965" w:rsidRPr="00CD7965" w:rsidRDefault="00CD7965" w:rsidP="00CD7965">
      <w:pPr>
        <w:bidi/>
        <w:rPr>
          <w:sz w:val="32"/>
          <w:szCs w:val="32"/>
          <w:rtl/>
        </w:rPr>
      </w:pPr>
      <w:r w:rsidRPr="00CD7965">
        <w:rPr>
          <w:sz w:val="32"/>
          <w:szCs w:val="32"/>
          <w:rtl/>
        </w:rPr>
        <w:t>أنّ الصحيح في النحوين الرابع والخامس هو القولُ بالبطلان، وإنّما الفارق بينهما في ضمان أُجرة المثل وعدمه</w:t>
      </w:r>
      <w:r w:rsidRPr="00CD7965">
        <w:rPr>
          <w:sz w:val="32"/>
          <w:szCs w:val="32"/>
        </w:rPr>
        <w:t>.</w:t>
      </w:r>
    </w:p>
    <w:p w14:paraId="4D1F4D2E" w14:textId="77777777" w:rsidR="00CD7965" w:rsidRPr="00CD7965" w:rsidRDefault="00CD7965" w:rsidP="00CD7965">
      <w:pPr>
        <w:bidi/>
        <w:rPr>
          <w:sz w:val="32"/>
          <w:szCs w:val="32"/>
          <w:rtl/>
        </w:rPr>
      </w:pPr>
      <w:r w:rsidRPr="00CD7965">
        <w:rPr>
          <w:b/>
          <w:bCs/>
          <w:sz w:val="32"/>
          <w:szCs w:val="32"/>
          <w:rtl/>
        </w:rPr>
        <w:t>ففي النحو الرابع،</w:t>
      </w:r>
      <w:r w:rsidRPr="00CD7965">
        <w:rPr>
          <w:sz w:val="32"/>
          <w:szCs w:val="32"/>
          <w:rtl/>
        </w:rPr>
        <w:t xml:space="preserve"> حيثُ إنّ العمل المأتي بِهِ ذو ماليةٍ، كما لو استؤجر الخياط على خياطة القباء بكيفية معينّة فأتى بِهِ بكيفية أُخرى لعجزه عن الكيفية الأُولى فإنّ عقد الإجارة يبطلُ بلحاظ انتفاء متعلّقه وعدم القُدرة على تداركه، ولكن يضمنُ المُستأجر للأجير قيمة عمله لأنّه عملٌ ذو ماليةٍ</w:t>
      </w:r>
      <w:r w:rsidRPr="00CD7965">
        <w:rPr>
          <w:sz w:val="32"/>
          <w:szCs w:val="32"/>
        </w:rPr>
        <w:t>.</w:t>
      </w:r>
    </w:p>
    <w:p w14:paraId="44E0B8FA" w14:textId="77777777" w:rsidR="00CD7965" w:rsidRPr="00CD7965" w:rsidRDefault="00CD7965" w:rsidP="00CD7965">
      <w:pPr>
        <w:bidi/>
        <w:rPr>
          <w:sz w:val="32"/>
          <w:szCs w:val="32"/>
          <w:rtl/>
        </w:rPr>
      </w:pPr>
      <w:r w:rsidRPr="00CD7965">
        <w:rPr>
          <w:b/>
          <w:bCs/>
          <w:sz w:val="32"/>
          <w:szCs w:val="32"/>
          <w:rtl/>
        </w:rPr>
        <w:t xml:space="preserve">بينما في النحو الخامس، </w:t>
      </w:r>
      <w:r w:rsidRPr="00CD7965">
        <w:rPr>
          <w:sz w:val="32"/>
          <w:szCs w:val="32"/>
          <w:rtl/>
        </w:rPr>
        <w:t>كما إذا استؤجر الطبيب للعملية الجراحية فعجزَ في الأثناء عن الإتمام، فبما أنّ العمل المأتي بِهِ مما لا مالية لَهُ فيبطلُ العقد ولا ضمان لأُجرة المثل لما أُتي بِهِ</w:t>
      </w:r>
      <w:r w:rsidRPr="00CD7965">
        <w:rPr>
          <w:sz w:val="32"/>
          <w:szCs w:val="32"/>
        </w:rPr>
        <w:t>.</w:t>
      </w:r>
    </w:p>
    <w:p w14:paraId="7C252270" w14:textId="77777777" w:rsidR="00CD7965" w:rsidRPr="00CD7965" w:rsidRDefault="00CD7965" w:rsidP="00CD7965">
      <w:pPr>
        <w:bidi/>
        <w:rPr>
          <w:b/>
          <w:bCs/>
          <w:sz w:val="32"/>
          <w:szCs w:val="32"/>
          <w:rtl/>
        </w:rPr>
      </w:pPr>
      <w:r w:rsidRPr="00CD7965">
        <w:rPr>
          <w:b/>
          <w:bCs/>
          <w:sz w:val="32"/>
          <w:szCs w:val="32"/>
          <w:rtl/>
        </w:rPr>
        <w:t>وبَعْدَ وضوح حكم الأنحاء الخمسة لتبعّض عمل الأجير، يقعُ البحث في تحديد النحو الذي يمكن أنْ يكون موضوعاً لخيار تبعّض الصفقة مِن بين هذه الأنحاء الخمسة؟</w:t>
      </w:r>
    </w:p>
    <w:p w14:paraId="37A717CD" w14:textId="77777777" w:rsidR="00CD7965" w:rsidRPr="00CD7965" w:rsidRDefault="00CD7965" w:rsidP="00CD7965">
      <w:pPr>
        <w:bidi/>
        <w:rPr>
          <w:sz w:val="32"/>
          <w:szCs w:val="32"/>
          <w:rtl/>
        </w:rPr>
      </w:pPr>
      <w:r w:rsidRPr="00CD7965">
        <w:rPr>
          <w:b/>
          <w:bCs/>
          <w:sz w:val="32"/>
          <w:szCs w:val="32"/>
          <w:rtl/>
        </w:rPr>
        <w:t>والصحيح:</w:t>
      </w:r>
      <w:r w:rsidRPr="00CD7965">
        <w:rPr>
          <w:sz w:val="32"/>
          <w:szCs w:val="32"/>
          <w:rtl/>
        </w:rPr>
        <w:t xml:space="preserve"> أنّ ما يمكن أنْ يكون موضوعاً لخيار تبعّض الصفقة هو النحو الثالث</w:t>
      </w:r>
      <w:r w:rsidRPr="00CD7965">
        <w:rPr>
          <w:sz w:val="32"/>
          <w:szCs w:val="32"/>
        </w:rPr>
        <w:t>.</w:t>
      </w:r>
    </w:p>
    <w:p w14:paraId="2048E9B8" w14:textId="77777777" w:rsidR="00CD7965" w:rsidRPr="00CD7965" w:rsidRDefault="00CD7965" w:rsidP="00CD7965">
      <w:pPr>
        <w:bidi/>
        <w:rPr>
          <w:sz w:val="32"/>
          <w:szCs w:val="32"/>
          <w:rtl/>
        </w:rPr>
      </w:pPr>
      <w:r w:rsidRPr="00CD7965">
        <w:rPr>
          <w:sz w:val="32"/>
          <w:szCs w:val="32"/>
          <w:rtl/>
        </w:rPr>
        <w:t>وهو ما إذا كان متعلّق الإجارة عملين لكُلٍّ منهما منفعةٌ في حدّ ذاته، ولكن العرف يُنظر إليهما في مقام الإجارة كعملٍ واحدٍ، ولذلك جرت العادة على استئجار أجيرٍ واحدٍ لهما، كما في المثال المذكور سابقاً وهو استئجار الخياط لخياطة القباء وبطانته -فإن المتعارفُ استئجارُ خياطٍ واحدٍ وإنْ كانا عملين مستقلين لكُلٍّ منهما منفعة- أو استئجار الطبيب للعملية الجراحية ولوازمها، مع أنّهما عملان لكن المتعارف أنْ يُنظر لهما كعملٍ واحدٍ، ولذا جرت العادة على استئجار أجيرٍ واحدٍ لإنجازهما</w:t>
      </w:r>
      <w:r w:rsidRPr="00CD7965">
        <w:rPr>
          <w:sz w:val="32"/>
          <w:szCs w:val="32"/>
        </w:rPr>
        <w:t>.</w:t>
      </w:r>
    </w:p>
    <w:p w14:paraId="283AEDF2" w14:textId="77777777" w:rsidR="00CD7965" w:rsidRPr="00CD7965" w:rsidRDefault="00CD7965" w:rsidP="00CD7965">
      <w:pPr>
        <w:bidi/>
        <w:rPr>
          <w:b/>
          <w:bCs/>
          <w:sz w:val="32"/>
          <w:szCs w:val="32"/>
          <w:rtl/>
        </w:rPr>
      </w:pPr>
      <w:r w:rsidRPr="00CD7965">
        <w:rPr>
          <w:b/>
          <w:bCs/>
          <w:sz w:val="32"/>
          <w:szCs w:val="32"/>
          <w:rtl/>
        </w:rPr>
        <w:t>ففي هذا النحو لو فُرض عجزُ الأجير عن القيام بالعمل الثاني، فهنا صورتان</w:t>
      </w:r>
      <w:r w:rsidRPr="00CD7965">
        <w:rPr>
          <w:b/>
          <w:bCs/>
          <w:sz w:val="32"/>
          <w:szCs w:val="32"/>
        </w:rPr>
        <w:t>:</w:t>
      </w:r>
    </w:p>
    <w:p w14:paraId="77C715EE" w14:textId="77777777" w:rsidR="00CD7965" w:rsidRPr="00CD7965" w:rsidRDefault="00CD7965" w:rsidP="00CD7965">
      <w:pPr>
        <w:bidi/>
        <w:rPr>
          <w:sz w:val="32"/>
          <w:szCs w:val="32"/>
          <w:rtl/>
        </w:rPr>
      </w:pPr>
      <w:r w:rsidRPr="00CD7965">
        <w:rPr>
          <w:b/>
          <w:bCs/>
          <w:sz w:val="32"/>
          <w:szCs w:val="32"/>
          <w:rtl/>
        </w:rPr>
        <w:t>الصورةُ الأُولى:</w:t>
      </w:r>
      <w:r w:rsidRPr="00CD7965">
        <w:rPr>
          <w:sz w:val="32"/>
          <w:szCs w:val="32"/>
          <w:rtl/>
        </w:rPr>
        <w:t xml:space="preserve"> أنْ يكون العملُ غير مقدورٍ للأجير مِن الأصل -لا أنّه عجز بَعْدَ الشروع-.</w:t>
      </w:r>
    </w:p>
    <w:p w14:paraId="2BA1546E" w14:textId="77777777" w:rsidR="00CD7965" w:rsidRPr="00CD7965" w:rsidRDefault="00CD7965" w:rsidP="00CD7965">
      <w:pPr>
        <w:bidi/>
        <w:rPr>
          <w:sz w:val="32"/>
          <w:szCs w:val="32"/>
          <w:rtl/>
        </w:rPr>
      </w:pPr>
      <w:r w:rsidRPr="00CD7965">
        <w:rPr>
          <w:sz w:val="32"/>
          <w:szCs w:val="32"/>
          <w:rtl/>
        </w:rPr>
        <w:lastRenderedPageBreak/>
        <w:t>كما لو كان الأجير غير عارفٍ بخياطة البطانة أصلاً، أو أنّ الطبيب ليس لديه خبرة بلوازم العمليات، وحيثُ لا يُعقل مِن الأجير تمليك ما هو غيرُ مقدورٍ بالنسبةِ إليه، فالإجارة بالنسبةِ للعمل الثاني تكونُ باطلةً؛ لكونها بلا محل، ومقتضى ذلك تبعّض المِلك على المستأجر؛ فتصحّ الإجارةُ في العمل الأوّل دون الثاني.</w:t>
      </w:r>
    </w:p>
    <w:p w14:paraId="6730DB4C" w14:textId="77777777" w:rsidR="00CD7965" w:rsidRPr="00CD7965" w:rsidRDefault="00CD7965" w:rsidP="00CD7965">
      <w:pPr>
        <w:bidi/>
        <w:rPr>
          <w:sz w:val="32"/>
          <w:szCs w:val="32"/>
          <w:rtl/>
        </w:rPr>
      </w:pPr>
      <w:r w:rsidRPr="00CD7965">
        <w:rPr>
          <w:sz w:val="32"/>
          <w:szCs w:val="32"/>
          <w:rtl/>
        </w:rPr>
        <w:t>فإنْ عُلم بعجزه عن العمل الثاني قَبل الشروع، فلا ريبَ في ثبوت خيار تبعّض الصفقة للمستأجر؛ حيث استأجره على العملين ثمّ تبيّن عجزه عن الثاني، فيثبتُ الخيار للمستأجر</w:t>
      </w:r>
      <w:r w:rsidRPr="00CD7965">
        <w:rPr>
          <w:sz w:val="32"/>
          <w:szCs w:val="32"/>
        </w:rPr>
        <w:t>.</w:t>
      </w:r>
    </w:p>
    <w:p w14:paraId="5859DC8F" w14:textId="77777777" w:rsidR="00CD7965" w:rsidRPr="00CD7965" w:rsidRDefault="00CD7965" w:rsidP="00CD7965">
      <w:pPr>
        <w:bidi/>
        <w:rPr>
          <w:b/>
          <w:bCs/>
          <w:sz w:val="32"/>
          <w:szCs w:val="32"/>
          <w:rtl/>
        </w:rPr>
      </w:pPr>
      <w:r w:rsidRPr="00CD7965">
        <w:rPr>
          <w:b/>
          <w:bCs/>
          <w:sz w:val="32"/>
          <w:szCs w:val="32"/>
          <w:rtl/>
        </w:rPr>
        <w:t>وإنْ ظهرَ العجزُ بَعْدَ أنْ شرع، فهنا فرضان</w:t>
      </w:r>
      <w:r w:rsidRPr="00CD7965">
        <w:rPr>
          <w:b/>
          <w:bCs/>
          <w:sz w:val="32"/>
          <w:szCs w:val="32"/>
        </w:rPr>
        <w:t>:</w:t>
      </w:r>
    </w:p>
    <w:p w14:paraId="0A6F2DA6" w14:textId="77777777" w:rsidR="00CD7965" w:rsidRPr="00CD7965" w:rsidRDefault="00CD7965" w:rsidP="00CD7965">
      <w:pPr>
        <w:bidi/>
        <w:rPr>
          <w:sz w:val="32"/>
          <w:szCs w:val="32"/>
          <w:rtl/>
        </w:rPr>
      </w:pPr>
      <w:r w:rsidRPr="00CD7965">
        <w:rPr>
          <w:b/>
          <w:bCs/>
          <w:sz w:val="32"/>
          <w:szCs w:val="32"/>
          <w:rtl/>
        </w:rPr>
        <w:t>الفرضُ الأوّل:</w:t>
      </w:r>
      <w:r w:rsidRPr="00CD7965">
        <w:rPr>
          <w:sz w:val="32"/>
          <w:szCs w:val="32"/>
          <w:rtl/>
        </w:rPr>
        <w:t xml:space="preserve"> أنْ يكون متعلّق الإجارة تمليك مجموع العملين مِن قِبل الأجير للمُستأجر على نحو وحدة المطلوب فإذا ظهرَ عجزُ الأجير عن العمل الثاني بطلت الإجارة؛ لتخلف مقتضى العقد؛ إذ لو صحّتْ لكان المقام مِن قبيل "ما قُصد لم يقع"، ويضمن المُستأجر للأجير أُجرة المِثل لما أتى بِهِ؛ لأنّه عملٌ ذو ماليةٍ أتى بِهِ لا على سبيل التبرع والمجانية</w:t>
      </w:r>
      <w:r w:rsidRPr="00CD7965">
        <w:rPr>
          <w:sz w:val="32"/>
          <w:szCs w:val="32"/>
        </w:rPr>
        <w:t>.</w:t>
      </w:r>
    </w:p>
    <w:p w14:paraId="6636E8A8" w14:textId="77777777" w:rsidR="00CD7965" w:rsidRPr="00CD7965" w:rsidRDefault="00CD7965" w:rsidP="00CD7965">
      <w:pPr>
        <w:bidi/>
        <w:rPr>
          <w:sz w:val="32"/>
          <w:szCs w:val="32"/>
          <w:rtl/>
        </w:rPr>
      </w:pPr>
      <w:r w:rsidRPr="00CD7965">
        <w:rPr>
          <w:b/>
          <w:bCs/>
          <w:sz w:val="32"/>
          <w:szCs w:val="32"/>
          <w:rtl/>
        </w:rPr>
        <w:t xml:space="preserve">الفرضُ الثاني: </w:t>
      </w:r>
      <w:r w:rsidRPr="00CD7965">
        <w:rPr>
          <w:sz w:val="32"/>
          <w:szCs w:val="32"/>
          <w:rtl/>
        </w:rPr>
        <w:t>أنْ يكون مضمونُ الإجارة تمليك العملين مِن قِبل الأجير للمُستأجر في صفقةٍ واحدةٍ ولَمْ يؤخذ على نحو وحدة المطلوب، وهو المنظورُ عادةً في العملين المستقلين في ذاتهما وإنّما جرت العادة على الجمع بينهما في استئجار أجيرٍ واحدٍ، وثبوتُ خيار تبعّض الصفقة هنا يبتني على التفصيل السابق في مِلاك خيار تبعّض الصفقة</w:t>
      </w:r>
      <w:r w:rsidRPr="00CD7965">
        <w:rPr>
          <w:sz w:val="32"/>
          <w:szCs w:val="32"/>
        </w:rPr>
        <w:t>.</w:t>
      </w:r>
    </w:p>
    <w:p w14:paraId="63886D70" w14:textId="77777777" w:rsidR="00CD7965" w:rsidRPr="00CD7965" w:rsidRDefault="00CD7965" w:rsidP="00CD7965">
      <w:pPr>
        <w:bidi/>
        <w:rPr>
          <w:sz w:val="32"/>
          <w:szCs w:val="32"/>
          <w:rtl/>
        </w:rPr>
      </w:pPr>
      <w:r w:rsidRPr="00CD7965">
        <w:rPr>
          <w:sz w:val="32"/>
          <w:szCs w:val="32"/>
          <w:rtl/>
        </w:rPr>
        <w:t>فإنّه إذا كان لزوم العقد على المُستأجر في الجزء الذي تمّ إنجازه ضرراً على المُستأجر ثبتَ الخيار مِن باب قاعدة "لا ضرر"، أو كان موجباً لفوت غرضٍ نوعي مقصودٍ بالمعاملة فلَهُ أيضاً الخيار مِن باب تخلف الشرط الارتكازي، وإلّا فإنّ الإجارة صحيحة فيما أتى بِهِ وتُقسط الأُجرة على العملين فيُعطى مقابل ما أتى بِهِ مِن الأُجرة المُسمّاة بنسبة ما أنجز</w:t>
      </w:r>
      <w:r w:rsidRPr="00CD7965">
        <w:rPr>
          <w:sz w:val="32"/>
          <w:szCs w:val="32"/>
        </w:rPr>
        <w:t>.</w:t>
      </w:r>
    </w:p>
    <w:p w14:paraId="03DB5DEC" w14:textId="77777777" w:rsidR="00CD7965" w:rsidRPr="00CD7965" w:rsidRDefault="00CD7965" w:rsidP="00CD7965">
      <w:pPr>
        <w:bidi/>
        <w:rPr>
          <w:sz w:val="32"/>
          <w:szCs w:val="32"/>
          <w:rtl/>
        </w:rPr>
      </w:pPr>
      <w:r w:rsidRPr="00CD7965">
        <w:rPr>
          <w:b/>
          <w:bCs/>
          <w:sz w:val="32"/>
          <w:szCs w:val="32"/>
          <w:rtl/>
        </w:rPr>
        <w:t>الصورةُ الثانية:</w:t>
      </w:r>
      <w:r w:rsidRPr="00CD7965">
        <w:rPr>
          <w:sz w:val="32"/>
          <w:szCs w:val="32"/>
          <w:rtl/>
        </w:rPr>
        <w:t xml:space="preserve"> أنْ يطرأ عليه العجزُ بَعْدَ إنجاز العمل الأوّل</w:t>
      </w:r>
      <w:r w:rsidRPr="00CD7965">
        <w:rPr>
          <w:sz w:val="32"/>
          <w:szCs w:val="32"/>
        </w:rPr>
        <w:t>.</w:t>
      </w:r>
    </w:p>
    <w:p w14:paraId="11AEE05B" w14:textId="77777777" w:rsidR="00CD7965" w:rsidRPr="00CD7965" w:rsidRDefault="00CD7965" w:rsidP="00CD7965">
      <w:pPr>
        <w:bidi/>
        <w:rPr>
          <w:sz w:val="32"/>
          <w:szCs w:val="32"/>
          <w:rtl/>
        </w:rPr>
      </w:pPr>
      <w:r w:rsidRPr="00CD7965">
        <w:rPr>
          <w:sz w:val="32"/>
          <w:szCs w:val="32"/>
          <w:rtl/>
        </w:rPr>
        <w:t>كما في الطبيب الذي استؤجر لعمليةٍ جراحيةٍ طويلةٍ، ثمّ عجز عن الإتمام بَعْدَ مضيّ وقتٍ مِن العملية.</w:t>
      </w:r>
    </w:p>
    <w:p w14:paraId="7CE1D0AE" w14:textId="77777777" w:rsidR="00CD7965" w:rsidRPr="00CD7965" w:rsidRDefault="00CD7965" w:rsidP="00CD7965">
      <w:pPr>
        <w:bidi/>
        <w:rPr>
          <w:sz w:val="32"/>
          <w:szCs w:val="32"/>
          <w:rtl/>
        </w:rPr>
      </w:pPr>
      <w:r w:rsidRPr="00CD7965">
        <w:rPr>
          <w:b/>
          <w:bCs/>
          <w:sz w:val="32"/>
          <w:szCs w:val="32"/>
          <w:rtl/>
        </w:rPr>
        <w:t>فقد يُقال:</w:t>
      </w:r>
      <w:r w:rsidRPr="00CD7965">
        <w:rPr>
          <w:sz w:val="32"/>
          <w:szCs w:val="32"/>
          <w:rtl/>
        </w:rPr>
        <w:t xml:space="preserve"> إنّه يثبتُ للمُستأجر الخيار، لا مِن باب خيار تبعّض الصفقة، بل مِن باب تخلف شرط التسليم؛ حيثُ يشترطُ في لزوم العقد تسليم العمل المُستأجَر عليه.</w:t>
      </w:r>
    </w:p>
    <w:p w14:paraId="7E0FAA4E" w14:textId="77777777" w:rsidR="00CD7965" w:rsidRPr="00CD7965" w:rsidRDefault="00CD7965" w:rsidP="00CD7965">
      <w:pPr>
        <w:bidi/>
        <w:rPr>
          <w:sz w:val="32"/>
          <w:szCs w:val="32"/>
          <w:rtl/>
        </w:rPr>
      </w:pPr>
      <w:r w:rsidRPr="00CD7965">
        <w:rPr>
          <w:b/>
          <w:bCs/>
          <w:sz w:val="32"/>
          <w:szCs w:val="32"/>
          <w:rtl/>
        </w:rPr>
        <w:t>وقد ُيقال:</w:t>
      </w:r>
      <w:r w:rsidRPr="00CD7965">
        <w:rPr>
          <w:sz w:val="32"/>
          <w:szCs w:val="32"/>
          <w:rtl/>
        </w:rPr>
        <w:t xml:space="preserve"> بالبطلان </w:t>
      </w:r>
      <w:proofErr w:type="gramStart"/>
      <w:r w:rsidRPr="00CD7965">
        <w:rPr>
          <w:sz w:val="32"/>
          <w:szCs w:val="32"/>
          <w:rtl/>
        </w:rPr>
        <w:t>في ما</w:t>
      </w:r>
      <w:proofErr w:type="gramEnd"/>
      <w:r w:rsidRPr="00CD7965">
        <w:rPr>
          <w:sz w:val="32"/>
          <w:szCs w:val="32"/>
          <w:rtl/>
        </w:rPr>
        <w:t xml:space="preserve"> عجز عنه؛ لانتفاء الغرض النوعي منه.</w:t>
      </w:r>
    </w:p>
    <w:p w14:paraId="3A055F5B" w14:textId="77777777" w:rsidR="00CD7965" w:rsidRPr="00CD7965" w:rsidRDefault="00CD7965" w:rsidP="00CD7965">
      <w:pPr>
        <w:bidi/>
        <w:rPr>
          <w:sz w:val="32"/>
          <w:szCs w:val="32"/>
          <w:rtl/>
        </w:rPr>
      </w:pPr>
    </w:p>
    <w:p w14:paraId="7B280AFC" w14:textId="77777777" w:rsidR="00CD7965" w:rsidRPr="00CD7965" w:rsidRDefault="00CD7965" w:rsidP="00CD7965">
      <w:pPr>
        <w:bidi/>
        <w:rPr>
          <w:b/>
          <w:bCs/>
          <w:sz w:val="32"/>
          <w:szCs w:val="32"/>
          <w:rtl/>
        </w:rPr>
      </w:pPr>
      <w:r w:rsidRPr="00CD7965">
        <w:rPr>
          <w:b/>
          <w:bCs/>
          <w:sz w:val="32"/>
          <w:szCs w:val="32"/>
          <w:rtl/>
        </w:rPr>
        <w:lastRenderedPageBreak/>
        <w:t>والحمد لله رب العالمين</w:t>
      </w:r>
    </w:p>
    <w:p w14:paraId="3E18CFC1" w14:textId="3CE1E415" w:rsidR="00CD7965" w:rsidRDefault="008C5B8F" w:rsidP="008C5B8F">
      <w:pPr>
        <w:pStyle w:val="Heading3"/>
        <w:bidi/>
        <w:rPr>
          <w:sz w:val="32"/>
          <w:szCs w:val="32"/>
          <w:rtl/>
        </w:rPr>
      </w:pPr>
      <w:r>
        <w:rPr>
          <w:rFonts w:hint="cs"/>
          <w:sz w:val="32"/>
          <w:szCs w:val="32"/>
          <w:rtl/>
        </w:rPr>
        <w:t>340</w:t>
      </w:r>
    </w:p>
    <w:p w14:paraId="33CDAC67" w14:textId="77777777" w:rsidR="008C5B8F" w:rsidRPr="008C5B8F" w:rsidRDefault="008C5B8F" w:rsidP="008C5B8F">
      <w:pPr>
        <w:bidi/>
        <w:rPr>
          <w:b/>
          <w:bCs/>
          <w:sz w:val="32"/>
          <w:szCs w:val="32"/>
        </w:rPr>
      </w:pPr>
      <w:r w:rsidRPr="008C5B8F">
        <w:rPr>
          <w:b/>
          <w:bCs/>
          <w:sz w:val="32"/>
          <w:szCs w:val="32"/>
          <w:rtl/>
        </w:rPr>
        <w:t>بسم الله الرحمن الرحيم</w:t>
      </w:r>
    </w:p>
    <w:p w14:paraId="745BAE2D" w14:textId="77777777" w:rsidR="008C5B8F" w:rsidRPr="008C5B8F" w:rsidRDefault="008C5B8F" w:rsidP="008C5B8F">
      <w:pPr>
        <w:bidi/>
        <w:rPr>
          <w:b/>
          <w:bCs/>
          <w:sz w:val="32"/>
          <w:szCs w:val="32"/>
          <w:rtl/>
        </w:rPr>
      </w:pPr>
      <w:r w:rsidRPr="008C5B8F">
        <w:rPr>
          <w:b/>
          <w:bCs/>
          <w:sz w:val="32"/>
          <w:szCs w:val="32"/>
          <w:rtl/>
        </w:rPr>
        <w:t>والصلاة والسلام على أشرف الأنبياء والمرسلين، محمد وآله الطيبين الطاهرين</w:t>
      </w:r>
    </w:p>
    <w:p w14:paraId="7C35EE7A" w14:textId="77777777" w:rsidR="008C5B8F" w:rsidRPr="008C5B8F" w:rsidRDefault="008C5B8F" w:rsidP="008C5B8F">
      <w:pPr>
        <w:bidi/>
        <w:rPr>
          <w:sz w:val="32"/>
          <w:szCs w:val="32"/>
          <w:rtl/>
        </w:rPr>
      </w:pPr>
      <w:r w:rsidRPr="008C5B8F">
        <w:rPr>
          <w:b/>
          <w:bCs/>
          <w:sz w:val="32"/>
          <w:szCs w:val="32"/>
          <w:rtl/>
        </w:rPr>
        <w:t>واللعن الدائم على أعدائهم أجمعين إلى قيام يوم الدين</w:t>
      </w:r>
    </w:p>
    <w:p w14:paraId="3C0AC185" w14:textId="77777777" w:rsidR="008C5B8F" w:rsidRPr="008C5B8F" w:rsidRDefault="008C5B8F" w:rsidP="008C5B8F">
      <w:pPr>
        <w:bidi/>
        <w:rPr>
          <w:sz w:val="32"/>
          <w:szCs w:val="32"/>
          <w:rtl/>
        </w:rPr>
      </w:pPr>
    </w:p>
    <w:p w14:paraId="03AEE742" w14:textId="77777777" w:rsidR="008C5B8F" w:rsidRPr="008C5B8F" w:rsidRDefault="008C5B8F" w:rsidP="008C5B8F">
      <w:pPr>
        <w:pStyle w:val="Heading3"/>
        <w:bidi/>
        <w:rPr>
          <w:b/>
          <w:bCs/>
          <w:sz w:val="32"/>
          <w:szCs w:val="32"/>
          <w:rtl/>
        </w:rPr>
      </w:pPr>
      <w:r w:rsidRPr="008C5B8F">
        <w:rPr>
          <w:b/>
          <w:bCs/>
          <w:sz w:val="32"/>
          <w:szCs w:val="32"/>
          <w:rtl/>
        </w:rPr>
        <w:t>المسألة الخامسة "من فصل أحكام العوضين".</w:t>
      </w:r>
    </w:p>
    <w:p w14:paraId="67EA7D94" w14:textId="77777777" w:rsidR="008C5B8F" w:rsidRPr="008C5B8F" w:rsidRDefault="008C5B8F" w:rsidP="008C5B8F">
      <w:pPr>
        <w:bidi/>
        <w:rPr>
          <w:sz w:val="32"/>
          <w:szCs w:val="32"/>
          <w:rtl/>
        </w:rPr>
      </w:pPr>
      <w:r w:rsidRPr="008C5B8F">
        <w:rPr>
          <w:sz w:val="32"/>
          <w:szCs w:val="32"/>
          <w:rtl/>
        </w:rPr>
        <w:t xml:space="preserve">قال سيد العروة (قدس سره الشريف): </w:t>
      </w:r>
      <w:r w:rsidRPr="008C5B8F">
        <w:rPr>
          <w:b/>
          <w:bCs/>
          <w:sz w:val="32"/>
          <w:szCs w:val="32"/>
          <w:rtl/>
        </w:rPr>
        <w:t>(مسألة 5: إذا حصل الفسخ في أثناء المدّة بأحد أسبابه تثبت الاُجرة المسمّاة بالنسبة إلى ما مضى ويرجع منها بالنسبة إلى ما بقي -كما ذكرنا في البطلان- على المشهور، ويحتمل قريباً أن يرجع تمام المسمّى ويكون للمؤجّر اُجرة المثل بالنسبة إلى ما مضى، لأنّ المفروض أنّه يفسخ العقد الواقع أوّلاً، ومقتضى الفسخ عود كلّ عوض إلى مالكه، بل يحتمل أن يكون الأمر كذلك في صورة البطلان أيضاً، لكنّه بعيد)</w:t>
      </w:r>
      <w:r w:rsidRPr="008C5B8F">
        <w:rPr>
          <w:b/>
          <w:bCs/>
          <w:sz w:val="32"/>
          <w:szCs w:val="32"/>
        </w:rPr>
        <w:t>.</w:t>
      </w:r>
    </w:p>
    <w:p w14:paraId="29E09638" w14:textId="77777777" w:rsidR="008C5B8F" w:rsidRPr="008C5B8F" w:rsidRDefault="008C5B8F" w:rsidP="008C5B8F">
      <w:pPr>
        <w:bidi/>
        <w:rPr>
          <w:sz w:val="32"/>
          <w:szCs w:val="32"/>
          <w:rtl/>
        </w:rPr>
      </w:pPr>
      <w:r w:rsidRPr="008C5B8F">
        <w:rPr>
          <w:b/>
          <w:bCs/>
          <w:sz w:val="32"/>
          <w:szCs w:val="32"/>
          <w:rtl/>
        </w:rPr>
        <w:t xml:space="preserve">وحاصلُ المسألة إجمالاً: </w:t>
      </w:r>
      <w:r w:rsidRPr="008C5B8F">
        <w:rPr>
          <w:sz w:val="32"/>
          <w:szCs w:val="32"/>
          <w:rtl/>
        </w:rPr>
        <w:t>أنّه إذا حصل انهدام لعقد الإجارة على العين لأحد أسباب الانهدام، كما لو انكشف أنّ بعض الدار ليس مِلكاً للمؤجّر، أو تلفت العين في بقيّة المدّة، فهل مقتضى انهدام العقد هو استرجاعُ تمام المُسمّى وضمان أُجرة المثل مقابل ما استوفاه مِن المنافع، أم أنّ مقتضى انهدام العقد تقسيط الأُجرة بحيثُ يكونُ لما استوفاه مِن المنافع قسطٌ مِن الأُجرة المُسمّاة بالنسبة، والباقي يسترجعه؟</w:t>
      </w:r>
    </w:p>
    <w:p w14:paraId="27EFBB10" w14:textId="77777777" w:rsidR="008C5B8F" w:rsidRPr="008C5B8F" w:rsidRDefault="008C5B8F" w:rsidP="008C5B8F">
      <w:pPr>
        <w:bidi/>
        <w:rPr>
          <w:sz w:val="32"/>
          <w:szCs w:val="32"/>
          <w:rtl/>
        </w:rPr>
      </w:pPr>
      <w:r w:rsidRPr="008C5B8F">
        <w:rPr>
          <w:b/>
          <w:bCs/>
          <w:sz w:val="32"/>
          <w:szCs w:val="32"/>
          <w:rtl/>
        </w:rPr>
        <w:t>وتنقيحُ النتيجة:</w:t>
      </w:r>
      <w:r w:rsidRPr="008C5B8F">
        <w:rPr>
          <w:sz w:val="32"/>
          <w:szCs w:val="32"/>
          <w:rtl/>
        </w:rPr>
        <w:t xml:space="preserve"> أنّه تارةً يتصور انهدام العقد بمعنى البطلان، وأُخرى يتصور انهدام العقد بمعنى الفسخ</w:t>
      </w:r>
      <w:r w:rsidRPr="008C5B8F">
        <w:rPr>
          <w:sz w:val="32"/>
          <w:szCs w:val="32"/>
        </w:rPr>
        <w:t>.</w:t>
      </w:r>
    </w:p>
    <w:p w14:paraId="32E80AB0" w14:textId="77777777" w:rsidR="008C5B8F" w:rsidRPr="008C5B8F" w:rsidRDefault="008C5B8F" w:rsidP="008C5B8F">
      <w:pPr>
        <w:bidi/>
        <w:rPr>
          <w:b/>
          <w:bCs/>
          <w:sz w:val="32"/>
          <w:szCs w:val="32"/>
          <w:rtl/>
        </w:rPr>
      </w:pPr>
      <w:r w:rsidRPr="008C5B8F">
        <w:rPr>
          <w:b/>
          <w:bCs/>
          <w:sz w:val="32"/>
          <w:szCs w:val="32"/>
          <w:rtl/>
        </w:rPr>
        <w:t>فهنا فرضان</w:t>
      </w:r>
      <w:r w:rsidRPr="008C5B8F">
        <w:rPr>
          <w:b/>
          <w:bCs/>
          <w:sz w:val="32"/>
          <w:szCs w:val="32"/>
        </w:rPr>
        <w:t>:</w:t>
      </w:r>
    </w:p>
    <w:p w14:paraId="0AEECC6B" w14:textId="77777777" w:rsidR="008C5B8F" w:rsidRPr="008C5B8F" w:rsidRDefault="008C5B8F" w:rsidP="008C5B8F">
      <w:pPr>
        <w:bidi/>
        <w:rPr>
          <w:b/>
          <w:bCs/>
          <w:sz w:val="32"/>
          <w:szCs w:val="32"/>
          <w:rtl/>
        </w:rPr>
      </w:pPr>
      <w:r w:rsidRPr="008C5B8F">
        <w:rPr>
          <w:b/>
          <w:bCs/>
          <w:sz w:val="32"/>
          <w:szCs w:val="32"/>
          <w:rtl/>
        </w:rPr>
        <w:t>الفرض الأوّل: أنْ يكون انهدام العقد بنحو البطلان</w:t>
      </w:r>
      <w:r w:rsidRPr="008C5B8F">
        <w:rPr>
          <w:b/>
          <w:bCs/>
          <w:sz w:val="32"/>
          <w:szCs w:val="32"/>
        </w:rPr>
        <w:t>.</w:t>
      </w:r>
    </w:p>
    <w:p w14:paraId="0624ED7B" w14:textId="77777777" w:rsidR="008C5B8F" w:rsidRPr="008C5B8F" w:rsidRDefault="008C5B8F" w:rsidP="008C5B8F">
      <w:pPr>
        <w:bidi/>
        <w:rPr>
          <w:sz w:val="32"/>
          <w:szCs w:val="32"/>
          <w:rtl/>
        </w:rPr>
      </w:pPr>
      <w:r w:rsidRPr="008C5B8F">
        <w:rPr>
          <w:b/>
          <w:bCs/>
          <w:sz w:val="32"/>
          <w:szCs w:val="32"/>
          <w:rtl/>
        </w:rPr>
        <w:t>وفي هذا الفرض قد يُقال:</w:t>
      </w:r>
      <w:r w:rsidRPr="008C5B8F">
        <w:rPr>
          <w:sz w:val="32"/>
          <w:szCs w:val="32"/>
          <w:rtl/>
        </w:rPr>
        <w:t xml:space="preserve"> إنّ أثر البطلان استرداد تمام المسمّى وضمانُ أُجرة المثل لما استوفاه مِن المنافع</w:t>
      </w:r>
      <w:r w:rsidRPr="008C5B8F">
        <w:rPr>
          <w:sz w:val="32"/>
          <w:szCs w:val="32"/>
        </w:rPr>
        <w:t>.</w:t>
      </w:r>
    </w:p>
    <w:p w14:paraId="51B73B89" w14:textId="77777777" w:rsidR="008C5B8F" w:rsidRPr="008C5B8F" w:rsidRDefault="008C5B8F" w:rsidP="008C5B8F">
      <w:pPr>
        <w:bidi/>
        <w:rPr>
          <w:sz w:val="32"/>
          <w:szCs w:val="32"/>
          <w:rtl/>
        </w:rPr>
      </w:pPr>
      <w:r w:rsidRPr="008C5B8F">
        <w:rPr>
          <w:sz w:val="32"/>
          <w:szCs w:val="32"/>
          <w:rtl/>
        </w:rPr>
        <w:t>وقد ذكر سيد العروة (قدس سره) -كما في المتن- أنّ هذا بعيدٌ، وذكر سيدنا الخوئي (قدس سره) وغيره وجه البعد</w:t>
      </w:r>
      <w:r w:rsidRPr="008C5B8F">
        <w:rPr>
          <w:sz w:val="32"/>
          <w:szCs w:val="32"/>
        </w:rPr>
        <w:t>.</w:t>
      </w:r>
    </w:p>
    <w:p w14:paraId="7D73C4EB" w14:textId="617F378F" w:rsidR="008C5B8F" w:rsidRPr="008C5B8F" w:rsidRDefault="008C5B8F" w:rsidP="008C5B8F">
      <w:pPr>
        <w:bidi/>
        <w:rPr>
          <w:sz w:val="32"/>
          <w:szCs w:val="32"/>
          <w:rtl/>
        </w:rPr>
      </w:pPr>
      <w:r w:rsidRPr="008C5B8F">
        <w:rPr>
          <w:b/>
          <w:bCs/>
          <w:sz w:val="32"/>
          <w:szCs w:val="32"/>
          <w:rtl/>
        </w:rPr>
        <w:lastRenderedPageBreak/>
        <w:t>وحاصله:</w:t>
      </w:r>
      <w:r w:rsidRPr="008C5B8F">
        <w:rPr>
          <w:sz w:val="32"/>
          <w:szCs w:val="32"/>
          <w:rtl/>
        </w:rPr>
        <w:t xml:space="preserve"> أنّ تلف بعض المعوض -كما لو تلفت العين في بقيّة المدّة أو نحو ذلك مِن أسباب الانهدام- لا يوجبُ بطلان العقد، </w:t>
      </w:r>
      <w:r w:rsidRPr="008C5B8F">
        <w:rPr>
          <w:b/>
          <w:bCs/>
          <w:sz w:val="32"/>
          <w:szCs w:val="32"/>
          <w:rtl/>
        </w:rPr>
        <w:t>بمعنى:</w:t>
      </w:r>
      <w:r w:rsidRPr="008C5B8F">
        <w:rPr>
          <w:sz w:val="32"/>
          <w:szCs w:val="32"/>
          <w:rtl/>
        </w:rPr>
        <w:t xml:space="preserve"> انهدام أصل المعاملة كأنْ لَمْ تكن، مع أنّها قد صحّتْ واستوفى جزءاً مِن المنافع </w:t>
      </w:r>
      <w:r w:rsidR="00C229C8" w:rsidRPr="008C5B8F">
        <w:rPr>
          <w:rFonts w:hint="cs"/>
          <w:sz w:val="32"/>
          <w:szCs w:val="32"/>
          <w:rtl/>
        </w:rPr>
        <w:t>فيما</w:t>
      </w:r>
      <w:r w:rsidRPr="008C5B8F">
        <w:rPr>
          <w:sz w:val="32"/>
          <w:szCs w:val="32"/>
          <w:rtl/>
        </w:rPr>
        <w:t xml:space="preserve"> مضى، بل يعني عدم إمكان ترتب الأثر بلحاظ بعض متعلّق العقد، حيثُ إنّ العقد وإنْ تعلّق بمجموع المنافع إلّا أنّه لا يتصور نفوذه بلحاظ المنافع التي تلفت لانكشاف أنّ العقد بالنسبة لها بلا محل، أو أنّه ليس مِلكاً للمؤجّر مِن الأصل، فيبقى العقد مؤثراً بلحاظ ما استوفاه مِن المنافع</w:t>
      </w:r>
      <w:r w:rsidRPr="008C5B8F">
        <w:rPr>
          <w:sz w:val="32"/>
          <w:szCs w:val="32"/>
        </w:rPr>
        <w:t>.</w:t>
      </w:r>
    </w:p>
    <w:p w14:paraId="5D565684" w14:textId="2EF97905" w:rsidR="008C5B8F" w:rsidRPr="008C5B8F" w:rsidRDefault="008C5B8F" w:rsidP="008C5B8F">
      <w:pPr>
        <w:bidi/>
        <w:rPr>
          <w:sz w:val="32"/>
          <w:szCs w:val="32"/>
          <w:rtl/>
        </w:rPr>
      </w:pPr>
      <w:r w:rsidRPr="008C5B8F">
        <w:rPr>
          <w:b/>
          <w:bCs/>
          <w:sz w:val="32"/>
          <w:szCs w:val="32"/>
          <w:rtl/>
        </w:rPr>
        <w:t>ومنشأ القول بالتبعيض</w:t>
      </w:r>
      <w:r w:rsidRPr="008C5B8F">
        <w:rPr>
          <w:sz w:val="32"/>
          <w:szCs w:val="32"/>
          <w:rtl/>
        </w:rPr>
        <w:t xml:space="preserve"> -مع أنّ الإجارة في فرض ما إذا قال المؤجّر للمُستأجر: "آجرتُكَ الدارَ شهراً" قد تعلقت بمجموع المنفعة في مدّة الشهر- هو</w:t>
      </w:r>
      <w:r w:rsidR="002F353A">
        <w:rPr>
          <w:rFonts w:hint="cs"/>
          <w:sz w:val="32"/>
          <w:szCs w:val="32"/>
          <w:rtl/>
        </w:rPr>
        <w:t xml:space="preserve"> </w:t>
      </w:r>
      <w:r w:rsidRPr="008C5B8F">
        <w:rPr>
          <w:sz w:val="32"/>
          <w:szCs w:val="32"/>
          <w:rtl/>
        </w:rPr>
        <w:t xml:space="preserve">انحلال المِلكيّة بالنظر العرفي </w:t>
      </w:r>
      <w:proofErr w:type="spellStart"/>
      <w:r w:rsidRPr="008C5B8F">
        <w:rPr>
          <w:sz w:val="32"/>
          <w:szCs w:val="32"/>
          <w:rtl/>
        </w:rPr>
        <w:t>لتمليكات</w:t>
      </w:r>
      <w:proofErr w:type="spellEnd"/>
      <w:r w:rsidRPr="008C5B8F">
        <w:rPr>
          <w:sz w:val="32"/>
          <w:szCs w:val="32"/>
          <w:rtl/>
        </w:rPr>
        <w:t xml:space="preserve"> بحسب أجزاء المعوض؛ إذ المفروض أنّ أجزاء المعوض طولية متكثرة بالزمن، وهو موجبٌ لانحلال المِلكيّة بالنظر العرفي، فقد ثبتت المِلكيّة فيما استوفاه وانكشف عدمها فيما تلف، غاية الأمر -كما ذكرنا- أنّه يثبت للمُستأجر خيار تبعّض الصفقة في فرض ترتب الضرر أو انتفاء الغرض النوعي المقصود بالمعاملة</w:t>
      </w:r>
      <w:r w:rsidRPr="008C5B8F">
        <w:rPr>
          <w:sz w:val="32"/>
          <w:szCs w:val="32"/>
        </w:rPr>
        <w:t>.</w:t>
      </w:r>
    </w:p>
    <w:p w14:paraId="5441FC90" w14:textId="77777777" w:rsidR="008C5B8F" w:rsidRPr="008C5B8F" w:rsidRDefault="008C5B8F" w:rsidP="008C5B8F">
      <w:pPr>
        <w:bidi/>
        <w:rPr>
          <w:sz w:val="32"/>
          <w:szCs w:val="32"/>
          <w:rtl/>
        </w:rPr>
      </w:pPr>
      <w:r w:rsidRPr="008C5B8F">
        <w:rPr>
          <w:b/>
          <w:bCs/>
          <w:sz w:val="32"/>
          <w:szCs w:val="32"/>
          <w:rtl/>
        </w:rPr>
        <w:t>والنتيجة:</w:t>
      </w:r>
      <w:r w:rsidRPr="008C5B8F">
        <w:rPr>
          <w:sz w:val="32"/>
          <w:szCs w:val="32"/>
          <w:rtl/>
        </w:rPr>
        <w:t xml:space="preserve"> أنّ مقتضى البطلان هو استرجاعُ البعض لانحلال المِلكيّة</w:t>
      </w:r>
      <w:r w:rsidRPr="008C5B8F">
        <w:rPr>
          <w:sz w:val="32"/>
          <w:szCs w:val="32"/>
        </w:rPr>
        <w:t>.</w:t>
      </w:r>
    </w:p>
    <w:p w14:paraId="02830EC3" w14:textId="77777777" w:rsidR="008C5B8F" w:rsidRPr="008C5B8F" w:rsidRDefault="008C5B8F" w:rsidP="008C5B8F">
      <w:pPr>
        <w:bidi/>
        <w:rPr>
          <w:sz w:val="32"/>
          <w:szCs w:val="32"/>
          <w:rtl/>
        </w:rPr>
      </w:pPr>
      <w:r w:rsidRPr="008C5B8F">
        <w:rPr>
          <w:b/>
          <w:bCs/>
          <w:sz w:val="32"/>
          <w:szCs w:val="32"/>
          <w:rtl/>
        </w:rPr>
        <w:t>الفرض الثاني: أنْ يكون انهدام العقد بنحو الفسخ.</w:t>
      </w:r>
    </w:p>
    <w:p w14:paraId="78D9F846" w14:textId="77777777" w:rsidR="008C5B8F" w:rsidRPr="008C5B8F" w:rsidRDefault="008C5B8F" w:rsidP="008C5B8F">
      <w:pPr>
        <w:bidi/>
        <w:rPr>
          <w:b/>
          <w:bCs/>
          <w:sz w:val="32"/>
          <w:szCs w:val="32"/>
          <w:rtl/>
        </w:rPr>
      </w:pPr>
      <w:r w:rsidRPr="008C5B8F">
        <w:rPr>
          <w:b/>
          <w:bCs/>
          <w:sz w:val="32"/>
          <w:szCs w:val="32"/>
          <w:rtl/>
        </w:rPr>
        <w:t>وهنا اتجاهان</w:t>
      </w:r>
      <w:r w:rsidRPr="008C5B8F">
        <w:rPr>
          <w:b/>
          <w:bCs/>
          <w:sz w:val="32"/>
          <w:szCs w:val="32"/>
        </w:rPr>
        <w:t>:</w:t>
      </w:r>
    </w:p>
    <w:p w14:paraId="5D16806E" w14:textId="77777777" w:rsidR="008C5B8F" w:rsidRPr="008C5B8F" w:rsidRDefault="008C5B8F" w:rsidP="008C5B8F">
      <w:pPr>
        <w:bidi/>
        <w:rPr>
          <w:sz w:val="32"/>
          <w:szCs w:val="32"/>
          <w:rtl/>
        </w:rPr>
      </w:pPr>
      <w:r w:rsidRPr="008C5B8F">
        <w:rPr>
          <w:b/>
          <w:bCs/>
          <w:sz w:val="32"/>
          <w:szCs w:val="32"/>
          <w:rtl/>
        </w:rPr>
        <w:t>الاتجاه الأوّل:</w:t>
      </w:r>
      <w:r w:rsidRPr="008C5B8F">
        <w:rPr>
          <w:sz w:val="32"/>
          <w:szCs w:val="32"/>
          <w:rtl/>
        </w:rPr>
        <w:t xml:space="preserve"> ما ذهب إليه المشهور مِن اقتضاء فسخ العقد لتقسيط الأُجرة -فإنّ الفسخ عندهم كالبطلان مِن حيثُ الأثر وهو: أنّه يسترد ما قابلَ ما تلف، لا أنّه يسترجع تمام المسمّى- لانتفاء المبرر لاسترجاع تمام المُسمّى</w:t>
      </w:r>
      <w:r w:rsidRPr="008C5B8F">
        <w:rPr>
          <w:sz w:val="32"/>
          <w:szCs w:val="32"/>
        </w:rPr>
        <w:t>.</w:t>
      </w:r>
    </w:p>
    <w:p w14:paraId="4349D533" w14:textId="77777777" w:rsidR="008C5B8F" w:rsidRPr="008C5B8F" w:rsidRDefault="008C5B8F" w:rsidP="008C5B8F">
      <w:pPr>
        <w:bidi/>
        <w:rPr>
          <w:b/>
          <w:bCs/>
          <w:sz w:val="32"/>
          <w:szCs w:val="32"/>
          <w:rtl/>
        </w:rPr>
      </w:pPr>
      <w:r w:rsidRPr="008C5B8F">
        <w:rPr>
          <w:b/>
          <w:bCs/>
          <w:sz w:val="32"/>
          <w:szCs w:val="32"/>
          <w:rtl/>
        </w:rPr>
        <w:t>وقد أُفيد في الاستدلال على ذلك بوجوهٍ</w:t>
      </w:r>
      <w:r w:rsidRPr="008C5B8F">
        <w:rPr>
          <w:b/>
          <w:bCs/>
          <w:sz w:val="32"/>
          <w:szCs w:val="32"/>
        </w:rPr>
        <w:t>:</w:t>
      </w:r>
    </w:p>
    <w:p w14:paraId="0284EC2F" w14:textId="77777777" w:rsidR="008C5B8F" w:rsidRPr="008C5B8F" w:rsidRDefault="008C5B8F" w:rsidP="008C5B8F">
      <w:pPr>
        <w:bidi/>
        <w:rPr>
          <w:sz w:val="32"/>
          <w:szCs w:val="32"/>
          <w:rtl/>
        </w:rPr>
      </w:pPr>
      <w:r w:rsidRPr="008C5B8F">
        <w:rPr>
          <w:b/>
          <w:bCs/>
          <w:sz w:val="32"/>
          <w:szCs w:val="32"/>
          <w:rtl/>
        </w:rPr>
        <w:t>الوجهُ الأوّل:</w:t>
      </w:r>
      <w:r w:rsidRPr="008C5B8F">
        <w:rPr>
          <w:sz w:val="32"/>
          <w:szCs w:val="32"/>
          <w:rtl/>
        </w:rPr>
        <w:t xml:space="preserve"> ما ذكره سيدنا الخوئي (قدس سره الشريف) في كتاب الإجارة مِن موسوعته المباركة</w:t>
      </w:r>
      <w:r w:rsidRPr="008C5B8F">
        <w:rPr>
          <w:sz w:val="32"/>
          <w:szCs w:val="32"/>
          <w:vertAlign w:val="superscript"/>
          <w:rtl/>
        </w:rPr>
        <w:footnoteReference w:id="263"/>
      </w:r>
      <w:r w:rsidRPr="008C5B8F">
        <w:rPr>
          <w:sz w:val="32"/>
          <w:szCs w:val="32"/>
          <w:rtl/>
        </w:rPr>
        <w:t xml:space="preserve"> بقوله: </w:t>
      </w:r>
      <w:r w:rsidRPr="008C5B8F">
        <w:rPr>
          <w:b/>
          <w:bCs/>
          <w:sz w:val="32"/>
          <w:szCs w:val="32"/>
          <w:rtl/>
        </w:rPr>
        <w:t>(هذا الحكم المنسوب إلى المشهور – أعني: الصحّة فيما مضى المستتبعة لاستحقاق المسمّى)</w:t>
      </w:r>
      <w:r w:rsidRPr="008C5B8F">
        <w:rPr>
          <w:sz w:val="32"/>
          <w:szCs w:val="32"/>
          <w:rtl/>
        </w:rPr>
        <w:t xml:space="preserve"> بقدر ما مضى </w:t>
      </w:r>
      <w:r w:rsidRPr="008C5B8F">
        <w:rPr>
          <w:b/>
          <w:bCs/>
          <w:sz w:val="32"/>
          <w:szCs w:val="32"/>
          <w:rtl/>
        </w:rPr>
        <w:t>(واختصاص الفسخ بما بقي-)</w:t>
      </w:r>
      <w:r w:rsidRPr="008C5B8F">
        <w:rPr>
          <w:sz w:val="32"/>
          <w:szCs w:val="32"/>
          <w:rtl/>
        </w:rPr>
        <w:t xml:space="preserve"> فيكونُ الفسخ </w:t>
      </w:r>
      <w:proofErr w:type="gramStart"/>
      <w:r w:rsidRPr="008C5B8F">
        <w:rPr>
          <w:sz w:val="32"/>
          <w:szCs w:val="32"/>
          <w:rtl/>
        </w:rPr>
        <w:t>كالبطلان  في</w:t>
      </w:r>
      <w:proofErr w:type="gramEnd"/>
      <w:r w:rsidRPr="008C5B8F">
        <w:rPr>
          <w:sz w:val="32"/>
          <w:szCs w:val="32"/>
          <w:rtl/>
        </w:rPr>
        <w:t xml:space="preserve"> النتيجة، هو </w:t>
      </w:r>
      <w:r w:rsidRPr="008C5B8F">
        <w:rPr>
          <w:b/>
          <w:bCs/>
          <w:sz w:val="32"/>
          <w:szCs w:val="32"/>
          <w:rtl/>
        </w:rPr>
        <w:t>(مبني على القول بأنّ الفسخ إنّما يوثّر من حينه)</w:t>
      </w:r>
      <w:r w:rsidRPr="008C5B8F">
        <w:rPr>
          <w:sz w:val="32"/>
          <w:szCs w:val="32"/>
          <w:rtl/>
        </w:rPr>
        <w:t xml:space="preserve"> لا مِن أصل العقد</w:t>
      </w:r>
      <w:r w:rsidRPr="008C5B8F">
        <w:rPr>
          <w:sz w:val="32"/>
          <w:szCs w:val="32"/>
        </w:rPr>
        <w:t>.</w:t>
      </w:r>
    </w:p>
    <w:p w14:paraId="406574B5" w14:textId="77777777" w:rsidR="008C5B8F" w:rsidRPr="008C5B8F" w:rsidRDefault="008C5B8F" w:rsidP="008C5B8F">
      <w:pPr>
        <w:bidi/>
        <w:rPr>
          <w:b/>
          <w:bCs/>
          <w:sz w:val="32"/>
          <w:szCs w:val="32"/>
          <w:rtl/>
        </w:rPr>
      </w:pPr>
      <w:r w:rsidRPr="008C5B8F">
        <w:rPr>
          <w:b/>
          <w:bCs/>
          <w:sz w:val="32"/>
          <w:szCs w:val="32"/>
          <w:rtl/>
        </w:rPr>
        <w:lastRenderedPageBreak/>
        <w:t>(وهذا وإن كان صحيحاً في الجملة، بمعنى: أنّ الانفساخ إنّما يحكم به من حين تحقّق الفسخ وإنشائه خارجاً)</w:t>
      </w:r>
      <w:r w:rsidRPr="008C5B8F">
        <w:rPr>
          <w:sz w:val="32"/>
          <w:szCs w:val="32"/>
          <w:rtl/>
        </w:rPr>
        <w:t xml:space="preserve"> إذ لا يحتمل أنْ يحكم الشارع بالانفساخ قَبل حصول الفسخ </w:t>
      </w:r>
      <w:r w:rsidRPr="008C5B8F">
        <w:rPr>
          <w:b/>
          <w:bCs/>
          <w:sz w:val="32"/>
          <w:szCs w:val="32"/>
          <w:rtl/>
        </w:rPr>
        <w:t>(فلا أثر قبل حدوثه، فإنّه سالبة بانتفاء الموضوع</w:t>
      </w:r>
      <w:r w:rsidRPr="008C5B8F">
        <w:rPr>
          <w:b/>
          <w:bCs/>
          <w:sz w:val="32"/>
          <w:szCs w:val="32"/>
        </w:rPr>
        <w:t>.</w:t>
      </w:r>
    </w:p>
    <w:p w14:paraId="0F3B0EFD" w14:textId="77777777" w:rsidR="008C5B8F" w:rsidRPr="008C5B8F" w:rsidRDefault="008C5B8F" w:rsidP="008C5B8F">
      <w:pPr>
        <w:bidi/>
        <w:rPr>
          <w:sz w:val="32"/>
          <w:szCs w:val="32"/>
          <w:rtl/>
        </w:rPr>
      </w:pPr>
      <w:r w:rsidRPr="008C5B8F">
        <w:rPr>
          <w:b/>
          <w:bCs/>
          <w:sz w:val="32"/>
          <w:szCs w:val="32"/>
          <w:rtl/>
        </w:rPr>
        <w:t xml:space="preserve">إلّا أنّ الكلام في أنّ تأثيره) </w:t>
      </w:r>
      <w:r w:rsidRPr="008C5B8F">
        <w:rPr>
          <w:sz w:val="32"/>
          <w:szCs w:val="32"/>
          <w:rtl/>
        </w:rPr>
        <w:t xml:space="preserve">أي: تأثير الفسخ </w:t>
      </w:r>
      <w:r w:rsidRPr="008C5B8F">
        <w:rPr>
          <w:b/>
          <w:bCs/>
          <w:sz w:val="32"/>
          <w:szCs w:val="32"/>
          <w:rtl/>
        </w:rPr>
        <w:t>(هل هو من الآن فيترتّب عليه انحلال العقد من حين صدور الفسخ، أو أنّه من الأصل وبدء انعقاد العقد، بحيث يفرض العقد الواقع كأنّه لم يكن ونتيجته استرجاع تمام الاُجرة المسمّاة؟)</w:t>
      </w:r>
    </w:p>
    <w:p w14:paraId="67BAB21C" w14:textId="77777777" w:rsidR="008C5B8F" w:rsidRPr="008C5B8F" w:rsidRDefault="008C5B8F" w:rsidP="008C5B8F">
      <w:pPr>
        <w:bidi/>
        <w:rPr>
          <w:sz w:val="32"/>
          <w:szCs w:val="32"/>
          <w:rtl/>
        </w:rPr>
      </w:pPr>
      <w:r w:rsidRPr="008C5B8F">
        <w:rPr>
          <w:sz w:val="32"/>
          <w:szCs w:val="32"/>
          <w:rtl/>
        </w:rPr>
        <w:t xml:space="preserve">ثمّ قال (قدس سره): </w:t>
      </w:r>
      <w:r w:rsidRPr="008C5B8F">
        <w:rPr>
          <w:b/>
          <w:bCs/>
          <w:sz w:val="32"/>
          <w:szCs w:val="32"/>
          <w:rtl/>
        </w:rPr>
        <w:t>(وهذا نظير الإجازة في العقد الفضولي)</w:t>
      </w:r>
      <w:r w:rsidRPr="008C5B8F">
        <w:rPr>
          <w:b/>
          <w:bCs/>
          <w:sz w:val="32"/>
          <w:szCs w:val="32"/>
        </w:rPr>
        <w:t>.</w:t>
      </w:r>
    </w:p>
    <w:p w14:paraId="004FD0D7" w14:textId="77777777" w:rsidR="008C5B8F" w:rsidRPr="008C5B8F" w:rsidRDefault="008C5B8F" w:rsidP="008C5B8F">
      <w:pPr>
        <w:bidi/>
        <w:rPr>
          <w:sz w:val="32"/>
          <w:szCs w:val="32"/>
          <w:rtl/>
        </w:rPr>
      </w:pPr>
      <w:r w:rsidRPr="008C5B8F">
        <w:rPr>
          <w:sz w:val="32"/>
          <w:szCs w:val="32"/>
          <w:rtl/>
        </w:rPr>
        <w:t xml:space="preserve">حيثُ إنّ هناك خلافاً في الإجازة في العقد الفضولي؛ فإنّه إذا كان العقد واقعا قَبل سنة مثلاً وقد أجازه المالكُ بعد سنة، ولَمْ يحكم الشارع بالنفوذ إلّا عند صدور </w:t>
      </w:r>
      <w:proofErr w:type="gramStart"/>
      <w:r w:rsidRPr="008C5B8F">
        <w:rPr>
          <w:sz w:val="32"/>
          <w:szCs w:val="32"/>
          <w:rtl/>
        </w:rPr>
        <w:t>الإجازة ،</w:t>
      </w:r>
      <w:proofErr w:type="gramEnd"/>
      <w:r w:rsidRPr="008C5B8F">
        <w:rPr>
          <w:sz w:val="32"/>
          <w:szCs w:val="32"/>
          <w:rtl/>
        </w:rPr>
        <w:t xml:space="preserve"> فهل أنّ أثر الإجارة تمليكُ المُشتري للمبيع مِن حين العقد أو مِن حين الإجارة؟</w:t>
      </w:r>
    </w:p>
    <w:p w14:paraId="110B7477" w14:textId="77777777" w:rsidR="008C5B8F" w:rsidRPr="008C5B8F" w:rsidRDefault="008C5B8F" w:rsidP="008C5B8F">
      <w:pPr>
        <w:bidi/>
        <w:rPr>
          <w:sz w:val="32"/>
          <w:szCs w:val="32"/>
          <w:rtl/>
        </w:rPr>
      </w:pPr>
      <w:r w:rsidRPr="008C5B8F">
        <w:rPr>
          <w:b/>
          <w:bCs/>
          <w:sz w:val="32"/>
          <w:szCs w:val="32"/>
          <w:rtl/>
        </w:rPr>
        <w:t>(فإنّ الإمضاء وإن كان متأخّراً إلّا أنّ متعلّقه هو البيع السابق)</w:t>
      </w:r>
      <w:r w:rsidRPr="008C5B8F">
        <w:rPr>
          <w:sz w:val="32"/>
          <w:szCs w:val="32"/>
          <w:rtl/>
        </w:rPr>
        <w:t xml:space="preserve"> الواقع في ظرفه، فإذا قُلنا بأنّ الإجازة ناقلة فانتقالُ المبيع لملك المُشتري مِن حين الإجازة، وإذا قُلنا بأنّها كاشفة ولو كشفاً انقلابياً -كما سيأتي- فقد دخل المبيعُ في مِلك المُشتري مِن حين العقد </w:t>
      </w:r>
      <w:r w:rsidRPr="008C5B8F">
        <w:rPr>
          <w:b/>
          <w:bCs/>
          <w:sz w:val="32"/>
          <w:szCs w:val="32"/>
          <w:rtl/>
        </w:rPr>
        <w:t>(فمن الآن يحكم بصحّة ما وقع في ظرفه، فلا جرم يترتّب الأثر عليه من الأوّل)</w:t>
      </w:r>
      <w:r w:rsidRPr="008C5B8F">
        <w:rPr>
          <w:b/>
          <w:bCs/>
          <w:sz w:val="32"/>
          <w:szCs w:val="32"/>
        </w:rPr>
        <w:t>.</w:t>
      </w:r>
    </w:p>
    <w:p w14:paraId="7F7FC116" w14:textId="77777777" w:rsidR="008C5B8F" w:rsidRPr="008C5B8F" w:rsidRDefault="008C5B8F" w:rsidP="008C5B8F">
      <w:pPr>
        <w:bidi/>
        <w:rPr>
          <w:sz w:val="32"/>
          <w:szCs w:val="32"/>
          <w:rtl/>
        </w:rPr>
      </w:pPr>
      <w:r w:rsidRPr="008C5B8F">
        <w:rPr>
          <w:b/>
          <w:bCs/>
          <w:sz w:val="32"/>
          <w:szCs w:val="32"/>
          <w:rtl/>
        </w:rPr>
        <w:t>وقد أفاد سيدنا الخوئي (قدس سره الشريف) أنّ الصحيح هو:</w:t>
      </w:r>
      <w:r w:rsidRPr="008C5B8F">
        <w:rPr>
          <w:sz w:val="32"/>
          <w:szCs w:val="32"/>
          <w:rtl/>
        </w:rPr>
        <w:t xml:space="preserve"> أنّ في المقام تفصيلاً بين الخيار الثابت بسببه كخيار الغبن وخيار العيب وخيار تبعّض الصفقة وبين الخيار المشروط الذي لا سبب لَهُ سوى اشتراط أحدهم على الآخر الخيار</w:t>
      </w:r>
      <w:r w:rsidRPr="008C5B8F">
        <w:rPr>
          <w:sz w:val="32"/>
          <w:szCs w:val="32"/>
        </w:rPr>
        <w:t>.</w:t>
      </w:r>
    </w:p>
    <w:p w14:paraId="631F589D" w14:textId="77777777" w:rsidR="008C5B8F" w:rsidRPr="008C5B8F" w:rsidRDefault="008C5B8F" w:rsidP="008C5B8F">
      <w:pPr>
        <w:bidi/>
        <w:rPr>
          <w:sz w:val="32"/>
          <w:szCs w:val="32"/>
          <w:rtl/>
        </w:rPr>
      </w:pPr>
      <w:r w:rsidRPr="008C5B8F">
        <w:rPr>
          <w:sz w:val="32"/>
          <w:szCs w:val="32"/>
          <w:rtl/>
        </w:rPr>
        <w:t>ففي القسم الأول -وهو الخيار الثابت بسببه- يكون أثر الفسخ انهدام العقد مِن أصله</w:t>
      </w:r>
      <w:r w:rsidRPr="008C5B8F">
        <w:rPr>
          <w:sz w:val="32"/>
          <w:szCs w:val="32"/>
        </w:rPr>
        <w:t>.</w:t>
      </w:r>
    </w:p>
    <w:p w14:paraId="4497798B" w14:textId="77777777" w:rsidR="008C5B8F" w:rsidRPr="008C5B8F" w:rsidRDefault="008C5B8F" w:rsidP="008C5B8F">
      <w:pPr>
        <w:bidi/>
        <w:rPr>
          <w:b/>
          <w:bCs/>
          <w:sz w:val="32"/>
          <w:szCs w:val="32"/>
          <w:rtl/>
        </w:rPr>
      </w:pPr>
      <w:r w:rsidRPr="008C5B8F">
        <w:rPr>
          <w:sz w:val="32"/>
          <w:szCs w:val="32"/>
          <w:rtl/>
        </w:rPr>
        <w:t xml:space="preserve">وهو ما أفاده (قدس سره الشريف) بقوله: </w:t>
      </w:r>
      <w:r w:rsidRPr="008C5B8F">
        <w:rPr>
          <w:b/>
          <w:bCs/>
          <w:sz w:val="32"/>
          <w:szCs w:val="32"/>
          <w:rtl/>
        </w:rPr>
        <w:t>(وهذا هو الأظهر، لما عرفت فيما مرّ من أنّ مرجع جعل الخيار إمّا مطلقاً أو مشروطاً بحصول شيء إلى أنّ التزامه)</w:t>
      </w:r>
      <w:r w:rsidRPr="008C5B8F">
        <w:rPr>
          <w:sz w:val="32"/>
          <w:szCs w:val="32"/>
          <w:rtl/>
        </w:rPr>
        <w:t xml:space="preserve"> أي: المُستأجر </w:t>
      </w:r>
      <w:r w:rsidRPr="008C5B8F">
        <w:rPr>
          <w:b/>
          <w:bCs/>
          <w:sz w:val="32"/>
          <w:szCs w:val="32"/>
          <w:rtl/>
        </w:rPr>
        <w:t>(بأصل العقد منوط ومعلّق على عدم الفسخ)</w:t>
      </w:r>
      <w:r w:rsidRPr="008C5B8F">
        <w:rPr>
          <w:sz w:val="32"/>
          <w:szCs w:val="32"/>
          <w:rtl/>
        </w:rPr>
        <w:t xml:space="preserve"> أي: معلّق على عدم حصول سببٍ للفسخ وفسخه، فالمُستأجر عندما يقول: "استأجرتُ منكَ الدار سنة" يعني: أنّ التزامه بهذا العقد معلّق على عدم حصول السببٍ والفسخ، فإذا حصلَ الفسخ فلا التزام عند المُستأجر أصلاً </w:t>
      </w:r>
      <w:r w:rsidRPr="008C5B8F">
        <w:rPr>
          <w:b/>
          <w:bCs/>
          <w:sz w:val="32"/>
          <w:szCs w:val="32"/>
          <w:rtl/>
        </w:rPr>
        <w:t>(أمّا معه)</w:t>
      </w:r>
      <w:r w:rsidRPr="008C5B8F">
        <w:rPr>
          <w:sz w:val="32"/>
          <w:szCs w:val="32"/>
          <w:rtl/>
        </w:rPr>
        <w:t xml:space="preserve"> أي: مع الفسخ </w:t>
      </w:r>
      <w:r w:rsidRPr="008C5B8F">
        <w:rPr>
          <w:b/>
          <w:bCs/>
          <w:sz w:val="32"/>
          <w:szCs w:val="32"/>
          <w:rtl/>
        </w:rPr>
        <w:t xml:space="preserve">(فلا يلتزم به من الأوّل. وعليه، فإذا فرضنا حصول سبب الفسخ وقد فسخ المستأجر خارجاً فمعناه: أنّه لم يكن ملتزماً بالعقد الموجود بينهما من لدن حدوثه. </w:t>
      </w:r>
      <w:proofErr w:type="spellStart"/>
      <w:r w:rsidRPr="008C5B8F">
        <w:rPr>
          <w:b/>
          <w:bCs/>
          <w:sz w:val="32"/>
          <w:szCs w:val="32"/>
          <w:rtl/>
        </w:rPr>
        <w:t>فالانشاء</w:t>
      </w:r>
      <w:proofErr w:type="spellEnd"/>
      <w:r w:rsidRPr="008C5B8F">
        <w:rPr>
          <w:b/>
          <w:bCs/>
          <w:sz w:val="32"/>
          <w:szCs w:val="32"/>
          <w:rtl/>
        </w:rPr>
        <w:t>)</w:t>
      </w:r>
      <w:r w:rsidRPr="008C5B8F">
        <w:rPr>
          <w:sz w:val="32"/>
          <w:szCs w:val="32"/>
          <w:rtl/>
        </w:rPr>
        <w:t xml:space="preserve"> للفسخ </w:t>
      </w:r>
      <w:r w:rsidRPr="008C5B8F">
        <w:rPr>
          <w:b/>
          <w:bCs/>
          <w:sz w:val="32"/>
          <w:szCs w:val="32"/>
          <w:rtl/>
        </w:rPr>
        <w:t xml:space="preserve">(وإن كان من الآن إلّا أنّ أثره من الأوّل، فالتأخّر إنّما هو في إنشاء الفسخ) </w:t>
      </w:r>
      <w:r w:rsidRPr="008C5B8F">
        <w:rPr>
          <w:sz w:val="32"/>
          <w:szCs w:val="32"/>
          <w:rtl/>
        </w:rPr>
        <w:t xml:space="preserve">لا في أثر المُنشأ </w:t>
      </w:r>
      <w:r w:rsidRPr="008C5B8F">
        <w:rPr>
          <w:b/>
          <w:bCs/>
          <w:sz w:val="32"/>
          <w:szCs w:val="32"/>
          <w:rtl/>
        </w:rPr>
        <w:t>(وإبراز حلّ العقد</w:t>
      </w:r>
      <w:r w:rsidRPr="008C5B8F">
        <w:rPr>
          <w:b/>
          <w:bCs/>
          <w:sz w:val="32"/>
          <w:szCs w:val="32"/>
        </w:rPr>
        <w:t>.</w:t>
      </w:r>
    </w:p>
    <w:p w14:paraId="021EA2AA" w14:textId="77777777" w:rsidR="008C5B8F" w:rsidRPr="008C5B8F" w:rsidRDefault="008C5B8F" w:rsidP="008C5B8F">
      <w:pPr>
        <w:bidi/>
        <w:rPr>
          <w:b/>
          <w:bCs/>
          <w:sz w:val="32"/>
          <w:szCs w:val="32"/>
          <w:rtl/>
        </w:rPr>
      </w:pPr>
      <w:r w:rsidRPr="008C5B8F">
        <w:rPr>
          <w:b/>
          <w:bCs/>
          <w:sz w:val="32"/>
          <w:szCs w:val="32"/>
          <w:rtl/>
        </w:rPr>
        <w:lastRenderedPageBreak/>
        <w:t>وعليه، فبعد الفسخ يفرض العقد كأن لم يكن، ونتيجته استرجاع تمام الاُجرة المسمّاة كما عرفت، ولزوم ردّ المستأجر اُجرة المثل للمنافع السابقة بعد امتناع استردادها بأنفسها وعدم ذهاب مال المسلم هدراً</w:t>
      </w:r>
      <w:r w:rsidRPr="008C5B8F">
        <w:rPr>
          <w:b/>
          <w:bCs/>
          <w:sz w:val="32"/>
          <w:szCs w:val="32"/>
        </w:rPr>
        <w:t>.</w:t>
      </w:r>
    </w:p>
    <w:p w14:paraId="6C530D13" w14:textId="77777777" w:rsidR="008C5B8F" w:rsidRPr="008C5B8F" w:rsidRDefault="008C5B8F" w:rsidP="008C5B8F">
      <w:pPr>
        <w:bidi/>
        <w:rPr>
          <w:b/>
          <w:bCs/>
          <w:sz w:val="32"/>
          <w:szCs w:val="32"/>
          <w:rtl/>
        </w:rPr>
      </w:pPr>
      <w:r w:rsidRPr="008C5B8F">
        <w:rPr>
          <w:b/>
          <w:bCs/>
          <w:sz w:val="32"/>
          <w:szCs w:val="32"/>
          <w:rtl/>
        </w:rPr>
        <w:t>فمثلاً: لو كان المستأجر مغبوناً ففسخ من أجل تخلّف الشرط الضمني الارتكازي الذي هو المستند الصحيح في ثبوت هذا الخيار، لا قاعدة نفي الضرر وغيرها ممّا هي مخدوشة برمّتها حسبما ذكر في محلّه، فالفسخ المزبور على القول المشهور إنّما يؤثّر في استرجاع الاُجرة في المدّة الباقية. كما لو استأجر الدار سنة كلّ شهر بمائة، فتبيّن بعد ستّة أشهر أنّ قيمتها العادلة كلّ شهر بخمسين، يسترجع بعد فسخه اُجرة الستّة أشهر الباقية</w:t>
      </w:r>
      <w:r w:rsidRPr="008C5B8F">
        <w:rPr>
          <w:b/>
          <w:bCs/>
          <w:sz w:val="32"/>
          <w:szCs w:val="32"/>
        </w:rPr>
        <w:t>.</w:t>
      </w:r>
    </w:p>
    <w:p w14:paraId="49299062" w14:textId="77777777" w:rsidR="008C5B8F" w:rsidRPr="008C5B8F" w:rsidRDefault="008C5B8F" w:rsidP="008C5B8F">
      <w:pPr>
        <w:bidi/>
        <w:rPr>
          <w:b/>
          <w:bCs/>
          <w:sz w:val="32"/>
          <w:szCs w:val="32"/>
          <w:rtl/>
        </w:rPr>
      </w:pPr>
      <w:r w:rsidRPr="008C5B8F">
        <w:rPr>
          <w:b/>
          <w:bCs/>
          <w:sz w:val="32"/>
          <w:szCs w:val="32"/>
          <w:rtl/>
        </w:rPr>
        <w:t>وأمّا على المختار فيفسخ العقد من أصله ويسترجع تمام الاُجرة المسمّاة بكاملها ويردّ إلى المؤجّر اُجرة المثل للستّة أشهر الماضية، فإنّ هذا هو مقتضى فرض العقد المزبور في عالم الاعتبار كأنّه لم يقع بينهما</w:t>
      </w:r>
      <w:r w:rsidRPr="008C5B8F">
        <w:rPr>
          <w:b/>
          <w:bCs/>
          <w:sz w:val="32"/>
          <w:szCs w:val="32"/>
        </w:rPr>
        <w:t>.</w:t>
      </w:r>
    </w:p>
    <w:p w14:paraId="5A94E188" w14:textId="77777777" w:rsidR="008C5B8F" w:rsidRPr="008C5B8F" w:rsidRDefault="008C5B8F" w:rsidP="008C5B8F">
      <w:pPr>
        <w:bidi/>
        <w:rPr>
          <w:b/>
          <w:bCs/>
          <w:sz w:val="32"/>
          <w:szCs w:val="32"/>
          <w:rtl/>
        </w:rPr>
      </w:pPr>
      <w:r w:rsidRPr="008C5B8F">
        <w:rPr>
          <w:b/>
          <w:bCs/>
          <w:sz w:val="32"/>
          <w:szCs w:val="32"/>
          <w:rtl/>
        </w:rPr>
        <w:t>ومنه تعرف أنّ ما ذكره في المتن من قوله (قدس سره): ويحتمل قريباً إلخ، هو المتعيّن الذي لا ينبغي التردّد فيه).</w:t>
      </w:r>
    </w:p>
    <w:p w14:paraId="1C9D07C2" w14:textId="77777777" w:rsidR="008C5B8F" w:rsidRPr="008C5B8F" w:rsidRDefault="008C5B8F" w:rsidP="008C5B8F">
      <w:pPr>
        <w:bidi/>
        <w:rPr>
          <w:sz w:val="32"/>
          <w:szCs w:val="32"/>
          <w:rtl/>
        </w:rPr>
      </w:pPr>
      <w:r w:rsidRPr="008C5B8F">
        <w:rPr>
          <w:b/>
          <w:bCs/>
          <w:sz w:val="32"/>
          <w:szCs w:val="32"/>
          <w:rtl/>
        </w:rPr>
        <w:t>والخلاصة:</w:t>
      </w:r>
      <w:r w:rsidRPr="008C5B8F">
        <w:rPr>
          <w:sz w:val="32"/>
          <w:szCs w:val="32"/>
          <w:rtl/>
        </w:rPr>
        <w:t xml:space="preserve"> أنّ سيدنا الخوئي (قدس سره الشريف) يرى أنّ قول المشهور بتقسيط الأُجرة مبني على أنّ الفسخ مِن حينه، والحال أنّ الفسخ للعقد من أصله</w:t>
      </w:r>
      <w:r w:rsidRPr="008C5B8F">
        <w:rPr>
          <w:sz w:val="32"/>
          <w:szCs w:val="32"/>
        </w:rPr>
        <w:t>.</w:t>
      </w:r>
    </w:p>
    <w:p w14:paraId="4F3F5FCA" w14:textId="77777777" w:rsidR="008C5B8F" w:rsidRPr="008C5B8F" w:rsidRDefault="008C5B8F" w:rsidP="008C5B8F">
      <w:pPr>
        <w:bidi/>
        <w:rPr>
          <w:sz w:val="32"/>
          <w:szCs w:val="32"/>
          <w:rtl/>
        </w:rPr>
      </w:pPr>
      <w:r w:rsidRPr="008C5B8F">
        <w:rPr>
          <w:sz w:val="32"/>
          <w:szCs w:val="32"/>
          <w:rtl/>
        </w:rPr>
        <w:t>وأمّا القسم الثاني -وهو شرط الخيار-.</w:t>
      </w:r>
    </w:p>
    <w:p w14:paraId="4D4A98B5" w14:textId="77777777" w:rsidR="008C5B8F" w:rsidRPr="008C5B8F" w:rsidRDefault="008C5B8F" w:rsidP="008C5B8F">
      <w:pPr>
        <w:bidi/>
        <w:rPr>
          <w:b/>
          <w:bCs/>
          <w:sz w:val="32"/>
          <w:szCs w:val="32"/>
          <w:rtl/>
        </w:rPr>
      </w:pPr>
      <w:r w:rsidRPr="008C5B8F">
        <w:rPr>
          <w:sz w:val="32"/>
          <w:szCs w:val="32"/>
          <w:rtl/>
        </w:rPr>
        <w:t xml:space="preserve">فقد قال (قدس سره) فيه: </w:t>
      </w:r>
      <w:r w:rsidRPr="008C5B8F">
        <w:rPr>
          <w:b/>
          <w:bCs/>
          <w:sz w:val="32"/>
          <w:szCs w:val="32"/>
          <w:rtl/>
        </w:rPr>
        <w:t xml:space="preserve">(نعم، في خصوص شرط الخيار فيما لو استأجر داراً -مثلاً- وشرط لنفسه الخيار متى شاء، لا يبعد قيام الارتكاز العرفي على إرادة اختصاص الفسخ بالمدّة الباقية دون ما مضى، فإنّ الفسخ من الأصل على خلاف البناء العرفي والديدن الجاري بينهم في هذا الخيار) </w:t>
      </w:r>
      <w:r w:rsidRPr="008C5B8F">
        <w:rPr>
          <w:sz w:val="32"/>
          <w:szCs w:val="32"/>
          <w:rtl/>
        </w:rPr>
        <w:t xml:space="preserve">وهو الخيار المشروط </w:t>
      </w:r>
      <w:r w:rsidRPr="008C5B8F">
        <w:rPr>
          <w:b/>
          <w:bCs/>
          <w:sz w:val="32"/>
          <w:szCs w:val="32"/>
          <w:rtl/>
        </w:rPr>
        <w:t>(خاصّة كما لا يخفى، إذ العقد سنة – مثلاً – ينحلّ في الحقيقة إلى عقود في شهور. وشرط الخيار الناشئ غالباً من التردّد في الاستمرار)</w:t>
      </w:r>
      <w:r w:rsidRPr="008C5B8F">
        <w:rPr>
          <w:sz w:val="32"/>
          <w:szCs w:val="32"/>
          <w:rtl/>
        </w:rPr>
        <w:t xml:space="preserve"> أي: عدم ضمان المستقبل </w:t>
      </w:r>
      <w:r w:rsidRPr="008C5B8F">
        <w:rPr>
          <w:b/>
          <w:bCs/>
          <w:sz w:val="32"/>
          <w:szCs w:val="32"/>
          <w:rtl/>
        </w:rPr>
        <w:t>(لاحتمال سفرٍ أو شراء دار ونحو ذلك من دواعي جعل الخيار ناظرٌ بحسب فهم العرف بمقتضى مرتكزاتهم إلى التمكّن من الفسخ في بقيّة المدّة مع البناء على إمضاء ما مضى كما مضى</w:t>
      </w:r>
      <w:r w:rsidRPr="008C5B8F">
        <w:rPr>
          <w:b/>
          <w:bCs/>
          <w:sz w:val="32"/>
          <w:szCs w:val="32"/>
        </w:rPr>
        <w:t>.</w:t>
      </w:r>
    </w:p>
    <w:p w14:paraId="41D126CE" w14:textId="77777777" w:rsidR="008C5B8F" w:rsidRPr="008C5B8F" w:rsidRDefault="008C5B8F" w:rsidP="008C5B8F">
      <w:pPr>
        <w:bidi/>
        <w:rPr>
          <w:b/>
          <w:bCs/>
          <w:sz w:val="32"/>
          <w:szCs w:val="32"/>
          <w:rtl/>
        </w:rPr>
      </w:pPr>
      <w:r w:rsidRPr="008C5B8F">
        <w:rPr>
          <w:b/>
          <w:bCs/>
          <w:sz w:val="32"/>
          <w:szCs w:val="32"/>
          <w:rtl/>
        </w:rPr>
        <w:t>وأمّا في غير هذا النوع من الخيار مثل ما تقدّم من خيار الغبن فالظاهر أنّ مقتضى الفسخ انحلال العقد من أصله حسبما عرفت).</w:t>
      </w:r>
    </w:p>
    <w:p w14:paraId="0FCA7884" w14:textId="77777777" w:rsidR="008C5B8F" w:rsidRPr="008C5B8F" w:rsidRDefault="008C5B8F" w:rsidP="008C5B8F">
      <w:pPr>
        <w:bidi/>
        <w:rPr>
          <w:sz w:val="32"/>
          <w:szCs w:val="32"/>
          <w:rtl/>
        </w:rPr>
      </w:pPr>
      <w:r w:rsidRPr="008C5B8F">
        <w:rPr>
          <w:b/>
          <w:bCs/>
          <w:sz w:val="32"/>
          <w:szCs w:val="32"/>
          <w:rtl/>
        </w:rPr>
        <w:lastRenderedPageBreak/>
        <w:t>وحاصلُ كلام سيدنا الخوئي (قدس سره):</w:t>
      </w:r>
      <w:r w:rsidRPr="008C5B8F">
        <w:rPr>
          <w:sz w:val="32"/>
          <w:szCs w:val="32"/>
          <w:rtl/>
        </w:rPr>
        <w:t xml:space="preserve"> أنّه لابُدّ مِن التفصيل بين القسمين من الخيار، بين الخيار الثابت، وهو الخيارٌ الشرعي الذي له سببٌ كخيار العيب وخيار الغبن وخيار تبعّض الصفقة، فالفسخ فيه هو حلّ للعقد مِن أصله، وبين الخيار المشروط وظاهره بحسب المرتكز العرفي أنّه حلّ للعقد مِن حينه</w:t>
      </w:r>
      <w:r w:rsidRPr="008C5B8F">
        <w:rPr>
          <w:sz w:val="32"/>
          <w:szCs w:val="32"/>
        </w:rPr>
        <w:t>.</w:t>
      </w:r>
    </w:p>
    <w:p w14:paraId="657E24F6" w14:textId="77777777" w:rsidR="008C5B8F" w:rsidRPr="008C5B8F" w:rsidRDefault="008C5B8F" w:rsidP="008C5B8F">
      <w:pPr>
        <w:bidi/>
        <w:rPr>
          <w:sz w:val="32"/>
          <w:szCs w:val="32"/>
          <w:rtl/>
        </w:rPr>
      </w:pPr>
      <w:r w:rsidRPr="008C5B8F">
        <w:rPr>
          <w:b/>
          <w:bCs/>
          <w:sz w:val="32"/>
          <w:szCs w:val="32"/>
          <w:rtl/>
        </w:rPr>
        <w:t>أقولُ:</w:t>
      </w:r>
      <w:r w:rsidRPr="008C5B8F">
        <w:rPr>
          <w:sz w:val="32"/>
          <w:szCs w:val="32"/>
          <w:rtl/>
        </w:rPr>
        <w:t xml:space="preserve"> إنّ التأمل </w:t>
      </w:r>
      <w:proofErr w:type="gramStart"/>
      <w:r w:rsidRPr="008C5B8F">
        <w:rPr>
          <w:sz w:val="32"/>
          <w:szCs w:val="32"/>
          <w:rtl/>
        </w:rPr>
        <w:t>في ما</w:t>
      </w:r>
      <w:proofErr w:type="gramEnd"/>
      <w:r w:rsidRPr="008C5B8F">
        <w:rPr>
          <w:sz w:val="32"/>
          <w:szCs w:val="32"/>
          <w:rtl/>
        </w:rPr>
        <w:t xml:space="preserve"> </w:t>
      </w:r>
      <w:proofErr w:type="gramStart"/>
      <w:r w:rsidRPr="008C5B8F">
        <w:rPr>
          <w:sz w:val="32"/>
          <w:szCs w:val="32"/>
          <w:rtl/>
        </w:rPr>
        <w:t>ذكره  (</w:t>
      </w:r>
      <w:proofErr w:type="gramEnd"/>
      <w:r w:rsidRPr="008C5B8F">
        <w:rPr>
          <w:sz w:val="32"/>
          <w:szCs w:val="32"/>
          <w:rtl/>
        </w:rPr>
        <w:t>قدس سره) تارةً في الكُبرى وأُخرى في تشخيص الصُغرى</w:t>
      </w:r>
      <w:r w:rsidRPr="008C5B8F">
        <w:rPr>
          <w:sz w:val="32"/>
          <w:szCs w:val="32"/>
        </w:rPr>
        <w:t>:</w:t>
      </w:r>
    </w:p>
    <w:p w14:paraId="335CD65F" w14:textId="77777777" w:rsidR="008C5B8F" w:rsidRPr="008C5B8F" w:rsidRDefault="008C5B8F" w:rsidP="008C5B8F">
      <w:pPr>
        <w:bidi/>
        <w:rPr>
          <w:sz w:val="32"/>
          <w:szCs w:val="32"/>
          <w:rtl/>
        </w:rPr>
      </w:pPr>
      <w:r w:rsidRPr="008C5B8F">
        <w:rPr>
          <w:b/>
          <w:bCs/>
          <w:sz w:val="32"/>
          <w:szCs w:val="32"/>
          <w:rtl/>
        </w:rPr>
        <w:t>أمّا الكُبرى:</w:t>
      </w:r>
      <w:r w:rsidRPr="008C5B8F">
        <w:rPr>
          <w:sz w:val="32"/>
          <w:szCs w:val="32"/>
          <w:rtl/>
        </w:rPr>
        <w:t xml:space="preserve"> </w:t>
      </w:r>
      <w:r w:rsidRPr="008C5B8F">
        <w:rPr>
          <w:b/>
          <w:bCs/>
          <w:sz w:val="32"/>
          <w:szCs w:val="32"/>
          <w:rtl/>
        </w:rPr>
        <w:t>فقد وقع البحث في حقيقة الفسخ مِن جهاتٍ ثلاث</w:t>
      </w:r>
      <w:r w:rsidRPr="008C5B8F">
        <w:rPr>
          <w:b/>
          <w:bCs/>
          <w:sz w:val="32"/>
          <w:szCs w:val="32"/>
        </w:rPr>
        <w:t>:</w:t>
      </w:r>
    </w:p>
    <w:p w14:paraId="0B98CEA9" w14:textId="77777777" w:rsidR="008C5B8F" w:rsidRPr="008C5B8F" w:rsidRDefault="008C5B8F" w:rsidP="008C5B8F">
      <w:pPr>
        <w:bidi/>
        <w:rPr>
          <w:sz w:val="32"/>
          <w:szCs w:val="32"/>
          <w:rtl/>
        </w:rPr>
      </w:pPr>
      <w:r w:rsidRPr="008C5B8F">
        <w:rPr>
          <w:b/>
          <w:bCs/>
          <w:sz w:val="32"/>
          <w:szCs w:val="32"/>
          <w:rtl/>
        </w:rPr>
        <w:t>الجهةُ الأُولى:</w:t>
      </w:r>
      <w:r w:rsidRPr="008C5B8F">
        <w:rPr>
          <w:sz w:val="32"/>
          <w:szCs w:val="32"/>
          <w:rtl/>
        </w:rPr>
        <w:t xml:space="preserve"> أنّ الفسخ لا يُحْدِثُ مِلكيّة جديدةً؛ بل يُعيدُ الِملكيّة للسبب السابق على هذا العقد</w:t>
      </w:r>
      <w:r w:rsidRPr="008C5B8F">
        <w:rPr>
          <w:sz w:val="32"/>
          <w:szCs w:val="32"/>
        </w:rPr>
        <w:t>.</w:t>
      </w:r>
    </w:p>
    <w:p w14:paraId="003CDC33" w14:textId="77777777" w:rsidR="008C5B8F" w:rsidRPr="008C5B8F" w:rsidRDefault="008C5B8F" w:rsidP="008C5B8F">
      <w:pPr>
        <w:bidi/>
        <w:rPr>
          <w:sz w:val="32"/>
          <w:szCs w:val="32"/>
          <w:rtl/>
        </w:rPr>
      </w:pPr>
      <w:r w:rsidRPr="008C5B8F">
        <w:rPr>
          <w:sz w:val="32"/>
          <w:szCs w:val="32"/>
          <w:rtl/>
        </w:rPr>
        <w:t>فإنّ المُستأجر إذا فسخ عقد الإجارة، فهل معنى فسخه أنّه مَلّك المؤجّر منفعة المدّة الماضية؟</w:t>
      </w:r>
    </w:p>
    <w:p w14:paraId="39D849D9" w14:textId="77777777" w:rsidR="008C5B8F" w:rsidRPr="008C5B8F" w:rsidRDefault="008C5B8F" w:rsidP="008C5B8F">
      <w:pPr>
        <w:bidi/>
        <w:rPr>
          <w:sz w:val="32"/>
          <w:szCs w:val="32"/>
          <w:rtl/>
        </w:rPr>
      </w:pPr>
      <w:r w:rsidRPr="008C5B8F">
        <w:rPr>
          <w:b/>
          <w:bCs/>
          <w:sz w:val="32"/>
          <w:szCs w:val="32"/>
          <w:rtl/>
        </w:rPr>
        <w:t xml:space="preserve">والجواب: </w:t>
      </w:r>
      <w:r w:rsidRPr="008C5B8F">
        <w:rPr>
          <w:sz w:val="32"/>
          <w:szCs w:val="32"/>
          <w:rtl/>
        </w:rPr>
        <w:t>لا؛ فإنّه لَمْ يُحْدِث مِلكيّةً جديدة للمؤجّر؛ وإنّما عادت المنفعة إلى مِلكه بالسبب السابق على الإجارة، فهو حلّ للسبب الثاني -وهو الإجارة- لا تمليكٌ جديدٌ، ومقتضى الحلّ أنّ المنفعة مِلكٌ للمُؤجّر بالسبب السابق على الإجارة كالشراء أو الإرث أو الهبة أو نحو ذلك. وهذه الجهة مفروغٌ عنها</w:t>
      </w:r>
      <w:r w:rsidRPr="008C5B8F">
        <w:rPr>
          <w:sz w:val="32"/>
          <w:szCs w:val="32"/>
        </w:rPr>
        <w:t>.</w:t>
      </w:r>
    </w:p>
    <w:p w14:paraId="3995E1F3" w14:textId="77777777" w:rsidR="008C5B8F" w:rsidRPr="008C5B8F" w:rsidRDefault="008C5B8F" w:rsidP="008C5B8F">
      <w:pPr>
        <w:bidi/>
        <w:rPr>
          <w:sz w:val="32"/>
          <w:szCs w:val="32"/>
          <w:rtl/>
        </w:rPr>
      </w:pPr>
      <w:r w:rsidRPr="008C5B8F">
        <w:rPr>
          <w:b/>
          <w:bCs/>
          <w:sz w:val="32"/>
          <w:szCs w:val="32"/>
          <w:rtl/>
        </w:rPr>
        <w:t>الجهة الثانية:</w:t>
      </w:r>
      <w:r w:rsidRPr="008C5B8F">
        <w:rPr>
          <w:sz w:val="32"/>
          <w:szCs w:val="32"/>
          <w:rtl/>
        </w:rPr>
        <w:t xml:space="preserve"> هل الفسخ حلّ للعقد مِن حينه أو مِن أصله؟</w:t>
      </w:r>
    </w:p>
    <w:p w14:paraId="460A0084" w14:textId="77777777" w:rsidR="008C5B8F" w:rsidRPr="008C5B8F" w:rsidRDefault="008C5B8F" w:rsidP="008C5B8F">
      <w:pPr>
        <w:bidi/>
        <w:rPr>
          <w:sz w:val="32"/>
          <w:szCs w:val="32"/>
          <w:rtl/>
        </w:rPr>
      </w:pPr>
      <w:r w:rsidRPr="008C5B8F">
        <w:rPr>
          <w:b/>
          <w:bCs/>
          <w:sz w:val="32"/>
          <w:szCs w:val="32"/>
          <w:rtl/>
        </w:rPr>
        <w:t>قد يُقال:</w:t>
      </w:r>
      <w:r w:rsidRPr="008C5B8F">
        <w:rPr>
          <w:sz w:val="32"/>
          <w:szCs w:val="32"/>
          <w:rtl/>
        </w:rPr>
        <w:t xml:space="preserve"> إنّ الفسخ حلّ للعقد مِن حين وقوعه</w:t>
      </w:r>
      <w:r w:rsidRPr="008C5B8F">
        <w:rPr>
          <w:sz w:val="32"/>
          <w:szCs w:val="32"/>
        </w:rPr>
        <w:t>.</w:t>
      </w:r>
    </w:p>
    <w:p w14:paraId="08C2AE9C" w14:textId="250FB4C5" w:rsidR="008C5B8F" w:rsidRPr="008C5B8F" w:rsidRDefault="008C5B8F" w:rsidP="008C5B8F">
      <w:pPr>
        <w:bidi/>
        <w:rPr>
          <w:sz w:val="32"/>
          <w:szCs w:val="32"/>
          <w:rtl/>
        </w:rPr>
      </w:pPr>
      <w:r w:rsidRPr="008C5B8F">
        <w:rPr>
          <w:sz w:val="32"/>
          <w:szCs w:val="32"/>
          <w:rtl/>
        </w:rPr>
        <w:t xml:space="preserve">وقد علله العلامة الحلي (عليه </w:t>
      </w:r>
      <w:r w:rsidR="0083041C" w:rsidRPr="008C5B8F">
        <w:rPr>
          <w:rFonts w:hint="cs"/>
          <w:sz w:val="32"/>
          <w:szCs w:val="32"/>
          <w:rtl/>
        </w:rPr>
        <w:t>الرحمة</w:t>
      </w:r>
      <w:r w:rsidRPr="008C5B8F">
        <w:rPr>
          <w:sz w:val="32"/>
          <w:szCs w:val="32"/>
          <w:rtl/>
        </w:rPr>
        <w:t xml:space="preserve">) في التذكرة بقوله: </w:t>
      </w:r>
      <w:r w:rsidRPr="008C5B8F">
        <w:rPr>
          <w:b/>
          <w:bCs/>
          <w:sz w:val="32"/>
          <w:szCs w:val="32"/>
          <w:rtl/>
        </w:rPr>
        <w:t>(مسألة 312: الفسخ يرفع العقد من حين وقوعه لا من أصله؛ لأنّ العقد لا ينعطف حكمه على ما مضى، فكذا الفسخ)</w:t>
      </w:r>
      <w:r w:rsidRPr="008C5B8F">
        <w:rPr>
          <w:b/>
          <w:bCs/>
          <w:sz w:val="32"/>
          <w:szCs w:val="32"/>
          <w:vertAlign w:val="superscript"/>
          <w:rtl/>
        </w:rPr>
        <w:footnoteReference w:id="264"/>
      </w:r>
      <w:r w:rsidRPr="008C5B8F">
        <w:rPr>
          <w:b/>
          <w:bCs/>
          <w:sz w:val="32"/>
          <w:szCs w:val="32"/>
          <w:rtl/>
        </w:rPr>
        <w:t>.</w:t>
      </w:r>
    </w:p>
    <w:p w14:paraId="2FB1444E" w14:textId="77777777" w:rsidR="008C5B8F" w:rsidRPr="008C5B8F" w:rsidRDefault="008C5B8F" w:rsidP="008C5B8F">
      <w:pPr>
        <w:bidi/>
        <w:rPr>
          <w:sz w:val="32"/>
          <w:szCs w:val="32"/>
          <w:rtl/>
        </w:rPr>
      </w:pPr>
      <w:r w:rsidRPr="008C5B8F">
        <w:rPr>
          <w:b/>
          <w:bCs/>
          <w:sz w:val="32"/>
          <w:szCs w:val="32"/>
          <w:rtl/>
        </w:rPr>
        <w:t xml:space="preserve">ومرادُهُ (رحمه الله): </w:t>
      </w:r>
      <w:r w:rsidRPr="008C5B8F">
        <w:rPr>
          <w:sz w:val="32"/>
          <w:szCs w:val="32"/>
          <w:rtl/>
        </w:rPr>
        <w:t xml:space="preserve">أنّ أثر العقد فيما بقيّ، كما إذا باعَ شخصٌ شخصاً آخر أو وهبه فإنّ الأثر لَهُ فيما بقي لا </w:t>
      </w:r>
      <w:proofErr w:type="gramStart"/>
      <w:r w:rsidRPr="008C5B8F">
        <w:rPr>
          <w:sz w:val="32"/>
          <w:szCs w:val="32"/>
          <w:rtl/>
        </w:rPr>
        <w:t>في ما</w:t>
      </w:r>
      <w:proofErr w:type="gramEnd"/>
      <w:r w:rsidRPr="008C5B8F">
        <w:rPr>
          <w:sz w:val="32"/>
          <w:szCs w:val="32"/>
          <w:rtl/>
        </w:rPr>
        <w:t xml:space="preserve"> مضى، وقد قاس الفسخ على العقد</w:t>
      </w:r>
      <w:r w:rsidRPr="008C5B8F">
        <w:rPr>
          <w:sz w:val="32"/>
          <w:szCs w:val="32"/>
        </w:rPr>
        <w:t>.</w:t>
      </w:r>
    </w:p>
    <w:p w14:paraId="3E962F90" w14:textId="77777777" w:rsidR="008C5B8F" w:rsidRPr="008C5B8F" w:rsidRDefault="008C5B8F" w:rsidP="008C5B8F">
      <w:pPr>
        <w:bidi/>
        <w:rPr>
          <w:sz w:val="32"/>
          <w:szCs w:val="32"/>
          <w:rtl/>
        </w:rPr>
      </w:pPr>
      <w:r w:rsidRPr="008C5B8F">
        <w:rPr>
          <w:sz w:val="32"/>
          <w:szCs w:val="32"/>
          <w:rtl/>
        </w:rPr>
        <w:t xml:space="preserve">وقال صاحب الجواهر (قدس سره): </w:t>
      </w:r>
      <w:r w:rsidRPr="008C5B8F">
        <w:rPr>
          <w:b/>
          <w:bCs/>
          <w:sz w:val="32"/>
          <w:szCs w:val="32"/>
          <w:rtl/>
        </w:rPr>
        <w:t>(لأنّ التحقيق كون الفسخ من حينه، لا من أصله)</w:t>
      </w:r>
      <w:r w:rsidRPr="008C5B8F">
        <w:rPr>
          <w:b/>
          <w:bCs/>
          <w:sz w:val="32"/>
          <w:szCs w:val="32"/>
          <w:vertAlign w:val="superscript"/>
          <w:rtl/>
        </w:rPr>
        <w:footnoteReference w:id="265"/>
      </w:r>
      <w:r w:rsidRPr="008C5B8F">
        <w:rPr>
          <w:b/>
          <w:bCs/>
          <w:sz w:val="32"/>
          <w:szCs w:val="32"/>
          <w:rtl/>
        </w:rPr>
        <w:t>.</w:t>
      </w:r>
    </w:p>
    <w:p w14:paraId="22AB8F3D" w14:textId="77777777" w:rsidR="008C5B8F" w:rsidRPr="008C5B8F" w:rsidRDefault="008C5B8F" w:rsidP="008C5B8F">
      <w:pPr>
        <w:bidi/>
        <w:rPr>
          <w:sz w:val="32"/>
          <w:szCs w:val="32"/>
          <w:rtl/>
        </w:rPr>
      </w:pPr>
      <w:r w:rsidRPr="008C5B8F">
        <w:rPr>
          <w:b/>
          <w:bCs/>
          <w:sz w:val="32"/>
          <w:szCs w:val="32"/>
          <w:rtl/>
        </w:rPr>
        <w:t>لكن ما أفيد في التذكرة غيرُ تامٍ؛</w:t>
      </w:r>
      <w:r w:rsidRPr="008C5B8F">
        <w:rPr>
          <w:sz w:val="32"/>
          <w:szCs w:val="32"/>
          <w:rtl/>
        </w:rPr>
        <w:t xml:space="preserve"> إذ الفرق بين العقد والفسخ واضحٌ، فالعقدُ إحداثُ مِلكٍ فلا ينعطف على ما مضى، بخلاف الفسخ فإنّه رفعٌ، وإنّما المطابق للمرتكز العرفي قياسه بالإجازة، فكما أنّ الإجازة إمضاءٌ للعقد حين وقوعه، فكذا الفسخ رفعٌ للعقد مِن حين وقوعه</w:t>
      </w:r>
      <w:r w:rsidRPr="008C5B8F">
        <w:rPr>
          <w:sz w:val="32"/>
          <w:szCs w:val="32"/>
        </w:rPr>
        <w:t>.</w:t>
      </w:r>
    </w:p>
    <w:p w14:paraId="2AA2EE87" w14:textId="77777777" w:rsidR="008C5B8F" w:rsidRPr="008C5B8F" w:rsidRDefault="008C5B8F" w:rsidP="008C5B8F">
      <w:pPr>
        <w:bidi/>
        <w:rPr>
          <w:sz w:val="32"/>
          <w:szCs w:val="32"/>
          <w:rtl/>
        </w:rPr>
      </w:pPr>
      <w:r w:rsidRPr="008C5B8F">
        <w:rPr>
          <w:b/>
          <w:bCs/>
          <w:sz w:val="32"/>
          <w:szCs w:val="32"/>
          <w:rtl/>
        </w:rPr>
        <w:lastRenderedPageBreak/>
        <w:t>الجهةُ الثالثة:</w:t>
      </w:r>
      <w:r w:rsidRPr="008C5B8F">
        <w:rPr>
          <w:sz w:val="32"/>
          <w:szCs w:val="32"/>
          <w:rtl/>
        </w:rPr>
        <w:t xml:space="preserve"> على فرض أنّ الفسخ حلّ للعقد مِن أصله، فهل هو حلّ حقيقي بأن ارتفع العقد مِن أصله، أم حلّ حكمي مِن حيث الآثار؟ كما ذكر في الإجازة لعقد الفضولي، مِن أنّها كاشف حكمي عن نفوذ العقد حين وقوعه لكن مِن حيث الآثار</w:t>
      </w:r>
      <w:r w:rsidRPr="008C5B8F">
        <w:rPr>
          <w:sz w:val="32"/>
          <w:szCs w:val="32"/>
        </w:rPr>
        <w:t>.</w:t>
      </w:r>
    </w:p>
    <w:p w14:paraId="47A582F0" w14:textId="77777777" w:rsidR="008C5B8F" w:rsidRPr="008C5B8F" w:rsidRDefault="008C5B8F" w:rsidP="008C5B8F">
      <w:pPr>
        <w:bidi/>
        <w:rPr>
          <w:sz w:val="32"/>
          <w:szCs w:val="32"/>
          <w:rtl/>
        </w:rPr>
      </w:pPr>
      <w:r w:rsidRPr="008C5B8F">
        <w:rPr>
          <w:sz w:val="32"/>
          <w:szCs w:val="32"/>
          <w:rtl/>
        </w:rPr>
        <w:t>فلو قلنا بأنّ الفسخ حلّ للعقد مِن أصله، فهو حلّ حكمي -لا حقيقي-.</w:t>
      </w:r>
    </w:p>
    <w:p w14:paraId="339D1F7C" w14:textId="77777777" w:rsidR="008C5B8F" w:rsidRPr="008C5B8F" w:rsidRDefault="008C5B8F" w:rsidP="008C5B8F">
      <w:pPr>
        <w:bidi/>
        <w:rPr>
          <w:sz w:val="32"/>
          <w:szCs w:val="32"/>
        </w:rPr>
      </w:pPr>
    </w:p>
    <w:p w14:paraId="2DCD99E9" w14:textId="77777777" w:rsidR="008C5B8F" w:rsidRPr="008C5B8F" w:rsidRDefault="008C5B8F" w:rsidP="008C5B8F">
      <w:pPr>
        <w:bidi/>
        <w:rPr>
          <w:b/>
          <w:bCs/>
          <w:sz w:val="32"/>
          <w:szCs w:val="32"/>
          <w:rtl/>
        </w:rPr>
      </w:pPr>
      <w:r w:rsidRPr="008C5B8F">
        <w:rPr>
          <w:b/>
          <w:bCs/>
          <w:sz w:val="32"/>
          <w:szCs w:val="32"/>
          <w:rtl/>
        </w:rPr>
        <w:t>والحمد لله رب العالمين</w:t>
      </w:r>
    </w:p>
    <w:p w14:paraId="7D47C1F9" w14:textId="77777777" w:rsidR="008C5B8F" w:rsidRDefault="008C5B8F" w:rsidP="008C5B8F">
      <w:pPr>
        <w:bidi/>
        <w:rPr>
          <w:sz w:val="32"/>
          <w:szCs w:val="32"/>
          <w:rtl/>
        </w:rPr>
      </w:pPr>
    </w:p>
    <w:p w14:paraId="39E0B319" w14:textId="77777777" w:rsidR="008A711D" w:rsidRDefault="008A711D" w:rsidP="008A711D">
      <w:pPr>
        <w:bidi/>
        <w:rPr>
          <w:sz w:val="32"/>
          <w:szCs w:val="32"/>
          <w:rtl/>
        </w:rPr>
      </w:pPr>
    </w:p>
    <w:p w14:paraId="4A0A4A84" w14:textId="5EFB8DC4" w:rsidR="008A711D" w:rsidRDefault="008A711D" w:rsidP="008A711D">
      <w:pPr>
        <w:pStyle w:val="Heading3"/>
        <w:bidi/>
        <w:rPr>
          <w:sz w:val="32"/>
          <w:szCs w:val="32"/>
          <w:rtl/>
        </w:rPr>
      </w:pPr>
      <w:r>
        <w:rPr>
          <w:rFonts w:hint="cs"/>
          <w:sz w:val="32"/>
          <w:szCs w:val="32"/>
          <w:rtl/>
        </w:rPr>
        <w:t>341</w:t>
      </w:r>
    </w:p>
    <w:p w14:paraId="56F8970E" w14:textId="77777777" w:rsidR="008A711D" w:rsidRPr="005E03C1" w:rsidRDefault="008A711D" w:rsidP="008A711D">
      <w:pPr>
        <w:pStyle w:val="a"/>
        <w:bidi/>
        <w:spacing w:line="216" w:lineRule="auto"/>
        <w:jc w:val="center"/>
        <w:rPr>
          <w:rFonts w:ascii="mylotus" w:hAnsi="mylotus"/>
          <w:b/>
          <w:bCs/>
          <w:sz w:val="34"/>
          <w:szCs w:val="34"/>
          <w:rtl/>
        </w:rPr>
      </w:pPr>
      <w:r w:rsidRPr="005E03C1">
        <w:rPr>
          <w:rFonts w:ascii="mylotus" w:hAnsi="mylotus"/>
          <w:b/>
          <w:bCs/>
          <w:sz w:val="34"/>
          <w:szCs w:val="34"/>
          <w:rtl/>
        </w:rPr>
        <w:t>بسم الله الرحمن الرحيم</w:t>
      </w:r>
    </w:p>
    <w:p w14:paraId="19C7D98B" w14:textId="77777777" w:rsidR="008A711D" w:rsidRPr="005E03C1" w:rsidRDefault="008A711D" w:rsidP="008A711D">
      <w:pPr>
        <w:pStyle w:val="a"/>
        <w:bidi/>
        <w:spacing w:line="216" w:lineRule="auto"/>
        <w:jc w:val="center"/>
        <w:rPr>
          <w:rFonts w:ascii="mylotus" w:hAnsi="mylotus"/>
          <w:b/>
          <w:bCs/>
          <w:sz w:val="34"/>
          <w:szCs w:val="34"/>
          <w:rtl/>
        </w:rPr>
      </w:pPr>
      <w:r w:rsidRPr="005E03C1">
        <w:rPr>
          <w:rFonts w:ascii="mylotus" w:hAnsi="mylotus"/>
          <w:b/>
          <w:bCs/>
          <w:sz w:val="34"/>
          <w:szCs w:val="34"/>
          <w:rtl/>
        </w:rPr>
        <w:t>والصلاة والسلام على أشرف الأنبياء والمرسلين، محمد وآله الطيبين الطاهرين</w:t>
      </w:r>
    </w:p>
    <w:p w14:paraId="22F15ABA" w14:textId="77777777" w:rsidR="008A711D" w:rsidRDefault="008A711D" w:rsidP="008A711D">
      <w:pPr>
        <w:pStyle w:val="a"/>
        <w:bidi/>
        <w:spacing w:line="216" w:lineRule="auto"/>
        <w:jc w:val="center"/>
        <w:rPr>
          <w:rFonts w:ascii="mylotus" w:hAnsi="mylotus"/>
          <w:sz w:val="34"/>
          <w:szCs w:val="34"/>
          <w:rtl/>
        </w:rPr>
      </w:pPr>
      <w:r w:rsidRPr="005E03C1">
        <w:rPr>
          <w:rFonts w:ascii="mylotus" w:hAnsi="mylotus"/>
          <w:b/>
          <w:bCs/>
          <w:sz w:val="34"/>
          <w:szCs w:val="34"/>
          <w:rtl/>
        </w:rPr>
        <w:t>واللعن الدائم على أعدائهم أجمعين إلى قيام يوم الدين</w:t>
      </w:r>
    </w:p>
    <w:p w14:paraId="20325203" w14:textId="77777777" w:rsidR="008A711D" w:rsidRPr="007E55AB" w:rsidRDefault="008A711D" w:rsidP="008A711D">
      <w:pPr>
        <w:pStyle w:val="a"/>
        <w:bidi/>
        <w:spacing w:line="216" w:lineRule="auto"/>
        <w:ind w:firstLine="0"/>
        <w:rPr>
          <w:rFonts w:ascii="mylotus" w:hAnsi="mylotus"/>
          <w:sz w:val="34"/>
          <w:szCs w:val="34"/>
          <w:rtl/>
        </w:rPr>
      </w:pPr>
    </w:p>
    <w:p w14:paraId="4580F8A8" w14:textId="77777777" w:rsidR="008A711D" w:rsidRPr="001C0D48" w:rsidRDefault="008A711D" w:rsidP="008A711D">
      <w:pPr>
        <w:pStyle w:val="a"/>
        <w:bidi/>
        <w:spacing w:line="216" w:lineRule="auto"/>
        <w:rPr>
          <w:rFonts w:ascii="mylotus" w:hAnsi="mylotus"/>
          <w:b/>
          <w:bCs/>
          <w:sz w:val="34"/>
          <w:szCs w:val="34"/>
          <w:rtl/>
        </w:rPr>
      </w:pPr>
      <w:r w:rsidRPr="001C0D48">
        <w:rPr>
          <w:rFonts w:ascii="mylotus" w:hAnsi="mylotus"/>
          <w:b/>
          <w:bCs/>
          <w:sz w:val="34"/>
          <w:szCs w:val="34"/>
          <w:rtl/>
        </w:rPr>
        <w:t>وب</w:t>
      </w:r>
      <w:r w:rsidRPr="001C0D48">
        <w:rPr>
          <w:rFonts w:ascii="mylotus" w:hAnsi="mylotus" w:hint="cs"/>
          <w:b/>
          <w:bCs/>
          <w:sz w:val="34"/>
          <w:szCs w:val="34"/>
          <w:rtl/>
        </w:rPr>
        <w:t>َ</w:t>
      </w:r>
      <w:r w:rsidRPr="001C0D48">
        <w:rPr>
          <w:rFonts w:ascii="mylotus" w:hAnsi="mylotus"/>
          <w:b/>
          <w:bCs/>
          <w:sz w:val="34"/>
          <w:szCs w:val="34"/>
          <w:rtl/>
        </w:rPr>
        <w:t>ع</w:t>
      </w:r>
      <w:r w:rsidRPr="001C0D48">
        <w:rPr>
          <w:rFonts w:ascii="mylotus" w:hAnsi="mylotus" w:hint="cs"/>
          <w:b/>
          <w:bCs/>
          <w:sz w:val="34"/>
          <w:szCs w:val="34"/>
          <w:rtl/>
        </w:rPr>
        <w:t>ْ</w:t>
      </w:r>
      <w:r w:rsidRPr="001C0D48">
        <w:rPr>
          <w:rFonts w:ascii="mylotus" w:hAnsi="mylotus"/>
          <w:b/>
          <w:bCs/>
          <w:sz w:val="34"/>
          <w:szCs w:val="34"/>
          <w:rtl/>
        </w:rPr>
        <w:t>د</w:t>
      </w:r>
      <w:r w:rsidRPr="001C0D48">
        <w:rPr>
          <w:rFonts w:ascii="mylotus" w:hAnsi="mylotus" w:hint="cs"/>
          <w:b/>
          <w:bCs/>
          <w:sz w:val="34"/>
          <w:szCs w:val="34"/>
          <w:rtl/>
        </w:rPr>
        <w:t>َ</w:t>
      </w:r>
      <w:r w:rsidRPr="001C0D48">
        <w:rPr>
          <w:rFonts w:ascii="mylotus" w:hAnsi="mylotus"/>
          <w:b/>
          <w:bCs/>
          <w:sz w:val="34"/>
          <w:szCs w:val="34"/>
          <w:rtl/>
        </w:rPr>
        <w:t xml:space="preserve"> وضوح محل</w:t>
      </w:r>
      <w:r w:rsidRPr="001C0D48">
        <w:rPr>
          <w:rFonts w:ascii="mylotus" w:hAnsi="mylotus" w:hint="cs"/>
          <w:b/>
          <w:bCs/>
          <w:sz w:val="34"/>
          <w:szCs w:val="34"/>
          <w:rtl/>
        </w:rPr>
        <w:t>ّ</w:t>
      </w:r>
      <w:r w:rsidRPr="001C0D48">
        <w:rPr>
          <w:rFonts w:ascii="mylotus" w:hAnsi="mylotus"/>
          <w:b/>
          <w:bCs/>
          <w:sz w:val="34"/>
          <w:szCs w:val="34"/>
          <w:rtl/>
        </w:rPr>
        <w:t xml:space="preserve"> البحث في الجهة الثانية والثالثة، أقول</w:t>
      </w:r>
      <w:r>
        <w:rPr>
          <w:rFonts w:ascii="mylotus" w:hAnsi="mylotus" w:hint="cs"/>
          <w:b/>
          <w:bCs/>
          <w:sz w:val="34"/>
          <w:szCs w:val="34"/>
          <w:rtl/>
        </w:rPr>
        <w:t>ُ</w:t>
      </w:r>
      <w:r w:rsidRPr="001C0D48">
        <w:rPr>
          <w:rFonts w:ascii="mylotus" w:hAnsi="mylotus"/>
          <w:b/>
          <w:bCs/>
          <w:sz w:val="34"/>
          <w:szCs w:val="34"/>
          <w:rtl/>
        </w:rPr>
        <w:t>:</w:t>
      </w:r>
    </w:p>
    <w:p w14:paraId="7FD02E60" w14:textId="77777777" w:rsidR="008A711D" w:rsidRDefault="008A711D" w:rsidP="008A711D">
      <w:pPr>
        <w:pStyle w:val="a"/>
        <w:bidi/>
        <w:spacing w:line="216" w:lineRule="auto"/>
        <w:rPr>
          <w:rFonts w:ascii="mylotus" w:hAnsi="mylotus"/>
          <w:sz w:val="34"/>
          <w:szCs w:val="34"/>
          <w:rtl/>
        </w:rPr>
      </w:pPr>
      <w:r w:rsidRPr="001C0D48">
        <w:rPr>
          <w:rFonts w:ascii="mylotus" w:hAnsi="mylotus"/>
          <w:b/>
          <w:bCs/>
          <w:sz w:val="34"/>
          <w:szCs w:val="34"/>
          <w:rtl/>
        </w:rPr>
        <w:t>يلاحظُ على ما</w:t>
      </w:r>
      <w:r>
        <w:rPr>
          <w:rFonts w:ascii="mylotus" w:hAnsi="mylotus" w:hint="cs"/>
          <w:b/>
          <w:bCs/>
          <w:sz w:val="34"/>
          <w:szCs w:val="34"/>
          <w:rtl/>
        </w:rPr>
        <w:t xml:space="preserve"> </w:t>
      </w:r>
      <w:r w:rsidRPr="001C0D48">
        <w:rPr>
          <w:rFonts w:ascii="mylotus" w:hAnsi="mylotus"/>
          <w:b/>
          <w:bCs/>
          <w:sz w:val="34"/>
          <w:szCs w:val="34"/>
          <w:rtl/>
        </w:rPr>
        <w:t xml:space="preserve">أفاده سيدنا </w:t>
      </w:r>
      <w:r>
        <w:rPr>
          <w:rFonts w:ascii="mylotus" w:hAnsi="mylotus" w:hint="cs"/>
          <w:b/>
          <w:bCs/>
          <w:sz w:val="34"/>
          <w:szCs w:val="34"/>
          <w:rtl/>
        </w:rPr>
        <w:t>الخوئي (</w:t>
      </w:r>
      <w:r w:rsidRPr="001C0D48">
        <w:rPr>
          <w:rFonts w:ascii="mylotus" w:hAnsi="mylotus"/>
          <w:b/>
          <w:bCs/>
          <w:sz w:val="34"/>
          <w:szCs w:val="34"/>
          <w:rtl/>
        </w:rPr>
        <w:t>قد</w:t>
      </w:r>
      <w:r>
        <w:rPr>
          <w:rFonts w:ascii="mylotus" w:hAnsi="mylotus" w:hint="cs"/>
          <w:b/>
          <w:bCs/>
          <w:sz w:val="34"/>
          <w:szCs w:val="34"/>
          <w:rtl/>
        </w:rPr>
        <w:t>س سره الشريف)</w:t>
      </w:r>
      <w:r w:rsidRPr="001C0D48">
        <w:rPr>
          <w:rFonts w:ascii="mylotus" w:hAnsi="mylotus"/>
          <w:b/>
          <w:bCs/>
          <w:sz w:val="34"/>
          <w:szCs w:val="34"/>
          <w:rtl/>
        </w:rPr>
        <w:t xml:space="preserve"> في الجهة الثانية:</w:t>
      </w:r>
    </w:p>
    <w:p w14:paraId="709027E9"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sz w:val="34"/>
          <w:szCs w:val="34"/>
          <w:rtl/>
        </w:rPr>
        <w:t xml:space="preserve">أنّ المرتكز العقلائي قائمٌ على أنّ حقيقة الفسخ كحقيقة النسخ؛ فكما أنّ النسخ رفعٌ للحكم بقاءً </w:t>
      </w:r>
      <w:r>
        <w:rPr>
          <w:rFonts w:ascii="mylotus" w:hAnsi="mylotus" w:hint="cs"/>
          <w:sz w:val="34"/>
          <w:szCs w:val="34"/>
          <w:rtl/>
        </w:rPr>
        <w:t>-</w:t>
      </w:r>
      <w:r w:rsidRPr="001C0D48">
        <w:rPr>
          <w:rFonts w:ascii="mylotus" w:hAnsi="mylotus"/>
          <w:sz w:val="34"/>
          <w:szCs w:val="34"/>
          <w:rtl/>
        </w:rPr>
        <w:t>لا</w:t>
      </w:r>
      <w:r>
        <w:rPr>
          <w:rFonts w:ascii="mylotus" w:hAnsi="mylotus" w:hint="cs"/>
          <w:sz w:val="34"/>
          <w:szCs w:val="34"/>
          <w:rtl/>
        </w:rPr>
        <w:t xml:space="preserve"> </w:t>
      </w:r>
      <w:r w:rsidRPr="001C0D48">
        <w:rPr>
          <w:rFonts w:ascii="mylotus" w:hAnsi="mylotus"/>
          <w:sz w:val="34"/>
          <w:szCs w:val="34"/>
          <w:rtl/>
        </w:rPr>
        <w:t>حدوثاً</w:t>
      </w:r>
      <w:r>
        <w:rPr>
          <w:rFonts w:ascii="mylotus" w:hAnsi="mylotus" w:hint="cs"/>
          <w:sz w:val="34"/>
          <w:szCs w:val="34"/>
          <w:rtl/>
        </w:rPr>
        <w:t>-</w:t>
      </w:r>
      <w:r w:rsidRPr="001C0D48">
        <w:rPr>
          <w:rFonts w:ascii="mylotus" w:hAnsi="mylotus"/>
          <w:sz w:val="34"/>
          <w:szCs w:val="34"/>
          <w:rtl/>
        </w:rPr>
        <w:t>، بل إنّ النسخ نفسه ينطوي على الإقرار بحدوث الحكم، فكذلك الفسخ بالنظر العرفي فهو رفعٌ للعقد بقاءً لا رفعٌ للعقد مِن أصله؛ باعتبار أنّ نفوذ العقد أمرٌ اعتباري، فيُتصور لَهُ حدوثٌ وبقاءٌ في وعاءِ الاعتبار</w:t>
      </w:r>
      <w:r w:rsidRPr="001C0D48">
        <w:rPr>
          <w:rFonts w:ascii="mylotus" w:hAnsi="mylotus"/>
          <w:sz w:val="34"/>
          <w:szCs w:val="34"/>
        </w:rPr>
        <w:t>.</w:t>
      </w:r>
    </w:p>
    <w:p w14:paraId="65580C67"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b/>
          <w:bCs/>
          <w:sz w:val="34"/>
          <w:szCs w:val="34"/>
          <w:rtl/>
        </w:rPr>
        <w:t>وبناءً على ذلك،</w:t>
      </w:r>
      <w:r w:rsidRPr="001C0D48">
        <w:rPr>
          <w:rFonts w:ascii="mylotus" w:hAnsi="mylotus"/>
          <w:sz w:val="34"/>
          <w:szCs w:val="34"/>
          <w:rtl/>
        </w:rPr>
        <w:t xml:space="preserve"> فإذا تعقب العقد بالفسخ، كان أثر الفسخ قطع استمرار العقد في وعاء الاعتبار، لا رفع العقد مِن أصله</w:t>
      </w:r>
      <w:r w:rsidRPr="001C0D48">
        <w:rPr>
          <w:rFonts w:ascii="mylotus" w:hAnsi="mylotus"/>
          <w:sz w:val="34"/>
          <w:szCs w:val="34"/>
        </w:rPr>
        <w:t>.</w:t>
      </w:r>
    </w:p>
    <w:p w14:paraId="7DE0C7DF"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b/>
          <w:bCs/>
          <w:sz w:val="34"/>
          <w:szCs w:val="34"/>
          <w:rtl/>
        </w:rPr>
        <w:t>وبعبارةٍ أُخرى:</w:t>
      </w:r>
      <w:r w:rsidRPr="001C0D48">
        <w:rPr>
          <w:rFonts w:ascii="mylotus" w:hAnsi="mylotus"/>
          <w:sz w:val="34"/>
          <w:szCs w:val="34"/>
          <w:rtl/>
        </w:rPr>
        <w:t xml:space="preserve"> أنّ الفسخ رفعٌ لا دفعٌ، فمقتضاهُ ترتيبُ آثار العقد في المدّة المنصرمة قَبل تحقّق الفسخ، أي: أنّ آثار المِلكيّة الحدوثية </w:t>
      </w:r>
      <w:proofErr w:type="spellStart"/>
      <w:r w:rsidRPr="001C0D48">
        <w:rPr>
          <w:rFonts w:ascii="mylotus" w:hAnsi="mylotus"/>
          <w:sz w:val="34"/>
          <w:szCs w:val="34"/>
          <w:rtl/>
        </w:rPr>
        <w:t>كالنماءات</w:t>
      </w:r>
      <w:proofErr w:type="spellEnd"/>
      <w:r w:rsidRPr="001C0D48">
        <w:rPr>
          <w:rFonts w:ascii="mylotus" w:hAnsi="mylotus"/>
          <w:sz w:val="34"/>
          <w:szCs w:val="34"/>
          <w:rtl/>
        </w:rPr>
        <w:t xml:space="preserve"> المنفصلة ترجعُ لمِلك المتعاملين، فترجعُ </w:t>
      </w:r>
      <w:proofErr w:type="spellStart"/>
      <w:r w:rsidRPr="001C0D48">
        <w:rPr>
          <w:rFonts w:ascii="mylotus" w:hAnsi="mylotus"/>
          <w:sz w:val="34"/>
          <w:szCs w:val="34"/>
          <w:rtl/>
        </w:rPr>
        <w:t>نماءات</w:t>
      </w:r>
      <w:proofErr w:type="spellEnd"/>
      <w:r w:rsidRPr="001C0D48">
        <w:rPr>
          <w:rFonts w:ascii="mylotus" w:hAnsi="mylotus"/>
          <w:sz w:val="34"/>
          <w:szCs w:val="34"/>
          <w:rtl/>
        </w:rPr>
        <w:t xml:space="preserve"> المنافع السابقة للمُستأجر، وترجع </w:t>
      </w:r>
      <w:proofErr w:type="spellStart"/>
      <w:r w:rsidRPr="001C0D48">
        <w:rPr>
          <w:rFonts w:ascii="mylotus" w:hAnsi="mylotus"/>
          <w:sz w:val="34"/>
          <w:szCs w:val="34"/>
          <w:rtl/>
        </w:rPr>
        <w:t>نماءات</w:t>
      </w:r>
      <w:proofErr w:type="spellEnd"/>
      <w:r w:rsidRPr="001C0D48">
        <w:rPr>
          <w:rFonts w:ascii="mylotus" w:hAnsi="mylotus"/>
          <w:sz w:val="34"/>
          <w:szCs w:val="34"/>
          <w:rtl/>
        </w:rPr>
        <w:t xml:space="preserve"> الأُجرة المقابلة للمنافع السابقة للمؤجّر</w:t>
      </w:r>
      <w:r w:rsidRPr="001C0D48">
        <w:rPr>
          <w:rFonts w:ascii="mylotus" w:hAnsi="mylotus"/>
          <w:sz w:val="34"/>
          <w:szCs w:val="34"/>
        </w:rPr>
        <w:t>.</w:t>
      </w:r>
    </w:p>
    <w:p w14:paraId="3360AAE7" w14:textId="77777777" w:rsidR="008A711D" w:rsidRDefault="008A711D" w:rsidP="008A711D">
      <w:pPr>
        <w:pStyle w:val="a"/>
        <w:bidi/>
        <w:spacing w:line="216" w:lineRule="auto"/>
        <w:rPr>
          <w:rFonts w:ascii="mylotus" w:hAnsi="mylotus"/>
          <w:sz w:val="34"/>
          <w:szCs w:val="34"/>
          <w:rtl/>
        </w:rPr>
      </w:pPr>
      <w:r w:rsidRPr="001C0D48">
        <w:rPr>
          <w:rFonts w:ascii="mylotus" w:hAnsi="mylotus"/>
          <w:sz w:val="34"/>
          <w:szCs w:val="34"/>
          <w:rtl/>
        </w:rPr>
        <w:t>وب</w:t>
      </w:r>
      <w:r>
        <w:rPr>
          <w:rFonts w:ascii="mylotus" w:hAnsi="mylotus" w:hint="cs"/>
          <w:sz w:val="34"/>
          <w:szCs w:val="34"/>
          <w:rtl/>
        </w:rPr>
        <w:t>ِ</w:t>
      </w:r>
      <w:r w:rsidRPr="001C0D48">
        <w:rPr>
          <w:rFonts w:ascii="mylotus" w:hAnsi="mylotus"/>
          <w:sz w:val="34"/>
          <w:szCs w:val="34"/>
          <w:rtl/>
        </w:rPr>
        <w:t>ه</w:t>
      </w:r>
      <w:r>
        <w:rPr>
          <w:rFonts w:ascii="mylotus" w:hAnsi="mylotus" w:hint="cs"/>
          <w:sz w:val="34"/>
          <w:szCs w:val="34"/>
          <w:rtl/>
        </w:rPr>
        <w:t>ِ</w:t>
      </w:r>
      <w:r w:rsidRPr="001C0D48">
        <w:rPr>
          <w:rFonts w:ascii="mylotus" w:hAnsi="mylotus"/>
          <w:sz w:val="34"/>
          <w:szCs w:val="34"/>
          <w:rtl/>
        </w:rPr>
        <w:t xml:space="preserve"> يتضح</w:t>
      </w:r>
      <w:r>
        <w:rPr>
          <w:rFonts w:ascii="mylotus" w:hAnsi="mylotus" w:hint="cs"/>
          <w:sz w:val="34"/>
          <w:szCs w:val="34"/>
          <w:rtl/>
        </w:rPr>
        <w:t>ُ</w:t>
      </w:r>
      <w:r w:rsidRPr="001C0D48">
        <w:rPr>
          <w:rFonts w:ascii="mylotus" w:hAnsi="mylotus"/>
          <w:sz w:val="34"/>
          <w:szCs w:val="34"/>
          <w:rtl/>
        </w:rPr>
        <w:t xml:space="preserve"> وجهُ الفرق بين الفسخ والإجازة وهو الفرق م</w:t>
      </w:r>
      <w:r>
        <w:rPr>
          <w:rFonts w:ascii="mylotus" w:hAnsi="mylotus" w:hint="cs"/>
          <w:sz w:val="34"/>
          <w:szCs w:val="34"/>
          <w:rtl/>
        </w:rPr>
        <w:t>ِ</w:t>
      </w:r>
      <w:r w:rsidRPr="001C0D48">
        <w:rPr>
          <w:rFonts w:ascii="mylotus" w:hAnsi="mylotus"/>
          <w:sz w:val="34"/>
          <w:szCs w:val="34"/>
          <w:rtl/>
        </w:rPr>
        <w:t>ن حيث</w:t>
      </w:r>
      <w:r>
        <w:rPr>
          <w:rFonts w:ascii="mylotus" w:hAnsi="mylotus" w:hint="cs"/>
          <w:sz w:val="34"/>
          <w:szCs w:val="34"/>
          <w:rtl/>
        </w:rPr>
        <w:t>ُ</w:t>
      </w:r>
      <w:r w:rsidRPr="001C0D48">
        <w:rPr>
          <w:rFonts w:ascii="mylotus" w:hAnsi="mylotus"/>
          <w:sz w:val="34"/>
          <w:szCs w:val="34"/>
          <w:rtl/>
        </w:rPr>
        <w:t xml:space="preserve"> المتعل</w:t>
      </w:r>
      <w:r>
        <w:rPr>
          <w:rFonts w:ascii="mylotus" w:hAnsi="mylotus" w:hint="cs"/>
          <w:sz w:val="34"/>
          <w:szCs w:val="34"/>
          <w:rtl/>
        </w:rPr>
        <w:t>ّ</w:t>
      </w:r>
      <w:r w:rsidRPr="001C0D48">
        <w:rPr>
          <w:rFonts w:ascii="mylotus" w:hAnsi="mylotus"/>
          <w:sz w:val="34"/>
          <w:szCs w:val="34"/>
          <w:rtl/>
        </w:rPr>
        <w:t>ق؛ فإنّ الإجازة في العقد الفضولي تتعلّق بالعقد حين حدوثه، بينما الفسخ يتعلّق باستمرار العقد</w:t>
      </w:r>
      <w:r w:rsidRPr="001C0D48">
        <w:rPr>
          <w:rFonts w:ascii="mylotus" w:hAnsi="mylotus"/>
          <w:sz w:val="34"/>
          <w:szCs w:val="34"/>
        </w:rPr>
        <w:t>.</w:t>
      </w:r>
    </w:p>
    <w:p w14:paraId="1E89212F"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sz w:val="34"/>
          <w:szCs w:val="34"/>
          <w:rtl/>
        </w:rPr>
        <w:t>ولذلك ذكر في إجازة العقد الفضولي: أن</w:t>
      </w:r>
      <w:r>
        <w:rPr>
          <w:rFonts w:ascii="mylotus" w:hAnsi="mylotus" w:hint="cs"/>
          <w:sz w:val="34"/>
          <w:szCs w:val="34"/>
          <w:rtl/>
        </w:rPr>
        <w:t>ّ</w:t>
      </w:r>
      <w:r w:rsidRPr="001C0D48">
        <w:rPr>
          <w:rFonts w:ascii="mylotus" w:hAnsi="mylotus"/>
          <w:sz w:val="34"/>
          <w:szCs w:val="34"/>
          <w:rtl/>
        </w:rPr>
        <w:t>ه إنْ قُلنا بالنقل فزمان الاعتبار والمعتبر هو وقت الإجازة</w:t>
      </w:r>
      <w:r w:rsidRPr="001C0D48">
        <w:rPr>
          <w:rFonts w:ascii="mylotus" w:hAnsi="mylotus"/>
          <w:sz w:val="34"/>
          <w:szCs w:val="34"/>
        </w:rPr>
        <w:t>.</w:t>
      </w:r>
    </w:p>
    <w:p w14:paraId="0DCAC392"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sz w:val="34"/>
          <w:szCs w:val="34"/>
          <w:rtl/>
        </w:rPr>
        <w:t>وإنْ قُلنا بالكشف الحقيقي، فزمان الاعتبار هو وقت الإجازة لكن زمان المعتبر مِن حين حصول العقد،</w:t>
      </w:r>
      <w:r>
        <w:rPr>
          <w:rFonts w:ascii="mylotus" w:hAnsi="mylotus" w:hint="cs"/>
          <w:sz w:val="34"/>
          <w:szCs w:val="34"/>
          <w:rtl/>
        </w:rPr>
        <w:t xml:space="preserve"> </w:t>
      </w:r>
      <w:r w:rsidRPr="001C0D48">
        <w:rPr>
          <w:rFonts w:ascii="mylotus" w:hAnsi="mylotus"/>
          <w:sz w:val="34"/>
          <w:szCs w:val="34"/>
          <w:rtl/>
        </w:rPr>
        <w:t xml:space="preserve">أي: أنّ صدور اعتبار الشارع للمِلكيّة إنّما تحقّق في زمان الإجازة، لكن </w:t>
      </w:r>
      <w:r w:rsidRPr="001C0D48">
        <w:rPr>
          <w:rFonts w:ascii="mylotus" w:hAnsi="mylotus"/>
          <w:sz w:val="34"/>
          <w:szCs w:val="34"/>
          <w:rtl/>
        </w:rPr>
        <w:lastRenderedPageBreak/>
        <w:t xml:space="preserve">المعتبر بالاعتبار </w:t>
      </w:r>
      <w:proofErr w:type="gramStart"/>
      <w:r w:rsidRPr="001C0D48">
        <w:rPr>
          <w:rFonts w:ascii="mylotus" w:hAnsi="mylotus"/>
          <w:sz w:val="34"/>
          <w:szCs w:val="34"/>
          <w:rtl/>
        </w:rPr>
        <w:t>اللاحق  سابق</w:t>
      </w:r>
      <w:proofErr w:type="gramEnd"/>
      <w:r w:rsidRPr="001C0D48">
        <w:rPr>
          <w:rFonts w:ascii="mylotus" w:hAnsi="mylotus"/>
          <w:sz w:val="34"/>
          <w:szCs w:val="34"/>
          <w:rtl/>
        </w:rPr>
        <w:t xml:space="preserve"> على الاعتبار زماناً وهو حصول المِلكيّة للمشتري مِن حين العقد</w:t>
      </w:r>
      <w:r w:rsidRPr="001C0D48">
        <w:rPr>
          <w:rFonts w:ascii="mylotus" w:hAnsi="mylotus"/>
          <w:sz w:val="34"/>
          <w:szCs w:val="34"/>
        </w:rPr>
        <w:t>.</w:t>
      </w:r>
    </w:p>
    <w:p w14:paraId="36BD740F"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sz w:val="34"/>
          <w:szCs w:val="34"/>
          <w:rtl/>
        </w:rPr>
        <w:t>وإنْ قُلنا بالكشف الانقلابي، فمعناه هو: التفكيك بحسب الآثار</w:t>
      </w:r>
      <w:r w:rsidRPr="001C0D48">
        <w:rPr>
          <w:rFonts w:ascii="mylotus" w:hAnsi="mylotus"/>
          <w:sz w:val="34"/>
          <w:szCs w:val="34"/>
        </w:rPr>
        <w:t>.</w:t>
      </w:r>
    </w:p>
    <w:p w14:paraId="1D1A29E2" w14:textId="77777777" w:rsidR="008A711D" w:rsidRDefault="008A711D" w:rsidP="008A711D">
      <w:pPr>
        <w:pStyle w:val="a"/>
        <w:bidi/>
        <w:spacing w:line="216" w:lineRule="auto"/>
        <w:rPr>
          <w:rFonts w:ascii="mylotus" w:hAnsi="mylotus"/>
          <w:sz w:val="34"/>
          <w:szCs w:val="34"/>
          <w:rtl/>
        </w:rPr>
      </w:pPr>
      <w:r w:rsidRPr="001C0D48">
        <w:rPr>
          <w:rFonts w:ascii="mylotus" w:hAnsi="mylotus"/>
          <w:sz w:val="34"/>
          <w:szCs w:val="34"/>
          <w:rtl/>
        </w:rPr>
        <w:t xml:space="preserve">فإنّ آثار المِلكيّة تثبتُ للمُشتري مِن حين زمان العقد وإنْ لَمْ تثبت لَهُ المِلكيّة حقيقةً، فلو كانت هناك </w:t>
      </w:r>
      <w:proofErr w:type="spellStart"/>
      <w:r w:rsidRPr="001C0D48">
        <w:rPr>
          <w:rFonts w:ascii="mylotus" w:hAnsi="mylotus"/>
          <w:sz w:val="34"/>
          <w:szCs w:val="34"/>
          <w:rtl/>
        </w:rPr>
        <w:t>نماءات</w:t>
      </w:r>
      <w:proofErr w:type="spellEnd"/>
      <w:r w:rsidRPr="001C0D48">
        <w:rPr>
          <w:rFonts w:ascii="mylotus" w:hAnsi="mylotus"/>
          <w:sz w:val="34"/>
          <w:szCs w:val="34"/>
          <w:rtl/>
        </w:rPr>
        <w:t xml:space="preserve"> ما زالت موجودة ول</w:t>
      </w:r>
      <w:r>
        <w:rPr>
          <w:rFonts w:ascii="mylotus" w:hAnsi="mylotus" w:hint="cs"/>
          <w:sz w:val="34"/>
          <w:szCs w:val="34"/>
          <w:rtl/>
        </w:rPr>
        <w:t>َ</w:t>
      </w:r>
      <w:r w:rsidRPr="001C0D48">
        <w:rPr>
          <w:rFonts w:ascii="mylotus" w:hAnsi="mylotus"/>
          <w:sz w:val="34"/>
          <w:szCs w:val="34"/>
          <w:rtl/>
        </w:rPr>
        <w:t>م</w:t>
      </w:r>
      <w:r>
        <w:rPr>
          <w:rFonts w:ascii="mylotus" w:hAnsi="mylotus" w:hint="cs"/>
          <w:sz w:val="34"/>
          <w:szCs w:val="34"/>
          <w:rtl/>
        </w:rPr>
        <w:t>ْ</w:t>
      </w:r>
      <w:r w:rsidRPr="001C0D48">
        <w:rPr>
          <w:rFonts w:ascii="mylotus" w:hAnsi="mylotus"/>
          <w:sz w:val="34"/>
          <w:szCs w:val="34"/>
          <w:rtl/>
        </w:rPr>
        <w:t xml:space="preserve"> تستوفَ فهي تعود للمُشتر</w:t>
      </w:r>
      <w:r>
        <w:rPr>
          <w:rFonts w:ascii="mylotus" w:hAnsi="mylotus" w:hint="cs"/>
          <w:sz w:val="34"/>
          <w:szCs w:val="34"/>
          <w:rtl/>
        </w:rPr>
        <w:t>ي.</w:t>
      </w:r>
    </w:p>
    <w:p w14:paraId="0FC5930E"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b/>
          <w:bCs/>
          <w:sz w:val="34"/>
          <w:szCs w:val="34"/>
          <w:rtl/>
        </w:rPr>
        <w:t>فالنتيجةُ: أنّ الصحيح:</w:t>
      </w:r>
      <w:r w:rsidRPr="001C0D48">
        <w:rPr>
          <w:rFonts w:ascii="mylotus" w:hAnsi="mylotus"/>
          <w:sz w:val="34"/>
          <w:szCs w:val="34"/>
          <w:rtl/>
        </w:rPr>
        <w:t xml:space="preserve"> أنّ الفسخ حلّ للعقد مِن حينه، ومقتضى ذلك أنْ ترتب آثار المِلكيّة الحدوثية</w:t>
      </w:r>
      <w:r w:rsidRPr="001C0D48">
        <w:rPr>
          <w:rFonts w:ascii="mylotus" w:hAnsi="mylotus"/>
          <w:sz w:val="34"/>
          <w:szCs w:val="34"/>
        </w:rPr>
        <w:t>.</w:t>
      </w:r>
    </w:p>
    <w:p w14:paraId="29A72C4C" w14:textId="77777777" w:rsidR="008A711D" w:rsidRDefault="008A711D" w:rsidP="008A711D">
      <w:pPr>
        <w:pStyle w:val="a"/>
        <w:bidi/>
        <w:spacing w:line="216" w:lineRule="auto"/>
        <w:rPr>
          <w:rFonts w:ascii="mylotus" w:hAnsi="mylotus"/>
          <w:b/>
          <w:bCs/>
          <w:sz w:val="34"/>
          <w:szCs w:val="34"/>
          <w:rtl/>
        </w:rPr>
      </w:pPr>
      <w:r w:rsidRPr="001C0D48">
        <w:rPr>
          <w:rFonts w:ascii="mylotus" w:hAnsi="mylotus"/>
          <w:b/>
          <w:bCs/>
          <w:sz w:val="34"/>
          <w:szCs w:val="34"/>
          <w:rtl/>
        </w:rPr>
        <w:t>وأمّا تنقيح</w:t>
      </w:r>
      <w:r>
        <w:rPr>
          <w:rFonts w:ascii="mylotus" w:hAnsi="mylotus" w:hint="cs"/>
          <w:b/>
          <w:bCs/>
          <w:sz w:val="34"/>
          <w:szCs w:val="34"/>
          <w:rtl/>
        </w:rPr>
        <w:t>ُ</w:t>
      </w:r>
      <w:r w:rsidRPr="001C0D48">
        <w:rPr>
          <w:rFonts w:ascii="mylotus" w:hAnsi="mylotus"/>
          <w:b/>
          <w:bCs/>
          <w:sz w:val="34"/>
          <w:szCs w:val="34"/>
          <w:rtl/>
        </w:rPr>
        <w:t xml:space="preserve"> المطلب في الجهة الثالثة م</w:t>
      </w:r>
      <w:r>
        <w:rPr>
          <w:rFonts w:ascii="mylotus" w:hAnsi="mylotus" w:hint="cs"/>
          <w:b/>
          <w:bCs/>
          <w:sz w:val="34"/>
          <w:szCs w:val="34"/>
          <w:rtl/>
        </w:rPr>
        <w:t>ِ</w:t>
      </w:r>
      <w:r w:rsidRPr="001C0D48">
        <w:rPr>
          <w:rFonts w:ascii="mylotus" w:hAnsi="mylotus"/>
          <w:b/>
          <w:bCs/>
          <w:sz w:val="34"/>
          <w:szCs w:val="34"/>
          <w:rtl/>
        </w:rPr>
        <w:t>ن البحث الكبروي:</w:t>
      </w:r>
    </w:p>
    <w:p w14:paraId="0D5B1988"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sz w:val="34"/>
          <w:szCs w:val="34"/>
          <w:rtl/>
        </w:rPr>
        <w:t>وهي</w:t>
      </w:r>
      <w:r>
        <w:rPr>
          <w:rFonts w:ascii="mylotus" w:hAnsi="mylotus" w:hint="cs"/>
          <w:sz w:val="34"/>
          <w:szCs w:val="34"/>
          <w:rtl/>
        </w:rPr>
        <w:t>:</w:t>
      </w:r>
      <w:r w:rsidRPr="001C0D48">
        <w:rPr>
          <w:rFonts w:ascii="mylotus" w:hAnsi="mylotus"/>
          <w:sz w:val="34"/>
          <w:szCs w:val="34"/>
          <w:rtl/>
        </w:rPr>
        <w:t xml:space="preserve"> أن</w:t>
      </w:r>
      <w:r>
        <w:rPr>
          <w:rFonts w:ascii="mylotus" w:hAnsi="mylotus" w:hint="cs"/>
          <w:sz w:val="34"/>
          <w:szCs w:val="34"/>
          <w:rtl/>
        </w:rPr>
        <w:t>ّ</w:t>
      </w:r>
      <w:r w:rsidRPr="001C0D48">
        <w:rPr>
          <w:rFonts w:ascii="mylotus" w:hAnsi="mylotus"/>
          <w:sz w:val="34"/>
          <w:szCs w:val="34"/>
          <w:rtl/>
        </w:rPr>
        <w:t xml:space="preserve">ه على فرض أنّ الفسخ حلّ للعقد مِن أصله -كما أفاده سيدنا الخوئي (قدس سره </w:t>
      </w:r>
      <w:proofErr w:type="gramStart"/>
      <w:r w:rsidRPr="001C0D48">
        <w:rPr>
          <w:rFonts w:ascii="mylotus" w:hAnsi="mylotus"/>
          <w:sz w:val="34"/>
          <w:szCs w:val="34"/>
          <w:rtl/>
        </w:rPr>
        <w:t>الشريف)-</w:t>
      </w:r>
      <w:proofErr w:type="gramEnd"/>
      <w:r w:rsidRPr="001C0D48">
        <w:rPr>
          <w:rFonts w:ascii="mylotus" w:hAnsi="mylotus"/>
          <w:sz w:val="34"/>
          <w:szCs w:val="34"/>
          <w:rtl/>
        </w:rPr>
        <w:t xml:space="preserve"> فهل هو حلّ حقيقةً أم حكماً؟</w:t>
      </w:r>
    </w:p>
    <w:p w14:paraId="7AEF398A"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b/>
          <w:bCs/>
          <w:sz w:val="34"/>
          <w:szCs w:val="34"/>
          <w:rtl/>
        </w:rPr>
        <w:t>وثمرةُ ذلك:</w:t>
      </w:r>
      <w:r w:rsidRPr="001C0D48">
        <w:rPr>
          <w:rFonts w:ascii="mylotus" w:hAnsi="mylotus"/>
          <w:sz w:val="34"/>
          <w:szCs w:val="34"/>
          <w:rtl/>
        </w:rPr>
        <w:t xml:space="preserve"> أنّه لو فرض أنّ المالك آجر الدار لزيدٍ لمدّة سنة، ثمّ باعها لبكرٍ بعد شهرٍ، فهذا يعني أنّه باعها مسلوبة المنفعة؛ لأنّها عينٌ مستأجرة ومنافعها مملوكةٌ لزيدٍ، فلو كان المُستأجر جاهلاً بأنّ الدار بيعتْ لزيدٍ، ثمّ تبيّن له أنّ العين في الفترة الفعلية ليست للمالك الأوّل، وكان ذلك بالنظر العرفي عيباً؛ ولو لأنّ المالك الجديد لا يراعي شروط الإجارة، فلو فسخ الم</w:t>
      </w:r>
      <w:r>
        <w:rPr>
          <w:rFonts w:ascii="mylotus" w:hAnsi="mylotus" w:hint="cs"/>
          <w:sz w:val="34"/>
          <w:szCs w:val="34"/>
          <w:rtl/>
        </w:rPr>
        <w:t>ُ</w:t>
      </w:r>
      <w:r w:rsidRPr="001C0D48">
        <w:rPr>
          <w:rFonts w:ascii="mylotus" w:hAnsi="mylotus"/>
          <w:sz w:val="34"/>
          <w:szCs w:val="34"/>
          <w:rtl/>
        </w:rPr>
        <w:t>ستأجر الإجارة حينئذ</w:t>
      </w:r>
      <w:r>
        <w:rPr>
          <w:rFonts w:ascii="mylotus" w:hAnsi="mylotus" w:hint="cs"/>
          <w:sz w:val="34"/>
          <w:szCs w:val="34"/>
          <w:rtl/>
        </w:rPr>
        <w:t>ٍ</w:t>
      </w:r>
      <w:r w:rsidRPr="001C0D48">
        <w:rPr>
          <w:rFonts w:ascii="mylotus" w:hAnsi="mylotus"/>
          <w:sz w:val="34"/>
          <w:szCs w:val="34"/>
          <w:rtl/>
        </w:rPr>
        <w:t xml:space="preserve"> مِن باب خيار العيب</w:t>
      </w:r>
      <w:r>
        <w:rPr>
          <w:rFonts w:ascii="mylotus" w:hAnsi="mylotus" w:hint="cs"/>
          <w:sz w:val="34"/>
          <w:szCs w:val="34"/>
          <w:rtl/>
        </w:rPr>
        <w:t xml:space="preserve">، </w:t>
      </w:r>
      <w:r w:rsidRPr="001C0D48">
        <w:rPr>
          <w:rFonts w:ascii="mylotus" w:hAnsi="mylotus"/>
          <w:sz w:val="34"/>
          <w:szCs w:val="34"/>
          <w:rtl/>
        </w:rPr>
        <w:t xml:space="preserve">فلِمَن تعودُ المنافع في المدّة الباقية - للمالك الجديد- </w:t>
      </w:r>
      <w:proofErr w:type="gramStart"/>
      <w:r w:rsidRPr="001C0D48">
        <w:rPr>
          <w:rFonts w:ascii="mylotus" w:hAnsi="mylotus"/>
          <w:sz w:val="34"/>
          <w:szCs w:val="34"/>
          <w:rtl/>
        </w:rPr>
        <w:t>أم  للبائع</w:t>
      </w:r>
      <w:proofErr w:type="gramEnd"/>
      <w:r w:rsidRPr="001C0D48">
        <w:rPr>
          <w:rFonts w:ascii="mylotus" w:hAnsi="mylotus"/>
          <w:sz w:val="34"/>
          <w:szCs w:val="34"/>
          <w:rtl/>
        </w:rPr>
        <w:t>؟</w:t>
      </w:r>
    </w:p>
    <w:p w14:paraId="467F59BF"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b/>
          <w:bCs/>
          <w:sz w:val="34"/>
          <w:szCs w:val="34"/>
          <w:rtl/>
        </w:rPr>
        <w:t>والجواب:</w:t>
      </w:r>
      <w:r w:rsidRPr="001C0D48">
        <w:rPr>
          <w:rFonts w:ascii="mylotus" w:hAnsi="mylotus"/>
          <w:sz w:val="34"/>
          <w:szCs w:val="34"/>
          <w:rtl/>
        </w:rPr>
        <w:t xml:space="preserve"> أن</w:t>
      </w:r>
      <w:r>
        <w:rPr>
          <w:rFonts w:ascii="mylotus" w:hAnsi="mylotus" w:hint="cs"/>
          <w:sz w:val="34"/>
          <w:szCs w:val="34"/>
          <w:rtl/>
        </w:rPr>
        <w:t>ّ</w:t>
      </w:r>
      <w:r w:rsidRPr="001C0D48">
        <w:rPr>
          <w:rFonts w:ascii="mylotus" w:hAnsi="mylotus"/>
          <w:sz w:val="34"/>
          <w:szCs w:val="34"/>
          <w:rtl/>
        </w:rPr>
        <w:t>ه إنْ قِيل إنّ الفسخ حلّ للعقد مِن أصله حلّاً حقيقياً كأنّه لَمْ يكن، بمعنى: أنّ نفوذ عقد الإجارة حين وقوعه كان مشروطاً بشرطٍ متأخرٍ وهو عدمُ حصول الفسخ لسببٍ مِن الأسباب، فإذا حصل الفسخ كشف عن أنّ نفوذ العقد لَمْ يقع، وحيثُ لَمْ يقع النفوذُ للعقد مِن أصله، فما هو المانع حينئذٍ مِن رجوع المنافع للمشتري؛ باعتبار أنّ المانع مِن رجوع المنافع إليه أنّ العين كانت مسلوبة المنفعة، وكونُ العين مسلوبة المنفعة بنظر المرتكز العقلائي إنّما يكون إذا كان النقل للمنافع نقلاً باتاً، أمّا وقد تبيّن أنّ النقل قد ارتفع لأنّه كان مشروطاً بعدم حصول الفسخ وقد حصل الفسخ فالمرتكز العقلائي يرى أنّ العين لَمْ تنتقل للمُشتري مسلوبة المنفعة، بل انتقلتْ واجدةً للمنفعة</w:t>
      </w:r>
      <w:r w:rsidRPr="001C0D48">
        <w:rPr>
          <w:rFonts w:ascii="mylotus" w:hAnsi="mylotus"/>
          <w:sz w:val="34"/>
          <w:szCs w:val="34"/>
        </w:rPr>
        <w:t>.</w:t>
      </w:r>
    </w:p>
    <w:p w14:paraId="1EA2BC8C" w14:textId="77777777" w:rsidR="008A711D" w:rsidRDefault="008A711D" w:rsidP="008A711D">
      <w:pPr>
        <w:pStyle w:val="a"/>
        <w:bidi/>
        <w:spacing w:line="216" w:lineRule="auto"/>
        <w:rPr>
          <w:rFonts w:ascii="mylotus" w:hAnsi="mylotus"/>
          <w:sz w:val="34"/>
          <w:szCs w:val="34"/>
          <w:rtl/>
        </w:rPr>
      </w:pPr>
      <w:r w:rsidRPr="001C0D48">
        <w:rPr>
          <w:rFonts w:ascii="mylotus" w:hAnsi="mylotus"/>
          <w:sz w:val="34"/>
          <w:szCs w:val="34"/>
          <w:rtl/>
        </w:rPr>
        <w:t>وأمّا إذا قُلنا بأنّ الحلّ حلّ حكمي، فمعنى الحلّ الحكمي: أنّ العقد لَمْ ينحل حقيقة، بل وقع صحيحاً مؤثراً، وإنّما انحل</w:t>
      </w:r>
      <w:r>
        <w:rPr>
          <w:rFonts w:ascii="mylotus" w:hAnsi="mylotus" w:hint="cs"/>
          <w:sz w:val="34"/>
          <w:szCs w:val="34"/>
          <w:rtl/>
        </w:rPr>
        <w:t>ّ</w:t>
      </w:r>
      <w:r w:rsidRPr="001C0D48">
        <w:rPr>
          <w:rFonts w:ascii="mylotus" w:hAnsi="mylotus"/>
          <w:sz w:val="34"/>
          <w:szCs w:val="34"/>
          <w:rtl/>
        </w:rPr>
        <w:t xml:space="preserve"> بملاحظة الآثار</w:t>
      </w:r>
      <w:r>
        <w:rPr>
          <w:rFonts w:ascii="mylotus" w:hAnsi="mylotus" w:hint="cs"/>
          <w:sz w:val="34"/>
          <w:szCs w:val="34"/>
          <w:rtl/>
        </w:rPr>
        <w:t>.</w:t>
      </w:r>
    </w:p>
    <w:p w14:paraId="6427F743"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sz w:val="34"/>
          <w:szCs w:val="34"/>
          <w:rtl/>
        </w:rPr>
        <w:t xml:space="preserve">وهذا يعني أنّه لابُدّ مِن التفصيل بين الآثار، فالآثارُ المتصرمة كالمنافع المستوفاة ومعها </w:t>
      </w:r>
      <w:proofErr w:type="spellStart"/>
      <w:r w:rsidRPr="001C0D48">
        <w:rPr>
          <w:rFonts w:ascii="mylotus" w:hAnsi="mylotus"/>
          <w:sz w:val="34"/>
          <w:szCs w:val="34"/>
          <w:rtl/>
        </w:rPr>
        <w:t>نماءات</w:t>
      </w:r>
      <w:proofErr w:type="spellEnd"/>
      <w:r w:rsidRPr="001C0D48">
        <w:rPr>
          <w:rFonts w:ascii="mylotus" w:hAnsi="mylotus"/>
          <w:sz w:val="34"/>
          <w:szCs w:val="34"/>
          <w:rtl/>
        </w:rPr>
        <w:t xml:space="preserve"> المنافع في ظرفها فهي مما ثبت للمُستأجر، والمنافع الباقية تعودُ للبائع -لا للمُشتري-؛ لأنّ البائع حينما باع العين لزيدٍ باعها مسلوبة المنفعة بعقدٍ بات، والعقد حتى بعد الفسخ هو عقد</w:t>
      </w:r>
      <w:r>
        <w:rPr>
          <w:rFonts w:ascii="mylotus" w:hAnsi="mylotus" w:hint="cs"/>
          <w:sz w:val="34"/>
          <w:szCs w:val="34"/>
          <w:rtl/>
        </w:rPr>
        <w:t>ٌ</w:t>
      </w:r>
      <w:r w:rsidRPr="001C0D48">
        <w:rPr>
          <w:rFonts w:ascii="mylotus" w:hAnsi="mylotus"/>
          <w:sz w:val="34"/>
          <w:szCs w:val="34"/>
          <w:rtl/>
        </w:rPr>
        <w:t xml:space="preserve"> بات</w:t>
      </w:r>
      <w:r>
        <w:rPr>
          <w:rFonts w:ascii="mylotus" w:hAnsi="mylotus" w:hint="cs"/>
          <w:sz w:val="34"/>
          <w:szCs w:val="34"/>
          <w:rtl/>
        </w:rPr>
        <w:t>.</w:t>
      </w:r>
    </w:p>
    <w:p w14:paraId="6C45AC37" w14:textId="77777777" w:rsidR="008A711D" w:rsidRDefault="008A711D" w:rsidP="008A711D">
      <w:pPr>
        <w:pStyle w:val="a"/>
        <w:bidi/>
        <w:spacing w:line="216" w:lineRule="auto"/>
        <w:rPr>
          <w:rFonts w:ascii="mylotus" w:hAnsi="mylotus"/>
          <w:sz w:val="34"/>
          <w:szCs w:val="34"/>
          <w:rtl/>
        </w:rPr>
      </w:pPr>
      <w:r w:rsidRPr="001C0D48">
        <w:rPr>
          <w:rFonts w:ascii="mylotus" w:hAnsi="mylotus"/>
          <w:sz w:val="34"/>
          <w:szCs w:val="34"/>
          <w:rtl/>
        </w:rPr>
        <w:t>هذا ك</w:t>
      </w:r>
      <w:r>
        <w:rPr>
          <w:rFonts w:ascii="mylotus" w:hAnsi="mylotus" w:hint="cs"/>
          <w:sz w:val="34"/>
          <w:szCs w:val="34"/>
          <w:rtl/>
        </w:rPr>
        <w:t>ُ</w:t>
      </w:r>
      <w:r w:rsidRPr="001C0D48">
        <w:rPr>
          <w:rFonts w:ascii="mylotus" w:hAnsi="mylotus"/>
          <w:sz w:val="34"/>
          <w:szCs w:val="34"/>
          <w:rtl/>
        </w:rPr>
        <w:t>ل</w:t>
      </w:r>
      <w:r>
        <w:rPr>
          <w:rFonts w:ascii="mylotus" w:hAnsi="mylotus" w:hint="cs"/>
          <w:sz w:val="34"/>
          <w:szCs w:val="34"/>
          <w:rtl/>
        </w:rPr>
        <w:t>ّ</w:t>
      </w:r>
      <w:r w:rsidRPr="001C0D48">
        <w:rPr>
          <w:rFonts w:ascii="mylotus" w:hAnsi="mylotus"/>
          <w:sz w:val="34"/>
          <w:szCs w:val="34"/>
          <w:rtl/>
        </w:rPr>
        <w:t>ه م</w:t>
      </w:r>
      <w:r>
        <w:rPr>
          <w:rFonts w:ascii="mylotus" w:hAnsi="mylotus" w:hint="cs"/>
          <w:sz w:val="34"/>
          <w:szCs w:val="34"/>
          <w:rtl/>
        </w:rPr>
        <w:t>ِ</w:t>
      </w:r>
      <w:r w:rsidRPr="001C0D48">
        <w:rPr>
          <w:rFonts w:ascii="mylotus" w:hAnsi="mylotus"/>
          <w:sz w:val="34"/>
          <w:szCs w:val="34"/>
          <w:rtl/>
        </w:rPr>
        <w:t>ن حيث الكبرى</w:t>
      </w:r>
      <w:r>
        <w:rPr>
          <w:rFonts w:ascii="mylotus" w:hAnsi="mylotus" w:hint="cs"/>
          <w:sz w:val="34"/>
          <w:szCs w:val="34"/>
          <w:rtl/>
        </w:rPr>
        <w:t>.</w:t>
      </w:r>
    </w:p>
    <w:p w14:paraId="47ECA2E1"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b/>
          <w:bCs/>
          <w:sz w:val="34"/>
          <w:szCs w:val="34"/>
          <w:rtl/>
        </w:rPr>
        <w:t>وأمّا الصُغرى:</w:t>
      </w:r>
      <w:r w:rsidRPr="001C0D48">
        <w:rPr>
          <w:rFonts w:ascii="mylotus" w:hAnsi="mylotus"/>
          <w:sz w:val="34"/>
          <w:szCs w:val="34"/>
          <w:rtl/>
        </w:rPr>
        <w:t xml:space="preserve"> فإنّ سيدنا الخوئي (قدس سره الشريف) قد طبق المبنى الكُبروي على محلّ الكلام، وأفاد (قدس سره) بأنّ ما ذهب إليه المشهور إنّما يبتني على أنّ الفسخ حلّ للعقد مِن حينه -لا من أصل</w:t>
      </w:r>
      <w:r>
        <w:rPr>
          <w:rFonts w:ascii="mylotus" w:hAnsi="mylotus" w:hint="cs"/>
          <w:sz w:val="34"/>
          <w:szCs w:val="34"/>
          <w:rtl/>
        </w:rPr>
        <w:t>ه-.</w:t>
      </w:r>
    </w:p>
    <w:p w14:paraId="5C3176F7"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b/>
          <w:bCs/>
          <w:sz w:val="34"/>
          <w:szCs w:val="34"/>
          <w:rtl/>
        </w:rPr>
        <w:t>ولكن قد</w:t>
      </w:r>
      <w:r>
        <w:rPr>
          <w:rFonts w:ascii="mylotus" w:hAnsi="mylotus" w:hint="cs"/>
          <w:b/>
          <w:bCs/>
          <w:sz w:val="34"/>
          <w:szCs w:val="34"/>
          <w:rtl/>
        </w:rPr>
        <w:t xml:space="preserve"> </w:t>
      </w:r>
      <w:r w:rsidRPr="001C0D48">
        <w:rPr>
          <w:rFonts w:ascii="mylotus" w:hAnsi="mylotus"/>
          <w:b/>
          <w:bCs/>
          <w:sz w:val="34"/>
          <w:szCs w:val="34"/>
          <w:rtl/>
        </w:rPr>
        <w:t>ي</w:t>
      </w:r>
      <w:r>
        <w:rPr>
          <w:rFonts w:ascii="mylotus" w:hAnsi="mylotus" w:hint="cs"/>
          <w:b/>
          <w:bCs/>
          <w:sz w:val="34"/>
          <w:szCs w:val="34"/>
          <w:rtl/>
        </w:rPr>
        <w:t>ُ</w:t>
      </w:r>
      <w:r w:rsidRPr="001C0D48">
        <w:rPr>
          <w:rFonts w:ascii="mylotus" w:hAnsi="mylotus"/>
          <w:b/>
          <w:bCs/>
          <w:sz w:val="34"/>
          <w:szCs w:val="34"/>
          <w:rtl/>
        </w:rPr>
        <w:t>قال:</w:t>
      </w:r>
      <w:r w:rsidRPr="001C0D48">
        <w:rPr>
          <w:rFonts w:ascii="mylotus" w:hAnsi="mylotus"/>
          <w:sz w:val="34"/>
          <w:szCs w:val="34"/>
          <w:rtl/>
        </w:rPr>
        <w:t xml:space="preserve"> إن</w:t>
      </w:r>
      <w:r>
        <w:rPr>
          <w:rFonts w:ascii="mylotus" w:hAnsi="mylotus" w:hint="cs"/>
          <w:sz w:val="34"/>
          <w:szCs w:val="34"/>
          <w:rtl/>
        </w:rPr>
        <w:t>ّ</w:t>
      </w:r>
      <w:r w:rsidRPr="001C0D48">
        <w:rPr>
          <w:rFonts w:ascii="mylotus" w:hAnsi="mylotus"/>
          <w:sz w:val="34"/>
          <w:szCs w:val="34"/>
          <w:rtl/>
        </w:rPr>
        <w:t>ه لا ربط بين الكُبرى وبين ما ذهب إليه المشهور</w:t>
      </w:r>
      <w:r w:rsidRPr="001C0D48">
        <w:rPr>
          <w:rFonts w:ascii="mylotus" w:hAnsi="mylotus"/>
          <w:sz w:val="34"/>
          <w:szCs w:val="34"/>
        </w:rPr>
        <w:t>.</w:t>
      </w:r>
    </w:p>
    <w:p w14:paraId="70ADCAC7"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b/>
          <w:bCs/>
          <w:sz w:val="34"/>
          <w:szCs w:val="34"/>
          <w:rtl/>
        </w:rPr>
        <w:t>والسر في ذلك:</w:t>
      </w:r>
      <w:r w:rsidRPr="001C0D48">
        <w:rPr>
          <w:rFonts w:ascii="mylotus" w:hAnsi="mylotus"/>
          <w:sz w:val="34"/>
          <w:szCs w:val="34"/>
          <w:rtl/>
        </w:rPr>
        <w:t xml:space="preserve"> أنّ هناك فرقاً بين العقد ومتعلّق العقد</w:t>
      </w:r>
      <w:r w:rsidRPr="001C0D48">
        <w:rPr>
          <w:rFonts w:ascii="mylotus" w:hAnsi="mylotus"/>
          <w:sz w:val="34"/>
          <w:szCs w:val="34"/>
        </w:rPr>
        <w:t>.</w:t>
      </w:r>
    </w:p>
    <w:p w14:paraId="56492775"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sz w:val="34"/>
          <w:szCs w:val="34"/>
          <w:rtl/>
        </w:rPr>
        <w:lastRenderedPageBreak/>
        <w:t>فالعقدُ أمرٌ اعتباري لَهُ حدوثٌ وبقاءٌ في وعاء الاعتبار، فإذا حصل الفسخ لَهُ جاء</w:t>
      </w:r>
      <w:r>
        <w:rPr>
          <w:rFonts w:ascii="mylotus" w:hAnsi="mylotus" w:hint="cs"/>
          <w:sz w:val="34"/>
          <w:szCs w:val="34"/>
          <w:rtl/>
        </w:rPr>
        <w:t>َ</w:t>
      </w:r>
      <w:r w:rsidRPr="001C0D48">
        <w:rPr>
          <w:rFonts w:ascii="mylotus" w:hAnsi="mylotus"/>
          <w:sz w:val="34"/>
          <w:szCs w:val="34"/>
          <w:rtl/>
        </w:rPr>
        <w:t xml:space="preserve"> البحث</w:t>
      </w:r>
      <w:r>
        <w:rPr>
          <w:rFonts w:ascii="mylotus" w:hAnsi="mylotus" w:hint="cs"/>
          <w:sz w:val="34"/>
          <w:szCs w:val="34"/>
          <w:rtl/>
        </w:rPr>
        <w:t>ُ</w:t>
      </w:r>
      <w:r w:rsidRPr="001C0D48">
        <w:rPr>
          <w:rFonts w:ascii="mylotus" w:hAnsi="mylotus"/>
          <w:sz w:val="34"/>
          <w:szCs w:val="34"/>
          <w:rtl/>
        </w:rPr>
        <w:t>: هل أن</w:t>
      </w:r>
      <w:r>
        <w:rPr>
          <w:rFonts w:ascii="mylotus" w:hAnsi="mylotus" w:hint="cs"/>
          <w:sz w:val="34"/>
          <w:szCs w:val="34"/>
          <w:rtl/>
        </w:rPr>
        <w:t>ّ</w:t>
      </w:r>
      <w:r w:rsidRPr="001C0D48">
        <w:rPr>
          <w:rFonts w:ascii="mylotus" w:hAnsi="mylotus"/>
          <w:sz w:val="34"/>
          <w:szCs w:val="34"/>
          <w:rtl/>
        </w:rPr>
        <w:t xml:space="preserve"> الفسخ رفعٌ العقد مِن أصله عن وعاء الاعتبار أو رفعه بقاءً؟ إلّا أنّ متعلّق العقد لا يتغير سواءً قيل بأنّ الفسخ رفعٌ للعقد مِن أصله أو قيل بأنّ الفسخ رفعٌ للعقد مِن حينه؛ فإنّ متعلّق العقد -وهو مقابلة تمام المنافع بتمام الأُجرة المُسمّاة- واحدٌ</w:t>
      </w:r>
      <w:r w:rsidRPr="001C0D48">
        <w:rPr>
          <w:rFonts w:ascii="mylotus" w:hAnsi="mylotus"/>
          <w:sz w:val="34"/>
          <w:szCs w:val="34"/>
        </w:rPr>
        <w:t>.</w:t>
      </w:r>
    </w:p>
    <w:p w14:paraId="4F7B9463" w14:textId="77777777" w:rsidR="008A711D" w:rsidRPr="001C0D48" w:rsidRDefault="008A711D" w:rsidP="008A711D">
      <w:pPr>
        <w:pStyle w:val="a"/>
        <w:bidi/>
        <w:spacing w:line="216" w:lineRule="auto"/>
        <w:rPr>
          <w:rFonts w:ascii="mylotus" w:hAnsi="mylotus"/>
          <w:b/>
          <w:bCs/>
          <w:sz w:val="34"/>
          <w:szCs w:val="34"/>
          <w:rtl/>
        </w:rPr>
      </w:pPr>
      <w:r w:rsidRPr="001C0D48">
        <w:rPr>
          <w:rFonts w:ascii="mylotus" w:hAnsi="mylotus"/>
          <w:sz w:val="34"/>
          <w:szCs w:val="34"/>
          <w:rtl/>
        </w:rPr>
        <w:t xml:space="preserve">وبما أنّ متعلّق العقد واحدٌ، </w:t>
      </w:r>
      <w:r w:rsidRPr="001C0D48">
        <w:rPr>
          <w:rFonts w:ascii="mylotus" w:hAnsi="mylotus"/>
          <w:b/>
          <w:bCs/>
          <w:sz w:val="34"/>
          <w:szCs w:val="34"/>
          <w:rtl/>
        </w:rPr>
        <w:t>يأتي السؤال</w:t>
      </w:r>
      <w:r w:rsidRPr="001C0D48">
        <w:rPr>
          <w:rFonts w:ascii="mylotus" w:hAnsi="mylotus"/>
          <w:b/>
          <w:bCs/>
          <w:sz w:val="34"/>
          <w:szCs w:val="34"/>
        </w:rPr>
        <w:t>:</w:t>
      </w:r>
      <w:r w:rsidRPr="001C0D48">
        <w:rPr>
          <w:rFonts w:ascii="mylotus" w:hAnsi="mylotus" w:hint="cs"/>
          <w:b/>
          <w:bCs/>
          <w:sz w:val="34"/>
          <w:szCs w:val="34"/>
          <w:rtl/>
        </w:rPr>
        <w:t xml:space="preserve"> </w:t>
      </w:r>
      <w:r w:rsidRPr="001C0D48">
        <w:rPr>
          <w:rFonts w:ascii="mylotus" w:hAnsi="mylotus"/>
          <w:b/>
          <w:bCs/>
          <w:sz w:val="34"/>
          <w:szCs w:val="34"/>
          <w:rtl/>
        </w:rPr>
        <w:t>إذا حلّ العقد -وإن</w:t>
      </w:r>
      <w:r w:rsidRPr="001C0D48">
        <w:rPr>
          <w:rFonts w:ascii="mylotus" w:hAnsi="mylotus" w:hint="cs"/>
          <w:b/>
          <w:bCs/>
          <w:sz w:val="34"/>
          <w:szCs w:val="34"/>
          <w:rtl/>
        </w:rPr>
        <w:t>ْ</w:t>
      </w:r>
      <w:r w:rsidRPr="001C0D48">
        <w:rPr>
          <w:rFonts w:ascii="mylotus" w:hAnsi="mylotus"/>
          <w:b/>
          <w:bCs/>
          <w:sz w:val="34"/>
          <w:szCs w:val="34"/>
          <w:rtl/>
        </w:rPr>
        <w:t xml:space="preserve"> كان م</w:t>
      </w:r>
      <w:r w:rsidRPr="001C0D48">
        <w:rPr>
          <w:rFonts w:ascii="mylotus" w:hAnsi="mylotus" w:hint="cs"/>
          <w:b/>
          <w:bCs/>
          <w:sz w:val="34"/>
          <w:szCs w:val="34"/>
          <w:rtl/>
        </w:rPr>
        <w:t>ِ</w:t>
      </w:r>
      <w:r w:rsidRPr="001C0D48">
        <w:rPr>
          <w:rFonts w:ascii="mylotus" w:hAnsi="mylotus"/>
          <w:b/>
          <w:bCs/>
          <w:sz w:val="34"/>
          <w:szCs w:val="34"/>
          <w:rtl/>
        </w:rPr>
        <w:t>ن حينه- فما</w:t>
      </w:r>
      <w:r w:rsidRPr="001C0D48">
        <w:rPr>
          <w:rFonts w:ascii="mylotus" w:hAnsi="mylotus" w:hint="cs"/>
          <w:b/>
          <w:bCs/>
          <w:sz w:val="34"/>
          <w:szCs w:val="34"/>
          <w:rtl/>
        </w:rPr>
        <w:t xml:space="preserve"> </w:t>
      </w:r>
      <w:r w:rsidRPr="001C0D48">
        <w:rPr>
          <w:rFonts w:ascii="mylotus" w:hAnsi="mylotus"/>
          <w:b/>
          <w:bCs/>
          <w:sz w:val="34"/>
          <w:szCs w:val="34"/>
          <w:rtl/>
        </w:rPr>
        <w:t>الذي يقتضيه الفسخ بلحاظ متعلّقه هل هو استرداد تمام الم</w:t>
      </w:r>
      <w:r w:rsidRPr="001C0D48">
        <w:rPr>
          <w:rFonts w:ascii="mylotus" w:hAnsi="mylotus" w:hint="cs"/>
          <w:b/>
          <w:bCs/>
          <w:sz w:val="34"/>
          <w:szCs w:val="34"/>
          <w:rtl/>
        </w:rPr>
        <w:t>ُ</w:t>
      </w:r>
      <w:r w:rsidRPr="001C0D48">
        <w:rPr>
          <w:rFonts w:ascii="mylotus" w:hAnsi="mylotus"/>
          <w:b/>
          <w:bCs/>
          <w:sz w:val="34"/>
          <w:szCs w:val="34"/>
          <w:rtl/>
        </w:rPr>
        <w:t>سم</w:t>
      </w:r>
      <w:r w:rsidRPr="001C0D48">
        <w:rPr>
          <w:rFonts w:ascii="mylotus" w:hAnsi="mylotus" w:hint="cs"/>
          <w:b/>
          <w:bCs/>
          <w:sz w:val="34"/>
          <w:szCs w:val="34"/>
          <w:rtl/>
        </w:rPr>
        <w:t>ّ</w:t>
      </w:r>
      <w:r w:rsidRPr="001C0D48">
        <w:rPr>
          <w:rFonts w:ascii="mylotus" w:hAnsi="mylotus"/>
          <w:b/>
          <w:bCs/>
          <w:sz w:val="34"/>
          <w:szCs w:val="34"/>
          <w:rtl/>
        </w:rPr>
        <w:t>ى أم بعضه؟</w:t>
      </w:r>
    </w:p>
    <w:p w14:paraId="52F86E7C" w14:textId="77777777" w:rsidR="008A711D" w:rsidRPr="001C0D48" w:rsidRDefault="008A711D" w:rsidP="008A711D">
      <w:pPr>
        <w:pStyle w:val="a"/>
        <w:bidi/>
        <w:spacing w:line="216" w:lineRule="auto"/>
        <w:rPr>
          <w:rFonts w:ascii="mylotus" w:hAnsi="mylotus"/>
          <w:sz w:val="34"/>
          <w:szCs w:val="34"/>
          <w:rtl/>
        </w:rPr>
      </w:pPr>
      <w:r w:rsidRPr="001C0D48">
        <w:rPr>
          <w:rFonts w:ascii="mylotus" w:hAnsi="mylotus"/>
          <w:b/>
          <w:bCs/>
          <w:sz w:val="34"/>
          <w:szCs w:val="34"/>
          <w:rtl/>
        </w:rPr>
        <w:t xml:space="preserve">فرُبما يقول المشهور: </w:t>
      </w:r>
      <w:r w:rsidRPr="001C0D48">
        <w:rPr>
          <w:rFonts w:ascii="mylotus" w:hAnsi="mylotus"/>
          <w:sz w:val="34"/>
          <w:szCs w:val="34"/>
          <w:rtl/>
        </w:rPr>
        <w:t>بأن</w:t>
      </w:r>
      <w:r>
        <w:rPr>
          <w:rFonts w:ascii="mylotus" w:hAnsi="mylotus" w:hint="cs"/>
          <w:sz w:val="34"/>
          <w:szCs w:val="34"/>
          <w:rtl/>
        </w:rPr>
        <w:t>ّ</w:t>
      </w:r>
      <w:r w:rsidRPr="001C0D48">
        <w:rPr>
          <w:rFonts w:ascii="mylotus" w:hAnsi="mylotus"/>
          <w:sz w:val="34"/>
          <w:szCs w:val="34"/>
          <w:rtl/>
        </w:rPr>
        <w:t xml:space="preserve"> الفسخ وإنْ كان رفعاً للعقد مِن حينه إلّا أنّ متعلّقه استرجاع تمام الأُجرة المُسمّاة مقابل عود تمام المنافع للمؤجّر</w:t>
      </w:r>
      <w:r w:rsidRPr="001C0D48">
        <w:rPr>
          <w:rFonts w:ascii="mylotus" w:hAnsi="mylotus"/>
          <w:sz w:val="34"/>
          <w:szCs w:val="34"/>
        </w:rPr>
        <w:t>.</w:t>
      </w:r>
    </w:p>
    <w:p w14:paraId="1FB360B1" w14:textId="77777777" w:rsidR="008A711D" w:rsidRDefault="008A711D" w:rsidP="008A711D">
      <w:pPr>
        <w:pStyle w:val="a"/>
        <w:bidi/>
        <w:spacing w:line="216" w:lineRule="auto"/>
        <w:rPr>
          <w:rFonts w:ascii="mylotus" w:hAnsi="mylotus"/>
          <w:sz w:val="34"/>
          <w:szCs w:val="34"/>
          <w:rtl/>
        </w:rPr>
      </w:pPr>
      <w:r w:rsidRPr="001C0D48">
        <w:rPr>
          <w:rFonts w:ascii="mylotus" w:hAnsi="mylotus"/>
          <w:sz w:val="34"/>
          <w:szCs w:val="34"/>
          <w:rtl/>
        </w:rPr>
        <w:t>فلا ربط بين المسألتين؛ فإنّ محلّ البحث فيما هو أثر الفسخ في متعلّق العقد بحسب المرتكز العقلائي، وتلك المسألة ناظرةٌ لنفس العقد في وعاء الاعتبار، فالربط بينهما ليس صناعياً.</w:t>
      </w:r>
    </w:p>
    <w:p w14:paraId="3F913161" w14:textId="77777777" w:rsidR="008A711D" w:rsidRPr="00A17B4E" w:rsidRDefault="008A711D" w:rsidP="008A711D">
      <w:pPr>
        <w:pStyle w:val="a"/>
        <w:bidi/>
        <w:spacing w:line="216" w:lineRule="auto"/>
        <w:rPr>
          <w:rFonts w:ascii="mylotus" w:hAnsi="mylotus"/>
          <w:sz w:val="34"/>
          <w:szCs w:val="34"/>
          <w:rtl/>
        </w:rPr>
      </w:pPr>
    </w:p>
    <w:p w14:paraId="4020303A" w14:textId="77777777" w:rsidR="008A711D" w:rsidRPr="005E03C1" w:rsidRDefault="008A711D" w:rsidP="008A711D">
      <w:pPr>
        <w:pStyle w:val="a"/>
        <w:bidi/>
        <w:spacing w:line="216" w:lineRule="auto"/>
        <w:jc w:val="center"/>
        <w:rPr>
          <w:rFonts w:ascii="mylotus" w:hAnsi="mylotus"/>
          <w:b/>
          <w:bCs/>
          <w:sz w:val="34"/>
          <w:szCs w:val="34"/>
        </w:rPr>
      </w:pPr>
      <w:r w:rsidRPr="005E03C1">
        <w:rPr>
          <w:rFonts w:ascii="mylotus" w:hAnsi="mylotus"/>
          <w:b/>
          <w:bCs/>
          <w:sz w:val="34"/>
          <w:szCs w:val="34"/>
          <w:rtl/>
        </w:rPr>
        <w:t>والحمد لله رب العالمين</w:t>
      </w:r>
    </w:p>
    <w:p w14:paraId="408C0715" w14:textId="77777777" w:rsidR="008A711D" w:rsidRDefault="008A711D" w:rsidP="008A711D">
      <w:pPr>
        <w:bidi/>
        <w:rPr>
          <w:sz w:val="32"/>
          <w:szCs w:val="32"/>
          <w:rtl/>
        </w:rPr>
      </w:pPr>
    </w:p>
    <w:p w14:paraId="3F3414FF" w14:textId="77777777" w:rsidR="00784BEC" w:rsidRDefault="00784BEC" w:rsidP="00784BEC">
      <w:pPr>
        <w:bidi/>
        <w:rPr>
          <w:sz w:val="32"/>
          <w:szCs w:val="32"/>
          <w:rtl/>
        </w:rPr>
      </w:pPr>
    </w:p>
    <w:p w14:paraId="0E970ACC" w14:textId="669912C4" w:rsidR="00784BEC" w:rsidRDefault="00784BEC" w:rsidP="00784BEC">
      <w:pPr>
        <w:pStyle w:val="Heading3"/>
        <w:bidi/>
        <w:rPr>
          <w:sz w:val="32"/>
          <w:szCs w:val="32"/>
          <w:rtl/>
        </w:rPr>
      </w:pPr>
      <w:r>
        <w:rPr>
          <w:rFonts w:hint="cs"/>
          <w:sz w:val="32"/>
          <w:szCs w:val="32"/>
          <w:rtl/>
        </w:rPr>
        <w:t>342</w:t>
      </w:r>
    </w:p>
    <w:p w14:paraId="28ABD02A" w14:textId="77777777" w:rsidR="00784BEC" w:rsidRPr="00784BEC" w:rsidRDefault="00784BEC" w:rsidP="00784BEC">
      <w:pPr>
        <w:bidi/>
        <w:rPr>
          <w:b/>
          <w:bCs/>
          <w:sz w:val="32"/>
          <w:szCs w:val="32"/>
        </w:rPr>
      </w:pPr>
      <w:r w:rsidRPr="00784BEC">
        <w:rPr>
          <w:b/>
          <w:bCs/>
          <w:sz w:val="32"/>
          <w:szCs w:val="32"/>
          <w:rtl/>
        </w:rPr>
        <w:t>بسم الله الرحمن الرحيم</w:t>
      </w:r>
    </w:p>
    <w:p w14:paraId="625DA2E3" w14:textId="77777777" w:rsidR="00784BEC" w:rsidRPr="00784BEC" w:rsidRDefault="00784BEC" w:rsidP="00784BEC">
      <w:pPr>
        <w:bidi/>
        <w:rPr>
          <w:b/>
          <w:bCs/>
          <w:sz w:val="32"/>
          <w:szCs w:val="32"/>
          <w:rtl/>
        </w:rPr>
      </w:pPr>
      <w:r w:rsidRPr="00784BEC">
        <w:rPr>
          <w:b/>
          <w:bCs/>
          <w:sz w:val="32"/>
          <w:szCs w:val="32"/>
          <w:rtl/>
        </w:rPr>
        <w:t>والصلاة والسلام على أشرف الأنبياء والمرسلين، محمد وآله الطيبين الطاهرين</w:t>
      </w:r>
    </w:p>
    <w:p w14:paraId="3D3ED12E" w14:textId="77777777" w:rsidR="00784BEC" w:rsidRPr="00784BEC" w:rsidRDefault="00784BEC" w:rsidP="00784BEC">
      <w:pPr>
        <w:bidi/>
        <w:rPr>
          <w:sz w:val="32"/>
          <w:szCs w:val="32"/>
          <w:rtl/>
        </w:rPr>
      </w:pPr>
      <w:r w:rsidRPr="00784BEC">
        <w:rPr>
          <w:b/>
          <w:bCs/>
          <w:sz w:val="32"/>
          <w:szCs w:val="32"/>
          <w:rtl/>
        </w:rPr>
        <w:t>واللعن الدائم على أعدائهم أجمعين إلى قيام يوم الدين</w:t>
      </w:r>
    </w:p>
    <w:p w14:paraId="2DEBAF13" w14:textId="77777777" w:rsidR="00784BEC" w:rsidRPr="00784BEC" w:rsidRDefault="00784BEC" w:rsidP="00784BEC">
      <w:pPr>
        <w:bidi/>
        <w:rPr>
          <w:sz w:val="32"/>
          <w:szCs w:val="32"/>
          <w:rtl/>
        </w:rPr>
      </w:pPr>
    </w:p>
    <w:p w14:paraId="45A82BD1" w14:textId="77777777" w:rsidR="00784BEC" w:rsidRPr="00784BEC" w:rsidRDefault="00784BEC" w:rsidP="00784BEC">
      <w:pPr>
        <w:bidi/>
        <w:rPr>
          <w:sz w:val="32"/>
          <w:szCs w:val="32"/>
          <w:rtl/>
        </w:rPr>
      </w:pPr>
      <w:r w:rsidRPr="00784BEC">
        <w:rPr>
          <w:b/>
          <w:bCs/>
          <w:sz w:val="32"/>
          <w:szCs w:val="32"/>
          <w:rtl/>
        </w:rPr>
        <w:t>الوجهُ الثاني:</w:t>
      </w:r>
      <w:r w:rsidRPr="00784BEC">
        <w:rPr>
          <w:sz w:val="32"/>
          <w:szCs w:val="32"/>
          <w:rtl/>
        </w:rPr>
        <w:t xml:space="preserve"> -في مدرك ما ذهب إليه المشهور- مِن أنّ مقتضى فسخ عقد الإجارة هو تقسيط الأُجرة، بحيثُ يكون للمؤجّر مقدار مِن الأجرة المُسمّاة بإزاء ما مضى مِن المنافع، ويسترجع المُستأجر ما قابل المنافع الباقية، هو ما أفاده المحقّق الأصفهاني (قدس سره الشريف) في كتابه الإجارة.</w:t>
      </w:r>
    </w:p>
    <w:p w14:paraId="5FA5C871" w14:textId="77777777" w:rsidR="00784BEC" w:rsidRPr="00784BEC" w:rsidRDefault="00784BEC" w:rsidP="00784BEC">
      <w:pPr>
        <w:bidi/>
        <w:rPr>
          <w:sz w:val="32"/>
          <w:szCs w:val="32"/>
          <w:rtl/>
        </w:rPr>
      </w:pPr>
      <w:r w:rsidRPr="00784BEC">
        <w:rPr>
          <w:sz w:val="32"/>
          <w:szCs w:val="32"/>
          <w:rtl/>
        </w:rPr>
        <w:t xml:space="preserve">بقوله (قدس سره): </w:t>
      </w:r>
      <w:r w:rsidRPr="00784BEC">
        <w:rPr>
          <w:b/>
          <w:bCs/>
          <w:sz w:val="32"/>
          <w:szCs w:val="32"/>
          <w:rtl/>
        </w:rPr>
        <w:t xml:space="preserve">((والتحقيق) أن المنافع </w:t>
      </w:r>
      <w:proofErr w:type="spellStart"/>
      <w:r w:rsidRPr="00784BEC">
        <w:rPr>
          <w:b/>
          <w:bCs/>
          <w:sz w:val="32"/>
          <w:szCs w:val="32"/>
          <w:rtl/>
        </w:rPr>
        <w:t>المتقدرة</w:t>
      </w:r>
      <w:proofErr w:type="spellEnd"/>
      <w:r w:rsidRPr="00784BEC">
        <w:rPr>
          <w:b/>
          <w:bCs/>
          <w:sz w:val="32"/>
          <w:szCs w:val="32"/>
          <w:rtl/>
        </w:rPr>
        <w:t xml:space="preserve"> بأجزاء الزمن كالأعيان الخارجية المتعددة بذواتها ولا أقل من أن تكون كأبعاض عين واحدة، فما أفيد من أن حقيقة الفسخ تقتضي انحلال العقد رأسا مبني على وحدة العقد، فإما أن يبقى وإما أن ينحل، وأما بناء على تعدده لبا كما هو كذلك قطعا في مثل جعل الخيار برد مثل بعض الثمن واستحقاق حل العقد </w:t>
      </w:r>
      <w:r w:rsidRPr="00784BEC">
        <w:rPr>
          <w:b/>
          <w:bCs/>
          <w:sz w:val="32"/>
          <w:szCs w:val="32"/>
          <w:rtl/>
        </w:rPr>
        <w:lastRenderedPageBreak/>
        <w:t xml:space="preserve">في بعض المبيع، فلا مجال لهذا التقريب، فإنه يفسخ العقد بالنسبة إلى </w:t>
      </w:r>
      <w:proofErr w:type="spellStart"/>
      <w:r w:rsidRPr="00784BEC">
        <w:rPr>
          <w:b/>
          <w:bCs/>
          <w:sz w:val="32"/>
          <w:szCs w:val="32"/>
          <w:rtl/>
        </w:rPr>
        <w:t>مابقي</w:t>
      </w:r>
      <w:proofErr w:type="spellEnd"/>
      <w:r w:rsidRPr="00784BEC">
        <w:rPr>
          <w:b/>
          <w:bCs/>
          <w:sz w:val="32"/>
          <w:szCs w:val="32"/>
          <w:rtl/>
        </w:rPr>
        <w:t xml:space="preserve"> من المدة، ومقتضاه عود المنفعة الباقية وما بإزائها من الأجرة إلى صاحبهما الأول)</w:t>
      </w:r>
      <w:r w:rsidRPr="00784BEC">
        <w:rPr>
          <w:sz w:val="32"/>
          <w:szCs w:val="32"/>
          <w:vertAlign w:val="superscript"/>
          <w:rtl/>
        </w:rPr>
        <w:footnoteReference w:id="266"/>
      </w:r>
      <w:r w:rsidRPr="00784BEC">
        <w:rPr>
          <w:sz w:val="32"/>
          <w:szCs w:val="32"/>
          <w:rtl/>
        </w:rPr>
        <w:t>.</w:t>
      </w:r>
    </w:p>
    <w:p w14:paraId="760776E2" w14:textId="77777777" w:rsidR="00784BEC" w:rsidRPr="00784BEC" w:rsidRDefault="00784BEC" w:rsidP="00784BEC">
      <w:pPr>
        <w:bidi/>
        <w:rPr>
          <w:sz w:val="32"/>
          <w:szCs w:val="32"/>
          <w:rtl/>
        </w:rPr>
      </w:pPr>
      <w:r w:rsidRPr="00784BEC">
        <w:rPr>
          <w:b/>
          <w:bCs/>
          <w:sz w:val="32"/>
          <w:szCs w:val="32"/>
          <w:rtl/>
        </w:rPr>
        <w:t>وتقريبه:</w:t>
      </w:r>
      <w:r w:rsidRPr="00784BEC">
        <w:rPr>
          <w:sz w:val="32"/>
          <w:szCs w:val="32"/>
          <w:rtl/>
        </w:rPr>
        <w:t xml:space="preserve"> أنّ المنافع مما تتكثر بتعدد الزمان كتكثر أجزاء العين الواحدة، فلو آجره الدار شهراً كان بإزاء كُلّ يوم منفعةٌ مستقلةٌ عن منفعة اليوم الآخر</w:t>
      </w:r>
      <w:r w:rsidRPr="00784BEC">
        <w:rPr>
          <w:sz w:val="32"/>
          <w:szCs w:val="32"/>
        </w:rPr>
        <w:t>.</w:t>
      </w:r>
    </w:p>
    <w:p w14:paraId="1768A228" w14:textId="77777777" w:rsidR="00784BEC" w:rsidRPr="00784BEC" w:rsidRDefault="00784BEC" w:rsidP="00784BEC">
      <w:pPr>
        <w:bidi/>
        <w:rPr>
          <w:sz w:val="32"/>
          <w:szCs w:val="32"/>
          <w:rtl/>
        </w:rPr>
      </w:pPr>
      <w:r w:rsidRPr="00784BEC">
        <w:rPr>
          <w:sz w:val="32"/>
          <w:szCs w:val="32"/>
          <w:rtl/>
        </w:rPr>
        <w:t>وتكثر المنفعة بتعدد الأزمنة موجبٌ لتعدد المالية والمِلكيّة؛ فإنّ مَن ملك منفعة الدار شهراً فقد ملك أموالاً بعدد أيام الشهر؛ إذ كُلّ منفعةٍ في كُلّ يومٍ مالٌ مستقلٌ عن مالية المنفعة في يوم آخر، وكما أنّها متعددة في المالية فهي متعددة في المِلكيّة أيضاً، مما يعني أنّ للمُستأجر مِلكيات عديدة بعدد المنافع</w:t>
      </w:r>
      <w:r w:rsidRPr="00784BEC">
        <w:rPr>
          <w:sz w:val="32"/>
          <w:szCs w:val="32"/>
        </w:rPr>
        <w:t>.</w:t>
      </w:r>
    </w:p>
    <w:p w14:paraId="24219B4B" w14:textId="77777777" w:rsidR="00784BEC" w:rsidRPr="00784BEC" w:rsidRDefault="00784BEC" w:rsidP="00784BEC">
      <w:pPr>
        <w:bidi/>
        <w:rPr>
          <w:sz w:val="32"/>
          <w:szCs w:val="32"/>
          <w:rtl/>
        </w:rPr>
      </w:pPr>
      <w:r w:rsidRPr="00784BEC">
        <w:rPr>
          <w:sz w:val="32"/>
          <w:szCs w:val="32"/>
          <w:rtl/>
        </w:rPr>
        <w:t>ومقتضى تعدد المِلكيّة بتعدد المنفعة تعدد التمليك؛ لأنّ المِلكيّة والتمليك مِن قبيل الوجود والإيجاد؛ فكما أنّ الإيجاد يتعدد بتعدد الوجود، فكذلك التمليك يتعدد بتعدد المِلكيّة</w:t>
      </w:r>
      <w:r w:rsidRPr="00784BEC">
        <w:rPr>
          <w:sz w:val="32"/>
          <w:szCs w:val="32"/>
        </w:rPr>
        <w:t>.</w:t>
      </w:r>
    </w:p>
    <w:p w14:paraId="384F6004" w14:textId="77777777" w:rsidR="00784BEC" w:rsidRPr="00784BEC" w:rsidRDefault="00784BEC" w:rsidP="00784BEC">
      <w:pPr>
        <w:bidi/>
        <w:rPr>
          <w:sz w:val="32"/>
          <w:szCs w:val="32"/>
          <w:rtl/>
        </w:rPr>
      </w:pPr>
      <w:r w:rsidRPr="00784BEC">
        <w:rPr>
          <w:sz w:val="32"/>
          <w:szCs w:val="32"/>
          <w:rtl/>
        </w:rPr>
        <w:t xml:space="preserve">وهذا يعني أنّ قول المؤجّر للمُستأجر: "آجرتُكَ الدارَ شهراً" بمعنى: "ملكتُكَ منفعة الدار شهراً" يعني صدور </w:t>
      </w:r>
      <w:proofErr w:type="spellStart"/>
      <w:r w:rsidRPr="00784BEC">
        <w:rPr>
          <w:sz w:val="32"/>
          <w:szCs w:val="32"/>
          <w:rtl/>
        </w:rPr>
        <w:t>تمليكات</w:t>
      </w:r>
      <w:proofErr w:type="spellEnd"/>
      <w:r w:rsidRPr="00784BEC">
        <w:rPr>
          <w:sz w:val="32"/>
          <w:szCs w:val="32"/>
          <w:rtl/>
        </w:rPr>
        <w:t xml:space="preserve"> عديدة بعدد الملكيات المتكثرة بعدد المنافع المتعددة بتعدد الأزمنة</w:t>
      </w:r>
      <w:r w:rsidRPr="00784BEC">
        <w:rPr>
          <w:sz w:val="32"/>
          <w:szCs w:val="32"/>
        </w:rPr>
        <w:t>.</w:t>
      </w:r>
    </w:p>
    <w:p w14:paraId="58235623" w14:textId="77777777" w:rsidR="00784BEC" w:rsidRPr="00784BEC" w:rsidRDefault="00784BEC" w:rsidP="00784BEC">
      <w:pPr>
        <w:bidi/>
        <w:rPr>
          <w:sz w:val="32"/>
          <w:szCs w:val="32"/>
          <w:rtl/>
        </w:rPr>
      </w:pPr>
      <w:r w:rsidRPr="00784BEC">
        <w:rPr>
          <w:b/>
          <w:bCs/>
          <w:sz w:val="32"/>
          <w:szCs w:val="32"/>
          <w:rtl/>
        </w:rPr>
        <w:t>ونتيجةُ هذا التحليل:</w:t>
      </w:r>
      <w:r w:rsidRPr="00784BEC">
        <w:rPr>
          <w:sz w:val="32"/>
          <w:szCs w:val="32"/>
          <w:rtl/>
        </w:rPr>
        <w:t xml:space="preserve"> أنّ المُستأجر إذا تحقّق لَهُ أحد أسباب الفسخ، كما لو كان في البين عيبٌ أو غبن أو شرط تخلف أو غير ذلك مِن أسباب الفسخ، فهو إنّما يفسخ الإجارة بلحاظ المدّة الباقية -لا بلحاظ المدّة الماضية- أي: أنّ فسخه إنّما رفع مِلكيته للمنافع في الفترة الباقية برفع تمليك المؤجّر لَهُ في هذه المدّة، وهذا لا يوجبُ رفع مِلكيّته بالنسبة للمدّة الماضية برفع تمليك المؤجّر لها، ولذا ذهبَ المشهور إلى أنّ مقتضى الفسخ تقسيطُ الأُجرة</w:t>
      </w:r>
      <w:r w:rsidRPr="00784BEC">
        <w:rPr>
          <w:sz w:val="32"/>
          <w:szCs w:val="32"/>
        </w:rPr>
        <w:t>.</w:t>
      </w:r>
    </w:p>
    <w:p w14:paraId="5EAC7101" w14:textId="77777777" w:rsidR="00784BEC" w:rsidRPr="00784BEC" w:rsidRDefault="00784BEC" w:rsidP="00784BEC">
      <w:pPr>
        <w:bidi/>
        <w:rPr>
          <w:sz w:val="32"/>
          <w:szCs w:val="32"/>
          <w:rtl/>
        </w:rPr>
      </w:pPr>
      <w:r w:rsidRPr="00784BEC">
        <w:rPr>
          <w:sz w:val="32"/>
          <w:szCs w:val="32"/>
          <w:rtl/>
        </w:rPr>
        <w:t>وقد أوردَ عليه بعض الأجلة (رحمه الله) في كتابه الإجارة</w:t>
      </w:r>
      <w:r w:rsidRPr="00784BEC">
        <w:rPr>
          <w:sz w:val="32"/>
          <w:szCs w:val="32"/>
          <w:vertAlign w:val="superscript"/>
          <w:rtl/>
        </w:rPr>
        <w:footnoteReference w:id="267"/>
      </w:r>
      <w:r w:rsidRPr="00784BEC">
        <w:rPr>
          <w:sz w:val="32"/>
          <w:szCs w:val="32"/>
          <w:rtl/>
        </w:rPr>
        <w:t xml:space="preserve"> بأنّ هناك فرقاً بين تعدد العقد وتعدد المِلكيّة، ولا ملازمة بينهما، حيثُ ادعى المحقّق الأصفهاني (قدس سره) أنّ تعدد المِلكيّة يعني تعدد التمليك، وكأنّ هناك عقوداً متعددة، فمنها عقد على المدّة الباقية وعقد على المدّة الماضية، وفسخ أحدهما لا يستلزم فسخ الآخر، ولكنه لا ملازمة بين تعدد المِلكيّة وتعدد العقد</w:t>
      </w:r>
      <w:r w:rsidRPr="00784BEC">
        <w:rPr>
          <w:sz w:val="32"/>
          <w:szCs w:val="32"/>
        </w:rPr>
        <w:t>.</w:t>
      </w:r>
    </w:p>
    <w:p w14:paraId="1878099C" w14:textId="77777777" w:rsidR="00784BEC" w:rsidRPr="00784BEC" w:rsidRDefault="00784BEC" w:rsidP="00784BEC">
      <w:pPr>
        <w:bidi/>
        <w:rPr>
          <w:b/>
          <w:bCs/>
          <w:sz w:val="32"/>
          <w:szCs w:val="32"/>
          <w:rtl/>
        </w:rPr>
      </w:pPr>
      <w:r w:rsidRPr="00784BEC">
        <w:rPr>
          <w:sz w:val="32"/>
          <w:szCs w:val="32"/>
          <w:rtl/>
        </w:rPr>
        <w:t xml:space="preserve">قال (رحمه الله): </w:t>
      </w:r>
      <w:r w:rsidRPr="00784BEC">
        <w:rPr>
          <w:b/>
          <w:bCs/>
          <w:sz w:val="32"/>
          <w:szCs w:val="32"/>
          <w:rtl/>
        </w:rPr>
        <w:t>(أنّ أصل ما أفيد من انحلال العقد والقرار المعاملي بتكثر المنفعة في عمود الزمان إلى قرارات وعقود عديدة غير صحيح)</w:t>
      </w:r>
      <w:r w:rsidRPr="00784BEC">
        <w:rPr>
          <w:b/>
          <w:bCs/>
          <w:sz w:val="32"/>
          <w:szCs w:val="32"/>
        </w:rPr>
        <w:t>.</w:t>
      </w:r>
    </w:p>
    <w:p w14:paraId="50155BC5" w14:textId="77777777" w:rsidR="00784BEC" w:rsidRPr="00784BEC" w:rsidRDefault="00784BEC" w:rsidP="00784BEC">
      <w:pPr>
        <w:bidi/>
        <w:rPr>
          <w:sz w:val="32"/>
          <w:szCs w:val="32"/>
          <w:rtl/>
        </w:rPr>
      </w:pPr>
      <w:r w:rsidRPr="00784BEC">
        <w:rPr>
          <w:sz w:val="32"/>
          <w:szCs w:val="32"/>
          <w:rtl/>
        </w:rPr>
        <w:lastRenderedPageBreak/>
        <w:t xml:space="preserve">والسر في ذلك: </w:t>
      </w:r>
      <w:r w:rsidRPr="00784BEC">
        <w:rPr>
          <w:b/>
          <w:bCs/>
          <w:sz w:val="32"/>
          <w:szCs w:val="32"/>
          <w:rtl/>
        </w:rPr>
        <w:t xml:space="preserve">(فإنَّ العقد ليس اسماً للملكية الحاصلة في العوضين، ولا منتزع عنها) </w:t>
      </w:r>
      <w:r w:rsidRPr="00784BEC">
        <w:rPr>
          <w:sz w:val="32"/>
          <w:szCs w:val="32"/>
          <w:rtl/>
        </w:rPr>
        <w:t xml:space="preserve">كي يتعدد بتعددها </w:t>
      </w:r>
      <w:r w:rsidRPr="00784BEC">
        <w:rPr>
          <w:b/>
          <w:bCs/>
          <w:sz w:val="32"/>
          <w:szCs w:val="32"/>
          <w:rtl/>
        </w:rPr>
        <w:t>(بل)</w:t>
      </w:r>
      <w:r w:rsidRPr="00784BEC">
        <w:rPr>
          <w:sz w:val="32"/>
          <w:szCs w:val="32"/>
          <w:rtl/>
        </w:rPr>
        <w:t xml:space="preserve"> العقد </w:t>
      </w:r>
      <w:r w:rsidRPr="00784BEC">
        <w:rPr>
          <w:b/>
          <w:bCs/>
          <w:sz w:val="32"/>
          <w:szCs w:val="32"/>
          <w:rtl/>
        </w:rPr>
        <w:t>(هو اسم أو)</w:t>
      </w:r>
      <w:r w:rsidRPr="00784BEC">
        <w:rPr>
          <w:sz w:val="32"/>
          <w:szCs w:val="32"/>
          <w:rtl/>
        </w:rPr>
        <w:t xml:space="preserve"> عنوان </w:t>
      </w:r>
      <w:r w:rsidRPr="00784BEC">
        <w:rPr>
          <w:b/>
          <w:bCs/>
          <w:sz w:val="32"/>
          <w:szCs w:val="32"/>
          <w:rtl/>
        </w:rPr>
        <w:t>(منتزع عن الانشاء أو القرار والالتزام المربوط بالتزام آخر).</w:t>
      </w:r>
      <w:r w:rsidRPr="00784BEC">
        <w:rPr>
          <w:sz w:val="32"/>
          <w:szCs w:val="32"/>
          <w:rtl/>
        </w:rPr>
        <w:t xml:space="preserve"> فالربط بين الالتزامين والقرارين -قرار المؤجّر وقرار المُستأجر- ينتزع عنه عنوان العقد </w:t>
      </w:r>
      <w:r w:rsidRPr="00784BEC">
        <w:rPr>
          <w:b/>
          <w:bCs/>
          <w:sz w:val="32"/>
          <w:szCs w:val="32"/>
          <w:rtl/>
        </w:rPr>
        <w:t>(والذي هو أمر وحداني حقيقي)</w:t>
      </w:r>
      <w:r w:rsidRPr="00784BEC">
        <w:rPr>
          <w:sz w:val="32"/>
          <w:szCs w:val="32"/>
          <w:rtl/>
        </w:rPr>
        <w:t xml:space="preserve"> لا متعدد، فإذا قال: "آجرتُكَ الدارَ خمسين سنة" كان عقداً واحداً بلا ريب (</w:t>
      </w:r>
      <w:r w:rsidRPr="00784BEC">
        <w:rPr>
          <w:b/>
          <w:bCs/>
          <w:sz w:val="32"/>
          <w:szCs w:val="32"/>
          <w:rtl/>
        </w:rPr>
        <w:t xml:space="preserve">أو اعتباري مهما تكثرت أطرافه </w:t>
      </w:r>
      <w:proofErr w:type="spellStart"/>
      <w:r w:rsidRPr="00784BEC">
        <w:rPr>
          <w:b/>
          <w:bCs/>
          <w:sz w:val="32"/>
          <w:szCs w:val="32"/>
          <w:rtl/>
        </w:rPr>
        <w:t>ومتعلقاته</w:t>
      </w:r>
      <w:proofErr w:type="spellEnd"/>
      <w:r w:rsidRPr="00784BEC">
        <w:rPr>
          <w:b/>
          <w:bCs/>
          <w:sz w:val="32"/>
          <w:szCs w:val="32"/>
          <w:rtl/>
        </w:rPr>
        <w:t xml:space="preserve">، أعني العوض والمعوض في الخارج) </w:t>
      </w:r>
      <w:r w:rsidRPr="00784BEC">
        <w:rPr>
          <w:sz w:val="32"/>
          <w:szCs w:val="32"/>
          <w:rtl/>
        </w:rPr>
        <w:t xml:space="preserve">كما لو قال: "آجرتُكَ الدارَ خمسين سنة، في السنة الأُولى مثلاً بخمسة آلاف دولار، وفي السنة الثانية بمائة مليون دينار عراقي، وفي السنة الثالثة بكذا ريال سعودي مثلاً"، فإنّ العقد واحد </w:t>
      </w:r>
      <w:r w:rsidRPr="00784BEC">
        <w:rPr>
          <w:b/>
          <w:bCs/>
          <w:sz w:val="32"/>
          <w:szCs w:val="32"/>
          <w:rtl/>
        </w:rPr>
        <w:t>(فما دام القرار والالتزام واحداً كان العقد واحداً، نعم المنشأ)</w:t>
      </w:r>
      <w:r w:rsidRPr="00784BEC">
        <w:rPr>
          <w:sz w:val="32"/>
          <w:szCs w:val="32"/>
          <w:rtl/>
        </w:rPr>
        <w:t xml:space="preserve"> بالعقد </w:t>
      </w:r>
      <w:r w:rsidRPr="00784BEC">
        <w:rPr>
          <w:b/>
          <w:bCs/>
          <w:sz w:val="32"/>
          <w:szCs w:val="32"/>
          <w:rtl/>
        </w:rPr>
        <w:t>(والأثر الحاصل بالعقد)</w:t>
      </w:r>
      <w:r w:rsidRPr="00784BEC">
        <w:rPr>
          <w:sz w:val="32"/>
          <w:szCs w:val="32"/>
          <w:rtl/>
        </w:rPr>
        <w:t xml:space="preserve"> وهو المِلكيّة </w:t>
      </w:r>
      <w:r w:rsidRPr="00784BEC">
        <w:rPr>
          <w:b/>
          <w:bCs/>
          <w:sz w:val="32"/>
          <w:szCs w:val="32"/>
          <w:rtl/>
        </w:rPr>
        <w:t>(والقرار المعاملي)</w:t>
      </w:r>
      <w:r w:rsidRPr="00784BEC">
        <w:rPr>
          <w:sz w:val="32"/>
          <w:szCs w:val="32"/>
          <w:rtl/>
        </w:rPr>
        <w:t xml:space="preserve"> فإنّه يمكن أنْ ينحل إلى مِلكيات عديدة بعدد المنافع المتكثرة بتعدد الأزمنة، كما </w:t>
      </w:r>
      <w:r w:rsidRPr="00784BEC">
        <w:rPr>
          <w:b/>
          <w:bCs/>
          <w:sz w:val="32"/>
          <w:szCs w:val="32"/>
          <w:rtl/>
        </w:rPr>
        <w:t>(ينحل على أجزاء)</w:t>
      </w:r>
      <w:r w:rsidRPr="00784BEC">
        <w:rPr>
          <w:sz w:val="32"/>
          <w:szCs w:val="32"/>
          <w:rtl/>
        </w:rPr>
        <w:t xml:space="preserve"> العين الواحدة </w:t>
      </w:r>
      <w:r w:rsidRPr="00784BEC">
        <w:rPr>
          <w:b/>
          <w:bCs/>
          <w:sz w:val="32"/>
          <w:szCs w:val="32"/>
          <w:rtl/>
        </w:rPr>
        <w:t>(وأبعاض متعلقه بحيث لو لم يمكن أن يؤثر بلحاظ بعض المتعلق أمكن أن يؤثر بلحاظ الباقي، إلّا أنّه بذلك العقد الواحد لا من باب وجود عقود عديدة)</w:t>
      </w:r>
      <w:r w:rsidRPr="00784BEC">
        <w:rPr>
          <w:b/>
          <w:bCs/>
          <w:sz w:val="32"/>
          <w:szCs w:val="32"/>
        </w:rPr>
        <w:t>.</w:t>
      </w:r>
    </w:p>
    <w:p w14:paraId="5E6E73F3" w14:textId="77777777" w:rsidR="00784BEC" w:rsidRPr="00784BEC" w:rsidRDefault="00784BEC" w:rsidP="00784BEC">
      <w:pPr>
        <w:bidi/>
        <w:rPr>
          <w:sz w:val="32"/>
          <w:szCs w:val="32"/>
          <w:rtl/>
        </w:rPr>
      </w:pPr>
      <w:r w:rsidRPr="00784BEC">
        <w:rPr>
          <w:sz w:val="32"/>
          <w:szCs w:val="32"/>
          <w:rtl/>
        </w:rPr>
        <w:t>فلو ملكه عن طريق البيع موسوعة السيد الخوئي (قدس سره) مثلاً فإنّه يمكنُ أنْ تتعدد المِلكيات بعدد الأجزاء؛ لأنّ كلّ جزءٍ مالٌ في حدّ ذاته، لكن عقد البيع يبقى واحداً</w:t>
      </w:r>
      <w:r w:rsidRPr="00784BEC">
        <w:rPr>
          <w:sz w:val="32"/>
          <w:szCs w:val="32"/>
        </w:rPr>
        <w:t>.</w:t>
      </w:r>
    </w:p>
    <w:p w14:paraId="4E6313E2" w14:textId="77777777" w:rsidR="00784BEC" w:rsidRPr="00784BEC" w:rsidRDefault="00784BEC" w:rsidP="00784BEC">
      <w:pPr>
        <w:bidi/>
        <w:rPr>
          <w:sz w:val="32"/>
          <w:szCs w:val="32"/>
          <w:rtl/>
        </w:rPr>
      </w:pPr>
      <w:r w:rsidRPr="00784BEC">
        <w:rPr>
          <w:b/>
          <w:bCs/>
          <w:sz w:val="32"/>
          <w:szCs w:val="32"/>
          <w:rtl/>
        </w:rPr>
        <w:t>وثمرةُ ذلك:</w:t>
      </w:r>
      <w:r w:rsidRPr="00784BEC">
        <w:rPr>
          <w:sz w:val="32"/>
          <w:szCs w:val="32"/>
          <w:rtl/>
        </w:rPr>
        <w:t xml:space="preserve"> أنّه لو لَمْ يمكن أنْ يؤثر العقد بلحاظ بعض متعلقه، كما لو تلفت العين في الأزمنة الباقية، فإنّه يمكن أنْ يؤثر في الأزمنة السابقة؛ لأنّ المِلكيّة متعددة وإنْ كان العقد واحداً</w:t>
      </w:r>
      <w:r w:rsidRPr="00784BEC">
        <w:rPr>
          <w:sz w:val="32"/>
          <w:szCs w:val="32"/>
        </w:rPr>
        <w:t>.</w:t>
      </w:r>
    </w:p>
    <w:p w14:paraId="49FEA070" w14:textId="77777777" w:rsidR="00784BEC" w:rsidRPr="00784BEC" w:rsidRDefault="00784BEC" w:rsidP="00784BEC">
      <w:pPr>
        <w:bidi/>
        <w:rPr>
          <w:b/>
          <w:bCs/>
          <w:sz w:val="32"/>
          <w:szCs w:val="32"/>
          <w:rtl/>
        </w:rPr>
      </w:pPr>
      <w:r w:rsidRPr="00784BEC">
        <w:rPr>
          <w:b/>
          <w:bCs/>
          <w:sz w:val="32"/>
          <w:szCs w:val="32"/>
          <w:rtl/>
        </w:rPr>
        <w:t>(نعم قد تكون هناك قرارات والتزامات متعددة مستقلة بعضها عن بعض جمعت في عبارة واحدة، كمن يبيع مجموعة من الكتب المتماثلة كل كتاب بدينار، فقد يبيعها معاً لشخص واحد كل كتاب بدينار ويبرز ذلك بجملة واحدة)</w:t>
      </w:r>
      <w:r w:rsidRPr="00784BEC">
        <w:rPr>
          <w:sz w:val="32"/>
          <w:szCs w:val="32"/>
          <w:rtl/>
        </w:rPr>
        <w:t xml:space="preserve"> وهي </w:t>
      </w:r>
      <w:r w:rsidRPr="00784BEC">
        <w:rPr>
          <w:b/>
          <w:bCs/>
          <w:sz w:val="32"/>
          <w:szCs w:val="32"/>
          <w:rtl/>
        </w:rPr>
        <w:t>(أنَّ العشرة بعشرة دنانير فتكون الوحدة في الابراز)</w:t>
      </w:r>
      <w:r w:rsidRPr="00784BEC">
        <w:rPr>
          <w:sz w:val="32"/>
          <w:szCs w:val="32"/>
          <w:rtl/>
        </w:rPr>
        <w:t xml:space="preserve"> المُبرِز </w:t>
      </w:r>
      <w:r w:rsidRPr="00784BEC">
        <w:rPr>
          <w:b/>
          <w:bCs/>
          <w:sz w:val="32"/>
          <w:szCs w:val="32"/>
          <w:rtl/>
        </w:rPr>
        <w:t>(مع التعدد)</w:t>
      </w:r>
      <w:r w:rsidRPr="00784BEC">
        <w:rPr>
          <w:sz w:val="32"/>
          <w:szCs w:val="32"/>
          <w:rtl/>
        </w:rPr>
        <w:t xml:space="preserve"> في المبَرز </w:t>
      </w:r>
      <w:r w:rsidRPr="00784BEC">
        <w:rPr>
          <w:b/>
          <w:bCs/>
          <w:sz w:val="32"/>
          <w:szCs w:val="32"/>
          <w:rtl/>
        </w:rPr>
        <w:t>(في القرار والعقد، إلّا أنَّ هذا بحاجة إلى قرينة وخارج عن محل البحث)</w:t>
      </w:r>
      <w:r w:rsidRPr="00784BEC">
        <w:rPr>
          <w:b/>
          <w:bCs/>
          <w:sz w:val="32"/>
          <w:szCs w:val="32"/>
        </w:rPr>
        <w:t>.</w:t>
      </w:r>
    </w:p>
    <w:p w14:paraId="485DD2A3" w14:textId="77777777" w:rsidR="00784BEC" w:rsidRPr="00784BEC" w:rsidRDefault="00784BEC" w:rsidP="00784BEC">
      <w:pPr>
        <w:bidi/>
        <w:rPr>
          <w:sz w:val="32"/>
          <w:szCs w:val="32"/>
          <w:rtl/>
        </w:rPr>
      </w:pPr>
      <w:r w:rsidRPr="00784BEC">
        <w:rPr>
          <w:sz w:val="32"/>
          <w:szCs w:val="32"/>
          <w:rtl/>
        </w:rPr>
        <w:t>فإنّ محلّ بحثنا ما إذا كان العقد واحداً؛ لأنّ القرار واحد</w:t>
      </w:r>
      <w:r w:rsidRPr="00784BEC">
        <w:rPr>
          <w:sz w:val="32"/>
          <w:szCs w:val="32"/>
        </w:rPr>
        <w:t>.</w:t>
      </w:r>
    </w:p>
    <w:p w14:paraId="52668AE9" w14:textId="77777777" w:rsidR="00784BEC" w:rsidRPr="00784BEC" w:rsidRDefault="00784BEC" w:rsidP="00784BEC">
      <w:pPr>
        <w:bidi/>
        <w:rPr>
          <w:sz w:val="32"/>
          <w:szCs w:val="32"/>
          <w:rtl/>
        </w:rPr>
      </w:pPr>
      <w:r w:rsidRPr="00784BEC">
        <w:rPr>
          <w:b/>
          <w:bCs/>
          <w:sz w:val="32"/>
          <w:szCs w:val="32"/>
          <w:rtl/>
        </w:rPr>
        <w:t>وعليه:</w:t>
      </w:r>
      <w:r w:rsidRPr="00784BEC">
        <w:rPr>
          <w:sz w:val="32"/>
          <w:szCs w:val="32"/>
          <w:rtl/>
        </w:rPr>
        <w:t xml:space="preserve"> فما ذكره المحقّق الأصفهاني (قدس سره) مِن أنّ تكثر المنافع بتعدد الزمن يساوي تعدد المِلكيات، وتعدد المِلكيات يساوي تعدد التمليك، وتعدد التمليك يساوي تعدد العقود، وانحلال العقد في المدّة الباقية لا يعني حلّه في المدّة الماضية، فهو مبني على الملازمة بين تعدد المِلكيّة وتعدد العقد، وليس كذلك.</w:t>
      </w:r>
    </w:p>
    <w:p w14:paraId="42EBE25D" w14:textId="77777777" w:rsidR="00784BEC" w:rsidRPr="00784BEC" w:rsidRDefault="00784BEC" w:rsidP="00784BEC">
      <w:pPr>
        <w:bidi/>
        <w:rPr>
          <w:b/>
          <w:bCs/>
          <w:sz w:val="32"/>
          <w:szCs w:val="32"/>
          <w:rtl/>
        </w:rPr>
      </w:pPr>
      <w:r w:rsidRPr="00784BEC">
        <w:rPr>
          <w:b/>
          <w:bCs/>
          <w:sz w:val="32"/>
          <w:szCs w:val="32"/>
          <w:rtl/>
        </w:rPr>
        <w:lastRenderedPageBreak/>
        <w:t>أقولُ</w:t>
      </w:r>
      <w:r w:rsidRPr="00784BEC">
        <w:rPr>
          <w:b/>
          <w:bCs/>
          <w:sz w:val="32"/>
          <w:szCs w:val="32"/>
        </w:rPr>
        <w:t>:</w:t>
      </w:r>
      <w:r w:rsidRPr="00784BEC">
        <w:rPr>
          <w:b/>
          <w:bCs/>
          <w:sz w:val="32"/>
          <w:szCs w:val="32"/>
          <w:rtl/>
        </w:rPr>
        <w:t xml:space="preserve"> </w:t>
      </w:r>
      <w:r w:rsidRPr="00784BEC">
        <w:rPr>
          <w:sz w:val="32"/>
          <w:szCs w:val="32"/>
          <w:rtl/>
        </w:rPr>
        <w:t xml:space="preserve">لا يبعد أنّ المحقّق الأصفهاني (قدس سره) لا يدعي أنّ تكثر المنافع موجب للانحلال الحقيقي للعقد، حيث لا يحتمل أنّ العقد في قوله: "آجرتُكَ الدارَ شهراً" متعدد، كي يناقشَ المحقّق الأصفهاني (قدس سره) بأنّهُ لا ملازمة بين تعدد المِلكيّة وتعدد العقد؛ فإنّ وحدة العقد تدور بنظره مدار وحدة القرار أيضاً، كما صرح به (قدس سره) في نهاية المطلب بقوله: </w:t>
      </w:r>
      <w:r w:rsidRPr="00784BEC">
        <w:rPr>
          <w:b/>
          <w:bCs/>
          <w:sz w:val="32"/>
          <w:szCs w:val="32"/>
          <w:rtl/>
        </w:rPr>
        <w:t xml:space="preserve">(وبعد ما عرفت من الملازمة بين العقد الحقيقي المعنوي والتمليك والملكية تعرف أن الوحدة تقتضي عدم انعقاد الواحد مع عدم الملكية ولو في بعض متعلقه إلا بالخلف وفرض تعدد القرار المرتبط بتعدد </w:t>
      </w:r>
      <w:proofErr w:type="spellStart"/>
      <w:r w:rsidRPr="00784BEC">
        <w:rPr>
          <w:b/>
          <w:bCs/>
          <w:sz w:val="32"/>
          <w:szCs w:val="32"/>
          <w:rtl/>
        </w:rPr>
        <w:t>مايتقوم</w:t>
      </w:r>
      <w:proofErr w:type="spellEnd"/>
      <w:r w:rsidRPr="00784BEC">
        <w:rPr>
          <w:b/>
          <w:bCs/>
          <w:sz w:val="32"/>
          <w:szCs w:val="32"/>
          <w:rtl/>
        </w:rPr>
        <w:t xml:space="preserve"> به القرار)</w:t>
      </w:r>
      <w:r w:rsidRPr="00784BEC">
        <w:rPr>
          <w:sz w:val="32"/>
          <w:szCs w:val="32"/>
          <w:vertAlign w:val="superscript"/>
          <w:rtl/>
        </w:rPr>
        <w:footnoteReference w:id="268"/>
      </w:r>
      <w:r w:rsidRPr="00784BEC">
        <w:rPr>
          <w:sz w:val="32"/>
          <w:szCs w:val="32"/>
          <w:rtl/>
        </w:rPr>
        <w:t>. والمفروضُ أنّ القرار في قوله: "آجرتُكَ الدارَ شهراً" أو "آجرتُكَ الدارَ سنة" أو "آجرتُكَ الدار خمسين سنة" واحد.</w:t>
      </w:r>
    </w:p>
    <w:p w14:paraId="6E57DBD4" w14:textId="77777777" w:rsidR="00784BEC" w:rsidRPr="00784BEC" w:rsidRDefault="00784BEC" w:rsidP="00784BEC">
      <w:pPr>
        <w:bidi/>
        <w:rPr>
          <w:sz w:val="32"/>
          <w:szCs w:val="32"/>
          <w:rtl/>
        </w:rPr>
      </w:pPr>
      <w:r w:rsidRPr="00784BEC">
        <w:rPr>
          <w:sz w:val="32"/>
          <w:szCs w:val="32"/>
          <w:rtl/>
        </w:rPr>
        <w:t>وإنّما مُدعى المحقّق (قدس سره) هو الانحلال الحكمي، المعبرُ عنه في كلامه: (</w:t>
      </w:r>
      <w:r w:rsidRPr="00784BEC">
        <w:rPr>
          <w:b/>
          <w:bCs/>
          <w:sz w:val="32"/>
          <w:szCs w:val="32"/>
          <w:rtl/>
        </w:rPr>
        <w:t>وأما بناء على تعدده لبا</w:t>
      </w:r>
      <w:r w:rsidRPr="00784BEC">
        <w:rPr>
          <w:sz w:val="32"/>
          <w:szCs w:val="32"/>
          <w:rtl/>
        </w:rPr>
        <w:t>)</w:t>
      </w:r>
      <w:r w:rsidRPr="00784BEC">
        <w:rPr>
          <w:sz w:val="32"/>
          <w:szCs w:val="32"/>
          <w:vertAlign w:val="superscript"/>
          <w:rtl/>
        </w:rPr>
        <w:footnoteReference w:id="269"/>
      </w:r>
      <w:r w:rsidRPr="00784BEC">
        <w:rPr>
          <w:sz w:val="32"/>
          <w:szCs w:val="32"/>
          <w:rtl/>
        </w:rPr>
        <w:t xml:space="preserve"> أي: أنّ العقد المتعلق بأموال متعددة بالنظر العرفي بحكم العقود المتعددة مِن حيثُ الأثر، فهو وإنْ كان واحداً حقيقةً لتضمنه تمليكاً واحداً إلّا أنّ المرتكز العقلائي يراهُ في المقام بمثابة </w:t>
      </w:r>
      <w:proofErr w:type="spellStart"/>
      <w:r w:rsidRPr="00784BEC">
        <w:rPr>
          <w:sz w:val="32"/>
          <w:szCs w:val="32"/>
          <w:rtl/>
        </w:rPr>
        <w:t>تمليكات</w:t>
      </w:r>
      <w:proofErr w:type="spellEnd"/>
      <w:r w:rsidRPr="00784BEC">
        <w:rPr>
          <w:sz w:val="32"/>
          <w:szCs w:val="32"/>
        </w:rPr>
        <w:t>.</w:t>
      </w:r>
    </w:p>
    <w:p w14:paraId="3B99503F" w14:textId="77777777" w:rsidR="00784BEC" w:rsidRPr="00784BEC" w:rsidRDefault="00784BEC" w:rsidP="00784BEC">
      <w:pPr>
        <w:bidi/>
        <w:rPr>
          <w:sz w:val="32"/>
          <w:szCs w:val="32"/>
          <w:rtl/>
        </w:rPr>
      </w:pPr>
      <w:r w:rsidRPr="00784BEC">
        <w:rPr>
          <w:b/>
          <w:bCs/>
          <w:sz w:val="32"/>
          <w:szCs w:val="32"/>
          <w:rtl/>
        </w:rPr>
        <w:t>والسر في هذه الرؤية العقلائية:</w:t>
      </w:r>
      <w:r w:rsidRPr="00784BEC">
        <w:rPr>
          <w:sz w:val="32"/>
          <w:szCs w:val="32"/>
          <w:rtl/>
        </w:rPr>
        <w:t xml:space="preserve"> هو تكثر المنفعة بتعدد الزمن الموجب لتعدد المالية بالنظر العرفي -لا تعدد المِلكيّة حقيقة-، كما في تعدد أبعاض العين الواحدة القابلة للتجزئة والتبعيض، فالساعة مثلاً عند بيعها لا تتجزأ بالنظر العرفي، وكذلك الجزء الواحد مِن الكتاب لا يراه العرف بمثابة </w:t>
      </w:r>
      <w:proofErr w:type="spellStart"/>
      <w:r w:rsidRPr="00784BEC">
        <w:rPr>
          <w:sz w:val="32"/>
          <w:szCs w:val="32"/>
          <w:rtl/>
        </w:rPr>
        <w:t>تمليكات</w:t>
      </w:r>
      <w:proofErr w:type="spellEnd"/>
      <w:r w:rsidRPr="00784BEC">
        <w:rPr>
          <w:sz w:val="32"/>
          <w:szCs w:val="32"/>
          <w:rtl/>
        </w:rPr>
        <w:t xml:space="preserve"> عديدة بعدد الأوراق</w:t>
      </w:r>
      <w:r w:rsidRPr="00784BEC">
        <w:rPr>
          <w:sz w:val="32"/>
          <w:szCs w:val="32"/>
        </w:rPr>
        <w:t>.</w:t>
      </w:r>
    </w:p>
    <w:p w14:paraId="03A86106" w14:textId="77777777" w:rsidR="00784BEC" w:rsidRPr="00784BEC" w:rsidRDefault="00784BEC" w:rsidP="00784BEC">
      <w:pPr>
        <w:bidi/>
        <w:rPr>
          <w:sz w:val="32"/>
          <w:szCs w:val="32"/>
          <w:rtl/>
        </w:rPr>
      </w:pPr>
      <w:r w:rsidRPr="00784BEC">
        <w:rPr>
          <w:sz w:val="32"/>
          <w:szCs w:val="32"/>
          <w:rtl/>
        </w:rPr>
        <w:t>بينما الموسوعة قابلة بالنظر العرفي للتبعيض والتجزئة، أي: أنّ البيع لها بمثابة بيوع متعددة مِن حيثُ الأثر لتعدد أبعاض العين الواحدة بنظره</w:t>
      </w:r>
      <w:r w:rsidRPr="00784BEC">
        <w:rPr>
          <w:sz w:val="32"/>
          <w:szCs w:val="32"/>
        </w:rPr>
        <w:t>.</w:t>
      </w:r>
    </w:p>
    <w:p w14:paraId="6D9ED860" w14:textId="77777777" w:rsidR="00784BEC" w:rsidRPr="00784BEC" w:rsidRDefault="00784BEC" w:rsidP="00784BEC">
      <w:pPr>
        <w:bidi/>
        <w:rPr>
          <w:sz w:val="32"/>
          <w:szCs w:val="32"/>
          <w:rtl/>
        </w:rPr>
      </w:pPr>
      <w:r w:rsidRPr="00784BEC">
        <w:rPr>
          <w:sz w:val="32"/>
          <w:szCs w:val="32"/>
          <w:rtl/>
        </w:rPr>
        <w:t>وأثرُ هذا الانحلال الحكمي إمكان التبعيض بأنْ يفسخ في المدّة الباقية دون ما مضى</w:t>
      </w:r>
      <w:r w:rsidRPr="00784BEC">
        <w:rPr>
          <w:sz w:val="32"/>
          <w:szCs w:val="32"/>
        </w:rPr>
        <w:t>.</w:t>
      </w:r>
    </w:p>
    <w:p w14:paraId="01DFD9BC" w14:textId="77777777" w:rsidR="00784BEC" w:rsidRPr="00784BEC" w:rsidRDefault="00784BEC" w:rsidP="00784BEC">
      <w:pPr>
        <w:bidi/>
        <w:rPr>
          <w:sz w:val="32"/>
          <w:szCs w:val="32"/>
          <w:rtl/>
        </w:rPr>
      </w:pPr>
      <w:r w:rsidRPr="00784BEC">
        <w:rPr>
          <w:b/>
          <w:bCs/>
          <w:sz w:val="32"/>
          <w:szCs w:val="32"/>
          <w:rtl/>
        </w:rPr>
        <w:t xml:space="preserve">نعم، يرد على ما ذكره المحقّق الأصفهاني (قدس سره): </w:t>
      </w:r>
      <w:r w:rsidRPr="00784BEC">
        <w:rPr>
          <w:sz w:val="32"/>
          <w:szCs w:val="32"/>
          <w:rtl/>
        </w:rPr>
        <w:t xml:space="preserve">أنّ غاية ما يثبت بهذه الرؤية العقلائية مِن تعدد المِلكيّة حكماً بتعدد المنفعة، هو أنّ المُستأجر يمكنه التبعيض في الفسخ، بأنْ يفسخ بلحاظ المدّة الباقية دون الماضية، لا أنّ الإجارة </w:t>
      </w:r>
      <w:proofErr w:type="gramStart"/>
      <w:r w:rsidRPr="00784BEC">
        <w:rPr>
          <w:sz w:val="32"/>
          <w:szCs w:val="32"/>
          <w:rtl/>
        </w:rPr>
        <w:t>في ما</w:t>
      </w:r>
      <w:proofErr w:type="gramEnd"/>
      <w:r w:rsidRPr="00784BEC">
        <w:rPr>
          <w:sz w:val="32"/>
          <w:szCs w:val="32"/>
          <w:rtl/>
        </w:rPr>
        <w:t xml:space="preserve"> استوفاه مِن المنافع قد استقرتْ أُجرتها فلا تقبل الفسخ، كما ذهب له المشهور مِن تعين تقسيط الأُجرة.</w:t>
      </w:r>
    </w:p>
    <w:p w14:paraId="03B0A258" w14:textId="77777777" w:rsidR="00784BEC" w:rsidRPr="00784BEC" w:rsidRDefault="00784BEC" w:rsidP="00784BEC">
      <w:pPr>
        <w:bidi/>
        <w:rPr>
          <w:sz w:val="32"/>
          <w:szCs w:val="32"/>
          <w:rtl/>
        </w:rPr>
      </w:pPr>
      <w:r w:rsidRPr="00784BEC">
        <w:rPr>
          <w:sz w:val="32"/>
          <w:szCs w:val="32"/>
          <w:rtl/>
        </w:rPr>
        <w:t>هذا تمام الكلام في الوجه الثاني</w:t>
      </w:r>
      <w:r w:rsidRPr="00784BEC">
        <w:rPr>
          <w:sz w:val="32"/>
          <w:szCs w:val="32"/>
        </w:rPr>
        <w:t>.</w:t>
      </w:r>
    </w:p>
    <w:p w14:paraId="2A50C16B" w14:textId="77777777" w:rsidR="00784BEC" w:rsidRPr="00784BEC" w:rsidRDefault="00784BEC" w:rsidP="00784BEC">
      <w:pPr>
        <w:bidi/>
        <w:rPr>
          <w:sz w:val="32"/>
          <w:szCs w:val="32"/>
          <w:rtl/>
        </w:rPr>
      </w:pPr>
      <w:r w:rsidRPr="00784BEC">
        <w:rPr>
          <w:b/>
          <w:bCs/>
          <w:sz w:val="32"/>
          <w:szCs w:val="32"/>
          <w:rtl/>
        </w:rPr>
        <w:lastRenderedPageBreak/>
        <w:t>الوجهُ الثالث:</w:t>
      </w:r>
      <w:r w:rsidRPr="00784BEC">
        <w:rPr>
          <w:sz w:val="32"/>
          <w:szCs w:val="32"/>
          <w:rtl/>
        </w:rPr>
        <w:t xml:space="preserve"> ما ذكره الفقيه سيد المستمسك (قدس سره) بقوله في المقام: </w:t>
      </w:r>
      <w:r w:rsidRPr="00784BEC">
        <w:rPr>
          <w:b/>
          <w:bCs/>
          <w:sz w:val="32"/>
          <w:szCs w:val="32"/>
          <w:rtl/>
        </w:rPr>
        <w:t>(فإن الارتكاز العرفي يساعد على التبعيض، ولعله هو الوجه في التسالم والاتفاق ظاهرا عليه. فلاحظ)</w:t>
      </w:r>
      <w:r w:rsidRPr="00784BEC">
        <w:rPr>
          <w:sz w:val="32"/>
          <w:szCs w:val="32"/>
          <w:vertAlign w:val="superscript"/>
          <w:rtl/>
        </w:rPr>
        <w:footnoteReference w:id="270"/>
      </w:r>
      <w:r w:rsidRPr="00784BEC">
        <w:rPr>
          <w:sz w:val="32"/>
          <w:szCs w:val="32"/>
          <w:rtl/>
        </w:rPr>
        <w:t>.</w:t>
      </w:r>
    </w:p>
    <w:p w14:paraId="77190039" w14:textId="77777777" w:rsidR="00784BEC" w:rsidRPr="00784BEC" w:rsidRDefault="00784BEC" w:rsidP="00784BEC">
      <w:pPr>
        <w:bidi/>
        <w:rPr>
          <w:sz w:val="32"/>
          <w:szCs w:val="32"/>
          <w:rtl/>
        </w:rPr>
      </w:pPr>
      <w:r w:rsidRPr="00784BEC">
        <w:rPr>
          <w:b/>
          <w:bCs/>
          <w:sz w:val="32"/>
          <w:szCs w:val="32"/>
          <w:rtl/>
        </w:rPr>
        <w:t xml:space="preserve">ومنظورُهُ (قدس سره): </w:t>
      </w:r>
      <w:r w:rsidRPr="00784BEC">
        <w:rPr>
          <w:sz w:val="32"/>
          <w:szCs w:val="32"/>
          <w:rtl/>
        </w:rPr>
        <w:t>أنّ المرتكز العقلائي لا يرى أنّ ما ملكه المُستأجر هو على نحو وحدّة المطلوب بحيثُ يدور حكمه بين أنْ يفسخ كلّه أو يبقيه كلّه؛ بل يرى أنّ ما حصل بنحو تعدد المطلوب حكماً.</w:t>
      </w:r>
    </w:p>
    <w:p w14:paraId="152A7DEA" w14:textId="77777777" w:rsidR="00784BEC" w:rsidRPr="00784BEC" w:rsidRDefault="00784BEC" w:rsidP="00784BEC">
      <w:pPr>
        <w:bidi/>
        <w:rPr>
          <w:sz w:val="32"/>
          <w:szCs w:val="32"/>
          <w:rtl/>
        </w:rPr>
      </w:pPr>
    </w:p>
    <w:p w14:paraId="1A2D24CB" w14:textId="77777777" w:rsidR="00784BEC" w:rsidRPr="00784BEC" w:rsidRDefault="00784BEC" w:rsidP="00784BEC">
      <w:pPr>
        <w:bidi/>
        <w:rPr>
          <w:b/>
          <w:bCs/>
          <w:sz w:val="32"/>
          <w:szCs w:val="32"/>
          <w:rtl/>
        </w:rPr>
      </w:pPr>
      <w:r w:rsidRPr="00784BEC">
        <w:rPr>
          <w:b/>
          <w:bCs/>
          <w:sz w:val="32"/>
          <w:szCs w:val="32"/>
          <w:rtl/>
        </w:rPr>
        <w:t>والحمد لله رب العالمين</w:t>
      </w:r>
    </w:p>
    <w:p w14:paraId="410018DE" w14:textId="14605322" w:rsidR="00784BEC" w:rsidRDefault="00220E3A" w:rsidP="00220E3A">
      <w:pPr>
        <w:pStyle w:val="Heading3"/>
        <w:bidi/>
        <w:rPr>
          <w:sz w:val="32"/>
          <w:szCs w:val="32"/>
          <w:rtl/>
        </w:rPr>
      </w:pPr>
      <w:r>
        <w:rPr>
          <w:rFonts w:hint="cs"/>
          <w:sz w:val="32"/>
          <w:szCs w:val="32"/>
          <w:rtl/>
        </w:rPr>
        <w:t>343</w:t>
      </w:r>
    </w:p>
    <w:p w14:paraId="60F561FA" w14:textId="77777777" w:rsidR="00220E3A" w:rsidRPr="00220E3A" w:rsidRDefault="00220E3A" w:rsidP="00220E3A">
      <w:pPr>
        <w:bidi/>
        <w:rPr>
          <w:b/>
          <w:bCs/>
          <w:sz w:val="32"/>
          <w:szCs w:val="32"/>
        </w:rPr>
      </w:pPr>
      <w:r w:rsidRPr="00220E3A">
        <w:rPr>
          <w:b/>
          <w:bCs/>
          <w:sz w:val="32"/>
          <w:szCs w:val="32"/>
          <w:rtl/>
        </w:rPr>
        <w:t>بسم الله الرحمن الرحيم</w:t>
      </w:r>
    </w:p>
    <w:p w14:paraId="40BCACD4" w14:textId="77777777" w:rsidR="00220E3A" w:rsidRPr="00220E3A" w:rsidRDefault="00220E3A" w:rsidP="00220E3A">
      <w:pPr>
        <w:bidi/>
        <w:rPr>
          <w:b/>
          <w:bCs/>
          <w:sz w:val="32"/>
          <w:szCs w:val="32"/>
          <w:rtl/>
        </w:rPr>
      </w:pPr>
      <w:r w:rsidRPr="00220E3A">
        <w:rPr>
          <w:b/>
          <w:bCs/>
          <w:sz w:val="32"/>
          <w:szCs w:val="32"/>
          <w:rtl/>
        </w:rPr>
        <w:t>والصلاة والسلام على أشرف الأنبياء والمرسلين، محمد وآله الطيبين الطاهرين</w:t>
      </w:r>
    </w:p>
    <w:p w14:paraId="213F2845" w14:textId="77777777" w:rsidR="00220E3A" w:rsidRPr="00220E3A" w:rsidRDefault="00220E3A" w:rsidP="00220E3A">
      <w:pPr>
        <w:bidi/>
        <w:rPr>
          <w:sz w:val="32"/>
          <w:szCs w:val="32"/>
          <w:rtl/>
        </w:rPr>
      </w:pPr>
      <w:r w:rsidRPr="00220E3A">
        <w:rPr>
          <w:b/>
          <w:bCs/>
          <w:sz w:val="32"/>
          <w:szCs w:val="32"/>
          <w:rtl/>
        </w:rPr>
        <w:t>واللعن الدائم على أعدائهم أجمعين إلى قيام يوم الدين</w:t>
      </w:r>
    </w:p>
    <w:p w14:paraId="0EF89E16" w14:textId="77777777" w:rsidR="00220E3A" w:rsidRPr="00220E3A" w:rsidRDefault="00220E3A" w:rsidP="00220E3A">
      <w:pPr>
        <w:bidi/>
        <w:rPr>
          <w:sz w:val="32"/>
          <w:szCs w:val="32"/>
          <w:rtl/>
        </w:rPr>
      </w:pPr>
    </w:p>
    <w:p w14:paraId="72D55C40" w14:textId="77777777" w:rsidR="00220E3A" w:rsidRPr="00220E3A" w:rsidRDefault="00220E3A" w:rsidP="00220E3A">
      <w:pPr>
        <w:bidi/>
        <w:rPr>
          <w:sz w:val="32"/>
          <w:szCs w:val="32"/>
          <w:rtl/>
        </w:rPr>
      </w:pPr>
      <w:r w:rsidRPr="00220E3A">
        <w:rPr>
          <w:sz w:val="32"/>
          <w:szCs w:val="32"/>
          <w:rtl/>
        </w:rPr>
        <w:t xml:space="preserve">وظاهرُ عبارة سيد المستمسك (قدس سره الشريف) في بيان مستند ذهاب المشهور إلى تقسيط الأُجرة: أنّ العرف في باب الإجارة يرى أنّ تمليك المنفعة في كُلّ زمانٍ أمرٌ مستقلٌ عن تمليكها في زمانٍ آخر، فهناك أموال وملكيات </w:t>
      </w:r>
      <w:proofErr w:type="spellStart"/>
      <w:r w:rsidRPr="00220E3A">
        <w:rPr>
          <w:sz w:val="32"/>
          <w:szCs w:val="32"/>
          <w:rtl/>
        </w:rPr>
        <w:t>وتمليكات</w:t>
      </w:r>
      <w:proofErr w:type="spellEnd"/>
      <w:r w:rsidRPr="00220E3A">
        <w:rPr>
          <w:sz w:val="32"/>
          <w:szCs w:val="32"/>
          <w:rtl/>
        </w:rPr>
        <w:t>، ومقتضى الانحلال المذكور صحّة الإجارة ولزومها فيما استوفي مِن المنافع، وانحصار الخيار فيما بقي</w:t>
      </w:r>
      <w:r w:rsidRPr="00220E3A">
        <w:rPr>
          <w:sz w:val="32"/>
          <w:szCs w:val="32"/>
        </w:rPr>
        <w:t>.</w:t>
      </w:r>
    </w:p>
    <w:p w14:paraId="7E40EE2B" w14:textId="77777777" w:rsidR="00220E3A" w:rsidRPr="00220E3A" w:rsidRDefault="00220E3A" w:rsidP="00220E3A">
      <w:pPr>
        <w:bidi/>
        <w:rPr>
          <w:sz w:val="32"/>
          <w:szCs w:val="32"/>
          <w:rtl/>
        </w:rPr>
      </w:pPr>
      <w:r w:rsidRPr="00220E3A">
        <w:rPr>
          <w:sz w:val="32"/>
          <w:szCs w:val="32"/>
          <w:rtl/>
        </w:rPr>
        <w:t>هذا ما يستفاد مِن عبارة سيد المستمسك (قدس سره) في توجيه كلام المشهور، وإنْ كان قد خالف المشهور وذهب في المنهاج إلى أنّ الفسخ بمعنى استرداد تمام الأُجرة</w:t>
      </w:r>
      <w:r w:rsidRPr="00220E3A">
        <w:rPr>
          <w:sz w:val="32"/>
          <w:szCs w:val="32"/>
        </w:rPr>
        <w:t>.</w:t>
      </w:r>
    </w:p>
    <w:p w14:paraId="1BFDEF9E" w14:textId="77777777" w:rsidR="00220E3A" w:rsidRPr="00220E3A" w:rsidRDefault="00220E3A" w:rsidP="00220E3A">
      <w:pPr>
        <w:bidi/>
        <w:rPr>
          <w:b/>
          <w:bCs/>
          <w:sz w:val="32"/>
          <w:szCs w:val="32"/>
          <w:rtl/>
        </w:rPr>
      </w:pPr>
      <w:r w:rsidRPr="00220E3A">
        <w:rPr>
          <w:b/>
          <w:bCs/>
          <w:sz w:val="32"/>
          <w:szCs w:val="32"/>
          <w:rtl/>
        </w:rPr>
        <w:t>وفي المقام عدّة ملاحظات</w:t>
      </w:r>
      <w:r w:rsidRPr="00220E3A">
        <w:rPr>
          <w:b/>
          <w:bCs/>
          <w:sz w:val="32"/>
          <w:szCs w:val="32"/>
        </w:rPr>
        <w:t>:</w:t>
      </w:r>
    </w:p>
    <w:p w14:paraId="77DE4DF2" w14:textId="77777777" w:rsidR="00220E3A" w:rsidRPr="00220E3A" w:rsidRDefault="00220E3A" w:rsidP="00220E3A">
      <w:pPr>
        <w:bidi/>
        <w:rPr>
          <w:sz w:val="32"/>
          <w:szCs w:val="32"/>
          <w:rtl/>
        </w:rPr>
      </w:pPr>
      <w:r w:rsidRPr="00220E3A">
        <w:rPr>
          <w:b/>
          <w:bCs/>
          <w:sz w:val="32"/>
          <w:szCs w:val="32"/>
          <w:rtl/>
        </w:rPr>
        <w:t>الملاحظةُ الأُولى:</w:t>
      </w:r>
      <w:r w:rsidRPr="00220E3A">
        <w:rPr>
          <w:sz w:val="32"/>
          <w:szCs w:val="32"/>
          <w:rtl/>
        </w:rPr>
        <w:t xml:space="preserve"> في تحديد محلّ النزاع في فسخ العقد</w:t>
      </w:r>
      <w:r w:rsidRPr="00220E3A">
        <w:rPr>
          <w:sz w:val="32"/>
          <w:szCs w:val="32"/>
        </w:rPr>
        <w:t>.</w:t>
      </w:r>
    </w:p>
    <w:p w14:paraId="26613D0B" w14:textId="77777777" w:rsidR="00220E3A" w:rsidRPr="00220E3A" w:rsidRDefault="00220E3A" w:rsidP="00220E3A">
      <w:pPr>
        <w:bidi/>
        <w:rPr>
          <w:sz w:val="32"/>
          <w:szCs w:val="32"/>
          <w:rtl/>
        </w:rPr>
      </w:pPr>
      <w:r w:rsidRPr="00220E3A">
        <w:rPr>
          <w:sz w:val="32"/>
          <w:szCs w:val="32"/>
          <w:rtl/>
        </w:rPr>
        <w:t xml:space="preserve">قد يُتصور أنّ محل النزاع في فسخ العقد هو بلحاظ المدّة الباقية، أي: أنّ مفروض البحث في مَن فسخ في المدّة الباقية لأجل تلف العين، أو الغبن، أو العيب، أو غير ذلك مِن الأسباب، فهل لَهُ الفسخ بلحاظ المدّة الماضية أيضاً أم لا؟ وهذا ما منع منه المشهور، بينما ذهب المتأخرون </w:t>
      </w:r>
      <w:r w:rsidRPr="00220E3A">
        <w:rPr>
          <w:sz w:val="32"/>
          <w:szCs w:val="32"/>
          <w:rtl/>
        </w:rPr>
        <w:lastRenderedPageBreak/>
        <w:t>إلى أنّ لَهُ الفسخ بلحاظ المدّة الماضية أيضاً، وذلك يعني أنّ محل النزاع في ثبوت خيار تبعّض الصفقة وعدمه؛ لأنّ مَن فسخ العقد بلحاظ المدّة الباقية فقد تبعّض عليه المِلك؛ حيثُ مَلك منافع المدّة الماضية دون الباقية، وحيثُ إنّ تبعّض المِلك مورد حزازة عقلائية، فهل له خيار تبعّض الصفقة أم لا؟ فكأنّ البحث كلّه في خيار تبعّض الصفقة</w:t>
      </w:r>
      <w:r w:rsidRPr="00220E3A">
        <w:rPr>
          <w:sz w:val="32"/>
          <w:szCs w:val="32"/>
        </w:rPr>
        <w:t>.</w:t>
      </w:r>
    </w:p>
    <w:p w14:paraId="7B6F99D9" w14:textId="77777777" w:rsidR="00220E3A" w:rsidRPr="00220E3A" w:rsidRDefault="00220E3A" w:rsidP="00220E3A">
      <w:pPr>
        <w:bidi/>
        <w:rPr>
          <w:sz w:val="32"/>
          <w:szCs w:val="32"/>
          <w:rtl/>
        </w:rPr>
      </w:pPr>
      <w:r w:rsidRPr="00220E3A">
        <w:rPr>
          <w:b/>
          <w:bCs/>
          <w:sz w:val="32"/>
          <w:szCs w:val="32"/>
          <w:rtl/>
        </w:rPr>
        <w:t>وهذا ليس صحيحاً؛</w:t>
      </w:r>
      <w:r w:rsidRPr="00220E3A">
        <w:rPr>
          <w:sz w:val="32"/>
          <w:szCs w:val="32"/>
          <w:rtl/>
        </w:rPr>
        <w:t xml:space="preserve"> بل إنّ محل النزاع في مَن فسخ أثناء المدّة، لا فيمَن فسخ بلحاظ المدّة الباقية</w:t>
      </w:r>
      <w:r w:rsidRPr="00220E3A">
        <w:rPr>
          <w:sz w:val="32"/>
          <w:szCs w:val="32"/>
        </w:rPr>
        <w:t>.</w:t>
      </w:r>
    </w:p>
    <w:p w14:paraId="036E0549" w14:textId="77777777" w:rsidR="00220E3A" w:rsidRPr="00220E3A" w:rsidRDefault="00220E3A" w:rsidP="00220E3A">
      <w:pPr>
        <w:bidi/>
        <w:rPr>
          <w:sz w:val="32"/>
          <w:szCs w:val="32"/>
          <w:rtl/>
        </w:rPr>
      </w:pPr>
      <w:r w:rsidRPr="00220E3A">
        <w:rPr>
          <w:b/>
          <w:bCs/>
          <w:sz w:val="32"/>
          <w:szCs w:val="32"/>
          <w:rtl/>
        </w:rPr>
        <w:t>بمعنى:</w:t>
      </w:r>
      <w:r w:rsidRPr="00220E3A">
        <w:rPr>
          <w:sz w:val="32"/>
          <w:szCs w:val="32"/>
          <w:rtl/>
        </w:rPr>
        <w:t xml:space="preserve"> أنّ محلّ البحث في مَن استوفى منفعةً، أو أتلف منفعةً للعين، أو أهمل المنفعة ثمّ فسخ، فهل فسخه يتعلّق بالعقد بتمامه فيسترجع تمام الأُجرة المُسمّاة أو يتعلّق فسخه بالمدّة الباقية دون المدّة الماضية؟</w:t>
      </w:r>
    </w:p>
    <w:p w14:paraId="2ECD60EA" w14:textId="77777777" w:rsidR="00220E3A" w:rsidRPr="00220E3A" w:rsidRDefault="00220E3A" w:rsidP="00220E3A">
      <w:pPr>
        <w:bidi/>
        <w:rPr>
          <w:sz w:val="32"/>
          <w:szCs w:val="32"/>
          <w:rtl/>
        </w:rPr>
      </w:pPr>
      <w:r w:rsidRPr="00220E3A">
        <w:rPr>
          <w:b/>
          <w:bCs/>
          <w:sz w:val="32"/>
          <w:szCs w:val="32"/>
          <w:rtl/>
        </w:rPr>
        <w:t>وبناءً على ذلك</w:t>
      </w:r>
      <w:r w:rsidRPr="00220E3A">
        <w:rPr>
          <w:sz w:val="32"/>
          <w:szCs w:val="32"/>
          <w:rtl/>
        </w:rPr>
        <w:t xml:space="preserve"> فالمُستأجر حينئذٍ بعد التفاته لوجود سبب الخيار، كأن التفت إلى أنّه مغبون أو أنّ العين معيبة أو غير ذلك، إمّا أنْ يتحمل الخسارة في المدّة الباقية ويضمنُ الأُجرة المسمّاة بتمامها، وإمّا أن </w:t>
      </w:r>
      <w:proofErr w:type="gramStart"/>
      <w:r w:rsidRPr="00220E3A">
        <w:rPr>
          <w:sz w:val="32"/>
          <w:szCs w:val="32"/>
          <w:rtl/>
        </w:rPr>
        <w:t>يفسخ</w:t>
      </w:r>
      <w:r w:rsidRPr="00220E3A">
        <w:rPr>
          <w:sz w:val="32"/>
          <w:szCs w:val="32"/>
        </w:rPr>
        <w:t xml:space="preserve"> .</w:t>
      </w:r>
      <w:proofErr w:type="gramEnd"/>
    </w:p>
    <w:p w14:paraId="180BCEF8" w14:textId="77777777" w:rsidR="00220E3A" w:rsidRPr="00220E3A" w:rsidRDefault="00220E3A" w:rsidP="00220E3A">
      <w:pPr>
        <w:bidi/>
        <w:rPr>
          <w:sz w:val="32"/>
          <w:szCs w:val="32"/>
          <w:rtl/>
        </w:rPr>
      </w:pPr>
      <w:r w:rsidRPr="00220E3A">
        <w:rPr>
          <w:sz w:val="32"/>
          <w:szCs w:val="32"/>
          <w:rtl/>
        </w:rPr>
        <w:t>وما ذكره سيد المستمسك (قدس سره) في توجيه مبنى المشهور -بأنّ الفسخ ينصب على المدّة الباقية دون المدّة الماضية-، مِن أنّ العرف العقلائي في باب الإجارة يرى الانحلال وأنّ هناك مالين -منفعة ماضية ومنفعة باقية-، مما يعني أنّ هناك ملكين، فبما أنّ هناك ملكين فأيّ مبررٍ للفسخ في المدّة الماضية؟</w:t>
      </w:r>
    </w:p>
    <w:p w14:paraId="180FD165" w14:textId="77777777" w:rsidR="00220E3A" w:rsidRPr="00220E3A" w:rsidRDefault="00220E3A" w:rsidP="00220E3A">
      <w:pPr>
        <w:bidi/>
        <w:rPr>
          <w:sz w:val="32"/>
          <w:szCs w:val="32"/>
          <w:rtl/>
        </w:rPr>
      </w:pPr>
      <w:r w:rsidRPr="00220E3A">
        <w:rPr>
          <w:sz w:val="32"/>
          <w:szCs w:val="32"/>
          <w:rtl/>
        </w:rPr>
        <w:t>والتوجيه المذكور غايتُهُ منع خيار تبعّض الصفقة، أي: أنّ لَهُ الخيار في المدّة الباقية لا في المدّة الماضية، وهذا يعني منع خيار تبعّض الصفقة</w:t>
      </w:r>
      <w:r w:rsidRPr="00220E3A">
        <w:rPr>
          <w:sz w:val="32"/>
          <w:szCs w:val="32"/>
        </w:rPr>
        <w:t>.</w:t>
      </w:r>
    </w:p>
    <w:p w14:paraId="31E0C63E" w14:textId="77777777" w:rsidR="00220E3A" w:rsidRPr="00220E3A" w:rsidRDefault="00220E3A" w:rsidP="00220E3A">
      <w:pPr>
        <w:bidi/>
        <w:rPr>
          <w:sz w:val="32"/>
          <w:szCs w:val="32"/>
          <w:rtl/>
        </w:rPr>
      </w:pPr>
      <w:r w:rsidRPr="00220E3A">
        <w:rPr>
          <w:b/>
          <w:bCs/>
          <w:sz w:val="32"/>
          <w:szCs w:val="32"/>
          <w:rtl/>
        </w:rPr>
        <w:t xml:space="preserve">ولكن: </w:t>
      </w:r>
      <w:r w:rsidRPr="00220E3A">
        <w:rPr>
          <w:sz w:val="32"/>
          <w:szCs w:val="32"/>
          <w:rtl/>
        </w:rPr>
        <w:t>هذا لا يُثبت أنّه ليس لَهُ خيار حلّ العقد مِن أساسه؛ إذ ليس محل البحث في فسخٍ بَعْدَ فسخٍ، أي: مَن فسخ بلحاظ المدّة الباقية فهل لَهُ أن يفسخ بلحاظ المدّة الماضية، وإنّما البحث في الفسخ الأوّل وهو أنّه هل يتعلّق بباقي المدّة أم يتعلّق بتمام الإجارة؟</w:t>
      </w:r>
    </w:p>
    <w:p w14:paraId="1721F4FE" w14:textId="77777777" w:rsidR="00220E3A" w:rsidRPr="00220E3A" w:rsidRDefault="00220E3A" w:rsidP="00220E3A">
      <w:pPr>
        <w:bidi/>
        <w:rPr>
          <w:sz w:val="32"/>
          <w:szCs w:val="32"/>
          <w:rtl/>
        </w:rPr>
      </w:pPr>
      <w:r w:rsidRPr="00220E3A">
        <w:rPr>
          <w:sz w:val="32"/>
          <w:szCs w:val="32"/>
          <w:rtl/>
        </w:rPr>
        <w:t>وما ذُكر مِن أنّ العرف العقلائي يرى أنّ الإجارة منحلّة لمالين ومِلكين لا يقتضي توجه الفسخ للمدّة الباقية دون المدّة الماضية، فهذا لا يعيّن هذا</w:t>
      </w:r>
      <w:r w:rsidRPr="00220E3A">
        <w:rPr>
          <w:sz w:val="32"/>
          <w:szCs w:val="32"/>
        </w:rPr>
        <w:t>.</w:t>
      </w:r>
    </w:p>
    <w:p w14:paraId="0CC07E28" w14:textId="77777777" w:rsidR="00220E3A" w:rsidRPr="00220E3A" w:rsidRDefault="00220E3A" w:rsidP="00220E3A">
      <w:pPr>
        <w:bidi/>
        <w:rPr>
          <w:b/>
          <w:bCs/>
          <w:sz w:val="32"/>
          <w:szCs w:val="32"/>
          <w:rtl/>
        </w:rPr>
      </w:pPr>
      <w:r w:rsidRPr="00220E3A">
        <w:rPr>
          <w:b/>
          <w:bCs/>
          <w:sz w:val="32"/>
          <w:szCs w:val="32"/>
          <w:rtl/>
        </w:rPr>
        <w:t>الملاحظةُ الثانية:</w:t>
      </w:r>
      <w:r w:rsidRPr="00220E3A">
        <w:rPr>
          <w:sz w:val="32"/>
          <w:szCs w:val="32"/>
          <w:rtl/>
        </w:rPr>
        <w:t xml:space="preserve"> ما أوردَهُ السيد الحكيم السبط (قدس سره الشريف) على أصل مبنى المشهور -وليس على توجيه السيد الحكيم الجد (قدس سره </w:t>
      </w:r>
      <w:proofErr w:type="gramStart"/>
      <w:r w:rsidRPr="00220E3A">
        <w:rPr>
          <w:sz w:val="32"/>
          <w:szCs w:val="32"/>
          <w:rtl/>
        </w:rPr>
        <w:t>الشريف)-</w:t>
      </w:r>
      <w:proofErr w:type="gramEnd"/>
      <w:r w:rsidRPr="00220E3A">
        <w:rPr>
          <w:sz w:val="32"/>
          <w:szCs w:val="32"/>
          <w:rtl/>
        </w:rPr>
        <w:t xml:space="preserve">، حيثُ ذكر في كتاب الإجارة مِن </w:t>
      </w:r>
      <w:r w:rsidRPr="00220E3A">
        <w:rPr>
          <w:sz w:val="32"/>
          <w:szCs w:val="32"/>
          <w:rtl/>
        </w:rPr>
        <w:lastRenderedPageBreak/>
        <w:t>مصباح المنهاج</w:t>
      </w:r>
      <w:r w:rsidRPr="00220E3A">
        <w:rPr>
          <w:sz w:val="32"/>
          <w:szCs w:val="32"/>
          <w:vertAlign w:val="superscript"/>
          <w:rtl/>
        </w:rPr>
        <w:footnoteReference w:id="271"/>
      </w:r>
      <w:r w:rsidRPr="00220E3A">
        <w:rPr>
          <w:sz w:val="32"/>
          <w:szCs w:val="32"/>
          <w:rtl/>
        </w:rPr>
        <w:t xml:space="preserve"> بقوله: </w:t>
      </w:r>
      <w:r w:rsidRPr="00220E3A">
        <w:rPr>
          <w:b/>
          <w:bCs/>
          <w:sz w:val="32"/>
          <w:szCs w:val="32"/>
          <w:rtl/>
        </w:rPr>
        <w:t>(ومن ثم قد ينسب للمشهور عدم الانفساخ بالإضافة لما سبق استيفاؤه من المنفعة. بل قال سيدنا المصنف (قدس سره): (وقد ادعى بعض الأعيان ظهور اتفاقهم عليه).)</w:t>
      </w:r>
      <w:r w:rsidRPr="00220E3A">
        <w:rPr>
          <w:sz w:val="32"/>
          <w:szCs w:val="32"/>
          <w:rtl/>
        </w:rPr>
        <w:t xml:space="preserve"> أنْ ليس لَهُ حقّ أنْ يفسخ المدّة الماضية (</w:t>
      </w:r>
      <w:r w:rsidRPr="00220E3A">
        <w:rPr>
          <w:b/>
          <w:bCs/>
          <w:sz w:val="32"/>
          <w:szCs w:val="32"/>
          <w:rtl/>
        </w:rPr>
        <w:t>وإن لم يناسبه ما سبق من المبسوط وما يأتي من القواعد وغيره</w:t>
      </w:r>
      <w:r w:rsidRPr="00220E3A">
        <w:rPr>
          <w:b/>
          <w:bCs/>
          <w:sz w:val="32"/>
          <w:szCs w:val="32"/>
        </w:rPr>
        <w:t>.</w:t>
      </w:r>
    </w:p>
    <w:p w14:paraId="4FB47BC1" w14:textId="77777777" w:rsidR="00220E3A" w:rsidRPr="00220E3A" w:rsidRDefault="00220E3A" w:rsidP="00220E3A">
      <w:pPr>
        <w:bidi/>
        <w:rPr>
          <w:b/>
          <w:bCs/>
          <w:sz w:val="32"/>
          <w:szCs w:val="32"/>
          <w:rtl/>
        </w:rPr>
      </w:pPr>
      <w:r w:rsidRPr="00220E3A">
        <w:rPr>
          <w:b/>
          <w:bCs/>
          <w:sz w:val="32"/>
          <w:szCs w:val="32"/>
          <w:rtl/>
        </w:rPr>
        <w:t>وكيف كان فمن الظاهر أنّ مقتضى فسخ العقد حلّه حتى كأنه لم يكن، ومقتضى ذلك ارتفاع أثره بعد وجوده)</w:t>
      </w:r>
      <w:r w:rsidRPr="00220E3A">
        <w:rPr>
          <w:sz w:val="32"/>
          <w:szCs w:val="32"/>
          <w:rtl/>
        </w:rPr>
        <w:t xml:space="preserve"> أي: لا يبقى أثر للعقد أصلاً </w:t>
      </w:r>
      <w:r w:rsidRPr="00220E3A">
        <w:rPr>
          <w:b/>
          <w:bCs/>
          <w:sz w:val="32"/>
          <w:szCs w:val="32"/>
          <w:rtl/>
        </w:rPr>
        <w:t>(وحيث كان أثره متعلقاً بتمام المدة وتمام الأجرة تعين ارتفاع أثره كذلك، ومجرد تلف المنفعة بالاستيفاء لا يمنع من اختلاف نحو ضمانها بعد الفسخ عما كانت عليه قبله)</w:t>
      </w:r>
      <w:r w:rsidRPr="00220E3A">
        <w:rPr>
          <w:sz w:val="32"/>
          <w:szCs w:val="32"/>
          <w:rtl/>
        </w:rPr>
        <w:t xml:space="preserve"> حيثُ كانت قَبل الفسخ مضمونة بمقدارٍ مِن الأُجرة المسماة، لكنها بعد الفسخ مضمونة بأُجرة المثل </w:t>
      </w:r>
      <w:r w:rsidRPr="00220E3A">
        <w:rPr>
          <w:b/>
          <w:bCs/>
          <w:sz w:val="32"/>
          <w:szCs w:val="32"/>
          <w:rtl/>
        </w:rPr>
        <w:t>(كما تقدم في أواخر البحث في التسليم</w:t>
      </w:r>
      <w:r w:rsidRPr="00220E3A">
        <w:rPr>
          <w:b/>
          <w:bCs/>
          <w:sz w:val="32"/>
          <w:szCs w:val="32"/>
        </w:rPr>
        <w:t>.</w:t>
      </w:r>
    </w:p>
    <w:p w14:paraId="59FC6FEE" w14:textId="77777777" w:rsidR="00220E3A" w:rsidRPr="00220E3A" w:rsidRDefault="00220E3A" w:rsidP="00220E3A">
      <w:pPr>
        <w:bidi/>
        <w:rPr>
          <w:b/>
          <w:bCs/>
          <w:sz w:val="32"/>
          <w:szCs w:val="32"/>
          <w:rtl/>
        </w:rPr>
      </w:pPr>
      <w:r w:rsidRPr="00220E3A">
        <w:rPr>
          <w:b/>
          <w:bCs/>
          <w:sz w:val="32"/>
          <w:szCs w:val="32"/>
          <w:rtl/>
        </w:rPr>
        <w:t>بل سبق منّا في المسألة الرابعة عشرة في مباحث الخيارات -وتكرر بعد ذلك- امتناع الفسخ في بعض مضمون العقد الواحد).</w:t>
      </w:r>
    </w:p>
    <w:p w14:paraId="445EEEFA" w14:textId="77777777" w:rsidR="00220E3A" w:rsidRPr="00220E3A" w:rsidRDefault="00220E3A" w:rsidP="00220E3A">
      <w:pPr>
        <w:bidi/>
        <w:rPr>
          <w:sz w:val="32"/>
          <w:szCs w:val="32"/>
          <w:rtl/>
        </w:rPr>
      </w:pPr>
      <w:r w:rsidRPr="00220E3A">
        <w:rPr>
          <w:sz w:val="32"/>
          <w:szCs w:val="32"/>
          <w:rtl/>
        </w:rPr>
        <w:t xml:space="preserve">وقد ذكره (قدس سره) في كتاب التجارة مِن مصباح المنهاج بقوله: </w:t>
      </w:r>
      <w:r w:rsidRPr="00220E3A">
        <w:rPr>
          <w:b/>
          <w:bCs/>
          <w:sz w:val="32"/>
          <w:szCs w:val="32"/>
          <w:rtl/>
        </w:rPr>
        <w:t>(ويمتنع تبعض الفسخ مع وحدة العقد، لوضوح أن الفسخ حلّ للعقد، والعقد الواحد إما أن يحل بتمام مضمونه أو لا يحل، ولا مجال للتبعيض في حله. ولعله لذا تردد في الدروس وظاهر جامع المقاصد في صحة ذلك)</w:t>
      </w:r>
      <w:r w:rsidRPr="00220E3A">
        <w:rPr>
          <w:sz w:val="32"/>
          <w:szCs w:val="32"/>
          <w:vertAlign w:val="superscript"/>
          <w:rtl/>
        </w:rPr>
        <w:footnoteReference w:id="272"/>
      </w:r>
      <w:r w:rsidRPr="00220E3A">
        <w:rPr>
          <w:sz w:val="32"/>
          <w:szCs w:val="32"/>
          <w:rtl/>
        </w:rPr>
        <w:t>.</w:t>
      </w:r>
    </w:p>
    <w:p w14:paraId="0902CDC8" w14:textId="77777777" w:rsidR="00220E3A" w:rsidRPr="00220E3A" w:rsidRDefault="00220E3A" w:rsidP="00220E3A">
      <w:pPr>
        <w:bidi/>
        <w:rPr>
          <w:sz w:val="32"/>
          <w:szCs w:val="32"/>
          <w:rtl/>
        </w:rPr>
      </w:pPr>
      <w:r w:rsidRPr="00220E3A">
        <w:rPr>
          <w:b/>
          <w:bCs/>
          <w:sz w:val="32"/>
          <w:szCs w:val="32"/>
          <w:rtl/>
        </w:rPr>
        <w:t>أقولُ:</w:t>
      </w:r>
      <w:r w:rsidRPr="00220E3A">
        <w:rPr>
          <w:sz w:val="32"/>
          <w:szCs w:val="32"/>
          <w:rtl/>
        </w:rPr>
        <w:t xml:space="preserve"> إنّ هذا الكلام إنْ لَمْ يرجع لما ذكره سيدنا الخوئي (قدس سره الشريف) مِن أنّ معنى الفسخ هو حلّ العقد مِن أصله؛ لأنّ الفسخ كالإجازة، فكما أنّ الإجازة تتعلّق بالعقد، كذلك الفسخ يتعلّق بالعقد لا ببعض مضمونه، وقد سبق التأمل فيه</w:t>
      </w:r>
      <w:r w:rsidRPr="00220E3A">
        <w:rPr>
          <w:sz w:val="32"/>
          <w:szCs w:val="32"/>
        </w:rPr>
        <w:t>.</w:t>
      </w:r>
    </w:p>
    <w:p w14:paraId="4B9D26C8" w14:textId="77777777" w:rsidR="00220E3A" w:rsidRPr="00220E3A" w:rsidRDefault="00220E3A" w:rsidP="00220E3A">
      <w:pPr>
        <w:bidi/>
        <w:rPr>
          <w:sz w:val="32"/>
          <w:szCs w:val="32"/>
          <w:rtl/>
        </w:rPr>
      </w:pPr>
      <w:r w:rsidRPr="00220E3A">
        <w:rPr>
          <w:b/>
          <w:bCs/>
          <w:sz w:val="32"/>
          <w:szCs w:val="32"/>
          <w:rtl/>
        </w:rPr>
        <w:t>فإنّه يردُ عليه:</w:t>
      </w:r>
      <w:r w:rsidRPr="00220E3A">
        <w:rPr>
          <w:sz w:val="32"/>
          <w:szCs w:val="32"/>
          <w:rtl/>
        </w:rPr>
        <w:t xml:space="preserve"> أنّ العقد وإنْ كان واحداً، إلّا أنّ مدعى السيد الحكيم الجد (قدس سره) أنّ هناك ارتكازاً عرفياً على انحلاله لباً، فهو عقدٌ واحدٌ لكن ينحل لباً بالنظر العقلائي بحسب الآثار، وهو المفتاح لتمكن المُستأجر إذا تبيّن لَهُ أنّ هناك سبباً للخيار أنْ يفسخ التمام أو يفسخ البعض، وكلاهما حلّ للعقد سواءً فسخ البعض أو فسخ الكُلّ، ولا معنى لأنْ يُقال: حلّ العقد لا يكون إلّا إذا فسخ الكلّ فالعقد واحد وحلّه واحد، إنّما حلّ العقد يختلف باختلاف مضمونه وانبساطه، فتارةً يحلّه بلحاظ تمام المنافع وتارةً يحلّه بلحاظ بعض المنافع، فوحدّة العقد وإنْ كانت تستدعي وحدّة الحلّ؛ لأنّ الحلّ متعلّق بالعقد، إلّا أنّ وحدّة الحلّ لا تقتضي -لا عقلاً ولا عقلاءً- حلّ العقد مِن أصله وإلّا لَمْ يكن حلّاً للعقد</w:t>
      </w:r>
      <w:r w:rsidRPr="00220E3A">
        <w:rPr>
          <w:sz w:val="32"/>
          <w:szCs w:val="32"/>
        </w:rPr>
        <w:t>.</w:t>
      </w:r>
    </w:p>
    <w:p w14:paraId="66E5982D" w14:textId="77777777" w:rsidR="00220E3A" w:rsidRPr="00220E3A" w:rsidRDefault="00220E3A" w:rsidP="00220E3A">
      <w:pPr>
        <w:bidi/>
        <w:rPr>
          <w:sz w:val="32"/>
          <w:szCs w:val="32"/>
          <w:rtl/>
        </w:rPr>
      </w:pPr>
      <w:r w:rsidRPr="00220E3A">
        <w:rPr>
          <w:b/>
          <w:bCs/>
          <w:sz w:val="32"/>
          <w:szCs w:val="32"/>
          <w:rtl/>
        </w:rPr>
        <w:lastRenderedPageBreak/>
        <w:t>الملاحظةُ الثالثة:</w:t>
      </w:r>
      <w:r w:rsidRPr="00220E3A">
        <w:rPr>
          <w:sz w:val="32"/>
          <w:szCs w:val="32"/>
          <w:rtl/>
        </w:rPr>
        <w:t xml:space="preserve"> التفتيش عن المرتكز العقلائي نفسه، وهو لُب المناقشة</w:t>
      </w:r>
      <w:r w:rsidRPr="00220E3A">
        <w:rPr>
          <w:sz w:val="32"/>
          <w:szCs w:val="32"/>
        </w:rPr>
        <w:t>.</w:t>
      </w:r>
    </w:p>
    <w:p w14:paraId="110BE82B" w14:textId="77777777" w:rsidR="00220E3A" w:rsidRPr="00220E3A" w:rsidRDefault="00220E3A" w:rsidP="00220E3A">
      <w:pPr>
        <w:bidi/>
        <w:rPr>
          <w:sz w:val="32"/>
          <w:szCs w:val="32"/>
          <w:rtl/>
        </w:rPr>
      </w:pPr>
      <w:r w:rsidRPr="00220E3A">
        <w:rPr>
          <w:sz w:val="32"/>
          <w:szCs w:val="32"/>
          <w:rtl/>
        </w:rPr>
        <w:t>فهل أنّ المرتكز العقلائي يرى الانحلال أو لا يرى الانحلال؟</w:t>
      </w:r>
    </w:p>
    <w:p w14:paraId="10D669BA" w14:textId="77777777" w:rsidR="00220E3A" w:rsidRPr="00220E3A" w:rsidRDefault="00220E3A" w:rsidP="00220E3A">
      <w:pPr>
        <w:bidi/>
        <w:rPr>
          <w:sz w:val="32"/>
          <w:szCs w:val="32"/>
          <w:rtl/>
        </w:rPr>
      </w:pPr>
      <w:r w:rsidRPr="00220E3A">
        <w:rPr>
          <w:sz w:val="32"/>
          <w:szCs w:val="32"/>
          <w:rtl/>
        </w:rPr>
        <w:t>فإنّ مفتاح المناقشة في التفتيش عن المرتكز العقلائي، وهو هل أنّ المرتكز العقلائي في إجارة الأعيان يرى أنّ المضمون تعدد المطلوب أو وحدّة المطلوب؟</w:t>
      </w:r>
    </w:p>
    <w:p w14:paraId="0CA2CF94" w14:textId="77777777" w:rsidR="00220E3A" w:rsidRPr="00220E3A" w:rsidRDefault="00220E3A" w:rsidP="00220E3A">
      <w:pPr>
        <w:bidi/>
        <w:rPr>
          <w:sz w:val="32"/>
          <w:szCs w:val="32"/>
          <w:rtl/>
        </w:rPr>
      </w:pPr>
      <w:r w:rsidRPr="00220E3A">
        <w:rPr>
          <w:sz w:val="32"/>
          <w:szCs w:val="32"/>
          <w:rtl/>
        </w:rPr>
        <w:t>فإنْ كان المرتكز العقلائي يرى أنّ مضمون الإجارة في باب إجارة الأعيان كإجارة الأعمال على عملٍ واحدٍ هي مِن باب وحدّة المطلوب، فإجارة السيارة شهراً كاستئجار الطبيب للعملية الجراحية؛ فكما أنّ استئجار الطبيب للعملية الجراحية منظورٌ على نحو وحدّة المطلوب التي لا تقبل التبعيض، فكذلك إجارة السيارة شهراً</w:t>
      </w:r>
      <w:r w:rsidRPr="00220E3A">
        <w:rPr>
          <w:sz w:val="32"/>
          <w:szCs w:val="32"/>
        </w:rPr>
        <w:t>.</w:t>
      </w:r>
    </w:p>
    <w:p w14:paraId="5D020D6C" w14:textId="77777777" w:rsidR="00220E3A" w:rsidRPr="00220E3A" w:rsidRDefault="00220E3A" w:rsidP="00220E3A">
      <w:pPr>
        <w:bidi/>
        <w:rPr>
          <w:sz w:val="32"/>
          <w:szCs w:val="32"/>
          <w:rtl/>
        </w:rPr>
      </w:pPr>
      <w:r w:rsidRPr="00220E3A">
        <w:rPr>
          <w:sz w:val="32"/>
          <w:szCs w:val="32"/>
          <w:rtl/>
        </w:rPr>
        <w:t>فبناءً على هذا يتم كلام سيدنا الخوئي (قدس سره الشريف)، فإنّه إذا تبيّن لَهُ سبب الفسخ فإنّ حلّ العقد لا يكون إلّا بحلّه بلحاظ تمامه لأنّه كان على نحو وحدّة المطلوب</w:t>
      </w:r>
      <w:r w:rsidRPr="00220E3A">
        <w:rPr>
          <w:sz w:val="32"/>
          <w:szCs w:val="32"/>
        </w:rPr>
        <w:t>.</w:t>
      </w:r>
    </w:p>
    <w:p w14:paraId="32C9CBF7" w14:textId="77777777" w:rsidR="00220E3A" w:rsidRPr="00220E3A" w:rsidRDefault="00220E3A" w:rsidP="00220E3A">
      <w:pPr>
        <w:bidi/>
        <w:rPr>
          <w:sz w:val="32"/>
          <w:szCs w:val="32"/>
          <w:rtl/>
        </w:rPr>
      </w:pPr>
      <w:r w:rsidRPr="00220E3A">
        <w:rPr>
          <w:sz w:val="32"/>
          <w:szCs w:val="32"/>
          <w:rtl/>
        </w:rPr>
        <w:t>وأمّا إذا كان المرتكز العقلائي يفرق بين إجارة الأعيان وإجارة الأعمال، ويرى أنّ إجارة الأعيان كإجارة الدار شهرا هي على نحو تعدد المطلوب ما لَمْ يكن هناك نصّ في متن الإجارة على تمليك المجموع بما هو مجموع، فمقتضى هذا أنْ يكون للمُستأجر فسحة في أنْ يفسخ تمام العقد أو يفسخ بعضه دون بعضٍ.</w:t>
      </w:r>
    </w:p>
    <w:p w14:paraId="02A29382" w14:textId="77777777" w:rsidR="00220E3A" w:rsidRPr="00220E3A" w:rsidRDefault="00220E3A" w:rsidP="00220E3A">
      <w:pPr>
        <w:bidi/>
        <w:rPr>
          <w:sz w:val="32"/>
          <w:szCs w:val="32"/>
          <w:rtl/>
        </w:rPr>
      </w:pPr>
    </w:p>
    <w:p w14:paraId="32018E5C" w14:textId="77777777" w:rsidR="00220E3A" w:rsidRPr="00220E3A" w:rsidRDefault="00220E3A" w:rsidP="00220E3A">
      <w:pPr>
        <w:bidi/>
        <w:rPr>
          <w:b/>
          <w:bCs/>
          <w:sz w:val="32"/>
          <w:szCs w:val="32"/>
          <w:rtl/>
        </w:rPr>
      </w:pPr>
      <w:r w:rsidRPr="00220E3A">
        <w:rPr>
          <w:b/>
          <w:bCs/>
          <w:sz w:val="32"/>
          <w:szCs w:val="32"/>
          <w:rtl/>
        </w:rPr>
        <w:t>والحمد لله رب العالمين</w:t>
      </w:r>
    </w:p>
    <w:p w14:paraId="1F2BFB00" w14:textId="1A30EFC2" w:rsidR="00220E3A" w:rsidRDefault="009A6D59" w:rsidP="009A6D59">
      <w:pPr>
        <w:pStyle w:val="Heading3"/>
        <w:bidi/>
        <w:rPr>
          <w:sz w:val="32"/>
          <w:szCs w:val="32"/>
          <w:rtl/>
        </w:rPr>
      </w:pPr>
      <w:r>
        <w:rPr>
          <w:rFonts w:hint="cs"/>
          <w:sz w:val="32"/>
          <w:szCs w:val="32"/>
          <w:rtl/>
        </w:rPr>
        <w:t>344</w:t>
      </w:r>
    </w:p>
    <w:p w14:paraId="7AF4AECD" w14:textId="77777777" w:rsidR="009A6D59" w:rsidRPr="005E03C1" w:rsidRDefault="009A6D59" w:rsidP="009A6D59">
      <w:pPr>
        <w:pStyle w:val="a"/>
        <w:bidi/>
        <w:spacing w:line="216" w:lineRule="auto"/>
        <w:jc w:val="center"/>
        <w:rPr>
          <w:rFonts w:ascii="mylotus" w:hAnsi="mylotus"/>
          <w:b/>
          <w:bCs/>
          <w:sz w:val="34"/>
          <w:szCs w:val="34"/>
          <w:rtl/>
        </w:rPr>
      </w:pPr>
      <w:r w:rsidRPr="005E03C1">
        <w:rPr>
          <w:rFonts w:ascii="mylotus" w:hAnsi="mylotus"/>
          <w:b/>
          <w:bCs/>
          <w:sz w:val="34"/>
          <w:szCs w:val="34"/>
          <w:rtl/>
        </w:rPr>
        <w:t>بسم الله الرحمن الرحيم</w:t>
      </w:r>
    </w:p>
    <w:p w14:paraId="17E2E084" w14:textId="77777777" w:rsidR="009A6D59" w:rsidRPr="005E03C1" w:rsidRDefault="009A6D59" w:rsidP="009A6D59">
      <w:pPr>
        <w:pStyle w:val="a"/>
        <w:bidi/>
        <w:spacing w:line="216" w:lineRule="auto"/>
        <w:jc w:val="center"/>
        <w:rPr>
          <w:rFonts w:ascii="mylotus" w:hAnsi="mylotus"/>
          <w:b/>
          <w:bCs/>
          <w:sz w:val="34"/>
          <w:szCs w:val="34"/>
          <w:rtl/>
        </w:rPr>
      </w:pPr>
      <w:r w:rsidRPr="005E03C1">
        <w:rPr>
          <w:rFonts w:ascii="mylotus" w:hAnsi="mylotus"/>
          <w:b/>
          <w:bCs/>
          <w:sz w:val="34"/>
          <w:szCs w:val="34"/>
          <w:rtl/>
        </w:rPr>
        <w:t>والصلاة والسلام على أشرف الأنبياء والمرسلين، محمد وآله الطيبين الطاهرين</w:t>
      </w:r>
    </w:p>
    <w:p w14:paraId="75CBED1C" w14:textId="77777777" w:rsidR="009A6D59" w:rsidRDefault="009A6D59" w:rsidP="009A6D59">
      <w:pPr>
        <w:pStyle w:val="a"/>
        <w:bidi/>
        <w:spacing w:line="216" w:lineRule="auto"/>
        <w:jc w:val="center"/>
        <w:rPr>
          <w:rFonts w:ascii="mylotus" w:hAnsi="mylotus"/>
          <w:sz w:val="34"/>
          <w:szCs w:val="34"/>
          <w:rtl/>
        </w:rPr>
      </w:pPr>
      <w:r w:rsidRPr="005E03C1">
        <w:rPr>
          <w:rFonts w:ascii="mylotus" w:hAnsi="mylotus"/>
          <w:b/>
          <w:bCs/>
          <w:sz w:val="34"/>
          <w:szCs w:val="34"/>
          <w:rtl/>
        </w:rPr>
        <w:t>واللعن الدائم على أعدائهم أجمعين إلى قيام يوم الدين</w:t>
      </w:r>
    </w:p>
    <w:p w14:paraId="2B543E1D" w14:textId="77777777" w:rsidR="009A6D59" w:rsidRPr="00B9009D" w:rsidRDefault="009A6D59" w:rsidP="009A6D59">
      <w:pPr>
        <w:pStyle w:val="a"/>
        <w:bidi/>
        <w:spacing w:line="216" w:lineRule="auto"/>
        <w:ind w:firstLine="0"/>
        <w:rPr>
          <w:rFonts w:ascii="mylotus" w:hAnsi="mylotus"/>
          <w:sz w:val="34"/>
          <w:szCs w:val="34"/>
          <w:rtl/>
        </w:rPr>
      </w:pPr>
    </w:p>
    <w:p w14:paraId="59DFAA96" w14:textId="77777777" w:rsidR="009A6D59" w:rsidRPr="008E14E2" w:rsidRDefault="009A6D59" w:rsidP="009A6D59">
      <w:pPr>
        <w:pStyle w:val="a"/>
        <w:bidi/>
        <w:spacing w:line="216" w:lineRule="auto"/>
        <w:rPr>
          <w:rFonts w:ascii="mylotus" w:hAnsi="mylotus"/>
          <w:sz w:val="34"/>
          <w:szCs w:val="34"/>
          <w:rtl/>
        </w:rPr>
      </w:pPr>
      <w:r w:rsidRPr="008E14E2">
        <w:rPr>
          <w:rFonts w:ascii="mylotus" w:hAnsi="mylotus"/>
          <w:b/>
          <w:bCs/>
          <w:sz w:val="34"/>
          <w:szCs w:val="34"/>
          <w:rtl/>
        </w:rPr>
        <w:t>والتحقيق</w:t>
      </w:r>
      <w:r>
        <w:rPr>
          <w:rFonts w:ascii="mylotus" w:hAnsi="mylotus" w:hint="cs"/>
          <w:b/>
          <w:bCs/>
          <w:sz w:val="34"/>
          <w:szCs w:val="34"/>
          <w:rtl/>
        </w:rPr>
        <w:t>ُ</w:t>
      </w:r>
      <w:r w:rsidRPr="008E14E2">
        <w:rPr>
          <w:rFonts w:ascii="mylotus" w:hAnsi="mylotus"/>
          <w:b/>
          <w:bCs/>
          <w:sz w:val="34"/>
          <w:szCs w:val="34"/>
          <w:rtl/>
        </w:rPr>
        <w:t xml:space="preserve"> في المسألة</w:t>
      </w:r>
      <w:r w:rsidRPr="008E14E2">
        <w:rPr>
          <w:rFonts w:ascii="mylotus" w:hAnsi="mylotus"/>
          <w:sz w:val="34"/>
          <w:szCs w:val="34"/>
          <w:rtl/>
        </w:rPr>
        <w:t xml:space="preserve"> يتوقّف على تنقيح المرتكز العرفي في باب إجارة الأعيان، بمعنى: أنّ المالك إذا قال: "آجرتُكَ الدارَ أو السيارةَ شهراً"، فهل المنظور في الإجارة ال</w:t>
      </w:r>
      <w:r>
        <w:rPr>
          <w:rFonts w:ascii="mylotus" w:hAnsi="mylotus" w:hint="cs"/>
          <w:sz w:val="34"/>
          <w:szCs w:val="34"/>
          <w:rtl/>
        </w:rPr>
        <w:t>ا</w:t>
      </w:r>
      <w:r w:rsidRPr="008E14E2">
        <w:rPr>
          <w:rFonts w:ascii="mylotus" w:hAnsi="mylotus"/>
          <w:sz w:val="34"/>
          <w:szCs w:val="34"/>
          <w:rtl/>
        </w:rPr>
        <w:t>نحلال في الم</w:t>
      </w:r>
      <w:r>
        <w:rPr>
          <w:rFonts w:ascii="mylotus" w:hAnsi="mylotus" w:hint="cs"/>
          <w:sz w:val="34"/>
          <w:szCs w:val="34"/>
          <w:rtl/>
        </w:rPr>
        <w:t>ِ</w:t>
      </w:r>
      <w:r w:rsidRPr="008E14E2">
        <w:rPr>
          <w:rFonts w:ascii="mylotus" w:hAnsi="mylotus"/>
          <w:sz w:val="34"/>
          <w:szCs w:val="34"/>
          <w:rtl/>
        </w:rPr>
        <w:t>لك أم لا؟</w:t>
      </w:r>
    </w:p>
    <w:p w14:paraId="74A02457" w14:textId="77777777" w:rsidR="009A6D59" w:rsidRPr="008E14E2" w:rsidRDefault="009A6D59" w:rsidP="009A6D59">
      <w:pPr>
        <w:pStyle w:val="a"/>
        <w:bidi/>
        <w:spacing w:line="216" w:lineRule="auto"/>
        <w:rPr>
          <w:rFonts w:ascii="mylotus" w:hAnsi="mylotus"/>
          <w:b/>
          <w:bCs/>
          <w:sz w:val="34"/>
          <w:szCs w:val="34"/>
          <w:rtl/>
        </w:rPr>
      </w:pPr>
      <w:r w:rsidRPr="008E14E2">
        <w:rPr>
          <w:rFonts w:ascii="mylotus" w:hAnsi="mylotus"/>
          <w:sz w:val="34"/>
          <w:szCs w:val="34"/>
          <w:rtl/>
        </w:rPr>
        <w:t>وقد تأمل في ذلك بعضُ الأجلة (رحمه الله) في كتابه الإجارة</w:t>
      </w:r>
      <w:r>
        <w:rPr>
          <w:rStyle w:val="FootnoteReference"/>
          <w:rFonts w:ascii="mylotus" w:hAnsi="mylotus"/>
          <w:sz w:val="34"/>
          <w:szCs w:val="34"/>
          <w:rtl/>
        </w:rPr>
        <w:footnoteReference w:id="273"/>
      </w:r>
      <w:r w:rsidRPr="008E14E2">
        <w:rPr>
          <w:rFonts w:ascii="mylotus" w:hAnsi="mylotus"/>
          <w:sz w:val="34"/>
          <w:szCs w:val="34"/>
          <w:rtl/>
        </w:rPr>
        <w:t xml:space="preserve"> بقوله: (</w:t>
      </w:r>
      <w:r w:rsidRPr="008E14E2">
        <w:rPr>
          <w:rFonts w:ascii="mylotus" w:hAnsi="mylotus"/>
          <w:b/>
          <w:bCs/>
          <w:sz w:val="34"/>
          <w:szCs w:val="34"/>
          <w:rtl/>
        </w:rPr>
        <w:t>وثانياً: عدم وضوح وجه للارتكاز المدعى)</w:t>
      </w:r>
      <w:r w:rsidRPr="008E14E2">
        <w:rPr>
          <w:rFonts w:ascii="mylotus" w:hAnsi="mylotus"/>
          <w:sz w:val="34"/>
          <w:szCs w:val="34"/>
          <w:rtl/>
        </w:rPr>
        <w:t xml:space="preserve"> في كلمات السيد الحكيم (قدس سره) </w:t>
      </w:r>
      <w:r w:rsidRPr="008E14E2">
        <w:rPr>
          <w:rFonts w:ascii="mylotus" w:hAnsi="mylotus"/>
          <w:b/>
          <w:bCs/>
          <w:sz w:val="34"/>
          <w:szCs w:val="34"/>
          <w:rtl/>
        </w:rPr>
        <w:t xml:space="preserve">(بعد فرض أنَّ مقدار المنفعة وزمانها </w:t>
      </w:r>
      <w:r w:rsidRPr="007D09C2">
        <w:rPr>
          <w:rFonts w:ascii="mylotus" w:hAnsi="mylotus"/>
          <w:b/>
          <w:bCs/>
          <w:sz w:val="34"/>
          <w:szCs w:val="34"/>
          <w:highlight w:val="yellow"/>
          <w:rtl/>
        </w:rPr>
        <w:t>يكون دخيلاً غالباً في الغرض المعاملي</w:t>
      </w:r>
      <w:r w:rsidRPr="008E14E2">
        <w:rPr>
          <w:rFonts w:ascii="mylotus" w:hAnsi="mylotus"/>
          <w:b/>
          <w:bCs/>
          <w:sz w:val="34"/>
          <w:szCs w:val="34"/>
          <w:rtl/>
        </w:rPr>
        <w:t>)</w:t>
      </w:r>
      <w:r w:rsidRPr="008E14E2">
        <w:rPr>
          <w:rFonts w:ascii="mylotus" w:hAnsi="mylotus"/>
          <w:sz w:val="34"/>
          <w:szCs w:val="34"/>
          <w:rtl/>
        </w:rPr>
        <w:t xml:space="preserve"> إذ لا معنى لأنْ يستأجر الدار </w:t>
      </w:r>
      <w:r w:rsidRPr="008E14E2">
        <w:rPr>
          <w:rFonts w:ascii="mylotus" w:hAnsi="mylotus"/>
          <w:sz w:val="34"/>
          <w:szCs w:val="34"/>
          <w:rtl/>
        </w:rPr>
        <w:lastRenderedPageBreak/>
        <w:t xml:space="preserve">شهراً لولا أنّ في هذا الزمن غرضه </w:t>
      </w:r>
      <w:r w:rsidRPr="008E14E2">
        <w:rPr>
          <w:rFonts w:ascii="mylotus" w:hAnsi="mylotus"/>
          <w:b/>
          <w:bCs/>
          <w:sz w:val="34"/>
          <w:szCs w:val="34"/>
          <w:rtl/>
        </w:rPr>
        <w:t>(كما أنَّ المنفعة في زمان قد تكون أكثر قيمة منها في زمان آخر)</w:t>
      </w:r>
      <w:r w:rsidRPr="008E14E2">
        <w:rPr>
          <w:rFonts w:ascii="mylotus" w:hAnsi="mylotus"/>
          <w:sz w:val="34"/>
          <w:szCs w:val="34"/>
          <w:rtl/>
        </w:rPr>
        <w:t xml:space="preserve"> كاختلاف منفعة السكن أيام الزيارة عنها في غير أيام الزيارة، واختلاف قيمة وسائل النقل في أيام الزيارة عنها في غيرها، واختلاف منافع الدار القريبة مِن حرم أمير المؤمنين (صلوات الله عليه) عما هو خارج منطقة الحرم الشريف، واختلاف منافع الدار المقدرة بشهرين عن منافعها المقدرة بشهر</w:t>
      </w:r>
      <w:r>
        <w:rPr>
          <w:rFonts w:ascii="mylotus" w:hAnsi="mylotus" w:hint="cs"/>
          <w:sz w:val="34"/>
          <w:szCs w:val="34"/>
          <w:rtl/>
        </w:rPr>
        <w:t>ٍ،</w:t>
      </w:r>
      <w:r w:rsidRPr="008E14E2">
        <w:rPr>
          <w:rFonts w:ascii="mylotus" w:hAnsi="mylotus"/>
          <w:sz w:val="34"/>
          <w:szCs w:val="34"/>
          <w:rtl/>
        </w:rPr>
        <w:t xml:space="preserve"> وهكذا </w:t>
      </w:r>
      <w:r w:rsidRPr="008E14E2">
        <w:rPr>
          <w:rFonts w:ascii="mylotus" w:hAnsi="mylotus"/>
          <w:b/>
          <w:bCs/>
          <w:sz w:val="34"/>
          <w:szCs w:val="34"/>
          <w:rtl/>
        </w:rPr>
        <w:t>(فليست أجزاء المنفعة الواحدة وأبعاضها بلحاظ الزمان متساوية ومتماثلة دائماً)</w:t>
      </w:r>
      <w:r w:rsidRPr="008E14E2">
        <w:rPr>
          <w:rFonts w:ascii="mylotus" w:hAnsi="mylotus"/>
          <w:sz w:val="34"/>
          <w:szCs w:val="34"/>
          <w:rtl/>
        </w:rPr>
        <w:t xml:space="preserve"> كي يُقال: بأنّ المرتكز العقلائي يساعد على التبعيض والانحلال </w:t>
      </w:r>
      <w:r w:rsidRPr="008E14E2">
        <w:rPr>
          <w:rFonts w:ascii="mylotus" w:hAnsi="mylotus"/>
          <w:b/>
          <w:bCs/>
          <w:sz w:val="34"/>
          <w:szCs w:val="34"/>
          <w:rtl/>
        </w:rPr>
        <w:t>(وهذا واضح)</w:t>
      </w:r>
      <w:r w:rsidRPr="008E14E2">
        <w:rPr>
          <w:rFonts w:ascii="mylotus" w:hAnsi="mylotus"/>
          <w:b/>
          <w:bCs/>
          <w:sz w:val="34"/>
          <w:szCs w:val="34"/>
        </w:rPr>
        <w:t>.</w:t>
      </w:r>
    </w:p>
    <w:p w14:paraId="3E9F145E" w14:textId="77777777" w:rsidR="009A6D59" w:rsidRPr="008E14E2" w:rsidRDefault="009A6D59" w:rsidP="009A6D59">
      <w:pPr>
        <w:pStyle w:val="a"/>
        <w:bidi/>
        <w:spacing w:line="216" w:lineRule="auto"/>
        <w:rPr>
          <w:rFonts w:ascii="mylotus" w:hAnsi="mylotus"/>
          <w:b/>
          <w:bCs/>
          <w:sz w:val="34"/>
          <w:szCs w:val="34"/>
          <w:rtl/>
        </w:rPr>
      </w:pPr>
      <w:r w:rsidRPr="008E14E2">
        <w:rPr>
          <w:rFonts w:ascii="mylotus" w:hAnsi="mylotus"/>
          <w:b/>
          <w:bCs/>
          <w:sz w:val="34"/>
          <w:szCs w:val="34"/>
          <w:rtl/>
        </w:rPr>
        <w:t>ولكن:</w:t>
      </w:r>
      <w:r w:rsidRPr="008E14E2">
        <w:rPr>
          <w:rFonts w:ascii="mylotus" w:hAnsi="mylotus"/>
          <w:sz w:val="34"/>
          <w:szCs w:val="34"/>
          <w:rtl/>
        </w:rPr>
        <w:t xml:space="preserve"> ما أُفيد لا يلغي ما ذكره السيد الحكيم (قدس سره الشريف)؛ </w:t>
      </w:r>
      <w:r w:rsidRPr="008E14E2">
        <w:rPr>
          <w:rFonts w:ascii="mylotus" w:hAnsi="mylotus"/>
          <w:b/>
          <w:bCs/>
          <w:sz w:val="34"/>
          <w:szCs w:val="34"/>
          <w:rtl/>
        </w:rPr>
        <w:t>إذ أن</w:t>
      </w:r>
      <w:r w:rsidRPr="008E14E2">
        <w:rPr>
          <w:rFonts w:ascii="mylotus" w:hAnsi="mylotus" w:hint="cs"/>
          <w:b/>
          <w:bCs/>
          <w:sz w:val="34"/>
          <w:szCs w:val="34"/>
          <w:rtl/>
        </w:rPr>
        <w:t>ّ</w:t>
      </w:r>
      <w:r w:rsidRPr="008E14E2">
        <w:rPr>
          <w:rFonts w:ascii="mylotus" w:hAnsi="mylotus"/>
          <w:b/>
          <w:bCs/>
          <w:sz w:val="34"/>
          <w:szCs w:val="34"/>
          <w:rtl/>
        </w:rPr>
        <w:t xml:space="preserve"> في المقام بحثين</w:t>
      </w:r>
      <w:r w:rsidRPr="008E14E2">
        <w:rPr>
          <w:rFonts w:ascii="mylotus" w:hAnsi="mylotus" w:hint="cs"/>
          <w:b/>
          <w:bCs/>
          <w:sz w:val="34"/>
          <w:szCs w:val="34"/>
          <w:rtl/>
        </w:rPr>
        <w:t>:</w:t>
      </w:r>
    </w:p>
    <w:p w14:paraId="77DD303D" w14:textId="77777777" w:rsidR="009A6D59" w:rsidRDefault="009A6D59" w:rsidP="009A6D59">
      <w:pPr>
        <w:pStyle w:val="a"/>
        <w:bidi/>
        <w:spacing w:line="216" w:lineRule="auto"/>
        <w:rPr>
          <w:rFonts w:ascii="mylotus" w:hAnsi="mylotus"/>
          <w:sz w:val="34"/>
          <w:szCs w:val="34"/>
          <w:rtl/>
        </w:rPr>
      </w:pPr>
      <w:r w:rsidRPr="008E14E2">
        <w:rPr>
          <w:rFonts w:ascii="mylotus" w:hAnsi="mylotus"/>
          <w:b/>
          <w:bCs/>
          <w:sz w:val="34"/>
          <w:szCs w:val="34"/>
          <w:rtl/>
        </w:rPr>
        <w:t xml:space="preserve">أحدهما: </w:t>
      </w:r>
      <w:r w:rsidRPr="008E14E2">
        <w:rPr>
          <w:rFonts w:ascii="mylotus" w:hAnsi="mylotus"/>
          <w:sz w:val="34"/>
          <w:szCs w:val="34"/>
          <w:rtl/>
        </w:rPr>
        <w:t>في أن</w:t>
      </w:r>
      <w:r>
        <w:rPr>
          <w:rFonts w:ascii="mylotus" w:hAnsi="mylotus" w:hint="cs"/>
          <w:sz w:val="34"/>
          <w:szCs w:val="34"/>
          <w:rtl/>
        </w:rPr>
        <w:t>ّ</w:t>
      </w:r>
      <w:r w:rsidRPr="008E14E2">
        <w:rPr>
          <w:rFonts w:ascii="mylotus" w:hAnsi="mylotus"/>
          <w:sz w:val="34"/>
          <w:szCs w:val="34"/>
          <w:rtl/>
        </w:rPr>
        <w:t xml:space="preserve"> الغرض في منافع العين المستأجرة ملحوظ على نحو وحدة المطلوب أم تعدد المطلوب</w:t>
      </w:r>
      <w:r>
        <w:rPr>
          <w:rFonts w:ascii="mylotus" w:hAnsi="mylotus" w:hint="cs"/>
          <w:sz w:val="34"/>
          <w:szCs w:val="34"/>
          <w:rtl/>
        </w:rPr>
        <w:t>.</w:t>
      </w:r>
    </w:p>
    <w:p w14:paraId="7B90890C" w14:textId="77777777" w:rsidR="009A6D59" w:rsidRDefault="009A6D59" w:rsidP="009A6D59">
      <w:pPr>
        <w:pStyle w:val="a"/>
        <w:bidi/>
        <w:spacing w:line="216" w:lineRule="auto"/>
        <w:rPr>
          <w:rFonts w:ascii="mylotus" w:hAnsi="mylotus"/>
          <w:sz w:val="34"/>
          <w:szCs w:val="34"/>
          <w:rtl/>
        </w:rPr>
      </w:pPr>
      <w:r w:rsidRPr="008E14E2">
        <w:rPr>
          <w:rFonts w:ascii="mylotus" w:hAnsi="mylotus"/>
          <w:b/>
          <w:bCs/>
          <w:sz w:val="34"/>
          <w:szCs w:val="34"/>
          <w:rtl/>
        </w:rPr>
        <w:t>وثانيهما:</w:t>
      </w:r>
      <w:r w:rsidRPr="008E14E2">
        <w:rPr>
          <w:rFonts w:ascii="mylotus" w:hAnsi="mylotus"/>
          <w:sz w:val="34"/>
          <w:szCs w:val="34"/>
          <w:rtl/>
        </w:rPr>
        <w:t xml:space="preserve"> في أن</w:t>
      </w:r>
      <w:r>
        <w:rPr>
          <w:rFonts w:ascii="mylotus" w:hAnsi="mylotus" w:hint="cs"/>
          <w:sz w:val="34"/>
          <w:szCs w:val="34"/>
          <w:rtl/>
        </w:rPr>
        <w:t>ّ</w:t>
      </w:r>
      <w:r w:rsidRPr="008E14E2">
        <w:rPr>
          <w:rFonts w:ascii="mylotus" w:hAnsi="mylotus"/>
          <w:sz w:val="34"/>
          <w:szCs w:val="34"/>
          <w:rtl/>
        </w:rPr>
        <w:t xml:space="preserve"> تكثر المنفعة بحسب الزمن المساوق لتعدد المال المملوك للمستأجر هل يعني ال</w:t>
      </w:r>
      <w:r>
        <w:rPr>
          <w:rFonts w:ascii="mylotus" w:hAnsi="mylotus" w:hint="cs"/>
          <w:sz w:val="34"/>
          <w:szCs w:val="34"/>
          <w:rtl/>
        </w:rPr>
        <w:t>ا</w:t>
      </w:r>
      <w:r w:rsidRPr="008E14E2">
        <w:rPr>
          <w:rFonts w:ascii="mylotus" w:hAnsi="mylotus"/>
          <w:sz w:val="34"/>
          <w:szCs w:val="34"/>
          <w:rtl/>
        </w:rPr>
        <w:t>نحلال في الم</w:t>
      </w:r>
      <w:r>
        <w:rPr>
          <w:rFonts w:ascii="mylotus" w:hAnsi="mylotus" w:hint="cs"/>
          <w:sz w:val="34"/>
          <w:szCs w:val="34"/>
          <w:rtl/>
        </w:rPr>
        <w:t>ِ</w:t>
      </w:r>
      <w:r w:rsidRPr="008E14E2">
        <w:rPr>
          <w:rFonts w:ascii="mylotus" w:hAnsi="mylotus"/>
          <w:sz w:val="34"/>
          <w:szCs w:val="34"/>
          <w:rtl/>
        </w:rPr>
        <w:t>لكي</w:t>
      </w:r>
      <w:r>
        <w:rPr>
          <w:rFonts w:ascii="mylotus" w:hAnsi="mylotus" w:hint="cs"/>
          <w:sz w:val="34"/>
          <w:szCs w:val="34"/>
          <w:rtl/>
        </w:rPr>
        <w:t>ّ</w:t>
      </w:r>
      <w:r w:rsidRPr="008E14E2">
        <w:rPr>
          <w:rFonts w:ascii="mylotus" w:hAnsi="mylotus"/>
          <w:sz w:val="34"/>
          <w:szCs w:val="34"/>
          <w:rtl/>
        </w:rPr>
        <w:t>ة، أم أن</w:t>
      </w:r>
      <w:r>
        <w:rPr>
          <w:rFonts w:ascii="mylotus" w:hAnsi="mylotus" w:hint="cs"/>
          <w:sz w:val="34"/>
          <w:szCs w:val="34"/>
          <w:rtl/>
        </w:rPr>
        <w:t>ّ</w:t>
      </w:r>
      <w:r w:rsidRPr="008E14E2">
        <w:rPr>
          <w:rFonts w:ascii="mylotus" w:hAnsi="mylotus"/>
          <w:sz w:val="34"/>
          <w:szCs w:val="34"/>
          <w:rtl/>
        </w:rPr>
        <w:t xml:space="preserve"> م</w:t>
      </w:r>
      <w:r>
        <w:rPr>
          <w:rFonts w:ascii="mylotus" w:hAnsi="mylotus" w:hint="cs"/>
          <w:sz w:val="34"/>
          <w:szCs w:val="34"/>
          <w:rtl/>
        </w:rPr>
        <w:t>ِ</w:t>
      </w:r>
      <w:r w:rsidRPr="008E14E2">
        <w:rPr>
          <w:rFonts w:ascii="mylotus" w:hAnsi="mylotus"/>
          <w:sz w:val="34"/>
          <w:szCs w:val="34"/>
          <w:rtl/>
        </w:rPr>
        <w:t>لكي</w:t>
      </w:r>
      <w:r>
        <w:rPr>
          <w:rFonts w:ascii="mylotus" w:hAnsi="mylotus" w:hint="cs"/>
          <w:sz w:val="34"/>
          <w:szCs w:val="34"/>
          <w:rtl/>
        </w:rPr>
        <w:t>ّ</w:t>
      </w:r>
      <w:r w:rsidRPr="008E14E2">
        <w:rPr>
          <w:rFonts w:ascii="mylotus" w:hAnsi="mylotus"/>
          <w:sz w:val="34"/>
          <w:szCs w:val="34"/>
          <w:rtl/>
        </w:rPr>
        <w:t>ة سائر المنافع م</w:t>
      </w:r>
      <w:r>
        <w:rPr>
          <w:rFonts w:ascii="mylotus" w:hAnsi="mylotus" w:hint="cs"/>
          <w:sz w:val="34"/>
          <w:szCs w:val="34"/>
          <w:rtl/>
        </w:rPr>
        <w:t>ِ</w:t>
      </w:r>
      <w:r w:rsidRPr="008E14E2">
        <w:rPr>
          <w:rFonts w:ascii="mylotus" w:hAnsi="mylotus"/>
          <w:sz w:val="34"/>
          <w:szCs w:val="34"/>
          <w:rtl/>
        </w:rPr>
        <w:t>لكي</w:t>
      </w:r>
      <w:r>
        <w:rPr>
          <w:rFonts w:ascii="mylotus" w:hAnsi="mylotus" w:hint="cs"/>
          <w:sz w:val="34"/>
          <w:szCs w:val="34"/>
          <w:rtl/>
        </w:rPr>
        <w:t>ّ</w:t>
      </w:r>
      <w:r w:rsidRPr="008E14E2">
        <w:rPr>
          <w:rFonts w:ascii="mylotus" w:hAnsi="mylotus"/>
          <w:sz w:val="34"/>
          <w:szCs w:val="34"/>
          <w:rtl/>
        </w:rPr>
        <w:t>ة واحدة لا</w:t>
      </w:r>
      <w:r>
        <w:rPr>
          <w:rFonts w:ascii="mylotus" w:hAnsi="mylotus" w:hint="cs"/>
          <w:sz w:val="34"/>
          <w:szCs w:val="34"/>
          <w:rtl/>
        </w:rPr>
        <w:t xml:space="preserve"> </w:t>
      </w:r>
      <w:r w:rsidRPr="008E14E2">
        <w:rPr>
          <w:rFonts w:ascii="mylotus" w:hAnsi="mylotus"/>
          <w:sz w:val="34"/>
          <w:szCs w:val="34"/>
          <w:rtl/>
        </w:rPr>
        <w:t>تقبل ال</w:t>
      </w:r>
      <w:r>
        <w:rPr>
          <w:rFonts w:ascii="mylotus" w:hAnsi="mylotus" w:hint="cs"/>
          <w:sz w:val="34"/>
          <w:szCs w:val="34"/>
          <w:rtl/>
        </w:rPr>
        <w:t>ا</w:t>
      </w:r>
      <w:r w:rsidRPr="008E14E2">
        <w:rPr>
          <w:rFonts w:ascii="mylotus" w:hAnsi="mylotus"/>
          <w:sz w:val="34"/>
          <w:szCs w:val="34"/>
          <w:rtl/>
        </w:rPr>
        <w:t>نحلال والتبعيض</w:t>
      </w:r>
      <w:r>
        <w:rPr>
          <w:rFonts w:ascii="mylotus" w:hAnsi="mylotus" w:hint="cs"/>
          <w:sz w:val="34"/>
          <w:szCs w:val="34"/>
          <w:rtl/>
        </w:rPr>
        <w:t>.</w:t>
      </w:r>
    </w:p>
    <w:p w14:paraId="72E678FC" w14:textId="77777777" w:rsidR="009A6D59" w:rsidRPr="008E14E2" w:rsidRDefault="009A6D59" w:rsidP="009A6D59">
      <w:pPr>
        <w:pStyle w:val="a"/>
        <w:bidi/>
        <w:spacing w:line="216" w:lineRule="auto"/>
        <w:rPr>
          <w:rFonts w:ascii="mylotus" w:hAnsi="mylotus"/>
          <w:sz w:val="34"/>
          <w:szCs w:val="34"/>
          <w:rtl/>
        </w:rPr>
      </w:pPr>
      <w:r w:rsidRPr="008E14E2">
        <w:rPr>
          <w:rFonts w:ascii="mylotus" w:hAnsi="mylotus"/>
          <w:b/>
          <w:bCs/>
          <w:sz w:val="34"/>
          <w:szCs w:val="34"/>
          <w:rtl/>
        </w:rPr>
        <w:t>ولا ملازمة بين الأمرين</w:t>
      </w:r>
      <w:r w:rsidRPr="008E14E2">
        <w:rPr>
          <w:rFonts w:ascii="mylotus" w:hAnsi="mylotus" w:hint="cs"/>
          <w:b/>
          <w:bCs/>
          <w:sz w:val="34"/>
          <w:szCs w:val="34"/>
          <w:rtl/>
        </w:rPr>
        <w:t>؛</w:t>
      </w:r>
      <w:r w:rsidRPr="008E14E2">
        <w:rPr>
          <w:rFonts w:ascii="mylotus" w:hAnsi="mylotus"/>
          <w:sz w:val="34"/>
          <w:szCs w:val="34"/>
          <w:rtl/>
        </w:rPr>
        <w:t xml:space="preserve"> فثمة فرق بين تحديد الغرض المقصود بالأصالة في المعاملة، وكون الملك بالنظر العقلائي انحلاليا</w:t>
      </w:r>
      <w:r>
        <w:rPr>
          <w:rFonts w:ascii="mylotus" w:hAnsi="mylotus" w:hint="cs"/>
          <w:sz w:val="34"/>
          <w:szCs w:val="34"/>
          <w:rtl/>
        </w:rPr>
        <w:t>ً</w:t>
      </w:r>
      <w:r w:rsidRPr="008E14E2">
        <w:rPr>
          <w:rFonts w:ascii="mylotus" w:hAnsi="mylotus"/>
          <w:sz w:val="34"/>
          <w:szCs w:val="34"/>
          <w:rtl/>
        </w:rPr>
        <w:t xml:space="preserve"> أم وحدانيا</w:t>
      </w:r>
      <w:r>
        <w:rPr>
          <w:rFonts w:ascii="mylotus" w:hAnsi="mylotus" w:hint="cs"/>
          <w:sz w:val="34"/>
          <w:szCs w:val="34"/>
          <w:rtl/>
        </w:rPr>
        <w:t>ً</w:t>
      </w:r>
      <w:r w:rsidRPr="008E14E2">
        <w:rPr>
          <w:rFonts w:ascii="mylotus" w:hAnsi="mylotus"/>
          <w:sz w:val="34"/>
          <w:szCs w:val="34"/>
          <w:rtl/>
        </w:rPr>
        <w:t>؛ فإن</w:t>
      </w:r>
      <w:r>
        <w:rPr>
          <w:rFonts w:ascii="mylotus" w:hAnsi="mylotus" w:hint="cs"/>
          <w:sz w:val="34"/>
          <w:szCs w:val="34"/>
          <w:rtl/>
        </w:rPr>
        <w:t>ّ</w:t>
      </w:r>
      <w:r w:rsidRPr="008E14E2">
        <w:rPr>
          <w:rFonts w:ascii="mylotus" w:hAnsi="mylotus"/>
          <w:sz w:val="34"/>
          <w:szCs w:val="34"/>
          <w:rtl/>
        </w:rPr>
        <w:t>ه لا ريب أنّ الغرض المقصود بالأصالة في إجارة الأعيان أخذ المنافع على نحو المجموعية ما</w:t>
      </w:r>
      <w:r>
        <w:rPr>
          <w:rFonts w:ascii="mylotus" w:hAnsi="mylotus" w:hint="cs"/>
          <w:sz w:val="34"/>
          <w:szCs w:val="34"/>
          <w:rtl/>
        </w:rPr>
        <w:t xml:space="preserve"> </w:t>
      </w:r>
      <w:r w:rsidRPr="008E14E2">
        <w:rPr>
          <w:rFonts w:ascii="mylotus" w:hAnsi="mylotus"/>
          <w:sz w:val="34"/>
          <w:szCs w:val="34"/>
          <w:rtl/>
        </w:rPr>
        <w:t>ل</w:t>
      </w:r>
      <w:r>
        <w:rPr>
          <w:rFonts w:ascii="mylotus" w:hAnsi="mylotus" w:hint="cs"/>
          <w:sz w:val="34"/>
          <w:szCs w:val="34"/>
          <w:rtl/>
        </w:rPr>
        <w:t>َ</w:t>
      </w:r>
      <w:r w:rsidRPr="008E14E2">
        <w:rPr>
          <w:rFonts w:ascii="mylotus" w:hAnsi="mylotus"/>
          <w:sz w:val="34"/>
          <w:szCs w:val="34"/>
          <w:rtl/>
        </w:rPr>
        <w:t>م</w:t>
      </w:r>
      <w:r>
        <w:rPr>
          <w:rFonts w:ascii="mylotus" w:hAnsi="mylotus" w:hint="cs"/>
          <w:sz w:val="34"/>
          <w:szCs w:val="34"/>
          <w:rtl/>
        </w:rPr>
        <w:t>ْ</w:t>
      </w:r>
      <w:r w:rsidRPr="008E14E2">
        <w:rPr>
          <w:rFonts w:ascii="mylotus" w:hAnsi="mylotus"/>
          <w:sz w:val="34"/>
          <w:szCs w:val="34"/>
          <w:rtl/>
        </w:rPr>
        <w:t xml:space="preserve"> تكن قرينة على الخلاف، وإلّا لما كان ثمة مبرر لتقييدها بالشهر أو السنة أو غير ذلك، لكن كون هذا هو الغرض المقصود بالأصالة لا يستلزم عدم قابلية الم</w:t>
      </w:r>
      <w:r>
        <w:rPr>
          <w:rFonts w:ascii="mylotus" w:hAnsi="mylotus" w:hint="cs"/>
          <w:sz w:val="34"/>
          <w:szCs w:val="34"/>
          <w:rtl/>
        </w:rPr>
        <w:t>ِ</w:t>
      </w:r>
      <w:r w:rsidRPr="008E14E2">
        <w:rPr>
          <w:rFonts w:ascii="mylotus" w:hAnsi="mylotus"/>
          <w:sz w:val="34"/>
          <w:szCs w:val="34"/>
          <w:rtl/>
        </w:rPr>
        <w:t>لك بحسب النظر العقلائي لل</w:t>
      </w:r>
      <w:r>
        <w:rPr>
          <w:rFonts w:ascii="mylotus" w:hAnsi="mylotus" w:hint="cs"/>
          <w:sz w:val="34"/>
          <w:szCs w:val="34"/>
          <w:rtl/>
        </w:rPr>
        <w:t>ا</w:t>
      </w:r>
      <w:r w:rsidRPr="008E14E2">
        <w:rPr>
          <w:rFonts w:ascii="mylotus" w:hAnsi="mylotus"/>
          <w:sz w:val="34"/>
          <w:szCs w:val="34"/>
          <w:rtl/>
        </w:rPr>
        <w:t>نحلال، مع فرض تعدد المال بالوجدان، بل كون  المُستأجر للدار قد ملك أموالاً مما يقتضي أن</w:t>
      </w:r>
      <w:r>
        <w:rPr>
          <w:rFonts w:ascii="mylotus" w:hAnsi="mylotus" w:hint="cs"/>
          <w:sz w:val="34"/>
          <w:szCs w:val="34"/>
          <w:rtl/>
        </w:rPr>
        <w:t>ْ</w:t>
      </w:r>
      <w:r w:rsidRPr="008E14E2">
        <w:rPr>
          <w:rFonts w:ascii="mylotus" w:hAnsi="mylotus"/>
          <w:sz w:val="34"/>
          <w:szCs w:val="34"/>
          <w:rtl/>
        </w:rPr>
        <w:t xml:space="preserve"> يكون لَهُ </w:t>
      </w:r>
      <w:proofErr w:type="spellStart"/>
      <w:r w:rsidRPr="008E14E2">
        <w:rPr>
          <w:rFonts w:ascii="mylotus" w:hAnsi="mylotus"/>
          <w:sz w:val="34"/>
          <w:szCs w:val="34"/>
          <w:rtl/>
        </w:rPr>
        <w:t>بإزاءها</w:t>
      </w:r>
      <w:proofErr w:type="spellEnd"/>
      <w:r w:rsidRPr="008E14E2">
        <w:rPr>
          <w:rFonts w:ascii="mylotus" w:hAnsi="mylotus"/>
          <w:sz w:val="34"/>
          <w:szCs w:val="34"/>
          <w:rtl/>
        </w:rPr>
        <w:t xml:space="preserve"> ملكيات عديدة، ولذا لا</w:t>
      </w:r>
      <w:r>
        <w:rPr>
          <w:rFonts w:ascii="mylotus" w:hAnsi="mylotus" w:hint="cs"/>
          <w:sz w:val="34"/>
          <w:szCs w:val="34"/>
          <w:rtl/>
        </w:rPr>
        <w:t xml:space="preserve"> </w:t>
      </w:r>
      <w:r w:rsidRPr="008E14E2">
        <w:rPr>
          <w:rFonts w:ascii="mylotus" w:hAnsi="mylotus"/>
          <w:sz w:val="34"/>
          <w:szCs w:val="34"/>
          <w:rtl/>
        </w:rPr>
        <w:t>ريب في تمكنه م</w:t>
      </w:r>
      <w:r>
        <w:rPr>
          <w:rFonts w:ascii="mylotus" w:hAnsi="mylotus" w:hint="cs"/>
          <w:sz w:val="34"/>
          <w:szCs w:val="34"/>
          <w:rtl/>
        </w:rPr>
        <w:t>ِ</w:t>
      </w:r>
      <w:r w:rsidRPr="008E14E2">
        <w:rPr>
          <w:rFonts w:ascii="mylotus" w:hAnsi="mylotus"/>
          <w:sz w:val="34"/>
          <w:szCs w:val="34"/>
          <w:rtl/>
        </w:rPr>
        <w:t>ن التبعيض بأنْ يملك بعض منافع الدار التي ملكها بالإجارة لغيره</w:t>
      </w:r>
      <w:r w:rsidRPr="008E14E2">
        <w:rPr>
          <w:rFonts w:ascii="mylotus" w:hAnsi="mylotus"/>
          <w:sz w:val="34"/>
          <w:szCs w:val="34"/>
        </w:rPr>
        <w:t>.</w:t>
      </w:r>
    </w:p>
    <w:p w14:paraId="0EBC3D7B" w14:textId="77777777" w:rsidR="009A6D59" w:rsidRPr="008E14E2" w:rsidRDefault="009A6D59" w:rsidP="009A6D59">
      <w:pPr>
        <w:pStyle w:val="a"/>
        <w:bidi/>
        <w:spacing w:line="216" w:lineRule="auto"/>
        <w:rPr>
          <w:rFonts w:ascii="mylotus" w:hAnsi="mylotus"/>
          <w:sz w:val="34"/>
          <w:szCs w:val="34"/>
          <w:rtl/>
        </w:rPr>
      </w:pPr>
      <w:r w:rsidRPr="008E14E2">
        <w:rPr>
          <w:rFonts w:ascii="mylotus" w:hAnsi="mylotus"/>
          <w:sz w:val="34"/>
          <w:szCs w:val="34"/>
          <w:rtl/>
        </w:rPr>
        <w:t>كما أن</w:t>
      </w:r>
      <w:r>
        <w:rPr>
          <w:rFonts w:ascii="mylotus" w:hAnsi="mylotus" w:hint="cs"/>
          <w:sz w:val="34"/>
          <w:szCs w:val="34"/>
          <w:rtl/>
        </w:rPr>
        <w:t>ّ</w:t>
      </w:r>
      <w:r w:rsidRPr="008E14E2">
        <w:rPr>
          <w:rFonts w:ascii="mylotus" w:hAnsi="mylotus"/>
          <w:sz w:val="34"/>
          <w:szCs w:val="34"/>
          <w:rtl/>
        </w:rPr>
        <w:t xml:space="preserve"> هذا هو منشأ خيار تبعّض الصفقة، </w:t>
      </w:r>
      <w:proofErr w:type="gramStart"/>
      <w:r w:rsidRPr="008E14E2">
        <w:rPr>
          <w:rFonts w:ascii="mylotus" w:hAnsi="mylotus"/>
          <w:sz w:val="34"/>
          <w:szCs w:val="34"/>
          <w:rtl/>
        </w:rPr>
        <w:t>في ما</w:t>
      </w:r>
      <w:proofErr w:type="gramEnd"/>
      <w:r>
        <w:rPr>
          <w:rFonts w:ascii="mylotus" w:hAnsi="mylotus" w:hint="cs"/>
          <w:sz w:val="34"/>
          <w:szCs w:val="34"/>
          <w:rtl/>
        </w:rPr>
        <w:t xml:space="preserve"> </w:t>
      </w:r>
      <w:r w:rsidRPr="008E14E2">
        <w:rPr>
          <w:rFonts w:ascii="mylotus" w:hAnsi="mylotus"/>
          <w:sz w:val="34"/>
          <w:szCs w:val="34"/>
          <w:rtl/>
        </w:rPr>
        <w:t>لو علم ابتداء بعدم دخول بعض المنافع في م</w:t>
      </w:r>
      <w:r>
        <w:rPr>
          <w:rFonts w:ascii="mylotus" w:hAnsi="mylotus" w:hint="cs"/>
          <w:sz w:val="34"/>
          <w:szCs w:val="34"/>
          <w:rtl/>
        </w:rPr>
        <w:t>ِ</w:t>
      </w:r>
      <w:r w:rsidRPr="008E14E2">
        <w:rPr>
          <w:rFonts w:ascii="mylotus" w:hAnsi="mylotus"/>
          <w:sz w:val="34"/>
          <w:szCs w:val="34"/>
          <w:rtl/>
        </w:rPr>
        <w:t>لكه لمانع</w:t>
      </w:r>
      <w:r>
        <w:rPr>
          <w:rFonts w:ascii="mylotus" w:hAnsi="mylotus" w:hint="cs"/>
          <w:sz w:val="34"/>
          <w:szCs w:val="34"/>
          <w:rtl/>
        </w:rPr>
        <w:t>ٍ</w:t>
      </w:r>
      <w:r w:rsidRPr="008E14E2">
        <w:rPr>
          <w:rFonts w:ascii="mylotus" w:hAnsi="mylotus"/>
          <w:sz w:val="34"/>
          <w:szCs w:val="34"/>
          <w:rtl/>
        </w:rPr>
        <w:t xml:space="preserve">، مما يكشف عن </w:t>
      </w:r>
      <w:proofErr w:type="gramStart"/>
      <w:r w:rsidRPr="008E14E2">
        <w:rPr>
          <w:rFonts w:ascii="mylotus" w:hAnsi="mylotus"/>
          <w:sz w:val="34"/>
          <w:szCs w:val="34"/>
          <w:rtl/>
        </w:rPr>
        <w:t>أنّ  الغرض</w:t>
      </w:r>
      <w:proofErr w:type="gramEnd"/>
      <w:r w:rsidRPr="008E14E2">
        <w:rPr>
          <w:rFonts w:ascii="mylotus" w:hAnsi="mylotus"/>
          <w:sz w:val="34"/>
          <w:szCs w:val="34"/>
          <w:rtl/>
        </w:rPr>
        <w:t xml:space="preserve"> المقصود بالأصالة في الإجارة وإن</w:t>
      </w:r>
      <w:r>
        <w:rPr>
          <w:rFonts w:ascii="mylotus" w:hAnsi="mylotus" w:hint="cs"/>
          <w:sz w:val="34"/>
          <w:szCs w:val="34"/>
          <w:rtl/>
        </w:rPr>
        <w:t>ْ</w:t>
      </w:r>
      <w:r w:rsidRPr="008E14E2">
        <w:rPr>
          <w:rFonts w:ascii="mylotus" w:hAnsi="mylotus"/>
          <w:sz w:val="34"/>
          <w:szCs w:val="34"/>
          <w:rtl/>
        </w:rPr>
        <w:t xml:space="preserve"> كان هو ملاحظة المنافع على نحو المجموع، إلّا أنّ ذلك لا ينفي الانحلالية في الم</w:t>
      </w:r>
      <w:r>
        <w:rPr>
          <w:rFonts w:ascii="mylotus" w:hAnsi="mylotus" w:hint="cs"/>
          <w:sz w:val="34"/>
          <w:szCs w:val="34"/>
          <w:rtl/>
        </w:rPr>
        <w:t>ِ</w:t>
      </w:r>
      <w:r w:rsidRPr="008E14E2">
        <w:rPr>
          <w:rFonts w:ascii="mylotus" w:hAnsi="mylotus"/>
          <w:sz w:val="34"/>
          <w:szCs w:val="34"/>
          <w:rtl/>
        </w:rPr>
        <w:t>لكي</w:t>
      </w:r>
      <w:r>
        <w:rPr>
          <w:rFonts w:ascii="mylotus" w:hAnsi="mylotus" w:hint="cs"/>
          <w:sz w:val="34"/>
          <w:szCs w:val="34"/>
          <w:rtl/>
        </w:rPr>
        <w:t>ّ</w:t>
      </w:r>
      <w:r w:rsidRPr="008E14E2">
        <w:rPr>
          <w:rFonts w:ascii="mylotus" w:hAnsi="mylotus"/>
          <w:sz w:val="34"/>
          <w:szCs w:val="34"/>
          <w:rtl/>
        </w:rPr>
        <w:t>ة؛ إذ المقصود بالانحلال هنا هو الانحلال الحكمي م</w:t>
      </w:r>
      <w:r>
        <w:rPr>
          <w:rFonts w:ascii="mylotus" w:hAnsi="mylotus" w:hint="cs"/>
          <w:sz w:val="34"/>
          <w:szCs w:val="34"/>
          <w:rtl/>
        </w:rPr>
        <w:t>ِ</w:t>
      </w:r>
      <w:r w:rsidRPr="008E14E2">
        <w:rPr>
          <w:rFonts w:ascii="mylotus" w:hAnsi="mylotus"/>
          <w:sz w:val="34"/>
          <w:szCs w:val="34"/>
          <w:rtl/>
        </w:rPr>
        <w:t>ن حيث</w:t>
      </w:r>
      <w:r>
        <w:rPr>
          <w:rFonts w:ascii="mylotus" w:hAnsi="mylotus" w:hint="cs"/>
          <w:sz w:val="34"/>
          <w:szCs w:val="34"/>
          <w:rtl/>
        </w:rPr>
        <w:t>ُ</w:t>
      </w:r>
      <w:r w:rsidRPr="008E14E2">
        <w:rPr>
          <w:rFonts w:ascii="mylotus" w:hAnsi="mylotus"/>
          <w:sz w:val="34"/>
          <w:szCs w:val="34"/>
          <w:rtl/>
        </w:rPr>
        <w:t xml:space="preserve"> الأثر</w:t>
      </w:r>
      <w:r>
        <w:rPr>
          <w:rFonts w:ascii="mylotus" w:hAnsi="mylotus" w:hint="cs"/>
          <w:sz w:val="34"/>
          <w:szCs w:val="34"/>
          <w:rtl/>
        </w:rPr>
        <w:t xml:space="preserve">، </w:t>
      </w:r>
      <w:r w:rsidRPr="008E14E2">
        <w:rPr>
          <w:rFonts w:ascii="mylotus" w:hAnsi="mylotus"/>
          <w:sz w:val="34"/>
          <w:szCs w:val="34"/>
          <w:rtl/>
        </w:rPr>
        <w:t xml:space="preserve">لا </w:t>
      </w:r>
      <w:proofErr w:type="gramStart"/>
      <w:r w:rsidRPr="008E14E2">
        <w:rPr>
          <w:rFonts w:ascii="mylotus" w:hAnsi="mylotus"/>
          <w:sz w:val="34"/>
          <w:szCs w:val="34"/>
          <w:rtl/>
        </w:rPr>
        <w:t>الإنحلال  الحقيقي</w:t>
      </w:r>
      <w:proofErr w:type="gramEnd"/>
      <w:r w:rsidRPr="008E14E2">
        <w:rPr>
          <w:rFonts w:ascii="mylotus" w:hAnsi="mylotus"/>
          <w:sz w:val="34"/>
          <w:szCs w:val="34"/>
          <w:rtl/>
        </w:rPr>
        <w:t xml:space="preserve"> للعق</w:t>
      </w:r>
      <w:r>
        <w:rPr>
          <w:rFonts w:ascii="mylotus" w:hAnsi="mylotus" w:hint="cs"/>
          <w:sz w:val="34"/>
          <w:szCs w:val="34"/>
          <w:rtl/>
        </w:rPr>
        <w:t>د.</w:t>
      </w:r>
    </w:p>
    <w:p w14:paraId="668F5ABE" w14:textId="77777777" w:rsidR="009A6D59" w:rsidRPr="008E14E2" w:rsidRDefault="009A6D59" w:rsidP="009A6D59">
      <w:pPr>
        <w:pStyle w:val="a"/>
        <w:bidi/>
        <w:spacing w:line="216" w:lineRule="auto"/>
        <w:rPr>
          <w:rFonts w:ascii="mylotus" w:hAnsi="mylotus"/>
          <w:sz w:val="34"/>
          <w:szCs w:val="34"/>
          <w:rtl/>
        </w:rPr>
      </w:pPr>
      <w:r w:rsidRPr="008E14E2">
        <w:rPr>
          <w:rFonts w:ascii="mylotus" w:hAnsi="mylotus"/>
          <w:sz w:val="34"/>
          <w:szCs w:val="34"/>
          <w:rtl/>
        </w:rPr>
        <w:t>نعم، لو كان الملحوظ للمتعاملين هو التسبيب بعقد ال</w:t>
      </w:r>
      <w:r>
        <w:rPr>
          <w:rFonts w:ascii="mylotus" w:hAnsi="mylotus" w:hint="cs"/>
          <w:sz w:val="34"/>
          <w:szCs w:val="34"/>
          <w:rtl/>
        </w:rPr>
        <w:t>إ</w:t>
      </w:r>
      <w:r w:rsidRPr="008E14E2">
        <w:rPr>
          <w:rFonts w:ascii="mylotus" w:hAnsi="mylotus"/>
          <w:sz w:val="34"/>
          <w:szCs w:val="34"/>
          <w:rtl/>
        </w:rPr>
        <w:t>جارة لم</w:t>
      </w:r>
      <w:r>
        <w:rPr>
          <w:rFonts w:ascii="mylotus" w:hAnsi="mylotus" w:hint="cs"/>
          <w:sz w:val="34"/>
          <w:szCs w:val="34"/>
          <w:rtl/>
        </w:rPr>
        <w:t>ِ</w:t>
      </w:r>
      <w:r w:rsidRPr="008E14E2">
        <w:rPr>
          <w:rFonts w:ascii="mylotus" w:hAnsi="mylotus"/>
          <w:sz w:val="34"/>
          <w:szCs w:val="34"/>
          <w:rtl/>
        </w:rPr>
        <w:t>لكي</w:t>
      </w:r>
      <w:r>
        <w:rPr>
          <w:rFonts w:ascii="mylotus" w:hAnsi="mylotus" w:hint="cs"/>
          <w:sz w:val="34"/>
          <w:szCs w:val="34"/>
          <w:rtl/>
        </w:rPr>
        <w:t>ّ</w:t>
      </w:r>
      <w:r w:rsidRPr="008E14E2">
        <w:rPr>
          <w:rFonts w:ascii="mylotus" w:hAnsi="mylotus"/>
          <w:sz w:val="34"/>
          <w:szCs w:val="34"/>
          <w:rtl/>
        </w:rPr>
        <w:t>ة وحدانية لما أمكن القول</w:t>
      </w:r>
      <w:r>
        <w:rPr>
          <w:rFonts w:ascii="mylotus" w:hAnsi="mylotus" w:hint="cs"/>
          <w:sz w:val="34"/>
          <w:szCs w:val="34"/>
          <w:rtl/>
        </w:rPr>
        <w:t>ُ</w:t>
      </w:r>
      <w:r w:rsidRPr="008E14E2">
        <w:rPr>
          <w:rFonts w:ascii="mylotus" w:hAnsi="mylotus"/>
          <w:sz w:val="34"/>
          <w:szCs w:val="34"/>
          <w:rtl/>
        </w:rPr>
        <w:t xml:space="preserve"> بالتقسيط والتبعيض</w:t>
      </w:r>
      <w:r w:rsidRPr="008E14E2">
        <w:rPr>
          <w:rFonts w:ascii="mylotus" w:hAnsi="mylotus"/>
          <w:sz w:val="34"/>
          <w:szCs w:val="34"/>
        </w:rPr>
        <w:t>.</w:t>
      </w:r>
    </w:p>
    <w:p w14:paraId="24991AAB" w14:textId="77777777" w:rsidR="009A6D59" w:rsidRDefault="009A6D59" w:rsidP="009A6D59">
      <w:pPr>
        <w:pStyle w:val="a"/>
        <w:bidi/>
        <w:spacing w:line="216" w:lineRule="auto"/>
        <w:rPr>
          <w:rFonts w:ascii="mylotus" w:hAnsi="mylotus"/>
          <w:sz w:val="34"/>
          <w:szCs w:val="34"/>
          <w:rtl/>
        </w:rPr>
      </w:pPr>
      <w:r w:rsidRPr="008E14E2">
        <w:rPr>
          <w:rFonts w:ascii="mylotus" w:hAnsi="mylotus"/>
          <w:sz w:val="34"/>
          <w:szCs w:val="34"/>
          <w:rtl/>
        </w:rPr>
        <w:t>وأمّا كون الغرض المقصود بالأصالة هو ال</w:t>
      </w:r>
      <w:r>
        <w:rPr>
          <w:rFonts w:ascii="mylotus" w:hAnsi="mylotus" w:hint="cs"/>
          <w:sz w:val="34"/>
          <w:szCs w:val="34"/>
          <w:rtl/>
        </w:rPr>
        <w:t>ا</w:t>
      </w:r>
      <w:r w:rsidRPr="008E14E2">
        <w:rPr>
          <w:rFonts w:ascii="mylotus" w:hAnsi="mylotus"/>
          <w:sz w:val="34"/>
          <w:szCs w:val="34"/>
          <w:rtl/>
        </w:rPr>
        <w:t>نتفاع بالمجموع، فهذا لا ينافي انحلال الم</w:t>
      </w:r>
      <w:r>
        <w:rPr>
          <w:rFonts w:ascii="mylotus" w:hAnsi="mylotus" w:hint="cs"/>
          <w:sz w:val="34"/>
          <w:szCs w:val="34"/>
          <w:rtl/>
        </w:rPr>
        <w:t>ِ</w:t>
      </w:r>
      <w:r w:rsidRPr="008E14E2">
        <w:rPr>
          <w:rFonts w:ascii="mylotus" w:hAnsi="mylotus"/>
          <w:sz w:val="34"/>
          <w:szCs w:val="34"/>
          <w:rtl/>
        </w:rPr>
        <w:t>لكي</w:t>
      </w:r>
      <w:r>
        <w:rPr>
          <w:rFonts w:ascii="mylotus" w:hAnsi="mylotus" w:hint="cs"/>
          <w:sz w:val="34"/>
          <w:szCs w:val="34"/>
          <w:rtl/>
        </w:rPr>
        <w:t>ّ</w:t>
      </w:r>
      <w:r w:rsidRPr="008E14E2">
        <w:rPr>
          <w:rFonts w:ascii="mylotus" w:hAnsi="mylotus"/>
          <w:sz w:val="34"/>
          <w:szCs w:val="34"/>
          <w:rtl/>
        </w:rPr>
        <w:t>ة بحيث لو لَمْ يحصل على المجموع فإنّ ل</w:t>
      </w:r>
      <w:r>
        <w:rPr>
          <w:rFonts w:ascii="mylotus" w:hAnsi="mylotus" w:hint="cs"/>
          <w:sz w:val="34"/>
          <w:szCs w:val="34"/>
          <w:rtl/>
        </w:rPr>
        <w:t>َ</w:t>
      </w:r>
      <w:r w:rsidRPr="008E14E2">
        <w:rPr>
          <w:rFonts w:ascii="mylotus" w:hAnsi="mylotus"/>
          <w:sz w:val="34"/>
          <w:szCs w:val="34"/>
          <w:rtl/>
        </w:rPr>
        <w:t>ه</w:t>
      </w:r>
      <w:r>
        <w:rPr>
          <w:rFonts w:ascii="mylotus" w:hAnsi="mylotus" w:hint="cs"/>
          <w:sz w:val="34"/>
          <w:szCs w:val="34"/>
          <w:rtl/>
        </w:rPr>
        <w:t>ُ</w:t>
      </w:r>
      <w:r w:rsidRPr="008E14E2">
        <w:rPr>
          <w:rFonts w:ascii="mylotus" w:hAnsi="mylotus"/>
          <w:sz w:val="34"/>
          <w:szCs w:val="34"/>
          <w:rtl/>
        </w:rPr>
        <w:t xml:space="preserve"> التبعيض والتقسي</w:t>
      </w:r>
      <w:r>
        <w:rPr>
          <w:rFonts w:ascii="mylotus" w:hAnsi="mylotus" w:hint="cs"/>
          <w:sz w:val="34"/>
          <w:szCs w:val="34"/>
          <w:rtl/>
        </w:rPr>
        <w:t>ط.</w:t>
      </w:r>
    </w:p>
    <w:p w14:paraId="20A0DE53" w14:textId="77777777" w:rsidR="009A6D59" w:rsidRPr="00C6770B" w:rsidRDefault="009A6D59" w:rsidP="009A6D59">
      <w:pPr>
        <w:pStyle w:val="a"/>
        <w:bidi/>
        <w:spacing w:line="216" w:lineRule="auto"/>
        <w:rPr>
          <w:rFonts w:ascii="mylotus" w:hAnsi="mylotus"/>
          <w:b/>
          <w:bCs/>
          <w:sz w:val="34"/>
          <w:szCs w:val="34"/>
          <w:rtl/>
        </w:rPr>
      </w:pPr>
      <w:r w:rsidRPr="00C6770B">
        <w:rPr>
          <w:rFonts w:ascii="mylotus" w:hAnsi="mylotus"/>
          <w:b/>
          <w:bCs/>
          <w:sz w:val="34"/>
          <w:szCs w:val="34"/>
          <w:rtl/>
        </w:rPr>
        <w:t>هذا تمام</w:t>
      </w:r>
      <w:r>
        <w:rPr>
          <w:rFonts w:ascii="mylotus" w:hAnsi="mylotus" w:hint="cs"/>
          <w:b/>
          <w:bCs/>
          <w:sz w:val="34"/>
          <w:szCs w:val="34"/>
          <w:rtl/>
        </w:rPr>
        <w:t>ُ</w:t>
      </w:r>
      <w:r w:rsidRPr="00C6770B">
        <w:rPr>
          <w:rFonts w:ascii="mylotus" w:hAnsi="mylotus"/>
          <w:b/>
          <w:bCs/>
          <w:sz w:val="34"/>
          <w:szCs w:val="34"/>
          <w:rtl/>
        </w:rPr>
        <w:t xml:space="preserve"> الوجه الثالث</w:t>
      </w:r>
      <w:r>
        <w:rPr>
          <w:rFonts w:ascii="mylotus" w:hAnsi="mylotus" w:hint="cs"/>
          <w:b/>
          <w:bCs/>
          <w:sz w:val="34"/>
          <w:szCs w:val="34"/>
          <w:rtl/>
        </w:rPr>
        <w:t xml:space="preserve">، </w:t>
      </w:r>
      <w:r w:rsidRPr="00C6770B">
        <w:rPr>
          <w:rFonts w:ascii="mylotus" w:hAnsi="mylotus"/>
          <w:b/>
          <w:bCs/>
          <w:sz w:val="34"/>
          <w:szCs w:val="34"/>
          <w:rtl/>
        </w:rPr>
        <w:t xml:space="preserve">والإشكال الأساس </w:t>
      </w:r>
      <w:proofErr w:type="gramStart"/>
      <w:r w:rsidRPr="00C6770B">
        <w:rPr>
          <w:rFonts w:ascii="mylotus" w:hAnsi="mylotus"/>
          <w:b/>
          <w:bCs/>
          <w:sz w:val="34"/>
          <w:szCs w:val="34"/>
          <w:rtl/>
        </w:rPr>
        <w:t>عليه  هو</w:t>
      </w:r>
      <w:proofErr w:type="gramEnd"/>
      <w:r w:rsidRPr="00C6770B">
        <w:rPr>
          <w:rFonts w:ascii="mylotus" w:hAnsi="mylotus"/>
          <w:b/>
          <w:bCs/>
          <w:sz w:val="34"/>
          <w:szCs w:val="34"/>
          <w:rtl/>
        </w:rPr>
        <w:t>:</w:t>
      </w:r>
      <w:r w:rsidRPr="008E14E2">
        <w:rPr>
          <w:rFonts w:ascii="mylotus" w:hAnsi="mylotus"/>
          <w:sz w:val="34"/>
          <w:szCs w:val="34"/>
          <w:rtl/>
        </w:rPr>
        <w:t xml:space="preserve"> أنّ الانحلال العقلائي الحكمي لا يفضي إلى تعيّن تقسيط الأجرة</w:t>
      </w:r>
      <w:r>
        <w:rPr>
          <w:rFonts w:ascii="mylotus" w:hAnsi="mylotus" w:hint="cs"/>
          <w:sz w:val="34"/>
          <w:szCs w:val="34"/>
          <w:rtl/>
        </w:rPr>
        <w:t xml:space="preserve">، </w:t>
      </w:r>
      <w:r w:rsidRPr="008E14E2">
        <w:rPr>
          <w:rFonts w:ascii="mylotus" w:hAnsi="mylotus"/>
          <w:sz w:val="34"/>
          <w:szCs w:val="34"/>
          <w:rtl/>
        </w:rPr>
        <w:t>بل يجتمع مع السلطنة على فسخ العقد بتمامه واسترجاع الأُجرة المُسمّاة</w:t>
      </w:r>
      <w:r w:rsidRPr="008E14E2">
        <w:rPr>
          <w:rFonts w:ascii="mylotus" w:hAnsi="mylotus"/>
          <w:sz w:val="34"/>
          <w:szCs w:val="34"/>
        </w:rPr>
        <w:t>.</w:t>
      </w:r>
    </w:p>
    <w:p w14:paraId="567DE593" w14:textId="77777777" w:rsidR="009A6D59" w:rsidRPr="008E14E2" w:rsidRDefault="009A6D59" w:rsidP="009A6D59">
      <w:pPr>
        <w:pStyle w:val="a"/>
        <w:bidi/>
        <w:spacing w:line="216" w:lineRule="auto"/>
        <w:rPr>
          <w:rFonts w:ascii="mylotus" w:hAnsi="mylotus"/>
          <w:sz w:val="34"/>
          <w:szCs w:val="34"/>
          <w:rtl/>
        </w:rPr>
      </w:pPr>
      <w:r w:rsidRPr="00C6770B">
        <w:rPr>
          <w:rFonts w:ascii="mylotus" w:hAnsi="mylotus"/>
          <w:b/>
          <w:bCs/>
          <w:sz w:val="34"/>
          <w:szCs w:val="34"/>
          <w:rtl/>
        </w:rPr>
        <w:t>الوجهُ الرابع:</w:t>
      </w:r>
      <w:r w:rsidRPr="008E14E2">
        <w:rPr>
          <w:rFonts w:ascii="mylotus" w:hAnsi="mylotus"/>
          <w:sz w:val="34"/>
          <w:szCs w:val="34"/>
          <w:rtl/>
        </w:rPr>
        <w:t xml:space="preserve"> عدم تعقل الفسخ بالنسبة لما مضى مِن المنافع لانعدامه، فلا معنى لانتقاله بالفسخ؛ فإنّ حقيقة الفسخ رجوع المنفعة للمؤجّر مقابل رجوع ما قابلها مِن الأُجرة المُسمّاة للمُستأجر</w:t>
      </w:r>
      <w:r w:rsidRPr="008E14E2">
        <w:rPr>
          <w:rFonts w:ascii="mylotus" w:hAnsi="mylotus"/>
          <w:sz w:val="34"/>
          <w:szCs w:val="34"/>
        </w:rPr>
        <w:t>.</w:t>
      </w:r>
    </w:p>
    <w:p w14:paraId="36DD26EC" w14:textId="77777777" w:rsidR="009A6D59" w:rsidRPr="008E14E2" w:rsidRDefault="009A6D59" w:rsidP="009A6D59">
      <w:pPr>
        <w:pStyle w:val="a"/>
        <w:bidi/>
        <w:spacing w:line="216" w:lineRule="auto"/>
        <w:rPr>
          <w:rFonts w:ascii="mylotus" w:hAnsi="mylotus"/>
          <w:sz w:val="34"/>
          <w:szCs w:val="34"/>
          <w:rtl/>
        </w:rPr>
      </w:pPr>
      <w:r w:rsidRPr="008E14E2">
        <w:rPr>
          <w:rFonts w:ascii="mylotus" w:hAnsi="mylotus"/>
          <w:sz w:val="34"/>
          <w:szCs w:val="34"/>
          <w:rtl/>
        </w:rPr>
        <w:lastRenderedPageBreak/>
        <w:t>فإذا كان معنى الفسخ هو: "انتقال المنفعة للمؤجر"، فلا معنى لانتقال المنفعة إليه مع انعدامها حين الفسخ، بغض النظر عن كون الفسخ للبعض أو للمجموع المتضمن للفسخ بالنسبة للفترة الماضية</w:t>
      </w:r>
      <w:r w:rsidRPr="008E14E2">
        <w:rPr>
          <w:rFonts w:ascii="mylotus" w:hAnsi="mylotus"/>
          <w:sz w:val="34"/>
          <w:szCs w:val="34"/>
        </w:rPr>
        <w:t>.</w:t>
      </w:r>
    </w:p>
    <w:p w14:paraId="5D2B0280" w14:textId="77777777" w:rsidR="009A6D59" w:rsidRPr="008E14E2" w:rsidRDefault="009A6D59" w:rsidP="009A6D59">
      <w:pPr>
        <w:pStyle w:val="a"/>
        <w:bidi/>
        <w:spacing w:line="216" w:lineRule="auto"/>
        <w:rPr>
          <w:rFonts w:ascii="mylotus" w:hAnsi="mylotus"/>
          <w:sz w:val="34"/>
          <w:szCs w:val="34"/>
          <w:rtl/>
        </w:rPr>
      </w:pPr>
      <w:r w:rsidRPr="00C6770B">
        <w:rPr>
          <w:rFonts w:ascii="mylotus" w:hAnsi="mylotus"/>
          <w:b/>
          <w:bCs/>
          <w:sz w:val="34"/>
          <w:szCs w:val="34"/>
          <w:rtl/>
        </w:rPr>
        <w:t>أو ي</w:t>
      </w:r>
      <w:r>
        <w:rPr>
          <w:rFonts w:ascii="mylotus" w:hAnsi="mylotus" w:hint="cs"/>
          <w:b/>
          <w:bCs/>
          <w:sz w:val="34"/>
          <w:szCs w:val="34"/>
          <w:rtl/>
        </w:rPr>
        <w:t>ُ</w:t>
      </w:r>
      <w:r w:rsidRPr="00C6770B">
        <w:rPr>
          <w:rFonts w:ascii="mylotus" w:hAnsi="mylotus"/>
          <w:b/>
          <w:bCs/>
          <w:sz w:val="34"/>
          <w:szCs w:val="34"/>
          <w:rtl/>
        </w:rPr>
        <w:t>قال:</w:t>
      </w:r>
      <w:r w:rsidRPr="008E14E2">
        <w:rPr>
          <w:rFonts w:ascii="mylotus" w:hAnsi="mylotus"/>
          <w:sz w:val="34"/>
          <w:szCs w:val="34"/>
          <w:rtl/>
        </w:rPr>
        <w:t xml:space="preserve"> إن</w:t>
      </w:r>
      <w:r>
        <w:rPr>
          <w:rFonts w:ascii="mylotus" w:hAnsi="mylotus" w:hint="cs"/>
          <w:sz w:val="34"/>
          <w:szCs w:val="34"/>
          <w:rtl/>
        </w:rPr>
        <w:t>ّ</w:t>
      </w:r>
      <w:r w:rsidRPr="008E14E2">
        <w:rPr>
          <w:rFonts w:ascii="mylotus" w:hAnsi="mylotus"/>
          <w:sz w:val="34"/>
          <w:szCs w:val="34"/>
          <w:rtl/>
        </w:rPr>
        <w:t xml:space="preserve"> الفسخ بلحاظ ما</w:t>
      </w:r>
      <w:r>
        <w:rPr>
          <w:rFonts w:ascii="mylotus" w:hAnsi="mylotus" w:hint="cs"/>
          <w:sz w:val="34"/>
          <w:szCs w:val="34"/>
          <w:rtl/>
        </w:rPr>
        <w:t xml:space="preserve"> </w:t>
      </w:r>
      <w:r w:rsidRPr="008E14E2">
        <w:rPr>
          <w:rFonts w:ascii="mylotus" w:hAnsi="mylotus"/>
          <w:sz w:val="34"/>
          <w:szCs w:val="34"/>
          <w:rtl/>
        </w:rPr>
        <w:t>مضى غيرُ عقلائي بعد مضي زمانه وإن</w:t>
      </w:r>
      <w:r>
        <w:rPr>
          <w:rFonts w:ascii="mylotus" w:hAnsi="mylotus" w:hint="cs"/>
          <w:sz w:val="34"/>
          <w:szCs w:val="34"/>
          <w:rtl/>
        </w:rPr>
        <w:t>ْ</w:t>
      </w:r>
      <w:r w:rsidRPr="008E14E2">
        <w:rPr>
          <w:rFonts w:ascii="mylotus" w:hAnsi="mylotus"/>
          <w:sz w:val="34"/>
          <w:szCs w:val="34"/>
          <w:rtl/>
        </w:rPr>
        <w:t xml:space="preserve"> أمكن عقلا</w:t>
      </w:r>
      <w:r>
        <w:rPr>
          <w:rFonts w:ascii="mylotus" w:hAnsi="mylotus" w:hint="cs"/>
          <w:sz w:val="34"/>
          <w:szCs w:val="34"/>
          <w:rtl/>
        </w:rPr>
        <w:t>ً</w:t>
      </w:r>
      <w:r w:rsidRPr="008E14E2">
        <w:rPr>
          <w:rFonts w:ascii="mylotus" w:hAnsi="mylotus"/>
          <w:sz w:val="34"/>
          <w:szCs w:val="34"/>
          <w:rtl/>
        </w:rPr>
        <w:t>؛ إذ لا يترتب عليه أثرٌ سوى تبديل ضمانه مِن الأُجرة المُسمّاة إلى أُجرة المثل</w:t>
      </w:r>
      <w:r w:rsidRPr="008E14E2">
        <w:rPr>
          <w:rFonts w:ascii="mylotus" w:hAnsi="mylotus"/>
          <w:sz w:val="34"/>
          <w:szCs w:val="34"/>
        </w:rPr>
        <w:t>.</w:t>
      </w:r>
    </w:p>
    <w:p w14:paraId="560BCF60" w14:textId="77777777" w:rsidR="009A6D59" w:rsidRDefault="009A6D59" w:rsidP="009A6D59">
      <w:pPr>
        <w:pStyle w:val="a"/>
        <w:bidi/>
        <w:spacing w:line="216" w:lineRule="auto"/>
        <w:rPr>
          <w:rFonts w:ascii="mylotus" w:hAnsi="mylotus"/>
          <w:sz w:val="34"/>
          <w:szCs w:val="34"/>
          <w:rtl/>
        </w:rPr>
      </w:pPr>
      <w:r w:rsidRPr="00C6770B">
        <w:rPr>
          <w:rFonts w:ascii="mylotus" w:hAnsi="mylotus"/>
          <w:b/>
          <w:bCs/>
          <w:sz w:val="34"/>
          <w:szCs w:val="34"/>
          <w:rtl/>
        </w:rPr>
        <w:t>وقد يُشكل على ذلك:</w:t>
      </w:r>
      <w:r w:rsidRPr="008E14E2">
        <w:rPr>
          <w:rFonts w:ascii="mylotus" w:hAnsi="mylotus"/>
          <w:sz w:val="34"/>
          <w:szCs w:val="34"/>
          <w:rtl/>
        </w:rPr>
        <w:t xml:space="preserve"> بأنّ لازم هذا الكلام عدم صح</w:t>
      </w:r>
      <w:r>
        <w:rPr>
          <w:rFonts w:ascii="mylotus" w:hAnsi="mylotus" w:hint="cs"/>
          <w:sz w:val="34"/>
          <w:szCs w:val="34"/>
          <w:rtl/>
        </w:rPr>
        <w:t>ّ</w:t>
      </w:r>
      <w:r w:rsidRPr="008E14E2">
        <w:rPr>
          <w:rFonts w:ascii="mylotus" w:hAnsi="mylotus"/>
          <w:sz w:val="34"/>
          <w:szCs w:val="34"/>
          <w:rtl/>
        </w:rPr>
        <w:t>ة الإجارة؛ لأنّ المنافع حين عقد الإجارة معدومة، فلا معنى لنقلها للمُستأجر مِن قِبل المؤجّر.</w:t>
      </w:r>
    </w:p>
    <w:p w14:paraId="1E1F7EC7" w14:textId="77777777" w:rsidR="009A6D59" w:rsidRPr="008E14E2" w:rsidRDefault="009A6D59" w:rsidP="009A6D59">
      <w:pPr>
        <w:pStyle w:val="a"/>
        <w:bidi/>
        <w:spacing w:line="216" w:lineRule="auto"/>
        <w:rPr>
          <w:rFonts w:ascii="mylotus" w:hAnsi="mylotus"/>
          <w:sz w:val="34"/>
          <w:szCs w:val="34"/>
          <w:rtl/>
        </w:rPr>
      </w:pPr>
      <w:r w:rsidRPr="00C6770B">
        <w:rPr>
          <w:rFonts w:ascii="mylotus" w:hAnsi="mylotus"/>
          <w:b/>
          <w:bCs/>
          <w:sz w:val="34"/>
          <w:szCs w:val="34"/>
          <w:rtl/>
        </w:rPr>
        <w:t>لكن الإشكال واضح الدفع؛</w:t>
      </w:r>
      <w:r w:rsidRPr="008E14E2">
        <w:rPr>
          <w:rFonts w:ascii="mylotus" w:hAnsi="mylotus"/>
          <w:sz w:val="34"/>
          <w:szCs w:val="34"/>
          <w:rtl/>
        </w:rPr>
        <w:t xml:space="preserve"> لأنّ الوجود الشأني للمنافع بوجود القابلية في العين للانتفاع هو المصحح لتمليكها؛ لترتب الأثر على تمليكها وهو السلطنة على استيفائها حسّاً أو اعتباراً، بخلاف ما مضى زمانُهُ فإنّه لا معنى لنقله؛ إذ لا أثرَ يترتبُ عليه لدى العقلاء سوى تبديل الضمان</w:t>
      </w:r>
      <w:r w:rsidRPr="008E14E2">
        <w:rPr>
          <w:rFonts w:ascii="mylotus" w:hAnsi="mylotus"/>
          <w:sz w:val="34"/>
          <w:szCs w:val="34"/>
        </w:rPr>
        <w:t>.</w:t>
      </w:r>
    </w:p>
    <w:p w14:paraId="394F5729" w14:textId="77777777" w:rsidR="009A6D59" w:rsidRPr="00C6770B" w:rsidRDefault="009A6D59" w:rsidP="009A6D59">
      <w:pPr>
        <w:pStyle w:val="a"/>
        <w:bidi/>
        <w:spacing w:line="216" w:lineRule="auto"/>
        <w:rPr>
          <w:rFonts w:ascii="mylotus" w:hAnsi="mylotus"/>
          <w:b/>
          <w:bCs/>
          <w:sz w:val="34"/>
          <w:szCs w:val="34"/>
          <w:rtl/>
        </w:rPr>
      </w:pPr>
      <w:r w:rsidRPr="00C6770B">
        <w:rPr>
          <w:rFonts w:ascii="mylotus" w:hAnsi="mylotus"/>
          <w:b/>
          <w:bCs/>
          <w:sz w:val="34"/>
          <w:szCs w:val="34"/>
          <w:rtl/>
        </w:rPr>
        <w:t>والجوابُ عن الإشكال نقضاً وحلّاً</w:t>
      </w:r>
      <w:r w:rsidRPr="00C6770B">
        <w:rPr>
          <w:rFonts w:ascii="mylotus" w:hAnsi="mylotus"/>
          <w:b/>
          <w:bCs/>
          <w:sz w:val="34"/>
          <w:szCs w:val="34"/>
        </w:rPr>
        <w:t>:</w:t>
      </w:r>
    </w:p>
    <w:p w14:paraId="33CF8295" w14:textId="1B130430" w:rsidR="009A6D59" w:rsidRPr="008E14E2" w:rsidRDefault="009A6D59" w:rsidP="009A6D59">
      <w:pPr>
        <w:pStyle w:val="a"/>
        <w:bidi/>
        <w:spacing w:line="216" w:lineRule="auto"/>
        <w:rPr>
          <w:rFonts w:ascii="mylotus" w:hAnsi="mylotus"/>
          <w:sz w:val="34"/>
          <w:szCs w:val="34"/>
          <w:rtl/>
        </w:rPr>
      </w:pPr>
      <w:r w:rsidRPr="00C6770B">
        <w:rPr>
          <w:rFonts w:ascii="mylotus" w:hAnsi="mylotus"/>
          <w:b/>
          <w:bCs/>
          <w:sz w:val="34"/>
          <w:szCs w:val="34"/>
          <w:rtl/>
        </w:rPr>
        <w:t>أمّا النقض:</w:t>
      </w:r>
      <w:r w:rsidRPr="008E14E2">
        <w:rPr>
          <w:rFonts w:ascii="mylotus" w:hAnsi="mylotus"/>
          <w:sz w:val="34"/>
          <w:szCs w:val="34"/>
          <w:rtl/>
        </w:rPr>
        <w:t xml:space="preserve"> فبثبوت الخيار في فرض تلف المبيع </w:t>
      </w:r>
      <w:r>
        <w:rPr>
          <w:rFonts w:ascii="mylotus" w:hAnsi="mylotus" w:hint="cs"/>
          <w:sz w:val="34"/>
          <w:szCs w:val="34"/>
          <w:rtl/>
        </w:rPr>
        <w:t>إ</w:t>
      </w:r>
      <w:r w:rsidRPr="008E14E2">
        <w:rPr>
          <w:rFonts w:ascii="mylotus" w:hAnsi="mylotus"/>
          <w:sz w:val="34"/>
          <w:szCs w:val="34"/>
          <w:rtl/>
        </w:rPr>
        <w:t>جماعا</w:t>
      </w:r>
      <w:r>
        <w:rPr>
          <w:rFonts w:ascii="mylotus" w:hAnsi="mylotus" w:hint="cs"/>
          <w:sz w:val="34"/>
          <w:szCs w:val="34"/>
          <w:rtl/>
        </w:rPr>
        <w:t>ً</w:t>
      </w:r>
      <w:r w:rsidRPr="008E14E2">
        <w:rPr>
          <w:rFonts w:ascii="mylotus" w:hAnsi="mylotus"/>
          <w:sz w:val="34"/>
          <w:szCs w:val="34"/>
          <w:rtl/>
        </w:rPr>
        <w:t>، كما لو اشترى عيناً مِن الأعيان واستلمها وبَعْدَ مدّةٍ تلفت، ثمّ تبيّن أنّ لَهُ الخيار إمّا مِن باب الغبن، أو مِن باب تخلف الشرط</w:t>
      </w:r>
      <w:r>
        <w:rPr>
          <w:rFonts w:ascii="mylotus" w:hAnsi="mylotus" w:hint="cs"/>
          <w:sz w:val="34"/>
          <w:szCs w:val="34"/>
          <w:rtl/>
        </w:rPr>
        <w:t>،</w:t>
      </w:r>
      <w:r w:rsidRPr="008E14E2">
        <w:rPr>
          <w:rFonts w:ascii="mylotus" w:hAnsi="mylotus"/>
          <w:sz w:val="34"/>
          <w:szCs w:val="34"/>
          <w:rtl/>
        </w:rPr>
        <w:t xml:space="preserve"> فإن</w:t>
      </w:r>
      <w:r>
        <w:rPr>
          <w:rFonts w:ascii="mylotus" w:hAnsi="mylotus" w:hint="cs"/>
          <w:sz w:val="34"/>
          <w:szCs w:val="34"/>
          <w:rtl/>
        </w:rPr>
        <w:t>ّ</w:t>
      </w:r>
      <w:r w:rsidRPr="008E14E2">
        <w:rPr>
          <w:rFonts w:ascii="mylotus" w:hAnsi="mylotus"/>
          <w:sz w:val="34"/>
          <w:szCs w:val="34"/>
          <w:rtl/>
        </w:rPr>
        <w:t xml:space="preserve">ه لا </w:t>
      </w:r>
      <w:r w:rsidR="006D78CF" w:rsidRPr="008E14E2">
        <w:rPr>
          <w:rFonts w:ascii="mylotus" w:hAnsi="mylotus" w:hint="cs"/>
          <w:sz w:val="34"/>
          <w:szCs w:val="34"/>
          <w:rtl/>
        </w:rPr>
        <w:t>إشكال حينئذٍ</w:t>
      </w:r>
      <w:r>
        <w:rPr>
          <w:rFonts w:ascii="mylotus" w:hAnsi="mylotus" w:hint="cs"/>
          <w:sz w:val="34"/>
          <w:szCs w:val="34"/>
          <w:rtl/>
        </w:rPr>
        <w:t xml:space="preserve"> </w:t>
      </w:r>
      <w:r w:rsidRPr="008E14E2">
        <w:rPr>
          <w:rFonts w:ascii="mylotus" w:hAnsi="mylotus"/>
          <w:sz w:val="34"/>
          <w:szCs w:val="34"/>
          <w:rtl/>
        </w:rPr>
        <w:t>في ثبوت الخيار مع أنّ العين تالفة، ومقتضى الفسخ هو ردّ العين التالفة لمِلك البائع واسترجاع ما قابلها مِن الثمن، ولا خلاف في صحّة ذلك وثبوت الخيار فيه</w:t>
      </w:r>
      <w:r w:rsidRPr="008E14E2">
        <w:rPr>
          <w:rFonts w:ascii="mylotus" w:hAnsi="mylotus"/>
          <w:sz w:val="34"/>
          <w:szCs w:val="34"/>
        </w:rPr>
        <w:t>.</w:t>
      </w:r>
    </w:p>
    <w:p w14:paraId="3AD15AEE" w14:textId="77777777" w:rsidR="009A6D59" w:rsidRPr="008E14E2" w:rsidRDefault="009A6D59" w:rsidP="009A6D59">
      <w:pPr>
        <w:pStyle w:val="a"/>
        <w:bidi/>
        <w:spacing w:line="216" w:lineRule="auto"/>
        <w:rPr>
          <w:rFonts w:ascii="mylotus" w:hAnsi="mylotus"/>
          <w:sz w:val="34"/>
          <w:szCs w:val="34"/>
          <w:rtl/>
        </w:rPr>
      </w:pPr>
      <w:r w:rsidRPr="00C6770B">
        <w:rPr>
          <w:rFonts w:ascii="mylotus" w:hAnsi="mylotus"/>
          <w:b/>
          <w:bCs/>
          <w:sz w:val="34"/>
          <w:szCs w:val="34"/>
          <w:rtl/>
        </w:rPr>
        <w:t>وأمّا الحل:</w:t>
      </w:r>
      <w:r w:rsidRPr="008E14E2">
        <w:rPr>
          <w:rFonts w:ascii="mylotus" w:hAnsi="mylotus"/>
          <w:sz w:val="34"/>
          <w:szCs w:val="34"/>
          <w:rtl/>
        </w:rPr>
        <w:t xml:space="preserve"> فإنْ كان المنظور في الاستدلال منع السلطنة على فسخ أصل العقد وحصره في الفسخ للمد</w:t>
      </w:r>
      <w:r>
        <w:rPr>
          <w:rFonts w:ascii="mylotus" w:hAnsi="mylotus" w:hint="cs"/>
          <w:sz w:val="34"/>
          <w:szCs w:val="34"/>
          <w:rtl/>
        </w:rPr>
        <w:t>ّ</w:t>
      </w:r>
      <w:r w:rsidRPr="008E14E2">
        <w:rPr>
          <w:rFonts w:ascii="mylotus" w:hAnsi="mylotus"/>
          <w:sz w:val="34"/>
          <w:szCs w:val="34"/>
          <w:rtl/>
        </w:rPr>
        <w:t>ة الباقية فقط، فلا</w:t>
      </w:r>
      <w:r>
        <w:rPr>
          <w:rFonts w:ascii="mylotus" w:hAnsi="mylotus" w:hint="cs"/>
          <w:sz w:val="34"/>
          <w:szCs w:val="34"/>
          <w:rtl/>
        </w:rPr>
        <w:t xml:space="preserve"> </w:t>
      </w:r>
      <w:r w:rsidRPr="008E14E2">
        <w:rPr>
          <w:rFonts w:ascii="mylotus" w:hAnsi="mylotus"/>
          <w:sz w:val="34"/>
          <w:szCs w:val="34"/>
          <w:rtl/>
        </w:rPr>
        <w:t>وجه ل</w:t>
      </w:r>
      <w:r>
        <w:rPr>
          <w:rFonts w:ascii="mylotus" w:hAnsi="mylotus" w:hint="cs"/>
          <w:sz w:val="34"/>
          <w:szCs w:val="34"/>
          <w:rtl/>
        </w:rPr>
        <w:t>َ</w:t>
      </w:r>
      <w:r w:rsidRPr="008E14E2">
        <w:rPr>
          <w:rFonts w:ascii="mylotus" w:hAnsi="mylotus"/>
          <w:sz w:val="34"/>
          <w:szCs w:val="34"/>
          <w:rtl/>
        </w:rPr>
        <w:t>ه</w:t>
      </w:r>
      <w:r>
        <w:rPr>
          <w:rFonts w:ascii="mylotus" w:hAnsi="mylotus" w:hint="cs"/>
          <w:sz w:val="34"/>
          <w:szCs w:val="34"/>
          <w:rtl/>
        </w:rPr>
        <w:t>ُ</w:t>
      </w:r>
      <w:r w:rsidRPr="008E14E2">
        <w:rPr>
          <w:rFonts w:ascii="mylotus" w:hAnsi="mylotus"/>
          <w:sz w:val="34"/>
          <w:szCs w:val="34"/>
          <w:rtl/>
        </w:rPr>
        <w:t xml:space="preserve"> مع ارتباط سببه مِن غبنٍ أو عيبٍ أو تخلف شرطٍ بلزوم العقد، لا</w:t>
      </w:r>
      <w:r>
        <w:rPr>
          <w:rFonts w:ascii="mylotus" w:hAnsi="mylotus" w:hint="cs"/>
          <w:sz w:val="34"/>
          <w:szCs w:val="34"/>
          <w:rtl/>
        </w:rPr>
        <w:t xml:space="preserve"> </w:t>
      </w:r>
      <w:r w:rsidRPr="008E14E2">
        <w:rPr>
          <w:rFonts w:ascii="mylotus" w:hAnsi="mylotus"/>
          <w:sz w:val="34"/>
          <w:szCs w:val="34"/>
          <w:rtl/>
        </w:rPr>
        <w:t>بخصوص المد</w:t>
      </w:r>
      <w:r>
        <w:rPr>
          <w:rFonts w:ascii="mylotus" w:hAnsi="mylotus" w:hint="cs"/>
          <w:sz w:val="34"/>
          <w:szCs w:val="34"/>
          <w:rtl/>
        </w:rPr>
        <w:t>ّ</w:t>
      </w:r>
      <w:r w:rsidRPr="008E14E2">
        <w:rPr>
          <w:rFonts w:ascii="mylotus" w:hAnsi="mylotus"/>
          <w:sz w:val="34"/>
          <w:szCs w:val="34"/>
          <w:rtl/>
        </w:rPr>
        <w:t>ة الباقية</w:t>
      </w:r>
      <w:r>
        <w:rPr>
          <w:rFonts w:ascii="mylotus" w:hAnsi="mylotus" w:hint="cs"/>
          <w:sz w:val="34"/>
          <w:szCs w:val="34"/>
          <w:rtl/>
        </w:rPr>
        <w:t>،</w:t>
      </w:r>
      <w:r w:rsidRPr="008E14E2">
        <w:rPr>
          <w:rFonts w:ascii="mylotus" w:hAnsi="mylotus"/>
          <w:sz w:val="34"/>
          <w:szCs w:val="34"/>
          <w:rtl/>
        </w:rPr>
        <w:t xml:space="preserve"> فالفسخ لأصل العقد على طبق القاعدة</w:t>
      </w:r>
      <w:r w:rsidRPr="008E14E2">
        <w:rPr>
          <w:rFonts w:ascii="mylotus" w:hAnsi="mylotus"/>
          <w:sz w:val="34"/>
          <w:szCs w:val="34"/>
        </w:rPr>
        <w:t>.</w:t>
      </w:r>
    </w:p>
    <w:p w14:paraId="0C9A3D46" w14:textId="77777777" w:rsidR="009A6D59" w:rsidRPr="008E14E2" w:rsidRDefault="009A6D59" w:rsidP="009A6D59">
      <w:pPr>
        <w:pStyle w:val="a"/>
        <w:bidi/>
        <w:spacing w:line="216" w:lineRule="auto"/>
        <w:rPr>
          <w:rFonts w:ascii="mylotus" w:hAnsi="mylotus"/>
          <w:sz w:val="34"/>
          <w:szCs w:val="34"/>
          <w:rtl/>
        </w:rPr>
      </w:pPr>
      <w:r w:rsidRPr="008E14E2">
        <w:rPr>
          <w:rFonts w:ascii="mylotus" w:hAnsi="mylotus"/>
          <w:sz w:val="34"/>
          <w:szCs w:val="34"/>
          <w:rtl/>
        </w:rPr>
        <w:t>وإنْ كان المنظور الفسخ بخصوص المدّة الماضية، ففيه مضافا</w:t>
      </w:r>
      <w:r>
        <w:rPr>
          <w:rFonts w:ascii="mylotus" w:hAnsi="mylotus" w:hint="cs"/>
          <w:sz w:val="34"/>
          <w:szCs w:val="34"/>
          <w:rtl/>
        </w:rPr>
        <w:t>ً</w:t>
      </w:r>
      <w:r w:rsidRPr="008E14E2">
        <w:rPr>
          <w:rFonts w:ascii="mylotus" w:hAnsi="mylotus"/>
          <w:sz w:val="34"/>
          <w:szCs w:val="34"/>
          <w:rtl/>
        </w:rPr>
        <w:t xml:space="preserve"> إلى أن</w:t>
      </w:r>
      <w:r>
        <w:rPr>
          <w:rFonts w:ascii="mylotus" w:hAnsi="mylotus" w:hint="cs"/>
          <w:sz w:val="34"/>
          <w:szCs w:val="34"/>
          <w:rtl/>
        </w:rPr>
        <w:t>ّ</w:t>
      </w:r>
      <w:r w:rsidRPr="008E14E2">
        <w:rPr>
          <w:rFonts w:ascii="mylotus" w:hAnsi="mylotus"/>
          <w:sz w:val="34"/>
          <w:szCs w:val="34"/>
          <w:rtl/>
        </w:rPr>
        <w:t>ه مما لا يدعيه الأعلام</w:t>
      </w:r>
      <w:r>
        <w:rPr>
          <w:rFonts w:ascii="mylotus" w:hAnsi="mylotus" w:hint="cs"/>
          <w:sz w:val="34"/>
          <w:szCs w:val="34"/>
          <w:rtl/>
        </w:rPr>
        <w:t xml:space="preserve">: </w:t>
      </w:r>
      <w:r w:rsidRPr="008E14E2">
        <w:rPr>
          <w:rFonts w:ascii="mylotus" w:hAnsi="mylotus"/>
          <w:sz w:val="34"/>
          <w:szCs w:val="34"/>
          <w:rtl/>
        </w:rPr>
        <w:t>أن</w:t>
      </w:r>
      <w:r>
        <w:rPr>
          <w:rFonts w:ascii="mylotus" w:hAnsi="mylotus" w:hint="cs"/>
          <w:sz w:val="34"/>
          <w:szCs w:val="34"/>
          <w:rtl/>
        </w:rPr>
        <w:t>ّ</w:t>
      </w:r>
      <w:r w:rsidRPr="008E14E2">
        <w:rPr>
          <w:rFonts w:ascii="mylotus" w:hAnsi="mylotus"/>
          <w:sz w:val="34"/>
          <w:szCs w:val="34"/>
          <w:rtl/>
        </w:rPr>
        <w:t xml:space="preserve"> مرجعه لمنع "خيار تبعّض الصفقة"</w:t>
      </w:r>
      <w:r>
        <w:rPr>
          <w:rFonts w:ascii="mylotus" w:hAnsi="mylotus" w:hint="cs"/>
          <w:sz w:val="34"/>
          <w:szCs w:val="34"/>
          <w:rtl/>
        </w:rPr>
        <w:t>،</w:t>
      </w:r>
      <w:r w:rsidRPr="008E14E2">
        <w:rPr>
          <w:rFonts w:ascii="mylotus" w:hAnsi="mylotus"/>
          <w:sz w:val="34"/>
          <w:szCs w:val="34"/>
          <w:rtl/>
        </w:rPr>
        <w:t xml:space="preserve"> وقد سبق التفصيل فيه، وهو: أنّه إنْ كان لزوم العقد عليه بالنسبة للمدّة الماضية ضرراً، فمقتضى قاعدة "لا ضرر" ثبوتُ الخيار لَهُ</w:t>
      </w:r>
      <w:r w:rsidRPr="008E14E2">
        <w:rPr>
          <w:rFonts w:ascii="mylotus" w:hAnsi="mylotus"/>
          <w:sz w:val="34"/>
          <w:szCs w:val="34"/>
        </w:rPr>
        <w:t>.</w:t>
      </w:r>
    </w:p>
    <w:p w14:paraId="142D4D9F" w14:textId="77777777" w:rsidR="009A6D59" w:rsidRPr="008E14E2" w:rsidRDefault="009A6D59" w:rsidP="009A6D59">
      <w:pPr>
        <w:pStyle w:val="a"/>
        <w:bidi/>
        <w:spacing w:line="216" w:lineRule="auto"/>
        <w:rPr>
          <w:rFonts w:ascii="mylotus" w:hAnsi="mylotus"/>
          <w:sz w:val="34"/>
          <w:szCs w:val="34"/>
          <w:rtl/>
        </w:rPr>
      </w:pPr>
      <w:r w:rsidRPr="008E14E2">
        <w:rPr>
          <w:rFonts w:ascii="mylotus" w:hAnsi="mylotus"/>
          <w:sz w:val="34"/>
          <w:szCs w:val="34"/>
          <w:rtl/>
        </w:rPr>
        <w:t>وإنْ كان في لزوم العقد عليه بالنسبة للمدّة الماضية فوت الغرض النوعي المقصود بالمعاملة، فلَهُ الخيار أيضاً مِن باب تخلف الشرط الارتكازي</w:t>
      </w:r>
      <w:r>
        <w:rPr>
          <w:rFonts w:ascii="mylotus" w:hAnsi="mylotus" w:hint="cs"/>
          <w:sz w:val="34"/>
          <w:szCs w:val="34"/>
          <w:rtl/>
        </w:rPr>
        <w:t xml:space="preserve">، </w:t>
      </w:r>
      <w:r w:rsidRPr="008E14E2">
        <w:rPr>
          <w:rFonts w:ascii="mylotus" w:hAnsi="mylotus"/>
          <w:sz w:val="34"/>
          <w:szCs w:val="34"/>
          <w:rtl/>
        </w:rPr>
        <w:t>و</w:t>
      </w:r>
      <w:r>
        <w:rPr>
          <w:rFonts w:ascii="mylotus" w:hAnsi="mylotus" w:hint="cs"/>
          <w:sz w:val="34"/>
          <w:szCs w:val="34"/>
          <w:rtl/>
        </w:rPr>
        <w:t>إ</w:t>
      </w:r>
      <w:r w:rsidRPr="008E14E2">
        <w:rPr>
          <w:rFonts w:ascii="mylotus" w:hAnsi="mylotus"/>
          <w:sz w:val="34"/>
          <w:szCs w:val="34"/>
          <w:rtl/>
        </w:rPr>
        <w:t>ل</w:t>
      </w:r>
      <w:r>
        <w:rPr>
          <w:rFonts w:ascii="mylotus" w:hAnsi="mylotus" w:hint="cs"/>
          <w:sz w:val="34"/>
          <w:szCs w:val="34"/>
          <w:rtl/>
        </w:rPr>
        <w:t>ّ</w:t>
      </w:r>
      <w:r w:rsidRPr="008E14E2">
        <w:rPr>
          <w:rFonts w:ascii="mylotus" w:hAnsi="mylotus"/>
          <w:sz w:val="34"/>
          <w:szCs w:val="34"/>
          <w:rtl/>
        </w:rPr>
        <w:t>ا فلا</w:t>
      </w:r>
      <w:r w:rsidRPr="008E14E2">
        <w:rPr>
          <w:rFonts w:ascii="mylotus" w:hAnsi="mylotus"/>
          <w:sz w:val="34"/>
          <w:szCs w:val="34"/>
        </w:rPr>
        <w:t>.</w:t>
      </w:r>
    </w:p>
    <w:p w14:paraId="2907802A" w14:textId="77777777" w:rsidR="009A6D59" w:rsidRPr="008E14E2" w:rsidRDefault="009A6D59" w:rsidP="009A6D59">
      <w:pPr>
        <w:pStyle w:val="a"/>
        <w:bidi/>
        <w:spacing w:line="216" w:lineRule="auto"/>
        <w:rPr>
          <w:rFonts w:ascii="mylotus" w:hAnsi="mylotus"/>
          <w:sz w:val="34"/>
          <w:szCs w:val="34"/>
          <w:rtl/>
        </w:rPr>
      </w:pPr>
      <w:r w:rsidRPr="008E14E2">
        <w:rPr>
          <w:rFonts w:ascii="mylotus" w:hAnsi="mylotus"/>
          <w:sz w:val="34"/>
          <w:szCs w:val="34"/>
          <w:rtl/>
        </w:rPr>
        <w:t>هذا تمامُ الكلام في الوجوه المستدل بها على مبنى المشهور مِن التقسيط، مقابل مبنى جمعٍ مِن الأعلام م</w:t>
      </w:r>
      <w:r>
        <w:rPr>
          <w:rFonts w:ascii="mylotus" w:hAnsi="mylotus" w:hint="cs"/>
          <w:sz w:val="34"/>
          <w:szCs w:val="34"/>
          <w:rtl/>
        </w:rPr>
        <w:t>ِ</w:t>
      </w:r>
      <w:r w:rsidRPr="008E14E2">
        <w:rPr>
          <w:rFonts w:ascii="mylotus" w:hAnsi="mylotus"/>
          <w:sz w:val="34"/>
          <w:szCs w:val="34"/>
          <w:rtl/>
        </w:rPr>
        <w:t>ن ثبوت خيار فسخ العقد مِن أصله، وقد تبين حكم</w:t>
      </w:r>
      <w:r>
        <w:rPr>
          <w:rFonts w:ascii="mylotus" w:hAnsi="mylotus" w:hint="cs"/>
          <w:sz w:val="34"/>
          <w:szCs w:val="34"/>
          <w:rtl/>
        </w:rPr>
        <w:t>ه.</w:t>
      </w:r>
    </w:p>
    <w:p w14:paraId="1FCC95F7" w14:textId="77777777" w:rsidR="009A6D59" w:rsidRPr="00C6770B" w:rsidRDefault="009A6D59" w:rsidP="009A6D59">
      <w:pPr>
        <w:pStyle w:val="a"/>
        <w:bidi/>
        <w:spacing w:line="216" w:lineRule="auto"/>
        <w:rPr>
          <w:rFonts w:ascii="mylotus" w:hAnsi="mylotus"/>
          <w:b/>
          <w:bCs/>
          <w:sz w:val="34"/>
          <w:szCs w:val="34"/>
          <w:rtl/>
        </w:rPr>
      </w:pPr>
      <w:r w:rsidRPr="008E14E2">
        <w:rPr>
          <w:rFonts w:ascii="mylotus" w:hAnsi="mylotus"/>
          <w:sz w:val="34"/>
          <w:szCs w:val="34"/>
          <w:rtl/>
        </w:rPr>
        <w:t>غير أن</w:t>
      </w:r>
      <w:r>
        <w:rPr>
          <w:rFonts w:ascii="mylotus" w:hAnsi="mylotus" w:hint="cs"/>
          <w:sz w:val="34"/>
          <w:szCs w:val="34"/>
          <w:rtl/>
        </w:rPr>
        <w:t>ّ</w:t>
      </w:r>
      <w:r w:rsidRPr="008E14E2">
        <w:rPr>
          <w:rFonts w:ascii="mylotus" w:hAnsi="mylotus"/>
          <w:sz w:val="34"/>
          <w:szCs w:val="34"/>
          <w:rtl/>
        </w:rPr>
        <w:t xml:space="preserve"> بعض الأجلة (رحمه الله) في كتابه الإجارة</w:t>
      </w:r>
      <w:r>
        <w:rPr>
          <w:rStyle w:val="FootnoteReference"/>
          <w:rFonts w:ascii="mylotus" w:hAnsi="mylotus"/>
          <w:sz w:val="34"/>
          <w:szCs w:val="34"/>
          <w:rtl/>
        </w:rPr>
        <w:footnoteReference w:id="274"/>
      </w:r>
      <w:r w:rsidRPr="008E14E2">
        <w:rPr>
          <w:rFonts w:ascii="mylotus" w:hAnsi="mylotus"/>
          <w:sz w:val="34"/>
          <w:szCs w:val="34"/>
          <w:rtl/>
        </w:rPr>
        <w:t xml:space="preserve"> </w:t>
      </w:r>
      <w:r w:rsidRPr="008E14E2">
        <w:rPr>
          <w:rFonts w:ascii="mylotus" w:hAnsi="mylotus" w:hint="cs"/>
          <w:sz w:val="34"/>
          <w:szCs w:val="34"/>
          <w:rtl/>
        </w:rPr>
        <w:t>قد</w:t>
      </w:r>
      <w:r w:rsidRPr="008E14E2">
        <w:rPr>
          <w:rFonts w:ascii="mylotus" w:hAnsi="mylotus"/>
          <w:sz w:val="34"/>
          <w:szCs w:val="34"/>
          <w:rtl/>
        </w:rPr>
        <w:t xml:space="preserve"> </w:t>
      </w:r>
      <w:r w:rsidRPr="008E14E2">
        <w:rPr>
          <w:rFonts w:ascii="mylotus" w:hAnsi="mylotus" w:hint="cs"/>
          <w:sz w:val="34"/>
          <w:szCs w:val="34"/>
          <w:rtl/>
        </w:rPr>
        <w:t>بنى</w:t>
      </w:r>
      <w:r w:rsidRPr="008E14E2">
        <w:rPr>
          <w:rFonts w:ascii="mylotus" w:hAnsi="mylotus"/>
          <w:sz w:val="34"/>
          <w:szCs w:val="34"/>
          <w:rtl/>
        </w:rPr>
        <w:t xml:space="preserve"> </w:t>
      </w:r>
      <w:r w:rsidRPr="008E14E2">
        <w:rPr>
          <w:rFonts w:ascii="mylotus" w:hAnsi="mylotus" w:hint="cs"/>
          <w:sz w:val="34"/>
          <w:szCs w:val="34"/>
          <w:rtl/>
        </w:rPr>
        <w:t>على</w:t>
      </w:r>
      <w:r w:rsidRPr="008E14E2">
        <w:rPr>
          <w:rFonts w:ascii="mylotus" w:hAnsi="mylotus"/>
          <w:sz w:val="34"/>
          <w:szCs w:val="34"/>
          <w:rtl/>
        </w:rPr>
        <w:t xml:space="preserve"> </w:t>
      </w:r>
      <w:r w:rsidRPr="008E14E2">
        <w:rPr>
          <w:rFonts w:ascii="mylotus" w:hAnsi="mylotus" w:hint="cs"/>
          <w:sz w:val="34"/>
          <w:szCs w:val="34"/>
          <w:rtl/>
        </w:rPr>
        <w:t>التفصيل</w:t>
      </w:r>
      <w:r w:rsidRPr="008E14E2">
        <w:rPr>
          <w:rFonts w:ascii="mylotus" w:hAnsi="mylotus"/>
          <w:sz w:val="34"/>
          <w:szCs w:val="34"/>
          <w:rtl/>
        </w:rPr>
        <w:t xml:space="preserve"> </w:t>
      </w:r>
      <w:r w:rsidRPr="008E14E2">
        <w:rPr>
          <w:rFonts w:ascii="mylotus" w:hAnsi="mylotus" w:hint="cs"/>
          <w:sz w:val="34"/>
          <w:szCs w:val="34"/>
          <w:rtl/>
        </w:rPr>
        <w:t>بين</w:t>
      </w:r>
      <w:r w:rsidRPr="008E14E2">
        <w:rPr>
          <w:rFonts w:ascii="mylotus" w:hAnsi="mylotus"/>
          <w:sz w:val="34"/>
          <w:szCs w:val="34"/>
          <w:rtl/>
        </w:rPr>
        <w:t xml:space="preserve"> </w:t>
      </w:r>
      <w:r w:rsidRPr="008E14E2">
        <w:rPr>
          <w:rFonts w:ascii="mylotus" w:hAnsi="mylotus" w:hint="cs"/>
          <w:sz w:val="34"/>
          <w:szCs w:val="34"/>
          <w:rtl/>
        </w:rPr>
        <w:t>أنواع</w:t>
      </w:r>
      <w:r w:rsidRPr="008E14E2">
        <w:rPr>
          <w:rFonts w:ascii="mylotus" w:hAnsi="mylotus"/>
          <w:sz w:val="34"/>
          <w:szCs w:val="34"/>
          <w:rtl/>
        </w:rPr>
        <w:t xml:space="preserve"> </w:t>
      </w:r>
      <w:r w:rsidRPr="008E14E2">
        <w:rPr>
          <w:rFonts w:ascii="mylotus" w:hAnsi="mylotus" w:hint="cs"/>
          <w:sz w:val="34"/>
          <w:szCs w:val="34"/>
          <w:rtl/>
        </w:rPr>
        <w:t>الخيار،</w:t>
      </w:r>
      <w:r w:rsidRPr="008E14E2">
        <w:rPr>
          <w:rFonts w:ascii="mylotus" w:hAnsi="mylotus"/>
          <w:sz w:val="34"/>
          <w:szCs w:val="34"/>
          <w:rtl/>
        </w:rPr>
        <w:t xml:space="preserve"> </w:t>
      </w:r>
      <w:r w:rsidRPr="008E14E2">
        <w:rPr>
          <w:rFonts w:ascii="mylotus" w:hAnsi="mylotus" w:hint="cs"/>
          <w:sz w:val="34"/>
          <w:szCs w:val="34"/>
          <w:rtl/>
        </w:rPr>
        <w:t>فقال</w:t>
      </w:r>
      <w:r w:rsidRPr="008E14E2">
        <w:rPr>
          <w:rFonts w:ascii="mylotus" w:hAnsi="mylotus"/>
          <w:sz w:val="34"/>
          <w:szCs w:val="34"/>
          <w:rtl/>
        </w:rPr>
        <w:t xml:space="preserve">: </w:t>
      </w:r>
      <w:r w:rsidRPr="00C6770B">
        <w:rPr>
          <w:rFonts w:ascii="mylotus" w:hAnsi="mylotus"/>
          <w:b/>
          <w:bCs/>
          <w:sz w:val="34"/>
          <w:szCs w:val="34"/>
          <w:rtl/>
        </w:rPr>
        <w:t>(</w:t>
      </w:r>
      <w:r w:rsidRPr="00C6770B">
        <w:rPr>
          <w:rFonts w:ascii="mylotus" w:hAnsi="mylotus" w:hint="cs"/>
          <w:b/>
          <w:bCs/>
          <w:sz w:val="34"/>
          <w:szCs w:val="34"/>
          <w:rtl/>
        </w:rPr>
        <w:t>والتحقيق</w:t>
      </w:r>
      <w:r w:rsidRPr="00C6770B">
        <w:rPr>
          <w:rFonts w:ascii="mylotus" w:hAnsi="mylotus"/>
          <w:b/>
          <w:bCs/>
          <w:sz w:val="34"/>
          <w:szCs w:val="34"/>
          <w:rtl/>
        </w:rPr>
        <w:t xml:space="preserve"> </w:t>
      </w:r>
      <w:r w:rsidRPr="00C6770B">
        <w:rPr>
          <w:rFonts w:ascii="mylotus" w:hAnsi="mylotus" w:hint="cs"/>
          <w:b/>
          <w:bCs/>
          <w:sz w:val="34"/>
          <w:szCs w:val="34"/>
          <w:rtl/>
        </w:rPr>
        <w:t>أن</w:t>
      </w:r>
      <w:r w:rsidRPr="00C6770B">
        <w:rPr>
          <w:rFonts w:ascii="mylotus" w:hAnsi="mylotus"/>
          <w:b/>
          <w:bCs/>
          <w:sz w:val="34"/>
          <w:szCs w:val="34"/>
          <w:rtl/>
        </w:rPr>
        <w:t xml:space="preserve"> </w:t>
      </w:r>
      <w:r w:rsidRPr="00C6770B">
        <w:rPr>
          <w:rFonts w:ascii="mylotus" w:hAnsi="mylotus" w:hint="cs"/>
          <w:b/>
          <w:bCs/>
          <w:sz w:val="34"/>
          <w:szCs w:val="34"/>
          <w:rtl/>
        </w:rPr>
        <w:t>يقال</w:t>
      </w:r>
      <w:r w:rsidRPr="00C6770B">
        <w:rPr>
          <w:rFonts w:ascii="mylotus" w:hAnsi="mylotus"/>
          <w:b/>
          <w:bCs/>
          <w:sz w:val="34"/>
          <w:szCs w:val="34"/>
          <w:rtl/>
        </w:rPr>
        <w:t xml:space="preserve">: </w:t>
      </w:r>
      <w:r w:rsidRPr="00C6770B">
        <w:rPr>
          <w:rFonts w:ascii="mylotus" w:hAnsi="mylotus" w:hint="cs"/>
          <w:b/>
          <w:bCs/>
          <w:sz w:val="34"/>
          <w:szCs w:val="34"/>
          <w:rtl/>
        </w:rPr>
        <w:t>أنّ</w:t>
      </w:r>
      <w:r w:rsidRPr="00C6770B">
        <w:rPr>
          <w:rFonts w:ascii="mylotus" w:hAnsi="mylotus"/>
          <w:b/>
          <w:bCs/>
          <w:sz w:val="34"/>
          <w:szCs w:val="34"/>
          <w:rtl/>
        </w:rPr>
        <w:t xml:space="preserve"> </w:t>
      </w:r>
      <w:r w:rsidRPr="00C6770B">
        <w:rPr>
          <w:rFonts w:ascii="mylotus" w:hAnsi="mylotus" w:hint="cs"/>
          <w:b/>
          <w:bCs/>
          <w:sz w:val="34"/>
          <w:szCs w:val="34"/>
          <w:rtl/>
        </w:rPr>
        <w:t>الخيار</w:t>
      </w:r>
      <w:r w:rsidRPr="00C6770B">
        <w:rPr>
          <w:rFonts w:ascii="mylotus" w:hAnsi="mylotus"/>
          <w:b/>
          <w:bCs/>
          <w:sz w:val="34"/>
          <w:szCs w:val="34"/>
          <w:rtl/>
        </w:rPr>
        <w:t xml:space="preserve"> </w:t>
      </w:r>
      <w:r w:rsidRPr="00C6770B">
        <w:rPr>
          <w:rFonts w:ascii="mylotus" w:hAnsi="mylotus" w:hint="cs"/>
          <w:b/>
          <w:bCs/>
          <w:sz w:val="34"/>
          <w:szCs w:val="34"/>
          <w:rtl/>
        </w:rPr>
        <w:t>إذا</w:t>
      </w:r>
      <w:r w:rsidRPr="00C6770B">
        <w:rPr>
          <w:rFonts w:ascii="mylotus" w:hAnsi="mylotus"/>
          <w:b/>
          <w:bCs/>
          <w:sz w:val="34"/>
          <w:szCs w:val="34"/>
          <w:rtl/>
        </w:rPr>
        <w:t xml:space="preserve"> </w:t>
      </w:r>
      <w:r w:rsidRPr="00C6770B">
        <w:rPr>
          <w:rFonts w:ascii="mylotus" w:hAnsi="mylotus" w:hint="cs"/>
          <w:b/>
          <w:bCs/>
          <w:sz w:val="34"/>
          <w:szCs w:val="34"/>
          <w:rtl/>
        </w:rPr>
        <w:t>كان</w:t>
      </w:r>
      <w:r w:rsidRPr="00C6770B">
        <w:rPr>
          <w:rFonts w:ascii="mylotus" w:hAnsi="mylotus"/>
          <w:b/>
          <w:bCs/>
          <w:sz w:val="34"/>
          <w:szCs w:val="34"/>
          <w:rtl/>
        </w:rPr>
        <w:t xml:space="preserve"> </w:t>
      </w:r>
      <w:r w:rsidRPr="00C6770B">
        <w:rPr>
          <w:rFonts w:ascii="mylotus" w:hAnsi="mylotus" w:hint="cs"/>
          <w:b/>
          <w:bCs/>
          <w:sz w:val="34"/>
          <w:szCs w:val="34"/>
          <w:rtl/>
        </w:rPr>
        <w:t>ثابتاً</w:t>
      </w:r>
      <w:r w:rsidRPr="00C6770B">
        <w:rPr>
          <w:rFonts w:ascii="mylotus" w:hAnsi="mylotus"/>
          <w:b/>
          <w:bCs/>
          <w:sz w:val="34"/>
          <w:szCs w:val="34"/>
          <w:rtl/>
        </w:rPr>
        <w:t xml:space="preserve"> </w:t>
      </w:r>
      <w:r w:rsidRPr="00C6770B">
        <w:rPr>
          <w:rFonts w:ascii="mylotus" w:hAnsi="mylotus" w:hint="cs"/>
          <w:b/>
          <w:bCs/>
          <w:sz w:val="34"/>
          <w:szCs w:val="34"/>
          <w:rtl/>
        </w:rPr>
        <w:t>بعنوان</w:t>
      </w:r>
      <w:r w:rsidRPr="00C6770B">
        <w:rPr>
          <w:rFonts w:ascii="mylotus" w:hAnsi="mylotus"/>
          <w:b/>
          <w:bCs/>
          <w:sz w:val="34"/>
          <w:szCs w:val="34"/>
          <w:rtl/>
        </w:rPr>
        <w:t xml:space="preserve"> </w:t>
      </w:r>
      <w:r w:rsidRPr="00C6770B">
        <w:rPr>
          <w:rFonts w:ascii="mylotus" w:hAnsi="mylotus" w:hint="cs"/>
          <w:b/>
          <w:bCs/>
          <w:sz w:val="34"/>
          <w:szCs w:val="34"/>
          <w:rtl/>
        </w:rPr>
        <w:t>تزلزل</w:t>
      </w:r>
      <w:r w:rsidRPr="00C6770B">
        <w:rPr>
          <w:rFonts w:ascii="mylotus" w:hAnsi="mylotus"/>
          <w:b/>
          <w:bCs/>
          <w:sz w:val="34"/>
          <w:szCs w:val="34"/>
          <w:rtl/>
        </w:rPr>
        <w:t xml:space="preserve"> </w:t>
      </w:r>
      <w:r w:rsidRPr="00C6770B">
        <w:rPr>
          <w:rFonts w:ascii="mylotus" w:hAnsi="mylotus" w:hint="cs"/>
          <w:b/>
          <w:bCs/>
          <w:sz w:val="34"/>
          <w:szCs w:val="34"/>
          <w:rtl/>
        </w:rPr>
        <w:t>العقد</w:t>
      </w:r>
      <w:r w:rsidRPr="00C6770B">
        <w:rPr>
          <w:rFonts w:ascii="mylotus" w:hAnsi="mylotus"/>
          <w:b/>
          <w:bCs/>
          <w:sz w:val="34"/>
          <w:szCs w:val="34"/>
          <w:rtl/>
        </w:rPr>
        <w:t xml:space="preserve"> </w:t>
      </w:r>
      <w:r w:rsidRPr="00C6770B">
        <w:rPr>
          <w:rFonts w:ascii="mylotus" w:hAnsi="mylotus" w:hint="cs"/>
          <w:b/>
          <w:bCs/>
          <w:sz w:val="34"/>
          <w:szCs w:val="34"/>
          <w:rtl/>
        </w:rPr>
        <w:t>وملك</w:t>
      </w:r>
      <w:r w:rsidRPr="00C6770B">
        <w:rPr>
          <w:rFonts w:ascii="mylotus" w:hAnsi="mylotus"/>
          <w:b/>
          <w:bCs/>
          <w:sz w:val="34"/>
          <w:szCs w:val="34"/>
          <w:rtl/>
        </w:rPr>
        <w:t xml:space="preserve"> </w:t>
      </w:r>
      <w:r w:rsidRPr="00C6770B">
        <w:rPr>
          <w:rFonts w:ascii="mylotus" w:hAnsi="mylotus" w:hint="cs"/>
          <w:b/>
          <w:bCs/>
          <w:sz w:val="34"/>
          <w:szCs w:val="34"/>
          <w:rtl/>
        </w:rPr>
        <w:t>الالتزام</w:t>
      </w:r>
      <w:r w:rsidRPr="00C6770B">
        <w:rPr>
          <w:rFonts w:ascii="mylotus" w:hAnsi="mylotus"/>
          <w:b/>
          <w:bCs/>
          <w:sz w:val="34"/>
          <w:szCs w:val="34"/>
          <w:rtl/>
        </w:rPr>
        <w:t xml:space="preserve"> </w:t>
      </w:r>
      <w:r w:rsidRPr="00C6770B">
        <w:rPr>
          <w:rFonts w:ascii="mylotus" w:hAnsi="mylotus" w:hint="cs"/>
          <w:b/>
          <w:bCs/>
          <w:sz w:val="34"/>
          <w:szCs w:val="34"/>
          <w:rtl/>
        </w:rPr>
        <w:t>والقرار</w:t>
      </w:r>
      <w:r w:rsidRPr="00C6770B">
        <w:rPr>
          <w:rFonts w:ascii="mylotus" w:hAnsi="mylotus"/>
          <w:b/>
          <w:bCs/>
          <w:sz w:val="34"/>
          <w:szCs w:val="34"/>
          <w:rtl/>
        </w:rPr>
        <w:t xml:space="preserve"> </w:t>
      </w:r>
      <w:r w:rsidRPr="00C6770B">
        <w:rPr>
          <w:rFonts w:ascii="mylotus" w:hAnsi="mylotus" w:hint="cs"/>
          <w:b/>
          <w:bCs/>
          <w:sz w:val="34"/>
          <w:szCs w:val="34"/>
          <w:rtl/>
        </w:rPr>
        <w:t>المعاملي</w:t>
      </w:r>
      <w:r w:rsidRPr="00C6770B">
        <w:rPr>
          <w:rFonts w:ascii="mylotus" w:hAnsi="mylotus"/>
          <w:b/>
          <w:bCs/>
          <w:sz w:val="34"/>
          <w:szCs w:val="34"/>
          <w:rtl/>
        </w:rPr>
        <w:t xml:space="preserve"> </w:t>
      </w:r>
      <w:r w:rsidRPr="00C6770B">
        <w:rPr>
          <w:rFonts w:ascii="mylotus" w:hAnsi="mylotus" w:hint="cs"/>
          <w:b/>
          <w:bCs/>
          <w:sz w:val="34"/>
          <w:szCs w:val="34"/>
          <w:rtl/>
        </w:rPr>
        <w:t>فالفسخ</w:t>
      </w:r>
      <w:r w:rsidRPr="00C6770B">
        <w:rPr>
          <w:rFonts w:ascii="mylotus" w:hAnsi="mylotus"/>
          <w:b/>
          <w:bCs/>
          <w:sz w:val="34"/>
          <w:szCs w:val="34"/>
          <w:rtl/>
        </w:rPr>
        <w:t xml:space="preserve"> </w:t>
      </w:r>
      <w:r w:rsidRPr="00C6770B">
        <w:rPr>
          <w:rFonts w:ascii="mylotus" w:hAnsi="mylotus" w:hint="cs"/>
          <w:b/>
          <w:bCs/>
          <w:sz w:val="34"/>
          <w:szCs w:val="34"/>
          <w:rtl/>
        </w:rPr>
        <w:t>يقتضي</w:t>
      </w:r>
      <w:r w:rsidRPr="00C6770B">
        <w:rPr>
          <w:rFonts w:ascii="mylotus" w:hAnsi="mylotus"/>
          <w:b/>
          <w:bCs/>
          <w:sz w:val="34"/>
          <w:szCs w:val="34"/>
          <w:rtl/>
        </w:rPr>
        <w:t xml:space="preserve"> </w:t>
      </w:r>
      <w:r w:rsidRPr="00C6770B">
        <w:rPr>
          <w:rFonts w:ascii="mylotus" w:hAnsi="mylotus" w:hint="cs"/>
          <w:b/>
          <w:bCs/>
          <w:sz w:val="34"/>
          <w:szCs w:val="34"/>
          <w:rtl/>
        </w:rPr>
        <w:t>رجوع</w:t>
      </w:r>
      <w:r w:rsidRPr="00C6770B">
        <w:rPr>
          <w:rFonts w:ascii="mylotus" w:hAnsi="mylotus"/>
          <w:b/>
          <w:bCs/>
          <w:sz w:val="34"/>
          <w:szCs w:val="34"/>
          <w:rtl/>
        </w:rPr>
        <w:t xml:space="preserve"> </w:t>
      </w:r>
      <w:r w:rsidRPr="00C6770B">
        <w:rPr>
          <w:rFonts w:ascii="mylotus" w:hAnsi="mylotus" w:hint="cs"/>
          <w:b/>
          <w:bCs/>
          <w:sz w:val="34"/>
          <w:szCs w:val="34"/>
          <w:rtl/>
        </w:rPr>
        <w:t>تمام</w:t>
      </w:r>
      <w:r w:rsidRPr="00C6770B">
        <w:rPr>
          <w:rFonts w:ascii="mylotus" w:hAnsi="mylotus"/>
          <w:b/>
          <w:bCs/>
          <w:sz w:val="34"/>
          <w:szCs w:val="34"/>
          <w:rtl/>
        </w:rPr>
        <w:t xml:space="preserve"> </w:t>
      </w:r>
      <w:r w:rsidRPr="00C6770B">
        <w:rPr>
          <w:rFonts w:ascii="mylotus" w:hAnsi="mylotus" w:hint="cs"/>
          <w:b/>
          <w:bCs/>
          <w:sz w:val="34"/>
          <w:szCs w:val="34"/>
          <w:rtl/>
        </w:rPr>
        <w:t>العوض</w:t>
      </w:r>
      <w:r w:rsidRPr="00C6770B">
        <w:rPr>
          <w:rFonts w:ascii="mylotus" w:hAnsi="mylotus"/>
          <w:b/>
          <w:bCs/>
          <w:sz w:val="34"/>
          <w:szCs w:val="34"/>
          <w:rtl/>
        </w:rPr>
        <w:t xml:space="preserve"> </w:t>
      </w:r>
      <w:r w:rsidRPr="00C6770B">
        <w:rPr>
          <w:rFonts w:ascii="mylotus" w:hAnsi="mylotus" w:hint="cs"/>
          <w:b/>
          <w:bCs/>
          <w:sz w:val="34"/>
          <w:szCs w:val="34"/>
          <w:rtl/>
        </w:rPr>
        <w:t>والمعوض</w:t>
      </w:r>
      <w:r w:rsidRPr="00C6770B">
        <w:rPr>
          <w:rFonts w:ascii="mylotus" w:hAnsi="mylotus"/>
          <w:b/>
          <w:bCs/>
          <w:sz w:val="34"/>
          <w:szCs w:val="34"/>
          <w:rtl/>
        </w:rPr>
        <w:t xml:space="preserve"> </w:t>
      </w:r>
      <w:r w:rsidRPr="00C6770B">
        <w:rPr>
          <w:rFonts w:ascii="mylotus" w:hAnsi="mylotus" w:hint="cs"/>
          <w:b/>
          <w:bCs/>
          <w:sz w:val="34"/>
          <w:szCs w:val="34"/>
          <w:rtl/>
        </w:rPr>
        <w:t>أي</w:t>
      </w:r>
      <w:r w:rsidRPr="00C6770B">
        <w:rPr>
          <w:rFonts w:ascii="mylotus" w:hAnsi="mylotus"/>
          <w:b/>
          <w:bCs/>
          <w:sz w:val="34"/>
          <w:szCs w:val="34"/>
          <w:rtl/>
        </w:rPr>
        <w:t xml:space="preserve"> </w:t>
      </w:r>
      <w:r w:rsidRPr="00C6770B">
        <w:rPr>
          <w:rFonts w:ascii="mylotus" w:hAnsi="mylotus" w:hint="cs"/>
          <w:b/>
          <w:bCs/>
          <w:sz w:val="34"/>
          <w:szCs w:val="34"/>
          <w:rtl/>
        </w:rPr>
        <w:t>تمام</w:t>
      </w:r>
      <w:r w:rsidRPr="00C6770B">
        <w:rPr>
          <w:rFonts w:ascii="mylotus" w:hAnsi="mylotus"/>
          <w:b/>
          <w:bCs/>
          <w:sz w:val="34"/>
          <w:szCs w:val="34"/>
          <w:rtl/>
        </w:rPr>
        <w:t xml:space="preserve"> </w:t>
      </w:r>
      <w:r w:rsidRPr="00C6770B">
        <w:rPr>
          <w:rFonts w:ascii="mylotus" w:hAnsi="mylotus" w:hint="cs"/>
          <w:b/>
          <w:bCs/>
          <w:sz w:val="34"/>
          <w:szCs w:val="34"/>
          <w:rtl/>
        </w:rPr>
        <w:t>المسمى</w:t>
      </w:r>
      <w:r w:rsidRPr="00C6770B">
        <w:rPr>
          <w:rFonts w:ascii="mylotus" w:hAnsi="mylotus"/>
          <w:b/>
          <w:bCs/>
          <w:sz w:val="34"/>
          <w:szCs w:val="34"/>
          <w:rtl/>
        </w:rPr>
        <w:t xml:space="preserve"> </w:t>
      </w:r>
      <w:r w:rsidRPr="00C6770B">
        <w:rPr>
          <w:rFonts w:ascii="mylotus" w:hAnsi="mylotus" w:hint="cs"/>
          <w:b/>
          <w:bCs/>
          <w:sz w:val="34"/>
          <w:szCs w:val="34"/>
          <w:rtl/>
        </w:rPr>
        <w:t>وانفساخ</w:t>
      </w:r>
      <w:r w:rsidRPr="00C6770B">
        <w:rPr>
          <w:rFonts w:ascii="mylotus" w:hAnsi="mylotus"/>
          <w:b/>
          <w:bCs/>
          <w:sz w:val="34"/>
          <w:szCs w:val="34"/>
          <w:rtl/>
        </w:rPr>
        <w:t xml:space="preserve"> </w:t>
      </w:r>
      <w:r w:rsidRPr="00C6770B">
        <w:rPr>
          <w:rFonts w:ascii="mylotus" w:hAnsi="mylotus" w:hint="cs"/>
          <w:b/>
          <w:bCs/>
          <w:sz w:val="34"/>
          <w:szCs w:val="34"/>
          <w:rtl/>
        </w:rPr>
        <w:t>الايجار</w:t>
      </w:r>
      <w:r w:rsidRPr="00C6770B">
        <w:rPr>
          <w:rFonts w:ascii="mylotus" w:hAnsi="mylotus"/>
          <w:b/>
          <w:bCs/>
          <w:sz w:val="34"/>
          <w:szCs w:val="34"/>
          <w:rtl/>
        </w:rPr>
        <w:t xml:space="preserve"> </w:t>
      </w:r>
      <w:r w:rsidRPr="00C6770B">
        <w:rPr>
          <w:rFonts w:ascii="mylotus" w:hAnsi="mylotus" w:hint="cs"/>
          <w:b/>
          <w:bCs/>
          <w:sz w:val="34"/>
          <w:szCs w:val="34"/>
          <w:rtl/>
        </w:rPr>
        <w:t>في</w:t>
      </w:r>
      <w:r w:rsidRPr="00C6770B">
        <w:rPr>
          <w:rFonts w:ascii="mylotus" w:hAnsi="mylotus"/>
          <w:b/>
          <w:bCs/>
          <w:sz w:val="34"/>
          <w:szCs w:val="34"/>
          <w:rtl/>
        </w:rPr>
        <w:t xml:space="preserve"> </w:t>
      </w:r>
      <w:r w:rsidRPr="00C6770B">
        <w:rPr>
          <w:rFonts w:ascii="mylotus" w:hAnsi="mylotus" w:hint="cs"/>
          <w:b/>
          <w:bCs/>
          <w:sz w:val="34"/>
          <w:szCs w:val="34"/>
          <w:rtl/>
        </w:rPr>
        <w:t>تمام</w:t>
      </w:r>
      <w:r w:rsidRPr="00C6770B">
        <w:rPr>
          <w:rFonts w:ascii="mylotus" w:hAnsi="mylotus"/>
          <w:b/>
          <w:bCs/>
          <w:sz w:val="34"/>
          <w:szCs w:val="34"/>
          <w:rtl/>
        </w:rPr>
        <w:t xml:space="preserve"> </w:t>
      </w:r>
      <w:r w:rsidRPr="00C6770B">
        <w:rPr>
          <w:rFonts w:ascii="mylotus" w:hAnsi="mylotus" w:hint="cs"/>
          <w:b/>
          <w:bCs/>
          <w:sz w:val="34"/>
          <w:szCs w:val="34"/>
          <w:rtl/>
        </w:rPr>
        <w:t>المدة</w:t>
      </w:r>
      <w:r w:rsidRPr="00C6770B">
        <w:rPr>
          <w:rFonts w:ascii="mylotus" w:hAnsi="mylotus"/>
          <w:b/>
          <w:bCs/>
          <w:sz w:val="34"/>
          <w:szCs w:val="34"/>
          <w:rtl/>
        </w:rPr>
        <w:t xml:space="preserve"> </w:t>
      </w:r>
      <w:r w:rsidRPr="00C6770B">
        <w:rPr>
          <w:rFonts w:ascii="mylotus" w:hAnsi="mylotus" w:hint="cs"/>
          <w:b/>
          <w:bCs/>
          <w:sz w:val="34"/>
          <w:szCs w:val="34"/>
          <w:rtl/>
        </w:rPr>
        <w:t>ورجوع</w:t>
      </w:r>
      <w:r w:rsidRPr="00C6770B">
        <w:rPr>
          <w:rFonts w:ascii="mylotus" w:hAnsi="mylotus"/>
          <w:b/>
          <w:bCs/>
          <w:sz w:val="34"/>
          <w:szCs w:val="34"/>
          <w:rtl/>
        </w:rPr>
        <w:t xml:space="preserve"> </w:t>
      </w:r>
      <w:r w:rsidRPr="00C6770B">
        <w:rPr>
          <w:rFonts w:ascii="mylotus" w:hAnsi="mylotus" w:hint="cs"/>
          <w:b/>
          <w:bCs/>
          <w:sz w:val="34"/>
          <w:szCs w:val="34"/>
          <w:rtl/>
        </w:rPr>
        <w:t>المؤجر</w:t>
      </w:r>
      <w:r w:rsidRPr="00C6770B">
        <w:rPr>
          <w:rFonts w:ascii="mylotus" w:hAnsi="mylotus"/>
          <w:b/>
          <w:bCs/>
          <w:sz w:val="34"/>
          <w:szCs w:val="34"/>
          <w:rtl/>
        </w:rPr>
        <w:t xml:space="preserve"> </w:t>
      </w:r>
      <w:r w:rsidRPr="00C6770B">
        <w:rPr>
          <w:rFonts w:ascii="mylotus" w:hAnsi="mylotus" w:hint="cs"/>
          <w:b/>
          <w:bCs/>
          <w:sz w:val="34"/>
          <w:szCs w:val="34"/>
          <w:rtl/>
        </w:rPr>
        <w:t>فيما</w:t>
      </w:r>
      <w:r w:rsidRPr="00C6770B">
        <w:rPr>
          <w:rFonts w:ascii="mylotus" w:hAnsi="mylotus"/>
          <w:b/>
          <w:bCs/>
          <w:sz w:val="34"/>
          <w:szCs w:val="34"/>
          <w:rtl/>
        </w:rPr>
        <w:t xml:space="preserve"> </w:t>
      </w:r>
      <w:r w:rsidRPr="00C6770B">
        <w:rPr>
          <w:rFonts w:ascii="mylotus" w:hAnsi="mylotus" w:hint="cs"/>
          <w:b/>
          <w:bCs/>
          <w:sz w:val="34"/>
          <w:szCs w:val="34"/>
          <w:rtl/>
        </w:rPr>
        <w:t>انقضى</w:t>
      </w:r>
      <w:r w:rsidRPr="00C6770B">
        <w:rPr>
          <w:rFonts w:ascii="mylotus" w:hAnsi="mylotus"/>
          <w:b/>
          <w:bCs/>
          <w:sz w:val="34"/>
          <w:szCs w:val="34"/>
          <w:rtl/>
        </w:rPr>
        <w:t xml:space="preserve"> </w:t>
      </w:r>
      <w:r w:rsidRPr="00C6770B">
        <w:rPr>
          <w:rFonts w:ascii="mylotus" w:hAnsi="mylotus" w:hint="cs"/>
          <w:b/>
          <w:bCs/>
          <w:sz w:val="34"/>
          <w:szCs w:val="34"/>
          <w:rtl/>
        </w:rPr>
        <w:t>إلى</w:t>
      </w:r>
      <w:r w:rsidRPr="00C6770B">
        <w:rPr>
          <w:rFonts w:ascii="mylotus" w:hAnsi="mylotus"/>
          <w:b/>
          <w:bCs/>
          <w:sz w:val="34"/>
          <w:szCs w:val="34"/>
          <w:rtl/>
        </w:rPr>
        <w:t xml:space="preserve"> </w:t>
      </w:r>
      <w:r w:rsidRPr="00C6770B">
        <w:rPr>
          <w:rFonts w:ascii="mylotus" w:hAnsi="mylotus" w:hint="cs"/>
          <w:b/>
          <w:bCs/>
          <w:sz w:val="34"/>
          <w:szCs w:val="34"/>
          <w:rtl/>
        </w:rPr>
        <w:t>أجرة</w:t>
      </w:r>
      <w:r w:rsidRPr="00C6770B">
        <w:rPr>
          <w:rFonts w:ascii="mylotus" w:hAnsi="mylotus"/>
          <w:b/>
          <w:bCs/>
          <w:sz w:val="34"/>
          <w:szCs w:val="34"/>
          <w:rtl/>
        </w:rPr>
        <w:t xml:space="preserve"> </w:t>
      </w:r>
      <w:r w:rsidRPr="00C6770B">
        <w:rPr>
          <w:rFonts w:ascii="mylotus" w:hAnsi="mylotus" w:hint="cs"/>
          <w:b/>
          <w:bCs/>
          <w:sz w:val="34"/>
          <w:szCs w:val="34"/>
          <w:rtl/>
        </w:rPr>
        <w:t>المثل</w:t>
      </w:r>
      <w:r w:rsidRPr="00C6770B">
        <w:rPr>
          <w:rFonts w:ascii="mylotus" w:hAnsi="mylotus"/>
          <w:b/>
          <w:bCs/>
          <w:sz w:val="34"/>
          <w:szCs w:val="34"/>
        </w:rPr>
        <w:t>.</w:t>
      </w:r>
    </w:p>
    <w:p w14:paraId="06A1DBE2" w14:textId="77777777" w:rsidR="009A6D59" w:rsidRPr="00C6770B" w:rsidRDefault="009A6D59" w:rsidP="009A6D59">
      <w:pPr>
        <w:pStyle w:val="a"/>
        <w:bidi/>
        <w:spacing w:line="216" w:lineRule="auto"/>
        <w:rPr>
          <w:rFonts w:ascii="mylotus" w:hAnsi="mylotus"/>
          <w:b/>
          <w:bCs/>
          <w:sz w:val="34"/>
          <w:szCs w:val="34"/>
          <w:rtl/>
        </w:rPr>
      </w:pPr>
      <w:r w:rsidRPr="00C6770B">
        <w:rPr>
          <w:rFonts w:ascii="mylotus" w:hAnsi="mylotus"/>
          <w:b/>
          <w:bCs/>
          <w:sz w:val="34"/>
          <w:szCs w:val="34"/>
          <w:rtl/>
        </w:rPr>
        <w:t>وإن كان ثابتاً بعنوان حق ردّ العين بتمامها أو بمقدار منها وفسخ أثر العقد بذلك المقدار فهذا لا يقتضي أكثر من حق رد بعض متعلقه لا تمامه، وهذا لا ينافي وحدة العقد بما هو التزام وقرار، فإنه من باب تقيد العقد بلحاظ أثره أو ابراز تعدّد القرار والعقد لبّاً في هذا الفرض والتقدير</w:t>
      </w:r>
      <w:r w:rsidRPr="00C6770B">
        <w:rPr>
          <w:rFonts w:ascii="mylotus" w:hAnsi="mylotus" w:hint="cs"/>
          <w:b/>
          <w:bCs/>
          <w:sz w:val="34"/>
          <w:szCs w:val="34"/>
          <w:rtl/>
        </w:rPr>
        <w:t>).</w:t>
      </w:r>
    </w:p>
    <w:p w14:paraId="0A7D1498" w14:textId="77777777" w:rsidR="009A6D59" w:rsidRPr="00C6770B" w:rsidRDefault="009A6D59" w:rsidP="009A6D59">
      <w:pPr>
        <w:pStyle w:val="a"/>
        <w:bidi/>
        <w:spacing w:line="216" w:lineRule="auto"/>
        <w:rPr>
          <w:rFonts w:ascii="mylotus" w:hAnsi="mylotus"/>
          <w:b/>
          <w:bCs/>
          <w:sz w:val="34"/>
          <w:szCs w:val="34"/>
          <w:rtl/>
        </w:rPr>
      </w:pPr>
      <w:r w:rsidRPr="00C6770B">
        <w:rPr>
          <w:rFonts w:ascii="mylotus" w:hAnsi="mylotus"/>
          <w:b/>
          <w:bCs/>
          <w:sz w:val="34"/>
          <w:szCs w:val="34"/>
          <w:rtl/>
        </w:rPr>
        <w:lastRenderedPageBreak/>
        <w:t>وتوضيحُ كلامه (رحمه الله) أنّ الخيار نوعان</w:t>
      </w:r>
      <w:r w:rsidRPr="00C6770B">
        <w:rPr>
          <w:rFonts w:ascii="mylotus" w:hAnsi="mylotus"/>
          <w:b/>
          <w:bCs/>
          <w:sz w:val="34"/>
          <w:szCs w:val="34"/>
        </w:rPr>
        <w:t>:</w:t>
      </w:r>
    </w:p>
    <w:p w14:paraId="7B8BB420" w14:textId="522F1519" w:rsidR="009A6D59" w:rsidRPr="008E14E2" w:rsidRDefault="009A6D59" w:rsidP="009A6D59">
      <w:pPr>
        <w:pStyle w:val="a"/>
        <w:bidi/>
        <w:spacing w:line="216" w:lineRule="auto"/>
        <w:rPr>
          <w:rFonts w:ascii="mylotus" w:hAnsi="mylotus"/>
          <w:sz w:val="34"/>
          <w:szCs w:val="34"/>
          <w:rtl/>
        </w:rPr>
      </w:pPr>
      <w:r w:rsidRPr="00C6770B">
        <w:rPr>
          <w:rFonts w:ascii="mylotus" w:hAnsi="mylotus"/>
          <w:b/>
          <w:bCs/>
          <w:sz w:val="34"/>
          <w:szCs w:val="34"/>
          <w:rtl/>
        </w:rPr>
        <w:t>النوع</w:t>
      </w:r>
      <w:r w:rsidRPr="00C6770B">
        <w:rPr>
          <w:rFonts w:ascii="mylotus" w:hAnsi="mylotus" w:hint="cs"/>
          <w:b/>
          <w:bCs/>
          <w:sz w:val="34"/>
          <w:szCs w:val="34"/>
          <w:rtl/>
        </w:rPr>
        <w:t>ُ</w:t>
      </w:r>
      <w:r w:rsidRPr="00C6770B">
        <w:rPr>
          <w:rFonts w:ascii="mylotus" w:hAnsi="mylotus"/>
          <w:b/>
          <w:bCs/>
          <w:sz w:val="34"/>
          <w:szCs w:val="34"/>
          <w:rtl/>
        </w:rPr>
        <w:t xml:space="preserve"> الأوّل:</w:t>
      </w:r>
      <w:r w:rsidRPr="008E14E2">
        <w:rPr>
          <w:rFonts w:ascii="mylotus" w:hAnsi="mylotus"/>
          <w:sz w:val="34"/>
          <w:szCs w:val="34"/>
          <w:rtl/>
        </w:rPr>
        <w:t xml:space="preserve"> خيارٌ بمعنى السلطنة على </w:t>
      </w:r>
      <w:r w:rsidR="00BF62A7" w:rsidRPr="008E14E2">
        <w:rPr>
          <w:rFonts w:ascii="mylotus" w:hAnsi="mylotus" w:hint="cs"/>
          <w:sz w:val="34"/>
          <w:szCs w:val="34"/>
          <w:rtl/>
        </w:rPr>
        <w:t>الالتزام بالعقد</w:t>
      </w:r>
      <w:r w:rsidRPr="008E14E2">
        <w:rPr>
          <w:rFonts w:ascii="mylotus" w:hAnsi="mylotus"/>
          <w:sz w:val="34"/>
          <w:szCs w:val="34"/>
        </w:rPr>
        <w:t>.</w:t>
      </w:r>
    </w:p>
    <w:p w14:paraId="398A3692" w14:textId="77777777" w:rsidR="009A6D59" w:rsidRPr="008E14E2" w:rsidRDefault="009A6D59" w:rsidP="009A6D59">
      <w:pPr>
        <w:pStyle w:val="a"/>
        <w:bidi/>
        <w:spacing w:line="216" w:lineRule="auto"/>
        <w:rPr>
          <w:rFonts w:ascii="mylotus" w:hAnsi="mylotus"/>
          <w:sz w:val="34"/>
          <w:szCs w:val="34"/>
          <w:rtl/>
        </w:rPr>
      </w:pPr>
      <w:r w:rsidRPr="00C6770B">
        <w:rPr>
          <w:rFonts w:ascii="mylotus" w:hAnsi="mylotus"/>
          <w:b/>
          <w:bCs/>
          <w:sz w:val="34"/>
          <w:szCs w:val="34"/>
          <w:rtl/>
        </w:rPr>
        <w:t>والنوع</w:t>
      </w:r>
      <w:r w:rsidRPr="00C6770B">
        <w:rPr>
          <w:rFonts w:ascii="mylotus" w:hAnsi="mylotus" w:hint="cs"/>
          <w:b/>
          <w:bCs/>
          <w:sz w:val="34"/>
          <w:szCs w:val="34"/>
          <w:rtl/>
        </w:rPr>
        <w:t>ُ</w:t>
      </w:r>
      <w:r w:rsidRPr="00C6770B">
        <w:rPr>
          <w:rFonts w:ascii="mylotus" w:hAnsi="mylotus"/>
          <w:b/>
          <w:bCs/>
          <w:sz w:val="34"/>
          <w:szCs w:val="34"/>
          <w:rtl/>
        </w:rPr>
        <w:t xml:space="preserve"> الثاني:</w:t>
      </w:r>
      <w:r w:rsidRPr="008E14E2">
        <w:rPr>
          <w:rFonts w:ascii="mylotus" w:hAnsi="mylotus"/>
          <w:sz w:val="34"/>
          <w:szCs w:val="34"/>
          <w:rtl/>
        </w:rPr>
        <w:t xml:space="preserve"> خيارٌ بمعنى حقّ ردّ العين</w:t>
      </w:r>
      <w:r w:rsidRPr="008E14E2">
        <w:rPr>
          <w:rFonts w:ascii="mylotus" w:hAnsi="mylotus"/>
          <w:sz w:val="34"/>
          <w:szCs w:val="34"/>
        </w:rPr>
        <w:t>.</w:t>
      </w:r>
    </w:p>
    <w:p w14:paraId="065C5E20" w14:textId="77777777" w:rsidR="009A6D59" w:rsidRPr="008E14E2" w:rsidRDefault="009A6D59" w:rsidP="009A6D59">
      <w:pPr>
        <w:pStyle w:val="a"/>
        <w:bidi/>
        <w:spacing w:line="216" w:lineRule="auto"/>
        <w:rPr>
          <w:rFonts w:ascii="mylotus" w:hAnsi="mylotus"/>
          <w:sz w:val="34"/>
          <w:szCs w:val="34"/>
          <w:rtl/>
        </w:rPr>
      </w:pPr>
      <w:r w:rsidRPr="00C6770B">
        <w:rPr>
          <w:rFonts w:ascii="mylotus" w:hAnsi="mylotus"/>
          <w:b/>
          <w:bCs/>
          <w:sz w:val="34"/>
          <w:szCs w:val="34"/>
          <w:rtl/>
        </w:rPr>
        <w:t>أمّا النوع</w:t>
      </w:r>
      <w:r>
        <w:rPr>
          <w:rFonts w:ascii="mylotus" w:hAnsi="mylotus" w:hint="cs"/>
          <w:b/>
          <w:bCs/>
          <w:sz w:val="34"/>
          <w:szCs w:val="34"/>
          <w:rtl/>
        </w:rPr>
        <w:t>ُ</w:t>
      </w:r>
      <w:r w:rsidRPr="00C6770B">
        <w:rPr>
          <w:rFonts w:ascii="mylotus" w:hAnsi="mylotus"/>
          <w:b/>
          <w:bCs/>
          <w:sz w:val="34"/>
          <w:szCs w:val="34"/>
          <w:rtl/>
        </w:rPr>
        <w:t xml:space="preserve"> الأوّل:</w:t>
      </w:r>
      <w:r w:rsidRPr="008E14E2">
        <w:rPr>
          <w:rFonts w:ascii="mylotus" w:hAnsi="mylotus"/>
          <w:sz w:val="34"/>
          <w:szCs w:val="34"/>
          <w:rtl/>
        </w:rPr>
        <w:t xml:space="preserve"> فمثاله</w:t>
      </w:r>
      <w:r>
        <w:rPr>
          <w:rFonts w:ascii="mylotus" w:hAnsi="mylotus" w:hint="cs"/>
          <w:sz w:val="34"/>
          <w:szCs w:val="34"/>
          <w:rtl/>
        </w:rPr>
        <w:t>:</w:t>
      </w:r>
      <w:r w:rsidRPr="008E14E2">
        <w:rPr>
          <w:rFonts w:ascii="mylotus" w:hAnsi="mylotus"/>
          <w:sz w:val="34"/>
          <w:szCs w:val="34"/>
          <w:rtl/>
        </w:rPr>
        <w:t xml:space="preserve"> الخيارُ الثابت بسبب الغبن أو خيار المجلس أو تخلف الشرط، فإن</w:t>
      </w:r>
      <w:r>
        <w:rPr>
          <w:rFonts w:ascii="mylotus" w:hAnsi="mylotus" w:hint="cs"/>
          <w:sz w:val="34"/>
          <w:szCs w:val="34"/>
          <w:rtl/>
        </w:rPr>
        <w:t>ّ</w:t>
      </w:r>
      <w:r w:rsidRPr="008E14E2">
        <w:rPr>
          <w:rFonts w:ascii="mylotus" w:hAnsi="mylotus"/>
          <w:sz w:val="34"/>
          <w:szCs w:val="34"/>
          <w:rtl/>
        </w:rPr>
        <w:t xml:space="preserve"> معناه هو السلطنة على الالتزام بالعقد؛ حيثُ إنّ المعاملة الجارية -كالإجارة أو البيع- متضمنةٌ لتمليك والتزام، والسلطنة على الالتزام بيد المملك، فإذا ثبتَ لَهُ الخيار بغبنٍ أو بمجلسٍ أو بشرطٍ ارتكازي، فمعنى الخيار: أنّ لَهُ السلطنة على الالتزام برفعه أو إبقائه، وهذا النوعُ مِن الخيار يقتضي حلّ العقد، أي: رجوع تمام العوض والمعوض، وانفساخ الإيجار في تمام المدّة، ورجوع المؤجر فيما انقضى مِن المنفعة إلى أجرة المثل</w:t>
      </w:r>
      <w:r w:rsidRPr="008E14E2">
        <w:rPr>
          <w:rFonts w:ascii="mylotus" w:hAnsi="mylotus"/>
          <w:sz w:val="34"/>
          <w:szCs w:val="34"/>
        </w:rPr>
        <w:t>.</w:t>
      </w:r>
    </w:p>
    <w:p w14:paraId="2093B85C" w14:textId="77777777" w:rsidR="009A6D59" w:rsidRDefault="009A6D59" w:rsidP="009A6D59">
      <w:pPr>
        <w:pStyle w:val="a"/>
        <w:bidi/>
        <w:spacing w:line="216" w:lineRule="auto"/>
        <w:rPr>
          <w:rFonts w:ascii="mylotus" w:hAnsi="mylotus"/>
          <w:sz w:val="34"/>
          <w:szCs w:val="34"/>
          <w:rtl/>
        </w:rPr>
      </w:pPr>
      <w:r w:rsidRPr="00C6770B">
        <w:rPr>
          <w:rFonts w:ascii="mylotus" w:hAnsi="mylotus"/>
          <w:b/>
          <w:bCs/>
          <w:sz w:val="34"/>
          <w:szCs w:val="34"/>
          <w:rtl/>
        </w:rPr>
        <w:t>وأمّا النوع</w:t>
      </w:r>
      <w:r>
        <w:rPr>
          <w:rFonts w:ascii="mylotus" w:hAnsi="mylotus" w:hint="cs"/>
          <w:b/>
          <w:bCs/>
          <w:sz w:val="34"/>
          <w:szCs w:val="34"/>
          <w:rtl/>
        </w:rPr>
        <w:t>ُ</w:t>
      </w:r>
      <w:r w:rsidRPr="00C6770B">
        <w:rPr>
          <w:rFonts w:ascii="mylotus" w:hAnsi="mylotus"/>
          <w:b/>
          <w:bCs/>
          <w:sz w:val="34"/>
          <w:szCs w:val="34"/>
          <w:rtl/>
        </w:rPr>
        <w:t xml:space="preserve"> الثاني:</w:t>
      </w:r>
      <w:r w:rsidRPr="008E14E2">
        <w:rPr>
          <w:rFonts w:ascii="mylotus" w:hAnsi="mylotus"/>
          <w:sz w:val="34"/>
          <w:szCs w:val="34"/>
          <w:rtl/>
        </w:rPr>
        <w:t xml:space="preserve"> وهو ما</w:t>
      </w:r>
      <w:r>
        <w:rPr>
          <w:rFonts w:ascii="mylotus" w:hAnsi="mylotus" w:hint="cs"/>
          <w:sz w:val="34"/>
          <w:szCs w:val="34"/>
          <w:rtl/>
        </w:rPr>
        <w:t xml:space="preserve"> </w:t>
      </w:r>
      <w:proofErr w:type="gramStart"/>
      <w:r w:rsidRPr="008E14E2">
        <w:rPr>
          <w:rFonts w:ascii="mylotus" w:hAnsi="mylotus"/>
          <w:sz w:val="34"/>
          <w:szCs w:val="34"/>
          <w:rtl/>
        </w:rPr>
        <w:t>كان  بمعنى</w:t>
      </w:r>
      <w:proofErr w:type="gramEnd"/>
      <w:r w:rsidRPr="008E14E2">
        <w:rPr>
          <w:rFonts w:ascii="mylotus" w:hAnsi="mylotus"/>
          <w:sz w:val="34"/>
          <w:szCs w:val="34"/>
          <w:rtl/>
        </w:rPr>
        <w:t xml:space="preserve"> حقّ ردّ العين بتمامها أو بمقدارٍ منها</w:t>
      </w:r>
      <w:r>
        <w:rPr>
          <w:rFonts w:ascii="mylotus" w:hAnsi="mylotus" w:hint="cs"/>
          <w:sz w:val="34"/>
          <w:szCs w:val="34"/>
          <w:rtl/>
        </w:rPr>
        <w:t xml:space="preserve">، </w:t>
      </w:r>
      <w:r w:rsidRPr="008E14E2">
        <w:rPr>
          <w:rFonts w:ascii="mylotus" w:hAnsi="mylotus"/>
          <w:sz w:val="34"/>
          <w:szCs w:val="34"/>
          <w:rtl/>
        </w:rPr>
        <w:t>فمثاله شرط الخيار</w:t>
      </w:r>
      <w:r>
        <w:rPr>
          <w:rFonts w:ascii="mylotus" w:hAnsi="mylotus" w:hint="cs"/>
          <w:sz w:val="34"/>
          <w:szCs w:val="34"/>
          <w:rtl/>
        </w:rPr>
        <w:t>.</w:t>
      </w:r>
    </w:p>
    <w:p w14:paraId="5E1466E1" w14:textId="77777777" w:rsidR="009A6D59" w:rsidRPr="008E14E2" w:rsidRDefault="009A6D59" w:rsidP="009A6D59">
      <w:pPr>
        <w:pStyle w:val="a"/>
        <w:bidi/>
        <w:spacing w:line="216" w:lineRule="auto"/>
        <w:rPr>
          <w:rFonts w:ascii="mylotus" w:hAnsi="mylotus"/>
          <w:sz w:val="34"/>
          <w:szCs w:val="34"/>
          <w:rtl/>
        </w:rPr>
      </w:pPr>
      <w:r w:rsidRPr="008E14E2">
        <w:rPr>
          <w:rFonts w:ascii="mylotus" w:hAnsi="mylotus"/>
          <w:sz w:val="34"/>
          <w:szCs w:val="34"/>
          <w:rtl/>
        </w:rPr>
        <w:t>فإن</w:t>
      </w:r>
      <w:r>
        <w:rPr>
          <w:rFonts w:ascii="mylotus" w:hAnsi="mylotus" w:hint="cs"/>
          <w:sz w:val="34"/>
          <w:szCs w:val="34"/>
          <w:rtl/>
        </w:rPr>
        <w:t>ّ</w:t>
      </w:r>
      <w:r w:rsidRPr="008E14E2">
        <w:rPr>
          <w:rFonts w:ascii="mylotus" w:hAnsi="mylotus"/>
          <w:sz w:val="34"/>
          <w:szCs w:val="34"/>
          <w:rtl/>
        </w:rPr>
        <w:t xml:space="preserve"> معنى شرط الخيار: أنّه تابع لما </w:t>
      </w:r>
      <w:proofErr w:type="spellStart"/>
      <w:r w:rsidRPr="008E14E2">
        <w:rPr>
          <w:rFonts w:ascii="mylotus" w:hAnsi="mylotus"/>
          <w:sz w:val="34"/>
          <w:szCs w:val="34"/>
          <w:rtl/>
        </w:rPr>
        <w:t>تبانيا</w:t>
      </w:r>
      <w:proofErr w:type="spellEnd"/>
      <w:r w:rsidRPr="008E14E2">
        <w:rPr>
          <w:rFonts w:ascii="mylotus" w:hAnsi="mylotus"/>
          <w:sz w:val="34"/>
          <w:szCs w:val="34"/>
          <w:rtl/>
        </w:rPr>
        <w:t xml:space="preserve"> عليه م</w:t>
      </w:r>
      <w:r>
        <w:rPr>
          <w:rFonts w:ascii="mylotus" w:hAnsi="mylotus" w:hint="cs"/>
          <w:sz w:val="34"/>
          <w:szCs w:val="34"/>
          <w:rtl/>
        </w:rPr>
        <w:t>ِ</w:t>
      </w:r>
      <w:r w:rsidRPr="008E14E2">
        <w:rPr>
          <w:rFonts w:ascii="mylotus" w:hAnsi="mylotus"/>
          <w:sz w:val="34"/>
          <w:szCs w:val="34"/>
          <w:rtl/>
        </w:rPr>
        <w:t xml:space="preserve">ن الشرط، فقد يكون الخيار المشروط هو حقّ ردّ العين بتمامها أو ببعضها، وكذلك </w:t>
      </w:r>
      <w:proofErr w:type="gramStart"/>
      <w:r w:rsidRPr="008E14E2">
        <w:rPr>
          <w:rFonts w:ascii="mylotus" w:hAnsi="mylotus"/>
          <w:sz w:val="34"/>
          <w:szCs w:val="34"/>
          <w:rtl/>
        </w:rPr>
        <w:t>الأمر  في</w:t>
      </w:r>
      <w:proofErr w:type="gramEnd"/>
      <w:r w:rsidRPr="008E14E2">
        <w:rPr>
          <w:rFonts w:ascii="mylotus" w:hAnsi="mylotus"/>
          <w:sz w:val="34"/>
          <w:szCs w:val="34"/>
          <w:rtl/>
        </w:rPr>
        <w:t xml:space="preserve"> ردّ المنافع بتمامها أو ببعضها</w:t>
      </w:r>
      <w:r w:rsidRPr="008E14E2">
        <w:rPr>
          <w:rFonts w:ascii="mylotus" w:hAnsi="mylotus"/>
          <w:sz w:val="34"/>
          <w:szCs w:val="34"/>
        </w:rPr>
        <w:t>.</w:t>
      </w:r>
    </w:p>
    <w:p w14:paraId="4FBBAE30" w14:textId="77777777" w:rsidR="009A6D59" w:rsidRPr="0082312B" w:rsidRDefault="009A6D59" w:rsidP="009A6D59">
      <w:pPr>
        <w:pStyle w:val="a"/>
        <w:bidi/>
        <w:spacing w:line="216" w:lineRule="auto"/>
        <w:rPr>
          <w:rFonts w:ascii="mylotus" w:hAnsi="mylotus"/>
          <w:b/>
          <w:bCs/>
          <w:sz w:val="34"/>
          <w:szCs w:val="34"/>
          <w:rtl/>
        </w:rPr>
      </w:pPr>
      <w:r w:rsidRPr="008E14E2">
        <w:rPr>
          <w:rFonts w:ascii="mylotus" w:hAnsi="mylotus"/>
          <w:sz w:val="34"/>
          <w:szCs w:val="34"/>
          <w:rtl/>
        </w:rPr>
        <w:t xml:space="preserve">ثمّ قال (رحمه الله): </w:t>
      </w:r>
      <w:r w:rsidRPr="00C6770B">
        <w:rPr>
          <w:rFonts w:ascii="mylotus" w:hAnsi="mylotus"/>
          <w:b/>
          <w:bCs/>
          <w:sz w:val="34"/>
          <w:szCs w:val="34"/>
          <w:rtl/>
        </w:rPr>
        <w:t>(وهذا هو الميزان في عدم تبعض الخيار في مثل خيار تخلّف الشرط)</w:t>
      </w:r>
      <w:r w:rsidRPr="008E14E2">
        <w:rPr>
          <w:rFonts w:ascii="mylotus" w:hAnsi="mylotus"/>
          <w:sz w:val="34"/>
          <w:szCs w:val="34"/>
          <w:rtl/>
        </w:rPr>
        <w:t xml:space="preserve"> حيث</w:t>
      </w:r>
      <w:r>
        <w:rPr>
          <w:rFonts w:ascii="mylotus" w:hAnsi="mylotus" w:hint="cs"/>
          <w:sz w:val="34"/>
          <w:szCs w:val="34"/>
          <w:rtl/>
        </w:rPr>
        <w:t>ُ</w:t>
      </w:r>
      <w:r w:rsidRPr="008E14E2">
        <w:rPr>
          <w:rFonts w:ascii="mylotus" w:hAnsi="mylotus"/>
          <w:sz w:val="34"/>
          <w:szCs w:val="34"/>
          <w:rtl/>
        </w:rPr>
        <w:t xml:space="preserve"> إن</w:t>
      </w:r>
      <w:r>
        <w:rPr>
          <w:rFonts w:ascii="mylotus" w:hAnsi="mylotus" w:hint="cs"/>
          <w:sz w:val="34"/>
          <w:szCs w:val="34"/>
          <w:rtl/>
        </w:rPr>
        <w:t>ّ</w:t>
      </w:r>
      <w:r w:rsidRPr="008E14E2">
        <w:rPr>
          <w:rFonts w:ascii="mylotus" w:hAnsi="mylotus"/>
          <w:sz w:val="34"/>
          <w:szCs w:val="34"/>
          <w:rtl/>
        </w:rPr>
        <w:t xml:space="preserve"> معنى الشرط الارتكازي أنّ لَهُ حل العقد </w:t>
      </w:r>
      <w:r w:rsidRPr="00C6770B">
        <w:rPr>
          <w:rFonts w:ascii="mylotus" w:hAnsi="mylotus"/>
          <w:b/>
          <w:bCs/>
          <w:sz w:val="34"/>
          <w:szCs w:val="34"/>
          <w:rtl/>
        </w:rPr>
        <w:t>(بخلاف تخلف الحيوان كما لو باع حيواناً مع غيره صفقة واحدة، فإنَّ ظاهر الاشتراط)</w:t>
      </w:r>
      <w:r w:rsidRPr="008E14E2">
        <w:rPr>
          <w:rFonts w:ascii="mylotus" w:hAnsi="mylotus"/>
          <w:sz w:val="34"/>
          <w:szCs w:val="34"/>
          <w:rtl/>
        </w:rPr>
        <w:t xml:space="preserve"> الارتكازي لوحدة الصفقة </w:t>
      </w:r>
      <w:r w:rsidRPr="00C6770B">
        <w:rPr>
          <w:rFonts w:ascii="mylotus" w:hAnsi="mylotus"/>
          <w:b/>
          <w:bCs/>
          <w:sz w:val="34"/>
          <w:szCs w:val="34"/>
          <w:rtl/>
        </w:rPr>
        <w:t>(أنّه بلحاظ أصل العقد كقرار معاملي، بينما في خيار الحيوان يكون ظاهر الدليل جعل حق ردّ الحيوان إذا بيع مدة ثلاثة أيّام سواء بيع مستقلاً أو مع الضميمة، ومثله الخيار المجعول)</w:t>
      </w:r>
      <w:r w:rsidRPr="008E14E2">
        <w:rPr>
          <w:rFonts w:ascii="mylotus" w:hAnsi="mylotus"/>
          <w:sz w:val="34"/>
          <w:szCs w:val="34"/>
          <w:rtl/>
        </w:rPr>
        <w:t xml:space="preserve"> بالشرط </w:t>
      </w:r>
      <w:r w:rsidRPr="0082312B">
        <w:rPr>
          <w:rFonts w:ascii="mylotus" w:hAnsi="mylotus"/>
          <w:b/>
          <w:bCs/>
          <w:sz w:val="34"/>
          <w:szCs w:val="34"/>
          <w:rtl/>
        </w:rPr>
        <w:t>(من قبل المتعاملين برد المعوض بتمامه أو بأي مقدار منه، فإن هذا الشرط)</w:t>
      </w:r>
      <w:r w:rsidRPr="008E14E2">
        <w:rPr>
          <w:rFonts w:ascii="mylotus" w:hAnsi="mylotus"/>
          <w:sz w:val="34"/>
          <w:szCs w:val="34"/>
          <w:rtl/>
        </w:rPr>
        <w:t xml:space="preserve"> أي: شرط الخيار </w:t>
      </w:r>
      <w:r w:rsidRPr="0082312B">
        <w:rPr>
          <w:rFonts w:ascii="mylotus" w:hAnsi="mylotus"/>
          <w:b/>
          <w:bCs/>
          <w:sz w:val="34"/>
          <w:szCs w:val="34"/>
          <w:rtl/>
        </w:rPr>
        <w:t>(أيضاً لا يكون الخيار المجعول فيه بلحاظ أصل العقد بل بلحاظ أثره</w:t>
      </w:r>
      <w:r w:rsidRPr="0082312B">
        <w:rPr>
          <w:rFonts w:ascii="mylotus" w:hAnsi="mylotus"/>
          <w:b/>
          <w:bCs/>
          <w:sz w:val="34"/>
          <w:szCs w:val="34"/>
        </w:rPr>
        <w:t>.</w:t>
      </w:r>
    </w:p>
    <w:p w14:paraId="6E164937" w14:textId="77777777" w:rsidR="009A6D59" w:rsidRPr="0082312B" w:rsidRDefault="009A6D59" w:rsidP="009A6D59">
      <w:pPr>
        <w:pStyle w:val="a"/>
        <w:bidi/>
        <w:spacing w:line="216" w:lineRule="auto"/>
        <w:rPr>
          <w:rFonts w:ascii="mylotus" w:hAnsi="mylotus"/>
          <w:b/>
          <w:bCs/>
          <w:sz w:val="34"/>
          <w:szCs w:val="34"/>
          <w:rtl/>
        </w:rPr>
      </w:pPr>
      <w:r w:rsidRPr="0082312B">
        <w:rPr>
          <w:rFonts w:ascii="mylotus" w:hAnsi="mylotus"/>
          <w:b/>
          <w:bCs/>
          <w:sz w:val="34"/>
          <w:szCs w:val="34"/>
          <w:rtl/>
        </w:rPr>
        <w:t>وعلى هذا الأساس إذا كان فسخ الإجارة في المدة الباقية على أساس الخيار المذكور -شرط الخيار- أو على أساس خيار العيب وكان العيب مختصاً بالجزء المتأخر من المنفعة وقيل بأنّ ارتكازية اشتراط الخيار في العين لا تقتضي أكثر من حق ردّ المعيب لا فسخ العقد بتمامه، تم ما نسب إلى المشهور من عدم رجوع تمام المسمى -مع قطع النظر عن خيار تبعض الصفقة- وإلّا كما في خيار تخلّف الشرط فالصحيح فيه ما ذكره السيد الماتن (رحمه الله) وقرّبه من رجوع تمام المسمى وانفساخ الإجارة في تمام المدة ورجوع المؤجر فيما مضى من المدة إلى اُجرة المثل</w:t>
      </w:r>
      <w:r>
        <w:rPr>
          <w:rFonts w:ascii="mylotus" w:hAnsi="mylotus" w:hint="cs"/>
          <w:b/>
          <w:bCs/>
          <w:sz w:val="34"/>
          <w:szCs w:val="34"/>
          <w:rtl/>
        </w:rPr>
        <w:t>).</w:t>
      </w:r>
    </w:p>
    <w:p w14:paraId="6803C4C1" w14:textId="77777777" w:rsidR="009A6D59" w:rsidRDefault="009A6D59" w:rsidP="009A6D59">
      <w:pPr>
        <w:pStyle w:val="a"/>
        <w:bidi/>
        <w:spacing w:line="216" w:lineRule="auto"/>
        <w:rPr>
          <w:rFonts w:ascii="mylotus" w:hAnsi="mylotus"/>
          <w:sz w:val="34"/>
          <w:szCs w:val="34"/>
          <w:rtl/>
        </w:rPr>
      </w:pPr>
      <w:r w:rsidRPr="0082312B">
        <w:rPr>
          <w:rFonts w:ascii="mylotus" w:hAnsi="mylotus"/>
          <w:b/>
          <w:bCs/>
          <w:sz w:val="34"/>
          <w:szCs w:val="34"/>
          <w:rtl/>
        </w:rPr>
        <w:t>ولكن ما أفاده (رحمه الله) محلّ تأملٍ؛</w:t>
      </w:r>
      <w:r w:rsidRPr="008E14E2">
        <w:rPr>
          <w:rFonts w:ascii="mylotus" w:hAnsi="mylotus"/>
          <w:sz w:val="34"/>
          <w:szCs w:val="34"/>
          <w:rtl/>
        </w:rPr>
        <w:t xml:space="preserve"> باعتبار أنّ تنوع السلطنة م</w:t>
      </w:r>
      <w:r>
        <w:rPr>
          <w:rFonts w:ascii="mylotus" w:hAnsi="mylotus" w:hint="cs"/>
          <w:sz w:val="34"/>
          <w:szCs w:val="34"/>
          <w:rtl/>
        </w:rPr>
        <w:t>ِ</w:t>
      </w:r>
      <w:r w:rsidRPr="008E14E2">
        <w:rPr>
          <w:rFonts w:ascii="mylotus" w:hAnsi="mylotus"/>
          <w:sz w:val="34"/>
          <w:szCs w:val="34"/>
          <w:rtl/>
        </w:rPr>
        <w:t>ن كونها تارة</w:t>
      </w:r>
      <w:r>
        <w:rPr>
          <w:rFonts w:ascii="mylotus" w:hAnsi="mylotus" w:hint="cs"/>
          <w:sz w:val="34"/>
          <w:szCs w:val="34"/>
          <w:rtl/>
        </w:rPr>
        <w:t>ً</w:t>
      </w:r>
      <w:r w:rsidRPr="008E14E2">
        <w:rPr>
          <w:rFonts w:ascii="mylotus" w:hAnsi="mylotus"/>
          <w:sz w:val="34"/>
          <w:szCs w:val="34"/>
          <w:rtl/>
        </w:rPr>
        <w:t xml:space="preserve"> بمعنى رفع اليد عن الالتزام وأ</w:t>
      </w:r>
      <w:r>
        <w:rPr>
          <w:rFonts w:ascii="mylotus" w:hAnsi="mylotus" w:hint="cs"/>
          <w:sz w:val="34"/>
          <w:szCs w:val="34"/>
          <w:rtl/>
        </w:rPr>
        <w:t>ُ</w:t>
      </w:r>
      <w:r w:rsidRPr="008E14E2">
        <w:rPr>
          <w:rFonts w:ascii="mylotus" w:hAnsi="mylotus"/>
          <w:sz w:val="34"/>
          <w:szCs w:val="34"/>
          <w:rtl/>
        </w:rPr>
        <w:t>خرى بمعنى حقّ ردّ العين مرتبط بالفرق بين كون العقد عقدا</w:t>
      </w:r>
      <w:r>
        <w:rPr>
          <w:rFonts w:ascii="mylotus" w:hAnsi="mylotus" w:hint="cs"/>
          <w:sz w:val="34"/>
          <w:szCs w:val="34"/>
          <w:rtl/>
        </w:rPr>
        <w:t>ً</w:t>
      </w:r>
      <w:r w:rsidRPr="008E14E2">
        <w:rPr>
          <w:rFonts w:ascii="mylotus" w:hAnsi="mylotus"/>
          <w:sz w:val="34"/>
          <w:szCs w:val="34"/>
          <w:rtl/>
        </w:rPr>
        <w:t xml:space="preserve"> جائزا</w:t>
      </w:r>
      <w:r>
        <w:rPr>
          <w:rFonts w:ascii="mylotus" w:hAnsi="mylotus" w:hint="cs"/>
          <w:sz w:val="34"/>
          <w:szCs w:val="34"/>
          <w:rtl/>
        </w:rPr>
        <w:t>ً</w:t>
      </w:r>
      <w:r w:rsidRPr="008E14E2">
        <w:rPr>
          <w:rFonts w:ascii="mylotus" w:hAnsi="mylotus"/>
          <w:sz w:val="34"/>
          <w:szCs w:val="34"/>
          <w:rtl/>
        </w:rPr>
        <w:t xml:space="preserve"> وثبوت الخيار</w:t>
      </w:r>
      <w:r>
        <w:rPr>
          <w:rFonts w:ascii="mylotus" w:hAnsi="mylotus" w:hint="cs"/>
          <w:sz w:val="34"/>
          <w:szCs w:val="34"/>
          <w:rtl/>
        </w:rPr>
        <w:t>.</w:t>
      </w:r>
    </w:p>
    <w:p w14:paraId="73A01107" w14:textId="77777777" w:rsidR="009A6D59" w:rsidRPr="008E14E2" w:rsidRDefault="009A6D59" w:rsidP="009A6D59">
      <w:pPr>
        <w:pStyle w:val="a"/>
        <w:bidi/>
        <w:spacing w:line="216" w:lineRule="auto"/>
        <w:rPr>
          <w:rFonts w:ascii="mylotus" w:hAnsi="mylotus"/>
          <w:sz w:val="34"/>
          <w:szCs w:val="34"/>
          <w:rtl/>
        </w:rPr>
      </w:pPr>
      <w:r w:rsidRPr="0082312B">
        <w:rPr>
          <w:rFonts w:ascii="mylotus" w:hAnsi="mylotus"/>
          <w:b/>
          <w:bCs/>
          <w:sz w:val="34"/>
          <w:szCs w:val="34"/>
          <w:rtl/>
        </w:rPr>
        <w:t>أو</w:t>
      </w:r>
      <w:r w:rsidRPr="0082312B">
        <w:rPr>
          <w:rFonts w:ascii="mylotus" w:hAnsi="mylotus" w:hint="cs"/>
          <w:b/>
          <w:bCs/>
          <w:sz w:val="34"/>
          <w:szCs w:val="34"/>
          <w:rtl/>
        </w:rPr>
        <w:t xml:space="preserve"> </w:t>
      </w:r>
      <w:r w:rsidRPr="0082312B">
        <w:rPr>
          <w:rFonts w:ascii="mylotus" w:hAnsi="mylotus"/>
          <w:b/>
          <w:bCs/>
          <w:sz w:val="34"/>
          <w:szCs w:val="34"/>
          <w:rtl/>
        </w:rPr>
        <w:t>فق</w:t>
      </w:r>
      <w:r w:rsidRPr="0082312B">
        <w:rPr>
          <w:rFonts w:ascii="mylotus" w:hAnsi="mylotus" w:hint="cs"/>
          <w:b/>
          <w:bCs/>
          <w:sz w:val="34"/>
          <w:szCs w:val="34"/>
          <w:rtl/>
        </w:rPr>
        <w:t>ُ</w:t>
      </w:r>
      <w:r w:rsidRPr="0082312B">
        <w:rPr>
          <w:rFonts w:ascii="mylotus" w:hAnsi="mylotus"/>
          <w:b/>
          <w:bCs/>
          <w:sz w:val="34"/>
          <w:szCs w:val="34"/>
          <w:rtl/>
        </w:rPr>
        <w:t>ل</w:t>
      </w:r>
      <w:r w:rsidRPr="0082312B">
        <w:rPr>
          <w:rFonts w:ascii="mylotus" w:hAnsi="mylotus" w:hint="cs"/>
          <w:b/>
          <w:bCs/>
          <w:sz w:val="34"/>
          <w:szCs w:val="34"/>
          <w:rtl/>
        </w:rPr>
        <w:t>:</w:t>
      </w:r>
      <w:r w:rsidRPr="008E14E2">
        <w:rPr>
          <w:rFonts w:ascii="mylotus" w:hAnsi="mylotus"/>
          <w:sz w:val="34"/>
          <w:szCs w:val="34"/>
          <w:rtl/>
        </w:rPr>
        <w:t xml:space="preserve"> </w:t>
      </w:r>
      <w:proofErr w:type="gramStart"/>
      <w:r w:rsidRPr="008E14E2">
        <w:rPr>
          <w:rFonts w:ascii="mylotus" w:hAnsi="mylotus"/>
          <w:sz w:val="34"/>
          <w:szCs w:val="34"/>
          <w:rtl/>
        </w:rPr>
        <w:t>بين  الجواز</w:t>
      </w:r>
      <w:proofErr w:type="gramEnd"/>
      <w:r w:rsidRPr="008E14E2">
        <w:rPr>
          <w:rFonts w:ascii="mylotus" w:hAnsi="mylotus"/>
          <w:sz w:val="34"/>
          <w:szCs w:val="34"/>
          <w:rtl/>
        </w:rPr>
        <w:t xml:space="preserve"> الحقّي والجواز الحكمي</w:t>
      </w:r>
      <w:r>
        <w:rPr>
          <w:rFonts w:ascii="mylotus" w:hAnsi="mylotus" w:hint="cs"/>
          <w:sz w:val="34"/>
          <w:szCs w:val="34"/>
          <w:rtl/>
        </w:rPr>
        <w:t>؛</w:t>
      </w:r>
      <w:r w:rsidRPr="008E14E2">
        <w:rPr>
          <w:rFonts w:ascii="mylotus" w:hAnsi="mylotus"/>
          <w:sz w:val="34"/>
          <w:szCs w:val="34"/>
          <w:rtl/>
        </w:rPr>
        <w:t xml:space="preserve"> حيث</w:t>
      </w:r>
      <w:r>
        <w:rPr>
          <w:rFonts w:ascii="mylotus" w:hAnsi="mylotus" w:hint="cs"/>
          <w:sz w:val="34"/>
          <w:szCs w:val="34"/>
          <w:rtl/>
        </w:rPr>
        <w:t>ُ</w:t>
      </w:r>
      <w:r w:rsidRPr="008E14E2">
        <w:rPr>
          <w:rFonts w:ascii="mylotus" w:hAnsi="mylotus"/>
          <w:sz w:val="34"/>
          <w:szCs w:val="34"/>
          <w:rtl/>
        </w:rPr>
        <w:t xml:space="preserve"> إن</w:t>
      </w:r>
      <w:r>
        <w:rPr>
          <w:rFonts w:ascii="mylotus" w:hAnsi="mylotus" w:hint="cs"/>
          <w:sz w:val="34"/>
          <w:szCs w:val="34"/>
          <w:rtl/>
        </w:rPr>
        <w:t>ّ</w:t>
      </w:r>
      <w:r w:rsidRPr="008E14E2">
        <w:rPr>
          <w:rFonts w:ascii="mylotus" w:hAnsi="mylotus"/>
          <w:sz w:val="34"/>
          <w:szCs w:val="34"/>
          <w:rtl/>
        </w:rPr>
        <w:t xml:space="preserve"> حقيقة الجواز الحق</w:t>
      </w:r>
      <w:r>
        <w:rPr>
          <w:rFonts w:ascii="mylotus" w:hAnsi="mylotus" w:hint="cs"/>
          <w:sz w:val="34"/>
          <w:szCs w:val="34"/>
          <w:rtl/>
        </w:rPr>
        <w:t>ّ</w:t>
      </w:r>
      <w:r w:rsidRPr="008E14E2">
        <w:rPr>
          <w:rFonts w:ascii="mylotus" w:hAnsi="mylotus"/>
          <w:sz w:val="34"/>
          <w:szCs w:val="34"/>
          <w:rtl/>
        </w:rPr>
        <w:t>ي لدى العرف العقلائي هو السلطنة على ال</w:t>
      </w:r>
      <w:r>
        <w:rPr>
          <w:rFonts w:ascii="mylotus" w:hAnsi="mylotus" w:hint="cs"/>
          <w:sz w:val="34"/>
          <w:szCs w:val="34"/>
          <w:rtl/>
        </w:rPr>
        <w:t>ا</w:t>
      </w:r>
      <w:r w:rsidRPr="008E14E2">
        <w:rPr>
          <w:rFonts w:ascii="mylotus" w:hAnsi="mylotus"/>
          <w:sz w:val="34"/>
          <w:szCs w:val="34"/>
          <w:rtl/>
        </w:rPr>
        <w:t>لتزام، وحقيقة الجواز الحكمي هو حق</w:t>
      </w:r>
      <w:r>
        <w:rPr>
          <w:rFonts w:ascii="mylotus" w:hAnsi="mylotus" w:hint="cs"/>
          <w:sz w:val="34"/>
          <w:szCs w:val="34"/>
          <w:rtl/>
        </w:rPr>
        <w:t>ّ</w:t>
      </w:r>
      <w:r w:rsidRPr="008E14E2">
        <w:rPr>
          <w:rFonts w:ascii="mylotus" w:hAnsi="mylotus"/>
          <w:sz w:val="34"/>
          <w:szCs w:val="34"/>
          <w:rtl/>
        </w:rPr>
        <w:t xml:space="preserve"> رد</w:t>
      </w:r>
      <w:r>
        <w:rPr>
          <w:rFonts w:ascii="mylotus" w:hAnsi="mylotus" w:hint="cs"/>
          <w:sz w:val="34"/>
          <w:szCs w:val="34"/>
          <w:rtl/>
        </w:rPr>
        <w:t>ّ</w:t>
      </w:r>
      <w:r w:rsidRPr="008E14E2">
        <w:rPr>
          <w:rFonts w:ascii="mylotus" w:hAnsi="mylotus"/>
          <w:sz w:val="34"/>
          <w:szCs w:val="34"/>
          <w:rtl/>
        </w:rPr>
        <w:t xml:space="preserve"> العين، لا أنّ الجواز الحقّي على نوعين</w:t>
      </w:r>
      <w:r>
        <w:rPr>
          <w:rFonts w:ascii="mylotus" w:hAnsi="mylotus" w:hint="cs"/>
          <w:sz w:val="34"/>
          <w:szCs w:val="34"/>
          <w:rtl/>
        </w:rPr>
        <w:t>؛</w:t>
      </w:r>
      <w:r w:rsidRPr="008E14E2">
        <w:rPr>
          <w:rFonts w:ascii="mylotus" w:hAnsi="mylotus"/>
          <w:sz w:val="34"/>
          <w:szCs w:val="34"/>
          <w:rtl/>
        </w:rPr>
        <w:t xml:space="preserve"> فإن</w:t>
      </w:r>
      <w:r>
        <w:rPr>
          <w:rFonts w:ascii="mylotus" w:hAnsi="mylotus" w:hint="cs"/>
          <w:sz w:val="34"/>
          <w:szCs w:val="34"/>
          <w:rtl/>
        </w:rPr>
        <w:t>ّ</w:t>
      </w:r>
      <w:r w:rsidRPr="008E14E2">
        <w:rPr>
          <w:rFonts w:ascii="mylotus" w:hAnsi="mylotus"/>
          <w:sz w:val="34"/>
          <w:szCs w:val="34"/>
          <w:rtl/>
        </w:rPr>
        <w:t xml:space="preserve"> الخيار لدى العقلاء حقيقة عرفية واحدة وهي السلطنة على الالتزام بإبقائه أو رفعه، كما</w:t>
      </w:r>
      <w:r>
        <w:rPr>
          <w:rFonts w:ascii="mylotus" w:hAnsi="mylotus" w:hint="cs"/>
          <w:sz w:val="34"/>
          <w:szCs w:val="34"/>
          <w:rtl/>
        </w:rPr>
        <w:t xml:space="preserve"> </w:t>
      </w:r>
      <w:r w:rsidRPr="008E14E2">
        <w:rPr>
          <w:rFonts w:ascii="mylotus" w:hAnsi="mylotus"/>
          <w:sz w:val="34"/>
          <w:szCs w:val="34"/>
          <w:rtl/>
        </w:rPr>
        <w:t>أن</w:t>
      </w:r>
      <w:r>
        <w:rPr>
          <w:rFonts w:ascii="mylotus" w:hAnsi="mylotus" w:hint="cs"/>
          <w:sz w:val="34"/>
          <w:szCs w:val="34"/>
          <w:rtl/>
        </w:rPr>
        <w:t>ّ</w:t>
      </w:r>
      <w:r w:rsidRPr="008E14E2">
        <w:rPr>
          <w:rFonts w:ascii="mylotus" w:hAnsi="mylotus"/>
          <w:sz w:val="34"/>
          <w:szCs w:val="34"/>
          <w:rtl/>
        </w:rPr>
        <w:t xml:space="preserve"> الجواز الحكمي -كما في عقد الهبة- هو بمعنى حقّ ردّ العي</w:t>
      </w:r>
      <w:r>
        <w:rPr>
          <w:rFonts w:ascii="mylotus" w:hAnsi="mylotus" w:hint="cs"/>
          <w:sz w:val="34"/>
          <w:szCs w:val="34"/>
          <w:rtl/>
        </w:rPr>
        <w:t>ن.</w:t>
      </w:r>
    </w:p>
    <w:p w14:paraId="5EBA2F7B" w14:textId="77777777" w:rsidR="009A6D59" w:rsidRPr="008E14E2" w:rsidRDefault="009A6D59" w:rsidP="009A6D59">
      <w:pPr>
        <w:pStyle w:val="a"/>
        <w:bidi/>
        <w:spacing w:line="216" w:lineRule="auto"/>
        <w:rPr>
          <w:rFonts w:ascii="mylotus" w:hAnsi="mylotus"/>
          <w:sz w:val="34"/>
          <w:szCs w:val="34"/>
          <w:rtl/>
        </w:rPr>
      </w:pPr>
      <w:r w:rsidRPr="008E14E2">
        <w:rPr>
          <w:rFonts w:ascii="mylotus" w:hAnsi="mylotus"/>
          <w:sz w:val="34"/>
          <w:szCs w:val="34"/>
          <w:rtl/>
        </w:rPr>
        <w:t>ما</w:t>
      </w:r>
      <w:r>
        <w:rPr>
          <w:rFonts w:ascii="mylotus" w:hAnsi="mylotus" w:hint="cs"/>
          <w:sz w:val="34"/>
          <w:szCs w:val="34"/>
          <w:rtl/>
        </w:rPr>
        <w:t xml:space="preserve"> </w:t>
      </w:r>
      <w:r w:rsidRPr="008E14E2">
        <w:rPr>
          <w:rFonts w:ascii="mylotus" w:hAnsi="mylotus"/>
          <w:sz w:val="34"/>
          <w:szCs w:val="34"/>
          <w:rtl/>
        </w:rPr>
        <w:t>ل</w:t>
      </w:r>
      <w:r>
        <w:rPr>
          <w:rFonts w:ascii="mylotus" w:hAnsi="mylotus" w:hint="cs"/>
          <w:sz w:val="34"/>
          <w:szCs w:val="34"/>
          <w:rtl/>
        </w:rPr>
        <w:t>َ</w:t>
      </w:r>
      <w:r w:rsidRPr="008E14E2">
        <w:rPr>
          <w:rFonts w:ascii="mylotus" w:hAnsi="mylotus"/>
          <w:sz w:val="34"/>
          <w:szCs w:val="34"/>
          <w:rtl/>
        </w:rPr>
        <w:t>م</w:t>
      </w:r>
      <w:r>
        <w:rPr>
          <w:rFonts w:ascii="mylotus" w:hAnsi="mylotus" w:hint="cs"/>
          <w:sz w:val="34"/>
          <w:szCs w:val="34"/>
          <w:rtl/>
        </w:rPr>
        <w:t>ْ</w:t>
      </w:r>
      <w:r w:rsidRPr="008E14E2">
        <w:rPr>
          <w:rFonts w:ascii="mylotus" w:hAnsi="mylotus"/>
          <w:sz w:val="34"/>
          <w:szCs w:val="34"/>
          <w:rtl/>
        </w:rPr>
        <w:t xml:space="preserve"> يقم دليل خاص</w:t>
      </w:r>
      <w:r>
        <w:rPr>
          <w:rFonts w:ascii="mylotus" w:hAnsi="mylotus" w:hint="cs"/>
          <w:sz w:val="34"/>
          <w:szCs w:val="34"/>
          <w:rtl/>
        </w:rPr>
        <w:t>ّ</w:t>
      </w:r>
      <w:r w:rsidRPr="008E14E2">
        <w:rPr>
          <w:rFonts w:ascii="mylotus" w:hAnsi="mylotus"/>
          <w:sz w:val="34"/>
          <w:szCs w:val="34"/>
          <w:rtl/>
        </w:rPr>
        <w:t xml:space="preserve"> على خلاف ذلك، كما </w:t>
      </w:r>
      <w:r>
        <w:rPr>
          <w:rFonts w:ascii="mylotus" w:hAnsi="mylotus" w:hint="cs"/>
          <w:sz w:val="34"/>
          <w:szCs w:val="34"/>
          <w:rtl/>
        </w:rPr>
        <w:t>ا</w:t>
      </w:r>
      <w:r w:rsidRPr="008E14E2">
        <w:rPr>
          <w:rFonts w:ascii="mylotus" w:hAnsi="mylotus"/>
          <w:sz w:val="34"/>
          <w:szCs w:val="34"/>
          <w:rtl/>
        </w:rPr>
        <w:t xml:space="preserve">دعي في خيار الحيوان، وإلّا فالمرتَكز العقلائي أنّ الخيار </w:t>
      </w:r>
      <w:r>
        <w:rPr>
          <w:rFonts w:ascii="mylotus" w:hAnsi="mylotus" w:hint="cs"/>
          <w:sz w:val="34"/>
          <w:szCs w:val="34"/>
          <w:rtl/>
        </w:rPr>
        <w:t>-</w:t>
      </w:r>
      <w:r w:rsidRPr="008E14E2">
        <w:rPr>
          <w:rFonts w:ascii="mylotus" w:hAnsi="mylotus"/>
          <w:sz w:val="34"/>
          <w:szCs w:val="34"/>
          <w:rtl/>
        </w:rPr>
        <w:t>أي: الجواز الحقّي</w:t>
      </w:r>
      <w:r>
        <w:rPr>
          <w:rFonts w:ascii="mylotus" w:hAnsi="mylotus" w:hint="cs"/>
          <w:sz w:val="34"/>
          <w:szCs w:val="34"/>
          <w:rtl/>
        </w:rPr>
        <w:t>-</w:t>
      </w:r>
      <w:r w:rsidRPr="008E14E2">
        <w:rPr>
          <w:rFonts w:ascii="mylotus" w:hAnsi="mylotus"/>
          <w:sz w:val="34"/>
          <w:szCs w:val="34"/>
          <w:rtl/>
        </w:rPr>
        <w:t xml:space="preserve"> هو السلطنة على الالتزا</w:t>
      </w:r>
      <w:r>
        <w:rPr>
          <w:rFonts w:ascii="mylotus" w:hAnsi="mylotus" w:hint="cs"/>
          <w:sz w:val="34"/>
          <w:szCs w:val="34"/>
          <w:rtl/>
        </w:rPr>
        <w:t>م.</w:t>
      </w:r>
    </w:p>
    <w:p w14:paraId="27BC57EE" w14:textId="77777777" w:rsidR="009A6D59" w:rsidRDefault="009A6D59" w:rsidP="009A6D59">
      <w:pPr>
        <w:pStyle w:val="a"/>
        <w:bidi/>
        <w:spacing w:line="216" w:lineRule="auto"/>
        <w:rPr>
          <w:rFonts w:ascii="mylotus" w:hAnsi="mylotus"/>
          <w:sz w:val="34"/>
          <w:szCs w:val="34"/>
          <w:rtl/>
        </w:rPr>
      </w:pPr>
      <w:r w:rsidRPr="008E14E2">
        <w:rPr>
          <w:rFonts w:ascii="mylotus" w:hAnsi="mylotus"/>
          <w:sz w:val="34"/>
          <w:szCs w:val="34"/>
          <w:rtl/>
        </w:rPr>
        <w:lastRenderedPageBreak/>
        <w:t>ولعله لهذا لَمْ يفصل كلا الفريقين في المقام لا المشهور ولا الأعلام الذين قالوا بفسخ أصل العقد، بل أنْ الخيار في المقام -وهو باب إجارة الأعيان بعد استيفاء قسم</w:t>
      </w:r>
      <w:r>
        <w:rPr>
          <w:rFonts w:ascii="mylotus" w:hAnsi="mylotus" w:hint="cs"/>
          <w:sz w:val="34"/>
          <w:szCs w:val="34"/>
          <w:rtl/>
        </w:rPr>
        <w:t>ٍ</w:t>
      </w:r>
      <w:r w:rsidRPr="008E14E2">
        <w:rPr>
          <w:rFonts w:ascii="mylotus" w:hAnsi="mylotus"/>
          <w:sz w:val="34"/>
          <w:szCs w:val="34"/>
          <w:rtl/>
        </w:rPr>
        <w:t xml:space="preserve"> م</w:t>
      </w:r>
      <w:r>
        <w:rPr>
          <w:rFonts w:ascii="mylotus" w:hAnsi="mylotus" w:hint="cs"/>
          <w:sz w:val="34"/>
          <w:szCs w:val="34"/>
          <w:rtl/>
        </w:rPr>
        <w:t>ِ</w:t>
      </w:r>
      <w:r w:rsidRPr="008E14E2">
        <w:rPr>
          <w:rFonts w:ascii="mylotus" w:hAnsi="mylotus"/>
          <w:sz w:val="34"/>
          <w:szCs w:val="34"/>
          <w:rtl/>
        </w:rPr>
        <w:t>ن الم</w:t>
      </w:r>
      <w:r>
        <w:rPr>
          <w:rFonts w:ascii="mylotus" w:hAnsi="mylotus" w:hint="cs"/>
          <w:sz w:val="34"/>
          <w:szCs w:val="34"/>
          <w:rtl/>
        </w:rPr>
        <w:t>ن</w:t>
      </w:r>
      <w:r w:rsidRPr="008E14E2">
        <w:rPr>
          <w:rFonts w:ascii="mylotus" w:hAnsi="mylotus"/>
          <w:sz w:val="34"/>
          <w:szCs w:val="34"/>
          <w:rtl/>
        </w:rPr>
        <w:t>فعة- إم</w:t>
      </w:r>
      <w:r>
        <w:rPr>
          <w:rFonts w:ascii="mylotus" w:hAnsi="mylotus" w:hint="cs"/>
          <w:sz w:val="34"/>
          <w:szCs w:val="34"/>
          <w:rtl/>
        </w:rPr>
        <w:t>ّ</w:t>
      </w:r>
      <w:r w:rsidRPr="008E14E2">
        <w:rPr>
          <w:rFonts w:ascii="mylotus" w:hAnsi="mylotus"/>
          <w:sz w:val="34"/>
          <w:szCs w:val="34"/>
          <w:rtl/>
        </w:rPr>
        <w:t>ا بنحو التقسيط، كما ذهب ل</w:t>
      </w:r>
      <w:r>
        <w:rPr>
          <w:rFonts w:ascii="mylotus" w:hAnsi="mylotus" w:hint="cs"/>
          <w:sz w:val="34"/>
          <w:szCs w:val="34"/>
          <w:rtl/>
        </w:rPr>
        <w:t>َ</w:t>
      </w:r>
      <w:r w:rsidRPr="008E14E2">
        <w:rPr>
          <w:rFonts w:ascii="mylotus" w:hAnsi="mylotus"/>
          <w:sz w:val="34"/>
          <w:szCs w:val="34"/>
          <w:rtl/>
        </w:rPr>
        <w:t>ه</w:t>
      </w:r>
      <w:r>
        <w:rPr>
          <w:rFonts w:ascii="mylotus" w:hAnsi="mylotus" w:hint="cs"/>
          <w:sz w:val="34"/>
          <w:szCs w:val="34"/>
          <w:rtl/>
        </w:rPr>
        <w:t>ُ</w:t>
      </w:r>
      <w:r w:rsidRPr="008E14E2">
        <w:rPr>
          <w:rFonts w:ascii="mylotus" w:hAnsi="mylotus"/>
          <w:sz w:val="34"/>
          <w:szCs w:val="34"/>
          <w:rtl/>
        </w:rPr>
        <w:t xml:space="preserve"> المشهور لخصوصية</w:t>
      </w:r>
      <w:r>
        <w:rPr>
          <w:rFonts w:ascii="mylotus" w:hAnsi="mylotus" w:hint="cs"/>
          <w:sz w:val="34"/>
          <w:szCs w:val="34"/>
          <w:rtl/>
        </w:rPr>
        <w:t>ٍ</w:t>
      </w:r>
      <w:r w:rsidRPr="008E14E2">
        <w:rPr>
          <w:rFonts w:ascii="mylotus" w:hAnsi="mylotus"/>
          <w:sz w:val="34"/>
          <w:szCs w:val="34"/>
          <w:rtl/>
        </w:rPr>
        <w:t xml:space="preserve"> في هذا القسم، أو هو باق</w:t>
      </w:r>
      <w:r>
        <w:rPr>
          <w:rFonts w:ascii="mylotus" w:hAnsi="mylotus" w:hint="cs"/>
          <w:sz w:val="34"/>
          <w:szCs w:val="34"/>
          <w:rtl/>
        </w:rPr>
        <w:t>ٍ</w:t>
      </w:r>
      <w:r w:rsidRPr="008E14E2">
        <w:rPr>
          <w:rFonts w:ascii="mylotus" w:hAnsi="mylotus"/>
          <w:sz w:val="34"/>
          <w:szCs w:val="34"/>
          <w:rtl/>
        </w:rPr>
        <w:t xml:space="preserve"> على مقتضاه العرفي م</w:t>
      </w:r>
      <w:r>
        <w:rPr>
          <w:rFonts w:ascii="mylotus" w:hAnsi="mylotus" w:hint="cs"/>
          <w:sz w:val="34"/>
          <w:szCs w:val="34"/>
          <w:rtl/>
        </w:rPr>
        <w:t>ِ</w:t>
      </w:r>
      <w:r w:rsidRPr="008E14E2">
        <w:rPr>
          <w:rFonts w:ascii="mylotus" w:hAnsi="mylotus"/>
          <w:sz w:val="34"/>
          <w:szCs w:val="34"/>
          <w:rtl/>
        </w:rPr>
        <w:t>ن السلطنة على الالتزام</w:t>
      </w:r>
      <w:r w:rsidRPr="008E14E2">
        <w:rPr>
          <w:rFonts w:ascii="mylotus" w:hAnsi="mylotus"/>
          <w:sz w:val="34"/>
          <w:szCs w:val="34"/>
        </w:rPr>
        <w:t>.</w:t>
      </w:r>
    </w:p>
    <w:p w14:paraId="7F85FB8E" w14:textId="77777777" w:rsidR="009A6D59" w:rsidRPr="008E14E2" w:rsidRDefault="009A6D59" w:rsidP="009A6D59">
      <w:pPr>
        <w:pStyle w:val="a"/>
        <w:bidi/>
        <w:spacing w:line="216" w:lineRule="auto"/>
        <w:rPr>
          <w:rFonts w:ascii="mylotus" w:hAnsi="mylotus"/>
          <w:sz w:val="34"/>
          <w:szCs w:val="34"/>
          <w:rtl/>
        </w:rPr>
      </w:pPr>
      <w:r w:rsidRPr="0082312B">
        <w:rPr>
          <w:rFonts w:ascii="mylotus" w:hAnsi="mylotus"/>
          <w:b/>
          <w:bCs/>
          <w:sz w:val="34"/>
          <w:szCs w:val="34"/>
          <w:rtl/>
        </w:rPr>
        <w:t>والحاصل: أنّ الصحيح:</w:t>
      </w:r>
      <w:r w:rsidRPr="008E14E2">
        <w:rPr>
          <w:rFonts w:ascii="mylotus" w:hAnsi="mylotus"/>
          <w:sz w:val="34"/>
          <w:szCs w:val="34"/>
          <w:rtl/>
        </w:rPr>
        <w:t xml:space="preserve"> هو ثبوت</w:t>
      </w:r>
      <w:r>
        <w:rPr>
          <w:rFonts w:ascii="mylotus" w:hAnsi="mylotus" w:hint="cs"/>
          <w:sz w:val="34"/>
          <w:szCs w:val="34"/>
          <w:rtl/>
        </w:rPr>
        <w:t>ُ</w:t>
      </w:r>
      <w:r w:rsidRPr="008E14E2">
        <w:rPr>
          <w:rFonts w:ascii="mylotus" w:hAnsi="mylotus"/>
          <w:sz w:val="34"/>
          <w:szCs w:val="34"/>
          <w:rtl/>
        </w:rPr>
        <w:t xml:space="preserve"> السلطنة على الجامع بينهما</w:t>
      </w:r>
      <w:r>
        <w:rPr>
          <w:rFonts w:ascii="mylotus" w:hAnsi="mylotus" w:hint="cs"/>
          <w:sz w:val="34"/>
          <w:szCs w:val="34"/>
          <w:rtl/>
        </w:rPr>
        <w:t>.</w:t>
      </w:r>
    </w:p>
    <w:p w14:paraId="52107C55" w14:textId="77777777" w:rsidR="009A6D59" w:rsidRPr="00A17B4E" w:rsidRDefault="009A6D59" w:rsidP="009A6D59">
      <w:pPr>
        <w:pStyle w:val="a"/>
        <w:bidi/>
        <w:spacing w:line="216" w:lineRule="auto"/>
        <w:rPr>
          <w:rFonts w:ascii="mylotus" w:hAnsi="mylotus"/>
          <w:sz w:val="34"/>
          <w:szCs w:val="34"/>
          <w:rtl/>
        </w:rPr>
      </w:pPr>
    </w:p>
    <w:p w14:paraId="5D7EAB8F" w14:textId="77777777" w:rsidR="009A6D59" w:rsidRPr="005E03C1" w:rsidRDefault="009A6D59" w:rsidP="009A6D59">
      <w:pPr>
        <w:pStyle w:val="a"/>
        <w:bidi/>
        <w:spacing w:line="216" w:lineRule="auto"/>
        <w:jc w:val="center"/>
        <w:rPr>
          <w:rFonts w:ascii="mylotus" w:hAnsi="mylotus"/>
          <w:b/>
          <w:bCs/>
          <w:sz w:val="34"/>
          <w:szCs w:val="34"/>
        </w:rPr>
      </w:pPr>
      <w:r w:rsidRPr="005E03C1">
        <w:rPr>
          <w:rFonts w:ascii="mylotus" w:hAnsi="mylotus"/>
          <w:b/>
          <w:bCs/>
          <w:sz w:val="34"/>
          <w:szCs w:val="34"/>
          <w:rtl/>
        </w:rPr>
        <w:t>والحمد لله رب العالمين</w:t>
      </w:r>
    </w:p>
    <w:p w14:paraId="30B3C0B5" w14:textId="77777777" w:rsidR="009A6D59" w:rsidRDefault="009A6D59" w:rsidP="009A6D59">
      <w:pPr>
        <w:bidi/>
        <w:rPr>
          <w:sz w:val="32"/>
          <w:szCs w:val="32"/>
          <w:rtl/>
        </w:rPr>
      </w:pPr>
    </w:p>
    <w:p w14:paraId="01D13D5A" w14:textId="77777777" w:rsidR="00CC276F" w:rsidRDefault="00CC276F" w:rsidP="00CC276F">
      <w:pPr>
        <w:bidi/>
        <w:rPr>
          <w:sz w:val="32"/>
          <w:szCs w:val="32"/>
          <w:rtl/>
        </w:rPr>
      </w:pPr>
    </w:p>
    <w:p w14:paraId="40F1BFB2" w14:textId="5C83111A" w:rsidR="00CC276F" w:rsidRDefault="00CC276F" w:rsidP="00CC276F">
      <w:pPr>
        <w:pStyle w:val="Heading3"/>
        <w:bidi/>
        <w:rPr>
          <w:sz w:val="32"/>
          <w:szCs w:val="32"/>
          <w:rtl/>
        </w:rPr>
      </w:pPr>
      <w:r>
        <w:rPr>
          <w:rFonts w:hint="cs"/>
          <w:sz w:val="32"/>
          <w:szCs w:val="32"/>
          <w:rtl/>
        </w:rPr>
        <w:t>345</w:t>
      </w:r>
    </w:p>
    <w:p w14:paraId="040910DB" w14:textId="77777777" w:rsidR="00C6654A" w:rsidRPr="005E03C1" w:rsidRDefault="00C6654A" w:rsidP="00C6654A">
      <w:pPr>
        <w:pStyle w:val="a"/>
        <w:bidi/>
        <w:spacing w:line="216" w:lineRule="auto"/>
        <w:jc w:val="center"/>
        <w:rPr>
          <w:rFonts w:ascii="mylotus" w:hAnsi="mylotus"/>
          <w:b/>
          <w:bCs/>
          <w:sz w:val="34"/>
          <w:szCs w:val="34"/>
          <w:rtl/>
        </w:rPr>
      </w:pPr>
      <w:r w:rsidRPr="005E03C1">
        <w:rPr>
          <w:rFonts w:ascii="mylotus" w:hAnsi="mylotus"/>
          <w:b/>
          <w:bCs/>
          <w:sz w:val="34"/>
          <w:szCs w:val="34"/>
          <w:rtl/>
        </w:rPr>
        <w:t>بسم الله الرحمن الرحيم</w:t>
      </w:r>
    </w:p>
    <w:p w14:paraId="6AD859D4" w14:textId="77777777" w:rsidR="00C6654A" w:rsidRPr="005E03C1" w:rsidRDefault="00C6654A" w:rsidP="00C6654A">
      <w:pPr>
        <w:pStyle w:val="a"/>
        <w:bidi/>
        <w:spacing w:line="216" w:lineRule="auto"/>
        <w:jc w:val="center"/>
        <w:rPr>
          <w:rFonts w:ascii="mylotus" w:hAnsi="mylotus"/>
          <w:b/>
          <w:bCs/>
          <w:sz w:val="34"/>
          <w:szCs w:val="34"/>
          <w:rtl/>
        </w:rPr>
      </w:pPr>
      <w:r w:rsidRPr="005E03C1">
        <w:rPr>
          <w:rFonts w:ascii="mylotus" w:hAnsi="mylotus"/>
          <w:b/>
          <w:bCs/>
          <w:sz w:val="34"/>
          <w:szCs w:val="34"/>
          <w:rtl/>
        </w:rPr>
        <w:t>والصلاة والسلام على أشرف الأنبياء والمرسلين، محمد وآله الطيبين الطاهرين</w:t>
      </w:r>
    </w:p>
    <w:p w14:paraId="08FB03AB" w14:textId="77777777" w:rsidR="00C6654A" w:rsidRDefault="00C6654A" w:rsidP="00C6654A">
      <w:pPr>
        <w:pStyle w:val="a"/>
        <w:bidi/>
        <w:spacing w:line="216" w:lineRule="auto"/>
        <w:jc w:val="center"/>
        <w:rPr>
          <w:rFonts w:ascii="mylotus" w:hAnsi="mylotus"/>
          <w:sz w:val="34"/>
          <w:szCs w:val="34"/>
          <w:rtl/>
        </w:rPr>
      </w:pPr>
      <w:r w:rsidRPr="005E03C1">
        <w:rPr>
          <w:rFonts w:ascii="mylotus" w:hAnsi="mylotus"/>
          <w:b/>
          <w:bCs/>
          <w:sz w:val="34"/>
          <w:szCs w:val="34"/>
          <w:rtl/>
        </w:rPr>
        <w:t>واللعن الدائم على أعدائهم أجمعين إلى قيام يوم الدين</w:t>
      </w:r>
    </w:p>
    <w:p w14:paraId="20C86F18" w14:textId="77777777" w:rsidR="00C6654A" w:rsidRPr="00B9009D" w:rsidRDefault="00C6654A" w:rsidP="00C6654A">
      <w:pPr>
        <w:pStyle w:val="a"/>
        <w:bidi/>
        <w:spacing w:line="216" w:lineRule="auto"/>
        <w:ind w:firstLine="0"/>
        <w:rPr>
          <w:rFonts w:ascii="mylotus" w:hAnsi="mylotus"/>
          <w:sz w:val="34"/>
          <w:szCs w:val="34"/>
          <w:rtl/>
        </w:rPr>
      </w:pPr>
    </w:p>
    <w:p w14:paraId="445AB97F" w14:textId="77777777" w:rsidR="00C6654A" w:rsidRPr="00F751FC" w:rsidRDefault="00C6654A" w:rsidP="00C6654A">
      <w:pPr>
        <w:pStyle w:val="a"/>
        <w:bidi/>
        <w:spacing w:line="216" w:lineRule="auto"/>
        <w:rPr>
          <w:rFonts w:ascii="mylotus" w:hAnsi="mylotus"/>
          <w:b/>
          <w:bCs/>
          <w:sz w:val="34"/>
          <w:szCs w:val="34"/>
          <w:rtl/>
        </w:rPr>
      </w:pPr>
      <w:r w:rsidRPr="00F751FC">
        <w:rPr>
          <w:rFonts w:ascii="mylotus" w:hAnsi="mylotus"/>
          <w:b/>
          <w:bCs/>
          <w:sz w:val="34"/>
          <w:szCs w:val="34"/>
          <w:rtl/>
        </w:rPr>
        <w:t>المسألة السادسة "من فصل أحكام العوضين</w:t>
      </w:r>
      <w:r w:rsidRPr="00F751FC">
        <w:rPr>
          <w:rFonts w:ascii="mylotus" w:hAnsi="mylotus" w:cs="Cambria" w:hint="cs"/>
          <w:b/>
          <w:bCs/>
          <w:sz w:val="34"/>
          <w:szCs w:val="34"/>
          <w:rtl/>
        </w:rPr>
        <w:t>"</w:t>
      </w:r>
      <w:r w:rsidRPr="00F751FC">
        <w:rPr>
          <w:rFonts w:ascii="mylotus" w:hAnsi="mylotus" w:hint="cs"/>
          <w:b/>
          <w:bCs/>
          <w:sz w:val="34"/>
          <w:szCs w:val="34"/>
          <w:rtl/>
        </w:rPr>
        <w:t>.</w:t>
      </w:r>
    </w:p>
    <w:p w14:paraId="678B0571" w14:textId="77777777" w:rsidR="00C6654A" w:rsidRPr="00F751FC" w:rsidRDefault="00C6654A" w:rsidP="00C6654A">
      <w:pPr>
        <w:pStyle w:val="a"/>
        <w:bidi/>
        <w:spacing w:line="216" w:lineRule="auto"/>
        <w:rPr>
          <w:rFonts w:ascii="mylotus" w:hAnsi="mylotus"/>
          <w:b/>
          <w:bCs/>
          <w:sz w:val="34"/>
          <w:szCs w:val="34"/>
          <w:rtl/>
        </w:rPr>
      </w:pPr>
      <w:r w:rsidRPr="00F751FC">
        <w:rPr>
          <w:rFonts w:ascii="mylotus" w:hAnsi="mylotus"/>
          <w:sz w:val="34"/>
          <w:szCs w:val="34"/>
          <w:rtl/>
        </w:rPr>
        <w:t xml:space="preserve">قال سيد العروة (قدس سره الشريف): </w:t>
      </w:r>
      <w:r w:rsidRPr="00F751FC">
        <w:rPr>
          <w:rFonts w:ascii="mylotus" w:hAnsi="mylotus"/>
          <w:b/>
          <w:bCs/>
          <w:sz w:val="34"/>
          <w:szCs w:val="34"/>
          <w:rtl/>
        </w:rPr>
        <w:t>(مسألة 6: إذا تلف بعض العين المستأجرة تبطل بنسبته ويجي خيار تبعّض الصفقة)</w:t>
      </w:r>
      <w:r w:rsidRPr="00F751FC">
        <w:rPr>
          <w:rFonts w:ascii="mylotus" w:hAnsi="mylotus"/>
          <w:b/>
          <w:bCs/>
          <w:sz w:val="34"/>
          <w:szCs w:val="34"/>
        </w:rPr>
        <w:t>.</w:t>
      </w:r>
    </w:p>
    <w:p w14:paraId="5B5CA4C1"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b/>
          <w:bCs/>
          <w:sz w:val="34"/>
          <w:szCs w:val="34"/>
          <w:rtl/>
        </w:rPr>
        <w:t>أقول</w:t>
      </w:r>
      <w:r w:rsidRPr="00F751FC">
        <w:rPr>
          <w:rFonts w:ascii="mylotus" w:hAnsi="mylotus" w:hint="cs"/>
          <w:b/>
          <w:bCs/>
          <w:sz w:val="34"/>
          <w:szCs w:val="34"/>
          <w:rtl/>
        </w:rPr>
        <w:t>ُ</w:t>
      </w:r>
      <w:r w:rsidRPr="00F751FC">
        <w:rPr>
          <w:rFonts w:ascii="mylotus" w:hAnsi="mylotus"/>
          <w:b/>
          <w:bCs/>
          <w:sz w:val="34"/>
          <w:szCs w:val="34"/>
          <w:rtl/>
        </w:rPr>
        <w:t xml:space="preserve">: </w:t>
      </w:r>
      <w:r w:rsidRPr="00F751FC">
        <w:rPr>
          <w:rFonts w:ascii="mylotus" w:hAnsi="mylotus"/>
          <w:sz w:val="34"/>
          <w:szCs w:val="34"/>
          <w:rtl/>
        </w:rPr>
        <w:t>ينبغي التفصيل</w:t>
      </w:r>
      <w:r>
        <w:rPr>
          <w:rFonts w:ascii="mylotus" w:hAnsi="mylotus" w:hint="cs"/>
          <w:sz w:val="34"/>
          <w:szCs w:val="34"/>
          <w:rtl/>
        </w:rPr>
        <w:t>ُ</w:t>
      </w:r>
      <w:r w:rsidRPr="00F751FC">
        <w:rPr>
          <w:rFonts w:ascii="mylotus" w:hAnsi="mylotus"/>
          <w:sz w:val="34"/>
          <w:szCs w:val="34"/>
          <w:rtl/>
        </w:rPr>
        <w:t xml:space="preserve"> بين فرضين</w:t>
      </w:r>
      <w:r w:rsidRPr="00F751FC">
        <w:rPr>
          <w:rFonts w:ascii="mylotus" w:hAnsi="mylotus"/>
          <w:sz w:val="34"/>
          <w:szCs w:val="34"/>
        </w:rPr>
        <w:t>:</w:t>
      </w:r>
    </w:p>
    <w:p w14:paraId="0C295EC0" w14:textId="77777777" w:rsidR="00C6654A" w:rsidRDefault="00C6654A" w:rsidP="00C6654A">
      <w:pPr>
        <w:pStyle w:val="a"/>
        <w:bidi/>
        <w:spacing w:line="216" w:lineRule="auto"/>
        <w:rPr>
          <w:rFonts w:ascii="mylotus" w:hAnsi="mylotus"/>
          <w:sz w:val="34"/>
          <w:szCs w:val="34"/>
          <w:rtl/>
        </w:rPr>
      </w:pPr>
      <w:r w:rsidRPr="00F751FC">
        <w:rPr>
          <w:rFonts w:ascii="mylotus" w:hAnsi="mylotus"/>
          <w:b/>
          <w:bCs/>
          <w:sz w:val="34"/>
          <w:szCs w:val="34"/>
          <w:rtl/>
        </w:rPr>
        <w:t>الفرضُ الأوّل:</w:t>
      </w:r>
      <w:r w:rsidRPr="00F751FC">
        <w:rPr>
          <w:rFonts w:ascii="mylotus" w:hAnsi="mylotus"/>
          <w:sz w:val="34"/>
          <w:szCs w:val="34"/>
          <w:rtl/>
        </w:rPr>
        <w:t xml:space="preserve"> أنْ يكون تلف بعض العين معلوماً ابتداءً سواء</w:t>
      </w:r>
      <w:r>
        <w:rPr>
          <w:rFonts w:ascii="mylotus" w:hAnsi="mylotus" w:hint="cs"/>
          <w:sz w:val="34"/>
          <w:szCs w:val="34"/>
          <w:rtl/>
        </w:rPr>
        <w:t>ً</w:t>
      </w:r>
      <w:r w:rsidRPr="00F751FC">
        <w:rPr>
          <w:rFonts w:ascii="mylotus" w:hAnsi="mylotus"/>
          <w:sz w:val="34"/>
          <w:szCs w:val="34"/>
          <w:rtl/>
        </w:rPr>
        <w:t xml:space="preserve"> كان التلف ق</w:t>
      </w:r>
      <w:r>
        <w:rPr>
          <w:rFonts w:ascii="mylotus" w:hAnsi="mylotus" w:hint="cs"/>
          <w:sz w:val="34"/>
          <w:szCs w:val="34"/>
          <w:rtl/>
        </w:rPr>
        <w:t>َ</w:t>
      </w:r>
      <w:r w:rsidRPr="00F751FC">
        <w:rPr>
          <w:rFonts w:ascii="mylotus" w:hAnsi="mylotus"/>
          <w:sz w:val="34"/>
          <w:szCs w:val="34"/>
          <w:rtl/>
        </w:rPr>
        <w:t>بل القبض أو ب</w:t>
      </w:r>
      <w:r>
        <w:rPr>
          <w:rFonts w:ascii="mylotus" w:hAnsi="mylotus" w:hint="cs"/>
          <w:sz w:val="34"/>
          <w:szCs w:val="34"/>
          <w:rtl/>
        </w:rPr>
        <w:t>َ</w:t>
      </w:r>
      <w:r w:rsidRPr="00F751FC">
        <w:rPr>
          <w:rFonts w:ascii="mylotus" w:hAnsi="mylotus"/>
          <w:sz w:val="34"/>
          <w:szCs w:val="34"/>
          <w:rtl/>
        </w:rPr>
        <w:t>ع</w:t>
      </w:r>
      <w:r>
        <w:rPr>
          <w:rFonts w:ascii="mylotus" w:hAnsi="mylotus" w:hint="cs"/>
          <w:sz w:val="34"/>
          <w:szCs w:val="34"/>
          <w:rtl/>
        </w:rPr>
        <w:t>ْ</w:t>
      </w:r>
      <w:r w:rsidRPr="00F751FC">
        <w:rPr>
          <w:rFonts w:ascii="mylotus" w:hAnsi="mylotus"/>
          <w:sz w:val="34"/>
          <w:szCs w:val="34"/>
          <w:rtl/>
        </w:rPr>
        <w:t>د</w:t>
      </w:r>
      <w:r>
        <w:rPr>
          <w:rFonts w:ascii="mylotus" w:hAnsi="mylotus" w:hint="cs"/>
          <w:sz w:val="34"/>
          <w:szCs w:val="34"/>
          <w:rtl/>
        </w:rPr>
        <w:t>َ</w:t>
      </w:r>
      <w:r w:rsidRPr="00F751FC">
        <w:rPr>
          <w:rFonts w:ascii="mylotus" w:hAnsi="mylotus"/>
          <w:sz w:val="34"/>
          <w:szCs w:val="34"/>
          <w:rtl/>
        </w:rPr>
        <w:t>ه ق</w:t>
      </w:r>
      <w:r>
        <w:rPr>
          <w:rFonts w:ascii="mylotus" w:hAnsi="mylotus" w:hint="cs"/>
          <w:sz w:val="34"/>
          <w:szCs w:val="34"/>
          <w:rtl/>
        </w:rPr>
        <w:t>َ</w:t>
      </w:r>
      <w:r w:rsidRPr="00F751FC">
        <w:rPr>
          <w:rFonts w:ascii="mylotus" w:hAnsi="mylotus"/>
          <w:sz w:val="34"/>
          <w:szCs w:val="34"/>
          <w:rtl/>
        </w:rPr>
        <w:t>بل التمكن مِن استيفاء المنفعة، أو كان التلف بعد التمكن م</w:t>
      </w:r>
      <w:r>
        <w:rPr>
          <w:rFonts w:ascii="mylotus" w:hAnsi="mylotus" w:hint="cs"/>
          <w:sz w:val="34"/>
          <w:szCs w:val="34"/>
          <w:rtl/>
        </w:rPr>
        <w:t>ِ</w:t>
      </w:r>
      <w:r w:rsidRPr="00F751FC">
        <w:rPr>
          <w:rFonts w:ascii="mylotus" w:hAnsi="mylotus"/>
          <w:sz w:val="34"/>
          <w:szCs w:val="34"/>
          <w:rtl/>
        </w:rPr>
        <w:t>ن ال</w:t>
      </w:r>
      <w:r>
        <w:rPr>
          <w:rFonts w:ascii="mylotus" w:hAnsi="mylotus" w:hint="cs"/>
          <w:sz w:val="34"/>
          <w:szCs w:val="34"/>
          <w:rtl/>
        </w:rPr>
        <w:t>ا</w:t>
      </w:r>
      <w:r w:rsidRPr="00F751FC">
        <w:rPr>
          <w:rFonts w:ascii="mylotus" w:hAnsi="mylotus"/>
          <w:sz w:val="34"/>
          <w:szCs w:val="34"/>
          <w:rtl/>
        </w:rPr>
        <w:t>ستيفاء في وسط المدّة، أو في آخرها</w:t>
      </w:r>
      <w:r>
        <w:rPr>
          <w:rFonts w:ascii="mylotus" w:hAnsi="mylotus" w:hint="cs"/>
          <w:sz w:val="34"/>
          <w:szCs w:val="34"/>
          <w:rtl/>
        </w:rPr>
        <w:t>.</w:t>
      </w:r>
    </w:p>
    <w:p w14:paraId="2A24AF0A" w14:textId="77777777" w:rsidR="00C6654A" w:rsidRPr="00F751FC" w:rsidRDefault="00C6654A" w:rsidP="00C6654A">
      <w:pPr>
        <w:pStyle w:val="a"/>
        <w:bidi/>
        <w:spacing w:line="216" w:lineRule="auto"/>
        <w:rPr>
          <w:rFonts w:ascii="mylotus" w:hAnsi="mylotus"/>
          <w:b/>
          <w:bCs/>
          <w:sz w:val="34"/>
          <w:szCs w:val="34"/>
          <w:rtl/>
        </w:rPr>
      </w:pPr>
      <w:r w:rsidRPr="00F751FC">
        <w:rPr>
          <w:rFonts w:ascii="mylotus" w:hAnsi="mylotus"/>
          <w:b/>
          <w:bCs/>
          <w:sz w:val="34"/>
          <w:szCs w:val="34"/>
          <w:rtl/>
        </w:rPr>
        <w:t>وهنا قولان</w:t>
      </w:r>
      <w:r w:rsidRPr="00F751FC">
        <w:rPr>
          <w:rFonts w:ascii="mylotus" w:hAnsi="mylotus"/>
          <w:b/>
          <w:bCs/>
          <w:sz w:val="34"/>
          <w:szCs w:val="34"/>
        </w:rPr>
        <w:t>:</w:t>
      </w:r>
    </w:p>
    <w:p w14:paraId="5C5BCA74"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b/>
          <w:bCs/>
          <w:sz w:val="34"/>
          <w:szCs w:val="34"/>
          <w:rtl/>
        </w:rPr>
        <w:t>القولُ الأوّل:</w:t>
      </w:r>
      <w:r w:rsidRPr="00F751FC">
        <w:rPr>
          <w:rFonts w:ascii="mylotus" w:hAnsi="mylotus"/>
          <w:sz w:val="34"/>
          <w:szCs w:val="34"/>
          <w:rtl/>
        </w:rPr>
        <w:t xml:space="preserve"> البطلان في المقدار التالف وهو المشهور، ومقتضى بطلان الإجارة في المقدار التالف تبعّض المِلك، ومقتضى تبعّض المِلك ثبوت خيار تبعّض الصفقة</w:t>
      </w:r>
      <w:r w:rsidRPr="00F751FC">
        <w:rPr>
          <w:rFonts w:ascii="mylotus" w:hAnsi="mylotus"/>
          <w:sz w:val="34"/>
          <w:szCs w:val="34"/>
        </w:rPr>
        <w:t>.</w:t>
      </w:r>
    </w:p>
    <w:p w14:paraId="4872AA58"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b/>
          <w:bCs/>
          <w:sz w:val="34"/>
          <w:szCs w:val="34"/>
          <w:rtl/>
        </w:rPr>
        <w:t>والقولُ الثاني:</w:t>
      </w:r>
      <w:r w:rsidRPr="00F751FC">
        <w:rPr>
          <w:rFonts w:ascii="mylotus" w:hAnsi="mylotus"/>
          <w:sz w:val="34"/>
          <w:szCs w:val="34"/>
          <w:rtl/>
        </w:rPr>
        <w:t xml:space="preserve"> هو صحّة الإجارة مع ثبوت الخيار في التالف مِن باب تعذر تسليم المنفعة</w:t>
      </w:r>
      <w:r>
        <w:rPr>
          <w:rFonts w:ascii="mylotus" w:hAnsi="mylotus" w:hint="cs"/>
          <w:sz w:val="34"/>
          <w:szCs w:val="34"/>
          <w:rtl/>
        </w:rPr>
        <w:t>،</w:t>
      </w:r>
      <w:r w:rsidRPr="00F751FC">
        <w:rPr>
          <w:rFonts w:ascii="mylotus" w:hAnsi="mylotus"/>
          <w:sz w:val="34"/>
          <w:szCs w:val="34"/>
          <w:rtl/>
        </w:rPr>
        <w:t xml:space="preserve"> وم</w:t>
      </w:r>
      <w:r>
        <w:rPr>
          <w:rFonts w:ascii="mylotus" w:hAnsi="mylotus" w:hint="cs"/>
          <w:sz w:val="34"/>
          <w:szCs w:val="34"/>
          <w:rtl/>
        </w:rPr>
        <w:t>ِ</w:t>
      </w:r>
      <w:r w:rsidRPr="00F751FC">
        <w:rPr>
          <w:rFonts w:ascii="mylotus" w:hAnsi="mylotus"/>
          <w:sz w:val="34"/>
          <w:szCs w:val="34"/>
          <w:rtl/>
        </w:rPr>
        <w:t>ن الشروط ال</w:t>
      </w:r>
      <w:r>
        <w:rPr>
          <w:rFonts w:ascii="mylotus" w:hAnsi="mylotus" w:hint="cs"/>
          <w:sz w:val="34"/>
          <w:szCs w:val="34"/>
          <w:rtl/>
        </w:rPr>
        <w:t>ا</w:t>
      </w:r>
      <w:r w:rsidRPr="00F751FC">
        <w:rPr>
          <w:rFonts w:ascii="mylotus" w:hAnsi="mylotus"/>
          <w:sz w:val="34"/>
          <w:szCs w:val="34"/>
          <w:rtl/>
        </w:rPr>
        <w:t>رتكازية تسليم المنفعة، وإذ تخلف الشرط لتلف بعض العين ثبت الخيار</w:t>
      </w:r>
      <w:r w:rsidRPr="00F751FC">
        <w:rPr>
          <w:rFonts w:ascii="mylotus" w:hAnsi="mylotus"/>
          <w:sz w:val="34"/>
          <w:szCs w:val="34"/>
        </w:rPr>
        <w:t>.</w:t>
      </w:r>
    </w:p>
    <w:p w14:paraId="71FDC284"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b/>
          <w:bCs/>
          <w:sz w:val="34"/>
          <w:szCs w:val="34"/>
          <w:rtl/>
        </w:rPr>
        <w:t>الفرضُ الثاني:</w:t>
      </w:r>
      <w:r w:rsidRPr="00F751FC">
        <w:rPr>
          <w:rFonts w:ascii="mylotus" w:hAnsi="mylotus"/>
          <w:sz w:val="34"/>
          <w:szCs w:val="34"/>
          <w:rtl/>
        </w:rPr>
        <w:t xml:space="preserve"> أنْ يكون التلف في باقي المدّة </w:t>
      </w:r>
      <w:proofErr w:type="gramStart"/>
      <w:r w:rsidRPr="00F751FC">
        <w:rPr>
          <w:rFonts w:ascii="mylotus" w:hAnsi="mylotus"/>
          <w:sz w:val="34"/>
          <w:szCs w:val="34"/>
          <w:rtl/>
        </w:rPr>
        <w:t>اتفاقياً</w:t>
      </w:r>
      <w:r w:rsidRPr="00F751FC">
        <w:rPr>
          <w:rFonts w:ascii="mylotus" w:hAnsi="mylotus"/>
          <w:sz w:val="34"/>
          <w:szCs w:val="34"/>
        </w:rPr>
        <w:t xml:space="preserve"> .</w:t>
      </w:r>
      <w:proofErr w:type="gramEnd"/>
    </w:p>
    <w:p w14:paraId="2F1C25E9"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وقد سبق البحثُ فيه بناءً على بطلان الإجارة في المدّة الباقية في ثبوت خيار تبعّض الصفقة في المدّة الماضية</w:t>
      </w:r>
      <w:r w:rsidRPr="00F751FC">
        <w:rPr>
          <w:rFonts w:ascii="mylotus" w:hAnsi="mylotus"/>
          <w:sz w:val="34"/>
          <w:szCs w:val="34"/>
        </w:rPr>
        <w:t>.</w:t>
      </w:r>
    </w:p>
    <w:p w14:paraId="65E71B1B" w14:textId="77777777" w:rsidR="00C6654A" w:rsidRPr="00F751FC" w:rsidRDefault="00C6654A" w:rsidP="00C6654A">
      <w:pPr>
        <w:pStyle w:val="a"/>
        <w:bidi/>
        <w:spacing w:line="216" w:lineRule="auto"/>
        <w:rPr>
          <w:rFonts w:ascii="mylotus" w:hAnsi="mylotus"/>
          <w:b/>
          <w:bCs/>
          <w:sz w:val="34"/>
          <w:szCs w:val="34"/>
          <w:rtl/>
        </w:rPr>
      </w:pPr>
      <w:r w:rsidRPr="00F751FC">
        <w:rPr>
          <w:rFonts w:ascii="mylotus" w:hAnsi="mylotus"/>
          <w:b/>
          <w:bCs/>
          <w:sz w:val="34"/>
          <w:szCs w:val="34"/>
          <w:rtl/>
        </w:rPr>
        <w:t>المسألة السابعة "من فصل أحكام العوضين</w:t>
      </w:r>
      <w:r>
        <w:rPr>
          <w:rFonts w:ascii="mylotus" w:hAnsi="mylotus" w:cs="Cambria" w:hint="cs"/>
          <w:b/>
          <w:bCs/>
          <w:sz w:val="34"/>
          <w:szCs w:val="34"/>
          <w:rtl/>
        </w:rPr>
        <w:t>"</w:t>
      </w:r>
      <w:r>
        <w:rPr>
          <w:rFonts w:ascii="mylotus" w:hAnsi="mylotus" w:hint="cs"/>
          <w:b/>
          <w:bCs/>
          <w:sz w:val="34"/>
          <w:szCs w:val="34"/>
          <w:rtl/>
        </w:rPr>
        <w:t>.</w:t>
      </w:r>
    </w:p>
    <w:p w14:paraId="6E07D53D"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 xml:space="preserve">قال سيد العروة (قدس سره الشريف): </w:t>
      </w:r>
      <w:r w:rsidRPr="007B4830">
        <w:rPr>
          <w:rFonts w:ascii="mylotus" w:hAnsi="mylotus"/>
          <w:b/>
          <w:bCs/>
          <w:sz w:val="34"/>
          <w:szCs w:val="34"/>
          <w:rtl/>
        </w:rPr>
        <w:t xml:space="preserve">(ظاهر كلمات العلماء أنّ الاُجرة من حين العقد مملوكة للمؤجّر بتمامها، وبالتلف قبل القبض أو بعده أو في أثناء المدّة ترجع إلى المستأجر كلّاً أو بعضاً من حين البطلان، كما هو الحال عندهم في تلف البيع، لا أن يكون كاشفاً عن عدم ملكيّتها من الأوّل، وهو مشكل، لأنّ مع التلف ينكشف عدم كون المؤجّر </w:t>
      </w:r>
      <w:r w:rsidRPr="007B4830">
        <w:rPr>
          <w:rFonts w:ascii="mylotus" w:hAnsi="mylotus"/>
          <w:b/>
          <w:bCs/>
          <w:sz w:val="34"/>
          <w:szCs w:val="34"/>
          <w:rtl/>
        </w:rPr>
        <w:lastRenderedPageBreak/>
        <w:t>مالكاً للمنفعة إلى تمام المدّة فلم ينتقل ما يقابل المتخلّف من الأوّل إليه، وفرقٌ واضح بين تلف المبيع قبل القبض وتلف العين هنا، لأنّ المبيع حين بيعه كان مالاً موجوداً قوبل بالعوض، وأمّا المنفعة في المقام لم تكن موجودة حين العقد ولا في علم الله إلّا بمقدار بقاء العين، وعلى هذا فإذا تصرّف في الاُجرة يكون تصرّفه بالنسبة إلى ما يقابل المتخلّف فضوليّاً. ومن هذا يظهر أنّ وجه البطلان في صورة التلف كلّاً أو بعضاً انكشاف عدم الملكيّة للمعوّض)</w:t>
      </w:r>
      <w:r w:rsidRPr="007B4830">
        <w:rPr>
          <w:rFonts w:ascii="mylotus" w:hAnsi="mylotus" w:hint="cs"/>
          <w:b/>
          <w:bCs/>
          <w:sz w:val="34"/>
          <w:szCs w:val="34"/>
          <w:rtl/>
        </w:rPr>
        <w:t>.</w:t>
      </w:r>
    </w:p>
    <w:p w14:paraId="3D8C7DB8" w14:textId="77777777" w:rsidR="00C6654A" w:rsidRPr="007B4830" w:rsidRDefault="00C6654A" w:rsidP="00C6654A">
      <w:pPr>
        <w:pStyle w:val="a"/>
        <w:bidi/>
        <w:spacing w:line="216" w:lineRule="auto"/>
        <w:rPr>
          <w:rFonts w:ascii="mylotus" w:hAnsi="mylotus"/>
          <w:b/>
          <w:bCs/>
          <w:sz w:val="34"/>
          <w:szCs w:val="34"/>
          <w:rtl/>
        </w:rPr>
      </w:pPr>
      <w:r w:rsidRPr="007B4830">
        <w:rPr>
          <w:rFonts w:ascii="mylotus" w:hAnsi="mylotus"/>
          <w:b/>
          <w:bCs/>
          <w:sz w:val="34"/>
          <w:szCs w:val="34"/>
          <w:rtl/>
        </w:rPr>
        <w:t>شرح العبارة</w:t>
      </w:r>
      <w:r w:rsidRPr="007B4830">
        <w:rPr>
          <w:rFonts w:ascii="mylotus" w:hAnsi="mylotus"/>
          <w:b/>
          <w:bCs/>
          <w:sz w:val="34"/>
          <w:szCs w:val="34"/>
        </w:rPr>
        <w:t>:</w:t>
      </w:r>
    </w:p>
    <w:p w14:paraId="51BFDFB9"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 xml:space="preserve">قوله (قدس سره): </w:t>
      </w:r>
      <w:r w:rsidRPr="007B4830">
        <w:rPr>
          <w:rFonts w:ascii="mylotus" w:hAnsi="mylotus"/>
          <w:b/>
          <w:bCs/>
          <w:sz w:val="34"/>
          <w:szCs w:val="34"/>
          <w:rtl/>
        </w:rPr>
        <w:t>(أنّ الاُجرة من حين العقد مملوكة للمؤجّر بتمامها)</w:t>
      </w:r>
      <w:r w:rsidRPr="00F751FC">
        <w:rPr>
          <w:rFonts w:ascii="mylotus" w:hAnsi="mylotus"/>
          <w:sz w:val="34"/>
          <w:szCs w:val="34"/>
          <w:rtl/>
        </w:rPr>
        <w:t>، أي: أن</w:t>
      </w:r>
      <w:r>
        <w:rPr>
          <w:rFonts w:ascii="mylotus" w:hAnsi="mylotus" w:hint="cs"/>
          <w:sz w:val="34"/>
          <w:szCs w:val="34"/>
          <w:rtl/>
        </w:rPr>
        <w:t>ّ</w:t>
      </w:r>
      <w:r w:rsidRPr="00F751FC">
        <w:rPr>
          <w:rFonts w:ascii="mylotus" w:hAnsi="mylotus"/>
          <w:sz w:val="34"/>
          <w:szCs w:val="34"/>
          <w:rtl/>
        </w:rPr>
        <w:t xml:space="preserve"> عقد الإجارة موجب</w:t>
      </w:r>
      <w:r>
        <w:rPr>
          <w:rFonts w:ascii="mylotus" w:hAnsi="mylotus" w:hint="cs"/>
          <w:sz w:val="34"/>
          <w:szCs w:val="34"/>
          <w:rtl/>
        </w:rPr>
        <w:t>ٌ</w:t>
      </w:r>
      <w:r w:rsidRPr="00F751FC">
        <w:rPr>
          <w:rFonts w:ascii="mylotus" w:hAnsi="mylotus"/>
          <w:sz w:val="34"/>
          <w:szCs w:val="34"/>
          <w:rtl/>
        </w:rPr>
        <w:t xml:space="preserve"> لتملك المؤج</w:t>
      </w:r>
      <w:r>
        <w:rPr>
          <w:rFonts w:ascii="mylotus" w:hAnsi="mylotus" w:hint="cs"/>
          <w:sz w:val="34"/>
          <w:szCs w:val="34"/>
          <w:rtl/>
        </w:rPr>
        <w:t>ّ</w:t>
      </w:r>
      <w:r w:rsidRPr="00F751FC">
        <w:rPr>
          <w:rFonts w:ascii="mylotus" w:hAnsi="mylotus"/>
          <w:sz w:val="34"/>
          <w:szCs w:val="34"/>
          <w:rtl/>
        </w:rPr>
        <w:t>ر للأُجرة بتمامها</w:t>
      </w:r>
      <w:r w:rsidRPr="00F751FC">
        <w:rPr>
          <w:rFonts w:ascii="mylotus" w:hAnsi="mylotus"/>
          <w:sz w:val="34"/>
          <w:szCs w:val="34"/>
        </w:rPr>
        <w:t>.</w:t>
      </w:r>
    </w:p>
    <w:p w14:paraId="48F69AEB"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 xml:space="preserve">وقوله: </w:t>
      </w:r>
      <w:r w:rsidRPr="007B4830">
        <w:rPr>
          <w:rFonts w:ascii="mylotus" w:hAnsi="mylotus"/>
          <w:b/>
          <w:bCs/>
          <w:sz w:val="34"/>
          <w:szCs w:val="34"/>
          <w:rtl/>
        </w:rPr>
        <w:t>(ترجع إلى المستأجر كلّاً أو بعضاً من حين البطلان)</w:t>
      </w:r>
      <w:r w:rsidRPr="00F751FC">
        <w:rPr>
          <w:rFonts w:ascii="mylotus" w:hAnsi="mylotus"/>
          <w:sz w:val="34"/>
          <w:szCs w:val="34"/>
          <w:rtl/>
        </w:rPr>
        <w:t>، بمعنى أنّ الإجارة كانت صحيحة في الجميع، وانفسخت في البعض التالف م</w:t>
      </w:r>
      <w:r>
        <w:rPr>
          <w:rFonts w:ascii="mylotus" w:hAnsi="mylotus" w:hint="cs"/>
          <w:sz w:val="34"/>
          <w:szCs w:val="34"/>
          <w:rtl/>
        </w:rPr>
        <w:t>ِ</w:t>
      </w:r>
      <w:r w:rsidRPr="00F751FC">
        <w:rPr>
          <w:rFonts w:ascii="mylotus" w:hAnsi="mylotus"/>
          <w:sz w:val="34"/>
          <w:szCs w:val="34"/>
          <w:rtl/>
        </w:rPr>
        <w:t>ن حين التل</w:t>
      </w:r>
      <w:r>
        <w:rPr>
          <w:rFonts w:ascii="mylotus" w:hAnsi="mylotus" w:hint="cs"/>
          <w:sz w:val="34"/>
          <w:szCs w:val="34"/>
          <w:rtl/>
        </w:rPr>
        <w:t>ف.</w:t>
      </w:r>
    </w:p>
    <w:p w14:paraId="37A1F3A0"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 xml:space="preserve">وقوله: </w:t>
      </w:r>
      <w:r w:rsidRPr="007B4830">
        <w:rPr>
          <w:rFonts w:ascii="mylotus" w:hAnsi="mylotus"/>
          <w:b/>
          <w:bCs/>
          <w:sz w:val="34"/>
          <w:szCs w:val="34"/>
          <w:rtl/>
        </w:rPr>
        <w:t>(كما هو الحال عندهم في تلف المبيع)</w:t>
      </w:r>
      <w:r w:rsidRPr="00F751FC">
        <w:rPr>
          <w:rFonts w:ascii="mylotus" w:hAnsi="mylotus"/>
          <w:sz w:val="34"/>
          <w:szCs w:val="34"/>
          <w:rtl/>
        </w:rPr>
        <w:t xml:space="preserve"> حيثُ قالوا بصحّة البيع، فإذا تلف المبيع قَبل القبض انفسخ البيع في هذه المدّة الباقية</w:t>
      </w:r>
      <w:r w:rsidRPr="00F751FC">
        <w:rPr>
          <w:rFonts w:ascii="mylotus" w:hAnsi="mylotus"/>
          <w:sz w:val="34"/>
          <w:szCs w:val="34"/>
        </w:rPr>
        <w:t>.</w:t>
      </w:r>
    </w:p>
    <w:p w14:paraId="5B0C1B30"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 xml:space="preserve">وقوله: </w:t>
      </w:r>
      <w:r w:rsidRPr="007B4830">
        <w:rPr>
          <w:rFonts w:ascii="mylotus" w:hAnsi="mylotus"/>
          <w:b/>
          <w:bCs/>
          <w:sz w:val="34"/>
          <w:szCs w:val="34"/>
          <w:rtl/>
        </w:rPr>
        <w:t xml:space="preserve">(وهو مشكل) </w:t>
      </w:r>
      <w:r w:rsidRPr="00F751FC">
        <w:rPr>
          <w:rFonts w:ascii="mylotus" w:hAnsi="mylotus"/>
          <w:sz w:val="34"/>
          <w:szCs w:val="34"/>
          <w:rtl/>
        </w:rPr>
        <w:t>في باب الإجارة</w:t>
      </w:r>
      <w:r>
        <w:rPr>
          <w:rFonts w:ascii="mylotus" w:hAnsi="mylotus" w:hint="cs"/>
          <w:sz w:val="34"/>
          <w:szCs w:val="34"/>
          <w:rtl/>
        </w:rPr>
        <w:t>؛</w:t>
      </w:r>
      <w:r w:rsidRPr="00F751FC">
        <w:rPr>
          <w:rFonts w:ascii="mylotus" w:hAnsi="mylotus"/>
          <w:sz w:val="34"/>
          <w:szCs w:val="34"/>
          <w:rtl/>
        </w:rPr>
        <w:t xml:space="preserve"> حيثُ إن</w:t>
      </w:r>
      <w:r>
        <w:rPr>
          <w:rFonts w:ascii="mylotus" w:hAnsi="mylotus" w:hint="cs"/>
          <w:sz w:val="34"/>
          <w:szCs w:val="34"/>
          <w:rtl/>
        </w:rPr>
        <w:t>ّ</w:t>
      </w:r>
      <w:r w:rsidRPr="00F751FC">
        <w:rPr>
          <w:rFonts w:ascii="mylotus" w:hAnsi="mylotus"/>
          <w:sz w:val="34"/>
          <w:szCs w:val="34"/>
          <w:rtl/>
        </w:rPr>
        <w:t>ه إذا تلفت العين فتلفت المنفعة ينكشف أنّ المؤجّر لَمْ يملك المنفعة في هذه المدّة، فكيف يملكها للمُستأجر ويأخذ مقابلها الأُجرة، فالصحيح هو انكشاف البطلان مِن أوّل الأم</w:t>
      </w:r>
      <w:r>
        <w:rPr>
          <w:rFonts w:ascii="mylotus" w:hAnsi="mylotus" w:hint="cs"/>
          <w:sz w:val="34"/>
          <w:szCs w:val="34"/>
          <w:rtl/>
        </w:rPr>
        <w:t>ر.</w:t>
      </w:r>
    </w:p>
    <w:p w14:paraId="7A7BE703" w14:textId="77777777" w:rsidR="00C6654A" w:rsidRPr="00F751FC" w:rsidRDefault="00C6654A" w:rsidP="00C6654A">
      <w:pPr>
        <w:pStyle w:val="a"/>
        <w:bidi/>
        <w:spacing w:line="216" w:lineRule="auto"/>
        <w:rPr>
          <w:rFonts w:ascii="mylotus" w:hAnsi="mylotus"/>
          <w:sz w:val="34"/>
          <w:szCs w:val="34"/>
          <w:rtl/>
        </w:rPr>
      </w:pPr>
      <w:r w:rsidRPr="007B4830">
        <w:rPr>
          <w:rFonts w:ascii="mylotus" w:hAnsi="mylotus"/>
          <w:b/>
          <w:bCs/>
          <w:sz w:val="34"/>
          <w:szCs w:val="34"/>
          <w:rtl/>
        </w:rPr>
        <w:t>وحاصلُ المسألة:</w:t>
      </w:r>
      <w:r w:rsidRPr="00F751FC">
        <w:rPr>
          <w:rFonts w:ascii="mylotus" w:hAnsi="mylotus"/>
          <w:sz w:val="34"/>
          <w:szCs w:val="34"/>
          <w:rtl/>
        </w:rPr>
        <w:t xml:space="preserve"> أنّ مقتضى القاعدة كون بطلان الإجارة مستتبعاً لرجوع الأُجرة كلّاً أو بعضاً إلى المُستأجر، ومِن مناشئ البطلان تلف العين المساوق لتلف المنفعة</w:t>
      </w:r>
      <w:r w:rsidRPr="00F751FC">
        <w:rPr>
          <w:rFonts w:ascii="mylotus" w:hAnsi="mylotus"/>
          <w:sz w:val="34"/>
          <w:szCs w:val="34"/>
        </w:rPr>
        <w:t>.</w:t>
      </w:r>
    </w:p>
    <w:p w14:paraId="7E5A517A"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وهو مما لا</w:t>
      </w:r>
      <w:r>
        <w:rPr>
          <w:rFonts w:ascii="mylotus" w:hAnsi="mylotus" w:hint="cs"/>
          <w:sz w:val="34"/>
          <w:szCs w:val="34"/>
          <w:rtl/>
        </w:rPr>
        <w:t xml:space="preserve"> </w:t>
      </w:r>
      <w:r w:rsidRPr="00F751FC">
        <w:rPr>
          <w:rFonts w:ascii="mylotus" w:hAnsi="mylotus"/>
          <w:sz w:val="34"/>
          <w:szCs w:val="34"/>
          <w:rtl/>
        </w:rPr>
        <w:t>بحث فيه</w:t>
      </w:r>
      <w:r>
        <w:rPr>
          <w:rFonts w:ascii="mylotus" w:hAnsi="mylotus" w:hint="cs"/>
          <w:sz w:val="34"/>
          <w:szCs w:val="34"/>
          <w:rtl/>
        </w:rPr>
        <w:t>،</w:t>
      </w:r>
      <w:r w:rsidRPr="00F751FC">
        <w:rPr>
          <w:rFonts w:ascii="mylotus" w:hAnsi="mylotus"/>
          <w:sz w:val="34"/>
          <w:szCs w:val="34"/>
          <w:rtl/>
        </w:rPr>
        <w:t xml:space="preserve"> وإنّما وقع البحث -كما فصلناه سابقاً- في مدرك بطلان الإجارة بتلف العين المساوق لتلف المنفعة</w:t>
      </w:r>
      <w:r w:rsidRPr="00F751FC">
        <w:rPr>
          <w:rFonts w:ascii="mylotus" w:hAnsi="mylotus"/>
          <w:sz w:val="34"/>
          <w:szCs w:val="34"/>
        </w:rPr>
        <w:t>.</w:t>
      </w:r>
    </w:p>
    <w:p w14:paraId="69F4AB08" w14:textId="77777777" w:rsidR="00C6654A" w:rsidRPr="007B4830" w:rsidRDefault="00C6654A" w:rsidP="00C6654A">
      <w:pPr>
        <w:pStyle w:val="a"/>
        <w:bidi/>
        <w:spacing w:line="216" w:lineRule="auto"/>
        <w:rPr>
          <w:rFonts w:ascii="mylotus" w:hAnsi="mylotus"/>
          <w:b/>
          <w:bCs/>
          <w:sz w:val="34"/>
          <w:szCs w:val="34"/>
          <w:rtl/>
        </w:rPr>
      </w:pPr>
      <w:r w:rsidRPr="007B4830">
        <w:rPr>
          <w:rFonts w:ascii="mylotus" w:hAnsi="mylotus"/>
          <w:b/>
          <w:bCs/>
          <w:sz w:val="34"/>
          <w:szCs w:val="34"/>
          <w:rtl/>
        </w:rPr>
        <w:t>والمدرك أحد مبانٍ ثلاثة</w:t>
      </w:r>
      <w:r w:rsidRPr="007B4830">
        <w:rPr>
          <w:rFonts w:ascii="mylotus" w:hAnsi="mylotus"/>
          <w:b/>
          <w:bCs/>
          <w:sz w:val="34"/>
          <w:szCs w:val="34"/>
        </w:rPr>
        <w:t>:</w:t>
      </w:r>
    </w:p>
    <w:p w14:paraId="6A523988" w14:textId="77777777" w:rsidR="00C6654A" w:rsidRPr="00F751FC" w:rsidRDefault="00C6654A" w:rsidP="00C6654A">
      <w:pPr>
        <w:pStyle w:val="a"/>
        <w:bidi/>
        <w:spacing w:line="216" w:lineRule="auto"/>
        <w:rPr>
          <w:rFonts w:ascii="mylotus" w:hAnsi="mylotus"/>
          <w:sz w:val="34"/>
          <w:szCs w:val="34"/>
          <w:rtl/>
        </w:rPr>
      </w:pPr>
      <w:r w:rsidRPr="007B4830">
        <w:rPr>
          <w:rFonts w:ascii="mylotus" w:hAnsi="mylotus"/>
          <w:b/>
          <w:bCs/>
          <w:sz w:val="34"/>
          <w:szCs w:val="34"/>
          <w:rtl/>
        </w:rPr>
        <w:t>المبنى الأوّل:</w:t>
      </w:r>
      <w:r w:rsidRPr="00F751FC">
        <w:rPr>
          <w:rFonts w:ascii="mylotus" w:hAnsi="mylotus"/>
          <w:sz w:val="34"/>
          <w:szCs w:val="34"/>
          <w:rtl/>
        </w:rPr>
        <w:t xml:space="preserve"> ما هو المختار، مِن كون تلف العين في أيِّ قسمٍ مِن مدّة الإجارة مساوق لانتفاء الغرض النوعي المقصود بالأصالة مِن الإجارة حدوثاً </w:t>
      </w:r>
      <w:proofErr w:type="gramStart"/>
      <w:r w:rsidRPr="00F751FC">
        <w:rPr>
          <w:rFonts w:ascii="mylotus" w:hAnsi="mylotus"/>
          <w:sz w:val="34"/>
          <w:szCs w:val="34"/>
          <w:rtl/>
        </w:rPr>
        <w:t>و بقاءً</w:t>
      </w:r>
      <w:proofErr w:type="gramEnd"/>
      <w:r w:rsidRPr="00F751FC">
        <w:rPr>
          <w:rFonts w:ascii="mylotus" w:hAnsi="mylotus"/>
          <w:sz w:val="34"/>
          <w:szCs w:val="34"/>
          <w:rtl/>
        </w:rPr>
        <w:t>، ومقتضى انتفاء الغرض النوعي بطلان المعاوضة مِن دون فرقٍ في ذلك بين البيع والإجارة</w:t>
      </w:r>
      <w:r w:rsidRPr="00F751FC">
        <w:rPr>
          <w:rFonts w:ascii="mylotus" w:hAnsi="mylotus"/>
          <w:sz w:val="34"/>
          <w:szCs w:val="34"/>
        </w:rPr>
        <w:t>.</w:t>
      </w:r>
    </w:p>
    <w:p w14:paraId="6F75F843"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وما</w:t>
      </w:r>
      <w:r>
        <w:rPr>
          <w:rFonts w:ascii="mylotus" w:hAnsi="mylotus" w:hint="cs"/>
          <w:sz w:val="34"/>
          <w:szCs w:val="34"/>
          <w:rtl/>
        </w:rPr>
        <w:t xml:space="preserve"> </w:t>
      </w:r>
      <w:r w:rsidRPr="00F751FC">
        <w:rPr>
          <w:rFonts w:ascii="mylotus" w:hAnsi="mylotus"/>
          <w:sz w:val="34"/>
          <w:szCs w:val="34"/>
          <w:rtl/>
        </w:rPr>
        <w:t xml:space="preserve">في النبوي الوارد في المبيع كما في المستدرك على الوسائل: </w:t>
      </w:r>
      <w:r w:rsidRPr="007B4830">
        <w:rPr>
          <w:rFonts w:ascii="mylotus" w:hAnsi="mylotus"/>
          <w:b/>
          <w:bCs/>
          <w:sz w:val="34"/>
          <w:szCs w:val="34"/>
          <w:rtl/>
        </w:rPr>
        <w:t xml:space="preserve">(عوالي </w:t>
      </w:r>
      <w:proofErr w:type="spellStart"/>
      <w:r w:rsidRPr="007B4830">
        <w:rPr>
          <w:rFonts w:ascii="mylotus" w:hAnsi="mylotus"/>
          <w:b/>
          <w:bCs/>
          <w:sz w:val="34"/>
          <w:szCs w:val="34"/>
          <w:rtl/>
        </w:rPr>
        <w:t>اللآلي</w:t>
      </w:r>
      <w:proofErr w:type="spellEnd"/>
      <w:r w:rsidRPr="007B4830">
        <w:rPr>
          <w:rFonts w:ascii="mylotus" w:hAnsi="mylotus"/>
          <w:b/>
          <w:bCs/>
          <w:sz w:val="34"/>
          <w:szCs w:val="34"/>
          <w:rtl/>
        </w:rPr>
        <w:t>: عن النبي (صلى الله عليه وآله) أنّه قال:</w:t>
      </w:r>
      <w:r w:rsidRPr="00F751FC">
        <w:rPr>
          <w:rFonts w:ascii="mylotus" w:hAnsi="mylotus"/>
          <w:sz w:val="34"/>
          <w:szCs w:val="34"/>
          <w:rtl/>
        </w:rPr>
        <w:t xml:space="preserve"> </w:t>
      </w:r>
      <w:r w:rsidRPr="007B4830">
        <w:rPr>
          <w:rFonts w:ascii="mylotus" w:hAnsi="mylotus"/>
          <w:b/>
          <w:bCs/>
          <w:sz w:val="34"/>
          <w:szCs w:val="34"/>
          <w:rtl/>
        </w:rPr>
        <w:t>(كل مبيع تلف قبل قبضه، فهو من مال بائعه)</w:t>
      </w:r>
      <w:r>
        <w:rPr>
          <w:rStyle w:val="FootnoteReference"/>
          <w:rFonts w:ascii="mylotus" w:hAnsi="mylotus"/>
          <w:sz w:val="34"/>
          <w:szCs w:val="34"/>
          <w:rtl/>
        </w:rPr>
        <w:footnoteReference w:id="275"/>
      </w:r>
      <w:r w:rsidRPr="00F751FC">
        <w:rPr>
          <w:rFonts w:ascii="mylotus" w:hAnsi="mylotus"/>
          <w:sz w:val="34"/>
          <w:szCs w:val="34"/>
          <w:rtl/>
        </w:rPr>
        <w:t xml:space="preserve"> إمضاء لهذه الرؤية العقلائية مِن أنّ مدرك البطلان انتفاء الغرض النوعي</w:t>
      </w:r>
      <w:r w:rsidRPr="00F751FC">
        <w:rPr>
          <w:rFonts w:ascii="mylotus" w:hAnsi="mylotus"/>
          <w:sz w:val="34"/>
          <w:szCs w:val="34"/>
        </w:rPr>
        <w:t>.</w:t>
      </w:r>
    </w:p>
    <w:p w14:paraId="1BC204B9" w14:textId="77777777" w:rsidR="00C6654A" w:rsidRPr="00F751FC" w:rsidRDefault="00C6654A" w:rsidP="00C6654A">
      <w:pPr>
        <w:pStyle w:val="a"/>
        <w:bidi/>
        <w:spacing w:line="216" w:lineRule="auto"/>
        <w:rPr>
          <w:rFonts w:ascii="mylotus" w:hAnsi="mylotus"/>
          <w:sz w:val="34"/>
          <w:szCs w:val="34"/>
          <w:rtl/>
        </w:rPr>
      </w:pPr>
      <w:r w:rsidRPr="007B4830">
        <w:rPr>
          <w:rFonts w:ascii="mylotus" w:hAnsi="mylotus"/>
          <w:b/>
          <w:bCs/>
          <w:sz w:val="34"/>
          <w:szCs w:val="34"/>
          <w:rtl/>
        </w:rPr>
        <w:t>المبنى الثاني:</w:t>
      </w:r>
      <w:r w:rsidRPr="00F751FC">
        <w:rPr>
          <w:rFonts w:ascii="mylotus" w:hAnsi="mylotus"/>
          <w:sz w:val="34"/>
          <w:szCs w:val="34"/>
          <w:rtl/>
        </w:rPr>
        <w:t xml:space="preserve"> ما</w:t>
      </w:r>
      <w:r>
        <w:rPr>
          <w:rFonts w:ascii="mylotus" w:hAnsi="mylotus" w:hint="cs"/>
          <w:sz w:val="34"/>
          <w:szCs w:val="34"/>
          <w:rtl/>
        </w:rPr>
        <w:t xml:space="preserve"> </w:t>
      </w:r>
      <w:r w:rsidRPr="00F751FC">
        <w:rPr>
          <w:rFonts w:ascii="mylotus" w:hAnsi="mylotus"/>
          <w:sz w:val="34"/>
          <w:szCs w:val="34"/>
          <w:rtl/>
        </w:rPr>
        <w:t>ي</w:t>
      </w:r>
      <w:r>
        <w:rPr>
          <w:rFonts w:ascii="mylotus" w:hAnsi="mylotus" w:hint="cs"/>
          <w:sz w:val="34"/>
          <w:szCs w:val="34"/>
          <w:rtl/>
        </w:rPr>
        <w:t>ُ</w:t>
      </w:r>
      <w:r w:rsidRPr="00F751FC">
        <w:rPr>
          <w:rFonts w:ascii="mylotus" w:hAnsi="mylotus"/>
          <w:sz w:val="34"/>
          <w:szCs w:val="34"/>
          <w:rtl/>
        </w:rPr>
        <w:t>قتنص م</w:t>
      </w:r>
      <w:r>
        <w:rPr>
          <w:rFonts w:ascii="mylotus" w:hAnsi="mylotus" w:hint="cs"/>
          <w:sz w:val="34"/>
          <w:szCs w:val="34"/>
          <w:rtl/>
        </w:rPr>
        <w:t>ِ</w:t>
      </w:r>
      <w:r w:rsidRPr="00F751FC">
        <w:rPr>
          <w:rFonts w:ascii="mylotus" w:hAnsi="mylotus"/>
          <w:sz w:val="34"/>
          <w:szCs w:val="34"/>
          <w:rtl/>
        </w:rPr>
        <w:t>ن مجموع عبائر سيدنا الخوئي (قدس سره الشريف) مِن كون تلف العين مساوقا</w:t>
      </w:r>
      <w:r>
        <w:rPr>
          <w:rFonts w:ascii="mylotus" w:hAnsi="mylotus" w:hint="cs"/>
          <w:sz w:val="34"/>
          <w:szCs w:val="34"/>
          <w:rtl/>
        </w:rPr>
        <w:t>ً</w:t>
      </w:r>
      <w:r w:rsidRPr="00F751FC">
        <w:rPr>
          <w:rFonts w:ascii="mylotus" w:hAnsi="mylotus"/>
          <w:sz w:val="34"/>
          <w:szCs w:val="34"/>
          <w:rtl/>
        </w:rPr>
        <w:t xml:space="preserve"> لانتفاء المنفعة بنحو الدفع -لا الرفع-، بحيثُ يكون التعبير بانتفاء المنفعة مِن باب السالبة بانتفاء الموضوع، ومقتضى ذلك انتفاء المعاوضة لانعدام المحل؛ لأنّ كلّ معاوضة تفتقر إلى المحل إمّا عين أو منفعة، فإذا لَمْ تكن هناك منفعة مِن الأساس فلا معاوضة لانتفاء المحل</w:t>
      </w:r>
      <w:r w:rsidRPr="00F751FC">
        <w:rPr>
          <w:rFonts w:ascii="mylotus" w:hAnsi="mylotus"/>
          <w:sz w:val="34"/>
          <w:szCs w:val="34"/>
        </w:rPr>
        <w:t>.</w:t>
      </w:r>
    </w:p>
    <w:p w14:paraId="7D3BF3B6" w14:textId="77777777" w:rsidR="00C6654A" w:rsidRPr="00F751FC" w:rsidRDefault="00C6654A" w:rsidP="00C6654A">
      <w:pPr>
        <w:pStyle w:val="a"/>
        <w:bidi/>
        <w:spacing w:line="216" w:lineRule="auto"/>
        <w:rPr>
          <w:rFonts w:ascii="mylotus" w:hAnsi="mylotus"/>
          <w:sz w:val="34"/>
          <w:szCs w:val="34"/>
          <w:rtl/>
        </w:rPr>
      </w:pPr>
      <w:r w:rsidRPr="007B4830">
        <w:rPr>
          <w:rFonts w:ascii="mylotus" w:hAnsi="mylotus"/>
          <w:b/>
          <w:bCs/>
          <w:sz w:val="34"/>
          <w:szCs w:val="34"/>
          <w:rtl/>
        </w:rPr>
        <w:lastRenderedPageBreak/>
        <w:t>المبنى الثالث:</w:t>
      </w:r>
      <w:r w:rsidRPr="00F751FC">
        <w:rPr>
          <w:rFonts w:ascii="mylotus" w:hAnsi="mylotus"/>
          <w:sz w:val="34"/>
          <w:szCs w:val="34"/>
          <w:rtl/>
        </w:rPr>
        <w:t xml:space="preserve"> ما هو ظاهر عبارة المحقّق الأصفهاني (قدس سره الشريف) مِن كشف عدم المنفعة عن عدم مِلكيّة المعوض بعد كون المنافع تابعة للعين وقد تلفت العين، فلَم</w:t>
      </w:r>
      <w:r>
        <w:rPr>
          <w:rFonts w:ascii="mylotus" w:hAnsi="mylotus" w:hint="cs"/>
          <w:sz w:val="34"/>
          <w:szCs w:val="34"/>
          <w:rtl/>
        </w:rPr>
        <w:t>ْ</w:t>
      </w:r>
      <w:r w:rsidRPr="00F751FC">
        <w:rPr>
          <w:rFonts w:ascii="mylotus" w:hAnsi="mylotus"/>
          <w:sz w:val="34"/>
          <w:szCs w:val="34"/>
          <w:rtl/>
        </w:rPr>
        <w:t xml:space="preserve"> يكن المؤجّر مالكاً للمنفعة لكي يملكها مِن دون فرقٍ بين أنْ يكون التلف مِن الأوّل أو في الوسط أو في الأخير، فإنّ الإجارة تبطل في المدّة الباقية لانكشاف عدم المنفعة، وإنْ صحتْ في الماضية، غايةُ الأمر يثبت الخيار مِن باب تبعّض الصفقة</w:t>
      </w:r>
      <w:r w:rsidRPr="00F751FC">
        <w:rPr>
          <w:rFonts w:ascii="mylotus" w:hAnsi="mylotus"/>
          <w:sz w:val="34"/>
          <w:szCs w:val="34"/>
        </w:rPr>
        <w:t>.</w:t>
      </w:r>
    </w:p>
    <w:p w14:paraId="00018A67" w14:textId="77777777" w:rsidR="00C6654A" w:rsidRPr="00F751FC" w:rsidRDefault="00C6654A" w:rsidP="00C6654A">
      <w:pPr>
        <w:pStyle w:val="a"/>
        <w:bidi/>
        <w:spacing w:line="216" w:lineRule="auto"/>
        <w:rPr>
          <w:rFonts w:ascii="mylotus" w:hAnsi="mylotus"/>
          <w:sz w:val="34"/>
          <w:szCs w:val="34"/>
          <w:rtl/>
        </w:rPr>
      </w:pPr>
      <w:r w:rsidRPr="007B4830">
        <w:rPr>
          <w:rFonts w:ascii="mylotus" w:hAnsi="mylotus"/>
          <w:b/>
          <w:bCs/>
          <w:sz w:val="34"/>
          <w:szCs w:val="34"/>
          <w:rtl/>
        </w:rPr>
        <w:t>والحاصل</w:t>
      </w:r>
      <w:r>
        <w:rPr>
          <w:rFonts w:ascii="mylotus" w:hAnsi="mylotus" w:hint="cs"/>
          <w:b/>
          <w:bCs/>
          <w:sz w:val="34"/>
          <w:szCs w:val="34"/>
          <w:rtl/>
        </w:rPr>
        <w:t>ُ</w:t>
      </w:r>
      <w:r w:rsidRPr="007B4830">
        <w:rPr>
          <w:rFonts w:ascii="mylotus" w:hAnsi="mylotus"/>
          <w:b/>
          <w:bCs/>
          <w:sz w:val="34"/>
          <w:szCs w:val="34"/>
          <w:rtl/>
        </w:rPr>
        <w:t>:</w:t>
      </w:r>
      <w:r w:rsidRPr="00F751FC">
        <w:rPr>
          <w:rFonts w:ascii="mylotus" w:hAnsi="mylotus"/>
          <w:sz w:val="34"/>
          <w:szCs w:val="34"/>
          <w:rtl/>
        </w:rPr>
        <w:t xml:space="preserve"> أن</w:t>
      </w:r>
      <w:r>
        <w:rPr>
          <w:rFonts w:ascii="mylotus" w:hAnsi="mylotus" w:hint="cs"/>
          <w:sz w:val="34"/>
          <w:szCs w:val="34"/>
          <w:rtl/>
        </w:rPr>
        <w:t>ّ</w:t>
      </w:r>
      <w:r w:rsidRPr="00F751FC">
        <w:rPr>
          <w:rFonts w:ascii="mylotus" w:hAnsi="mylotus"/>
          <w:sz w:val="34"/>
          <w:szCs w:val="34"/>
          <w:rtl/>
        </w:rPr>
        <w:t xml:space="preserve"> أصل البطلان مما لا بحث فيه، ولكن وقع البحث في أنّ رجوع الأُجرة للمُستأجر هل هو مِن حين الحكم ببطلان الإجارة أو مِن الأوّل؟</w:t>
      </w:r>
    </w:p>
    <w:p w14:paraId="56273981"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فإنْ قلنا بأنّ رجوع الأُجرة للمُستأجر مِن حين الحكم بالبطلان، فمقتضى ذلك أنّ كُلّ الأُجرة كانت مملوكة للمؤجّر واقعاً إلى يوم التلف، كما قيل بذلك في باب البيع مِن أنّه إذا تلف المبيع فإن</w:t>
      </w:r>
      <w:r>
        <w:rPr>
          <w:rFonts w:ascii="mylotus" w:hAnsi="mylotus" w:hint="cs"/>
          <w:sz w:val="34"/>
          <w:szCs w:val="34"/>
          <w:rtl/>
        </w:rPr>
        <w:t>ّ</w:t>
      </w:r>
      <w:r w:rsidRPr="00F751FC">
        <w:rPr>
          <w:rFonts w:ascii="mylotus" w:hAnsi="mylotus"/>
          <w:sz w:val="34"/>
          <w:szCs w:val="34"/>
          <w:rtl/>
        </w:rPr>
        <w:t>ه يرجع الثمن للمشتري مِن حين التلف لا مِن الأوّل، حيثُ إنّ تلف المبيع ق</w:t>
      </w:r>
      <w:r>
        <w:rPr>
          <w:rFonts w:ascii="mylotus" w:hAnsi="mylotus" w:hint="cs"/>
          <w:sz w:val="34"/>
          <w:szCs w:val="34"/>
          <w:rtl/>
        </w:rPr>
        <w:t>َ</w:t>
      </w:r>
      <w:r w:rsidRPr="00F751FC">
        <w:rPr>
          <w:rFonts w:ascii="mylotus" w:hAnsi="mylotus"/>
          <w:sz w:val="34"/>
          <w:szCs w:val="34"/>
          <w:rtl/>
        </w:rPr>
        <w:t>بل القبض بنظر المشهور موجب</w:t>
      </w:r>
      <w:r>
        <w:rPr>
          <w:rFonts w:ascii="mylotus" w:hAnsi="mylotus" w:hint="cs"/>
          <w:sz w:val="34"/>
          <w:szCs w:val="34"/>
          <w:rtl/>
        </w:rPr>
        <w:t>ٌ</w:t>
      </w:r>
      <w:r w:rsidRPr="00F751FC">
        <w:rPr>
          <w:rFonts w:ascii="mylotus" w:hAnsi="mylotus"/>
          <w:sz w:val="34"/>
          <w:szCs w:val="34"/>
          <w:rtl/>
        </w:rPr>
        <w:t xml:space="preserve"> للانفساخ مِن حين التلف، مع كونه ملكاً للمُشتري حين البيع</w:t>
      </w:r>
      <w:r w:rsidRPr="00F751FC">
        <w:rPr>
          <w:rFonts w:ascii="mylotus" w:hAnsi="mylotus"/>
          <w:sz w:val="34"/>
          <w:szCs w:val="34"/>
        </w:rPr>
        <w:t>.</w:t>
      </w:r>
    </w:p>
    <w:p w14:paraId="39D5EA86" w14:textId="77777777" w:rsidR="00C6654A" w:rsidRPr="004939E5" w:rsidRDefault="00C6654A" w:rsidP="00C6654A">
      <w:pPr>
        <w:pStyle w:val="a"/>
        <w:bidi/>
        <w:spacing w:line="216" w:lineRule="auto"/>
        <w:rPr>
          <w:rFonts w:ascii="mylotus" w:hAnsi="mylotus"/>
          <w:b/>
          <w:bCs/>
          <w:sz w:val="34"/>
          <w:szCs w:val="34"/>
          <w:rtl/>
        </w:rPr>
      </w:pPr>
      <w:r w:rsidRPr="004939E5">
        <w:rPr>
          <w:rFonts w:ascii="mylotus" w:hAnsi="mylotus"/>
          <w:b/>
          <w:bCs/>
          <w:sz w:val="34"/>
          <w:szCs w:val="34"/>
          <w:rtl/>
        </w:rPr>
        <w:t>وهنا ثمرتان تترتبُ على ذلك</w:t>
      </w:r>
      <w:r w:rsidRPr="004939E5">
        <w:rPr>
          <w:rFonts w:ascii="mylotus" w:hAnsi="mylotus"/>
          <w:b/>
          <w:bCs/>
          <w:sz w:val="34"/>
          <w:szCs w:val="34"/>
        </w:rPr>
        <w:t>:</w:t>
      </w:r>
    </w:p>
    <w:p w14:paraId="5E92E427" w14:textId="77777777" w:rsidR="00C6654A" w:rsidRPr="004939E5" w:rsidRDefault="00C6654A" w:rsidP="00C6654A">
      <w:pPr>
        <w:pStyle w:val="a"/>
        <w:bidi/>
        <w:spacing w:line="216" w:lineRule="auto"/>
        <w:rPr>
          <w:rFonts w:ascii="mylotus" w:hAnsi="mylotus"/>
          <w:b/>
          <w:bCs/>
          <w:sz w:val="34"/>
          <w:szCs w:val="34"/>
          <w:rtl/>
        </w:rPr>
      </w:pPr>
      <w:r w:rsidRPr="004939E5">
        <w:rPr>
          <w:rFonts w:ascii="mylotus" w:hAnsi="mylotus"/>
          <w:b/>
          <w:bCs/>
          <w:sz w:val="34"/>
          <w:szCs w:val="34"/>
          <w:rtl/>
        </w:rPr>
        <w:t>الثمرةُ الأُولى: النماء</w:t>
      </w:r>
      <w:r w:rsidRPr="004939E5">
        <w:rPr>
          <w:rFonts w:ascii="mylotus" w:hAnsi="mylotus"/>
          <w:b/>
          <w:bCs/>
          <w:sz w:val="34"/>
          <w:szCs w:val="34"/>
        </w:rPr>
        <w:t>.</w:t>
      </w:r>
    </w:p>
    <w:p w14:paraId="4447A554"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فلو نما المبيع في هذه الفترة قَبل تلفه، أو نمت الأُجرة ق</w:t>
      </w:r>
      <w:r>
        <w:rPr>
          <w:rFonts w:ascii="mylotus" w:hAnsi="mylotus" w:hint="cs"/>
          <w:sz w:val="34"/>
          <w:szCs w:val="34"/>
          <w:rtl/>
        </w:rPr>
        <w:t>َ</w:t>
      </w:r>
      <w:r w:rsidRPr="00F751FC">
        <w:rPr>
          <w:rFonts w:ascii="mylotus" w:hAnsi="mylotus"/>
          <w:sz w:val="34"/>
          <w:szCs w:val="34"/>
          <w:rtl/>
        </w:rPr>
        <w:t>بل التلف -إذ قد تكون الأُجرة عيناً مِن الأعيان التي لها نماء- فإن</w:t>
      </w:r>
      <w:r>
        <w:rPr>
          <w:rFonts w:ascii="mylotus" w:hAnsi="mylotus" w:hint="cs"/>
          <w:sz w:val="34"/>
          <w:szCs w:val="34"/>
          <w:rtl/>
        </w:rPr>
        <w:t>ْ</w:t>
      </w:r>
      <w:r w:rsidRPr="00F751FC">
        <w:rPr>
          <w:rFonts w:ascii="mylotus" w:hAnsi="mylotus"/>
          <w:sz w:val="34"/>
          <w:szCs w:val="34"/>
          <w:rtl/>
        </w:rPr>
        <w:t xml:space="preserve"> ق</w:t>
      </w:r>
      <w:r>
        <w:rPr>
          <w:rFonts w:ascii="mylotus" w:hAnsi="mylotus" w:hint="cs"/>
          <w:sz w:val="34"/>
          <w:szCs w:val="34"/>
          <w:rtl/>
        </w:rPr>
        <w:t>ُ</w:t>
      </w:r>
      <w:r w:rsidRPr="00F751FC">
        <w:rPr>
          <w:rFonts w:ascii="mylotus" w:hAnsi="mylotus"/>
          <w:sz w:val="34"/>
          <w:szCs w:val="34"/>
          <w:rtl/>
        </w:rPr>
        <w:t>لنا بالبطلان م</w:t>
      </w:r>
      <w:r>
        <w:rPr>
          <w:rFonts w:ascii="mylotus" w:hAnsi="mylotus" w:hint="cs"/>
          <w:sz w:val="34"/>
          <w:szCs w:val="34"/>
          <w:rtl/>
        </w:rPr>
        <w:t>ِ</w:t>
      </w:r>
      <w:r w:rsidRPr="00F751FC">
        <w:rPr>
          <w:rFonts w:ascii="mylotus" w:hAnsi="mylotus"/>
          <w:sz w:val="34"/>
          <w:szCs w:val="34"/>
          <w:rtl/>
        </w:rPr>
        <w:t>ن حين التلف كان النماء م</w:t>
      </w:r>
      <w:r>
        <w:rPr>
          <w:rFonts w:ascii="mylotus" w:hAnsi="mylotus" w:hint="cs"/>
          <w:sz w:val="34"/>
          <w:szCs w:val="34"/>
          <w:rtl/>
        </w:rPr>
        <w:t>ِ</w:t>
      </w:r>
      <w:r w:rsidRPr="00F751FC">
        <w:rPr>
          <w:rFonts w:ascii="mylotus" w:hAnsi="mylotus"/>
          <w:sz w:val="34"/>
          <w:szCs w:val="34"/>
          <w:rtl/>
        </w:rPr>
        <w:t>لكاً للمشتري في البيع، وكذا نماء الأُجرة يكون ملكاً للمُؤجّر -لا للمُستأجر- في الإجار</w:t>
      </w:r>
      <w:r>
        <w:rPr>
          <w:rFonts w:ascii="mylotus" w:hAnsi="mylotus" w:hint="cs"/>
          <w:sz w:val="34"/>
          <w:szCs w:val="34"/>
          <w:rtl/>
        </w:rPr>
        <w:t>ة.</w:t>
      </w:r>
    </w:p>
    <w:p w14:paraId="0B9E5658"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وإن</w:t>
      </w:r>
      <w:r>
        <w:rPr>
          <w:rFonts w:ascii="mylotus" w:hAnsi="mylotus" w:hint="cs"/>
          <w:sz w:val="34"/>
          <w:szCs w:val="34"/>
          <w:rtl/>
        </w:rPr>
        <w:t>ْ</w:t>
      </w:r>
      <w:r w:rsidRPr="00F751FC">
        <w:rPr>
          <w:rFonts w:ascii="mylotus" w:hAnsi="mylotus"/>
          <w:sz w:val="34"/>
          <w:szCs w:val="34"/>
          <w:rtl/>
        </w:rPr>
        <w:t xml:space="preserve"> قُلنا بأنّه ينكشف البطلان مِن الأول، فمقتضى ذلك أنّ نماء المبيع للبائع ونماء الأُجرة للم</w:t>
      </w:r>
      <w:r>
        <w:rPr>
          <w:rFonts w:ascii="mylotus" w:hAnsi="mylotus" w:hint="cs"/>
          <w:sz w:val="34"/>
          <w:szCs w:val="34"/>
          <w:rtl/>
        </w:rPr>
        <w:t>ُ</w:t>
      </w:r>
      <w:r w:rsidRPr="00F751FC">
        <w:rPr>
          <w:rFonts w:ascii="mylotus" w:hAnsi="mylotus"/>
          <w:sz w:val="34"/>
          <w:szCs w:val="34"/>
          <w:rtl/>
        </w:rPr>
        <w:t>ستأج</w:t>
      </w:r>
      <w:r>
        <w:rPr>
          <w:rFonts w:ascii="mylotus" w:hAnsi="mylotus" w:hint="cs"/>
          <w:sz w:val="34"/>
          <w:szCs w:val="34"/>
          <w:rtl/>
        </w:rPr>
        <w:t>ر.</w:t>
      </w:r>
    </w:p>
    <w:p w14:paraId="546324BE" w14:textId="77777777" w:rsidR="00C6654A" w:rsidRPr="004939E5" w:rsidRDefault="00C6654A" w:rsidP="00C6654A">
      <w:pPr>
        <w:pStyle w:val="a"/>
        <w:bidi/>
        <w:spacing w:line="216" w:lineRule="auto"/>
        <w:rPr>
          <w:rFonts w:ascii="mylotus" w:hAnsi="mylotus"/>
          <w:b/>
          <w:bCs/>
          <w:sz w:val="34"/>
          <w:szCs w:val="34"/>
          <w:rtl/>
        </w:rPr>
      </w:pPr>
      <w:r w:rsidRPr="004939E5">
        <w:rPr>
          <w:rFonts w:ascii="mylotus" w:hAnsi="mylotus"/>
          <w:b/>
          <w:bCs/>
          <w:sz w:val="34"/>
          <w:szCs w:val="34"/>
          <w:rtl/>
        </w:rPr>
        <w:t xml:space="preserve">الثمرةُ الثانية: نفوذ التصرف </w:t>
      </w:r>
      <w:proofErr w:type="gramStart"/>
      <w:r w:rsidRPr="004939E5">
        <w:rPr>
          <w:rFonts w:ascii="mylotus" w:hAnsi="mylotus"/>
          <w:b/>
          <w:bCs/>
          <w:sz w:val="34"/>
          <w:szCs w:val="34"/>
          <w:rtl/>
        </w:rPr>
        <w:t>وعدمه</w:t>
      </w:r>
      <w:r w:rsidRPr="004939E5">
        <w:rPr>
          <w:rFonts w:ascii="mylotus" w:hAnsi="mylotus"/>
          <w:b/>
          <w:bCs/>
          <w:sz w:val="34"/>
          <w:szCs w:val="34"/>
        </w:rPr>
        <w:t xml:space="preserve"> .</w:t>
      </w:r>
      <w:proofErr w:type="gramEnd"/>
    </w:p>
    <w:p w14:paraId="7A855E64"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فلو فرض أن</w:t>
      </w:r>
      <w:r>
        <w:rPr>
          <w:rFonts w:ascii="mylotus" w:hAnsi="mylotus" w:hint="cs"/>
          <w:sz w:val="34"/>
          <w:szCs w:val="34"/>
          <w:rtl/>
        </w:rPr>
        <w:t>ّ</w:t>
      </w:r>
      <w:r w:rsidRPr="00F751FC">
        <w:rPr>
          <w:rFonts w:ascii="mylotus" w:hAnsi="mylotus"/>
          <w:sz w:val="34"/>
          <w:szCs w:val="34"/>
          <w:rtl/>
        </w:rPr>
        <w:t xml:space="preserve"> الم</w:t>
      </w:r>
      <w:r>
        <w:rPr>
          <w:rFonts w:ascii="mylotus" w:hAnsi="mylotus" w:hint="cs"/>
          <w:sz w:val="34"/>
          <w:szCs w:val="34"/>
          <w:rtl/>
        </w:rPr>
        <w:t>ُ</w:t>
      </w:r>
      <w:r w:rsidRPr="00F751FC">
        <w:rPr>
          <w:rFonts w:ascii="mylotus" w:hAnsi="mylotus"/>
          <w:sz w:val="34"/>
          <w:szCs w:val="34"/>
          <w:rtl/>
        </w:rPr>
        <w:t>شتري تصر</w:t>
      </w:r>
      <w:r>
        <w:rPr>
          <w:rFonts w:ascii="mylotus" w:hAnsi="mylotus" w:hint="cs"/>
          <w:sz w:val="34"/>
          <w:szCs w:val="34"/>
          <w:rtl/>
        </w:rPr>
        <w:t>ّ</w:t>
      </w:r>
      <w:r w:rsidRPr="00F751FC">
        <w:rPr>
          <w:rFonts w:ascii="mylotus" w:hAnsi="mylotus"/>
          <w:sz w:val="34"/>
          <w:szCs w:val="34"/>
          <w:rtl/>
        </w:rPr>
        <w:t>ف في المبيع ببيعه ق</w:t>
      </w:r>
      <w:r>
        <w:rPr>
          <w:rFonts w:ascii="mylotus" w:hAnsi="mylotus" w:hint="cs"/>
          <w:sz w:val="34"/>
          <w:szCs w:val="34"/>
          <w:rtl/>
        </w:rPr>
        <w:t>َ</w:t>
      </w:r>
      <w:r w:rsidRPr="00F751FC">
        <w:rPr>
          <w:rFonts w:ascii="mylotus" w:hAnsi="mylotus"/>
          <w:sz w:val="34"/>
          <w:szCs w:val="34"/>
          <w:rtl/>
        </w:rPr>
        <w:t>بل أنْ يستلمه، حيثُ لا يشترط في صح</w:t>
      </w:r>
      <w:r>
        <w:rPr>
          <w:rFonts w:ascii="mylotus" w:hAnsi="mylotus" w:hint="cs"/>
          <w:sz w:val="34"/>
          <w:szCs w:val="34"/>
          <w:rtl/>
        </w:rPr>
        <w:t>ّ</w:t>
      </w:r>
      <w:r w:rsidRPr="00F751FC">
        <w:rPr>
          <w:rFonts w:ascii="mylotus" w:hAnsi="mylotus"/>
          <w:sz w:val="34"/>
          <w:szCs w:val="34"/>
          <w:rtl/>
        </w:rPr>
        <w:t>ة البيع قبض المبيع في غير الذهب والفضة</w:t>
      </w:r>
      <w:r w:rsidRPr="00F751FC">
        <w:rPr>
          <w:rFonts w:ascii="mylotus" w:hAnsi="mylotus"/>
          <w:sz w:val="34"/>
          <w:szCs w:val="34"/>
        </w:rPr>
        <w:t>.</w:t>
      </w:r>
    </w:p>
    <w:p w14:paraId="69832C92"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فإنْ قُلنا بالانفساخ حين التلف، كان تصر</w:t>
      </w:r>
      <w:r>
        <w:rPr>
          <w:rFonts w:ascii="mylotus" w:hAnsi="mylotus" w:hint="cs"/>
          <w:sz w:val="34"/>
          <w:szCs w:val="34"/>
          <w:rtl/>
        </w:rPr>
        <w:t>ّ</w:t>
      </w:r>
      <w:r w:rsidRPr="00F751FC">
        <w:rPr>
          <w:rFonts w:ascii="mylotus" w:hAnsi="mylotus"/>
          <w:sz w:val="34"/>
          <w:szCs w:val="34"/>
          <w:rtl/>
        </w:rPr>
        <w:t>ف المُشتري في المبيع تصرفاً نافذاً؛ لأنّه تصرف فيما هو م</w:t>
      </w:r>
      <w:r>
        <w:rPr>
          <w:rFonts w:ascii="mylotus" w:hAnsi="mylotus" w:hint="cs"/>
          <w:sz w:val="34"/>
          <w:szCs w:val="34"/>
          <w:rtl/>
        </w:rPr>
        <w:t>ِ</w:t>
      </w:r>
      <w:r w:rsidRPr="00F751FC">
        <w:rPr>
          <w:rFonts w:ascii="mylotus" w:hAnsi="mylotus"/>
          <w:sz w:val="34"/>
          <w:szCs w:val="34"/>
          <w:rtl/>
        </w:rPr>
        <w:t>لكه</w:t>
      </w:r>
      <w:r w:rsidRPr="00F751FC">
        <w:rPr>
          <w:rFonts w:ascii="mylotus" w:hAnsi="mylotus"/>
          <w:sz w:val="34"/>
          <w:szCs w:val="34"/>
        </w:rPr>
        <w:t>.</w:t>
      </w:r>
    </w:p>
    <w:p w14:paraId="6851BBD2"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وإنْ قُلنا بانكشاف البطلان، كان تصر</w:t>
      </w:r>
      <w:r>
        <w:rPr>
          <w:rFonts w:ascii="mylotus" w:hAnsi="mylotus" w:hint="cs"/>
          <w:sz w:val="34"/>
          <w:szCs w:val="34"/>
          <w:rtl/>
        </w:rPr>
        <w:t>ّ</w:t>
      </w:r>
      <w:r w:rsidRPr="00F751FC">
        <w:rPr>
          <w:rFonts w:ascii="mylotus" w:hAnsi="mylotus"/>
          <w:sz w:val="34"/>
          <w:szCs w:val="34"/>
          <w:rtl/>
        </w:rPr>
        <w:t>فه في المبيع تصر</w:t>
      </w:r>
      <w:r>
        <w:rPr>
          <w:rFonts w:ascii="mylotus" w:hAnsi="mylotus" w:hint="cs"/>
          <w:sz w:val="34"/>
          <w:szCs w:val="34"/>
          <w:rtl/>
        </w:rPr>
        <w:t>ّ</w:t>
      </w:r>
      <w:r w:rsidRPr="00F751FC">
        <w:rPr>
          <w:rFonts w:ascii="mylotus" w:hAnsi="mylotus"/>
          <w:sz w:val="34"/>
          <w:szCs w:val="34"/>
          <w:rtl/>
        </w:rPr>
        <w:t>فاً فضولياً يتوقّفُ على إجازة البائع</w:t>
      </w:r>
      <w:r w:rsidRPr="00F751FC">
        <w:rPr>
          <w:rFonts w:ascii="mylotus" w:hAnsi="mylotus"/>
          <w:sz w:val="34"/>
          <w:szCs w:val="34"/>
        </w:rPr>
        <w:t>.</w:t>
      </w:r>
    </w:p>
    <w:p w14:paraId="229F5EE0"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وكذا الكلامُ في التصرف في تمام الأُجرة قَبل تلف المنافع</w:t>
      </w:r>
      <w:r w:rsidRPr="00F751FC">
        <w:rPr>
          <w:rFonts w:ascii="mylotus" w:hAnsi="mylotus"/>
          <w:sz w:val="34"/>
          <w:szCs w:val="34"/>
        </w:rPr>
        <w:t>.</w:t>
      </w:r>
    </w:p>
    <w:p w14:paraId="57078D51" w14:textId="77777777" w:rsidR="00C6654A" w:rsidRPr="004939E5" w:rsidRDefault="00C6654A" w:rsidP="00C6654A">
      <w:pPr>
        <w:pStyle w:val="a"/>
        <w:bidi/>
        <w:spacing w:line="216" w:lineRule="auto"/>
        <w:rPr>
          <w:rFonts w:ascii="mylotus" w:hAnsi="mylotus"/>
          <w:b/>
          <w:bCs/>
          <w:sz w:val="34"/>
          <w:szCs w:val="34"/>
          <w:rtl/>
        </w:rPr>
      </w:pPr>
      <w:r w:rsidRPr="00F751FC">
        <w:rPr>
          <w:rFonts w:ascii="mylotus" w:hAnsi="mylotus"/>
          <w:sz w:val="34"/>
          <w:szCs w:val="34"/>
          <w:rtl/>
        </w:rPr>
        <w:t>وقد أفاض سيدنا الخوئي (قدس سره الشريف) في كتاب الإجارة مِن موسوعته المباركة في توضيح المطلب بقوله</w:t>
      </w:r>
      <w:r>
        <w:rPr>
          <w:rStyle w:val="FootnoteReference"/>
          <w:rFonts w:ascii="mylotus" w:hAnsi="mylotus"/>
          <w:sz w:val="34"/>
          <w:szCs w:val="34"/>
          <w:rtl/>
        </w:rPr>
        <w:footnoteReference w:id="276"/>
      </w:r>
      <w:r w:rsidRPr="00F751FC">
        <w:rPr>
          <w:rFonts w:ascii="mylotus" w:hAnsi="mylotus"/>
          <w:sz w:val="34"/>
          <w:szCs w:val="34"/>
          <w:rtl/>
        </w:rPr>
        <w:t xml:space="preserve">: </w:t>
      </w:r>
      <w:r w:rsidRPr="004939E5">
        <w:rPr>
          <w:rFonts w:ascii="mylotus" w:hAnsi="mylotus"/>
          <w:b/>
          <w:bCs/>
          <w:sz w:val="34"/>
          <w:szCs w:val="34"/>
          <w:rtl/>
        </w:rPr>
        <w:t xml:space="preserve">(وإنّما الكلام في أنّ الرجوع المزبور هل هو من حين </w:t>
      </w:r>
      <w:proofErr w:type="spellStart"/>
      <w:r w:rsidRPr="004939E5">
        <w:rPr>
          <w:rFonts w:ascii="mylotus" w:hAnsi="mylotus"/>
          <w:b/>
          <w:bCs/>
          <w:sz w:val="34"/>
          <w:szCs w:val="34"/>
          <w:rtl/>
        </w:rPr>
        <w:t>الخكم</w:t>
      </w:r>
      <w:proofErr w:type="spellEnd"/>
      <w:r w:rsidRPr="004939E5">
        <w:rPr>
          <w:rFonts w:ascii="mylotus" w:hAnsi="mylotus"/>
          <w:b/>
          <w:bCs/>
          <w:sz w:val="34"/>
          <w:szCs w:val="34"/>
          <w:rtl/>
        </w:rPr>
        <w:t xml:space="preserve"> بالبطلان بحيث كانت مملوكة منذ العقد إلى الآن للمؤجّر حتى واقعاً، كما هو كذلك في باب البيع بلا كلام، حيثُ إنّ تلف المبيع قبل القبض موجب للانفساخ من الآن مع كونه ملكاً للمشتري كالثمن للبائع قبل هذا، حتى في الواقع ونفس الأمر</w:t>
      </w:r>
      <w:r w:rsidRPr="004939E5">
        <w:rPr>
          <w:rFonts w:ascii="mylotus" w:hAnsi="mylotus"/>
          <w:b/>
          <w:bCs/>
          <w:sz w:val="34"/>
          <w:szCs w:val="34"/>
        </w:rPr>
        <w:t>.</w:t>
      </w:r>
    </w:p>
    <w:p w14:paraId="57C54360" w14:textId="77777777" w:rsidR="00C6654A" w:rsidRPr="00F751FC" w:rsidRDefault="00C6654A" w:rsidP="00C6654A">
      <w:pPr>
        <w:pStyle w:val="a"/>
        <w:bidi/>
        <w:spacing w:line="216" w:lineRule="auto"/>
        <w:rPr>
          <w:rFonts w:ascii="mylotus" w:hAnsi="mylotus"/>
          <w:sz w:val="34"/>
          <w:szCs w:val="34"/>
          <w:rtl/>
        </w:rPr>
      </w:pPr>
      <w:r w:rsidRPr="004939E5">
        <w:rPr>
          <w:rFonts w:ascii="mylotus" w:hAnsi="mylotus"/>
          <w:b/>
          <w:bCs/>
          <w:sz w:val="34"/>
          <w:szCs w:val="34"/>
          <w:rtl/>
        </w:rPr>
        <w:t>أو أنّ التلف كاشف عن عدم كون الأجرة مملوكة له -أي للمؤجّر- من أوّل الأمر وإن تخيّل كونه مالكاً بحيث لو تصرّف فيها كان تصرّفه فضولياً منوطاً بإجازة المُستأجر؟</w:t>
      </w:r>
    </w:p>
    <w:p w14:paraId="45B6A9BE" w14:textId="77777777" w:rsidR="00C6654A" w:rsidRPr="00F751FC" w:rsidRDefault="00C6654A" w:rsidP="00C6654A">
      <w:pPr>
        <w:pStyle w:val="a"/>
        <w:bidi/>
        <w:spacing w:line="216" w:lineRule="auto"/>
        <w:rPr>
          <w:rFonts w:ascii="mylotus" w:hAnsi="mylotus"/>
          <w:sz w:val="34"/>
          <w:szCs w:val="34"/>
          <w:rtl/>
        </w:rPr>
      </w:pPr>
      <w:r w:rsidRPr="004939E5">
        <w:rPr>
          <w:rFonts w:ascii="mylotus" w:hAnsi="mylotus"/>
          <w:b/>
          <w:bCs/>
          <w:sz w:val="34"/>
          <w:szCs w:val="34"/>
          <w:rtl/>
        </w:rPr>
        <w:lastRenderedPageBreak/>
        <w:t>وظاهر كلمات المشهور -كما في المتن- هو الأوّل، حيث عبّروا -كما في الشرائع</w:t>
      </w:r>
      <w:r>
        <w:rPr>
          <w:rStyle w:val="FootnoteReference"/>
          <w:rFonts w:ascii="mylotus" w:hAnsi="mylotus"/>
          <w:sz w:val="34"/>
          <w:szCs w:val="34"/>
          <w:rtl/>
        </w:rPr>
        <w:footnoteReference w:id="277"/>
      </w:r>
      <w:r w:rsidRPr="00F751FC">
        <w:rPr>
          <w:rFonts w:ascii="mylotus" w:hAnsi="mylotus"/>
          <w:sz w:val="34"/>
          <w:szCs w:val="34"/>
          <w:rtl/>
        </w:rPr>
        <w:t xml:space="preserve">- </w:t>
      </w:r>
      <w:r w:rsidRPr="004939E5">
        <w:rPr>
          <w:rFonts w:ascii="mylotus" w:hAnsi="mylotus"/>
          <w:b/>
          <w:bCs/>
          <w:sz w:val="34"/>
          <w:szCs w:val="34"/>
          <w:rtl/>
        </w:rPr>
        <w:t>بانفساخ الإجارة كما عبّروا بانفساخ البيع الظاهر في صحّتها إلى الآن)</w:t>
      </w:r>
      <w:r w:rsidRPr="00F751FC">
        <w:rPr>
          <w:rFonts w:ascii="mylotus" w:hAnsi="mylotus"/>
          <w:sz w:val="34"/>
          <w:szCs w:val="34"/>
          <w:rtl/>
        </w:rPr>
        <w:t xml:space="preserve"> أي: إلى حين التلف </w:t>
      </w:r>
      <w:r w:rsidRPr="004939E5">
        <w:rPr>
          <w:rFonts w:ascii="mylotus" w:hAnsi="mylotus"/>
          <w:b/>
          <w:bCs/>
          <w:sz w:val="34"/>
          <w:szCs w:val="34"/>
          <w:rtl/>
        </w:rPr>
        <w:t xml:space="preserve">(وأنّها إنّما تنفسخ من حين التلف، والاُجرة) </w:t>
      </w:r>
      <w:r w:rsidRPr="00F751FC">
        <w:rPr>
          <w:rFonts w:ascii="mylotus" w:hAnsi="mylotus"/>
          <w:sz w:val="34"/>
          <w:szCs w:val="34"/>
          <w:rtl/>
        </w:rPr>
        <w:t xml:space="preserve">المقابلة للمنفعة التالفة </w:t>
      </w:r>
      <w:r w:rsidRPr="004939E5">
        <w:rPr>
          <w:rFonts w:ascii="mylotus" w:hAnsi="mylotus"/>
          <w:b/>
          <w:bCs/>
          <w:sz w:val="34"/>
          <w:szCs w:val="34"/>
          <w:rtl/>
        </w:rPr>
        <w:t>(ملك للمؤجّر قبل الانفساخ، وتصرّفه فيها تصرّف صحيح، لأنّه من تصرّف المالك في ملكه، غاية الأمر أنّه بعد الانفساخ)</w:t>
      </w:r>
      <w:r w:rsidRPr="00F751FC">
        <w:rPr>
          <w:rFonts w:ascii="mylotus" w:hAnsi="mylotus"/>
          <w:sz w:val="34"/>
          <w:szCs w:val="34"/>
          <w:rtl/>
        </w:rPr>
        <w:t xml:space="preserve"> يكون المؤجّر مطالباً بردّ الأُجرة، وحيث لَم توجد </w:t>
      </w:r>
      <w:r w:rsidRPr="004939E5">
        <w:rPr>
          <w:rFonts w:ascii="mylotus" w:hAnsi="mylotus"/>
          <w:b/>
          <w:bCs/>
          <w:sz w:val="34"/>
          <w:szCs w:val="34"/>
          <w:rtl/>
        </w:rPr>
        <w:t>(إذا لم يمكن الردّ ينتقل إلى البدل كما في البيع)</w:t>
      </w:r>
      <w:r w:rsidRPr="004939E5">
        <w:rPr>
          <w:rFonts w:ascii="mylotus" w:hAnsi="mylotus"/>
          <w:b/>
          <w:bCs/>
          <w:sz w:val="34"/>
          <w:szCs w:val="34"/>
        </w:rPr>
        <w:t>.</w:t>
      </w:r>
    </w:p>
    <w:p w14:paraId="0B9ABF22" w14:textId="77777777" w:rsidR="00C6654A" w:rsidRDefault="00C6654A" w:rsidP="00C6654A">
      <w:pPr>
        <w:pStyle w:val="a"/>
        <w:bidi/>
        <w:spacing w:line="216" w:lineRule="auto"/>
        <w:rPr>
          <w:rFonts w:ascii="mylotus" w:hAnsi="mylotus"/>
          <w:sz w:val="34"/>
          <w:szCs w:val="34"/>
          <w:rtl/>
        </w:rPr>
      </w:pPr>
      <w:r w:rsidRPr="00F751FC">
        <w:rPr>
          <w:rFonts w:ascii="mylotus" w:hAnsi="mylotus"/>
          <w:sz w:val="34"/>
          <w:szCs w:val="34"/>
          <w:rtl/>
        </w:rPr>
        <w:t>وأعقب</w:t>
      </w:r>
      <w:r>
        <w:rPr>
          <w:rFonts w:ascii="mylotus" w:hAnsi="mylotus" w:hint="cs"/>
          <w:sz w:val="34"/>
          <w:szCs w:val="34"/>
          <w:rtl/>
        </w:rPr>
        <w:t>َ</w:t>
      </w:r>
      <w:r w:rsidRPr="00F751FC">
        <w:rPr>
          <w:rFonts w:ascii="mylotus" w:hAnsi="mylotus"/>
          <w:sz w:val="34"/>
          <w:szCs w:val="34"/>
          <w:rtl/>
        </w:rPr>
        <w:t xml:space="preserve"> ذلك</w:t>
      </w:r>
      <w:r>
        <w:rPr>
          <w:rFonts w:ascii="mylotus" w:hAnsi="mylotus" w:hint="cs"/>
          <w:sz w:val="34"/>
          <w:szCs w:val="34"/>
          <w:rtl/>
        </w:rPr>
        <w:t>َ</w:t>
      </w:r>
      <w:r w:rsidRPr="00F751FC">
        <w:rPr>
          <w:rFonts w:ascii="mylotus" w:hAnsi="mylotus"/>
          <w:sz w:val="34"/>
          <w:szCs w:val="34"/>
          <w:rtl/>
        </w:rPr>
        <w:t xml:space="preserve"> (قدس سره</w:t>
      </w:r>
      <w:r>
        <w:rPr>
          <w:rFonts w:ascii="mylotus" w:hAnsi="mylotus" w:hint="cs"/>
          <w:sz w:val="34"/>
          <w:szCs w:val="34"/>
          <w:rtl/>
        </w:rPr>
        <w:t xml:space="preserve"> الشريف</w:t>
      </w:r>
      <w:r w:rsidRPr="00F751FC">
        <w:rPr>
          <w:rFonts w:ascii="mylotus" w:hAnsi="mylotus"/>
          <w:sz w:val="34"/>
          <w:szCs w:val="34"/>
          <w:rtl/>
        </w:rPr>
        <w:t>) بقوله</w:t>
      </w:r>
      <w:r>
        <w:rPr>
          <w:rStyle w:val="FootnoteReference"/>
          <w:rFonts w:ascii="mylotus" w:hAnsi="mylotus"/>
          <w:sz w:val="34"/>
          <w:szCs w:val="34"/>
          <w:rtl/>
        </w:rPr>
        <w:footnoteReference w:id="278"/>
      </w:r>
      <w:r w:rsidRPr="00F751FC">
        <w:rPr>
          <w:rFonts w:ascii="mylotus" w:hAnsi="mylotus"/>
          <w:sz w:val="34"/>
          <w:szCs w:val="34"/>
          <w:rtl/>
        </w:rPr>
        <w:t xml:space="preserve">: </w:t>
      </w:r>
      <w:r w:rsidRPr="004939E5">
        <w:rPr>
          <w:rFonts w:ascii="mylotus" w:hAnsi="mylotus"/>
          <w:b/>
          <w:bCs/>
          <w:sz w:val="34"/>
          <w:szCs w:val="34"/>
          <w:rtl/>
        </w:rPr>
        <w:t>(ولكن الماتن أشكل عليهم بما هو في محلّه. وحاصل ما ذكره (قدس سره): ثبوت الفرق الواضح بين الموردين، فإنّ الحكم المزبور)</w:t>
      </w:r>
      <w:r w:rsidRPr="00F751FC">
        <w:rPr>
          <w:rFonts w:ascii="mylotus" w:hAnsi="mylotus"/>
          <w:sz w:val="34"/>
          <w:szCs w:val="34"/>
          <w:rtl/>
        </w:rPr>
        <w:t xml:space="preserve"> أي: الحكم بالانفساخ في باب البيع </w:t>
      </w:r>
      <w:r w:rsidRPr="004939E5">
        <w:rPr>
          <w:rFonts w:ascii="mylotus" w:hAnsi="mylotus"/>
          <w:b/>
          <w:bCs/>
          <w:sz w:val="34"/>
          <w:szCs w:val="34"/>
          <w:rtl/>
        </w:rPr>
        <w:t>(مطابق لمقتضى القاعدة في باب البيع، نظرا ً إلى تعلّق الملكيّة فيه بنفس العين)</w:t>
      </w:r>
      <w:r w:rsidRPr="00F751FC">
        <w:rPr>
          <w:rFonts w:ascii="mylotus" w:hAnsi="mylotus"/>
          <w:sz w:val="34"/>
          <w:szCs w:val="34"/>
          <w:rtl/>
        </w:rPr>
        <w:t xml:space="preserve"> والعين كانت موجودة </w:t>
      </w:r>
      <w:r w:rsidRPr="004939E5">
        <w:rPr>
          <w:rFonts w:ascii="mylotus" w:hAnsi="mylotus"/>
          <w:b/>
          <w:bCs/>
          <w:sz w:val="34"/>
          <w:szCs w:val="34"/>
          <w:rtl/>
        </w:rPr>
        <w:t>(وبما أنّها موجودة حال البيع، فلا جرم كان المشتري مالكاً لها بعد العقد)</w:t>
      </w:r>
      <w:r w:rsidRPr="00F751FC">
        <w:rPr>
          <w:rFonts w:ascii="mylotus" w:hAnsi="mylotus"/>
          <w:sz w:val="34"/>
          <w:szCs w:val="34"/>
          <w:rtl/>
        </w:rPr>
        <w:t xml:space="preserve"> حيثُ تمّ البيع </w:t>
      </w:r>
      <w:r w:rsidRPr="004939E5">
        <w:rPr>
          <w:rFonts w:ascii="mylotus" w:hAnsi="mylotus"/>
          <w:b/>
          <w:bCs/>
          <w:sz w:val="34"/>
          <w:szCs w:val="34"/>
          <w:rtl/>
        </w:rPr>
        <w:t>(فلو عرض التلف بعدئذٍ)</w:t>
      </w:r>
      <w:r w:rsidRPr="00F751FC">
        <w:rPr>
          <w:rFonts w:ascii="mylotus" w:hAnsi="mylotus"/>
          <w:sz w:val="34"/>
          <w:szCs w:val="34"/>
          <w:rtl/>
        </w:rPr>
        <w:t xml:space="preserve"> ولو كان التلف قّبل القبض </w:t>
      </w:r>
      <w:r w:rsidRPr="004939E5">
        <w:rPr>
          <w:rFonts w:ascii="mylotus" w:hAnsi="mylotus"/>
          <w:b/>
          <w:bCs/>
          <w:sz w:val="34"/>
          <w:szCs w:val="34"/>
          <w:rtl/>
        </w:rPr>
        <w:t xml:space="preserve">(كان مقتضى القاعدة الأوّلية أن يكون) </w:t>
      </w:r>
      <w:r w:rsidRPr="00F751FC">
        <w:rPr>
          <w:rFonts w:ascii="mylotus" w:hAnsi="mylotus"/>
          <w:sz w:val="34"/>
          <w:szCs w:val="34"/>
          <w:rtl/>
        </w:rPr>
        <w:t xml:space="preserve">التلف </w:t>
      </w:r>
      <w:r w:rsidRPr="004939E5">
        <w:rPr>
          <w:rFonts w:ascii="mylotus" w:hAnsi="mylotus"/>
          <w:b/>
          <w:bCs/>
          <w:sz w:val="34"/>
          <w:szCs w:val="34"/>
          <w:rtl/>
        </w:rPr>
        <w:t xml:space="preserve">(في مال المشتري، لأنّه طرأ في ملكه ولكنّه من أجل السيرة العقلائية) </w:t>
      </w:r>
      <w:r w:rsidRPr="00F751FC">
        <w:rPr>
          <w:rFonts w:ascii="mylotus" w:hAnsi="mylotus"/>
          <w:sz w:val="34"/>
          <w:szCs w:val="34"/>
          <w:rtl/>
        </w:rPr>
        <w:t xml:space="preserve">التي قامت على الانفساخ </w:t>
      </w:r>
      <w:r w:rsidRPr="004939E5">
        <w:rPr>
          <w:rFonts w:ascii="mylotus" w:hAnsi="mylotus"/>
          <w:b/>
          <w:bCs/>
          <w:sz w:val="34"/>
          <w:szCs w:val="34"/>
          <w:rtl/>
        </w:rPr>
        <w:t>(مضافاً إلى النص)</w:t>
      </w:r>
      <w:r w:rsidRPr="00F751FC">
        <w:rPr>
          <w:rFonts w:ascii="mylotus" w:hAnsi="mylotus"/>
          <w:sz w:val="34"/>
          <w:szCs w:val="34"/>
          <w:rtl/>
        </w:rPr>
        <w:t xml:space="preserve"> الوارد في عوالي اللئالي: "كل مبيع تلف قبل قبضه، فهو من مال بائعه" </w:t>
      </w:r>
      <w:r w:rsidRPr="004939E5">
        <w:rPr>
          <w:rFonts w:ascii="mylotus" w:hAnsi="mylotus"/>
          <w:b/>
          <w:bCs/>
          <w:sz w:val="34"/>
          <w:szCs w:val="34"/>
          <w:rtl/>
        </w:rPr>
        <w:t xml:space="preserve">(الناطق بالضمان والانفساخ) </w:t>
      </w:r>
      <w:r w:rsidRPr="00F751FC">
        <w:rPr>
          <w:rFonts w:ascii="mylotus" w:hAnsi="mylotus"/>
          <w:sz w:val="34"/>
          <w:szCs w:val="34"/>
          <w:rtl/>
        </w:rPr>
        <w:t>م</w:t>
      </w:r>
      <w:r>
        <w:rPr>
          <w:rFonts w:ascii="mylotus" w:hAnsi="mylotus" w:hint="cs"/>
          <w:sz w:val="34"/>
          <w:szCs w:val="34"/>
          <w:rtl/>
        </w:rPr>
        <w:t>ِ</w:t>
      </w:r>
      <w:r w:rsidRPr="00F751FC">
        <w:rPr>
          <w:rFonts w:ascii="mylotus" w:hAnsi="mylotus"/>
          <w:sz w:val="34"/>
          <w:szCs w:val="34"/>
          <w:rtl/>
        </w:rPr>
        <w:t xml:space="preserve">ن خلال قوله </w:t>
      </w:r>
      <w:r>
        <w:rPr>
          <w:rFonts w:ascii="mylotus" w:hAnsi="mylotus" w:hint="cs"/>
          <w:sz w:val="34"/>
          <w:szCs w:val="34"/>
          <w:rtl/>
        </w:rPr>
        <w:t>(صلى الله عليه وآله)</w:t>
      </w:r>
      <w:r w:rsidRPr="00F751FC">
        <w:rPr>
          <w:rFonts w:ascii="mylotus" w:hAnsi="mylotus"/>
          <w:sz w:val="34"/>
          <w:szCs w:val="34"/>
          <w:rtl/>
        </w:rPr>
        <w:t>: "من مال بائعه"</w:t>
      </w:r>
      <w:r>
        <w:rPr>
          <w:rFonts w:ascii="mylotus" w:hAnsi="mylotus" w:hint="cs"/>
          <w:sz w:val="34"/>
          <w:szCs w:val="34"/>
          <w:rtl/>
        </w:rPr>
        <w:t>،</w:t>
      </w:r>
      <w:r w:rsidRPr="00F751FC">
        <w:rPr>
          <w:rFonts w:ascii="mylotus" w:hAnsi="mylotus"/>
          <w:sz w:val="34"/>
          <w:szCs w:val="34"/>
          <w:rtl/>
        </w:rPr>
        <w:t xml:space="preserve"> وليس البطلان </w:t>
      </w:r>
      <w:r w:rsidRPr="004939E5">
        <w:rPr>
          <w:rFonts w:ascii="mylotus" w:hAnsi="mylotus"/>
          <w:b/>
          <w:bCs/>
          <w:sz w:val="34"/>
          <w:szCs w:val="34"/>
          <w:rtl/>
        </w:rPr>
        <w:t>(يلتزم برجوعه)</w:t>
      </w:r>
      <w:r w:rsidRPr="00F751FC">
        <w:rPr>
          <w:rFonts w:ascii="mylotus" w:hAnsi="mylotus"/>
          <w:sz w:val="34"/>
          <w:szCs w:val="34"/>
          <w:rtl/>
        </w:rPr>
        <w:t xml:space="preserve"> أي: المبيع </w:t>
      </w:r>
      <w:r w:rsidRPr="004939E5">
        <w:rPr>
          <w:rFonts w:ascii="mylotus" w:hAnsi="mylotus"/>
          <w:b/>
          <w:bCs/>
          <w:sz w:val="34"/>
          <w:szCs w:val="34"/>
          <w:rtl/>
        </w:rPr>
        <w:t>(آناً ما إلى البائع وكون التلف في ملكه)</w:t>
      </w:r>
      <w:r>
        <w:rPr>
          <w:rFonts w:ascii="mylotus" w:hAnsi="mylotus" w:hint="cs"/>
          <w:sz w:val="34"/>
          <w:szCs w:val="34"/>
          <w:rtl/>
        </w:rPr>
        <w:t xml:space="preserve"> </w:t>
      </w:r>
      <w:r w:rsidRPr="00F751FC">
        <w:rPr>
          <w:rFonts w:ascii="mylotus" w:hAnsi="mylotus"/>
          <w:sz w:val="34"/>
          <w:szCs w:val="34"/>
          <w:rtl/>
        </w:rPr>
        <w:t>وهو ما يسمى بـ "الم</w:t>
      </w:r>
      <w:r>
        <w:rPr>
          <w:rFonts w:ascii="mylotus" w:hAnsi="mylotus" w:hint="cs"/>
          <w:sz w:val="34"/>
          <w:szCs w:val="34"/>
          <w:rtl/>
        </w:rPr>
        <w:t>ِ</w:t>
      </w:r>
      <w:r w:rsidRPr="00F751FC">
        <w:rPr>
          <w:rFonts w:ascii="mylotus" w:hAnsi="mylotus"/>
          <w:sz w:val="34"/>
          <w:szCs w:val="34"/>
          <w:rtl/>
        </w:rPr>
        <w:t>لكي</w:t>
      </w:r>
      <w:r>
        <w:rPr>
          <w:rFonts w:ascii="mylotus" w:hAnsi="mylotus" w:hint="cs"/>
          <w:sz w:val="34"/>
          <w:szCs w:val="34"/>
          <w:rtl/>
        </w:rPr>
        <w:t>ّ</w:t>
      </w:r>
      <w:r w:rsidRPr="00F751FC">
        <w:rPr>
          <w:rFonts w:ascii="mylotus" w:hAnsi="mylotus"/>
          <w:sz w:val="34"/>
          <w:szCs w:val="34"/>
          <w:rtl/>
        </w:rPr>
        <w:t xml:space="preserve">ة التقديرية" </w:t>
      </w:r>
      <w:r w:rsidRPr="004939E5">
        <w:rPr>
          <w:rFonts w:ascii="mylotus" w:hAnsi="mylotus"/>
          <w:b/>
          <w:bCs/>
          <w:sz w:val="34"/>
          <w:szCs w:val="34"/>
          <w:rtl/>
        </w:rPr>
        <w:t>(ولولا ذلك)</w:t>
      </w:r>
      <w:r w:rsidRPr="00F751FC">
        <w:rPr>
          <w:rFonts w:ascii="mylotus" w:hAnsi="mylotus"/>
          <w:sz w:val="34"/>
          <w:szCs w:val="34"/>
          <w:rtl/>
        </w:rPr>
        <w:t xml:space="preserve"> أي: لولا السيرة العقلائية والنص </w:t>
      </w:r>
      <w:r w:rsidRPr="004939E5">
        <w:rPr>
          <w:rFonts w:ascii="mylotus" w:hAnsi="mylotus"/>
          <w:b/>
          <w:bCs/>
          <w:sz w:val="34"/>
          <w:szCs w:val="34"/>
          <w:rtl/>
        </w:rPr>
        <w:t>(لم يكن أيّ مقتضٍ لكون التلف منه)</w:t>
      </w:r>
      <w:r w:rsidRPr="00F751FC">
        <w:rPr>
          <w:rFonts w:ascii="mylotus" w:hAnsi="mylotus"/>
          <w:sz w:val="34"/>
          <w:szCs w:val="34"/>
          <w:rtl/>
        </w:rPr>
        <w:t xml:space="preserve"> أي: مِن مال البائع </w:t>
      </w:r>
      <w:r w:rsidRPr="004939E5">
        <w:rPr>
          <w:rFonts w:ascii="mylotus" w:hAnsi="mylotus"/>
          <w:b/>
          <w:bCs/>
          <w:sz w:val="34"/>
          <w:szCs w:val="34"/>
          <w:rtl/>
        </w:rPr>
        <w:t>(بل كان من المشتري، لعروض التلف في ملكه)</w:t>
      </w:r>
      <w:r>
        <w:rPr>
          <w:rFonts w:ascii="mylotus" w:hAnsi="mylotus" w:hint="cs"/>
          <w:b/>
          <w:bCs/>
          <w:sz w:val="34"/>
          <w:szCs w:val="34"/>
          <w:rtl/>
        </w:rPr>
        <w:t xml:space="preserve"> </w:t>
      </w:r>
      <w:r w:rsidRPr="00F751FC">
        <w:rPr>
          <w:rFonts w:ascii="mylotus" w:hAnsi="mylotus"/>
          <w:sz w:val="34"/>
          <w:szCs w:val="34"/>
          <w:rtl/>
        </w:rPr>
        <w:t>وهو تام</w:t>
      </w:r>
      <w:r>
        <w:rPr>
          <w:rFonts w:ascii="mylotus" w:hAnsi="mylotus" w:hint="cs"/>
          <w:sz w:val="34"/>
          <w:szCs w:val="34"/>
          <w:rtl/>
        </w:rPr>
        <w:t>ٌ</w:t>
      </w:r>
      <w:r w:rsidRPr="00F751FC">
        <w:rPr>
          <w:rFonts w:ascii="mylotus" w:hAnsi="mylotus"/>
          <w:sz w:val="34"/>
          <w:szCs w:val="34"/>
          <w:rtl/>
        </w:rPr>
        <w:t xml:space="preserve"> في باب البيع</w:t>
      </w:r>
      <w:r>
        <w:rPr>
          <w:rFonts w:ascii="mylotus" w:hAnsi="mylotus" w:hint="cs"/>
          <w:sz w:val="34"/>
          <w:szCs w:val="34"/>
          <w:rtl/>
        </w:rPr>
        <w:t>.</w:t>
      </w:r>
    </w:p>
    <w:p w14:paraId="4AA33E69" w14:textId="77777777" w:rsidR="00C6654A" w:rsidRPr="004939E5" w:rsidRDefault="00C6654A" w:rsidP="00C6654A">
      <w:pPr>
        <w:pStyle w:val="a"/>
        <w:bidi/>
        <w:spacing w:line="216" w:lineRule="auto"/>
        <w:rPr>
          <w:rFonts w:ascii="mylotus" w:hAnsi="mylotus"/>
          <w:b/>
          <w:bCs/>
          <w:sz w:val="34"/>
          <w:szCs w:val="34"/>
          <w:rtl/>
        </w:rPr>
      </w:pPr>
      <w:r w:rsidRPr="004939E5">
        <w:rPr>
          <w:rFonts w:ascii="mylotus" w:hAnsi="mylotus"/>
          <w:b/>
          <w:bCs/>
          <w:sz w:val="34"/>
          <w:szCs w:val="34"/>
          <w:rtl/>
        </w:rPr>
        <w:t>(وهذا بخلاف الإجارة، فإنّ الملكيّة فيها تتعلّق بالمنفعة دون العين، والمفروض أنّ المنافع)</w:t>
      </w:r>
      <w:r w:rsidRPr="00F751FC">
        <w:rPr>
          <w:rFonts w:ascii="mylotus" w:hAnsi="mylotus"/>
          <w:sz w:val="34"/>
          <w:szCs w:val="34"/>
          <w:rtl/>
        </w:rPr>
        <w:t xml:space="preserve"> قد</w:t>
      </w:r>
      <w:r>
        <w:rPr>
          <w:rFonts w:ascii="mylotus" w:hAnsi="mylotus" w:hint="cs"/>
          <w:sz w:val="34"/>
          <w:szCs w:val="34"/>
          <w:rtl/>
        </w:rPr>
        <w:t xml:space="preserve"> </w:t>
      </w:r>
      <w:r w:rsidRPr="00F751FC">
        <w:rPr>
          <w:rFonts w:ascii="mylotus" w:hAnsi="mylotus"/>
          <w:sz w:val="34"/>
          <w:szCs w:val="34"/>
          <w:rtl/>
        </w:rPr>
        <w:t xml:space="preserve">تبيّن أنْ </w:t>
      </w:r>
      <w:r w:rsidRPr="004939E5">
        <w:rPr>
          <w:rFonts w:ascii="mylotus" w:hAnsi="mylotus"/>
          <w:b/>
          <w:bCs/>
          <w:sz w:val="34"/>
          <w:szCs w:val="34"/>
          <w:rtl/>
        </w:rPr>
        <w:t>(لا وجود لها في المدّة المضروبة لمكان تلف العين وقتئذٍ، فهي طبعاً لم تكن منتقلة إلى المشتري من الأوّل)</w:t>
      </w:r>
      <w:r w:rsidRPr="004939E5">
        <w:rPr>
          <w:rFonts w:ascii="mylotus" w:hAnsi="mylotus"/>
          <w:b/>
          <w:bCs/>
          <w:sz w:val="34"/>
          <w:szCs w:val="34"/>
        </w:rPr>
        <w:t>.</w:t>
      </w:r>
    </w:p>
    <w:p w14:paraId="739E31C9"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كما لو استأجر العين لمدّة شهرين وقد تلفت المنافع في نصف الشهر، فتبيّن في علم الله تعالى أنّ المنافع غير موجودة أصلاً، فإذا لَمْ تكن موجودة إذن لَمْ تُملك مِن الأساس</w:t>
      </w:r>
      <w:r w:rsidRPr="00F751FC">
        <w:rPr>
          <w:rFonts w:ascii="mylotus" w:hAnsi="mylotus"/>
          <w:sz w:val="34"/>
          <w:szCs w:val="34"/>
        </w:rPr>
        <w:t>.</w:t>
      </w:r>
    </w:p>
    <w:p w14:paraId="16E8DE96" w14:textId="77777777" w:rsidR="00C6654A" w:rsidRDefault="00C6654A" w:rsidP="00C6654A">
      <w:pPr>
        <w:pStyle w:val="a"/>
        <w:bidi/>
        <w:spacing w:line="216" w:lineRule="auto"/>
        <w:rPr>
          <w:rFonts w:ascii="mylotus" w:hAnsi="mylotus"/>
          <w:sz w:val="34"/>
          <w:szCs w:val="34"/>
          <w:rtl/>
        </w:rPr>
      </w:pPr>
      <w:r w:rsidRPr="004939E5">
        <w:rPr>
          <w:rFonts w:ascii="mylotus" w:hAnsi="mylotus"/>
          <w:b/>
          <w:bCs/>
          <w:sz w:val="34"/>
          <w:szCs w:val="34"/>
          <w:rtl/>
        </w:rPr>
        <w:t xml:space="preserve">(لأنّها بعد افتراض انعدامها لم تكن مملوكة للمؤجّر) </w:t>
      </w:r>
      <w:r w:rsidRPr="00F751FC">
        <w:rPr>
          <w:rFonts w:ascii="mylotus" w:hAnsi="mylotus"/>
          <w:sz w:val="34"/>
          <w:szCs w:val="34"/>
          <w:rtl/>
        </w:rPr>
        <w:t xml:space="preserve">مِن البداية </w:t>
      </w:r>
      <w:r w:rsidRPr="00E10353">
        <w:rPr>
          <w:rFonts w:ascii="mylotus" w:hAnsi="mylotus"/>
          <w:b/>
          <w:bCs/>
          <w:sz w:val="34"/>
          <w:szCs w:val="34"/>
          <w:rtl/>
        </w:rPr>
        <w:t>(لكي يتمكّن من تمليكها للمستأجر، لعدم قابليّة مثلها لتعلّق الملكيّة بها)</w:t>
      </w:r>
      <w:r w:rsidRPr="00F751FC">
        <w:rPr>
          <w:rFonts w:ascii="mylotus" w:hAnsi="mylotus"/>
          <w:sz w:val="34"/>
          <w:szCs w:val="34"/>
          <w:rtl/>
        </w:rPr>
        <w:t xml:space="preserve"> مع عدمها</w:t>
      </w:r>
      <w:r w:rsidRPr="00F751FC">
        <w:rPr>
          <w:rFonts w:ascii="mylotus" w:hAnsi="mylotus"/>
          <w:sz w:val="34"/>
          <w:szCs w:val="34"/>
        </w:rPr>
        <w:t>.</w:t>
      </w:r>
    </w:p>
    <w:p w14:paraId="7EAFEFFD" w14:textId="77777777" w:rsidR="00C6654A" w:rsidRDefault="00C6654A" w:rsidP="00C6654A">
      <w:pPr>
        <w:pStyle w:val="a"/>
        <w:bidi/>
        <w:spacing w:line="216" w:lineRule="auto"/>
        <w:rPr>
          <w:rFonts w:ascii="mylotus" w:hAnsi="mylotus"/>
          <w:sz w:val="34"/>
          <w:szCs w:val="34"/>
          <w:rtl/>
        </w:rPr>
      </w:pPr>
      <w:r w:rsidRPr="00F751FC">
        <w:rPr>
          <w:rFonts w:ascii="mylotus" w:hAnsi="mylotus"/>
          <w:sz w:val="34"/>
          <w:szCs w:val="34"/>
          <w:rtl/>
        </w:rPr>
        <w:t>بينما في باب البيع قد حصلت المِلكيّة ثمّ تلفت العين، فلا ي</w:t>
      </w:r>
      <w:r>
        <w:rPr>
          <w:rFonts w:ascii="mylotus" w:hAnsi="mylotus" w:hint="cs"/>
          <w:sz w:val="34"/>
          <w:szCs w:val="34"/>
          <w:rtl/>
        </w:rPr>
        <w:t>ُ</w:t>
      </w:r>
      <w:r w:rsidRPr="00F751FC">
        <w:rPr>
          <w:rFonts w:ascii="mylotus" w:hAnsi="mylotus"/>
          <w:sz w:val="34"/>
          <w:szCs w:val="34"/>
          <w:rtl/>
        </w:rPr>
        <w:t>قاس هذا بهذا</w:t>
      </w:r>
      <w:r w:rsidRPr="00F751FC">
        <w:rPr>
          <w:rFonts w:ascii="mylotus" w:hAnsi="mylotus"/>
          <w:sz w:val="34"/>
          <w:szCs w:val="34"/>
        </w:rPr>
        <w:t>.</w:t>
      </w:r>
    </w:p>
    <w:p w14:paraId="3E96B266" w14:textId="77777777" w:rsidR="00C6654A" w:rsidRPr="00E10353" w:rsidRDefault="00C6654A" w:rsidP="00C6654A">
      <w:pPr>
        <w:pStyle w:val="a"/>
        <w:bidi/>
        <w:spacing w:line="216" w:lineRule="auto"/>
        <w:rPr>
          <w:rFonts w:ascii="mylotus" w:hAnsi="mylotus"/>
          <w:b/>
          <w:bCs/>
          <w:sz w:val="34"/>
          <w:szCs w:val="34"/>
          <w:rtl/>
        </w:rPr>
      </w:pPr>
      <w:r w:rsidRPr="00E10353">
        <w:rPr>
          <w:rFonts w:ascii="mylotus" w:hAnsi="mylotus" w:hint="cs"/>
          <w:b/>
          <w:bCs/>
          <w:sz w:val="34"/>
          <w:szCs w:val="34"/>
          <w:rtl/>
        </w:rPr>
        <w:t>(</w:t>
      </w:r>
      <w:r w:rsidRPr="00E10353">
        <w:rPr>
          <w:rFonts w:ascii="mylotus" w:hAnsi="mylotus"/>
          <w:b/>
          <w:bCs/>
          <w:sz w:val="34"/>
          <w:szCs w:val="34"/>
          <w:rtl/>
        </w:rPr>
        <w:t>فالفرق إذن بين الموردين في غاية الوضوح. وعليه، فلو تصرّف المؤجّر في الاُجرة قبل التلف كان تصرّفه فضولياً لا محالة، لكونه تصرفاً في ملك المستأجر واقعاً وإن تخيّل أنّه تصرّف في ملكه</w:t>
      </w:r>
      <w:r w:rsidRPr="00E10353">
        <w:rPr>
          <w:rFonts w:ascii="mylotus" w:hAnsi="mylotus" w:hint="cs"/>
          <w:b/>
          <w:bCs/>
          <w:sz w:val="34"/>
          <w:szCs w:val="34"/>
          <w:rtl/>
        </w:rPr>
        <w:t>).</w:t>
      </w:r>
    </w:p>
    <w:p w14:paraId="3646C5B4" w14:textId="77777777" w:rsidR="00C6654A" w:rsidRPr="00E10353" w:rsidRDefault="00C6654A" w:rsidP="00C6654A">
      <w:pPr>
        <w:pStyle w:val="a"/>
        <w:bidi/>
        <w:spacing w:line="216" w:lineRule="auto"/>
        <w:rPr>
          <w:rFonts w:ascii="mylotus" w:hAnsi="mylotus"/>
          <w:b/>
          <w:bCs/>
          <w:sz w:val="34"/>
          <w:szCs w:val="34"/>
          <w:rtl/>
        </w:rPr>
      </w:pPr>
      <w:r w:rsidRPr="00E10353">
        <w:rPr>
          <w:rFonts w:ascii="mylotus" w:hAnsi="mylotus"/>
          <w:b/>
          <w:bCs/>
          <w:sz w:val="34"/>
          <w:szCs w:val="34"/>
          <w:rtl/>
        </w:rPr>
        <w:t>أقول</w:t>
      </w:r>
      <w:r>
        <w:rPr>
          <w:rFonts w:ascii="mylotus" w:hAnsi="mylotus" w:hint="cs"/>
          <w:b/>
          <w:bCs/>
          <w:sz w:val="34"/>
          <w:szCs w:val="34"/>
          <w:rtl/>
        </w:rPr>
        <w:t>ُ</w:t>
      </w:r>
      <w:r w:rsidRPr="00E10353">
        <w:rPr>
          <w:rFonts w:ascii="mylotus" w:hAnsi="mylotus"/>
          <w:b/>
          <w:bCs/>
          <w:sz w:val="34"/>
          <w:szCs w:val="34"/>
          <w:rtl/>
        </w:rPr>
        <w:t>:</w:t>
      </w:r>
      <w:r w:rsidRPr="00F751FC">
        <w:rPr>
          <w:rFonts w:ascii="mylotus" w:hAnsi="mylotus"/>
          <w:sz w:val="34"/>
          <w:szCs w:val="34"/>
          <w:rtl/>
        </w:rPr>
        <w:t xml:space="preserve"> </w:t>
      </w:r>
      <w:r w:rsidRPr="00E10353">
        <w:rPr>
          <w:rFonts w:ascii="mylotus" w:hAnsi="mylotus"/>
          <w:b/>
          <w:bCs/>
          <w:sz w:val="34"/>
          <w:szCs w:val="34"/>
          <w:rtl/>
        </w:rPr>
        <w:t>إن</w:t>
      </w:r>
      <w:r w:rsidRPr="00E10353">
        <w:rPr>
          <w:rFonts w:ascii="mylotus" w:hAnsi="mylotus" w:hint="cs"/>
          <w:b/>
          <w:bCs/>
          <w:sz w:val="34"/>
          <w:szCs w:val="34"/>
          <w:rtl/>
        </w:rPr>
        <w:t>ّ</w:t>
      </w:r>
      <w:r w:rsidRPr="00E10353">
        <w:rPr>
          <w:rFonts w:ascii="mylotus" w:hAnsi="mylotus"/>
          <w:b/>
          <w:bCs/>
          <w:sz w:val="34"/>
          <w:szCs w:val="34"/>
          <w:rtl/>
        </w:rPr>
        <w:t xml:space="preserve"> هناك فرقاً بين فرضين</w:t>
      </w:r>
      <w:r w:rsidRPr="00E10353">
        <w:rPr>
          <w:rFonts w:ascii="mylotus" w:hAnsi="mylotus"/>
          <w:b/>
          <w:bCs/>
          <w:sz w:val="34"/>
          <w:szCs w:val="34"/>
        </w:rPr>
        <w:t>:</w:t>
      </w:r>
    </w:p>
    <w:p w14:paraId="541B4B47" w14:textId="77777777" w:rsidR="00C6654A" w:rsidRPr="00F751FC" w:rsidRDefault="00C6654A" w:rsidP="00C6654A">
      <w:pPr>
        <w:pStyle w:val="a"/>
        <w:bidi/>
        <w:spacing w:line="216" w:lineRule="auto"/>
        <w:rPr>
          <w:rFonts w:ascii="mylotus" w:hAnsi="mylotus"/>
          <w:sz w:val="34"/>
          <w:szCs w:val="34"/>
          <w:rtl/>
        </w:rPr>
      </w:pPr>
      <w:r w:rsidRPr="00E10353">
        <w:rPr>
          <w:rFonts w:ascii="mylotus" w:hAnsi="mylotus"/>
          <w:b/>
          <w:bCs/>
          <w:sz w:val="34"/>
          <w:szCs w:val="34"/>
          <w:rtl/>
        </w:rPr>
        <w:t>الفرضُ الأوّل:</w:t>
      </w:r>
      <w:r w:rsidRPr="00F751FC">
        <w:rPr>
          <w:rFonts w:ascii="mylotus" w:hAnsi="mylotus"/>
          <w:sz w:val="34"/>
          <w:szCs w:val="34"/>
          <w:rtl/>
        </w:rPr>
        <w:t xml:space="preserve"> أنْ تكون العين نفسها قاصرة عن البقاء لمدّة شهر، كما لو آجره السيارة وكانت طاقتها مستهلكة لا بقاء لها لمدّة شهر، فهنا يتم ما ذُكر م</w:t>
      </w:r>
      <w:r>
        <w:rPr>
          <w:rFonts w:ascii="mylotus" w:hAnsi="mylotus" w:hint="cs"/>
          <w:sz w:val="34"/>
          <w:szCs w:val="34"/>
          <w:rtl/>
        </w:rPr>
        <w:t>ِ</w:t>
      </w:r>
      <w:r w:rsidRPr="00F751FC">
        <w:rPr>
          <w:rFonts w:ascii="mylotus" w:hAnsi="mylotus"/>
          <w:sz w:val="34"/>
          <w:szCs w:val="34"/>
          <w:rtl/>
        </w:rPr>
        <w:t>ن أن</w:t>
      </w:r>
      <w:r>
        <w:rPr>
          <w:rFonts w:ascii="mylotus" w:hAnsi="mylotus" w:hint="cs"/>
          <w:sz w:val="34"/>
          <w:szCs w:val="34"/>
          <w:rtl/>
        </w:rPr>
        <w:t>ّ</w:t>
      </w:r>
      <w:r w:rsidRPr="00F751FC">
        <w:rPr>
          <w:rFonts w:ascii="mylotus" w:hAnsi="mylotus"/>
          <w:sz w:val="34"/>
          <w:szCs w:val="34"/>
          <w:rtl/>
        </w:rPr>
        <w:t xml:space="preserve">ه إذا تلفت العين في </w:t>
      </w:r>
      <w:r w:rsidRPr="00F751FC">
        <w:rPr>
          <w:rFonts w:ascii="mylotus" w:hAnsi="mylotus"/>
          <w:sz w:val="34"/>
          <w:szCs w:val="34"/>
          <w:rtl/>
        </w:rPr>
        <w:lastRenderedPageBreak/>
        <w:t>نصف الشهر انكشف أنّ المنفعة لَمْ تكن موجودةً مِن الأساس، وحيثُ لَمْ تكن موجودة مِن الأساس لَمْ تكن مملوكة للمؤجّر كي يملكها للمُستأجر</w:t>
      </w:r>
      <w:r w:rsidRPr="00F751FC">
        <w:rPr>
          <w:rFonts w:ascii="mylotus" w:hAnsi="mylotus"/>
          <w:sz w:val="34"/>
          <w:szCs w:val="34"/>
        </w:rPr>
        <w:t>.</w:t>
      </w:r>
    </w:p>
    <w:p w14:paraId="3623C82C" w14:textId="77777777" w:rsidR="00C6654A" w:rsidRPr="00F751FC" w:rsidRDefault="00C6654A" w:rsidP="00C6654A">
      <w:pPr>
        <w:pStyle w:val="a"/>
        <w:bidi/>
        <w:spacing w:line="216" w:lineRule="auto"/>
        <w:rPr>
          <w:rFonts w:ascii="mylotus" w:hAnsi="mylotus"/>
          <w:sz w:val="34"/>
          <w:szCs w:val="34"/>
          <w:rtl/>
        </w:rPr>
      </w:pPr>
      <w:r w:rsidRPr="00E10353">
        <w:rPr>
          <w:rFonts w:ascii="mylotus" w:hAnsi="mylotus"/>
          <w:b/>
          <w:bCs/>
          <w:sz w:val="34"/>
          <w:szCs w:val="34"/>
          <w:rtl/>
        </w:rPr>
        <w:t>الفرضُ الثاني:</w:t>
      </w:r>
      <w:r w:rsidRPr="00F751FC">
        <w:rPr>
          <w:rFonts w:ascii="mylotus" w:hAnsi="mylotus"/>
          <w:sz w:val="34"/>
          <w:szCs w:val="34"/>
          <w:rtl/>
        </w:rPr>
        <w:t xml:space="preserve"> إذا كانت العين في حدّ ذاتها قابلة للبقاء والاستمرار، فكانت قابلة للانتفاع بها لمدّة شهرين، لكن طرأ تلف خارجي اتفاقا</w:t>
      </w:r>
      <w:r>
        <w:rPr>
          <w:rFonts w:ascii="mylotus" w:hAnsi="mylotus" w:hint="cs"/>
          <w:sz w:val="34"/>
          <w:szCs w:val="34"/>
          <w:rtl/>
        </w:rPr>
        <w:t>ً</w:t>
      </w:r>
      <w:r w:rsidRPr="00F751FC">
        <w:rPr>
          <w:rFonts w:ascii="mylotus" w:hAnsi="mylotus"/>
          <w:sz w:val="34"/>
          <w:szCs w:val="34"/>
          <w:rtl/>
        </w:rPr>
        <w:t xml:space="preserve"> على العين كالزلزال وما أشبه ذلك، فالتلف حينئذ</w:t>
      </w:r>
      <w:r>
        <w:rPr>
          <w:rFonts w:ascii="mylotus" w:hAnsi="mylotus" w:hint="cs"/>
          <w:sz w:val="34"/>
          <w:szCs w:val="34"/>
          <w:rtl/>
        </w:rPr>
        <w:t>ٍ</w:t>
      </w:r>
      <w:r w:rsidRPr="00F751FC">
        <w:rPr>
          <w:rFonts w:ascii="mylotus" w:hAnsi="mylotus"/>
          <w:sz w:val="34"/>
          <w:szCs w:val="34"/>
          <w:rtl/>
        </w:rPr>
        <w:t xml:space="preserve"> ليس مِن باب </w:t>
      </w:r>
      <w:proofErr w:type="gramStart"/>
      <w:r w:rsidRPr="00F751FC">
        <w:rPr>
          <w:rFonts w:ascii="mylotus" w:hAnsi="mylotus"/>
          <w:sz w:val="34"/>
          <w:szCs w:val="34"/>
          <w:rtl/>
        </w:rPr>
        <w:t>الدفع</w:t>
      </w:r>
      <w:proofErr w:type="gramEnd"/>
      <w:r w:rsidRPr="00F751FC">
        <w:rPr>
          <w:rFonts w:ascii="mylotus" w:hAnsi="mylotus"/>
          <w:sz w:val="34"/>
          <w:szCs w:val="34"/>
          <w:rtl/>
        </w:rPr>
        <w:t xml:space="preserve"> بل هو مِن باب الرفع؛ لأنّ المنافع حين الإجارة كانت موجودة اعتبارا</w:t>
      </w:r>
      <w:r>
        <w:rPr>
          <w:rFonts w:ascii="mylotus" w:hAnsi="mylotus" w:hint="cs"/>
          <w:sz w:val="34"/>
          <w:szCs w:val="34"/>
          <w:rtl/>
        </w:rPr>
        <w:t xml:space="preserve">ً </w:t>
      </w:r>
      <w:r w:rsidRPr="00F751FC">
        <w:rPr>
          <w:rFonts w:ascii="mylotus" w:hAnsi="mylotus"/>
          <w:sz w:val="34"/>
          <w:szCs w:val="34"/>
          <w:rtl/>
        </w:rPr>
        <w:t>-بالنظر العقلائي- بوجود العين وقابليتها للبقاء والانتفاع لمدّة شهرين، فإذا طرأ التلف فقد ارتفعت المنفعة، لا أنّها لَمْ تكن موجودة كي يقال بانعدام المحل، أو أن</w:t>
      </w:r>
      <w:r>
        <w:rPr>
          <w:rFonts w:ascii="mylotus" w:hAnsi="mylotus" w:hint="cs"/>
          <w:sz w:val="34"/>
          <w:szCs w:val="34"/>
          <w:rtl/>
        </w:rPr>
        <w:t>ّ</w:t>
      </w:r>
      <w:r w:rsidRPr="00F751FC">
        <w:rPr>
          <w:rFonts w:ascii="mylotus" w:hAnsi="mylotus"/>
          <w:sz w:val="34"/>
          <w:szCs w:val="34"/>
          <w:rtl/>
        </w:rPr>
        <w:t xml:space="preserve"> المنفعة لَمْ تكن مملوكة للمؤجّر كي يملكها للمُستأجر</w:t>
      </w:r>
      <w:r>
        <w:rPr>
          <w:rFonts w:ascii="mylotus" w:hAnsi="mylotus" w:hint="cs"/>
          <w:sz w:val="34"/>
          <w:szCs w:val="34"/>
          <w:rtl/>
        </w:rPr>
        <w:t>.</w:t>
      </w:r>
    </w:p>
    <w:p w14:paraId="15C3109C" w14:textId="77777777" w:rsidR="00C6654A" w:rsidRDefault="00C6654A" w:rsidP="00C6654A">
      <w:pPr>
        <w:pStyle w:val="a"/>
        <w:bidi/>
        <w:spacing w:line="216" w:lineRule="auto"/>
        <w:rPr>
          <w:rFonts w:ascii="mylotus" w:hAnsi="mylotus"/>
          <w:sz w:val="34"/>
          <w:szCs w:val="34"/>
          <w:rtl/>
        </w:rPr>
      </w:pPr>
      <w:r w:rsidRPr="00E10353">
        <w:rPr>
          <w:rFonts w:ascii="mylotus" w:hAnsi="mylotus"/>
          <w:b/>
          <w:bCs/>
          <w:sz w:val="34"/>
          <w:szCs w:val="34"/>
          <w:rtl/>
        </w:rPr>
        <w:t>فالمبنيان غير صحيحين؛</w:t>
      </w:r>
      <w:r w:rsidRPr="00F751FC">
        <w:rPr>
          <w:rFonts w:ascii="mylotus" w:hAnsi="mylotus"/>
          <w:sz w:val="34"/>
          <w:szCs w:val="34"/>
          <w:rtl/>
        </w:rPr>
        <w:t xml:space="preserve"> لأنّ المنافع كانت موجودة بالنظر العقلائي، غاية ما</w:t>
      </w:r>
      <w:r>
        <w:rPr>
          <w:rFonts w:ascii="mylotus" w:hAnsi="mylotus" w:hint="cs"/>
          <w:sz w:val="34"/>
          <w:szCs w:val="34"/>
          <w:rtl/>
        </w:rPr>
        <w:t xml:space="preserve"> </w:t>
      </w:r>
      <w:r w:rsidRPr="00F751FC">
        <w:rPr>
          <w:rFonts w:ascii="mylotus" w:hAnsi="mylotus"/>
          <w:sz w:val="34"/>
          <w:szCs w:val="34"/>
          <w:rtl/>
        </w:rPr>
        <w:t>في الباب أن</w:t>
      </w:r>
      <w:r>
        <w:rPr>
          <w:rFonts w:ascii="mylotus" w:hAnsi="mylotus" w:hint="cs"/>
          <w:sz w:val="34"/>
          <w:szCs w:val="34"/>
          <w:rtl/>
        </w:rPr>
        <w:t>ّ</w:t>
      </w:r>
      <w:r w:rsidRPr="00F751FC">
        <w:rPr>
          <w:rFonts w:ascii="mylotus" w:hAnsi="mylotus"/>
          <w:sz w:val="34"/>
          <w:szCs w:val="34"/>
          <w:rtl/>
        </w:rPr>
        <w:t xml:space="preserve"> تلفها أوجب انتفاء الغرض النوعي المقصود بالإجارة حدوثاً وبقاءً، وحيثُ انتفى الغرض النوعي في المدّة الباقية تبي</w:t>
      </w:r>
      <w:r>
        <w:rPr>
          <w:rFonts w:ascii="mylotus" w:hAnsi="mylotus" w:hint="cs"/>
          <w:sz w:val="34"/>
          <w:szCs w:val="34"/>
          <w:rtl/>
        </w:rPr>
        <w:t>ّ</w:t>
      </w:r>
      <w:r w:rsidRPr="00F751FC">
        <w:rPr>
          <w:rFonts w:ascii="mylotus" w:hAnsi="mylotus"/>
          <w:sz w:val="34"/>
          <w:szCs w:val="34"/>
          <w:rtl/>
        </w:rPr>
        <w:t>ن بطلان الإجارة فيها م</w:t>
      </w:r>
      <w:r>
        <w:rPr>
          <w:rFonts w:ascii="mylotus" w:hAnsi="mylotus" w:hint="cs"/>
          <w:sz w:val="34"/>
          <w:szCs w:val="34"/>
          <w:rtl/>
        </w:rPr>
        <w:t>ِ</w:t>
      </w:r>
      <w:r w:rsidRPr="00F751FC">
        <w:rPr>
          <w:rFonts w:ascii="mylotus" w:hAnsi="mylotus"/>
          <w:sz w:val="34"/>
          <w:szCs w:val="34"/>
          <w:rtl/>
        </w:rPr>
        <w:t>ن الأو</w:t>
      </w:r>
      <w:r>
        <w:rPr>
          <w:rFonts w:ascii="mylotus" w:hAnsi="mylotus" w:hint="cs"/>
          <w:sz w:val="34"/>
          <w:szCs w:val="34"/>
          <w:rtl/>
        </w:rPr>
        <w:t>ّل.</w:t>
      </w:r>
    </w:p>
    <w:p w14:paraId="7760F53A" w14:textId="77777777" w:rsidR="00C6654A" w:rsidRPr="00F751FC" w:rsidRDefault="00C6654A" w:rsidP="00C6654A">
      <w:pPr>
        <w:pStyle w:val="a"/>
        <w:bidi/>
        <w:spacing w:line="216" w:lineRule="auto"/>
        <w:rPr>
          <w:rFonts w:ascii="mylotus" w:hAnsi="mylotus"/>
          <w:sz w:val="34"/>
          <w:szCs w:val="34"/>
          <w:rtl/>
        </w:rPr>
      </w:pPr>
      <w:r w:rsidRPr="00F751FC">
        <w:rPr>
          <w:rFonts w:ascii="mylotus" w:hAnsi="mylotus"/>
          <w:sz w:val="34"/>
          <w:szCs w:val="34"/>
          <w:rtl/>
        </w:rPr>
        <w:t>ومقتضى ذلك أنْ يكون التصرّف في الأُجرة تصرفاً</w:t>
      </w:r>
      <w:r>
        <w:rPr>
          <w:rFonts w:ascii="mylotus" w:hAnsi="mylotus" w:hint="cs"/>
          <w:sz w:val="34"/>
          <w:szCs w:val="34"/>
          <w:rtl/>
        </w:rPr>
        <w:t xml:space="preserve"> </w:t>
      </w:r>
      <w:r w:rsidRPr="00F751FC">
        <w:rPr>
          <w:rFonts w:ascii="mylotus" w:hAnsi="mylotus"/>
          <w:sz w:val="34"/>
          <w:szCs w:val="34"/>
          <w:rtl/>
        </w:rPr>
        <w:t>فضولياً.</w:t>
      </w:r>
    </w:p>
    <w:p w14:paraId="5DACB9FD" w14:textId="77777777" w:rsidR="00C6654A" w:rsidRPr="00A17B4E" w:rsidRDefault="00C6654A" w:rsidP="00C6654A">
      <w:pPr>
        <w:pStyle w:val="a"/>
        <w:bidi/>
        <w:spacing w:line="216" w:lineRule="auto"/>
        <w:rPr>
          <w:rFonts w:ascii="mylotus" w:hAnsi="mylotus"/>
          <w:sz w:val="34"/>
          <w:szCs w:val="34"/>
          <w:rtl/>
        </w:rPr>
      </w:pPr>
    </w:p>
    <w:p w14:paraId="46680BEE" w14:textId="77777777" w:rsidR="00C6654A" w:rsidRPr="005E03C1" w:rsidRDefault="00C6654A" w:rsidP="00C6654A">
      <w:pPr>
        <w:pStyle w:val="a"/>
        <w:bidi/>
        <w:spacing w:line="216" w:lineRule="auto"/>
        <w:jc w:val="center"/>
        <w:rPr>
          <w:rFonts w:ascii="mylotus" w:hAnsi="mylotus"/>
          <w:b/>
          <w:bCs/>
          <w:sz w:val="34"/>
          <w:szCs w:val="34"/>
        </w:rPr>
      </w:pPr>
      <w:r w:rsidRPr="005E03C1">
        <w:rPr>
          <w:rFonts w:ascii="mylotus" w:hAnsi="mylotus"/>
          <w:b/>
          <w:bCs/>
          <w:sz w:val="34"/>
          <w:szCs w:val="34"/>
          <w:rtl/>
        </w:rPr>
        <w:t>والحمد لله رب العالمين</w:t>
      </w:r>
    </w:p>
    <w:p w14:paraId="019AC298" w14:textId="77777777" w:rsidR="00CC276F" w:rsidRDefault="00CC276F" w:rsidP="00CC276F">
      <w:pPr>
        <w:bidi/>
        <w:rPr>
          <w:sz w:val="32"/>
          <w:szCs w:val="32"/>
          <w:rtl/>
        </w:rPr>
      </w:pPr>
    </w:p>
    <w:p w14:paraId="7AD23A21" w14:textId="4848B438" w:rsidR="00CC276F" w:rsidRDefault="00CC276F" w:rsidP="00CC276F">
      <w:pPr>
        <w:pStyle w:val="Heading3"/>
        <w:bidi/>
        <w:rPr>
          <w:sz w:val="32"/>
          <w:szCs w:val="32"/>
          <w:rtl/>
        </w:rPr>
      </w:pPr>
      <w:r>
        <w:rPr>
          <w:rFonts w:hint="cs"/>
          <w:sz w:val="32"/>
          <w:szCs w:val="32"/>
          <w:rtl/>
        </w:rPr>
        <w:t>346</w:t>
      </w:r>
    </w:p>
    <w:p w14:paraId="6D04958D" w14:textId="77777777" w:rsidR="00CC276F" w:rsidRPr="005E03C1" w:rsidRDefault="00CC276F" w:rsidP="00CC276F">
      <w:pPr>
        <w:pStyle w:val="a"/>
        <w:bidi/>
        <w:spacing w:line="216" w:lineRule="auto"/>
        <w:jc w:val="center"/>
        <w:rPr>
          <w:rFonts w:ascii="mylotus" w:hAnsi="mylotus"/>
          <w:b/>
          <w:bCs/>
          <w:sz w:val="34"/>
          <w:szCs w:val="34"/>
          <w:rtl/>
        </w:rPr>
      </w:pPr>
      <w:r w:rsidRPr="005E03C1">
        <w:rPr>
          <w:rFonts w:ascii="mylotus" w:hAnsi="mylotus"/>
          <w:b/>
          <w:bCs/>
          <w:sz w:val="34"/>
          <w:szCs w:val="34"/>
          <w:rtl/>
        </w:rPr>
        <w:t>بسم الله الرحمن الرحيم</w:t>
      </w:r>
    </w:p>
    <w:p w14:paraId="63EA2101" w14:textId="77777777" w:rsidR="00CC276F" w:rsidRPr="005E03C1" w:rsidRDefault="00CC276F" w:rsidP="00CC276F">
      <w:pPr>
        <w:pStyle w:val="a"/>
        <w:bidi/>
        <w:spacing w:line="216" w:lineRule="auto"/>
        <w:jc w:val="center"/>
        <w:rPr>
          <w:rFonts w:ascii="mylotus" w:hAnsi="mylotus"/>
          <w:b/>
          <w:bCs/>
          <w:sz w:val="34"/>
          <w:szCs w:val="34"/>
          <w:rtl/>
        </w:rPr>
      </w:pPr>
      <w:r w:rsidRPr="005E03C1">
        <w:rPr>
          <w:rFonts w:ascii="mylotus" w:hAnsi="mylotus"/>
          <w:b/>
          <w:bCs/>
          <w:sz w:val="34"/>
          <w:szCs w:val="34"/>
          <w:rtl/>
        </w:rPr>
        <w:t>والصلاة والسلام على أشرف الأنبياء والمرسلين، محمد وآله الطيبين الطاهرين</w:t>
      </w:r>
    </w:p>
    <w:p w14:paraId="28011B07" w14:textId="77777777" w:rsidR="00CC276F" w:rsidRDefault="00CC276F" w:rsidP="00CC276F">
      <w:pPr>
        <w:pStyle w:val="a"/>
        <w:bidi/>
        <w:spacing w:line="216" w:lineRule="auto"/>
        <w:jc w:val="center"/>
        <w:rPr>
          <w:rFonts w:ascii="mylotus" w:hAnsi="mylotus"/>
          <w:sz w:val="34"/>
          <w:szCs w:val="34"/>
          <w:rtl/>
        </w:rPr>
      </w:pPr>
      <w:r w:rsidRPr="005E03C1">
        <w:rPr>
          <w:rFonts w:ascii="mylotus" w:hAnsi="mylotus"/>
          <w:b/>
          <w:bCs/>
          <w:sz w:val="34"/>
          <w:szCs w:val="34"/>
          <w:rtl/>
        </w:rPr>
        <w:t>واللعن الدائم على أعدائهم أجمعين إلى قيام يوم الدين</w:t>
      </w:r>
    </w:p>
    <w:p w14:paraId="4D769217" w14:textId="77777777" w:rsidR="00CC276F" w:rsidRPr="00044CB7" w:rsidRDefault="00CC276F" w:rsidP="00CC276F">
      <w:pPr>
        <w:pStyle w:val="a"/>
        <w:bidi/>
        <w:spacing w:line="216" w:lineRule="auto"/>
        <w:ind w:firstLine="0"/>
        <w:rPr>
          <w:rFonts w:ascii="mylotus" w:hAnsi="mylotus"/>
          <w:sz w:val="34"/>
          <w:szCs w:val="34"/>
          <w:rtl/>
        </w:rPr>
      </w:pPr>
    </w:p>
    <w:p w14:paraId="58CF5F2F" w14:textId="77777777" w:rsidR="00CC276F" w:rsidRPr="00044CB7" w:rsidRDefault="00CC276F" w:rsidP="00CC276F">
      <w:pPr>
        <w:pStyle w:val="a"/>
        <w:bidi/>
        <w:spacing w:line="216" w:lineRule="auto"/>
        <w:rPr>
          <w:rFonts w:ascii="mylotus" w:hAnsi="mylotus"/>
          <w:b/>
          <w:bCs/>
          <w:sz w:val="34"/>
          <w:szCs w:val="34"/>
          <w:rtl/>
        </w:rPr>
      </w:pPr>
      <w:r w:rsidRPr="00044CB7">
        <w:rPr>
          <w:rFonts w:ascii="mylotus" w:hAnsi="mylotus"/>
          <w:b/>
          <w:bCs/>
          <w:sz w:val="34"/>
          <w:szCs w:val="34"/>
          <w:rtl/>
        </w:rPr>
        <w:t>المسألة الثامنة "من فصل أحكام العوضين</w:t>
      </w:r>
      <w:r w:rsidRPr="00044CB7">
        <w:rPr>
          <w:rFonts w:ascii="mylotus" w:hAnsi="mylotus" w:cs="Cambria" w:hint="cs"/>
          <w:b/>
          <w:bCs/>
          <w:sz w:val="34"/>
          <w:szCs w:val="34"/>
          <w:rtl/>
        </w:rPr>
        <w:t>"</w:t>
      </w:r>
      <w:r w:rsidRPr="00044CB7">
        <w:rPr>
          <w:rFonts w:ascii="mylotus" w:hAnsi="mylotus" w:hint="cs"/>
          <w:b/>
          <w:bCs/>
          <w:sz w:val="34"/>
          <w:szCs w:val="34"/>
          <w:rtl/>
        </w:rPr>
        <w:t>.</w:t>
      </w:r>
    </w:p>
    <w:p w14:paraId="26837E52" w14:textId="77777777" w:rsidR="00CC276F" w:rsidRPr="00044CB7" w:rsidRDefault="00CC276F" w:rsidP="00CC276F">
      <w:pPr>
        <w:pStyle w:val="a"/>
        <w:bidi/>
        <w:spacing w:line="216" w:lineRule="auto"/>
        <w:rPr>
          <w:rFonts w:ascii="mylotus" w:hAnsi="mylotus"/>
          <w:b/>
          <w:bCs/>
          <w:sz w:val="34"/>
          <w:szCs w:val="34"/>
          <w:rtl/>
        </w:rPr>
      </w:pPr>
      <w:r w:rsidRPr="00044CB7">
        <w:rPr>
          <w:rFonts w:ascii="mylotus" w:hAnsi="mylotus"/>
          <w:sz w:val="34"/>
          <w:szCs w:val="34"/>
          <w:rtl/>
        </w:rPr>
        <w:t xml:space="preserve">قال سيد العروة (قدس سره الشريف): </w:t>
      </w:r>
      <w:r w:rsidRPr="00044CB7">
        <w:rPr>
          <w:rFonts w:ascii="mylotus" w:hAnsi="mylotus"/>
          <w:b/>
          <w:bCs/>
          <w:sz w:val="34"/>
          <w:szCs w:val="34"/>
          <w:rtl/>
        </w:rPr>
        <w:t>(مسألة 8: إذا آجر دابّة كلّيّة ودفع فرداً منها فتلف لا تنفسخ الإجارة، بل ينفسخ الوفاء فعليه دفع فرد آخر)</w:t>
      </w:r>
      <w:r w:rsidRPr="00044CB7">
        <w:rPr>
          <w:rFonts w:ascii="mylotus" w:hAnsi="mylotus"/>
          <w:b/>
          <w:bCs/>
          <w:sz w:val="34"/>
          <w:szCs w:val="34"/>
        </w:rPr>
        <w:t>.</w:t>
      </w:r>
    </w:p>
    <w:p w14:paraId="1D91C703"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b/>
          <w:bCs/>
          <w:sz w:val="34"/>
          <w:szCs w:val="34"/>
          <w:rtl/>
        </w:rPr>
        <w:t>أقولُ:</w:t>
      </w:r>
      <w:r w:rsidRPr="00044CB7">
        <w:rPr>
          <w:rFonts w:ascii="mylotus" w:hAnsi="mylotus"/>
          <w:sz w:val="34"/>
          <w:szCs w:val="34"/>
          <w:rtl/>
        </w:rPr>
        <w:t xml:space="preserve"> إنّ ما ذكره سيد العروة (قدس سره) هو مقتضى القاعدة؛ حيثُ إنّ متعلّق الإجارة هو الكُلّيّ، أي: تمليك منفعةٍ كُلّيّةٍ مِن أيّ سيارة أو دابّة تحقّق تلك المنفعة، ودَفَعَ المؤجّر في مقام الأداء سيارةً شخصيةً بعنوان الوفاء بعقد الإجارة فتلفت السيارة بَعْدَ الاستلام سواءً تمكن مِن الانتفاع بها يوماً ما أو لَمْ يتمكن، فمقتضى القاعدة أنّ على المؤجّر دفع فردٍ آخر مِن كُلّيّ السيارة، فإنّ ما وقعت الإجارة عليه -وهو منفعة كُلّيّ السيارة- لَمْ تتلف، وما تلف خارجاً -وهو شخص السيارة- لَمْ تقع الإجارة عليه، وإنّما كان تسليمه بعنوان الوفاء بالعقد لكونه مصداقاً للكُلّيّ، ولكن تعذر صدق الكُلّيّ بقاء لتلف ما دفعه، ومقتضاهُ أنْ يلزم المؤجّر بالتطبيق على فرد آخر وفاءً بعقده؛ لعدم صلاحية الفرد التالف لكونه مصداقاً لذلك الكُلّيّ المتعلّق للإجارة</w:t>
      </w:r>
      <w:r w:rsidRPr="00044CB7">
        <w:rPr>
          <w:rFonts w:ascii="mylotus" w:hAnsi="mylotus"/>
          <w:sz w:val="34"/>
          <w:szCs w:val="34"/>
        </w:rPr>
        <w:t>.</w:t>
      </w:r>
    </w:p>
    <w:p w14:paraId="7C8C92E8"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b/>
          <w:bCs/>
          <w:sz w:val="34"/>
          <w:szCs w:val="34"/>
          <w:rtl/>
        </w:rPr>
        <w:t>والنتيجة:</w:t>
      </w:r>
      <w:r w:rsidRPr="00044CB7">
        <w:rPr>
          <w:rFonts w:ascii="mylotus" w:hAnsi="mylotus"/>
          <w:sz w:val="34"/>
          <w:szCs w:val="34"/>
          <w:rtl/>
        </w:rPr>
        <w:t xml:space="preserve"> أنّه لا مقتضي لبطلان الإجارة، ولا لانفساخها بالتلف، ولا لثبوت الخيار</w:t>
      </w:r>
      <w:r w:rsidRPr="00044CB7">
        <w:rPr>
          <w:rFonts w:ascii="mylotus" w:hAnsi="mylotus"/>
          <w:sz w:val="34"/>
          <w:szCs w:val="34"/>
        </w:rPr>
        <w:t>.</w:t>
      </w:r>
    </w:p>
    <w:p w14:paraId="37ECBFCC"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نعم، لو امتنع المؤجّر عن التسليم أو تعذر عليه تسليم فردٍ آخر ثبت الخيار بمناط تخلف الشرط الارتكازي وهو شرط التسليم، وهذا لا بحث فيه</w:t>
      </w:r>
      <w:r w:rsidRPr="00044CB7">
        <w:rPr>
          <w:rFonts w:ascii="mylotus" w:hAnsi="mylotus"/>
          <w:sz w:val="34"/>
          <w:szCs w:val="34"/>
        </w:rPr>
        <w:t>.</w:t>
      </w:r>
    </w:p>
    <w:p w14:paraId="1086D625" w14:textId="77777777" w:rsidR="00CC276F" w:rsidRPr="00044CB7" w:rsidRDefault="00CC276F" w:rsidP="00CC276F">
      <w:pPr>
        <w:pStyle w:val="a"/>
        <w:bidi/>
        <w:spacing w:line="216" w:lineRule="auto"/>
        <w:rPr>
          <w:rFonts w:ascii="mylotus" w:hAnsi="mylotus"/>
          <w:sz w:val="34"/>
          <w:szCs w:val="34"/>
          <w:rtl/>
        </w:rPr>
      </w:pPr>
    </w:p>
    <w:p w14:paraId="1FD20589" w14:textId="77777777" w:rsidR="00CC276F" w:rsidRPr="00044CB7" w:rsidRDefault="00CC276F" w:rsidP="00CC276F">
      <w:pPr>
        <w:pStyle w:val="a"/>
        <w:bidi/>
        <w:spacing w:line="216" w:lineRule="auto"/>
        <w:rPr>
          <w:rFonts w:ascii="mylotus" w:hAnsi="mylotus"/>
          <w:b/>
          <w:bCs/>
          <w:sz w:val="34"/>
          <w:szCs w:val="34"/>
          <w:rtl/>
        </w:rPr>
      </w:pPr>
      <w:r w:rsidRPr="00044CB7">
        <w:rPr>
          <w:rFonts w:ascii="mylotus" w:hAnsi="mylotus"/>
          <w:b/>
          <w:bCs/>
          <w:sz w:val="34"/>
          <w:szCs w:val="34"/>
          <w:rtl/>
        </w:rPr>
        <w:t>المسألة التاسعة "من فصل أحكام العوضين</w:t>
      </w:r>
      <w:r w:rsidRPr="00044CB7">
        <w:rPr>
          <w:rFonts w:ascii="mylotus" w:hAnsi="mylotus" w:cs="Cambria" w:hint="cs"/>
          <w:b/>
          <w:bCs/>
          <w:sz w:val="34"/>
          <w:szCs w:val="34"/>
          <w:rtl/>
        </w:rPr>
        <w:t>"</w:t>
      </w:r>
      <w:r w:rsidRPr="00044CB7">
        <w:rPr>
          <w:rFonts w:ascii="mylotus" w:hAnsi="mylotus" w:hint="cs"/>
          <w:b/>
          <w:bCs/>
          <w:sz w:val="34"/>
          <w:szCs w:val="34"/>
          <w:rtl/>
        </w:rPr>
        <w:t>.</w:t>
      </w:r>
    </w:p>
    <w:p w14:paraId="572B262B" w14:textId="77777777" w:rsidR="00CC276F" w:rsidRPr="00044CB7" w:rsidRDefault="00CC276F" w:rsidP="00CC276F">
      <w:pPr>
        <w:pStyle w:val="a"/>
        <w:bidi/>
        <w:spacing w:line="216" w:lineRule="auto"/>
        <w:rPr>
          <w:rFonts w:ascii="mylotus" w:hAnsi="mylotus"/>
          <w:b/>
          <w:bCs/>
          <w:sz w:val="34"/>
          <w:szCs w:val="34"/>
          <w:rtl/>
        </w:rPr>
      </w:pPr>
      <w:r w:rsidRPr="00044CB7">
        <w:rPr>
          <w:rFonts w:ascii="mylotus" w:hAnsi="mylotus"/>
          <w:sz w:val="34"/>
          <w:szCs w:val="34"/>
          <w:rtl/>
        </w:rPr>
        <w:t xml:space="preserve">قال سيد العروة (قدس سره الشريف): </w:t>
      </w:r>
      <w:r w:rsidRPr="00044CB7">
        <w:rPr>
          <w:rFonts w:ascii="mylotus" w:hAnsi="mylotus"/>
          <w:b/>
          <w:bCs/>
          <w:sz w:val="34"/>
          <w:szCs w:val="34"/>
          <w:rtl/>
        </w:rPr>
        <w:t>(مسألة 9: إذا آجره داراً فانهدمت فإن خرجت عن الانتفاع بالمرّة بطلت، فإن كان قبل القبض أو بعده قبل أن يسكن فيها أصلاً رجعت الاُجرة بتمامها، وإلّا فبالنسبة، ويحتمل تمامها في هذه الصورة أيضاً ويضمن اُجرة المثل بالنسبة إلى ما مضى، لكنّه بعيد، وإن أمكن الانتفاع بها مع ذلك كان للمستأجر الخيار بين الإبقاء والفسخ، وإذا فسخ كان حكم الاُجرة ما ذكرنا. ويقوى هنا رجوع تمام المسمّى مطلقاً ودفع اُجرة المثل بالنسبة إلى ما مضى، لأنّ هذا هو مقتضى فسخ العقد كما مرّ سابقاً. وإن انهدم بعض بيوتها بقيت الإجارة بالنسبة إلى البقيّة وكان للمستأجر خيار تبعّض الصفقة. ولو بادر المؤجّر إلى تعميرها بحيث لم يفت الانتفاع أصلاً ليس للمستأجر الفسخ حينئذٍ على الأقوى، خلافاً للثانيين)</w:t>
      </w:r>
      <w:r w:rsidRPr="00044CB7">
        <w:rPr>
          <w:rFonts w:ascii="mylotus" w:hAnsi="mylotus"/>
          <w:b/>
          <w:bCs/>
          <w:sz w:val="34"/>
          <w:szCs w:val="34"/>
        </w:rPr>
        <w:t>.</w:t>
      </w:r>
    </w:p>
    <w:p w14:paraId="2D6431D0" w14:textId="77777777" w:rsidR="00CC276F" w:rsidRPr="00044CB7" w:rsidRDefault="00CC276F" w:rsidP="00CC276F">
      <w:pPr>
        <w:pStyle w:val="a"/>
        <w:bidi/>
        <w:spacing w:line="216" w:lineRule="auto"/>
        <w:rPr>
          <w:rFonts w:ascii="mylotus" w:hAnsi="mylotus"/>
          <w:b/>
          <w:bCs/>
          <w:sz w:val="34"/>
          <w:szCs w:val="34"/>
          <w:rtl/>
        </w:rPr>
      </w:pPr>
      <w:r w:rsidRPr="00044CB7">
        <w:rPr>
          <w:rFonts w:ascii="mylotus" w:hAnsi="mylotus"/>
          <w:b/>
          <w:bCs/>
          <w:sz w:val="34"/>
          <w:szCs w:val="34"/>
          <w:rtl/>
        </w:rPr>
        <w:t>شرح العبارة</w:t>
      </w:r>
      <w:r w:rsidRPr="00044CB7">
        <w:rPr>
          <w:rFonts w:ascii="mylotus" w:hAnsi="mylotus"/>
          <w:b/>
          <w:bCs/>
          <w:sz w:val="34"/>
          <w:szCs w:val="34"/>
        </w:rPr>
        <w:t>:</w:t>
      </w:r>
    </w:p>
    <w:p w14:paraId="77D7CB81"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 xml:space="preserve">قوله (قدس سره): </w:t>
      </w:r>
      <w:r w:rsidRPr="00044CB7">
        <w:rPr>
          <w:rFonts w:ascii="mylotus" w:hAnsi="mylotus"/>
          <w:b/>
          <w:bCs/>
          <w:sz w:val="34"/>
          <w:szCs w:val="34"/>
          <w:rtl/>
        </w:rPr>
        <w:t>(فإن كان قبل القبض أو بعده قبل أن يسكن فيها أصلاً رجعت الاُجرة بتمامه)،</w:t>
      </w:r>
      <w:r w:rsidRPr="00044CB7">
        <w:rPr>
          <w:rFonts w:ascii="mylotus" w:hAnsi="mylotus"/>
          <w:sz w:val="34"/>
          <w:szCs w:val="34"/>
          <w:rtl/>
        </w:rPr>
        <w:t xml:space="preserve"> أي: أن</w:t>
      </w:r>
      <w:r>
        <w:rPr>
          <w:rFonts w:ascii="mylotus" w:hAnsi="mylotus" w:hint="cs"/>
          <w:sz w:val="34"/>
          <w:szCs w:val="34"/>
          <w:rtl/>
        </w:rPr>
        <w:t>ّ</w:t>
      </w:r>
      <w:r w:rsidRPr="00044CB7">
        <w:rPr>
          <w:rFonts w:ascii="mylotus" w:hAnsi="mylotus"/>
          <w:sz w:val="34"/>
          <w:szCs w:val="34"/>
          <w:rtl/>
        </w:rPr>
        <w:t xml:space="preserve"> الانهدام وقع ق</w:t>
      </w:r>
      <w:r>
        <w:rPr>
          <w:rFonts w:ascii="mylotus" w:hAnsi="mylotus" w:hint="cs"/>
          <w:sz w:val="34"/>
          <w:szCs w:val="34"/>
          <w:rtl/>
        </w:rPr>
        <w:t>َ</w:t>
      </w:r>
      <w:r w:rsidRPr="00044CB7">
        <w:rPr>
          <w:rFonts w:ascii="mylotus" w:hAnsi="mylotus"/>
          <w:sz w:val="34"/>
          <w:szCs w:val="34"/>
          <w:rtl/>
        </w:rPr>
        <w:t>ب</w:t>
      </w:r>
      <w:r>
        <w:rPr>
          <w:rFonts w:ascii="mylotus" w:hAnsi="mylotus" w:hint="cs"/>
          <w:sz w:val="34"/>
          <w:szCs w:val="34"/>
          <w:rtl/>
        </w:rPr>
        <w:t>ْ</w:t>
      </w:r>
      <w:r w:rsidRPr="00044CB7">
        <w:rPr>
          <w:rFonts w:ascii="mylotus" w:hAnsi="mylotus"/>
          <w:sz w:val="34"/>
          <w:szCs w:val="34"/>
          <w:rtl/>
        </w:rPr>
        <w:t>ل أو ب</w:t>
      </w:r>
      <w:r>
        <w:rPr>
          <w:rFonts w:ascii="mylotus" w:hAnsi="mylotus" w:hint="cs"/>
          <w:sz w:val="34"/>
          <w:szCs w:val="34"/>
          <w:rtl/>
        </w:rPr>
        <w:t>َ</w:t>
      </w:r>
      <w:r w:rsidRPr="00044CB7">
        <w:rPr>
          <w:rFonts w:ascii="mylotus" w:hAnsi="mylotus"/>
          <w:sz w:val="34"/>
          <w:szCs w:val="34"/>
          <w:rtl/>
        </w:rPr>
        <w:t>ع</w:t>
      </w:r>
      <w:r>
        <w:rPr>
          <w:rFonts w:ascii="mylotus" w:hAnsi="mylotus" w:hint="cs"/>
          <w:sz w:val="34"/>
          <w:szCs w:val="34"/>
          <w:rtl/>
        </w:rPr>
        <w:t>ْ</w:t>
      </w:r>
      <w:r w:rsidRPr="00044CB7">
        <w:rPr>
          <w:rFonts w:ascii="mylotus" w:hAnsi="mylotus"/>
          <w:sz w:val="34"/>
          <w:szCs w:val="34"/>
          <w:rtl/>
        </w:rPr>
        <w:t>د قبض الدار قبل سُكنى المُستأجر فإنّ الأُجرة حينئذ</w:t>
      </w:r>
      <w:r>
        <w:rPr>
          <w:rFonts w:ascii="mylotus" w:hAnsi="mylotus" w:hint="cs"/>
          <w:sz w:val="34"/>
          <w:szCs w:val="34"/>
          <w:rtl/>
        </w:rPr>
        <w:t>ٍ</w:t>
      </w:r>
      <w:r w:rsidRPr="00044CB7">
        <w:rPr>
          <w:rFonts w:ascii="mylotus" w:hAnsi="mylotus"/>
          <w:sz w:val="34"/>
          <w:szCs w:val="34"/>
          <w:rtl/>
        </w:rPr>
        <w:t xml:space="preserve"> ترجع بتمامها للمستأجر لبطلان الإجار</w:t>
      </w:r>
      <w:r>
        <w:rPr>
          <w:rFonts w:ascii="mylotus" w:hAnsi="mylotus" w:hint="cs"/>
          <w:sz w:val="34"/>
          <w:szCs w:val="34"/>
          <w:rtl/>
        </w:rPr>
        <w:t>ة.</w:t>
      </w:r>
    </w:p>
    <w:p w14:paraId="2CA716FD"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 xml:space="preserve">وقوله: </w:t>
      </w:r>
      <w:r w:rsidRPr="00044CB7">
        <w:rPr>
          <w:rFonts w:ascii="mylotus" w:hAnsi="mylotus"/>
          <w:b/>
          <w:bCs/>
          <w:sz w:val="34"/>
          <w:szCs w:val="34"/>
          <w:rtl/>
        </w:rPr>
        <w:t>(وإلّا فبالنسبة)،</w:t>
      </w:r>
      <w:r w:rsidRPr="00044CB7">
        <w:rPr>
          <w:rFonts w:ascii="mylotus" w:hAnsi="mylotus"/>
          <w:sz w:val="34"/>
          <w:szCs w:val="34"/>
          <w:rtl/>
        </w:rPr>
        <w:t xml:space="preserve"> أي: إذا كان الانهدام بَعْدَ التمكن مِن الانتفاع ولو مقداراً </w:t>
      </w:r>
      <w:proofErr w:type="spellStart"/>
      <w:r w:rsidRPr="00044CB7">
        <w:rPr>
          <w:rFonts w:ascii="mylotus" w:hAnsi="mylotus"/>
          <w:sz w:val="34"/>
          <w:szCs w:val="34"/>
          <w:rtl/>
        </w:rPr>
        <w:t>فتتقسط</w:t>
      </w:r>
      <w:proofErr w:type="spellEnd"/>
      <w:r w:rsidRPr="00044CB7">
        <w:rPr>
          <w:rFonts w:ascii="mylotus" w:hAnsi="mylotus"/>
          <w:sz w:val="34"/>
          <w:szCs w:val="34"/>
          <w:rtl/>
        </w:rPr>
        <w:t xml:space="preserve"> الأجرة بالنسبة بين ما</w:t>
      </w:r>
      <w:r>
        <w:rPr>
          <w:rFonts w:ascii="mylotus" w:hAnsi="mylotus" w:hint="cs"/>
          <w:sz w:val="34"/>
          <w:szCs w:val="34"/>
          <w:rtl/>
        </w:rPr>
        <w:t xml:space="preserve"> </w:t>
      </w:r>
      <w:r w:rsidRPr="00044CB7">
        <w:rPr>
          <w:rFonts w:ascii="mylotus" w:hAnsi="mylotus"/>
          <w:sz w:val="34"/>
          <w:szCs w:val="34"/>
          <w:rtl/>
        </w:rPr>
        <w:t>مضى وما</w:t>
      </w:r>
      <w:r>
        <w:rPr>
          <w:rFonts w:ascii="mylotus" w:hAnsi="mylotus" w:hint="cs"/>
          <w:sz w:val="34"/>
          <w:szCs w:val="34"/>
          <w:rtl/>
        </w:rPr>
        <w:t xml:space="preserve"> </w:t>
      </w:r>
      <w:r w:rsidRPr="00044CB7">
        <w:rPr>
          <w:rFonts w:ascii="mylotus" w:hAnsi="mylotus"/>
          <w:sz w:val="34"/>
          <w:szCs w:val="34"/>
          <w:rtl/>
        </w:rPr>
        <w:t>بق</w:t>
      </w:r>
      <w:r>
        <w:rPr>
          <w:rFonts w:ascii="mylotus" w:hAnsi="mylotus" w:hint="cs"/>
          <w:sz w:val="34"/>
          <w:szCs w:val="34"/>
          <w:rtl/>
        </w:rPr>
        <w:t>ي.</w:t>
      </w:r>
    </w:p>
    <w:p w14:paraId="2129BCF5"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 xml:space="preserve">وقوله: </w:t>
      </w:r>
      <w:r w:rsidRPr="00044CB7">
        <w:rPr>
          <w:rFonts w:ascii="mylotus" w:hAnsi="mylotus"/>
          <w:b/>
          <w:bCs/>
          <w:sz w:val="34"/>
          <w:szCs w:val="34"/>
          <w:rtl/>
        </w:rPr>
        <w:t>(ويحتمل تمامها في هذه الصورة أيضاً)،</w:t>
      </w:r>
      <w:r w:rsidRPr="00044CB7">
        <w:rPr>
          <w:rFonts w:ascii="mylotus" w:hAnsi="mylotus"/>
          <w:sz w:val="34"/>
          <w:szCs w:val="34"/>
          <w:rtl/>
        </w:rPr>
        <w:t xml:space="preserve"> أي: ويحتمل عود الأُجرة بتمامها إلى المُستأجر حتى مع استيفائه لبعض المنفعة</w:t>
      </w:r>
      <w:r w:rsidRPr="00044CB7">
        <w:rPr>
          <w:rFonts w:ascii="mylotus" w:hAnsi="mylotus"/>
          <w:sz w:val="34"/>
          <w:szCs w:val="34"/>
        </w:rPr>
        <w:t>.</w:t>
      </w:r>
    </w:p>
    <w:p w14:paraId="5942BCB3"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 xml:space="preserve">وقوله: </w:t>
      </w:r>
      <w:r w:rsidRPr="00044CB7">
        <w:rPr>
          <w:rFonts w:ascii="mylotus" w:hAnsi="mylotus"/>
          <w:b/>
          <w:bCs/>
          <w:sz w:val="34"/>
          <w:szCs w:val="34"/>
          <w:rtl/>
        </w:rPr>
        <w:t>(وإن أمكن الانتفاع بها مع ذلك)،</w:t>
      </w:r>
      <w:r w:rsidRPr="00044CB7">
        <w:rPr>
          <w:rFonts w:ascii="mylotus" w:hAnsi="mylotus"/>
          <w:sz w:val="34"/>
          <w:szCs w:val="34"/>
          <w:rtl/>
        </w:rPr>
        <w:t xml:space="preserve"> أي: مع الانهدام، كأنْ تكون الدار </w:t>
      </w:r>
      <w:proofErr w:type="gramStart"/>
      <w:r w:rsidRPr="00044CB7">
        <w:rPr>
          <w:rFonts w:ascii="mylotus" w:hAnsi="mylotus"/>
          <w:sz w:val="34"/>
          <w:szCs w:val="34"/>
          <w:rtl/>
        </w:rPr>
        <w:t>خربة</w:t>
      </w:r>
      <w:proofErr w:type="gramEnd"/>
      <w:r w:rsidRPr="00044CB7">
        <w:rPr>
          <w:rFonts w:ascii="mylotus" w:hAnsi="mylotus"/>
          <w:sz w:val="34"/>
          <w:szCs w:val="34"/>
          <w:rtl/>
        </w:rPr>
        <w:t xml:space="preserve"> ولكن يمكن الانتفاع ببعض شؤونها وغرفها</w:t>
      </w:r>
      <w:r w:rsidRPr="00044CB7">
        <w:rPr>
          <w:rFonts w:ascii="mylotus" w:hAnsi="mylotus"/>
          <w:sz w:val="34"/>
          <w:szCs w:val="34"/>
        </w:rPr>
        <w:t>.</w:t>
      </w:r>
    </w:p>
    <w:p w14:paraId="704DF39E"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 xml:space="preserve">وقوله: </w:t>
      </w:r>
      <w:r w:rsidRPr="00044CB7">
        <w:rPr>
          <w:rFonts w:ascii="mylotus" w:hAnsi="mylotus"/>
          <w:b/>
          <w:bCs/>
          <w:sz w:val="34"/>
          <w:szCs w:val="34"/>
          <w:rtl/>
        </w:rPr>
        <w:t xml:space="preserve">(كان للمستأجر الخيار بين الإبقاء والفسخ)، </w:t>
      </w:r>
      <w:r w:rsidRPr="00044CB7">
        <w:rPr>
          <w:rFonts w:ascii="mylotus" w:hAnsi="mylotus"/>
          <w:sz w:val="34"/>
          <w:szCs w:val="34"/>
          <w:rtl/>
        </w:rPr>
        <w:t>بمعنى أنّ الإجارة صحيحة</w:t>
      </w:r>
      <w:r>
        <w:rPr>
          <w:rFonts w:ascii="mylotus" w:hAnsi="mylotus" w:hint="cs"/>
          <w:sz w:val="34"/>
          <w:szCs w:val="34"/>
          <w:rtl/>
        </w:rPr>
        <w:t>.</w:t>
      </w:r>
    </w:p>
    <w:p w14:paraId="7987F75F"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 xml:space="preserve">وقوله: </w:t>
      </w:r>
      <w:r w:rsidRPr="00044CB7">
        <w:rPr>
          <w:rFonts w:ascii="mylotus" w:hAnsi="mylotus"/>
          <w:b/>
          <w:bCs/>
          <w:sz w:val="34"/>
          <w:szCs w:val="34"/>
          <w:rtl/>
        </w:rPr>
        <w:t>(وإذا فسخ كان حكم الاُجرة ما ذكرنا)،</w:t>
      </w:r>
      <w:r w:rsidRPr="00044CB7">
        <w:rPr>
          <w:rFonts w:ascii="mylotus" w:hAnsi="mylotus"/>
          <w:sz w:val="34"/>
          <w:szCs w:val="34"/>
          <w:rtl/>
        </w:rPr>
        <w:t xml:space="preserve"> أي: إنْ فسخ رجعت الأُجرة إليه بتمامها، ويحتمل التقسيط بأنْ ترجع أُجرة ما مقابل التالف وتبقى الأُجرة بالنسبة لما استوفى مِن المنفعة</w:t>
      </w:r>
      <w:r w:rsidRPr="00044CB7">
        <w:rPr>
          <w:rFonts w:ascii="mylotus" w:hAnsi="mylotus"/>
          <w:sz w:val="34"/>
          <w:szCs w:val="34"/>
        </w:rPr>
        <w:t>.</w:t>
      </w:r>
    </w:p>
    <w:p w14:paraId="7029E4D4"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وقوله: (</w:t>
      </w:r>
      <w:r w:rsidRPr="00044CB7">
        <w:rPr>
          <w:rFonts w:ascii="mylotus" w:hAnsi="mylotus"/>
          <w:b/>
          <w:bCs/>
          <w:sz w:val="34"/>
          <w:szCs w:val="34"/>
          <w:rtl/>
        </w:rPr>
        <w:t>ويقوى هنا رجوع تمام المسمّى مطلقاً</w:t>
      </w:r>
      <w:r w:rsidRPr="00044CB7">
        <w:rPr>
          <w:rFonts w:ascii="mylotus" w:hAnsi="mylotus"/>
          <w:sz w:val="34"/>
          <w:szCs w:val="34"/>
          <w:rtl/>
        </w:rPr>
        <w:t>)، أي: في فرض قابلية الدار للانتفاع، فإن</w:t>
      </w:r>
      <w:r>
        <w:rPr>
          <w:rFonts w:ascii="mylotus" w:hAnsi="mylotus" w:hint="cs"/>
          <w:sz w:val="34"/>
          <w:szCs w:val="34"/>
          <w:rtl/>
        </w:rPr>
        <w:t>ّ</w:t>
      </w:r>
      <w:r w:rsidRPr="00044CB7">
        <w:rPr>
          <w:rFonts w:ascii="mylotus" w:hAnsi="mylotus"/>
          <w:sz w:val="34"/>
          <w:szCs w:val="34"/>
          <w:rtl/>
        </w:rPr>
        <w:t xml:space="preserve">ه بالفسخ يمكنه </w:t>
      </w:r>
      <w:proofErr w:type="gramStart"/>
      <w:r w:rsidRPr="00044CB7">
        <w:rPr>
          <w:rFonts w:ascii="mylotus" w:hAnsi="mylotus"/>
          <w:sz w:val="34"/>
          <w:szCs w:val="34"/>
          <w:rtl/>
        </w:rPr>
        <w:t>استرجاع  تمام</w:t>
      </w:r>
      <w:proofErr w:type="gramEnd"/>
      <w:r w:rsidRPr="00044CB7">
        <w:rPr>
          <w:rFonts w:ascii="mylotus" w:hAnsi="mylotus"/>
          <w:sz w:val="34"/>
          <w:szCs w:val="34"/>
          <w:rtl/>
        </w:rPr>
        <w:t xml:space="preserve"> الأُجرة المُسمّاة له</w:t>
      </w:r>
      <w:r w:rsidRPr="00044CB7">
        <w:rPr>
          <w:rFonts w:ascii="mylotus" w:hAnsi="mylotus"/>
          <w:sz w:val="34"/>
          <w:szCs w:val="34"/>
        </w:rPr>
        <w:t>.</w:t>
      </w:r>
    </w:p>
    <w:p w14:paraId="123C99D2"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 xml:space="preserve">وقوله: </w:t>
      </w:r>
      <w:r w:rsidRPr="00044CB7">
        <w:rPr>
          <w:rFonts w:ascii="mylotus" w:hAnsi="mylotus"/>
          <w:b/>
          <w:bCs/>
          <w:sz w:val="34"/>
          <w:szCs w:val="34"/>
          <w:rtl/>
        </w:rPr>
        <w:t>(ودفع اُجرة المثل بالنسبة إلى ما مضى)</w:t>
      </w:r>
      <w:r w:rsidRPr="00044CB7">
        <w:rPr>
          <w:rFonts w:ascii="mylotus" w:hAnsi="mylotus"/>
          <w:sz w:val="34"/>
          <w:szCs w:val="34"/>
          <w:rtl/>
        </w:rPr>
        <w:t>، وهو ما</w:t>
      </w:r>
      <w:r>
        <w:rPr>
          <w:rFonts w:ascii="mylotus" w:hAnsi="mylotus" w:hint="cs"/>
          <w:sz w:val="34"/>
          <w:szCs w:val="34"/>
          <w:rtl/>
        </w:rPr>
        <w:t xml:space="preserve"> </w:t>
      </w:r>
      <w:r w:rsidRPr="00044CB7">
        <w:rPr>
          <w:rFonts w:ascii="mylotus" w:hAnsi="mylotus"/>
          <w:sz w:val="34"/>
          <w:szCs w:val="34"/>
          <w:rtl/>
        </w:rPr>
        <w:t>استبعده في صورة عدم قابلية الدار للانتفاع وقواهُ في صورة قابلية الانتفاع</w:t>
      </w:r>
      <w:r w:rsidRPr="00044CB7">
        <w:rPr>
          <w:rFonts w:ascii="mylotus" w:hAnsi="mylotus"/>
          <w:sz w:val="34"/>
          <w:szCs w:val="34"/>
        </w:rPr>
        <w:t>.</w:t>
      </w:r>
    </w:p>
    <w:p w14:paraId="39E5CA0E"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 xml:space="preserve">وقوله: </w:t>
      </w:r>
      <w:r w:rsidRPr="00044CB7">
        <w:rPr>
          <w:rFonts w:ascii="mylotus" w:hAnsi="mylotus"/>
          <w:b/>
          <w:bCs/>
          <w:sz w:val="34"/>
          <w:szCs w:val="34"/>
          <w:rtl/>
        </w:rPr>
        <w:t>(وإن انهدم بعض بيوتها بقيت الإجارة بالنسبة إلى البقيّة</w:t>
      </w:r>
      <w:r w:rsidRPr="00044CB7">
        <w:rPr>
          <w:rFonts w:ascii="mylotus" w:hAnsi="mylotus"/>
          <w:sz w:val="34"/>
          <w:szCs w:val="34"/>
          <w:rtl/>
        </w:rPr>
        <w:t>)، أي: بقيت الإجارة صحيحة بالنسبة إلى بقية الدور</w:t>
      </w:r>
      <w:r w:rsidRPr="00044CB7">
        <w:rPr>
          <w:rFonts w:ascii="mylotus" w:hAnsi="mylotus"/>
          <w:sz w:val="34"/>
          <w:szCs w:val="34"/>
        </w:rPr>
        <w:t>.</w:t>
      </w:r>
    </w:p>
    <w:p w14:paraId="3F8560D7"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 xml:space="preserve">وقوله: </w:t>
      </w:r>
      <w:r w:rsidRPr="00044CB7">
        <w:rPr>
          <w:rFonts w:ascii="mylotus" w:hAnsi="mylotus"/>
          <w:b/>
          <w:bCs/>
          <w:sz w:val="34"/>
          <w:szCs w:val="34"/>
          <w:rtl/>
        </w:rPr>
        <w:t>(ولو بادر المؤجّر إلى تعميرها بحيث لم يفت الانتفاع أصلاً)،</w:t>
      </w:r>
      <w:r w:rsidRPr="00044CB7">
        <w:rPr>
          <w:rFonts w:ascii="mylotus" w:hAnsi="mylotus"/>
          <w:sz w:val="34"/>
          <w:szCs w:val="34"/>
          <w:rtl/>
        </w:rPr>
        <w:t xml:space="preserve"> كما لو أنجز المؤجّر اعمارها خلال وقتٍ يسير</w:t>
      </w:r>
      <w:r w:rsidRPr="00044CB7">
        <w:rPr>
          <w:rFonts w:ascii="mylotus" w:hAnsi="mylotus"/>
          <w:sz w:val="34"/>
          <w:szCs w:val="34"/>
        </w:rPr>
        <w:t>.</w:t>
      </w:r>
    </w:p>
    <w:p w14:paraId="7AE0E534"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وقوله</w:t>
      </w:r>
      <w:r w:rsidRPr="00044CB7">
        <w:rPr>
          <w:rFonts w:ascii="mylotus" w:hAnsi="mylotus"/>
          <w:b/>
          <w:bCs/>
          <w:sz w:val="34"/>
          <w:szCs w:val="34"/>
          <w:rtl/>
        </w:rPr>
        <w:t>: (ليس للمستأجر الفسخ حينئذٍ على الأقوى، خلافاً للثانيين)</w:t>
      </w:r>
      <w:r w:rsidRPr="00044CB7">
        <w:rPr>
          <w:rFonts w:ascii="mylotus" w:hAnsi="mylotus"/>
          <w:sz w:val="34"/>
          <w:szCs w:val="34"/>
          <w:rtl/>
        </w:rPr>
        <w:t>، فلا يثبتُ للمُستأجر الخيار، خلافاً للصورتين السابقتين</w:t>
      </w:r>
      <w:r w:rsidRPr="00044CB7">
        <w:rPr>
          <w:rFonts w:ascii="mylotus" w:hAnsi="mylotus"/>
          <w:sz w:val="34"/>
          <w:szCs w:val="34"/>
        </w:rPr>
        <w:t>.</w:t>
      </w:r>
    </w:p>
    <w:p w14:paraId="20C5F893" w14:textId="77777777" w:rsidR="00CC276F" w:rsidRPr="00044CB7" w:rsidRDefault="00CC276F" w:rsidP="00CC276F">
      <w:pPr>
        <w:pStyle w:val="a"/>
        <w:bidi/>
        <w:spacing w:line="216" w:lineRule="auto"/>
        <w:rPr>
          <w:rFonts w:ascii="mylotus" w:hAnsi="mylotus"/>
          <w:b/>
          <w:bCs/>
          <w:sz w:val="34"/>
          <w:szCs w:val="34"/>
          <w:rtl/>
        </w:rPr>
      </w:pPr>
      <w:r w:rsidRPr="00044CB7">
        <w:rPr>
          <w:rFonts w:ascii="mylotus" w:hAnsi="mylotus"/>
          <w:b/>
          <w:bCs/>
          <w:sz w:val="34"/>
          <w:szCs w:val="34"/>
          <w:rtl/>
        </w:rPr>
        <w:t>وبيان</w:t>
      </w:r>
      <w:r w:rsidRPr="00044CB7">
        <w:rPr>
          <w:rFonts w:ascii="mylotus" w:hAnsi="mylotus" w:hint="cs"/>
          <w:b/>
          <w:bCs/>
          <w:sz w:val="34"/>
          <w:szCs w:val="34"/>
          <w:rtl/>
        </w:rPr>
        <w:t>ُ</w:t>
      </w:r>
      <w:r w:rsidRPr="00044CB7">
        <w:rPr>
          <w:rFonts w:ascii="mylotus" w:hAnsi="mylotus"/>
          <w:b/>
          <w:bCs/>
          <w:sz w:val="34"/>
          <w:szCs w:val="34"/>
          <w:rtl/>
        </w:rPr>
        <w:t xml:space="preserve"> المطلب: في المسألة صورتان</w:t>
      </w:r>
      <w:r w:rsidRPr="00044CB7">
        <w:rPr>
          <w:rFonts w:ascii="mylotus" w:hAnsi="mylotus"/>
          <w:b/>
          <w:bCs/>
          <w:sz w:val="34"/>
          <w:szCs w:val="34"/>
        </w:rPr>
        <w:t>:</w:t>
      </w:r>
    </w:p>
    <w:p w14:paraId="65DDDC78" w14:textId="77777777" w:rsidR="00CC276F" w:rsidRPr="00044CB7" w:rsidRDefault="00CC276F" w:rsidP="00CC276F">
      <w:pPr>
        <w:pStyle w:val="a"/>
        <w:bidi/>
        <w:spacing w:line="216" w:lineRule="auto"/>
        <w:rPr>
          <w:rFonts w:ascii="mylotus" w:hAnsi="mylotus"/>
          <w:b/>
          <w:bCs/>
          <w:sz w:val="34"/>
          <w:szCs w:val="34"/>
          <w:rtl/>
        </w:rPr>
      </w:pPr>
      <w:r w:rsidRPr="00044CB7">
        <w:rPr>
          <w:rFonts w:ascii="mylotus" w:hAnsi="mylotus"/>
          <w:b/>
          <w:bCs/>
          <w:sz w:val="34"/>
          <w:szCs w:val="34"/>
          <w:rtl/>
        </w:rPr>
        <w:lastRenderedPageBreak/>
        <w:t>الصورةُ الأُولى: انهدام الدار</w:t>
      </w:r>
      <w:r w:rsidRPr="00044CB7">
        <w:rPr>
          <w:rFonts w:ascii="mylotus" w:hAnsi="mylotus"/>
          <w:b/>
          <w:bCs/>
          <w:sz w:val="34"/>
          <w:szCs w:val="34"/>
        </w:rPr>
        <w:t>.</w:t>
      </w:r>
    </w:p>
    <w:p w14:paraId="0B5FC2DC" w14:textId="77777777" w:rsidR="00CC276F" w:rsidRPr="00044CB7" w:rsidRDefault="00CC276F" w:rsidP="00CC276F">
      <w:pPr>
        <w:pStyle w:val="a"/>
        <w:bidi/>
        <w:spacing w:line="216" w:lineRule="auto"/>
        <w:rPr>
          <w:rFonts w:ascii="mylotus" w:hAnsi="mylotus"/>
          <w:b/>
          <w:bCs/>
          <w:sz w:val="34"/>
          <w:szCs w:val="34"/>
          <w:rtl/>
        </w:rPr>
      </w:pPr>
      <w:r w:rsidRPr="00044CB7">
        <w:rPr>
          <w:rFonts w:ascii="mylotus" w:hAnsi="mylotus"/>
          <w:b/>
          <w:bCs/>
          <w:sz w:val="34"/>
          <w:szCs w:val="34"/>
          <w:rtl/>
        </w:rPr>
        <w:t>والصورةُ الثانية: انهدام بعض بيوتها</w:t>
      </w:r>
      <w:r w:rsidRPr="00044CB7">
        <w:rPr>
          <w:rFonts w:ascii="mylotus" w:hAnsi="mylotus"/>
          <w:b/>
          <w:bCs/>
          <w:sz w:val="34"/>
          <w:szCs w:val="34"/>
        </w:rPr>
        <w:t>.</w:t>
      </w:r>
    </w:p>
    <w:p w14:paraId="73C32E89" w14:textId="77777777" w:rsidR="00CC276F" w:rsidRPr="00044CB7" w:rsidRDefault="00CC276F" w:rsidP="00CC276F">
      <w:pPr>
        <w:pStyle w:val="a"/>
        <w:bidi/>
        <w:spacing w:line="216" w:lineRule="auto"/>
        <w:rPr>
          <w:rFonts w:ascii="mylotus" w:hAnsi="mylotus"/>
          <w:b/>
          <w:bCs/>
          <w:sz w:val="34"/>
          <w:szCs w:val="34"/>
          <w:rtl/>
        </w:rPr>
      </w:pPr>
      <w:r w:rsidRPr="00044CB7">
        <w:rPr>
          <w:rFonts w:ascii="mylotus" w:hAnsi="mylotus"/>
          <w:b/>
          <w:bCs/>
          <w:sz w:val="34"/>
          <w:szCs w:val="34"/>
          <w:rtl/>
        </w:rPr>
        <w:t>أما الصورةُ الأُولى -وهي انهدام الدار- ففيها فرضان</w:t>
      </w:r>
      <w:r w:rsidRPr="00044CB7">
        <w:rPr>
          <w:rFonts w:ascii="mylotus" w:hAnsi="mylotus"/>
          <w:b/>
          <w:bCs/>
          <w:sz w:val="34"/>
          <w:szCs w:val="34"/>
        </w:rPr>
        <w:t>:</w:t>
      </w:r>
    </w:p>
    <w:p w14:paraId="21DD3BF3" w14:textId="77777777" w:rsidR="00CC276F" w:rsidRPr="00044CB7" w:rsidRDefault="00CC276F" w:rsidP="00CC276F">
      <w:pPr>
        <w:pStyle w:val="a"/>
        <w:bidi/>
        <w:spacing w:line="216" w:lineRule="auto"/>
        <w:rPr>
          <w:rFonts w:ascii="mylotus" w:hAnsi="mylotus"/>
          <w:b/>
          <w:bCs/>
          <w:sz w:val="34"/>
          <w:szCs w:val="34"/>
          <w:rtl/>
        </w:rPr>
      </w:pPr>
      <w:r w:rsidRPr="00044CB7">
        <w:rPr>
          <w:rFonts w:ascii="mylotus" w:hAnsi="mylotus"/>
          <w:b/>
          <w:bCs/>
          <w:sz w:val="34"/>
          <w:szCs w:val="34"/>
          <w:rtl/>
        </w:rPr>
        <w:t>الفرضُ الأوّل: عدم قابليتها للانتفاع بها</w:t>
      </w:r>
      <w:r w:rsidRPr="00044CB7">
        <w:rPr>
          <w:rFonts w:ascii="mylotus" w:hAnsi="mylotus"/>
          <w:b/>
          <w:bCs/>
          <w:sz w:val="34"/>
          <w:szCs w:val="34"/>
        </w:rPr>
        <w:t>.</w:t>
      </w:r>
    </w:p>
    <w:p w14:paraId="3F51AE9F" w14:textId="77777777" w:rsidR="00CC276F" w:rsidRPr="00044CB7" w:rsidRDefault="00CC276F" w:rsidP="00CC276F">
      <w:pPr>
        <w:pStyle w:val="a"/>
        <w:bidi/>
        <w:spacing w:line="216" w:lineRule="auto"/>
        <w:rPr>
          <w:rFonts w:ascii="mylotus" w:hAnsi="mylotus"/>
          <w:b/>
          <w:bCs/>
          <w:sz w:val="34"/>
          <w:szCs w:val="34"/>
          <w:rtl/>
        </w:rPr>
      </w:pPr>
      <w:r w:rsidRPr="00044CB7">
        <w:rPr>
          <w:rFonts w:ascii="mylotus" w:hAnsi="mylotus"/>
          <w:b/>
          <w:bCs/>
          <w:sz w:val="34"/>
          <w:szCs w:val="34"/>
          <w:rtl/>
        </w:rPr>
        <w:t>والفرضُ الثاني: قابليتها للانتفاع بها</w:t>
      </w:r>
      <w:r w:rsidRPr="00044CB7">
        <w:rPr>
          <w:rFonts w:ascii="mylotus" w:hAnsi="mylotus"/>
          <w:b/>
          <w:bCs/>
          <w:sz w:val="34"/>
          <w:szCs w:val="34"/>
        </w:rPr>
        <w:t>.</w:t>
      </w:r>
    </w:p>
    <w:p w14:paraId="3BA4DF55"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b/>
          <w:bCs/>
          <w:sz w:val="34"/>
          <w:szCs w:val="34"/>
          <w:rtl/>
        </w:rPr>
        <w:t>ففي الفرض الأوّل</w:t>
      </w:r>
      <w:r>
        <w:rPr>
          <w:rFonts w:ascii="mylotus" w:hAnsi="mylotus" w:hint="cs"/>
          <w:b/>
          <w:bCs/>
          <w:sz w:val="34"/>
          <w:szCs w:val="34"/>
          <w:rtl/>
        </w:rPr>
        <w:t>:</w:t>
      </w:r>
      <w:r w:rsidRPr="00044CB7">
        <w:rPr>
          <w:rFonts w:ascii="mylotus" w:hAnsi="mylotus"/>
          <w:sz w:val="34"/>
          <w:szCs w:val="34"/>
          <w:rtl/>
        </w:rPr>
        <w:t xml:space="preserve"> وهو ما إذا انهدمت الدار بتمامها ولَمْ تكن قابلةً للانتفاع، فهنا تفصيلٌ وهو</w:t>
      </w:r>
      <w:r w:rsidRPr="00044CB7">
        <w:rPr>
          <w:rFonts w:ascii="mylotus" w:hAnsi="mylotus"/>
          <w:sz w:val="34"/>
          <w:szCs w:val="34"/>
        </w:rPr>
        <w:t>:</w:t>
      </w:r>
    </w:p>
    <w:p w14:paraId="3F1883FD"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أنّ التلف إنْ عرض قَبل استلام الدار أو بَعْدَ استلامها بلا فاصل، أو بَعْدَ استلامها بفصل لكن قَبل أنْ ينتفع بشيءٍ منها، لأنّ الإجارة كانت مؤقتة مثلا</w:t>
      </w:r>
      <w:r>
        <w:rPr>
          <w:rFonts w:ascii="mylotus" w:hAnsi="mylotus" w:hint="cs"/>
          <w:sz w:val="34"/>
          <w:szCs w:val="34"/>
          <w:rtl/>
        </w:rPr>
        <w:t>ً</w:t>
      </w:r>
      <w:r w:rsidRPr="00044CB7">
        <w:rPr>
          <w:rFonts w:ascii="mylotus" w:hAnsi="mylotus"/>
          <w:sz w:val="34"/>
          <w:szCs w:val="34"/>
          <w:rtl/>
        </w:rPr>
        <w:t xml:space="preserve"> بأنْ لا ينتفع بالدار إلّا مع دخول الشهر الآتي، فتلفت ق</w:t>
      </w:r>
      <w:r>
        <w:rPr>
          <w:rFonts w:ascii="mylotus" w:hAnsi="mylotus" w:hint="cs"/>
          <w:sz w:val="34"/>
          <w:szCs w:val="34"/>
          <w:rtl/>
        </w:rPr>
        <w:t>َ</w:t>
      </w:r>
      <w:r w:rsidRPr="00044CB7">
        <w:rPr>
          <w:rFonts w:ascii="mylotus" w:hAnsi="mylotus"/>
          <w:sz w:val="34"/>
          <w:szCs w:val="34"/>
          <w:rtl/>
        </w:rPr>
        <w:t>بل أنْ يأتي وقت الانتفاع، فحينئذٍ يحكم بالبطلان؛ لما سبق من اِنتفاء الغرض النوعي المقصود بالإجارة، لا لانتفاء المحل ولا لانتفاء الملكية، خلافاً للمحققين الأصفهاني والخوئي (قدس سرهما)</w:t>
      </w:r>
      <w:r w:rsidRPr="00044CB7">
        <w:rPr>
          <w:rFonts w:ascii="mylotus" w:hAnsi="mylotus"/>
          <w:sz w:val="34"/>
          <w:szCs w:val="34"/>
        </w:rPr>
        <w:t>.</w:t>
      </w:r>
    </w:p>
    <w:p w14:paraId="2A8C5F06"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وإنْ كان الانهدام في أثناء المدّة، أي: بَعْدَ أن استوفى بعض المنافع بطلت الإجارة في المدّة الباقية؛ لما ذكرنا مِن اِنتفاء الغرض النوعي، وصحت فيما استوفى لتحقق الغرض فيه، ويثبتُ لَهُ خيار تبعّض الصفقة لتبعّض المِلك عليه، فإن</w:t>
      </w:r>
      <w:r>
        <w:rPr>
          <w:rFonts w:ascii="mylotus" w:hAnsi="mylotus" w:hint="cs"/>
          <w:sz w:val="34"/>
          <w:szCs w:val="34"/>
          <w:rtl/>
        </w:rPr>
        <w:t>ّ</w:t>
      </w:r>
      <w:r w:rsidRPr="00044CB7">
        <w:rPr>
          <w:rFonts w:ascii="mylotus" w:hAnsi="mylotus"/>
          <w:sz w:val="34"/>
          <w:szCs w:val="34"/>
          <w:rtl/>
        </w:rPr>
        <w:t xml:space="preserve"> التقسيط مقتضى انحلال العقد -حيثُ يرى بالنظر العرفي أنّ عقد الإجارة ينحل بلحاظ المنافع المتكثرة بتعدد الزمان- ولازم انحلاله هو صحّته فيما استوفى وبطلانه فيما تلف، ولو فسخ بالنسبة لما مضى حيثُ ثبت لَهُ خيار تبعّض الصفقة فلو أعمله لزمه أُجرة المثل لما استوفى</w:t>
      </w:r>
      <w:r w:rsidRPr="00044CB7">
        <w:rPr>
          <w:rFonts w:ascii="mylotus" w:hAnsi="mylotus"/>
          <w:sz w:val="34"/>
          <w:szCs w:val="34"/>
        </w:rPr>
        <w:t>.</w:t>
      </w:r>
    </w:p>
    <w:p w14:paraId="6626220C"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hint="cs"/>
          <w:b/>
          <w:bCs/>
          <w:sz w:val="34"/>
          <w:szCs w:val="34"/>
          <w:rtl/>
        </w:rPr>
        <w:t xml:space="preserve">وأمّا في </w:t>
      </w:r>
      <w:r w:rsidRPr="00044CB7">
        <w:rPr>
          <w:rFonts w:ascii="mylotus" w:hAnsi="mylotus"/>
          <w:b/>
          <w:bCs/>
          <w:sz w:val="34"/>
          <w:szCs w:val="34"/>
          <w:rtl/>
        </w:rPr>
        <w:t>الفرضُ الثاني:</w:t>
      </w:r>
      <w:r w:rsidRPr="00044CB7">
        <w:rPr>
          <w:rFonts w:ascii="mylotus" w:hAnsi="mylotus"/>
          <w:sz w:val="34"/>
          <w:szCs w:val="34"/>
          <w:rtl/>
        </w:rPr>
        <w:t xml:space="preserve"> أنّ الانهدام لَمْ يوجب خروج الدار عن قابلية الانتفاع، غايته أنّ الدار تعيبت فلَمْ يمكن الاستفادة المرغوبة منها، فهنا لا فرق بين أنْ يكون ذلك قَبل القبض أو بَعْدَهُ أو أثناء المدّة، فإن</w:t>
      </w:r>
      <w:r>
        <w:rPr>
          <w:rFonts w:ascii="mylotus" w:hAnsi="mylotus" w:hint="cs"/>
          <w:sz w:val="34"/>
          <w:szCs w:val="34"/>
          <w:rtl/>
        </w:rPr>
        <w:t>ّ</w:t>
      </w:r>
      <w:r w:rsidRPr="00044CB7">
        <w:rPr>
          <w:rFonts w:ascii="mylotus" w:hAnsi="mylotus"/>
          <w:sz w:val="34"/>
          <w:szCs w:val="34"/>
          <w:rtl/>
        </w:rPr>
        <w:t xml:space="preserve"> الدار على كل</w:t>
      </w:r>
      <w:r>
        <w:rPr>
          <w:rFonts w:ascii="mylotus" w:hAnsi="mylotus" w:hint="cs"/>
          <w:sz w:val="34"/>
          <w:szCs w:val="34"/>
          <w:rtl/>
        </w:rPr>
        <w:t>ّ</w:t>
      </w:r>
      <w:r w:rsidRPr="00044CB7">
        <w:rPr>
          <w:rFonts w:ascii="mylotus" w:hAnsi="mylotus"/>
          <w:sz w:val="34"/>
          <w:szCs w:val="34"/>
          <w:rtl/>
        </w:rPr>
        <w:t xml:space="preserve"> حال قابلة للانتفاع، فلا موجب للبطلان أو الانفساخ، بل يثبتُ للمُستأجر خيارُ العيب؛ لأنّ الدار تعيبت أو</w:t>
      </w:r>
      <w:r>
        <w:rPr>
          <w:rFonts w:ascii="mylotus" w:hAnsi="mylotus" w:hint="cs"/>
          <w:sz w:val="34"/>
          <w:szCs w:val="34"/>
          <w:rtl/>
        </w:rPr>
        <w:t xml:space="preserve"> </w:t>
      </w:r>
      <w:r w:rsidRPr="00044CB7">
        <w:rPr>
          <w:rFonts w:ascii="mylotus" w:hAnsi="mylotus"/>
          <w:sz w:val="34"/>
          <w:szCs w:val="34"/>
          <w:rtl/>
        </w:rPr>
        <w:t>لتخلف صفة الصحّة المشروطة ارتكازاً في تمام العين حدوثاً وبقاءً</w:t>
      </w:r>
      <w:r>
        <w:rPr>
          <w:rFonts w:ascii="mylotus" w:hAnsi="mylotus" w:hint="cs"/>
          <w:sz w:val="34"/>
          <w:szCs w:val="34"/>
          <w:rtl/>
        </w:rPr>
        <w:t>؛</w:t>
      </w:r>
      <w:r w:rsidRPr="00044CB7">
        <w:rPr>
          <w:rFonts w:ascii="mylotus" w:hAnsi="mylotus"/>
          <w:sz w:val="34"/>
          <w:szCs w:val="34"/>
          <w:rtl/>
        </w:rPr>
        <w:t xml:space="preserve"> بلحاظ أن</w:t>
      </w:r>
      <w:r>
        <w:rPr>
          <w:rFonts w:ascii="mylotus" w:hAnsi="mylotus" w:hint="cs"/>
          <w:sz w:val="34"/>
          <w:szCs w:val="34"/>
          <w:rtl/>
        </w:rPr>
        <w:t>ّ</w:t>
      </w:r>
      <w:r w:rsidRPr="00044CB7">
        <w:rPr>
          <w:rFonts w:ascii="mylotus" w:hAnsi="mylotus"/>
          <w:sz w:val="34"/>
          <w:szCs w:val="34"/>
          <w:rtl/>
        </w:rPr>
        <w:t xml:space="preserve"> متعلق الشرط الصحّة في تمام المدّة -أي حدوثاً وبقاءً-، وحيثُ تخلف شرط الصحّة -الذي هو شرطٌ ارتكازي- فمقتضى تخلفه ثبوت الخيار</w:t>
      </w:r>
      <w:r w:rsidRPr="00044CB7">
        <w:rPr>
          <w:rFonts w:ascii="mylotus" w:hAnsi="mylotus"/>
          <w:sz w:val="34"/>
          <w:szCs w:val="34"/>
        </w:rPr>
        <w:t>.</w:t>
      </w:r>
    </w:p>
    <w:p w14:paraId="5FF52164"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والخيارُ هنا بمعنى فسخ العقد، بحيثُ يرجع إليه تمام الأُجرة المُسمّاة ويضمن أُجرة المثل لما استوفى</w:t>
      </w:r>
      <w:r w:rsidRPr="00044CB7">
        <w:rPr>
          <w:rFonts w:ascii="mylotus" w:hAnsi="mylotus"/>
          <w:sz w:val="34"/>
          <w:szCs w:val="34"/>
        </w:rPr>
        <w:t>.</w:t>
      </w:r>
    </w:p>
    <w:p w14:paraId="5A0EDCE8"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لكن بعض الأجلة (رحمه الله) في كتابه الإجارة</w:t>
      </w:r>
      <w:r>
        <w:rPr>
          <w:rStyle w:val="FootnoteReference"/>
          <w:rFonts w:ascii="mylotus" w:hAnsi="mylotus"/>
          <w:sz w:val="34"/>
          <w:szCs w:val="34"/>
          <w:rtl/>
        </w:rPr>
        <w:footnoteReference w:id="279"/>
      </w:r>
      <w:r w:rsidRPr="00044CB7">
        <w:rPr>
          <w:rFonts w:ascii="mylotus" w:hAnsi="mylotus"/>
          <w:sz w:val="34"/>
          <w:szCs w:val="34"/>
          <w:rtl/>
        </w:rPr>
        <w:t xml:space="preserve"> ذكر في التعليق على كلام سيدنا الخوئي (قدس سره) في أحد الفروض وهو ما إذا حصل الانهدام بَعْدَ استيفاء بعض المنفعة ولَمْ تخرج الدار بالانهدام عن قابلية الانتفاع، فهنا أفاد </w:t>
      </w:r>
      <w:r>
        <w:rPr>
          <w:rFonts w:ascii="mylotus" w:hAnsi="mylotus" w:hint="cs"/>
          <w:sz w:val="34"/>
          <w:szCs w:val="34"/>
          <w:rtl/>
        </w:rPr>
        <w:t>ا</w:t>
      </w:r>
      <w:r w:rsidRPr="00044CB7">
        <w:rPr>
          <w:rFonts w:ascii="mylotus" w:hAnsi="mylotus"/>
          <w:sz w:val="34"/>
          <w:szCs w:val="34"/>
          <w:rtl/>
        </w:rPr>
        <w:t>لسيد الخوئي (قدس سره) بأنّ لَهُ خيار العيب فيمكنه أنْ يفسخ ويسترجع تمام الأُجرة ويضمن أُجرة المثل لما مضى، وهو</w:t>
      </w:r>
      <w:r>
        <w:rPr>
          <w:rFonts w:ascii="mylotus" w:hAnsi="mylotus" w:hint="cs"/>
          <w:sz w:val="34"/>
          <w:szCs w:val="34"/>
          <w:rtl/>
        </w:rPr>
        <w:t xml:space="preserve"> </w:t>
      </w:r>
      <w:r w:rsidRPr="00044CB7">
        <w:rPr>
          <w:rFonts w:ascii="mylotus" w:hAnsi="mylotus"/>
          <w:sz w:val="34"/>
          <w:szCs w:val="34"/>
          <w:rtl/>
        </w:rPr>
        <w:t>مبنى سيد العروة (قدس سره) أيضاً</w:t>
      </w:r>
      <w:r w:rsidRPr="00044CB7">
        <w:rPr>
          <w:rFonts w:ascii="mylotus" w:hAnsi="mylotus"/>
          <w:sz w:val="34"/>
          <w:szCs w:val="34"/>
        </w:rPr>
        <w:t>.</w:t>
      </w:r>
    </w:p>
    <w:p w14:paraId="073D997C"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b/>
          <w:bCs/>
          <w:sz w:val="34"/>
          <w:szCs w:val="34"/>
          <w:rtl/>
        </w:rPr>
        <w:t>وحاصل</w:t>
      </w:r>
      <w:r>
        <w:rPr>
          <w:rFonts w:ascii="mylotus" w:hAnsi="mylotus" w:hint="cs"/>
          <w:b/>
          <w:bCs/>
          <w:sz w:val="34"/>
          <w:szCs w:val="34"/>
          <w:rtl/>
        </w:rPr>
        <w:t>ُ</w:t>
      </w:r>
      <w:r w:rsidRPr="00044CB7">
        <w:rPr>
          <w:rFonts w:ascii="mylotus" w:hAnsi="mylotus"/>
          <w:b/>
          <w:bCs/>
          <w:sz w:val="34"/>
          <w:szCs w:val="34"/>
          <w:rtl/>
        </w:rPr>
        <w:t xml:space="preserve"> التعليق:</w:t>
      </w:r>
      <w:r w:rsidRPr="00044CB7">
        <w:rPr>
          <w:rFonts w:ascii="mylotus" w:hAnsi="mylotus"/>
          <w:sz w:val="34"/>
          <w:szCs w:val="34"/>
          <w:rtl/>
        </w:rPr>
        <w:t xml:space="preserve"> أنّ العيب ليس في تمام ما هو متعلّق الإجارة، فإن</w:t>
      </w:r>
      <w:r>
        <w:rPr>
          <w:rFonts w:ascii="mylotus" w:hAnsi="mylotus" w:hint="cs"/>
          <w:sz w:val="34"/>
          <w:szCs w:val="34"/>
          <w:rtl/>
        </w:rPr>
        <w:t>ّ</w:t>
      </w:r>
      <w:r w:rsidRPr="00044CB7">
        <w:rPr>
          <w:rFonts w:ascii="mylotus" w:hAnsi="mylotus"/>
          <w:sz w:val="34"/>
          <w:szCs w:val="34"/>
          <w:rtl/>
        </w:rPr>
        <w:t xml:space="preserve"> متعلّق الإجارة هو المنفعة في تمام المدّة وهذا لَمْ يتعيب بتمامه، بل الذي تعيب هو المنفعة في الجزء الباقي في الزمان الثاني</w:t>
      </w:r>
      <w:r w:rsidRPr="00044CB7">
        <w:rPr>
          <w:rFonts w:ascii="mylotus" w:hAnsi="mylotus"/>
          <w:sz w:val="34"/>
          <w:szCs w:val="34"/>
        </w:rPr>
        <w:t>.</w:t>
      </w:r>
    </w:p>
    <w:p w14:paraId="6135DE6C"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lastRenderedPageBreak/>
        <w:t xml:space="preserve">وقد أوضح ذلك بقوله (رحمه الله): </w:t>
      </w:r>
      <w:r w:rsidRPr="00044CB7">
        <w:rPr>
          <w:rFonts w:ascii="mylotus" w:hAnsi="mylotus"/>
          <w:b/>
          <w:bCs/>
          <w:sz w:val="34"/>
          <w:szCs w:val="34"/>
          <w:rtl/>
        </w:rPr>
        <w:t xml:space="preserve">(قد يقال إنَّ الخيار هنا بملاك العيب والنقص) </w:t>
      </w:r>
      <w:r w:rsidRPr="00044CB7">
        <w:rPr>
          <w:rFonts w:ascii="mylotus" w:hAnsi="mylotus"/>
          <w:sz w:val="34"/>
          <w:szCs w:val="34"/>
          <w:rtl/>
        </w:rPr>
        <w:t xml:space="preserve">كما قال به سيدنا الخوئي (قدس سره) </w:t>
      </w:r>
      <w:r w:rsidRPr="00044CB7">
        <w:rPr>
          <w:rFonts w:ascii="mylotus" w:hAnsi="mylotus"/>
          <w:b/>
          <w:bCs/>
          <w:sz w:val="34"/>
          <w:szCs w:val="34"/>
          <w:rtl/>
        </w:rPr>
        <w:t>(وهو واقع على المنفعة في الزمان الثاني فقط، فيكون موجباً لحق الفسخ بمقداره لا أكثر)</w:t>
      </w:r>
      <w:r w:rsidRPr="00044CB7">
        <w:rPr>
          <w:rFonts w:ascii="mylotus" w:hAnsi="mylotus"/>
          <w:sz w:val="34"/>
          <w:szCs w:val="34"/>
          <w:rtl/>
        </w:rPr>
        <w:t xml:space="preserve"> ومعنى ذلك: أنّ الإجارة نفذت ولزمت في الزمان الأوّل، بغض النظر عن خيار تبعّض الصفقة، فلو فسخ في الزمان الثاني كان ل</w:t>
      </w:r>
      <w:r>
        <w:rPr>
          <w:rFonts w:ascii="mylotus" w:hAnsi="mylotus" w:hint="cs"/>
          <w:sz w:val="34"/>
          <w:szCs w:val="34"/>
          <w:rtl/>
        </w:rPr>
        <w:t>َ</w:t>
      </w:r>
      <w:r w:rsidRPr="00044CB7">
        <w:rPr>
          <w:rFonts w:ascii="mylotus" w:hAnsi="mylotus"/>
          <w:sz w:val="34"/>
          <w:szCs w:val="34"/>
          <w:rtl/>
        </w:rPr>
        <w:t>ه</w:t>
      </w:r>
      <w:r>
        <w:rPr>
          <w:rFonts w:ascii="mylotus" w:hAnsi="mylotus" w:hint="cs"/>
          <w:sz w:val="34"/>
          <w:szCs w:val="34"/>
          <w:rtl/>
        </w:rPr>
        <w:t>ُ</w:t>
      </w:r>
      <w:r w:rsidRPr="00044CB7">
        <w:rPr>
          <w:rFonts w:ascii="mylotus" w:hAnsi="mylotus"/>
          <w:sz w:val="34"/>
          <w:szCs w:val="34"/>
          <w:rtl/>
        </w:rPr>
        <w:t xml:space="preserve"> خيار ثانٍ فيما مضى، وهذه مسألةٌ أخرى </w:t>
      </w:r>
      <w:r w:rsidRPr="00044CB7">
        <w:rPr>
          <w:rFonts w:ascii="mylotus" w:hAnsi="mylotus"/>
          <w:b/>
          <w:bCs/>
          <w:sz w:val="34"/>
          <w:szCs w:val="34"/>
          <w:rtl/>
        </w:rPr>
        <w:t xml:space="preserve">(لأنَّ الخيار) </w:t>
      </w:r>
      <w:r w:rsidRPr="00044CB7">
        <w:rPr>
          <w:rFonts w:ascii="mylotus" w:hAnsi="mylotus"/>
          <w:sz w:val="34"/>
          <w:szCs w:val="34"/>
          <w:rtl/>
        </w:rPr>
        <w:t xml:space="preserve">هنا إن كان </w:t>
      </w:r>
      <w:r w:rsidRPr="00044CB7">
        <w:rPr>
          <w:rFonts w:ascii="mylotus" w:hAnsi="mylotus"/>
          <w:b/>
          <w:bCs/>
          <w:sz w:val="34"/>
          <w:szCs w:val="34"/>
          <w:rtl/>
        </w:rPr>
        <w:t>(بملاك لزوم الضرر)</w:t>
      </w:r>
      <w:r w:rsidRPr="00044CB7">
        <w:rPr>
          <w:rFonts w:ascii="mylotus" w:hAnsi="mylotus"/>
          <w:sz w:val="34"/>
          <w:szCs w:val="34"/>
          <w:rtl/>
        </w:rPr>
        <w:t xml:space="preserve"> أي: أنّ لزوم العقد في حقّه حكمٌ ضرري، فمقتضى ارتفاع الحكم الضرري أنّ لَهُ الخيار </w:t>
      </w:r>
      <w:r w:rsidRPr="00044CB7">
        <w:rPr>
          <w:rFonts w:ascii="mylotus" w:hAnsi="mylotus"/>
          <w:b/>
          <w:bCs/>
          <w:sz w:val="34"/>
          <w:szCs w:val="34"/>
          <w:rtl/>
        </w:rPr>
        <w:t>(فهو لا يوجب أكثر من جواز ردّ المعوض الذي وقع فيه نقص)</w:t>
      </w:r>
      <w:r w:rsidRPr="00044CB7">
        <w:rPr>
          <w:rFonts w:ascii="mylotus" w:hAnsi="mylotus"/>
          <w:sz w:val="34"/>
          <w:szCs w:val="34"/>
          <w:rtl/>
        </w:rPr>
        <w:t xml:space="preserve"> وهو المنفعة فيما بقي لمِلك المؤجّر ويأخذ ما قابلها، لا تمام المنفعة؛ لأنّه استفاد مِن المنفعة واستوفى، وإنّما الضرر في جزءٍ مِن المنفعة، فلو كان الخيار بملاك ورود الضرر لكان مقتضاهُ التقسيط</w:t>
      </w:r>
      <w:r>
        <w:rPr>
          <w:rFonts w:ascii="mylotus" w:hAnsi="mylotus" w:hint="cs"/>
          <w:sz w:val="34"/>
          <w:szCs w:val="34"/>
          <w:rtl/>
        </w:rPr>
        <w:t xml:space="preserve"> </w:t>
      </w:r>
      <w:r w:rsidRPr="00044CB7">
        <w:rPr>
          <w:rFonts w:ascii="mylotus" w:hAnsi="mylotus"/>
          <w:b/>
          <w:bCs/>
          <w:sz w:val="34"/>
          <w:szCs w:val="34"/>
          <w:rtl/>
        </w:rPr>
        <w:t>(وإن كان بملاك شرط الصحة)</w:t>
      </w:r>
      <w:r w:rsidRPr="00044CB7">
        <w:rPr>
          <w:rFonts w:ascii="mylotus" w:hAnsi="mylotus"/>
          <w:sz w:val="34"/>
          <w:szCs w:val="34"/>
          <w:rtl/>
        </w:rPr>
        <w:t xml:space="preserve"> وقد تخلف </w:t>
      </w:r>
      <w:r w:rsidRPr="00044CB7">
        <w:rPr>
          <w:rFonts w:ascii="mylotus" w:hAnsi="mylotus"/>
          <w:b/>
          <w:bCs/>
          <w:sz w:val="34"/>
          <w:szCs w:val="34"/>
          <w:rtl/>
        </w:rPr>
        <w:t xml:space="preserve">(فهو كذلك أيضاً على ما تقدم) </w:t>
      </w:r>
      <w:r w:rsidRPr="00044CB7">
        <w:rPr>
          <w:rFonts w:ascii="mylotus" w:hAnsi="mylotus"/>
          <w:sz w:val="34"/>
          <w:szCs w:val="34"/>
          <w:rtl/>
        </w:rPr>
        <w:t>أي: أنّ الشرط الارتكازي هو الصحّة الانحلالية، وقد استفاد منفعة سليمة بلا عيب في المدّة الماضية، وإن</w:t>
      </w:r>
      <w:r>
        <w:rPr>
          <w:rFonts w:ascii="mylotus" w:hAnsi="mylotus" w:hint="cs"/>
          <w:sz w:val="34"/>
          <w:szCs w:val="34"/>
          <w:rtl/>
        </w:rPr>
        <w:t>ّ</w:t>
      </w:r>
      <w:r w:rsidRPr="00044CB7">
        <w:rPr>
          <w:rFonts w:ascii="mylotus" w:hAnsi="mylotus"/>
          <w:sz w:val="34"/>
          <w:szCs w:val="34"/>
          <w:rtl/>
        </w:rPr>
        <w:t xml:space="preserve">ما تخلف شرط الصحّة في المنفعة في الزمان الثاني فلا موجب لاسترجاع تمام الأجرة </w:t>
      </w:r>
      <w:r w:rsidRPr="00044CB7">
        <w:rPr>
          <w:rFonts w:ascii="mylotus" w:hAnsi="mylotus"/>
          <w:b/>
          <w:bCs/>
          <w:sz w:val="34"/>
          <w:szCs w:val="34"/>
          <w:rtl/>
        </w:rPr>
        <w:t>(نعم، لو قيل بخيار تبعض الصفقة في أمثال المقام كان له حق فسخ التمام، ولكن تقدم الاشكال فيه بلحاظ المنفعة المستوفاة)</w:t>
      </w:r>
      <w:r w:rsidRPr="00044CB7">
        <w:rPr>
          <w:rFonts w:ascii="mylotus" w:hAnsi="mylotus"/>
          <w:sz w:val="34"/>
          <w:szCs w:val="34"/>
          <w:rtl/>
        </w:rPr>
        <w:t xml:space="preserve"> أي</w:t>
      </w:r>
      <w:r>
        <w:rPr>
          <w:rFonts w:ascii="mylotus" w:hAnsi="mylotus" w:hint="cs"/>
          <w:sz w:val="34"/>
          <w:szCs w:val="34"/>
          <w:rtl/>
        </w:rPr>
        <w:t>:</w:t>
      </w:r>
      <w:r w:rsidRPr="00044CB7">
        <w:rPr>
          <w:rFonts w:ascii="mylotus" w:hAnsi="mylotus"/>
          <w:sz w:val="34"/>
          <w:szCs w:val="34"/>
          <w:rtl/>
        </w:rPr>
        <w:t xml:space="preserve"> أن</w:t>
      </w:r>
      <w:r>
        <w:rPr>
          <w:rFonts w:ascii="mylotus" w:hAnsi="mylotus" w:hint="cs"/>
          <w:sz w:val="34"/>
          <w:szCs w:val="34"/>
          <w:rtl/>
        </w:rPr>
        <w:t>ّ</w:t>
      </w:r>
      <w:r w:rsidRPr="00044CB7">
        <w:rPr>
          <w:rFonts w:ascii="mylotus" w:hAnsi="mylotus"/>
          <w:sz w:val="34"/>
          <w:szCs w:val="34"/>
          <w:rtl/>
        </w:rPr>
        <w:t>ه لو فسخ الإجارة فيما بقي تبعّض عليه المِلك، فلو قلنا بثبوت خيار تبعّض الصفقة أمكنه أيضاً إعمال الخيار فيما استوفى، لكن هذا مِن باب خيار تبعّض الصفقة، لا مِن باب خيار العيب أو مِن باب تخلف شرط الصحّة كما ذكر سيدنا الخوئي (قدس سره)</w:t>
      </w:r>
      <w:r w:rsidRPr="00044CB7">
        <w:rPr>
          <w:rFonts w:ascii="mylotus" w:hAnsi="mylotus"/>
          <w:sz w:val="34"/>
          <w:szCs w:val="34"/>
        </w:rPr>
        <w:t>.</w:t>
      </w:r>
    </w:p>
    <w:p w14:paraId="6AA2ADCC"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b/>
          <w:bCs/>
          <w:sz w:val="34"/>
          <w:szCs w:val="34"/>
          <w:rtl/>
        </w:rPr>
        <w:t>والصحيحُ:</w:t>
      </w:r>
      <w:r w:rsidRPr="00044CB7">
        <w:rPr>
          <w:rFonts w:ascii="mylotus" w:hAnsi="mylotus"/>
          <w:sz w:val="34"/>
          <w:szCs w:val="34"/>
          <w:rtl/>
        </w:rPr>
        <w:t xml:space="preserve"> ما ذكره سيدنا الخوئي (قدس سره الشريف) في الجملة</w:t>
      </w:r>
      <w:r w:rsidRPr="00044CB7">
        <w:rPr>
          <w:rFonts w:ascii="mylotus" w:hAnsi="mylotus"/>
          <w:sz w:val="34"/>
          <w:szCs w:val="34"/>
        </w:rPr>
        <w:t>.</w:t>
      </w:r>
    </w:p>
    <w:p w14:paraId="7DF25FC5"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b/>
          <w:bCs/>
          <w:sz w:val="34"/>
          <w:szCs w:val="34"/>
          <w:rtl/>
        </w:rPr>
        <w:t>والوجه</w:t>
      </w:r>
      <w:r>
        <w:rPr>
          <w:rFonts w:ascii="mylotus" w:hAnsi="mylotus" w:hint="cs"/>
          <w:b/>
          <w:bCs/>
          <w:sz w:val="34"/>
          <w:szCs w:val="34"/>
          <w:rtl/>
        </w:rPr>
        <w:t>ُ</w:t>
      </w:r>
      <w:r w:rsidRPr="00044CB7">
        <w:rPr>
          <w:rFonts w:ascii="mylotus" w:hAnsi="mylotus"/>
          <w:b/>
          <w:bCs/>
          <w:sz w:val="34"/>
          <w:szCs w:val="34"/>
          <w:rtl/>
        </w:rPr>
        <w:t xml:space="preserve"> في ذلك:</w:t>
      </w:r>
      <w:r w:rsidRPr="00044CB7">
        <w:rPr>
          <w:rFonts w:ascii="mylotus" w:hAnsi="mylotus"/>
          <w:sz w:val="34"/>
          <w:szCs w:val="34"/>
          <w:rtl/>
        </w:rPr>
        <w:t xml:space="preserve"> ما سبق بيانُهُ مِن أنّ الإجارة وإنْ كانت تنحل إلى </w:t>
      </w:r>
      <w:proofErr w:type="spellStart"/>
      <w:r w:rsidRPr="00044CB7">
        <w:rPr>
          <w:rFonts w:ascii="mylotus" w:hAnsi="mylotus"/>
          <w:sz w:val="34"/>
          <w:szCs w:val="34"/>
          <w:rtl/>
        </w:rPr>
        <w:t>تمليكات</w:t>
      </w:r>
      <w:proofErr w:type="spellEnd"/>
      <w:r w:rsidRPr="00044CB7">
        <w:rPr>
          <w:rFonts w:ascii="mylotus" w:hAnsi="mylotus"/>
          <w:sz w:val="34"/>
          <w:szCs w:val="34"/>
          <w:rtl/>
        </w:rPr>
        <w:t xml:space="preserve"> عديدة بعدد المنافع المتكثرة بحسب الزمان، إلّا أنّ هذا الانحلال انحلالٌ حكمي وليس انحلالاً حقيقياً كي يكون مقتضاه </w:t>
      </w:r>
      <w:proofErr w:type="gramStart"/>
      <w:r w:rsidRPr="00044CB7">
        <w:rPr>
          <w:rFonts w:ascii="mylotus" w:hAnsi="mylotus"/>
          <w:sz w:val="34"/>
          <w:szCs w:val="34"/>
          <w:rtl/>
        </w:rPr>
        <w:t>التقسيط</w:t>
      </w:r>
      <w:r w:rsidRPr="00044CB7">
        <w:rPr>
          <w:rFonts w:ascii="mylotus" w:hAnsi="mylotus"/>
          <w:sz w:val="34"/>
          <w:szCs w:val="34"/>
        </w:rPr>
        <w:t xml:space="preserve"> .</w:t>
      </w:r>
      <w:proofErr w:type="gramEnd"/>
    </w:p>
    <w:p w14:paraId="565101A6" w14:textId="77777777" w:rsidR="00CC276F" w:rsidRDefault="00CC276F" w:rsidP="00CC276F">
      <w:pPr>
        <w:pStyle w:val="a"/>
        <w:bidi/>
        <w:spacing w:line="216" w:lineRule="auto"/>
        <w:rPr>
          <w:rFonts w:ascii="mylotus" w:hAnsi="mylotus"/>
          <w:sz w:val="34"/>
          <w:szCs w:val="34"/>
          <w:rtl/>
        </w:rPr>
      </w:pPr>
      <w:r w:rsidRPr="00044CB7">
        <w:rPr>
          <w:rFonts w:ascii="mylotus" w:hAnsi="mylotus"/>
          <w:b/>
          <w:bCs/>
          <w:sz w:val="34"/>
          <w:szCs w:val="34"/>
          <w:rtl/>
        </w:rPr>
        <w:t>وبالتالي</w:t>
      </w:r>
      <w:r w:rsidRPr="00044CB7">
        <w:rPr>
          <w:rFonts w:ascii="mylotus" w:hAnsi="mylotus" w:hint="cs"/>
          <w:b/>
          <w:bCs/>
          <w:sz w:val="34"/>
          <w:szCs w:val="34"/>
          <w:rtl/>
        </w:rPr>
        <w:t>:</w:t>
      </w:r>
      <w:r w:rsidRPr="00044CB7">
        <w:rPr>
          <w:rFonts w:ascii="mylotus" w:hAnsi="mylotus"/>
          <w:sz w:val="34"/>
          <w:szCs w:val="34"/>
          <w:rtl/>
        </w:rPr>
        <w:t xml:space="preserve"> فالمرجع في المقام ما</w:t>
      </w:r>
      <w:r>
        <w:rPr>
          <w:rFonts w:ascii="mylotus" w:hAnsi="mylotus" w:hint="cs"/>
          <w:sz w:val="34"/>
          <w:szCs w:val="34"/>
          <w:rtl/>
        </w:rPr>
        <w:t xml:space="preserve"> </w:t>
      </w:r>
      <w:r w:rsidRPr="00044CB7">
        <w:rPr>
          <w:rFonts w:ascii="mylotus" w:hAnsi="mylotus"/>
          <w:sz w:val="34"/>
          <w:szCs w:val="34"/>
          <w:rtl/>
        </w:rPr>
        <w:t>هو مقتضى القاعدة، فإن</w:t>
      </w:r>
      <w:r>
        <w:rPr>
          <w:rFonts w:ascii="mylotus" w:hAnsi="mylotus" w:hint="cs"/>
          <w:sz w:val="34"/>
          <w:szCs w:val="34"/>
          <w:rtl/>
        </w:rPr>
        <w:t>ْ</w:t>
      </w:r>
      <w:r w:rsidRPr="00044CB7">
        <w:rPr>
          <w:rFonts w:ascii="mylotus" w:hAnsi="mylotus"/>
          <w:sz w:val="34"/>
          <w:szCs w:val="34"/>
          <w:rtl/>
        </w:rPr>
        <w:t xml:space="preserve"> ق</w:t>
      </w:r>
      <w:r>
        <w:rPr>
          <w:rFonts w:ascii="mylotus" w:hAnsi="mylotus" w:hint="cs"/>
          <w:sz w:val="34"/>
          <w:szCs w:val="34"/>
          <w:rtl/>
        </w:rPr>
        <w:t>ُ</w:t>
      </w:r>
      <w:r w:rsidRPr="00044CB7">
        <w:rPr>
          <w:rFonts w:ascii="mylotus" w:hAnsi="mylotus"/>
          <w:sz w:val="34"/>
          <w:szCs w:val="34"/>
          <w:rtl/>
        </w:rPr>
        <w:t>لنا بأن</w:t>
      </w:r>
      <w:r>
        <w:rPr>
          <w:rFonts w:ascii="mylotus" w:hAnsi="mylotus" w:hint="cs"/>
          <w:sz w:val="34"/>
          <w:szCs w:val="34"/>
          <w:rtl/>
        </w:rPr>
        <w:t>ّ</w:t>
      </w:r>
      <w:r w:rsidRPr="00044CB7">
        <w:rPr>
          <w:rFonts w:ascii="mylotus" w:hAnsi="mylotus"/>
          <w:sz w:val="34"/>
          <w:szCs w:val="34"/>
          <w:rtl/>
        </w:rPr>
        <w:t xml:space="preserve"> المناط في الخيار هو تخلف شرط الصح</w:t>
      </w:r>
      <w:r>
        <w:rPr>
          <w:rFonts w:ascii="mylotus" w:hAnsi="mylotus" w:hint="cs"/>
          <w:sz w:val="34"/>
          <w:szCs w:val="34"/>
          <w:rtl/>
        </w:rPr>
        <w:t>ّ</w:t>
      </w:r>
      <w:r w:rsidRPr="00044CB7">
        <w:rPr>
          <w:rFonts w:ascii="mylotus" w:hAnsi="mylotus"/>
          <w:sz w:val="34"/>
          <w:szCs w:val="34"/>
          <w:rtl/>
        </w:rPr>
        <w:t>ة فمن الواضح أن</w:t>
      </w:r>
      <w:r>
        <w:rPr>
          <w:rFonts w:ascii="mylotus" w:hAnsi="mylotus" w:hint="cs"/>
          <w:sz w:val="34"/>
          <w:szCs w:val="34"/>
          <w:rtl/>
        </w:rPr>
        <w:t>ّ</w:t>
      </w:r>
      <w:r w:rsidRPr="00044CB7">
        <w:rPr>
          <w:rFonts w:ascii="mylotus" w:hAnsi="mylotus"/>
          <w:sz w:val="34"/>
          <w:szCs w:val="34"/>
          <w:rtl/>
        </w:rPr>
        <w:t xml:space="preserve"> متعلق شرط الصح</w:t>
      </w:r>
      <w:r>
        <w:rPr>
          <w:rFonts w:ascii="mylotus" w:hAnsi="mylotus" w:hint="cs"/>
          <w:sz w:val="34"/>
          <w:szCs w:val="34"/>
          <w:rtl/>
        </w:rPr>
        <w:t>ّ</w:t>
      </w:r>
      <w:r w:rsidRPr="00044CB7">
        <w:rPr>
          <w:rFonts w:ascii="mylotus" w:hAnsi="mylotus"/>
          <w:sz w:val="34"/>
          <w:szCs w:val="34"/>
          <w:rtl/>
        </w:rPr>
        <w:t>ة ارتكازا هو سلامة المعوض له حدوثا</w:t>
      </w:r>
      <w:r>
        <w:rPr>
          <w:rFonts w:ascii="mylotus" w:hAnsi="mylotus" w:hint="cs"/>
          <w:sz w:val="34"/>
          <w:szCs w:val="34"/>
          <w:rtl/>
        </w:rPr>
        <w:t>ً</w:t>
      </w:r>
      <w:r w:rsidRPr="00044CB7">
        <w:rPr>
          <w:rFonts w:ascii="mylotus" w:hAnsi="mylotus"/>
          <w:sz w:val="34"/>
          <w:szCs w:val="34"/>
          <w:rtl/>
        </w:rPr>
        <w:t xml:space="preserve"> وبقاء</w:t>
      </w:r>
      <w:r>
        <w:rPr>
          <w:rFonts w:ascii="mylotus" w:hAnsi="mylotus" w:hint="cs"/>
          <w:sz w:val="34"/>
          <w:szCs w:val="34"/>
          <w:rtl/>
        </w:rPr>
        <w:t>ً</w:t>
      </w:r>
      <w:r w:rsidRPr="00044CB7">
        <w:rPr>
          <w:rFonts w:ascii="mylotus" w:hAnsi="mylotus"/>
          <w:sz w:val="34"/>
          <w:szCs w:val="34"/>
          <w:rtl/>
        </w:rPr>
        <w:t xml:space="preserve"> على نحو المجموع بما مجموع، ومقتضاه استرجاع تمام الم</w:t>
      </w:r>
      <w:r>
        <w:rPr>
          <w:rFonts w:ascii="mylotus" w:hAnsi="mylotus" w:hint="cs"/>
          <w:sz w:val="34"/>
          <w:szCs w:val="34"/>
          <w:rtl/>
        </w:rPr>
        <w:t>ُ</w:t>
      </w:r>
      <w:r w:rsidRPr="00044CB7">
        <w:rPr>
          <w:rFonts w:ascii="mylotus" w:hAnsi="mylotus"/>
          <w:sz w:val="34"/>
          <w:szCs w:val="34"/>
          <w:rtl/>
        </w:rPr>
        <w:t>سم</w:t>
      </w:r>
      <w:r>
        <w:rPr>
          <w:rFonts w:ascii="mylotus" w:hAnsi="mylotus" w:hint="cs"/>
          <w:sz w:val="34"/>
          <w:szCs w:val="34"/>
          <w:rtl/>
        </w:rPr>
        <w:t>ّ</w:t>
      </w:r>
      <w:r w:rsidRPr="00044CB7">
        <w:rPr>
          <w:rFonts w:ascii="mylotus" w:hAnsi="mylotus"/>
          <w:sz w:val="34"/>
          <w:szCs w:val="34"/>
          <w:rtl/>
        </w:rPr>
        <w:t>ى وضمان أ</w:t>
      </w:r>
      <w:r>
        <w:rPr>
          <w:rFonts w:ascii="mylotus" w:hAnsi="mylotus" w:hint="cs"/>
          <w:sz w:val="34"/>
          <w:szCs w:val="34"/>
          <w:rtl/>
        </w:rPr>
        <w:t>ُ</w:t>
      </w:r>
      <w:r w:rsidRPr="00044CB7">
        <w:rPr>
          <w:rFonts w:ascii="mylotus" w:hAnsi="mylotus"/>
          <w:sz w:val="34"/>
          <w:szCs w:val="34"/>
          <w:rtl/>
        </w:rPr>
        <w:t>جرة المثل لما مضى</w:t>
      </w:r>
      <w:r>
        <w:rPr>
          <w:rFonts w:ascii="mylotus" w:hAnsi="mylotus" w:hint="cs"/>
          <w:sz w:val="34"/>
          <w:szCs w:val="34"/>
          <w:rtl/>
        </w:rPr>
        <w:t>.</w:t>
      </w:r>
    </w:p>
    <w:p w14:paraId="7CB92B85"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وإن</w:t>
      </w:r>
      <w:r>
        <w:rPr>
          <w:rFonts w:ascii="mylotus" w:hAnsi="mylotus" w:hint="cs"/>
          <w:sz w:val="34"/>
          <w:szCs w:val="34"/>
          <w:rtl/>
        </w:rPr>
        <w:t>ْ</w:t>
      </w:r>
      <w:r w:rsidRPr="00044CB7">
        <w:rPr>
          <w:rFonts w:ascii="mylotus" w:hAnsi="mylotus"/>
          <w:sz w:val="34"/>
          <w:szCs w:val="34"/>
          <w:rtl/>
        </w:rPr>
        <w:t xml:space="preserve"> ق</w:t>
      </w:r>
      <w:r>
        <w:rPr>
          <w:rFonts w:ascii="mylotus" w:hAnsi="mylotus" w:hint="cs"/>
          <w:sz w:val="34"/>
          <w:szCs w:val="34"/>
          <w:rtl/>
        </w:rPr>
        <w:t>ُ</w:t>
      </w:r>
      <w:r w:rsidRPr="00044CB7">
        <w:rPr>
          <w:rFonts w:ascii="mylotus" w:hAnsi="mylotus"/>
          <w:sz w:val="34"/>
          <w:szCs w:val="34"/>
          <w:rtl/>
        </w:rPr>
        <w:t>لنا كما هو الصحيح بأن</w:t>
      </w:r>
      <w:r>
        <w:rPr>
          <w:rFonts w:ascii="mylotus" w:hAnsi="mylotus" w:hint="cs"/>
          <w:sz w:val="34"/>
          <w:szCs w:val="34"/>
          <w:rtl/>
        </w:rPr>
        <w:t>ّ</w:t>
      </w:r>
      <w:r w:rsidRPr="00044CB7">
        <w:rPr>
          <w:rFonts w:ascii="mylotus" w:hAnsi="mylotus"/>
          <w:sz w:val="34"/>
          <w:szCs w:val="34"/>
          <w:rtl/>
        </w:rPr>
        <w:t xml:space="preserve"> مناط الخيار هو تخلف الغرض النوعي، لا الغرض النوعي المقوم للمعاوضة فإن</w:t>
      </w:r>
      <w:r>
        <w:rPr>
          <w:rFonts w:ascii="mylotus" w:hAnsi="mylotus" w:hint="cs"/>
          <w:sz w:val="34"/>
          <w:szCs w:val="34"/>
          <w:rtl/>
        </w:rPr>
        <w:t>ّ</w:t>
      </w:r>
      <w:r w:rsidRPr="00044CB7">
        <w:rPr>
          <w:rFonts w:ascii="mylotus" w:hAnsi="mylotus"/>
          <w:sz w:val="34"/>
          <w:szCs w:val="34"/>
          <w:rtl/>
        </w:rPr>
        <w:t xml:space="preserve"> مقتضاه البطلان لا</w:t>
      </w:r>
      <w:r>
        <w:rPr>
          <w:rFonts w:ascii="mylotus" w:hAnsi="mylotus" w:hint="cs"/>
          <w:sz w:val="34"/>
          <w:szCs w:val="34"/>
          <w:rtl/>
        </w:rPr>
        <w:t xml:space="preserve"> </w:t>
      </w:r>
      <w:r w:rsidRPr="00044CB7">
        <w:rPr>
          <w:rFonts w:ascii="mylotus" w:hAnsi="mylotus"/>
          <w:sz w:val="34"/>
          <w:szCs w:val="34"/>
          <w:rtl/>
        </w:rPr>
        <w:t>ثبوت الخيار، والمفروض أن</w:t>
      </w:r>
      <w:r>
        <w:rPr>
          <w:rFonts w:ascii="mylotus" w:hAnsi="mylotus" w:hint="cs"/>
          <w:sz w:val="34"/>
          <w:szCs w:val="34"/>
          <w:rtl/>
        </w:rPr>
        <w:t>ّ</w:t>
      </w:r>
      <w:r w:rsidRPr="00044CB7">
        <w:rPr>
          <w:rFonts w:ascii="mylotus" w:hAnsi="mylotus"/>
          <w:sz w:val="34"/>
          <w:szCs w:val="34"/>
          <w:rtl/>
        </w:rPr>
        <w:t xml:space="preserve"> العين قابلة لل</w:t>
      </w:r>
      <w:r>
        <w:rPr>
          <w:rFonts w:ascii="mylotus" w:hAnsi="mylotus" w:hint="cs"/>
          <w:sz w:val="34"/>
          <w:szCs w:val="34"/>
          <w:rtl/>
        </w:rPr>
        <w:t>ا</w:t>
      </w:r>
      <w:r w:rsidRPr="00044CB7">
        <w:rPr>
          <w:rFonts w:ascii="mylotus" w:hAnsi="mylotus"/>
          <w:sz w:val="34"/>
          <w:szCs w:val="34"/>
          <w:rtl/>
        </w:rPr>
        <w:t>نتفاع فل</w:t>
      </w:r>
      <w:r>
        <w:rPr>
          <w:rFonts w:ascii="mylotus" w:hAnsi="mylotus" w:hint="cs"/>
          <w:sz w:val="34"/>
          <w:szCs w:val="34"/>
          <w:rtl/>
        </w:rPr>
        <w:t>َ</w:t>
      </w:r>
      <w:r w:rsidRPr="00044CB7">
        <w:rPr>
          <w:rFonts w:ascii="mylotus" w:hAnsi="mylotus"/>
          <w:sz w:val="34"/>
          <w:szCs w:val="34"/>
          <w:rtl/>
        </w:rPr>
        <w:t>م</w:t>
      </w:r>
      <w:r>
        <w:rPr>
          <w:rFonts w:ascii="mylotus" w:hAnsi="mylotus" w:hint="cs"/>
          <w:sz w:val="34"/>
          <w:szCs w:val="34"/>
          <w:rtl/>
        </w:rPr>
        <w:t>ْ</w:t>
      </w:r>
      <w:r w:rsidRPr="00044CB7">
        <w:rPr>
          <w:rFonts w:ascii="mylotus" w:hAnsi="mylotus"/>
          <w:sz w:val="34"/>
          <w:szCs w:val="34"/>
          <w:rtl/>
        </w:rPr>
        <w:t xml:space="preserve"> يتخلف الغرض النوعي المقوم، وإن</w:t>
      </w:r>
      <w:r>
        <w:rPr>
          <w:rFonts w:ascii="mylotus" w:hAnsi="mylotus" w:hint="cs"/>
          <w:sz w:val="34"/>
          <w:szCs w:val="34"/>
          <w:rtl/>
        </w:rPr>
        <w:t>ّ</w:t>
      </w:r>
      <w:r w:rsidRPr="00044CB7">
        <w:rPr>
          <w:rFonts w:ascii="mylotus" w:hAnsi="mylotus"/>
          <w:sz w:val="34"/>
          <w:szCs w:val="34"/>
          <w:rtl/>
        </w:rPr>
        <w:t>ما المتخلف الغرض النوعي المقصود بالإجارة عادة</w:t>
      </w:r>
      <w:r>
        <w:rPr>
          <w:rFonts w:ascii="mylotus" w:hAnsi="mylotus" w:hint="cs"/>
          <w:sz w:val="34"/>
          <w:szCs w:val="34"/>
          <w:rtl/>
        </w:rPr>
        <w:t>ً</w:t>
      </w:r>
      <w:r w:rsidRPr="00044CB7">
        <w:rPr>
          <w:rFonts w:ascii="mylotus" w:hAnsi="mylotus"/>
          <w:sz w:val="34"/>
          <w:szCs w:val="34"/>
          <w:rtl/>
        </w:rPr>
        <w:t>، وهو السلطنة على استيفاء تمام المنفعة في تمام المد</w:t>
      </w:r>
      <w:r>
        <w:rPr>
          <w:rFonts w:ascii="mylotus" w:hAnsi="mylotus" w:hint="cs"/>
          <w:sz w:val="34"/>
          <w:szCs w:val="34"/>
          <w:rtl/>
        </w:rPr>
        <w:t>ّ</w:t>
      </w:r>
      <w:r w:rsidRPr="00044CB7">
        <w:rPr>
          <w:rFonts w:ascii="mylotus" w:hAnsi="mylotus"/>
          <w:sz w:val="34"/>
          <w:szCs w:val="34"/>
          <w:rtl/>
        </w:rPr>
        <w:t>ة على نحو وحدة المطلوب، وقد تخلف ذلك، وإنْ كانت الدار قابلة للانتفاع إلّا أنّ الانتفاع الجزئي ليس هو الغرض المقصود بالإجارة</w:t>
      </w:r>
      <w:r w:rsidRPr="00044CB7">
        <w:rPr>
          <w:rFonts w:ascii="mylotus" w:hAnsi="mylotus"/>
          <w:sz w:val="34"/>
          <w:szCs w:val="34"/>
        </w:rPr>
        <w:t>.</w:t>
      </w:r>
    </w:p>
    <w:p w14:paraId="66C794EF"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b/>
          <w:bCs/>
          <w:sz w:val="34"/>
          <w:szCs w:val="34"/>
          <w:rtl/>
        </w:rPr>
        <w:t>وبالتالي:</w:t>
      </w:r>
      <w:r w:rsidRPr="00044CB7">
        <w:rPr>
          <w:rFonts w:ascii="mylotus" w:hAnsi="mylotus"/>
          <w:sz w:val="34"/>
          <w:szCs w:val="34"/>
          <w:rtl/>
        </w:rPr>
        <w:t xml:space="preserve"> فمقتضى ذلك أنْ يثبت لَهُ الخيار بلحاظ تمام المنفعة لا</w:t>
      </w:r>
      <w:r>
        <w:rPr>
          <w:rFonts w:ascii="mylotus" w:hAnsi="mylotus" w:hint="cs"/>
          <w:sz w:val="34"/>
          <w:szCs w:val="34"/>
          <w:rtl/>
        </w:rPr>
        <w:t xml:space="preserve"> </w:t>
      </w:r>
      <w:r w:rsidRPr="00044CB7">
        <w:rPr>
          <w:rFonts w:ascii="mylotus" w:hAnsi="mylotus"/>
          <w:sz w:val="34"/>
          <w:szCs w:val="34"/>
          <w:rtl/>
        </w:rPr>
        <w:t>بملاك كون لزوم العقد في المدّة السابقة ضرريا</w:t>
      </w:r>
      <w:r>
        <w:rPr>
          <w:rFonts w:ascii="mylotus" w:hAnsi="mylotus" w:hint="cs"/>
          <w:sz w:val="34"/>
          <w:szCs w:val="34"/>
          <w:rtl/>
        </w:rPr>
        <w:t>ً</w:t>
      </w:r>
      <w:r w:rsidRPr="00044CB7">
        <w:rPr>
          <w:rFonts w:ascii="mylotus" w:hAnsi="mylotus"/>
          <w:sz w:val="34"/>
          <w:szCs w:val="34"/>
          <w:rtl/>
        </w:rPr>
        <w:t xml:space="preserve"> كي يقال باختلاف الموارد، بل لانتفاء الغرض المقصود بالإجارة عادة</w:t>
      </w:r>
      <w:r>
        <w:rPr>
          <w:rFonts w:ascii="mylotus" w:hAnsi="mylotus" w:hint="cs"/>
          <w:sz w:val="34"/>
          <w:szCs w:val="34"/>
          <w:rtl/>
        </w:rPr>
        <w:t>ً</w:t>
      </w:r>
      <w:r w:rsidRPr="00044CB7">
        <w:rPr>
          <w:rFonts w:ascii="mylotus" w:hAnsi="mylotus"/>
          <w:sz w:val="34"/>
          <w:szCs w:val="34"/>
          <w:rtl/>
        </w:rPr>
        <w:t>، أو كان بملاك تخلف الشرط الارتكازي -وهو تخلف شرط الصحّة</w:t>
      </w:r>
      <w:r>
        <w:rPr>
          <w:rFonts w:ascii="mylotus" w:hAnsi="mylotus" w:cs="Cambria" w:hint="cs"/>
          <w:sz w:val="34"/>
          <w:szCs w:val="34"/>
          <w:rtl/>
        </w:rPr>
        <w:t>-</w:t>
      </w:r>
      <w:r>
        <w:rPr>
          <w:rFonts w:ascii="mylotus" w:hAnsi="mylotus" w:hint="cs"/>
          <w:sz w:val="34"/>
          <w:szCs w:val="34"/>
          <w:rtl/>
        </w:rPr>
        <w:t>.</w:t>
      </w:r>
    </w:p>
    <w:p w14:paraId="11A98C57" w14:textId="77777777" w:rsidR="00CC276F" w:rsidRPr="00044CB7" w:rsidRDefault="00CC276F" w:rsidP="00CC276F">
      <w:pPr>
        <w:pStyle w:val="a"/>
        <w:bidi/>
        <w:spacing w:line="216" w:lineRule="auto"/>
        <w:rPr>
          <w:rFonts w:ascii="mylotus" w:hAnsi="mylotus"/>
          <w:sz w:val="34"/>
          <w:szCs w:val="34"/>
          <w:rtl/>
        </w:rPr>
      </w:pPr>
      <w:r w:rsidRPr="00044CB7">
        <w:rPr>
          <w:rFonts w:ascii="mylotus" w:hAnsi="mylotus"/>
          <w:sz w:val="34"/>
          <w:szCs w:val="34"/>
          <w:rtl/>
        </w:rPr>
        <w:t>نعم، نختلف مع سيدنا الخوئي (قدس سره الشريف) بأن</w:t>
      </w:r>
      <w:r>
        <w:rPr>
          <w:rFonts w:ascii="mylotus" w:hAnsi="mylotus" w:hint="cs"/>
          <w:sz w:val="34"/>
          <w:szCs w:val="34"/>
          <w:rtl/>
        </w:rPr>
        <w:t>ّ</w:t>
      </w:r>
      <w:r w:rsidRPr="00044CB7">
        <w:rPr>
          <w:rFonts w:ascii="mylotus" w:hAnsi="mylotus"/>
          <w:sz w:val="34"/>
          <w:szCs w:val="34"/>
          <w:rtl/>
        </w:rPr>
        <w:t xml:space="preserve"> مقتضى تخلف الغرض النوعي أن</w:t>
      </w:r>
      <w:r>
        <w:rPr>
          <w:rFonts w:ascii="mylotus" w:hAnsi="mylotus" w:hint="cs"/>
          <w:sz w:val="34"/>
          <w:szCs w:val="34"/>
          <w:rtl/>
        </w:rPr>
        <w:t>ّ</w:t>
      </w:r>
      <w:r w:rsidRPr="00044CB7">
        <w:rPr>
          <w:rFonts w:ascii="mylotus" w:hAnsi="mylotus"/>
          <w:sz w:val="34"/>
          <w:szCs w:val="34"/>
          <w:rtl/>
        </w:rPr>
        <w:t xml:space="preserve"> ل</w:t>
      </w:r>
      <w:r>
        <w:rPr>
          <w:rFonts w:ascii="mylotus" w:hAnsi="mylotus" w:hint="cs"/>
          <w:sz w:val="34"/>
          <w:szCs w:val="34"/>
          <w:rtl/>
        </w:rPr>
        <w:t>َ</w:t>
      </w:r>
      <w:r w:rsidRPr="00044CB7">
        <w:rPr>
          <w:rFonts w:ascii="mylotus" w:hAnsi="mylotus"/>
          <w:sz w:val="34"/>
          <w:szCs w:val="34"/>
          <w:rtl/>
        </w:rPr>
        <w:t>ه</w:t>
      </w:r>
      <w:r>
        <w:rPr>
          <w:rFonts w:ascii="mylotus" w:hAnsi="mylotus" w:hint="cs"/>
          <w:sz w:val="34"/>
          <w:szCs w:val="34"/>
          <w:rtl/>
        </w:rPr>
        <w:t>ُ</w:t>
      </w:r>
      <w:r w:rsidRPr="00044CB7">
        <w:rPr>
          <w:rFonts w:ascii="mylotus" w:hAnsi="mylotus"/>
          <w:sz w:val="34"/>
          <w:szCs w:val="34"/>
          <w:rtl/>
        </w:rPr>
        <w:t xml:space="preserve"> السلطنة على الجامع، فكما يتمكن مِن الفسخ بلحاظ تمام الإجارة فلَهُ الفسخ بلحاظ </w:t>
      </w:r>
      <w:r w:rsidRPr="00044CB7">
        <w:rPr>
          <w:rFonts w:ascii="mylotus" w:hAnsi="mylotus"/>
          <w:sz w:val="34"/>
          <w:szCs w:val="34"/>
          <w:rtl/>
        </w:rPr>
        <w:lastRenderedPageBreak/>
        <w:t>المدّة الباقية، حيث</w:t>
      </w:r>
      <w:r>
        <w:rPr>
          <w:rFonts w:ascii="mylotus" w:hAnsi="mylotus" w:hint="cs"/>
          <w:sz w:val="34"/>
          <w:szCs w:val="34"/>
          <w:rtl/>
        </w:rPr>
        <w:t>ُ</w:t>
      </w:r>
      <w:r w:rsidRPr="00044CB7">
        <w:rPr>
          <w:rFonts w:ascii="mylotus" w:hAnsi="mylotus"/>
          <w:sz w:val="34"/>
          <w:szCs w:val="34"/>
          <w:rtl/>
        </w:rPr>
        <w:t xml:space="preserve"> إن</w:t>
      </w:r>
      <w:r>
        <w:rPr>
          <w:rFonts w:ascii="mylotus" w:hAnsi="mylotus" w:hint="cs"/>
          <w:sz w:val="34"/>
          <w:szCs w:val="34"/>
          <w:rtl/>
        </w:rPr>
        <w:t>ّ</w:t>
      </w:r>
      <w:r w:rsidRPr="00044CB7">
        <w:rPr>
          <w:rFonts w:ascii="mylotus" w:hAnsi="mylotus"/>
          <w:sz w:val="34"/>
          <w:szCs w:val="34"/>
          <w:rtl/>
        </w:rPr>
        <w:t xml:space="preserve"> الملاك في ثبوت الخيار هو تدارك ما</w:t>
      </w:r>
      <w:r>
        <w:rPr>
          <w:rFonts w:ascii="mylotus" w:hAnsi="mylotus" w:hint="cs"/>
          <w:sz w:val="34"/>
          <w:szCs w:val="34"/>
          <w:rtl/>
        </w:rPr>
        <w:t xml:space="preserve"> </w:t>
      </w:r>
      <w:r w:rsidRPr="00044CB7">
        <w:rPr>
          <w:rFonts w:ascii="mylotus" w:hAnsi="mylotus"/>
          <w:sz w:val="34"/>
          <w:szCs w:val="34"/>
          <w:rtl/>
        </w:rPr>
        <w:t>تخلف م</w:t>
      </w:r>
      <w:r>
        <w:rPr>
          <w:rFonts w:ascii="mylotus" w:hAnsi="mylotus" w:hint="cs"/>
          <w:sz w:val="34"/>
          <w:szCs w:val="34"/>
          <w:rtl/>
        </w:rPr>
        <w:t>ِ</w:t>
      </w:r>
      <w:r w:rsidRPr="00044CB7">
        <w:rPr>
          <w:rFonts w:ascii="mylotus" w:hAnsi="mylotus"/>
          <w:sz w:val="34"/>
          <w:szCs w:val="34"/>
          <w:rtl/>
        </w:rPr>
        <w:t xml:space="preserve">ن الغرض، والتدارك بالسلطنة على الجامع، لا بخصوص الخيار في المدّة الباقية -كما يقول بعض الأجلة (رحمه </w:t>
      </w:r>
      <w:proofErr w:type="gramStart"/>
      <w:r w:rsidRPr="00044CB7">
        <w:rPr>
          <w:rFonts w:ascii="mylotus" w:hAnsi="mylotus"/>
          <w:sz w:val="34"/>
          <w:szCs w:val="34"/>
          <w:rtl/>
        </w:rPr>
        <w:t>الله)-</w:t>
      </w:r>
      <w:proofErr w:type="gramEnd"/>
      <w:r w:rsidRPr="00044CB7">
        <w:rPr>
          <w:rFonts w:ascii="mylotus" w:hAnsi="mylotus"/>
          <w:sz w:val="34"/>
          <w:szCs w:val="34"/>
          <w:rtl/>
        </w:rPr>
        <w:t>، ولا بخصوص ثبوت الخيار في تمام المدّة، فلَهُ أنْ يفسخ بلحاظ المدّة الباقية ويقسط، ولَهُ أنْ يفسخ بلحاظ تمام المدّة.</w:t>
      </w:r>
    </w:p>
    <w:p w14:paraId="30798E38" w14:textId="77777777" w:rsidR="00CC276F" w:rsidRPr="00A17B4E" w:rsidRDefault="00CC276F" w:rsidP="00CC276F">
      <w:pPr>
        <w:pStyle w:val="a"/>
        <w:bidi/>
        <w:spacing w:line="216" w:lineRule="auto"/>
        <w:rPr>
          <w:rFonts w:ascii="mylotus" w:hAnsi="mylotus"/>
          <w:sz w:val="34"/>
          <w:szCs w:val="34"/>
          <w:rtl/>
          <w:lang w:bidi="ar-BH"/>
        </w:rPr>
      </w:pPr>
    </w:p>
    <w:p w14:paraId="4251BF0E" w14:textId="77777777" w:rsidR="00CC276F" w:rsidRPr="005E03C1" w:rsidRDefault="00CC276F" w:rsidP="00CC276F">
      <w:pPr>
        <w:pStyle w:val="a"/>
        <w:bidi/>
        <w:spacing w:line="216" w:lineRule="auto"/>
        <w:jc w:val="center"/>
        <w:rPr>
          <w:rFonts w:ascii="mylotus" w:hAnsi="mylotus"/>
          <w:b/>
          <w:bCs/>
          <w:sz w:val="34"/>
          <w:szCs w:val="34"/>
        </w:rPr>
      </w:pPr>
      <w:r w:rsidRPr="005E03C1">
        <w:rPr>
          <w:rFonts w:ascii="mylotus" w:hAnsi="mylotus"/>
          <w:b/>
          <w:bCs/>
          <w:sz w:val="34"/>
          <w:szCs w:val="34"/>
          <w:rtl/>
        </w:rPr>
        <w:t>والحمد لله رب العالمين</w:t>
      </w:r>
    </w:p>
    <w:p w14:paraId="55C4768B" w14:textId="4F44EFBC" w:rsidR="00CC276F" w:rsidRDefault="001B3F01" w:rsidP="001B3F01">
      <w:pPr>
        <w:pStyle w:val="Heading3"/>
        <w:bidi/>
        <w:rPr>
          <w:rtl/>
        </w:rPr>
      </w:pPr>
      <w:r>
        <w:rPr>
          <w:rFonts w:hint="cs"/>
          <w:rtl/>
        </w:rPr>
        <w:t>347</w:t>
      </w:r>
    </w:p>
    <w:p w14:paraId="4E02C066" w14:textId="77777777" w:rsidR="001B3F01" w:rsidRPr="001B3F01" w:rsidRDefault="001B3F01" w:rsidP="001B3F01">
      <w:pPr>
        <w:bidi/>
        <w:rPr>
          <w:b/>
          <w:bCs/>
        </w:rPr>
      </w:pPr>
      <w:r w:rsidRPr="001B3F01">
        <w:rPr>
          <w:b/>
          <w:bCs/>
          <w:rtl/>
        </w:rPr>
        <w:t>بسم الله الرحمن الرحيم</w:t>
      </w:r>
    </w:p>
    <w:p w14:paraId="5A9BE417" w14:textId="77777777" w:rsidR="001B3F01" w:rsidRPr="001B3F01" w:rsidRDefault="001B3F01" w:rsidP="001B3F01">
      <w:pPr>
        <w:bidi/>
        <w:rPr>
          <w:b/>
          <w:bCs/>
          <w:rtl/>
        </w:rPr>
      </w:pPr>
      <w:r w:rsidRPr="001B3F01">
        <w:rPr>
          <w:b/>
          <w:bCs/>
          <w:rtl/>
        </w:rPr>
        <w:t>والصلاة والسلام على أشرف الأنبياء والمرسلين، محمد وآله الطيبين الطاهرين</w:t>
      </w:r>
    </w:p>
    <w:p w14:paraId="298A3ACC" w14:textId="77777777" w:rsidR="001B3F01" w:rsidRPr="001B3F01" w:rsidRDefault="001B3F01" w:rsidP="001B3F01">
      <w:pPr>
        <w:bidi/>
        <w:rPr>
          <w:rtl/>
        </w:rPr>
      </w:pPr>
      <w:r w:rsidRPr="001B3F01">
        <w:rPr>
          <w:b/>
          <w:bCs/>
          <w:rtl/>
        </w:rPr>
        <w:t>واللعن الدائم على أعدائهم أجمعين إلى قيام يوم الدين</w:t>
      </w:r>
    </w:p>
    <w:p w14:paraId="36FE61ED" w14:textId="77777777" w:rsidR="001B3F01" w:rsidRPr="001B3F01" w:rsidRDefault="001B3F01" w:rsidP="001B3F01">
      <w:pPr>
        <w:bidi/>
        <w:rPr>
          <w:rtl/>
        </w:rPr>
      </w:pPr>
    </w:p>
    <w:p w14:paraId="57FF9551" w14:textId="77777777" w:rsidR="001B3F01" w:rsidRPr="001B3F01" w:rsidRDefault="001B3F01" w:rsidP="001B3F01">
      <w:pPr>
        <w:bidi/>
        <w:rPr>
          <w:rtl/>
        </w:rPr>
      </w:pPr>
      <w:r w:rsidRPr="001B3F01">
        <w:rPr>
          <w:b/>
          <w:bCs/>
          <w:rtl/>
        </w:rPr>
        <w:t xml:space="preserve">الصورةُ الثانية -مِن المسألة التاسعة-: </w:t>
      </w:r>
      <w:r w:rsidRPr="001B3F01">
        <w:rPr>
          <w:rtl/>
        </w:rPr>
        <w:t>إذا انهدم بعض بيوت الدار كانت الإجارة بالنسبة إلى بقية البيوت صحيحة؛ لانحلال الإجارة عرفاً بلحاظ تعدد المنافع بتعدد أجزاء الدار. بخلاف ما لو كانت العين المستأجرة مما لا يتصور فيها التجزئة والتبعيض كما لو كان المستأجر كرسياً مِن الطائرة أو مِن السيارة فحصل لَهُ خراب فإنّه في هذا الفرض لا يتصور التبعيض والتجزئة ليقال بصحّة الإجارة في الجزء السالم وبطلانها في الجزء التالف</w:t>
      </w:r>
      <w:r w:rsidRPr="001B3F01">
        <w:t>.</w:t>
      </w:r>
    </w:p>
    <w:p w14:paraId="03102490" w14:textId="77777777" w:rsidR="001B3F01" w:rsidRPr="001B3F01" w:rsidRDefault="001B3F01" w:rsidP="001B3F01">
      <w:pPr>
        <w:bidi/>
        <w:rPr>
          <w:rtl/>
        </w:rPr>
      </w:pPr>
      <w:r w:rsidRPr="001B3F01">
        <w:rPr>
          <w:rtl/>
        </w:rPr>
        <w:t xml:space="preserve">بل يكون حكم الإجارة حينئذٍ حكم ما مرّ مِن التفصيل في الصورة الأُولى وهو: أنّ الانهدام الحاصل إنْ كان قد أخرج العين عن قابلية الانتفاع بطلت الإجارة، وإنْ لَمْ يخرج العين عن قابلية </w:t>
      </w:r>
      <w:proofErr w:type="gramStart"/>
      <w:r w:rsidRPr="001B3F01">
        <w:rPr>
          <w:rtl/>
        </w:rPr>
        <w:t>الانتفاع</w:t>
      </w:r>
      <w:proofErr w:type="gramEnd"/>
      <w:r w:rsidRPr="001B3F01">
        <w:rPr>
          <w:rtl/>
        </w:rPr>
        <w:t xml:space="preserve"> بل أصبح بمثابة العيب لا بمثابة التلف فلَهُ الخيار كما مرّ تفصيله</w:t>
      </w:r>
      <w:r w:rsidRPr="001B3F01">
        <w:t>.</w:t>
      </w:r>
    </w:p>
    <w:p w14:paraId="1D575D84" w14:textId="77777777" w:rsidR="001B3F01" w:rsidRPr="001B3F01" w:rsidRDefault="001B3F01" w:rsidP="001B3F01">
      <w:pPr>
        <w:bidi/>
        <w:rPr>
          <w:rtl/>
        </w:rPr>
      </w:pPr>
      <w:r w:rsidRPr="001B3F01">
        <w:rPr>
          <w:rtl/>
        </w:rPr>
        <w:t>هذا تمام الكلام في الصورة الثانية</w:t>
      </w:r>
      <w:r w:rsidRPr="001B3F01">
        <w:t>.</w:t>
      </w:r>
    </w:p>
    <w:p w14:paraId="3BAB4315" w14:textId="77777777" w:rsidR="001B3F01" w:rsidRPr="001B3F01" w:rsidRDefault="001B3F01" w:rsidP="001B3F01">
      <w:pPr>
        <w:bidi/>
        <w:rPr>
          <w:rtl/>
        </w:rPr>
      </w:pPr>
      <w:r w:rsidRPr="001B3F01">
        <w:rPr>
          <w:b/>
          <w:bCs/>
          <w:rtl/>
        </w:rPr>
        <w:t>تعقيبٌ:</w:t>
      </w:r>
    </w:p>
    <w:p w14:paraId="34395AF7" w14:textId="77777777" w:rsidR="001B3F01" w:rsidRPr="001B3F01" w:rsidRDefault="001B3F01" w:rsidP="001B3F01">
      <w:pPr>
        <w:bidi/>
        <w:rPr>
          <w:rtl/>
        </w:rPr>
      </w:pPr>
      <w:r w:rsidRPr="001B3F01">
        <w:rPr>
          <w:rtl/>
        </w:rPr>
        <w:t>لو بادر المؤجّر إلى تعمير الدار بَعْدَ أن انهدم كلها أو بعض بيوتها فإنْ كانت فترة التعمير معتداً بها بطلت الإجارة بمقدارها فلَهُ ما يقابلها مِن الأُجرة، وكان لَهُ خيار تبعّض الصفقة، وإنْ لَمْ تكن فترة التعمير معتداً بها بحيثُ لَمْ يفت الانتفاع مِن العين أصلاً، كما لو كان الزمن ضئيلاً جداً، فإنْ كانت الدار بَعْدَ تعميرها مغايرة للدار المنهدمة عرفاً بطلت الإجارة لانتفاء متعلّق الإجارة، وإنْ كانت عين الدار السابقة عرفاً فمقتضى ذلك صحّة الإجارة سواءً كان التلف قَبل القبض أو بَعْدَ القبض بلا فصلٍ أو في أثناء المدّة، على جميع المدارك الثلاثة المتقدمة في إثبات صحّة الإجارة، كما لا خيار لَهُ فإنّ مدرك الخيار إنْ كان هو الضرر فالمفروض عدم الضرر لمبادرة المؤجّر للتعمير بوقتٍ لا يفوت بِهِ الانتفاع، وإنْ كان هو الشرط الارتكازي وهو اشتراط الصحّة والسلامة حدوثاً وبقاءً فلَمْ يتخلف الشرط، وإنْ كان مناط الخيار فوت الغرض النوعي المقصود بالمعاملة فلَمْ يفت</w:t>
      </w:r>
      <w:r w:rsidRPr="001B3F01">
        <w:t>.</w:t>
      </w:r>
    </w:p>
    <w:p w14:paraId="17638382" w14:textId="77777777" w:rsidR="001B3F01" w:rsidRPr="001B3F01" w:rsidRDefault="001B3F01" w:rsidP="001B3F01">
      <w:pPr>
        <w:bidi/>
        <w:rPr>
          <w:rtl/>
        </w:rPr>
      </w:pPr>
      <w:r w:rsidRPr="001B3F01">
        <w:rPr>
          <w:rtl/>
        </w:rPr>
        <w:t xml:space="preserve">وقد مثل سيدنا الخوئي (قدس سره الشريف) لذلك بقوله: </w:t>
      </w:r>
      <w:r w:rsidRPr="001B3F01">
        <w:rPr>
          <w:b/>
          <w:bCs/>
          <w:rtl/>
        </w:rPr>
        <w:t xml:space="preserve">(كما لو خربت جدران السطح أو قسم من السرداب في وقتٍ لا ينتفع عادةً بشيء منها كفصل الشتاء، فبادر إلى التعمير بصورةٍ لا يشتغل الفضاء إشغالاً يزاحم المستأجر في سائر </w:t>
      </w:r>
      <w:proofErr w:type="spellStart"/>
      <w:r w:rsidRPr="001B3F01">
        <w:rPr>
          <w:b/>
          <w:bCs/>
          <w:rtl/>
        </w:rPr>
        <w:t>انتفاعاته</w:t>
      </w:r>
      <w:proofErr w:type="spellEnd"/>
      <w:r w:rsidRPr="001B3F01">
        <w:rPr>
          <w:b/>
          <w:bCs/>
          <w:rtl/>
        </w:rPr>
        <w:t xml:space="preserve"> من الدار)</w:t>
      </w:r>
      <w:r w:rsidRPr="001B3F01">
        <w:rPr>
          <w:b/>
          <w:bCs/>
          <w:vertAlign w:val="superscript"/>
          <w:rtl/>
        </w:rPr>
        <w:footnoteReference w:id="280"/>
      </w:r>
      <w:r w:rsidRPr="001B3F01">
        <w:rPr>
          <w:b/>
          <w:bCs/>
          <w:rtl/>
        </w:rPr>
        <w:t>.</w:t>
      </w:r>
    </w:p>
    <w:p w14:paraId="5FB8DA88" w14:textId="77777777" w:rsidR="001B3F01" w:rsidRPr="001B3F01" w:rsidRDefault="001B3F01" w:rsidP="001B3F01">
      <w:pPr>
        <w:bidi/>
        <w:rPr>
          <w:rtl/>
        </w:rPr>
      </w:pPr>
      <w:r w:rsidRPr="001B3F01">
        <w:rPr>
          <w:rtl/>
        </w:rPr>
        <w:lastRenderedPageBreak/>
        <w:t>أو كانت مدّة التعمير قليلة جداً بحيث لا يعتد بها عرفاً، كما إذا انهدم الدكان في الليل فقام المؤجّر بتعميره خلال الليل بحيث لَمْ يبزُغ النهار إلّا والدكان مما يمكن الاستفادة منه، فإنّه لا موجب لا لفساد الإجارة ولا لثبوت الخيار</w:t>
      </w:r>
      <w:r w:rsidRPr="001B3F01">
        <w:t>.</w:t>
      </w:r>
    </w:p>
    <w:p w14:paraId="51A4781C" w14:textId="77777777" w:rsidR="001B3F01" w:rsidRPr="001B3F01" w:rsidRDefault="001B3F01" w:rsidP="001B3F01">
      <w:pPr>
        <w:bidi/>
        <w:rPr>
          <w:rtl/>
        </w:rPr>
      </w:pPr>
    </w:p>
    <w:p w14:paraId="2DA0A8CF" w14:textId="77777777" w:rsidR="001B3F01" w:rsidRPr="001B3F01" w:rsidRDefault="001B3F01" w:rsidP="001B3F01">
      <w:pPr>
        <w:bidi/>
        <w:rPr>
          <w:b/>
          <w:bCs/>
          <w:rtl/>
        </w:rPr>
      </w:pPr>
      <w:r w:rsidRPr="001B3F01">
        <w:rPr>
          <w:b/>
          <w:bCs/>
          <w:rtl/>
        </w:rPr>
        <w:t>المسألة العاشرة "من فصل أحكام العوضين".</w:t>
      </w:r>
    </w:p>
    <w:p w14:paraId="0778D07D" w14:textId="77777777" w:rsidR="001B3F01" w:rsidRPr="001B3F01" w:rsidRDefault="001B3F01" w:rsidP="001B3F01">
      <w:pPr>
        <w:bidi/>
        <w:rPr>
          <w:b/>
          <w:bCs/>
          <w:rtl/>
        </w:rPr>
      </w:pPr>
      <w:r w:rsidRPr="001B3F01">
        <w:rPr>
          <w:rtl/>
        </w:rPr>
        <w:t xml:space="preserve">قال سيد العروة (قدس سره الشريف): </w:t>
      </w:r>
      <w:r w:rsidRPr="001B3F01">
        <w:rPr>
          <w:b/>
          <w:bCs/>
          <w:rtl/>
        </w:rPr>
        <w:t>(مسألة 10: إذا امتنع المؤجّر من تسليم العين المستأجرة يجبر عليه، وإن لم يمكن إجباره للمستأجر فسخ الإجارة والرجوع بالأُجرة، وله الإبقاء ومطالبة عوض المنفعة الفائتة، وكذا إن أخذها منه بعد التسليم بلا فصل أو في أثناء المدّة، ومع الفسخ في الأثناء يرجع بما يقابل المتخلّف من الاُجرة، ويحتمل قويّاً رجوع تمام الاُجرة ودفع اُجرة المثل لما مضى كما مرّ نظيره سابقاً، لأنّ مقتضى فسخ العقد عود تمام كلّ من العوضين إلى مالكهما الأوّل، ولكن هذا الاحتمال خلاف فتوى المشهور).</w:t>
      </w:r>
    </w:p>
    <w:p w14:paraId="40E3033B" w14:textId="77777777" w:rsidR="001B3F01" w:rsidRPr="001B3F01" w:rsidRDefault="001B3F01" w:rsidP="001B3F01">
      <w:pPr>
        <w:bidi/>
        <w:rPr>
          <w:rtl/>
        </w:rPr>
      </w:pPr>
      <w:r w:rsidRPr="001B3F01">
        <w:rPr>
          <w:b/>
          <w:bCs/>
          <w:rtl/>
        </w:rPr>
        <w:t>ويمكنُ صياغة المسألة بأنّه:</w:t>
      </w:r>
      <w:r w:rsidRPr="001B3F01">
        <w:rPr>
          <w:rtl/>
        </w:rPr>
        <w:t xml:space="preserve"> إذا لَمْ يتمكن المُستأجر مِن الانتفاع بالعين، فإمّا أنْ يكون عدم تمكنه لمانعٍ خارجي فيأتي التفصيل في </w:t>
      </w:r>
      <w:proofErr w:type="gramStart"/>
      <w:r w:rsidRPr="001B3F01">
        <w:rPr>
          <w:rtl/>
        </w:rPr>
        <w:t>حكم  التلف</w:t>
      </w:r>
      <w:proofErr w:type="gramEnd"/>
      <w:r w:rsidRPr="001B3F01">
        <w:rPr>
          <w:rtl/>
        </w:rPr>
        <w:t>، كما سيشير إليه سيد العروة (قدس سره الشريف) في المسائل الآتية</w:t>
      </w:r>
      <w:r w:rsidRPr="001B3F01">
        <w:t>.</w:t>
      </w:r>
    </w:p>
    <w:p w14:paraId="5FFFD4A2" w14:textId="77777777" w:rsidR="001B3F01" w:rsidRPr="001B3F01" w:rsidRDefault="001B3F01" w:rsidP="001B3F01">
      <w:pPr>
        <w:bidi/>
        <w:rPr>
          <w:b/>
          <w:bCs/>
          <w:rtl/>
        </w:rPr>
      </w:pPr>
      <w:r w:rsidRPr="001B3F01">
        <w:rPr>
          <w:rtl/>
        </w:rPr>
        <w:t xml:space="preserve">وإنْ كان المانع مِن استيفاء المنفعة نفس المؤجّر، </w:t>
      </w:r>
      <w:r w:rsidRPr="001B3F01">
        <w:rPr>
          <w:b/>
          <w:bCs/>
          <w:rtl/>
        </w:rPr>
        <w:t>فهنا صورتان</w:t>
      </w:r>
      <w:r w:rsidRPr="001B3F01">
        <w:rPr>
          <w:b/>
          <w:bCs/>
        </w:rPr>
        <w:t>:</w:t>
      </w:r>
    </w:p>
    <w:p w14:paraId="748D41C3" w14:textId="77777777" w:rsidR="001B3F01" w:rsidRPr="001B3F01" w:rsidRDefault="001B3F01" w:rsidP="001B3F01">
      <w:pPr>
        <w:bidi/>
        <w:rPr>
          <w:rtl/>
        </w:rPr>
      </w:pPr>
      <w:r w:rsidRPr="001B3F01">
        <w:rPr>
          <w:b/>
          <w:bCs/>
          <w:rtl/>
        </w:rPr>
        <w:t>الصورةُ الأُولى:</w:t>
      </w:r>
      <w:r w:rsidRPr="001B3F01">
        <w:rPr>
          <w:rtl/>
        </w:rPr>
        <w:t xml:space="preserve"> أنْ يمتنع المؤجّر مِن تسليم العين المستأجرة -سواءً كان التسليم بدفع الفرد كما في وسائل النقل، أو كان التسليم بالتخلية كما في الدور، أو كان التسليم بالتمكين مِن الانتفاع كما إذا استأجر البستان ساعة للتنزه فإنّه يكفي في تسليمه أنْ يمكنه مِن الانتفاع وإنْ لَمْ يسلمه ولَمْ يخلِ العين لَهُ- فللمُستأجر إجباره على تسليم العين المستأجرة، كما لَهُ الخيار والرجوع بالأُجرة، ولَهُ الإبقاء ومطالبة عوض المنفعة التي فوتها عليه المؤجّر</w:t>
      </w:r>
      <w:r w:rsidRPr="001B3F01">
        <w:t>.</w:t>
      </w:r>
    </w:p>
    <w:p w14:paraId="6A20B9CB" w14:textId="77777777" w:rsidR="001B3F01" w:rsidRPr="001B3F01" w:rsidRDefault="001B3F01" w:rsidP="001B3F01">
      <w:pPr>
        <w:bidi/>
        <w:rPr>
          <w:rtl/>
        </w:rPr>
      </w:pPr>
      <w:r w:rsidRPr="001B3F01">
        <w:rPr>
          <w:b/>
          <w:bCs/>
          <w:rtl/>
        </w:rPr>
        <w:t xml:space="preserve">والوجهُ في ذلك: </w:t>
      </w:r>
      <w:r w:rsidRPr="001B3F01">
        <w:rPr>
          <w:rtl/>
        </w:rPr>
        <w:t>أنّ المنفعة مِلكٌ للمُستأجر بمقتضى العقد، فعلى المؤجّر تسليم المنفعة بتسليم العين، فإنْ لَمْ يسلم فللمُستأجر حقّ الإجبار، ومع الامتناع يثبت لَهُ الخيار، فلَهُ الفسخ أو الإمضاء ومطالبة المؤجّر بعوض المنفعة الفائتة، وهذا واضحٌ</w:t>
      </w:r>
      <w:r w:rsidRPr="001B3F01">
        <w:t>.</w:t>
      </w:r>
    </w:p>
    <w:p w14:paraId="04848694" w14:textId="77777777" w:rsidR="001B3F01" w:rsidRPr="001B3F01" w:rsidRDefault="001B3F01" w:rsidP="001B3F01">
      <w:pPr>
        <w:bidi/>
        <w:rPr>
          <w:rtl/>
        </w:rPr>
      </w:pPr>
      <w:r w:rsidRPr="001B3F01">
        <w:rPr>
          <w:rtl/>
        </w:rPr>
        <w:t>ولكن قد وقع البحث في باب الخيارات - كما تعرض لَهُ الشيخ الأعظم (قدس سره الشريف) في باب خيار تخلف الشرط- في أنّ ثبوت الخيار منوطٌ بالعجز عن الإجبار أم يكون الخيار فعليّاً بمجرّد امتناع المؤجّر عن تسليم العين سواءً أمكن إجباره أو لَمْ يمكن؟</w:t>
      </w:r>
    </w:p>
    <w:p w14:paraId="6B2B8978" w14:textId="77777777" w:rsidR="001B3F01" w:rsidRPr="001B3F01" w:rsidRDefault="001B3F01" w:rsidP="001B3F01">
      <w:pPr>
        <w:bidi/>
        <w:rPr>
          <w:rtl/>
        </w:rPr>
      </w:pPr>
      <w:r w:rsidRPr="001B3F01">
        <w:rPr>
          <w:b/>
          <w:bCs/>
          <w:rtl/>
        </w:rPr>
        <w:t>والظاهرُ:</w:t>
      </w:r>
      <w:r w:rsidRPr="001B3F01">
        <w:rPr>
          <w:rtl/>
        </w:rPr>
        <w:t xml:space="preserve"> عدم اعتبار العجز في ثبوت الخيار سواءً كانت المعاوضة بيعاً أو إجارةً</w:t>
      </w:r>
      <w:r w:rsidRPr="001B3F01">
        <w:t>.</w:t>
      </w:r>
    </w:p>
    <w:p w14:paraId="0045B928" w14:textId="77777777" w:rsidR="001B3F01" w:rsidRPr="001B3F01" w:rsidRDefault="001B3F01" w:rsidP="001B3F01">
      <w:pPr>
        <w:bidi/>
        <w:rPr>
          <w:rtl/>
        </w:rPr>
      </w:pPr>
      <w:r w:rsidRPr="001B3F01">
        <w:rPr>
          <w:b/>
          <w:bCs/>
          <w:rtl/>
        </w:rPr>
        <w:t>والوجهُ فيه واضحٌ على المختار:</w:t>
      </w:r>
      <w:r w:rsidRPr="001B3F01">
        <w:rPr>
          <w:rtl/>
        </w:rPr>
        <w:t xml:space="preserve"> مِن كون مناط الخيار لدى المرتكز العقلائي هو تخلف الغرض النوعي المقصود بالمعاملة، وإنْ لَمْ يكن هناك شرطٌ ارتكازي، فإنّ مجرّد تخلف الغرض النوعي يعني ثبوت الخيار أمكنه الإجبار أو لَمْ يمكنه</w:t>
      </w:r>
      <w:r w:rsidRPr="001B3F01">
        <w:t>.</w:t>
      </w:r>
    </w:p>
    <w:p w14:paraId="0DDCF10D" w14:textId="77777777" w:rsidR="001B3F01" w:rsidRPr="001B3F01" w:rsidRDefault="001B3F01" w:rsidP="001B3F01">
      <w:pPr>
        <w:bidi/>
        <w:rPr>
          <w:rtl/>
        </w:rPr>
      </w:pPr>
      <w:r w:rsidRPr="001B3F01">
        <w:rPr>
          <w:rtl/>
        </w:rPr>
        <w:t>كما أنّه على مبنى سيدنا الخوئي (قدس سره الشريف) مِن أنّ مرجع المقام إلى الشرط الارتكازي وهو التسليم، فمع تخلف الشرط الارتكازي لامتناعه عن التسليم يثبت الخيار وإنْ أمكنه الإجبار.</w:t>
      </w:r>
    </w:p>
    <w:p w14:paraId="70183811" w14:textId="77777777" w:rsidR="001B3F01" w:rsidRPr="001B3F01" w:rsidRDefault="001B3F01" w:rsidP="001B3F01">
      <w:pPr>
        <w:bidi/>
        <w:rPr>
          <w:b/>
          <w:bCs/>
          <w:rtl/>
        </w:rPr>
      </w:pPr>
      <w:r w:rsidRPr="001B3F01">
        <w:rPr>
          <w:rtl/>
        </w:rPr>
        <w:t>وقد أفاد ذلك سيدنا الخوئي (قدس سره الشريف) في كتاب الإجارة مِن موسوعته المباركة بقوله</w:t>
      </w:r>
      <w:r w:rsidRPr="001B3F01">
        <w:rPr>
          <w:vertAlign w:val="superscript"/>
          <w:rtl/>
        </w:rPr>
        <w:footnoteReference w:id="281"/>
      </w:r>
      <w:r w:rsidRPr="001B3F01">
        <w:rPr>
          <w:rtl/>
        </w:rPr>
        <w:t xml:space="preserve">: </w:t>
      </w:r>
      <w:r w:rsidRPr="001B3F01">
        <w:rPr>
          <w:b/>
          <w:bCs/>
          <w:rtl/>
        </w:rPr>
        <w:t>(ولكن الظاهر عدم اعتبار العجز المزبور في ثبوت الخيار، فيثبت في كلا الموردين -أي البيع والإجارة- حتى مع التمكّن من الإجبار، وبمجرّد الامتناع عن التسليم</w:t>
      </w:r>
      <w:r w:rsidRPr="001B3F01">
        <w:rPr>
          <w:b/>
          <w:bCs/>
        </w:rPr>
        <w:t>.</w:t>
      </w:r>
    </w:p>
    <w:p w14:paraId="6C2BE328" w14:textId="77777777" w:rsidR="001B3F01" w:rsidRPr="001B3F01" w:rsidRDefault="001B3F01" w:rsidP="001B3F01">
      <w:pPr>
        <w:bidi/>
        <w:rPr>
          <w:b/>
          <w:bCs/>
          <w:rtl/>
        </w:rPr>
      </w:pPr>
      <w:r w:rsidRPr="001B3F01">
        <w:rPr>
          <w:b/>
          <w:bCs/>
          <w:rtl/>
        </w:rPr>
        <w:lastRenderedPageBreak/>
        <w:t>والوجه فيه: أنّ مرجع الاشتراط إلى أنّ التزام الشارط)</w:t>
      </w:r>
      <w:r w:rsidRPr="001B3F01">
        <w:rPr>
          <w:rtl/>
        </w:rPr>
        <w:t xml:space="preserve"> وهو المُستأجر </w:t>
      </w:r>
      <w:r w:rsidRPr="001B3F01">
        <w:rPr>
          <w:b/>
          <w:bCs/>
          <w:rtl/>
        </w:rPr>
        <w:t>(بالعقد)</w:t>
      </w:r>
      <w:r w:rsidRPr="001B3F01">
        <w:rPr>
          <w:rtl/>
        </w:rPr>
        <w:t xml:space="preserve"> أي: عقد الإجارة </w:t>
      </w:r>
      <w:r w:rsidRPr="001B3F01">
        <w:rPr>
          <w:b/>
          <w:bCs/>
          <w:rtl/>
        </w:rPr>
        <w:t>(منوط ومتوقّف على العمل بالشرط، وإلّا فهو غير ملتزم به من الأوّل</w:t>
      </w:r>
      <w:r w:rsidRPr="001B3F01">
        <w:rPr>
          <w:b/>
          <w:bCs/>
        </w:rPr>
        <w:t>.</w:t>
      </w:r>
    </w:p>
    <w:p w14:paraId="6AB67907" w14:textId="77777777" w:rsidR="001B3F01" w:rsidRPr="001B3F01" w:rsidRDefault="001B3F01" w:rsidP="001B3F01">
      <w:pPr>
        <w:bidi/>
        <w:rPr>
          <w:b/>
          <w:bCs/>
          <w:rtl/>
        </w:rPr>
      </w:pPr>
      <w:r w:rsidRPr="001B3F01">
        <w:rPr>
          <w:b/>
          <w:bCs/>
          <w:rtl/>
        </w:rPr>
        <w:t xml:space="preserve">وعليه، فمع امتناع البائع أو المؤجّر عن التسليم فقد تخلّف الشرط ولم يعمل به خارجاً، فلا جرم يكشف) </w:t>
      </w:r>
      <w:r w:rsidRPr="001B3F01">
        <w:rPr>
          <w:rtl/>
        </w:rPr>
        <w:t xml:space="preserve">ذلك </w:t>
      </w:r>
      <w:r w:rsidRPr="001B3F01">
        <w:rPr>
          <w:b/>
          <w:bCs/>
          <w:rtl/>
        </w:rPr>
        <w:t>(عن عدم الالتزام بالعقد من أوّل الأمر المساوق لثبوت الخيار، فهو حكم مطابق للقاعدة سواء أكان متمكّناً من الإجبار أم لا، إذ لا علاقة لذلك في ثبوت الخيار وعدمه بوجه، لوضوح تحقّق التخلّف الذي هو المناط من تعلّق الخيار حتى مع التمكّن من الإجبار، فلا موجب لإناطة الحكم بالعجز عنه أبداً).</w:t>
      </w:r>
    </w:p>
    <w:p w14:paraId="754DF95A" w14:textId="77777777" w:rsidR="001B3F01" w:rsidRPr="001B3F01" w:rsidRDefault="001B3F01" w:rsidP="001B3F01">
      <w:pPr>
        <w:bidi/>
        <w:rPr>
          <w:rtl/>
        </w:rPr>
      </w:pPr>
      <w:r w:rsidRPr="001B3F01">
        <w:rPr>
          <w:b/>
          <w:bCs/>
          <w:rtl/>
        </w:rPr>
        <w:t>الصورةُ الثانية:</w:t>
      </w:r>
      <w:r w:rsidRPr="001B3F01">
        <w:rPr>
          <w:rtl/>
        </w:rPr>
        <w:t xml:space="preserve"> إذا أخذ العين منه بعد التسليم، أو منعه مِن الانتفاع بها بلا فصلٍ، أو في أثناءِ المدّة</w:t>
      </w:r>
      <w:r w:rsidRPr="001B3F01">
        <w:t>.</w:t>
      </w:r>
    </w:p>
    <w:p w14:paraId="4B63DC8B" w14:textId="77777777" w:rsidR="001B3F01" w:rsidRPr="001B3F01" w:rsidRDefault="001B3F01" w:rsidP="001B3F01">
      <w:pPr>
        <w:bidi/>
        <w:rPr>
          <w:b/>
          <w:bCs/>
          <w:rtl/>
        </w:rPr>
      </w:pPr>
      <w:r w:rsidRPr="001B3F01">
        <w:rPr>
          <w:rtl/>
        </w:rPr>
        <w:t>وقد أُفيد كما في كلمات سيدنا الخوئي (قدس سره)</w:t>
      </w:r>
      <w:r w:rsidRPr="001B3F01">
        <w:rPr>
          <w:vertAlign w:val="superscript"/>
          <w:rtl/>
        </w:rPr>
        <w:footnoteReference w:id="282"/>
      </w:r>
      <w:r w:rsidRPr="001B3F01">
        <w:rPr>
          <w:rtl/>
        </w:rPr>
        <w:t xml:space="preserve"> بأنّ لَهُ الخيار أيضاً؛ </w:t>
      </w:r>
      <w:r w:rsidRPr="001B3F01">
        <w:rPr>
          <w:b/>
          <w:bCs/>
          <w:rtl/>
        </w:rPr>
        <w:t>(لوضوح أنّ الشرط الضمني المزبور)</w:t>
      </w:r>
      <w:r w:rsidRPr="001B3F01">
        <w:rPr>
          <w:rtl/>
        </w:rPr>
        <w:t xml:space="preserve"> وهو اشتراط التسليم </w:t>
      </w:r>
      <w:r w:rsidRPr="001B3F01">
        <w:rPr>
          <w:b/>
          <w:bCs/>
          <w:rtl/>
        </w:rPr>
        <w:t>(لَمْ يكن هو التسليم آناً ما)</w:t>
      </w:r>
      <w:r w:rsidRPr="001B3F01">
        <w:rPr>
          <w:rtl/>
        </w:rPr>
        <w:t xml:space="preserve"> أي: حدوثاً، بل التسليم لمدّة المنفعة المملوكة </w:t>
      </w:r>
      <w:r w:rsidRPr="001B3F01">
        <w:rPr>
          <w:b/>
          <w:bCs/>
          <w:rtl/>
        </w:rPr>
        <w:t>(بل مقتضى المعاوضة بقاء العين تحت يد المستأجر إلى نهاية المدّة بأن يخلّي المؤجّر بين المستأجر وبين العين في تمام الأجل المضروب، لكي يتمكّن من استيفاء تمام المنفعة التي وقعت الإجارة عليها، فمع الأخذ منه بعد القبض أو في الأثناء فقد تخلّف الشرط، ولأجله يثبت الخيار حسبما عرفت).</w:t>
      </w:r>
    </w:p>
    <w:p w14:paraId="51109B3C" w14:textId="77777777" w:rsidR="001B3F01" w:rsidRPr="001B3F01" w:rsidRDefault="001B3F01" w:rsidP="001B3F01">
      <w:pPr>
        <w:bidi/>
        <w:rPr>
          <w:rtl/>
        </w:rPr>
      </w:pPr>
      <w:r w:rsidRPr="001B3F01">
        <w:rPr>
          <w:b/>
          <w:bCs/>
          <w:rtl/>
        </w:rPr>
        <w:t>فإنْ قُلتَ:</w:t>
      </w:r>
      <w:r w:rsidRPr="001B3F01">
        <w:rPr>
          <w:rtl/>
        </w:rPr>
        <w:t xml:space="preserve"> إنّ المقام مِن باب الغصب لا مِن باب تخلّف المؤجّر عن الشرط؛ إذ بَعْدَ تسليمه إياه وأخذ العين منهُ قهراً عليه كان المؤجّر غاصباً للمُستأجر، ومقتضى الغصب لزوم المعاملة وثبوتُ الضمان، نظير ما لو غصبها شخصٌ ثالث بَعْدَ استلامها مِن قِبل المُستأجر فإنّه لَمْ يقل أحدٌ بثبوت الخيار، بل قالوا بصحّة العقد ولزومه وثبوت الضمان على الغاصب.</w:t>
      </w:r>
    </w:p>
    <w:p w14:paraId="0520255E" w14:textId="77777777" w:rsidR="001B3F01" w:rsidRPr="001B3F01" w:rsidRDefault="001B3F01" w:rsidP="001B3F01">
      <w:pPr>
        <w:bidi/>
        <w:rPr>
          <w:rtl/>
        </w:rPr>
      </w:pPr>
      <w:r w:rsidRPr="001B3F01">
        <w:rPr>
          <w:b/>
          <w:bCs/>
          <w:rtl/>
        </w:rPr>
        <w:t>قلتُ:</w:t>
      </w:r>
      <w:r w:rsidRPr="001B3F01">
        <w:rPr>
          <w:rtl/>
        </w:rPr>
        <w:t xml:space="preserve"> إنّ هذا منافٍ للمرتكزات العقلائية؛ فإنّها ترى المؤجّر متخلفاً عن أداء الشرط؛ إذ المنفعة متكثرة بتكثر الزمان، ومتعلّق الشرط الارتكازي هو التمكن مِن استيفاء المنفعة بتمام المدّة، استناداً لتسليط المؤجّر لأنّه مالك العين فلابُدّ أنْ يكون التمكن مِن قِبله، فلو استرجع العين كان منافياً لذلك الشرط الارتكازي وهو التمكين إلى نهاية المدّة، فيثبتُ للمُستأجر حقّ الفسخ، ولا يقاسُ بما لو غصب العين شخص آخر؛ حيثُ إنّ التمكين ليس مستنداً للشخص الثالث كي يُقال بأنّ أخذه يعني تخلفاً عن الشرط الارتكازي، بل هو غصب ومقتضى الغصب الضمان -لا ضمان المنفعة للمؤجّر؛ لأنّ المنفعة خرجت عن مِلكه- بل الضمانُ للمُستأجر</w:t>
      </w:r>
      <w:r w:rsidRPr="001B3F01">
        <w:t>.</w:t>
      </w:r>
    </w:p>
    <w:p w14:paraId="3D462F16" w14:textId="77777777" w:rsidR="001B3F01" w:rsidRPr="001B3F01" w:rsidRDefault="001B3F01" w:rsidP="001B3F01">
      <w:pPr>
        <w:bidi/>
        <w:rPr>
          <w:b/>
          <w:bCs/>
          <w:rtl/>
        </w:rPr>
      </w:pPr>
      <w:r w:rsidRPr="001B3F01">
        <w:rPr>
          <w:b/>
          <w:bCs/>
          <w:rtl/>
        </w:rPr>
        <w:t>تعقيبٌ</w:t>
      </w:r>
      <w:r w:rsidRPr="001B3F01">
        <w:rPr>
          <w:b/>
          <w:bCs/>
        </w:rPr>
        <w:t>:</w:t>
      </w:r>
    </w:p>
    <w:p w14:paraId="488931B6" w14:textId="77777777" w:rsidR="001B3F01" w:rsidRPr="001B3F01" w:rsidRDefault="001B3F01" w:rsidP="001B3F01">
      <w:pPr>
        <w:bidi/>
        <w:rPr>
          <w:rtl/>
        </w:rPr>
      </w:pPr>
      <w:r w:rsidRPr="001B3F01">
        <w:rPr>
          <w:rtl/>
        </w:rPr>
        <w:t>إذا فسخ بناءً على ثبوت الخيار</w:t>
      </w:r>
      <w:r w:rsidRPr="001B3F01">
        <w:t>.</w:t>
      </w:r>
    </w:p>
    <w:p w14:paraId="52450156" w14:textId="77777777" w:rsidR="001B3F01" w:rsidRPr="001B3F01" w:rsidRDefault="001B3F01" w:rsidP="001B3F01">
      <w:pPr>
        <w:bidi/>
        <w:rPr>
          <w:b/>
          <w:bCs/>
          <w:rtl/>
        </w:rPr>
      </w:pPr>
      <w:r w:rsidRPr="001B3F01">
        <w:rPr>
          <w:rtl/>
        </w:rPr>
        <w:t xml:space="preserve">فقد أفاد سيد العروة (قدس سره): </w:t>
      </w:r>
      <w:r w:rsidRPr="001B3F01">
        <w:rPr>
          <w:b/>
          <w:bCs/>
          <w:rtl/>
        </w:rPr>
        <w:t xml:space="preserve">(ومع الفسخ في الأثناء يرجع بما يقابل المتخلّف من الاُجرة، ويحتمل قويّاً رجوع تمام الاُجرة ودفع اُجرة المثل لما مضى) </w:t>
      </w:r>
      <w:r w:rsidRPr="001B3F01">
        <w:rPr>
          <w:rtl/>
        </w:rPr>
        <w:t xml:space="preserve">مما استوفاهُ مِن المنافع </w:t>
      </w:r>
      <w:r w:rsidRPr="001B3F01">
        <w:rPr>
          <w:b/>
          <w:bCs/>
          <w:rtl/>
        </w:rPr>
        <w:t>(كما مرّ نظيره سابقاً، لأنّ مقتضى فسخ العقد عود تمام كلّ من العوضين إلى مالكهما الأوّل، ولكن هذا الاحتمال خلاف فتوى المشهور)</w:t>
      </w:r>
      <w:r w:rsidRPr="001B3F01">
        <w:rPr>
          <w:b/>
          <w:bCs/>
        </w:rPr>
        <w:t>.</w:t>
      </w:r>
    </w:p>
    <w:p w14:paraId="3C512180" w14:textId="77777777" w:rsidR="001B3F01" w:rsidRPr="001B3F01" w:rsidRDefault="001B3F01" w:rsidP="001B3F01">
      <w:pPr>
        <w:bidi/>
        <w:rPr>
          <w:rtl/>
        </w:rPr>
      </w:pPr>
      <w:r w:rsidRPr="001B3F01">
        <w:rPr>
          <w:rtl/>
        </w:rPr>
        <w:t>فإنّ المشهور يرى أنّه إذا فسخ في الأثناء ثبت التقسيط، فقد صحتْ فيما مضى ولَهُ الخيار في فسخ الإجارة بلحاظ ما بقي، واختلفوا في أنّه لو فسخ بلحاظ ما بقي هل يثبت لَهُ خيار تبعّض الصفقة أم لا؟ وهذا بحثٌ آخر</w:t>
      </w:r>
      <w:r w:rsidRPr="001B3F01">
        <w:t>.</w:t>
      </w:r>
    </w:p>
    <w:p w14:paraId="0F7EFC80" w14:textId="77777777" w:rsidR="001B3F01" w:rsidRPr="001B3F01" w:rsidRDefault="001B3F01" w:rsidP="001B3F01">
      <w:pPr>
        <w:bidi/>
        <w:rPr>
          <w:b/>
          <w:bCs/>
          <w:rtl/>
        </w:rPr>
      </w:pPr>
      <w:r w:rsidRPr="001B3F01">
        <w:rPr>
          <w:rtl/>
        </w:rPr>
        <w:t>وقد ذكر ذلك سيدنا الخوئي (قدس سره الشريف) بقوله</w:t>
      </w:r>
      <w:r w:rsidRPr="001B3F01">
        <w:rPr>
          <w:vertAlign w:val="superscript"/>
          <w:rtl/>
        </w:rPr>
        <w:footnoteReference w:id="283"/>
      </w:r>
      <w:r w:rsidRPr="001B3F01">
        <w:rPr>
          <w:rtl/>
        </w:rPr>
        <w:t xml:space="preserve">: </w:t>
      </w:r>
      <w:r w:rsidRPr="001B3F01">
        <w:rPr>
          <w:b/>
          <w:bCs/>
          <w:rtl/>
        </w:rPr>
        <w:t>(المنسوب إلى المشهور هو الأوّل)</w:t>
      </w:r>
      <w:r w:rsidRPr="001B3F01">
        <w:rPr>
          <w:rtl/>
        </w:rPr>
        <w:t xml:space="preserve"> وهو التقسيط </w:t>
      </w:r>
      <w:r w:rsidRPr="001B3F01">
        <w:rPr>
          <w:b/>
          <w:bCs/>
          <w:rtl/>
        </w:rPr>
        <w:t>(ولكن الماتن قوّى الثاني</w:t>
      </w:r>
      <w:r w:rsidRPr="001B3F01">
        <w:rPr>
          <w:rtl/>
        </w:rPr>
        <w:t xml:space="preserve">) وهو فسخ تمام العقد باسترجاع تمام الأُجرة </w:t>
      </w:r>
      <w:r w:rsidRPr="001B3F01">
        <w:rPr>
          <w:b/>
          <w:bCs/>
          <w:rtl/>
        </w:rPr>
        <w:t>(وهو الأظهر، لما تقدّم من أنّ المنفعة في تمام المدّة مورد لعقد وحداني قد اشترط الالتزام به)</w:t>
      </w:r>
      <w:r w:rsidRPr="001B3F01">
        <w:rPr>
          <w:rtl/>
        </w:rPr>
        <w:t xml:space="preserve"> مِن قِبل المُستأجر </w:t>
      </w:r>
      <w:r w:rsidRPr="001B3F01">
        <w:rPr>
          <w:b/>
          <w:bCs/>
          <w:rtl/>
        </w:rPr>
        <w:t>(بالتسليم الخارجي)</w:t>
      </w:r>
      <w:r w:rsidRPr="001B3F01">
        <w:rPr>
          <w:rtl/>
        </w:rPr>
        <w:t xml:space="preserve"> مِن قِبل المؤجّر </w:t>
      </w:r>
      <w:r w:rsidRPr="001B3F01">
        <w:rPr>
          <w:b/>
          <w:bCs/>
          <w:rtl/>
        </w:rPr>
        <w:t xml:space="preserve">(في تمام تلك المدّة، وإلّا فلا التزام. </w:t>
      </w:r>
      <w:r w:rsidRPr="001B3F01">
        <w:rPr>
          <w:b/>
          <w:bCs/>
          <w:rtl/>
        </w:rPr>
        <w:lastRenderedPageBreak/>
        <w:t>ومعناه: أنّ له)</w:t>
      </w:r>
      <w:r w:rsidRPr="001B3F01">
        <w:rPr>
          <w:rtl/>
        </w:rPr>
        <w:t xml:space="preserve"> أي: للمستأجر </w:t>
      </w:r>
      <w:r w:rsidRPr="001B3F01">
        <w:rPr>
          <w:b/>
          <w:bCs/>
          <w:rtl/>
        </w:rPr>
        <w:t>(حلّ هذا العقد على النهج الذي وقع وأنّه لم يكن ملتزماً به من الأوّل. ومقتضاه رجوع كلّ من العوضين إلى ملك صاحبه كأن لم يكن بينهما عقد أصلاً، وحيث إنّه)</w:t>
      </w:r>
      <w:r w:rsidRPr="001B3F01">
        <w:rPr>
          <w:rtl/>
        </w:rPr>
        <w:t xml:space="preserve"> أي: المُستأجر </w:t>
      </w:r>
      <w:r w:rsidRPr="001B3F01">
        <w:rPr>
          <w:b/>
          <w:bCs/>
          <w:rtl/>
        </w:rPr>
        <w:t>(قد تصرّف في ملك الغير)</w:t>
      </w:r>
      <w:r w:rsidRPr="001B3F01">
        <w:rPr>
          <w:rtl/>
        </w:rPr>
        <w:t xml:space="preserve"> باستيفاء بعض المنافع </w:t>
      </w:r>
      <w:r w:rsidRPr="001B3F01">
        <w:rPr>
          <w:b/>
          <w:bCs/>
          <w:rtl/>
        </w:rPr>
        <w:t>(ولم يذهب ماله)</w:t>
      </w:r>
      <w:r w:rsidRPr="001B3F01">
        <w:rPr>
          <w:rtl/>
        </w:rPr>
        <w:t xml:space="preserve"> أي: الغير </w:t>
      </w:r>
      <w:r w:rsidRPr="001B3F01">
        <w:rPr>
          <w:b/>
          <w:bCs/>
          <w:rtl/>
        </w:rPr>
        <w:t xml:space="preserve">(هدراً فلا جرم يتداركه </w:t>
      </w:r>
      <w:proofErr w:type="spellStart"/>
      <w:r w:rsidRPr="001B3F01">
        <w:rPr>
          <w:b/>
          <w:bCs/>
          <w:rtl/>
        </w:rPr>
        <w:t>باُجرة</w:t>
      </w:r>
      <w:proofErr w:type="spellEnd"/>
      <w:r w:rsidRPr="001B3F01">
        <w:rPr>
          <w:b/>
          <w:bCs/>
          <w:rtl/>
        </w:rPr>
        <w:t xml:space="preserve"> المثل لما استوفاه من المدّة، وهذا هو مقتضى القاعدة</w:t>
      </w:r>
      <w:r w:rsidRPr="001B3F01">
        <w:rPr>
          <w:b/>
          <w:bCs/>
        </w:rPr>
        <w:t>.</w:t>
      </w:r>
    </w:p>
    <w:p w14:paraId="15A97B8A" w14:textId="77777777" w:rsidR="001B3F01" w:rsidRPr="001B3F01" w:rsidRDefault="001B3F01" w:rsidP="001B3F01">
      <w:pPr>
        <w:bidi/>
        <w:rPr>
          <w:rtl/>
        </w:rPr>
      </w:pPr>
      <w:r w:rsidRPr="001B3F01">
        <w:rPr>
          <w:b/>
          <w:bCs/>
          <w:rtl/>
        </w:rPr>
        <w:t xml:space="preserve">وعليه، فاحتمال اختصاص الانفساخ بالمدّة الباقية لا بتمام العقد خلاف ظاهر الاشتراط) </w:t>
      </w:r>
      <w:r w:rsidRPr="001B3F01">
        <w:rPr>
          <w:rtl/>
        </w:rPr>
        <w:t xml:space="preserve">أي: الشرط الارتكازي </w:t>
      </w:r>
      <w:r w:rsidRPr="001B3F01">
        <w:rPr>
          <w:b/>
          <w:bCs/>
          <w:rtl/>
        </w:rPr>
        <w:t>(ومخالف لمقتضى القاعدة كما لا يخفى).</w:t>
      </w:r>
    </w:p>
    <w:p w14:paraId="21F52A16" w14:textId="77777777" w:rsidR="001B3F01" w:rsidRPr="001B3F01" w:rsidRDefault="001B3F01" w:rsidP="001B3F01">
      <w:pPr>
        <w:bidi/>
        <w:rPr>
          <w:b/>
          <w:bCs/>
          <w:rtl/>
        </w:rPr>
      </w:pPr>
      <w:r w:rsidRPr="001B3F01">
        <w:rPr>
          <w:rtl/>
        </w:rPr>
        <w:t>ولكن بعض الأجلة (رحمه الله) في كتابه الإجارة</w:t>
      </w:r>
      <w:r w:rsidRPr="001B3F01">
        <w:rPr>
          <w:vertAlign w:val="superscript"/>
          <w:rtl/>
        </w:rPr>
        <w:footnoteReference w:id="284"/>
      </w:r>
      <w:r w:rsidRPr="001B3F01">
        <w:rPr>
          <w:rtl/>
        </w:rPr>
        <w:t xml:space="preserve"> خالف كما خالف فيما مضى وقال: </w:t>
      </w:r>
      <w:r w:rsidRPr="001B3F01">
        <w:rPr>
          <w:b/>
          <w:bCs/>
          <w:rtl/>
        </w:rPr>
        <w:t>(ولكن يمكن أن يقال أنَّ عدم التسليم لبعض المعوض لا يوجب أكثر من حق الفسخ بمقدار ما لم يسلم لا الكل إلّا من ناحية تبعض الصفقة التي لا نقول بها في المنفعة المستوفاة، ولو قلنا بها)</w:t>
      </w:r>
      <w:r w:rsidRPr="001B3F01">
        <w:rPr>
          <w:rtl/>
        </w:rPr>
        <w:t xml:space="preserve"> أي: بخيار تبعّض الصفقة </w:t>
      </w:r>
      <w:r w:rsidRPr="001B3F01">
        <w:rPr>
          <w:b/>
          <w:bCs/>
          <w:rtl/>
        </w:rPr>
        <w:t xml:space="preserve">(كان له فسخ البعض وبعد ذلك فسخ الباقي أيضاً لا تعين فسخ الجميع ولا تعين فسخ البعض، نظير ما إذا باعه منين من الحنطة الخارجية ثم لم يسلم نصفه كان له حق الفسخ من ناحية عدم التسليم بمقدار النصف، لأنّ الشرط الارتكازي الموجب له لا يقتضي أكثر من ذلك، كما أنَّ له حق فسخ البيع في الباقي) </w:t>
      </w:r>
      <w:r w:rsidRPr="001B3F01">
        <w:rPr>
          <w:rtl/>
        </w:rPr>
        <w:t xml:space="preserve">بعد الفسخ في النصف </w:t>
      </w:r>
      <w:r w:rsidRPr="001B3F01">
        <w:rPr>
          <w:b/>
          <w:bCs/>
          <w:rtl/>
        </w:rPr>
        <w:t xml:space="preserve">(بملاك خيار </w:t>
      </w:r>
      <w:proofErr w:type="spellStart"/>
      <w:r w:rsidRPr="001B3F01">
        <w:rPr>
          <w:b/>
          <w:bCs/>
          <w:rtl/>
        </w:rPr>
        <w:t>التبعض</w:t>
      </w:r>
      <w:proofErr w:type="spellEnd"/>
      <w:r w:rsidRPr="001B3F01">
        <w:rPr>
          <w:b/>
          <w:bCs/>
          <w:rtl/>
        </w:rPr>
        <w:t>، فما ذكره المشهور)</w:t>
      </w:r>
      <w:r w:rsidRPr="001B3F01">
        <w:rPr>
          <w:rtl/>
        </w:rPr>
        <w:t xml:space="preserve"> مِن التقسيط </w:t>
      </w:r>
      <w:r w:rsidRPr="001B3F01">
        <w:rPr>
          <w:b/>
          <w:bCs/>
          <w:rtl/>
        </w:rPr>
        <w:t>(لا ضعف فيه بناءً على انكار خيار تبعض الصفقة في المقام)</w:t>
      </w:r>
      <w:r w:rsidRPr="001B3F01">
        <w:rPr>
          <w:b/>
          <w:bCs/>
        </w:rPr>
        <w:t>.</w:t>
      </w:r>
    </w:p>
    <w:p w14:paraId="555C565F" w14:textId="77777777" w:rsidR="001B3F01" w:rsidRPr="001B3F01" w:rsidRDefault="001B3F01" w:rsidP="001B3F01">
      <w:pPr>
        <w:bidi/>
        <w:rPr>
          <w:rtl/>
        </w:rPr>
      </w:pPr>
      <w:r w:rsidRPr="001B3F01">
        <w:rPr>
          <w:b/>
          <w:bCs/>
          <w:rtl/>
        </w:rPr>
        <w:t>ولكن الصحيح:</w:t>
      </w:r>
      <w:r w:rsidRPr="001B3F01">
        <w:rPr>
          <w:rtl/>
        </w:rPr>
        <w:t xml:space="preserve"> هو ما ذكره سيدنا الخوئي (قدس سره الشريف) في الجملة، وهو أنّ مقتضى عدم التسليم في البعض فوت الغرض النوعي مِن الإجارة المبتنية على وحدة المطلوب، ومقتضى فوت الغرض النوعي أنّ لَهُ السلطنة على الجامع بين أنْ يفسخ في بعض المدّة أو يفسخ تمام العقد.</w:t>
      </w:r>
    </w:p>
    <w:p w14:paraId="526A662F" w14:textId="77777777" w:rsidR="001B3F01" w:rsidRPr="001B3F01" w:rsidRDefault="001B3F01" w:rsidP="001B3F01">
      <w:pPr>
        <w:bidi/>
        <w:rPr>
          <w:rtl/>
        </w:rPr>
      </w:pPr>
    </w:p>
    <w:p w14:paraId="56DEF396" w14:textId="77777777" w:rsidR="001B3F01" w:rsidRPr="001B3F01" w:rsidRDefault="001B3F01" w:rsidP="001B3F01">
      <w:pPr>
        <w:bidi/>
        <w:rPr>
          <w:b/>
          <w:bCs/>
          <w:rtl/>
        </w:rPr>
      </w:pPr>
      <w:r w:rsidRPr="001B3F01">
        <w:rPr>
          <w:b/>
          <w:bCs/>
          <w:rtl/>
        </w:rPr>
        <w:t>والحمد لله رب العالمين</w:t>
      </w:r>
    </w:p>
    <w:p w14:paraId="02E89FF6" w14:textId="02175124" w:rsidR="001B3F01" w:rsidRDefault="00060ABB" w:rsidP="00060ABB">
      <w:pPr>
        <w:pStyle w:val="Heading3"/>
        <w:bidi/>
        <w:rPr>
          <w:rtl/>
        </w:rPr>
      </w:pPr>
      <w:r>
        <w:rPr>
          <w:rFonts w:hint="cs"/>
          <w:rtl/>
        </w:rPr>
        <w:t>348</w:t>
      </w:r>
    </w:p>
    <w:p w14:paraId="4894A8D7" w14:textId="77777777" w:rsidR="005222AD" w:rsidRPr="005222AD" w:rsidRDefault="005222AD" w:rsidP="005222AD">
      <w:pPr>
        <w:bidi/>
        <w:rPr>
          <w:b/>
          <w:bCs/>
        </w:rPr>
      </w:pPr>
      <w:r w:rsidRPr="005222AD">
        <w:rPr>
          <w:b/>
          <w:bCs/>
          <w:rtl/>
        </w:rPr>
        <w:t>بسم الله الرحمن الرحيم</w:t>
      </w:r>
    </w:p>
    <w:p w14:paraId="0A1E20C4" w14:textId="77777777" w:rsidR="005222AD" w:rsidRPr="005222AD" w:rsidRDefault="005222AD" w:rsidP="005222AD">
      <w:pPr>
        <w:bidi/>
        <w:rPr>
          <w:b/>
          <w:bCs/>
          <w:rtl/>
        </w:rPr>
      </w:pPr>
      <w:r w:rsidRPr="005222AD">
        <w:rPr>
          <w:b/>
          <w:bCs/>
          <w:rtl/>
        </w:rPr>
        <w:t>والصلاة والسلام على أشرف الأنبياء والمرسلين، محمد وآله الطيبين الطاهرين</w:t>
      </w:r>
    </w:p>
    <w:p w14:paraId="40DBBED1" w14:textId="77777777" w:rsidR="005222AD" w:rsidRPr="005222AD" w:rsidRDefault="005222AD" w:rsidP="005222AD">
      <w:pPr>
        <w:bidi/>
        <w:rPr>
          <w:rtl/>
        </w:rPr>
      </w:pPr>
      <w:r w:rsidRPr="005222AD">
        <w:rPr>
          <w:b/>
          <w:bCs/>
          <w:rtl/>
        </w:rPr>
        <w:t>واللعن الدائم على أعدائهم أجمعين إلى قيام يوم الدين</w:t>
      </w:r>
    </w:p>
    <w:p w14:paraId="493439EF" w14:textId="77777777" w:rsidR="005222AD" w:rsidRPr="005222AD" w:rsidRDefault="005222AD" w:rsidP="005222AD">
      <w:pPr>
        <w:bidi/>
        <w:rPr>
          <w:rtl/>
        </w:rPr>
      </w:pPr>
    </w:p>
    <w:p w14:paraId="739F4FC7" w14:textId="77777777" w:rsidR="005222AD" w:rsidRPr="005222AD" w:rsidRDefault="005222AD" w:rsidP="005222AD">
      <w:pPr>
        <w:bidi/>
        <w:rPr>
          <w:b/>
          <w:bCs/>
          <w:rtl/>
        </w:rPr>
      </w:pPr>
      <w:r w:rsidRPr="005222AD">
        <w:rPr>
          <w:b/>
          <w:bCs/>
          <w:rtl/>
        </w:rPr>
        <w:t>المسألة الحادية عشرة "من فصل أحكام العوضين".</w:t>
      </w:r>
    </w:p>
    <w:p w14:paraId="41C469D9" w14:textId="77777777" w:rsidR="005222AD" w:rsidRPr="005222AD" w:rsidRDefault="005222AD" w:rsidP="005222AD">
      <w:pPr>
        <w:bidi/>
        <w:rPr>
          <w:b/>
          <w:bCs/>
          <w:rtl/>
        </w:rPr>
      </w:pPr>
      <w:r w:rsidRPr="005222AD">
        <w:rPr>
          <w:rtl/>
        </w:rPr>
        <w:t xml:space="preserve">قال سيد العروة (قدس سره الشريف): </w:t>
      </w:r>
      <w:r w:rsidRPr="005222AD">
        <w:rPr>
          <w:b/>
          <w:bCs/>
          <w:rtl/>
        </w:rPr>
        <w:t xml:space="preserve">(مسألة 11: إذا منعه ظالم عن الانتفاع بالعين قبل القبض تخيّر بين الفسخ والرجوع </w:t>
      </w:r>
      <w:proofErr w:type="spellStart"/>
      <w:r w:rsidRPr="005222AD">
        <w:rPr>
          <w:b/>
          <w:bCs/>
          <w:rtl/>
        </w:rPr>
        <w:t>بالاُجرة</w:t>
      </w:r>
      <w:proofErr w:type="spellEnd"/>
      <w:r w:rsidRPr="005222AD">
        <w:rPr>
          <w:b/>
          <w:bCs/>
          <w:rtl/>
        </w:rPr>
        <w:t xml:space="preserve"> وبين الرجوع على الظالم بعوض ما فات، ويحتمل قويّاً تعيّن الثاني، وإن كان منع الظالم أو غصبه بعد القبض يتعيّن الوجه الثاني، فليس له الفسخ حينئذٍ، سواء كان بعد القبض في ابتداء المدّة أو في أثنائها، ثمّ لو عاد الظالم العين المستأجرة في أثناء المدّة إلى المستأجر فالخيار باقٍ، لكن ليس له الفسخ إلّا في الجميع، وربّما يحتمل جواز الفسخ بالنسبة إلى ما مضى من المدّة في يد الغاصب والرجوع بقسطه من المسمّى واستيفاء باقي المنفعة، وهو ضعيف للزوم التبعيض في العقد، وإن كان يشكل الفرق بينه وبين ما ذكر من مذهب المشهور من إبقاء العقد فيما مضى وفسخه فيما بقي، إذ إشكال تبعيض العقد مشترك بينهما)</w:t>
      </w:r>
      <w:r w:rsidRPr="005222AD">
        <w:rPr>
          <w:b/>
          <w:bCs/>
        </w:rPr>
        <w:t>.</w:t>
      </w:r>
    </w:p>
    <w:p w14:paraId="271D7AAE" w14:textId="77777777" w:rsidR="005222AD" w:rsidRPr="005222AD" w:rsidRDefault="005222AD" w:rsidP="005222AD">
      <w:pPr>
        <w:bidi/>
        <w:rPr>
          <w:rtl/>
        </w:rPr>
      </w:pPr>
      <w:r w:rsidRPr="005222AD">
        <w:rPr>
          <w:b/>
          <w:bCs/>
          <w:rtl/>
        </w:rPr>
        <w:lastRenderedPageBreak/>
        <w:t xml:space="preserve">والمرادُ مِن المسألة: </w:t>
      </w:r>
      <w:r w:rsidRPr="005222AD">
        <w:rPr>
          <w:rtl/>
        </w:rPr>
        <w:t>أنّه إذا خلى المؤجّر العين للمُستأجر، ولكن الظالم منع مِن الانتفاع بالعين</w:t>
      </w:r>
      <w:r w:rsidRPr="005222AD">
        <w:t>.</w:t>
      </w:r>
    </w:p>
    <w:p w14:paraId="30F83EAD" w14:textId="77777777" w:rsidR="005222AD" w:rsidRPr="005222AD" w:rsidRDefault="005222AD" w:rsidP="005222AD">
      <w:pPr>
        <w:bidi/>
        <w:rPr>
          <w:b/>
          <w:bCs/>
          <w:rtl/>
        </w:rPr>
      </w:pPr>
      <w:r w:rsidRPr="005222AD">
        <w:rPr>
          <w:b/>
          <w:bCs/>
          <w:rtl/>
        </w:rPr>
        <w:t>ففي هذه المسألة جهتان</w:t>
      </w:r>
      <w:r w:rsidRPr="005222AD">
        <w:rPr>
          <w:b/>
          <w:bCs/>
        </w:rPr>
        <w:t>:</w:t>
      </w:r>
    </w:p>
    <w:p w14:paraId="3E89480B" w14:textId="77777777" w:rsidR="005222AD" w:rsidRPr="005222AD" w:rsidRDefault="005222AD" w:rsidP="005222AD">
      <w:pPr>
        <w:bidi/>
        <w:rPr>
          <w:b/>
          <w:bCs/>
          <w:rtl/>
        </w:rPr>
      </w:pPr>
      <w:r w:rsidRPr="005222AD">
        <w:rPr>
          <w:b/>
          <w:bCs/>
          <w:rtl/>
        </w:rPr>
        <w:t>الجهةُ الأُولى: في حكم منع الظالم مِن استيفاء المنفعة.</w:t>
      </w:r>
    </w:p>
    <w:p w14:paraId="339D95A1" w14:textId="77777777" w:rsidR="005222AD" w:rsidRPr="005222AD" w:rsidRDefault="005222AD" w:rsidP="005222AD">
      <w:pPr>
        <w:bidi/>
        <w:rPr>
          <w:b/>
          <w:bCs/>
          <w:rtl/>
        </w:rPr>
      </w:pPr>
      <w:r w:rsidRPr="005222AD">
        <w:rPr>
          <w:b/>
          <w:bCs/>
          <w:rtl/>
        </w:rPr>
        <w:t>والجهةُ الثانية: في حكم تخلية الظالم العين بَعْدَ منعه منها</w:t>
      </w:r>
      <w:r w:rsidRPr="005222AD">
        <w:rPr>
          <w:b/>
          <w:bCs/>
        </w:rPr>
        <w:t>.</w:t>
      </w:r>
    </w:p>
    <w:p w14:paraId="3F820DD7" w14:textId="77777777" w:rsidR="005222AD" w:rsidRPr="005222AD" w:rsidRDefault="005222AD" w:rsidP="005222AD">
      <w:pPr>
        <w:bidi/>
        <w:rPr>
          <w:rtl/>
        </w:rPr>
      </w:pPr>
      <w:r w:rsidRPr="005222AD">
        <w:rPr>
          <w:b/>
          <w:bCs/>
          <w:rtl/>
        </w:rPr>
        <w:t>الجهةُ الأُولى:</w:t>
      </w:r>
      <w:r w:rsidRPr="005222AD">
        <w:rPr>
          <w:rtl/>
        </w:rPr>
        <w:t xml:space="preserve"> وهي ما إذا منع الظالم مِن الانتفاع بالعين، كما كان في بعض الأزمنة حيثُ تمّ المنع في بعض الموارد مِن الانتفاع ببعض </w:t>
      </w:r>
      <w:proofErr w:type="gramStart"/>
      <w:r w:rsidRPr="005222AD">
        <w:rPr>
          <w:rtl/>
        </w:rPr>
        <w:t>البيوت</w:t>
      </w:r>
      <w:proofErr w:type="gramEnd"/>
      <w:r w:rsidRPr="005222AD">
        <w:rPr>
          <w:rtl/>
        </w:rPr>
        <w:t xml:space="preserve"> أو الدور أو البساتين أو الأراضي.</w:t>
      </w:r>
    </w:p>
    <w:p w14:paraId="7B59CE76" w14:textId="77777777" w:rsidR="005222AD" w:rsidRPr="005222AD" w:rsidRDefault="005222AD" w:rsidP="005222AD">
      <w:pPr>
        <w:bidi/>
        <w:rPr>
          <w:rtl/>
        </w:rPr>
      </w:pPr>
      <w:r w:rsidRPr="005222AD">
        <w:rPr>
          <w:rtl/>
        </w:rPr>
        <w:t>فإذا كانت هي مستأجرة فما هو الحكم بالنسبة للمُستأجر؟</w:t>
      </w:r>
    </w:p>
    <w:p w14:paraId="3F529182" w14:textId="77777777" w:rsidR="005222AD" w:rsidRPr="005222AD" w:rsidRDefault="005222AD" w:rsidP="005222AD">
      <w:pPr>
        <w:bidi/>
        <w:rPr>
          <w:b/>
          <w:bCs/>
          <w:rtl/>
        </w:rPr>
      </w:pPr>
      <w:r w:rsidRPr="005222AD">
        <w:rPr>
          <w:b/>
          <w:bCs/>
          <w:rtl/>
        </w:rPr>
        <w:t>وفيها فرعان</w:t>
      </w:r>
      <w:r w:rsidRPr="005222AD">
        <w:rPr>
          <w:b/>
          <w:bCs/>
        </w:rPr>
        <w:t>:</w:t>
      </w:r>
    </w:p>
    <w:p w14:paraId="5DA4FFD1" w14:textId="77777777" w:rsidR="005222AD" w:rsidRPr="005222AD" w:rsidRDefault="005222AD" w:rsidP="005222AD">
      <w:pPr>
        <w:bidi/>
        <w:rPr>
          <w:b/>
          <w:bCs/>
          <w:rtl/>
        </w:rPr>
      </w:pPr>
      <w:r w:rsidRPr="005222AD">
        <w:rPr>
          <w:b/>
          <w:bCs/>
          <w:rtl/>
        </w:rPr>
        <w:t>الفرعُ الأوّل: ما إذا منعه الظالم مِن الانتفاع بالعين قَبل القبض</w:t>
      </w:r>
      <w:r w:rsidRPr="005222AD">
        <w:rPr>
          <w:b/>
          <w:bCs/>
        </w:rPr>
        <w:t>.</w:t>
      </w:r>
    </w:p>
    <w:p w14:paraId="1DF6DBBB" w14:textId="77777777" w:rsidR="005222AD" w:rsidRPr="005222AD" w:rsidRDefault="005222AD" w:rsidP="005222AD">
      <w:pPr>
        <w:bidi/>
        <w:rPr>
          <w:b/>
          <w:bCs/>
          <w:rtl/>
        </w:rPr>
      </w:pPr>
      <w:r w:rsidRPr="005222AD">
        <w:rPr>
          <w:b/>
          <w:bCs/>
          <w:rtl/>
        </w:rPr>
        <w:t>والفرع الثاني: ما إذا منعه الظالم مِن الانتفاع بالعين بَعْدَ القبض والاستلام</w:t>
      </w:r>
      <w:r w:rsidRPr="005222AD">
        <w:rPr>
          <w:b/>
          <w:bCs/>
        </w:rPr>
        <w:t>.</w:t>
      </w:r>
    </w:p>
    <w:p w14:paraId="22585081" w14:textId="77777777" w:rsidR="005222AD" w:rsidRPr="005222AD" w:rsidRDefault="005222AD" w:rsidP="005222AD">
      <w:pPr>
        <w:bidi/>
        <w:rPr>
          <w:rtl/>
        </w:rPr>
      </w:pPr>
      <w:r w:rsidRPr="005222AD">
        <w:rPr>
          <w:b/>
          <w:bCs/>
          <w:rtl/>
        </w:rPr>
        <w:t>أمّا الفرع الأوّل:</w:t>
      </w:r>
      <w:r w:rsidRPr="005222AD">
        <w:rPr>
          <w:rtl/>
        </w:rPr>
        <w:t xml:space="preserve"> وهو ما إذا منعه الظالم مِن الانتفاع بالعين قَبل القبض</w:t>
      </w:r>
      <w:r w:rsidRPr="005222AD">
        <w:t>.</w:t>
      </w:r>
    </w:p>
    <w:p w14:paraId="311527DA" w14:textId="77777777" w:rsidR="005222AD" w:rsidRPr="005222AD" w:rsidRDefault="005222AD" w:rsidP="005222AD">
      <w:pPr>
        <w:bidi/>
        <w:rPr>
          <w:b/>
          <w:bCs/>
          <w:rtl/>
        </w:rPr>
      </w:pPr>
      <w:r w:rsidRPr="005222AD">
        <w:rPr>
          <w:b/>
          <w:bCs/>
          <w:rtl/>
        </w:rPr>
        <w:t>فهنا أقوالٌ ثلاثة</w:t>
      </w:r>
      <w:r w:rsidRPr="005222AD">
        <w:rPr>
          <w:b/>
          <w:bCs/>
        </w:rPr>
        <w:t>:</w:t>
      </w:r>
    </w:p>
    <w:p w14:paraId="13A69883" w14:textId="77777777" w:rsidR="005222AD" w:rsidRPr="005222AD" w:rsidRDefault="005222AD" w:rsidP="005222AD">
      <w:pPr>
        <w:bidi/>
        <w:rPr>
          <w:rtl/>
        </w:rPr>
      </w:pPr>
      <w:r w:rsidRPr="005222AD">
        <w:rPr>
          <w:b/>
          <w:bCs/>
          <w:rtl/>
        </w:rPr>
        <w:t xml:space="preserve">القولُ الأوّل: </w:t>
      </w:r>
      <w:r w:rsidRPr="005222AD">
        <w:rPr>
          <w:rtl/>
        </w:rPr>
        <w:t>ما ذكره سيد العروة (قدس سره الشريف) مِن أنّ المُستأجر لَهُ الخيار بين الرجوع إلى المؤجّر واسترداد الأُجرة المُسمّاة وبين الرجوع إلى الظالم ومطالبته مع التمكن بضمان ما فاتَ مِن المنافع بسبب منعه.</w:t>
      </w:r>
    </w:p>
    <w:p w14:paraId="7935838C" w14:textId="77777777" w:rsidR="005222AD" w:rsidRPr="005222AD" w:rsidRDefault="005222AD" w:rsidP="005222AD">
      <w:pPr>
        <w:bidi/>
        <w:rPr>
          <w:rtl/>
        </w:rPr>
      </w:pPr>
      <w:r w:rsidRPr="005222AD">
        <w:rPr>
          <w:rtl/>
        </w:rPr>
        <w:t xml:space="preserve">مما يعني أنّ الإجارة </w:t>
      </w:r>
      <w:proofErr w:type="gramStart"/>
      <w:r w:rsidRPr="005222AD">
        <w:rPr>
          <w:rtl/>
        </w:rPr>
        <w:t>صحيحة</w:t>
      </w:r>
      <w:proofErr w:type="gramEnd"/>
      <w:r w:rsidRPr="005222AD">
        <w:rPr>
          <w:rtl/>
        </w:rPr>
        <w:t xml:space="preserve"> ولكن يثبت للمُستأجر الخيار بين أنْ يفسخ أو يطالب الظالم بالضمان</w:t>
      </w:r>
      <w:r w:rsidRPr="005222AD">
        <w:t>.</w:t>
      </w:r>
    </w:p>
    <w:p w14:paraId="15048746" w14:textId="77777777" w:rsidR="005222AD" w:rsidRPr="005222AD" w:rsidRDefault="005222AD" w:rsidP="005222AD">
      <w:pPr>
        <w:bidi/>
        <w:rPr>
          <w:rtl/>
        </w:rPr>
      </w:pPr>
      <w:r w:rsidRPr="005222AD">
        <w:rPr>
          <w:b/>
          <w:bCs/>
          <w:rtl/>
        </w:rPr>
        <w:t>القولُ الثاني:</w:t>
      </w:r>
      <w:r w:rsidRPr="005222AD">
        <w:rPr>
          <w:rtl/>
        </w:rPr>
        <w:t xml:space="preserve"> ما ذهب إليه سيدنا الخوئي (قدس سره الشريف) مِن التفصيل</w:t>
      </w:r>
      <w:r w:rsidRPr="005222AD">
        <w:t>.</w:t>
      </w:r>
    </w:p>
    <w:p w14:paraId="69C6542E" w14:textId="77777777" w:rsidR="005222AD" w:rsidRPr="005222AD" w:rsidRDefault="005222AD" w:rsidP="005222AD">
      <w:pPr>
        <w:bidi/>
        <w:rPr>
          <w:rtl/>
        </w:rPr>
      </w:pPr>
      <w:r w:rsidRPr="005222AD">
        <w:rPr>
          <w:rtl/>
        </w:rPr>
        <w:t>حيثُ قال (قدس سره)</w:t>
      </w:r>
      <w:r w:rsidRPr="005222AD">
        <w:rPr>
          <w:vertAlign w:val="superscript"/>
          <w:rtl/>
        </w:rPr>
        <w:footnoteReference w:id="285"/>
      </w:r>
      <w:r w:rsidRPr="005222AD">
        <w:rPr>
          <w:rtl/>
        </w:rPr>
        <w:t xml:space="preserve">: </w:t>
      </w:r>
      <w:r w:rsidRPr="005222AD">
        <w:rPr>
          <w:b/>
          <w:bCs/>
          <w:rtl/>
        </w:rPr>
        <w:t>(أقول: لا يبعد التفصيل بين ما إذا كان منع الظالم متوجّهاً إلى خصوص المستأجر، أو إلى الأعمّ منه ومن غيره)</w:t>
      </w:r>
      <w:r w:rsidRPr="005222AD">
        <w:rPr>
          <w:rtl/>
        </w:rPr>
        <w:t xml:space="preserve"> أي: إذا كان منع الظالم مطلقاً </w:t>
      </w:r>
      <w:r w:rsidRPr="005222AD">
        <w:rPr>
          <w:b/>
          <w:bCs/>
          <w:rtl/>
        </w:rPr>
        <w:t>(كما إذا آجره دابّة للسفر إلى كربلاء فمنع الظالم ركوب أيّ شخص عليها والخروج إلى كربلاء.)</w:t>
      </w:r>
      <w:r w:rsidRPr="005222AD">
        <w:rPr>
          <w:rtl/>
        </w:rPr>
        <w:t xml:space="preserve"> ففي هذا الفرض الظالمُ لا يمنع المؤجّر </w:t>
      </w:r>
      <w:proofErr w:type="spellStart"/>
      <w:r w:rsidRPr="005222AD">
        <w:rPr>
          <w:rtl/>
        </w:rPr>
        <w:t>ولاخصوص</w:t>
      </w:r>
      <w:proofErr w:type="spellEnd"/>
      <w:r w:rsidRPr="005222AD">
        <w:rPr>
          <w:rtl/>
        </w:rPr>
        <w:t xml:space="preserve"> المُستأجر وإنّما يمنع الاستفادة مِن العين.</w:t>
      </w:r>
    </w:p>
    <w:p w14:paraId="78985B0C" w14:textId="77777777" w:rsidR="005222AD" w:rsidRPr="005222AD" w:rsidRDefault="005222AD" w:rsidP="005222AD">
      <w:pPr>
        <w:bidi/>
        <w:rPr>
          <w:rtl/>
        </w:rPr>
      </w:pPr>
      <w:r w:rsidRPr="005222AD">
        <w:rPr>
          <w:b/>
          <w:bCs/>
          <w:rtl/>
        </w:rPr>
        <w:t xml:space="preserve">(ففي الثاني لا يبعد صحّة ما ذكره الماتن أوّلاً، باعتبار أنّ المستأجر مالك للمنفعة وبما أنّه لا يتمكّن من الانتفاع فله أن يرجع إلى الظالم لأنّه هو المانع، فلو فرضنا أنّ للظالم عنده مالاً وهو لا يعلم به فيجوز له أن يأخذه تقاصّاً) </w:t>
      </w:r>
      <w:r w:rsidRPr="005222AD">
        <w:rPr>
          <w:rtl/>
        </w:rPr>
        <w:t xml:space="preserve">عما فاته مِن المنافع </w:t>
      </w:r>
      <w:r w:rsidRPr="005222AD">
        <w:rPr>
          <w:b/>
          <w:bCs/>
          <w:rtl/>
        </w:rPr>
        <w:t xml:space="preserve">(من دون أن يفسخ العقد، كما أنّ له </w:t>
      </w:r>
      <w:proofErr w:type="gramStart"/>
      <w:r w:rsidRPr="005222AD">
        <w:rPr>
          <w:b/>
          <w:bCs/>
          <w:rtl/>
        </w:rPr>
        <w:t>أن لا</w:t>
      </w:r>
      <w:proofErr w:type="gramEnd"/>
      <w:r w:rsidRPr="005222AD">
        <w:rPr>
          <w:b/>
          <w:bCs/>
          <w:rtl/>
        </w:rPr>
        <w:t xml:space="preserve"> يرضى بالعقد ويفسخ، نظراً إلى أنّه مع فرض ظلم الظالم لم يتحقّق التسليم والتسلّم، ومن المعلوم أنّ تعذّر التسليم ولو لمنع الظالم موجب للخيار.)</w:t>
      </w:r>
      <w:r w:rsidRPr="005222AD">
        <w:rPr>
          <w:rtl/>
        </w:rPr>
        <w:t xml:space="preserve"> لتخلف الشرط الارتكازي، لمنع الظالم مِن الانتفاع بالعين مطلقاً، فتخلف الشرط، وإنْ كان المؤجر لا دخل له في ذلك المنع</w:t>
      </w:r>
      <w:r w:rsidRPr="005222AD">
        <w:t>.</w:t>
      </w:r>
    </w:p>
    <w:p w14:paraId="07E9E29C" w14:textId="77777777" w:rsidR="005222AD" w:rsidRPr="005222AD" w:rsidRDefault="005222AD" w:rsidP="005222AD">
      <w:pPr>
        <w:bidi/>
        <w:rPr>
          <w:rtl/>
        </w:rPr>
      </w:pPr>
      <w:r w:rsidRPr="005222AD">
        <w:rPr>
          <w:b/>
          <w:bCs/>
          <w:rtl/>
        </w:rPr>
        <w:t>(وأمّا في الفرض الأوّل فحيث إنّه لم يكن أيّ مانع من المؤجّر في تسليمه وإنّما المنع متوجّه إلى خصوص المستأجر)</w:t>
      </w:r>
      <w:r w:rsidRPr="005222AD">
        <w:rPr>
          <w:rtl/>
        </w:rPr>
        <w:t xml:space="preserve"> فإنّ الظالم منع خصوص المُستأجر مِن الاستفادة مِن العين، فسجنه أو منعه بأيّ نحو كان</w:t>
      </w:r>
      <w:r w:rsidRPr="005222AD">
        <w:t>.</w:t>
      </w:r>
    </w:p>
    <w:p w14:paraId="32A728E7" w14:textId="77777777" w:rsidR="005222AD" w:rsidRPr="005222AD" w:rsidRDefault="005222AD" w:rsidP="005222AD">
      <w:pPr>
        <w:bidi/>
        <w:rPr>
          <w:rtl/>
        </w:rPr>
      </w:pPr>
      <w:r w:rsidRPr="005222AD">
        <w:rPr>
          <w:rtl/>
        </w:rPr>
        <w:t xml:space="preserve">فأفادَ سيدنا الخوئي (قدس سره) هنا بأنّ ما ذكره سيد العروة (قدس سره) مِن التخيير لا يتم؛ حيثُ إنّه لم يكن أيّ مانعٍ مِن المؤجّر حيث خلى بينه وبين العين </w:t>
      </w:r>
      <w:r w:rsidRPr="005222AD">
        <w:rPr>
          <w:b/>
          <w:bCs/>
          <w:rtl/>
        </w:rPr>
        <w:t>(فلا موجب حينئذٍ للخيار، لعدم التخلّف في الشرط بوجه)</w:t>
      </w:r>
      <w:r w:rsidRPr="005222AD">
        <w:rPr>
          <w:rtl/>
        </w:rPr>
        <w:t xml:space="preserve"> فإنّ الشرط هو أنْ يمكنه وقد </w:t>
      </w:r>
      <w:r w:rsidRPr="005222AD">
        <w:rPr>
          <w:rtl/>
        </w:rPr>
        <w:lastRenderedPageBreak/>
        <w:t xml:space="preserve">مكنه لولا منع الظالم له </w:t>
      </w:r>
      <w:r w:rsidRPr="005222AD">
        <w:rPr>
          <w:b/>
          <w:bCs/>
          <w:rtl/>
        </w:rPr>
        <w:t>(إذ لم يكن الشرط الارتكازي إلّا بهذا المقدار، -أعني: تمكين المؤجّر من التسليم، لا تسلّم المستأجر- وقد فعل فكانت العين قابلة للانتفاع لأيّ شخص كان، وإنّما الممنوع خصوص هذا الشخص)</w:t>
      </w:r>
      <w:r w:rsidRPr="005222AD">
        <w:rPr>
          <w:rtl/>
        </w:rPr>
        <w:t xml:space="preserve"> وهو المُستأجر </w:t>
      </w:r>
      <w:r w:rsidRPr="005222AD">
        <w:rPr>
          <w:b/>
          <w:bCs/>
          <w:rtl/>
        </w:rPr>
        <w:t>(فيتعيّن حينئذٍ الاحتمال الثاني.)</w:t>
      </w:r>
      <w:r w:rsidRPr="005222AD">
        <w:rPr>
          <w:rtl/>
        </w:rPr>
        <w:t xml:space="preserve"> وهو لزوم العقد وكون الظالم ضامناً</w:t>
      </w:r>
      <w:r w:rsidRPr="005222AD">
        <w:t>.</w:t>
      </w:r>
    </w:p>
    <w:p w14:paraId="51D90287" w14:textId="77777777" w:rsidR="005222AD" w:rsidRPr="005222AD" w:rsidRDefault="005222AD" w:rsidP="005222AD">
      <w:pPr>
        <w:bidi/>
        <w:rPr>
          <w:b/>
          <w:bCs/>
          <w:rtl/>
        </w:rPr>
      </w:pPr>
      <w:r w:rsidRPr="005222AD">
        <w:rPr>
          <w:b/>
          <w:bCs/>
          <w:rtl/>
        </w:rPr>
        <w:t>(ولعلّ هذه الصورة هي مفروض كلامه (قدس سره)، لأنّه أخذ في عنوانه منع الظالم عن الانتفاع، فمنع الظالم متوجّه إلى هذا الشخص)</w:t>
      </w:r>
      <w:r w:rsidRPr="005222AD">
        <w:rPr>
          <w:rtl/>
        </w:rPr>
        <w:t xml:space="preserve"> أي: أنّ ظاهر هذه العبارة أنّه منع خصوص المُستأجر </w:t>
      </w:r>
      <w:r w:rsidRPr="005222AD">
        <w:rPr>
          <w:b/>
          <w:bCs/>
          <w:rtl/>
        </w:rPr>
        <w:t>(وفي مثله)</w:t>
      </w:r>
      <w:r w:rsidRPr="005222AD">
        <w:rPr>
          <w:rtl/>
        </w:rPr>
        <w:t xml:space="preserve"> يصحّ الإشكال عليه بأنّه </w:t>
      </w:r>
      <w:r w:rsidRPr="005222AD">
        <w:rPr>
          <w:b/>
          <w:bCs/>
          <w:rtl/>
        </w:rPr>
        <w:t>(لا موجب لثبوت الخيار)</w:t>
      </w:r>
      <w:r w:rsidRPr="005222AD">
        <w:rPr>
          <w:b/>
          <w:bCs/>
        </w:rPr>
        <w:t>.</w:t>
      </w:r>
    </w:p>
    <w:p w14:paraId="0D42E25E" w14:textId="77777777" w:rsidR="005222AD" w:rsidRPr="005222AD" w:rsidRDefault="005222AD" w:rsidP="005222AD">
      <w:pPr>
        <w:bidi/>
        <w:rPr>
          <w:rtl/>
        </w:rPr>
      </w:pPr>
      <w:r w:rsidRPr="005222AD">
        <w:rPr>
          <w:b/>
          <w:bCs/>
          <w:rtl/>
        </w:rPr>
        <w:t>القولُ الثالث:</w:t>
      </w:r>
      <w:r w:rsidRPr="005222AD">
        <w:rPr>
          <w:rtl/>
        </w:rPr>
        <w:t xml:space="preserve"> البطلان في صورة ما إذا كان منع الظالم مطلقاً، إذ لا فرق بينه وبين تلف العين، وإنْ كان المؤجّر معذوراً، لكن المنع المطلق يعني عدم قابلية العين للانتفاع، ومقتضى عدم قابلية العين للانتفاع أنّ حكم المقام حكم التلف فتبطل الإجارة</w:t>
      </w:r>
      <w:r w:rsidRPr="005222AD">
        <w:t>.</w:t>
      </w:r>
    </w:p>
    <w:p w14:paraId="59F2E426" w14:textId="77777777" w:rsidR="005222AD" w:rsidRPr="005222AD" w:rsidRDefault="005222AD" w:rsidP="005222AD">
      <w:pPr>
        <w:bidi/>
        <w:rPr>
          <w:rtl/>
        </w:rPr>
      </w:pPr>
      <w:r w:rsidRPr="005222AD">
        <w:rPr>
          <w:b/>
          <w:bCs/>
          <w:rtl/>
        </w:rPr>
        <w:t xml:space="preserve">القولُ الرابع: </w:t>
      </w:r>
      <w:r w:rsidRPr="005222AD">
        <w:rPr>
          <w:rtl/>
        </w:rPr>
        <w:t>هو التفصيل بين توجه منع الظالم لخصوص المؤجّر، أو توجه منع الظالم لخصوص المُستأجر، أو كون المنع مطلقاً</w:t>
      </w:r>
      <w:r w:rsidRPr="005222AD">
        <w:t>.</w:t>
      </w:r>
    </w:p>
    <w:p w14:paraId="562761E4" w14:textId="77777777" w:rsidR="005222AD" w:rsidRPr="005222AD" w:rsidRDefault="005222AD" w:rsidP="005222AD">
      <w:pPr>
        <w:bidi/>
        <w:rPr>
          <w:rtl/>
        </w:rPr>
      </w:pPr>
      <w:r w:rsidRPr="005222AD">
        <w:rPr>
          <w:b/>
          <w:bCs/>
          <w:rtl/>
        </w:rPr>
        <w:t>الصورةُ الأُولى</w:t>
      </w:r>
      <w:r w:rsidRPr="005222AD">
        <w:rPr>
          <w:rtl/>
        </w:rPr>
        <w:t>: إذا كان منع الظالم متوجهاً لخصوص المؤجّر، كما إذا قال له: "أنا أمنعك أنْ تسلّم السيارة أو أمنعك أنْ تسلم الدار للمُستأجر".</w:t>
      </w:r>
    </w:p>
    <w:p w14:paraId="3FE34ABC" w14:textId="77777777" w:rsidR="005222AD" w:rsidRPr="005222AD" w:rsidRDefault="005222AD" w:rsidP="005222AD">
      <w:pPr>
        <w:bidi/>
        <w:rPr>
          <w:rtl/>
        </w:rPr>
      </w:pPr>
      <w:r w:rsidRPr="005222AD">
        <w:rPr>
          <w:rtl/>
        </w:rPr>
        <w:t>فحينئذٍ يتم كلام سيد العروة (قدس سره) مِن ثبوت الخيار لتخلف الشرط الارتكازي -ألّا وهو شرط التمكين-؛ حيثُ إنّ متعلّق الشرط الارتكازي أنْ يمكن المُستأجر مِن الانتفاع بالعين ولَمْ يمكنه مِن ذلك، وإنْ كان معذوراً، فبالنتيجة إنّ الشرط الارتكازي قد تخلف.</w:t>
      </w:r>
    </w:p>
    <w:p w14:paraId="0DB6DF26" w14:textId="77777777" w:rsidR="005222AD" w:rsidRPr="005222AD" w:rsidRDefault="005222AD" w:rsidP="005222AD">
      <w:pPr>
        <w:bidi/>
        <w:rPr>
          <w:rtl/>
        </w:rPr>
      </w:pPr>
      <w:r w:rsidRPr="005222AD">
        <w:rPr>
          <w:b/>
          <w:bCs/>
          <w:rtl/>
        </w:rPr>
        <w:t>الصورةُ الثانية:</w:t>
      </w:r>
      <w:r w:rsidRPr="005222AD">
        <w:rPr>
          <w:rtl/>
        </w:rPr>
        <w:t xml:space="preserve"> إذا كان منع الظالم لخصوص المستأجر، كما إذا قال الظالم للمُستأجر: "أنتَ ممنوعٌ مِن الانتفاع بالعين ولا مانع مِن أنْ ينتفع بها غيرك"، والمؤجر قد أدى وظيفته وهو التمكين</w:t>
      </w:r>
      <w:r w:rsidRPr="005222AD">
        <w:t>.</w:t>
      </w:r>
    </w:p>
    <w:p w14:paraId="3B9B67E8" w14:textId="77777777" w:rsidR="005222AD" w:rsidRPr="005222AD" w:rsidRDefault="005222AD" w:rsidP="005222AD">
      <w:pPr>
        <w:bidi/>
        <w:rPr>
          <w:rtl/>
        </w:rPr>
      </w:pPr>
      <w:r w:rsidRPr="005222AD">
        <w:rPr>
          <w:rtl/>
        </w:rPr>
        <w:t>فهنا يتعيّن ما ذكره سيدنا الخوئي (قدس سره) مِن أنّ العقد صحيحٌ ولازمٌ وإنّما الظالم ضامنٌ، فإن امتنع الظالم عن الضمان فيتحمل المُستأجر الضرر</w:t>
      </w:r>
      <w:r w:rsidRPr="005222AD">
        <w:t>.</w:t>
      </w:r>
    </w:p>
    <w:p w14:paraId="53EE0479" w14:textId="77777777" w:rsidR="005222AD" w:rsidRPr="005222AD" w:rsidRDefault="005222AD" w:rsidP="005222AD">
      <w:pPr>
        <w:bidi/>
        <w:rPr>
          <w:rtl/>
        </w:rPr>
      </w:pPr>
      <w:r w:rsidRPr="005222AD">
        <w:rPr>
          <w:b/>
          <w:bCs/>
          <w:rtl/>
        </w:rPr>
        <w:t>الصورةُ الثالثة:</w:t>
      </w:r>
      <w:r w:rsidRPr="005222AD">
        <w:rPr>
          <w:rtl/>
        </w:rPr>
        <w:t xml:space="preserve"> أنْ يكون المنع مطلقاً</w:t>
      </w:r>
      <w:r w:rsidRPr="005222AD">
        <w:t>.</w:t>
      </w:r>
    </w:p>
    <w:p w14:paraId="6D2E83F3" w14:textId="77777777" w:rsidR="005222AD" w:rsidRPr="005222AD" w:rsidRDefault="005222AD" w:rsidP="005222AD">
      <w:pPr>
        <w:bidi/>
        <w:rPr>
          <w:rtl/>
        </w:rPr>
      </w:pPr>
      <w:r w:rsidRPr="005222AD">
        <w:rPr>
          <w:rtl/>
        </w:rPr>
        <w:t>فيأتي فيه التفصيل الذي سبق في مسألة انهدام الدار، حيثُ مضى أنّ انهدام الدار هل هو مِن قبيل التلف أو مِن قبيل العيب؟</w:t>
      </w:r>
    </w:p>
    <w:p w14:paraId="2C88F3FE" w14:textId="77777777" w:rsidR="005222AD" w:rsidRPr="005222AD" w:rsidRDefault="005222AD" w:rsidP="005222AD">
      <w:pPr>
        <w:bidi/>
        <w:rPr>
          <w:rtl/>
        </w:rPr>
      </w:pPr>
      <w:r w:rsidRPr="005222AD">
        <w:rPr>
          <w:rtl/>
        </w:rPr>
        <w:t>فإنْ كان منع الظالم مطلقاً، وكان بالنظر العرفي موجباً لعدم قابلية العين للانتفاع، فهو كحدوث الزلزلة مِن هذه الجهة، كما لو افترضنا أنّ الظالم أصدر قراراً بمنع التجول، فلو استأجر شخصٌ سيارةً في هذا اليوم مِن أجل الذهاب إلى كربلاء المقدسة، وكان المنع مِن التجول مطلقاً، فإنّ المنع قد أَخْرَجَ العين عن قابلية الانتفاع، والحكمُ هو البطلان</w:t>
      </w:r>
      <w:r w:rsidRPr="005222AD">
        <w:t>.</w:t>
      </w:r>
    </w:p>
    <w:p w14:paraId="1D0534B6" w14:textId="77777777" w:rsidR="005222AD" w:rsidRPr="005222AD" w:rsidRDefault="005222AD" w:rsidP="005222AD">
      <w:pPr>
        <w:bidi/>
        <w:rPr>
          <w:rtl/>
        </w:rPr>
      </w:pPr>
      <w:r w:rsidRPr="005222AD">
        <w:rPr>
          <w:rtl/>
        </w:rPr>
        <w:t>وأمّا إذا كان بمثابة العيب، حيثُ إنّه يمكن الانتفاع بها جزئياً ولو بأنْ يُرسل ولده أو خادمه، إلّا أنّ الغرض المقصود قد تخلف، وإلّا فيمكن الانتفاع في الجملة، فمقتضى ذلك صحّة الإجارة وثبوتُ الخيار مِن باب تخلف الغرض النوعي، لا مِن باب تخلف الشرط الارتكازي؛ لأنّ المؤجّر أدى ما عليه ومكنه من العين، غاية ما في الأمر أنّ الظالم منع، فثبوتُ الخيار هنا لا لأجل تخلف الشرط الارتكازي بل لأجل انتفاء الغرض النوعي المقصود</w:t>
      </w:r>
      <w:r w:rsidRPr="005222AD">
        <w:t>.</w:t>
      </w:r>
    </w:p>
    <w:p w14:paraId="6BC3F0FF" w14:textId="77777777" w:rsidR="005222AD" w:rsidRPr="005222AD" w:rsidRDefault="005222AD" w:rsidP="005222AD">
      <w:pPr>
        <w:bidi/>
        <w:rPr>
          <w:rtl/>
        </w:rPr>
      </w:pPr>
      <w:r w:rsidRPr="005222AD">
        <w:rPr>
          <w:rtl/>
        </w:rPr>
        <w:t>وهذا هو الفرق بين مختارنا ومختار سيدنا الخوئي (قدس سره الشريف)، حيثُ حصر سيدنا الخوئي الخيار في تخلف الشرط الارتكازي</w:t>
      </w:r>
      <w:r w:rsidRPr="005222AD">
        <w:t>.</w:t>
      </w:r>
    </w:p>
    <w:p w14:paraId="57016065" w14:textId="77777777" w:rsidR="005222AD" w:rsidRPr="005222AD" w:rsidRDefault="005222AD" w:rsidP="005222AD">
      <w:pPr>
        <w:bidi/>
        <w:rPr>
          <w:rtl/>
        </w:rPr>
      </w:pPr>
      <w:r w:rsidRPr="005222AD">
        <w:rPr>
          <w:rtl/>
        </w:rPr>
        <w:t>هذا ما يرتبط بالفرع الأوّل، وهو ما إذا منعه الظالم مِن الانتفاع بالعين قَبل القبض</w:t>
      </w:r>
      <w:r w:rsidRPr="005222AD">
        <w:t>.</w:t>
      </w:r>
    </w:p>
    <w:p w14:paraId="6ADBE2F9" w14:textId="77777777" w:rsidR="005222AD" w:rsidRPr="005222AD" w:rsidRDefault="005222AD" w:rsidP="005222AD">
      <w:pPr>
        <w:bidi/>
        <w:rPr>
          <w:rtl/>
        </w:rPr>
      </w:pPr>
      <w:r w:rsidRPr="005222AD">
        <w:rPr>
          <w:b/>
          <w:bCs/>
          <w:rtl/>
        </w:rPr>
        <w:t>وأمّا الفرع الثاني:</w:t>
      </w:r>
      <w:r w:rsidRPr="005222AD">
        <w:rPr>
          <w:rtl/>
        </w:rPr>
        <w:t xml:space="preserve"> وهو ما إذا منعه الظالم مِن الانتفاع بالعين بَعْدَ القبض والاستلام</w:t>
      </w:r>
      <w:r w:rsidRPr="005222AD">
        <w:t>.</w:t>
      </w:r>
    </w:p>
    <w:p w14:paraId="109F53F6" w14:textId="77777777" w:rsidR="005222AD" w:rsidRPr="005222AD" w:rsidRDefault="005222AD" w:rsidP="005222AD">
      <w:pPr>
        <w:bidi/>
        <w:rPr>
          <w:rtl/>
        </w:rPr>
      </w:pPr>
      <w:r w:rsidRPr="005222AD">
        <w:rPr>
          <w:rtl/>
        </w:rPr>
        <w:lastRenderedPageBreak/>
        <w:t>فقد ذكر سيد العروة (قدس سره الشريف) أنّ المتعين هو الوجه الثاني وهو صحّة العقد ولزومه وثبوت الضمان</w:t>
      </w:r>
      <w:r w:rsidRPr="005222AD">
        <w:t>.</w:t>
      </w:r>
    </w:p>
    <w:p w14:paraId="4B64AE40" w14:textId="77777777" w:rsidR="005222AD" w:rsidRPr="005222AD" w:rsidRDefault="005222AD" w:rsidP="005222AD">
      <w:pPr>
        <w:bidi/>
        <w:rPr>
          <w:b/>
          <w:bCs/>
          <w:rtl/>
        </w:rPr>
      </w:pPr>
      <w:r w:rsidRPr="005222AD">
        <w:rPr>
          <w:rtl/>
        </w:rPr>
        <w:t>وقد علل ذلك سيدنا الخوئي (قدس سره الشريف) بقوله</w:t>
      </w:r>
      <w:r w:rsidRPr="005222AD">
        <w:rPr>
          <w:vertAlign w:val="superscript"/>
          <w:rtl/>
        </w:rPr>
        <w:footnoteReference w:id="286"/>
      </w:r>
      <w:r w:rsidRPr="005222AD">
        <w:rPr>
          <w:rtl/>
        </w:rPr>
        <w:t xml:space="preserve">: </w:t>
      </w:r>
      <w:r w:rsidRPr="005222AD">
        <w:rPr>
          <w:b/>
          <w:bCs/>
          <w:rtl/>
        </w:rPr>
        <w:t>(إذ الخيار إنّما ثبت من أجل تخلّف الشرط كما مرّ، وهنا لم يتخلّف، ضرورة أنّ الشرط لم يكن إلّا تسليم العين وجعلها تحت قبض المستأجر، وقد تحقّق حسب الفرض. وأمّا الزائد على ذلك بأن يتعهّد المؤجّر بدفع ظلم الظالم عن المستأجر بعد قبضه)</w:t>
      </w:r>
      <w:r w:rsidRPr="005222AD">
        <w:rPr>
          <w:rtl/>
        </w:rPr>
        <w:t xml:space="preserve"> العين </w:t>
      </w:r>
      <w:r w:rsidRPr="005222AD">
        <w:rPr>
          <w:b/>
          <w:bCs/>
          <w:rtl/>
        </w:rPr>
        <w:t>(أو أثناء مدّة الإجارة، فليس ممّا يقتضيه الارتكاز، ولا ملحوظاً في الشرط الضمني بوجه).</w:t>
      </w:r>
    </w:p>
    <w:p w14:paraId="707DBBB1" w14:textId="77777777" w:rsidR="005222AD" w:rsidRPr="005222AD" w:rsidRDefault="005222AD" w:rsidP="005222AD">
      <w:pPr>
        <w:bidi/>
        <w:rPr>
          <w:rtl/>
        </w:rPr>
      </w:pPr>
      <w:r w:rsidRPr="005222AD">
        <w:rPr>
          <w:b/>
          <w:bCs/>
          <w:rtl/>
        </w:rPr>
        <w:t>أقول:</w:t>
      </w:r>
      <w:r w:rsidRPr="005222AD">
        <w:rPr>
          <w:rtl/>
        </w:rPr>
        <w:t xml:space="preserve"> هنا يأتي التفصيل الذي ذكرناه، مِن أنّ منع </w:t>
      </w:r>
      <w:proofErr w:type="gramStart"/>
      <w:r w:rsidRPr="005222AD">
        <w:rPr>
          <w:rtl/>
        </w:rPr>
        <w:t>الظالم</w:t>
      </w:r>
      <w:proofErr w:type="gramEnd"/>
      <w:r w:rsidRPr="005222AD">
        <w:rPr>
          <w:rtl/>
        </w:rPr>
        <w:t xml:space="preserve"> حتى لو في الأثناء إنْ كان يخرج العين عن قابلية الانتفاع فالحكم البطلان في المدة الباقية، وإنْ أوجب تعيب العين فالثابت الخيار.</w:t>
      </w:r>
    </w:p>
    <w:p w14:paraId="22966B77" w14:textId="77777777" w:rsidR="005222AD" w:rsidRPr="005222AD" w:rsidRDefault="005222AD" w:rsidP="005222AD">
      <w:pPr>
        <w:bidi/>
        <w:rPr>
          <w:rtl/>
        </w:rPr>
      </w:pPr>
      <w:r w:rsidRPr="005222AD">
        <w:rPr>
          <w:b/>
          <w:bCs/>
          <w:rtl/>
        </w:rPr>
        <w:t>الجهةُ الثانية:</w:t>
      </w:r>
      <w:r w:rsidRPr="005222AD">
        <w:rPr>
          <w:rtl/>
        </w:rPr>
        <w:t xml:space="preserve"> إذا أعاد الظالم العين للمستأجر بَعْدَ أنْ غصبها</w:t>
      </w:r>
      <w:r w:rsidRPr="005222AD">
        <w:t>.</w:t>
      </w:r>
    </w:p>
    <w:p w14:paraId="7FA578F0" w14:textId="77777777" w:rsidR="005222AD" w:rsidRPr="005222AD" w:rsidRDefault="005222AD" w:rsidP="005222AD">
      <w:pPr>
        <w:bidi/>
        <w:rPr>
          <w:rtl/>
        </w:rPr>
      </w:pPr>
      <w:r w:rsidRPr="005222AD">
        <w:rPr>
          <w:rtl/>
        </w:rPr>
        <w:t>ومفروض المسألة أنّ الظالم منع المُستأجر قَبل القبض ثمّ أعادها عليه، وحيث كان لَهُ الخيار فهل يبقى هذا الخيار بَعْدَ إعادة العين أم لا؟</w:t>
      </w:r>
    </w:p>
    <w:p w14:paraId="0A1D7EAF" w14:textId="77777777" w:rsidR="005222AD" w:rsidRPr="005222AD" w:rsidRDefault="005222AD" w:rsidP="005222AD">
      <w:pPr>
        <w:bidi/>
        <w:rPr>
          <w:rtl/>
        </w:rPr>
      </w:pPr>
      <w:r w:rsidRPr="005222AD">
        <w:rPr>
          <w:rtl/>
        </w:rPr>
        <w:t>قد أفادَ سيد العروة (قدس سره) بأنّ الخيار باقٍ</w:t>
      </w:r>
      <w:r w:rsidRPr="005222AD">
        <w:t>.</w:t>
      </w:r>
    </w:p>
    <w:p w14:paraId="2891BDD7" w14:textId="77777777" w:rsidR="005222AD" w:rsidRPr="005222AD" w:rsidRDefault="005222AD" w:rsidP="005222AD">
      <w:pPr>
        <w:bidi/>
        <w:rPr>
          <w:b/>
          <w:bCs/>
          <w:rtl/>
        </w:rPr>
      </w:pPr>
      <w:r w:rsidRPr="005222AD">
        <w:rPr>
          <w:rtl/>
        </w:rPr>
        <w:t>وأوضح ذلك سيدنا الخوئي (قدس سره) بقوله</w:t>
      </w:r>
      <w:r w:rsidRPr="005222AD">
        <w:rPr>
          <w:vertAlign w:val="superscript"/>
          <w:rtl/>
        </w:rPr>
        <w:footnoteReference w:id="287"/>
      </w:r>
      <w:r w:rsidRPr="005222AD">
        <w:rPr>
          <w:rtl/>
        </w:rPr>
        <w:t xml:space="preserve">: </w:t>
      </w:r>
      <w:r w:rsidRPr="005222AD">
        <w:rPr>
          <w:b/>
          <w:bCs/>
          <w:rtl/>
        </w:rPr>
        <w:t>(لا لأجل الاستصحاب، بل لأجل أنّ العلّة المقتضية لثبوت الخيار -وهو تخلّف الشرط-)</w:t>
      </w:r>
      <w:r w:rsidRPr="005222AD">
        <w:rPr>
          <w:rtl/>
        </w:rPr>
        <w:t xml:space="preserve"> الارتكازي </w:t>
      </w:r>
      <w:r w:rsidRPr="005222AD">
        <w:rPr>
          <w:b/>
          <w:bCs/>
          <w:rtl/>
        </w:rPr>
        <w:t>(لم ترتفع بإعادة العين في الأثناء ليزول الخيار)</w:t>
      </w:r>
      <w:r w:rsidRPr="005222AD">
        <w:rPr>
          <w:rtl/>
        </w:rPr>
        <w:t xml:space="preserve"> لأنّ الشرط الارتكازي أنْ يمكن مِن الانتفاع حدوثاً وبقاءً، وهناك مدّة مضتْ لَمْ يمكن مِن الانتفاع وهي المدّة الأولى الحدوثية </w:t>
      </w:r>
      <w:r w:rsidRPr="005222AD">
        <w:rPr>
          <w:b/>
          <w:bCs/>
          <w:rtl/>
        </w:rPr>
        <w:t>(فإنّ الشرط كان هو التسليم في تمام المدّة ولم يتحقّق ولو للتعذّر في النصف الأوّل من المدّة -مثلاً- فلا جرم)</w:t>
      </w:r>
      <w:r w:rsidRPr="005222AD">
        <w:rPr>
          <w:rtl/>
        </w:rPr>
        <w:t xml:space="preserve"> أي: لا مناص </w:t>
      </w:r>
      <w:r w:rsidRPr="005222AD">
        <w:rPr>
          <w:b/>
          <w:bCs/>
          <w:rtl/>
        </w:rPr>
        <w:t>(يثبت الخيار، فإنّ التعذّر كما يوجب الخيار فيما إذا كان في تمام المدّة كذلك يوجبه في بعضها</w:t>
      </w:r>
      <w:r w:rsidRPr="005222AD">
        <w:rPr>
          <w:b/>
          <w:bCs/>
        </w:rPr>
        <w:t>.</w:t>
      </w:r>
    </w:p>
    <w:p w14:paraId="7A2CB8C5" w14:textId="77777777" w:rsidR="005222AD" w:rsidRPr="005222AD" w:rsidRDefault="005222AD" w:rsidP="005222AD">
      <w:pPr>
        <w:bidi/>
        <w:rPr>
          <w:b/>
          <w:bCs/>
          <w:rtl/>
        </w:rPr>
      </w:pPr>
      <w:r w:rsidRPr="005222AD">
        <w:rPr>
          <w:b/>
          <w:bCs/>
          <w:rtl/>
        </w:rPr>
        <w:t>وبالجملة: قد تحقّق موجب الخيار وهو التعذّر في بعض المدّة، والإعادة في البعض الآخر لا تنفع في زواله، فإذا فسخ فحينئذٍ يعود البحث السابق في أنّ الفسخ هل يؤثّر بالنسبة لما مضى ويبقى فيما بقي صحيحاً، أو أنّه يوجب الانفساخ من الأصل فيطالب بتمام الاُجرة وليس له حقّ التصرّف بعد ذلك؟)</w:t>
      </w:r>
    </w:p>
    <w:p w14:paraId="20B94B57" w14:textId="77777777" w:rsidR="005222AD" w:rsidRPr="005222AD" w:rsidRDefault="005222AD" w:rsidP="005222AD">
      <w:pPr>
        <w:bidi/>
        <w:rPr>
          <w:rtl/>
        </w:rPr>
      </w:pPr>
      <w:r w:rsidRPr="005222AD">
        <w:rPr>
          <w:rtl/>
        </w:rPr>
        <w:t>وهذه هي المسألة الكبروية التي سبق بحثها مفصلاً، أي: هل له الخيار بأنْ يفسخ تمام العقد، ويسترجع الأُجرة المُسمّاة ويضمن لَلمؤجر أجرة المثل، أو أنّ له أنْ يفسخ فيما بقي، بمعنى أنّه يقسط الأُجرة ويصحّ العقد ويلزم فيما مضى</w:t>
      </w:r>
      <w:r w:rsidRPr="005222AD">
        <w:t>.</w:t>
      </w:r>
    </w:p>
    <w:p w14:paraId="7F8C0020" w14:textId="77777777" w:rsidR="005222AD" w:rsidRPr="005222AD" w:rsidRDefault="005222AD" w:rsidP="005222AD">
      <w:pPr>
        <w:bidi/>
        <w:rPr>
          <w:b/>
          <w:bCs/>
          <w:rtl/>
        </w:rPr>
      </w:pPr>
      <w:r w:rsidRPr="005222AD">
        <w:rPr>
          <w:rtl/>
        </w:rPr>
        <w:t>وقد أفاد سيدنا الخوئي (قدس سره الشريف)</w:t>
      </w:r>
      <w:r w:rsidRPr="005222AD">
        <w:rPr>
          <w:vertAlign w:val="superscript"/>
          <w:rtl/>
        </w:rPr>
        <w:footnoteReference w:id="288"/>
      </w:r>
      <w:r w:rsidRPr="005222AD">
        <w:rPr>
          <w:rtl/>
        </w:rPr>
        <w:t xml:space="preserve">: </w:t>
      </w:r>
      <w:r w:rsidRPr="005222AD">
        <w:rPr>
          <w:b/>
          <w:bCs/>
          <w:rtl/>
        </w:rPr>
        <w:t>(وقد عرفت أنّ الأظهر هو الثاني)</w:t>
      </w:r>
      <w:r w:rsidRPr="005222AD">
        <w:rPr>
          <w:rtl/>
        </w:rPr>
        <w:t xml:space="preserve"> يعني فسخ تمام العقد </w:t>
      </w:r>
      <w:r w:rsidRPr="005222AD">
        <w:rPr>
          <w:b/>
          <w:bCs/>
          <w:rtl/>
        </w:rPr>
        <w:t>(إذ الالتزام بالعقد من الأوّل كان مشروطاً بالتسليم الخارجي ولم يتحقّق حسب الفرض)</w:t>
      </w:r>
      <w:r w:rsidRPr="005222AD">
        <w:rPr>
          <w:rtl/>
        </w:rPr>
        <w:t xml:space="preserve"> وإنّما تحقّق في القسم الأوّل مِن المدّة </w:t>
      </w:r>
      <w:r w:rsidRPr="005222AD">
        <w:rPr>
          <w:b/>
          <w:bCs/>
          <w:rtl/>
        </w:rPr>
        <w:t>(فإذا فسخ)</w:t>
      </w:r>
      <w:r w:rsidRPr="005222AD">
        <w:rPr>
          <w:rtl/>
        </w:rPr>
        <w:t xml:space="preserve"> المستأجر </w:t>
      </w:r>
      <w:r w:rsidRPr="005222AD">
        <w:rPr>
          <w:b/>
          <w:bCs/>
          <w:rtl/>
        </w:rPr>
        <w:t>(كان العقد في حكم العدم فيرجع تمام الاُجرة، ويكون التصرّف في الباقي منوطاً بالتراضي أو بإجارة جديدة، فلاحظ.)</w:t>
      </w:r>
    </w:p>
    <w:p w14:paraId="38EDBC51" w14:textId="77777777" w:rsidR="005222AD" w:rsidRPr="005222AD" w:rsidRDefault="005222AD" w:rsidP="005222AD">
      <w:pPr>
        <w:bidi/>
        <w:rPr>
          <w:rtl/>
        </w:rPr>
      </w:pPr>
      <w:r w:rsidRPr="005222AD">
        <w:rPr>
          <w:rtl/>
        </w:rPr>
        <w:t>وقد قُلنا فيما سبق بما أنّ المناط في الخيار تخلّف الغرض النوعي، فللمُستأجر تداركه، وتداركه بالسلطنة على فسخ الجامع، بين أنْ يفسخ أصل العقد أو يفسخ في المدّة الماضية، دون المدّة الباقية، والتبعيض أمرٌ عقلائي</w:t>
      </w:r>
      <w:r w:rsidRPr="005222AD">
        <w:t>.</w:t>
      </w:r>
    </w:p>
    <w:p w14:paraId="135E5076" w14:textId="77777777" w:rsidR="005222AD" w:rsidRPr="005222AD" w:rsidRDefault="005222AD" w:rsidP="005222AD">
      <w:pPr>
        <w:bidi/>
        <w:rPr>
          <w:rtl/>
        </w:rPr>
      </w:pPr>
      <w:r w:rsidRPr="005222AD">
        <w:rPr>
          <w:rtl/>
        </w:rPr>
        <w:t>فإن فسخ تمام العقد فالأمر واضح، وإن فسخ في خصوص المدّة الماضية فهل لَهُ خيار تبعّض الصفقة في المدّة الباقية لتبعّض الملك عليه؟</w:t>
      </w:r>
    </w:p>
    <w:p w14:paraId="24417AF6" w14:textId="77777777" w:rsidR="005222AD" w:rsidRPr="005222AD" w:rsidRDefault="005222AD" w:rsidP="005222AD">
      <w:pPr>
        <w:bidi/>
        <w:rPr>
          <w:b/>
          <w:bCs/>
          <w:rtl/>
        </w:rPr>
      </w:pPr>
      <w:r w:rsidRPr="005222AD">
        <w:rPr>
          <w:rtl/>
        </w:rPr>
        <w:lastRenderedPageBreak/>
        <w:t>وهنا أفاد بعض الأجلة (رحمه الله) في كتابه الإجارة</w:t>
      </w:r>
      <w:r w:rsidRPr="005222AD">
        <w:rPr>
          <w:vertAlign w:val="superscript"/>
          <w:rtl/>
        </w:rPr>
        <w:footnoteReference w:id="289"/>
      </w:r>
      <w:r w:rsidRPr="005222AD">
        <w:rPr>
          <w:rtl/>
        </w:rPr>
        <w:t xml:space="preserve"> بقوله: </w:t>
      </w:r>
      <w:r w:rsidRPr="005222AD">
        <w:rPr>
          <w:b/>
          <w:bCs/>
          <w:rtl/>
        </w:rPr>
        <w:t>(اللهم إلّا إذا كانت المنافع متساوية القيمة ومستقلة في التمليك بحسب الغرض المعاملي بحيث يكون من الجمع في الإنشاء وإجراء الصيغة فقط فلا يكون له حتى خيار تبعض الصفقة، فالفرق بين الموردين من هذه الناحية لا من ناحية عدم التبعيض في خيار الفسخ بملاك عدم التسليم)</w:t>
      </w:r>
      <w:r w:rsidRPr="005222AD">
        <w:rPr>
          <w:b/>
          <w:bCs/>
        </w:rPr>
        <w:t>.</w:t>
      </w:r>
    </w:p>
    <w:p w14:paraId="7F16FCC4" w14:textId="77777777" w:rsidR="005222AD" w:rsidRPr="005222AD" w:rsidRDefault="005222AD" w:rsidP="005222AD">
      <w:pPr>
        <w:bidi/>
        <w:rPr>
          <w:rtl/>
        </w:rPr>
      </w:pPr>
      <w:r w:rsidRPr="005222AD">
        <w:rPr>
          <w:b/>
          <w:bCs/>
          <w:rtl/>
        </w:rPr>
        <w:t>وحاصلُ كلامه (رحمه الله):</w:t>
      </w:r>
      <w:r w:rsidRPr="005222AD">
        <w:rPr>
          <w:rtl/>
        </w:rPr>
        <w:t xml:space="preserve"> أنّه إذا افترضنا أنّ منفعة المدّة الماضية ومنفعة المدّة الباقية متساوية القيمة، والإجارة بالنظر العرفي منحلة إلى </w:t>
      </w:r>
      <w:proofErr w:type="spellStart"/>
      <w:r w:rsidRPr="005222AD">
        <w:rPr>
          <w:rtl/>
        </w:rPr>
        <w:t>إجارات</w:t>
      </w:r>
      <w:proofErr w:type="spellEnd"/>
      <w:r w:rsidRPr="005222AD">
        <w:rPr>
          <w:rtl/>
        </w:rPr>
        <w:t xml:space="preserve"> </w:t>
      </w:r>
      <w:proofErr w:type="spellStart"/>
      <w:r w:rsidRPr="005222AD">
        <w:rPr>
          <w:rtl/>
        </w:rPr>
        <w:t>وتمليكات</w:t>
      </w:r>
      <w:proofErr w:type="spellEnd"/>
      <w:r w:rsidRPr="005222AD">
        <w:rPr>
          <w:rtl/>
        </w:rPr>
        <w:t>، فلا معنى لخيار تبعّض الصفقة؛ لأنّه مِن الأوّل متبعض، وهو كلامٌ متين</w:t>
      </w:r>
      <w:r w:rsidRPr="005222AD">
        <w:t>.</w:t>
      </w:r>
    </w:p>
    <w:p w14:paraId="2FEBDD65" w14:textId="77777777" w:rsidR="005222AD" w:rsidRPr="005222AD" w:rsidRDefault="005222AD" w:rsidP="005222AD">
      <w:pPr>
        <w:bidi/>
        <w:rPr>
          <w:rtl/>
        </w:rPr>
      </w:pPr>
      <w:r w:rsidRPr="005222AD">
        <w:rPr>
          <w:rtl/>
        </w:rPr>
        <w:t>تم البحث في المسألة الحادية عشرة.</w:t>
      </w:r>
    </w:p>
    <w:p w14:paraId="06993EA4" w14:textId="77777777" w:rsidR="005222AD" w:rsidRPr="005222AD" w:rsidRDefault="005222AD" w:rsidP="005222AD">
      <w:pPr>
        <w:bidi/>
        <w:rPr>
          <w:rtl/>
        </w:rPr>
      </w:pPr>
    </w:p>
    <w:p w14:paraId="4004CFFA" w14:textId="77777777" w:rsidR="005222AD" w:rsidRPr="005222AD" w:rsidRDefault="005222AD" w:rsidP="005222AD">
      <w:pPr>
        <w:bidi/>
        <w:rPr>
          <w:b/>
          <w:bCs/>
          <w:rtl/>
        </w:rPr>
      </w:pPr>
      <w:r w:rsidRPr="005222AD">
        <w:rPr>
          <w:b/>
          <w:bCs/>
          <w:rtl/>
        </w:rPr>
        <w:t>والحمد لله رب العالمين</w:t>
      </w:r>
    </w:p>
    <w:p w14:paraId="6BCD79D5" w14:textId="77777777" w:rsidR="00060ABB" w:rsidRPr="00CC276F" w:rsidRDefault="00060ABB" w:rsidP="00060ABB">
      <w:pPr>
        <w:bidi/>
        <w:rPr>
          <w:rtl/>
        </w:rPr>
      </w:pPr>
    </w:p>
    <w:sectPr w:rsidR="00060ABB" w:rsidRPr="00CC276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A834A" w14:textId="77777777" w:rsidR="00BA61C8" w:rsidRDefault="00BA61C8" w:rsidP="002F2A0E">
      <w:pPr>
        <w:spacing w:after="0" w:line="240" w:lineRule="auto"/>
      </w:pPr>
      <w:r>
        <w:separator/>
      </w:r>
    </w:p>
  </w:endnote>
  <w:endnote w:type="continuationSeparator" w:id="0">
    <w:p w14:paraId="4B4FF653" w14:textId="77777777" w:rsidR="00BA61C8" w:rsidRDefault="00BA61C8" w:rsidP="002F2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mohsin">
    <w:altName w:val="Arial"/>
    <w:charset w:val="00"/>
    <w:family w:val="auto"/>
    <w:pitch w:val="variable"/>
    <w:sig w:usb0="00002007" w:usb1="80000000" w:usb2="00000008" w:usb3="00000000" w:csb0="00000043" w:csb1="00000000"/>
  </w:font>
  <w:font w:name="mylotus">
    <w:altName w:val="Arial"/>
    <w:charset w:val="00"/>
    <w:family w:val="auto"/>
    <w:pitch w:val="variable"/>
    <w:sig w:usb0="00002007" w:usb1="80000000" w:usb2="00000008" w:usb3="00000000" w:csb0="00000043" w:csb1="00000000"/>
  </w:font>
  <w:font w:name="Noor_Titr">
    <w:panose1 w:val="02000700000000000000"/>
    <w:charset w:val="00"/>
    <w:family w:val="auto"/>
    <w:pitch w:val="variable"/>
    <w:sig w:usb0="80002007" w:usb1="80002000" w:usb2="00000008" w:usb3="00000000" w:csb0="00000043" w:csb1="00000000"/>
  </w:font>
  <w:font w:name="Noor_Lotus">
    <w:panose1 w:val="020004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4E41" w14:textId="77777777" w:rsidR="00BE7185" w:rsidRDefault="00BE71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1E34" w14:textId="77777777" w:rsidR="00BE7185" w:rsidRDefault="00BE71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D21A" w14:textId="77777777" w:rsidR="00BE7185" w:rsidRDefault="00BE7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B78D9" w14:textId="77777777" w:rsidR="00BA61C8" w:rsidRDefault="00BA61C8" w:rsidP="002F2A0E">
      <w:pPr>
        <w:spacing w:after="0" w:line="240" w:lineRule="auto"/>
      </w:pPr>
      <w:r>
        <w:separator/>
      </w:r>
    </w:p>
  </w:footnote>
  <w:footnote w:type="continuationSeparator" w:id="0">
    <w:p w14:paraId="08B8AB63" w14:textId="77777777" w:rsidR="00BA61C8" w:rsidRDefault="00BA61C8" w:rsidP="002F2A0E">
      <w:pPr>
        <w:spacing w:after="0" w:line="240" w:lineRule="auto"/>
      </w:pPr>
      <w:r>
        <w:continuationSeparator/>
      </w:r>
    </w:p>
  </w:footnote>
  <w:footnote w:id="1">
    <w:p w14:paraId="1DF944A7" w14:textId="77777777" w:rsidR="002F2A0E" w:rsidRPr="00510095" w:rsidRDefault="002F2A0E" w:rsidP="00A96F05">
      <w:pPr>
        <w:pStyle w:val="FootnoteText"/>
        <w:bidi/>
        <w:jc w:val="right"/>
        <w:rPr>
          <w:color w:val="215E99" w:themeColor="text2" w:themeTint="BF"/>
          <w:sz w:val="28"/>
          <w:szCs w:val="28"/>
        </w:rPr>
      </w:pPr>
      <w:r w:rsidRPr="00510095">
        <w:rPr>
          <w:rStyle w:val="FootnoteReference"/>
          <w:color w:val="215E99" w:themeColor="text2" w:themeTint="BF"/>
          <w:sz w:val="28"/>
          <w:szCs w:val="28"/>
        </w:rPr>
        <w:footnoteRef/>
      </w:r>
      <w:r w:rsidRPr="00510095">
        <w:rPr>
          <w:color w:val="215E99" w:themeColor="text2" w:themeTint="BF"/>
          <w:sz w:val="28"/>
          <w:szCs w:val="28"/>
        </w:rPr>
        <w:t xml:space="preserve"> </w:t>
      </w:r>
      <w:r w:rsidRPr="00510095">
        <w:rPr>
          <w:rFonts w:cs="Arial" w:hint="cs"/>
          <w:color w:val="215E99" w:themeColor="text2" w:themeTint="BF"/>
          <w:sz w:val="28"/>
          <w:szCs w:val="28"/>
          <w:rtl/>
        </w:rPr>
        <w:t>يوجد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اشكال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ثبوت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الارش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كخيار</w:t>
      </w:r>
      <w:proofErr w:type="gramStart"/>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ويمكن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تسريته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مورد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العين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التي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تباع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مسلوبة</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المنفعة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w:t>
      </w:r>
      <w:proofErr w:type="gramEnd"/>
    </w:p>
    <w:p w14:paraId="7ECB854B" w14:textId="77777777" w:rsidR="002F2A0E" w:rsidRPr="00510095" w:rsidRDefault="002F2A0E" w:rsidP="00A96F05">
      <w:pPr>
        <w:pStyle w:val="FootnoteText"/>
        <w:bidi/>
        <w:jc w:val="right"/>
        <w:rPr>
          <w:color w:val="215E99" w:themeColor="text2" w:themeTint="BF"/>
          <w:sz w:val="28"/>
          <w:szCs w:val="28"/>
        </w:rPr>
      </w:pPr>
      <w:r w:rsidRPr="00510095">
        <w:rPr>
          <w:rFonts w:cs="Arial" w:hint="cs"/>
          <w:color w:val="215E99" w:themeColor="text2" w:themeTint="BF"/>
          <w:sz w:val="28"/>
          <w:szCs w:val="28"/>
          <w:rtl/>
        </w:rPr>
        <w:t>إرشاد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الطالب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التعليق</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المكاسب؛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w:t>
      </w:r>
      <w:r w:rsidRPr="00510095">
        <w:rPr>
          <w:rFonts w:cs="Arial"/>
          <w:color w:val="215E99" w:themeColor="text2" w:themeTint="BF"/>
          <w:sz w:val="28"/>
          <w:szCs w:val="28"/>
          <w:rtl/>
        </w:rPr>
        <w:t>4</w:t>
      </w:r>
      <w:r w:rsidRPr="00510095">
        <w:rPr>
          <w:rFonts w:cs="Arial" w:hint="cs"/>
          <w:color w:val="215E99" w:themeColor="text2" w:themeTint="BF"/>
          <w:sz w:val="28"/>
          <w:szCs w:val="28"/>
          <w:rtl/>
        </w:rPr>
        <w:t>،</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ص</w:t>
      </w:r>
      <w:r w:rsidRPr="00510095">
        <w:rPr>
          <w:rFonts w:cs="Arial"/>
          <w:color w:val="215E99" w:themeColor="text2" w:themeTint="BF"/>
          <w:sz w:val="28"/>
          <w:szCs w:val="28"/>
          <w:rtl/>
        </w:rPr>
        <w:t>: 278</w:t>
      </w:r>
    </w:p>
    <w:p w14:paraId="60C58B26" w14:textId="77777777" w:rsidR="002F2A0E" w:rsidRPr="00510095" w:rsidRDefault="002F2A0E" w:rsidP="00A96F05">
      <w:pPr>
        <w:pStyle w:val="FootnoteText"/>
        <w:bidi/>
        <w:jc w:val="right"/>
        <w:rPr>
          <w:color w:val="215E99" w:themeColor="text2" w:themeTint="BF"/>
          <w:sz w:val="28"/>
          <w:szCs w:val="28"/>
        </w:rPr>
      </w:pPr>
      <w:r w:rsidRPr="00510095">
        <w:rPr>
          <w:color w:val="215E99" w:themeColor="text2" w:themeTint="BF"/>
          <w:sz w:val="28"/>
          <w:szCs w:val="28"/>
        </w:rPr>
        <w:t xml:space="preserve">(1) </w:t>
      </w:r>
      <w:r w:rsidRPr="00510095">
        <w:rPr>
          <w:rFonts w:cs="Arial" w:hint="cs"/>
          <w:color w:val="215E99" w:themeColor="text2" w:themeTint="BF"/>
          <w:sz w:val="28"/>
          <w:szCs w:val="28"/>
          <w:rtl/>
        </w:rPr>
        <w:t>المشهور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تخيير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المشتري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ظهور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عيب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بين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فسخ</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إمضائه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المطالبة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العيب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هذا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بقاء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بحاله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عدم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التصرّف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تعيّن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الإمضاء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استحقاقه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المطالبة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لكن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الروايات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الواردة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المقام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يذكر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التّخيير،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ذكر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جواز</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الرّدّ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الفسخ</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كصحيحة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ميسّر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أبي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عبد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اللّٰه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السلام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قال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قلت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رجل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اشترى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ذق</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زيت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فوجد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درديا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قال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فقال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يعلم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ذلك</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يكون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الزيت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يردّه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يكن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يعلم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ذلك</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يكون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الزيت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ردّه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صاحبه،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ورد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يختصّ</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بصورة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التصرف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احداث</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الحدث</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فيه</w:t>
      </w:r>
      <w:r w:rsidRPr="00510095">
        <w:rPr>
          <w:color w:val="215E99" w:themeColor="text2" w:themeTint="BF"/>
          <w:sz w:val="28"/>
          <w:szCs w:val="28"/>
        </w:rPr>
        <w:t>.</w:t>
      </w:r>
    </w:p>
    <w:p w14:paraId="15782938" w14:textId="77777777" w:rsidR="002F2A0E" w:rsidRPr="00510095" w:rsidRDefault="002F2A0E" w:rsidP="00A96F05">
      <w:pPr>
        <w:pStyle w:val="FootnoteText"/>
        <w:bidi/>
        <w:jc w:val="right"/>
        <w:rPr>
          <w:color w:val="215E99" w:themeColor="text2" w:themeTint="BF"/>
          <w:sz w:val="28"/>
          <w:szCs w:val="28"/>
        </w:rPr>
      </w:pPr>
      <w:r w:rsidRPr="00510095">
        <w:rPr>
          <w:rFonts w:cs="Arial" w:hint="cs"/>
          <w:color w:val="215E99" w:themeColor="text2" w:themeTint="BF"/>
          <w:sz w:val="28"/>
          <w:szCs w:val="28"/>
          <w:rtl/>
        </w:rPr>
        <w:t>نعم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ورد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الفقه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الرضوي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فإن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خرج</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السلعة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معيبا</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علم</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المشتري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فالخيار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شاء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ردّه</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شاء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أخذه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ردّ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بالقيمة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العيب،</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ظاهره</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الحدائق</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تخير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المشتري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بين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فسخ</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إمضاء</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بدون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أخذ</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أخذه</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احتمل</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بعضهم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زيادة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الهمزة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لفظة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أو</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يكون</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مفاد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واو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العطف</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مقتضاه</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تخيير‌</w:t>
      </w:r>
    </w:p>
    <w:p w14:paraId="3DD1F8D9" w14:textId="77777777" w:rsidR="002F2A0E" w:rsidRPr="00510095" w:rsidRDefault="002F2A0E" w:rsidP="00A96F05">
      <w:pPr>
        <w:pStyle w:val="FootnoteText"/>
        <w:bidi/>
        <w:jc w:val="right"/>
        <w:rPr>
          <w:color w:val="215E99" w:themeColor="text2" w:themeTint="BF"/>
          <w:sz w:val="28"/>
          <w:szCs w:val="28"/>
        </w:rPr>
      </w:pPr>
      <w:r w:rsidRPr="00510095">
        <w:rPr>
          <w:rFonts w:cs="Arial" w:hint="cs"/>
          <w:color w:val="215E99" w:themeColor="text2" w:themeTint="BF"/>
          <w:sz w:val="28"/>
          <w:szCs w:val="28"/>
          <w:rtl/>
        </w:rPr>
        <w:t>إرشاد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الطالب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التعليق</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المكاسب،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w:t>
      </w:r>
      <w:r w:rsidRPr="00510095">
        <w:rPr>
          <w:rFonts w:cs="Arial"/>
          <w:color w:val="215E99" w:themeColor="text2" w:themeTint="BF"/>
          <w:sz w:val="28"/>
          <w:szCs w:val="28"/>
          <w:rtl/>
        </w:rPr>
        <w:t>4</w:t>
      </w:r>
      <w:r w:rsidRPr="00510095">
        <w:rPr>
          <w:rFonts w:cs="Arial" w:hint="cs"/>
          <w:color w:val="215E99" w:themeColor="text2" w:themeTint="BF"/>
          <w:sz w:val="28"/>
          <w:szCs w:val="28"/>
          <w:rtl/>
        </w:rPr>
        <w:t>،</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ص</w:t>
      </w:r>
      <w:r w:rsidRPr="00510095">
        <w:rPr>
          <w:rFonts w:cs="Arial"/>
          <w:color w:val="215E99" w:themeColor="text2" w:themeTint="BF"/>
          <w:sz w:val="28"/>
          <w:szCs w:val="28"/>
          <w:rtl/>
        </w:rPr>
        <w:t>: 279‌</w:t>
      </w:r>
    </w:p>
    <w:p w14:paraId="3B447CD1" w14:textId="77777777" w:rsidR="002F2A0E" w:rsidRPr="00510095" w:rsidRDefault="002F2A0E" w:rsidP="00A96F05">
      <w:pPr>
        <w:pStyle w:val="FootnoteText"/>
        <w:bidi/>
        <w:jc w:val="right"/>
        <w:rPr>
          <w:color w:val="215E99" w:themeColor="text2" w:themeTint="BF"/>
          <w:sz w:val="28"/>
          <w:szCs w:val="28"/>
        </w:rPr>
      </w:pPr>
      <w:r w:rsidRPr="00510095">
        <w:rPr>
          <w:color w:val="215E99" w:themeColor="text2" w:themeTint="BF"/>
          <w:sz w:val="28"/>
          <w:szCs w:val="28"/>
        </w:rPr>
        <w:t>..........</w:t>
      </w:r>
    </w:p>
    <w:p w14:paraId="4D752B8D" w14:textId="77777777" w:rsidR="002F2A0E" w:rsidRPr="00510095" w:rsidRDefault="002F2A0E" w:rsidP="00A96F05">
      <w:pPr>
        <w:pStyle w:val="FootnoteText"/>
        <w:bidi/>
        <w:jc w:val="right"/>
        <w:rPr>
          <w:color w:val="215E99" w:themeColor="text2" w:themeTint="BF"/>
          <w:sz w:val="28"/>
          <w:szCs w:val="28"/>
        </w:rPr>
      </w:pPr>
      <w:r w:rsidRPr="00510095">
        <w:rPr>
          <w:color w:val="215E99" w:themeColor="text2" w:themeTint="BF"/>
          <w:sz w:val="28"/>
          <w:szCs w:val="28"/>
        </w:rPr>
        <w:t>______________________________</w:t>
      </w:r>
    </w:p>
    <w:p w14:paraId="2314A0F5" w14:textId="77777777" w:rsidR="002F2A0E" w:rsidRPr="00510095" w:rsidRDefault="002F2A0E" w:rsidP="00A96F05">
      <w:pPr>
        <w:pStyle w:val="FootnoteText"/>
        <w:bidi/>
        <w:jc w:val="right"/>
        <w:rPr>
          <w:color w:val="215E99" w:themeColor="text2" w:themeTint="BF"/>
          <w:sz w:val="28"/>
          <w:szCs w:val="28"/>
        </w:rPr>
      </w:pPr>
      <w:r w:rsidRPr="00510095">
        <w:rPr>
          <w:rFonts w:cs="Arial" w:hint="cs"/>
          <w:color w:val="215E99" w:themeColor="text2" w:themeTint="BF"/>
          <w:sz w:val="28"/>
          <w:szCs w:val="28"/>
          <w:rtl/>
        </w:rPr>
        <w:t>المشتري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بين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فسخ</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أخذ</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المشهور</w:t>
      </w:r>
      <w:r w:rsidRPr="00510095">
        <w:rPr>
          <w:color w:val="215E99" w:themeColor="text2" w:themeTint="BF"/>
          <w:sz w:val="28"/>
          <w:szCs w:val="28"/>
        </w:rPr>
        <w:t>.</w:t>
      </w:r>
    </w:p>
    <w:p w14:paraId="696F9D96" w14:textId="77777777" w:rsidR="002F2A0E" w:rsidRPr="00510095" w:rsidRDefault="002F2A0E" w:rsidP="00A96F05">
      <w:pPr>
        <w:pStyle w:val="FootnoteText"/>
        <w:bidi/>
        <w:jc w:val="right"/>
        <w:rPr>
          <w:color w:val="215E99" w:themeColor="text2" w:themeTint="BF"/>
          <w:sz w:val="28"/>
          <w:szCs w:val="28"/>
        </w:rPr>
      </w:pP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لكن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الأظهر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جواز</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المطالبة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يختص</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بمورد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الحدث</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المعيب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قبله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يكون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للمشتري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الفسخ</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بعده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يكون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المطالبة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فقط</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جماعة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الأصحاب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معتبرة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زرارة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أبي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جعفر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السلام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قال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أيّما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رجل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اشترى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شيئا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عيب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عوار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لم</w:t>
      </w:r>
      <w:r w:rsidRPr="00510095">
        <w:rPr>
          <w:rFonts w:cs="Arial"/>
          <w:color w:val="215E99" w:themeColor="text2" w:themeTint="BF"/>
          <w:sz w:val="28"/>
          <w:szCs w:val="28"/>
          <w:rtl/>
        </w:rPr>
        <w:t xml:space="preserve"> </w:t>
      </w:r>
      <w:proofErr w:type="spellStart"/>
      <w:r w:rsidRPr="00510095">
        <w:rPr>
          <w:rFonts w:cs="Arial" w:hint="cs"/>
          <w:color w:val="215E99" w:themeColor="text2" w:themeTint="BF"/>
          <w:sz w:val="28"/>
          <w:szCs w:val="28"/>
          <w:rtl/>
        </w:rPr>
        <w:t>يتبرء</w:t>
      </w:r>
      <w:proofErr w:type="spell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يبيّن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فأحدث</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بعد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قبضه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شيئا،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ثم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بذلك</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العوار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بذلك</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الداء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يمضي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يرد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بقدر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نقص</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ذلك</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الداء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العيب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ثمن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ذلك</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يكن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به</w:t>
      </w:r>
      <w:r w:rsidRPr="00510095">
        <w:rPr>
          <w:rFonts w:cs="Arial"/>
          <w:color w:val="215E99" w:themeColor="text2" w:themeTint="BF"/>
          <w:sz w:val="28"/>
          <w:szCs w:val="28"/>
          <w:rtl/>
        </w:rPr>
        <w:t xml:space="preserve"> «1»</w:t>
      </w:r>
      <w:r w:rsidRPr="00510095">
        <w:rPr>
          <w:rFonts w:cs="Arial" w:hint="cs"/>
          <w:color w:val="215E99" w:themeColor="text2" w:themeTint="BF"/>
          <w:sz w:val="28"/>
          <w:szCs w:val="28"/>
          <w:rtl/>
        </w:rPr>
        <w:t>،</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مرسلة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جميل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بعض</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أصحابنا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أحدهما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السلام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الرجل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يشتري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الثوب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المتاع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فيجد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عيبا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فقال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الشّي‌ء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قائما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بعينه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ردّه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صاحبه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أخذ</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الثمن؛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الثوب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قطع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خيط</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صبغ</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يرجع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بنقصان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العيب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ذلك</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فلو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تكن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هذه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دلالة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عدم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الاستحقاق</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لأخذ</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عدم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الحدث</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أقلّ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دلالة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جواز</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المطالبة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قبل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التصرّف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احداث</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الحدث</w:t>
      </w:r>
      <w:r w:rsidRPr="00510095">
        <w:rPr>
          <w:color w:val="215E99" w:themeColor="text2" w:themeTint="BF"/>
          <w:sz w:val="28"/>
          <w:szCs w:val="28"/>
        </w:rPr>
        <w:t>.</w:t>
      </w:r>
    </w:p>
    <w:p w14:paraId="79FD6160" w14:textId="77777777" w:rsidR="002F2A0E" w:rsidRPr="00510095" w:rsidRDefault="002F2A0E" w:rsidP="00A96F05">
      <w:pPr>
        <w:pStyle w:val="FootnoteText"/>
        <w:bidi/>
        <w:jc w:val="right"/>
        <w:rPr>
          <w:color w:val="215E99" w:themeColor="text2" w:themeTint="BF"/>
          <w:sz w:val="28"/>
          <w:szCs w:val="28"/>
        </w:rPr>
      </w:pP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قد</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تقدّم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ثبوت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يدخل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مقتضى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اشتراط</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وصف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الصّحّة</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يحتاج</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ثبوته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الدليل</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الفقه</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الرضوي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يثبت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كونها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رواية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ليدّعي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انجبار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ضعفها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بعمل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المشهور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احتمال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المشهور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التزموا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بالتخيير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بين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الفسخ</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المطالبة</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لبعض</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أشار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المصنف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ره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اليه</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عمدته</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قيل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وصف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الصّحة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كالجزء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للمبيع،</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فقدها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يبطل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بالإضافة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وقع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الثمن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بإزاء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ذلك</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الوصف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فيكون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للمشتري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استرداد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ذلك</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فسخ</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تماما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لتبعض</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الصّفقة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عليه</w:t>
      </w:r>
      <w:r w:rsidRPr="00510095">
        <w:rPr>
          <w:color w:val="215E99" w:themeColor="text2" w:themeTint="BF"/>
          <w:sz w:val="28"/>
          <w:szCs w:val="28"/>
        </w:rPr>
        <w:t>.</w:t>
      </w:r>
    </w:p>
    <w:p w14:paraId="088D9092" w14:textId="77777777" w:rsidR="002F2A0E" w:rsidRPr="00510095" w:rsidRDefault="002F2A0E" w:rsidP="00A96F05">
      <w:pPr>
        <w:pStyle w:val="FootnoteText"/>
        <w:bidi/>
        <w:jc w:val="right"/>
        <w:rPr>
          <w:color w:val="215E99" w:themeColor="text2" w:themeTint="BF"/>
          <w:sz w:val="28"/>
          <w:szCs w:val="28"/>
        </w:rPr>
      </w:pP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لكن</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الوجه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ضعيف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جدا</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ذلك</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وصف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الصّحة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كوصف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الكمال،</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proofErr w:type="gramEnd"/>
    </w:p>
    <w:p w14:paraId="39EFEBB5" w14:textId="77777777" w:rsidR="002F2A0E" w:rsidRPr="00510095" w:rsidRDefault="002F2A0E" w:rsidP="00A96F05">
      <w:pPr>
        <w:pStyle w:val="FootnoteText"/>
        <w:bidi/>
        <w:jc w:val="right"/>
        <w:rPr>
          <w:color w:val="215E99" w:themeColor="text2" w:themeTint="BF"/>
          <w:sz w:val="28"/>
          <w:szCs w:val="28"/>
        </w:rPr>
      </w:pPr>
      <w:r w:rsidRPr="00510095">
        <w:rPr>
          <w:color w:val="215E99" w:themeColor="text2" w:themeTint="BF"/>
          <w:sz w:val="28"/>
          <w:szCs w:val="28"/>
        </w:rPr>
        <w:t>______________________________</w:t>
      </w:r>
    </w:p>
    <w:p w14:paraId="44326136" w14:textId="77777777" w:rsidR="002F2A0E" w:rsidRPr="00510095" w:rsidRDefault="002F2A0E" w:rsidP="00A96F05">
      <w:pPr>
        <w:pStyle w:val="FootnoteText"/>
        <w:bidi/>
        <w:jc w:val="right"/>
        <w:rPr>
          <w:color w:val="215E99" w:themeColor="text2" w:themeTint="BF"/>
          <w:sz w:val="28"/>
          <w:szCs w:val="28"/>
        </w:rPr>
      </w:pPr>
      <w:r w:rsidRPr="00510095">
        <w:rPr>
          <w:color w:val="215E99" w:themeColor="text2" w:themeTint="BF"/>
          <w:sz w:val="28"/>
          <w:szCs w:val="28"/>
        </w:rPr>
        <w:t xml:space="preserve">(1). </w:t>
      </w:r>
      <w:r w:rsidRPr="00510095">
        <w:rPr>
          <w:rFonts w:cs="Arial" w:hint="cs"/>
          <w:color w:val="215E99" w:themeColor="text2" w:themeTint="BF"/>
          <w:sz w:val="28"/>
          <w:szCs w:val="28"/>
          <w:rtl/>
        </w:rPr>
        <w:t>الوسائل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الجزء</w:t>
      </w:r>
      <w:r w:rsidRPr="00510095">
        <w:rPr>
          <w:rFonts w:cs="Arial"/>
          <w:color w:val="215E99" w:themeColor="text2" w:themeTint="BF"/>
          <w:sz w:val="28"/>
          <w:szCs w:val="28"/>
          <w:rtl/>
        </w:rPr>
        <w:t xml:space="preserve"> 12</w:t>
      </w:r>
      <w:r w:rsidRPr="00510095">
        <w:rPr>
          <w:rFonts w:cs="Arial" w:hint="cs"/>
          <w:color w:val="215E99" w:themeColor="text2" w:themeTint="BF"/>
          <w:sz w:val="28"/>
          <w:szCs w:val="28"/>
          <w:rtl/>
        </w:rPr>
        <w:t>،</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الباب</w:t>
      </w:r>
      <w:r w:rsidRPr="00510095">
        <w:rPr>
          <w:rFonts w:cs="Arial"/>
          <w:color w:val="215E99" w:themeColor="text2" w:themeTint="BF"/>
          <w:sz w:val="28"/>
          <w:szCs w:val="28"/>
          <w:rtl/>
        </w:rPr>
        <w:t xml:space="preserve"> 16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أبواب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الخيار</w:t>
      </w:r>
      <w:r w:rsidRPr="00510095">
        <w:rPr>
          <w:color w:val="215E99" w:themeColor="text2" w:themeTint="BF"/>
          <w:sz w:val="28"/>
          <w:szCs w:val="28"/>
        </w:rPr>
        <w:t>.</w:t>
      </w:r>
    </w:p>
    <w:p w14:paraId="5BC82204" w14:textId="77777777" w:rsidR="002F2A0E" w:rsidRPr="00510095" w:rsidRDefault="002F2A0E" w:rsidP="00A96F05">
      <w:pPr>
        <w:pStyle w:val="FootnoteText"/>
        <w:bidi/>
        <w:jc w:val="right"/>
        <w:rPr>
          <w:color w:val="215E99" w:themeColor="text2" w:themeTint="BF"/>
          <w:sz w:val="28"/>
          <w:szCs w:val="28"/>
        </w:rPr>
      </w:pPr>
      <w:r w:rsidRPr="00510095">
        <w:rPr>
          <w:rFonts w:cs="Arial" w:hint="cs"/>
          <w:color w:val="215E99" w:themeColor="text2" w:themeTint="BF"/>
          <w:sz w:val="28"/>
          <w:szCs w:val="28"/>
          <w:rtl/>
        </w:rPr>
        <w:t>إرشاد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الطالب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التعليق</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المكاسب،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w:t>
      </w:r>
      <w:r w:rsidRPr="00510095">
        <w:rPr>
          <w:rFonts w:cs="Arial"/>
          <w:color w:val="215E99" w:themeColor="text2" w:themeTint="BF"/>
          <w:sz w:val="28"/>
          <w:szCs w:val="28"/>
          <w:rtl/>
        </w:rPr>
        <w:t>4</w:t>
      </w:r>
      <w:r w:rsidRPr="00510095">
        <w:rPr>
          <w:rFonts w:cs="Arial" w:hint="cs"/>
          <w:color w:val="215E99" w:themeColor="text2" w:themeTint="BF"/>
          <w:sz w:val="28"/>
          <w:szCs w:val="28"/>
          <w:rtl/>
        </w:rPr>
        <w:t>،</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ص</w:t>
      </w:r>
      <w:r w:rsidRPr="00510095">
        <w:rPr>
          <w:rFonts w:cs="Arial"/>
          <w:color w:val="215E99" w:themeColor="text2" w:themeTint="BF"/>
          <w:sz w:val="28"/>
          <w:szCs w:val="28"/>
          <w:rtl/>
        </w:rPr>
        <w:t>: 280‌</w:t>
      </w:r>
    </w:p>
    <w:p w14:paraId="27CDE5A5" w14:textId="77777777" w:rsidR="002F2A0E" w:rsidRPr="00510095" w:rsidRDefault="002F2A0E" w:rsidP="00A96F05">
      <w:pPr>
        <w:pStyle w:val="FootnoteText"/>
        <w:bidi/>
        <w:jc w:val="right"/>
        <w:rPr>
          <w:color w:val="215E99" w:themeColor="text2" w:themeTint="BF"/>
          <w:sz w:val="28"/>
          <w:szCs w:val="28"/>
        </w:rPr>
      </w:pPr>
      <w:r w:rsidRPr="00510095">
        <w:rPr>
          <w:rFonts w:cs="Arial" w:hint="cs"/>
          <w:color w:val="215E99" w:themeColor="text2" w:themeTint="BF"/>
          <w:sz w:val="28"/>
          <w:szCs w:val="28"/>
          <w:rtl/>
        </w:rPr>
        <w:t>ينافيه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إطلاق</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الأخبار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بجواز</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أخذ</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الأرش</w:t>
      </w:r>
      <w:r w:rsidRPr="00510095">
        <w:rPr>
          <w:color w:val="215E99" w:themeColor="text2" w:themeTint="BF"/>
          <w:sz w:val="28"/>
          <w:szCs w:val="28"/>
        </w:rPr>
        <w:t xml:space="preserve"> (1).</w:t>
      </w:r>
    </w:p>
    <w:p w14:paraId="20EFBDE4" w14:textId="77777777" w:rsidR="002F2A0E" w:rsidRPr="00510095" w:rsidRDefault="002F2A0E" w:rsidP="00A96F05">
      <w:pPr>
        <w:pStyle w:val="FootnoteText"/>
        <w:bidi/>
        <w:jc w:val="right"/>
        <w:rPr>
          <w:color w:val="215E99" w:themeColor="text2" w:themeTint="BF"/>
          <w:sz w:val="28"/>
          <w:szCs w:val="28"/>
        </w:rPr>
      </w:pPr>
      <w:r w:rsidRPr="00510095">
        <w:rPr>
          <w:color w:val="215E99" w:themeColor="text2" w:themeTint="BF"/>
          <w:sz w:val="28"/>
          <w:szCs w:val="28"/>
        </w:rPr>
        <w:t>______________________________</w:t>
      </w:r>
    </w:p>
    <w:p w14:paraId="28548A3A" w14:textId="77777777" w:rsidR="002F2A0E" w:rsidRPr="00510095" w:rsidRDefault="002F2A0E" w:rsidP="00A96F05">
      <w:pPr>
        <w:pStyle w:val="FootnoteText"/>
        <w:bidi/>
        <w:jc w:val="right"/>
        <w:rPr>
          <w:color w:val="215E99" w:themeColor="text2" w:themeTint="BF"/>
          <w:sz w:val="28"/>
          <w:szCs w:val="28"/>
        </w:rPr>
      </w:pPr>
      <w:r w:rsidRPr="00510095">
        <w:rPr>
          <w:rFonts w:cs="Arial" w:hint="cs"/>
          <w:color w:val="215E99" w:themeColor="text2" w:themeTint="BF"/>
          <w:sz w:val="28"/>
          <w:szCs w:val="28"/>
          <w:rtl/>
        </w:rPr>
        <w:t>يوجب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زيادة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ثمن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العين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الثمن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يقع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بإزاء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نفس</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العين؛</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لذا</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يكون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تمام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الثمن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للبائع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تقدير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عدم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فسخ</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عدم</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المطالبة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تقدير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المطالبة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أيضا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لأنّ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الذي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يستحقّه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المشتري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بمطالبته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قبيل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التغريم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اللقطة،</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ليس</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جزءا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الثمن</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لا</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قبيل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الدين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العهدة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بأن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يثبت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المال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عهدة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البائع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دون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المطالبة</w:t>
      </w:r>
      <w:r w:rsidRPr="00510095">
        <w:rPr>
          <w:color w:val="215E99" w:themeColor="text2" w:themeTint="BF"/>
          <w:sz w:val="28"/>
          <w:szCs w:val="28"/>
        </w:rPr>
        <w:t>.</w:t>
      </w:r>
    </w:p>
    <w:p w14:paraId="4E47A7F7" w14:textId="77777777" w:rsidR="002F2A0E" w:rsidRPr="00510095" w:rsidRDefault="002F2A0E" w:rsidP="00A96F05">
      <w:pPr>
        <w:pStyle w:val="FootnoteText"/>
        <w:bidi/>
        <w:jc w:val="right"/>
        <w:rPr>
          <w:color w:val="215E99" w:themeColor="text2" w:themeTint="BF"/>
          <w:sz w:val="28"/>
          <w:szCs w:val="28"/>
        </w:rPr>
      </w:pP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يترتب</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ذلك</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يتعيّن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البائع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ردّ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الأرش</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نفس</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الثمن</w:t>
      </w:r>
      <w:r w:rsidRPr="00510095">
        <w:rPr>
          <w:rFonts w:cs="Arial"/>
          <w:color w:val="215E99" w:themeColor="text2" w:themeTint="BF"/>
          <w:sz w:val="28"/>
          <w:szCs w:val="28"/>
          <w:rtl/>
        </w:rPr>
        <w:t xml:space="preserve"> </w:t>
      </w:r>
      <w:proofErr w:type="gramStart"/>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لو</w:t>
      </w:r>
      <w:proofErr w:type="gramEnd"/>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مطالبة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المشتري</w:t>
      </w:r>
      <w:r w:rsidRPr="00510095">
        <w:rPr>
          <w:color w:val="215E99" w:themeColor="text2" w:themeTint="BF"/>
          <w:sz w:val="28"/>
          <w:szCs w:val="28"/>
        </w:rPr>
        <w:t>.</w:t>
      </w:r>
    </w:p>
    <w:p w14:paraId="2E0380DA" w14:textId="77777777" w:rsidR="002F2A0E" w:rsidRPr="00510095" w:rsidRDefault="002F2A0E" w:rsidP="00A96F05">
      <w:pPr>
        <w:pStyle w:val="FootnoteText"/>
        <w:bidi/>
        <w:jc w:val="right"/>
        <w:rPr>
          <w:color w:val="215E99" w:themeColor="text2" w:themeTint="BF"/>
          <w:sz w:val="28"/>
          <w:szCs w:val="28"/>
        </w:rPr>
      </w:pP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ذكره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المصنف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ره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الجزء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الفائت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يقسط</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إذا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يؤخذ</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شرطا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ثبوته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شرطا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يثبت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خيار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الفسخ،</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إذا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الأرض</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جريان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معينة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فظهرت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أقلّ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يمكن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المساعدة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فإنّه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إذا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الجزء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ينحل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بالإضافة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إذا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كانت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الأرض</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يباع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جرب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بكذا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باعها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بثمن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جريان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معيّنة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فظهرت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أقلّ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ينحلّ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بالإضافة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الناقص</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سواء</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أخذ</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جزءا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شرطا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جعل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قبيل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شرط</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وصف</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إذا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لم</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ينحل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بالإضافة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إليه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إذا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دار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سكناه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بكذا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انّه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كذا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جريب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فبان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أقلّ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منها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يثبت</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خيار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الفسخ</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فليس</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المعيار</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في</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تبعّض</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الاشتراط</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عدمه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كون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مما</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ينحلّ</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البيع</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بالإضافة</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أجزائه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و</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عدمه</w:t>
      </w:r>
      <w:r w:rsidRPr="00510095">
        <w:rPr>
          <w:color w:val="215E99" w:themeColor="text2" w:themeTint="BF"/>
          <w:sz w:val="28"/>
          <w:szCs w:val="28"/>
        </w:rPr>
        <w:t>.</w:t>
      </w:r>
    </w:p>
    <w:p w14:paraId="57730808" w14:textId="77777777" w:rsidR="002F2A0E" w:rsidRPr="00510095" w:rsidRDefault="002F2A0E" w:rsidP="00A96F05">
      <w:pPr>
        <w:pStyle w:val="FootnoteText"/>
        <w:bidi/>
        <w:jc w:val="right"/>
        <w:rPr>
          <w:color w:val="215E99" w:themeColor="text2" w:themeTint="BF"/>
          <w:sz w:val="28"/>
          <w:szCs w:val="28"/>
        </w:rPr>
      </w:pPr>
      <w:r w:rsidRPr="00510095">
        <w:rPr>
          <w:color w:val="215E99" w:themeColor="text2" w:themeTint="BF"/>
          <w:sz w:val="28"/>
          <w:szCs w:val="28"/>
        </w:rPr>
        <w:t>________________________________________</w:t>
      </w:r>
    </w:p>
    <w:p w14:paraId="671C39FA" w14:textId="7307F6C4" w:rsidR="002F2A0E" w:rsidRPr="00510095" w:rsidRDefault="002F2A0E" w:rsidP="00A96F05">
      <w:pPr>
        <w:pStyle w:val="FootnoteText"/>
        <w:bidi/>
        <w:jc w:val="right"/>
        <w:rPr>
          <w:color w:val="215E99" w:themeColor="text2" w:themeTint="BF"/>
          <w:sz w:val="28"/>
          <w:szCs w:val="28"/>
          <w:rtl/>
          <w:lang w:bidi="ar-IQ"/>
        </w:rPr>
      </w:pPr>
      <w:proofErr w:type="spellStart"/>
      <w:r w:rsidRPr="00510095">
        <w:rPr>
          <w:rFonts w:cs="Arial" w:hint="cs"/>
          <w:color w:val="215E99" w:themeColor="text2" w:themeTint="BF"/>
          <w:sz w:val="28"/>
          <w:szCs w:val="28"/>
          <w:rtl/>
        </w:rPr>
        <w:t>تبريزى</w:t>
      </w:r>
      <w:proofErr w:type="spellEnd"/>
      <w:r w:rsidRPr="00510095">
        <w:rPr>
          <w:rFonts w:cs="Arial" w:hint="cs"/>
          <w:color w:val="215E99" w:themeColor="text2" w:themeTint="BF"/>
          <w:sz w:val="28"/>
          <w:szCs w:val="28"/>
          <w:rtl/>
        </w:rPr>
        <w:t>،</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جواد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بن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إرشاد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الطالب</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إلى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التعليق</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على</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المكاسب،</w:t>
      </w:r>
      <w:r w:rsidRPr="00510095">
        <w:rPr>
          <w:rFonts w:cs="Arial"/>
          <w:color w:val="215E99" w:themeColor="text2" w:themeTint="BF"/>
          <w:sz w:val="28"/>
          <w:szCs w:val="28"/>
          <w:rtl/>
        </w:rPr>
        <w:t xml:space="preserve"> 4 </w:t>
      </w:r>
      <w:r w:rsidRPr="00510095">
        <w:rPr>
          <w:rFonts w:cs="Arial" w:hint="cs"/>
          <w:color w:val="215E99" w:themeColor="text2" w:themeTint="BF"/>
          <w:sz w:val="28"/>
          <w:szCs w:val="28"/>
          <w:rtl/>
        </w:rPr>
        <w:t>جلد،</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مؤسسه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اسماعيليان،</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قم</w:t>
      </w:r>
      <w:r w:rsidRPr="00510095">
        <w:rPr>
          <w:rFonts w:cs="Arial"/>
          <w:color w:val="215E99" w:themeColor="text2" w:themeTint="BF"/>
          <w:sz w:val="28"/>
          <w:szCs w:val="28"/>
          <w:rtl/>
        </w:rPr>
        <w:t xml:space="preserve"> - </w:t>
      </w:r>
      <w:proofErr w:type="gramStart"/>
      <w:r w:rsidRPr="00510095">
        <w:rPr>
          <w:rFonts w:cs="Arial" w:hint="cs"/>
          <w:color w:val="215E99" w:themeColor="text2" w:themeTint="BF"/>
          <w:sz w:val="28"/>
          <w:szCs w:val="28"/>
          <w:rtl/>
        </w:rPr>
        <w:t>ايران</w:t>
      </w:r>
      <w:proofErr w:type="gramEnd"/>
      <w:r w:rsidRPr="00510095">
        <w:rPr>
          <w:rFonts w:cs="Arial" w:hint="cs"/>
          <w:color w:val="215E99" w:themeColor="text2" w:themeTint="BF"/>
          <w:sz w:val="28"/>
          <w:szCs w:val="28"/>
          <w:rtl/>
        </w:rPr>
        <w:t>،</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سوم،</w:t>
      </w:r>
      <w:r w:rsidRPr="00510095">
        <w:rPr>
          <w:rFonts w:cs="Arial"/>
          <w:color w:val="215E99" w:themeColor="text2" w:themeTint="BF"/>
          <w:sz w:val="28"/>
          <w:szCs w:val="28"/>
          <w:rtl/>
        </w:rPr>
        <w:t xml:space="preserve"> 1416 </w:t>
      </w:r>
      <w:r w:rsidRPr="00510095">
        <w:rPr>
          <w:rFonts w:cs="Arial" w:hint="cs"/>
          <w:color w:val="215E99" w:themeColor="text2" w:themeTint="BF"/>
          <w:sz w:val="28"/>
          <w:szCs w:val="28"/>
          <w:rtl/>
        </w:rPr>
        <w:t>ه‍</w:t>
      </w:r>
      <w:r w:rsidRPr="00510095">
        <w:rPr>
          <w:rFonts w:cs="Arial"/>
          <w:color w:val="215E99" w:themeColor="text2" w:themeTint="BF"/>
          <w:sz w:val="28"/>
          <w:szCs w:val="28"/>
          <w:rtl/>
        </w:rPr>
        <w:t xml:space="preserve"> </w:t>
      </w:r>
      <w:r w:rsidRPr="00510095">
        <w:rPr>
          <w:rFonts w:cs="Arial" w:hint="cs"/>
          <w:color w:val="215E99" w:themeColor="text2" w:themeTint="BF"/>
          <w:sz w:val="28"/>
          <w:szCs w:val="28"/>
          <w:rtl/>
        </w:rPr>
        <w:t>ق</w:t>
      </w:r>
    </w:p>
  </w:footnote>
  <w:footnote w:id="2">
    <w:p w14:paraId="274F55EC" w14:textId="77777777" w:rsidR="00A60AF2" w:rsidRPr="00510095" w:rsidRDefault="004A7415" w:rsidP="00A96F05">
      <w:pPr>
        <w:pStyle w:val="NormalWeb"/>
        <w:bidi/>
        <w:jc w:val="center"/>
        <w:rPr>
          <w:rFonts w:ascii="Noor_Titr" w:hAnsi="Noor_Titr" w:cs="Noor_Titr"/>
          <w:color w:val="000000"/>
          <w:sz w:val="28"/>
          <w:szCs w:val="28"/>
          <w:lang w:bidi="fa-IR"/>
        </w:rPr>
      </w:pPr>
      <w:r w:rsidRPr="00510095">
        <w:rPr>
          <w:rStyle w:val="FootnoteReference"/>
          <w:sz w:val="28"/>
          <w:szCs w:val="28"/>
        </w:rPr>
        <w:footnoteRef/>
      </w:r>
      <w:r w:rsidRPr="00510095">
        <w:rPr>
          <w:sz w:val="28"/>
          <w:szCs w:val="28"/>
        </w:rPr>
        <w:t xml:space="preserve"> </w:t>
      </w:r>
      <w:r w:rsidR="002004E7" w:rsidRPr="00510095">
        <w:rPr>
          <w:rFonts w:hint="cs"/>
          <w:sz w:val="28"/>
          <w:szCs w:val="28"/>
          <w:rtl/>
        </w:rPr>
        <w:t xml:space="preserve"> يلاحظ على ذلك انّ في الرواية فرّع الامام ع على </w:t>
      </w:r>
      <w:r w:rsidR="002004E7" w:rsidRPr="00510095">
        <w:rPr>
          <w:rFonts w:cstheme="minorBidi" w:hint="cs"/>
          <w:sz w:val="28"/>
          <w:szCs w:val="28"/>
          <w:rtl/>
        </w:rPr>
        <w:t>الأمور</w:t>
      </w:r>
      <w:r w:rsidR="002004E7" w:rsidRPr="00510095">
        <w:rPr>
          <w:rFonts w:hint="cs"/>
          <w:sz w:val="28"/>
          <w:szCs w:val="28"/>
          <w:rtl/>
        </w:rPr>
        <w:t xml:space="preserve"> التي ذكرها ما يدل على انّها من مختصات </w:t>
      </w:r>
      <w:proofErr w:type="gramStart"/>
      <w:r w:rsidR="002004E7" w:rsidRPr="00510095">
        <w:rPr>
          <w:rFonts w:hint="cs"/>
          <w:sz w:val="28"/>
          <w:szCs w:val="28"/>
          <w:rtl/>
        </w:rPr>
        <w:t>القضاء ،</w:t>
      </w:r>
      <w:proofErr w:type="gramEnd"/>
      <w:r w:rsidR="002004E7" w:rsidRPr="00510095">
        <w:rPr>
          <w:rFonts w:hint="cs"/>
          <w:sz w:val="28"/>
          <w:szCs w:val="28"/>
          <w:rtl/>
        </w:rPr>
        <w:t xml:space="preserve"> والملاحظ للرواية كاملة يجد انّ كل ما ذكر فيها يلف ويدور حول القضاء</w:t>
      </w:r>
      <w:r w:rsidR="002004E7" w:rsidRPr="00510095">
        <w:rPr>
          <w:sz w:val="28"/>
          <w:szCs w:val="28"/>
          <w:rtl/>
        </w:rPr>
        <w:br/>
      </w:r>
      <w:r w:rsidR="00A60AF2" w:rsidRPr="00510095">
        <w:rPr>
          <w:rFonts w:ascii="Noor_Titr" w:hAnsi="Noor_Titr" w:cs="Noor_Titr" w:hint="cs"/>
          <w:color w:val="286564"/>
          <w:sz w:val="28"/>
          <w:szCs w:val="28"/>
          <w:rtl/>
          <w:lang w:bidi="fa-IR"/>
        </w:rPr>
        <w:t>الكافي (ط - الإسلامية)؛ ج‌7، ص: 429</w:t>
      </w:r>
    </w:p>
    <w:p w14:paraId="29A009E4" w14:textId="77777777" w:rsidR="00A60AF2" w:rsidRPr="00510095" w:rsidRDefault="00A60AF2" w:rsidP="00A96F05">
      <w:pPr>
        <w:pStyle w:val="NormalWeb"/>
        <w:bidi/>
        <w:rPr>
          <w:rFonts w:ascii="Noor_Lotus" w:hAnsi="Noor_Lotus" w:cs="Noor_Lotus"/>
          <w:color w:val="0F005F"/>
          <w:sz w:val="28"/>
          <w:szCs w:val="28"/>
          <w:rtl/>
          <w:lang w:bidi="fa-IR"/>
        </w:rPr>
      </w:pPr>
      <w:r w:rsidRPr="00510095">
        <w:rPr>
          <w:rFonts w:ascii="Noor_Lotus" w:hAnsi="Noor_Lotus" w:cs="Noor_Lotus" w:hint="cs"/>
          <w:color w:val="0F005F"/>
          <w:sz w:val="28"/>
          <w:szCs w:val="28"/>
          <w:rtl/>
          <w:lang w:bidi="fa-IR"/>
        </w:rPr>
        <w:t xml:space="preserve">أَنَا </w:t>
      </w:r>
      <w:r w:rsidRPr="00510095">
        <w:rPr>
          <w:rFonts w:ascii="Noor_Lotus" w:hAnsi="Noor_Lotus" w:cs="Noor_Lotus" w:hint="cs"/>
          <w:color w:val="FF0000"/>
          <w:sz w:val="28"/>
          <w:szCs w:val="28"/>
          <w:rtl/>
          <w:lang w:bidi="fa-IR"/>
        </w:rPr>
        <w:t>غَيْلَانُ بْنُ جَامِعٍ</w:t>
      </w:r>
      <w:r w:rsidRPr="00510095">
        <w:rPr>
          <w:rFonts w:ascii="Noor_Lotus" w:hAnsi="Noor_Lotus" w:cs="Noor_Lotus" w:hint="cs"/>
          <w:color w:val="0F005F"/>
          <w:sz w:val="28"/>
          <w:szCs w:val="28"/>
          <w:rtl/>
          <w:lang w:bidi="fa-IR"/>
        </w:rPr>
        <w:t xml:space="preserve"> الْمُحَارِبِيُّ قَاضِي ابْنِ هُبَيْرَةَ قَالَ قُلْتُ يَا غَيْلَانُ مَا أَظُنُّ ابْنَ هُبَيْرَةَ وَضَعَ عَلَى قَضَائِهِ إِلَّا فَقِيهاً قَالَ أَجَلْ قُلْتُ يَا غَيْلَانُ تَجْمَعُ بَيْنَ الْمَرْءِ وَ زَوْجِهِ قَالَ نَعَمْ قُلْتُ وَ تُفَرِّقُ بَيْنَ الْمَرْءِ وَ زَوْجِهِ قَالَ نَعَمْ قُلْتُ وَ تَقْتُلُ قَالَ نَعَمْ قُلْتُ وَ تَضْرِبُ الْحُدُودَ قَالَ نَعَمْ قُلْتُ وَ تَحْكُمُ فِي أَمْوَالِ الْيَتَامَى قَالَ نَعَمْ قُلْتُ وَ بِقَضَاءِ مَنْ تَقْضِي قَالَ بِقَضَاءِ عُمَرَ وَ بِقَضَاءِ ابْنِ مَسْعُودٍ وَ بِقَضَاءِ ابْنِ عَبَّاسٍ وَ أَقْضِي مِنْ قَضَاءِ أَمِيرِ الْمُؤْمِنِينَ بِالشَّيْ‌</w:t>
      </w:r>
    </w:p>
    <w:p w14:paraId="7BA82A6B" w14:textId="77777777" w:rsidR="00A60AF2" w:rsidRPr="00510095" w:rsidRDefault="00A60AF2" w:rsidP="00A96F05">
      <w:pPr>
        <w:pStyle w:val="NormalWeb"/>
        <w:bidi/>
        <w:rPr>
          <w:rFonts w:ascii="Noor_Lotus" w:hAnsi="Noor_Lotus" w:cs="Noor_Lotus"/>
          <w:color w:val="0F005F"/>
          <w:sz w:val="28"/>
          <w:szCs w:val="28"/>
          <w:rtl/>
          <w:lang w:bidi="fa-IR"/>
        </w:rPr>
      </w:pPr>
      <w:r w:rsidRPr="00510095">
        <w:rPr>
          <w:rFonts w:ascii="Noor_Lotus" w:hAnsi="Noor_Lotus" w:cs="Noor_Lotus" w:hint="cs"/>
          <w:color w:val="6C3934"/>
          <w:sz w:val="28"/>
          <w:szCs w:val="28"/>
          <w:rtl/>
          <w:lang w:bidi="fa-IR"/>
        </w:rPr>
        <w:t>________________________________________</w:t>
      </w:r>
      <w:r w:rsidRPr="00510095">
        <w:rPr>
          <w:rFonts w:ascii="Noor_Lotus" w:hAnsi="Noor_Lotus" w:cs="Noor_Lotus" w:hint="cs"/>
          <w:color w:val="6C3934"/>
          <w:sz w:val="28"/>
          <w:szCs w:val="28"/>
          <w:rtl/>
          <w:lang w:bidi="fa-IR"/>
        </w:rPr>
        <w:br/>
        <w:t>كلينى، ابو جعفر، محمد بن يعقوب، الكافي (ط - الإسلامية)، 8 جلد، دار الكتب الإسلامية، تهران - ايران، چهارم، 1407 ه‍ ق</w:t>
      </w:r>
    </w:p>
    <w:p w14:paraId="1B6E5A18" w14:textId="77777777" w:rsidR="00A60AF2" w:rsidRPr="00510095" w:rsidRDefault="00A60AF2" w:rsidP="00A96F05">
      <w:pPr>
        <w:pStyle w:val="FootnoteText"/>
        <w:bidi/>
        <w:rPr>
          <w:sz w:val="28"/>
          <w:szCs w:val="28"/>
          <w:rtl/>
        </w:rPr>
      </w:pPr>
    </w:p>
    <w:p w14:paraId="1A762D72" w14:textId="418B6354" w:rsidR="004A7415" w:rsidRPr="00510095" w:rsidRDefault="004A7415" w:rsidP="00A96F05">
      <w:pPr>
        <w:pStyle w:val="FootnoteText"/>
        <w:bidi/>
        <w:rPr>
          <w:sz w:val="28"/>
          <w:szCs w:val="28"/>
          <w:rtl/>
        </w:rPr>
      </w:pPr>
    </w:p>
  </w:footnote>
  <w:footnote w:id="3">
    <w:p w14:paraId="5BDD2A63" w14:textId="77777777" w:rsidR="00281424" w:rsidRPr="00627980" w:rsidRDefault="00281424" w:rsidP="00A96F05">
      <w:pPr>
        <w:pStyle w:val="FootnoteText"/>
        <w:bidi/>
        <w:rPr>
          <w:rFonts w:ascii="mylotus" w:hAnsi="mylotus" w:cs="mylotus"/>
          <w:sz w:val="22"/>
          <w:szCs w:val="22"/>
          <w:rtl/>
          <w:lang w:bidi="ar-BH"/>
        </w:rPr>
      </w:pPr>
      <w:r w:rsidRPr="00627980">
        <w:rPr>
          <w:rStyle w:val="FootnoteReference"/>
          <w:rFonts w:ascii="mylotus" w:hAnsi="mylotus" w:cs="mylotus"/>
          <w:sz w:val="22"/>
          <w:szCs w:val="22"/>
        </w:rPr>
        <w:footnoteRef/>
      </w:r>
      <w:r w:rsidRPr="00627980">
        <w:rPr>
          <w:rFonts w:ascii="mylotus" w:hAnsi="mylotus" w:cs="mylotus"/>
          <w:sz w:val="22"/>
          <w:szCs w:val="22"/>
        </w:rPr>
        <w:t xml:space="preserve"> </w:t>
      </w:r>
      <w:r w:rsidRPr="00627980">
        <w:rPr>
          <w:rFonts w:ascii="mylotus" w:hAnsi="mylotus" w:cs="mylotus"/>
          <w:sz w:val="22"/>
          <w:szCs w:val="22"/>
          <w:rtl/>
        </w:rPr>
        <w:t>كفاية الأصول، طبعة المشكيني، ج2، ص416</w:t>
      </w:r>
      <w:r>
        <w:rPr>
          <w:rFonts w:ascii="mylotus" w:hAnsi="mylotus" w:cs="mylotus" w:hint="cs"/>
          <w:sz w:val="22"/>
          <w:szCs w:val="22"/>
          <w:rtl/>
        </w:rPr>
        <w:t>.</w:t>
      </w:r>
    </w:p>
  </w:footnote>
  <w:footnote w:id="4">
    <w:p w14:paraId="5F59D363" w14:textId="77777777" w:rsidR="00B276C7" w:rsidRPr="00E43C92" w:rsidRDefault="00B276C7" w:rsidP="00A96F05">
      <w:pPr>
        <w:pStyle w:val="a"/>
        <w:bidi/>
        <w:spacing w:line="216" w:lineRule="auto"/>
        <w:rPr>
          <w:rFonts w:ascii="mylotus" w:hAnsi="mylotus"/>
          <w:sz w:val="34"/>
          <w:szCs w:val="34"/>
          <w:rtl/>
        </w:rPr>
      </w:pPr>
      <w:r w:rsidRPr="00E43C92">
        <w:rPr>
          <w:rStyle w:val="FootnoteReference"/>
          <w:sz w:val="22"/>
          <w:szCs w:val="22"/>
        </w:rPr>
        <w:footnoteRef/>
      </w:r>
      <w:r>
        <w:t xml:space="preserve"> </w:t>
      </w:r>
      <w:r w:rsidRPr="00E43C92">
        <w:rPr>
          <w:rFonts w:ascii="mylotus" w:hAnsi="mylotus"/>
          <w:sz w:val="22"/>
          <w:szCs w:val="22"/>
          <w:rtl/>
        </w:rPr>
        <w:t>وسائل الشيعة، الحر العاملي، تحقيق مؤسسة آل البيت (عليهم السلام) لإحياء التراث، ج27، كتاب القضاء، أبواب صفات القاضي، وما يجوز أن يقضي به، الباب 9 باب وجوه الجمع بين الأحاديث المختلفة، وكيفية العمل بها، ح29</w:t>
      </w:r>
      <w:r>
        <w:rPr>
          <w:rFonts w:ascii="mylotus" w:hAnsi="mylotus" w:hint="cs"/>
          <w:sz w:val="22"/>
          <w:szCs w:val="22"/>
          <w:rtl/>
        </w:rPr>
        <w:t>.</w:t>
      </w:r>
    </w:p>
  </w:footnote>
  <w:footnote w:id="5">
    <w:p w14:paraId="140F5F46" w14:textId="77777777" w:rsidR="00B276C7" w:rsidRPr="00E43C92" w:rsidRDefault="00B276C7" w:rsidP="00A96F05">
      <w:pPr>
        <w:pStyle w:val="FootnoteText"/>
        <w:bidi/>
        <w:rPr>
          <w:sz w:val="22"/>
          <w:szCs w:val="22"/>
          <w:rtl/>
          <w:lang w:bidi="ar-BH"/>
        </w:rPr>
      </w:pPr>
      <w:r w:rsidRPr="00E43C92">
        <w:rPr>
          <w:rStyle w:val="FootnoteReference"/>
          <w:sz w:val="22"/>
          <w:szCs w:val="22"/>
        </w:rPr>
        <w:footnoteRef/>
      </w:r>
      <w:r w:rsidRPr="00E43C92">
        <w:rPr>
          <w:sz w:val="22"/>
          <w:szCs w:val="22"/>
        </w:rPr>
        <w:t xml:space="preserve"> </w:t>
      </w:r>
      <w:r w:rsidRPr="00E43C92">
        <w:rPr>
          <w:rFonts w:ascii="mylotus" w:hAnsi="mylotus" w:cs="mylotus"/>
          <w:sz w:val="22"/>
          <w:szCs w:val="22"/>
          <w:rtl/>
        </w:rPr>
        <w:t>الكافي، للشيخ الكليني، دار الكتب الإسلامية، ج1، كتاب فضل العلم، باب اختلاف الحديث، ح10</w:t>
      </w:r>
      <w:r>
        <w:rPr>
          <w:rFonts w:ascii="mylotus" w:hAnsi="mylotus" w:cs="mylotus" w:hint="cs"/>
          <w:sz w:val="22"/>
          <w:szCs w:val="22"/>
          <w:rtl/>
        </w:rPr>
        <w:t>.</w:t>
      </w:r>
    </w:p>
  </w:footnote>
  <w:footnote w:id="6">
    <w:p w14:paraId="2CC6BFE5" w14:textId="77777777" w:rsidR="00B276C7" w:rsidRPr="002D4401" w:rsidRDefault="00B276C7" w:rsidP="00A96F05">
      <w:pPr>
        <w:pStyle w:val="FootnoteText"/>
        <w:bidi/>
        <w:rPr>
          <w:sz w:val="22"/>
          <w:szCs w:val="22"/>
          <w:rtl/>
          <w:lang w:bidi="ar-BH"/>
        </w:rPr>
      </w:pPr>
      <w:r w:rsidRPr="002D4401">
        <w:rPr>
          <w:rStyle w:val="FootnoteReference"/>
          <w:sz w:val="22"/>
          <w:szCs w:val="22"/>
        </w:rPr>
        <w:footnoteRef/>
      </w:r>
      <w:r w:rsidRPr="002D4401">
        <w:rPr>
          <w:sz w:val="22"/>
          <w:szCs w:val="22"/>
        </w:rPr>
        <w:t xml:space="preserve"> </w:t>
      </w:r>
      <w:r w:rsidRPr="002D4401">
        <w:rPr>
          <w:rFonts w:ascii="mylotus" w:hAnsi="mylotus" w:cs="mylotus"/>
          <w:sz w:val="22"/>
          <w:szCs w:val="22"/>
          <w:rtl/>
        </w:rPr>
        <w:t>مستدرك الوسائل، المحدّث النوري، ج17، كتاب القضاء، أبواب صفات القاضي وما يجوز أن يقضي به، الباب 9 باب وجوب الجمع بين الأحاديث المختلفة، وكيفية العمل بها، ح2</w:t>
      </w:r>
      <w:r w:rsidRPr="002D4401">
        <w:rPr>
          <w:rFonts w:ascii="mylotus" w:hAnsi="mylotus" w:cs="mylotus" w:hint="cs"/>
          <w:sz w:val="22"/>
          <w:szCs w:val="22"/>
          <w:rtl/>
        </w:rPr>
        <w:t>.</w:t>
      </w:r>
    </w:p>
  </w:footnote>
  <w:footnote w:id="7">
    <w:p w14:paraId="5FBC8842" w14:textId="77777777" w:rsidR="00B276C7" w:rsidRDefault="00B276C7" w:rsidP="00A96F05">
      <w:pPr>
        <w:pStyle w:val="FootnoteText"/>
        <w:bidi/>
        <w:rPr>
          <w:rtl/>
          <w:lang w:bidi="ar-BH"/>
        </w:rPr>
      </w:pPr>
      <w:r>
        <w:rPr>
          <w:rStyle w:val="FootnoteReference"/>
        </w:rPr>
        <w:footnoteRef/>
      </w:r>
      <w:r>
        <w:t xml:space="preserve"> </w:t>
      </w:r>
      <w:r w:rsidRPr="002D4401">
        <w:rPr>
          <w:rFonts w:ascii="mylotus" w:hAnsi="mylotus" w:cs="mylotus"/>
          <w:sz w:val="22"/>
          <w:szCs w:val="22"/>
          <w:rtl/>
        </w:rPr>
        <w:t xml:space="preserve">تقريرات في علم الأصول، تعارض الأدلة واختلاف الحديث، </w:t>
      </w:r>
      <w:r w:rsidRPr="002D4401">
        <w:rPr>
          <w:rFonts w:ascii="mylotus" w:hAnsi="mylotus" w:cs="mylotus" w:hint="cs"/>
          <w:sz w:val="22"/>
          <w:szCs w:val="22"/>
          <w:rtl/>
        </w:rPr>
        <w:t xml:space="preserve">تقريراً لأبحاث سماحة آية الله العظمى السيد علي الحسيني السيستاني (دام ظله العالي)، </w:t>
      </w:r>
      <w:r w:rsidRPr="002D4401">
        <w:rPr>
          <w:rFonts w:ascii="mylotus" w:hAnsi="mylotus" w:cs="mylotus"/>
          <w:sz w:val="22"/>
          <w:szCs w:val="22"/>
          <w:rtl/>
        </w:rPr>
        <w:t>بقلم السيد هاشم الهاشمي، مركز الإمام الحجة (عجل الله فرجه) لخدمة الطلاب، طبعة مزيدة ومنقحة، ج</w:t>
      </w:r>
      <w:proofErr w:type="gramStart"/>
      <w:r w:rsidRPr="002D4401">
        <w:rPr>
          <w:rFonts w:ascii="mylotus" w:hAnsi="mylotus" w:cs="mylotus"/>
          <w:sz w:val="22"/>
          <w:szCs w:val="22"/>
          <w:rtl/>
        </w:rPr>
        <w:t>2،ص</w:t>
      </w:r>
      <w:proofErr w:type="gramEnd"/>
      <w:r w:rsidRPr="002D4401">
        <w:rPr>
          <w:rFonts w:ascii="mylotus" w:hAnsi="mylotus" w:cs="mylotus"/>
          <w:sz w:val="22"/>
          <w:szCs w:val="22"/>
          <w:rtl/>
        </w:rPr>
        <w:t>272</w:t>
      </w:r>
      <w:r w:rsidRPr="002D4401">
        <w:rPr>
          <w:rFonts w:ascii="mylotus" w:hAnsi="mylotus" w:cs="mylotus" w:hint="cs"/>
          <w:sz w:val="22"/>
          <w:szCs w:val="22"/>
          <w:rtl/>
        </w:rPr>
        <w:t>.</w:t>
      </w:r>
    </w:p>
  </w:footnote>
  <w:footnote w:id="8">
    <w:p w14:paraId="5EC44489" w14:textId="77777777" w:rsidR="00B276C7" w:rsidRPr="003E3861" w:rsidRDefault="00B276C7" w:rsidP="00A96F05">
      <w:pPr>
        <w:pStyle w:val="FootnoteText"/>
        <w:bidi/>
        <w:rPr>
          <w:sz w:val="22"/>
          <w:szCs w:val="22"/>
          <w:rtl/>
          <w:lang w:bidi="ar-BH"/>
        </w:rPr>
      </w:pPr>
      <w:r w:rsidRPr="003E3861">
        <w:rPr>
          <w:rStyle w:val="FootnoteReference"/>
          <w:sz w:val="22"/>
          <w:szCs w:val="22"/>
        </w:rPr>
        <w:footnoteRef/>
      </w:r>
      <w:r w:rsidRPr="003E3861">
        <w:rPr>
          <w:sz w:val="22"/>
          <w:szCs w:val="22"/>
        </w:rPr>
        <w:t xml:space="preserve"> </w:t>
      </w:r>
      <w:r w:rsidRPr="003E3861">
        <w:rPr>
          <w:rFonts w:ascii="mylotus" w:hAnsi="mylotus" w:cs="mylotus" w:hint="cs"/>
          <w:sz w:val="22"/>
          <w:szCs w:val="22"/>
          <w:rtl/>
        </w:rPr>
        <w:t>الكافي،</w:t>
      </w:r>
      <w:r w:rsidRPr="003E3861">
        <w:rPr>
          <w:rFonts w:ascii="mylotus" w:hAnsi="mylotus" w:cs="mylotus"/>
          <w:sz w:val="22"/>
          <w:szCs w:val="22"/>
          <w:rtl/>
        </w:rPr>
        <w:t xml:space="preserve"> </w:t>
      </w:r>
      <w:r w:rsidRPr="003E3861">
        <w:rPr>
          <w:rFonts w:ascii="mylotus" w:hAnsi="mylotus" w:cs="mylotus" w:hint="cs"/>
          <w:sz w:val="22"/>
          <w:szCs w:val="22"/>
          <w:rtl/>
        </w:rPr>
        <w:t>للشيخ</w:t>
      </w:r>
      <w:r w:rsidRPr="003E3861">
        <w:rPr>
          <w:rFonts w:ascii="mylotus" w:hAnsi="mylotus" w:cs="mylotus"/>
          <w:sz w:val="22"/>
          <w:szCs w:val="22"/>
          <w:rtl/>
        </w:rPr>
        <w:t xml:space="preserve"> </w:t>
      </w:r>
      <w:r w:rsidRPr="003E3861">
        <w:rPr>
          <w:rFonts w:ascii="mylotus" w:hAnsi="mylotus" w:cs="mylotus" w:hint="cs"/>
          <w:sz w:val="22"/>
          <w:szCs w:val="22"/>
          <w:rtl/>
        </w:rPr>
        <w:t>الكليني،</w:t>
      </w:r>
      <w:r w:rsidRPr="003E3861">
        <w:rPr>
          <w:rFonts w:ascii="mylotus" w:hAnsi="mylotus" w:cs="mylotus"/>
          <w:sz w:val="22"/>
          <w:szCs w:val="22"/>
          <w:rtl/>
        </w:rPr>
        <w:t xml:space="preserve"> </w:t>
      </w:r>
      <w:r w:rsidRPr="003E3861">
        <w:rPr>
          <w:rFonts w:ascii="mylotus" w:hAnsi="mylotus" w:cs="mylotus" w:hint="cs"/>
          <w:sz w:val="22"/>
          <w:szCs w:val="22"/>
          <w:rtl/>
        </w:rPr>
        <w:t>دار</w:t>
      </w:r>
      <w:r w:rsidRPr="003E3861">
        <w:rPr>
          <w:rFonts w:ascii="mylotus" w:hAnsi="mylotus" w:cs="mylotus"/>
          <w:sz w:val="22"/>
          <w:szCs w:val="22"/>
          <w:rtl/>
        </w:rPr>
        <w:t xml:space="preserve"> </w:t>
      </w:r>
      <w:r w:rsidRPr="003E3861">
        <w:rPr>
          <w:rFonts w:ascii="mylotus" w:hAnsi="mylotus" w:cs="mylotus" w:hint="cs"/>
          <w:sz w:val="22"/>
          <w:szCs w:val="22"/>
          <w:rtl/>
        </w:rPr>
        <w:t>الكتب</w:t>
      </w:r>
      <w:r w:rsidRPr="003E3861">
        <w:rPr>
          <w:rFonts w:ascii="mylotus" w:hAnsi="mylotus" w:cs="mylotus"/>
          <w:sz w:val="22"/>
          <w:szCs w:val="22"/>
          <w:rtl/>
        </w:rPr>
        <w:t xml:space="preserve"> </w:t>
      </w:r>
      <w:r w:rsidRPr="003E3861">
        <w:rPr>
          <w:rFonts w:ascii="mylotus" w:hAnsi="mylotus" w:cs="mylotus" w:hint="cs"/>
          <w:sz w:val="22"/>
          <w:szCs w:val="22"/>
          <w:rtl/>
        </w:rPr>
        <w:t>الإسلامية،</w:t>
      </w:r>
      <w:r w:rsidRPr="003E3861">
        <w:rPr>
          <w:rFonts w:ascii="mylotus" w:hAnsi="mylotus" w:cs="mylotus"/>
          <w:sz w:val="22"/>
          <w:szCs w:val="22"/>
          <w:rtl/>
        </w:rPr>
        <w:t xml:space="preserve"> </w:t>
      </w:r>
      <w:r w:rsidRPr="003E3861">
        <w:rPr>
          <w:rFonts w:ascii="mylotus" w:hAnsi="mylotus" w:cs="mylotus" w:hint="cs"/>
          <w:sz w:val="22"/>
          <w:szCs w:val="22"/>
          <w:rtl/>
        </w:rPr>
        <w:t>ج</w:t>
      </w:r>
      <w:r w:rsidRPr="003E3861">
        <w:rPr>
          <w:rFonts w:ascii="mylotus" w:hAnsi="mylotus" w:cs="mylotus"/>
          <w:sz w:val="22"/>
          <w:szCs w:val="22"/>
          <w:rtl/>
        </w:rPr>
        <w:t>1</w:t>
      </w:r>
      <w:r w:rsidRPr="003E3861">
        <w:rPr>
          <w:rFonts w:ascii="mylotus" w:hAnsi="mylotus" w:cs="mylotus" w:hint="cs"/>
          <w:sz w:val="22"/>
          <w:szCs w:val="22"/>
          <w:rtl/>
        </w:rPr>
        <w:t>،</w:t>
      </w:r>
      <w:r w:rsidRPr="003E3861">
        <w:rPr>
          <w:rFonts w:ascii="mylotus" w:hAnsi="mylotus" w:cs="mylotus"/>
          <w:sz w:val="22"/>
          <w:szCs w:val="22"/>
          <w:rtl/>
        </w:rPr>
        <w:t xml:space="preserve"> </w:t>
      </w:r>
      <w:r w:rsidRPr="003E3861">
        <w:rPr>
          <w:rFonts w:ascii="mylotus" w:hAnsi="mylotus" w:cs="mylotus" w:hint="cs"/>
          <w:sz w:val="22"/>
          <w:szCs w:val="22"/>
          <w:rtl/>
        </w:rPr>
        <w:t>كتاب</w:t>
      </w:r>
      <w:r w:rsidRPr="003E3861">
        <w:rPr>
          <w:rFonts w:ascii="mylotus" w:hAnsi="mylotus" w:cs="mylotus"/>
          <w:sz w:val="22"/>
          <w:szCs w:val="22"/>
          <w:rtl/>
        </w:rPr>
        <w:t xml:space="preserve"> </w:t>
      </w:r>
      <w:r w:rsidRPr="003E3861">
        <w:rPr>
          <w:rFonts w:ascii="mylotus" w:hAnsi="mylotus" w:cs="mylotus" w:hint="cs"/>
          <w:sz w:val="22"/>
          <w:szCs w:val="22"/>
          <w:rtl/>
        </w:rPr>
        <w:t>فضل</w:t>
      </w:r>
      <w:r w:rsidRPr="003E3861">
        <w:rPr>
          <w:rFonts w:ascii="mylotus" w:hAnsi="mylotus" w:cs="mylotus"/>
          <w:sz w:val="22"/>
          <w:szCs w:val="22"/>
          <w:rtl/>
        </w:rPr>
        <w:t xml:space="preserve"> </w:t>
      </w:r>
      <w:r w:rsidRPr="003E3861">
        <w:rPr>
          <w:rFonts w:ascii="mylotus" w:hAnsi="mylotus" w:cs="mylotus" w:hint="cs"/>
          <w:sz w:val="22"/>
          <w:szCs w:val="22"/>
          <w:rtl/>
        </w:rPr>
        <w:t>ا</w:t>
      </w:r>
      <w:r w:rsidRPr="003E3861">
        <w:rPr>
          <w:rFonts w:ascii="mylotus" w:hAnsi="mylotus" w:cs="mylotus"/>
          <w:sz w:val="22"/>
          <w:szCs w:val="22"/>
          <w:rtl/>
        </w:rPr>
        <w:t>لعلم، باب اختلاف الحديث، ح10</w:t>
      </w:r>
      <w:r w:rsidRPr="003E3861">
        <w:rPr>
          <w:rFonts w:ascii="mylotus" w:hAnsi="mylotus"/>
          <w:sz w:val="22"/>
          <w:szCs w:val="22"/>
        </w:rPr>
        <w:t>.</w:t>
      </w:r>
    </w:p>
  </w:footnote>
  <w:footnote w:id="9">
    <w:p w14:paraId="2A861F93" w14:textId="77777777" w:rsidR="00B276C7" w:rsidRDefault="00B276C7" w:rsidP="00A96F05">
      <w:pPr>
        <w:pStyle w:val="FootnoteText"/>
        <w:bidi/>
        <w:rPr>
          <w:rtl/>
          <w:lang w:bidi="ar-BH"/>
        </w:rPr>
      </w:pPr>
      <w:r>
        <w:rPr>
          <w:rStyle w:val="FootnoteReference"/>
        </w:rPr>
        <w:footnoteRef/>
      </w:r>
      <w:r>
        <w:t xml:space="preserve"> </w:t>
      </w:r>
      <w:r w:rsidRPr="003E3861">
        <w:rPr>
          <w:rFonts w:ascii="mylotus" w:hAnsi="mylotus" w:cs="mylotus"/>
          <w:sz w:val="22"/>
          <w:szCs w:val="22"/>
          <w:rtl/>
        </w:rPr>
        <w:t xml:space="preserve">تقريرات في علم الأصول، تعارض الأدلة واختلاف الحديث، </w:t>
      </w:r>
      <w:r w:rsidRPr="003E3861">
        <w:rPr>
          <w:rFonts w:ascii="mylotus" w:hAnsi="mylotus" w:cs="mylotus" w:hint="cs"/>
          <w:sz w:val="22"/>
          <w:szCs w:val="22"/>
          <w:rtl/>
        </w:rPr>
        <w:t>تقريراً لأبحاث سماحة آية الله العظمى السيد علي الحسيني السيستاني (دام ظله العالي)،</w:t>
      </w:r>
      <w:r w:rsidRPr="003E3861">
        <w:rPr>
          <w:rFonts w:ascii="mylotus" w:hAnsi="mylotus" w:hint="cs"/>
          <w:sz w:val="22"/>
          <w:szCs w:val="22"/>
          <w:rtl/>
        </w:rPr>
        <w:t xml:space="preserve"> </w:t>
      </w:r>
      <w:r w:rsidRPr="003E3861">
        <w:rPr>
          <w:rFonts w:ascii="mylotus" w:hAnsi="mylotus" w:cs="mylotus"/>
          <w:sz w:val="22"/>
          <w:szCs w:val="22"/>
          <w:rtl/>
        </w:rPr>
        <w:t>بقلم السيد هاشم الهاشمي، مركز الإمام الحجة (عجل الله فرجه) لخدمة الطلاب، طبعة مزيدة ومنقحة، ج1، ص320</w:t>
      </w:r>
      <w:r w:rsidRPr="003E3861">
        <w:rPr>
          <w:rFonts w:ascii="mylotus" w:hAnsi="mylotus" w:cs="mylotus" w:hint="cs"/>
          <w:sz w:val="22"/>
          <w:szCs w:val="22"/>
          <w:rtl/>
        </w:rPr>
        <w:t>.</w:t>
      </w:r>
    </w:p>
  </w:footnote>
  <w:footnote w:id="10">
    <w:p w14:paraId="76762224" w14:textId="77777777" w:rsidR="00B276C7" w:rsidRDefault="00B276C7" w:rsidP="00A96F05">
      <w:pPr>
        <w:pStyle w:val="FootnoteText"/>
        <w:bidi/>
        <w:rPr>
          <w:rtl/>
          <w:lang w:bidi="ar-BH"/>
        </w:rPr>
      </w:pPr>
      <w:r>
        <w:rPr>
          <w:rStyle w:val="FootnoteReference"/>
        </w:rPr>
        <w:footnoteRef/>
      </w:r>
      <w:r>
        <w:t xml:space="preserve"> </w:t>
      </w:r>
      <w:r w:rsidRPr="009701D6">
        <w:rPr>
          <w:rFonts w:ascii="mylotus" w:hAnsi="mylotus" w:cs="mylotus"/>
          <w:sz w:val="22"/>
          <w:szCs w:val="22"/>
          <w:rtl/>
        </w:rPr>
        <w:t>الحدائق الناضرة في أحكام العترة الطاهرة، الشيخ يوسف البحراني، مؤسسة النشر الإسلامي التابعة لجماعة المدرسين بقم المشرفة، ج1، ص8</w:t>
      </w:r>
      <w:r w:rsidRPr="009701D6">
        <w:rPr>
          <w:rFonts w:ascii="mylotus" w:hAnsi="mylotus" w:hint="cs"/>
          <w:sz w:val="22"/>
          <w:szCs w:val="22"/>
          <w:rtl/>
        </w:rPr>
        <w:t>.</w:t>
      </w:r>
    </w:p>
  </w:footnote>
  <w:footnote w:id="11">
    <w:p w14:paraId="2D08B3D1" w14:textId="77777777" w:rsidR="00B276C7" w:rsidRDefault="00B276C7" w:rsidP="00A96F05">
      <w:pPr>
        <w:pStyle w:val="FootnoteText"/>
        <w:bidi/>
        <w:rPr>
          <w:rtl/>
          <w:lang w:bidi="ar-BH"/>
        </w:rPr>
      </w:pPr>
      <w:r>
        <w:rPr>
          <w:rStyle w:val="FootnoteReference"/>
        </w:rPr>
        <w:footnoteRef/>
      </w:r>
      <w:r>
        <w:t xml:space="preserve"> </w:t>
      </w:r>
      <w:r w:rsidRPr="009701D6">
        <w:rPr>
          <w:rFonts w:ascii="mylotus" w:hAnsi="mylotus" w:cs="mylotus"/>
          <w:sz w:val="22"/>
          <w:szCs w:val="22"/>
          <w:rtl/>
        </w:rPr>
        <w:t xml:space="preserve">موسوعة الشيخ المفيد، ج5، تصحيح الاعتقادات، فصل في الأحاديث المختلفة، ص147 </w:t>
      </w:r>
      <w:r w:rsidRPr="009701D6">
        <w:rPr>
          <w:rFonts w:ascii="Times New Roman" w:hAnsi="Times New Roman" w:cs="Times New Roman" w:hint="cs"/>
          <w:sz w:val="22"/>
          <w:szCs w:val="22"/>
          <w:rtl/>
        </w:rPr>
        <w:t>–</w:t>
      </w:r>
      <w:r w:rsidRPr="009701D6">
        <w:rPr>
          <w:rFonts w:ascii="mylotus" w:hAnsi="mylotus" w:cs="mylotus"/>
          <w:sz w:val="22"/>
          <w:szCs w:val="22"/>
          <w:rtl/>
        </w:rPr>
        <w:t xml:space="preserve"> 148</w:t>
      </w:r>
      <w:r w:rsidRPr="009701D6">
        <w:rPr>
          <w:rFonts w:ascii="mylotus" w:hAnsi="mylotus" w:hint="cs"/>
          <w:sz w:val="22"/>
          <w:szCs w:val="22"/>
          <w:rtl/>
        </w:rPr>
        <w:t>.</w:t>
      </w:r>
    </w:p>
  </w:footnote>
  <w:footnote w:id="12">
    <w:p w14:paraId="41E732C4" w14:textId="77777777" w:rsidR="00B276C7" w:rsidRDefault="00B276C7" w:rsidP="00A96F05">
      <w:pPr>
        <w:pStyle w:val="FootnoteText"/>
        <w:bidi/>
        <w:rPr>
          <w:rtl/>
          <w:lang w:bidi="ar-BH"/>
        </w:rPr>
      </w:pPr>
      <w:r>
        <w:rPr>
          <w:rStyle w:val="FootnoteReference"/>
        </w:rPr>
        <w:footnoteRef/>
      </w:r>
      <w:r>
        <w:t xml:space="preserve"> </w:t>
      </w:r>
      <w:r w:rsidRPr="009701D6">
        <w:rPr>
          <w:rFonts w:ascii="mylotus" w:hAnsi="mylotus" w:cs="mylotus"/>
          <w:sz w:val="22"/>
          <w:szCs w:val="22"/>
          <w:rtl/>
        </w:rPr>
        <w:t>معارج الأصول، المحقّق الحلي، مؤسسة آل البيت (عليهم السلام) لإحياء التراث، ص156</w:t>
      </w:r>
      <w:r w:rsidRPr="009701D6">
        <w:rPr>
          <w:rFonts w:ascii="mylotus" w:hAnsi="mylotus" w:hint="cs"/>
          <w:sz w:val="22"/>
          <w:szCs w:val="22"/>
          <w:rtl/>
        </w:rPr>
        <w:t>.</w:t>
      </w:r>
    </w:p>
  </w:footnote>
  <w:footnote w:id="13">
    <w:p w14:paraId="5D935AE0" w14:textId="77777777" w:rsidR="00B276C7" w:rsidRPr="009701D6" w:rsidRDefault="00B276C7" w:rsidP="00A96F05">
      <w:pPr>
        <w:pStyle w:val="FootnoteText"/>
        <w:bidi/>
        <w:rPr>
          <w:rtl/>
          <w:lang w:bidi="ar-BH"/>
        </w:rPr>
      </w:pPr>
      <w:r>
        <w:rPr>
          <w:rStyle w:val="FootnoteReference"/>
        </w:rPr>
        <w:footnoteRef/>
      </w:r>
      <w:r>
        <w:t xml:space="preserve"> </w:t>
      </w:r>
      <w:r w:rsidRPr="009701D6">
        <w:rPr>
          <w:rFonts w:ascii="mylotus" w:hAnsi="mylotus" w:cs="mylotus"/>
          <w:sz w:val="22"/>
          <w:szCs w:val="22"/>
          <w:rtl/>
        </w:rPr>
        <w:t>كشف القناع، ص191</w:t>
      </w:r>
      <w:r w:rsidRPr="009701D6">
        <w:rPr>
          <w:rFonts w:ascii="mylotus" w:hAnsi="mylotus" w:hint="cs"/>
          <w:sz w:val="22"/>
          <w:szCs w:val="22"/>
          <w:rtl/>
        </w:rPr>
        <w:t>.</w:t>
      </w:r>
    </w:p>
  </w:footnote>
  <w:footnote w:id="14">
    <w:p w14:paraId="79121CC3" w14:textId="77777777" w:rsidR="00B276C7" w:rsidRPr="009701D6" w:rsidRDefault="00B276C7" w:rsidP="00A96F05">
      <w:pPr>
        <w:pStyle w:val="FootnoteText"/>
        <w:bidi/>
        <w:rPr>
          <w:rtl/>
          <w:lang w:bidi="ar-BH"/>
        </w:rPr>
      </w:pPr>
      <w:r>
        <w:rPr>
          <w:rStyle w:val="FootnoteReference"/>
        </w:rPr>
        <w:footnoteRef/>
      </w:r>
      <w:r>
        <w:t xml:space="preserve"> </w:t>
      </w:r>
      <w:r w:rsidRPr="009701D6">
        <w:rPr>
          <w:rFonts w:ascii="mylotus" w:hAnsi="mylotus" w:cs="mylotus"/>
          <w:sz w:val="22"/>
          <w:szCs w:val="22"/>
          <w:rtl/>
        </w:rPr>
        <w:t>الكافي، للشيخ الكليني، دار الكتب الإسلامية، ج1، ص9</w:t>
      </w:r>
      <w:r w:rsidRPr="009701D6">
        <w:rPr>
          <w:rFonts w:ascii="mylotus" w:hAnsi="mylotus" w:hint="cs"/>
          <w:sz w:val="22"/>
          <w:szCs w:val="22"/>
          <w:rtl/>
        </w:rPr>
        <w:t>.</w:t>
      </w:r>
    </w:p>
  </w:footnote>
  <w:footnote w:id="15">
    <w:p w14:paraId="46E6596E" w14:textId="77777777" w:rsidR="00B276C7" w:rsidRDefault="00B276C7" w:rsidP="00A96F05">
      <w:pPr>
        <w:pStyle w:val="FootnoteText"/>
        <w:bidi/>
        <w:rPr>
          <w:rtl/>
          <w:lang w:bidi="ar-BH"/>
        </w:rPr>
      </w:pPr>
      <w:r>
        <w:rPr>
          <w:rStyle w:val="FootnoteReference"/>
        </w:rPr>
        <w:footnoteRef/>
      </w:r>
      <w:r>
        <w:t xml:space="preserve"> </w:t>
      </w:r>
      <w:r w:rsidRPr="003E3861">
        <w:rPr>
          <w:rFonts w:ascii="mylotus" w:hAnsi="mylotus" w:cs="mylotus"/>
          <w:sz w:val="22"/>
          <w:szCs w:val="22"/>
          <w:rtl/>
        </w:rPr>
        <w:t xml:space="preserve">تقريرات في علم الأصول، تعارض الأدلة واختلاف الحديث، </w:t>
      </w:r>
      <w:r w:rsidRPr="003E3861">
        <w:rPr>
          <w:rFonts w:ascii="mylotus" w:hAnsi="mylotus" w:cs="mylotus" w:hint="cs"/>
          <w:sz w:val="22"/>
          <w:szCs w:val="22"/>
          <w:rtl/>
        </w:rPr>
        <w:t>تقريراً لأبحاث سماحة آية الله العظمى السيد علي الحسيني السيستاني (دام ظله العالي)،</w:t>
      </w:r>
      <w:r w:rsidRPr="003E3861">
        <w:rPr>
          <w:rFonts w:ascii="mylotus" w:hAnsi="mylotus" w:hint="cs"/>
          <w:sz w:val="22"/>
          <w:szCs w:val="22"/>
          <w:rtl/>
        </w:rPr>
        <w:t xml:space="preserve"> </w:t>
      </w:r>
      <w:r w:rsidRPr="003E3861">
        <w:rPr>
          <w:rFonts w:ascii="mylotus" w:hAnsi="mylotus" w:cs="mylotus"/>
          <w:sz w:val="22"/>
          <w:szCs w:val="22"/>
          <w:rtl/>
        </w:rPr>
        <w:t>بقلم السيد هاشم الهاشمي، مركز الإمام الحجة (عجل الله فرجه) لخدمة الطلاب، طبعة مزيدة ومنقحة، ج1، ص</w:t>
      </w:r>
      <w:r>
        <w:rPr>
          <w:rFonts w:ascii="mylotus" w:hAnsi="mylotus" w:cs="mylotus" w:hint="cs"/>
          <w:sz w:val="22"/>
          <w:szCs w:val="22"/>
          <w:rtl/>
        </w:rPr>
        <w:t>323.</w:t>
      </w:r>
    </w:p>
  </w:footnote>
  <w:footnote w:id="16">
    <w:p w14:paraId="0E019CB8" w14:textId="77777777" w:rsidR="00B276C7" w:rsidRPr="009701D6" w:rsidRDefault="00B276C7" w:rsidP="00A96F05">
      <w:pPr>
        <w:pStyle w:val="FootnoteText"/>
        <w:bidi/>
        <w:rPr>
          <w:rtl/>
          <w:lang w:bidi="ar-BH"/>
        </w:rPr>
      </w:pPr>
      <w:r>
        <w:rPr>
          <w:rStyle w:val="FootnoteReference"/>
        </w:rPr>
        <w:footnoteRef/>
      </w:r>
      <w:r>
        <w:t xml:space="preserve"> </w:t>
      </w:r>
      <w:r w:rsidRPr="009701D6">
        <w:rPr>
          <w:rFonts w:ascii="mylotus" w:hAnsi="mylotus" w:cs="mylotus"/>
          <w:sz w:val="22"/>
          <w:szCs w:val="22"/>
          <w:rtl/>
        </w:rPr>
        <w:t xml:space="preserve">انظر الاستبصار، ج4، ص175 </w:t>
      </w:r>
      <w:proofErr w:type="gramStart"/>
      <w:r w:rsidRPr="009701D6">
        <w:rPr>
          <w:rFonts w:ascii="mylotus" w:hAnsi="mylotus" w:cs="mylotus"/>
          <w:sz w:val="22"/>
          <w:szCs w:val="22"/>
          <w:rtl/>
        </w:rPr>
        <w:t>و 657</w:t>
      </w:r>
      <w:proofErr w:type="gramEnd"/>
      <w:r w:rsidRPr="009701D6">
        <w:rPr>
          <w:rFonts w:ascii="mylotus" w:hAnsi="mylotus" w:cs="mylotus" w:hint="cs"/>
          <w:sz w:val="22"/>
          <w:szCs w:val="22"/>
          <w:rtl/>
        </w:rPr>
        <w:t>.</w:t>
      </w:r>
    </w:p>
  </w:footnote>
  <w:footnote w:id="17">
    <w:p w14:paraId="6EE5E475" w14:textId="77777777" w:rsidR="00B276C7" w:rsidRPr="009701D6" w:rsidRDefault="00B276C7" w:rsidP="00A96F05">
      <w:pPr>
        <w:pStyle w:val="FootnoteText"/>
        <w:bidi/>
        <w:rPr>
          <w:rtl/>
          <w:lang w:bidi="ar-BH"/>
        </w:rPr>
      </w:pPr>
      <w:r>
        <w:rPr>
          <w:rStyle w:val="FootnoteReference"/>
        </w:rPr>
        <w:footnoteRef/>
      </w:r>
      <w:r>
        <w:t xml:space="preserve"> </w:t>
      </w:r>
      <w:r w:rsidRPr="009701D6">
        <w:rPr>
          <w:rFonts w:ascii="mylotus" w:hAnsi="mylotus" w:cs="mylotus"/>
          <w:sz w:val="22"/>
          <w:szCs w:val="22"/>
          <w:rtl/>
        </w:rPr>
        <w:t xml:space="preserve">انظر التهذيب، ج5، ص486 </w:t>
      </w:r>
      <w:proofErr w:type="gramStart"/>
      <w:r w:rsidRPr="009701D6">
        <w:rPr>
          <w:rFonts w:ascii="mylotus" w:hAnsi="mylotus" w:cs="mylotus"/>
          <w:sz w:val="22"/>
          <w:szCs w:val="22"/>
          <w:rtl/>
        </w:rPr>
        <w:t>و 733</w:t>
      </w:r>
      <w:proofErr w:type="gramEnd"/>
      <w:r w:rsidRPr="009701D6">
        <w:rPr>
          <w:rFonts w:ascii="mylotus" w:hAnsi="mylotus" w:cs="mylotus" w:hint="cs"/>
          <w:sz w:val="22"/>
          <w:szCs w:val="22"/>
          <w:rtl/>
        </w:rPr>
        <w:t>.</w:t>
      </w:r>
    </w:p>
  </w:footnote>
  <w:footnote w:id="18">
    <w:p w14:paraId="047A3D64" w14:textId="77777777" w:rsidR="00B276C7" w:rsidRDefault="00B276C7" w:rsidP="00A96F05">
      <w:pPr>
        <w:pStyle w:val="FootnoteText"/>
        <w:bidi/>
        <w:rPr>
          <w:rtl/>
          <w:lang w:bidi="ar-BH"/>
        </w:rPr>
      </w:pPr>
      <w:r>
        <w:rPr>
          <w:rStyle w:val="FootnoteReference"/>
        </w:rPr>
        <w:footnoteRef/>
      </w:r>
      <w:r>
        <w:t xml:space="preserve"> </w:t>
      </w:r>
      <w:r w:rsidRPr="003E3861">
        <w:rPr>
          <w:rFonts w:ascii="mylotus" w:hAnsi="mylotus" w:cs="mylotus"/>
          <w:sz w:val="22"/>
          <w:szCs w:val="22"/>
          <w:rtl/>
        </w:rPr>
        <w:t xml:space="preserve">تقريرات في علم الأصول، تعارض الأدلة واختلاف الحديث، </w:t>
      </w:r>
      <w:r w:rsidRPr="003E3861">
        <w:rPr>
          <w:rFonts w:ascii="mylotus" w:hAnsi="mylotus" w:cs="mylotus" w:hint="cs"/>
          <w:sz w:val="22"/>
          <w:szCs w:val="22"/>
          <w:rtl/>
        </w:rPr>
        <w:t>تقريراً لأبحاث سماحة آية الله العظمى السيد علي الحسيني السيستاني (دام ظله العالي)،</w:t>
      </w:r>
      <w:r w:rsidRPr="003E3861">
        <w:rPr>
          <w:rFonts w:ascii="mylotus" w:hAnsi="mylotus" w:hint="cs"/>
          <w:sz w:val="22"/>
          <w:szCs w:val="22"/>
          <w:rtl/>
        </w:rPr>
        <w:t xml:space="preserve"> </w:t>
      </w:r>
      <w:r w:rsidRPr="003E3861">
        <w:rPr>
          <w:rFonts w:ascii="mylotus" w:hAnsi="mylotus" w:cs="mylotus"/>
          <w:sz w:val="22"/>
          <w:szCs w:val="22"/>
          <w:rtl/>
        </w:rPr>
        <w:t>بقلم السيد هاشم الهاشمي، مركز الإمام الحجة (عجل الله فرجه) لخدمة الطلاب، طبعة مزيدة ومنقحة، ج1،</w:t>
      </w:r>
      <w:r>
        <w:rPr>
          <w:rFonts w:ascii="mylotus" w:hAnsi="mylotus" w:cs="mylotus" w:hint="cs"/>
          <w:sz w:val="22"/>
          <w:szCs w:val="22"/>
          <w:rtl/>
        </w:rPr>
        <w:t xml:space="preserve"> ص324.</w:t>
      </w:r>
    </w:p>
  </w:footnote>
  <w:footnote w:id="19">
    <w:p w14:paraId="6091D38F" w14:textId="77777777" w:rsidR="00B276C7" w:rsidRDefault="00B276C7" w:rsidP="00A96F05">
      <w:pPr>
        <w:pStyle w:val="FootnoteText"/>
        <w:bidi/>
        <w:rPr>
          <w:rtl/>
          <w:lang w:bidi="ar-BH"/>
        </w:rPr>
      </w:pPr>
      <w:r>
        <w:rPr>
          <w:rStyle w:val="FootnoteReference"/>
        </w:rPr>
        <w:footnoteRef/>
      </w:r>
      <w:r>
        <w:t xml:space="preserve"> </w:t>
      </w:r>
      <w:r w:rsidRPr="003E3861">
        <w:rPr>
          <w:rFonts w:ascii="mylotus" w:hAnsi="mylotus" w:cs="mylotus"/>
          <w:sz w:val="22"/>
          <w:szCs w:val="22"/>
          <w:rtl/>
        </w:rPr>
        <w:t xml:space="preserve">تقريرات في علم الأصول، تعارض الأدلة واختلاف الحديث، </w:t>
      </w:r>
      <w:r w:rsidRPr="003E3861">
        <w:rPr>
          <w:rFonts w:ascii="mylotus" w:hAnsi="mylotus" w:cs="mylotus" w:hint="cs"/>
          <w:sz w:val="22"/>
          <w:szCs w:val="22"/>
          <w:rtl/>
        </w:rPr>
        <w:t>تقريراً لأبحاث سماحة آية الله العظمى السيد علي الحسيني السيستاني (دام ظله العالي)،</w:t>
      </w:r>
      <w:r w:rsidRPr="003E3861">
        <w:rPr>
          <w:rFonts w:ascii="mylotus" w:hAnsi="mylotus" w:hint="cs"/>
          <w:sz w:val="22"/>
          <w:szCs w:val="22"/>
          <w:rtl/>
        </w:rPr>
        <w:t xml:space="preserve"> </w:t>
      </w:r>
      <w:r w:rsidRPr="003E3861">
        <w:rPr>
          <w:rFonts w:ascii="mylotus" w:hAnsi="mylotus" w:cs="mylotus"/>
          <w:sz w:val="22"/>
          <w:szCs w:val="22"/>
          <w:rtl/>
        </w:rPr>
        <w:t>بقلم السيد هاشم الهاشمي، مركز الإمام الحجة (عجل الله فرجه) لخدمة الطلاب، طبعة مزيدة ومنقحة، ج1،</w:t>
      </w:r>
      <w:r>
        <w:rPr>
          <w:rFonts w:ascii="mylotus" w:hAnsi="mylotus" w:cs="mylotus" w:hint="cs"/>
          <w:sz w:val="22"/>
          <w:szCs w:val="22"/>
          <w:rtl/>
        </w:rPr>
        <w:t xml:space="preserve"> 327 </w:t>
      </w:r>
      <w:r>
        <w:rPr>
          <w:rFonts w:ascii="Times New Roman" w:hAnsi="Times New Roman" w:cs="Times New Roman"/>
          <w:sz w:val="22"/>
          <w:szCs w:val="22"/>
          <w:rtl/>
        </w:rPr>
        <w:t>–</w:t>
      </w:r>
      <w:r>
        <w:rPr>
          <w:rFonts w:ascii="mylotus" w:hAnsi="mylotus" w:cs="mylotus" w:hint="cs"/>
          <w:sz w:val="22"/>
          <w:szCs w:val="22"/>
          <w:rtl/>
        </w:rPr>
        <w:t xml:space="preserve"> 328.</w:t>
      </w:r>
    </w:p>
  </w:footnote>
  <w:footnote w:id="20">
    <w:p w14:paraId="556DF18F" w14:textId="77777777" w:rsidR="00B276C7" w:rsidRDefault="00B276C7" w:rsidP="00A96F05">
      <w:pPr>
        <w:pStyle w:val="FootnoteText"/>
        <w:bidi/>
        <w:rPr>
          <w:rtl/>
          <w:lang w:bidi="ar-BH"/>
        </w:rPr>
      </w:pPr>
      <w:r>
        <w:rPr>
          <w:rStyle w:val="FootnoteReference"/>
        </w:rPr>
        <w:footnoteRef/>
      </w:r>
      <w:r>
        <w:t xml:space="preserve"> </w:t>
      </w:r>
      <w:r>
        <w:rPr>
          <w:rFonts w:ascii="mylotus" w:hAnsi="mylotus" w:cs="mylotus" w:hint="cs"/>
          <w:sz w:val="22"/>
          <w:szCs w:val="22"/>
          <w:rtl/>
        </w:rPr>
        <w:t xml:space="preserve">المصدر السابق، ص328 </w:t>
      </w:r>
      <w:r>
        <w:rPr>
          <w:rFonts w:ascii="Times New Roman" w:hAnsi="Times New Roman" w:cs="Times New Roman"/>
          <w:sz w:val="22"/>
          <w:szCs w:val="22"/>
          <w:rtl/>
        </w:rPr>
        <w:t>–</w:t>
      </w:r>
      <w:r>
        <w:rPr>
          <w:rFonts w:ascii="mylotus" w:hAnsi="mylotus" w:cs="mylotus" w:hint="cs"/>
          <w:sz w:val="22"/>
          <w:szCs w:val="22"/>
          <w:rtl/>
        </w:rPr>
        <w:t xml:space="preserve"> 330.</w:t>
      </w:r>
    </w:p>
  </w:footnote>
  <w:footnote w:id="21">
    <w:p w14:paraId="512B2A93" w14:textId="77777777" w:rsidR="009A466E" w:rsidRDefault="009A466E" w:rsidP="00A96F05">
      <w:pPr>
        <w:pStyle w:val="FootnoteText"/>
        <w:bidi/>
        <w:rPr>
          <w:rFonts w:ascii="almohsin" w:hAnsi="almohsin"/>
          <w:sz w:val="22"/>
          <w:szCs w:val="22"/>
          <w:lang w:bidi="ar-BH"/>
        </w:rPr>
      </w:pPr>
      <w:r>
        <w:rPr>
          <w:rStyle w:val="FootnoteReference"/>
          <w:sz w:val="22"/>
          <w:szCs w:val="22"/>
        </w:rPr>
        <w:footnoteRef/>
      </w:r>
      <w:r>
        <w:rPr>
          <w:sz w:val="22"/>
          <w:szCs w:val="22"/>
        </w:rPr>
        <w:t xml:space="preserve"> </w:t>
      </w:r>
      <w:r>
        <w:rPr>
          <w:rFonts w:ascii="mylotus" w:hAnsi="mylotus" w:cs="mylotus"/>
          <w:b/>
          <w:bCs/>
          <w:sz w:val="22"/>
          <w:szCs w:val="22"/>
          <w:rtl/>
        </w:rPr>
        <w:t>الكافي، للشيخ الكليني، دار الكتب الإسلامية، ج3، كتاب الصلاة، باب السهو في الثلاث والأربع، ح3.</w:t>
      </w:r>
    </w:p>
  </w:footnote>
  <w:footnote w:id="22">
    <w:p w14:paraId="5381FFC5" w14:textId="77777777" w:rsidR="005B2956" w:rsidRDefault="005B2956" w:rsidP="00A96F05">
      <w:pPr>
        <w:pStyle w:val="FootnoteText"/>
        <w:bidi/>
        <w:rPr>
          <w:rFonts w:ascii="almohsin" w:hAnsi="almohsin"/>
          <w:lang w:bidi="ar-BH"/>
        </w:rPr>
      </w:pPr>
      <w:r>
        <w:rPr>
          <w:rStyle w:val="FootnoteReference"/>
        </w:rPr>
        <w:footnoteRef/>
      </w:r>
      <w:r>
        <w:t xml:space="preserve"> </w:t>
      </w:r>
      <w:r>
        <w:rPr>
          <w:rFonts w:ascii="mylotus" w:hAnsi="mylotus" w:cs="mylotus"/>
          <w:rtl/>
        </w:rPr>
        <w:t xml:space="preserve">مستمسك العروة الوثقى، تأليف السيد محسن الطباطبائي الحكيم، دار إحياء التراث العربي، ج12، ص36 </w:t>
      </w:r>
      <w:r>
        <w:rPr>
          <w:rFonts w:ascii="Times New Roman" w:hAnsi="Times New Roman" w:cs="Times New Roman"/>
          <w:rtl/>
        </w:rPr>
        <w:t>–</w:t>
      </w:r>
      <w:r>
        <w:rPr>
          <w:rFonts w:ascii="mylotus" w:hAnsi="mylotus" w:cs="mylotus"/>
          <w:rtl/>
        </w:rPr>
        <w:t xml:space="preserve"> 37.</w:t>
      </w:r>
    </w:p>
  </w:footnote>
  <w:footnote w:id="23">
    <w:p w14:paraId="3D3DFEBC" w14:textId="77777777" w:rsidR="005B2956" w:rsidRDefault="005B2956" w:rsidP="00A96F05">
      <w:pPr>
        <w:pStyle w:val="FootnoteText"/>
        <w:bidi/>
        <w:rPr>
          <w:rtl/>
          <w:lang w:bidi="ar-BH"/>
        </w:rPr>
      </w:pPr>
      <w:r>
        <w:rPr>
          <w:rStyle w:val="FootnoteReference"/>
        </w:rPr>
        <w:footnoteRef/>
      </w:r>
      <w:r>
        <w:t xml:space="preserve"> </w:t>
      </w:r>
      <w:r>
        <w:rPr>
          <w:rFonts w:ascii="mylotus" w:hAnsi="mylotus" w:cs="mylotus"/>
          <w:rtl/>
        </w:rPr>
        <w:t>كتاب الإجارة، مؤسسة دائرة معارف الفقه الإسلامي طبقاً لمذهب أهل البيت (عليهم السلام)، ج1، ص240.</w:t>
      </w:r>
    </w:p>
  </w:footnote>
  <w:footnote w:id="24">
    <w:p w14:paraId="0E6247CB" w14:textId="77777777" w:rsidR="005B2956" w:rsidRDefault="005B2956" w:rsidP="00A96F05">
      <w:pPr>
        <w:pStyle w:val="FootnoteText"/>
        <w:bidi/>
        <w:rPr>
          <w:rtl/>
          <w:lang w:bidi="ar-BH"/>
        </w:rPr>
      </w:pPr>
      <w:r>
        <w:rPr>
          <w:rStyle w:val="FootnoteReference"/>
        </w:rPr>
        <w:footnoteRef/>
      </w:r>
      <w:r>
        <w:t xml:space="preserve"> </w:t>
      </w:r>
      <w:r>
        <w:rPr>
          <w:rFonts w:ascii="mylotus" w:hAnsi="mylotus" w:cs="mylotus"/>
          <w:rtl/>
        </w:rPr>
        <w:t>سورة النساء، 29.</w:t>
      </w:r>
    </w:p>
  </w:footnote>
  <w:footnote w:id="25">
    <w:p w14:paraId="6B68F3E3" w14:textId="77777777" w:rsidR="005B2956" w:rsidRDefault="005B2956" w:rsidP="00A96F05">
      <w:pPr>
        <w:pStyle w:val="FootnoteText"/>
        <w:bidi/>
        <w:rPr>
          <w:rtl/>
          <w:lang w:bidi="ar-BH"/>
        </w:rPr>
      </w:pPr>
      <w:r>
        <w:rPr>
          <w:rStyle w:val="FootnoteReference"/>
        </w:rPr>
        <w:footnoteRef/>
      </w:r>
      <w:r>
        <w:t xml:space="preserve"> </w:t>
      </w:r>
      <w:r>
        <w:rPr>
          <w:rFonts w:ascii="mylotus" w:hAnsi="mylotus" w:cs="mylotus"/>
          <w:rtl/>
        </w:rPr>
        <w:t>سورة المائدة، 1.</w:t>
      </w:r>
    </w:p>
  </w:footnote>
  <w:footnote w:id="26">
    <w:p w14:paraId="34612DB2" w14:textId="77777777" w:rsidR="005B2956" w:rsidRDefault="005B2956" w:rsidP="00A96F05">
      <w:pPr>
        <w:pStyle w:val="FootnoteText"/>
        <w:bidi/>
        <w:rPr>
          <w:rtl/>
          <w:lang w:bidi="ar-BH"/>
        </w:rPr>
      </w:pPr>
      <w:r>
        <w:rPr>
          <w:rStyle w:val="FootnoteReference"/>
        </w:rPr>
        <w:footnoteRef/>
      </w:r>
      <w:r>
        <w:t xml:space="preserve"> </w:t>
      </w:r>
      <w:r>
        <w:rPr>
          <w:rFonts w:ascii="mylotus" w:hAnsi="mylotus" w:cs="mylotus"/>
          <w:rtl/>
        </w:rPr>
        <w:t xml:space="preserve">تهذيب الأحكام، شيخ الطائفة الطوسي، دار الكتب الإسلامية، ج7، كتاب النكاح، الباب 41 باب من الزيادات في فقه النكاح، ح80، </w:t>
      </w:r>
      <w:proofErr w:type="gramStart"/>
      <w:r>
        <w:rPr>
          <w:rFonts w:ascii="mylotus" w:hAnsi="mylotus" w:cs="mylotus"/>
          <w:rtl/>
        </w:rPr>
        <w:t xml:space="preserve">رقم </w:t>
      </w:r>
      <w:r>
        <w:rPr>
          <w:rFonts w:ascii="mylotus" w:hAnsi="mylotus"/>
        </w:rPr>
        <w:t xml:space="preserve"> (</w:t>
      </w:r>
      <w:proofErr w:type="gramEnd"/>
      <w:r>
        <w:rPr>
          <w:rFonts w:ascii="mylotus" w:hAnsi="mylotus"/>
        </w:rPr>
        <w:t>1872)</w:t>
      </w:r>
      <w:r>
        <w:rPr>
          <w:rFonts w:ascii="mylotus" w:hAnsi="mylotus" w:hint="cs"/>
          <w:rtl/>
        </w:rPr>
        <w:t>.</w:t>
      </w:r>
    </w:p>
  </w:footnote>
  <w:footnote w:id="27">
    <w:p w14:paraId="0F22E49A" w14:textId="77777777" w:rsidR="005B2956" w:rsidRDefault="005B2956" w:rsidP="00A96F05">
      <w:pPr>
        <w:pStyle w:val="FootnoteText"/>
        <w:bidi/>
        <w:rPr>
          <w:rtl/>
          <w:lang w:bidi="ar-BH"/>
        </w:rPr>
      </w:pPr>
      <w:r>
        <w:rPr>
          <w:rStyle w:val="FootnoteReference"/>
        </w:rPr>
        <w:footnoteRef/>
      </w:r>
      <w:r>
        <w:t xml:space="preserve"> </w:t>
      </w:r>
      <w:r>
        <w:rPr>
          <w:rFonts w:ascii="mylotus" w:hAnsi="mylotus" w:cs="mylotus"/>
          <w:rtl/>
        </w:rPr>
        <w:t>الكافي، الشيخ الكليني، دار الكتب الإسلامية، كتاب القضاء والأحكام، ج7، باب أدب الحكم، ح1.</w:t>
      </w:r>
    </w:p>
  </w:footnote>
  <w:footnote w:id="28">
    <w:p w14:paraId="48A8A0BE" w14:textId="77777777" w:rsidR="005B2956" w:rsidRDefault="005B2956" w:rsidP="00A96F05">
      <w:pPr>
        <w:pStyle w:val="FootnoteText"/>
        <w:bidi/>
        <w:rPr>
          <w:rtl/>
          <w:lang w:bidi="ar-BH"/>
        </w:rPr>
      </w:pPr>
      <w:r>
        <w:rPr>
          <w:rStyle w:val="FootnoteReference"/>
        </w:rPr>
        <w:footnoteRef/>
      </w:r>
      <w:r>
        <w:t xml:space="preserve"> </w:t>
      </w:r>
      <w:r>
        <w:rPr>
          <w:rFonts w:ascii="mylotus" w:hAnsi="mylotus" w:cs="mylotus"/>
          <w:rtl/>
        </w:rPr>
        <w:t>سورة المائدة، 1.</w:t>
      </w:r>
    </w:p>
  </w:footnote>
  <w:footnote w:id="29">
    <w:p w14:paraId="082B66BA" w14:textId="77777777" w:rsidR="005B2956" w:rsidRDefault="005B2956" w:rsidP="00A96F05">
      <w:pPr>
        <w:pStyle w:val="FootnoteText"/>
        <w:bidi/>
        <w:rPr>
          <w:rtl/>
          <w:lang w:bidi="ar-BH"/>
        </w:rPr>
      </w:pPr>
      <w:r>
        <w:rPr>
          <w:rStyle w:val="FootnoteReference"/>
        </w:rPr>
        <w:footnoteRef/>
      </w:r>
      <w:r>
        <w:t xml:space="preserve"> </w:t>
      </w:r>
      <w:r>
        <w:rPr>
          <w:rFonts w:ascii="mylotus" w:hAnsi="mylotus" w:cs="mylotus"/>
          <w:rtl/>
        </w:rPr>
        <w:t>مصباح الفقاهة، ج1، ص465.</w:t>
      </w:r>
    </w:p>
  </w:footnote>
  <w:footnote w:id="30">
    <w:p w14:paraId="0410AEE9" w14:textId="77777777" w:rsidR="005B2956" w:rsidRDefault="005B2956" w:rsidP="00A96F05">
      <w:pPr>
        <w:pStyle w:val="FootnoteText"/>
        <w:bidi/>
        <w:rPr>
          <w:rtl/>
          <w:lang w:bidi="ar-BH"/>
        </w:rPr>
      </w:pPr>
      <w:r>
        <w:rPr>
          <w:rStyle w:val="FootnoteReference"/>
        </w:rPr>
        <w:footnoteRef/>
      </w:r>
      <w:r>
        <w:t xml:space="preserve"> </w:t>
      </w:r>
      <w:r>
        <w:rPr>
          <w:rFonts w:ascii="mylotus" w:hAnsi="mylotus" w:cs="mylotus"/>
          <w:rtl/>
        </w:rPr>
        <w:t>كتاب الإجارة، مؤسسة دائرة معارف الفقه الإسلامي طبقاً لمذهب أهل البيت (عليهم السلام)، ج1، ص240.</w:t>
      </w:r>
    </w:p>
  </w:footnote>
  <w:footnote w:id="31">
    <w:p w14:paraId="086FCAC8" w14:textId="77777777" w:rsidR="00D073BE" w:rsidRDefault="00D073BE" w:rsidP="00A96F05">
      <w:pPr>
        <w:pStyle w:val="FootnoteText"/>
        <w:bidi/>
        <w:rPr>
          <w:rtl/>
          <w:lang w:bidi="ar-BH"/>
        </w:rPr>
      </w:pPr>
      <w:r>
        <w:rPr>
          <w:rStyle w:val="FootnoteReference"/>
        </w:rPr>
        <w:footnoteRef/>
      </w:r>
      <w:r>
        <w:t xml:space="preserve"> </w:t>
      </w:r>
      <w:r w:rsidRPr="00FF6D04">
        <w:rPr>
          <w:rFonts w:ascii="mylotus" w:hAnsi="mylotus" w:cs="mylotus"/>
          <w:rtl/>
        </w:rPr>
        <w:t xml:space="preserve">موسوعة الإمام الخوئي، مصباح الأصول، تقريراً لأبحاث الأستاذ الأعظم سماحة آية الله العظمى السيد أبو القاسم الموسوي الخوئي، تأليف آية الله الشهيد السيد محمد سرور الواعظ الحسيني </w:t>
      </w:r>
      <w:proofErr w:type="spellStart"/>
      <w:r w:rsidRPr="00FF6D04">
        <w:rPr>
          <w:rFonts w:ascii="mylotus" w:hAnsi="mylotus" w:cs="mylotus"/>
          <w:rtl/>
        </w:rPr>
        <w:t>البهسودي</w:t>
      </w:r>
      <w:proofErr w:type="spellEnd"/>
      <w:r w:rsidRPr="00FF6D04">
        <w:rPr>
          <w:rFonts w:ascii="mylotus" w:hAnsi="mylotus" w:cs="mylotus"/>
          <w:rtl/>
        </w:rPr>
        <w:t xml:space="preserve"> (قدس سره)، طبعة منقحة، مؤسسة الخوئي الإسلامية، ج3، المجلد 48، ص435 </w:t>
      </w:r>
      <w:r w:rsidRPr="00FF6D04">
        <w:rPr>
          <w:rFonts w:ascii="Times New Roman" w:hAnsi="Times New Roman" w:cs="Times New Roman"/>
          <w:rtl/>
        </w:rPr>
        <w:t>–</w:t>
      </w:r>
      <w:r w:rsidRPr="00FF6D04">
        <w:rPr>
          <w:rFonts w:ascii="mylotus" w:hAnsi="mylotus" w:cs="mylotus"/>
          <w:rtl/>
        </w:rPr>
        <w:t xml:space="preserve"> 436</w:t>
      </w:r>
      <w:r w:rsidRPr="00FF6D04">
        <w:rPr>
          <w:rFonts w:ascii="mylotus" w:hAnsi="mylotus" w:cs="mylotus" w:hint="cs"/>
          <w:rtl/>
        </w:rPr>
        <w:t>.</w:t>
      </w:r>
    </w:p>
  </w:footnote>
  <w:footnote w:id="32">
    <w:p w14:paraId="43C30E6F" w14:textId="77777777" w:rsidR="00D073BE" w:rsidRDefault="00D073BE" w:rsidP="00A96F05">
      <w:pPr>
        <w:pStyle w:val="FootnoteText"/>
        <w:bidi/>
        <w:rPr>
          <w:rtl/>
          <w:lang w:bidi="ar-BH"/>
        </w:rPr>
      </w:pPr>
      <w:r>
        <w:rPr>
          <w:rStyle w:val="FootnoteReference"/>
        </w:rPr>
        <w:footnoteRef/>
      </w:r>
      <w:r>
        <w:t xml:space="preserve"> </w:t>
      </w:r>
      <w:r w:rsidRPr="00FF6D04">
        <w:rPr>
          <w:rFonts w:ascii="mylotus" w:hAnsi="mylotus" w:cs="mylotus"/>
          <w:rtl/>
        </w:rPr>
        <w:t>محاضرات في أُصول الفقه، تقريراً لبحث سيدنا الأستاذ الأعظم فقيه الطائفة زعيم الحوزة العلمية سماحة آية الله العظمى الورع التقي السيد أبو القاسم الخوئي، بقلم: محمد إسحاق الفياض، مؤسسة أنصاريان، الطبعة الرابعة، ج3، ص271</w:t>
      </w:r>
      <w:r w:rsidRPr="00FF6D04">
        <w:rPr>
          <w:rFonts w:ascii="mylotus" w:hAnsi="mylotus" w:cs="mylotus" w:hint="cs"/>
          <w:rtl/>
        </w:rPr>
        <w:t>.</w:t>
      </w:r>
    </w:p>
  </w:footnote>
  <w:footnote w:id="33">
    <w:p w14:paraId="2D0D7F82" w14:textId="77777777" w:rsidR="00D073BE" w:rsidRDefault="00D073BE" w:rsidP="00A96F05">
      <w:pPr>
        <w:pStyle w:val="FootnoteText"/>
        <w:bidi/>
        <w:rPr>
          <w:rtl/>
          <w:lang w:bidi="ar-BH"/>
        </w:rPr>
      </w:pPr>
      <w:r>
        <w:rPr>
          <w:rStyle w:val="FootnoteReference"/>
        </w:rPr>
        <w:footnoteRef/>
      </w:r>
      <w:r>
        <w:t xml:space="preserve"> </w:t>
      </w:r>
      <w:r w:rsidRPr="00B5410E">
        <w:rPr>
          <w:rFonts w:ascii="mylotus" w:hAnsi="mylotus" w:cs="mylotus"/>
          <w:rtl/>
        </w:rPr>
        <w:t>المصدر السابق، ص280</w:t>
      </w:r>
      <w:r w:rsidRPr="00B5410E">
        <w:rPr>
          <w:rFonts w:ascii="mylotus" w:hAnsi="mylotus" w:cs="mylotus" w:hint="cs"/>
          <w:rtl/>
        </w:rPr>
        <w:t>.</w:t>
      </w:r>
    </w:p>
  </w:footnote>
  <w:footnote w:id="34">
    <w:p w14:paraId="79E16721" w14:textId="77777777" w:rsidR="00D073BE" w:rsidRDefault="00D073BE" w:rsidP="00A96F05">
      <w:pPr>
        <w:pStyle w:val="FootnoteText"/>
        <w:bidi/>
        <w:rPr>
          <w:rtl/>
          <w:lang w:bidi="ar-BH"/>
        </w:rPr>
      </w:pPr>
      <w:r>
        <w:rPr>
          <w:rStyle w:val="FootnoteReference"/>
        </w:rPr>
        <w:footnoteRef/>
      </w:r>
      <w:r>
        <w:t xml:space="preserve"> </w:t>
      </w:r>
      <w:r w:rsidRPr="00B5410E">
        <w:rPr>
          <w:rFonts w:ascii="mylotus" w:hAnsi="mylotus" w:cs="mylotus" w:hint="cs"/>
          <w:rtl/>
        </w:rPr>
        <w:t>المصدر</w:t>
      </w:r>
      <w:r w:rsidRPr="00B5410E">
        <w:rPr>
          <w:rFonts w:ascii="mylotus" w:hAnsi="mylotus" w:cs="mylotus"/>
          <w:rtl/>
        </w:rPr>
        <w:t xml:space="preserve"> </w:t>
      </w:r>
      <w:r w:rsidRPr="00B5410E">
        <w:rPr>
          <w:rFonts w:ascii="mylotus" w:hAnsi="mylotus" w:cs="mylotus" w:hint="cs"/>
          <w:rtl/>
        </w:rPr>
        <w:t>السابق،</w:t>
      </w:r>
      <w:r w:rsidRPr="00B5410E">
        <w:rPr>
          <w:rFonts w:ascii="mylotus" w:hAnsi="mylotus" w:cs="mylotus"/>
          <w:rtl/>
        </w:rPr>
        <w:t xml:space="preserve"> </w:t>
      </w:r>
      <w:r w:rsidRPr="00B5410E">
        <w:rPr>
          <w:rFonts w:ascii="mylotus" w:hAnsi="mylotus" w:cs="mylotus" w:hint="cs"/>
          <w:rtl/>
        </w:rPr>
        <w:t>ص</w:t>
      </w:r>
      <w:r w:rsidRPr="00B5410E">
        <w:rPr>
          <w:rFonts w:ascii="mylotus" w:hAnsi="mylotus" w:cs="mylotus"/>
          <w:rtl/>
        </w:rPr>
        <w:t>281</w:t>
      </w:r>
      <w:r w:rsidRPr="00B5410E">
        <w:rPr>
          <w:rFonts w:ascii="mylotus" w:hAnsi="mylotus" w:cs="mylotus" w:hint="cs"/>
          <w:rtl/>
        </w:rPr>
        <w:t>.</w:t>
      </w:r>
    </w:p>
  </w:footnote>
  <w:footnote w:id="35">
    <w:p w14:paraId="573E5313" w14:textId="77777777" w:rsidR="00D073BE" w:rsidRPr="002E215A" w:rsidRDefault="00D073BE" w:rsidP="00A96F05">
      <w:pPr>
        <w:pStyle w:val="FootnoteText"/>
        <w:bidi/>
        <w:rPr>
          <w:rtl/>
          <w:lang w:bidi="ar-BH"/>
        </w:rPr>
      </w:pPr>
      <w:r>
        <w:rPr>
          <w:rStyle w:val="FootnoteReference"/>
        </w:rPr>
        <w:footnoteRef/>
      </w:r>
      <w:r>
        <w:t xml:space="preserve"> </w:t>
      </w:r>
      <w:r w:rsidRPr="002E215A">
        <w:rPr>
          <w:rFonts w:ascii="mylotus" w:hAnsi="mylotus" w:cs="mylotus"/>
          <w:rtl/>
        </w:rPr>
        <w:t xml:space="preserve">وسائل الشيعة، الحر العاملي، تحقيق مؤسسة آل البيت (عليهم السلام) لإحياء التراث، ج5، كتاب الصلاة، باب القيام، الباب 1 باب وجوبه في الفريضة مع القدرة، فإن عجز صلّى جالساً، ثمّ مضجعاً على الأيمن، ثمّ على الأيسر مستلقياً </w:t>
      </w:r>
      <w:proofErr w:type="spellStart"/>
      <w:r w:rsidRPr="002E215A">
        <w:rPr>
          <w:rFonts w:ascii="mylotus" w:hAnsi="mylotus" w:cs="mylotus"/>
          <w:rtl/>
        </w:rPr>
        <w:t>مومياً</w:t>
      </w:r>
      <w:proofErr w:type="spellEnd"/>
      <w:r w:rsidRPr="002E215A">
        <w:rPr>
          <w:rFonts w:ascii="mylotus" w:hAnsi="mylotus" w:cs="mylotus"/>
          <w:rtl/>
        </w:rPr>
        <w:t>، ويرفع ما يسجد عليه إن أمكن، وجملة من أحكام الضرورة، ح18</w:t>
      </w:r>
      <w:r>
        <w:rPr>
          <w:rFonts w:ascii="mylotus" w:hAnsi="mylotus" w:cs="mylotus" w:hint="cs"/>
          <w:rtl/>
        </w:rPr>
        <w:t>.</w:t>
      </w:r>
    </w:p>
  </w:footnote>
  <w:footnote w:id="36">
    <w:p w14:paraId="181B2FA7" w14:textId="77777777" w:rsidR="00954F52" w:rsidRDefault="00954F52" w:rsidP="00A96F05">
      <w:pPr>
        <w:pStyle w:val="FootnoteText"/>
        <w:bidi/>
        <w:rPr>
          <w:rtl/>
          <w:lang w:bidi="ar-BH"/>
        </w:rPr>
      </w:pPr>
      <w:r>
        <w:rPr>
          <w:rStyle w:val="FootnoteReference"/>
        </w:rPr>
        <w:footnoteRef/>
      </w:r>
      <w:r>
        <w:t xml:space="preserve"> </w:t>
      </w:r>
      <w:r w:rsidRPr="00854603">
        <w:rPr>
          <w:rFonts w:ascii="mylotus" w:hAnsi="mylotus" w:cs="mylotus"/>
          <w:rtl/>
        </w:rPr>
        <w:t>بحوث في شرح مناسك الحج، تقريرٌ لأبحاث السيد محمد رضا السيستاني، بقلم: أمجد رياض ونزار يوسف، دار المؤرخ العربي، الطبعة الثانية 1437هـ - 2016م، ج2، ص570</w:t>
      </w:r>
      <w:r w:rsidRPr="00854603">
        <w:rPr>
          <w:rFonts w:ascii="mylotus" w:hAnsi="mylotus" w:cs="mylotus" w:hint="cs"/>
          <w:rtl/>
        </w:rPr>
        <w:t>.</w:t>
      </w:r>
    </w:p>
  </w:footnote>
  <w:footnote w:id="37">
    <w:p w14:paraId="65FFDC21" w14:textId="77777777" w:rsidR="00954F52" w:rsidRDefault="00954F52" w:rsidP="00A96F05">
      <w:pPr>
        <w:pStyle w:val="FootnoteText"/>
        <w:bidi/>
        <w:rPr>
          <w:rtl/>
          <w:lang w:bidi="ar-BH"/>
        </w:rPr>
      </w:pPr>
      <w:r>
        <w:rPr>
          <w:rStyle w:val="FootnoteReference"/>
        </w:rPr>
        <w:footnoteRef/>
      </w:r>
      <w:r>
        <w:t xml:space="preserve"> </w:t>
      </w:r>
      <w:r w:rsidRPr="00854603">
        <w:rPr>
          <w:rFonts w:ascii="mylotus" w:hAnsi="mylotus" w:cs="mylotus"/>
          <w:rtl/>
        </w:rPr>
        <w:t xml:space="preserve">المصدر السابق، ص570 </w:t>
      </w:r>
      <w:r w:rsidRPr="00854603">
        <w:rPr>
          <w:rFonts w:ascii="Times New Roman" w:hAnsi="Times New Roman" w:cs="Times New Roman" w:hint="cs"/>
          <w:rtl/>
        </w:rPr>
        <w:t>–</w:t>
      </w:r>
      <w:r w:rsidRPr="00854603">
        <w:rPr>
          <w:rFonts w:ascii="mylotus" w:hAnsi="mylotus" w:cs="mylotus"/>
          <w:rtl/>
        </w:rPr>
        <w:t xml:space="preserve"> 571</w:t>
      </w:r>
      <w:r w:rsidRPr="00854603">
        <w:rPr>
          <w:rFonts w:ascii="mylotus" w:hAnsi="mylotus" w:cs="mylotus" w:hint="cs"/>
          <w:rtl/>
        </w:rPr>
        <w:t>.</w:t>
      </w:r>
    </w:p>
  </w:footnote>
  <w:footnote w:id="38">
    <w:p w14:paraId="23ACBC40" w14:textId="77777777" w:rsidR="00954F52" w:rsidRDefault="00954F52" w:rsidP="00A96F05">
      <w:pPr>
        <w:pStyle w:val="FootnoteText"/>
        <w:bidi/>
        <w:rPr>
          <w:rtl/>
          <w:lang w:bidi="ar-BH"/>
        </w:rPr>
      </w:pPr>
      <w:r>
        <w:rPr>
          <w:rStyle w:val="FootnoteReference"/>
        </w:rPr>
        <w:footnoteRef/>
      </w:r>
      <w:r>
        <w:t xml:space="preserve"> </w:t>
      </w:r>
      <w:r w:rsidRPr="00854603">
        <w:rPr>
          <w:rFonts w:ascii="mylotus" w:hAnsi="mylotus" w:cs="mylotus"/>
          <w:rtl/>
        </w:rPr>
        <w:t xml:space="preserve">المصدر السابق، ص576 </w:t>
      </w:r>
      <w:r w:rsidRPr="00854603">
        <w:rPr>
          <w:rFonts w:ascii="Times New Roman" w:hAnsi="Times New Roman" w:cs="Times New Roman" w:hint="cs"/>
          <w:rtl/>
        </w:rPr>
        <w:t>–</w:t>
      </w:r>
      <w:r w:rsidRPr="00854603">
        <w:rPr>
          <w:rFonts w:ascii="mylotus" w:hAnsi="mylotus" w:cs="mylotus"/>
          <w:rtl/>
        </w:rPr>
        <w:t xml:space="preserve"> 577</w:t>
      </w:r>
      <w:r w:rsidRPr="00854603">
        <w:rPr>
          <w:rFonts w:ascii="mylotus" w:hAnsi="mylotus" w:cs="mylotus" w:hint="cs"/>
          <w:rtl/>
        </w:rPr>
        <w:t>.</w:t>
      </w:r>
    </w:p>
  </w:footnote>
  <w:footnote w:id="39">
    <w:p w14:paraId="34BEAA0F" w14:textId="77777777" w:rsidR="00954F52" w:rsidRDefault="00954F52" w:rsidP="00A96F05">
      <w:pPr>
        <w:pStyle w:val="FootnoteText"/>
        <w:bidi/>
        <w:rPr>
          <w:rtl/>
          <w:lang w:bidi="ar-BH"/>
        </w:rPr>
      </w:pPr>
      <w:r>
        <w:rPr>
          <w:rStyle w:val="FootnoteReference"/>
        </w:rPr>
        <w:footnoteRef/>
      </w:r>
      <w:r>
        <w:t xml:space="preserve"> </w:t>
      </w:r>
      <w:r w:rsidRPr="00854603">
        <w:rPr>
          <w:rFonts w:ascii="mylotus" w:hAnsi="mylotus" w:cs="mylotus"/>
          <w:rtl/>
        </w:rPr>
        <w:t xml:space="preserve">المصدر السابق، ص577 </w:t>
      </w:r>
      <w:r w:rsidRPr="00854603">
        <w:rPr>
          <w:rFonts w:ascii="Times New Roman" w:hAnsi="Times New Roman" w:cs="Times New Roman"/>
          <w:rtl/>
        </w:rPr>
        <w:t>–</w:t>
      </w:r>
      <w:r w:rsidRPr="00854603">
        <w:rPr>
          <w:rFonts w:ascii="mylotus" w:hAnsi="mylotus" w:cs="mylotus"/>
          <w:rtl/>
        </w:rPr>
        <w:t xml:space="preserve"> 578</w:t>
      </w:r>
      <w:r w:rsidRPr="00854603">
        <w:rPr>
          <w:rFonts w:ascii="mylotus" w:hAnsi="mylotus" w:cs="mylotus" w:hint="cs"/>
          <w:rtl/>
        </w:rPr>
        <w:t>.</w:t>
      </w:r>
    </w:p>
  </w:footnote>
  <w:footnote w:id="40">
    <w:p w14:paraId="0A2D96F6" w14:textId="77777777" w:rsidR="00863DA8" w:rsidRDefault="00863DA8" w:rsidP="00A96F05">
      <w:pPr>
        <w:pStyle w:val="FootnoteText"/>
        <w:bidi/>
        <w:rPr>
          <w:rtl/>
          <w:lang w:bidi="ar-BH"/>
        </w:rPr>
      </w:pPr>
      <w:r>
        <w:rPr>
          <w:rStyle w:val="FootnoteReference"/>
        </w:rPr>
        <w:footnoteRef/>
      </w:r>
      <w:r>
        <w:t xml:space="preserve"> </w:t>
      </w:r>
      <w:r w:rsidRPr="00EE6A91">
        <w:rPr>
          <w:rFonts w:ascii="mylotus" w:hAnsi="mylotus" w:cs="mylotus"/>
          <w:rtl/>
        </w:rPr>
        <w:t xml:space="preserve">المحكم في أُصول الفقه، تأليف السيد محمد سعيد الطباطبائي الحكيم، دار الهلال، الطبعة الرابعة، ج6، ص324 </w:t>
      </w:r>
      <w:r w:rsidRPr="00EE6A91">
        <w:rPr>
          <w:rFonts w:ascii="Times New Roman" w:hAnsi="Times New Roman" w:cs="Times New Roman"/>
          <w:rtl/>
        </w:rPr>
        <w:t>–</w:t>
      </w:r>
      <w:r w:rsidRPr="00EE6A91">
        <w:rPr>
          <w:rFonts w:ascii="mylotus" w:hAnsi="mylotus" w:cs="mylotus"/>
          <w:rtl/>
        </w:rPr>
        <w:t xml:space="preserve"> 325</w:t>
      </w:r>
      <w:r w:rsidRPr="00EE6A91">
        <w:rPr>
          <w:rFonts w:ascii="mylotus" w:hAnsi="mylotus" w:cs="mylotus" w:hint="cs"/>
          <w:rtl/>
        </w:rPr>
        <w:t>.</w:t>
      </w:r>
    </w:p>
  </w:footnote>
  <w:footnote w:id="41">
    <w:p w14:paraId="12051271" w14:textId="77777777" w:rsidR="00863DA8" w:rsidRDefault="00863DA8" w:rsidP="00A96F05">
      <w:pPr>
        <w:pStyle w:val="FootnoteText"/>
        <w:bidi/>
        <w:rPr>
          <w:rtl/>
          <w:lang w:bidi="ar-BH"/>
        </w:rPr>
      </w:pPr>
      <w:r>
        <w:rPr>
          <w:rStyle w:val="FootnoteReference"/>
        </w:rPr>
        <w:footnoteRef/>
      </w:r>
      <w:r>
        <w:t xml:space="preserve"> </w:t>
      </w:r>
      <w:r w:rsidRPr="00854603">
        <w:rPr>
          <w:rFonts w:ascii="mylotus" w:hAnsi="mylotus" w:cs="mylotus"/>
          <w:rtl/>
        </w:rPr>
        <w:t>بحوث في شرح مناسك الحج، تقريرٌ لأبحاث السيد محمد رضا السيستاني، بقلم: أمجد رياض ونزار يوسف، دار المؤرخ العربي، الطبعة الثانية 1437هـ - 2016م، ج2، ص570</w:t>
      </w:r>
      <w:r w:rsidRPr="00854603">
        <w:rPr>
          <w:rFonts w:ascii="mylotus" w:hAnsi="mylotus" w:cs="mylotus" w:hint="cs"/>
          <w:rtl/>
        </w:rPr>
        <w:t>.</w:t>
      </w:r>
    </w:p>
  </w:footnote>
  <w:footnote w:id="42">
    <w:p w14:paraId="67A13FEE" w14:textId="77777777" w:rsidR="00863DA8" w:rsidRDefault="00863DA8" w:rsidP="00A96F05">
      <w:pPr>
        <w:pStyle w:val="FootnoteText"/>
        <w:bidi/>
        <w:rPr>
          <w:rtl/>
          <w:lang w:bidi="ar-BH"/>
        </w:rPr>
      </w:pPr>
      <w:r>
        <w:rPr>
          <w:rStyle w:val="FootnoteReference"/>
        </w:rPr>
        <w:footnoteRef/>
      </w:r>
      <w:r>
        <w:t xml:space="preserve"> </w:t>
      </w:r>
      <w:r>
        <w:rPr>
          <w:rFonts w:hint="cs"/>
          <w:rtl/>
          <w:lang w:bidi="ar-BH"/>
        </w:rPr>
        <w:t>مستدرك الوسائل ومستنبط المسائل، ج17، كتاب الغصب، أبواب كتاب إحياء الموات، الباب 1 باب أنّ من أحيا أرضاً مواتاً فهي له وعليه في حاصلها الزكاة بشرائطها، ح4، رقم (20905).</w:t>
      </w:r>
    </w:p>
  </w:footnote>
  <w:footnote w:id="43">
    <w:p w14:paraId="6AC17EA5" w14:textId="77777777" w:rsidR="00A87C4C" w:rsidRDefault="00A87C4C" w:rsidP="00A96F05">
      <w:pPr>
        <w:pStyle w:val="FootnoteText"/>
        <w:bidi/>
        <w:rPr>
          <w:rFonts w:ascii="almohsin" w:hAnsi="almohsin"/>
          <w:lang w:bidi="ar-BH"/>
        </w:rPr>
      </w:pPr>
      <w:r>
        <w:rPr>
          <w:rStyle w:val="FootnoteReference"/>
        </w:rPr>
        <w:footnoteRef/>
      </w:r>
      <w:r>
        <w:t xml:space="preserve"> </w:t>
      </w:r>
      <w:r>
        <w:rPr>
          <w:rFonts w:hint="cs"/>
          <w:rtl/>
          <w:lang w:bidi="ar-BH"/>
        </w:rPr>
        <w:t>كتاب الإجارة، مؤسسة دائرة معارف الفقه الإسلامي طبقاً لمذهب أهل البيت (عليهم السلام)، ج1، ص240.</w:t>
      </w:r>
    </w:p>
  </w:footnote>
  <w:footnote w:id="44">
    <w:p w14:paraId="1C2480BF" w14:textId="77777777" w:rsidR="00A87C4C" w:rsidRDefault="00A87C4C" w:rsidP="00A96F05">
      <w:pPr>
        <w:pStyle w:val="FootnoteText"/>
        <w:bidi/>
        <w:rPr>
          <w:rtl/>
          <w:lang w:bidi="ar-BH"/>
        </w:rPr>
      </w:pPr>
      <w:r>
        <w:rPr>
          <w:rStyle w:val="FootnoteReference"/>
        </w:rPr>
        <w:footnoteRef/>
      </w:r>
      <w:r>
        <w:t xml:space="preserve"> </w:t>
      </w:r>
      <w:r>
        <w:rPr>
          <w:rFonts w:ascii="mylotus" w:hAnsi="mylotus" w:cs="mylotus"/>
          <w:rtl/>
        </w:rPr>
        <w:t>مستمسك العروة الوثقى، تأليف السيد محسن الطباطبائي الحكيم، دار إحياء التراث العربي، ج12، ص37.</w:t>
      </w:r>
    </w:p>
  </w:footnote>
  <w:footnote w:id="45">
    <w:p w14:paraId="3F6BDC14" w14:textId="77777777" w:rsidR="00A87C4C" w:rsidRDefault="00A87C4C" w:rsidP="00A96F05">
      <w:pPr>
        <w:pStyle w:val="FootnoteText"/>
        <w:bidi/>
        <w:rPr>
          <w:rtl/>
          <w:lang w:bidi="ar-BH"/>
        </w:rPr>
      </w:pPr>
      <w:r>
        <w:rPr>
          <w:rStyle w:val="FootnoteReference"/>
        </w:rPr>
        <w:footnoteRef/>
      </w:r>
      <w:r>
        <w:t xml:space="preserve"> </w:t>
      </w:r>
      <w:r>
        <w:rPr>
          <w:rFonts w:ascii="mylotus" w:hAnsi="mylotus" w:cs="mylotus"/>
          <w:rtl/>
        </w:rPr>
        <w:t>مستمسك العروة الوثقى، تأليف السيد محسن الطباطبائي الحكيم، دار إحياء التراث العربي، ج10، ص119.</w:t>
      </w:r>
    </w:p>
  </w:footnote>
  <w:footnote w:id="46">
    <w:p w14:paraId="27E6CA0D" w14:textId="77777777" w:rsidR="00A87C4C" w:rsidRDefault="00A87C4C" w:rsidP="00A96F05">
      <w:pPr>
        <w:pStyle w:val="FootnoteText"/>
        <w:bidi/>
        <w:rPr>
          <w:rtl/>
          <w:lang w:bidi="ar-BH"/>
        </w:rPr>
      </w:pPr>
      <w:r>
        <w:rPr>
          <w:rStyle w:val="FootnoteReference"/>
        </w:rPr>
        <w:footnoteRef/>
      </w:r>
      <w:r>
        <w:t xml:space="preserve"> </w:t>
      </w:r>
      <w:r>
        <w:rPr>
          <w:rFonts w:ascii="mylotus" w:hAnsi="mylotus" w:cs="mylotus"/>
          <w:rtl/>
        </w:rPr>
        <w:t xml:space="preserve">مستمسك العروة الوثقى، تأليف السيد محسن الطباطبائي الحكيم، دار إحياء التراث العربي، ج6، ص131 </w:t>
      </w:r>
      <w:r>
        <w:rPr>
          <w:rFonts w:ascii="Times New Roman" w:hAnsi="Times New Roman" w:cs="Times New Roman"/>
          <w:rtl/>
        </w:rPr>
        <w:t>–</w:t>
      </w:r>
      <w:r>
        <w:rPr>
          <w:rFonts w:ascii="mylotus" w:hAnsi="mylotus" w:cs="mylotus"/>
          <w:rtl/>
        </w:rPr>
        <w:t xml:space="preserve"> 132.</w:t>
      </w:r>
    </w:p>
  </w:footnote>
  <w:footnote w:id="47">
    <w:p w14:paraId="5BE225F2" w14:textId="77777777" w:rsidR="00A87C4C" w:rsidRDefault="00A87C4C" w:rsidP="00A96F05">
      <w:pPr>
        <w:pStyle w:val="FootnoteText"/>
        <w:bidi/>
        <w:rPr>
          <w:rtl/>
          <w:lang w:bidi="ar-BH"/>
        </w:rPr>
      </w:pPr>
      <w:r>
        <w:rPr>
          <w:rStyle w:val="FootnoteReference"/>
        </w:rPr>
        <w:footnoteRef/>
      </w:r>
      <w:r>
        <w:t xml:space="preserve"> </w:t>
      </w:r>
      <w:r>
        <w:rPr>
          <w:rFonts w:ascii="mylotus" w:hAnsi="mylotus" w:cs="mylotus"/>
          <w:rtl/>
        </w:rPr>
        <w:t>سورة المائدة، 1.</w:t>
      </w:r>
    </w:p>
  </w:footnote>
  <w:footnote w:id="48">
    <w:p w14:paraId="21C5FEEE" w14:textId="77777777" w:rsidR="003D4065" w:rsidRDefault="003D4065" w:rsidP="00A96F05">
      <w:pPr>
        <w:pStyle w:val="FootnoteText"/>
        <w:bidi/>
        <w:rPr>
          <w:rFonts w:ascii="almohsin" w:hAnsi="almohsin"/>
          <w:lang w:bidi="ar-BH"/>
        </w:rPr>
      </w:pPr>
      <w:r>
        <w:rPr>
          <w:rStyle w:val="FootnoteReference"/>
        </w:rPr>
        <w:footnoteRef/>
      </w:r>
      <w:r>
        <w:t xml:space="preserve"> </w:t>
      </w:r>
      <w:r>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ص137.</w:t>
      </w:r>
    </w:p>
  </w:footnote>
  <w:footnote w:id="49">
    <w:p w14:paraId="43D1A237" w14:textId="77777777" w:rsidR="003D4065" w:rsidRDefault="003D4065" w:rsidP="00A96F05">
      <w:pPr>
        <w:pStyle w:val="FootnoteText"/>
        <w:bidi/>
        <w:rPr>
          <w:rtl/>
          <w:lang w:bidi="ar-BH"/>
        </w:rPr>
      </w:pPr>
      <w:r>
        <w:rPr>
          <w:rStyle w:val="FootnoteReference"/>
        </w:rPr>
        <w:footnoteRef/>
      </w:r>
      <w:r>
        <w:t xml:space="preserve"> </w:t>
      </w:r>
      <w:r>
        <w:rPr>
          <w:rFonts w:ascii="mylotus" w:hAnsi="mylotus" w:cs="mylotus"/>
          <w:rtl/>
        </w:rPr>
        <w:t>المصدر السابق.</w:t>
      </w:r>
    </w:p>
  </w:footnote>
  <w:footnote w:id="50">
    <w:p w14:paraId="5C48E2D5" w14:textId="77777777" w:rsidR="003D4065" w:rsidRDefault="003D4065" w:rsidP="00A96F05">
      <w:pPr>
        <w:pStyle w:val="FootnoteText"/>
        <w:bidi/>
        <w:rPr>
          <w:rtl/>
          <w:lang w:bidi="ar-BH"/>
        </w:rPr>
      </w:pPr>
      <w:r>
        <w:rPr>
          <w:rStyle w:val="FootnoteReference"/>
        </w:rPr>
        <w:footnoteRef/>
      </w:r>
      <w:r>
        <w:t xml:space="preserve"> </w:t>
      </w:r>
      <w:r>
        <w:rPr>
          <w:rFonts w:ascii="mylotus" w:hAnsi="mylotus" w:cs="mylotus"/>
          <w:rtl/>
        </w:rPr>
        <w:t>كتاب الإجارة، مؤسسة دائرة معارف الفقه الإسلامي طبقاً لمذهب أهل البيت (عليهم السلام)، ج1، ص241.</w:t>
      </w:r>
    </w:p>
  </w:footnote>
  <w:footnote w:id="51">
    <w:p w14:paraId="7332F0D3" w14:textId="77777777" w:rsidR="003D4065" w:rsidRDefault="003D4065" w:rsidP="00A96F05">
      <w:pPr>
        <w:pStyle w:val="FootnoteText"/>
        <w:bidi/>
        <w:rPr>
          <w:rtl/>
          <w:lang w:bidi="ar-BH"/>
        </w:rPr>
      </w:pPr>
      <w:r>
        <w:rPr>
          <w:rStyle w:val="FootnoteReference"/>
        </w:rPr>
        <w:footnoteRef/>
      </w:r>
      <w:r>
        <w:t xml:space="preserve"> </w:t>
      </w:r>
      <w:r>
        <w:rPr>
          <w:rFonts w:ascii="mylotus" w:hAnsi="mylotus" w:cs="mylotus"/>
          <w:rtl/>
        </w:rPr>
        <w:t>المصدر السابق، ص242.</w:t>
      </w:r>
    </w:p>
  </w:footnote>
  <w:footnote w:id="52">
    <w:p w14:paraId="044DBAA1" w14:textId="77777777" w:rsidR="003D4065" w:rsidRDefault="003D4065" w:rsidP="00A96F05">
      <w:pPr>
        <w:pStyle w:val="FootnoteText"/>
        <w:bidi/>
        <w:rPr>
          <w:rtl/>
          <w:lang w:bidi="ar-BH"/>
        </w:rPr>
      </w:pPr>
      <w:r>
        <w:rPr>
          <w:rStyle w:val="FootnoteReference"/>
        </w:rPr>
        <w:footnoteRef/>
      </w:r>
      <w:r>
        <w:t xml:space="preserve"> </w:t>
      </w:r>
      <w:r>
        <w:rPr>
          <w:rFonts w:ascii="mylotus" w:hAnsi="mylotus" w:cs="mylotus"/>
          <w:rtl/>
        </w:rPr>
        <w:t xml:space="preserve">المصدر السابق، ص241 </w:t>
      </w:r>
      <w:r>
        <w:rPr>
          <w:rFonts w:ascii="Times New Roman" w:hAnsi="Times New Roman" w:cs="Times New Roman"/>
          <w:rtl/>
        </w:rPr>
        <w:t>–</w:t>
      </w:r>
      <w:r>
        <w:rPr>
          <w:rFonts w:ascii="mylotus" w:hAnsi="mylotus" w:cs="mylotus"/>
          <w:rtl/>
        </w:rPr>
        <w:t xml:space="preserve"> 242.</w:t>
      </w:r>
    </w:p>
  </w:footnote>
  <w:footnote w:id="53">
    <w:p w14:paraId="34FD5C39" w14:textId="77777777" w:rsidR="003D4065" w:rsidRDefault="003D4065" w:rsidP="00A96F05">
      <w:pPr>
        <w:pStyle w:val="FootnoteText"/>
        <w:bidi/>
        <w:rPr>
          <w:rtl/>
          <w:lang w:bidi="ar-BH"/>
        </w:rPr>
      </w:pPr>
      <w:r>
        <w:rPr>
          <w:rStyle w:val="FootnoteReference"/>
        </w:rPr>
        <w:footnoteRef/>
      </w:r>
      <w:r>
        <w:t xml:space="preserve"> </w:t>
      </w:r>
      <w:r>
        <w:rPr>
          <w:rFonts w:ascii="mylotus" w:hAnsi="mylotus" w:cs="mylotus"/>
          <w:rtl/>
        </w:rPr>
        <w:t>المصدر السابق، ص242.</w:t>
      </w:r>
    </w:p>
  </w:footnote>
  <w:footnote w:id="54">
    <w:p w14:paraId="76C7D736" w14:textId="77777777" w:rsidR="003D4065" w:rsidRDefault="003D4065" w:rsidP="00A96F05">
      <w:pPr>
        <w:pStyle w:val="FootnoteText"/>
        <w:bidi/>
        <w:rPr>
          <w:rtl/>
          <w:lang w:bidi="ar-BH"/>
        </w:rPr>
      </w:pPr>
      <w:r>
        <w:rPr>
          <w:rStyle w:val="FootnoteReference"/>
        </w:rPr>
        <w:footnoteRef/>
      </w:r>
      <w:r>
        <w:t xml:space="preserve"> </w:t>
      </w:r>
      <w:r>
        <w:rPr>
          <w:rFonts w:ascii="mylotus" w:hAnsi="mylotus" w:cs="mylotus"/>
          <w:rtl/>
        </w:rPr>
        <w:t>موسوعة الإمام الخوئي، مؤسسة الخوئي الإسلامية، ج32، المباني في شرح العروة الوثقى، كتاب النكاح، تأليف حجة الإسلام والمسلمين الشهيد السيد محمد تقي الخوئي (رحمه الله)، فصل فيما يتعلّق بأحكام الدّخول على الزوجة وفيه مسائل، ص106.</w:t>
      </w:r>
    </w:p>
  </w:footnote>
  <w:footnote w:id="55">
    <w:p w14:paraId="6B983105" w14:textId="77777777" w:rsidR="003D4065" w:rsidRDefault="003D4065" w:rsidP="00A96F05">
      <w:pPr>
        <w:pStyle w:val="FootnoteText"/>
        <w:bidi/>
        <w:rPr>
          <w:rtl/>
          <w:lang w:bidi="ar-BH"/>
        </w:rPr>
      </w:pPr>
      <w:r>
        <w:rPr>
          <w:rStyle w:val="FootnoteReference"/>
        </w:rPr>
        <w:footnoteRef/>
      </w:r>
      <w:r>
        <w:t xml:space="preserve"> </w:t>
      </w:r>
      <w:r>
        <w:rPr>
          <w:rFonts w:ascii="mylotus" w:hAnsi="mylotus" w:cs="mylotus"/>
          <w:rtl/>
        </w:rPr>
        <w:t xml:space="preserve">سورة البقرة، </w:t>
      </w:r>
      <w:r>
        <w:rPr>
          <w:rFonts w:ascii="mylotus" w:hAnsi="mylotus" w:hint="cs"/>
          <w:rtl/>
        </w:rPr>
        <w:t>223.</w:t>
      </w:r>
    </w:p>
  </w:footnote>
  <w:footnote w:id="56">
    <w:p w14:paraId="489D7724" w14:textId="77777777" w:rsidR="003D4065" w:rsidRDefault="003D4065" w:rsidP="00A96F05">
      <w:pPr>
        <w:pStyle w:val="FootnoteText"/>
        <w:bidi/>
        <w:rPr>
          <w:rtl/>
          <w:lang w:bidi="ar-BH"/>
        </w:rPr>
      </w:pPr>
      <w:r>
        <w:rPr>
          <w:rStyle w:val="FootnoteReference"/>
        </w:rPr>
        <w:footnoteRef/>
      </w:r>
      <w:r>
        <w:t xml:space="preserve"> </w:t>
      </w:r>
      <w:r>
        <w:rPr>
          <w:rFonts w:ascii="mylotus" w:hAnsi="mylotus" w:cs="mylotus"/>
          <w:rtl/>
        </w:rPr>
        <w:t>سورة البقرة، 222.</w:t>
      </w:r>
    </w:p>
  </w:footnote>
  <w:footnote w:id="57">
    <w:p w14:paraId="5BF07053" w14:textId="77777777" w:rsidR="003D4065" w:rsidRDefault="003D4065" w:rsidP="00A96F05">
      <w:pPr>
        <w:pStyle w:val="FootnoteText"/>
        <w:bidi/>
        <w:rPr>
          <w:rtl/>
          <w:lang w:bidi="ar-BH"/>
        </w:rPr>
      </w:pPr>
      <w:r>
        <w:rPr>
          <w:rStyle w:val="FootnoteReference"/>
        </w:rPr>
        <w:footnoteRef/>
      </w:r>
      <w:r>
        <w:t xml:space="preserve"> </w:t>
      </w:r>
      <w:r>
        <w:rPr>
          <w:rFonts w:ascii="mylotus" w:hAnsi="mylotus" w:cs="mylotus"/>
          <w:rtl/>
        </w:rPr>
        <w:t>المصدر السابق، ص108.</w:t>
      </w:r>
    </w:p>
  </w:footnote>
  <w:footnote w:id="58">
    <w:p w14:paraId="32120E99" w14:textId="77777777" w:rsidR="003D4065" w:rsidRDefault="003D4065" w:rsidP="00A96F05">
      <w:pPr>
        <w:pStyle w:val="FootnoteText"/>
        <w:bidi/>
        <w:rPr>
          <w:rtl/>
          <w:lang w:bidi="ar-BH"/>
        </w:rPr>
      </w:pPr>
      <w:r>
        <w:rPr>
          <w:rStyle w:val="FootnoteReference"/>
        </w:rPr>
        <w:footnoteRef/>
      </w:r>
      <w:r>
        <w:t xml:space="preserve"> </w:t>
      </w:r>
      <w:r>
        <w:rPr>
          <w:rFonts w:ascii="mylotus" w:hAnsi="mylotus" w:hint="cs"/>
          <w:rtl/>
        </w:rPr>
        <w:t>وسائل الشيعة، الحر العاملي، تحقيق مؤسسة آل البيت (عليهم السلام) لإحياء التراث، ج20، كتاب النكاح، أبواب مقدّمات النكاح وآدابه، الباب 73 باب عدم وطء الزوجة والسرية في الدبر ح2.</w:t>
      </w:r>
    </w:p>
  </w:footnote>
  <w:footnote w:id="59">
    <w:p w14:paraId="61184A92" w14:textId="77777777" w:rsidR="009B0E5B" w:rsidRDefault="009B0E5B" w:rsidP="00A96F05">
      <w:pPr>
        <w:pStyle w:val="FootnoteText"/>
        <w:bidi/>
        <w:rPr>
          <w:rFonts w:ascii="almohsin" w:hAnsi="almohsin"/>
          <w:lang w:bidi="ar-BH"/>
        </w:rPr>
      </w:pPr>
      <w:r>
        <w:rPr>
          <w:rStyle w:val="FootnoteReference"/>
        </w:rPr>
        <w:footnoteRef/>
      </w:r>
      <w:r>
        <w:t xml:space="preserve"> </w:t>
      </w:r>
      <w:r>
        <w:rPr>
          <w:rFonts w:ascii="mylotus" w:hAnsi="mylotus" w:cs="mylotus"/>
          <w:rtl/>
        </w:rPr>
        <w:t>سورة البقرة، 223.</w:t>
      </w:r>
    </w:p>
  </w:footnote>
  <w:footnote w:id="60">
    <w:p w14:paraId="7BF1B5FA" w14:textId="77777777" w:rsidR="009B0E5B" w:rsidRDefault="009B0E5B" w:rsidP="00A96F05">
      <w:pPr>
        <w:pStyle w:val="FootnoteText"/>
        <w:bidi/>
        <w:rPr>
          <w:rtl/>
          <w:lang w:bidi="ar-BH"/>
        </w:rPr>
      </w:pPr>
      <w:r>
        <w:rPr>
          <w:rStyle w:val="FootnoteReference"/>
        </w:rPr>
        <w:footnoteRef/>
      </w:r>
      <w:r>
        <w:t xml:space="preserve"> </w:t>
      </w:r>
      <w:r>
        <w:rPr>
          <w:rFonts w:ascii="mylotus" w:hAnsi="mylotus" w:cs="mylotus"/>
          <w:rtl/>
        </w:rPr>
        <w:t>وسائل الشيعة، الحر العاملي، تحقيق مؤسسة آل البيت (عليهم السلام) لإحياء التراث، ج20، كتاب النكاح، أبواب مقدّمات النكاح وآدابه، الباب 73 باب عدم وطء الزوجة والسرية في الدبر، ح2.</w:t>
      </w:r>
    </w:p>
  </w:footnote>
  <w:footnote w:id="61">
    <w:p w14:paraId="02DF2A17" w14:textId="77777777" w:rsidR="009B0E5B" w:rsidRDefault="009B0E5B" w:rsidP="00A96F05">
      <w:pPr>
        <w:pStyle w:val="FootnoteText"/>
        <w:bidi/>
        <w:rPr>
          <w:rtl/>
          <w:lang w:bidi="ar-BH"/>
        </w:rPr>
      </w:pPr>
      <w:r>
        <w:rPr>
          <w:rStyle w:val="FootnoteReference"/>
        </w:rPr>
        <w:footnoteRef/>
      </w:r>
      <w:r>
        <w:t xml:space="preserve"> </w:t>
      </w:r>
      <w:r>
        <w:rPr>
          <w:rFonts w:ascii="mylotus" w:hAnsi="mylotus" w:cs="mylotus"/>
          <w:rtl/>
        </w:rPr>
        <w:t>وسائل الشيعة، الحر العاملي، تحقيق مؤسسة آل البيت (عليهم السلام) لإحياء التراث، ج20، كتاب النكاح، أبواب مقدّمات النكاح وآدابه، الباب 72 باب كراهة الوطء في الدبر وجواز الإتيان في الفرج من خلف وقدام، ح1.</w:t>
      </w:r>
    </w:p>
  </w:footnote>
  <w:footnote w:id="62">
    <w:p w14:paraId="465E67FB" w14:textId="77777777" w:rsidR="009B0E5B" w:rsidRDefault="009B0E5B" w:rsidP="00A96F05">
      <w:pPr>
        <w:pStyle w:val="FootnoteText"/>
        <w:bidi/>
        <w:rPr>
          <w:rtl/>
          <w:lang w:bidi="ar-BH"/>
        </w:rPr>
      </w:pPr>
      <w:r>
        <w:rPr>
          <w:rStyle w:val="FootnoteReference"/>
        </w:rPr>
        <w:footnoteRef/>
      </w:r>
      <w:r>
        <w:t xml:space="preserve"> </w:t>
      </w:r>
      <w:r>
        <w:rPr>
          <w:rFonts w:ascii="mylotus" w:hAnsi="mylotus" w:cs="mylotus"/>
          <w:rtl/>
        </w:rPr>
        <w:t>سورة البقرة، 222.</w:t>
      </w:r>
    </w:p>
  </w:footnote>
  <w:footnote w:id="63">
    <w:p w14:paraId="2EC7E7CC" w14:textId="77777777" w:rsidR="009B0E5B" w:rsidRDefault="009B0E5B" w:rsidP="00A96F05">
      <w:pPr>
        <w:pStyle w:val="FootnoteText"/>
        <w:bidi/>
        <w:rPr>
          <w:rtl/>
          <w:lang w:bidi="ar-BH"/>
        </w:rPr>
      </w:pPr>
      <w:r>
        <w:rPr>
          <w:rStyle w:val="FootnoteReference"/>
        </w:rPr>
        <w:footnoteRef/>
      </w:r>
      <w:r>
        <w:t xml:space="preserve"> </w:t>
      </w:r>
      <w:r>
        <w:rPr>
          <w:rFonts w:ascii="mylotus" w:hAnsi="mylotus" w:cs="mylotus"/>
          <w:rtl/>
        </w:rPr>
        <w:t>الكافي، للشيخ الكليني، دار الكتب الإسلامية، ج5، كتاب النكاح، باب حقّ الزوج على المرأة، ح1.</w:t>
      </w:r>
    </w:p>
  </w:footnote>
  <w:footnote w:id="64">
    <w:p w14:paraId="46143EE5" w14:textId="77777777" w:rsidR="009B0E5B" w:rsidRDefault="009B0E5B" w:rsidP="00A96F05">
      <w:pPr>
        <w:pStyle w:val="FootnoteText"/>
        <w:bidi/>
        <w:rPr>
          <w:rtl/>
          <w:lang w:bidi="ar-BH"/>
        </w:rPr>
      </w:pPr>
      <w:r>
        <w:rPr>
          <w:rStyle w:val="FootnoteReference"/>
        </w:rPr>
        <w:footnoteRef/>
      </w:r>
      <w:r>
        <w:t xml:space="preserve"> </w:t>
      </w:r>
      <w:r>
        <w:rPr>
          <w:rFonts w:ascii="mylotus" w:hAnsi="mylotus" w:cs="mylotus"/>
          <w:rtl/>
        </w:rPr>
        <w:t>كتاب الإجارة، مؤسسة دائرة معارف الفقه الإسلامي طبقاً لمذهب أهل البيت (عليهم السلام)، ج1، ص242.</w:t>
      </w:r>
    </w:p>
  </w:footnote>
  <w:footnote w:id="65">
    <w:p w14:paraId="11BDC377" w14:textId="77777777" w:rsidR="009B0E5B" w:rsidRDefault="009B0E5B" w:rsidP="00A96F05">
      <w:pPr>
        <w:pStyle w:val="FootnoteText"/>
        <w:bidi/>
        <w:rPr>
          <w:rtl/>
          <w:lang w:bidi="ar-BH"/>
        </w:rPr>
      </w:pPr>
      <w:r>
        <w:rPr>
          <w:rStyle w:val="FootnoteReference"/>
        </w:rPr>
        <w:footnoteRef/>
      </w:r>
      <w:r>
        <w:t xml:space="preserve"> </w:t>
      </w:r>
      <w:r>
        <w:rPr>
          <w:rFonts w:ascii="mylotus" w:hAnsi="mylotus" w:cs="mylotus"/>
          <w:rtl/>
        </w:rPr>
        <w:t>سورة المائدة، 1.</w:t>
      </w:r>
    </w:p>
  </w:footnote>
  <w:footnote w:id="66">
    <w:p w14:paraId="380071C4" w14:textId="77777777" w:rsidR="009B0E5B" w:rsidRDefault="009B0E5B" w:rsidP="00A96F05">
      <w:pPr>
        <w:pStyle w:val="FootnoteText"/>
        <w:bidi/>
        <w:rPr>
          <w:rtl/>
          <w:lang w:bidi="ar-BH"/>
        </w:rPr>
      </w:pPr>
      <w:r>
        <w:rPr>
          <w:rStyle w:val="FootnoteReference"/>
        </w:rPr>
        <w:footnoteRef/>
      </w:r>
      <w:r>
        <w:t xml:space="preserve"> </w:t>
      </w:r>
      <w:r>
        <w:rPr>
          <w:rFonts w:ascii="mylotus" w:hAnsi="mylotus" w:cs="mylotus"/>
          <w:rtl/>
        </w:rPr>
        <w:t>تهذيب الأحكام، شيخ الطائفة الطوسي، دار الكتب الإسلامية، ج7، كتاب النكاح، الباب 41 باب من الزيادات في فقه النكاح، ح80، رقم (1872).</w:t>
      </w:r>
    </w:p>
  </w:footnote>
  <w:footnote w:id="67">
    <w:p w14:paraId="04193543" w14:textId="77777777" w:rsidR="009B0E5B" w:rsidRDefault="009B0E5B" w:rsidP="00A96F05">
      <w:pPr>
        <w:pStyle w:val="FootnoteText"/>
        <w:bidi/>
        <w:rPr>
          <w:rtl/>
          <w:lang w:bidi="ar-BH"/>
        </w:rPr>
      </w:pPr>
      <w:r>
        <w:rPr>
          <w:rStyle w:val="FootnoteReference"/>
        </w:rPr>
        <w:footnoteRef/>
      </w:r>
      <w:r>
        <w:t xml:space="preserve"> </w:t>
      </w:r>
      <w:r>
        <w:rPr>
          <w:rFonts w:ascii="mylotus" w:hAnsi="mylotus" w:cs="mylotus"/>
          <w:rtl/>
        </w:rPr>
        <w:t>الكافي، الشيخ الكليني، دار الكتب الإسلامية، كتاب القضاء والأحكام، ج7، باب أدب الحكم، ح1.</w:t>
      </w:r>
    </w:p>
  </w:footnote>
  <w:footnote w:id="68">
    <w:p w14:paraId="561D02A3" w14:textId="77777777" w:rsidR="009B0E5B" w:rsidRDefault="009B0E5B" w:rsidP="00A96F05">
      <w:pPr>
        <w:pStyle w:val="FootnoteText"/>
        <w:bidi/>
        <w:rPr>
          <w:rtl/>
          <w:lang w:bidi="ar-BH"/>
        </w:rPr>
      </w:pPr>
      <w:r>
        <w:rPr>
          <w:rStyle w:val="FootnoteReference"/>
        </w:rPr>
        <w:footnoteRef/>
      </w:r>
      <w:r>
        <w:t xml:space="preserve"> </w:t>
      </w:r>
      <w:r>
        <w:rPr>
          <w:rFonts w:ascii="mylotus" w:hAnsi="mylotus" w:cs="mylotus"/>
          <w:rtl/>
        </w:rPr>
        <w:t>تهذيب الأحكام، شيخ الطائفة الطوسي، دار الكتب الإسلامية، ج7، كتاب النكاح، الباب 31 باب المهور والأجور وما ينعقد من النكاح من ذلك وما لا ينعقد، ح63</w:t>
      </w:r>
      <w:r>
        <w:rPr>
          <w:rFonts w:ascii="mylotus" w:hAnsi="mylotus" w:hint="cs"/>
          <w:rtl/>
        </w:rPr>
        <w:t xml:space="preserve">، </w:t>
      </w:r>
      <w:r>
        <w:rPr>
          <w:rFonts w:ascii="mylotus" w:hAnsi="mylotus" w:cs="mylotus"/>
          <w:rtl/>
        </w:rPr>
        <w:t>رقم</w:t>
      </w:r>
      <w:r>
        <w:rPr>
          <w:rFonts w:ascii="mylotus" w:hAnsi="mylotus"/>
        </w:rPr>
        <w:t xml:space="preserve"> (1500)</w:t>
      </w:r>
      <w:r>
        <w:rPr>
          <w:rFonts w:ascii="mylotus" w:hAnsi="mylotus" w:hint="cs"/>
          <w:rtl/>
        </w:rPr>
        <w:t>.</w:t>
      </w:r>
    </w:p>
  </w:footnote>
  <w:footnote w:id="69">
    <w:p w14:paraId="31FB0301" w14:textId="77777777" w:rsidR="009B0E5B" w:rsidRDefault="009B0E5B" w:rsidP="00A96F05">
      <w:pPr>
        <w:pStyle w:val="FootnoteText"/>
        <w:bidi/>
        <w:rPr>
          <w:rtl/>
          <w:lang w:bidi="ar-BH"/>
        </w:rPr>
      </w:pPr>
      <w:r>
        <w:rPr>
          <w:rStyle w:val="FootnoteReference"/>
        </w:rPr>
        <w:footnoteRef/>
      </w:r>
      <w:r>
        <w:t xml:space="preserve"> </w:t>
      </w:r>
      <w:r>
        <w:rPr>
          <w:rFonts w:ascii="mylotus" w:hAnsi="mylotus" w:cs="mylotus"/>
          <w:rtl/>
        </w:rPr>
        <w:t xml:space="preserve">موسوعة الإمام الخوئي، مؤسسة الخوئي الإسلامية، ج26، المعتمد في شرح العروة الوثقى، كتاب الحج، تأليف آية الله الشهيد السيد محمد رضا الموسوي </w:t>
      </w:r>
      <w:proofErr w:type="spellStart"/>
      <w:r>
        <w:rPr>
          <w:rFonts w:ascii="mylotus" w:hAnsi="mylotus" w:cs="mylotus"/>
          <w:rtl/>
        </w:rPr>
        <w:t>الخلخالي</w:t>
      </w:r>
      <w:proofErr w:type="spellEnd"/>
      <w:r>
        <w:rPr>
          <w:rFonts w:ascii="mylotus" w:hAnsi="mylotus" w:cs="mylotus"/>
          <w:rtl/>
        </w:rPr>
        <w:t xml:space="preserve"> (قدس سره)، ص189.</w:t>
      </w:r>
    </w:p>
  </w:footnote>
  <w:footnote w:id="70">
    <w:p w14:paraId="7D409F63" w14:textId="77777777" w:rsidR="00B43C27" w:rsidRDefault="00B43C27" w:rsidP="00A96F05">
      <w:pPr>
        <w:pStyle w:val="FootnoteText"/>
        <w:bidi/>
        <w:rPr>
          <w:rtl/>
          <w:lang w:bidi="ar-BH"/>
        </w:rPr>
      </w:pPr>
      <w:r>
        <w:rPr>
          <w:rStyle w:val="FootnoteReference"/>
        </w:rPr>
        <w:footnoteRef/>
      </w:r>
      <w:r>
        <w:t xml:space="preserve"> </w:t>
      </w:r>
      <w:r w:rsidRPr="00FA38AA">
        <w:rPr>
          <w:rFonts w:ascii="mylotus" w:hAnsi="mylotus" w:cs="mylotus"/>
          <w:rtl/>
        </w:rPr>
        <w:t xml:space="preserve">كتاب الإجارة، مؤسسة دائرة معارف الفقه الإسلامي طبقاً لمذهب أهل البيت (عليهم السلام)، ج1، ص257 </w:t>
      </w:r>
      <w:r w:rsidRPr="00FA38AA">
        <w:rPr>
          <w:rFonts w:ascii="Times New Roman" w:hAnsi="Times New Roman" w:cs="Times New Roman"/>
          <w:rtl/>
        </w:rPr>
        <w:t>–</w:t>
      </w:r>
      <w:r w:rsidRPr="00FA38AA">
        <w:rPr>
          <w:rFonts w:ascii="mylotus" w:hAnsi="mylotus" w:cs="mylotus"/>
          <w:rtl/>
        </w:rPr>
        <w:t xml:space="preserve"> 258</w:t>
      </w:r>
      <w:r w:rsidRPr="00FA38AA">
        <w:rPr>
          <w:rFonts w:ascii="mylotus" w:hAnsi="mylotus" w:cs="mylotus" w:hint="cs"/>
          <w:rtl/>
        </w:rPr>
        <w:t>.</w:t>
      </w:r>
    </w:p>
  </w:footnote>
  <w:footnote w:id="71">
    <w:p w14:paraId="332F8FBA" w14:textId="77777777" w:rsidR="00B43C27" w:rsidRDefault="00B43C27" w:rsidP="00A96F05">
      <w:pPr>
        <w:pStyle w:val="FootnoteText"/>
        <w:bidi/>
        <w:rPr>
          <w:rtl/>
          <w:lang w:bidi="ar-BH"/>
        </w:rPr>
      </w:pPr>
      <w:r>
        <w:rPr>
          <w:rStyle w:val="FootnoteReference"/>
        </w:rPr>
        <w:footnoteRef/>
      </w:r>
      <w:r>
        <w:t xml:space="preserve"> </w:t>
      </w:r>
      <w:r w:rsidRPr="00FA38AA">
        <w:rPr>
          <w:rFonts w:ascii="mylotus" w:hAnsi="mylotus" w:cs="mylotus"/>
          <w:rtl/>
        </w:rPr>
        <w:t>سورة المائدة، 1</w:t>
      </w:r>
      <w:r w:rsidRPr="00FA38AA">
        <w:rPr>
          <w:rFonts w:ascii="mylotus" w:hAnsi="mylotus" w:cs="mylotus" w:hint="cs"/>
          <w:rtl/>
        </w:rPr>
        <w:t>.</w:t>
      </w:r>
    </w:p>
  </w:footnote>
  <w:footnote w:id="72">
    <w:p w14:paraId="42A9A8AA" w14:textId="77777777" w:rsidR="00B43C27" w:rsidRDefault="00B43C27" w:rsidP="00A96F05">
      <w:pPr>
        <w:pStyle w:val="FootnoteText"/>
        <w:bidi/>
        <w:rPr>
          <w:rtl/>
          <w:lang w:bidi="ar-BH"/>
        </w:rPr>
      </w:pPr>
      <w:r>
        <w:rPr>
          <w:rStyle w:val="FootnoteReference"/>
        </w:rPr>
        <w:footnoteRef/>
      </w:r>
      <w:r>
        <w:t xml:space="preserve"> </w:t>
      </w:r>
      <w:r w:rsidRPr="00686240">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ص144</w:t>
      </w:r>
      <w:r w:rsidRPr="00686240">
        <w:rPr>
          <w:rFonts w:ascii="mylotus" w:hAnsi="mylotus" w:cs="mylotus" w:hint="cs"/>
          <w:rtl/>
        </w:rPr>
        <w:t>.</w:t>
      </w:r>
    </w:p>
  </w:footnote>
  <w:footnote w:id="73">
    <w:p w14:paraId="01B85049" w14:textId="77777777" w:rsidR="00B43C27" w:rsidRDefault="00B43C27" w:rsidP="00A96F05">
      <w:pPr>
        <w:pStyle w:val="FootnoteText"/>
        <w:bidi/>
        <w:rPr>
          <w:rtl/>
          <w:lang w:bidi="ar-BH"/>
        </w:rPr>
      </w:pPr>
      <w:r>
        <w:rPr>
          <w:rStyle w:val="FootnoteReference"/>
        </w:rPr>
        <w:footnoteRef/>
      </w:r>
      <w:r>
        <w:t xml:space="preserve"> </w:t>
      </w:r>
      <w:r w:rsidRPr="00686240">
        <w:rPr>
          <w:rFonts w:ascii="mylotus" w:hAnsi="mylotus" w:cs="mylotus"/>
          <w:rtl/>
        </w:rPr>
        <w:t xml:space="preserve">المصدر السابق، ص144 </w:t>
      </w:r>
      <w:r w:rsidRPr="00686240">
        <w:rPr>
          <w:rFonts w:ascii="Times New Roman" w:hAnsi="Times New Roman" w:cs="Times New Roman"/>
          <w:rtl/>
        </w:rPr>
        <w:t>–</w:t>
      </w:r>
      <w:r w:rsidRPr="00686240">
        <w:rPr>
          <w:rFonts w:ascii="mylotus" w:hAnsi="mylotus" w:cs="mylotus"/>
          <w:rtl/>
        </w:rPr>
        <w:t xml:space="preserve"> 145</w:t>
      </w:r>
      <w:r w:rsidRPr="00686240">
        <w:rPr>
          <w:rFonts w:ascii="mylotus" w:hAnsi="mylotus" w:cs="mylotus" w:hint="cs"/>
          <w:rtl/>
        </w:rPr>
        <w:t>.</w:t>
      </w:r>
    </w:p>
  </w:footnote>
  <w:footnote w:id="74">
    <w:p w14:paraId="16ECC1C9" w14:textId="77777777" w:rsidR="00B43C27" w:rsidRDefault="00B43C27" w:rsidP="00A96F05">
      <w:pPr>
        <w:pStyle w:val="FootnoteText"/>
        <w:bidi/>
        <w:rPr>
          <w:rtl/>
          <w:lang w:bidi="ar-BH"/>
        </w:rPr>
      </w:pPr>
      <w:r>
        <w:rPr>
          <w:rStyle w:val="FootnoteReference"/>
        </w:rPr>
        <w:footnoteRef/>
      </w:r>
      <w:r>
        <w:t xml:space="preserve"> </w:t>
      </w:r>
      <w:r w:rsidRPr="00686240">
        <w:rPr>
          <w:rFonts w:ascii="mylotus" w:hAnsi="mylotus" w:cs="mylotus"/>
          <w:rtl/>
        </w:rPr>
        <w:t>مصباح المنهاج، كتاب الشفعة وكتاب الإجارة، تأليف السيد محمد سعيد الطباطبائي الحكيم، دار الهلال، الطبعة الثانية، ص241</w:t>
      </w:r>
      <w:r w:rsidRPr="00686240">
        <w:rPr>
          <w:rFonts w:ascii="mylotus" w:hAnsi="mylotus" w:cs="mylotus" w:hint="cs"/>
          <w:rtl/>
        </w:rPr>
        <w:t>.</w:t>
      </w:r>
    </w:p>
  </w:footnote>
  <w:footnote w:id="75">
    <w:p w14:paraId="13D2F785" w14:textId="77777777" w:rsidR="00B43C27" w:rsidRDefault="00B43C27" w:rsidP="00A96F05">
      <w:pPr>
        <w:pStyle w:val="FootnoteText"/>
        <w:bidi/>
        <w:rPr>
          <w:rtl/>
          <w:lang w:bidi="ar-BH"/>
        </w:rPr>
      </w:pPr>
      <w:r>
        <w:rPr>
          <w:rStyle w:val="FootnoteReference"/>
        </w:rPr>
        <w:footnoteRef/>
      </w:r>
      <w:r>
        <w:t xml:space="preserve"> </w:t>
      </w:r>
      <w:r w:rsidRPr="00686240">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ص144</w:t>
      </w:r>
      <w:r w:rsidRPr="00686240">
        <w:rPr>
          <w:rFonts w:ascii="mylotus" w:hAnsi="mylotus" w:cs="mylotus" w:hint="cs"/>
          <w:rtl/>
        </w:rPr>
        <w:t>.</w:t>
      </w:r>
    </w:p>
  </w:footnote>
  <w:footnote w:id="76">
    <w:p w14:paraId="2BD5DD09" w14:textId="77777777" w:rsidR="00FE27B0" w:rsidRDefault="00FE27B0" w:rsidP="00A96F05">
      <w:pPr>
        <w:pStyle w:val="FootnoteText"/>
        <w:bidi/>
        <w:rPr>
          <w:rFonts w:ascii="almohsin" w:hAnsi="almohsin"/>
          <w:lang w:bidi="ar-BH"/>
        </w:rPr>
      </w:pPr>
      <w:r>
        <w:rPr>
          <w:rStyle w:val="FootnoteReference"/>
        </w:rPr>
        <w:footnoteRef/>
      </w:r>
      <w:r>
        <w:t xml:space="preserve"> </w:t>
      </w:r>
      <w:r>
        <w:rPr>
          <w:rFonts w:ascii="mylotus" w:hAnsi="mylotus" w:cs="mylotus"/>
          <w:rtl/>
        </w:rPr>
        <w:t>حاشية كتاب المكاسب، تأليف سماحة آية الله العظمى المحقق الفقيه الشيخ محمد حسين الأصفهاني، تحقيق الشيخ عباس محمد آل سباع القطيفي، دار المصطفى (صلى الله عليه وآله) لإحياء التراث، ج4، ص432.</w:t>
      </w:r>
    </w:p>
  </w:footnote>
  <w:footnote w:id="77">
    <w:p w14:paraId="468D5F56" w14:textId="77777777" w:rsidR="00FE27B0" w:rsidRDefault="00FE27B0" w:rsidP="00A96F05">
      <w:pPr>
        <w:pStyle w:val="FootnoteText"/>
        <w:bidi/>
        <w:rPr>
          <w:rtl/>
          <w:lang w:bidi="ar-BH"/>
        </w:rPr>
      </w:pPr>
      <w:r>
        <w:rPr>
          <w:rStyle w:val="FootnoteReference"/>
        </w:rPr>
        <w:footnoteRef/>
      </w:r>
      <w:r>
        <w:t xml:space="preserve"> </w:t>
      </w:r>
      <w:r>
        <w:rPr>
          <w:rFonts w:ascii="mylotus" w:hAnsi="mylotus" w:cs="mylotus"/>
          <w:rtl/>
        </w:rPr>
        <w:t>مصباح المنهاج، كتاب الشفعة وكتاب الإجارة، تأليف السيد محمد سعيد الطباطبائي الحكيم، دار الهلال، الطبعة الثانية، ص241.</w:t>
      </w:r>
    </w:p>
  </w:footnote>
  <w:footnote w:id="78">
    <w:p w14:paraId="388F4181" w14:textId="77777777" w:rsidR="00FE27B0" w:rsidRDefault="00FE27B0" w:rsidP="00A96F05">
      <w:pPr>
        <w:pStyle w:val="FootnoteText"/>
        <w:bidi/>
        <w:rPr>
          <w:rtl/>
          <w:lang w:bidi="ar-BH"/>
        </w:rPr>
      </w:pPr>
      <w:r>
        <w:rPr>
          <w:rStyle w:val="FootnoteReference"/>
        </w:rPr>
        <w:footnoteRef/>
      </w:r>
      <w:r>
        <w:t xml:space="preserve"> </w:t>
      </w:r>
      <w:r>
        <w:rPr>
          <w:rFonts w:ascii="mylotus" w:hAnsi="mylotus" w:cs="mylotus"/>
          <w:rtl/>
        </w:rPr>
        <w:t>بغية الراغب في مباني المكاسب، تقرير لأبحاث سماحة آية الله العظمى الشيخ الوحيد الخراساني (دام ظله) في الخيارات، بقلم نزار آل سنبل القطيفي، الناشر: مدرسة الإمام باقر العلوم (عليه السلام)، الطبعة الأولى، ج4، ص352.</w:t>
      </w:r>
    </w:p>
  </w:footnote>
  <w:footnote w:id="79">
    <w:p w14:paraId="6AD0D4D7" w14:textId="77777777" w:rsidR="00FE27B0" w:rsidRDefault="00FE27B0" w:rsidP="00A96F05">
      <w:pPr>
        <w:pStyle w:val="FootnoteText"/>
        <w:bidi/>
        <w:rPr>
          <w:rtl/>
          <w:lang w:bidi="ar-BH"/>
        </w:rPr>
      </w:pPr>
      <w:r>
        <w:rPr>
          <w:rStyle w:val="FootnoteReference"/>
        </w:rPr>
        <w:footnoteRef/>
      </w:r>
      <w:r>
        <w:t xml:space="preserve"> </w:t>
      </w:r>
      <w:r>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ص143.</w:t>
      </w:r>
    </w:p>
  </w:footnote>
  <w:footnote w:id="80">
    <w:p w14:paraId="742FAA01" w14:textId="77777777" w:rsidR="00DC0FB5" w:rsidRDefault="00DC0FB5" w:rsidP="00A96F05">
      <w:pPr>
        <w:pStyle w:val="FootnoteText"/>
        <w:bidi/>
        <w:rPr>
          <w:rFonts w:ascii="almohsin" w:hAnsi="almohsin"/>
          <w:lang w:bidi="ar-BH"/>
        </w:rPr>
      </w:pPr>
      <w:r>
        <w:rPr>
          <w:rStyle w:val="FootnoteReference"/>
        </w:rPr>
        <w:footnoteRef/>
      </w:r>
      <w:r>
        <w:t xml:space="preserve"> </w:t>
      </w:r>
      <w:r>
        <w:rPr>
          <w:rFonts w:ascii="mylotus" w:hAnsi="mylotus" w:cs="mylotus"/>
          <w:rtl/>
        </w:rPr>
        <w:t xml:space="preserve">بغية الراغب في مباني المكاسب، تقرير لأبحاث سماحة آية الله العظمى الشيخ الوحيد الخراساني (دام ظله) في الخيارات، بقلم نزار آل سنبل القطيفي، الناشر: مدرسة الإمام باقر العلوم (عليه السلام)، الطبعة الأولى، ج4، ص351 </w:t>
      </w:r>
      <w:r>
        <w:rPr>
          <w:rFonts w:ascii="Times New Roman" w:hAnsi="Times New Roman" w:cs="Times New Roman"/>
          <w:rtl/>
        </w:rPr>
        <w:t>–</w:t>
      </w:r>
      <w:r>
        <w:rPr>
          <w:rFonts w:ascii="mylotus" w:hAnsi="mylotus" w:cs="mylotus"/>
          <w:rtl/>
        </w:rPr>
        <w:t xml:space="preserve"> 352</w:t>
      </w:r>
      <w:r>
        <w:rPr>
          <w:rFonts w:ascii="mylotus" w:hAnsi="mylotus" w:hint="cs"/>
          <w:rtl/>
        </w:rPr>
        <w:t>.</w:t>
      </w:r>
    </w:p>
  </w:footnote>
  <w:footnote w:id="81">
    <w:p w14:paraId="6399ED36" w14:textId="77777777" w:rsidR="00DC0FB5" w:rsidRDefault="00DC0FB5" w:rsidP="00A96F05">
      <w:pPr>
        <w:pStyle w:val="FootnoteText"/>
        <w:bidi/>
        <w:rPr>
          <w:rtl/>
          <w:lang w:bidi="ar-BH"/>
        </w:rPr>
      </w:pPr>
      <w:r>
        <w:rPr>
          <w:rStyle w:val="FootnoteReference"/>
        </w:rPr>
        <w:footnoteRef/>
      </w:r>
      <w:r>
        <w:t xml:space="preserve"> </w:t>
      </w:r>
      <w:r>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ص145.</w:t>
      </w:r>
    </w:p>
  </w:footnote>
  <w:footnote w:id="82">
    <w:p w14:paraId="232E0C68" w14:textId="77777777" w:rsidR="00DC0FB5" w:rsidRDefault="00DC0FB5" w:rsidP="00A96F05">
      <w:pPr>
        <w:pStyle w:val="FootnoteText"/>
        <w:bidi/>
        <w:rPr>
          <w:rtl/>
          <w:lang w:bidi="ar-BH"/>
        </w:rPr>
      </w:pPr>
      <w:r>
        <w:rPr>
          <w:rStyle w:val="FootnoteReference"/>
        </w:rPr>
        <w:footnoteRef/>
      </w:r>
      <w:r>
        <w:t xml:space="preserve"> </w:t>
      </w:r>
      <w:r>
        <w:rPr>
          <w:rFonts w:ascii="mylotus" w:hAnsi="mylotus" w:cs="mylotus"/>
          <w:rtl/>
        </w:rPr>
        <w:t>المصدر السابق، ص146.</w:t>
      </w:r>
    </w:p>
  </w:footnote>
  <w:footnote w:id="83">
    <w:p w14:paraId="389EB8D0" w14:textId="77777777" w:rsidR="00DC0FB5" w:rsidRDefault="00DC0FB5" w:rsidP="00A96F05">
      <w:pPr>
        <w:pStyle w:val="FootnoteText"/>
        <w:bidi/>
        <w:rPr>
          <w:rtl/>
          <w:lang w:bidi="ar-BH"/>
        </w:rPr>
      </w:pPr>
      <w:r>
        <w:rPr>
          <w:rStyle w:val="FootnoteReference"/>
        </w:rPr>
        <w:footnoteRef/>
      </w:r>
      <w:r>
        <w:t xml:space="preserve"> </w:t>
      </w:r>
      <w:r>
        <w:rPr>
          <w:rFonts w:ascii="mylotus" w:hAnsi="mylotus" w:cs="mylotus"/>
          <w:rtl/>
        </w:rPr>
        <w:t>المصدر السابق، ص145.</w:t>
      </w:r>
    </w:p>
  </w:footnote>
  <w:footnote w:id="84">
    <w:p w14:paraId="3C24E4E5" w14:textId="77777777" w:rsidR="00DC0FB5" w:rsidRDefault="00DC0FB5" w:rsidP="00A96F05">
      <w:pPr>
        <w:pStyle w:val="FootnoteText"/>
        <w:bidi/>
        <w:rPr>
          <w:rtl/>
          <w:lang w:bidi="ar-BH"/>
        </w:rPr>
      </w:pPr>
      <w:r>
        <w:rPr>
          <w:rStyle w:val="FootnoteReference"/>
        </w:rPr>
        <w:footnoteRef/>
      </w:r>
      <w:r>
        <w:t xml:space="preserve"> </w:t>
      </w:r>
      <w:r>
        <w:rPr>
          <w:rFonts w:ascii="mylotus" w:hAnsi="mylotus" w:cs="mylotus"/>
          <w:rtl/>
        </w:rPr>
        <w:t>المصدر السابق.</w:t>
      </w:r>
    </w:p>
  </w:footnote>
  <w:footnote w:id="85">
    <w:p w14:paraId="1D1F6F71" w14:textId="77777777" w:rsidR="001F47FD" w:rsidRDefault="001F47FD" w:rsidP="00A96F05">
      <w:pPr>
        <w:pStyle w:val="FootnoteText"/>
        <w:bidi/>
        <w:rPr>
          <w:rtl/>
          <w:lang w:bidi="ar-BH"/>
        </w:rPr>
      </w:pPr>
      <w:r>
        <w:rPr>
          <w:rStyle w:val="FootnoteReference"/>
        </w:rPr>
        <w:footnoteRef/>
      </w:r>
      <w:r>
        <w:t xml:space="preserve"> </w:t>
      </w:r>
      <w:r w:rsidRPr="00085BA9">
        <w:rPr>
          <w:rFonts w:ascii="mylotus" w:hAnsi="mylotus" w:cs="mylotus"/>
          <w:rtl/>
        </w:rPr>
        <w:t xml:space="preserve">كتاب الإجارة، مؤسسة دائرة معارف الفقه الإسلامي طبقاً لمذهب أهل البيت (عليهم السلام)، ج1، ص258 </w:t>
      </w:r>
      <w:r w:rsidRPr="00085BA9">
        <w:rPr>
          <w:rFonts w:ascii="Times New Roman" w:hAnsi="Times New Roman" w:cs="Times New Roman" w:hint="cs"/>
          <w:rtl/>
        </w:rPr>
        <w:t>–</w:t>
      </w:r>
      <w:r w:rsidRPr="00085BA9">
        <w:rPr>
          <w:rFonts w:ascii="mylotus" w:hAnsi="mylotus" w:cs="mylotus"/>
          <w:rtl/>
        </w:rPr>
        <w:t xml:space="preserve"> 259.</w:t>
      </w:r>
    </w:p>
  </w:footnote>
  <w:footnote w:id="86">
    <w:p w14:paraId="5A02F108" w14:textId="77777777" w:rsidR="001F47FD" w:rsidRDefault="001F47FD" w:rsidP="00A96F05">
      <w:pPr>
        <w:pStyle w:val="FootnoteText"/>
        <w:bidi/>
        <w:rPr>
          <w:rtl/>
          <w:lang w:bidi="ar-BH"/>
        </w:rPr>
      </w:pPr>
      <w:r>
        <w:rPr>
          <w:rStyle w:val="FootnoteReference"/>
        </w:rPr>
        <w:footnoteRef/>
      </w:r>
      <w:r>
        <w:t xml:space="preserve"> </w:t>
      </w:r>
      <w:r w:rsidRPr="00085BA9">
        <w:rPr>
          <w:rFonts w:ascii="mylotus" w:hAnsi="mylotus" w:cs="mylotus"/>
          <w:rtl/>
        </w:rPr>
        <w:t>المصدر السابق، ص259.</w:t>
      </w:r>
    </w:p>
  </w:footnote>
  <w:footnote w:id="87">
    <w:p w14:paraId="3DE5957A" w14:textId="77777777" w:rsidR="001F47FD" w:rsidRDefault="001F47FD" w:rsidP="00A96F05">
      <w:pPr>
        <w:pStyle w:val="FootnoteText"/>
        <w:bidi/>
        <w:rPr>
          <w:rtl/>
          <w:lang w:bidi="ar-BH"/>
        </w:rPr>
      </w:pPr>
      <w:r>
        <w:rPr>
          <w:rStyle w:val="FootnoteReference"/>
        </w:rPr>
        <w:footnoteRef/>
      </w:r>
      <w:r>
        <w:t xml:space="preserve"> </w:t>
      </w:r>
      <w:r w:rsidRPr="00085BA9">
        <w:rPr>
          <w:rFonts w:ascii="mylotus" w:hAnsi="mylotus" w:cs="mylotus"/>
          <w:rtl/>
        </w:rPr>
        <w:t>المصدر السابق</w:t>
      </w:r>
      <w:r w:rsidRPr="00085BA9">
        <w:rPr>
          <w:rFonts w:ascii="mylotus" w:hAnsi="mylotus" w:cs="mylotus" w:hint="cs"/>
          <w:rtl/>
        </w:rPr>
        <w:t>.</w:t>
      </w:r>
    </w:p>
  </w:footnote>
  <w:footnote w:id="88">
    <w:p w14:paraId="2BA42D6F" w14:textId="77777777" w:rsidR="001F47FD" w:rsidRDefault="001F47FD" w:rsidP="00A96F05">
      <w:pPr>
        <w:pStyle w:val="FootnoteText"/>
        <w:bidi/>
        <w:rPr>
          <w:rtl/>
          <w:lang w:bidi="ar-BH"/>
        </w:rPr>
      </w:pPr>
      <w:r>
        <w:rPr>
          <w:rStyle w:val="FootnoteReference"/>
        </w:rPr>
        <w:footnoteRef/>
      </w:r>
      <w:r>
        <w:t xml:space="preserve"> </w:t>
      </w:r>
      <w:r w:rsidRPr="00C36F64">
        <w:rPr>
          <w:rFonts w:ascii="mylotus" w:hAnsi="mylotus" w:cs="mylotus"/>
          <w:rtl/>
        </w:rPr>
        <w:t xml:space="preserve">موسوعة الإمام الخوئي، مؤسسة الخوئي الإسلامية، ج30، المستند في شرح العروة الوثقى، كتاب الإجارة، تأليف آية الله الشهيد الشيخ مرتضى البروجردي (قدس سره)، ص145 </w:t>
      </w:r>
      <w:r w:rsidRPr="00C36F64">
        <w:rPr>
          <w:rFonts w:ascii="Times New Roman" w:hAnsi="Times New Roman" w:cs="Times New Roman" w:hint="cs"/>
          <w:rtl/>
        </w:rPr>
        <w:t>–</w:t>
      </w:r>
      <w:r w:rsidRPr="00C36F64">
        <w:rPr>
          <w:rFonts w:ascii="mylotus" w:hAnsi="mylotus" w:cs="mylotus"/>
          <w:rtl/>
        </w:rPr>
        <w:t xml:space="preserve"> 146.</w:t>
      </w:r>
    </w:p>
  </w:footnote>
  <w:footnote w:id="89">
    <w:p w14:paraId="546FB312" w14:textId="77777777" w:rsidR="001F47FD" w:rsidRDefault="001F47FD" w:rsidP="00A96F05">
      <w:pPr>
        <w:pStyle w:val="FootnoteText"/>
        <w:bidi/>
        <w:rPr>
          <w:rtl/>
          <w:lang w:bidi="ar-BH"/>
        </w:rPr>
      </w:pPr>
      <w:r>
        <w:rPr>
          <w:rStyle w:val="FootnoteReference"/>
        </w:rPr>
        <w:footnoteRef/>
      </w:r>
      <w:r>
        <w:t xml:space="preserve"> </w:t>
      </w:r>
      <w:r w:rsidRPr="00C36F64">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ص146.</w:t>
      </w:r>
    </w:p>
  </w:footnote>
  <w:footnote w:id="90">
    <w:p w14:paraId="7B93B4DA" w14:textId="77777777" w:rsidR="00D578EE" w:rsidRDefault="00D578EE" w:rsidP="00A96F05">
      <w:pPr>
        <w:pStyle w:val="FootnoteText"/>
        <w:bidi/>
        <w:rPr>
          <w:rtl/>
          <w:lang w:bidi="ar-BH"/>
        </w:rPr>
      </w:pPr>
      <w:r>
        <w:rPr>
          <w:rStyle w:val="FootnoteReference"/>
        </w:rPr>
        <w:footnoteRef/>
      </w:r>
      <w:r>
        <w:t xml:space="preserve"> </w:t>
      </w:r>
      <w:r w:rsidRPr="00085BA9">
        <w:rPr>
          <w:rFonts w:ascii="mylotus" w:hAnsi="mylotus" w:cs="mylotus"/>
          <w:rtl/>
        </w:rPr>
        <w:t xml:space="preserve">كتاب الإجارة، مؤسسة دائرة معارف الفقه الإسلامي طبقاً لمذهب أهل البيت (عليهم السلام)، ج1، ص258 </w:t>
      </w:r>
      <w:r w:rsidRPr="00085BA9">
        <w:rPr>
          <w:rFonts w:ascii="Times New Roman" w:hAnsi="Times New Roman" w:cs="Times New Roman" w:hint="cs"/>
          <w:rtl/>
        </w:rPr>
        <w:t>–</w:t>
      </w:r>
      <w:r w:rsidRPr="00085BA9">
        <w:rPr>
          <w:rFonts w:ascii="mylotus" w:hAnsi="mylotus" w:cs="mylotus"/>
          <w:rtl/>
        </w:rPr>
        <w:t xml:space="preserve"> 259.</w:t>
      </w:r>
    </w:p>
  </w:footnote>
  <w:footnote w:id="91">
    <w:p w14:paraId="6C8E01D5" w14:textId="77777777" w:rsidR="00D578EE" w:rsidRDefault="00D578EE" w:rsidP="00A96F05">
      <w:pPr>
        <w:pStyle w:val="FootnoteText"/>
        <w:bidi/>
        <w:rPr>
          <w:rtl/>
          <w:lang w:bidi="ar-BH"/>
        </w:rPr>
      </w:pPr>
      <w:r>
        <w:rPr>
          <w:rStyle w:val="FootnoteReference"/>
        </w:rPr>
        <w:footnoteRef/>
      </w:r>
      <w:r>
        <w:t xml:space="preserve"> </w:t>
      </w:r>
      <w:r w:rsidRPr="00085BA9">
        <w:rPr>
          <w:rFonts w:ascii="mylotus" w:hAnsi="mylotus" w:cs="mylotus"/>
          <w:rtl/>
        </w:rPr>
        <w:t>المصدر السابق، ص259.</w:t>
      </w:r>
    </w:p>
  </w:footnote>
  <w:footnote w:id="92">
    <w:p w14:paraId="1EE94549" w14:textId="77777777" w:rsidR="00D578EE" w:rsidRDefault="00D578EE" w:rsidP="00A96F05">
      <w:pPr>
        <w:pStyle w:val="FootnoteText"/>
        <w:bidi/>
        <w:rPr>
          <w:rtl/>
          <w:lang w:bidi="ar-BH"/>
        </w:rPr>
      </w:pPr>
      <w:r>
        <w:rPr>
          <w:rStyle w:val="FootnoteReference"/>
        </w:rPr>
        <w:footnoteRef/>
      </w:r>
      <w:r>
        <w:t xml:space="preserve"> </w:t>
      </w:r>
      <w:r w:rsidRPr="00085BA9">
        <w:rPr>
          <w:rFonts w:ascii="mylotus" w:hAnsi="mylotus" w:cs="mylotus"/>
          <w:rtl/>
        </w:rPr>
        <w:t>المصدر السابق</w:t>
      </w:r>
      <w:r w:rsidRPr="00085BA9">
        <w:rPr>
          <w:rFonts w:ascii="mylotus" w:hAnsi="mylotus" w:cs="mylotus" w:hint="cs"/>
          <w:rtl/>
        </w:rPr>
        <w:t>.</w:t>
      </w:r>
    </w:p>
  </w:footnote>
  <w:footnote w:id="93">
    <w:p w14:paraId="7613D390" w14:textId="77777777" w:rsidR="00D578EE" w:rsidRDefault="00D578EE" w:rsidP="00A96F05">
      <w:pPr>
        <w:pStyle w:val="FootnoteText"/>
        <w:bidi/>
        <w:rPr>
          <w:rtl/>
          <w:lang w:bidi="ar-BH"/>
        </w:rPr>
      </w:pPr>
      <w:r>
        <w:rPr>
          <w:rStyle w:val="FootnoteReference"/>
        </w:rPr>
        <w:footnoteRef/>
      </w:r>
      <w:r>
        <w:t xml:space="preserve"> </w:t>
      </w:r>
      <w:r w:rsidRPr="00C36F64">
        <w:rPr>
          <w:rFonts w:ascii="mylotus" w:hAnsi="mylotus" w:cs="mylotus"/>
          <w:rtl/>
        </w:rPr>
        <w:t xml:space="preserve">موسوعة الإمام الخوئي، مؤسسة الخوئي الإسلامية، ج30، المستند في شرح العروة الوثقى، كتاب الإجارة، تأليف آية الله الشهيد الشيخ مرتضى البروجردي (قدس سره)، ص145 </w:t>
      </w:r>
      <w:r w:rsidRPr="00C36F64">
        <w:rPr>
          <w:rFonts w:ascii="Times New Roman" w:hAnsi="Times New Roman" w:cs="Times New Roman" w:hint="cs"/>
          <w:rtl/>
        </w:rPr>
        <w:t>–</w:t>
      </w:r>
      <w:r w:rsidRPr="00C36F64">
        <w:rPr>
          <w:rFonts w:ascii="mylotus" w:hAnsi="mylotus" w:cs="mylotus"/>
          <w:rtl/>
        </w:rPr>
        <w:t xml:space="preserve"> 146.</w:t>
      </w:r>
    </w:p>
  </w:footnote>
  <w:footnote w:id="94">
    <w:p w14:paraId="71A8378A" w14:textId="77777777" w:rsidR="00D578EE" w:rsidRDefault="00D578EE" w:rsidP="00A96F05">
      <w:pPr>
        <w:pStyle w:val="FootnoteText"/>
        <w:bidi/>
        <w:rPr>
          <w:rtl/>
          <w:lang w:bidi="ar-BH"/>
        </w:rPr>
      </w:pPr>
      <w:r>
        <w:rPr>
          <w:rStyle w:val="FootnoteReference"/>
        </w:rPr>
        <w:footnoteRef/>
      </w:r>
      <w:r>
        <w:t xml:space="preserve"> </w:t>
      </w:r>
      <w:r w:rsidRPr="00C36F64">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ص146.</w:t>
      </w:r>
    </w:p>
  </w:footnote>
  <w:footnote w:id="95">
    <w:p w14:paraId="3FE9EC88" w14:textId="77777777" w:rsidR="00CD2684" w:rsidRDefault="00CD2684" w:rsidP="00A96F05">
      <w:pPr>
        <w:pStyle w:val="FootnoteText"/>
        <w:bidi/>
        <w:rPr>
          <w:rFonts w:ascii="almohsin" w:hAnsi="almohsin"/>
          <w:lang w:bidi="ar-BH"/>
        </w:rPr>
      </w:pPr>
      <w:r>
        <w:rPr>
          <w:rStyle w:val="FootnoteReference"/>
        </w:rPr>
        <w:footnoteRef/>
      </w:r>
      <w:r>
        <w:t xml:space="preserve"> </w:t>
      </w:r>
      <w:r>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ص147.</w:t>
      </w:r>
    </w:p>
  </w:footnote>
  <w:footnote w:id="96">
    <w:p w14:paraId="1506F676" w14:textId="09EB5973" w:rsidR="00A96F05" w:rsidRDefault="00A96F05" w:rsidP="00A96F05">
      <w:pPr>
        <w:pStyle w:val="FootnoteText"/>
        <w:bidi/>
        <w:rPr>
          <w:rtl/>
        </w:rPr>
      </w:pPr>
      <w:r>
        <w:rPr>
          <w:rStyle w:val="FootnoteReference"/>
        </w:rPr>
        <w:footnoteRef/>
      </w:r>
      <w:r>
        <w:t xml:space="preserve"> </w:t>
      </w:r>
      <w:r>
        <w:rPr>
          <w:rFonts w:hint="cs"/>
          <w:rtl/>
          <w:lang w:bidi="fa-IR"/>
        </w:rPr>
        <w:t>اقول الموج</w:t>
      </w:r>
      <w:r>
        <w:rPr>
          <w:rFonts w:hint="cs"/>
          <w:rtl/>
        </w:rPr>
        <w:t xml:space="preserve">ود في العروة هذا البحث في العين الشخصية ، واما الكلية فقال سيد العروة </w:t>
      </w:r>
      <w:r w:rsidRPr="00A96F05">
        <w:rPr>
          <w:rFonts w:cs="Arial" w:hint="cs"/>
          <w:rtl/>
        </w:rPr>
        <w:t>موسوعة</w:t>
      </w:r>
      <w:r w:rsidRPr="00A96F05">
        <w:rPr>
          <w:rFonts w:cs="Arial"/>
          <w:rtl/>
        </w:rPr>
        <w:t xml:space="preserve"> </w:t>
      </w:r>
      <w:r w:rsidRPr="00A96F05">
        <w:rPr>
          <w:rFonts w:cs="Arial" w:hint="cs"/>
          <w:rtl/>
        </w:rPr>
        <w:t>الإمام</w:t>
      </w:r>
      <w:r w:rsidRPr="00A96F05">
        <w:rPr>
          <w:rFonts w:cs="Arial"/>
          <w:rtl/>
        </w:rPr>
        <w:t xml:space="preserve"> </w:t>
      </w:r>
      <w:r w:rsidRPr="00A96F05">
        <w:rPr>
          <w:rFonts w:cs="Arial" w:hint="cs"/>
          <w:rtl/>
        </w:rPr>
        <w:t>الخوئي،</w:t>
      </w:r>
      <w:r w:rsidRPr="00A96F05">
        <w:rPr>
          <w:rFonts w:cs="Arial"/>
          <w:rtl/>
        </w:rPr>
        <w:t xml:space="preserve"> </w:t>
      </w:r>
      <w:r w:rsidRPr="00A96F05">
        <w:rPr>
          <w:rFonts w:cs="Arial" w:hint="cs"/>
          <w:rtl/>
        </w:rPr>
        <w:t>ج‌</w:t>
      </w:r>
      <w:r w:rsidRPr="00A96F05">
        <w:rPr>
          <w:rFonts w:cs="Arial"/>
          <w:rtl/>
        </w:rPr>
        <w:t>30</w:t>
      </w:r>
      <w:r w:rsidRPr="00A96F05">
        <w:rPr>
          <w:rFonts w:cs="Arial" w:hint="cs"/>
          <w:rtl/>
        </w:rPr>
        <w:t>،</w:t>
      </w:r>
      <w:r w:rsidRPr="00A96F05">
        <w:rPr>
          <w:rFonts w:cs="Arial"/>
          <w:rtl/>
        </w:rPr>
        <w:t xml:space="preserve"> </w:t>
      </w:r>
      <w:r w:rsidRPr="00A96F05">
        <w:rPr>
          <w:rFonts w:cs="Arial" w:hint="cs"/>
          <w:rtl/>
        </w:rPr>
        <w:t>ص</w:t>
      </w:r>
      <w:r w:rsidRPr="00A96F05">
        <w:rPr>
          <w:rFonts w:cs="Arial"/>
          <w:rtl/>
        </w:rPr>
        <w:t>: 150‌</w:t>
      </w:r>
      <w:r w:rsidRPr="00A96F05">
        <w:rPr>
          <w:rFonts w:cs="Arial" w:hint="cs"/>
          <w:rtl/>
        </w:rPr>
        <w:t>و</w:t>
      </w:r>
      <w:r w:rsidRPr="00A96F05">
        <w:rPr>
          <w:rFonts w:cs="Arial"/>
          <w:rtl/>
        </w:rPr>
        <w:t xml:space="preserve"> </w:t>
      </w:r>
      <w:r w:rsidRPr="00A96F05">
        <w:rPr>
          <w:rFonts w:cs="Arial" w:hint="cs"/>
          <w:rtl/>
        </w:rPr>
        <w:t>أمّا</w:t>
      </w:r>
      <w:r w:rsidRPr="00A96F05">
        <w:rPr>
          <w:rFonts w:cs="Arial"/>
          <w:rtl/>
        </w:rPr>
        <w:t xml:space="preserve"> </w:t>
      </w:r>
      <w:r w:rsidRPr="00A96F05">
        <w:rPr>
          <w:rFonts w:cs="Arial" w:hint="cs"/>
          <w:rtl/>
        </w:rPr>
        <w:t>إذا</w:t>
      </w:r>
      <w:r w:rsidRPr="00A96F05">
        <w:rPr>
          <w:rFonts w:cs="Arial"/>
          <w:rtl/>
        </w:rPr>
        <w:t xml:space="preserve"> </w:t>
      </w:r>
      <w:r w:rsidRPr="00A96F05">
        <w:rPr>
          <w:rFonts w:cs="Arial" w:hint="cs"/>
          <w:rtl/>
        </w:rPr>
        <w:t>كانت</w:t>
      </w:r>
      <w:r w:rsidRPr="00A96F05">
        <w:rPr>
          <w:rFonts w:cs="Arial"/>
          <w:rtl/>
        </w:rPr>
        <w:t xml:space="preserve"> </w:t>
      </w:r>
      <w:r w:rsidRPr="00A96F05">
        <w:rPr>
          <w:rFonts w:cs="Arial" w:hint="cs"/>
          <w:rtl/>
        </w:rPr>
        <w:t>كلّيّة</w:t>
      </w:r>
      <w:r w:rsidRPr="00A96F05">
        <w:rPr>
          <w:rFonts w:cs="Arial"/>
          <w:rtl/>
        </w:rPr>
        <w:t xml:space="preserve"> </w:t>
      </w:r>
      <w:r w:rsidRPr="00A96F05">
        <w:rPr>
          <w:rFonts w:cs="Arial" w:hint="cs"/>
          <w:rtl/>
        </w:rPr>
        <w:t>و</w:t>
      </w:r>
      <w:r w:rsidRPr="00A96F05">
        <w:rPr>
          <w:rFonts w:cs="Arial"/>
          <w:rtl/>
        </w:rPr>
        <w:t xml:space="preserve"> </w:t>
      </w:r>
      <w:r w:rsidRPr="00A96F05">
        <w:rPr>
          <w:rFonts w:cs="Arial" w:hint="cs"/>
          <w:rtl/>
        </w:rPr>
        <w:t>كان</w:t>
      </w:r>
      <w:r w:rsidRPr="00A96F05">
        <w:rPr>
          <w:rFonts w:cs="Arial"/>
          <w:rtl/>
        </w:rPr>
        <w:t xml:space="preserve"> </w:t>
      </w:r>
      <w:r w:rsidRPr="00A96F05">
        <w:rPr>
          <w:rFonts w:cs="Arial" w:hint="cs"/>
          <w:rtl/>
        </w:rPr>
        <w:t>الفرد</w:t>
      </w:r>
      <w:r w:rsidRPr="00A96F05">
        <w:rPr>
          <w:rFonts w:cs="Arial"/>
          <w:rtl/>
        </w:rPr>
        <w:t xml:space="preserve"> </w:t>
      </w:r>
      <w:r w:rsidRPr="00A96F05">
        <w:rPr>
          <w:rFonts w:cs="Arial" w:hint="cs"/>
          <w:rtl/>
        </w:rPr>
        <w:t>المقبوض</w:t>
      </w:r>
      <w:r w:rsidRPr="00A96F05">
        <w:rPr>
          <w:rFonts w:cs="Arial"/>
          <w:rtl/>
        </w:rPr>
        <w:t xml:space="preserve"> </w:t>
      </w:r>
      <w:r w:rsidRPr="00A96F05">
        <w:rPr>
          <w:rFonts w:cs="Arial" w:hint="cs"/>
          <w:rtl/>
        </w:rPr>
        <w:t>معيباً</w:t>
      </w:r>
      <w:r w:rsidRPr="00A96F05">
        <w:rPr>
          <w:rFonts w:cs="Arial"/>
          <w:rtl/>
        </w:rPr>
        <w:t xml:space="preserve"> </w:t>
      </w:r>
      <w:r w:rsidRPr="00A96F05">
        <w:rPr>
          <w:rFonts w:cs="Arial" w:hint="cs"/>
          <w:rtl/>
        </w:rPr>
        <w:t>فليس</w:t>
      </w:r>
      <w:r w:rsidRPr="00A96F05">
        <w:rPr>
          <w:rFonts w:cs="Arial"/>
          <w:rtl/>
        </w:rPr>
        <w:t xml:space="preserve"> </w:t>
      </w:r>
      <w:r w:rsidRPr="00A96F05">
        <w:rPr>
          <w:rFonts w:cs="Arial" w:hint="cs"/>
          <w:rtl/>
        </w:rPr>
        <w:t>له</w:t>
      </w:r>
      <w:r w:rsidRPr="00A96F05">
        <w:rPr>
          <w:rFonts w:cs="Arial"/>
          <w:rtl/>
        </w:rPr>
        <w:t xml:space="preserve"> </w:t>
      </w:r>
      <w:r w:rsidRPr="00A96F05">
        <w:rPr>
          <w:rFonts w:cs="Arial" w:hint="cs"/>
          <w:rtl/>
        </w:rPr>
        <w:t>فسخ</w:t>
      </w:r>
      <w:r w:rsidRPr="00A96F05">
        <w:rPr>
          <w:rFonts w:cs="Arial"/>
          <w:rtl/>
        </w:rPr>
        <w:t xml:space="preserve"> </w:t>
      </w:r>
      <w:r w:rsidRPr="00A96F05">
        <w:rPr>
          <w:rFonts w:cs="Arial" w:hint="cs"/>
          <w:rtl/>
        </w:rPr>
        <w:t>العقد</w:t>
      </w:r>
      <w:r w:rsidRPr="00A96F05">
        <w:rPr>
          <w:rFonts w:cs="Arial"/>
          <w:rtl/>
        </w:rPr>
        <w:t xml:space="preserve"> (1)</w:t>
      </w:r>
      <w:r w:rsidRPr="00A96F05">
        <w:rPr>
          <w:rFonts w:cs="Arial" w:hint="cs"/>
          <w:rtl/>
        </w:rPr>
        <w:t>،</w:t>
      </w:r>
      <w:r w:rsidRPr="00A96F05">
        <w:rPr>
          <w:rFonts w:cs="Arial"/>
          <w:rtl/>
        </w:rPr>
        <w:t xml:space="preserve"> </w:t>
      </w:r>
      <w:r w:rsidRPr="00A96F05">
        <w:rPr>
          <w:rFonts w:cs="Arial" w:hint="cs"/>
          <w:rtl/>
        </w:rPr>
        <w:t>بل</w:t>
      </w:r>
      <w:r w:rsidRPr="00A96F05">
        <w:rPr>
          <w:rFonts w:cs="Arial"/>
          <w:rtl/>
        </w:rPr>
        <w:t xml:space="preserve"> </w:t>
      </w:r>
      <w:r w:rsidRPr="00A96F05">
        <w:rPr>
          <w:rFonts w:cs="Arial" w:hint="cs"/>
          <w:rtl/>
        </w:rPr>
        <w:t>له</w:t>
      </w:r>
      <w:r w:rsidRPr="00A96F05">
        <w:rPr>
          <w:rFonts w:cs="Arial"/>
          <w:rtl/>
        </w:rPr>
        <w:t xml:space="preserve"> </w:t>
      </w:r>
      <w:r w:rsidRPr="00A96F05">
        <w:rPr>
          <w:rFonts w:cs="Arial" w:hint="cs"/>
          <w:rtl/>
        </w:rPr>
        <w:t>مطالبة</w:t>
      </w:r>
      <w:r w:rsidRPr="00A96F05">
        <w:rPr>
          <w:rFonts w:cs="Arial"/>
          <w:rtl/>
        </w:rPr>
        <w:t xml:space="preserve"> </w:t>
      </w:r>
      <w:r w:rsidRPr="00A96F05">
        <w:rPr>
          <w:rFonts w:cs="Arial" w:hint="cs"/>
          <w:rtl/>
        </w:rPr>
        <w:t>البدل</w:t>
      </w:r>
      <w:r w:rsidRPr="00A96F05">
        <w:rPr>
          <w:rFonts w:cs="Arial"/>
          <w:rtl/>
        </w:rPr>
        <w:t xml:space="preserve">. </w:t>
      </w:r>
      <w:r w:rsidRPr="00A96F05">
        <w:rPr>
          <w:rFonts w:cs="Arial" w:hint="cs"/>
          <w:rtl/>
        </w:rPr>
        <w:t>نعم،</w:t>
      </w:r>
      <w:r w:rsidRPr="00A96F05">
        <w:rPr>
          <w:rFonts w:cs="Arial"/>
          <w:rtl/>
        </w:rPr>
        <w:t xml:space="preserve"> </w:t>
      </w:r>
      <w:r w:rsidRPr="00A96F05">
        <w:rPr>
          <w:rFonts w:cs="Arial" w:hint="cs"/>
          <w:rtl/>
        </w:rPr>
        <w:t>لو</w:t>
      </w:r>
      <w:r w:rsidRPr="00A96F05">
        <w:rPr>
          <w:rFonts w:cs="Arial"/>
          <w:rtl/>
        </w:rPr>
        <w:t xml:space="preserve"> </w:t>
      </w:r>
      <w:r w:rsidRPr="00A96F05">
        <w:rPr>
          <w:rFonts w:cs="Arial" w:hint="cs"/>
          <w:rtl/>
        </w:rPr>
        <w:t>تعذّر</w:t>
      </w:r>
      <w:r w:rsidRPr="00A96F05">
        <w:rPr>
          <w:rFonts w:cs="Arial"/>
          <w:rtl/>
        </w:rPr>
        <w:t xml:space="preserve"> </w:t>
      </w:r>
      <w:r w:rsidRPr="00A96F05">
        <w:rPr>
          <w:rFonts w:cs="Arial" w:hint="cs"/>
          <w:rtl/>
        </w:rPr>
        <w:t>البدل</w:t>
      </w:r>
      <w:r w:rsidRPr="00A96F05">
        <w:rPr>
          <w:rFonts w:cs="Arial"/>
          <w:rtl/>
        </w:rPr>
        <w:t xml:space="preserve"> </w:t>
      </w:r>
      <w:r w:rsidRPr="00A96F05">
        <w:rPr>
          <w:rFonts w:cs="Arial" w:hint="cs"/>
          <w:rtl/>
        </w:rPr>
        <w:t>كان</w:t>
      </w:r>
      <w:r w:rsidRPr="00A96F05">
        <w:rPr>
          <w:rFonts w:cs="Arial"/>
          <w:rtl/>
        </w:rPr>
        <w:t xml:space="preserve"> </w:t>
      </w:r>
      <w:r w:rsidRPr="00A96F05">
        <w:rPr>
          <w:rFonts w:cs="Arial" w:hint="cs"/>
          <w:rtl/>
        </w:rPr>
        <w:t>له</w:t>
      </w:r>
      <w:r w:rsidRPr="00A96F05">
        <w:rPr>
          <w:rFonts w:cs="Arial"/>
          <w:rtl/>
        </w:rPr>
        <w:t xml:space="preserve"> </w:t>
      </w:r>
      <w:r w:rsidRPr="00A96F05">
        <w:rPr>
          <w:rFonts w:cs="Arial" w:hint="cs"/>
          <w:rtl/>
        </w:rPr>
        <w:t>الخيار</w:t>
      </w:r>
      <w:r w:rsidRPr="00A96F05">
        <w:rPr>
          <w:rFonts w:cs="Arial"/>
          <w:rtl/>
        </w:rPr>
        <w:t xml:space="preserve"> </w:t>
      </w:r>
      <w:r w:rsidRPr="00A96F05">
        <w:rPr>
          <w:rFonts w:cs="Arial" w:hint="cs"/>
          <w:rtl/>
        </w:rPr>
        <w:t>في</w:t>
      </w:r>
      <w:r w:rsidRPr="00A96F05">
        <w:rPr>
          <w:rFonts w:cs="Arial"/>
          <w:rtl/>
        </w:rPr>
        <w:t xml:space="preserve"> </w:t>
      </w:r>
      <w:r w:rsidRPr="00A96F05">
        <w:rPr>
          <w:rFonts w:cs="Arial" w:hint="cs"/>
          <w:rtl/>
        </w:rPr>
        <w:t>أصل</w:t>
      </w:r>
      <w:r w:rsidRPr="00A96F05">
        <w:rPr>
          <w:rFonts w:cs="Arial"/>
          <w:rtl/>
        </w:rPr>
        <w:t xml:space="preserve"> </w:t>
      </w:r>
      <w:r w:rsidRPr="00A96F05">
        <w:rPr>
          <w:rFonts w:cs="Arial" w:hint="cs"/>
          <w:rtl/>
        </w:rPr>
        <w:t>العقد</w:t>
      </w:r>
      <w:r w:rsidRPr="00A96F05">
        <w:t>.</w:t>
      </w:r>
    </w:p>
  </w:footnote>
  <w:footnote w:id="97">
    <w:p w14:paraId="0C23F992" w14:textId="77777777" w:rsidR="00CD2684" w:rsidRDefault="00CD2684" w:rsidP="00A96F05">
      <w:pPr>
        <w:pStyle w:val="FootnoteText"/>
        <w:bidi/>
        <w:rPr>
          <w:rtl/>
          <w:lang w:bidi="ar-BH"/>
        </w:rPr>
      </w:pPr>
      <w:r>
        <w:rPr>
          <w:rStyle w:val="FootnoteReference"/>
        </w:rPr>
        <w:footnoteRef/>
      </w:r>
      <w:r>
        <w:t xml:space="preserve"> </w:t>
      </w:r>
      <w:r>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ص148.</w:t>
      </w:r>
    </w:p>
  </w:footnote>
  <w:footnote w:id="98">
    <w:p w14:paraId="5B2A198C" w14:textId="77777777" w:rsidR="00CD2684" w:rsidRDefault="00CD2684" w:rsidP="00A96F05">
      <w:pPr>
        <w:pStyle w:val="FootnoteText"/>
        <w:bidi/>
        <w:rPr>
          <w:rtl/>
          <w:lang w:bidi="ar-BH"/>
        </w:rPr>
      </w:pPr>
      <w:r>
        <w:rPr>
          <w:rStyle w:val="FootnoteReference"/>
        </w:rPr>
        <w:footnoteRef/>
      </w:r>
      <w:r>
        <w:t xml:space="preserve"> </w:t>
      </w:r>
      <w:r>
        <w:rPr>
          <w:rFonts w:ascii="mylotus" w:hAnsi="mylotus" w:cs="mylotus"/>
          <w:rtl/>
        </w:rPr>
        <w:t>مصباح المنهاج، كتاب الشفعة وكتاب الإجارة، تأليف السيد محمد سعيد الطباطبائي الحكيم، دار الهلال، الطبعة الثانية، ص241.</w:t>
      </w:r>
    </w:p>
  </w:footnote>
  <w:footnote w:id="99">
    <w:p w14:paraId="792302F2" w14:textId="77777777" w:rsidR="00CD2684" w:rsidRDefault="00CD2684" w:rsidP="00A96F05">
      <w:pPr>
        <w:pStyle w:val="FootnoteText"/>
        <w:bidi/>
        <w:rPr>
          <w:rtl/>
          <w:lang w:bidi="ar-BH"/>
        </w:rPr>
      </w:pPr>
      <w:r>
        <w:rPr>
          <w:rStyle w:val="FootnoteReference"/>
        </w:rPr>
        <w:footnoteRef/>
      </w:r>
      <w:r>
        <w:t xml:space="preserve"> </w:t>
      </w:r>
      <w:r>
        <w:rPr>
          <w:rFonts w:ascii="mylotus" w:hAnsi="mylotus" w:cs="mylotus"/>
          <w:rtl/>
        </w:rPr>
        <w:t>بغية الراغب في مباني المكاسب، تقرير لأبحاث سماحة آية الله العظمى الشيخ الوحيد الخراساني (دام ظله) في الخيارات، بقلم نزار آل سنبل القطيفي، الناشر: مدرسة الإمام باقر العلوم (عليه السلام)، الطبعة الأولى، ج4، ص372.</w:t>
      </w:r>
    </w:p>
  </w:footnote>
  <w:footnote w:id="100">
    <w:p w14:paraId="7CF95AA2" w14:textId="77777777" w:rsidR="00927A62" w:rsidRDefault="00927A62" w:rsidP="00927A62">
      <w:pPr>
        <w:pStyle w:val="FootnoteText"/>
        <w:bidi/>
        <w:rPr>
          <w:rFonts w:ascii="almohsin" w:hAnsi="almohsin"/>
          <w:lang w:bidi="ar-BH"/>
        </w:rPr>
      </w:pPr>
      <w:r>
        <w:rPr>
          <w:rStyle w:val="FootnoteReference"/>
        </w:rPr>
        <w:footnoteRef/>
      </w:r>
      <w:r>
        <w:t xml:space="preserve"> </w:t>
      </w:r>
      <w:r>
        <w:rPr>
          <w:rFonts w:ascii="mylotus" w:hAnsi="mylotus" w:cs="mylotus"/>
          <w:rtl/>
        </w:rPr>
        <w:t>كتاب الإجارة، مؤسسة دائرة معارف الفقه الإسلامي طبقاً لمذهب أهل البيت (عليهم السلام)، ج1، ص261.</w:t>
      </w:r>
    </w:p>
  </w:footnote>
  <w:footnote w:id="101">
    <w:p w14:paraId="0516F35D" w14:textId="77777777" w:rsidR="00927A62" w:rsidRDefault="00927A62" w:rsidP="00927A62">
      <w:pPr>
        <w:pStyle w:val="FootnoteText"/>
        <w:bidi/>
        <w:rPr>
          <w:rtl/>
          <w:lang w:bidi="ar-BH"/>
        </w:rPr>
      </w:pPr>
      <w:r>
        <w:rPr>
          <w:rStyle w:val="FootnoteReference"/>
        </w:rPr>
        <w:footnoteRef/>
      </w:r>
      <w:r>
        <w:t xml:space="preserve"> </w:t>
      </w:r>
      <w:r>
        <w:rPr>
          <w:rFonts w:ascii="mylotus" w:hAnsi="mylotus" w:cs="mylotus"/>
          <w:rtl/>
        </w:rPr>
        <w:t>العروة الوثقى، مؤسسة النشر الإسلامي التابعة لجماعة المدرسين بقم المشرفة، ج5، ص34.</w:t>
      </w:r>
    </w:p>
  </w:footnote>
  <w:footnote w:id="102">
    <w:p w14:paraId="5C82E9A9" w14:textId="77777777" w:rsidR="00927A62" w:rsidRDefault="00927A62" w:rsidP="00927A62">
      <w:pPr>
        <w:pStyle w:val="FootnoteText"/>
        <w:bidi/>
        <w:rPr>
          <w:rtl/>
          <w:lang w:bidi="ar-BH"/>
        </w:rPr>
      </w:pPr>
      <w:r>
        <w:rPr>
          <w:rStyle w:val="FootnoteReference"/>
        </w:rPr>
        <w:footnoteRef/>
      </w:r>
      <w:r>
        <w:t xml:space="preserve"> </w:t>
      </w:r>
      <w:r>
        <w:rPr>
          <w:rFonts w:ascii="mylotus" w:hAnsi="mylotus" w:cs="mylotus"/>
          <w:rtl/>
        </w:rPr>
        <w:t xml:space="preserve">موسوعة الإمام الخوئي، مؤسسة الخوئي الإسلامية، ج30، المستند في شرح العروة الوثقى، كتاب الإجارة، تأليف آية الله الشهيد الشيخ مرتضى البروجردي (قدس سره)، ص149 </w:t>
      </w:r>
      <w:r>
        <w:rPr>
          <w:rFonts w:ascii="Times New Roman" w:hAnsi="Times New Roman" w:cs="Times New Roman"/>
          <w:rtl/>
        </w:rPr>
        <w:t>–</w:t>
      </w:r>
      <w:r>
        <w:rPr>
          <w:rFonts w:ascii="mylotus" w:hAnsi="mylotus" w:cs="mylotus"/>
          <w:rtl/>
        </w:rPr>
        <w:t xml:space="preserve"> 150.</w:t>
      </w:r>
    </w:p>
  </w:footnote>
  <w:footnote w:id="103">
    <w:p w14:paraId="254ADF0C" w14:textId="77777777" w:rsidR="00927A62" w:rsidRDefault="00927A62" w:rsidP="00927A62">
      <w:pPr>
        <w:pStyle w:val="FootnoteText"/>
        <w:bidi/>
        <w:rPr>
          <w:rtl/>
          <w:lang w:bidi="ar-BH"/>
        </w:rPr>
      </w:pPr>
      <w:r>
        <w:rPr>
          <w:rStyle w:val="FootnoteReference"/>
        </w:rPr>
        <w:footnoteRef/>
      </w:r>
      <w:r>
        <w:t xml:space="preserve"> </w:t>
      </w:r>
      <w:r>
        <w:rPr>
          <w:rFonts w:ascii="mylotus" w:hAnsi="mylotus" w:cs="mylotus"/>
          <w:rtl/>
        </w:rPr>
        <w:t xml:space="preserve">كتاب الإجارة، مؤسسة دائرة معارف الفقه الإسلامي طبقاً لمذهب أهل البيت (عليهم السلام)، ج1، ص261 </w:t>
      </w:r>
      <w:r>
        <w:rPr>
          <w:rFonts w:ascii="Times New Roman" w:hAnsi="Times New Roman" w:cs="Times New Roman"/>
          <w:rtl/>
        </w:rPr>
        <w:t>–</w:t>
      </w:r>
      <w:r>
        <w:rPr>
          <w:rFonts w:ascii="mylotus" w:hAnsi="mylotus" w:cs="mylotus"/>
          <w:rtl/>
        </w:rPr>
        <w:t xml:space="preserve"> 262.</w:t>
      </w:r>
    </w:p>
  </w:footnote>
  <w:footnote w:id="104">
    <w:p w14:paraId="3B30892D" w14:textId="77777777" w:rsidR="00C64898" w:rsidRDefault="00C64898" w:rsidP="00C64898">
      <w:pPr>
        <w:pStyle w:val="FootnoteText"/>
        <w:bidi/>
        <w:rPr>
          <w:rFonts w:ascii="almohsin" w:hAnsi="almohsin"/>
          <w:lang w:bidi="ar-BH"/>
        </w:rPr>
      </w:pPr>
      <w:r>
        <w:rPr>
          <w:rStyle w:val="FootnoteReference"/>
        </w:rPr>
        <w:footnoteRef/>
      </w:r>
      <w:r>
        <w:t xml:space="preserve"> </w:t>
      </w:r>
      <w:r>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ص149.</w:t>
      </w:r>
    </w:p>
  </w:footnote>
  <w:footnote w:id="105">
    <w:p w14:paraId="500B4968" w14:textId="77777777" w:rsidR="00C64898" w:rsidRDefault="00C64898" w:rsidP="00C64898">
      <w:pPr>
        <w:pStyle w:val="FootnoteText"/>
        <w:bidi/>
        <w:rPr>
          <w:rtl/>
          <w:lang w:bidi="ar-BH"/>
        </w:rPr>
      </w:pPr>
      <w:r>
        <w:rPr>
          <w:rStyle w:val="FootnoteReference"/>
        </w:rPr>
        <w:footnoteRef/>
      </w:r>
      <w:r>
        <w:t xml:space="preserve"> </w:t>
      </w:r>
      <w:r>
        <w:rPr>
          <w:rFonts w:ascii="mylotus" w:hAnsi="mylotus" w:cs="mylotus"/>
          <w:rtl/>
        </w:rPr>
        <w:t xml:space="preserve">موسوعة الإمام الخوئي، مؤسسة الخوئي الإسلامية، ج39، التنقيح في شرح المكاسب، الخيارات، تأليف آية الله الشهيد الشيخ ميرزا </w:t>
      </w:r>
      <w:proofErr w:type="gramStart"/>
      <w:r>
        <w:rPr>
          <w:rFonts w:ascii="mylotus" w:hAnsi="mylotus" w:cs="mylotus"/>
          <w:rtl/>
        </w:rPr>
        <w:t>علي</w:t>
      </w:r>
      <w:proofErr w:type="gramEnd"/>
      <w:r>
        <w:rPr>
          <w:rFonts w:ascii="mylotus" w:hAnsi="mylotus" w:cs="mylotus"/>
          <w:rtl/>
        </w:rPr>
        <w:t xml:space="preserve"> الغروي (قدس سره)، ص174 </w:t>
      </w:r>
      <w:r>
        <w:rPr>
          <w:rFonts w:ascii="Times New Roman" w:hAnsi="Times New Roman" w:cs="Times New Roman"/>
          <w:rtl/>
        </w:rPr>
        <w:t>–</w:t>
      </w:r>
      <w:r>
        <w:rPr>
          <w:rFonts w:ascii="mylotus" w:hAnsi="mylotus" w:cs="mylotus"/>
          <w:rtl/>
        </w:rPr>
        <w:t xml:space="preserve"> 175.</w:t>
      </w:r>
    </w:p>
  </w:footnote>
  <w:footnote w:id="106">
    <w:p w14:paraId="5C0BEE40" w14:textId="77777777" w:rsidR="00C64898" w:rsidRDefault="00C64898" w:rsidP="00C64898">
      <w:pPr>
        <w:pStyle w:val="FootnoteText"/>
        <w:bidi/>
        <w:rPr>
          <w:rtl/>
          <w:lang w:bidi="ar-BH"/>
        </w:rPr>
      </w:pPr>
      <w:r>
        <w:rPr>
          <w:rStyle w:val="FootnoteReference"/>
        </w:rPr>
        <w:footnoteRef/>
      </w:r>
      <w:r>
        <w:t xml:space="preserve"> </w:t>
      </w:r>
      <w:r>
        <w:rPr>
          <w:rFonts w:ascii="mylotus" w:hAnsi="mylotus" w:cs="mylotus"/>
          <w:rtl/>
        </w:rPr>
        <w:t xml:space="preserve">موسوعة الإمام الخوئي، مؤسسة الخوئي الإسلامية، ج30، المستند في شرح العروة الوثقى، كتاب الإجارة، تأليف آية الله الشهيد الشيخ مرتضى البروجردي (قدس سره)، ص8 </w:t>
      </w:r>
      <w:r>
        <w:rPr>
          <w:rFonts w:ascii="Times New Roman" w:hAnsi="Times New Roman" w:cs="Times New Roman"/>
          <w:rtl/>
        </w:rPr>
        <w:t>–</w:t>
      </w:r>
      <w:r>
        <w:rPr>
          <w:rFonts w:ascii="mylotus" w:hAnsi="mylotus" w:cs="mylotus"/>
          <w:rtl/>
        </w:rPr>
        <w:t xml:space="preserve"> 9.</w:t>
      </w:r>
    </w:p>
  </w:footnote>
  <w:footnote w:id="107">
    <w:p w14:paraId="50BFF46D" w14:textId="77777777" w:rsidR="00C64898" w:rsidRDefault="00C64898" w:rsidP="00C64898">
      <w:pPr>
        <w:pStyle w:val="FootnoteText"/>
        <w:bidi/>
        <w:rPr>
          <w:rtl/>
          <w:lang w:bidi="ar-BH"/>
        </w:rPr>
      </w:pPr>
      <w:r>
        <w:rPr>
          <w:rStyle w:val="FootnoteReference"/>
        </w:rPr>
        <w:footnoteRef/>
      </w:r>
      <w:r>
        <w:t xml:space="preserve"> </w:t>
      </w:r>
      <w:r>
        <w:rPr>
          <w:rFonts w:ascii="mylotus" w:hAnsi="mylotus" w:cs="mylotus"/>
          <w:rtl/>
        </w:rPr>
        <w:t xml:space="preserve">المصدر السابق، ص149 </w:t>
      </w:r>
      <w:r>
        <w:rPr>
          <w:rFonts w:ascii="Times New Roman" w:hAnsi="Times New Roman" w:cs="Times New Roman"/>
          <w:rtl/>
        </w:rPr>
        <w:t>–</w:t>
      </w:r>
      <w:r>
        <w:rPr>
          <w:rFonts w:ascii="mylotus" w:hAnsi="mylotus" w:cs="mylotus"/>
          <w:rtl/>
        </w:rPr>
        <w:t xml:space="preserve"> 150.</w:t>
      </w:r>
    </w:p>
  </w:footnote>
  <w:footnote w:id="108">
    <w:p w14:paraId="107B9309" w14:textId="77777777" w:rsidR="0047280E" w:rsidRDefault="0047280E" w:rsidP="0047280E">
      <w:pPr>
        <w:pStyle w:val="FootnoteText"/>
        <w:bidi/>
        <w:rPr>
          <w:rFonts w:ascii="almohsin" w:hAnsi="almohsin"/>
          <w:lang w:bidi="ar-BH"/>
        </w:rPr>
      </w:pPr>
      <w:r>
        <w:rPr>
          <w:rStyle w:val="FootnoteReference"/>
        </w:rPr>
        <w:footnoteRef/>
      </w:r>
      <w:r>
        <w:t xml:space="preserve"> </w:t>
      </w:r>
      <w:r>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ص151.</w:t>
      </w:r>
    </w:p>
  </w:footnote>
  <w:footnote w:id="109">
    <w:p w14:paraId="6FC478C3" w14:textId="77777777" w:rsidR="0047280E" w:rsidRDefault="0047280E" w:rsidP="0047280E">
      <w:pPr>
        <w:pStyle w:val="FootnoteText"/>
        <w:bidi/>
        <w:rPr>
          <w:rtl/>
          <w:lang w:bidi="ar-BH"/>
        </w:rPr>
      </w:pPr>
      <w:r>
        <w:rPr>
          <w:rStyle w:val="FootnoteReference"/>
        </w:rPr>
        <w:footnoteRef/>
      </w:r>
      <w:r>
        <w:t xml:space="preserve"> </w:t>
      </w:r>
      <w:r>
        <w:rPr>
          <w:rFonts w:ascii="mylotus" w:hAnsi="mylotus" w:cs="mylotus"/>
          <w:rtl/>
        </w:rPr>
        <w:t>كتابُ الإجارة، تأليف: آية الله الشيخ محمد حسين الأصفهاني (قدس سره)، ص57.</w:t>
      </w:r>
    </w:p>
  </w:footnote>
  <w:footnote w:id="110">
    <w:p w14:paraId="5F59CF64" w14:textId="77777777" w:rsidR="0047280E" w:rsidRDefault="0047280E" w:rsidP="0047280E">
      <w:pPr>
        <w:pStyle w:val="FootnoteText"/>
        <w:bidi/>
        <w:rPr>
          <w:rtl/>
          <w:lang w:bidi="ar-BH"/>
        </w:rPr>
      </w:pPr>
      <w:r>
        <w:rPr>
          <w:rStyle w:val="FootnoteReference"/>
        </w:rPr>
        <w:footnoteRef/>
      </w:r>
      <w:r>
        <w:t xml:space="preserve"> </w:t>
      </w:r>
      <w:r>
        <w:rPr>
          <w:rFonts w:ascii="mylotus" w:hAnsi="mylotus" w:cs="mylotus"/>
          <w:rtl/>
        </w:rPr>
        <w:t xml:space="preserve">موسوعة الإمام الخوئي، مؤسسة الخوئي الإسلامية، ج30، المستند في شرح العروة الوثقى، كتاب الإجارة، تأليف آية الله الشهيد الشيخ مرتضى البروجردي (قدس سره)، ص151 </w:t>
      </w:r>
      <w:r>
        <w:rPr>
          <w:rFonts w:ascii="Times New Roman" w:hAnsi="Times New Roman" w:cs="Times New Roman"/>
          <w:rtl/>
        </w:rPr>
        <w:t>–</w:t>
      </w:r>
      <w:r>
        <w:rPr>
          <w:rFonts w:ascii="mylotus" w:hAnsi="mylotus" w:cs="mylotus"/>
          <w:rtl/>
        </w:rPr>
        <w:t xml:space="preserve"> 152.</w:t>
      </w:r>
    </w:p>
  </w:footnote>
  <w:footnote w:id="111">
    <w:p w14:paraId="6788E326" w14:textId="77777777" w:rsidR="00E8392D" w:rsidRDefault="00E8392D" w:rsidP="00E8392D">
      <w:pPr>
        <w:bidi/>
        <w:spacing w:line="216" w:lineRule="auto"/>
        <w:rPr>
          <w:rFonts w:ascii="mylotus" w:hAnsi="mylotus"/>
          <w:sz w:val="34"/>
          <w:szCs w:val="34"/>
        </w:rPr>
      </w:pPr>
      <w:r>
        <w:rPr>
          <w:rStyle w:val="FootnoteReference"/>
          <w:sz w:val="20"/>
          <w:szCs w:val="20"/>
        </w:rPr>
        <w:footnoteRef/>
      </w:r>
      <w:r>
        <w:rPr>
          <w:sz w:val="20"/>
          <w:szCs w:val="20"/>
        </w:rPr>
        <w:t xml:space="preserve"> </w:t>
      </w:r>
      <w:r>
        <w:rPr>
          <w:rFonts w:ascii="mylotus" w:hAnsi="mylotus"/>
          <w:sz w:val="20"/>
          <w:szCs w:val="20"/>
          <w:rtl/>
        </w:rPr>
        <w:t>كتاب الإجارة، مؤسسة دائرة معارف الفقه الإسلامي طبقاً لمذهب أهل البيت (عليهم السلام)، ج1، ص265.</w:t>
      </w:r>
    </w:p>
  </w:footnote>
  <w:footnote w:id="112">
    <w:p w14:paraId="097F23EA" w14:textId="77777777" w:rsidR="00E8392D" w:rsidRDefault="00E8392D" w:rsidP="00E8392D">
      <w:pPr>
        <w:pStyle w:val="FootnoteText"/>
        <w:bidi/>
        <w:rPr>
          <w:rFonts w:ascii="almohsin" w:hAnsi="almohsin"/>
          <w:rtl/>
          <w:lang w:bidi="ar-BH"/>
        </w:rPr>
      </w:pPr>
      <w:r>
        <w:rPr>
          <w:rStyle w:val="FootnoteReference"/>
        </w:rPr>
        <w:footnoteRef/>
      </w:r>
      <w:r>
        <w:t xml:space="preserve"> </w:t>
      </w:r>
      <w:r>
        <w:rPr>
          <w:rFonts w:ascii="mylotus" w:hAnsi="mylotus" w:cs="mylotus"/>
          <w:rtl/>
        </w:rPr>
        <w:t>وسائل الشيعة، الحر العاملي، تحقيق مؤسسة آل البيت (عليهم السلام) لإحياء التراث، ج18، كتاب التجارة، أبواب الخيار، الباب 16 باب ثبوت الخيار للمشتري بظهور العيب السابق مع جهالته به، وعدم براءة البائع وسقوط الرد بالتصرف دون الأرش، ح2.</w:t>
      </w:r>
    </w:p>
  </w:footnote>
  <w:footnote w:id="113">
    <w:p w14:paraId="6D918C31" w14:textId="77777777" w:rsidR="00E8392D" w:rsidRDefault="00E8392D" w:rsidP="00E8392D">
      <w:pPr>
        <w:pStyle w:val="FootnoteText"/>
        <w:bidi/>
        <w:rPr>
          <w:rtl/>
          <w:lang w:bidi="ar-BH"/>
        </w:rPr>
      </w:pPr>
      <w:r>
        <w:rPr>
          <w:rStyle w:val="FootnoteReference"/>
        </w:rPr>
        <w:footnoteRef/>
      </w:r>
      <w:r>
        <w:t xml:space="preserve"> </w:t>
      </w:r>
      <w:r>
        <w:rPr>
          <w:rFonts w:ascii="mylotus" w:hAnsi="mylotus" w:cs="mylotus"/>
          <w:rtl/>
        </w:rPr>
        <w:t>كتاب الإجارة، مؤسسة دائرة معارف الفقه الإسلامي طبقاً لمذهب أهل البيت (عليهم السلام)، ج1، ص265.</w:t>
      </w:r>
    </w:p>
  </w:footnote>
  <w:footnote w:id="114">
    <w:p w14:paraId="03BC18E2" w14:textId="77777777" w:rsidR="00E8392D" w:rsidRDefault="00E8392D" w:rsidP="00E8392D">
      <w:pPr>
        <w:pStyle w:val="FootnoteText"/>
        <w:bidi/>
        <w:rPr>
          <w:rtl/>
          <w:lang w:bidi="ar-BH"/>
        </w:rPr>
      </w:pPr>
      <w:r>
        <w:rPr>
          <w:rStyle w:val="FootnoteReference"/>
        </w:rPr>
        <w:footnoteRef/>
      </w:r>
      <w:r>
        <w:t xml:space="preserve"> </w:t>
      </w:r>
      <w:r>
        <w:rPr>
          <w:rFonts w:ascii="mylotus" w:hAnsi="mylotus" w:cs="mylotus"/>
          <w:rtl/>
        </w:rPr>
        <w:t xml:space="preserve">وسائل الشيعة، الحر العاملي، تحقيق مؤسسة آل البيت (عليهم السلام) لإحياء التراث، ج18، كتاب الحجر، الباب 5 باب أن غريم المفلس إذا وجد متاعه بعينه كان أحق به إلا </w:t>
      </w:r>
      <w:proofErr w:type="gramStart"/>
      <w:r>
        <w:rPr>
          <w:rFonts w:ascii="mylotus" w:hAnsi="mylotus" w:cs="mylotus"/>
          <w:rtl/>
        </w:rPr>
        <w:t>أن لا</w:t>
      </w:r>
      <w:proofErr w:type="gramEnd"/>
      <w:r>
        <w:rPr>
          <w:rFonts w:ascii="mylotus" w:hAnsi="mylotus" w:cs="mylotus"/>
          <w:rtl/>
        </w:rPr>
        <w:t xml:space="preserve"> تقصر التركة عن الدين فيقسم بالحصص، وإن كان عنده رهن فالغرماء فيه سواء، ح2.</w:t>
      </w:r>
    </w:p>
  </w:footnote>
  <w:footnote w:id="115">
    <w:p w14:paraId="62134AED" w14:textId="77777777" w:rsidR="00E8392D" w:rsidRDefault="00E8392D" w:rsidP="00E8392D">
      <w:pPr>
        <w:pStyle w:val="FootnoteText"/>
        <w:bidi/>
        <w:rPr>
          <w:rtl/>
          <w:lang w:bidi="ar-BH"/>
        </w:rPr>
      </w:pPr>
      <w:r>
        <w:rPr>
          <w:rStyle w:val="FootnoteReference"/>
        </w:rPr>
        <w:footnoteRef/>
      </w:r>
      <w:r>
        <w:t xml:space="preserve"> </w:t>
      </w:r>
      <w:r>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ص135</w:t>
      </w:r>
      <w:r>
        <w:rPr>
          <w:rFonts w:ascii="mylotus" w:hAnsi="mylotus" w:hint="cs"/>
          <w:rtl/>
        </w:rPr>
        <w:t>.</w:t>
      </w:r>
    </w:p>
  </w:footnote>
  <w:footnote w:id="116">
    <w:p w14:paraId="192E421D" w14:textId="77777777" w:rsidR="00E8392D" w:rsidRDefault="00E8392D" w:rsidP="00E8392D">
      <w:pPr>
        <w:pStyle w:val="FootnoteText"/>
        <w:bidi/>
        <w:rPr>
          <w:rtl/>
          <w:lang w:bidi="ar-BH"/>
        </w:rPr>
      </w:pPr>
      <w:r>
        <w:rPr>
          <w:rStyle w:val="FootnoteReference"/>
        </w:rPr>
        <w:footnoteRef/>
      </w:r>
      <w:r>
        <w:t xml:space="preserve"> </w:t>
      </w:r>
      <w:r>
        <w:rPr>
          <w:rFonts w:ascii="mylotus" w:hAnsi="mylotus" w:cs="mylotus"/>
          <w:rtl/>
        </w:rPr>
        <w:t>مصباح المنهاج، كتاب الشفعة وكتاب الإجارة، تأليف السيد محمد سعيد الطباطبائي الحكيم، دار الهلال، الطبعة الثانية، ص247</w:t>
      </w:r>
      <w:r>
        <w:rPr>
          <w:rFonts w:ascii="mylotus" w:hAnsi="mylotus" w:hint="cs"/>
          <w:rtl/>
        </w:rPr>
        <w:t>.</w:t>
      </w:r>
    </w:p>
  </w:footnote>
  <w:footnote w:id="117">
    <w:p w14:paraId="52D41FD9" w14:textId="77777777" w:rsidR="004D3D8B" w:rsidRPr="00CB3704" w:rsidRDefault="004D3D8B" w:rsidP="004D3D8B">
      <w:pPr>
        <w:pStyle w:val="FootnoteText"/>
        <w:bidi/>
        <w:rPr>
          <w:rtl/>
          <w:lang w:bidi="ar-BH"/>
        </w:rPr>
      </w:pPr>
      <w:r>
        <w:rPr>
          <w:rStyle w:val="FootnoteReference"/>
        </w:rPr>
        <w:footnoteRef/>
      </w:r>
      <w:r>
        <w:t xml:space="preserve"> </w:t>
      </w:r>
      <w:r w:rsidRPr="00CB3704">
        <w:rPr>
          <w:rFonts w:ascii="mylotus" w:hAnsi="mylotus" w:cs="mylotus" w:hint="cs"/>
          <w:rtl/>
        </w:rPr>
        <w:t>وسائل</w:t>
      </w:r>
      <w:r w:rsidRPr="00CB3704">
        <w:rPr>
          <w:rFonts w:ascii="mylotus" w:hAnsi="mylotus" w:cs="mylotus"/>
          <w:rtl/>
        </w:rPr>
        <w:t xml:space="preserve"> </w:t>
      </w:r>
      <w:r w:rsidRPr="00CB3704">
        <w:rPr>
          <w:rFonts w:ascii="mylotus" w:hAnsi="mylotus" w:cs="mylotus" w:hint="cs"/>
          <w:rtl/>
        </w:rPr>
        <w:t>الشيعة،</w:t>
      </w:r>
      <w:r w:rsidRPr="00CB3704">
        <w:rPr>
          <w:rFonts w:ascii="mylotus" w:hAnsi="mylotus" w:cs="mylotus"/>
          <w:rtl/>
        </w:rPr>
        <w:t xml:space="preserve"> </w:t>
      </w:r>
      <w:r w:rsidRPr="00CB3704">
        <w:rPr>
          <w:rFonts w:ascii="mylotus" w:hAnsi="mylotus" w:cs="mylotus" w:hint="cs"/>
          <w:rtl/>
        </w:rPr>
        <w:t>الحر</w:t>
      </w:r>
      <w:r w:rsidRPr="00CB3704">
        <w:rPr>
          <w:rFonts w:ascii="mylotus" w:hAnsi="mylotus" w:cs="mylotus"/>
          <w:rtl/>
        </w:rPr>
        <w:t xml:space="preserve"> </w:t>
      </w:r>
      <w:r w:rsidRPr="00CB3704">
        <w:rPr>
          <w:rFonts w:ascii="mylotus" w:hAnsi="mylotus" w:cs="mylotus" w:hint="cs"/>
          <w:rtl/>
        </w:rPr>
        <w:t>العاملي،</w:t>
      </w:r>
      <w:r w:rsidRPr="00CB3704">
        <w:rPr>
          <w:rFonts w:ascii="mylotus" w:hAnsi="mylotus" w:cs="mylotus"/>
          <w:rtl/>
        </w:rPr>
        <w:t xml:space="preserve"> </w:t>
      </w:r>
      <w:r w:rsidRPr="00CB3704">
        <w:rPr>
          <w:rFonts w:ascii="mylotus" w:hAnsi="mylotus" w:cs="mylotus" w:hint="cs"/>
          <w:rtl/>
        </w:rPr>
        <w:t>تحقيق</w:t>
      </w:r>
      <w:r w:rsidRPr="00CB3704">
        <w:rPr>
          <w:rFonts w:ascii="mylotus" w:hAnsi="mylotus" w:cs="mylotus"/>
          <w:rtl/>
        </w:rPr>
        <w:t xml:space="preserve"> </w:t>
      </w:r>
      <w:r w:rsidRPr="00CB3704">
        <w:rPr>
          <w:rFonts w:ascii="mylotus" w:hAnsi="mylotus" w:cs="mylotus" w:hint="cs"/>
          <w:rtl/>
        </w:rPr>
        <w:t>مؤسسة</w:t>
      </w:r>
      <w:r w:rsidRPr="00CB3704">
        <w:rPr>
          <w:rFonts w:ascii="mylotus" w:hAnsi="mylotus" w:cs="mylotus"/>
          <w:rtl/>
        </w:rPr>
        <w:t xml:space="preserve"> </w:t>
      </w:r>
      <w:r w:rsidRPr="00CB3704">
        <w:rPr>
          <w:rFonts w:ascii="mylotus" w:hAnsi="mylotus" w:cs="mylotus" w:hint="cs"/>
          <w:rtl/>
        </w:rPr>
        <w:t>آل</w:t>
      </w:r>
      <w:r w:rsidRPr="00CB3704">
        <w:rPr>
          <w:rFonts w:ascii="mylotus" w:hAnsi="mylotus" w:cs="mylotus"/>
          <w:rtl/>
        </w:rPr>
        <w:t xml:space="preserve"> </w:t>
      </w:r>
      <w:r w:rsidRPr="00CB3704">
        <w:rPr>
          <w:rFonts w:ascii="mylotus" w:hAnsi="mylotus" w:cs="mylotus" w:hint="cs"/>
          <w:rtl/>
        </w:rPr>
        <w:t>الب</w:t>
      </w:r>
      <w:r w:rsidRPr="00CB3704">
        <w:rPr>
          <w:rFonts w:ascii="mylotus" w:hAnsi="mylotus" w:cs="mylotus"/>
          <w:rtl/>
        </w:rPr>
        <w:t xml:space="preserve">يت (عليهم السلام) لإحياء التراث، ج18، كتاب الحجر، الباب 5 باب أنّ غريم المفلس إذا وجد متاعه بعينه كان أحق به إلا </w:t>
      </w:r>
      <w:proofErr w:type="gramStart"/>
      <w:r w:rsidRPr="00CB3704">
        <w:rPr>
          <w:rFonts w:ascii="mylotus" w:hAnsi="mylotus" w:cs="mylotus"/>
          <w:rtl/>
        </w:rPr>
        <w:t>أن لا</w:t>
      </w:r>
      <w:proofErr w:type="gramEnd"/>
      <w:r w:rsidRPr="00CB3704">
        <w:rPr>
          <w:rFonts w:ascii="mylotus" w:hAnsi="mylotus" w:cs="mylotus"/>
          <w:rtl/>
        </w:rPr>
        <w:t xml:space="preserve"> تقصر التركة عن الدين فيقسم بالحصص، وإن كان عنده رهن فالغرماء فيه سواء، ح1.</w:t>
      </w:r>
    </w:p>
  </w:footnote>
  <w:footnote w:id="118">
    <w:p w14:paraId="2ED6A51E" w14:textId="77777777" w:rsidR="004D3D8B" w:rsidRDefault="004D3D8B" w:rsidP="004D3D8B">
      <w:pPr>
        <w:pStyle w:val="FootnoteText"/>
        <w:bidi/>
        <w:rPr>
          <w:rtl/>
          <w:lang w:bidi="ar-BH"/>
        </w:rPr>
      </w:pPr>
      <w:r>
        <w:rPr>
          <w:rStyle w:val="FootnoteReference"/>
        </w:rPr>
        <w:footnoteRef/>
      </w:r>
      <w:r>
        <w:t xml:space="preserve"> </w:t>
      </w:r>
      <w:r w:rsidRPr="00CB3704">
        <w:rPr>
          <w:rFonts w:ascii="mylotus" w:hAnsi="mylotus" w:cs="mylotus" w:hint="cs"/>
          <w:rtl/>
        </w:rPr>
        <w:t>المصدر</w:t>
      </w:r>
      <w:r w:rsidRPr="00CB3704">
        <w:rPr>
          <w:rFonts w:ascii="mylotus" w:hAnsi="mylotus" w:cs="mylotus"/>
          <w:rtl/>
        </w:rPr>
        <w:t xml:space="preserve"> </w:t>
      </w:r>
      <w:r w:rsidRPr="00CB3704">
        <w:rPr>
          <w:rFonts w:ascii="mylotus" w:hAnsi="mylotus" w:cs="mylotus" w:hint="cs"/>
          <w:rtl/>
        </w:rPr>
        <w:t>السابق،</w:t>
      </w:r>
      <w:r w:rsidRPr="00CB3704">
        <w:rPr>
          <w:rFonts w:ascii="mylotus" w:hAnsi="mylotus" w:cs="mylotus"/>
          <w:rtl/>
        </w:rPr>
        <w:t xml:space="preserve"> </w:t>
      </w:r>
      <w:r w:rsidRPr="00CB3704">
        <w:rPr>
          <w:rFonts w:ascii="mylotus" w:hAnsi="mylotus" w:cs="mylotus" w:hint="cs"/>
          <w:rtl/>
        </w:rPr>
        <w:t>ح</w:t>
      </w:r>
      <w:r w:rsidRPr="00CB3704">
        <w:rPr>
          <w:rFonts w:ascii="mylotus" w:hAnsi="mylotus" w:cs="mylotus"/>
          <w:rtl/>
        </w:rPr>
        <w:t>2.</w:t>
      </w:r>
    </w:p>
  </w:footnote>
  <w:footnote w:id="119">
    <w:p w14:paraId="7B894F34" w14:textId="77777777" w:rsidR="004D3D8B" w:rsidRDefault="004D3D8B" w:rsidP="004D3D8B">
      <w:pPr>
        <w:pStyle w:val="FootnoteText"/>
        <w:bidi/>
        <w:rPr>
          <w:rtl/>
          <w:lang w:bidi="ar-BH"/>
        </w:rPr>
      </w:pPr>
      <w:r>
        <w:rPr>
          <w:rStyle w:val="FootnoteReference"/>
        </w:rPr>
        <w:footnoteRef/>
      </w:r>
      <w:r>
        <w:t xml:space="preserve"> </w:t>
      </w:r>
      <w:r w:rsidRPr="00CB3704">
        <w:rPr>
          <w:rFonts w:ascii="mylotus" w:hAnsi="mylotus" w:cs="mylotus" w:hint="cs"/>
          <w:rtl/>
        </w:rPr>
        <w:t>المصدر</w:t>
      </w:r>
      <w:r w:rsidRPr="00CB3704">
        <w:rPr>
          <w:rFonts w:ascii="mylotus" w:hAnsi="mylotus" w:cs="mylotus"/>
          <w:rtl/>
        </w:rPr>
        <w:t xml:space="preserve"> </w:t>
      </w:r>
      <w:r w:rsidRPr="00CB3704">
        <w:rPr>
          <w:rFonts w:ascii="mylotus" w:hAnsi="mylotus" w:cs="mylotus" w:hint="cs"/>
          <w:rtl/>
        </w:rPr>
        <w:t>السابق،</w:t>
      </w:r>
      <w:r w:rsidRPr="00CB3704">
        <w:rPr>
          <w:rFonts w:ascii="mylotus" w:hAnsi="mylotus" w:cs="mylotus"/>
          <w:rtl/>
        </w:rPr>
        <w:t xml:space="preserve"> </w:t>
      </w:r>
      <w:r w:rsidRPr="00CB3704">
        <w:rPr>
          <w:rFonts w:ascii="mylotus" w:hAnsi="mylotus" w:cs="mylotus" w:hint="cs"/>
          <w:rtl/>
        </w:rPr>
        <w:t>ح</w:t>
      </w:r>
      <w:r w:rsidRPr="00CB3704">
        <w:rPr>
          <w:rFonts w:ascii="mylotus" w:hAnsi="mylotus" w:cs="mylotus"/>
          <w:rtl/>
        </w:rPr>
        <w:t>3.</w:t>
      </w:r>
    </w:p>
  </w:footnote>
  <w:footnote w:id="120">
    <w:p w14:paraId="5DB07FE4" w14:textId="77777777" w:rsidR="004D3D8B" w:rsidRDefault="004D3D8B" w:rsidP="004D3D8B">
      <w:pPr>
        <w:pStyle w:val="FootnoteText"/>
        <w:bidi/>
        <w:rPr>
          <w:rtl/>
          <w:lang w:bidi="ar-BH"/>
        </w:rPr>
      </w:pPr>
      <w:r>
        <w:rPr>
          <w:rStyle w:val="FootnoteReference"/>
        </w:rPr>
        <w:footnoteRef/>
      </w:r>
      <w:r>
        <w:t xml:space="preserve"> </w:t>
      </w:r>
      <w:r w:rsidRPr="00CB3704">
        <w:rPr>
          <w:rFonts w:ascii="mylotus" w:hAnsi="mylotus" w:cs="mylotus"/>
          <w:rtl/>
        </w:rPr>
        <w:t>الاستبصار، شيخ الطائفة الطوسي، ج4، كتاب الوصايا، باب الإقرار، الباب 71 باب من مات وخلف متاع رجل بعينه وعليه دين، ص117.</w:t>
      </w:r>
    </w:p>
  </w:footnote>
  <w:footnote w:id="121">
    <w:p w14:paraId="57272D5C" w14:textId="77777777" w:rsidR="004D3D8B" w:rsidRDefault="004D3D8B" w:rsidP="004D3D8B">
      <w:pPr>
        <w:pStyle w:val="FootnoteText"/>
        <w:bidi/>
        <w:rPr>
          <w:rtl/>
          <w:lang w:bidi="ar-BH"/>
        </w:rPr>
      </w:pPr>
      <w:r>
        <w:rPr>
          <w:rStyle w:val="FootnoteReference"/>
        </w:rPr>
        <w:footnoteRef/>
      </w:r>
      <w:r>
        <w:t xml:space="preserve"> </w:t>
      </w:r>
      <w:r w:rsidRPr="00CB3704">
        <w:rPr>
          <w:rFonts w:ascii="mylotus" w:hAnsi="mylotus" w:cs="mylotus"/>
          <w:rtl/>
        </w:rPr>
        <w:t>وسائل الشيعة، الحر العاملي، تحقيق مؤسسة آل البيت (عليهم السلام) لإحياء التراث، ج27، كتاب القضاء، أبواب صفات القاضي، وما يجوز أن يقضي به، الباب 9 باب وجوه الجمع بين الأحاديث المختلفة، وكيفية العمل بها، ح17.</w:t>
      </w:r>
    </w:p>
  </w:footnote>
  <w:footnote w:id="122">
    <w:p w14:paraId="79C0F0AD" w14:textId="77777777" w:rsidR="0091405A" w:rsidRDefault="0091405A" w:rsidP="0091405A">
      <w:pPr>
        <w:pStyle w:val="FootnoteText"/>
        <w:bidi/>
        <w:rPr>
          <w:rFonts w:ascii="almohsin" w:hAnsi="almohsin"/>
          <w:lang w:bidi="ar-BH"/>
        </w:rPr>
      </w:pPr>
      <w:r>
        <w:rPr>
          <w:rStyle w:val="FootnoteReference"/>
        </w:rPr>
        <w:footnoteRef/>
      </w:r>
      <w:r>
        <w:t xml:space="preserve"> </w:t>
      </w:r>
      <w:r>
        <w:rPr>
          <w:rFonts w:ascii="mylotus" w:hAnsi="mylotus" w:cs="mylotus"/>
          <w:rtl/>
        </w:rPr>
        <w:t>وسائل الشيعة، الحر العاملي، تحقيق مؤسسة آل البيت (عليهم السلام) لإحياء التراث، ج27، كتاب القضاء، أبواب صفات القاضي، وما يجوز أن يقضي به، الباب 9 باب وجوه الجمع بين الأحاديث المختلفة، وكيفية العمل بها، ح7.</w:t>
      </w:r>
    </w:p>
  </w:footnote>
  <w:footnote w:id="123">
    <w:p w14:paraId="79DE1375" w14:textId="77777777" w:rsidR="0091405A" w:rsidRDefault="0091405A" w:rsidP="0091405A">
      <w:pPr>
        <w:pStyle w:val="FootnoteText"/>
        <w:bidi/>
        <w:rPr>
          <w:rtl/>
          <w:lang w:bidi="ar-BH"/>
        </w:rPr>
      </w:pPr>
      <w:r>
        <w:rPr>
          <w:rStyle w:val="FootnoteReference"/>
        </w:rPr>
        <w:footnoteRef/>
      </w:r>
      <w:r>
        <w:t xml:space="preserve"> </w:t>
      </w:r>
      <w:r>
        <w:rPr>
          <w:rFonts w:ascii="mylotus" w:hAnsi="mylotus" w:cs="mylotus"/>
          <w:rtl/>
        </w:rPr>
        <w:t>المصدر السابق، ح8.</w:t>
      </w:r>
    </w:p>
  </w:footnote>
  <w:footnote w:id="124">
    <w:p w14:paraId="579D5E06" w14:textId="77777777" w:rsidR="0091405A" w:rsidRDefault="0091405A" w:rsidP="0091405A">
      <w:pPr>
        <w:pStyle w:val="FootnoteText"/>
        <w:bidi/>
        <w:rPr>
          <w:rtl/>
          <w:lang w:bidi="ar-BH"/>
        </w:rPr>
      </w:pPr>
      <w:r>
        <w:rPr>
          <w:rStyle w:val="FootnoteReference"/>
        </w:rPr>
        <w:footnoteRef/>
      </w:r>
      <w:r>
        <w:t xml:space="preserve"> </w:t>
      </w:r>
      <w:r>
        <w:rPr>
          <w:rFonts w:ascii="mylotus" w:hAnsi="mylotus" w:cs="mylotus"/>
          <w:rtl/>
        </w:rPr>
        <w:t>وسائل الشيعة، الحر العاملي، تحقيق مؤسسة آل البيت (عليهم السلام) لإحياء التراث، ج6، كتاب الصلاة، أبواب القراءة في الصلاة، الباب 29 باب عدم وجوب الإعادة على منسي القراءة أو شيئاً منها حتّى ركع، وأنّه لا يجب قضاء ما نسي ولا سجدتا السهو، وأنّ من قرأ في غير محلّ القراءة ناسياً فلا شيء عليه، ح5.</w:t>
      </w:r>
    </w:p>
  </w:footnote>
  <w:footnote w:id="125">
    <w:p w14:paraId="4B2CE305" w14:textId="77777777" w:rsidR="0091405A" w:rsidRDefault="0091405A" w:rsidP="0091405A">
      <w:pPr>
        <w:pStyle w:val="FootnoteText"/>
        <w:bidi/>
        <w:rPr>
          <w:rtl/>
          <w:lang w:bidi="ar-BH"/>
        </w:rPr>
      </w:pPr>
      <w:r>
        <w:rPr>
          <w:rStyle w:val="FootnoteReference"/>
        </w:rPr>
        <w:footnoteRef/>
      </w:r>
      <w:r>
        <w:t xml:space="preserve"> </w:t>
      </w:r>
      <w:r>
        <w:rPr>
          <w:rFonts w:ascii="mylotus" w:hAnsi="mylotus" w:cs="mylotus"/>
          <w:rtl/>
        </w:rPr>
        <w:t xml:space="preserve">آراؤنا في أصول الفقه، تأليف أقلّ العباد الحاج السيد تقي الطباطبائي القمي (قدس سره)، منشورات </w:t>
      </w:r>
      <w:proofErr w:type="spellStart"/>
      <w:r>
        <w:rPr>
          <w:rFonts w:ascii="mylotus" w:hAnsi="mylotus" w:cs="mylotus"/>
          <w:rtl/>
        </w:rPr>
        <w:t>المحلاتي</w:t>
      </w:r>
      <w:proofErr w:type="spellEnd"/>
      <w:r>
        <w:rPr>
          <w:rFonts w:ascii="mylotus" w:hAnsi="mylotus" w:cs="mylotus"/>
          <w:rtl/>
        </w:rPr>
        <w:t xml:space="preserve"> (المفيد)، الطبعة الأولى، ج3، ص225 </w:t>
      </w:r>
      <w:r>
        <w:rPr>
          <w:rFonts w:ascii="Times New Roman" w:hAnsi="Times New Roman" w:cs="Times New Roman"/>
          <w:rtl/>
        </w:rPr>
        <w:t>–</w:t>
      </w:r>
      <w:r>
        <w:rPr>
          <w:rFonts w:ascii="mylotus" w:hAnsi="mylotus" w:cs="mylotus"/>
          <w:rtl/>
        </w:rPr>
        <w:t xml:space="preserve"> 227.</w:t>
      </w:r>
    </w:p>
  </w:footnote>
  <w:footnote w:id="126">
    <w:p w14:paraId="140E24AA" w14:textId="77777777" w:rsidR="0091405A" w:rsidRDefault="0091405A" w:rsidP="0091405A">
      <w:pPr>
        <w:pStyle w:val="FootnoteText"/>
        <w:bidi/>
        <w:rPr>
          <w:rtl/>
          <w:lang w:bidi="ar-BH"/>
        </w:rPr>
      </w:pPr>
      <w:r>
        <w:rPr>
          <w:rStyle w:val="FootnoteReference"/>
        </w:rPr>
        <w:footnoteRef/>
      </w:r>
      <w:r>
        <w:t xml:space="preserve"> </w:t>
      </w:r>
      <w:r>
        <w:rPr>
          <w:rFonts w:ascii="mylotus" w:hAnsi="mylotus" w:cs="mylotus"/>
          <w:rtl/>
        </w:rPr>
        <w:t>مباني منهاج الصالحين، الحاج السيد تقي القمي (قدس سره)، الناشر: منشورات قلم الشرق، ج10، ص496.</w:t>
      </w:r>
    </w:p>
  </w:footnote>
  <w:footnote w:id="127">
    <w:p w14:paraId="7DA14C2B" w14:textId="77777777" w:rsidR="0091405A" w:rsidRDefault="0091405A" w:rsidP="0091405A">
      <w:pPr>
        <w:pStyle w:val="FootnoteText"/>
        <w:bidi/>
        <w:rPr>
          <w:rtl/>
          <w:lang w:bidi="ar-BH"/>
        </w:rPr>
      </w:pPr>
      <w:r>
        <w:rPr>
          <w:rStyle w:val="FootnoteReference"/>
        </w:rPr>
        <w:footnoteRef/>
      </w:r>
      <w:r>
        <w:t xml:space="preserve"> </w:t>
      </w:r>
      <w:r>
        <w:rPr>
          <w:rFonts w:ascii="mylotus" w:hAnsi="mylotus" w:cs="mylotus"/>
          <w:rtl/>
        </w:rPr>
        <w:t>وسائل الشيعة، الحر العاملي، تحقيق مؤسسة آل البيت (عليهم السلام) لإحياء التراث، ج27، كتاب القضاء، أبواب صفات القاضي، وما يجوز أن يقضي به، الباب 9 باب وجوه الجمع بين الأحاديث المختلفة، وكيفية العمل بها، ح4.</w:t>
      </w:r>
    </w:p>
  </w:footnote>
  <w:footnote w:id="128">
    <w:p w14:paraId="2FF41997" w14:textId="77777777" w:rsidR="0091405A" w:rsidRDefault="0091405A" w:rsidP="0091405A">
      <w:pPr>
        <w:pStyle w:val="FootnoteText"/>
        <w:bidi/>
        <w:rPr>
          <w:rtl/>
          <w:lang w:bidi="ar-BH"/>
        </w:rPr>
      </w:pPr>
      <w:r>
        <w:rPr>
          <w:rStyle w:val="FootnoteReference"/>
        </w:rPr>
        <w:footnoteRef/>
      </w:r>
      <w:r>
        <w:t xml:space="preserve"> </w:t>
      </w:r>
      <w:r>
        <w:rPr>
          <w:rFonts w:ascii="mylotus" w:hAnsi="mylotus" w:cs="mylotus"/>
          <w:rtl/>
        </w:rPr>
        <w:t xml:space="preserve">موسوعة الإمام الخوئي، مؤسسة الخوئي الإسلامية، ج48، مصباح الأصول، المجلد 2، تأليف آية الله الشهيد السيد محمد سرور الواعظ الحسيني </w:t>
      </w:r>
      <w:proofErr w:type="spellStart"/>
      <w:r>
        <w:rPr>
          <w:rFonts w:ascii="mylotus" w:hAnsi="mylotus" w:cs="mylotus"/>
          <w:rtl/>
        </w:rPr>
        <w:t>البهسودي</w:t>
      </w:r>
      <w:proofErr w:type="spellEnd"/>
      <w:r>
        <w:rPr>
          <w:rFonts w:ascii="mylotus" w:hAnsi="mylotus" w:cs="mylotus"/>
          <w:rtl/>
        </w:rPr>
        <w:t xml:space="preserve"> (قدس سره)، ص500.</w:t>
      </w:r>
    </w:p>
  </w:footnote>
  <w:footnote w:id="129">
    <w:p w14:paraId="42867505" w14:textId="77777777" w:rsidR="0091405A" w:rsidRDefault="0091405A" w:rsidP="0091405A">
      <w:pPr>
        <w:pStyle w:val="FootnoteText"/>
        <w:bidi/>
        <w:rPr>
          <w:rtl/>
          <w:lang w:bidi="ar-BH"/>
        </w:rPr>
      </w:pPr>
      <w:r>
        <w:rPr>
          <w:rStyle w:val="FootnoteReference"/>
        </w:rPr>
        <w:footnoteRef/>
      </w:r>
      <w:r>
        <w:t xml:space="preserve"> </w:t>
      </w:r>
      <w:r>
        <w:rPr>
          <w:rFonts w:ascii="mylotus" w:hAnsi="mylotus" w:cs="mylotus"/>
          <w:rtl/>
        </w:rPr>
        <w:t>الكافي، للشيخ الكليني، دار الكتب الإسلامية، ج1، كتاب الحجة، بابٌ فيه ذكر الصّحيفة والجَفر والجامعة ومُصحف فاطمة (عليها السلام)، ح1.</w:t>
      </w:r>
    </w:p>
  </w:footnote>
  <w:footnote w:id="130">
    <w:p w14:paraId="6CC76769" w14:textId="77777777" w:rsidR="0058696A" w:rsidRDefault="0058696A" w:rsidP="0058696A">
      <w:pPr>
        <w:pStyle w:val="FootnoteText"/>
        <w:bidi/>
        <w:rPr>
          <w:rtl/>
          <w:lang w:bidi="ar-BH"/>
        </w:rPr>
      </w:pPr>
      <w:r>
        <w:rPr>
          <w:rStyle w:val="FootnoteReference"/>
        </w:rPr>
        <w:footnoteRef/>
      </w:r>
      <w:r>
        <w:t xml:space="preserve"> </w:t>
      </w:r>
      <w:r w:rsidRPr="001E0B44">
        <w:rPr>
          <w:rFonts w:ascii="mylotus" w:hAnsi="mylotus" w:cs="mylotus"/>
          <w:rtl/>
        </w:rPr>
        <w:t>الكافي، للشيخ الكليني، دار الكتب الإسلامية، ج1، كتاب فضل العلم، باب اختلاف الحديث، ح10</w:t>
      </w:r>
      <w:r w:rsidRPr="001E0B44">
        <w:rPr>
          <w:rFonts w:ascii="mylotus" w:hAnsi="mylotus" w:cs="mylotus" w:hint="cs"/>
          <w:rtl/>
        </w:rPr>
        <w:t>.</w:t>
      </w:r>
    </w:p>
  </w:footnote>
  <w:footnote w:id="131">
    <w:p w14:paraId="38D70ABA" w14:textId="77777777" w:rsidR="0058696A" w:rsidRDefault="0058696A" w:rsidP="0058696A">
      <w:pPr>
        <w:pStyle w:val="FootnoteText"/>
        <w:bidi/>
        <w:rPr>
          <w:rtl/>
          <w:lang w:bidi="ar-BH"/>
        </w:rPr>
      </w:pPr>
      <w:r>
        <w:rPr>
          <w:rStyle w:val="FootnoteReference"/>
        </w:rPr>
        <w:footnoteRef/>
      </w:r>
      <w:r>
        <w:t xml:space="preserve"> </w:t>
      </w:r>
      <w:r w:rsidRPr="001E0B44">
        <w:rPr>
          <w:rFonts w:ascii="mylotus" w:hAnsi="mylotus" w:cs="mylotus"/>
          <w:rtl/>
          <w:lang w:bidi="ar-BH"/>
        </w:rPr>
        <w:t>المصدر السابق.</w:t>
      </w:r>
    </w:p>
  </w:footnote>
  <w:footnote w:id="132">
    <w:p w14:paraId="2CC3447C" w14:textId="77777777" w:rsidR="0058696A" w:rsidRDefault="0058696A" w:rsidP="0058696A">
      <w:pPr>
        <w:pStyle w:val="FootnoteText"/>
        <w:bidi/>
        <w:rPr>
          <w:rtl/>
          <w:lang w:bidi="ar-BH"/>
        </w:rPr>
      </w:pPr>
      <w:r>
        <w:rPr>
          <w:rStyle w:val="FootnoteReference"/>
        </w:rPr>
        <w:footnoteRef/>
      </w:r>
      <w:r>
        <w:t xml:space="preserve"> </w:t>
      </w:r>
      <w:r w:rsidRPr="005E638A">
        <w:rPr>
          <w:rFonts w:ascii="mylotus" w:hAnsi="mylotus" w:cs="mylotus"/>
          <w:rtl/>
        </w:rPr>
        <w:t>بحوث في علم الأصول، تقريرات الشهيد السعيد الأُستاذ آية الله العظمى السيد محمد باقر الصدر (طاب ثراه)، تأليف: السيد محمود الهاشمي، مؤسسة الفقه ومعارف أهل البيت (عليهم السلام)، الطبعة الأولى، ص365.</w:t>
      </w:r>
    </w:p>
  </w:footnote>
  <w:footnote w:id="133">
    <w:p w14:paraId="5A270464" w14:textId="77777777" w:rsidR="0058696A" w:rsidRDefault="0058696A" w:rsidP="0058696A">
      <w:pPr>
        <w:pStyle w:val="FootnoteText"/>
        <w:bidi/>
        <w:rPr>
          <w:rtl/>
          <w:lang w:bidi="ar-BH"/>
        </w:rPr>
      </w:pPr>
      <w:r>
        <w:rPr>
          <w:rStyle w:val="FootnoteReference"/>
        </w:rPr>
        <w:footnoteRef/>
      </w:r>
      <w:r>
        <w:t xml:space="preserve"> </w:t>
      </w:r>
      <w:r w:rsidRPr="005E638A">
        <w:rPr>
          <w:rFonts w:ascii="mylotus" w:hAnsi="mylotus" w:cs="mylotus"/>
          <w:rtl/>
        </w:rPr>
        <w:t>وسائل الشيعة، الحر العاملي، تحقيق مؤسسة آل البيت (عليهم السلام) لإحياء التراث، ج27، كتاب القضاء، أبواب صفات القاضي، وما يجوز أن يقضي به، الباب 9 باب وجوه الجمع بين الأحاديث المختلفة، وكيفية العمل بها، ح17.</w:t>
      </w:r>
    </w:p>
  </w:footnote>
  <w:footnote w:id="134">
    <w:p w14:paraId="25E044C6" w14:textId="77777777" w:rsidR="0058696A" w:rsidRDefault="0058696A" w:rsidP="0058696A">
      <w:pPr>
        <w:pStyle w:val="FootnoteText"/>
        <w:bidi/>
        <w:rPr>
          <w:rtl/>
          <w:lang w:bidi="ar-BH"/>
        </w:rPr>
      </w:pPr>
      <w:r>
        <w:rPr>
          <w:rStyle w:val="FootnoteReference"/>
        </w:rPr>
        <w:footnoteRef/>
      </w:r>
      <w:r w:rsidRPr="00C97139">
        <w:rPr>
          <w:rFonts w:ascii="mylotus" w:hAnsi="mylotus" w:cs="mylotus"/>
        </w:rPr>
        <w:t xml:space="preserve"> </w:t>
      </w:r>
      <w:r w:rsidRPr="00C97139">
        <w:rPr>
          <w:rFonts w:ascii="mylotus" w:hAnsi="mylotus" w:cs="mylotus"/>
          <w:rtl/>
          <w:lang w:bidi="ar-BH"/>
        </w:rPr>
        <w:t>المصدر السابق.</w:t>
      </w:r>
    </w:p>
  </w:footnote>
  <w:footnote w:id="135">
    <w:p w14:paraId="0FCBEA4F" w14:textId="77777777" w:rsidR="00CB6487" w:rsidRDefault="00CB6487" w:rsidP="00CB6487">
      <w:pPr>
        <w:pStyle w:val="FootnoteText"/>
        <w:bidi/>
        <w:rPr>
          <w:rFonts w:ascii="almohsin" w:hAnsi="almohsin"/>
          <w:lang w:bidi="ar-BH"/>
        </w:rPr>
      </w:pPr>
      <w:r>
        <w:rPr>
          <w:rStyle w:val="FootnoteReference"/>
        </w:rPr>
        <w:footnoteRef/>
      </w:r>
      <w:r>
        <w:t xml:space="preserve"> </w:t>
      </w:r>
      <w:r>
        <w:rPr>
          <w:rFonts w:ascii="mylotus" w:hAnsi="mylotus" w:cs="mylotus"/>
          <w:rtl/>
        </w:rPr>
        <w:t xml:space="preserve">وسائل الشيعة، الحر العاملي، تحقيق مؤسسة آل البيت (عليهم السلام) لإحياء التراث، ج18، كتاب الحجر، الباب 5 باب أنّ غريم المفلس إذا وجد متاعه بعينه كان أحق به إلا </w:t>
      </w:r>
      <w:proofErr w:type="gramStart"/>
      <w:r>
        <w:rPr>
          <w:rFonts w:ascii="mylotus" w:hAnsi="mylotus" w:cs="mylotus"/>
          <w:rtl/>
        </w:rPr>
        <w:t>أن لا</w:t>
      </w:r>
      <w:proofErr w:type="gramEnd"/>
      <w:r>
        <w:rPr>
          <w:rFonts w:ascii="mylotus" w:hAnsi="mylotus" w:cs="mylotus"/>
          <w:rtl/>
        </w:rPr>
        <w:t xml:space="preserve"> تقصر التركة عن الدين فيقسم بالحصص، وإن كان عنده رهن فالغرماء فيه سواء، ح2.</w:t>
      </w:r>
    </w:p>
  </w:footnote>
  <w:footnote w:id="136">
    <w:p w14:paraId="1CE8843C" w14:textId="77777777" w:rsidR="00CB6487" w:rsidRDefault="00CB6487" w:rsidP="00CB6487">
      <w:pPr>
        <w:pStyle w:val="FootnoteText"/>
        <w:bidi/>
        <w:rPr>
          <w:rtl/>
          <w:lang w:bidi="ar-BH"/>
        </w:rPr>
      </w:pPr>
      <w:r>
        <w:rPr>
          <w:rStyle w:val="FootnoteReference"/>
        </w:rPr>
        <w:footnoteRef/>
      </w:r>
      <w:r>
        <w:t xml:space="preserve"> </w:t>
      </w:r>
      <w:r>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ص135.</w:t>
      </w:r>
    </w:p>
  </w:footnote>
  <w:footnote w:id="137">
    <w:p w14:paraId="1F25B9BB" w14:textId="77777777" w:rsidR="00CB6487" w:rsidRDefault="00CB6487" w:rsidP="00CB6487">
      <w:pPr>
        <w:pStyle w:val="FootnoteText"/>
        <w:bidi/>
        <w:rPr>
          <w:rtl/>
          <w:lang w:bidi="ar-BH"/>
        </w:rPr>
      </w:pPr>
      <w:r>
        <w:rPr>
          <w:rStyle w:val="FootnoteReference"/>
        </w:rPr>
        <w:footnoteRef/>
      </w:r>
      <w:r>
        <w:t xml:space="preserve"> </w:t>
      </w:r>
      <w:r>
        <w:rPr>
          <w:rFonts w:ascii="mylotus" w:hAnsi="mylotus" w:cs="mylotus"/>
          <w:rtl/>
        </w:rPr>
        <w:t xml:space="preserve">وسائل الشيعة، الحر العاملي، تحقيق مؤسسة آل البيت (عليهم السلام) لإحياء التراث، ج18، كتاب الحجر، الباب 5 باب أنّ غريم المفلس إذا وجد متاعه بعينه كان أحق به إلا </w:t>
      </w:r>
      <w:proofErr w:type="gramStart"/>
      <w:r>
        <w:rPr>
          <w:rFonts w:ascii="mylotus" w:hAnsi="mylotus" w:cs="mylotus"/>
          <w:rtl/>
        </w:rPr>
        <w:t>أن لا</w:t>
      </w:r>
      <w:proofErr w:type="gramEnd"/>
      <w:r>
        <w:rPr>
          <w:rFonts w:ascii="mylotus" w:hAnsi="mylotus" w:cs="mylotus"/>
          <w:rtl/>
        </w:rPr>
        <w:t xml:space="preserve"> تقصر التركة عن الدين فيقسم بالحصص، وإن كان عنده رهن فالغرماء فيه سواء، ح3.</w:t>
      </w:r>
    </w:p>
  </w:footnote>
  <w:footnote w:id="138">
    <w:p w14:paraId="0552FCCD" w14:textId="77777777" w:rsidR="00CB6487" w:rsidRDefault="00CB6487" w:rsidP="00CB6487">
      <w:pPr>
        <w:pStyle w:val="FootnoteText"/>
        <w:bidi/>
        <w:rPr>
          <w:rtl/>
          <w:lang w:bidi="ar-BH"/>
        </w:rPr>
      </w:pPr>
      <w:r>
        <w:rPr>
          <w:rStyle w:val="FootnoteReference"/>
        </w:rPr>
        <w:footnoteRef/>
      </w:r>
      <w:r>
        <w:t xml:space="preserve"> </w:t>
      </w:r>
      <w:r>
        <w:rPr>
          <w:rFonts w:ascii="mylotus" w:hAnsi="mylotus" w:cs="mylotus"/>
          <w:rtl/>
        </w:rPr>
        <w:t>المصدر السابق، ح1.</w:t>
      </w:r>
    </w:p>
  </w:footnote>
  <w:footnote w:id="139">
    <w:p w14:paraId="5BB8EAFC" w14:textId="77777777" w:rsidR="00CB6487" w:rsidRDefault="00CB6487" w:rsidP="00CB6487">
      <w:pPr>
        <w:pStyle w:val="FootnoteText"/>
        <w:bidi/>
        <w:rPr>
          <w:rtl/>
          <w:lang w:bidi="ar-BH"/>
        </w:rPr>
      </w:pPr>
      <w:r>
        <w:rPr>
          <w:rStyle w:val="FootnoteReference"/>
        </w:rPr>
        <w:footnoteRef/>
      </w:r>
      <w:r>
        <w:t xml:space="preserve"> </w:t>
      </w:r>
      <w:r>
        <w:rPr>
          <w:rFonts w:ascii="mylotus" w:hAnsi="mylotus" w:cs="mylotus"/>
          <w:rtl/>
        </w:rPr>
        <w:t>سورة المائدة، 1</w:t>
      </w:r>
      <w:r>
        <w:rPr>
          <w:rFonts w:ascii="mylotus" w:hAnsi="mylotus" w:cs="mylotus"/>
          <w:sz w:val="34"/>
          <w:szCs w:val="34"/>
          <w:rtl/>
        </w:rPr>
        <w:t>.</w:t>
      </w:r>
    </w:p>
  </w:footnote>
  <w:footnote w:id="140">
    <w:p w14:paraId="1020B2F4" w14:textId="77777777" w:rsidR="003842B9" w:rsidRDefault="003842B9" w:rsidP="003842B9">
      <w:pPr>
        <w:pStyle w:val="FootnoteText"/>
        <w:bidi/>
        <w:rPr>
          <w:rtl/>
          <w:lang w:bidi="ar-BH"/>
        </w:rPr>
      </w:pPr>
      <w:r>
        <w:rPr>
          <w:rStyle w:val="FootnoteReference"/>
        </w:rPr>
        <w:footnoteRef/>
      </w:r>
      <w:r>
        <w:t xml:space="preserve"> </w:t>
      </w:r>
      <w:r w:rsidRPr="00FF60BD">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ص5.</w:t>
      </w:r>
    </w:p>
  </w:footnote>
  <w:footnote w:id="141">
    <w:p w14:paraId="517DF934" w14:textId="77777777" w:rsidR="003842B9" w:rsidRDefault="003842B9" w:rsidP="003842B9">
      <w:pPr>
        <w:pStyle w:val="FootnoteText"/>
        <w:bidi/>
        <w:rPr>
          <w:rtl/>
          <w:lang w:bidi="ar-BH"/>
        </w:rPr>
      </w:pPr>
      <w:r>
        <w:rPr>
          <w:rStyle w:val="FootnoteReference"/>
        </w:rPr>
        <w:footnoteRef/>
      </w:r>
      <w:r>
        <w:t xml:space="preserve"> </w:t>
      </w:r>
      <w:r w:rsidRPr="00FF60BD">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ص9.</w:t>
      </w:r>
    </w:p>
  </w:footnote>
  <w:footnote w:id="142">
    <w:p w14:paraId="68CE336E" w14:textId="77777777" w:rsidR="003842B9" w:rsidRDefault="003842B9" w:rsidP="003842B9">
      <w:pPr>
        <w:pStyle w:val="FootnoteText"/>
        <w:bidi/>
        <w:rPr>
          <w:rtl/>
          <w:lang w:bidi="ar-BH"/>
        </w:rPr>
      </w:pPr>
      <w:r>
        <w:rPr>
          <w:rStyle w:val="FootnoteReference"/>
        </w:rPr>
        <w:footnoteRef/>
      </w:r>
      <w:r>
        <w:t xml:space="preserve"> </w:t>
      </w:r>
      <w:r w:rsidRPr="00450FDE">
        <w:rPr>
          <w:rFonts w:ascii="mylotus" w:hAnsi="mylotus" w:cs="mylotus"/>
          <w:rtl/>
        </w:rPr>
        <w:t xml:space="preserve">مصباح المنهاج، تأليف السيد محمد سعيد الطباطبائي الحكيم، دار الهلال، الطبعة الثانية، كتاب الشفعة وكتاب الإجارة، ص247 </w:t>
      </w:r>
      <w:r w:rsidRPr="00450FDE">
        <w:rPr>
          <w:rFonts w:ascii="Times New Roman" w:hAnsi="Times New Roman" w:cs="Times New Roman" w:hint="cs"/>
          <w:rtl/>
        </w:rPr>
        <w:t>–</w:t>
      </w:r>
      <w:r w:rsidRPr="00450FDE">
        <w:rPr>
          <w:rFonts w:ascii="mylotus" w:hAnsi="mylotus" w:cs="mylotus"/>
          <w:rtl/>
        </w:rPr>
        <w:t xml:space="preserve"> 248.</w:t>
      </w:r>
    </w:p>
  </w:footnote>
  <w:footnote w:id="143">
    <w:p w14:paraId="7B462F77" w14:textId="77777777" w:rsidR="005D4E65" w:rsidRDefault="005D4E65" w:rsidP="005D4E65">
      <w:pPr>
        <w:pStyle w:val="FootnoteText"/>
        <w:bidi/>
        <w:rPr>
          <w:rtl/>
          <w:lang w:bidi="ar-BH"/>
        </w:rPr>
      </w:pPr>
      <w:r>
        <w:rPr>
          <w:rStyle w:val="FootnoteReference"/>
        </w:rPr>
        <w:footnoteRef/>
      </w:r>
      <w:r>
        <w:t xml:space="preserve"> </w:t>
      </w:r>
      <w:r w:rsidRPr="007B00CC">
        <w:rPr>
          <w:rFonts w:ascii="mylotus" w:hAnsi="mylotus" w:cs="mylotus"/>
          <w:rtl/>
        </w:rPr>
        <w:t xml:space="preserve">موسوعة الإمام الخوئي، مؤسسة الخوئي الإسلامية، ج30، المستند في شرح العروة الوثقى، كتاب الإجارة، تأليف آية الله الشهيد الشيخ مرتضى البروجردي (قدس سره)، ص154 </w:t>
      </w:r>
      <w:r w:rsidRPr="007B00CC">
        <w:rPr>
          <w:rFonts w:ascii="Times New Roman" w:hAnsi="Times New Roman" w:cs="Times New Roman" w:hint="cs"/>
          <w:rtl/>
        </w:rPr>
        <w:t>–</w:t>
      </w:r>
      <w:r w:rsidRPr="007B00CC">
        <w:rPr>
          <w:rFonts w:ascii="mylotus" w:hAnsi="mylotus" w:cs="mylotus"/>
          <w:rtl/>
        </w:rPr>
        <w:t xml:space="preserve"> 165.</w:t>
      </w:r>
    </w:p>
  </w:footnote>
  <w:footnote w:id="144">
    <w:p w14:paraId="4E97F026" w14:textId="77777777" w:rsidR="005D4E65" w:rsidRDefault="005D4E65" w:rsidP="005D4E65">
      <w:pPr>
        <w:pStyle w:val="FootnoteText"/>
        <w:bidi/>
        <w:rPr>
          <w:rtl/>
          <w:lang w:bidi="ar-BH"/>
        </w:rPr>
      </w:pPr>
      <w:r>
        <w:rPr>
          <w:rStyle w:val="FootnoteReference"/>
        </w:rPr>
        <w:footnoteRef/>
      </w:r>
      <w:r>
        <w:t xml:space="preserve"> </w:t>
      </w:r>
      <w:r w:rsidRPr="00B37AB8">
        <w:rPr>
          <w:rFonts w:ascii="mylotus" w:hAnsi="mylotus" w:cs="mylotus"/>
          <w:rtl/>
        </w:rPr>
        <w:t xml:space="preserve">موسوعة الإمام الخوئي، مؤسسة الخوئي الإسلامية، ج30، المستند في شرح العروة الوثقى، كتاب الإجارة، تأليف آية الله الشهيد الشيخ مرتضى البروجردي (قدس سره)، ص154 </w:t>
      </w:r>
      <w:r w:rsidRPr="00B37AB8">
        <w:rPr>
          <w:rFonts w:ascii="Times New Roman" w:hAnsi="Times New Roman" w:cs="Times New Roman" w:hint="cs"/>
          <w:rtl/>
        </w:rPr>
        <w:t>–</w:t>
      </w:r>
      <w:r w:rsidRPr="00B37AB8">
        <w:rPr>
          <w:rFonts w:ascii="mylotus" w:hAnsi="mylotus" w:cs="mylotus"/>
          <w:rtl/>
        </w:rPr>
        <w:t xml:space="preserve"> 165</w:t>
      </w:r>
      <w:r w:rsidRPr="00B37AB8">
        <w:rPr>
          <w:rFonts w:ascii="mylotus" w:hAnsi="mylotus" w:cs="mylotus" w:hint="cs"/>
          <w:rtl/>
        </w:rPr>
        <w:t>.</w:t>
      </w:r>
    </w:p>
  </w:footnote>
  <w:footnote w:id="145">
    <w:p w14:paraId="7D3FE939" w14:textId="77777777" w:rsidR="00C16F1A" w:rsidRDefault="00C16F1A" w:rsidP="00C16F1A">
      <w:pPr>
        <w:pStyle w:val="FootnoteText"/>
        <w:bidi/>
        <w:rPr>
          <w:rtl/>
          <w:lang w:bidi="ar-BH"/>
        </w:rPr>
      </w:pPr>
      <w:r>
        <w:rPr>
          <w:rStyle w:val="FootnoteReference"/>
        </w:rPr>
        <w:footnoteRef/>
      </w:r>
      <w:r>
        <w:t xml:space="preserve"> </w:t>
      </w:r>
      <w:r w:rsidRPr="00396796">
        <w:rPr>
          <w:rFonts w:ascii="mylotus" w:hAnsi="mylotus" w:cs="mylotus"/>
          <w:rtl/>
        </w:rPr>
        <w:t xml:space="preserve">موسوعة الإمام الخوئي، مؤسسة الخوئي الإسلامية، ج30، المستند في شرح العروة الوثقى، كتاب الإجارة، تأليف آية الله الشهيد الشيخ مرتضى البروجردي (قدس سره)، ص156 </w:t>
      </w:r>
      <w:r w:rsidRPr="00396796">
        <w:rPr>
          <w:rFonts w:ascii="Times New Roman" w:hAnsi="Times New Roman" w:cs="Times New Roman" w:hint="cs"/>
          <w:rtl/>
        </w:rPr>
        <w:t>–</w:t>
      </w:r>
      <w:r w:rsidRPr="00396796">
        <w:rPr>
          <w:rFonts w:ascii="mylotus" w:hAnsi="mylotus" w:cs="mylotus"/>
          <w:rtl/>
        </w:rPr>
        <w:t xml:space="preserve"> 157.</w:t>
      </w:r>
    </w:p>
  </w:footnote>
  <w:footnote w:id="146">
    <w:p w14:paraId="17E334B5" w14:textId="77777777" w:rsidR="00C16F1A" w:rsidRDefault="00C16F1A" w:rsidP="00C16F1A">
      <w:pPr>
        <w:pStyle w:val="FootnoteText"/>
        <w:bidi/>
        <w:rPr>
          <w:rtl/>
          <w:lang w:bidi="ar-BH"/>
        </w:rPr>
      </w:pPr>
      <w:r>
        <w:rPr>
          <w:rStyle w:val="FootnoteReference"/>
        </w:rPr>
        <w:footnoteRef/>
      </w:r>
      <w:r>
        <w:t xml:space="preserve"> </w:t>
      </w:r>
      <w:r w:rsidRPr="00396796">
        <w:rPr>
          <w:rFonts w:ascii="mylotus" w:hAnsi="mylotus" w:cs="mylotus"/>
          <w:rtl/>
        </w:rPr>
        <w:t>الكافي، للشيخ الكليني، دار الكتب الإسلامية، ج5، كتاب المعيشة، باب الشرط والخيار في البيع، ح15. / تهذيب الأحكام، شيخ الطائفة الطوسي، دار الكتب الإسلامية، ج7، كتاب التجارات، باب عقود البيع، ح25 رق</w:t>
      </w:r>
      <w:r w:rsidRPr="00396796">
        <w:rPr>
          <w:rFonts w:ascii="mylotus" w:hAnsi="mylotus" w:cs="mylotus" w:hint="cs"/>
          <w:rtl/>
        </w:rPr>
        <w:t>م (108).</w:t>
      </w:r>
    </w:p>
  </w:footnote>
  <w:footnote w:id="147">
    <w:p w14:paraId="0269C71E" w14:textId="77777777" w:rsidR="00C16F1A" w:rsidRDefault="00C16F1A" w:rsidP="00C16F1A">
      <w:pPr>
        <w:pStyle w:val="FootnoteText"/>
        <w:bidi/>
        <w:rPr>
          <w:rtl/>
          <w:lang w:bidi="ar-BH"/>
        </w:rPr>
      </w:pPr>
      <w:r>
        <w:rPr>
          <w:rStyle w:val="FootnoteReference"/>
        </w:rPr>
        <w:footnoteRef/>
      </w:r>
      <w:r>
        <w:t xml:space="preserve"> </w:t>
      </w:r>
      <w:r w:rsidRPr="00EE12A4">
        <w:rPr>
          <w:rFonts w:ascii="mylotus" w:hAnsi="mylotus" w:cs="mylotus"/>
          <w:rtl/>
        </w:rPr>
        <w:t>كتاب المكاسب، الشيخ الأعظم الأنصاري، ج5، ص241.</w:t>
      </w:r>
    </w:p>
  </w:footnote>
  <w:footnote w:id="148">
    <w:p w14:paraId="2F0888B1" w14:textId="77777777" w:rsidR="00C16F1A" w:rsidRDefault="00C16F1A" w:rsidP="00C16F1A">
      <w:pPr>
        <w:pStyle w:val="FootnoteText"/>
        <w:bidi/>
        <w:rPr>
          <w:rtl/>
          <w:lang w:bidi="ar-BH"/>
        </w:rPr>
      </w:pPr>
      <w:r>
        <w:rPr>
          <w:rStyle w:val="FootnoteReference"/>
        </w:rPr>
        <w:footnoteRef/>
      </w:r>
      <w:r>
        <w:t xml:space="preserve"> </w:t>
      </w:r>
      <w:r w:rsidRPr="00EE12A4">
        <w:rPr>
          <w:rFonts w:ascii="mylotus" w:hAnsi="mylotus" w:cs="mylotus"/>
          <w:rtl/>
        </w:rPr>
        <w:t xml:space="preserve">موسوعة الإمام الخوئي، مؤسسة الخوئي الإسلامية، ج40، التنقيح في شرح المكاسب، كتاب الخيارات، تأليف آية الله الشهيد الشيخ ميرزا </w:t>
      </w:r>
      <w:proofErr w:type="gramStart"/>
      <w:r w:rsidRPr="00EE12A4">
        <w:rPr>
          <w:rFonts w:ascii="mylotus" w:hAnsi="mylotus" w:cs="mylotus"/>
          <w:rtl/>
        </w:rPr>
        <w:t>علي</w:t>
      </w:r>
      <w:proofErr w:type="gramEnd"/>
      <w:r w:rsidRPr="00EE12A4">
        <w:rPr>
          <w:rFonts w:ascii="mylotus" w:hAnsi="mylotus" w:cs="mylotus"/>
          <w:rtl/>
        </w:rPr>
        <w:t xml:space="preserve"> الغروي (قدس سره)، ص301 </w:t>
      </w:r>
      <w:r w:rsidRPr="00EE12A4">
        <w:rPr>
          <w:rFonts w:ascii="Times New Roman" w:hAnsi="Times New Roman" w:cs="Times New Roman" w:hint="cs"/>
          <w:rtl/>
        </w:rPr>
        <w:t>–</w:t>
      </w:r>
      <w:r w:rsidRPr="00EE12A4">
        <w:rPr>
          <w:rFonts w:ascii="mylotus" w:hAnsi="mylotus" w:cs="mylotus"/>
          <w:rtl/>
        </w:rPr>
        <w:t xml:space="preserve"> 302.</w:t>
      </w:r>
    </w:p>
  </w:footnote>
  <w:footnote w:id="149">
    <w:p w14:paraId="7570AA05" w14:textId="77777777" w:rsidR="00C16F1A" w:rsidRDefault="00C16F1A" w:rsidP="00C16F1A">
      <w:pPr>
        <w:pStyle w:val="FootnoteText"/>
        <w:bidi/>
        <w:rPr>
          <w:rtl/>
          <w:lang w:bidi="ar-BH"/>
        </w:rPr>
      </w:pPr>
      <w:r>
        <w:rPr>
          <w:rStyle w:val="FootnoteReference"/>
        </w:rPr>
        <w:footnoteRef/>
      </w:r>
      <w:r>
        <w:t xml:space="preserve"> </w:t>
      </w:r>
      <w:r w:rsidRPr="00EE12A4">
        <w:rPr>
          <w:rFonts w:ascii="mylotus" w:hAnsi="mylotus" w:cs="mylotus"/>
          <w:rtl/>
        </w:rPr>
        <w:t>مستدرك الوسائل، خاتمة المحدثين الحاج ميرزا حسين النوري الطبرسي، تحقيق مؤسسة آل البيت (عليهم السلام) لإحياء التراث، ج13، أبواب الخيار، الباب 9 باب أنّ المبيع إذا تلف قبل القبض، تلف من مال البائع، ح1.</w:t>
      </w:r>
    </w:p>
  </w:footnote>
  <w:footnote w:id="150">
    <w:p w14:paraId="7E3769BD" w14:textId="77777777" w:rsidR="00C16F1A" w:rsidRDefault="00C16F1A" w:rsidP="00C16F1A">
      <w:pPr>
        <w:pStyle w:val="FootnoteText"/>
        <w:bidi/>
        <w:rPr>
          <w:rtl/>
          <w:lang w:bidi="ar-BH"/>
        </w:rPr>
      </w:pPr>
      <w:r>
        <w:rPr>
          <w:rStyle w:val="FootnoteReference"/>
        </w:rPr>
        <w:footnoteRef/>
      </w:r>
      <w:r>
        <w:t xml:space="preserve"> </w:t>
      </w:r>
      <w:r w:rsidRPr="00EE12A4">
        <w:rPr>
          <w:rFonts w:ascii="mylotus" w:hAnsi="mylotus" w:cs="mylotus"/>
          <w:rtl/>
        </w:rPr>
        <w:t>وسائل الشيعة، الحر العاملي، تحقيق مؤسسة آل البيت (عليهم السلام) لإحياء التراث، ج18، أبواب الخيار، الباب 10 باب أن المبيع إذا تلف قبل القبض تلف من مال البائع، ح1.</w:t>
      </w:r>
    </w:p>
  </w:footnote>
  <w:footnote w:id="151">
    <w:p w14:paraId="2EE07577" w14:textId="77777777" w:rsidR="00C16F1A" w:rsidRDefault="00C16F1A" w:rsidP="00C16F1A">
      <w:pPr>
        <w:pStyle w:val="FootnoteText"/>
        <w:bidi/>
        <w:rPr>
          <w:rtl/>
          <w:lang w:bidi="ar-BH"/>
        </w:rPr>
      </w:pPr>
      <w:r>
        <w:rPr>
          <w:rStyle w:val="FootnoteReference"/>
        </w:rPr>
        <w:footnoteRef/>
      </w:r>
      <w:r>
        <w:t xml:space="preserve"> </w:t>
      </w:r>
      <w:r w:rsidRPr="00EE12A4">
        <w:rPr>
          <w:rFonts w:ascii="mylotus" w:hAnsi="mylotus" w:cs="mylotus"/>
          <w:rtl/>
        </w:rPr>
        <w:t>كتاب المكاسب، الشيخ الأعظم الأنصاري (قدس سره)، ج6، ص270.</w:t>
      </w:r>
    </w:p>
  </w:footnote>
  <w:footnote w:id="152">
    <w:p w14:paraId="74072F2B" w14:textId="77777777" w:rsidR="00C16F1A" w:rsidRDefault="00C16F1A" w:rsidP="00C16F1A">
      <w:pPr>
        <w:pStyle w:val="FootnoteText"/>
        <w:bidi/>
        <w:rPr>
          <w:rtl/>
          <w:lang w:bidi="ar-BH"/>
        </w:rPr>
      </w:pPr>
      <w:r>
        <w:rPr>
          <w:rStyle w:val="FootnoteReference"/>
        </w:rPr>
        <w:footnoteRef/>
      </w:r>
      <w:r>
        <w:t xml:space="preserve"> </w:t>
      </w:r>
      <w:r w:rsidRPr="00EE12A4">
        <w:rPr>
          <w:rFonts w:ascii="mylotus" w:hAnsi="mylotus" w:cs="mylotus"/>
          <w:rtl/>
        </w:rPr>
        <w:t xml:space="preserve">موسوعة الإمام الخوئي، مؤسسة الخوئي الإسلامية، ج40، التنقيح في شرح المكاسب، كتاب الخيارات، تأليف آية الله الشهيد الشيخ ميرزا </w:t>
      </w:r>
      <w:proofErr w:type="gramStart"/>
      <w:r w:rsidRPr="00EE12A4">
        <w:rPr>
          <w:rFonts w:ascii="mylotus" w:hAnsi="mylotus" w:cs="mylotus"/>
          <w:rtl/>
        </w:rPr>
        <w:t>علي</w:t>
      </w:r>
      <w:proofErr w:type="gramEnd"/>
      <w:r w:rsidRPr="00EE12A4">
        <w:rPr>
          <w:rFonts w:ascii="mylotus" w:hAnsi="mylotus" w:cs="mylotus"/>
          <w:rtl/>
        </w:rPr>
        <w:t xml:space="preserve"> الغروي (قدس سره)، ص302 </w:t>
      </w:r>
      <w:r w:rsidRPr="00EE12A4">
        <w:rPr>
          <w:rFonts w:ascii="Times New Roman" w:hAnsi="Times New Roman" w:cs="Times New Roman" w:hint="cs"/>
          <w:rtl/>
        </w:rPr>
        <w:t>–</w:t>
      </w:r>
      <w:r w:rsidRPr="00EE12A4">
        <w:rPr>
          <w:rFonts w:ascii="mylotus" w:hAnsi="mylotus" w:cs="mylotus"/>
          <w:rtl/>
        </w:rPr>
        <w:t xml:space="preserve"> 303.</w:t>
      </w:r>
    </w:p>
  </w:footnote>
  <w:footnote w:id="153">
    <w:p w14:paraId="52A975C3" w14:textId="77777777" w:rsidR="00C16F1A" w:rsidRDefault="00C16F1A" w:rsidP="00C16F1A">
      <w:pPr>
        <w:pStyle w:val="FootnoteText"/>
        <w:bidi/>
        <w:rPr>
          <w:rtl/>
          <w:lang w:bidi="ar-BH"/>
        </w:rPr>
      </w:pPr>
      <w:r>
        <w:rPr>
          <w:rStyle w:val="FootnoteReference"/>
        </w:rPr>
        <w:footnoteRef/>
      </w:r>
      <w:r>
        <w:t xml:space="preserve"> </w:t>
      </w:r>
      <w:r w:rsidRPr="00EE12A4">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ص157.</w:t>
      </w:r>
    </w:p>
  </w:footnote>
  <w:footnote w:id="154">
    <w:p w14:paraId="4A179E78" w14:textId="77777777" w:rsidR="00C16F1A" w:rsidRDefault="00C16F1A" w:rsidP="00C16F1A">
      <w:pPr>
        <w:pStyle w:val="FootnoteText"/>
        <w:bidi/>
        <w:rPr>
          <w:rtl/>
          <w:lang w:bidi="ar-BH"/>
        </w:rPr>
      </w:pPr>
      <w:r>
        <w:rPr>
          <w:rStyle w:val="FootnoteReference"/>
        </w:rPr>
        <w:footnoteRef/>
      </w:r>
      <w:r>
        <w:t xml:space="preserve"> </w:t>
      </w:r>
      <w:r w:rsidRPr="00DA245F">
        <w:rPr>
          <w:rFonts w:ascii="mylotus" w:hAnsi="mylotus" w:cs="mylotus"/>
          <w:rtl/>
        </w:rPr>
        <w:t xml:space="preserve">موسوعة الإمام الخوئي، مؤسسة الخوئي الإسلامية، ج40، التنقيح في شرح المكاسب، كتاب الخيارات، تأليف آية الله الشهيد الشيخ ميرزا </w:t>
      </w:r>
      <w:proofErr w:type="gramStart"/>
      <w:r w:rsidRPr="00DA245F">
        <w:rPr>
          <w:rFonts w:ascii="mylotus" w:hAnsi="mylotus" w:cs="mylotus"/>
          <w:rtl/>
        </w:rPr>
        <w:t>علي</w:t>
      </w:r>
      <w:proofErr w:type="gramEnd"/>
      <w:r w:rsidRPr="00DA245F">
        <w:rPr>
          <w:rFonts w:ascii="mylotus" w:hAnsi="mylotus" w:cs="mylotus"/>
          <w:rtl/>
        </w:rPr>
        <w:t xml:space="preserve"> الغروي (قدس سره)، ص303 </w:t>
      </w:r>
      <w:r w:rsidRPr="00DA245F">
        <w:rPr>
          <w:rFonts w:ascii="Times New Roman" w:hAnsi="Times New Roman" w:cs="Times New Roman" w:hint="cs"/>
          <w:rtl/>
        </w:rPr>
        <w:t>–</w:t>
      </w:r>
      <w:r w:rsidRPr="00DA245F">
        <w:rPr>
          <w:rFonts w:ascii="mylotus" w:hAnsi="mylotus" w:cs="mylotus"/>
          <w:rtl/>
        </w:rPr>
        <w:t xml:space="preserve"> 304.</w:t>
      </w:r>
    </w:p>
  </w:footnote>
  <w:footnote w:id="155">
    <w:p w14:paraId="07273943" w14:textId="77777777" w:rsidR="00C16F1A" w:rsidRDefault="00C16F1A" w:rsidP="00C16F1A">
      <w:pPr>
        <w:pStyle w:val="FootnoteText"/>
        <w:bidi/>
        <w:rPr>
          <w:rtl/>
          <w:lang w:bidi="ar-BH"/>
        </w:rPr>
      </w:pPr>
      <w:r>
        <w:rPr>
          <w:rStyle w:val="FootnoteReference"/>
        </w:rPr>
        <w:footnoteRef/>
      </w:r>
      <w:r>
        <w:t xml:space="preserve"> </w:t>
      </w:r>
      <w:r w:rsidRPr="00DA245F">
        <w:rPr>
          <w:rFonts w:ascii="mylotus" w:hAnsi="mylotus" w:cs="mylotus"/>
          <w:rtl/>
        </w:rPr>
        <w:t>كتاب المكاسب، الشيخ الأعظم الأنصاري (قدس سره)، ج6، ص275.</w:t>
      </w:r>
    </w:p>
  </w:footnote>
  <w:footnote w:id="156">
    <w:p w14:paraId="06CC86C0" w14:textId="77777777" w:rsidR="00C16F1A" w:rsidRDefault="00C16F1A" w:rsidP="00C16F1A">
      <w:pPr>
        <w:pStyle w:val="FootnoteText"/>
        <w:bidi/>
        <w:rPr>
          <w:rtl/>
          <w:lang w:bidi="ar-BH"/>
        </w:rPr>
      </w:pPr>
      <w:r>
        <w:rPr>
          <w:rStyle w:val="FootnoteReference"/>
        </w:rPr>
        <w:footnoteRef/>
      </w:r>
      <w:r>
        <w:t xml:space="preserve"> </w:t>
      </w:r>
      <w:r w:rsidRPr="00DA245F">
        <w:rPr>
          <w:rFonts w:ascii="mylotus" w:hAnsi="mylotus" w:cs="mylotus"/>
          <w:rtl/>
        </w:rPr>
        <w:t>المصدر السابق، ص302.</w:t>
      </w:r>
    </w:p>
  </w:footnote>
  <w:footnote w:id="157">
    <w:p w14:paraId="0F9B930F" w14:textId="77777777" w:rsidR="008954B5" w:rsidRDefault="008954B5" w:rsidP="008954B5">
      <w:pPr>
        <w:pStyle w:val="FootnoteText"/>
        <w:bidi/>
        <w:rPr>
          <w:rtl/>
          <w:lang w:bidi="ar-BH"/>
        </w:rPr>
      </w:pPr>
      <w:r>
        <w:rPr>
          <w:rStyle w:val="FootnoteReference"/>
        </w:rPr>
        <w:footnoteRef/>
      </w:r>
      <w:r>
        <w:t xml:space="preserve"> </w:t>
      </w:r>
      <w:r w:rsidRPr="008C4215">
        <w:rPr>
          <w:rFonts w:ascii="mylotus" w:hAnsi="mylotus" w:cs="mylotus"/>
          <w:rtl/>
        </w:rPr>
        <w:t>مصباح الفقاهة، تقرير أبحاث سماحة آية الله العظمى السيد أبو القاسم الموسوي الخوئي (قدس سره)، بقلم: آية الله الشيخ ميرزا محمد علي التوحيدي التبريزي، ج7، ص40</w:t>
      </w:r>
      <w:r w:rsidRPr="008C4215">
        <w:rPr>
          <w:rFonts w:ascii="mylotus" w:hAnsi="mylotus" w:cs="mylotus" w:hint="cs"/>
          <w:rtl/>
        </w:rPr>
        <w:t>.</w:t>
      </w:r>
    </w:p>
  </w:footnote>
  <w:footnote w:id="158">
    <w:p w14:paraId="5E654E16" w14:textId="77777777" w:rsidR="008954B5" w:rsidRDefault="008954B5" w:rsidP="008954B5">
      <w:pPr>
        <w:pStyle w:val="FootnoteText"/>
        <w:bidi/>
        <w:rPr>
          <w:rtl/>
          <w:lang w:bidi="ar-BH"/>
        </w:rPr>
      </w:pPr>
      <w:r>
        <w:rPr>
          <w:rStyle w:val="FootnoteReference"/>
        </w:rPr>
        <w:footnoteRef/>
      </w:r>
      <w:r>
        <w:t xml:space="preserve"> </w:t>
      </w:r>
      <w:r w:rsidRPr="008C4215">
        <w:rPr>
          <w:rFonts w:ascii="mylotus" w:hAnsi="mylotus" w:cs="mylotus"/>
          <w:rtl/>
        </w:rPr>
        <w:t xml:space="preserve">موسوعة الإمام الخوئي، مؤسسة الخوئي الإسلامية، ج40، التنقيح في شرح المكاسب، كتاب الخيارات، تأليف آية الله الشهيد الشيخ ميرزا </w:t>
      </w:r>
      <w:proofErr w:type="gramStart"/>
      <w:r w:rsidRPr="008C4215">
        <w:rPr>
          <w:rFonts w:ascii="mylotus" w:hAnsi="mylotus" w:cs="mylotus"/>
          <w:rtl/>
        </w:rPr>
        <w:t>علي</w:t>
      </w:r>
      <w:proofErr w:type="gramEnd"/>
      <w:r w:rsidRPr="008C4215">
        <w:rPr>
          <w:rFonts w:ascii="mylotus" w:hAnsi="mylotus" w:cs="mylotus"/>
          <w:rtl/>
        </w:rPr>
        <w:t xml:space="preserve"> الغروي (قدس سره)، ص301.</w:t>
      </w:r>
    </w:p>
  </w:footnote>
  <w:footnote w:id="159">
    <w:p w14:paraId="6F717F33" w14:textId="77777777" w:rsidR="008954B5" w:rsidRDefault="008954B5" w:rsidP="008954B5">
      <w:pPr>
        <w:pStyle w:val="FootnoteText"/>
        <w:bidi/>
        <w:rPr>
          <w:rtl/>
          <w:lang w:bidi="ar-BH"/>
        </w:rPr>
      </w:pPr>
      <w:r>
        <w:rPr>
          <w:rStyle w:val="FootnoteReference"/>
        </w:rPr>
        <w:footnoteRef/>
      </w:r>
      <w:r>
        <w:t xml:space="preserve"> </w:t>
      </w:r>
      <w:r w:rsidRPr="00B12BE4">
        <w:rPr>
          <w:rFonts w:ascii="mylotus" w:hAnsi="mylotus" w:cs="mylotus"/>
          <w:rtl/>
        </w:rPr>
        <w:t>مستدرك الوسائل، خاتمة المحدثين الحاج ميرزا حسين النوري الطبرسي، تحقيق مؤسسة آل البيت (عليهم السلام) لإحياء التراث، ج13، أبواب الخيار، الباب 9 باب أنّ المبيع إذا تلف قبل القبض، تلف من مال البائع، ح1.</w:t>
      </w:r>
    </w:p>
  </w:footnote>
  <w:footnote w:id="160">
    <w:p w14:paraId="7029C63A" w14:textId="77777777" w:rsidR="008954B5" w:rsidRDefault="008954B5" w:rsidP="008954B5">
      <w:pPr>
        <w:pStyle w:val="FootnoteText"/>
        <w:bidi/>
        <w:rPr>
          <w:rtl/>
          <w:lang w:bidi="ar-BH"/>
        </w:rPr>
      </w:pPr>
      <w:r>
        <w:rPr>
          <w:rStyle w:val="FootnoteReference"/>
        </w:rPr>
        <w:footnoteRef/>
      </w:r>
      <w:r>
        <w:t xml:space="preserve"> </w:t>
      </w:r>
      <w:r w:rsidRPr="00B12BE4">
        <w:rPr>
          <w:rFonts w:ascii="mylotus" w:hAnsi="mylotus" w:cs="mylotus"/>
          <w:rtl/>
        </w:rPr>
        <w:t>وسائل الشيعة، الحر العاملي، تحقيق مؤسسة آل البيت (عليهم السلام) لإحياء التراث، ج18، أبواب الخيار، الباب 10 باب أن المبيع إذا تلف قبل القبض تلف من مال البائع، ح1.</w:t>
      </w:r>
    </w:p>
  </w:footnote>
  <w:footnote w:id="161">
    <w:p w14:paraId="0DA6A545" w14:textId="77777777" w:rsidR="008954B5" w:rsidRDefault="008954B5" w:rsidP="008954B5">
      <w:pPr>
        <w:pStyle w:val="FootnoteText"/>
        <w:bidi/>
        <w:rPr>
          <w:rtl/>
          <w:lang w:bidi="ar-BH"/>
        </w:rPr>
      </w:pPr>
      <w:r>
        <w:rPr>
          <w:rStyle w:val="FootnoteReference"/>
        </w:rPr>
        <w:footnoteRef/>
      </w:r>
      <w:r>
        <w:t xml:space="preserve"> </w:t>
      </w:r>
      <w:r w:rsidRPr="00B12BE4">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ص157.</w:t>
      </w:r>
    </w:p>
  </w:footnote>
  <w:footnote w:id="162">
    <w:p w14:paraId="778DEB4F" w14:textId="77777777" w:rsidR="00DD7989" w:rsidRDefault="00DD7989" w:rsidP="00DD7989">
      <w:pPr>
        <w:pStyle w:val="FootnoteText"/>
        <w:bidi/>
        <w:rPr>
          <w:rtl/>
          <w:lang w:bidi="ar-BH"/>
        </w:rPr>
      </w:pPr>
      <w:r>
        <w:rPr>
          <w:rStyle w:val="FootnoteReference"/>
        </w:rPr>
        <w:footnoteRef/>
      </w:r>
      <w:r>
        <w:t xml:space="preserve"> </w:t>
      </w:r>
      <w:r w:rsidRPr="00F26716">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ص160.</w:t>
      </w:r>
    </w:p>
  </w:footnote>
  <w:footnote w:id="163">
    <w:p w14:paraId="1A8922A6" w14:textId="77777777" w:rsidR="00DD7989" w:rsidRDefault="00DD7989" w:rsidP="00DD7989">
      <w:pPr>
        <w:pStyle w:val="FootnoteText"/>
        <w:bidi/>
        <w:rPr>
          <w:rtl/>
          <w:lang w:bidi="ar-BH"/>
        </w:rPr>
      </w:pPr>
      <w:r>
        <w:rPr>
          <w:rStyle w:val="FootnoteReference"/>
        </w:rPr>
        <w:footnoteRef/>
      </w:r>
      <w:r>
        <w:t xml:space="preserve"> </w:t>
      </w:r>
      <w:r w:rsidRPr="00F26716">
        <w:rPr>
          <w:rFonts w:ascii="mylotus" w:hAnsi="mylotus" w:cs="mylotus"/>
          <w:rtl/>
        </w:rPr>
        <w:t xml:space="preserve">كتاب الإجارة، مؤسسة دائرة معارف الفقه الإسلامي طبقاً لمذهب أهل البيت (عليهم السلام)، ج1، ص271 </w:t>
      </w:r>
      <w:r w:rsidRPr="00F26716">
        <w:rPr>
          <w:rFonts w:ascii="Times New Roman" w:hAnsi="Times New Roman" w:cs="Times New Roman" w:hint="cs"/>
          <w:rtl/>
        </w:rPr>
        <w:t>–</w:t>
      </w:r>
      <w:r w:rsidRPr="00F26716">
        <w:rPr>
          <w:rFonts w:ascii="mylotus" w:hAnsi="mylotus" w:cs="mylotus"/>
          <w:rtl/>
        </w:rPr>
        <w:t xml:space="preserve"> 272.</w:t>
      </w:r>
    </w:p>
  </w:footnote>
  <w:footnote w:id="164">
    <w:p w14:paraId="1A02F1FB" w14:textId="77777777" w:rsidR="00DD7989" w:rsidRDefault="00DD7989" w:rsidP="00DD7989">
      <w:pPr>
        <w:pStyle w:val="FootnoteText"/>
        <w:bidi/>
        <w:rPr>
          <w:rtl/>
          <w:lang w:bidi="ar-BH"/>
        </w:rPr>
      </w:pPr>
      <w:r>
        <w:rPr>
          <w:rStyle w:val="FootnoteReference"/>
        </w:rPr>
        <w:footnoteRef/>
      </w:r>
      <w:r>
        <w:t xml:space="preserve"> </w:t>
      </w:r>
      <w:r w:rsidRPr="00F26716">
        <w:rPr>
          <w:rFonts w:ascii="mylotus" w:hAnsi="mylotus" w:cs="mylotus"/>
          <w:rtl/>
        </w:rPr>
        <w:t>موسوعة الإمام الخوئي، مؤسسة الخوئي الإسلامية، ج30، المستند في شرح العروة الوثقى، كتاب الإجارة، تأليف آية الله الشهيد الشيخ مرتضى البروجردي (قدس سره)، ص</w:t>
      </w:r>
      <w:r>
        <w:rPr>
          <w:rFonts w:ascii="mylotus" w:hAnsi="mylotus" w:cs="mylotus" w:hint="cs"/>
          <w:rtl/>
        </w:rPr>
        <w:t>183.</w:t>
      </w:r>
    </w:p>
  </w:footnote>
  <w:footnote w:id="165">
    <w:p w14:paraId="7E09DC15" w14:textId="77777777" w:rsidR="00DD7989" w:rsidRDefault="00DD7989" w:rsidP="00DD7989">
      <w:pPr>
        <w:pStyle w:val="FootnoteText"/>
        <w:bidi/>
        <w:rPr>
          <w:rtl/>
          <w:lang w:bidi="ar-BH"/>
        </w:rPr>
      </w:pPr>
      <w:r>
        <w:rPr>
          <w:rStyle w:val="FootnoteReference"/>
        </w:rPr>
        <w:footnoteRef/>
      </w:r>
      <w:r>
        <w:t xml:space="preserve"> </w:t>
      </w:r>
      <w:r w:rsidRPr="00F26716">
        <w:rPr>
          <w:rFonts w:ascii="mylotus" w:hAnsi="mylotus" w:cs="mylotus"/>
          <w:rtl/>
        </w:rPr>
        <w:t xml:space="preserve">كتاب الإجارة، مؤسسة دائرة معارف الفقه الإسلامي طبقاً لمذهب أهل البيت (عليهم السلام)، ج1، ص271 </w:t>
      </w:r>
      <w:r w:rsidRPr="00F26716">
        <w:rPr>
          <w:rFonts w:ascii="Times New Roman" w:hAnsi="Times New Roman" w:cs="Times New Roman" w:hint="cs"/>
          <w:rtl/>
        </w:rPr>
        <w:t>–</w:t>
      </w:r>
      <w:r w:rsidRPr="00F26716">
        <w:rPr>
          <w:rFonts w:ascii="mylotus" w:hAnsi="mylotus" w:cs="mylotus"/>
          <w:rtl/>
        </w:rPr>
        <w:t xml:space="preserve"> 272.</w:t>
      </w:r>
    </w:p>
  </w:footnote>
  <w:footnote w:id="166">
    <w:p w14:paraId="5B4D10C8" w14:textId="77777777" w:rsidR="00DD7989" w:rsidRDefault="00DD7989" w:rsidP="00DD7989">
      <w:pPr>
        <w:pStyle w:val="FootnoteText"/>
        <w:bidi/>
        <w:rPr>
          <w:rtl/>
          <w:lang w:bidi="ar-BH"/>
        </w:rPr>
      </w:pPr>
      <w:r>
        <w:rPr>
          <w:rStyle w:val="FootnoteReference"/>
        </w:rPr>
        <w:footnoteRef/>
      </w:r>
      <w:r>
        <w:t xml:space="preserve"> </w:t>
      </w:r>
      <w:r w:rsidRPr="00F26716">
        <w:rPr>
          <w:rFonts w:ascii="mylotus" w:hAnsi="mylotus" w:cs="mylotus"/>
          <w:rtl/>
        </w:rPr>
        <w:t>سورة المائدة، 1.</w:t>
      </w:r>
    </w:p>
  </w:footnote>
  <w:footnote w:id="167">
    <w:p w14:paraId="6C1C0481" w14:textId="77777777" w:rsidR="00E559B8" w:rsidRDefault="00E559B8" w:rsidP="00E559B8">
      <w:pPr>
        <w:pStyle w:val="FootnoteText"/>
        <w:bidi/>
        <w:rPr>
          <w:rFonts w:ascii="almohsin" w:hAnsi="almohsin"/>
          <w:lang w:bidi="ar-BH"/>
        </w:rPr>
      </w:pPr>
      <w:r>
        <w:rPr>
          <w:rStyle w:val="FootnoteReference"/>
        </w:rPr>
        <w:footnoteRef/>
      </w:r>
      <w:r>
        <w:t xml:space="preserve"> </w:t>
      </w:r>
      <w:r>
        <w:rPr>
          <w:rFonts w:ascii="mylotus" w:hAnsi="mylotus" w:cs="mylotus"/>
          <w:rtl/>
        </w:rPr>
        <w:t xml:space="preserve">موسوعة الإمام الخوئي، مؤسسة الخوئي الإسلامية، ج30، المستند في شرح العروة الوثقى، كتاب الإجارة، تأليف آية الله الشهيد الشيخ مرتضى البروجردي (قدس سره)، ص161 </w:t>
      </w:r>
      <w:r>
        <w:rPr>
          <w:rFonts w:ascii="Times New Roman" w:hAnsi="Times New Roman" w:cs="Times New Roman"/>
          <w:rtl/>
        </w:rPr>
        <w:t>–</w:t>
      </w:r>
      <w:r>
        <w:rPr>
          <w:rFonts w:ascii="mylotus" w:hAnsi="mylotus" w:cs="mylotus"/>
          <w:rtl/>
        </w:rPr>
        <w:t xml:space="preserve"> 162.</w:t>
      </w:r>
    </w:p>
  </w:footnote>
  <w:footnote w:id="168">
    <w:p w14:paraId="09E5AB79" w14:textId="77777777" w:rsidR="00E559B8" w:rsidRDefault="00E559B8" w:rsidP="00E559B8">
      <w:pPr>
        <w:pStyle w:val="FootnoteText"/>
        <w:bidi/>
        <w:rPr>
          <w:rtl/>
          <w:lang w:bidi="ar-BH"/>
        </w:rPr>
      </w:pPr>
      <w:r>
        <w:rPr>
          <w:rStyle w:val="FootnoteReference"/>
        </w:rPr>
        <w:footnoteRef/>
      </w:r>
      <w:r>
        <w:t xml:space="preserve"> </w:t>
      </w:r>
      <w:r>
        <w:rPr>
          <w:rFonts w:ascii="mylotus" w:hAnsi="mylotus" w:cs="mylotus"/>
          <w:rtl/>
        </w:rPr>
        <w:t xml:space="preserve">كتاب الإجارة، مؤسسة دائرة معارف الفقه الإسلامي طبقاً لمذهب أهل البيت (عليهم السلام)، ج1، ص274 </w:t>
      </w:r>
      <w:r>
        <w:rPr>
          <w:rFonts w:ascii="Times New Roman" w:hAnsi="Times New Roman" w:cs="Times New Roman"/>
          <w:rtl/>
        </w:rPr>
        <w:t>–</w:t>
      </w:r>
      <w:r>
        <w:rPr>
          <w:rFonts w:ascii="mylotus" w:hAnsi="mylotus" w:cs="mylotus"/>
          <w:rtl/>
        </w:rPr>
        <w:t xml:space="preserve"> 275.</w:t>
      </w:r>
    </w:p>
  </w:footnote>
  <w:footnote w:id="169">
    <w:p w14:paraId="02D98095" w14:textId="77777777" w:rsidR="001127F3" w:rsidRDefault="001127F3" w:rsidP="001127F3">
      <w:pPr>
        <w:pStyle w:val="FootnoteText"/>
        <w:bidi/>
        <w:rPr>
          <w:rFonts w:ascii="almohsin" w:hAnsi="almohsin"/>
          <w:lang w:bidi="ar-BH"/>
        </w:rPr>
      </w:pPr>
      <w:r>
        <w:rPr>
          <w:rStyle w:val="FootnoteReference"/>
        </w:rPr>
        <w:footnoteRef/>
      </w:r>
      <w:r>
        <w:t xml:space="preserve"> </w:t>
      </w:r>
      <w:r>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ص164.</w:t>
      </w:r>
    </w:p>
  </w:footnote>
  <w:footnote w:id="170">
    <w:p w14:paraId="6D2692B1" w14:textId="77777777" w:rsidR="001127F3" w:rsidRDefault="001127F3" w:rsidP="001127F3">
      <w:pPr>
        <w:bidi/>
        <w:spacing w:line="216" w:lineRule="auto"/>
        <w:rPr>
          <w:rFonts w:ascii="mylotus" w:hAnsi="mylotus"/>
          <w:sz w:val="34"/>
          <w:szCs w:val="34"/>
          <w:rtl/>
        </w:rPr>
      </w:pPr>
      <w:r>
        <w:rPr>
          <w:rStyle w:val="FootnoteReference"/>
          <w:sz w:val="20"/>
          <w:szCs w:val="20"/>
        </w:rPr>
        <w:footnoteRef/>
      </w:r>
      <w:r>
        <w:t xml:space="preserve"> </w:t>
      </w:r>
      <w:r>
        <w:rPr>
          <w:rFonts w:ascii="mylotus" w:hAnsi="mylotus"/>
          <w:sz w:val="20"/>
          <w:szCs w:val="20"/>
          <w:rtl/>
        </w:rPr>
        <w:t xml:space="preserve">وسائل الشيعة، الحر العاملي، تحقيق مؤسسة آل البيت (عليهم </w:t>
      </w:r>
      <w:proofErr w:type="gramStart"/>
      <w:r>
        <w:rPr>
          <w:rFonts w:ascii="mylotus" w:hAnsi="mylotus"/>
          <w:sz w:val="20"/>
          <w:szCs w:val="20"/>
          <w:rtl/>
        </w:rPr>
        <w:t>السلام)  لإحياء</w:t>
      </w:r>
      <w:proofErr w:type="gramEnd"/>
      <w:r>
        <w:rPr>
          <w:rFonts w:ascii="mylotus" w:hAnsi="mylotus"/>
          <w:sz w:val="20"/>
          <w:szCs w:val="20"/>
          <w:rtl/>
        </w:rPr>
        <w:t xml:space="preserve"> التراث، ج19، كتاب الإجارة، الباب 18 باب أنّ المستأجر إذا تسلّم العين ومضت مدّة يمكنه الانتفاع لزمت الأُجرة، ح1.</w:t>
      </w:r>
    </w:p>
  </w:footnote>
  <w:footnote w:id="171">
    <w:p w14:paraId="7BD683D7" w14:textId="77777777" w:rsidR="001127F3" w:rsidRDefault="001127F3" w:rsidP="001127F3">
      <w:pPr>
        <w:pStyle w:val="FootnoteText"/>
        <w:bidi/>
        <w:rPr>
          <w:rFonts w:ascii="almohsin" w:hAnsi="almohsin"/>
          <w:rtl/>
          <w:lang w:bidi="ar-BH"/>
        </w:rPr>
      </w:pPr>
      <w:r>
        <w:rPr>
          <w:rStyle w:val="FootnoteReference"/>
        </w:rPr>
        <w:footnoteRef/>
      </w:r>
      <w:r>
        <w:t xml:space="preserve"> </w:t>
      </w:r>
      <w:r>
        <w:rPr>
          <w:rFonts w:ascii="mylotus" w:hAnsi="mylotus" w:cs="mylotus"/>
          <w:rtl/>
        </w:rPr>
        <w:t xml:space="preserve">موسوعة الإمام الخوئي، مؤسسة السيد الخوئي، ج30، المستند في شرح العروة الوثقى، كتاب الإجارة، تأليف آية الله الشهيد الشيخ مرتضى البروجردي (قدس سره)، ص165 </w:t>
      </w:r>
      <w:r>
        <w:rPr>
          <w:rFonts w:ascii="Times New Roman" w:hAnsi="Times New Roman" w:cs="Times New Roman"/>
          <w:rtl/>
        </w:rPr>
        <w:t>–</w:t>
      </w:r>
      <w:r>
        <w:rPr>
          <w:rFonts w:ascii="mylotus" w:hAnsi="mylotus" w:cs="mylotus"/>
          <w:rtl/>
        </w:rPr>
        <w:t xml:space="preserve"> 166.</w:t>
      </w:r>
    </w:p>
  </w:footnote>
  <w:footnote w:id="172">
    <w:p w14:paraId="3A1510AD" w14:textId="77777777" w:rsidR="00966EE1" w:rsidRDefault="00966EE1" w:rsidP="00966EE1">
      <w:pPr>
        <w:pStyle w:val="FootnoteText"/>
        <w:bidi/>
        <w:rPr>
          <w:rFonts w:ascii="almohsin" w:hAnsi="almohsin"/>
          <w:lang w:bidi="ar-BH"/>
        </w:rPr>
      </w:pPr>
      <w:r>
        <w:rPr>
          <w:rStyle w:val="FootnoteReference"/>
        </w:rPr>
        <w:footnoteRef/>
      </w:r>
      <w:r>
        <w:t xml:space="preserve"> </w:t>
      </w:r>
      <w:r>
        <w:rPr>
          <w:rFonts w:ascii="mylotus" w:hAnsi="mylotus" w:cs="mylotus"/>
          <w:rtl/>
        </w:rPr>
        <w:t>كتاب الإجارة، مؤسسة دائرة معارف الفقه الإسلامي طبقاً لمذهب أهل البيت (عليهم السلام)، ج1، ص277 فما بعدها.</w:t>
      </w:r>
    </w:p>
  </w:footnote>
  <w:footnote w:id="173">
    <w:p w14:paraId="7A3BCB01" w14:textId="77777777" w:rsidR="00B86E26" w:rsidRDefault="00B86E26" w:rsidP="00B86E26">
      <w:pPr>
        <w:pStyle w:val="FootnoteText"/>
        <w:bidi/>
        <w:rPr>
          <w:rFonts w:ascii="almohsin" w:hAnsi="almohsin"/>
          <w:lang w:bidi="ar-BH"/>
        </w:rPr>
      </w:pPr>
      <w:r>
        <w:rPr>
          <w:rStyle w:val="FootnoteReference"/>
        </w:rPr>
        <w:footnoteRef/>
      </w:r>
      <w:r>
        <w:t xml:space="preserve"> </w:t>
      </w:r>
      <w:r>
        <w:rPr>
          <w:rFonts w:ascii="mylotus" w:hAnsi="mylotus" w:cs="mylotus"/>
          <w:rtl/>
        </w:rPr>
        <w:t>مصباح المنهاج، كتاب الشفعة وكتاب الإجارة، تأليف السيد محمد سعيد الطباطبائي الحكيم (قدس سره)، دار الهلال، الطبعة الثانية، ص284.</w:t>
      </w:r>
    </w:p>
  </w:footnote>
  <w:footnote w:id="174">
    <w:p w14:paraId="62E7D84D" w14:textId="77777777" w:rsidR="00B86E26" w:rsidRDefault="00B86E26" w:rsidP="00B86E26">
      <w:pPr>
        <w:pStyle w:val="FootnoteText"/>
        <w:bidi/>
        <w:rPr>
          <w:rtl/>
          <w:lang w:bidi="ar-BH"/>
        </w:rPr>
      </w:pPr>
      <w:r>
        <w:rPr>
          <w:rStyle w:val="FootnoteReference"/>
        </w:rPr>
        <w:footnoteRef/>
      </w:r>
      <w:r>
        <w:t xml:space="preserve"> </w:t>
      </w:r>
      <w:r>
        <w:rPr>
          <w:rFonts w:ascii="mylotus" w:hAnsi="mylotus" w:cs="mylotus"/>
          <w:rtl/>
        </w:rPr>
        <w:t xml:space="preserve">كتاب الإجارة، مؤسسة دائرة معارف الفقه الإسلامي طبقاً لمذهب أهل البيت (عليهم السلام)، ج1، ص 281 </w:t>
      </w:r>
      <w:r>
        <w:rPr>
          <w:rFonts w:ascii="Times New Roman" w:hAnsi="Times New Roman" w:cs="Times New Roman"/>
          <w:rtl/>
        </w:rPr>
        <w:t>–</w:t>
      </w:r>
      <w:r>
        <w:rPr>
          <w:rFonts w:ascii="mylotus" w:hAnsi="mylotus" w:cs="mylotus"/>
          <w:rtl/>
        </w:rPr>
        <w:t xml:space="preserve"> 282.</w:t>
      </w:r>
    </w:p>
  </w:footnote>
  <w:footnote w:id="175">
    <w:p w14:paraId="04183985" w14:textId="77777777" w:rsidR="00D077A0" w:rsidRDefault="00D077A0" w:rsidP="00D077A0">
      <w:pPr>
        <w:pStyle w:val="FootnoteText"/>
        <w:bidi/>
        <w:rPr>
          <w:rFonts w:ascii="almohsin" w:hAnsi="almohsin"/>
          <w:lang w:bidi="ar-BH"/>
        </w:rPr>
      </w:pPr>
      <w:r>
        <w:rPr>
          <w:rStyle w:val="FootnoteReference"/>
        </w:rPr>
        <w:footnoteRef/>
      </w:r>
      <w:r>
        <w:t xml:space="preserve"> </w:t>
      </w:r>
      <w:r>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ص1163.</w:t>
      </w:r>
    </w:p>
  </w:footnote>
  <w:footnote w:id="176">
    <w:p w14:paraId="30634EB3" w14:textId="77777777" w:rsidR="00D077A0" w:rsidRDefault="00D077A0" w:rsidP="00D077A0">
      <w:pPr>
        <w:pStyle w:val="FootnoteText"/>
        <w:bidi/>
        <w:rPr>
          <w:rtl/>
          <w:lang w:bidi="ar-BH"/>
        </w:rPr>
      </w:pPr>
      <w:r>
        <w:rPr>
          <w:rStyle w:val="FootnoteReference"/>
        </w:rPr>
        <w:footnoteRef/>
      </w:r>
      <w:r>
        <w:t xml:space="preserve"> </w:t>
      </w:r>
      <w:r>
        <w:rPr>
          <w:rFonts w:ascii="mylotus" w:hAnsi="mylotus" w:cs="mylotus"/>
          <w:rtl/>
        </w:rPr>
        <w:t>كتاب الإجارة، مؤسسة دائرة معارف الفقه الإسلامي طبقاً لمذهب أهل البيت (عليهم السلام)، ج1، ص 277.</w:t>
      </w:r>
    </w:p>
  </w:footnote>
  <w:footnote w:id="177">
    <w:p w14:paraId="6CCF0962" w14:textId="77777777" w:rsidR="00D077A0" w:rsidRDefault="00D077A0" w:rsidP="00D077A0">
      <w:pPr>
        <w:pStyle w:val="FootnoteText"/>
        <w:bidi/>
        <w:rPr>
          <w:rtl/>
          <w:lang w:bidi="ar-BH"/>
        </w:rPr>
      </w:pPr>
      <w:r>
        <w:rPr>
          <w:rStyle w:val="FootnoteReference"/>
        </w:rPr>
        <w:footnoteRef/>
      </w:r>
      <w:r>
        <w:t xml:space="preserve"> </w:t>
      </w:r>
      <w:r>
        <w:rPr>
          <w:rFonts w:ascii="mylotus" w:hAnsi="mylotus" w:cs="mylotus"/>
          <w:rtl/>
        </w:rPr>
        <w:t>كتاب الإجارة، مؤسسة دائرة معارف الفقه الإسلامي طبقاً لمذهب أهل البيت (عليهم السلام)، ج1، ص280.</w:t>
      </w:r>
    </w:p>
  </w:footnote>
  <w:footnote w:id="178">
    <w:p w14:paraId="0CAAABDC" w14:textId="77777777" w:rsidR="005E0643" w:rsidRDefault="005E0643" w:rsidP="005E0643">
      <w:pPr>
        <w:pStyle w:val="FootnoteText"/>
        <w:bidi/>
        <w:rPr>
          <w:rFonts w:ascii="almohsin" w:hAnsi="almohsin"/>
          <w:lang w:bidi="ar-BH"/>
        </w:rPr>
      </w:pPr>
      <w:r>
        <w:rPr>
          <w:rStyle w:val="FootnoteReference"/>
        </w:rPr>
        <w:footnoteRef/>
      </w:r>
      <w:r>
        <w:t xml:space="preserve"> </w:t>
      </w:r>
      <w:r>
        <w:rPr>
          <w:rFonts w:ascii="mylotus" w:hAnsi="mylotus" w:cs="mylotus"/>
          <w:rtl/>
        </w:rPr>
        <w:t>مصباح الفقاهة في المعاملات، تقريراً لأبحاث الأستاذ الأعظم سماحة آية الله العظمى السيد أبو القاسم الموسوي الخوئي (قدس سره)، لمقرره سماحة الحجة العلامة الميرزا محمد علي التوحيدي، تحقيق نشر الفقاهة، الطبعة الثالثة، ج2، ص37 - 41، تحت عنوان: عمل الحر وجواز وقوعه ثمناً في البيع.</w:t>
      </w:r>
    </w:p>
  </w:footnote>
  <w:footnote w:id="179">
    <w:p w14:paraId="0A8FD7AA" w14:textId="77777777" w:rsidR="005E0643" w:rsidRDefault="005E0643" w:rsidP="005E0643">
      <w:pPr>
        <w:pStyle w:val="FootnoteText"/>
        <w:bidi/>
        <w:rPr>
          <w:rtl/>
          <w:lang w:bidi="ar-BH"/>
        </w:rPr>
      </w:pPr>
      <w:r>
        <w:rPr>
          <w:rStyle w:val="FootnoteReference"/>
        </w:rPr>
        <w:footnoteRef/>
      </w:r>
      <w:r>
        <w:t xml:space="preserve"> </w:t>
      </w:r>
      <w:r>
        <w:rPr>
          <w:rFonts w:ascii="mylotus" w:hAnsi="mylotus" w:cs="mylotus"/>
          <w:rtl/>
        </w:rPr>
        <w:t>المصدر السابق، ص40.</w:t>
      </w:r>
    </w:p>
  </w:footnote>
  <w:footnote w:id="180">
    <w:p w14:paraId="4B5145D6" w14:textId="77777777" w:rsidR="005E0643" w:rsidRDefault="005E0643" w:rsidP="005E0643">
      <w:pPr>
        <w:pStyle w:val="FootnoteText"/>
        <w:bidi/>
        <w:rPr>
          <w:rtl/>
          <w:lang w:bidi="ar-BH"/>
        </w:rPr>
      </w:pPr>
      <w:r>
        <w:rPr>
          <w:rStyle w:val="FootnoteReference"/>
        </w:rPr>
        <w:footnoteRef/>
      </w:r>
      <w:r>
        <w:t xml:space="preserve"> </w:t>
      </w:r>
      <w:r>
        <w:rPr>
          <w:rFonts w:ascii="mylotus" w:hAnsi="mylotus" w:cs="mylotus"/>
          <w:rtl/>
        </w:rPr>
        <w:t>المصدر السابق، ص40.</w:t>
      </w:r>
    </w:p>
  </w:footnote>
  <w:footnote w:id="181">
    <w:p w14:paraId="07F0FB9C" w14:textId="77777777" w:rsidR="005E0643" w:rsidRDefault="005E0643" w:rsidP="005E0643">
      <w:pPr>
        <w:pStyle w:val="FootnoteText"/>
        <w:bidi/>
        <w:rPr>
          <w:rtl/>
          <w:lang w:bidi="ar-BH"/>
        </w:rPr>
      </w:pPr>
      <w:r>
        <w:rPr>
          <w:rStyle w:val="FootnoteReference"/>
        </w:rPr>
        <w:footnoteRef/>
      </w:r>
      <w:r>
        <w:t xml:space="preserve"> </w:t>
      </w:r>
      <w:r>
        <w:rPr>
          <w:rFonts w:ascii="mylotus" w:hAnsi="mylotus" w:cs="mylotus"/>
          <w:rtl/>
        </w:rPr>
        <w:t>سورة آل عمران، 97.</w:t>
      </w:r>
    </w:p>
  </w:footnote>
  <w:footnote w:id="182">
    <w:p w14:paraId="42F1537B" w14:textId="77777777" w:rsidR="005E0643" w:rsidRDefault="005E0643" w:rsidP="005E0643">
      <w:pPr>
        <w:pStyle w:val="FootnoteText"/>
        <w:bidi/>
        <w:rPr>
          <w:rtl/>
          <w:lang w:bidi="ar-BH"/>
        </w:rPr>
      </w:pPr>
      <w:r>
        <w:rPr>
          <w:rStyle w:val="FootnoteReference"/>
        </w:rPr>
        <w:footnoteRef/>
      </w:r>
      <w:r>
        <w:t xml:space="preserve"> </w:t>
      </w:r>
      <w:r>
        <w:rPr>
          <w:rFonts w:ascii="mylotus" w:hAnsi="mylotus" w:cs="mylotus"/>
          <w:rtl/>
        </w:rPr>
        <w:t xml:space="preserve">الكافي، للشيخ الكليني، دار الحديث، ج8، الفروع </w:t>
      </w:r>
      <w:r>
        <w:rPr>
          <w:rFonts w:ascii="Times New Roman" w:hAnsi="Times New Roman" w:cs="Times New Roman"/>
          <w:rtl/>
        </w:rPr>
        <w:t>–</w:t>
      </w:r>
      <w:r>
        <w:rPr>
          <w:rFonts w:ascii="mylotus" w:hAnsi="mylotus" w:cs="mylotus"/>
          <w:rtl/>
        </w:rPr>
        <w:t xml:space="preserve"> الحج، الباب 30 باب استطاعة الحج، ح2.</w:t>
      </w:r>
    </w:p>
  </w:footnote>
  <w:footnote w:id="183">
    <w:p w14:paraId="3F1C7E49" w14:textId="77777777" w:rsidR="005E0643" w:rsidRDefault="005E0643" w:rsidP="005E0643">
      <w:pPr>
        <w:pStyle w:val="FootnoteText"/>
        <w:bidi/>
        <w:rPr>
          <w:rtl/>
          <w:lang w:bidi="ar-BH"/>
        </w:rPr>
      </w:pPr>
      <w:r>
        <w:rPr>
          <w:rStyle w:val="FootnoteReference"/>
        </w:rPr>
        <w:footnoteRef/>
      </w:r>
      <w:r>
        <w:t xml:space="preserve"> </w:t>
      </w:r>
      <w:r>
        <w:rPr>
          <w:rFonts w:ascii="mylotus" w:hAnsi="mylotus" w:cs="mylotus"/>
          <w:rtl/>
        </w:rPr>
        <w:t>المصدر السابق، ص41.</w:t>
      </w:r>
    </w:p>
  </w:footnote>
  <w:footnote w:id="184">
    <w:p w14:paraId="43257FE0" w14:textId="77777777" w:rsidR="005E0643" w:rsidRDefault="005E0643" w:rsidP="005E0643">
      <w:pPr>
        <w:pStyle w:val="FootnoteText"/>
        <w:bidi/>
        <w:rPr>
          <w:rtl/>
          <w:lang w:bidi="ar-BH"/>
        </w:rPr>
      </w:pPr>
      <w:r>
        <w:rPr>
          <w:rStyle w:val="FootnoteReference"/>
        </w:rPr>
        <w:footnoteRef/>
      </w:r>
      <w:r>
        <w:t xml:space="preserve"> </w:t>
      </w:r>
      <w:r>
        <w:rPr>
          <w:rFonts w:ascii="mylotus" w:hAnsi="mylotus" w:cs="mylotus"/>
          <w:rtl/>
        </w:rPr>
        <w:t xml:space="preserve">موسوعة الإمام الخوئي، مؤسسة السيد الخوئي، ج30، المستند في شرح العروة الوثقى، كتاب الإجارة، تأليف آية الله الشهيد الشيخ مرتضى البروجردي (قدس سره)، ص169 </w:t>
      </w:r>
      <w:r>
        <w:rPr>
          <w:rFonts w:ascii="Times New Roman" w:hAnsi="Times New Roman" w:cs="Times New Roman"/>
          <w:rtl/>
        </w:rPr>
        <w:t>–</w:t>
      </w:r>
      <w:r>
        <w:rPr>
          <w:rFonts w:ascii="mylotus" w:hAnsi="mylotus" w:cs="mylotus"/>
          <w:rtl/>
        </w:rPr>
        <w:t xml:space="preserve"> 170.</w:t>
      </w:r>
    </w:p>
  </w:footnote>
  <w:footnote w:id="185">
    <w:p w14:paraId="1C304B04" w14:textId="77777777" w:rsidR="00D10764" w:rsidRDefault="00D10764" w:rsidP="00D10764">
      <w:pPr>
        <w:pStyle w:val="FootnoteText"/>
        <w:bidi/>
        <w:rPr>
          <w:rFonts w:ascii="almohsin" w:hAnsi="almohsin"/>
          <w:lang w:bidi="ar-BH"/>
        </w:rPr>
      </w:pPr>
      <w:r>
        <w:rPr>
          <w:rStyle w:val="FootnoteReference"/>
        </w:rPr>
        <w:footnoteRef/>
      </w:r>
      <w:r>
        <w:t xml:space="preserve"> </w:t>
      </w:r>
      <w:r>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ص170.</w:t>
      </w:r>
    </w:p>
  </w:footnote>
  <w:footnote w:id="186">
    <w:p w14:paraId="03BA8FAE" w14:textId="77777777" w:rsidR="00D10764" w:rsidRDefault="00D10764" w:rsidP="00D10764">
      <w:pPr>
        <w:pStyle w:val="FootnoteText"/>
        <w:bidi/>
        <w:rPr>
          <w:rtl/>
          <w:lang w:bidi="ar-BH"/>
        </w:rPr>
      </w:pPr>
      <w:r>
        <w:rPr>
          <w:rStyle w:val="FootnoteReference"/>
        </w:rPr>
        <w:footnoteRef/>
      </w:r>
      <w:r>
        <w:t xml:space="preserve"> </w:t>
      </w:r>
      <w:r>
        <w:rPr>
          <w:rFonts w:ascii="mylotus" w:hAnsi="mylotus" w:cs="mylotus"/>
          <w:rtl/>
        </w:rPr>
        <w:t>مستمسك العروة الوثقى، تأليف فقه العصر آية الله العظمى السيد محسن الطباطبائي الحكيم (قدس سره)، دار إحياء التراث العربي، ج10، ص157.</w:t>
      </w:r>
    </w:p>
  </w:footnote>
  <w:footnote w:id="187">
    <w:p w14:paraId="2726B4AB" w14:textId="77777777" w:rsidR="00D10764" w:rsidRDefault="00D10764" w:rsidP="00D10764">
      <w:pPr>
        <w:pStyle w:val="FootnoteText"/>
        <w:bidi/>
        <w:rPr>
          <w:rtl/>
          <w:lang w:bidi="ar-BH"/>
        </w:rPr>
      </w:pPr>
      <w:r>
        <w:rPr>
          <w:rStyle w:val="FootnoteReference"/>
        </w:rPr>
        <w:footnoteRef/>
      </w:r>
      <w:r>
        <w:t xml:space="preserve"> </w:t>
      </w:r>
      <w:r>
        <w:rPr>
          <w:rFonts w:ascii="mylotus" w:hAnsi="mylotus" w:cs="mylotus"/>
          <w:rtl/>
        </w:rPr>
        <w:t>سورة آل عمران، 97.</w:t>
      </w:r>
    </w:p>
  </w:footnote>
  <w:footnote w:id="188">
    <w:p w14:paraId="12EDCF47" w14:textId="77777777" w:rsidR="00D10764" w:rsidRDefault="00D10764" w:rsidP="00D10764">
      <w:pPr>
        <w:pStyle w:val="FootnoteText"/>
        <w:bidi/>
        <w:rPr>
          <w:rtl/>
          <w:lang w:bidi="ar-BH"/>
        </w:rPr>
      </w:pPr>
      <w:r>
        <w:rPr>
          <w:rStyle w:val="FootnoteReference"/>
        </w:rPr>
        <w:footnoteRef/>
      </w:r>
      <w:r>
        <w:t xml:space="preserve"> </w:t>
      </w:r>
      <w:r>
        <w:rPr>
          <w:rFonts w:ascii="mylotus" w:hAnsi="mylotus" w:cs="mylotus"/>
          <w:rtl/>
        </w:rPr>
        <w:t>وسائل الشيعة، الحر العاملي، مؤسسة آل البيت (عليهم السلام) لإحياء التراث، ج11، أبواب وجوب الحج وشرائطه، الباب 6 باب وجوب الحج مع الاستطاعة على الفور، وتحريم تركه وتسويفه، ح1.</w:t>
      </w:r>
    </w:p>
  </w:footnote>
  <w:footnote w:id="189">
    <w:p w14:paraId="48359163" w14:textId="77777777" w:rsidR="00D10764" w:rsidRDefault="00D10764" w:rsidP="00D10764">
      <w:pPr>
        <w:pStyle w:val="FootnoteText"/>
        <w:bidi/>
        <w:rPr>
          <w:rtl/>
          <w:lang w:bidi="ar-BH"/>
        </w:rPr>
      </w:pPr>
      <w:r>
        <w:rPr>
          <w:rStyle w:val="FootnoteReference"/>
        </w:rPr>
        <w:footnoteRef/>
      </w:r>
      <w:r>
        <w:t xml:space="preserve"> </w:t>
      </w:r>
      <w:r>
        <w:rPr>
          <w:rFonts w:ascii="mylotus" w:hAnsi="mylotus" w:cs="mylotus"/>
          <w:rtl/>
        </w:rPr>
        <w:t>سورة آل عمران، 97.</w:t>
      </w:r>
    </w:p>
  </w:footnote>
  <w:footnote w:id="190">
    <w:p w14:paraId="4A175E74" w14:textId="77777777" w:rsidR="00D10764" w:rsidRDefault="00D10764" w:rsidP="00D10764">
      <w:pPr>
        <w:bidi/>
        <w:spacing w:line="216" w:lineRule="auto"/>
        <w:rPr>
          <w:rFonts w:ascii="mylotus" w:hAnsi="mylotus"/>
          <w:sz w:val="34"/>
          <w:szCs w:val="34"/>
          <w:rtl/>
        </w:rPr>
      </w:pPr>
      <w:r>
        <w:rPr>
          <w:rStyle w:val="FootnoteReference"/>
          <w:sz w:val="20"/>
          <w:szCs w:val="20"/>
        </w:rPr>
        <w:footnoteRef/>
      </w:r>
      <w:r>
        <w:t xml:space="preserve"> </w:t>
      </w:r>
      <w:r>
        <w:rPr>
          <w:rFonts w:ascii="mylotus" w:hAnsi="mylotus"/>
          <w:sz w:val="20"/>
          <w:szCs w:val="20"/>
          <w:rtl/>
        </w:rPr>
        <w:t xml:space="preserve">الكافي، للشيخ الكليني، دار الحديث، ج8، الفروع </w:t>
      </w:r>
      <w:r>
        <w:rPr>
          <w:rFonts w:ascii="Times New Roman" w:hAnsi="Times New Roman" w:cs="Times New Roman"/>
          <w:sz w:val="20"/>
          <w:szCs w:val="20"/>
          <w:rtl/>
        </w:rPr>
        <w:t>–</w:t>
      </w:r>
      <w:r>
        <w:rPr>
          <w:rFonts w:ascii="mylotus" w:hAnsi="mylotus"/>
          <w:sz w:val="20"/>
          <w:szCs w:val="20"/>
          <w:rtl/>
        </w:rPr>
        <w:t xml:space="preserve"> الحج، الباب 30 باب استطاعة الحج، ح1.</w:t>
      </w:r>
    </w:p>
  </w:footnote>
  <w:footnote w:id="191">
    <w:p w14:paraId="7D8F59A9" w14:textId="77777777" w:rsidR="00D10764" w:rsidRDefault="00D10764" w:rsidP="00D10764">
      <w:pPr>
        <w:pStyle w:val="FootnoteText"/>
        <w:bidi/>
        <w:rPr>
          <w:rFonts w:ascii="almohsin" w:hAnsi="almohsin"/>
          <w:rtl/>
          <w:lang w:bidi="ar-BH"/>
        </w:rPr>
      </w:pPr>
      <w:r>
        <w:rPr>
          <w:rStyle w:val="FootnoteReference"/>
        </w:rPr>
        <w:footnoteRef/>
      </w:r>
      <w:r>
        <w:t xml:space="preserve"> </w:t>
      </w:r>
      <w:r>
        <w:rPr>
          <w:rFonts w:ascii="mylotus" w:hAnsi="mylotus" w:cs="mylotus"/>
          <w:rtl/>
        </w:rPr>
        <w:t>وسائل الشيعة، الحر العاملي، مؤسسة آل البيت لإحياء للتراث، ج9، كتاب الخمس، أبواب ما يجب فيه الخمس، الباب 8 باب وجوب الخمس فيما يفضل عن مؤونة السنة له ولعياله من أرباح التجارات والصناعات، ح6.</w:t>
      </w:r>
    </w:p>
  </w:footnote>
  <w:footnote w:id="192">
    <w:p w14:paraId="313B9A8B" w14:textId="77777777" w:rsidR="00F66A22" w:rsidRDefault="00F66A22" w:rsidP="00F66A22">
      <w:pPr>
        <w:pStyle w:val="FootnoteText"/>
        <w:bidi/>
        <w:rPr>
          <w:rtl/>
          <w:lang w:bidi="ar-BH"/>
        </w:rPr>
      </w:pPr>
      <w:r>
        <w:rPr>
          <w:rStyle w:val="FootnoteReference"/>
        </w:rPr>
        <w:footnoteRef/>
      </w:r>
      <w:r>
        <w:t xml:space="preserve"> </w:t>
      </w:r>
      <w:r w:rsidRPr="00EC6224">
        <w:rPr>
          <w:rFonts w:ascii="mylotus" w:hAnsi="mylotus" w:cs="mylotus"/>
          <w:rtl/>
        </w:rPr>
        <w:t>فقه العقود دراسةٌ مقارنةٌ بين الفقه الإسلامي والفقه الوضعي، تأليف سماحة آية الله العظمى السيد كاظم الحسيني الحائري، مجمع الفكر الإسلامي، ج1، الطبعة الخامسة، ص44 - 46، تحت عنوان: مصاديق غامضة من الملكيّة.</w:t>
      </w:r>
    </w:p>
  </w:footnote>
  <w:footnote w:id="193">
    <w:p w14:paraId="56A4A248" w14:textId="77777777" w:rsidR="00F66A22" w:rsidRDefault="00F66A22" w:rsidP="00F66A22">
      <w:pPr>
        <w:pStyle w:val="FootnoteText"/>
        <w:bidi/>
        <w:rPr>
          <w:rtl/>
          <w:lang w:bidi="ar-BH"/>
        </w:rPr>
      </w:pPr>
      <w:r>
        <w:rPr>
          <w:rStyle w:val="FootnoteReference"/>
        </w:rPr>
        <w:footnoteRef/>
      </w:r>
      <w:r>
        <w:t xml:space="preserve"> </w:t>
      </w:r>
      <w:r w:rsidRPr="00EC6224">
        <w:rPr>
          <w:rFonts w:ascii="mylotus" w:hAnsi="mylotus" w:cs="mylotus"/>
          <w:rtl/>
        </w:rPr>
        <w:t>عوالي اللئالي، ابن أبي جمهور الأحسائي، ج1، ص457.</w:t>
      </w:r>
    </w:p>
  </w:footnote>
  <w:footnote w:id="194">
    <w:p w14:paraId="04F2918E" w14:textId="77777777" w:rsidR="00F66A22" w:rsidRDefault="00F66A22" w:rsidP="00F66A22">
      <w:pPr>
        <w:pStyle w:val="FootnoteText"/>
        <w:bidi/>
        <w:rPr>
          <w:rtl/>
          <w:lang w:bidi="ar-BH"/>
        </w:rPr>
      </w:pPr>
      <w:r>
        <w:rPr>
          <w:rStyle w:val="FootnoteReference"/>
        </w:rPr>
        <w:footnoteRef/>
      </w:r>
      <w:r>
        <w:t xml:space="preserve"> </w:t>
      </w:r>
      <w:r w:rsidRPr="00EC6224">
        <w:rPr>
          <w:rFonts w:ascii="mylotus" w:hAnsi="mylotus" w:cs="mylotus"/>
          <w:rtl/>
        </w:rPr>
        <w:t xml:space="preserve">بحوثٌ في شرح مناسك الحج، تقريرٌ لأبحاث السيد محمد رضا السيستاني، بقلم: أمجد رياض ونزار يوسف، دار المؤرخ العربي </w:t>
      </w:r>
      <w:r w:rsidRPr="00EC6224">
        <w:rPr>
          <w:rFonts w:ascii="Times New Roman" w:hAnsi="Times New Roman" w:cs="Times New Roman" w:hint="cs"/>
          <w:rtl/>
        </w:rPr>
        <w:t>–</w:t>
      </w:r>
      <w:r w:rsidRPr="00EC6224">
        <w:rPr>
          <w:rFonts w:ascii="mylotus" w:hAnsi="mylotus" w:cs="mylotus"/>
          <w:rtl/>
        </w:rPr>
        <w:t xml:space="preserve"> </w:t>
      </w:r>
      <w:r w:rsidRPr="00EC6224">
        <w:rPr>
          <w:rFonts w:ascii="mylotus" w:hAnsi="mylotus" w:cs="mylotus" w:hint="cs"/>
          <w:rtl/>
        </w:rPr>
        <w:t>بيروت،</w:t>
      </w:r>
      <w:r w:rsidRPr="00EC6224">
        <w:rPr>
          <w:rFonts w:ascii="mylotus" w:hAnsi="mylotus" w:cs="mylotus"/>
          <w:rtl/>
        </w:rPr>
        <w:t xml:space="preserve"> </w:t>
      </w:r>
      <w:r w:rsidRPr="00EC6224">
        <w:rPr>
          <w:rFonts w:ascii="mylotus" w:hAnsi="mylotus" w:cs="mylotus" w:hint="cs"/>
          <w:rtl/>
        </w:rPr>
        <w:t>الطبعة</w:t>
      </w:r>
      <w:r w:rsidRPr="00EC6224">
        <w:rPr>
          <w:rFonts w:ascii="mylotus" w:hAnsi="mylotus" w:cs="mylotus"/>
          <w:rtl/>
        </w:rPr>
        <w:t xml:space="preserve"> </w:t>
      </w:r>
      <w:r w:rsidRPr="00EC6224">
        <w:rPr>
          <w:rFonts w:ascii="mylotus" w:hAnsi="mylotus" w:cs="mylotus" w:hint="cs"/>
          <w:rtl/>
        </w:rPr>
        <w:t>الثانية،</w:t>
      </w:r>
      <w:r w:rsidRPr="00EC6224">
        <w:rPr>
          <w:rFonts w:ascii="mylotus" w:hAnsi="mylotus" w:cs="mylotus"/>
          <w:rtl/>
        </w:rPr>
        <w:t xml:space="preserve"> </w:t>
      </w:r>
      <w:r w:rsidRPr="00EC6224">
        <w:rPr>
          <w:rFonts w:ascii="mylotus" w:hAnsi="mylotus" w:cs="mylotus" w:hint="cs"/>
          <w:rtl/>
        </w:rPr>
        <w:t>ج</w:t>
      </w:r>
      <w:r w:rsidRPr="00EC6224">
        <w:rPr>
          <w:rFonts w:ascii="mylotus" w:hAnsi="mylotus" w:cs="mylotus"/>
          <w:rtl/>
        </w:rPr>
        <w:t>3</w:t>
      </w:r>
      <w:r w:rsidRPr="00EC6224">
        <w:rPr>
          <w:rFonts w:ascii="mylotus" w:hAnsi="mylotus" w:cs="mylotus" w:hint="cs"/>
          <w:rtl/>
        </w:rPr>
        <w:t>،</w:t>
      </w:r>
      <w:r w:rsidRPr="00EC6224">
        <w:rPr>
          <w:rFonts w:ascii="mylotus" w:hAnsi="mylotus" w:cs="mylotus"/>
          <w:rtl/>
        </w:rPr>
        <w:t xml:space="preserve"> </w:t>
      </w:r>
      <w:r w:rsidRPr="00EC6224">
        <w:rPr>
          <w:rFonts w:ascii="mylotus" w:hAnsi="mylotus" w:cs="mylotus" w:hint="cs"/>
          <w:rtl/>
        </w:rPr>
        <w:t>ص</w:t>
      </w:r>
      <w:r w:rsidRPr="00EC6224">
        <w:rPr>
          <w:rFonts w:ascii="mylotus" w:hAnsi="mylotus" w:cs="mylotus"/>
          <w:rtl/>
        </w:rPr>
        <w:t xml:space="preserve">111 </w:t>
      </w:r>
      <w:r w:rsidRPr="00EC6224">
        <w:rPr>
          <w:rFonts w:ascii="Times New Roman" w:hAnsi="Times New Roman" w:cs="Times New Roman" w:hint="cs"/>
          <w:rtl/>
        </w:rPr>
        <w:t>–</w:t>
      </w:r>
      <w:r w:rsidRPr="00EC6224">
        <w:rPr>
          <w:rFonts w:ascii="mylotus" w:hAnsi="mylotus" w:cs="mylotus"/>
          <w:rtl/>
        </w:rPr>
        <w:t xml:space="preserve"> 112.</w:t>
      </w:r>
    </w:p>
  </w:footnote>
  <w:footnote w:id="195">
    <w:p w14:paraId="68C6AF8D" w14:textId="77777777" w:rsidR="00F66A22" w:rsidRDefault="00F66A22" w:rsidP="00F66A22">
      <w:pPr>
        <w:pStyle w:val="FootnoteText"/>
        <w:bidi/>
        <w:rPr>
          <w:rtl/>
          <w:lang w:bidi="ar-BH"/>
        </w:rPr>
      </w:pPr>
      <w:r>
        <w:rPr>
          <w:rStyle w:val="FootnoteReference"/>
        </w:rPr>
        <w:footnoteRef/>
      </w:r>
      <w:r>
        <w:t xml:space="preserve"> </w:t>
      </w:r>
      <w:r w:rsidRPr="00EB4AD9">
        <w:rPr>
          <w:rFonts w:ascii="mylotus" w:hAnsi="mylotus" w:cs="mylotus"/>
          <w:rtl/>
        </w:rPr>
        <w:t xml:space="preserve">موسوعة الإمام الخوئي، مؤسسة السيد الخوئي، ج31، المباني في شرح العروة الوثقى، كتاب المضاربة والمساقاة، تأليف حجة الإسلام والمسلمين الشهيد السيد محمد تقي الخوئي (رحمه الله)، ص28 </w:t>
      </w:r>
      <w:proofErr w:type="gramStart"/>
      <w:r w:rsidRPr="00EB4AD9">
        <w:rPr>
          <w:rFonts w:ascii="mylotus" w:hAnsi="mylotus" w:cs="mylotus"/>
          <w:rtl/>
        </w:rPr>
        <w:t>و ص260</w:t>
      </w:r>
      <w:proofErr w:type="gramEnd"/>
      <w:r w:rsidRPr="00EB4AD9">
        <w:rPr>
          <w:rFonts w:ascii="mylotus" w:hAnsi="mylotus" w:cs="mylotus"/>
          <w:rtl/>
        </w:rPr>
        <w:t>.</w:t>
      </w:r>
    </w:p>
  </w:footnote>
  <w:footnote w:id="196">
    <w:p w14:paraId="2949B28E" w14:textId="77777777" w:rsidR="00F66A22" w:rsidRDefault="00F66A22" w:rsidP="00F66A22">
      <w:pPr>
        <w:pStyle w:val="FootnoteText"/>
        <w:bidi/>
        <w:rPr>
          <w:rtl/>
          <w:lang w:bidi="ar-BH"/>
        </w:rPr>
      </w:pPr>
      <w:r>
        <w:rPr>
          <w:rStyle w:val="FootnoteReference"/>
        </w:rPr>
        <w:footnoteRef/>
      </w:r>
      <w:r>
        <w:t xml:space="preserve"> </w:t>
      </w:r>
      <w:r w:rsidRPr="00EB4AD9">
        <w:rPr>
          <w:rFonts w:ascii="mylotus" w:hAnsi="mylotus" w:cs="mylotus"/>
          <w:rtl/>
        </w:rPr>
        <w:t xml:space="preserve">كتاب الحج، من تقريرات بحث أستاذنا الكبير سماحة آية الله العظمى المرجع الديني الأعلى السيد محمود الحسيني الشاهرودي، تأليف أقل خدمة العلم محمد إبراهيم </w:t>
      </w:r>
      <w:proofErr w:type="spellStart"/>
      <w:r w:rsidRPr="00EB4AD9">
        <w:rPr>
          <w:rFonts w:ascii="mylotus" w:hAnsi="mylotus" w:cs="mylotus"/>
          <w:rtl/>
        </w:rPr>
        <w:t>الجناتي</w:t>
      </w:r>
      <w:proofErr w:type="spellEnd"/>
      <w:r w:rsidRPr="00EB4AD9">
        <w:rPr>
          <w:rFonts w:ascii="mylotus" w:hAnsi="mylotus" w:cs="mylotus"/>
          <w:rtl/>
        </w:rPr>
        <w:t xml:space="preserve"> الشاهرودي </w:t>
      </w:r>
      <w:proofErr w:type="spellStart"/>
      <w:r w:rsidRPr="00EB4AD9">
        <w:rPr>
          <w:rFonts w:ascii="mylotus" w:hAnsi="mylotus" w:cs="mylotus"/>
          <w:rtl/>
        </w:rPr>
        <w:t>الطاشي</w:t>
      </w:r>
      <w:proofErr w:type="spellEnd"/>
      <w:r w:rsidRPr="00EB4AD9">
        <w:rPr>
          <w:rFonts w:ascii="mylotus" w:hAnsi="mylotus" w:cs="mylotus"/>
          <w:rtl/>
        </w:rPr>
        <w:t>، مطبعة القضاء في النجف، ج1، ص171.</w:t>
      </w:r>
    </w:p>
  </w:footnote>
  <w:footnote w:id="197">
    <w:p w14:paraId="46686CCF" w14:textId="77777777" w:rsidR="00122B70" w:rsidRDefault="00122B70" w:rsidP="00122B70">
      <w:pPr>
        <w:pStyle w:val="FootnoteText"/>
        <w:bidi/>
        <w:rPr>
          <w:rFonts w:ascii="almohsin" w:hAnsi="almohsin"/>
          <w:lang w:bidi="ar-BH"/>
        </w:rPr>
      </w:pPr>
      <w:r>
        <w:rPr>
          <w:rStyle w:val="FootnoteReference"/>
        </w:rPr>
        <w:footnoteRef/>
      </w:r>
      <w:r>
        <w:t xml:space="preserve"> </w:t>
      </w:r>
      <w:r>
        <w:rPr>
          <w:rFonts w:ascii="mylotus" w:hAnsi="mylotus" w:cs="mylotus"/>
          <w:rtl/>
        </w:rPr>
        <w:t xml:space="preserve">موسوعة الإمام الخوئي، مؤسسة السيد الخوئي، ج30، المستند في شرح العروة الوثقى، كتاب الإجارة، تأليف آية الله الشهيد الشيخ مرتضى البروجردي (قدس سره)، ص169 </w:t>
      </w:r>
      <w:r>
        <w:rPr>
          <w:rFonts w:ascii="Times New Roman" w:hAnsi="Times New Roman" w:cs="Times New Roman"/>
          <w:rtl/>
        </w:rPr>
        <w:t>–</w:t>
      </w:r>
      <w:r>
        <w:rPr>
          <w:rFonts w:ascii="mylotus" w:hAnsi="mylotus" w:cs="mylotus"/>
          <w:rtl/>
        </w:rPr>
        <w:t xml:space="preserve"> 170.</w:t>
      </w:r>
    </w:p>
  </w:footnote>
  <w:footnote w:id="198">
    <w:p w14:paraId="2F230E60" w14:textId="77777777" w:rsidR="00122B70" w:rsidRDefault="00122B70" w:rsidP="00122B70">
      <w:pPr>
        <w:pStyle w:val="FootnoteText"/>
        <w:bidi/>
        <w:rPr>
          <w:rtl/>
          <w:lang w:bidi="ar-BH"/>
        </w:rPr>
      </w:pPr>
      <w:r>
        <w:rPr>
          <w:rStyle w:val="FootnoteReference"/>
        </w:rPr>
        <w:footnoteRef/>
      </w:r>
      <w:r>
        <w:t xml:space="preserve"> </w:t>
      </w:r>
      <w:r>
        <w:rPr>
          <w:rFonts w:ascii="mylotus" w:hAnsi="mylotus" w:cs="mylotus"/>
          <w:rtl/>
        </w:rPr>
        <w:t>الكافي، للشيخ الكليني، دار الحديث، ج10، كتاب، الباب 149 باب الضِّرار، ح2.</w:t>
      </w:r>
    </w:p>
  </w:footnote>
  <w:footnote w:id="199">
    <w:p w14:paraId="6EEB5628" w14:textId="77777777" w:rsidR="00122B70" w:rsidRDefault="00122B70" w:rsidP="00122B70">
      <w:pPr>
        <w:pStyle w:val="FootnoteText"/>
        <w:bidi/>
        <w:rPr>
          <w:rtl/>
          <w:lang w:bidi="ar-BH"/>
        </w:rPr>
      </w:pPr>
      <w:r>
        <w:rPr>
          <w:rStyle w:val="FootnoteReference"/>
        </w:rPr>
        <w:footnoteRef/>
      </w:r>
      <w:r>
        <w:t xml:space="preserve"> </w:t>
      </w:r>
      <w:r>
        <w:rPr>
          <w:rFonts w:ascii="mylotus" w:hAnsi="mylotus" w:cs="mylotus"/>
          <w:rtl/>
        </w:rPr>
        <w:t>المقرر: لقد تعرض سماحة السيد الأُستاذ (دامت بركاته) لهذين العنصرين في بحثه: (فقه المسائل المستحدثة) في شهر رمضان المبارك لسنة 1447هـ.</w:t>
      </w:r>
    </w:p>
  </w:footnote>
  <w:footnote w:id="200">
    <w:p w14:paraId="55554234" w14:textId="77777777" w:rsidR="00122B70" w:rsidRDefault="00122B70" w:rsidP="00122B70">
      <w:pPr>
        <w:pStyle w:val="FootnoteText"/>
        <w:bidi/>
        <w:rPr>
          <w:rFonts w:ascii="mylotus" w:hAnsi="mylotus" w:cs="mylotus"/>
          <w:rtl/>
          <w:lang w:bidi="ar-BH"/>
        </w:rPr>
      </w:pPr>
      <w:r>
        <w:rPr>
          <w:rStyle w:val="FootnoteReference"/>
        </w:rPr>
        <w:footnoteRef/>
      </w:r>
      <w:r>
        <w:t xml:space="preserve"> </w:t>
      </w:r>
      <w:r>
        <w:rPr>
          <w:rFonts w:ascii="mylotus" w:hAnsi="mylotus" w:cs="mylotus"/>
          <w:rtl/>
        </w:rPr>
        <w:t>سورة الحج، 78.</w:t>
      </w:r>
    </w:p>
  </w:footnote>
  <w:footnote w:id="201">
    <w:p w14:paraId="59A249CC" w14:textId="77777777" w:rsidR="00546513" w:rsidRPr="00FB45A2" w:rsidRDefault="00546513" w:rsidP="00546513">
      <w:pPr>
        <w:pStyle w:val="a"/>
        <w:bidi/>
        <w:spacing w:line="216" w:lineRule="auto"/>
        <w:rPr>
          <w:rFonts w:ascii="mylotus" w:hAnsi="mylotus"/>
          <w:sz w:val="34"/>
          <w:szCs w:val="34"/>
          <w:rtl/>
        </w:rPr>
      </w:pPr>
      <w:r w:rsidRPr="00FB45A2">
        <w:rPr>
          <w:rStyle w:val="FootnoteReference"/>
          <w:sz w:val="20"/>
          <w:szCs w:val="20"/>
        </w:rPr>
        <w:footnoteRef/>
      </w:r>
      <w:r>
        <w:t xml:space="preserve"> </w:t>
      </w:r>
      <w:r w:rsidRPr="00FB45A2">
        <w:rPr>
          <w:rFonts w:ascii="mylotus" w:hAnsi="mylotus"/>
          <w:sz w:val="20"/>
          <w:szCs w:val="20"/>
          <w:rtl/>
        </w:rPr>
        <w:t>موسوعة الإمام الخوئي، مؤسسة السيد الخوئي، ج</w:t>
      </w:r>
      <w:r w:rsidRPr="00FB45A2">
        <w:rPr>
          <w:rFonts w:ascii="mylotus" w:hAnsi="mylotus" w:hint="cs"/>
          <w:sz w:val="20"/>
          <w:szCs w:val="20"/>
          <w:rtl/>
        </w:rPr>
        <w:t>1</w:t>
      </w:r>
      <w:r w:rsidRPr="00FB45A2">
        <w:rPr>
          <w:rFonts w:ascii="mylotus" w:hAnsi="mylotus"/>
          <w:sz w:val="20"/>
          <w:szCs w:val="20"/>
          <w:rtl/>
        </w:rPr>
        <w:t xml:space="preserve">، </w:t>
      </w:r>
      <w:r w:rsidRPr="00FB45A2">
        <w:rPr>
          <w:rFonts w:ascii="mylotus" w:hAnsi="mylotus" w:hint="cs"/>
          <w:sz w:val="20"/>
          <w:szCs w:val="20"/>
          <w:rtl/>
        </w:rPr>
        <w:t>التنقيح في شرح العروة الوثقى</w:t>
      </w:r>
      <w:r w:rsidRPr="00FB45A2">
        <w:rPr>
          <w:rFonts w:ascii="mylotus" w:hAnsi="mylotus"/>
          <w:sz w:val="20"/>
          <w:szCs w:val="20"/>
          <w:rtl/>
        </w:rPr>
        <w:t xml:space="preserve">، كتاب </w:t>
      </w:r>
      <w:r w:rsidRPr="00FB45A2">
        <w:rPr>
          <w:rFonts w:ascii="mylotus" w:hAnsi="mylotus" w:hint="cs"/>
          <w:sz w:val="20"/>
          <w:szCs w:val="20"/>
          <w:rtl/>
        </w:rPr>
        <w:t>التقليد</w:t>
      </w:r>
      <w:r w:rsidRPr="00FB45A2">
        <w:rPr>
          <w:rFonts w:ascii="mylotus" w:hAnsi="mylotus"/>
          <w:sz w:val="20"/>
          <w:szCs w:val="20"/>
          <w:rtl/>
        </w:rPr>
        <w:t>، تأليف</w:t>
      </w:r>
      <w:r w:rsidRPr="00FB45A2">
        <w:rPr>
          <w:rFonts w:ascii="mylotus" w:hAnsi="mylotus" w:hint="cs"/>
          <w:sz w:val="20"/>
          <w:szCs w:val="20"/>
          <w:rtl/>
        </w:rPr>
        <w:t xml:space="preserve"> آية الله الشهيد الشيخ ميرزا </w:t>
      </w:r>
      <w:proofErr w:type="gramStart"/>
      <w:r w:rsidRPr="00FB45A2">
        <w:rPr>
          <w:rFonts w:ascii="mylotus" w:hAnsi="mylotus" w:hint="cs"/>
          <w:sz w:val="20"/>
          <w:szCs w:val="20"/>
          <w:rtl/>
        </w:rPr>
        <w:t>علي</w:t>
      </w:r>
      <w:proofErr w:type="gramEnd"/>
      <w:r w:rsidRPr="00FB45A2">
        <w:rPr>
          <w:rFonts w:ascii="mylotus" w:hAnsi="mylotus" w:hint="cs"/>
          <w:sz w:val="20"/>
          <w:szCs w:val="20"/>
          <w:rtl/>
        </w:rPr>
        <w:t xml:space="preserve"> الغروي (قدس سره</w:t>
      </w:r>
      <w:r w:rsidRPr="00FB45A2">
        <w:rPr>
          <w:rFonts w:ascii="mylotus" w:hAnsi="mylotus"/>
          <w:sz w:val="20"/>
          <w:szCs w:val="20"/>
          <w:rtl/>
        </w:rPr>
        <w:t xml:space="preserve">)، </w:t>
      </w:r>
      <w:r w:rsidRPr="00FB45A2">
        <w:rPr>
          <w:rFonts w:ascii="mylotus" w:hAnsi="mylotus" w:hint="cs"/>
          <w:sz w:val="20"/>
          <w:szCs w:val="20"/>
          <w:rtl/>
        </w:rPr>
        <w:t>ص232.</w:t>
      </w:r>
    </w:p>
  </w:footnote>
  <w:footnote w:id="202">
    <w:p w14:paraId="41F60EFF" w14:textId="77777777" w:rsidR="00546513" w:rsidRDefault="00546513" w:rsidP="00546513">
      <w:pPr>
        <w:pStyle w:val="FootnoteText"/>
        <w:bidi/>
        <w:rPr>
          <w:rtl/>
          <w:lang w:bidi="ar-BH"/>
        </w:rPr>
      </w:pPr>
      <w:r>
        <w:rPr>
          <w:rStyle w:val="FootnoteReference"/>
        </w:rPr>
        <w:footnoteRef/>
      </w:r>
      <w:r>
        <w:t xml:space="preserve"> </w:t>
      </w:r>
      <w:r w:rsidRPr="00525F87">
        <w:rPr>
          <w:rFonts w:ascii="mylotus" w:hAnsi="mylotus" w:cs="mylotus"/>
          <w:rtl/>
        </w:rPr>
        <w:t>بحوثٌ في علم الأصول، مباحث الحجج والأصول العملية، تأليف آية الله السيد محمود الهاشمي الشاهرودي، ج5، ص488، تحت عنوان: تطبيق القاعدة بلحاظ الأضرار الاعتبارية.</w:t>
      </w:r>
    </w:p>
  </w:footnote>
  <w:footnote w:id="203">
    <w:p w14:paraId="17AA1818" w14:textId="77777777" w:rsidR="00546513" w:rsidRDefault="00546513" w:rsidP="00546513">
      <w:pPr>
        <w:pStyle w:val="FootnoteText"/>
        <w:bidi/>
        <w:rPr>
          <w:rtl/>
          <w:lang w:bidi="ar-BH"/>
        </w:rPr>
      </w:pPr>
      <w:r>
        <w:rPr>
          <w:rStyle w:val="FootnoteReference"/>
        </w:rPr>
        <w:footnoteRef/>
      </w:r>
      <w:r>
        <w:t xml:space="preserve"> </w:t>
      </w:r>
      <w:r w:rsidRPr="00D6013A">
        <w:rPr>
          <w:rFonts w:ascii="mylotus" w:hAnsi="mylotus" w:cs="mylotus"/>
          <w:rtl/>
        </w:rPr>
        <w:t>بحوثٌ في علم الأصول، مباحث الحجج والأصول العملية، تأليف آية الله السيد محمود الهاشمي الشاهرودي، ج5، ص488، تحت عنوان: تطبيق القاعدة بلحاظ الأضرار الاعتبارية.</w:t>
      </w:r>
    </w:p>
  </w:footnote>
  <w:footnote w:id="204">
    <w:p w14:paraId="439A1337" w14:textId="77777777" w:rsidR="00D51153" w:rsidRDefault="00D51153" w:rsidP="00D51153">
      <w:pPr>
        <w:pStyle w:val="FootnoteText"/>
        <w:bidi/>
        <w:rPr>
          <w:rFonts w:ascii="almohsin" w:hAnsi="almohsin"/>
          <w:lang w:bidi="ar-BH"/>
        </w:rPr>
      </w:pPr>
      <w:r>
        <w:rPr>
          <w:rStyle w:val="FootnoteReference"/>
        </w:rPr>
        <w:footnoteRef/>
      </w:r>
      <w:r>
        <w:t xml:space="preserve"> </w:t>
      </w:r>
      <w:r>
        <w:rPr>
          <w:rFonts w:ascii="mylotus" w:hAnsi="mylotus" w:cs="mylotus"/>
          <w:rtl/>
        </w:rPr>
        <w:t>الكافي، للشيخ الكليني، دار الحديث، ج10، كتاب، الباب 149 باب الضِّرار، ح2.</w:t>
      </w:r>
    </w:p>
  </w:footnote>
  <w:footnote w:id="205">
    <w:p w14:paraId="08E00305" w14:textId="77777777" w:rsidR="00D51153" w:rsidRDefault="00D51153" w:rsidP="00D51153">
      <w:pPr>
        <w:pStyle w:val="FootnoteText"/>
        <w:bidi/>
        <w:rPr>
          <w:rFonts w:ascii="mylotus" w:hAnsi="mylotus" w:cs="mylotus"/>
          <w:rtl/>
          <w:lang w:bidi="ar-BH"/>
        </w:rPr>
      </w:pPr>
      <w:r>
        <w:rPr>
          <w:rStyle w:val="FootnoteReference"/>
        </w:rPr>
        <w:footnoteRef/>
      </w:r>
      <w:r>
        <w:t xml:space="preserve"> </w:t>
      </w:r>
      <w:r>
        <w:rPr>
          <w:rFonts w:ascii="mylotus" w:hAnsi="mylotus" w:cs="mylotus"/>
          <w:rtl/>
          <w:lang w:bidi="ar-BH"/>
        </w:rPr>
        <w:t>المصدر السابق.</w:t>
      </w:r>
    </w:p>
  </w:footnote>
  <w:footnote w:id="206">
    <w:p w14:paraId="02E96B63" w14:textId="1F238B06" w:rsidR="008D6FDC" w:rsidRPr="008D6FDC" w:rsidRDefault="008D6FDC" w:rsidP="008D6FDC">
      <w:pPr>
        <w:pStyle w:val="FootnoteText"/>
        <w:bidi/>
        <w:rPr>
          <w:rtl/>
        </w:rPr>
      </w:pPr>
      <w:r>
        <w:rPr>
          <w:rStyle w:val="FootnoteReference"/>
        </w:rPr>
        <w:footnoteRef/>
      </w:r>
      <w:r>
        <w:t xml:space="preserve"> </w:t>
      </w:r>
      <w:r>
        <w:rPr>
          <w:rFonts w:hint="cs"/>
          <w:rtl/>
        </w:rPr>
        <w:t xml:space="preserve"> النقص في العرض ضرر حقيقي وليس </w:t>
      </w:r>
      <w:proofErr w:type="gramStart"/>
      <w:r>
        <w:rPr>
          <w:rFonts w:hint="cs"/>
          <w:rtl/>
        </w:rPr>
        <w:t>اعتباري ،</w:t>
      </w:r>
      <w:proofErr w:type="gramEnd"/>
      <w:r>
        <w:rPr>
          <w:rFonts w:hint="cs"/>
          <w:rtl/>
        </w:rPr>
        <w:t xml:space="preserve"> لانّ ضرر كل شيء بحسبه.</w:t>
      </w:r>
    </w:p>
  </w:footnote>
  <w:footnote w:id="207">
    <w:p w14:paraId="14E088B9" w14:textId="77777777" w:rsidR="00D51153" w:rsidRDefault="00D51153" w:rsidP="00D51153">
      <w:pPr>
        <w:pStyle w:val="FootnoteText"/>
        <w:bidi/>
        <w:rPr>
          <w:rFonts w:ascii="almohsin" w:hAnsi="almohsin" w:cs="almohsin"/>
          <w:rtl/>
          <w:lang w:bidi="ar-BH"/>
        </w:rPr>
      </w:pPr>
      <w:r>
        <w:rPr>
          <w:rStyle w:val="FootnoteReference"/>
        </w:rPr>
        <w:footnoteRef/>
      </w:r>
      <w:r>
        <w:t xml:space="preserve"> </w:t>
      </w:r>
      <w:r>
        <w:rPr>
          <w:rFonts w:ascii="mylotus" w:hAnsi="mylotus" w:cs="mylotus"/>
          <w:rtl/>
        </w:rPr>
        <w:t>تهذيب الأحكام، شيخ الطائفة الطوسي، دار الكتب الإسلامية، ج6، كتاب القضايا والأحكام، الباب 91 باب البينات، ح1 رقم (596).</w:t>
      </w:r>
    </w:p>
  </w:footnote>
  <w:footnote w:id="208">
    <w:p w14:paraId="04E9D3A3" w14:textId="77777777" w:rsidR="00D51153" w:rsidRDefault="00D51153" w:rsidP="00D51153">
      <w:pPr>
        <w:pStyle w:val="FootnoteText"/>
        <w:bidi/>
        <w:rPr>
          <w:rtl/>
          <w:lang w:bidi="ar-BH"/>
        </w:rPr>
      </w:pPr>
      <w:r>
        <w:rPr>
          <w:rStyle w:val="FootnoteReference"/>
        </w:rPr>
        <w:footnoteRef/>
      </w:r>
      <w:r>
        <w:t xml:space="preserve"> </w:t>
      </w:r>
      <w:r>
        <w:rPr>
          <w:rFonts w:ascii="mylotus" w:hAnsi="mylotus" w:cs="mylotus"/>
          <w:rtl/>
        </w:rPr>
        <w:t>كتاب الطهارة، ج1، ص72.</w:t>
      </w:r>
    </w:p>
  </w:footnote>
  <w:footnote w:id="209">
    <w:p w14:paraId="1968D10F" w14:textId="77777777" w:rsidR="00D51153" w:rsidRDefault="00D51153" w:rsidP="00D51153">
      <w:pPr>
        <w:pStyle w:val="FootnoteText"/>
        <w:bidi/>
        <w:rPr>
          <w:rtl/>
          <w:lang w:bidi="ar-BH"/>
        </w:rPr>
      </w:pPr>
      <w:r>
        <w:rPr>
          <w:rStyle w:val="FootnoteReference"/>
        </w:rPr>
        <w:footnoteRef/>
      </w:r>
      <w:r>
        <w:t xml:space="preserve"> </w:t>
      </w:r>
      <w:r>
        <w:rPr>
          <w:rFonts w:ascii="mylotus" w:hAnsi="mylotus" w:cs="mylotus"/>
          <w:rtl/>
        </w:rPr>
        <w:t>كتاب النكاح، فارسي، ج15، رقم 5033.</w:t>
      </w:r>
    </w:p>
  </w:footnote>
  <w:footnote w:id="210">
    <w:p w14:paraId="45701804" w14:textId="77777777" w:rsidR="00467D36" w:rsidRDefault="00467D36" w:rsidP="00467D36">
      <w:pPr>
        <w:pStyle w:val="FootnoteText"/>
        <w:bidi/>
        <w:rPr>
          <w:rFonts w:ascii="almohsin" w:hAnsi="almohsin"/>
          <w:lang w:bidi="ar-BH"/>
        </w:rPr>
      </w:pPr>
      <w:r>
        <w:rPr>
          <w:rStyle w:val="FootnoteReference"/>
        </w:rPr>
        <w:footnoteRef/>
      </w:r>
      <w:r>
        <w:t xml:space="preserve"> </w:t>
      </w:r>
      <w:r>
        <w:rPr>
          <w:rFonts w:ascii="mylotus" w:hAnsi="mylotus" w:cs="mylotus"/>
          <w:rtl/>
        </w:rPr>
        <w:t xml:space="preserve">بحوثٌ في علم الأصول، مباحث الحجج والأصول العملية، تأليف آية الله السيد محمود الهاشمي الشاهرودي، مؤسسة الفقه ومعارف أهل البيت (عليهم السلام)، الطبعة الأولى، ج5، ص487 </w:t>
      </w:r>
      <w:r>
        <w:rPr>
          <w:rFonts w:ascii="Times New Roman" w:hAnsi="Times New Roman" w:cs="Times New Roman"/>
          <w:rtl/>
        </w:rPr>
        <w:t>–</w:t>
      </w:r>
      <w:r>
        <w:rPr>
          <w:rFonts w:ascii="mylotus" w:hAnsi="mylotus" w:cs="mylotus"/>
          <w:rtl/>
        </w:rPr>
        <w:t xml:space="preserve"> 488</w:t>
      </w:r>
      <w:r>
        <w:rPr>
          <w:rFonts w:ascii="mylotus" w:hAnsi="mylotus" w:hint="cs"/>
          <w:rtl/>
        </w:rPr>
        <w:t>.</w:t>
      </w:r>
    </w:p>
  </w:footnote>
  <w:footnote w:id="211">
    <w:p w14:paraId="785628BE" w14:textId="77777777" w:rsidR="00467D36" w:rsidRDefault="00467D36" w:rsidP="00467D36">
      <w:pPr>
        <w:pStyle w:val="FootnoteText"/>
        <w:bidi/>
        <w:rPr>
          <w:rtl/>
          <w:lang w:bidi="ar-BH"/>
        </w:rPr>
      </w:pPr>
      <w:r>
        <w:rPr>
          <w:rStyle w:val="FootnoteReference"/>
        </w:rPr>
        <w:footnoteRef/>
      </w:r>
      <w:r>
        <w:t xml:space="preserve"> </w:t>
      </w:r>
      <w:r>
        <w:rPr>
          <w:rFonts w:ascii="mylotus" w:hAnsi="mylotus" w:cs="mylotus"/>
          <w:rtl/>
        </w:rPr>
        <w:t>منهاج الصالحين، فتاوى المرجع الديني الأعلى السيد علي الحسيني السيستاني (دام ظله)، طبعة مصححة 1445 هـ - 2023 م، ج2، كتاب التجارة، الفصل الثاني عشر: في بيع الثمار والخضر والزرع، ص98</w:t>
      </w:r>
      <w:r>
        <w:rPr>
          <w:rFonts w:ascii="mylotus" w:hAnsi="mylotus" w:hint="cs"/>
          <w:rtl/>
        </w:rPr>
        <w:t>.</w:t>
      </w:r>
    </w:p>
  </w:footnote>
  <w:footnote w:id="212">
    <w:p w14:paraId="1C65F251" w14:textId="77777777" w:rsidR="00467D36" w:rsidRDefault="00467D36" w:rsidP="00467D36">
      <w:pPr>
        <w:pStyle w:val="FootnoteText"/>
        <w:bidi/>
        <w:rPr>
          <w:rtl/>
          <w:lang w:bidi="ar-BH"/>
        </w:rPr>
      </w:pPr>
      <w:r>
        <w:rPr>
          <w:rStyle w:val="FootnoteReference"/>
        </w:rPr>
        <w:footnoteRef/>
      </w:r>
      <w:r>
        <w:t xml:space="preserve"> </w:t>
      </w:r>
      <w:r>
        <w:rPr>
          <w:rFonts w:ascii="mylotus" w:hAnsi="mylotus" w:cs="mylotus"/>
          <w:rtl/>
        </w:rPr>
        <w:t>الكافي، للشيخ الكليني، دار الحديث، ج9، كتاب الجهاد، الباب28 باب الأمر بالمعروف والنهي عن المنكر، ح10.</w:t>
      </w:r>
    </w:p>
  </w:footnote>
  <w:footnote w:id="213">
    <w:p w14:paraId="0E0DD97B" w14:textId="77777777" w:rsidR="00467D36" w:rsidRDefault="00467D36" w:rsidP="00467D36">
      <w:pPr>
        <w:pStyle w:val="FootnoteText"/>
        <w:bidi/>
        <w:rPr>
          <w:rtl/>
          <w:lang w:bidi="ar-BH"/>
        </w:rPr>
      </w:pPr>
      <w:r>
        <w:rPr>
          <w:rStyle w:val="FootnoteReference"/>
        </w:rPr>
        <w:footnoteRef/>
      </w:r>
      <w:r>
        <w:t xml:space="preserve"> </w:t>
      </w:r>
      <w:r>
        <w:rPr>
          <w:rFonts w:ascii="mylotus" w:hAnsi="mylotus" w:cs="mylotus"/>
          <w:rtl/>
        </w:rPr>
        <w:t>منهاج الصالحين، فتاوى المرجع الديني الأعلى السيد علي الحسيني السيستاني (دام ظله)، طبعة مصححة 1445 هـ - 2023 م، ج1، كتاب الأمر بالمعروف والنهي عن المنكر، الفصل الأوّل: أهميتهما وموارد وجوبها واستحبابهما، ص464.</w:t>
      </w:r>
    </w:p>
  </w:footnote>
  <w:footnote w:id="214">
    <w:p w14:paraId="0DA689BF" w14:textId="77777777" w:rsidR="007A4D35" w:rsidRDefault="007A4D35" w:rsidP="007A4D35">
      <w:pPr>
        <w:pStyle w:val="FootnoteText"/>
        <w:bidi/>
        <w:rPr>
          <w:rFonts w:ascii="almohsin" w:hAnsi="almohsin"/>
          <w:lang w:bidi="ar-BH"/>
        </w:rPr>
      </w:pPr>
      <w:r>
        <w:rPr>
          <w:rStyle w:val="FootnoteReference"/>
        </w:rPr>
        <w:footnoteRef/>
      </w:r>
      <w:r>
        <w:t xml:space="preserve"> </w:t>
      </w:r>
      <w:r>
        <w:rPr>
          <w:rFonts w:ascii="mylotus" w:hAnsi="mylotus" w:cs="mylotus"/>
          <w:rtl/>
        </w:rPr>
        <w:t>المقرر: "الفائق في علم الأصول" هو كتابٌ صدر في مدينة قم المقدسة عن الإدارة العُليا للحوزات العلمية، مكتب إعداد النُصوص الدِّراسية، لجمعٍ مِن الأساتذة (وفقهم الله)، لجنة الفقه المعاصر، ويتضمن بحوثاً أصولية لَمْ تُبحث في الكُتب الأصولية المتداولة بنحوٍ مفصل</w:t>
      </w:r>
      <w:r>
        <w:rPr>
          <w:rFonts w:ascii="mylotus" w:hAnsi="mylotus" w:hint="cs"/>
          <w:rtl/>
        </w:rPr>
        <w:t>.</w:t>
      </w:r>
    </w:p>
  </w:footnote>
  <w:footnote w:id="215">
    <w:p w14:paraId="48FF2486" w14:textId="77777777" w:rsidR="007A4D35" w:rsidRDefault="007A4D35" w:rsidP="007A4D35">
      <w:pPr>
        <w:pStyle w:val="FootnoteText"/>
        <w:bidi/>
        <w:rPr>
          <w:rtl/>
          <w:lang w:bidi="ar-BH"/>
        </w:rPr>
      </w:pPr>
      <w:r>
        <w:rPr>
          <w:rStyle w:val="FootnoteReference"/>
        </w:rPr>
        <w:footnoteRef/>
      </w:r>
      <w:r>
        <w:t xml:space="preserve"> </w:t>
      </w:r>
      <w:r>
        <w:rPr>
          <w:rFonts w:ascii="mylotus" w:hAnsi="mylotus" w:cs="mylotus"/>
          <w:rtl/>
        </w:rPr>
        <w:t>الفائق في علم الأصول، ص43.</w:t>
      </w:r>
    </w:p>
  </w:footnote>
  <w:footnote w:id="216">
    <w:p w14:paraId="7F291519" w14:textId="77777777" w:rsidR="007A4D35" w:rsidRDefault="007A4D35" w:rsidP="007A4D35">
      <w:pPr>
        <w:pStyle w:val="FootnoteText"/>
        <w:bidi/>
        <w:rPr>
          <w:rtl/>
          <w:lang w:bidi="ar-BH"/>
        </w:rPr>
      </w:pPr>
      <w:r>
        <w:rPr>
          <w:rStyle w:val="FootnoteReference"/>
        </w:rPr>
        <w:footnoteRef/>
      </w:r>
      <w:r>
        <w:t xml:space="preserve"> </w:t>
      </w:r>
      <w:r>
        <w:rPr>
          <w:rFonts w:ascii="mylotus" w:hAnsi="mylotus" w:cs="mylotus"/>
          <w:rtl/>
        </w:rPr>
        <w:t>الكافي، للشيخ الكليني، دار الحديث، ج10، كتاب، الباب 149 باب الضِّرار، ح2.</w:t>
      </w:r>
    </w:p>
  </w:footnote>
  <w:footnote w:id="217">
    <w:p w14:paraId="661B59EA" w14:textId="77777777" w:rsidR="007A4D35" w:rsidRDefault="007A4D35" w:rsidP="007A4D35">
      <w:pPr>
        <w:pStyle w:val="FootnoteText"/>
        <w:bidi/>
        <w:rPr>
          <w:rtl/>
          <w:lang w:bidi="ar-BH"/>
        </w:rPr>
      </w:pPr>
      <w:r>
        <w:rPr>
          <w:rStyle w:val="FootnoteReference"/>
        </w:rPr>
        <w:footnoteRef/>
      </w:r>
      <w:r>
        <w:t xml:space="preserve"> </w:t>
      </w:r>
      <w:r>
        <w:rPr>
          <w:rFonts w:ascii="mylotus" w:hAnsi="mylotus" w:cs="mylotus"/>
          <w:rtl/>
        </w:rPr>
        <w:t>تهذيب الأحكام، شيخ الطائفة الطوسي، دار الكتب الإسلامية، ج7، كتاب التجارات، الباب11 باب أحكام الأرضين، ح22 رقم (673).</w:t>
      </w:r>
    </w:p>
  </w:footnote>
  <w:footnote w:id="218">
    <w:p w14:paraId="42554D56" w14:textId="77777777" w:rsidR="007A4D35" w:rsidRDefault="007A4D35" w:rsidP="007A4D35">
      <w:pPr>
        <w:pStyle w:val="FootnoteText"/>
        <w:bidi/>
        <w:rPr>
          <w:rtl/>
          <w:lang w:bidi="ar-BH"/>
        </w:rPr>
      </w:pPr>
      <w:r>
        <w:rPr>
          <w:rStyle w:val="FootnoteReference"/>
        </w:rPr>
        <w:footnoteRef/>
      </w:r>
      <w:r>
        <w:t xml:space="preserve"> </w:t>
      </w:r>
      <w:r>
        <w:rPr>
          <w:rFonts w:ascii="mylotus" w:hAnsi="mylotus" w:cs="mylotus"/>
          <w:rtl/>
        </w:rPr>
        <w:t>عوالي اللئالي، ابن أبي جمهور الأحسائي، ج3، باب إحياء الموات، ص480، ح4</w:t>
      </w:r>
      <w:r>
        <w:rPr>
          <w:rFonts w:ascii="mylotus" w:hAnsi="mylotus" w:hint="cs"/>
          <w:rtl/>
        </w:rPr>
        <w:t>.</w:t>
      </w:r>
    </w:p>
  </w:footnote>
  <w:footnote w:id="219">
    <w:p w14:paraId="114E72CA" w14:textId="77777777" w:rsidR="009E3B18" w:rsidRDefault="009E3B18" w:rsidP="009E3B18">
      <w:pPr>
        <w:pStyle w:val="FootnoteText"/>
        <w:bidi/>
        <w:rPr>
          <w:rtl/>
          <w:lang w:bidi="ar-BH"/>
        </w:rPr>
      </w:pPr>
      <w:r>
        <w:rPr>
          <w:rStyle w:val="FootnoteReference"/>
        </w:rPr>
        <w:footnoteRef/>
      </w:r>
      <w:r>
        <w:t xml:space="preserve"> </w:t>
      </w:r>
      <w:r w:rsidRPr="00DA1191">
        <w:rPr>
          <w:rFonts w:ascii="mylotus" w:hAnsi="mylotus" w:cs="mylotus"/>
          <w:rtl/>
        </w:rPr>
        <w:t>مصباح الفقيه، تأليف الفقيه الأصولي المحقّق الشيخ آغا رضا بن محمد هادي الهمداني (قدس سره)، تحقيق المؤسسة الجعفرية لإحياء التراث (قم المقدسة)،</w:t>
      </w:r>
      <w:r w:rsidRPr="00DA1191">
        <w:rPr>
          <w:rFonts w:ascii="mylotus" w:hAnsi="mylotus" w:hint="cs"/>
          <w:rtl/>
        </w:rPr>
        <w:t xml:space="preserve"> ج2 ق2،</w:t>
      </w:r>
      <w:r w:rsidRPr="00DA1191">
        <w:rPr>
          <w:rFonts w:ascii="mylotus" w:hAnsi="mylotus" w:cs="mylotus"/>
          <w:rtl/>
        </w:rPr>
        <w:t xml:space="preserve"> ص288 </w:t>
      </w:r>
      <w:r w:rsidRPr="00DA1191">
        <w:rPr>
          <w:rFonts w:ascii="Times New Roman" w:hAnsi="Times New Roman" w:cs="Times New Roman" w:hint="cs"/>
          <w:rtl/>
        </w:rPr>
        <w:t>–</w:t>
      </w:r>
      <w:r w:rsidRPr="00DA1191">
        <w:rPr>
          <w:rFonts w:ascii="mylotus" w:hAnsi="mylotus" w:cs="mylotus"/>
          <w:rtl/>
        </w:rPr>
        <w:t xml:space="preserve"> 289.</w:t>
      </w:r>
    </w:p>
  </w:footnote>
  <w:footnote w:id="220">
    <w:p w14:paraId="0996602A" w14:textId="77777777" w:rsidR="009E3B18" w:rsidRDefault="009E3B18" w:rsidP="009E3B18">
      <w:pPr>
        <w:pStyle w:val="FootnoteText"/>
        <w:bidi/>
        <w:rPr>
          <w:rtl/>
          <w:lang w:bidi="ar-BH"/>
        </w:rPr>
      </w:pPr>
      <w:r>
        <w:rPr>
          <w:rStyle w:val="FootnoteReference"/>
        </w:rPr>
        <w:footnoteRef/>
      </w:r>
      <w:r>
        <w:t xml:space="preserve"> </w:t>
      </w:r>
      <w:r w:rsidRPr="00DA1191">
        <w:rPr>
          <w:rFonts w:ascii="mylotus" w:hAnsi="mylotus" w:cs="mylotus"/>
          <w:rtl/>
        </w:rPr>
        <w:t xml:space="preserve">موسوعة الإمام الخوئي، مؤسسة السيد الخوئي، ج1، التنقيح في شرح العروة الوثقى، كتاب التقليد، تأليف آية الله الشهيد الشيخ ميرزا </w:t>
      </w:r>
      <w:proofErr w:type="gramStart"/>
      <w:r w:rsidRPr="00DA1191">
        <w:rPr>
          <w:rFonts w:ascii="mylotus" w:hAnsi="mylotus" w:cs="mylotus"/>
          <w:rtl/>
        </w:rPr>
        <w:t>علي</w:t>
      </w:r>
      <w:proofErr w:type="gramEnd"/>
      <w:r w:rsidRPr="00DA1191">
        <w:rPr>
          <w:rFonts w:ascii="mylotus" w:hAnsi="mylotus" w:cs="mylotus"/>
          <w:rtl/>
        </w:rPr>
        <w:t xml:space="preserve"> الغروي (قدس سره)، ص231 </w:t>
      </w:r>
      <w:r w:rsidRPr="00DA1191">
        <w:rPr>
          <w:rFonts w:ascii="Times New Roman" w:hAnsi="Times New Roman" w:cs="Times New Roman" w:hint="cs"/>
          <w:rtl/>
        </w:rPr>
        <w:t>–</w:t>
      </w:r>
      <w:r w:rsidRPr="00DA1191">
        <w:rPr>
          <w:rFonts w:ascii="mylotus" w:hAnsi="mylotus" w:cs="mylotus"/>
          <w:rtl/>
        </w:rPr>
        <w:t xml:space="preserve"> 232.</w:t>
      </w:r>
    </w:p>
  </w:footnote>
  <w:footnote w:id="221">
    <w:p w14:paraId="68F3E83F" w14:textId="77777777" w:rsidR="009E3B18" w:rsidRDefault="009E3B18" w:rsidP="009E3B18">
      <w:pPr>
        <w:pStyle w:val="FootnoteText"/>
        <w:bidi/>
        <w:rPr>
          <w:rtl/>
          <w:lang w:bidi="ar-BH"/>
        </w:rPr>
      </w:pPr>
      <w:r>
        <w:rPr>
          <w:rStyle w:val="FootnoteReference"/>
        </w:rPr>
        <w:footnoteRef/>
      </w:r>
      <w:r>
        <w:t xml:space="preserve"> </w:t>
      </w:r>
      <w:r w:rsidRPr="00C16BB6">
        <w:rPr>
          <w:rFonts w:ascii="mylotus" w:hAnsi="mylotus" w:cs="mylotus"/>
          <w:rtl/>
        </w:rPr>
        <w:t xml:space="preserve">تهذيب الأحكام، شيخ الطائفة الطوسي، دار الكتب الإسلامية، ج3، الباب3 باب أحكام الجماعة وأقل الجماعة وصفة الإمام ومن يقتدى به ومن لا يقتدى به والقراءة خلفهما وأحكام </w:t>
      </w:r>
      <w:proofErr w:type="spellStart"/>
      <w:r w:rsidRPr="00C16BB6">
        <w:rPr>
          <w:rFonts w:ascii="mylotus" w:hAnsi="mylotus" w:cs="mylotus"/>
          <w:rtl/>
        </w:rPr>
        <w:t>المؤتمين</w:t>
      </w:r>
      <w:proofErr w:type="spellEnd"/>
      <w:r w:rsidRPr="00C16BB6">
        <w:rPr>
          <w:rFonts w:ascii="mylotus" w:hAnsi="mylotus" w:cs="mylotus"/>
          <w:rtl/>
        </w:rPr>
        <w:t xml:space="preserve"> وغير ذلك من أحكامها، ح22 رقم (110).</w:t>
      </w:r>
    </w:p>
  </w:footnote>
  <w:footnote w:id="222">
    <w:p w14:paraId="7021B38B" w14:textId="77777777" w:rsidR="009E3B18" w:rsidRPr="006A7291" w:rsidRDefault="009E3B18" w:rsidP="009E3B18">
      <w:pPr>
        <w:pStyle w:val="a"/>
        <w:bidi/>
        <w:spacing w:line="216" w:lineRule="auto"/>
        <w:rPr>
          <w:rFonts w:ascii="mylotus" w:hAnsi="mylotus"/>
          <w:sz w:val="34"/>
          <w:szCs w:val="34"/>
          <w:rtl/>
        </w:rPr>
      </w:pPr>
      <w:r w:rsidRPr="006A7291">
        <w:rPr>
          <w:rStyle w:val="FootnoteReference"/>
          <w:sz w:val="20"/>
          <w:szCs w:val="20"/>
        </w:rPr>
        <w:footnoteRef/>
      </w:r>
      <w:r>
        <w:t xml:space="preserve"> </w:t>
      </w:r>
      <w:r>
        <w:rPr>
          <w:rFonts w:ascii="mylotus" w:hAnsi="mylotus" w:hint="cs"/>
          <w:sz w:val="20"/>
          <w:szCs w:val="20"/>
          <w:rtl/>
        </w:rPr>
        <w:t>المصدر السابق:</w:t>
      </w:r>
      <w:r w:rsidRPr="00C16BB6">
        <w:rPr>
          <w:rFonts w:ascii="mylotus" w:hAnsi="mylotus"/>
          <w:sz w:val="20"/>
          <w:szCs w:val="20"/>
          <w:rtl/>
        </w:rPr>
        <w:t xml:space="preserve"> ح</w:t>
      </w:r>
      <w:r>
        <w:rPr>
          <w:rFonts w:ascii="mylotus" w:hAnsi="mylotus" w:hint="cs"/>
          <w:sz w:val="20"/>
          <w:szCs w:val="20"/>
          <w:rtl/>
        </w:rPr>
        <w:t>20</w:t>
      </w:r>
      <w:r w:rsidRPr="00C16BB6">
        <w:rPr>
          <w:rFonts w:ascii="mylotus" w:hAnsi="mylotus"/>
          <w:sz w:val="20"/>
          <w:szCs w:val="20"/>
          <w:rtl/>
        </w:rPr>
        <w:t xml:space="preserve"> رقم (</w:t>
      </w:r>
      <w:r>
        <w:rPr>
          <w:rFonts w:ascii="mylotus" w:hAnsi="mylotus" w:hint="cs"/>
          <w:sz w:val="20"/>
          <w:szCs w:val="20"/>
          <w:rtl/>
        </w:rPr>
        <w:t>108</w:t>
      </w:r>
      <w:r w:rsidRPr="00C16BB6">
        <w:rPr>
          <w:rFonts w:ascii="mylotus" w:hAnsi="mylotus"/>
          <w:sz w:val="20"/>
          <w:szCs w:val="20"/>
          <w:rtl/>
        </w:rPr>
        <w:t>).</w:t>
      </w:r>
    </w:p>
  </w:footnote>
  <w:footnote w:id="223">
    <w:p w14:paraId="57F1C299" w14:textId="77777777" w:rsidR="009E3B18" w:rsidRDefault="009E3B18" w:rsidP="009E3B18">
      <w:pPr>
        <w:pStyle w:val="a"/>
        <w:bidi/>
        <w:spacing w:line="216" w:lineRule="auto"/>
        <w:rPr>
          <w:rFonts w:ascii="mylotus" w:hAnsi="mylotus"/>
          <w:sz w:val="34"/>
          <w:szCs w:val="34"/>
          <w:rtl/>
        </w:rPr>
      </w:pPr>
      <w:r w:rsidRPr="00492B92">
        <w:rPr>
          <w:rStyle w:val="FootnoteReference"/>
          <w:sz w:val="20"/>
          <w:szCs w:val="20"/>
        </w:rPr>
        <w:footnoteRef/>
      </w:r>
      <w:r>
        <w:t xml:space="preserve"> </w:t>
      </w:r>
      <w:r w:rsidRPr="00492B92">
        <w:rPr>
          <w:rFonts w:ascii="mylotus" w:hAnsi="mylotus"/>
          <w:sz w:val="20"/>
          <w:szCs w:val="20"/>
          <w:rtl/>
        </w:rPr>
        <w:t>وسائل الشيعة، الحر العاملي، تحقيق مؤسسة آل البيت (عليهم السلام) لإحياء التراث، ج8، كتاب الصلاة، أبواب صلاة الجماعة، البا</w:t>
      </w:r>
      <w:r>
        <w:rPr>
          <w:rFonts w:ascii="mylotus" w:hAnsi="mylotus" w:hint="cs"/>
          <w:sz w:val="20"/>
          <w:szCs w:val="20"/>
          <w:rtl/>
        </w:rPr>
        <w:t>ب11</w:t>
      </w:r>
      <w:r w:rsidRPr="00492B92">
        <w:rPr>
          <w:rFonts w:ascii="mylotus" w:hAnsi="mylotus"/>
          <w:sz w:val="20"/>
          <w:szCs w:val="20"/>
          <w:rtl/>
        </w:rPr>
        <w:t xml:space="preserve"> باب </w:t>
      </w:r>
      <w:r>
        <w:rPr>
          <w:rFonts w:ascii="mylotus" w:hAnsi="mylotus" w:hint="cs"/>
          <w:sz w:val="20"/>
          <w:szCs w:val="20"/>
          <w:rtl/>
        </w:rPr>
        <w:t>عدم جواز الاقتداء بالفاسق فإن فعل وجب أن يقرأ لنفسه، وجواز الاقتداء بمن يواظب على الصلوات ولا يظهر منه الفسق، ح1.</w:t>
      </w:r>
    </w:p>
    <w:p w14:paraId="70C33F05" w14:textId="77777777" w:rsidR="009E3B18" w:rsidRPr="00492B92" w:rsidRDefault="009E3B18" w:rsidP="009E3B18">
      <w:pPr>
        <w:pStyle w:val="FootnoteText"/>
        <w:bidi/>
        <w:rPr>
          <w:rtl/>
        </w:rPr>
      </w:pPr>
    </w:p>
  </w:footnote>
  <w:footnote w:id="224">
    <w:p w14:paraId="0D55A20C" w14:textId="77777777" w:rsidR="009E3B18" w:rsidRDefault="009E3B18" w:rsidP="009E3B18">
      <w:pPr>
        <w:pStyle w:val="FootnoteText"/>
        <w:bidi/>
        <w:rPr>
          <w:rtl/>
          <w:lang w:bidi="ar-BH"/>
        </w:rPr>
      </w:pPr>
      <w:r>
        <w:rPr>
          <w:rStyle w:val="FootnoteReference"/>
        </w:rPr>
        <w:footnoteRef/>
      </w:r>
      <w:r>
        <w:t xml:space="preserve"> </w:t>
      </w:r>
      <w:r w:rsidRPr="00492B92">
        <w:rPr>
          <w:rFonts w:ascii="mylotus" w:hAnsi="mylotus" w:cs="mylotus"/>
          <w:rtl/>
        </w:rPr>
        <w:t>وسائل الشيعة، الحر العاملي، تحقيق مؤسسة آل البيت (عليهم السلام) لإحياء التراث، ج8، كتاب الصلاة، أبواب صلاة الجماعة، الباب10 باب اشتراط كون إمام الجماعة مؤمناً موالياً للأ</w:t>
      </w:r>
      <w:r>
        <w:rPr>
          <w:rFonts w:ascii="mylotus" w:hAnsi="mylotus" w:cs="mylotus" w:hint="cs"/>
          <w:rtl/>
        </w:rPr>
        <w:t>ئ</w:t>
      </w:r>
      <w:r w:rsidRPr="00492B92">
        <w:rPr>
          <w:rFonts w:ascii="mylotus" w:hAnsi="mylotus" w:cs="mylotus"/>
          <w:rtl/>
        </w:rPr>
        <w:t>مة، وعدم جواز الاقتداء بالمخالف في الاعتقادات الصحيحة، إلا لتقية، ح2.</w:t>
      </w:r>
    </w:p>
  </w:footnote>
  <w:footnote w:id="225">
    <w:p w14:paraId="29366A52" w14:textId="77777777" w:rsidR="009E3B18" w:rsidRDefault="009E3B18" w:rsidP="009E3B18">
      <w:pPr>
        <w:pStyle w:val="FootnoteText"/>
        <w:bidi/>
        <w:rPr>
          <w:rtl/>
          <w:lang w:bidi="ar-BH"/>
        </w:rPr>
      </w:pPr>
      <w:r>
        <w:rPr>
          <w:rStyle w:val="FootnoteReference"/>
        </w:rPr>
        <w:footnoteRef/>
      </w:r>
      <w:r>
        <w:t xml:space="preserve"> </w:t>
      </w:r>
      <w:r w:rsidRPr="00492B92">
        <w:rPr>
          <w:rFonts w:ascii="mylotus" w:hAnsi="mylotus" w:cs="mylotus"/>
          <w:rtl/>
        </w:rPr>
        <w:t>وسائل الشيعة، الحر العاملي، تحقيق مؤسسة آل البيت (عليهم السلام) لإحياء التراث، ج8، كتاب الصلاة، أبواب صلاة الجماعة، الباب</w:t>
      </w:r>
      <w:r>
        <w:rPr>
          <w:rFonts w:ascii="mylotus" w:hAnsi="mylotus" w:cs="mylotus" w:hint="cs"/>
          <w:rtl/>
        </w:rPr>
        <w:t>12</w:t>
      </w:r>
      <w:r w:rsidRPr="00492B92">
        <w:rPr>
          <w:rFonts w:ascii="mylotus" w:hAnsi="mylotus" w:cs="mylotus"/>
          <w:rtl/>
        </w:rPr>
        <w:t xml:space="preserve"> باب </w:t>
      </w:r>
      <w:r>
        <w:rPr>
          <w:rFonts w:ascii="mylotus" w:hAnsi="mylotus" w:cs="mylotus" w:hint="cs"/>
          <w:rtl/>
        </w:rPr>
        <w:t>عدم جواز الاقتداء بالمجهول، ح1.</w:t>
      </w:r>
    </w:p>
  </w:footnote>
  <w:footnote w:id="226">
    <w:p w14:paraId="27999BF7" w14:textId="77777777" w:rsidR="009E3B18" w:rsidRDefault="009E3B18" w:rsidP="009E3B18">
      <w:pPr>
        <w:pStyle w:val="FootnoteText"/>
        <w:bidi/>
        <w:rPr>
          <w:rtl/>
          <w:lang w:bidi="ar-BH"/>
        </w:rPr>
      </w:pPr>
      <w:r>
        <w:rPr>
          <w:rStyle w:val="FootnoteReference"/>
        </w:rPr>
        <w:footnoteRef/>
      </w:r>
      <w:r>
        <w:t xml:space="preserve"> </w:t>
      </w:r>
      <w:r w:rsidRPr="006F74E3">
        <w:rPr>
          <w:rFonts w:ascii="mylotus" w:hAnsi="mylotus" w:cs="mylotus"/>
          <w:rtl/>
          <w:lang w:bidi="ar-BH"/>
        </w:rPr>
        <w:t>سورة الأعراف، 204.</w:t>
      </w:r>
    </w:p>
  </w:footnote>
  <w:footnote w:id="227">
    <w:p w14:paraId="4B0113D8" w14:textId="77777777" w:rsidR="009E3B18" w:rsidRDefault="009E3B18" w:rsidP="009E3B18">
      <w:pPr>
        <w:pStyle w:val="a"/>
        <w:bidi/>
        <w:spacing w:line="216" w:lineRule="auto"/>
        <w:rPr>
          <w:rFonts w:ascii="mylotus" w:hAnsi="mylotus"/>
          <w:sz w:val="34"/>
          <w:szCs w:val="34"/>
          <w:rtl/>
        </w:rPr>
      </w:pPr>
      <w:r w:rsidRPr="006F74E3">
        <w:rPr>
          <w:rStyle w:val="FootnoteReference"/>
          <w:sz w:val="20"/>
          <w:szCs w:val="20"/>
        </w:rPr>
        <w:footnoteRef/>
      </w:r>
      <w:r>
        <w:t xml:space="preserve"> </w:t>
      </w:r>
      <w:r w:rsidRPr="00492B92">
        <w:rPr>
          <w:rFonts w:ascii="mylotus" w:hAnsi="mylotus"/>
          <w:sz w:val="20"/>
          <w:szCs w:val="20"/>
          <w:rtl/>
        </w:rPr>
        <w:t>وسائل الشيعة، الحر العاملي، تحقيق مؤسسة آل البيت (عليهم السلام) لإحياء التراث، ج8، كتاب الصلاة، أبواب صلاة الجماعة، الباب</w:t>
      </w:r>
      <w:r>
        <w:rPr>
          <w:rFonts w:ascii="mylotus" w:hAnsi="mylotus" w:hint="cs"/>
          <w:sz w:val="20"/>
          <w:szCs w:val="20"/>
          <w:rtl/>
        </w:rPr>
        <w:t>31</w:t>
      </w:r>
      <w:r w:rsidRPr="00492B92">
        <w:rPr>
          <w:rFonts w:ascii="mylotus" w:hAnsi="mylotus"/>
          <w:sz w:val="20"/>
          <w:szCs w:val="20"/>
          <w:rtl/>
        </w:rPr>
        <w:t xml:space="preserve"> باب</w:t>
      </w:r>
      <w:r>
        <w:rPr>
          <w:rFonts w:ascii="mylotus" w:hAnsi="mylotus" w:hint="cs"/>
          <w:sz w:val="20"/>
          <w:szCs w:val="20"/>
          <w:rtl/>
        </w:rPr>
        <w:t xml:space="preserve"> عدم جواز قراءة المأموم خلف من يقتدي به في الجهرية، ووجوب الانصات لقراءته إلا إذا لم يسمع ولو همهمة، فتستحب له القراءة، وتكره في غيره،</w:t>
      </w:r>
      <w:r w:rsidRPr="00492B92">
        <w:rPr>
          <w:rFonts w:ascii="mylotus" w:hAnsi="mylotus"/>
          <w:sz w:val="20"/>
          <w:szCs w:val="20"/>
          <w:rtl/>
        </w:rPr>
        <w:t xml:space="preserve"> ح</w:t>
      </w:r>
      <w:r>
        <w:rPr>
          <w:rFonts w:ascii="mylotus" w:hAnsi="mylotus" w:hint="cs"/>
          <w:sz w:val="20"/>
          <w:szCs w:val="20"/>
          <w:rtl/>
        </w:rPr>
        <w:t>15.</w:t>
      </w:r>
    </w:p>
    <w:p w14:paraId="03631964" w14:textId="77777777" w:rsidR="009E3B18" w:rsidRDefault="009E3B18" w:rsidP="009E3B18">
      <w:pPr>
        <w:pStyle w:val="FootnoteText"/>
        <w:bidi/>
        <w:rPr>
          <w:rtl/>
        </w:rPr>
      </w:pPr>
    </w:p>
  </w:footnote>
  <w:footnote w:id="228">
    <w:p w14:paraId="0BD1D597" w14:textId="77777777" w:rsidR="009E3B18" w:rsidRDefault="009E3B18" w:rsidP="009E3B18">
      <w:pPr>
        <w:pStyle w:val="a"/>
        <w:bidi/>
        <w:spacing w:line="216" w:lineRule="auto"/>
        <w:rPr>
          <w:rFonts w:ascii="mylotus" w:hAnsi="mylotus"/>
          <w:sz w:val="34"/>
          <w:szCs w:val="34"/>
          <w:rtl/>
        </w:rPr>
      </w:pPr>
      <w:r w:rsidRPr="007F2948">
        <w:rPr>
          <w:rStyle w:val="FootnoteReference"/>
          <w:sz w:val="20"/>
          <w:szCs w:val="20"/>
        </w:rPr>
        <w:footnoteRef/>
      </w:r>
      <w:r>
        <w:t xml:space="preserve"> </w:t>
      </w:r>
      <w:r w:rsidRPr="00492B92">
        <w:rPr>
          <w:rFonts w:ascii="mylotus" w:hAnsi="mylotus"/>
          <w:sz w:val="20"/>
          <w:szCs w:val="20"/>
          <w:rtl/>
        </w:rPr>
        <w:t xml:space="preserve">وسائل الشيعة، الحر العاملي، تحقيق مؤسسة آل البيت (عليهم السلام) لإحياء التراث، ج8، كتاب الصلاة، أبواب صلاة الجماعة، الباب </w:t>
      </w:r>
      <w:r>
        <w:rPr>
          <w:rFonts w:ascii="mylotus" w:hAnsi="mylotus" w:hint="cs"/>
          <w:sz w:val="20"/>
          <w:szCs w:val="20"/>
          <w:rtl/>
        </w:rPr>
        <w:t xml:space="preserve">56 </w:t>
      </w:r>
      <w:r w:rsidRPr="00492B92">
        <w:rPr>
          <w:rFonts w:ascii="mylotus" w:hAnsi="mylotus"/>
          <w:sz w:val="20"/>
          <w:szCs w:val="20"/>
          <w:rtl/>
        </w:rPr>
        <w:t>باب</w:t>
      </w:r>
      <w:r>
        <w:rPr>
          <w:rFonts w:ascii="mylotus" w:hAnsi="mylotus" w:hint="cs"/>
          <w:sz w:val="20"/>
          <w:szCs w:val="20"/>
          <w:rtl/>
        </w:rPr>
        <w:t xml:space="preserve"> استحباب نقل المنفرد نيته إلى النفل، وإكمال ركعتين إذا خاف فوت الجماعة مع العدل، واستحباب إظهار المتابعة حينئذ في أثناء الصلاة مع المخالف للتقية، وكراهة التنفل بعد الإقامة للجماعة، </w:t>
      </w:r>
      <w:r w:rsidRPr="00492B92">
        <w:rPr>
          <w:rFonts w:ascii="mylotus" w:hAnsi="mylotus"/>
          <w:sz w:val="20"/>
          <w:szCs w:val="20"/>
          <w:rtl/>
        </w:rPr>
        <w:t>ح</w:t>
      </w:r>
      <w:r>
        <w:rPr>
          <w:rFonts w:ascii="mylotus" w:hAnsi="mylotus" w:hint="cs"/>
          <w:sz w:val="20"/>
          <w:szCs w:val="20"/>
          <w:rtl/>
        </w:rPr>
        <w:t>2.</w:t>
      </w:r>
    </w:p>
    <w:p w14:paraId="0BFBC78B" w14:textId="77777777" w:rsidR="009E3B18" w:rsidRDefault="009E3B18" w:rsidP="009E3B18">
      <w:pPr>
        <w:pStyle w:val="FootnoteText"/>
        <w:bidi/>
        <w:rPr>
          <w:rtl/>
        </w:rPr>
      </w:pPr>
    </w:p>
  </w:footnote>
  <w:footnote w:id="229">
    <w:p w14:paraId="0B18D438" w14:textId="77777777" w:rsidR="00D22D23" w:rsidRDefault="00D22D23" w:rsidP="00D22D23">
      <w:pPr>
        <w:pStyle w:val="FootnoteText"/>
        <w:bidi/>
        <w:rPr>
          <w:rtl/>
          <w:lang w:bidi="ar-BH"/>
        </w:rPr>
      </w:pPr>
      <w:r>
        <w:rPr>
          <w:rStyle w:val="FootnoteReference"/>
        </w:rPr>
        <w:footnoteRef/>
      </w:r>
      <w:r>
        <w:t xml:space="preserve"> </w:t>
      </w:r>
      <w:r w:rsidRPr="00B05231">
        <w:rPr>
          <w:rFonts w:ascii="mylotus" w:hAnsi="mylotus" w:cs="mylotus"/>
          <w:rtl/>
        </w:rPr>
        <w:t xml:space="preserve">مصباح الأصول، تقريرٌ عن سماحة آية الله العظمى السيد أبو القاسم الموسوي الخوئي (قدس سره)، تأليف السيد محمد سرور الواعظ الحسيني </w:t>
      </w:r>
      <w:proofErr w:type="spellStart"/>
      <w:r w:rsidRPr="00B05231">
        <w:rPr>
          <w:rFonts w:ascii="mylotus" w:hAnsi="mylotus" w:cs="mylotus"/>
          <w:rtl/>
        </w:rPr>
        <w:t>البهسودي</w:t>
      </w:r>
      <w:proofErr w:type="spellEnd"/>
      <w:r w:rsidRPr="00B05231">
        <w:rPr>
          <w:rFonts w:ascii="mylotus" w:hAnsi="mylotus" w:cs="mylotus"/>
          <w:rtl/>
        </w:rPr>
        <w:t xml:space="preserve">، منشورات مكتبة </w:t>
      </w:r>
      <w:proofErr w:type="spellStart"/>
      <w:r w:rsidRPr="00B05231">
        <w:rPr>
          <w:rFonts w:ascii="mylotus" w:hAnsi="mylotus" w:cs="mylotus"/>
          <w:rtl/>
        </w:rPr>
        <w:t>الداوي</w:t>
      </w:r>
      <w:proofErr w:type="spellEnd"/>
      <w:r w:rsidRPr="00B05231">
        <w:rPr>
          <w:rFonts w:ascii="mylotus" w:hAnsi="mylotus" w:cs="mylotus"/>
          <w:rtl/>
        </w:rPr>
        <w:t xml:space="preserve"> قم </w:t>
      </w:r>
      <w:r w:rsidRPr="00B05231">
        <w:rPr>
          <w:rFonts w:ascii="Times New Roman" w:hAnsi="Times New Roman" w:cs="Times New Roman" w:hint="cs"/>
          <w:rtl/>
        </w:rPr>
        <w:t>–</w:t>
      </w:r>
      <w:r w:rsidRPr="00B05231">
        <w:rPr>
          <w:rFonts w:ascii="mylotus" w:hAnsi="mylotus" w:cs="mylotus"/>
          <w:rtl/>
        </w:rPr>
        <w:t xml:space="preserve"> </w:t>
      </w:r>
      <w:r w:rsidRPr="00B05231">
        <w:rPr>
          <w:rFonts w:ascii="mylotus" w:hAnsi="mylotus" w:cs="mylotus" w:hint="cs"/>
          <w:rtl/>
        </w:rPr>
        <w:t>إيران،</w:t>
      </w:r>
      <w:r w:rsidRPr="00B05231">
        <w:rPr>
          <w:rFonts w:ascii="mylotus" w:hAnsi="mylotus" w:cs="mylotus"/>
          <w:rtl/>
        </w:rPr>
        <w:t xml:space="preserve"> </w:t>
      </w:r>
      <w:r w:rsidRPr="00B05231">
        <w:rPr>
          <w:rFonts w:ascii="mylotus" w:hAnsi="mylotus" w:cs="mylotus" w:hint="cs"/>
          <w:rtl/>
        </w:rPr>
        <w:t>ج</w:t>
      </w:r>
      <w:r w:rsidRPr="00B05231">
        <w:rPr>
          <w:rFonts w:ascii="mylotus" w:hAnsi="mylotus" w:cs="mylotus"/>
          <w:rtl/>
        </w:rPr>
        <w:t>2</w:t>
      </w:r>
      <w:r w:rsidRPr="00B05231">
        <w:rPr>
          <w:rFonts w:ascii="mylotus" w:hAnsi="mylotus" w:cs="mylotus" w:hint="cs"/>
          <w:rtl/>
        </w:rPr>
        <w:t>،</w:t>
      </w:r>
      <w:r w:rsidRPr="00B05231">
        <w:rPr>
          <w:rFonts w:ascii="mylotus" w:hAnsi="mylotus" w:cs="mylotus"/>
          <w:rtl/>
        </w:rPr>
        <w:t xml:space="preserve"> </w:t>
      </w:r>
      <w:r w:rsidRPr="00B05231">
        <w:rPr>
          <w:rFonts w:ascii="mylotus" w:hAnsi="mylotus" w:cs="mylotus" w:hint="cs"/>
          <w:rtl/>
        </w:rPr>
        <w:t>ص</w:t>
      </w:r>
      <w:r w:rsidRPr="00B05231">
        <w:rPr>
          <w:rFonts w:ascii="mylotus" w:hAnsi="mylotus" w:cs="mylotus"/>
          <w:rtl/>
        </w:rPr>
        <w:t>560</w:t>
      </w:r>
      <w:r w:rsidRPr="00B05231">
        <w:rPr>
          <w:rFonts w:ascii="mylotus" w:hAnsi="mylotus" w:hint="cs"/>
          <w:rtl/>
        </w:rPr>
        <w:t>.</w:t>
      </w:r>
    </w:p>
  </w:footnote>
  <w:footnote w:id="230">
    <w:p w14:paraId="17C6A383" w14:textId="77777777" w:rsidR="00396E70" w:rsidRDefault="00396E70" w:rsidP="00396E70">
      <w:pPr>
        <w:pStyle w:val="FootnoteText"/>
        <w:bidi/>
        <w:rPr>
          <w:rFonts w:ascii="almohsin" w:hAnsi="almohsin"/>
          <w:lang w:bidi="ar-BH"/>
        </w:rPr>
      </w:pPr>
      <w:r>
        <w:rPr>
          <w:rStyle w:val="FootnoteReference"/>
        </w:rPr>
        <w:footnoteRef/>
      </w:r>
      <w:r>
        <w:t xml:space="preserve"> </w:t>
      </w:r>
      <w:r>
        <w:rPr>
          <w:rFonts w:ascii="mylotus" w:hAnsi="mylotus" w:cs="mylotus"/>
          <w:rtl/>
        </w:rPr>
        <w:t xml:space="preserve">قاعدة لا ضرر ولا ضرار، محاضرات آية الله العظمى السيد علي الحسيني السيستاني (دام ظله العالي)، دار المؤرخ العربي / بيروت </w:t>
      </w:r>
      <w:r>
        <w:rPr>
          <w:rFonts w:ascii="Times New Roman" w:hAnsi="Times New Roman" w:cs="Times New Roman"/>
          <w:rtl/>
        </w:rPr>
        <w:t>–</w:t>
      </w:r>
      <w:r>
        <w:rPr>
          <w:rFonts w:ascii="mylotus" w:hAnsi="mylotus" w:cs="mylotus"/>
          <w:rtl/>
        </w:rPr>
        <w:t xml:space="preserve"> لبنان، الطبعة الأولى، ص135 وص294.</w:t>
      </w:r>
    </w:p>
  </w:footnote>
  <w:footnote w:id="231">
    <w:p w14:paraId="45247784" w14:textId="77777777" w:rsidR="00E003A8" w:rsidRDefault="00E003A8" w:rsidP="00E003A8">
      <w:pPr>
        <w:pStyle w:val="FootnoteText"/>
        <w:bidi/>
        <w:rPr>
          <w:rFonts w:ascii="almohsin" w:hAnsi="almohsin"/>
          <w:lang w:bidi="ar-BH"/>
        </w:rPr>
      </w:pPr>
      <w:r>
        <w:rPr>
          <w:rStyle w:val="FootnoteReference"/>
        </w:rPr>
        <w:footnoteRef/>
      </w:r>
      <w:r>
        <w:t xml:space="preserve"> </w:t>
      </w:r>
      <w:r>
        <w:rPr>
          <w:rFonts w:ascii="mylotus" w:hAnsi="mylotus" w:cs="mylotus"/>
          <w:rtl/>
        </w:rPr>
        <w:t>بحوثٌ في علم الأصول، مباحث الحجج والأصول العملية، تأليف آية الله السيد محمود الهاشمي الشاهرودي، ج5، ص488.</w:t>
      </w:r>
    </w:p>
  </w:footnote>
  <w:footnote w:id="232">
    <w:p w14:paraId="2309E6E9" w14:textId="77777777" w:rsidR="00E003A8" w:rsidRDefault="00E003A8" w:rsidP="00E003A8">
      <w:pPr>
        <w:pStyle w:val="FootnoteText"/>
        <w:bidi/>
        <w:rPr>
          <w:rtl/>
          <w:lang w:bidi="ar-BH"/>
        </w:rPr>
      </w:pPr>
      <w:r>
        <w:rPr>
          <w:rStyle w:val="FootnoteReference"/>
        </w:rPr>
        <w:footnoteRef/>
      </w:r>
      <w:r>
        <w:t xml:space="preserve"> </w:t>
      </w:r>
      <w:r>
        <w:rPr>
          <w:rFonts w:ascii="mylotus" w:hAnsi="mylotus" w:cs="mylotus"/>
          <w:rtl/>
        </w:rPr>
        <w:t xml:space="preserve">موسوعة الإمام الخوئي، مؤسسة السيد الخوئي، ج30، المستند في شرح العروة الوثقى، كتاب الإجارة، تأليف آية الله الشهيد الشيخ مرتضى البروجردي (قدس سره)، ص169 </w:t>
      </w:r>
      <w:r>
        <w:rPr>
          <w:rFonts w:ascii="Times New Roman" w:hAnsi="Times New Roman" w:cs="Times New Roman"/>
          <w:rtl/>
        </w:rPr>
        <w:t>–</w:t>
      </w:r>
      <w:r>
        <w:rPr>
          <w:rFonts w:ascii="mylotus" w:hAnsi="mylotus" w:cs="mylotus"/>
          <w:rtl/>
        </w:rPr>
        <w:t xml:space="preserve"> 170.</w:t>
      </w:r>
    </w:p>
  </w:footnote>
  <w:footnote w:id="233">
    <w:p w14:paraId="4DEC37F5" w14:textId="77777777" w:rsidR="00E003A8" w:rsidRDefault="00E003A8" w:rsidP="00E003A8">
      <w:pPr>
        <w:pStyle w:val="FootnoteText"/>
        <w:bidi/>
        <w:rPr>
          <w:rtl/>
          <w:lang w:bidi="ar-BH"/>
        </w:rPr>
      </w:pPr>
      <w:r>
        <w:rPr>
          <w:rStyle w:val="FootnoteReference"/>
        </w:rPr>
        <w:footnoteRef/>
      </w:r>
      <w:r>
        <w:t xml:space="preserve"> </w:t>
      </w:r>
      <w:r>
        <w:rPr>
          <w:rFonts w:ascii="mylotus" w:hAnsi="mylotus" w:cs="mylotus"/>
          <w:rtl/>
        </w:rPr>
        <w:t>عوالي اللئالي، ابن أبي جمهور الأحسائي، ج1، ص389. / مسند أحمد بن حبل، ج5، ص12.</w:t>
      </w:r>
    </w:p>
  </w:footnote>
  <w:footnote w:id="234">
    <w:p w14:paraId="55D0A513" w14:textId="77777777" w:rsidR="0053786A" w:rsidRDefault="0053786A" w:rsidP="0053786A">
      <w:pPr>
        <w:pStyle w:val="FootnoteText"/>
        <w:bidi/>
        <w:rPr>
          <w:rFonts w:ascii="almohsin" w:hAnsi="almohsin"/>
          <w:lang w:bidi="ar-BH"/>
        </w:rPr>
      </w:pPr>
      <w:r>
        <w:rPr>
          <w:rStyle w:val="FootnoteReference"/>
        </w:rPr>
        <w:footnoteRef/>
      </w:r>
      <w:r>
        <w:t xml:space="preserve"> </w:t>
      </w:r>
      <w:r>
        <w:rPr>
          <w:rFonts w:ascii="mylotus" w:hAnsi="mylotus" w:cs="mylotus"/>
          <w:rtl/>
        </w:rPr>
        <w:t xml:space="preserve">مصباح الفقاهة في المعاملات، تقريراً لأبحاث الأستاذ الأعظم سماحة آية الله العظمى السيد أبو القاسم الموسوي الخوئي (قدس سره)، لمقرره سماحة الحجة العلامة الميرزا محمد علي التوحيدي، تحقيق نشر الفقاهة، ج2، ص37 </w:t>
      </w:r>
      <w:r>
        <w:rPr>
          <w:rFonts w:ascii="Times New Roman" w:hAnsi="Times New Roman" w:cs="Times New Roman"/>
          <w:rtl/>
        </w:rPr>
        <w:t>–</w:t>
      </w:r>
      <w:r>
        <w:rPr>
          <w:rFonts w:ascii="mylotus" w:hAnsi="mylotus" w:cs="mylotus"/>
          <w:rtl/>
        </w:rPr>
        <w:t xml:space="preserve"> 41.</w:t>
      </w:r>
    </w:p>
  </w:footnote>
  <w:footnote w:id="235">
    <w:p w14:paraId="4059B93F" w14:textId="77777777" w:rsidR="0053786A" w:rsidRDefault="0053786A" w:rsidP="0053786A">
      <w:pPr>
        <w:pStyle w:val="FootnoteText"/>
        <w:bidi/>
        <w:rPr>
          <w:rtl/>
          <w:lang w:bidi="ar-BH"/>
        </w:rPr>
      </w:pPr>
      <w:r>
        <w:rPr>
          <w:rStyle w:val="FootnoteReference"/>
        </w:rPr>
        <w:footnoteRef/>
      </w:r>
      <w:r>
        <w:t xml:space="preserve"> </w:t>
      </w:r>
      <w:r>
        <w:rPr>
          <w:rFonts w:ascii="mylotus" w:hAnsi="mylotus" w:cs="mylotus"/>
          <w:rtl/>
        </w:rPr>
        <w:t xml:space="preserve">موسوعة الإمام الخوئي، مؤسسة السيد الخوئي، ج30، المستند في شرح العروة الوثقى، كتاب الإجارة، تأليف آية الله الشهيد الشيخ مرتضى البروجردي (قدس سره)، ص169 </w:t>
      </w:r>
      <w:r>
        <w:rPr>
          <w:rFonts w:ascii="Times New Roman" w:hAnsi="Times New Roman" w:cs="Times New Roman"/>
          <w:rtl/>
        </w:rPr>
        <w:t>–</w:t>
      </w:r>
      <w:r>
        <w:rPr>
          <w:rFonts w:ascii="mylotus" w:hAnsi="mylotus" w:cs="mylotus"/>
          <w:rtl/>
        </w:rPr>
        <w:t xml:space="preserve"> 170.</w:t>
      </w:r>
    </w:p>
  </w:footnote>
  <w:footnote w:id="236">
    <w:p w14:paraId="4D247C94" w14:textId="77777777" w:rsidR="0053786A" w:rsidRDefault="0053786A" w:rsidP="0053786A">
      <w:pPr>
        <w:pStyle w:val="FootnoteText"/>
        <w:bidi/>
        <w:rPr>
          <w:rtl/>
          <w:lang w:bidi="ar-BH"/>
        </w:rPr>
      </w:pPr>
      <w:r>
        <w:rPr>
          <w:rStyle w:val="FootnoteReference"/>
        </w:rPr>
        <w:footnoteRef/>
      </w:r>
      <w:r>
        <w:t xml:space="preserve"> </w:t>
      </w:r>
      <w:r>
        <w:rPr>
          <w:rFonts w:ascii="mylotus" w:hAnsi="mylotus" w:cs="mylotus"/>
          <w:rtl/>
        </w:rPr>
        <w:t xml:space="preserve">موسوعة الإمام الخوئي، مؤسسة السيد الخوئي، ج1، التنقيح في شرح العروة الوثقى، كتاب التقليد، تأليف آية الله الشهيد الشيخ ميرزا </w:t>
      </w:r>
      <w:proofErr w:type="gramStart"/>
      <w:r>
        <w:rPr>
          <w:rFonts w:ascii="mylotus" w:hAnsi="mylotus" w:cs="mylotus"/>
          <w:rtl/>
        </w:rPr>
        <w:t>علي</w:t>
      </w:r>
      <w:proofErr w:type="gramEnd"/>
      <w:r>
        <w:rPr>
          <w:rFonts w:ascii="mylotus" w:hAnsi="mylotus" w:cs="mylotus"/>
          <w:rtl/>
        </w:rPr>
        <w:t xml:space="preserve"> الغروي (قدس سره)، ص73.</w:t>
      </w:r>
    </w:p>
  </w:footnote>
  <w:footnote w:id="237">
    <w:p w14:paraId="0BCC19AD" w14:textId="77777777" w:rsidR="0053786A" w:rsidRDefault="0053786A" w:rsidP="0053786A">
      <w:pPr>
        <w:pStyle w:val="FootnoteText"/>
        <w:bidi/>
        <w:rPr>
          <w:rtl/>
          <w:lang w:bidi="ar-BH"/>
        </w:rPr>
      </w:pPr>
      <w:r>
        <w:rPr>
          <w:rStyle w:val="FootnoteReference"/>
        </w:rPr>
        <w:footnoteRef/>
      </w:r>
      <w:r>
        <w:t xml:space="preserve"> </w:t>
      </w:r>
      <w:r>
        <w:rPr>
          <w:rFonts w:ascii="mylotus" w:hAnsi="mylotus" w:cs="mylotus"/>
          <w:rtl/>
        </w:rPr>
        <w:t xml:space="preserve">مفتاح الكرامة في شرح قواعد العلامة، للفقيه المتتبع السيد محمد جواد الحسيني العاملي (قدس سره)، حققه وعلق عليه الشيخ محمد باقر </w:t>
      </w:r>
      <w:proofErr w:type="spellStart"/>
      <w:r>
        <w:rPr>
          <w:rFonts w:ascii="mylotus" w:hAnsi="mylotus" w:cs="mylotus"/>
          <w:rtl/>
        </w:rPr>
        <w:t>الخالصي</w:t>
      </w:r>
      <w:proofErr w:type="spellEnd"/>
      <w:r>
        <w:rPr>
          <w:rFonts w:ascii="mylotus" w:hAnsi="mylotus" w:cs="mylotus"/>
          <w:rtl/>
        </w:rPr>
        <w:t>، مؤسسة النشر الإسلامي التابعة لجماعة المدرسين بقم المشرفة، كتاب الغصب، ج18، ص84.</w:t>
      </w:r>
    </w:p>
  </w:footnote>
  <w:footnote w:id="238">
    <w:p w14:paraId="3001C882" w14:textId="77777777" w:rsidR="0053786A" w:rsidRDefault="0053786A" w:rsidP="0053786A">
      <w:pPr>
        <w:pStyle w:val="FootnoteText"/>
        <w:bidi/>
        <w:rPr>
          <w:rtl/>
          <w:lang w:bidi="ar-BH"/>
        </w:rPr>
      </w:pPr>
      <w:r>
        <w:rPr>
          <w:rStyle w:val="FootnoteReference"/>
        </w:rPr>
        <w:footnoteRef/>
      </w:r>
      <w:r>
        <w:t xml:space="preserve"> </w:t>
      </w:r>
      <w:r>
        <w:rPr>
          <w:rFonts w:ascii="mylotus" w:hAnsi="mylotus" w:cs="mylotus"/>
          <w:rtl/>
        </w:rPr>
        <w:t xml:space="preserve">مجمع الفائدة والبرهان: الغصب في أسباب الضمان، ج 10، ص513 </w:t>
      </w:r>
      <w:r>
        <w:rPr>
          <w:rFonts w:ascii="Times New Roman" w:hAnsi="Times New Roman" w:cs="Times New Roman"/>
          <w:rtl/>
        </w:rPr>
        <w:t>–</w:t>
      </w:r>
      <w:r>
        <w:rPr>
          <w:rFonts w:ascii="mylotus" w:hAnsi="mylotus" w:cs="mylotus"/>
          <w:rtl/>
        </w:rPr>
        <w:t xml:space="preserve"> 514.</w:t>
      </w:r>
    </w:p>
  </w:footnote>
  <w:footnote w:id="239">
    <w:p w14:paraId="2641F963" w14:textId="77777777" w:rsidR="001964E6" w:rsidRDefault="001964E6" w:rsidP="001964E6">
      <w:pPr>
        <w:pStyle w:val="FootnoteText"/>
        <w:bidi/>
        <w:rPr>
          <w:rFonts w:ascii="almohsin" w:hAnsi="almohsin"/>
          <w:lang w:bidi="ar-BH"/>
        </w:rPr>
      </w:pPr>
      <w:r>
        <w:rPr>
          <w:rStyle w:val="FootnoteReference"/>
        </w:rPr>
        <w:footnoteRef/>
      </w:r>
      <w:r>
        <w:t xml:space="preserve"> </w:t>
      </w:r>
      <w:r>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ص170.</w:t>
      </w:r>
    </w:p>
  </w:footnote>
  <w:footnote w:id="240">
    <w:p w14:paraId="4C091BD0" w14:textId="77777777" w:rsidR="001964E6" w:rsidRDefault="001964E6" w:rsidP="001964E6">
      <w:pPr>
        <w:pStyle w:val="FootnoteText"/>
        <w:bidi/>
        <w:rPr>
          <w:rtl/>
          <w:lang w:bidi="ar-BH"/>
        </w:rPr>
      </w:pPr>
      <w:r>
        <w:rPr>
          <w:rStyle w:val="FootnoteReference"/>
        </w:rPr>
        <w:footnoteRef/>
      </w:r>
      <w:r>
        <w:t xml:space="preserve"> </w:t>
      </w:r>
      <w:r>
        <w:rPr>
          <w:rFonts w:ascii="mylotus" w:hAnsi="mylotus" w:cs="mylotus"/>
          <w:rtl/>
        </w:rPr>
        <w:t>مصباح المنهاج، كتاب الشفعة وكتاب الإجارة، دار الهلال، الطبعة الثانية، ص290.</w:t>
      </w:r>
    </w:p>
  </w:footnote>
  <w:footnote w:id="241">
    <w:p w14:paraId="147CD408" w14:textId="77777777" w:rsidR="001964E6" w:rsidRDefault="001964E6" w:rsidP="001964E6">
      <w:pPr>
        <w:pStyle w:val="FootnoteText"/>
        <w:bidi/>
        <w:rPr>
          <w:rtl/>
          <w:lang w:bidi="ar-BH"/>
        </w:rPr>
      </w:pPr>
      <w:r>
        <w:rPr>
          <w:rStyle w:val="FootnoteReference"/>
        </w:rPr>
        <w:footnoteRef/>
      </w:r>
      <w:r>
        <w:t xml:space="preserve"> </w:t>
      </w:r>
      <w:r>
        <w:rPr>
          <w:rFonts w:ascii="mylotus" w:hAnsi="mylotus" w:cs="mylotus"/>
          <w:rtl/>
        </w:rPr>
        <w:t>مستدرك الوسائل ومستنبط المسائل، تأليف خاتمة المحدثين الحاج ميرزا حسين النوري الطبرسي، تحقيق مؤسسة آل البيت (عليهم السلام) لإحياء التراث، ج13، كتاب التجارة، أبواب الخيار، الباب9 باب أن المبيع إذا تلف قبل القبض، تلف من مال البائع، ح1. / عوالي اللئالي، ابن أبي جمهور الأحسائي، ج3، باب التجارة، ص212، ح59</w:t>
      </w:r>
      <w:r>
        <w:rPr>
          <w:rFonts w:ascii="mylotus" w:hAnsi="mylotus" w:hint="cs"/>
          <w:rtl/>
        </w:rPr>
        <w:t>.</w:t>
      </w:r>
    </w:p>
  </w:footnote>
  <w:footnote w:id="242">
    <w:p w14:paraId="13DEE5BD" w14:textId="77777777" w:rsidR="001964E6" w:rsidRDefault="001964E6" w:rsidP="001964E6">
      <w:pPr>
        <w:pStyle w:val="FootnoteText"/>
        <w:bidi/>
        <w:rPr>
          <w:rtl/>
          <w:lang w:bidi="ar-BH"/>
        </w:rPr>
      </w:pPr>
      <w:r>
        <w:rPr>
          <w:rStyle w:val="FootnoteReference"/>
        </w:rPr>
        <w:footnoteRef/>
      </w:r>
      <w:r>
        <w:t xml:space="preserve"> </w:t>
      </w:r>
      <w:r>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ص172.</w:t>
      </w:r>
    </w:p>
  </w:footnote>
  <w:footnote w:id="243">
    <w:p w14:paraId="69204B4A" w14:textId="77777777" w:rsidR="001964E6" w:rsidRDefault="001964E6" w:rsidP="001964E6">
      <w:pPr>
        <w:pStyle w:val="FootnoteText"/>
        <w:bidi/>
        <w:rPr>
          <w:rtl/>
          <w:lang w:bidi="ar-BH"/>
        </w:rPr>
      </w:pPr>
      <w:r>
        <w:rPr>
          <w:rStyle w:val="FootnoteReference"/>
        </w:rPr>
        <w:footnoteRef/>
      </w:r>
      <w:r>
        <w:t xml:space="preserve"> </w:t>
      </w:r>
      <w:r>
        <w:rPr>
          <w:rFonts w:ascii="mylotus" w:hAnsi="mylotus" w:cs="mylotus"/>
          <w:rtl/>
        </w:rPr>
        <w:t xml:space="preserve">موسوعة الإمام الخوئي، مؤسسة السيد الخوئي، ج30، المستند في شرح العروة الوثقى، كتاب الإجارة، تأليف آية الله الشهيد الشيخ مرتضى البروجردي (قدس سره)، ص172 </w:t>
      </w:r>
      <w:r>
        <w:rPr>
          <w:rFonts w:ascii="Times New Roman" w:hAnsi="Times New Roman" w:cs="Times New Roman"/>
          <w:rtl/>
        </w:rPr>
        <w:t>–</w:t>
      </w:r>
      <w:r>
        <w:rPr>
          <w:rFonts w:ascii="mylotus" w:hAnsi="mylotus" w:cs="mylotus"/>
          <w:rtl/>
        </w:rPr>
        <w:t xml:space="preserve"> 173.</w:t>
      </w:r>
    </w:p>
  </w:footnote>
  <w:footnote w:id="244">
    <w:p w14:paraId="4F0C526A" w14:textId="77777777" w:rsidR="00DF6B84" w:rsidRDefault="00DF6B84" w:rsidP="00DF6B84">
      <w:pPr>
        <w:pStyle w:val="FootnoteText"/>
        <w:bidi/>
        <w:rPr>
          <w:rFonts w:ascii="almohsin" w:hAnsi="almohsin"/>
          <w:lang w:bidi="ar-BH"/>
        </w:rPr>
      </w:pPr>
      <w:r>
        <w:rPr>
          <w:rStyle w:val="FootnoteReference"/>
        </w:rPr>
        <w:footnoteRef/>
      </w:r>
      <w:r>
        <w:t xml:space="preserve"> </w:t>
      </w:r>
      <w:r>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ص173.</w:t>
      </w:r>
    </w:p>
  </w:footnote>
  <w:footnote w:id="245">
    <w:p w14:paraId="1FC72CE7" w14:textId="77777777" w:rsidR="00EE6605" w:rsidRDefault="00EE6605" w:rsidP="00EE6605">
      <w:pPr>
        <w:pStyle w:val="FootnoteText"/>
        <w:bidi/>
        <w:rPr>
          <w:rtl/>
          <w:lang w:bidi="ar-BH"/>
        </w:rPr>
      </w:pPr>
      <w:r>
        <w:rPr>
          <w:rStyle w:val="FootnoteReference"/>
        </w:rPr>
        <w:footnoteRef/>
      </w:r>
      <w:r>
        <w:t xml:space="preserve"> </w:t>
      </w:r>
      <w:r w:rsidRPr="00DF3B5A">
        <w:rPr>
          <w:rFonts w:ascii="mylotus" w:hAnsi="mylotus" w:cs="mylotus"/>
          <w:rtl/>
        </w:rPr>
        <w:t xml:space="preserve">مصباح المنهاج، كتاب الشفعة وكتاب الإجارة، تأليف السيد محمد سعيد الطباطبائي الحكيم، دار الهلال، الطبعة الثانية، ص269 </w:t>
      </w:r>
      <w:r w:rsidRPr="00DF3B5A">
        <w:rPr>
          <w:rFonts w:ascii="Times New Roman" w:hAnsi="Times New Roman" w:cs="Times New Roman" w:hint="cs"/>
          <w:rtl/>
        </w:rPr>
        <w:t>–</w:t>
      </w:r>
      <w:r w:rsidRPr="00DF3B5A">
        <w:rPr>
          <w:rFonts w:ascii="mylotus" w:hAnsi="mylotus" w:cs="mylotus"/>
          <w:rtl/>
        </w:rPr>
        <w:t xml:space="preserve"> 270.</w:t>
      </w:r>
    </w:p>
  </w:footnote>
  <w:footnote w:id="246">
    <w:p w14:paraId="37124ED1" w14:textId="77777777" w:rsidR="00EE6605" w:rsidRDefault="00EE6605" w:rsidP="00EE6605">
      <w:pPr>
        <w:pStyle w:val="FootnoteText"/>
        <w:bidi/>
        <w:rPr>
          <w:rtl/>
          <w:lang w:bidi="ar-BH"/>
        </w:rPr>
      </w:pPr>
      <w:r>
        <w:rPr>
          <w:rStyle w:val="FootnoteReference"/>
        </w:rPr>
        <w:footnoteRef/>
      </w:r>
      <w:r>
        <w:t xml:space="preserve"> </w:t>
      </w:r>
      <w:r w:rsidRPr="00DF3B5A">
        <w:rPr>
          <w:rFonts w:ascii="mylotus" w:hAnsi="mylotus" w:cs="mylotus"/>
          <w:rtl/>
        </w:rPr>
        <w:t xml:space="preserve">موسوعة الإمام الخوئي، مؤسسة السيد الخوئي، ج30، المستند في شرح العروة الوثقى، كتاب الإجارة، تأليف آية الله الشهيد الشيخ مرتضى البروجردي (قدس سره)، ص173 </w:t>
      </w:r>
      <w:r w:rsidRPr="00DF3B5A">
        <w:rPr>
          <w:rFonts w:ascii="Times New Roman" w:hAnsi="Times New Roman" w:cs="Times New Roman" w:hint="cs"/>
          <w:rtl/>
        </w:rPr>
        <w:t>–</w:t>
      </w:r>
      <w:r w:rsidRPr="00DF3B5A">
        <w:rPr>
          <w:rFonts w:ascii="mylotus" w:hAnsi="mylotus" w:cs="mylotus"/>
          <w:rtl/>
        </w:rPr>
        <w:t xml:space="preserve"> 174.</w:t>
      </w:r>
    </w:p>
  </w:footnote>
  <w:footnote w:id="247">
    <w:p w14:paraId="54668AE8" w14:textId="77777777" w:rsidR="00EE6605" w:rsidRDefault="00EE6605" w:rsidP="00EE6605">
      <w:pPr>
        <w:pStyle w:val="FootnoteText"/>
        <w:bidi/>
        <w:rPr>
          <w:rtl/>
          <w:lang w:bidi="ar-BH"/>
        </w:rPr>
      </w:pPr>
      <w:r>
        <w:rPr>
          <w:rStyle w:val="FootnoteReference"/>
        </w:rPr>
        <w:footnoteRef/>
      </w:r>
      <w:r>
        <w:t xml:space="preserve"> </w:t>
      </w:r>
      <w:r w:rsidRPr="00DF3B5A">
        <w:rPr>
          <w:rFonts w:ascii="mylotus" w:hAnsi="mylotus" w:cs="mylotus"/>
          <w:rtl/>
        </w:rPr>
        <w:t xml:space="preserve">مصباح المنهاج، كتاب الشفعة وكتاب الإجارة، تأليف السيد محمد سعيد الطباطبائي الحكيم، دار الهلال، الطبعة الثانية، ص269 </w:t>
      </w:r>
      <w:r w:rsidRPr="00DF3B5A">
        <w:rPr>
          <w:rFonts w:ascii="Times New Roman" w:hAnsi="Times New Roman" w:cs="Times New Roman" w:hint="cs"/>
          <w:rtl/>
        </w:rPr>
        <w:t>–</w:t>
      </w:r>
      <w:r w:rsidRPr="00DF3B5A">
        <w:rPr>
          <w:rFonts w:ascii="mylotus" w:hAnsi="mylotus" w:cs="mylotus"/>
          <w:rtl/>
        </w:rPr>
        <w:t xml:space="preserve"> 270.</w:t>
      </w:r>
    </w:p>
  </w:footnote>
  <w:footnote w:id="248">
    <w:p w14:paraId="7CEBBE18" w14:textId="77777777" w:rsidR="00EE6605" w:rsidRDefault="00EE6605" w:rsidP="00EE6605">
      <w:pPr>
        <w:pStyle w:val="FootnoteText"/>
        <w:bidi/>
        <w:rPr>
          <w:rtl/>
          <w:lang w:bidi="ar-BH"/>
        </w:rPr>
      </w:pPr>
      <w:r>
        <w:rPr>
          <w:rStyle w:val="FootnoteReference"/>
        </w:rPr>
        <w:footnoteRef/>
      </w:r>
      <w:r>
        <w:t xml:space="preserve"> </w:t>
      </w:r>
      <w:r>
        <w:rPr>
          <w:rFonts w:ascii="mylotus" w:hAnsi="mylotus" w:cs="mylotus" w:hint="cs"/>
          <w:rtl/>
        </w:rPr>
        <w:t>المصدر السابق</w:t>
      </w:r>
      <w:r w:rsidRPr="0053740D">
        <w:rPr>
          <w:rFonts w:ascii="mylotus" w:hAnsi="mylotus" w:cs="mylotus"/>
          <w:rtl/>
        </w:rPr>
        <w:t>، ص272.</w:t>
      </w:r>
    </w:p>
  </w:footnote>
  <w:footnote w:id="249">
    <w:p w14:paraId="1E41ACC6" w14:textId="77777777" w:rsidR="009B3D7B" w:rsidRDefault="009B3D7B" w:rsidP="009B3D7B">
      <w:pPr>
        <w:pStyle w:val="FootnoteText"/>
        <w:bidi/>
        <w:rPr>
          <w:rFonts w:ascii="almohsin" w:hAnsi="almohsin"/>
          <w:lang w:bidi="ar-BH"/>
        </w:rPr>
      </w:pPr>
      <w:r>
        <w:rPr>
          <w:rStyle w:val="FootnoteReference"/>
        </w:rPr>
        <w:footnoteRef/>
      </w:r>
      <w:r>
        <w:t xml:space="preserve"> </w:t>
      </w:r>
      <w:r>
        <w:rPr>
          <w:rFonts w:ascii="mylotus" w:hAnsi="mylotus" w:cs="mylotus"/>
          <w:rtl/>
        </w:rPr>
        <w:t xml:space="preserve">مصباح المنهاج، كتاب الشفعة وكتاب الإجارة، تأليف السيد محمد سعيد الطباطبائي الحكيم، دار الهلال، الطبعة الثانية، ص270 </w:t>
      </w:r>
      <w:r>
        <w:rPr>
          <w:rFonts w:ascii="Times New Roman" w:hAnsi="Times New Roman" w:cs="Times New Roman"/>
          <w:rtl/>
        </w:rPr>
        <w:t>–</w:t>
      </w:r>
      <w:r>
        <w:rPr>
          <w:rFonts w:ascii="mylotus" w:hAnsi="mylotus" w:cs="mylotus"/>
          <w:rtl/>
        </w:rPr>
        <w:t xml:space="preserve"> 271.</w:t>
      </w:r>
    </w:p>
  </w:footnote>
  <w:footnote w:id="250">
    <w:p w14:paraId="588DDC87" w14:textId="77777777" w:rsidR="009B3D7B" w:rsidRDefault="009B3D7B" w:rsidP="009B3D7B">
      <w:pPr>
        <w:pStyle w:val="FootnoteText"/>
        <w:bidi/>
        <w:rPr>
          <w:rtl/>
          <w:lang w:bidi="ar-BH"/>
        </w:rPr>
      </w:pPr>
      <w:r>
        <w:rPr>
          <w:rStyle w:val="FootnoteReference"/>
        </w:rPr>
        <w:footnoteRef/>
      </w:r>
      <w:r>
        <w:t xml:space="preserve"> </w:t>
      </w:r>
      <w:r>
        <w:rPr>
          <w:rFonts w:ascii="mylotus" w:hAnsi="mylotus" w:cs="mylotus"/>
          <w:rtl/>
        </w:rPr>
        <w:t>المصدر السابق، ص271.</w:t>
      </w:r>
    </w:p>
  </w:footnote>
  <w:footnote w:id="251">
    <w:p w14:paraId="55521483" w14:textId="77777777" w:rsidR="009B3D7B" w:rsidRDefault="009B3D7B" w:rsidP="009B3D7B">
      <w:pPr>
        <w:pStyle w:val="FootnoteText"/>
        <w:bidi/>
        <w:rPr>
          <w:rtl/>
          <w:lang w:bidi="ar-BH"/>
        </w:rPr>
      </w:pPr>
      <w:r>
        <w:rPr>
          <w:rStyle w:val="FootnoteReference"/>
        </w:rPr>
        <w:footnoteRef/>
      </w:r>
      <w:r>
        <w:t xml:space="preserve"> </w:t>
      </w:r>
      <w:r>
        <w:rPr>
          <w:rFonts w:ascii="mylotus" w:hAnsi="mylotus" w:cs="mylotus"/>
          <w:rtl/>
        </w:rPr>
        <w:t>مستدرك الوسائل ومستنبط المسائل، تأليف خاتمة المحدثين الحاج ميرزا حسين النوري الطبرسي، تحقيق مؤسسة آل البيت (عليهم السلام) لإحياء التراث، ج13، كتاب التجارة، أبواب الخيار، الباب9 باب أن المبيع إذا تلف قبل القبض، تلف من مال البائع، ح1. / عوالي اللئالي، ابن أبي جمهور الأحسائي، ج3، باب التجارة، ص212، ح59</w:t>
      </w:r>
      <w:r>
        <w:rPr>
          <w:rFonts w:ascii="mylotus" w:hAnsi="mylotus" w:hint="cs"/>
          <w:rtl/>
        </w:rPr>
        <w:t>.</w:t>
      </w:r>
    </w:p>
  </w:footnote>
  <w:footnote w:id="252">
    <w:p w14:paraId="48E9CDE4" w14:textId="77777777" w:rsidR="009B3D7B" w:rsidRDefault="009B3D7B" w:rsidP="009B3D7B">
      <w:pPr>
        <w:pStyle w:val="FootnoteText"/>
        <w:bidi/>
        <w:rPr>
          <w:rtl/>
          <w:lang w:bidi="ar-BH"/>
        </w:rPr>
      </w:pPr>
      <w:r>
        <w:rPr>
          <w:rStyle w:val="FootnoteReference"/>
        </w:rPr>
        <w:footnoteRef/>
      </w:r>
      <w:r>
        <w:t xml:space="preserve"> </w:t>
      </w:r>
      <w:r>
        <w:rPr>
          <w:rFonts w:ascii="mylotus" w:hAnsi="mylotus" w:cs="mylotus"/>
          <w:rtl/>
        </w:rPr>
        <w:t>جواهر الكلام في شرح شرائع الإسلام، تأليف شيخ الفقهاء وإمام المحققين الشيخ محمد حسن النجفي، دار الكتب الإسلامية، ج27، ص277.</w:t>
      </w:r>
    </w:p>
  </w:footnote>
  <w:footnote w:id="253">
    <w:p w14:paraId="4C8C77AC" w14:textId="77777777" w:rsidR="009B3D7B" w:rsidRDefault="009B3D7B" w:rsidP="009B3D7B">
      <w:pPr>
        <w:pStyle w:val="FootnoteText"/>
        <w:bidi/>
        <w:rPr>
          <w:rtl/>
          <w:lang w:bidi="ar-BH"/>
        </w:rPr>
      </w:pPr>
      <w:r>
        <w:rPr>
          <w:rStyle w:val="FootnoteReference"/>
        </w:rPr>
        <w:footnoteRef/>
      </w:r>
      <w:r>
        <w:t xml:space="preserve"> </w:t>
      </w:r>
      <w:r>
        <w:rPr>
          <w:rFonts w:ascii="mylotus" w:hAnsi="mylotus" w:cs="mylotus"/>
          <w:rtl/>
        </w:rPr>
        <w:t>مفتاح الكرامة في شرح قواعد العلامة، السيد محمد جواد العاملي، دار إحياء التراث العربي، ج7، ص91.</w:t>
      </w:r>
    </w:p>
  </w:footnote>
  <w:footnote w:id="254">
    <w:p w14:paraId="43D7E524" w14:textId="77777777" w:rsidR="009B3D7B" w:rsidRDefault="009B3D7B" w:rsidP="009B3D7B">
      <w:pPr>
        <w:pStyle w:val="FootnoteText"/>
        <w:bidi/>
        <w:rPr>
          <w:rtl/>
          <w:lang w:bidi="ar-BH"/>
        </w:rPr>
      </w:pPr>
      <w:r>
        <w:rPr>
          <w:rStyle w:val="FootnoteReference"/>
        </w:rPr>
        <w:footnoteRef/>
      </w:r>
      <w:r>
        <w:t xml:space="preserve"> </w:t>
      </w:r>
      <w:r>
        <w:rPr>
          <w:rFonts w:ascii="mylotus" w:hAnsi="mylotus" w:cs="mylotus"/>
          <w:rtl/>
        </w:rPr>
        <w:t>كتاب الإجارة، مؤسسة دائرة معارف الفقه الإسلامي طبقاً لمذهب أهل البيت (عليهم السلام)، ج1، ص191.</w:t>
      </w:r>
    </w:p>
  </w:footnote>
  <w:footnote w:id="255">
    <w:p w14:paraId="2B9CD4C2" w14:textId="77777777" w:rsidR="00B0575B" w:rsidRDefault="00B0575B" w:rsidP="00B0575B">
      <w:pPr>
        <w:pStyle w:val="FootnoteText"/>
        <w:bidi/>
        <w:rPr>
          <w:rtl/>
          <w:lang w:bidi="ar-BH"/>
        </w:rPr>
      </w:pPr>
      <w:r>
        <w:rPr>
          <w:rStyle w:val="FootnoteReference"/>
        </w:rPr>
        <w:footnoteRef/>
      </w:r>
      <w:r>
        <w:t xml:space="preserve"> </w:t>
      </w:r>
      <w:r w:rsidRPr="00024EE1">
        <w:rPr>
          <w:rFonts w:ascii="mylotus" w:hAnsi="mylotus" w:cs="mylotus"/>
          <w:rtl/>
        </w:rPr>
        <w:t>المبسوط في فقه الإمامية، شيخ الطائفة الطوسي، المكتبة المرتضوية، ج3، ص223.</w:t>
      </w:r>
    </w:p>
  </w:footnote>
  <w:footnote w:id="256">
    <w:p w14:paraId="3A9AE228" w14:textId="77777777" w:rsidR="00B0575B" w:rsidRDefault="00B0575B" w:rsidP="00B0575B">
      <w:pPr>
        <w:pStyle w:val="FootnoteText"/>
        <w:bidi/>
        <w:rPr>
          <w:rtl/>
          <w:lang w:bidi="ar-BH"/>
        </w:rPr>
      </w:pPr>
      <w:r>
        <w:rPr>
          <w:rStyle w:val="FootnoteReference"/>
        </w:rPr>
        <w:footnoteRef/>
      </w:r>
      <w:r>
        <w:t xml:space="preserve"> </w:t>
      </w:r>
      <w:r w:rsidRPr="00024EE1">
        <w:rPr>
          <w:rFonts w:ascii="mylotus" w:hAnsi="mylotus" w:cs="mylotus"/>
          <w:rtl/>
        </w:rPr>
        <w:t xml:space="preserve">المبسوط في فقه الإمامية، شيخ الطائفة الطوسي، المكتبة المرتضوية، ج3، ص223 </w:t>
      </w:r>
      <w:r w:rsidRPr="00024EE1">
        <w:rPr>
          <w:rFonts w:ascii="Times New Roman" w:hAnsi="Times New Roman" w:cs="Times New Roman" w:hint="cs"/>
          <w:rtl/>
        </w:rPr>
        <w:t>–</w:t>
      </w:r>
      <w:r w:rsidRPr="00024EE1">
        <w:rPr>
          <w:rFonts w:ascii="mylotus" w:hAnsi="mylotus" w:cs="mylotus"/>
          <w:rtl/>
        </w:rPr>
        <w:t xml:space="preserve"> 224.</w:t>
      </w:r>
    </w:p>
  </w:footnote>
  <w:footnote w:id="257">
    <w:p w14:paraId="62E2DD8A" w14:textId="77777777" w:rsidR="00B0575B" w:rsidRDefault="00B0575B" w:rsidP="00B0575B">
      <w:pPr>
        <w:pStyle w:val="FootnoteText"/>
        <w:bidi/>
        <w:rPr>
          <w:rtl/>
          <w:lang w:bidi="ar-BH"/>
        </w:rPr>
      </w:pPr>
      <w:r>
        <w:rPr>
          <w:rStyle w:val="FootnoteReference"/>
        </w:rPr>
        <w:footnoteRef/>
      </w:r>
      <w:r>
        <w:t xml:space="preserve"> </w:t>
      </w:r>
      <w:r w:rsidRPr="00024EE1">
        <w:rPr>
          <w:rFonts w:ascii="mylotus" w:hAnsi="mylotus" w:cs="mylotus"/>
          <w:rtl/>
        </w:rPr>
        <w:t>منهاج الصالحين، للمرحوم آية الله العظمى المغفور له السيد محسن الطباطبائي الحكيم (قدس سره)، دار التعارف للمطبوعات، كتاب الإجارة، الشرط السادس: إمكان حصول المنفعة، ج2، ص118.</w:t>
      </w:r>
    </w:p>
  </w:footnote>
  <w:footnote w:id="258">
    <w:p w14:paraId="3459DC23" w14:textId="77777777" w:rsidR="00B0575B" w:rsidRDefault="00B0575B" w:rsidP="00B0575B">
      <w:pPr>
        <w:pStyle w:val="FootnoteText"/>
        <w:bidi/>
        <w:rPr>
          <w:rtl/>
          <w:lang w:bidi="ar-BH"/>
        </w:rPr>
      </w:pPr>
      <w:r>
        <w:rPr>
          <w:rStyle w:val="FootnoteReference"/>
        </w:rPr>
        <w:footnoteRef/>
      </w:r>
      <w:r>
        <w:t xml:space="preserve"> </w:t>
      </w:r>
      <w:r w:rsidRPr="007507CB">
        <w:rPr>
          <w:rFonts w:ascii="mylotus" w:hAnsi="mylotus" w:cs="mylotus" w:hint="cs"/>
          <w:rtl/>
        </w:rPr>
        <w:t>منهاج</w:t>
      </w:r>
      <w:r w:rsidRPr="007507CB">
        <w:rPr>
          <w:rFonts w:ascii="mylotus" w:hAnsi="mylotus" w:cs="mylotus"/>
          <w:rtl/>
        </w:rPr>
        <w:t xml:space="preserve"> </w:t>
      </w:r>
      <w:r w:rsidRPr="007507CB">
        <w:rPr>
          <w:rFonts w:ascii="mylotus" w:hAnsi="mylotus" w:cs="mylotus" w:hint="cs"/>
          <w:rtl/>
        </w:rPr>
        <w:t>الصالحين،</w:t>
      </w:r>
      <w:r w:rsidRPr="007507CB">
        <w:rPr>
          <w:rFonts w:ascii="mylotus" w:hAnsi="mylotus" w:cs="mylotus"/>
          <w:rtl/>
        </w:rPr>
        <w:t xml:space="preserve"> </w:t>
      </w:r>
      <w:r w:rsidRPr="007507CB">
        <w:rPr>
          <w:rFonts w:ascii="mylotus" w:hAnsi="mylotus" w:cs="mylotus" w:hint="cs"/>
          <w:rtl/>
        </w:rPr>
        <w:t>فتاوى</w:t>
      </w:r>
      <w:r w:rsidRPr="007507CB">
        <w:rPr>
          <w:rFonts w:ascii="mylotus" w:hAnsi="mylotus" w:cs="mylotus"/>
          <w:rtl/>
        </w:rPr>
        <w:t xml:space="preserve"> </w:t>
      </w:r>
      <w:r w:rsidRPr="007507CB">
        <w:rPr>
          <w:rFonts w:ascii="mylotus" w:hAnsi="mylotus" w:cs="mylotus" w:hint="cs"/>
          <w:rtl/>
        </w:rPr>
        <w:t>المرجع</w:t>
      </w:r>
      <w:r w:rsidRPr="007507CB">
        <w:rPr>
          <w:rFonts w:ascii="mylotus" w:hAnsi="mylotus" w:cs="mylotus"/>
          <w:rtl/>
        </w:rPr>
        <w:t xml:space="preserve"> </w:t>
      </w:r>
      <w:r w:rsidRPr="007507CB">
        <w:rPr>
          <w:rFonts w:ascii="mylotus" w:hAnsi="mylotus" w:cs="mylotus" w:hint="cs"/>
          <w:rtl/>
        </w:rPr>
        <w:t>الديني</w:t>
      </w:r>
      <w:r w:rsidRPr="007507CB">
        <w:rPr>
          <w:rFonts w:ascii="mylotus" w:hAnsi="mylotus" w:cs="mylotus"/>
          <w:rtl/>
        </w:rPr>
        <w:t xml:space="preserve"> </w:t>
      </w:r>
      <w:r w:rsidRPr="007507CB">
        <w:rPr>
          <w:rFonts w:ascii="mylotus" w:hAnsi="mylotus" w:cs="mylotus" w:hint="cs"/>
          <w:rtl/>
        </w:rPr>
        <w:t>الأعلى</w:t>
      </w:r>
      <w:r w:rsidRPr="007507CB">
        <w:rPr>
          <w:rFonts w:ascii="mylotus" w:hAnsi="mylotus" w:cs="mylotus"/>
          <w:rtl/>
        </w:rPr>
        <w:t xml:space="preserve"> </w:t>
      </w:r>
      <w:r w:rsidRPr="007507CB">
        <w:rPr>
          <w:rFonts w:ascii="mylotus" w:hAnsi="mylotus" w:cs="mylotus" w:hint="cs"/>
          <w:rtl/>
        </w:rPr>
        <w:t>السيد</w:t>
      </w:r>
      <w:r w:rsidRPr="007507CB">
        <w:rPr>
          <w:rFonts w:ascii="mylotus" w:hAnsi="mylotus" w:cs="mylotus"/>
          <w:rtl/>
        </w:rPr>
        <w:t xml:space="preserve"> </w:t>
      </w:r>
      <w:r w:rsidRPr="007507CB">
        <w:rPr>
          <w:rFonts w:ascii="mylotus" w:hAnsi="mylotus" w:cs="mylotus" w:hint="cs"/>
          <w:rtl/>
        </w:rPr>
        <w:t>علي</w:t>
      </w:r>
      <w:r w:rsidRPr="007507CB">
        <w:rPr>
          <w:rFonts w:ascii="mylotus" w:hAnsi="mylotus" w:cs="mylotus"/>
          <w:rtl/>
        </w:rPr>
        <w:t xml:space="preserve"> </w:t>
      </w:r>
      <w:r w:rsidRPr="007507CB">
        <w:rPr>
          <w:rFonts w:ascii="mylotus" w:hAnsi="mylotus" w:cs="mylotus" w:hint="cs"/>
          <w:rtl/>
        </w:rPr>
        <w:t>الحسيني</w:t>
      </w:r>
      <w:r w:rsidRPr="007507CB">
        <w:rPr>
          <w:rFonts w:ascii="mylotus" w:hAnsi="mylotus" w:cs="mylotus"/>
          <w:rtl/>
        </w:rPr>
        <w:t xml:space="preserve"> </w:t>
      </w:r>
      <w:r w:rsidRPr="007507CB">
        <w:rPr>
          <w:rFonts w:ascii="mylotus" w:hAnsi="mylotus" w:cs="mylotus" w:hint="cs"/>
          <w:rtl/>
        </w:rPr>
        <w:t>السيستاني</w:t>
      </w:r>
      <w:r w:rsidRPr="007507CB">
        <w:rPr>
          <w:rFonts w:ascii="mylotus" w:hAnsi="mylotus" w:cs="mylotus"/>
          <w:rtl/>
        </w:rPr>
        <w:t xml:space="preserve"> (</w:t>
      </w:r>
      <w:r w:rsidRPr="007507CB">
        <w:rPr>
          <w:rFonts w:ascii="mylotus" w:hAnsi="mylotus" w:cs="mylotus" w:hint="cs"/>
          <w:rtl/>
        </w:rPr>
        <w:t>دام</w:t>
      </w:r>
      <w:r w:rsidRPr="007507CB">
        <w:rPr>
          <w:rFonts w:ascii="mylotus" w:hAnsi="mylotus" w:cs="mylotus"/>
          <w:rtl/>
        </w:rPr>
        <w:t xml:space="preserve"> </w:t>
      </w:r>
      <w:r w:rsidRPr="007507CB">
        <w:rPr>
          <w:rFonts w:ascii="mylotus" w:hAnsi="mylotus" w:cs="mylotus" w:hint="cs"/>
          <w:rtl/>
        </w:rPr>
        <w:t>ظله</w:t>
      </w:r>
      <w:r w:rsidRPr="007507CB">
        <w:rPr>
          <w:rFonts w:ascii="mylotus" w:hAnsi="mylotus" w:cs="mylotus"/>
          <w:rtl/>
        </w:rPr>
        <w:t>)</w:t>
      </w:r>
      <w:r w:rsidRPr="007507CB">
        <w:rPr>
          <w:rFonts w:ascii="mylotus" w:hAnsi="mylotus" w:cs="mylotus" w:hint="cs"/>
          <w:rtl/>
        </w:rPr>
        <w:t>،</w:t>
      </w:r>
      <w:r w:rsidRPr="007507CB">
        <w:rPr>
          <w:rFonts w:ascii="mylotus" w:hAnsi="mylotus" w:cs="mylotus"/>
          <w:rtl/>
        </w:rPr>
        <w:t xml:space="preserve"> </w:t>
      </w:r>
      <w:r w:rsidRPr="007507CB">
        <w:rPr>
          <w:rFonts w:ascii="mylotus" w:hAnsi="mylotus" w:cs="mylotus" w:hint="cs"/>
          <w:rtl/>
        </w:rPr>
        <w:t>طبعة</w:t>
      </w:r>
      <w:r w:rsidRPr="007507CB">
        <w:rPr>
          <w:rFonts w:ascii="mylotus" w:hAnsi="mylotus" w:cs="mylotus"/>
          <w:rtl/>
        </w:rPr>
        <w:t xml:space="preserve"> </w:t>
      </w:r>
      <w:r w:rsidRPr="007507CB">
        <w:rPr>
          <w:rFonts w:ascii="mylotus" w:hAnsi="mylotus" w:cs="mylotus" w:hint="cs"/>
          <w:rtl/>
        </w:rPr>
        <w:t>مصححة</w:t>
      </w:r>
      <w:r w:rsidRPr="007507CB">
        <w:rPr>
          <w:rFonts w:ascii="mylotus" w:hAnsi="mylotus" w:cs="mylotus"/>
          <w:rtl/>
        </w:rPr>
        <w:t xml:space="preserve"> 1445 </w:t>
      </w:r>
      <w:r w:rsidRPr="007507CB">
        <w:rPr>
          <w:rFonts w:ascii="mylotus" w:hAnsi="mylotus" w:cs="mylotus" w:hint="cs"/>
          <w:rtl/>
        </w:rPr>
        <w:t>هـ</w:t>
      </w:r>
      <w:r w:rsidRPr="007507CB">
        <w:rPr>
          <w:rFonts w:ascii="mylotus" w:hAnsi="mylotus" w:cs="mylotus"/>
          <w:rtl/>
        </w:rPr>
        <w:t xml:space="preserve"> - 2023</w:t>
      </w:r>
      <w:r w:rsidRPr="007507CB">
        <w:rPr>
          <w:rFonts w:ascii="mylotus" w:hAnsi="mylotus" w:cs="mylotus" w:hint="cs"/>
          <w:rtl/>
        </w:rPr>
        <w:t>م،</w:t>
      </w:r>
      <w:r w:rsidRPr="007507CB">
        <w:rPr>
          <w:rFonts w:ascii="mylotus" w:hAnsi="mylotus" w:cs="mylotus"/>
          <w:rtl/>
        </w:rPr>
        <w:t xml:space="preserve"> </w:t>
      </w:r>
      <w:r w:rsidRPr="007507CB">
        <w:rPr>
          <w:rFonts w:ascii="mylotus" w:hAnsi="mylotus" w:cs="mylotus" w:hint="cs"/>
          <w:rtl/>
        </w:rPr>
        <w:t>ج</w:t>
      </w:r>
      <w:r w:rsidRPr="007507CB">
        <w:rPr>
          <w:rFonts w:ascii="mylotus" w:hAnsi="mylotus" w:cs="mylotus"/>
          <w:rtl/>
        </w:rPr>
        <w:t>2</w:t>
      </w:r>
      <w:r w:rsidRPr="007507CB">
        <w:rPr>
          <w:rFonts w:ascii="mylotus" w:hAnsi="mylotus" w:cs="mylotus" w:hint="cs"/>
          <w:rtl/>
        </w:rPr>
        <w:t>،</w:t>
      </w:r>
      <w:r w:rsidRPr="007507CB">
        <w:rPr>
          <w:rFonts w:ascii="mylotus" w:hAnsi="mylotus" w:cs="mylotus"/>
          <w:rtl/>
        </w:rPr>
        <w:t xml:space="preserve"> </w:t>
      </w:r>
      <w:r w:rsidRPr="007507CB">
        <w:rPr>
          <w:rFonts w:ascii="mylotus" w:hAnsi="mylotus" w:cs="mylotus" w:hint="cs"/>
          <w:rtl/>
        </w:rPr>
        <w:t>كتاب</w:t>
      </w:r>
      <w:r w:rsidRPr="007507CB">
        <w:rPr>
          <w:rFonts w:ascii="mylotus" w:hAnsi="mylotus" w:cs="mylotus"/>
          <w:rtl/>
        </w:rPr>
        <w:t xml:space="preserve"> </w:t>
      </w:r>
      <w:r w:rsidRPr="007507CB">
        <w:rPr>
          <w:rFonts w:ascii="mylotus" w:hAnsi="mylotus" w:cs="mylotus" w:hint="cs"/>
          <w:rtl/>
        </w:rPr>
        <w:t>الإجارة،</w:t>
      </w:r>
      <w:r w:rsidRPr="007507CB">
        <w:rPr>
          <w:rFonts w:ascii="mylotus" w:hAnsi="mylotus" w:cs="mylotus"/>
          <w:rtl/>
        </w:rPr>
        <w:t xml:space="preserve"> </w:t>
      </w:r>
      <w:r w:rsidRPr="007507CB">
        <w:rPr>
          <w:rFonts w:ascii="mylotus" w:hAnsi="mylotus" w:cs="mylotus" w:hint="cs"/>
          <w:rtl/>
        </w:rPr>
        <w:t>أحكام</w:t>
      </w:r>
      <w:r w:rsidRPr="007507CB">
        <w:rPr>
          <w:rFonts w:ascii="mylotus" w:hAnsi="mylotus" w:cs="mylotus"/>
          <w:rtl/>
        </w:rPr>
        <w:t xml:space="preserve"> </w:t>
      </w:r>
      <w:r w:rsidRPr="007507CB">
        <w:rPr>
          <w:rFonts w:ascii="mylotus" w:hAnsi="mylotus" w:cs="mylotus" w:hint="cs"/>
          <w:rtl/>
        </w:rPr>
        <w:t>التسل</w:t>
      </w:r>
      <w:r w:rsidRPr="007507CB">
        <w:rPr>
          <w:rFonts w:ascii="mylotus" w:hAnsi="mylotus" w:cs="mylotus"/>
          <w:rtl/>
        </w:rPr>
        <w:t>يم في الإجارة، ص129.</w:t>
      </w:r>
    </w:p>
  </w:footnote>
  <w:footnote w:id="259">
    <w:p w14:paraId="765EFEDB" w14:textId="77777777" w:rsidR="00B0575B" w:rsidRDefault="00B0575B" w:rsidP="00B0575B">
      <w:pPr>
        <w:pStyle w:val="FootnoteText"/>
        <w:bidi/>
        <w:rPr>
          <w:rtl/>
          <w:lang w:bidi="ar-BH"/>
        </w:rPr>
      </w:pPr>
      <w:r>
        <w:rPr>
          <w:rStyle w:val="FootnoteReference"/>
        </w:rPr>
        <w:footnoteRef/>
      </w:r>
      <w:r>
        <w:t xml:space="preserve"> </w:t>
      </w:r>
      <w:r w:rsidRPr="007507CB">
        <w:rPr>
          <w:rFonts w:ascii="mylotus" w:hAnsi="mylotus" w:cs="mylotus"/>
          <w:rtl/>
        </w:rPr>
        <w:t xml:space="preserve">موسوعة الإمام الخوئي، مؤسسة السيد الخوئي، ج30، المستند في شرح العروة الوثقى، كتاب الإجارة، تأليف آية الله الشهيد الشيخ مرتضى البروجردي (قدس سره)، ص174 </w:t>
      </w:r>
      <w:r w:rsidRPr="007507CB">
        <w:rPr>
          <w:rFonts w:ascii="Times New Roman" w:hAnsi="Times New Roman" w:cs="Times New Roman" w:hint="cs"/>
          <w:rtl/>
        </w:rPr>
        <w:t>–</w:t>
      </w:r>
      <w:r w:rsidRPr="007507CB">
        <w:rPr>
          <w:rFonts w:ascii="mylotus" w:hAnsi="mylotus" w:cs="mylotus"/>
          <w:rtl/>
        </w:rPr>
        <w:t xml:space="preserve"> 175.</w:t>
      </w:r>
    </w:p>
  </w:footnote>
  <w:footnote w:id="260">
    <w:p w14:paraId="35641716" w14:textId="77777777" w:rsidR="00B0575B" w:rsidRDefault="00B0575B" w:rsidP="00B0575B">
      <w:pPr>
        <w:pStyle w:val="FootnoteText"/>
        <w:bidi/>
        <w:rPr>
          <w:rtl/>
          <w:lang w:bidi="ar-BH"/>
        </w:rPr>
      </w:pPr>
      <w:r>
        <w:rPr>
          <w:rStyle w:val="FootnoteReference"/>
        </w:rPr>
        <w:footnoteRef/>
      </w:r>
      <w:r>
        <w:t xml:space="preserve"> </w:t>
      </w:r>
      <w:r w:rsidRPr="007507CB">
        <w:rPr>
          <w:rFonts w:ascii="mylotus" w:hAnsi="mylotus" w:cs="mylotus"/>
          <w:rtl/>
        </w:rPr>
        <w:t>كتاب الإجارة، مؤسسة دائرة معارف الفقه الإسلامي طبقاً لمذهب أهل البيت (عليهم السلام)، ج1، ص192</w:t>
      </w:r>
      <w:r w:rsidRPr="007507CB">
        <w:rPr>
          <w:rFonts w:ascii="mylotus" w:hAnsi="mylotus" w:hint="cs"/>
          <w:rtl/>
        </w:rPr>
        <w:t>.</w:t>
      </w:r>
    </w:p>
  </w:footnote>
  <w:footnote w:id="261">
    <w:p w14:paraId="644D76A4" w14:textId="77777777" w:rsidR="00C04089" w:rsidRDefault="00C04089" w:rsidP="00C04089">
      <w:pPr>
        <w:pStyle w:val="FootnoteText"/>
        <w:bidi/>
        <w:rPr>
          <w:rFonts w:ascii="almohsin" w:hAnsi="almohsin"/>
          <w:lang w:bidi="ar-BH"/>
        </w:rPr>
      </w:pPr>
      <w:r>
        <w:rPr>
          <w:rStyle w:val="FootnoteReference"/>
        </w:rPr>
        <w:footnoteRef/>
      </w:r>
      <w:r>
        <w:t xml:space="preserve"> </w:t>
      </w:r>
      <w:r>
        <w:rPr>
          <w:rFonts w:ascii="mylotus" w:hAnsi="mylotus" w:cs="mylotus"/>
          <w:rtl/>
        </w:rPr>
        <w:t>العروة الوثقى، ج4، ص543، التعليقة الأولى والثالثة.</w:t>
      </w:r>
    </w:p>
  </w:footnote>
  <w:footnote w:id="262">
    <w:p w14:paraId="0ACD51AC" w14:textId="77777777" w:rsidR="00C04089" w:rsidRDefault="00C04089" w:rsidP="00C04089">
      <w:pPr>
        <w:pStyle w:val="FootnoteText"/>
        <w:bidi/>
        <w:rPr>
          <w:rtl/>
          <w:lang w:bidi="ar-BH"/>
        </w:rPr>
      </w:pPr>
      <w:r>
        <w:rPr>
          <w:rStyle w:val="FootnoteReference"/>
        </w:rPr>
        <w:footnoteRef/>
      </w:r>
      <w:r>
        <w:t xml:space="preserve"> </w:t>
      </w:r>
      <w:r>
        <w:rPr>
          <w:rFonts w:ascii="mylotus" w:hAnsi="mylotus" w:cs="mylotus"/>
          <w:rtl/>
        </w:rPr>
        <w:t xml:space="preserve">مستمسك العروة الوثقى، تأليف فقيه العصر آية الله العظمى السيد محسن الطباطبائي الحكيم (قدس سره)، دار إحياء التراث العربي، ص31 </w:t>
      </w:r>
      <w:r>
        <w:rPr>
          <w:rFonts w:ascii="Times New Roman" w:hAnsi="Times New Roman" w:cs="Times New Roman"/>
          <w:rtl/>
        </w:rPr>
        <w:t>–</w:t>
      </w:r>
      <w:r>
        <w:rPr>
          <w:rFonts w:ascii="mylotus" w:hAnsi="mylotus" w:cs="mylotus"/>
          <w:rtl/>
        </w:rPr>
        <w:t xml:space="preserve"> 32.</w:t>
      </w:r>
    </w:p>
  </w:footnote>
  <w:footnote w:id="263">
    <w:p w14:paraId="43964C85" w14:textId="77777777" w:rsidR="008C5B8F" w:rsidRDefault="008C5B8F" w:rsidP="008C5B8F">
      <w:pPr>
        <w:pStyle w:val="FootnoteText"/>
        <w:bidi/>
        <w:rPr>
          <w:rFonts w:ascii="almohsin" w:hAnsi="almohsin"/>
          <w:lang w:bidi="ar-BH"/>
        </w:rPr>
      </w:pPr>
      <w:r>
        <w:rPr>
          <w:rStyle w:val="FootnoteReference"/>
        </w:rPr>
        <w:footnoteRef/>
      </w:r>
      <w:r>
        <w:t xml:space="preserve"> </w:t>
      </w:r>
      <w:r>
        <w:rPr>
          <w:rFonts w:ascii="mylotus" w:hAnsi="mylotus" w:cs="mylotus"/>
          <w:rtl/>
        </w:rPr>
        <w:t xml:space="preserve">موسوعة الإمام الخوئي، مؤسسة السيد الخوئي، ج30، المستند في شرح العروة الوثقى، كتاب الإجارة، تأليف آية الله الشهيد الشيخ مرتضى البروجردي (قدس سره)، ص175 </w:t>
      </w:r>
      <w:r>
        <w:rPr>
          <w:rFonts w:ascii="Times New Roman" w:hAnsi="Times New Roman" w:cs="Times New Roman"/>
          <w:rtl/>
        </w:rPr>
        <w:t>–</w:t>
      </w:r>
      <w:r>
        <w:rPr>
          <w:rFonts w:ascii="mylotus" w:hAnsi="mylotus" w:cs="mylotus"/>
          <w:rtl/>
        </w:rPr>
        <w:t xml:space="preserve"> 177.</w:t>
      </w:r>
    </w:p>
  </w:footnote>
  <w:footnote w:id="264">
    <w:p w14:paraId="78027217" w14:textId="77777777" w:rsidR="008C5B8F" w:rsidRDefault="008C5B8F" w:rsidP="008C5B8F">
      <w:pPr>
        <w:pStyle w:val="FootnoteText"/>
        <w:bidi/>
        <w:rPr>
          <w:rtl/>
          <w:lang w:bidi="ar-BH"/>
        </w:rPr>
      </w:pPr>
      <w:r>
        <w:rPr>
          <w:rStyle w:val="FootnoteReference"/>
        </w:rPr>
        <w:footnoteRef/>
      </w:r>
      <w:r>
        <w:t xml:space="preserve"> </w:t>
      </w:r>
      <w:r>
        <w:rPr>
          <w:rFonts w:ascii="mylotus" w:hAnsi="mylotus" w:cs="mylotus"/>
          <w:rtl/>
        </w:rPr>
        <w:t>تذكرة الفقهاء، تأليف العلامة الحلي الحسن بن يوسف بن المطهر، تحقيق مؤسسة آل البيت (عليهم السلام) لإحياء التراث، ج11، ص138.</w:t>
      </w:r>
    </w:p>
  </w:footnote>
  <w:footnote w:id="265">
    <w:p w14:paraId="10DFCC27" w14:textId="77777777" w:rsidR="008C5B8F" w:rsidRDefault="008C5B8F" w:rsidP="008C5B8F">
      <w:pPr>
        <w:pStyle w:val="FootnoteText"/>
        <w:bidi/>
        <w:rPr>
          <w:rtl/>
          <w:lang w:bidi="ar-BH"/>
        </w:rPr>
      </w:pPr>
      <w:r>
        <w:rPr>
          <w:rStyle w:val="FootnoteReference"/>
        </w:rPr>
        <w:footnoteRef/>
      </w:r>
      <w:r>
        <w:t xml:space="preserve"> </w:t>
      </w:r>
      <w:r>
        <w:rPr>
          <w:rFonts w:ascii="mylotus" w:hAnsi="mylotus" w:cs="mylotus"/>
          <w:rtl/>
        </w:rPr>
        <w:t>جواهر الكلام في شرح شرائع الإسلام، تأليف شيخ الفقهاء وإمام المحققين الشيخ محمد حسن النجفي، دار الكتب الإسلامية، ج23، ص160.</w:t>
      </w:r>
    </w:p>
  </w:footnote>
  <w:footnote w:id="266">
    <w:p w14:paraId="50E94EB8" w14:textId="77777777" w:rsidR="00784BEC" w:rsidRDefault="00784BEC" w:rsidP="00784BEC">
      <w:pPr>
        <w:pStyle w:val="FootnoteText"/>
        <w:bidi/>
        <w:rPr>
          <w:rFonts w:ascii="almohsin" w:hAnsi="almohsin"/>
          <w:lang w:bidi="ar-BH"/>
        </w:rPr>
      </w:pPr>
      <w:r>
        <w:rPr>
          <w:rStyle w:val="FootnoteReference"/>
        </w:rPr>
        <w:footnoteRef/>
      </w:r>
      <w:r>
        <w:t xml:space="preserve"> </w:t>
      </w:r>
      <w:r>
        <w:rPr>
          <w:rFonts w:ascii="mylotus" w:hAnsi="mylotus" w:cs="mylotus"/>
          <w:rtl/>
        </w:rPr>
        <w:t>كتاب الإجارة، المحقّق آية الله العظمى الشيخ محمد حسين الأصفهاني، مؤسسة النشر الإسلامي التابعة لجماعة المدرسين بقم المقدسة، الطبعة الثانية، ص 174.</w:t>
      </w:r>
    </w:p>
  </w:footnote>
  <w:footnote w:id="267">
    <w:p w14:paraId="217DD3EB" w14:textId="77777777" w:rsidR="00784BEC" w:rsidRDefault="00784BEC" w:rsidP="00784BEC">
      <w:pPr>
        <w:pStyle w:val="FootnoteText"/>
        <w:bidi/>
        <w:rPr>
          <w:rtl/>
          <w:lang w:bidi="ar-BH"/>
        </w:rPr>
      </w:pPr>
      <w:r>
        <w:rPr>
          <w:rStyle w:val="FootnoteReference"/>
        </w:rPr>
        <w:footnoteRef/>
      </w:r>
      <w:r>
        <w:t xml:space="preserve"> </w:t>
      </w:r>
      <w:r>
        <w:rPr>
          <w:rFonts w:ascii="mylotus" w:hAnsi="mylotus" w:cs="mylotus"/>
          <w:rtl/>
        </w:rPr>
        <w:t>كتاب الإجارة، مؤسسة دائرة المعارف الفقه الإسلامي طبقاً لمذهب أهل البيت (عليهم السلام)، ج1، ص296.</w:t>
      </w:r>
    </w:p>
  </w:footnote>
  <w:footnote w:id="268">
    <w:p w14:paraId="7337A780" w14:textId="77777777" w:rsidR="00784BEC" w:rsidRDefault="00784BEC" w:rsidP="00784BEC">
      <w:pPr>
        <w:pStyle w:val="FootnoteText"/>
        <w:bidi/>
        <w:rPr>
          <w:rtl/>
          <w:lang w:bidi="ar-BH"/>
        </w:rPr>
      </w:pPr>
      <w:r>
        <w:rPr>
          <w:rStyle w:val="FootnoteReference"/>
        </w:rPr>
        <w:footnoteRef/>
      </w:r>
      <w:r>
        <w:t xml:space="preserve"> </w:t>
      </w:r>
      <w:r>
        <w:rPr>
          <w:rFonts w:ascii="mylotus" w:hAnsi="mylotus" w:cs="mylotus"/>
          <w:rtl/>
        </w:rPr>
        <w:t>كتاب الإجارة، المحقّق آية الله العظمى الشيخ محمد حسين الأصفهاني، مؤسسة النشر الإسلامي التابعة لجماعة المدرسين بقم المقدسة، الطبعة الثانية، ص 175.</w:t>
      </w:r>
    </w:p>
  </w:footnote>
  <w:footnote w:id="269">
    <w:p w14:paraId="3921BE21" w14:textId="77777777" w:rsidR="00784BEC" w:rsidRDefault="00784BEC" w:rsidP="00784BEC">
      <w:pPr>
        <w:pStyle w:val="FootnoteText"/>
        <w:bidi/>
        <w:rPr>
          <w:rtl/>
          <w:lang w:bidi="ar-BH"/>
        </w:rPr>
      </w:pPr>
      <w:r>
        <w:rPr>
          <w:rStyle w:val="FootnoteReference"/>
        </w:rPr>
        <w:footnoteRef/>
      </w:r>
      <w:r>
        <w:t xml:space="preserve"> </w:t>
      </w:r>
      <w:r>
        <w:rPr>
          <w:rFonts w:ascii="mylotus" w:hAnsi="mylotus" w:cs="mylotus"/>
          <w:rtl/>
        </w:rPr>
        <w:t>كتاب الإجارة، المحقّق آية الله العظمى الشيخ محمد حسين الأصفهاني، مؤسسة النشر الإسلامي التابعة لجماعة المدرسين بقم المقدسة، الطبعة الثانية، ص 174.</w:t>
      </w:r>
    </w:p>
  </w:footnote>
  <w:footnote w:id="270">
    <w:p w14:paraId="5E87CFBA" w14:textId="77777777" w:rsidR="00784BEC" w:rsidRDefault="00784BEC" w:rsidP="00784BEC">
      <w:pPr>
        <w:pStyle w:val="FootnoteText"/>
        <w:bidi/>
        <w:rPr>
          <w:rtl/>
          <w:lang w:bidi="ar-BH"/>
        </w:rPr>
      </w:pPr>
      <w:r>
        <w:rPr>
          <w:rStyle w:val="FootnoteReference"/>
        </w:rPr>
        <w:footnoteRef/>
      </w:r>
      <w:r>
        <w:t xml:space="preserve"> </w:t>
      </w:r>
      <w:r>
        <w:rPr>
          <w:rFonts w:ascii="mylotus" w:hAnsi="mylotus" w:cs="mylotus"/>
          <w:rtl/>
        </w:rPr>
        <w:t xml:space="preserve">مستمسك العروة الوثقى، تأليف فقيه عصره آية الله العظمى السيد محسن الطباطبائي الحكيم (قدس سره)، منشورات مكتبة آية الله العظمى السيد </w:t>
      </w:r>
      <w:proofErr w:type="spellStart"/>
      <w:r>
        <w:rPr>
          <w:rFonts w:ascii="mylotus" w:hAnsi="mylotus" w:cs="mylotus"/>
          <w:rtl/>
        </w:rPr>
        <w:t>المرعشي</w:t>
      </w:r>
      <w:proofErr w:type="spellEnd"/>
      <w:r>
        <w:rPr>
          <w:rFonts w:ascii="mylotus" w:hAnsi="mylotus" w:cs="mylotus"/>
          <w:rtl/>
        </w:rPr>
        <w:t xml:space="preserve"> النجفي </w:t>
      </w:r>
      <w:r>
        <w:rPr>
          <w:rFonts w:ascii="Times New Roman" w:hAnsi="Times New Roman" w:cs="Times New Roman"/>
          <w:rtl/>
        </w:rPr>
        <w:t>–</w:t>
      </w:r>
      <w:r>
        <w:rPr>
          <w:rFonts w:ascii="mylotus" w:hAnsi="mylotus" w:cs="mylotus"/>
          <w:rtl/>
        </w:rPr>
        <w:t xml:space="preserve"> قم، ج12، ص52.</w:t>
      </w:r>
    </w:p>
  </w:footnote>
  <w:footnote w:id="271">
    <w:p w14:paraId="00BF38BE" w14:textId="77777777" w:rsidR="00220E3A" w:rsidRDefault="00220E3A" w:rsidP="00220E3A">
      <w:pPr>
        <w:pStyle w:val="FootnoteText"/>
        <w:bidi/>
        <w:rPr>
          <w:rFonts w:ascii="almohsin" w:hAnsi="almohsin"/>
          <w:lang w:bidi="ar-BH"/>
        </w:rPr>
      </w:pPr>
      <w:r>
        <w:rPr>
          <w:rStyle w:val="FootnoteReference"/>
        </w:rPr>
        <w:footnoteRef/>
      </w:r>
      <w:r>
        <w:t xml:space="preserve"> </w:t>
      </w:r>
      <w:r>
        <w:rPr>
          <w:rFonts w:ascii="mylotus" w:hAnsi="mylotus" w:cs="mylotus"/>
          <w:rtl/>
        </w:rPr>
        <w:t>مصباح المنهاج، كتاب الشفعة وكتاب الإجارة، تأليف السيد محمد سعيد الطباطبائي الحكيم، دار الهلال، الطبعة الثانية، ص 276.</w:t>
      </w:r>
    </w:p>
  </w:footnote>
  <w:footnote w:id="272">
    <w:p w14:paraId="42F088EC" w14:textId="77777777" w:rsidR="00220E3A" w:rsidRDefault="00220E3A" w:rsidP="00220E3A">
      <w:pPr>
        <w:pStyle w:val="FootnoteText"/>
        <w:bidi/>
        <w:rPr>
          <w:rtl/>
          <w:lang w:bidi="ar-BH"/>
        </w:rPr>
      </w:pPr>
      <w:r>
        <w:rPr>
          <w:rStyle w:val="FootnoteReference"/>
        </w:rPr>
        <w:footnoteRef/>
      </w:r>
      <w:r>
        <w:t xml:space="preserve"> </w:t>
      </w:r>
      <w:r>
        <w:rPr>
          <w:rFonts w:ascii="mylotus" w:hAnsi="mylotus" w:cs="mylotus"/>
          <w:rtl/>
        </w:rPr>
        <w:t>مصباح المنهاج، كتاب التجارة، تأليف السيد محمد سعيد الطباطبائي الحكيم، دار الهلال، الطبعة الثانية، ج3، ص 283.</w:t>
      </w:r>
    </w:p>
  </w:footnote>
  <w:footnote w:id="273">
    <w:p w14:paraId="5F886F41" w14:textId="77777777" w:rsidR="009A6D59" w:rsidRDefault="009A6D59" w:rsidP="009A6D59">
      <w:pPr>
        <w:pStyle w:val="FootnoteText"/>
        <w:bidi/>
        <w:rPr>
          <w:rtl/>
          <w:lang w:bidi="ar-BH"/>
        </w:rPr>
      </w:pPr>
      <w:r>
        <w:rPr>
          <w:rStyle w:val="FootnoteReference"/>
        </w:rPr>
        <w:footnoteRef/>
      </w:r>
      <w:r>
        <w:t xml:space="preserve"> </w:t>
      </w:r>
      <w:r w:rsidRPr="008E14E2">
        <w:rPr>
          <w:rFonts w:ascii="mylotus" w:hAnsi="mylotus" w:cs="mylotus"/>
          <w:rtl/>
        </w:rPr>
        <w:t>كتاب الإجارة، مؤسسة دائرة المعارف الفقه الإسلامي طبقاً لمذهب أهل البيت (عليهم السلام)، ج1، ص297.</w:t>
      </w:r>
    </w:p>
  </w:footnote>
  <w:footnote w:id="274">
    <w:p w14:paraId="1020F672" w14:textId="77777777" w:rsidR="009A6D59" w:rsidRPr="00C6770B" w:rsidRDefault="009A6D59" w:rsidP="009A6D59">
      <w:pPr>
        <w:pStyle w:val="FootnoteText"/>
        <w:bidi/>
        <w:rPr>
          <w:rtl/>
          <w:lang w:bidi="ar-BH"/>
        </w:rPr>
      </w:pPr>
      <w:r>
        <w:rPr>
          <w:rStyle w:val="FootnoteReference"/>
        </w:rPr>
        <w:footnoteRef/>
      </w:r>
      <w:r>
        <w:t xml:space="preserve"> </w:t>
      </w:r>
      <w:r w:rsidRPr="00C6770B">
        <w:rPr>
          <w:rFonts w:ascii="mylotus" w:hAnsi="mylotus" w:cs="mylotus"/>
          <w:rtl/>
        </w:rPr>
        <w:t xml:space="preserve">كتاب الإجارة، مؤسسة دائرة المعارف الفقه الإسلامي طبقاً لمذهب أهل البيت (عليهم السلام)، ج1، ص297 </w:t>
      </w:r>
      <w:r w:rsidRPr="00C6770B">
        <w:rPr>
          <w:rFonts w:ascii="Times New Roman" w:hAnsi="Times New Roman" w:cs="Times New Roman" w:hint="cs"/>
          <w:rtl/>
        </w:rPr>
        <w:t>–</w:t>
      </w:r>
      <w:r w:rsidRPr="00C6770B">
        <w:rPr>
          <w:rFonts w:ascii="mylotus" w:hAnsi="mylotus" w:cs="mylotus"/>
          <w:rtl/>
        </w:rPr>
        <w:t xml:space="preserve"> 298.</w:t>
      </w:r>
    </w:p>
  </w:footnote>
  <w:footnote w:id="275">
    <w:p w14:paraId="209E8E51" w14:textId="77777777" w:rsidR="00C6654A" w:rsidRDefault="00C6654A" w:rsidP="00C6654A">
      <w:pPr>
        <w:pStyle w:val="FootnoteText"/>
        <w:bidi/>
        <w:rPr>
          <w:rtl/>
          <w:lang w:bidi="ar-BH"/>
        </w:rPr>
      </w:pPr>
      <w:r>
        <w:rPr>
          <w:rStyle w:val="FootnoteReference"/>
        </w:rPr>
        <w:footnoteRef/>
      </w:r>
      <w:r>
        <w:t xml:space="preserve"> </w:t>
      </w:r>
      <w:r w:rsidRPr="007B4830">
        <w:rPr>
          <w:rFonts w:ascii="mylotus" w:hAnsi="mylotus" w:cs="mylotus"/>
          <w:rtl/>
        </w:rPr>
        <w:t>مستدرك الوسائل ومستنبط المسائل، تأليف خاتمة المحدثين الحاج ميرزا حسين النوري الطبرسي، تحقيق مؤسسة آل البيت (عليهم السلام) لإحياء التراث، ج13، كتاب التجارة، أبواب الخيار، الباب9 باب أن المبيع إذا تلف قبل القبض، تلف من مال البائع، ح1. / عوالي اللئالي، ابن أبي جمهور الأحسائي، ج3، باب التجارة، ص212، ح59.</w:t>
      </w:r>
    </w:p>
  </w:footnote>
  <w:footnote w:id="276">
    <w:p w14:paraId="7DC67FA1" w14:textId="77777777" w:rsidR="00C6654A" w:rsidRDefault="00C6654A" w:rsidP="00C6654A">
      <w:pPr>
        <w:pStyle w:val="FootnoteText"/>
        <w:bidi/>
        <w:rPr>
          <w:rtl/>
          <w:lang w:bidi="ar-BH"/>
        </w:rPr>
      </w:pPr>
      <w:r>
        <w:rPr>
          <w:rStyle w:val="FootnoteReference"/>
        </w:rPr>
        <w:footnoteRef/>
      </w:r>
      <w:r>
        <w:t xml:space="preserve"> </w:t>
      </w:r>
      <w:r w:rsidRPr="004939E5">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 179</w:t>
      </w:r>
      <w:r w:rsidRPr="004939E5">
        <w:rPr>
          <w:rFonts w:ascii="mylotus" w:hAnsi="mylotus" w:hint="cs"/>
          <w:rtl/>
        </w:rPr>
        <w:t>.</w:t>
      </w:r>
    </w:p>
  </w:footnote>
  <w:footnote w:id="277">
    <w:p w14:paraId="431B4B42" w14:textId="77777777" w:rsidR="00C6654A" w:rsidRDefault="00C6654A" w:rsidP="00C6654A">
      <w:pPr>
        <w:pStyle w:val="FootnoteText"/>
        <w:bidi/>
        <w:rPr>
          <w:rtl/>
          <w:lang w:bidi="ar-BH"/>
        </w:rPr>
      </w:pPr>
      <w:r>
        <w:rPr>
          <w:rStyle w:val="FootnoteReference"/>
        </w:rPr>
        <w:footnoteRef/>
      </w:r>
      <w:r>
        <w:t xml:space="preserve"> </w:t>
      </w:r>
      <w:r w:rsidRPr="004939E5">
        <w:rPr>
          <w:rFonts w:ascii="mylotus" w:hAnsi="mylotus" w:cs="mylotus"/>
          <w:rtl/>
        </w:rPr>
        <w:t>شرائع الإسلام في مسائل الحلال والحرام، المحقّق الحلي، ج2، ص215.</w:t>
      </w:r>
    </w:p>
  </w:footnote>
  <w:footnote w:id="278">
    <w:p w14:paraId="092301EA" w14:textId="77777777" w:rsidR="00C6654A" w:rsidRPr="004939E5" w:rsidRDefault="00C6654A" w:rsidP="00C6654A">
      <w:pPr>
        <w:pStyle w:val="FootnoteText"/>
        <w:bidi/>
        <w:rPr>
          <w:rtl/>
          <w:lang w:bidi="ar-BH"/>
        </w:rPr>
      </w:pPr>
      <w:r>
        <w:rPr>
          <w:rStyle w:val="FootnoteReference"/>
        </w:rPr>
        <w:footnoteRef/>
      </w:r>
      <w:r>
        <w:t xml:space="preserve"> </w:t>
      </w:r>
      <w:r w:rsidRPr="004939E5">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 180.</w:t>
      </w:r>
    </w:p>
  </w:footnote>
  <w:footnote w:id="279">
    <w:p w14:paraId="551B4537" w14:textId="77777777" w:rsidR="00CC276F" w:rsidRDefault="00CC276F" w:rsidP="00CC276F">
      <w:pPr>
        <w:pStyle w:val="FootnoteText"/>
        <w:bidi/>
        <w:rPr>
          <w:rtl/>
          <w:lang w:bidi="ar-BH"/>
        </w:rPr>
      </w:pPr>
      <w:r>
        <w:rPr>
          <w:rStyle w:val="FootnoteReference"/>
        </w:rPr>
        <w:footnoteRef/>
      </w:r>
      <w:r>
        <w:t xml:space="preserve"> </w:t>
      </w:r>
      <w:r w:rsidRPr="00044CB7">
        <w:rPr>
          <w:rFonts w:ascii="mylotus" w:hAnsi="mylotus" w:cs="mylotus"/>
          <w:rtl/>
        </w:rPr>
        <w:t>كتاب الإجارة، مؤسسة دائرة المعارف الفقه الإسلامي طبقاً لمذهب أهل البيت (عليهم السلام)، ج1، ص 302.</w:t>
      </w:r>
    </w:p>
  </w:footnote>
  <w:footnote w:id="280">
    <w:p w14:paraId="4233AB84" w14:textId="77777777" w:rsidR="001B3F01" w:rsidRDefault="001B3F01" w:rsidP="001B3F01">
      <w:pPr>
        <w:pStyle w:val="FootnoteText"/>
        <w:bidi/>
        <w:rPr>
          <w:rFonts w:ascii="almohsin" w:hAnsi="almohsin"/>
          <w:lang w:bidi="ar-BH"/>
        </w:rPr>
      </w:pPr>
      <w:r>
        <w:rPr>
          <w:rStyle w:val="FootnoteReference"/>
        </w:rPr>
        <w:footnoteRef/>
      </w:r>
      <w:r>
        <w:t xml:space="preserve"> </w:t>
      </w:r>
      <w:r>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 182.</w:t>
      </w:r>
    </w:p>
  </w:footnote>
  <w:footnote w:id="281">
    <w:p w14:paraId="5347C19E" w14:textId="77777777" w:rsidR="001B3F01" w:rsidRDefault="001B3F01" w:rsidP="001B3F01">
      <w:pPr>
        <w:pStyle w:val="FootnoteText"/>
        <w:bidi/>
        <w:rPr>
          <w:rFonts w:hint="cs"/>
          <w:rtl/>
          <w:lang w:bidi="ar-BH"/>
        </w:rPr>
      </w:pPr>
      <w:r>
        <w:rPr>
          <w:rStyle w:val="FootnoteReference"/>
        </w:rPr>
        <w:footnoteRef/>
      </w:r>
      <w:r>
        <w:t xml:space="preserve"> </w:t>
      </w:r>
      <w:r>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 184.</w:t>
      </w:r>
    </w:p>
  </w:footnote>
  <w:footnote w:id="282">
    <w:p w14:paraId="02DB9C00" w14:textId="77777777" w:rsidR="001B3F01" w:rsidRDefault="001B3F01" w:rsidP="001B3F01">
      <w:pPr>
        <w:pStyle w:val="FootnoteText"/>
        <w:bidi/>
        <w:rPr>
          <w:rFonts w:hint="cs"/>
          <w:rtl/>
          <w:lang w:bidi="ar-BH"/>
        </w:rPr>
      </w:pPr>
      <w:r>
        <w:rPr>
          <w:rStyle w:val="FootnoteReference"/>
        </w:rPr>
        <w:footnoteRef/>
      </w:r>
      <w:r>
        <w:t xml:space="preserve"> </w:t>
      </w:r>
      <w:r>
        <w:rPr>
          <w:rFonts w:ascii="mylotus" w:hAnsi="mylotus" w:cs="mylotus"/>
          <w:rtl/>
        </w:rPr>
        <w:t xml:space="preserve">المصدر السابق، ص184 </w:t>
      </w:r>
      <w:r>
        <w:rPr>
          <w:rFonts w:ascii="Times New Roman" w:hAnsi="Times New Roman" w:cs="Times New Roman"/>
          <w:rtl/>
        </w:rPr>
        <w:t>–</w:t>
      </w:r>
      <w:r>
        <w:rPr>
          <w:rFonts w:ascii="mylotus" w:hAnsi="mylotus" w:cs="mylotus"/>
          <w:rtl/>
        </w:rPr>
        <w:t xml:space="preserve"> 185.</w:t>
      </w:r>
    </w:p>
  </w:footnote>
  <w:footnote w:id="283">
    <w:p w14:paraId="3DFC580F" w14:textId="77777777" w:rsidR="001B3F01" w:rsidRDefault="001B3F01" w:rsidP="001B3F01">
      <w:pPr>
        <w:pStyle w:val="FootnoteText"/>
        <w:bidi/>
        <w:rPr>
          <w:rFonts w:hint="cs"/>
          <w:rtl/>
          <w:lang w:bidi="ar-BH"/>
        </w:rPr>
      </w:pPr>
      <w:r>
        <w:rPr>
          <w:rStyle w:val="FootnoteReference"/>
        </w:rPr>
        <w:footnoteRef/>
      </w:r>
      <w:r>
        <w:t xml:space="preserve"> </w:t>
      </w:r>
      <w:r>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 185.</w:t>
      </w:r>
    </w:p>
  </w:footnote>
  <w:footnote w:id="284">
    <w:p w14:paraId="14CB09CD" w14:textId="77777777" w:rsidR="001B3F01" w:rsidRDefault="001B3F01" w:rsidP="001B3F01">
      <w:pPr>
        <w:pStyle w:val="FootnoteText"/>
        <w:bidi/>
        <w:rPr>
          <w:rFonts w:hint="cs"/>
          <w:rtl/>
          <w:lang w:bidi="ar-BH"/>
        </w:rPr>
      </w:pPr>
      <w:r>
        <w:rPr>
          <w:rStyle w:val="FootnoteReference"/>
        </w:rPr>
        <w:footnoteRef/>
      </w:r>
      <w:r>
        <w:t xml:space="preserve"> </w:t>
      </w:r>
      <w:r>
        <w:rPr>
          <w:rFonts w:ascii="mylotus" w:hAnsi="mylotus" w:cs="mylotus"/>
          <w:rtl/>
        </w:rPr>
        <w:t>كتاب الإجارة، مؤسسة دائرة المعارف الفقه الإسلامي طبقاً لمذهب أهل البيت (عليهم السلام)، ج1، ص 305.</w:t>
      </w:r>
    </w:p>
  </w:footnote>
  <w:footnote w:id="285">
    <w:p w14:paraId="13AB7EB8" w14:textId="77777777" w:rsidR="005222AD" w:rsidRDefault="005222AD" w:rsidP="005222AD">
      <w:pPr>
        <w:pStyle w:val="FootnoteText"/>
        <w:bidi/>
        <w:rPr>
          <w:rFonts w:ascii="almohsin" w:hAnsi="almohsin"/>
          <w:lang w:bidi="ar-BH"/>
        </w:rPr>
      </w:pPr>
      <w:r>
        <w:rPr>
          <w:rStyle w:val="FootnoteReference"/>
        </w:rPr>
        <w:footnoteRef/>
      </w:r>
      <w:r>
        <w:t xml:space="preserve"> </w:t>
      </w:r>
      <w:r>
        <w:rPr>
          <w:rFonts w:ascii="mylotus" w:hAnsi="mylotus" w:cs="mylotus"/>
          <w:rtl/>
        </w:rPr>
        <w:t xml:space="preserve">موسوعة الإمام الخوئي، مؤسسة السيد الخوئي، ج30، المستند في شرح العروة الوثقى، كتاب الإجارة، تأليف آية الله الشهيد الشيخ مرتضى البروجردي (قدس سره)، ص 186 </w:t>
      </w:r>
      <w:r>
        <w:rPr>
          <w:rFonts w:ascii="Times New Roman" w:hAnsi="Times New Roman" w:cs="Times New Roman"/>
          <w:rtl/>
        </w:rPr>
        <w:t>–</w:t>
      </w:r>
      <w:r>
        <w:rPr>
          <w:rFonts w:ascii="mylotus" w:hAnsi="mylotus" w:cs="mylotus"/>
          <w:rtl/>
        </w:rPr>
        <w:t xml:space="preserve"> 187.</w:t>
      </w:r>
    </w:p>
  </w:footnote>
  <w:footnote w:id="286">
    <w:p w14:paraId="3529049A" w14:textId="77777777" w:rsidR="005222AD" w:rsidRDefault="005222AD" w:rsidP="005222AD">
      <w:pPr>
        <w:pStyle w:val="FootnoteText"/>
        <w:bidi/>
        <w:rPr>
          <w:rFonts w:hint="cs"/>
          <w:rtl/>
          <w:lang w:bidi="ar-BH"/>
        </w:rPr>
      </w:pPr>
      <w:r>
        <w:rPr>
          <w:rStyle w:val="FootnoteReference"/>
        </w:rPr>
        <w:footnoteRef/>
      </w:r>
      <w:r>
        <w:t xml:space="preserve"> </w:t>
      </w:r>
      <w:r>
        <w:rPr>
          <w:rFonts w:ascii="mylotus" w:hAnsi="mylotus" w:cs="mylotus"/>
          <w:rtl/>
        </w:rPr>
        <w:t>موسوعة الإمام الخوئي، مؤسسة السيد الخوئي، ج30، المستند في شرح العروة الوثقى، كتاب الإجارة، تأليف آية الله الشهيد الشيخ مرتضى البروجردي (قدس سره)، ص 187.</w:t>
      </w:r>
    </w:p>
  </w:footnote>
  <w:footnote w:id="287">
    <w:p w14:paraId="01A264C9" w14:textId="77777777" w:rsidR="005222AD" w:rsidRDefault="005222AD" w:rsidP="005222AD">
      <w:pPr>
        <w:pStyle w:val="FootnoteText"/>
        <w:bidi/>
        <w:rPr>
          <w:rFonts w:hint="cs"/>
          <w:rtl/>
          <w:lang w:bidi="ar-BH"/>
        </w:rPr>
      </w:pPr>
      <w:r>
        <w:rPr>
          <w:rStyle w:val="FootnoteReference"/>
        </w:rPr>
        <w:footnoteRef/>
      </w:r>
      <w:r>
        <w:t xml:space="preserve"> </w:t>
      </w:r>
      <w:r>
        <w:rPr>
          <w:rFonts w:ascii="mylotus" w:hAnsi="mylotus" w:cs="mylotus"/>
          <w:rtl/>
        </w:rPr>
        <w:t xml:space="preserve">موسوعة الإمام الخوئي، مؤسسة السيد الخوئي، ج30، المستند في شرح العروة الوثقى، كتاب الإجارة، تأليف آية الله الشهيد الشيخ مرتضى البروجردي (قدس سره)، ص 187 </w:t>
      </w:r>
      <w:r>
        <w:rPr>
          <w:rFonts w:ascii="Times New Roman" w:hAnsi="Times New Roman" w:cs="Times New Roman"/>
          <w:rtl/>
        </w:rPr>
        <w:t>–</w:t>
      </w:r>
      <w:r>
        <w:rPr>
          <w:rFonts w:ascii="mylotus" w:hAnsi="mylotus" w:cs="mylotus"/>
          <w:rtl/>
        </w:rPr>
        <w:t xml:space="preserve"> 188.</w:t>
      </w:r>
    </w:p>
  </w:footnote>
  <w:footnote w:id="288">
    <w:p w14:paraId="4E012885" w14:textId="77777777" w:rsidR="005222AD" w:rsidRDefault="005222AD" w:rsidP="005222AD">
      <w:pPr>
        <w:pStyle w:val="FootnoteText"/>
        <w:bidi/>
        <w:rPr>
          <w:rFonts w:hint="cs"/>
          <w:rtl/>
          <w:lang w:bidi="ar-BH"/>
        </w:rPr>
      </w:pPr>
      <w:r>
        <w:rPr>
          <w:rStyle w:val="FootnoteReference"/>
        </w:rPr>
        <w:footnoteRef/>
      </w:r>
      <w:r>
        <w:t xml:space="preserve"> </w:t>
      </w:r>
      <w:r>
        <w:rPr>
          <w:rFonts w:ascii="mylotus" w:hAnsi="mylotus" w:cs="mylotus"/>
          <w:rtl/>
        </w:rPr>
        <w:t>المصدر السابق.</w:t>
      </w:r>
    </w:p>
  </w:footnote>
  <w:footnote w:id="289">
    <w:p w14:paraId="1D7C4452" w14:textId="77777777" w:rsidR="005222AD" w:rsidRDefault="005222AD" w:rsidP="005222AD">
      <w:pPr>
        <w:pStyle w:val="FootnoteText"/>
        <w:tabs>
          <w:tab w:val="right" w:pos="6962"/>
        </w:tabs>
        <w:bidi/>
        <w:rPr>
          <w:rFonts w:hint="cs"/>
          <w:rtl/>
          <w:lang w:bidi="ar-BH"/>
        </w:rPr>
      </w:pPr>
      <w:r>
        <w:rPr>
          <w:rStyle w:val="FootnoteReference"/>
        </w:rPr>
        <w:footnoteRef/>
      </w:r>
      <w:r>
        <w:t xml:space="preserve"> </w:t>
      </w:r>
      <w:r>
        <w:rPr>
          <w:rFonts w:ascii="mylotus" w:hAnsi="mylotus" w:cs="mylotus"/>
          <w:rtl/>
        </w:rPr>
        <w:t>كتاب الإجارة، مؤسسة دائرة المعارف الفقه الإسلامي طبقاً لمذهب أهل البيت (عليهم السلام)، ج1، ص 307.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E48AC" w14:textId="77777777" w:rsidR="00BE7185" w:rsidRDefault="00BE7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5EF7" w14:textId="77777777" w:rsidR="00BE7185" w:rsidRDefault="00BE71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3C5A5" w14:textId="77777777" w:rsidR="00BE7185" w:rsidRDefault="00BE71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F56"/>
    <w:multiLevelType w:val="multilevel"/>
    <w:tmpl w:val="074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757E6"/>
    <w:multiLevelType w:val="multilevel"/>
    <w:tmpl w:val="DBE0C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C439A"/>
    <w:multiLevelType w:val="multilevel"/>
    <w:tmpl w:val="500EB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1937B4"/>
    <w:multiLevelType w:val="multilevel"/>
    <w:tmpl w:val="5342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3D17BB"/>
    <w:multiLevelType w:val="multilevel"/>
    <w:tmpl w:val="3D6A9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067424"/>
    <w:multiLevelType w:val="multilevel"/>
    <w:tmpl w:val="B7FA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955F8D"/>
    <w:multiLevelType w:val="multilevel"/>
    <w:tmpl w:val="CC92A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580259">
    <w:abstractNumId w:val="2"/>
  </w:num>
  <w:num w:numId="2" w16cid:durableId="1657496170">
    <w:abstractNumId w:val="4"/>
  </w:num>
  <w:num w:numId="3" w16cid:durableId="975068598">
    <w:abstractNumId w:val="5"/>
  </w:num>
  <w:num w:numId="4" w16cid:durableId="1450707968">
    <w:abstractNumId w:val="1"/>
  </w:num>
  <w:num w:numId="5" w16cid:durableId="906454854">
    <w:abstractNumId w:val="6"/>
  </w:num>
  <w:num w:numId="6" w16cid:durableId="950013188">
    <w:abstractNumId w:val="3"/>
  </w:num>
  <w:num w:numId="7" w16cid:durableId="1391853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9DE"/>
    <w:rsid w:val="0000099F"/>
    <w:rsid w:val="00011B02"/>
    <w:rsid w:val="0001313F"/>
    <w:rsid w:val="0001444F"/>
    <w:rsid w:val="000212DB"/>
    <w:rsid w:val="000214EC"/>
    <w:rsid w:val="00022DEF"/>
    <w:rsid w:val="000232F8"/>
    <w:rsid w:val="0002414F"/>
    <w:rsid w:val="00024A60"/>
    <w:rsid w:val="000300BF"/>
    <w:rsid w:val="00033DF2"/>
    <w:rsid w:val="000379B0"/>
    <w:rsid w:val="00037D66"/>
    <w:rsid w:val="00040F0D"/>
    <w:rsid w:val="00044930"/>
    <w:rsid w:val="00046690"/>
    <w:rsid w:val="00050081"/>
    <w:rsid w:val="00051C23"/>
    <w:rsid w:val="000522AB"/>
    <w:rsid w:val="00060ABB"/>
    <w:rsid w:val="000610B8"/>
    <w:rsid w:val="0009661E"/>
    <w:rsid w:val="000A3C42"/>
    <w:rsid w:val="000A3F38"/>
    <w:rsid w:val="000A65E2"/>
    <w:rsid w:val="000B01CE"/>
    <w:rsid w:val="000B2F61"/>
    <w:rsid w:val="000C0A3D"/>
    <w:rsid w:val="000C3987"/>
    <w:rsid w:val="000C77D2"/>
    <w:rsid w:val="000D25A6"/>
    <w:rsid w:val="000D7061"/>
    <w:rsid w:val="000E1937"/>
    <w:rsid w:val="000E4E74"/>
    <w:rsid w:val="000E67BD"/>
    <w:rsid w:val="000F27D2"/>
    <w:rsid w:val="000F6458"/>
    <w:rsid w:val="000F790E"/>
    <w:rsid w:val="000F7D67"/>
    <w:rsid w:val="001000E7"/>
    <w:rsid w:val="00112222"/>
    <w:rsid w:val="001127F3"/>
    <w:rsid w:val="00116275"/>
    <w:rsid w:val="00122B70"/>
    <w:rsid w:val="00136B44"/>
    <w:rsid w:val="0013734C"/>
    <w:rsid w:val="0014010C"/>
    <w:rsid w:val="001421D9"/>
    <w:rsid w:val="00143C1B"/>
    <w:rsid w:val="00153DB5"/>
    <w:rsid w:val="00156B3A"/>
    <w:rsid w:val="0016402A"/>
    <w:rsid w:val="00175C26"/>
    <w:rsid w:val="00180D20"/>
    <w:rsid w:val="00183597"/>
    <w:rsid w:val="001851A6"/>
    <w:rsid w:val="00185B01"/>
    <w:rsid w:val="00193320"/>
    <w:rsid w:val="00193352"/>
    <w:rsid w:val="001964E6"/>
    <w:rsid w:val="00197B13"/>
    <w:rsid w:val="001A19DE"/>
    <w:rsid w:val="001B1AB6"/>
    <w:rsid w:val="001B3F01"/>
    <w:rsid w:val="001C6C24"/>
    <w:rsid w:val="001D5061"/>
    <w:rsid w:val="001F00D1"/>
    <w:rsid w:val="001F1A69"/>
    <w:rsid w:val="001F47FD"/>
    <w:rsid w:val="002004E7"/>
    <w:rsid w:val="00201778"/>
    <w:rsid w:val="00205E08"/>
    <w:rsid w:val="00207D7E"/>
    <w:rsid w:val="00213033"/>
    <w:rsid w:val="00220E3A"/>
    <w:rsid w:val="0023310B"/>
    <w:rsid w:val="00240671"/>
    <w:rsid w:val="00243402"/>
    <w:rsid w:val="00245A76"/>
    <w:rsid w:val="00245F13"/>
    <w:rsid w:val="0024666D"/>
    <w:rsid w:val="002500BC"/>
    <w:rsid w:val="00251CA1"/>
    <w:rsid w:val="002534ED"/>
    <w:rsid w:val="00257395"/>
    <w:rsid w:val="00257C29"/>
    <w:rsid w:val="00260E91"/>
    <w:rsid w:val="00261F86"/>
    <w:rsid w:val="00262634"/>
    <w:rsid w:val="002670D4"/>
    <w:rsid w:val="00270736"/>
    <w:rsid w:val="00271EC4"/>
    <w:rsid w:val="00274483"/>
    <w:rsid w:val="00275BCD"/>
    <w:rsid w:val="00277B76"/>
    <w:rsid w:val="002806A7"/>
    <w:rsid w:val="002807B5"/>
    <w:rsid w:val="00281424"/>
    <w:rsid w:val="0028545D"/>
    <w:rsid w:val="00290B9F"/>
    <w:rsid w:val="002A6777"/>
    <w:rsid w:val="002A6B3C"/>
    <w:rsid w:val="002C07D9"/>
    <w:rsid w:val="002C415A"/>
    <w:rsid w:val="002C5FDD"/>
    <w:rsid w:val="002C6BB6"/>
    <w:rsid w:val="002D1716"/>
    <w:rsid w:val="002D209B"/>
    <w:rsid w:val="002D2958"/>
    <w:rsid w:val="002D2A42"/>
    <w:rsid w:val="002D4D6B"/>
    <w:rsid w:val="002D7F2F"/>
    <w:rsid w:val="002E1246"/>
    <w:rsid w:val="002E2754"/>
    <w:rsid w:val="002E5D8A"/>
    <w:rsid w:val="002F168B"/>
    <w:rsid w:val="002F2A0E"/>
    <w:rsid w:val="002F353A"/>
    <w:rsid w:val="002F6EB4"/>
    <w:rsid w:val="002F71EA"/>
    <w:rsid w:val="002F745C"/>
    <w:rsid w:val="0030563B"/>
    <w:rsid w:val="00312C90"/>
    <w:rsid w:val="00313DA2"/>
    <w:rsid w:val="00317FBC"/>
    <w:rsid w:val="00323F13"/>
    <w:rsid w:val="00324992"/>
    <w:rsid w:val="00326ABE"/>
    <w:rsid w:val="00332906"/>
    <w:rsid w:val="003342AF"/>
    <w:rsid w:val="003403C4"/>
    <w:rsid w:val="00340469"/>
    <w:rsid w:val="003404D4"/>
    <w:rsid w:val="00347403"/>
    <w:rsid w:val="00354A44"/>
    <w:rsid w:val="00361163"/>
    <w:rsid w:val="003621C7"/>
    <w:rsid w:val="00362D55"/>
    <w:rsid w:val="00362EB2"/>
    <w:rsid w:val="00363BFE"/>
    <w:rsid w:val="00371FB5"/>
    <w:rsid w:val="00373D6F"/>
    <w:rsid w:val="00374F5E"/>
    <w:rsid w:val="00375E5C"/>
    <w:rsid w:val="00383E67"/>
    <w:rsid w:val="003842B9"/>
    <w:rsid w:val="003849F9"/>
    <w:rsid w:val="00387D54"/>
    <w:rsid w:val="00396E70"/>
    <w:rsid w:val="00397B3E"/>
    <w:rsid w:val="003A080D"/>
    <w:rsid w:val="003A4AC8"/>
    <w:rsid w:val="003A6E31"/>
    <w:rsid w:val="003A79B7"/>
    <w:rsid w:val="003A7BFD"/>
    <w:rsid w:val="003B0021"/>
    <w:rsid w:val="003B243C"/>
    <w:rsid w:val="003B5092"/>
    <w:rsid w:val="003C034B"/>
    <w:rsid w:val="003D1277"/>
    <w:rsid w:val="003D2EF9"/>
    <w:rsid w:val="003D4014"/>
    <w:rsid w:val="003D4065"/>
    <w:rsid w:val="003D7B50"/>
    <w:rsid w:val="003E30F6"/>
    <w:rsid w:val="003E4B4C"/>
    <w:rsid w:val="003F7F02"/>
    <w:rsid w:val="004019A9"/>
    <w:rsid w:val="00402A07"/>
    <w:rsid w:val="00403E43"/>
    <w:rsid w:val="004048E3"/>
    <w:rsid w:val="00404ED0"/>
    <w:rsid w:val="00406992"/>
    <w:rsid w:val="00410873"/>
    <w:rsid w:val="00412ADA"/>
    <w:rsid w:val="00415E2B"/>
    <w:rsid w:val="004216E5"/>
    <w:rsid w:val="00422C4B"/>
    <w:rsid w:val="00425532"/>
    <w:rsid w:val="00425F01"/>
    <w:rsid w:val="00432F69"/>
    <w:rsid w:val="00435D05"/>
    <w:rsid w:val="004426C5"/>
    <w:rsid w:val="0044489D"/>
    <w:rsid w:val="00452C4D"/>
    <w:rsid w:val="00452E80"/>
    <w:rsid w:val="00465B2B"/>
    <w:rsid w:val="00467D36"/>
    <w:rsid w:val="0047280E"/>
    <w:rsid w:val="0047599E"/>
    <w:rsid w:val="00486DAD"/>
    <w:rsid w:val="004874E2"/>
    <w:rsid w:val="0049047F"/>
    <w:rsid w:val="004909D0"/>
    <w:rsid w:val="00493BAB"/>
    <w:rsid w:val="004A14A2"/>
    <w:rsid w:val="004A30EF"/>
    <w:rsid w:val="004A4317"/>
    <w:rsid w:val="004A7415"/>
    <w:rsid w:val="004B1538"/>
    <w:rsid w:val="004B192D"/>
    <w:rsid w:val="004B3797"/>
    <w:rsid w:val="004B45E2"/>
    <w:rsid w:val="004B47A0"/>
    <w:rsid w:val="004B617F"/>
    <w:rsid w:val="004C5FAB"/>
    <w:rsid w:val="004C7632"/>
    <w:rsid w:val="004D149A"/>
    <w:rsid w:val="004D3101"/>
    <w:rsid w:val="004D3CAC"/>
    <w:rsid w:val="004D3D8B"/>
    <w:rsid w:val="004D4EB1"/>
    <w:rsid w:val="004D624F"/>
    <w:rsid w:val="004E47E9"/>
    <w:rsid w:val="004E6356"/>
    <w:rsid w:val="004E63C8"/>
    <w:rsid w:val="004E6D89"/>
    <w:rsid w:val="004F1C0A"/>
    <w:rsid w:val="00506A2D"/>
    <w:rsid w:val="00506D00"/>
    <w:rsid w:val="00510095"/>
    <w:rsid w:val="00511AED"/>
    <w:rsid w:val="005133CC"/>
    <w:rsid w:val="00514CC1"/>
    <w:rsid w:val="005209BB"/>
    <w:rsid w:val="00520DD1"/>
    <w:rsid w:val="00521209"/>
    <w:rsid w:val="005222AD"/>
    <w:rsid w:val="00536560"/>
    <w:rsid w:val="0053786A"/>
    <w:rsid w:val="00537A5E"/>
    <w:rsid w:val="00537D87"/>
    <w:rsid w:val="00542119"/>
    <w:rsid w:val="00546513"/>
    <w:rsid w:val="005476EE"/>
    <w:rsid w:val="00547DA2"/>
    <w:rsid w:val="005542ED"/>
    <w:rsid w:val="00557FEF"/>
    <w:rsid w:val="00563870"/>
    <w:rsid w:val="00566AA0"/>
    <w:rsid w:val="00570656"/>
    <w:rsid w:val="005729C3"/>
    <w:rsid w:val="00572AA8"/>
    <w:rsid w:val="00575051"/>
    <w:rsid w:val="005837D7"/>
    <w:rsid w:val="00585CF5"/>
    <w:rsid w:val="005867FC"/>
    <w:rsid w:val="0058696A"/>
    <w:rsid w:val="00593FF3"/>
    <w:rsid w:val="005946C6"/>
    <w:rsid w:val="005B2956"/>
    <w:rsid w:val="005B2DD1"/>
    <w:rsid w:val="005B3F32"/>
    <w:rsid w:val="005B7552"/>
    <w:rsid w:val="005C24CC"/>
    <w:rsid w:val="005C4CC1"/>
    <w:rsid w:val="005C597D"/>
    <w:rsid w:val="005D4E65"/>
    <w:rsid w:val="005E0643"/>
    <w:rsid w:val="005E3DFB"/>
    <w:rsid w:val="005E498C"/>
    <w:rsid w:val="005E60F9"/>
    <w:rsid w:val="005F0F09"/>
    <w:rsid w:val="005F2568"/>
    <w:rsid w:val="005F3361"/>
    <w:rsid w:val="005F4BA7"/>
    <w:rsid w:val="005F772E"/>
    <w:rsid w:val="00600BEA"/>
    <w:rsid w:val="00601296"/>
    <w:rsid w:val="00603216"/>
    <w:rsid w:val="0060533A"/>
    <w:rsid w:val="00614624"/>
    <w:rsid w:val="006151DA"/>
    <w:rsid w:val="00620300"/>
    <w:rsid w:val="00632AB9"/>
    <w:rsid w:val="0063382E"/>
    <w:rsid w:val="00636731"/>
    <w:rsid w:val="00636C0B"/>
    <w:rsid w:val="00656600"/>
    <w:rsid w:val="00656ABC"/>
    <w:rsid w:val="00660355"/>
    <w:rsid w:val="00674B3C"/>
    <w:rsid w:val="0068237B"/>
    <w:rsid w:val="006949A0"/>
    <w:rsid w:val="006950FD"/>
    <w:rsid w:val="0069576A"/>
    <w:rsid w:val="00696A9A"/>
    <w:rsid w:val="006A01C9"/>
    <w:rsid w:val="006B1BD1"/>
    <w:rsid w:val="006B5DE6"/>
    <w:rsid w:val="006B6CEE"/>
    <w:rsid w:val="006C3B7E"/>
    <w:rsid w:val="006C5402"/>
    <w:rsid w:val="006D78CF"/>
    <w:rsid w:val="006E715E"/>
    <w:rsid w:val="006F196D"/>
    <w:rsid w:val="006F41C1"/>
    <w:rsid w:val="006F6E12"/>
    <w:rsid w:val="00700470"/>
    <w:rsid w:val="007136C6"/>
    <w:rsid w:val="007144C1"/>
    <w:rsid w:val="00714FC7"/>
    <w:rsid w:val="00716BD8"/>
    <w:rsid w:val="00717C42"/>
    <w:rsid w:val="00717CFA"/>
    <w:rsid w:val="007230EA"/>
    <w:rsid w:val="00723C3A"/>
    <w:rsid w:val="00725C38"/>
    <w:rsid w:val="007278CC"/>
    <w:rsid w:val="00727C3C"/>
    <w:rsid w:val="00734518"/>
    <w:rsid w:val="00734FAC"/>
    <w:rsid w:val="00742C30"/>
    <w:rsid w:val="00745934"/>
    <w:rsid w:val="007478D0"/>
    <w:rsid w:val="0075022C"/>
    <w:rsid w:val="007518F9"/>
    <w:rsid w:val="00756B47"/>
    <w:rsid w:val="0077100D"/>
    <w:rsid w:val="00772588"/>
    <w:rsid w:val="00776033"/>
    <w:rsid w:val="00782FCC"/>
    <w:rsid w:val="0078330F"/>
    <w:rsid w:val="00783DF4"/>
    <w:rsid w:val="00784BEC"/>
    <w:rsid w:val="00786DF8"/>
    <w:rsid w:val="0079014E"/>
    <w:rsid w:val="00790986"/>
    <w:rsid w:val="007923EB"/>
    <w:rsid w:val="0079283F"/>
    <w:rsid w:val="00793F39"/>
    <w:rsid w:val="0079475B"/>
    <w:rsid w:val="007A4D35"/>
    <w:rsid w:val="007A501B"/>
    <w:rsid w:val="007A6178"/>
    <w:rsid w:val="007A6879"/>
    <w:rsid w:val="007B50CC"/>
    <w:rsid w:val="007C105B"/>
    <w:rsid w:val="007C4F22"/>
    <w:rsid w:val="007D09C2"/>
    <w:rsid w:val="007D0C17"/>
    <w:rsid w:val="007D0EA9"/>
    <w:rsid w:val="007D2757"/>
    <w:rsid w:val="007E5188"/>
    <w:rsid w:val="007E6479"/>
    <w:rsid w:val="007E677C"/>
    <w:rsid w:val="007F2672"/>
    <w:rsid w:val="007F3DEE"/>
    <w:rsid w:val="00800079"/>
    <w:rsid w:val="00801431"/>
    <w:rsid w:val="008031DC"/>
    <w:rsid w:val="008060F4"/>
    <w:rsid w:val="00811C6A"/>
    <w:rsid w:val="008148DD"/>
    <w:rsid w:val="00820018"/>
    <w:rsid w:val="00823E66"/>
    <w:rsid w:val="00826AA1"/>
    <w:rsid w:val="00827057"/>
    <w:rsid w:val="0083041C"/>
    <w:rsid w:val="0083226A"/>
    <w:rsid w:val="00833AC3"/>
    <w:rsid w:val="00834B7A"/>
    <w:rsid w:val="008362A8"/>
    <w:rsid w:val="0084340E"/>
    <w:rsid w:val="0084436E"/>
    <w:rsid w:val="00844AFE"/>
    <w:rsid w:val="0085207C"/>
    <w:rsid w:val="0085324D"/>
    <w:rsid w:val="00855AB8"/>
    <w:rsid w:val="008566AF"/>
    <w:rsid w:val="008572B1"/>
    <w:rsid w:val="008617E1"/>
    <w:rsid w:val="00863AC8"/>
    <w:rsid w:val="00863DA8"/>
    <w:rsid w:val="0086738A"/>
    <w:rsid w:val="00871371"/>
    <w:rsid w:val="00874D2D"/>
    <w:rsid w:val="008771BC"/>
    <w:rsid w:val="00885B35"/>
    <w:rsid w:val="00894AE6"/>
    <w:rsid w:val="008954B5"/>
    <w:rsid w:val="008A5BCC"/>
    <w:rsid w:val="008A711D"/>
    <w:rsid w:val="008B4725"/>
    <w:rsid w:val="008C53EB"/>
    <w:rsid w:val="008C5B8F"/>
    <w:rsid w:val="008C7143"/>
    <w:rsid w:val="008C79CD"/>
    <w:rsid w:val="008D24CB"/>
    <w:rsid w:val="008D2E75"/>
    <w:rsid w:val="008D2F12"/>
    <w:rsid w:val="008D3082"/>
    <w:rsid w:val="008D6FDC"/>
    <w:rsid w:val="008E143D"/>
    <w:rsid w:val="008E1741"/>
    <w:rsid w:val="008E226B"/>
    <w:rsid w:val="008E7A9C"/>
    <w:rsid w:val="008F094D"/>
    <w:rsid w:val="008F1088"/>
    <w:rsid w:val="008F15F6"/>
    <w:rsid w:val="008F191E"/>
    <w:rsid w:val="008F3382"/>
    <w:rsid w:val="008F51BB"/>
    <w:rsid w:val="00900033"/>
    <w:rsid w:val="009067BE"/>
    <w:rsid w:val="00912533"/>
    <w:rsid w:val="00913BFD"/>
    <w:rsid w:val="0091405A"/>
    <w:rsid w:val="00914200"/>
    <w:rsid w:val="009274E8"/>
    <w:rsid w:val="00927A62"/>
    <w:rsid w:val="00930AB1"/>
    <w:rsid w:val="00932223"/>
    <w:rsid w:val="009379AB"/>
    <w:rsid w:val="009404B7"/>
    <w:rsid w:val="009441C2"/>
    <w:rsid w:val="00954F52"/>
    <w:rsid w:val="009563DF"/>
    <w:rsid w:val="00956B41"/>
    <w:rsid w:val="0095742D"/>
    <w:rsid w:val="0095767B"/>
    <w:rsid w:val="0096023F"/>
    <w:rsid w:val="00960E7C"/>
    <w:rsid w:val="0096359C"/>
    <w:rsid w:val="00964DC7"/>
    <w:rsid w:val="00966EE1"/>
    <w:rsid w:val="009676E6"/>
    <w:rsid w:val="00971340"/>
    <w:rsid w:val="00981AFC"/>
    <w:rsid w:val="00981D9D"/>
    <w:rsid w:val="00982599"/>
    <w:rsid w:val="00983567"/>
    <w:rsid w:val="00984082"/>
    <w:rsid w:val="0099198F"/>
    <w:rsid w:val="009A1ABB"/>
    <w:rsid w:val="009A466E"/>
    <w:rsid w:val="009A6C42"/>
    <w:rsid w:val="009A6D59"/>
    <w:rsid w:val="009B0E5B"/>
    <w:rsid w:val="009B314A"/>
    <w:rsid w:val="009B3D7B"/>
    <w:rsid w:val="009B4481"/>
    <w:rsid w:val="009B4DA3"/>
    <w:rsid w:val="009B553D"/>
    <w:rsid w:val="009C2251"/>
    <w:rsid w:val="009C7AAF"/>
    <w:rsid w:val="009D24EB"/>
    <w:rsid w:val="009D337D"/>
    <w:rsid w:val="009D78DA"/>
    <w:rsid w:val="009E20B7"/>
    <w:rsid w:val="009E3B18"/>
    <w:rsid w:val="00A05D84"/>
    <w:rsid w:val="00A077B1"/>
    <w:rsid w:val="00A10D09"/>
    <w:rsid w:val="00A11FFB"/>
    <w:rsid w:val="00A20209"/>
    <w:rsid w:val="00A20A7A"/>
    <w:rsid w:val="00A24E95"/>
    <w:rsid w:val="00A25630"/>
    <w:rsid w:val="00A25667"/>
    <w:rsid w:val="00A25CFF"/>
    <w:rsid w:val="00A3169E"/>
    <w:rsid w:val="00A32FFD"/>
    <w:rsid w:val="00A34DB8"/>
    <w:rsid w:val="00A3573E"/>
    <w:rsid w:val="00A357E7"/>
    <w:rsid w:val="00A41483"/>
    <w:rsid w:val="00A43C38"/>
    <w:rsid w:val="00A46EDA"/>
    <w:rsid w:val="00A53231"/>
    <w:rsid w:val="00A5354C"/>
    <w:rsid w:val="00A56A3B"/>
    <w:rsid w:val="00A60AF2"/>
    <w:rsid w:val="00A65430"/>
    <w:rsid w:val="00A6741B"/>
    <w:rsid w:val="00A679C1"/>
    <w:rsid w:val="00A71B3A"/>
    <w:rsid w:val="00A72B57"/>
    <w:rsid w:val="00A7532A"/>
    <w:rsid w:val="00A812FB"/>
    <w:rsid w:val="00A81AEE"/>
    <w:rsid w:val="00A823EE"/>
    <w:rsid w:val="00A8505D"/>
    <w:rsid w:val="00A8743E"/>
    <w:rsid w:val="00A87C4C"/>
    <w:rsid w:val="00A960E5"/>
    <w:rsid w:val="00A96F05"/>
    <w:rsid w:val="00AA31C1"/>
    <w:rsid w:val="00AA4B15"/>
    <w:rsid w:val="00AC41A3"/>
    <w:rsid w:val="00AC563D"/>
    <w:rsid w:val="00AD0292"/>
    <w:rsid w:val="00AD69E4"/>
    <w:rsid w:val="00AE6236"/>
    <w:rsid w:val="00B0575B"/>
    <w:rsid w:val="00B0745B"/>
    <w:rsid w:val="00B07E71"/>
    <w:rsid w:val="00B106A0"/>
    <w:rsid w:val="00B12162"/>
    <w:rsid w:val="00B173CD"/>
    <w:rsid w:val="00B23358"/>
    <w:rsid w:val="00B276C7"/>
    <w:rsid w:val="00B35E83"/>
    <w:rsid w:val="00B37B22"/>
    <w:rsid w:val="00B41BAE"/>
    <w:rsid w:val="00B427A7"/>
    <w:rsid w:val="00B43C27"/>
    <w:rsid w:val="00B44BEA"/>
    <w:rsid w:val="00B45CCC"/>
    <w:rsid w:val="00B46F88"/>
    <w:rsid w:val="00B50678"/>
    <w:rsid w:val="00B51402"/>
    <w:rsid w:val="00B51620"/>
    <w:rsid w:val="00B51BCA"/>
    <w:rsid w:val="00B5281B"/>
    <w:rsid w:val="00B53C05"/>
    <w:rsid w:val="00B60CED"/>
    <w:rsid w:val="00B61500"/>
    <w:rsid w:val="00B61D90"/>
    <w:rsid w:val="00B76E3F"/>
    <w:rsid w:val="00B77B99"/>
    <w:rsid w:val="00B814CE"/>
    <w:rsid w:val="00B81AD4"/>
    <w:rsid w:val="00B8440C"/>
    <w:rsid w:val="00B86E26"/>
    <w:rsid w:val="00B877B0"/>
    <w:rsid w:val="00B879FD"/>
    <w:rsid w:val="00B87C49"/>
    <w:rsid w:val="00B97BA6"/>
    <w:rsid w:val="00BA37DB"/>
    <w:rsid w:val="00BA5146"/>
    <w:rsid w:val="00BA61C8"/>
    <w:rsid w:val="00BB492E"/>
    <w:rsid w:val="00BB5D13"/>
    <w:rsid w:val="00BD0E7C"/>
    <w:rsid w:val="00BD568E"/>
    <w:rsid w:val="00BD7D6C"/>
    <w:rsid w:val="00BE0D63"/>
    <w:rsid w:val="00BE1F84"/>
    <w:rsid w:val="00BE7185"/>
    <w:rsid w:val="00BF61A0"/>
    <w:rsid w:val="00BF62A7"/>
    <w:rsid w:val="00C0142B"/>
    <w:rsid w:val="00C021DA"/>
    <w:rsid w:val="00C03D99"/>
    <w:rsid w:val="00C04089"/>
    <w:rsid w:val="00C042FA"/>
    <w:rsid w:val="00C04896"/>
    <w:rsid w:val="00C0525D"/>
    <w:rsid w:val="00C061F3"/>
    <w:rsid w:val="00C07154"/>
    <w:rsid w:val="00C0730B"/>
    <w:rsid w:val="00C10A76"/>
    <w:rsid w:val="00C128AB"/>
    <w:rsid w:val="00C1467F"/>
    <w:rsid w:val="00C165CD"/>
    <w:rsid w:val="00C16B17"/>
    <w:rsid w:val="00C16F1A"/>
    <w:rsid w:val="00C20BC4"/>
    <w:rsid w:val="00C229C8"/>
    <w:rsid w:val="00C23B20"/>
    <w:rsid w:val="00C31F1A"/>
    <w:rsid w:val="00C32457"/>
    <w:rsid w:val="00C36591"/>
    <w:rsid w:val="00C4377B"/>
    <w:rsid w:val="00C47707"/>
    <w:rsid w:val="00C53516"/>
    <w:rsid w:val="00C54326"/>
    <w:rsid w:val="00C6059C"/>
    <w:rsid w:val="00C6211F"/>
    <w:rsid w:val="00C6329E"/>
    <w:rsid w:val="00C64898"/>
    <w:rsid w:val="00C6654A"/>
    <w:rsid w:val="00C708E8"/>
    <w:rsid w:val="00C70EDF"/>
    <w:rsid w:val="00C72D38"/>
    <w:rsid w:val="00C7373B"/>
    <w:rsid w:val="00C73903"/>
    <w:rsid w:val="00C7460D"/>
    <w:rsid w:val="00C74879"/>
    <w:rsid w:val="00C74CCB"/>
    <w:rsid w:val="00C75445"/>
    <w:rsid w:val="00C756B3"/>
    <w:rsid w:val="00C75EF6"/>
    <w:rsid w:val="00C81AA1"/>
    <w:rsid w:val="00C85447"/>
    <w:rsid w:val="00C85626"/>
    <w:rsid w:val="00C91422"/>
    <w:rsid w:val="00C91A64"/>
    <w:rsid w:val="00C9262A"/>
    <w:rsid w:val="00C92B4C"/>
    <w:rsid w:val="00C92FFB"/>
    <w:rsid w:val="00CA46C6"/>
    <w:rsid w:val="00CB2DFF"/>
    <w:rsid w:val="00CB4C08"/>
    <w:rsid w:val="00CB4EAA"/>
    <w:rsid w:val="00CB6487"/>
    <w:rsid w:val="00CC07BB"/>
    <w:rsid w:val="00CC276F"/>
    <w:rsid w:val="00CD2684"/>
    <w:rsid w:val="00CD2EDC"/>
    <w:rsid w:val="00CD3D8F"/>
    <w:rsid w:val="00CD6289"/>
    <w:rsid w:val="00CD7965"/>
    <w:rsid w:val="00CE18C4"/>
    <w:rsid w:val="00CE27FA"/>
    <w:rsid w:val="00CF0A3C"/>
    <w:rsid w:val="00CF37C9"/>
    <w:rsid w:val="00CF492D"/>
    <w:rsid w:val="00CF533E"/>
    <w:rsid w:val="00CF61CD"/>
    <w:rsid w:val="00D04800"/>
    <w:rsid w:val="00D071FA"/>
    <w:rsid w:val="00D073BE"/>
    <w:rsid w:val="00D077A0"/>
    <w:rsid w:val="00D10434"/>
    <w:rsid w:val="00D10764"/>
    <w:rsid w:val="00D1182D"/>
    <w:rsid w:val="00D12A15"/>
    <w:rsid w:val="00D15260"/>
    <w:rsid w:val="00D22D23"/>
    <w:rsid w:val="00D243BB"/>
    <w:rsid w:val="00D341EA"/>
    <w:rsid w:val="00D51153"/>
    <w:rsid w:val="00D578EE"/>
    <w:rsid w:val="00D65787"/>
    <w:rsid w:val="00D66668"/>
    <w:rsid w:val="00D67FC6"/>
    <w:rsid w:val="00D70743"/>
    <w:rsid w:val="00D7135D"/>
    <w:rsid w:val="00D714A9"/>
    <w:rsid w:val="00D7328C"/>
    <w:rsid w:val="00D875C2"/>
    <w:rsid w:val="00D90A67"/>
    <w:rsid w:val="00D90BCD"/>
    <w:rsid w:val="00D9526F"/>
    <w:rsid w:val="00D955E6"/>
    <w:rsid w:val="00D957EB"/>
    <w:rsid w:val="00D96A9D"/>
    <w:rsid w:val="00DA6AFC"/>
    <w:rsid w:val="00DB4536"/>
    <w:rsid w:val="00DB5E7E"/>
    <w:rsid w:val="00DB631D"/>
    <w:rsid w:val="00DB749D"/>
    <w:rsid w:val="00DC0FB5"/>
    <w:rsid w:val="00DC62AC"/>
    <w:rsid w:val="00DC681F"/>
    <w:rsid w:val="00DD3D1B"/>
    <w:rsid w:val="00DD7106"/>
    <w:rsid w:val="00DD7989"/>
    <w:rsid w:val="00DE0FFA"/>
    <w:rsid w:val="00DE4E4D"/>
    <w:rsid w:val="00DF0721"/>
    <w:rsid w:val="00DF17D8"/>
    <w:rsid w:val="00DF4BF5"/>
    <w:rsid w:val="00DF57DA"/>
    <w:rsid w:val="00DF6B84"/>
    <w:rsid w:val="00E003A8"/>
    <w:rsid w:val="00E01043"/>
    <w:rsid w:val="00E02167"/>
    <w:rsid w:val="00E03804"/>
    <w:rsid w:val="00E07DD7"/>
    <w:rsid w:val="00E133D3"/>
    <w:rsid w:val="00E167A2"/>
    <w:rsid w:val="00E20AF3"/>
    <w:rsid w:val="00E23F37"/>
    <w:rsid w:val="00E27552"/>
    <w:rsid w:val="00E3168E"/>
    <w:rsid w:val="00E3275E"/>
    <w:rsid w:val="00E47A1A"/>
    <w:rsid w:val="00E55345"/>
    <w:rsid w:val="00E559B8"/>
    <w:rsid w:val="00E63E0C"/>
    <w:rsid w:val="00E646C9"/>
    <w:rsid w:val="00E668D9"/>
    <w:rsid w:val="00E67A4B"/>
    <w:rsid w:val="00E67AA3"/>
    <w:rsid w:val="00E7692C"/>
    <w:rsid w:val="00E77FED"/>
    <w:rsid w:val="00E818F8"/>
    <w:rsid w:val="00E8392D"/>
    <w:rsid w:val="00E83A1D"/>
    <w:rsid w:val="00E84167"/>
    <w:rsid w:val="00E86645"/>
    <w:rsid w:val="00E87B31"/>
    <w:rsid w:val="00E90634"/>
    <w:rsid w:val="00E9189C"/>
    <w:rsid w:val="00E91B47"/>
    <w:rsid w:val="00E938D8"/>
    <w:rsid w:val="00E9440E"/>
    <w:rsid w:val="00E95342"/>
    <w:rsid w:val="00E97FBE"/>
    <w:rsid w:val="00EA0626"/>
    <w:rsid w:val="00EA29F7"/>
    <w:rsid w:val="00EA2E44"/>
    <w:rsid w:val="00EA625B"/>
    <w:rsid w:val="00EA7BED"/>
    <w:rsid w:val="00EB2C66"/>
    <w:rsid w:val="00EB5873"/>
    <w:rsid w:val="00EB5B02"/>
    <w:rsid w:val="00EC4FDD"/>
    <w:rsid w:val="00EC5670"/>
    <w:rsid w:val="00ED360D"/>
    <w:rsid w:val="00ED7AD2"/>
    <w:rsid w:val="00EE24F7"/>
    <w:rsid w:val="00EE6605"/>
    <w:rsid w:val="00EF1583"/>
    <w:rsid w:val="00EF3F3E"/>
    <w:rsid w:val="00EF5AF6"/>
    <w:rsid w:val="00EF6A62"/>
    <w:rsid w:val="00EF7423"/>
    <w:rsid w:val="00F06E12"/>
    <w:rsid w:val="00F16915"/>
    <w:rsid w:val="00F20E3A"/>
    <w:rsid w:val="00F26E37"/>
    <w:rsid w:val="00F27422"/>
    <w:rsid w:val="00F2759D"/>
    <w:rsid w:val="00F34DE3"/>
    <w:rsid w:val="00F4231A"/>
    <w:rsid w:val="00F425DD"/>
    <w:rsid w:val="00F44103"/>
    <w:rsid w:val="00F44D14"/>
    <w:rsid w:val="00F46A37"/>
    <w:rsid w:val="00F501C6"/>
    <w:rsid w:val="00F538E7"/>
    <w:rsid w:val="00F545A4"/>
    <w:rsid w:val="00F573CB"/>
    <w:rsid w:val="00F629B6"/>
    <w:rsid w:val="00F66010"/>
    <w:rsid w:val="00F66A22"/>
    <w:rsid w:val="00F66DF6"/>
    <w:rsid w:val="00F701D8"/>
    <w:rsid w:val="00F76698"/>
    <w:rsid w:val="00F81F7B"/>
    <w:rsid w:val="00F850D0"/>
    <w:rsid w:val="00F8693E"/>
    <w:rsid w:val="00F92E99"/>
    <w:rsid w:val="00F94DDC"/>
    <w:rsid w:val="00FA6837"/>
    <w:rsid w:val="00FA6FE6"/>
    <w:rsid w:val="00FB1A52"/>
    <w:rsid w:val="00FB25E9"/>
    <w:rsid w:val="00FB27C8"/>
    <w:rsid w:val="00FB4F45"/>
    <w:rsid w:val="00FB6776"/>
    <w:rsid w:val="00FB77AF"/>
    <w:rsid w:val="00FB7D30"/>
    <w:rsid w:val="00FC7424"/>
    <w:rsid w:val="00FD075B"/>
    <w:rsid w:val="00FD24E4"/>
    <w:rsid w:val="00FD5742"/>
    <w:rsid w:val="00FE27B0"/>
    <w:rsid w:val="00FF063B"/>
    <w:rsid w:val="00FF498B"/>
    <w:rsid w:val="00FF58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166F5"/>
  <w15:chartTrackingRefBased/>
  <w15:docId w15:val="{94AB89A9-F771-413A-A16A-C8876F007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9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19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19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19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19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19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9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9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9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9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19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19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19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9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9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9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9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9DE"/>
    <w:rPr>
      <w:rFonts w:eastAsiaTheme="majorEastAsia" w:cstheme="majorBidi"/>
      <w:color w:val="272727" w:themeColor="text1" w:themeTint="D8"/>
    </w:rPr>
  </w:style>
  <w:style w:type="paragraph" w:styleId="Title">
    <w:name w:val="Title"/>
    <w:basedOn w:val="Normal"/>
    <w:next w:val="Normal"/>
    <w:link w:val="TitleChar"/>
    <w:uiPriority w:val="10"/>
    <w:qFormat/>
    <w:rsid w:val="001A19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9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9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9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9DE"/>
    <w:pPr>
      <w:spacing w:before="160"/>
      <w:jc w:val="center"/>
    </w:pPr>
    <w:rPr>
      <w:i/>
      <w:iCs/>
      <w:color w:val="404040" w:themeColor="text1" w:themeTint="BF"/>
    </w:rPr>
  </w:style>
  <w:style w:type="character" w:customStyle="1" w:styleId="QuoteChar">
    <w:name w:val="Quote Char"/>
    <w:basedOn w:val="DefaultParagraphFont"/>
    <w:link w:val="Quote"/>
    <w:uiPriority w:val="29"/>
    <w:rsid w:val="001A19DE"/>
    <w:rPr>
      <w:i/>
      <w:iCs/>
      <w:color w:val="404040" w:themeColor="text1" w:themeTint="BF"/>
    </w:rPr>
  </w:style>
  <w:style w:type="paragraph" w:styleId="ListParagraph">
    <w:name w:val="List Paragraph"/>
    <w:basedOn w:val="Normal"/>
    <w:uiPriority w:val="34"/>
    <w:qFormat/>
    <w:rsid w:val="001A19DE"/>
    <w:pPr>
      <w:ind w:left="720"/>
      <w:contextualSpacing/>
    </w:pPr>
  </w:style>
  <w:style w:type="character" w:styleId="IntenseEmphasis">
    <w:name w:val="Intense Emphasis"/>
    <w:basedOn w:val="DefaultParagraphFont"/>
    <w:uiPriority w:val="21"/>
    <w:qFormat/>
    <w:rsid w:val="001A19DE"/>
    <w:rPr>
      <w:i/>
      <w:iCs/>
      <w:color w:val="0F4761" w:themeColor="accent1" w:themeShade="BF"/>
    </w:rPr>
  </w:style>
  <w:style w:type="paragraph" w:styleId="IntenseQuote">
    <w:name w:val="Intense Quote"/>
    <w:basedOn w:val="Normal"/>
    <w:next w:val="Normal"/>
    <w:link w:val="IntenseQuoteChar"/>
    <w:uiPriority w:val="30"/>
    <w:qFormat/>
    <w:rsid w:val="001A19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19DE"/>
    <w:rPr>
      <w:i/>
      <w:iCs/>
      <w:color w:val="0F4761" w:themeColor="accent1" w:themeShade="BF"/>
    </w:rPr>
  </w:style>
  <w:style w:type="character" w:styleId="IntenseReference">
    <w:name w:val="Intense Reference"/>
    <w:basedOn w:val="DefaultParagraphFont"/>
    <w:uiPriority w:val="32"/>
    <w:qFormat/>
    <w:rsid w:val="001A19DE"/>
    <w:rPr>
      <w:b/>
      <w:bCs/>
      <w:smallCaps/>
      <w:color w:val="0F4761" w:themeColor="accent1" w:themeShade="BF"/>
      <w:spacing w:val="5"/>
    </w:rPr>
  </w:style>
  <w:style w:type="paragraph" w:customStyle="1" w:styleId="a">
    <w:name w:val="المتن"/>
    <w:basedOn w:val="Normal"/>
    <w:link w:val="Char"/>
    <w:qFormat/>
    <w:rsid w:val="00C75EF6"/>
    <w:pPr>
      <w:spacing w:after="0" w:line="228" w:lineRule="auto"/>
      <w:ind w:firstLine="397"/>
      <w:jc w:val="both"/>
    </w:pPr>
    <w:rPr>
      <w:rFonts w:ascii="almohsin" w:eastAsia="Times New Roman" w:hAnsi="almohsin" w:cs="mylotus"/>
      <w:kern w:val="0"/>
      <w:sz w:val="30"/>
      <w:szCs w:val="32"/>
      <w14:ligatures w14:val="none"/>
    </w:rPr>
  </w:style>
  <w:style w:type="character" w:customStyle="1" w:styleId="Char">
    <w:name w:val="المتن Char"/>
    <w:basedOn w:val="DefaultParagraphFont"/>
    <w:link w:val="a"/>
    <w:rsid w:val="00C75EF6"/>
    <w:rPr>
      <w:rFonts w:ascii="almohsin" w:eastAsia="Times New Roman" w:hAnsi="almohsin" w:cs="mylotus"/>
      <w:kern w:val="0"/>
      <w:sz w:val="30"/>
      <w:szCs w:val="32"/>
      <w14:ligatures w14:val="none"/>
    </w:rPr>
  </w:style>
  <w:style w:type="paragraph" w:styleId="FootnoteText">
    <w:name w:val="footnote text"/>
    <w:basedOn w:val="Normal"/>
    <w:link w:val="FootnoteTextChar"/>
    <w:uiPriority w:val="99"/>
    <w:semiHidden/>
    <w:unhideWhenUsed/>
    <w:rsid w:val="002F2A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2A0E"/>
    <w:rPr>
      <w:sz w:val="20"/>
      <w:szCs w:val="20"/>
    </w:rPr>
  </w:style>
  <w:style w:type="character" w:styleId="FootnoteReference">
    <w:name w:val="footnote reference"/>
    <w:basedOn w:val="DefaultParagraphFont"/>
    <w:uiPriority w:val="99"/>
    <w:semiHidden/>
    <w:unhideWhenUsed/>
    <w:rsid w:val="002F2A0E"/>
    <w:rPr>
      <w:vertAlign w:val="superscript"/>
    </w:rPr>
  </w:style>
  <w:style w:type="paragraph" w:styleId="Header">
    <w:name w:val="header"/>
    <w:basedOn w:val="Normal"/>
    <w:link w:val="HeaderChar"/>
    <w:uiPriority w:val="99"/>
    <w:unhideWhenUsed/>
    <w:rsid w:val="00727C3C"/>
    <w:pPr>
      <w:tabs>
        <w:tab w:val="center" w:pos="4320"/>
        <w:tab w:val="right" w:pos="8640"/>
      </w:tabs>
      <w:spacing w:after="0" w:line="240" w:lineRule="auto"/>
    </w:pPr>
  </w:style>
  <w:style w:type="character" w:customStyle="1" w:styleId="HeaderChar">
    <w:name w:val="Header Char"/>
    <w:basedOn w:val="DefaultParagraphFont"/>
    <w:link w:val="Header"/>
    <w:uiPriority w:val="99"/>
    <w:rsid w:val="00727C3C"/>
  </w:style>
  <w:style w:type="paragraph" w:styleId="Footer">
    <w:name w:val="footer"/>
    <w:basedOn w:val="Normal"/>
    <w:link w:val="FooterChar"/>
    <w:uiPriority w:val="99"/>
    <w:unhideWhenUsed/>
    <w:rsid w:val="00727C3C"/>
    <w:pPr>
      <w:tabs>
        <w:tab w:val="center" w:pos="4320"/>
        <w:tab w:val="right" w:pos="8640"/>
      </w:tabs>
      <w:spacing w:after="0" w:line="240" w:lineRule="auto"/>
    </w:pPr>
  </w:style>
  <w:style w:type="character" w:customStyle="1" w:styleId="FooterChar">
    <w:name w:val="Footer Char"/>
    <w:basedOn w:val="DefaultParagraphFont"/>
    <w:link w:val="Footer"/>
    <w:uiPriority w:val="99"/>
    <w:rsid w:val="00727C3C"/>
  </w:style>
  <w:style w:type="paragraph" w:styleId="NormalWeb">
    <w:name w:val="Normal (Web)"/>
    <w:basedOn w:val="Normal"/>
    <w:uiPriority w:val="99"/>
    <w:semiHidden/>
    <w:unhideWhenUsed/>
    <w:rsid w:val="00A60AF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9318">
      <w:bodyDiv w:val="1"/>
      <w:marLeft w:val="0"/>
      <w:marRight w:val="0"/>
      <w:marTop w:val="0"/>
      <w:marBottom w:val="0"/>
      <w:divBdr>
        <w:top w:val="none" w:sz="0" w:space="0" w:color="auto"/>
        <w:left w:val="none" w:sz="0" w:space="0" w:color="auto"/>
        <w:bottom w:val="none" w:sz="0" w:space="0" w:color="auto"/>
        <w:right w:val="none" w:sz="0" w:space="0" w:color="auto"/>
      </w:divBdr>
    </w:div>
    <w:div w:id="49040681">
      <w:bodyDiv w:val="1"/>
      <w:marLeft w:val="0"/>
      <w:marRight w:val="0"/>
      <w:marTop w:val="0"/>
      <w:marBottom w:val="0"/>
      <w:divBdr>
        <w:top w:val="none" w:sz="0" w:space="0" w:color="auto"/>
        <w:left w:val="none" w:sz="0" w:space="0" w:color="auto"/>
        <w:bottom w:val="none" w:sz="0" w:space="0" w:color="auto"/>
        <w:right w:val="none" w:sz="0" w:space="0" w:color="auto"/>
      </w:divBdr>
    </w:div>
    <w:div w:id="50080899">
      <w:bodyDiv w:val="1"/>
      <w:marLeft w:val="0"/>
      <w:marRight w:val="0"/>
      <w:marTop w:val="0"/>
      <w:marBottom w:val="0"/>
      <w:divBdr>
        <w:top w:val="none" w:sz="0" w:space="0" w:color="auto"/>
        <w:left w:val="none" w:sz="0" w:space="0" w:color="auto"/>
        <w:bottom w:val="none" w:sz="0" w:space="0" w:color="auto"/>
        <w:right w:val="none" w:sz="0" w:space="0" w:color="auto"/>
      </w:divBdr>
    </w:div>
    <w:div w:id="144665762">
      <w:bodyDiv w:val="1"/>
      <w:marLeft w:val="0"/>
      <w:marRight w:val="0"/>
      <w:marTop w:val="0"/>
      <w:marBottom w:val="0"/>
      <w:divBdr>
        <w:top w:val="none" w:sz="0" w:space="0" w:color="auto"/>
        <w:left w:val="none" w:sz="0" w:space="0" w:color="auto"/>
        <w:bottom w:val="none" w:sz="0" w:space="0" w:color="auto"/>
        <w:right w:val="none" w:sz="0" w:space="0" w:color="auto"/>
      </w:divBdr>
    </w:div>
    <w:div w:id="250629629">
      <w:bodyDiv w:val="1"/>
      <w:marLeft w:val="0"/>
      <w:marRight w:val="0"/>
      <w:marTop w:val="0"/>
      <w:marBottom w:val="0"/>
      <w:divBdr>
        <w:top w:val="none" w:sz="0" w:space="0" w:color="auto"/>
        <w:left w:val="none" w:sz="0" w:space="0" w:color="auto"/>
        <w:bottom w:val="none" w:sz="0" w:space="0" w:color="auto"/>
        <w:right w:val="none" w:sz="0" w:space="0" w:color="auto"/>
      </w:divBdr>
    </w:div>
    <w:div w:id="289020699">
      <w:bodyDiv w:val="1"/>
      <w:marLeft w:val="0"/>
      <w:marRight w:val="0"/>
      <w:marTop w:val="0"/>
      <w:marBottom w:val="0"/>
      <w:divBdr>
        <w:top w:val="none" w:sz="0" w:space="0" w:color="auto"/>
        <w:left w:val="none" w:sz="0" w:space="0" w:color="auto"/>
        <w:bottom w:val="none" w:sz="0" w:space="0" w:color="auto"/>
        <w:right w:val="none" w:sz="0" w:space="0" w:color="auto"/>
      </w:divBdr>
    </w:div>
    <w:div w:id="291327747">
      <w:bodyDiv w:val="1"/>
      <w:marLeft w:val="0"/>
      <w:marRight w:val="0"/>
      <w:marTop w:val="0"/>
      <w:marBottom w:val="0"/>
      <w:divBdr>
        <w:top w:val="none" w:sz="0" w:space="0" w:color="auto"/>
        <w:left w:val="none" w:sz="0" w:space="0" w:color="auto"/>
        <w:bottom w:val="none" w:sz="0" w:space="0" w:color="auto"/>
        <w:right w:val="none" w:sz="0" w:space="0" w:color="auto"/>
      </w:divBdr>
    </w:div>
    <w:div w:id="341005993">
      <w:bodyDiv w:val="1"/>
      <w:marLeft w:val="0"/>
      <w:marRight w:val="0"/>
      <w:marTop w:val="0"/>
      <w:marBottom w:val="0"/>
      <w:divBdr>
        <w:top w:val="none" w:sz="0" w:space="0" w:color="auto"/>
        <w:left w:val="none" w:sz="0" w:space="0" w:color="auto"/>
        <w:bottom w:val="none" w:sz="0" w:space="0" w:color="auto"/>
        <w:right w:val="none" w:sz="0" w:space="0" w:color="auto"/>
      </w:divBdr>
    </w:div>
    <w:div w:id="404227102">
      <w:bodyDiv w:val="1"/>
      <w:marLeft w:val="0"/>
      <w:marRight w:val="0"/>
      <w:marTop w:val="0"/>
      <w:marBottom w:val="0"/>
      <w:divBdr>
        <w:top w:val="none" w:sz="0" w:space="0" w:color="auto"/>
        <w:left w:val="none" w:sz="0" w:space="0" w:color="auto"/>
        <w:bottom w:val="none" w:sz="0" w:space="0" w:color="auto"/>
        <w:right w:val="none" w:sz="0" w:space="0" w:color="auto"/>
      </w:divBdr>
    </w:div>
    <w:div w:id="458035485">
      <w:bodyDiv w:val="1"/>
      <w:marLeft w:val="0"/>
      <w:marRight w:val="0"/>
      <w:marTop w:val="0"/>
      <w:marBottom w:val="0"/>
      <w:divBdr>
        <w:top w:val="none" w:sz="0" w:space="0" w:color="auto"/>
        <w:left w:val="none" w:sz="0" w:space="0" w:color="auto"/>
        <w:bottom w:val="none" w:sz="0" w:space="0" w:color="auto"/>
        <w:right w:val="none" w:sz="0" w:space="0" w:color="auto"/>
      </w:divBdr>
    </w:div>
    <w:div w:id="479032504">
      <w:bodyDiv w:val="1"/>
      <w:marLeft w:val="0"/>
      <w:marRight w:val="0"/>
      <w:marTop w:val="0"/>
      <w:marBottom w:val="0"/>
      <w:divBdr>
        <w:top w:val="none" w:sz="0" w:space="0" w:color="auto"/>
        <w:left w:val="none" w:sz="0" w:space="0" w:color="auto"/>
        <w:bottom w:val="none" w:sz="0" w:space="0" w:color="auto"/>
        <w:right w:val="none" w:sz="0" w:space="0" w:color="auto"/>
      </w:divBdr>
    </w:div>
    <w:div w:id="491144298">
      <w:bodyDiv w:val="1"/>
      <w:marLeft w:val="0"/>
      <w:marRight w:val="0"/>
      <w:marTop w:val="0"/>
      <w:marBottom w:val="0"/>
      <w:divBdr>
        <w:top w:val="none" w:sz="0" w:space="0" w:color="auto"/>
        <w:left w:val="none" w:sz="0" w:space="0" w:color="auto"/>
        <w:bottom w:val="none" w:sz="0" w:space="0" w:color="auto"/>
        <w:right w:val="none" w:sz="0" w:space="0" w:color="auto"/>
      </w:divBdr>
    </w:div>
    <w:div w:id="729496950">
      <w:bodyDiv w:val="1"/>
      <w:marLeft w:val="0"/>
      <w:marRight w:val="0"/>
      <w:marTop w:val="0"/>
      <w:marBottom w:val="0"/>
      <w:divBdr>
        <w:top w:val="none" w:sz="0" w:space="0" w:color="auto"/>
        <w:left w:val="none" w:sz="0" w:space="0" w:color="auto"/>
        <w:bottom w:val="none" w:sz="0" w:space="0" w:color="auto"/>
        <w:right w:val="none" w:sz="0" w:space="0" w:color="auto"/>
      </w:divBdr>
    </w:div>
    <w:div w:id="990211133">
      <w:bodyDiv w:val="1"/>
      <w:marLeft w:val="0"/>
      <w:marRight w:val="0"/>
      <w:marTop w:val="0"/>
      <w:marBottom w:val="0"/>
      <w:divBdr>
        <w:top w:val="none" w:sz="0" w:space="0" w:color="auto"/>
        <w:left w:val="none" w:sz="0" w:space="0" w:color="auto"/>
        <w:bottom w:val="none" w:sz="0" w:space="0" w:color="auto"/>
        <w:right w:val="none" w:sz="0" w:space="0" w:color="auto"/>
      </w:divBdr>
    </w:div>
    <w:div w:id="1013412788">
      <w:bodyDiv w:val="1"/>
      <w:marLeft w:val="0"/>
      <w:marRight w:val="0"/>
      <w:marTop w:val="0"/>
      <w:marBottom w:val="0"/>
      <w:divBdr>
        <w:top w:val="none" w:sz="0" w:space="0" w:color="auto"/>
        <w:left w:val="none" w:sz="0" w:space="0" w:color="auto"/>
        <w:bottom w:val="none" w:sz="0" w:space="0" w:color="auto"/>
        <w:right w:val="none" w:sz="0" w:space="0" w:color="auto"/>
      </w:divBdr>
    </w:div>
    <w:div w:id="1060640351">
      <w:bodyDiv w:val="1"/>
      <w:marLeft w:val="0"/>
      <w:marRight w:val="0"/>
      <w:marTop w:val="0"/>
      <w:marBottom w:val="0"/>
      <w:divBdr>
        <w:top w:val="none" w:sz="0" w:space="0" w:color="auto"/>
        <w:left w:val="none" w:sz="0" w:space="0" w:color="auto"/>
        <w:bottom w:val="none" w:sz="0" w:space="0" w:color="auto"/>
        <w:right w:val="none" w:sz="0" w:space="0" w:color="auto"/>
      </w:divBdr>
    </w:div>
    <w:div w:id="1235552410">
      <w:bodyDiv w:val="1"/>
      <w:marLeft w:val="0"/>
      <w:marRight w:val="0"/>
      <w:marTop w:val="0"/>
      <w:marBottom w:val="0"/>
      <w:divBdr>
        <w:top w:val="none" w:sz="0" w:space="0" w:color="auto"/>
        <w:left w:val="none" w:sz="0" w:space="0" w:color="auto"/>
        <w:bottom w:val="none" w:sz="0" w:space="0" w:color="auto"/>
        <w:right w:val="none" w:sz="0" w:space="0" w:color="auto"/>
      </w:divBdr>
    </w:div>
    <w:div w:id="1239755262">
      <w:bodyDiv w:val="1"/>
      <w:marLeft w:val="0"/>
      <w:marRight w:val="0"/>
      <w:marTop w:val="0"/>
      <w:marBottom w:val="0"/>
      <w:divBdr>
        <w:top w:val="none" w:sz="0" w:space="0" w:color="auto"/>
        <w:left w:val="none" w:sz="0" w:space="0" w:color="auto"/>
        <w:bottom w:val="none" w:sz="0" w:space="0" w:color="auto"/>
        <w:right w:val="none" w:sz="0" w:space="0" w:color="auto"/>
      </w:divBdr>
    </w:div>
    <w:div w:id="1380787116">
      <w:bodyDiv w:val="1"/>
      <w:marLeft w:val="0"/>
      <w:marRight w:val="0"/>
      <w:marTop w:val="0"/>
      <w:marBottom w:val="0"/>
      <w:divBdr>
        <w:top w:val="none" w:sz="0" w:space="0" w:color="auto"/>
        <w:left w:val="none" w:sz="0" w:space="0" w:color="auto"/>
        <w:bottom w:val="none" w:sz="0" w:space="0" w:color="auto"/>
        <w:right w:val="none" w:sz="0" w:space="0" w:color="auto"/>
      </w:divBdr>
    </w:div>
    <w:div w:id="1389187804">
      <w:bodyDiv w:val="1"/>
      <w:marLeft w:val="0"/>
      <w:marRight w:val="0"/>
      <w:marTop w:val="0"/>
      <w:marBottom w:val="0"/>
      <w:divBdr>
        <w:top w:val="none" w:sz="0" w:space="0" w:color="auto"/>
        <w:left w:val="none" w:sz="0" w:space="0" w:color="auto"/>
        <w:bottom w:val="none" w:sz="0" w:space="0" w:color="auto"/>
        <w:right w:val="none" w:sz="0" w:space="0" w:color="auto"/>
      </w:divBdr>
    </w:div>
    <w:div w:id="1421096172">
      <w:bodyDiv w:val="1"/>
      <w:marLeft w:val="0"/>
      <w:marRight w:val="0"/>
      <w:marTop w:val="0"/>
      <w:marBottom w:val="0"/>
      <w:divBdr>
        <w:top w:val="none" w:sz="0" w:space="0" w:color="auto"/>
        <w:left w:val="none" w:sz="0" w:space="0" w:color="auto"/>
        <w:bottom w:val="none" w:sz="0" w:space="0" w:color="auto"/>
        <w:right w:val="none" w:sz="0" w:space="0" w:color="auto"/>
      </w:divBdr>
    </w:div>
    <w:div w:id="1449885674">
      <w:bodyDiv w:val="1"/>
      <w:marLeft w:val="0"/>
      <w:marRight w:val="0"/>
      <w:marTop w:val="0"/>
      <w:marBottom w:val="0"/>
      <w:divBdr>
        <w:top w:val="none" w:sz="0" w:space="0" w:color="auto"/>
        <w:left w:val="none" w:sz="0" w:space="0" w:color="auto"/>
        <w:bottom w:val="none" w:sz="0" w:space="0" w:color="auto"/>
        <w:right w:val="none" w:sz="0" w:space="0" w:color="auto"/>
      </w:divBdr>
    </w:div>
    <w:div w:id="1456799906">
      <w:bodyDiv w:val="1"/>
      <w:marLeft w:val="0"/>
      <w:marRight w:val="0"/>
      <w:marTop w:val="0"/>
      <w:marBottom w:val="0"/>
      <w:divBdr>
        <w:top w:val="none" w:sz="0" w:space="0" w:color="auto"/>
        <w:left w:val="none" w:sz="0" w:space="0" w:color="auto"/>
        <w:bottom w:val="none" w:sz="0" w:space="0" w:color="auto"/>
        <w:right w:val="none" w:sz="0" w:space="0" w:color="auto"/>
      </w:divBdr>
    </w:div>
    <w:div w:id="1496914538">
      <w:bodyDiv w:val="1"/>
      <w:marLeft w:val="0"/>
      <w:marRight w:val="0"/>
      <w:marTop w:val="0"/>
      <w:marBottom w:val="0"/>
      <w:divBdr>
        <w:top w:val="none" w:sz="0" w:space="0" w:color="auto"/>
        <w:left w:val="none" w:sz="0" w:space="0" w:color="auto"/>
        <w:bottom w:val="none" w:sz="0" w:space="0" w:color="auto"/>
        <w:right w:val="none" w:sz="0" w:space="0" w:color="auto"/>
      </w:divBdr>
    </w:div>
    <w:div w:id="1559589003">
      <w:bodyDiv w:val="1"/>
      <w:marLeft w:val="0"/>
      <w:marRight w:val="0"/>
      <w:marTop w:val="0"/>
      <w:marBottom w:val="0"/>
      <w:divBdr>
        <w:top w:val="none" w:sz="0" w:space="0" w:color="auto"/>
        <w:left w:val="none" w:sz="0" w:space="0" w:color="auto"/>
        <w:bottom w:val="none" w:sz="0" w:space="0" w:color="auto"/>
        <w:right w:val="none" w:sz="0" w:space="0" w:color="auto"/>
      </w:divBdr>
    </w:div>
    <w:div w:id="1623683655">
      <w:bodyDiv w:val="1"/>
      <w:marLeft w:val="0"/>
      <w:marRight w:val="0"/>
      <w:marTop w:val="0"/>
      <w:marBottom w:val="0"/>
      <w:divBdr>
        <w:top w:val="none" w:sz="0" w:space="0" w:color="auto"/>
        <w:left w:val="none" w:sz="0" w:space="0" w:color="auto"/>
        <w:bottom w:val="none" w:sz="0" w:space="0" w:color="auto"/>
        <w:right w:val="none" w:sz="0" w:space="0" w:color="auto"/>
      </w:divBdr>
    </w:div>
    <w:div w:id="1635405080">
      <w:bodyDiv w:val="1"/>
      <w:marLeft w:val="0"/>
      <w:marRight w:val="0"/>
      <w:marTop w:val="0"/>
      <w:marBottom w:val="0"/>
      <w:divBdr>
        <w:top w:val="none" w:sz="0" w:space="0" w:color="auto"/>
        <w:left w:val="none" w:sz="0" w:space="0" w:color="auto"/>
        <w:bottom w:val="none" w:sz="0" w:space="0" w:color="auto"/>
        <w:right w:val="none" w:sz="0" w:space="0" w:color="auto"/>
      </w:divBdr>
    </w:div>
    <w:div w:id="1839031003">
      <w:bodyDiv w:val="1"/>
      <w:marLeft w:val="0"/>
      <w:marRight w:val="0"/>
      <w:marTop w:val="0"/>
      <w:marBottom w:val="0"/>
      <w:divBdr>
        <w:top w:val="none" w:sz="0" w:space="0" w:color="auto"/>
        <w:left w:val="none" w:sz="0" w:space="0" w:color="auto"/>
        <w:bottom w:val="none" w:sz="0" w:space="0" w:color="auto"/>
        <w:right w:val="none" w:sz="0" w:space="0" w:color="auto"/>
      </w:divBdr>
    </w:div>
    <w:div w:id="1894197077">
      <w:bodyDiv w:val="1"/>
      <w:marLeft w:val="0"/>
      <w:marRight w:val="0"/>
      <w:marTop w:val="0"/>
      <w:marBottom w:val="0"/>
      <w:divBdr>
        <w:top w:val="none" w:sz="0" w:space="0" w:color="auto"/>
        <w:left w:val="none" w:sz="0" w:space="0" w:color="auto"/>
        <w:bottom w:val="none" w:sz="0" w:space="0" w:color="auto"/>
        <w:right w:val="none" w:sz="0" w:space="0" w:color="auto"/>
      </w:divBdr>
    </w:div>
    <w:div w:id="197174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E8C6F-C1AD-47F5-81B8-8A44298DE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4180</TotalTime>
  <Pages>537</Pages>
  <Words>164414</Words>
  <Characters>937164</Characters>
  <Application>Microsoft Office Word</Application>
  <DocSecurity>0</DocSecurity>
  <Lines>7809</Lines>
  <Paragraphs>2198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Obaidi</dc:creator>
  <cp:keywords/>
  <dc:description/>
  <cp:lastModifiedBy>Ahmed Obaidi</cp:lastModifiedBy>
  <cp:revision>452</cp:revision>
  <dcterms:created xsi:type="dcterms:W3CDTF">2025-09-07T19:10:00Z</dcterms:created>
  <dcterms:modified xsi:type="dcterms:W3CDTF">2026-09-06T11:27:00Z</dcterms:modified>
</cp:coreProperties>
</file>